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21E1B">
      <w:pPr>
        <w:widowControl/>
        <w:jc w:val="center"/>
        <w:rPr>
          <w:rFonts w:cs="Times New Roman"/>
          <w:sz w:val="28"/>
          <w:szCs w:val="28"/>
        </w:rPr>
      </w:pPr>
      <w:bookmarkStart w:id="0" w:name="_Toc175150090"/>
      <w:bookmarkStart w:id="1" w:name="_Toc16803"/>
      <w:bookmarkStart w:id="2" w:name="_Toc176964684"/>
      <w:bookmarkStart w:id="3" w:name="_Toc2989"/>
    </w:p>
    <w:p w14:paraId="1CD9BB51">
      <w:pPr>
        <w:widowControl/>
        <w:jc w:val="center"/>
        <w:rPr>
          <w:rFonts w:cs="Times New Roman"/>
          <w:sz w:val="28"/>
          <w:szCs w:val="28"/>
        </w:rPr>
      </w:pPr>
    </w:p>
    <w:p w14:paraId="67F3CD2B">
      <w:pPr>
        <w:widowControl/>
        <w:jc w:val="center"/>
        <w:rPr>
          <w:rFonts w:cs="Times New Roman"/>
          <w:sz w:val="28"/>
          <w:szCs w:val="28"/>
        </w:rPr>
      </w:pPr>
    </w:p>
    <w:p w14:paraId="0F12D40C">
      <w:pPr>
        <w:widowControl/>
        <w:jc w:val="center"/>
        <w:rPr>
          <w:rFonts w:cs="Times New Roman"/>
        </w:rPr>
      </w:pPr>
    </w:p>
    <w:bookmarkEnd w:id="0"/>
    <w:bookmarkEnd w:id="1"/>
    <w:bookmarkEnd w:id="2"/>
    <w:bookmarkEnd w:id="3"/>
    <w:p w14:paraId="605D99A3">
      <w:pPr>
        <w:jc w:val="center"/>
        <w:rPr>
          <w:rFonts w:eastAsia="方正小标宋简体" w:cs="Times New Roman"/>
          <w:b/>
          <w:bCs/>
          <w:sz w:val="56"/>
          <w:szCs w:val="72"/>
        </w:rPr>
      </w:pPr>
      <w:r>
        <w:rPr>
          <w:rFonts w:eastAsia="黑体" w:cs="Times New Roman"/>
          <w:color w:val="000000"/>
          <w:sz w:val="44"/>
          <w:szCs w:val="44"/>
        </w:rPr>
        <w:t>《</w:t>
      </w:r>
      <w:r>
        <w:rPr>
          <w:rFonts w:hint="eastAsia" w:eastAsia="黑体" w:cs="Times New Roman"/>
          <w:color w:val="000000"/>
          <w:sz w:val="44"/>
          <w:szCs w:val="44"/>
        </w:rPr>
        <w:t>河流断流干涸遥感监测评价技术规范</w:t>
      </w:r>
      <w:r>
        <w:rPr>
          <w:rFonts w:eastAsia="黑体" w:cs="Times New Roman"/>
          <w:color w:val="000000"/>
          <w:sz w:val="44"/>
          <w:szCs w:val="44"/>
        </w:rPr>
        <w:t>》</w:t>
      </w:r>
      <w:r>
        <w:rPr>
          <w:rFonts w:hint="eastAsia" w:eastAsia="黑体" w:cs="Times New Roman"/>
          <w:color w:val="000000"/>
          <w:sz w:val="44"/>
          <w:szCs w:val="44"/>
        </w:rPr>
        <w:t>（试行）</w:t>
      </w:r>
    </w:p>
    <w:p w14:paraId="01DBF4C9">
      <w:pPr>
        <w:jc w:val="center"/>
        <w:rPr>
          <w:rFonts w:eastAsia="黑体" w:cs="Times New Roman"/>
          <w:color w:val="000000"/>
          <w:sz w:val="44"/>
          <w:szCs w:val="44"/>
        </w:rPr>
      </w:pPr>
    </w:p>
    <w:p w14:paraId="6E4A6C14">
      <w:pPr>
        <w:jc w:val="center"/>
        <w:rPr>
          <w:rFonts w:eastAsia="黑体" w:cs="Times New Roman"/>
          <w:color w:val="000000"/>
          <w:sz w:val="44"/>
          <w:szCs w:val="44"/>
        </w:rPr>
      </w:pPr>
    </w:p>
    <w:p w14:paraId="382129CA">
      <w:pPr>
        <w:jc w:val="center"/>
        <w:rPr>
          <w:rFonts w:eastAsia="黑体" w:cs="Times New Roman"/>
          <w:color w:val="000000"/>
          <w:sz w:val="44"/>
          <w:szCs w:val="44"/>
        </w:rPr>
      </w:pPr>
      <w:r>
        <w:rPr>
          <w:rFonts w:hint="eastAsia" w:eastAsia="黑体" w:cs="Times New Roman"/>
          <w:color w:val="000000"/>
          <w:sz w:val="44"/>
          <w:szCs w:val="44"/>
        </w:rPr>
        <w:t>编 制 说 明</w:t>
      </w:r>
    </w:p>
    <w:p w14:paraId="6B4CF1CA">
      <w:pPr>
        <w:jc w:val="center"/>
        <w:rPr>
          <w:rFonts w:eastAsia="方正小标宋简体" w:cs="Times New Roman"/>
          <w:b/>
          <w:bCs/>
          <w:sz w:val="72"/>
          <w:szCs w:val="72"/>
        </w:rPr>
      </w:pPr>
    </w:p>
    <w:p w14:paraId="01E4B032">
      <w:pPr>
        <w:jc w:val="center"/>
        <w:rPr>
          <w:rFonts w:eastAsia="方正小标宋简体" w:cs="Times New Roman"/>
          <w:b/>
          <w:bCs/>
          <w:sz w:val="72"/>
          <w:szCs w:val="72"/>
        </w:rPr>
      </w:pPr>
    </w:p>
    <w:p w14:paraId="3D483186">
      <w:pPr>
        <w:jc w:val="center"/>
        <w:rPr>
          <w:rFonts w:eastAsia="方正小标宋简体" w:cs="Times New Roman"/>
          <w:b/>
          <w:bCs/>
          <w:sz w:val="72"/>
          <w:szCs w:val="72"/>
        </w:rPr>
      </w:pPr>
    </w:p>
    <w:p w14:paraId="15A0C6D7">
      <w:pPr>
        <w:jc w:val="center"/>
        <w:rPr>
          <w:rFonts w:eastAsia="方正小标宋简体" w:cs="Times New Roman"/>
          <w:b/>
          <w:bCs/>
          <w:sz w:val="72"/>
          <w:szCs w:val="72"/>
        </w:rPr>
      </w:pPr>
    </w:p>
    <w:p w14:paraId="53F8D276">
      <w:pPr>
        <w:jc w:val="center"/>
        <w:rPr>
          <w:rFonts w:eastAsia="方正小标宋简体" w:cs="Times New Roman"/>
          <w:b/>
          <w:bCs/>
          <w:sz w:val="72"/>
          <w:szCs w:val="72"/>
        </w:rPr>
      </w:pPr>
    </w:p>
    <w:p w14:paraId="0BAEE717">
      <w:pPr>
        <w:jc w:val="center"/>
        <w:rPr>
          <w:rFonts w:eastAsia="方正小标宋简体" w:cs="Times New Roman"/>
          <w:b/>
          <w:bCs/>
          <w:sz w:val="72"/>
          <w:szCs w:val="72"/>
        </w:rPr>
      </w:pPr>
    </w:p>
    <w:p w14:paraId="4FE41840">
      <w:pPr>
        <w:jc w:val="center"/>
        <w:rPr>
          <w:rFonts w:eastAsia="黑体" w:cs="Times New Roman"/>
          <w:color w:val="000000"/>
          <w:sz w:val="28"/>
          <w:szCs w:val="28"/>
        </w:rPr>
      </w:pPr>
      <w:r>
        <w:rPr>
          <w:rFonts w:hint="eastAsia" w:eastAsia="黑体" w:cs="Times New Roman"/>
          <w:color w:val="000000"/>
          <w:sz w:val="28"/>
          <w:szCs w:val="28"/>
        </w:rPr>
        <w:t>《河流断流干涸遥感监测评价技术规范》标准编制组</w:t>
      </w:r>
    </w:p>
    <w:p w14:paraId="7C83203E">
      <w:pPr>
        <w:jc w:val="center"/>
        <w:rPr>
          <w:rFonts w:eastAsia="黑体" w:cs="Times New Roman"/>
          <w:color w:val="000000"/>
          <w:sz w:val="28"/>
          <w:szCs w:val="28"/>
        </w:rPr>
      </w:pPr>
      <w:r>
        <w:rPr>
          <w:rFonts w:hint="eastAsia" w:eastAsia="黑体" w:cs="Times New Roman"/>
          <w:color w:val="000000"/>
          <w:sz w:val="28"/>
          <w:szCs w:val="28"/>
        </w:rPr>
        <w:t>202</w:t>
      </w:r>
      <w:r>
        <w:rPr>
          <w:rFonts w:eastAsia="黑体" w:cs="Times New Roman"/>
          <w:color w:val="000000"/>
          <w:sz w:val="28"/>
          <w:szCs w:val="28"/>
        </w:rPr>
        <w:t>5</w:t>
      </w:r>
      <w:r>
        <w:rPr>
          <w:rFonts w:hint="eastAsia" w:eastAsia="黑体" w:cs="Times New Roman"/>
          <w:color w:val="000000"/>
          <w:sz w:val="28"/>
          <w:szCs w:val="28"/>
        </w:rPr>
        <w:t>年1</w:t>
      </w:r>
      <w:r>
        <w:rPr>
          <w:rFonts w:hint="eastAsia" w:eastAsia="黑体" w:cs="Times New Roman"/>
          <w:color w:val="000000"/>
          <w:sz w:val="28"/>
          <w:szCs w:val="28"/>
          <w:lang w:val="en-US" w:eastAsia="zh-CN"/>
        </w:rPr>
        <w:t>1</w:t>
      </w:r>
      <w:r>
        <w:rPr>
          <w:rFonts w:hint="eastAsia" w:eastAsia="黑体" w:cs="Times New Roman"/>
          <w:color w:val="000000"/>
          <w:sz w:val="28"/>
          <w:szCs w:val="28"/>
        </w:rPr>
        <w:t>月</w:t>
      </w:r>
    </w:p>
    <w:p w14:paraId="4D78F84A">
      <w:pPr>
        <w:pStyle w:val="25"/>
        <w:jc w:val="center"/>
        <w:rPr>
          <w:rFonts w:ascii="Times New Roman" w:hAnsi="Times New Roman" w:eastAsia="宋体" w:cstheme="minorBidi"/>
          <w:color w:val="auto"/>
          <w:kern w:val="2"/>
          <w:sz w:val="24"/>
          <w:szCs w:val="22"/>
          <w:lang w:val="zh-CN"/>
        </w:rPr>
        <w:sectPr>
          <w:pgSz w:w="11906" w:h="16838"/>
          <w:pgMar w:top="1440" w:right="1800" w:bottom="1440" w:left="1800" w:header="851" w:footer="992" w:gutter="0"/>
          <w:cols w:space="425" w:num="1"/>
          <w:docGrid w:type="lines" w:linePitch="312" w:charSpace="0"/>
        </w:sectPr>
      </w:pPr>
    </w:p>
    <w:sdt>
      <w:sdtPr>
        <w:rPr>
          <w:rFonts w:ascii="Times New Roman" w:hAnsi="Times New Roman" w:eastAsia="宋体" w:cstheme="minorBidi"/>
          <w:color w:val="auto"/>
          <w:kern w:val="2"/>
          <w:sz w:val="24"/>
          <w:szCs w:val="22"/>
          <w:lang w:val="zh-CN"/>
        </w:rPr>
        <w:id w:val="2021190811"/>
        <w:docPartObj>
          <w:docPartGallery w:val="Table of Contents"/>
          <w:docPartUnique/>
        </w:docPartObj>
      </w:sdtPr>
      <w:sdtEndPr>
        <w:rPr>
          <w:rFonts w:ascii="Times New Roman" w:hAnsi="Times New Roman" w:eastAsia="宋体" w:cstheme="minorBidi"/>
          <w:b/>
          <w:bCs/>
          <w:color w:val="auto"/>
          <w:kern w:val="2"/>
          <w:sz w:val="24"/>
          <w:szCs w:val="22"/>
          <w:lang w:val="zh-CN"/>
        </w:rPr>
      </w:sdtEndPr>
      <w:sdtContent>
        <w:p w14:paraId="34D9FBD6">
          <w:pPr>
            <w:pStyle w:val="25"/>
            <w:jc w:val="center"/>
            <w:rPr>
              <w:rFonts w:ascii="宋体" w:hAnsi="宋体" w:eastAsia="宋体"/>
              <w:b/>
              <w:color w:val="000000" w:themeColor="text1"/>
              <w:sz w:val="36"/>
              <w14:textFill>
                <w14:solidFill>
                  <w14:schemeClr w14:val="tx1"/>
                </w14:solidFill>
              </w14:textFill>
            </w:rPr>
          </w:pPr>
          <w:r>
            <w:rPr>
              <w:rFonts w:ascii="宋体" w:hAnsi="宋体" w:eastAsia="宋体"/>
              <w:b/>
              <w:color w:val="000000" w:themeColor="text1"/>
              <w:sz w:val="36"/>
              <w:lang w:val="zh-CN"/>
              <w14:textFill>
                <w14:solidFill>
                  <w14:schemeClr w14:val="tx1"/>
                </w14:solidFill>
              </w14:textFill>
            </w:rPr>
            <w:t>目录</w:t>
          </w:r>
        </w:p>
        <w:p w14:paraId="299F0920">
          <w:pPr>
            <w:pStyle w:val="9"/>
            <w:tabs>
              <w:tab w:val="right" w:leader="dot" w:pos="8306"/>
            </w:tabs>
          </w:pPr>
          <w:r>
            <w:fldChar w:fldCharType="begin"/>
          </w:r>
          <w:r>
            <w:instrText xml:space="preserve"> TOC \o "1-3" \h \z \u </w:instrText>
          </w:r>
          <w:r>
            <w:fldChar w:fldCharType="separate"/>
          </w:r>
          <w:r>
            <w:fldChar w:fldCharType="begin"/>
          </w:r>
          <w:r>
            <w:instrText xml:space="preserve"> HYPERLINK \l "_Toc15455" </w:instrText>
          </w:r>
          <w:r>
            <w:fldChar w:fldCharType="separate"/>
          </w:r>
          <w:r>
            <w:rPr>
              <w:rFonts w:hint="eastAsia" w:eastAsia="黑体"/>
            </w:rPr>
            <w:t>一、工作简况</w:t>
          </w:r>
          <w:r>
            <w:tab/>
          </w:r>
          <w:r>
            <w:fldChar w:fldCharType="begin"/>
          </w:r>
          <w:r>
            <w:instrText xml:space="preserve"> PAGEREF _Toc15455 \h </w:instrText>
          </w:r>
          <w:r>
            <w:fldChar w:fldCharType="separate"/>
          </w:r>
          <w:r>
            <w:t>1</w:t>
          </w:r>
          <w:r>
            <w:fldChar w:fldCharType="end"/>
          </w:r>
          <w:r>
            <w:fldChar w:fldCharType="end"/>
          </w:r>
        </w:p>
        <w:p w14:paraId="552DD5EF">
          <w:pPr>
            <w:pStyle w:val="11"/>
            <w:tabs>
              <w:tab w:val="right" w:leader="dot" w:pos="8306"/>
            </w:tabs>
            <w:ind w:left="480"/>
          </w:pPr>
          <w:r>
            <w:fldChar w:fldCharType="begin"/>
          </w:r>
          <w:r>
            <w:instrText xml:space="preserve"> HYPERLINK \l "_Toc144" </w:instrText>
          </w:r>
          <w:r>
            <w:fldChar w:fldCharType="separate"/>
          </w:r>
          <w:r>
            <w:rPr>
              <w:rFonts w:hint="eastAsia"/>
            </w:rPr>
            <w:t>1</w:t>
          </w:r>
          <w:r>
            <w:t>.1</w:t>
          </w:r>
          <w:r>
            <w:rPr>
              <w:rFonts w:hint="eastAsia"/>
            </w:rPr>
            <w:t>任务来源</w:t>
          </w:r>
          <w:r>
            <w:tab/>
          </w:r>
          <w:r>
            <w:fldChar w:fldCharType="begin"/>
          </w:r>
          <w:r>
            <w:instrText xml:space="preserve"> PAGEREF _Toc144 \h </w:instrText>
          </w:r>
          <w:r>
            <w:fldChar w:fldCharType="separate"/>
          </w:r>
          <w:r>
            <w:t>1</w:t>
          </w:r>
          <w:r>
            <w:fldChar w:fldCharType="end"/>
          </w:r>
          <w:r>
            <w:fldChar w:fldCharType="end"/>
          </w:r>
        </w:p>
        <w:p w14:paraId="5A750C56">
          <w:pPr>
            <w:pStyle w:val="11"/>
            <w:tabs>
              <w:tab w:val="right" w:leader="dot" w:pos="8306"/>
            </w:tabs>
            <w:ind w:left="480"/>
          </w:pPr>
          <w:r>
            <w:fldChar w:fldCharType="begin"/>
          </w:r>
          <w:r>
            <w:instrText xml:space="preserve"> HYPERLINK \l "_Toc21954" </w:instrText>
          </w:r>
          <w:r>
            <w:fldChar w:fldCharType="separate"/>
          </w:r>
          <w:r>
            <w:t>1.2</w:t>
          </w:r>
          <w:r>
            <w:rPr>
              <w:rFonts w:hint="eastAsia"/>
            </w:rPr>
            <w:t>主要工作过程</w:t>
          </w:r>
          <w:r>
            <w:tab/>
          </w:r>
          <w:r>
            <w:fldChar w:fldCharType="begin"/>
          </w:r>
          <w:r>
            <w:instrText xml:space="preserve"> PAGEREF _Toc21954 \h </w:instrText>
          </w:r>
          <w:r>
            <w:fldChar w:fldCharType="separate"/>
          </w:r>
          <w:r>
            <w:t>2</w:t>
          </w:r>
          <w:r>
            <w:fldChar w:fldCharType="end"/>
          </w:r>
          <w:r>
            <w:fldChar w:fldCharType="end"/>
          </w:r>
        </w:p>
        <w:p w14:paraId="57672944">
          <w:pPr>
            <w:pStyle w:val="5"/>
            <w:tabs>
              <w:tab w:val="right" w:leader="dot" w:pos="8306"/>
            </w:tabs>
            <w:ind w:left="960"/>
          </w:pPr>
          <w:r>
            <w:fldChar w:fldCharType="begin"/>
          </w:r>
          <w:r>
            <w:instrText xml:space="preserve"> HYPERLINK \l "_Toc13642" </w:instrText>
          </w:r>
          <w:r>
            <w:fldChar w:fldCharType="separate"/>
          </w:r>
          <w:r>
            <w:t>1.</w:t>
          </w:r>
          <w:r>
            <w:rPr>
              <w:rFonts w:hint="eastAsia"/>
            </w:rPr>
            <w:t>2.1成立标准编制组和启动标准编制工作</w:t>
          </w:r>
          <w:r>
            <w:tab/>
          </w:r>
          <w:r>
            <w:fldChar w:fldCharType="begin"/>
          </w:r>
          <w:r>
            <w:instrText xml:space="preserve"> PAGEREF _Toc13642 \h </w:instrText>
          </w:r>
          <w:r>
            <w:fldChar w:fldCharType="separate"/>
          </w:r>
          <w:r>
            <w:t>2</w:t>
          </w:r>
          <w:r>
            <w:fldChar w:fldCharType="end"/>
          </w:r>
          <w:r>
            <w:fldChar w:fldCharType="end"/>
          </w:r>
        </w:p>
        <w:p w14:paraId="2BA6F05E">
          <w:pPr>
            <w:pStyle w:val="5"/>
            <w:tabs>
              <w:tab w:val="right" w:leader="dot" w:pos="8306"/>
            </w:tabs>
            <w:ind w:left="960"/>
          </w:pPr>
          <w:r>
            <w:fldChar w:fldCharType="begin"/>
          </w:r>
          <w:r>
            <w:instrText xml:space="preserve"> HYPERLINK \l "_Toc27658" </w:instrText>
          </w:r>
          <w:r>
            <w:fldChar w:fldCharType="separate"/>
          </w:r>
          <w:r>
            <w:t>1.</w:t>
          </w:r>
          <w:r>
            <w:rPr>
              <w:rFonts w:hint="eastAsia"/>
            </w:rPr>
            <w:t>2.2查询国内外相关标准和文献资料</w:t>
          </w:r>
          <w:r>
            <w:tab/>
          </w:r>
          <w:r>
            <w:fldChar w:fldCharType="begin"/>
          </w:r>
          <w:r>
            <w:instrText xml:space="preserve"> PAGEREF _Toc27658 \h </w:instrText>
          </w:r>
          <w:r>
            <w:fldChar w:fldCharType="separate"/>
          </w:r>
          <w:r>
            <w:t>3</w:t>
          </w:r>
          <w:r>
            <w:fldChar w:fldCharType="end"/>
          </w:r>
          <w:r>
            <w:fldChar w:fldCharType="end"/>
          </w:r>
        </w:p>
        <w:p w14:paraId="3E6017BF">
          <w:pPr>
            <w:pStyle w:val="5"/>
            <w:tabs>
              <w:tab w:val="right" w:leader="dot" w:pos="8306"/>
            </w:tabs>
            <w:ind w:left="960"/>
          </w:pPr>
          <w:r>
            <w:fldChar w:fldCharType="begin"/>
          </w:r>
          <w:r>
            <w:instrText xml:space="preserve"> HYPERLINK \l "_Toc12208" </w:instrText>
          </w:r>
          <w:r>
            <w:fldChar w:fldCharType="separate"/>
          </w:r>
          <w:r>
            <w:t>1.</w:t>
          </w:r>
          <w:r>
            <w:rPr>
              <w:rFonts w:hint="eastAsia"/>
            </w:rPr>
            <w:t>2.3编写技术规范及编制说明初稿</w:t>
          </w:r>
          <w:r>
            <w:tab/>
          </w:r>
          <w:r>
            <w:fldChar w:fldCharType="begin"/>
          </w:r>
          <w:r>
            <w:instrText xml:space="preserve"> PAGEREF _Toc12208 \h </w:instrText>
          </w:r>
          <w:r>
            <w:fldChar w:fldCharType="separate"/>
          </w:r>
          <w:r>
            <w:t>3</w:t>
          </w:r>
          <w:r>
            <w:fldChar w:fldCharType="end"/>
          </w:r>
          <w:r>
            <w:fldChar w:fldCharType="end"/>
          </w:r>
        </w:p>
        <w:p w14:paraId="077BCCD0">
          <w:pPr>
            <w:pStyle w:val="5"/>
            <w:tabs>
              <w:tab w:val="right" w:leader="dot" w:pos="8306"/>
            </w:tabs>
            <w:ind w:left="960"/>
          </w:pPr>
          <w:r>
            <w:fldChar w:fldCharType="begin"/>
          </w:r>
          <w:r>
            <w:instrText xml:space="preserve"> HYPERLINK \l "_Toc13631" </w:instrText>
          </w:r>
          <w:r>
            <w:fldChar w:fldCharType="separate"/>
          </w:r>
          <w:r>
            <w:t>1.</w:t>
          </w:r>
          <w:r>
            <w:rPr>
              <w:rFonts w:hint="eastAsia"/>
            </w:rPr>
            <w:t>2.4完善技术规范及编制说明</w:t>
          </w:r>
          <w:r>
            <w:tab/>
          </w:r>
          <w:r>
            <w:fldChar w:fldCharType="begin"/>
          </w:r>
          <w:r>
            <w:instrText xml:space="preserve"> PAGEREF _Toc13631 \h </w:instrText>
          </w:r>
          <w:r>
            <w:fldChar w:fldCharType="separate"/>
          </w:r>
          <w:r>
            <w:t>3</w:t>
          </w:r>
          <w:r>
            <w:fldChar w:fldCharType="end"/>
          </w:r>
          <w:r>
            <w:fldChar w:fldCharType="end"/>
          </w:r>
        </w:p>
        <w:p w14:paraId="336CF38C">
          <w:pPr>
            <w:pStyle w:val="5"/>
            <w:tabs>
              <w:tab w:val="right" w:leader="dot" w:pos="8306"/>
            </w:tabs>
            <w:ind w:left="960"/>
          </w:pPr>
          <w:r>
            <w:fldChar w:fldCharType="begin"/>
          </w:r>
          <w:r>
            <w:instrText xml:space="preserve"> HYPERLINK \l "_Toc23161" </w:instrText>
          </w:r>
          <w:r>
            <w:fldChar w:fldCharType="separate"/>
          </w:r>
          <w:r>
            <w:t>1.</w:t>
          </w:r>
          <w:r>
            <w:rPr>
              <w:rFonts w:hint="eastAsia"/>
            </w:rPr>
            <w:t>2.5发布生态环境部卫星中心技术规定</w:t>
          </w:r>
          <w:r>
            <w:tab/>
          </w:r>
          <w:r>
            <w:fldChar w:fldCharType="begin"/>
          </w:r>
          <w:r>
            <w:instrText xml:space="preserve"> PAGEREF _Toc23161 \h </w:instrText>
          </w:r>
          <w:r>
            <w:fldChar w:fldCharType="separate"/>
          </w:r>
          <w:r>
            <w:t>3</w:t>
          </w:r>
          <w:r>
            <w:fldChar w:fldCharType="end"/>
          </w:r>
          <w:r>
            <w:fldChar w:fldCharType="end"/>
          </w:r>
        </w:p>
        <w:p w14:paraId="75C80D3C">
          <w:pPr>
            <w:pStyle w:val="5"/>
            <w:tabs>
              <w:tab w:val="right" w:leader="dot" w:pos="8306"/>
            </w:tabs>
            <w:ind w:left="960"/>
          </w:pPr>
          <w:r>
            <w:fldChar w:fldCharType="begin"/>
          </w:r>
          <w:r>
            <w:instrText xml:space="preserve"> HYPERLINK \l "_Toc4808" </w:instrText>
          </w:r>
          <w:r>
            <w:fldChar w:fldCharType="separate"/>
          </w:r>
          <w:r>
            <w:t>1.</w:t>
          </w:r>
          <w:r>
            <w:rPr>
              <w:rFonts w:hint="eastAsia"/>
            </w:rPr>
            <w:t>2.6广泛征集社会意见</w:t>
          </w:r>
          <w:r>
            <w:tab/>
          </w:r>
          <w:r>
            <w:fldChar w:fldCharType="begin"/>
          </w:r>
          <w:r>
            <w:instrText xml:space="preserve"> PAGEREF _Toc4808 \h </w:instrText>
          </w:r>
          <w:r>
            <w:fldChar w:fldCharType="separate"/>
          </w:r>
          <w:r>
            <w:t>3</w:t>
          </w:r>
          <w:r>
            <w:fldChar w:fldCharType="end"/>
          </w:r>
          <w:r>
            <w:fldChar w:fldCharType="end"/>
          </w:r>
        </w:p>
        <w:p w14:paraId="16B0ACA9">
          <w:pPr>
            <w:pStyle w:val="5"/>
            <w:tabs>
              <w:tab w:val="right" w:leader="dot" w:pos="8306"/>
            </w:tabs>
            <w:ind w:left="960"/>
          </w:pPr>
          <w:r>
            <w:fldChar w:fldCharType="begin"/>
          </w:r>
          <w:r>
            <w:instrText xml:space="preserve"> HYPERLINK \l "_Toc21718" </w:instrText>
          </w:r>
          <w:r>
            <w:fldChar w:fldCharType="separate"/>
          </w:r>
          <w:r>
            <w:t>1.</w:t>
          </w:r>
          <w:r>
            <w:rPr>
              <w:rFonts w:hint="eastAsia"/>
            </w:rPr>
            <w:t>2.7中国环境科学学会团体标准立项</w:t>
          </w:r>
          <w:r>
            <w:tab/>
          </w:r>
          <w:r>
            <w:fldChar w:fldCharType="begin"/>
          </w:r>
          <w:r>
            <w:instrText xml:space="preserve"> PAGEREF _Toc21718 \h </w:instrText>
          </w:r>
          <w:r>
            <w:fldChar w:fldCharType="separate"/>
          </w:r>
          <w:r>
            <w:t>3</w:t>
          </w:r>
          <w:r>
            <w:fldChar w:fldCharType="end"/>
          </w:r>
          <w:r>
            <w:fldChar w:fldCharType="end"/>
          </w:r>
        </w:p>
        <w:p w14:paraId="12DC9E99">
          <w:pPr>
            <w:pStyle w:val="5"/>
            <w:tabs>
              <w:tab w:val="right" w:leader="dot" w:pos="8306"/>
            </w:tabs>
            <w:ind w:left="960"/>
          </w:pPr>
          <w:r>
            <w:fldChar w:fldCharType="begin"/>
          </w:r>
          <w:r>
            <w:instrText xml:space="preserve"> HYPERLINK \l "_Toc25834" </w:instrText>
          </w:r>
          <w:r>
            <w:fldChar w:fldCharType="separate"/>
          </w:r>
          <w:r>
            <w:t>1.</w:t>
          </w:r>
          <w:r>
            <w:rPr>
              <w:rFonts w:hint="eastAsia"/>
            </w:rPr>
            <w:t>2.8召开专家咨询会</w:t>
          </w:r>
          <w:r>
            <w:tab/>
          </w:r>
          <w:r>
            <w:fldChar w:fldCharType="begin"/>
          </w:r>
          <w:r>
            <w:instrText xml:space="preserve"> PAGEREF _Toc25834 \h </w:instrText>
          </w:r>
          <w:r>
            <w:fldChar w:fldCharType="separate"/>
          </w:r>
          <w:r>
            <w:t>4</w:t>
          </w:r>
          <w:r>
            <w:fldChar w:fldCharType="end"/>
          </w:r>
          <w:r>
            <w:fldChar w:fldCharType="end"/>
          </w:r>
        </w:p>
        <w:p w14:paraId="34BD06D6">
          <w:pPr>
            <w:pStyle w:val="11"/>
            <w:tabs>
              <w:tab w:val="right" w:leader="dot" w:pos="8306"/>
            </w:tabs>
            <w:ind w:left="480"/>
          </w:pPr>
          <w:r>
            <w:fldChar w:fldCharType="begin"/>
          </w:r>
          <w:r>
            <w:instrText xml:space="preserve"> HYPERLINK \l "_Toc11370" </w:instrText>
          </w:r>
          <w:r>
            <w:fldChar w:fldCharType="separate"/>
          </w:r>
          <w:r>
            <w:t>1.3</w:t>
          </w:r>
          <w:r>
            <w:rPr>
              <w:rFonts w:hint="eastAsia"/>
            </w:rPr>
            <w:t>主要起草人及任务分工</w:t>
          </w:r>
          <w:r>
            <w:tab/>
          </w:r>
          <w:r>
            <w:fldChar w:fldCharType="begin"/>
          </w:r>
          <w:r>
            <w:instrText xml:space="preserve"> PAGEREF _Toc11370 \h </w:instrText>
          </w:r>
          <w:r>
            <w:fldChar w:fldCharType="separate"/>
          </w:r>
          <w:r>
            <w:t>4</w:t>
          </w:r>
          <w:r>
            <w:fldChar w:fldCharType="end"/>
          </w:r>
          <w:r>
            <w:fldChar w:fldCharType="end"/>
          </w:r>
        </w:p>
        <w:p w14:paraId="52BBFC82">
          <w:pPr>
            <w:pStyle w:val="9"/>
            <w:tabs>
              <w:tab w:val="right" w:leader="dot" w:pos="8306"/>
            </w:tabs>
          </w:pPr>
          <w:r>
            <w:fldChar w:fldCharType="begin"/>
          </w:r>
          <w:r>
            <w:instrText xml:space="preserve"> HYPERLINK \l "_Toc16228" </w:instrText>
          </w:r>
          <w:r>
            <w:fldChar w:fldCharType="separate"/>
          </w:r>
          <w:r>
            <w:rPr>
              <w:rFonts w:hint="eastAsia" w:eastAsia="黑体"/>
            </w:rPr>
            <w:t>二、标准制修订原则</w:t>
          </w:r>
          <w:r>
            <w:tab/>
          </w:r>
          <w:r>
            <w:fldChar w:fldCharType="begin"/>
          </w:r>
          <w:r>
            <w:instrText xml:space="preserve"> PAGEREF _Toc16228 \h </w:instrText>
          </w:r>
          <w:r>
            <w:fldChar w:fldCharType="separate"/>
          </w:r>
          <w:r>
            <w:t>4</w:t>
          </w:r>
          <w:r>
            <w:fldChar w:fldCharType="end"/>
          </w:r>
          <w:r>
            <w:fldChar w:fldCharType="end"/>
          </w:r>
        </w:p>
        <w:p w14:paraId="10D2ECFB">
          <w:pPr>
            <w:pStyle w:val="11"/>
            <w:tabs>
              <w:tab w:val="right" w:leader="dot" w:pos="8306"/>
            </w:tabs>
            <w:ind w:left="480"/>
          </w:pPr>
          <w:r>
            <w:fldChar w:fldCharType="begin"/>
          </w:r>
          <w:r>
            <w:instrText xml:space="preserve"> HYPERLINK \l "_Toc6134" </w:instrText>
          </w:r>
          <w:r>
            <w:fldChar w:fldCharType="separate"/>
          </w:r>
          <w:r>
            <w:t>2.1</w:t>
          </w:r>
          <w:r>
            <w:rPr>
              <w:rFonts w:hint="eastAsia"/>
            </w:rPr>
            <w:t>规范性原则</w:t>
          </w:r>
          <w:r>
            <w:tab/>
          </w:r>
          <w:r>
            <w:fldChar w:fldCharType="begin"/>
          </w:r>
          <w:r>
            <w:instrText xml:space="preserve"> PAGEREF _Toc6134 \h </w:instrText>
          </w:r>
          <w:r>
            <w:fldChar w:fldCharType="separate"/>
          </w:r>
          <w:r>
            <w:t>4</w:t>
          </w:r>
          <w:r>
            <w:fldChar w:fldCharType="end"/>
          </w:r>
          <w:r>
            <w:fldChar w:fldCharType="end"/>
          </w:r>
        </w:p>
        <w:p w14:paraId="06DA264A">
          <w:pPr>
            <w:pStyle w:val="11"/>
            <w:tabs>
              <w:tab w:val="right" w:leader="dot" w:pos="8306"/>
            </w:tabs>
            <w:ind w:left="480"/>
          </w:pPr>
          <w:r>
            <w:fldChar w:fldCharType="begin"/>
          </w:r>
          <w:r>
            <w:instrText xml:space="preserve"> HYPERLINK \l "_Toc12272" </w:instrText>
          </w:r>
          <w:r>
            <w:fldChar w:fldCharType="separate"/>
          </w:r>
          <w:r>
            <w:t>2.2</w:t>
          </w:r>
          <w:r>
            <w:rPr>
              <w:rFonts w:hint="eastAsia"/>
            </w:rPr>
            <w:t>可操作性原则</w:t>
          </w:r>
          <w:r>
            <w:tab/>
          </w:r>
          <w:r>
            <w:fldChar w:fldCharType="begin"/>
          </w:r>
          <w:r>
            <w:instrText xml:space="preserve"> PAGEREF _Toc12272 \h </w:instrText>
          </w:r>
          <w:r>
            <w:fldChar w:fldCharType="separate"/>
          </w:r>
          <w:r>
            <w:t>4</w:t>
          </w:r>
          <w:r>
            <w:fldChar w:fldCharType="end"/>
          </w:r>
          <w:r>
            <w:fldChar w:fldCharType="end"/>
          </w:r>
        </w:p>
        <w:p w14:paraId="79FB94D5">
          <w:pPr>
            <w:pStyle w:val="11"/>
            <w:tabs>
              <w:tab w:val="right" w:leader="dot" w:pos="8306"/>
            </w:tabs>
            <w:ind w:left="480"/>
          </w:pPr>
          <w:r>
            <w:fldChar w:fldCharType="begin"/>
          </w:r>
          <w:r>
            <w:instrText xml:space="preserve"> HYPERLINK \l "_Toc16480" </w:instrText>
          </w:r>
          <w:r>
            <w:fldChar w:fldCharType="separate"/>
          </w:r>
          <w:r>
            <w:t>2.3</w:t>
          </w:r>
          <w:r>
            <w:rPr>
              <w:rFonts w:hint="eastAsia"/>
            </w:rPr>
            <w:t>经济性原则</w:t>
          </w:r>
          <w:r>
            <w:tab/>
          </w:r>
          <w:r>
            <w:fldChar w:fldCharType="begin"/>
          </w:r>
          <w:r>
            <w:instrText xml:space="preserve"> PAGEREF _Toc16480 \h </w:instrText>
          </w:r>
          <w:r>
            <w:fldChar w:fldCharType="separate"/>
          </w:r>
          <w:r>
            <w:t>5</w:t>
          </w:r>
          <w:r>
            <w:fldChar w:fldCharType="end"/>
          </w:r>
          <w:r>
            <w:fldChar w:fldCharType="end"/>
          </w:r>
        </w:p>
        <w:p w14:paraId="4389B92C">
          <w:pPr>
            <w:pStyle w:val="9"/>
            <w:tabs>
              <w:tab w:val="right" w:leader="dot" w:pos="8306"/>
            </w:tabs>
          </w:pPr>
          <w:r>
            <w:fldChar w:fldCharType="begin"/>
          </w:r>
          <w:r>
            <w:instrText xml:space="preserve"> HYPERLINK \l "_Toc3495" </w:instrText>
          </w:r>
          <w:r>
            <w:fldChar w:fldCharType="separate"/>
          </w:r>
          <w:r>
            <w:rPr>
              <w:rFonts w:hint="eastAsia" w:eastAsia="黑体"/>
            </w:rPr>
            <w:t>三、标准主要条文或技术内容的依据和专利情况说明</w:t>
          </w:r>
          <w:r>
            <w:tab/>
          </w:r>
          <w:r>
            <w:fldChar w:fldCharType="begin"/>
          </w:r>
          <w:r>
            <w:instrText xml:space="preserve"> PAGEREF _Toc3495 \h </w:instrText>
          </w:r>
          <w:r>
            <w:fldChar w:fldCharType="separate"/>
          </w:r>
          <w:r>
            <w:t>5</w:t>
          </w:r>
          <w:r>
            <w:fldChar w:fldCharType="end"/>
          </w:r>
          <w:r>
            <w:fldChar w:fldCharType="end"/>
          </w:r>
        </w:p>
        <w:p w14:paraId="1591A853">
          <w:pPr>
            <w:pStyle w:val="11"/>
            <w:tabs>
              <w:tab w:val="right" w:leader="dot" w:pos="8306"/>
            </w:tabs>
            <w:ind w:left="480"/>
          </w:pPr>
          <w:r>
            <w:fldChar w:fldCharType="begin"/>
          </w:r>
          <w:r>
            <w:instrText xml:space="preserve"> HYPERLINK \l "_Toc21248" </w:instrText>
          </w:r>
          <w:r>
            <w:fldChar w:fldCharType="separate"/>
          </w:r>
          <w:r>
            <w:t>3.1</w:t>
          </w:r>
          <w:r>
            <w:rPr>
              <w:rFonts w:hint="eastAsia"/>
            </w:rPr>
            <w:t>国内外研究现状</w:t>
          </w:r>
          <w:r>
            <w:tab/>
          </w:r>
          <w:r>
            <w:fldChar w:fldCharType="begin"/>
          </w:r>
          <w:r>
            <w:instrText xml:space="preserve"> PAGEREF _Toc21248 \h </w:instrText>
          </w:r>
          <w:r>
            <w:fldChar w:fldCharType="separate"/>
          </w:r>
          <w:r>
            <w:t>5</w:t>
          </w:r>
          <w:r>
            <w:fldChar w:fldCharType="end"/>
          </w:r>
          <w:r>
            <w:fldChar w:fldCharType="end"/>
          </w:r>
        </w:p>
        <w:p w14:paraId="0FF33BBE">
          <w:pPr>
            <w:pStyle w:val="11"/>
            <w:tabs>
              <w:tab w:val="right" w:leader="dot" w:pos="8306"/>
            </w:tabs>
            <w:ind w:left="480"/>
          </w:pPr>
          <w:r>
            <w:fldChar w:fldCharType="begin"/>
          </w:r>
          <w:r>
            <w:instrText xml:space="preserve"> HYPERLINK \l "_Toc16535" </w:instrText>
          </w:r>
          <w:r>
            <w:fldChar w:fldCharType="separate"/>
          </w:r>
          <w:r>
            <w:t>3.</w:t>
          </w:r>
          <w:r>
            <w:rPr>
              <w:rFonts w:hint="eastAsia"/>
            </w:rPr>
            <w:t>2主要内容</w:t>
          </w:r>
          <w:r>
            <w:tab/>
          </w:r>
          <w:r>
            <w:fldChar w:fldCharType="begin"/>
          </w:r>
          <w:r>
            <w:instrText xml:space="preserve"> PAGEREF _Toc16535 \h </w:instrText>
          </w:r>
          <w:r>
            <w:fldChar w:fldCharType="separate"/>
          </w:r>
          <w:r>
            <w:t>6</w:t>
          </w:r>
          <w:r>
            <w:fldChar w:fldCharType="end"/>
          </w:r>
          <w:r>
            <w:fldChar w:fldCharType="end"/>
          </w:r>
        </w:p>
        <w:p w14:paraId="0147955C">
          <w:pPr>
            <w:pStyle w:val="11"/>
            <w:tabs>
              <w:tab w:val="right" w:leader="dot" w:pos="8306"/>
            </w:tabs>
            <w:ind w:left="480"/>
          </w:pPr>
          <w:r>
            <w:fldChar w:fldCharType="begin"/>
          </w:r>
          <w:r>
            <w:instrText xml:space="preserve"> HYPERLINK \l "_Toc12126" </w:instrText>
          </w:r>
          <w:r>
            <w:fldChar w:fldCharType="separate"/>
          </w:r>
          <w:r>
            <w:t>3.</w:t>
          </w:r>
          <w:r>
            <w:rPr>
              <w:rFonts w:hint="eastAsia"/>
            </w:rPr>
            <w:t>3技术规范结构框架</w:t>
          </w:r>
          <w:r>
            <w:tab/>
          </w:r>
          <w:r>
            <w:fldChar w:fldCharType="begin"/>
          </w:r>
          <w:r>
            <w:instrText xml:space="preserve"> PAGEREF _Toc12126 \h </w:instrText>
          </w:r>
          <w:r>
            <w:fldChar w:fldCharType="separate"/>
          </w:r>
          <w:r>
            <w:t>6</w:t>
          </w:r>
          <w:r>
            <w:fldChar w:fldCharType="end"/>
          </w:r>
          <w:r>
            <w:fldChar w:fldCharType="end"/>
          </w:r>
        </w:p>
        <w:p w14:paraId="323999C7">
          <w:pPr>
            <w:pStyle w:val="11"/>
            <w:tabs>
              <w:tab w:val="right" w:leader="dot" w:pos="8306"/>
            </w:tabs>
            <w:ind w:left="480"/>
          </w:pPr>
          <w:r>
            <w:fldChar w:fldCharType="begin"/>
          </w:r>
          <w:r>
            <w:instrText xml:space="preserve"> HYPERLINK \l "_Toc11028" </w:instrText>
          </w:r>
          <w:r>
            <w:fldChar w:fldCharType="separate"/>
          </w:r>
          <w:r>
            <w:t>3.</w:t>
          </w:r>
          <w:r>
            <w:rPr>
              <w:rFonts w:hint="eastAsia"/>
            </w:rPr>
            <w:t>4监测原理</w:t>
          </w:r>
          <w:r>
            <w:tab/>
          </w:r>
          <w:r>
            <w:fldChar w:fldCharType="begin"/>
          </w:r>
          <w:r>
            <w:instrText xml:space="preserve"> PAGEREF _Toc11028 \h </w:instrText>
          </w:r>
          <w:r>
            <w:fldChar w:fldCharType="separate"/>
          </w:r>
          <w:r>
            <w:t>6</w:t>
          </w:r>
          <w:r>
            <w:fldChar w:fldCharType="end"/>
          </w:r>
          <w:r>
            <w:fldChar w:fldCharType="end"/>
          </w:r>
        </w:p>
        <w:p w14:paraId="66CD3957">
          <w:pPr>
            <w:pStyle w:val="11"/>
            <w:tabs>
              <w:tab w:val="right" w:leader="dot" w:pos="8306"/>
            </w:tabs>
            <w:ind w:left="480"/>
          </w:pPr>
          <w:r>
            <w:fldChar w:fldCharType="begin"/>
          </w:r>
          <w:r>
            <w:instrText xml:space="preserve"> HYPERLINK \l "_Toc21440" </w:instrText>
          </w:r>
          <w:r>
            <w:fldChar w:fldCharType="separate"/>
          </w:r>
          <w:r>
            <w:t>3.</w:t>
          </w:r>
          <w:r>
            <w:rPr>
              <w:rFonts w:hint="eastAsia"/>
            </w:rPr>
            <w:t>5监测手段</w:t>
          </w:r>
          <w:r>
            <w:tab/>
          </w:r>
          <w:r>
            <w:fldChar w:fldCharType="begin"/>
          </w:r>
          <w:r>
            <w:instrText xml:space="preserve"> PAGEREF _Toc21440 \h </w:instrText>
          </w:r>
          <w:r>
            <w:fldChar w:fldCharType="separate"/>
          </w:r>
          <w:r>
            <w:t>7</w:t>
          </w:r>
          <w:r>
            <w:fldChar w:fldCharType="end"/>
          </w:r>
          <w:r>
            <w:fldChar w:fldCharType="end"/>
          </w:r>
        </w:p>
        <w:p w14:paraId="6A1D9FF9">
          <w:pPr>
            <w:pStyle w:val="11"/>
            <w:tabs>
              <w:tab w:val="right" w:leader="dot" w:pos="8306"/>
            </w:tabs>
            <w:ind w:left="480"/>
          </w:pPr>
          <w:r>
            <w:fldChar w:fldCharType="begin"/>
          </w:r>
          <w:r>
            <w:instrText xml:space="preserve"> HYPERLINK \l "_Toc27273" </w:instrText>
          </w:r>
          <w:r>
            <w:fldChar w:fldCharType="separate"/>
          </w:r>
          <w:r>
            <w:t>3.</w:t>
          </w:r>
          <w:r>
            <w:rPr>
              <w:rFonts w:hint="eastAsia"/>
            </w:rPr>
            <w:t>6质量控制</w:t>
          </w:r>
          <w:r>
            <w:tab/>
          </w:r>
          <w:r>
            <w:fldChar w:fldCharType="begin"/>
          </w:r>
          <w:r>
            <w:instrText xml:space="preserve"> PAGEREF _Toc27273 \h </w:instrText>
          </w:r>
          <w:r>
            <w:fldChar w:fldCharType="separate"/>
          </w:r>
          <w:r>
            <w:t>7</w:t>
          </w:r>
          <w:r>
            <w:fldChar w:fldCharType="end"/>
          </w:r>
          <w:r>
            <w:fldChar w:fldCharType="end"/>
          </w:r>
        </w:p>
        <w:p w14:paraId="0D8F020E">
          <w:pPr>
            <w:pStyle w:val="5"/>
            <w:tabs>
              <w:tab w:val="right" w:leader="dot" w:pos="8306"/>
            </w:tabs>
            <w:ind w:left="960"/>
          </w:pPr>
          <w:r>
            <w:fldChar w:fldCharType="begin"/>
          </w:r>
          <w:r>
            <w:instrText xml:space="preserve"> HYPERLINK \l "_Toc1843" </w:instrText>
          </w:r>
          <w:r>
            <w:fldChar w:fldCharType="separate"/>
          </w:r>
          <w:r>
            <w:t>3</w:t>
          </w:r>
          <w:r>
            <w:rPr>
              <w:rFonts w:hint="eastAsia"/>
            </w:rPr>
            <w:t>.6.1卫星影像数据筛选质量控制</w:t>
          </w:r>
          <w:r>
            <w:tab/>
          </w:r>
          <w:r>
            <w:fldChar w:fldCharType="begin"/>
          </w:r>
          <w:r>
            <w:instrText xml:space="preserve"> PAGEREF _Toc1843 \h </w:instrText>
          </w:r>
          <w:r>
            <w:fldChar w:fldCharType="separate"/>
          </w:r>
          <w:r>
            <w:t>7</w:t>
          </w:r>
          <w:r>
            <w:fldChar w:fldCharType="end"/>
          </w:r>
          <w:r>
            <w:fldChar w:fldCharType="end"/>
          </w:r>
        </w:p>
        <w:p w14:paraId="424E8A75">
          <w:pPr>
            <w:pStyle w:val="5"/>
            <w:tabs>
              <w:tab w:val="right" w:leader="dot" w:pos="8306"/>
            </w:tabs>
            <w:ind w:left="960"/>
          </w:pPr>
          <w:r>
            <w:fldChar w:fldCharType="begin"/>
          </w:r>
          <w:r>
            <w:instrText xml:space="preserve"> HYPERLINK \l "_Toc5077" </w:instrText>
          </w:r>
          <w:r>
            <w:fldChar w:fldCharType="separate"/>
          </w:r>
          <w:r>
            <w:t>3</w:t>
          </w:r>
          <w:r>
            <w:rPr>
              <w:rFonts w:hint="eastAsia"/>
            </w:rPr>
            <w:t>.6.2卫星影像数据处理质量控制</w:t>
          </w:r>
          <w:r>
            <w:tab/>
          </w:r>
          <w:r>
            <w:fldChar w:fldCharType="begin"/>
          </w:r>
          <w:r>
            <w:instrText xml:space="preserve"> PAGEREF _Toc5077 \h </w:instrText>
          </w:r>
          <w:r>
            <w:fldChar w:fldCharType="separate"/>
          </w:r>
          <w:r>
            <w:t>7</w:t>
          </w:r>
          <w:r>
            <w:fldChar w:fldCharType="end"/>
          </w:r>
          <w:r>
            <w:fldChar w:fldCharType="end"/>
          </w:r>
        </w:p>
        <w:p w14:paraId="5A228D42">
          <w:pPr>
            <w:pStyle w:val="5"/>
            <w:tabs>
              <w:tab w:val="right" w:leader="dot" w:pos="8306"/>
            </w:tabs>
            <w:ind w:left="960"/>
          </w:pPr>
          <w:r>
            <w:fldChar w:fldCharType="begin"/>
          </w:r>
          <w:r>
            <w:instrText xml:space="preserve"> HYPERLINK \l "_Toc29955" </w:instrText>
          </w:r>
          <w:r>
            <w:fldChar w:fldCharType="separate"/>
          </w:r>
          <w:r>
            <w:t>3</w:t>
          </w:r>
          <w:r>
            <w:rPr>
              <w:rFonts w:hint="eastAsia"/>
            </w:rPr>
            <w:t>.6.3河流断流干涸遥感监测结果质量控制</w:t>
          </w:r>
          <w:r>
            <w:tab/>
          </w:r>
          <w:r>
            <w:fldChar w:fldCharType="begin"/>
          </w:r>
          <w:r>
            <w:instrText xml:space="preserve"> PAGEREF _Toc29955 \h </w:instrText>
          </w:r>
          <w:r>
            <w:fldChar w:fldCharType="separate"/>
          </w:r>
          <w:r>
            <w:t>8</w:t>
          </w:r>
          <w:r>
            <w:fldChar w:fldCharType="end"/>
          </w:r>
          <w:r>
            <w:fldChar w:fldCharType="end"/>
          </w:r>
        </w:p>
        <w:p w14:paraId="7A92063F">
          <w:pPr>
            <w:pStyle w:val="11"/>
            <w:tabs>
              <w:tab w:val="right" w:leader="dot" w:pos="8306"/>
            </w:tabs>
            <w:ind w:left="480"/>
          </w:pPr>
          <w:r>
            <w:fldChar w:fldCharType="begin"/>
          </w:r>
          <w:r>
            <w:instrText xml:space="preserve"> HYPERLINK \l "_Toc28527" </w:instrText>
          </w:r>
          <w:r>
            <w:fldChar w:fldCharType="separate"/>
          </w:r>
          <w:r>
            <w:t>3.</w:t>
          </w:r>
          <w:r>
            <w:rPr>
              <w:rFonts w:hint="eastAsia"/>
            </w:rPr>
            <w:t>7专利情况说明</w:t>
          </w:r>
          <w:r>
            <w:tab/>
          </w:r>
          <w:r>
            <w:fldChar w:fldCharType="begin"/>
          </w:r>
          <w:r>
            <w:instrText xml:space="preserve"> PAGEREF _Toc28527 \h </w:instrText>
          </w:r>
          <w:r>
            <w:fldChar w:fldCharType="separate"/>
          </w:r>
          <w:r>
            <w:t>8</w:t>
          </w:r>
          <w:r>
            <w:fldChar w:fldCharType="end"/>
          </w:r>
          <w:r>
            <w:fldChar w:fldCharType="end"/>
          </w:r>
        </w:p>
        <w:p w14:paraId="4F06A6F5">
          <w:pPr>
            <w:pStyle w:val="9"/>
            <w:tabs>
              <w:tab w:val="right" w:leader="dot" w:pos="8306"/>
            </w:tabs>
          </w:pPr>
          <w:r>
            <w:fldChar w:fldCharType="begin"/>
          </w:r>
          <w:r>
            <w:instrText xml:space="preserve"> HYPERLINK \l "_Toc19636" </w:instrText>
          </w:r>
          <w:r>
            <w:fldChar w:fldCharType="separate"/>
          </w:r>
          <w:r>
            <w:rPr>
              <w:rFonts w:hint="eastAsia" w:eastAsia="黑体"/>
            </w:rPr>
            <w:t>四、主要试验、验证及试行结果</w:t>
          </w:r>
          <w:r>
            <w:tab/>
          </w:r>
          <w:r>
            <w:fldChar w:fldCharType="begin"/>
          </w:r>
          <w:r>
            <w:instrText xml:space="preserve"> PAGEREF _Toc19636 \h </w:instrText>
          </w:r>
          <w:r>
            <w:fldChar w:fldCharType="separate"/>
          </w:r>
          <w:r>
            <w:t>8</w:t>
          </w:r>
          <w:r>
            <w:fldChar w:fldCharType="end"/>
          </w:r>
          <w:r>
            <w:fldChar w:fldCharType="end"/>
          </w:r>
        </w:p>
        <w:p w14:paraId="4D3FD973">
          <w:pPr>
            <w:pStyle w:val="9"/>
            <w:tabs>
              <w:tab w:val="right" w:leader="dot" w:pos="8306"/>
            </w:tabs>
          </w:pPr>
          <w:r>
            <w:fldChar w:fldCharType="begin"/>
          </w:r>
          <w:r>
            <w:instrText xml:space="preserve"> HYPERLINK \l "_Toc7156" </w:instrText>
          </w:r>
          <w:r>
            <w:fldChar w:fldCharType="separate"/>
          </w:r>
          <w:r>
            <w:rPr>
              <w:rFonts w:hint="eastAsia" w:eastAsia="黑体"/>
            </w:rPr>
            <w:t>五、与相关标准的关系分析</w:t>
          </w:r>
          <w:r>
            <w:tab/>
          </w:r>
          <w:r>
            <w:fldChar w:fldCharType="begin"/>
          </w:r>
          <w:r>
            <w:instrText xml:space="preserve"> PAGEREF _Toc7156 \h </w:instrText>
          </w:r>
          <w:r>
            <w:fldChar w:fldCharType="separate"/>
          </w:r>
          <w:r>
            <w:t>9</w:t>
          </w:r>
          <w:r>
            <w:fldChar w:fldCharType="end"/>
          </w:r>
          <w:r>
            <w:fldChar w:fldCharType="end"/>
          </w:r>
        </w:p>
        <w:p w14:paraId="2585DF74">
          <w:pPr>
            <w:pStyle w:val="9"/>
            <w:tabs>
              <w:tab w:val="right" w:leader="dot" w:pos="8306"/>
            </w:tabs>
          </w:pPr>
          <w:r>
            <w:fldChar w:fldCharType="begin"/>
          </w:r>
          <w:r>
            <w:instrText xml:space="preserve"> HYPERLINK \l "_Toc21243" </w:instrText>
          </w:r>
          <w:r>
            <w:fldChar w:fldCharType="separate"/>
          </w:r>
          <w:r>
            <w:rPr>
              <w:rFonts w:hint="eastAsia" w:eastAsia="黑体"/>
            </w:rPr>
            <w:t>六、采用国际标准的程度及水平说明</w:t>
          </w:r>
          <w:r>
            <w:tab/>
          </w:r>
          <w:r>
            <w:fldChar w:fldCharType="begin"/>
          </w:r>
          <w:r>
            <w:instrText xml:space="preserve"> PAGEREF _Toc21243 \h </w:instrText>
          </w:r>
          <w:r>
            <w:fldChar w:fldCharType="separate"/>
          </w:r>
          <w:r>
            <w:t>10</w:t>
          </w:r>
          <w:r>
            <w:fldChar w:fldCharType="end"/>
          </w:r>
          <w:r>
            <w:fldChar w:fldCharType="end"/>
          </w:r>
        </w:p>
        <w:p w14:paraId="1BDA3458">
          <w:pPr>
            <w:pStyle w:val="9"/>
            <w:tabs>
              <w:tab w:val="right" w:leader="dot" w:pos="8306"/>
            </w:tabs>
          </w:pPr>
          <w:r>
            <w:fldChar w:fldCharType="begin"/>
          </w:r>
          <w:r>
            <w:instrText xml:space="preserve"> HYPERLINK \l "_Toc29122" </w:instrText>
          </w:r>
          <w:r>
            <w:fldChar w:fldCharType="separate"/>
          </w:r>
          <w:r>
            <w:rPr>
              <w:rFonts w:hint="eastAsia" w:eastAsia="黑体"/>
            </w:rPr>
            <w:t>七、重大分歧或重难点的处理经过和依据</w:t>
          </w:r>
          <w:r>
            <w:tab/>
          </w:r>
          <w:r>
            <w:fldChar w:fldCharType="begin"/>
          </w:r>
          <w:r>
            <w:instrText xml:space="preserve"> PAGEREF _Toc29122 \h </w:instrText>
          </w:r>
          <w:r>
            <w:fldChar w:fldCharType="separate"/>
          </w:r>
          <w:r>
            <w:t>10</w:t>
          </w:r>
          <w:r>
            <w:fldChar w:fldCharType="end"/>
          </w:r>
          <w:r>
            <w:fldChar w:fldCharType="end"/>
          </w:r>
        </w:p>
        <w:p w14:paraId="1D16C739">
          <w:pPr>
            <w:pStyle w:val="9"/>
            <w:tabs>
              <w:tab w:val="right" w:leader="dot" w:pos="8306"/>
            </w:tabs>
          </w:pPr>
          <w:r>
            <w:fldChar w:fldCharType="begin"/>
          </w:r>
          <w:r>
            <w:instrText xml:space="preserve"> HYPERLINK \l "_Toc29513" </w:instrText>
          </w:r>
          <w:r>
            <w:fldChar w:fldCharType="separate"/>
          </w:r>
          <w:r>
            <w:rPr>
              <w:rFonts w:hint="eastAsia" w:eastAsia="黑体"/>
            </w:rPr>
            <w:t>八、贯彻措施及预期效果</w:t>
          </w:r>
          <w:r>
            <w:tab/>
          </w:r>
          <w:r>
            <w:fldChar w:fldCharType="begin"/>
          </w:r>
          <w:r>
            <w:instrText xml:space="preserve"> PAGEREF _Toc29513 \h </w:instrText>
          </w:r>
          <w:r>
            <w:fldChar w:fldCharType="separate"/>
          </w:r>
          <w:r>
            <w:t>10</w:t>
          </w:r>
          <w:r>
            <w:fldChar w:fldCharType="end"/>
          </w:r>
          <w:r>
            <w:fldChar w:fldCharType="end"/>
          </w:r>
        </w:p>
        <w:p w14:paraId="0DE5927A">
          <w:pPr>
            <w:pStyle w:val="11"/>
            <w:tabs>
              <w:tab w:val="right" w:leader="dot" w:pos="8306"/>
            </w:tabs>
            <w:ind w:left="480"/>
          </w:pPr>
          <w:r>
            <w:fldChar w:fldCharType="begin"/>
          </w:r>
          <w:r>
            <w:instrText xml:space="preserve"> HYPERLINK \l "_Toc6350" </w:instrText>
          </w:r>
          <w:r>
            <w:fldChar w:fldCharType="separate"/>
          </w:r>
          <w:r>
            <w:rPr>
              <w:rFonts w:hint="eastAsia"/>
            </w:rPr>
            <w:t>8</w:t>
          </w:r>
          <w:r>
            <w:t>.1</w:t>
          </w:r>
          <w:r>
            <w:rPr>
              <w:rFonts w:hint="eastAsia"/>
            </w:rPr>
            <w:t>贯彻措施</w:t>
          </w:r>
          <w:r>
            <w:tab/>
          </w:r>
          <w:r>
            <w:fldChar w:fldCharType="begin"/>
          </w:r>
          <w:r>
            <w:instrText xml:space="preserve"> PAGEREF _Toc6350 \h </w:instrText>
          </w:r>
          <w:r>
            <w:fldChar w:fldCharType="separate"/>
          </w:r>
          <w:r>
            <w:t>10</w:t>
          </w:r>
          <w:r>
            <w:fldChar w:fldCharType="end"/>
          </w:r>
          <w:r>
            <w:fldChar w:fldCharType="end"/>
          </w:r>
        </w:p>
        <w:p w14:paraId="3B3111B6">
          <w:pPr>
            <w:pStyle w:val="11"/>
            <w:tabs>
              <w:tab w:val="right" w:leader="dot" w:pos="8306"/>
            </w:tabs>
            <w:ind w:left="480"/>
          </w:pPr>
          <w:r>
            <w:fldChar w:fldCharType="begin"/>
          </w:r>
          <w:r>
            <w:instrText xml:space="preserve"> HYPERLINK \l "_Toc7908" </w:instrText>
          </w:r>
          <w:r>
            <w:fldChar w:fldCharType="separate"/>
          </w:r>
          <w:r>
            <w:rPr>
              <w:rFonts w:hint="eastAsia"/>
            </w:rPr>
            <w:t>8</w:t>
          </w:r>
          <w:r>
            <w:t>.2</w:t>
          </w:r>
          <w:r>
            <w:rPr>
              <w:rFonts w:hint="eastAsia"/>
            </w:rPr>
            <w:t>预期效果</w:t>
          </w:r>
          <w:r>
            <w:tab/>
          </w:r>
          <w:r>
            <w:fldChar w:fldCharType="begin"/>
          </w:r>
          <w:r>
            <w:instrText xml:space="preserve"> PAGEREF _Toc7908 \h </w:instrText>
          </w:r>
          <w:r>
            <w:fldChar w:fldCharType="separate"/>
          </w:r>
          <w:r>
            <w:t>10</w:t>
          </w:r>
          <w:r>
            <w:fldChar w:fldCharType="end"/>
          </w:r>
          <w:r>
            <w:fldChar w:fldCharType="end"/>
          </w:r>
        </w:p>
        <w:p w14:paraId="64814037">
          <w:pPr>
            <w:pStyle w:val="9"/>
            <w:tabs>
              <w:tab w:val="right" w:leader="dot" w:pos="8306"/>
            </w:tabs>
          </w:pPr>
          <w:r>
            <w:fldChar w:fldCharType="begin"/>
          </w:r>
          <w:r>
            <w:instrText xml:space="preserve"> HYPERLINK \l "_Toc2526" </w:instrText>
          </w:r>
          <w:r>
            <w:fldChar w:fldCharType="separate"/>
          </w:r>
          <w:r>
            <w:rPr>
              <w:rFonts w:hint="eastAsia" w:eastAsia="黑体"/>
            </w:rPr>
            <w:t>九、其他应说明的事项</w:t>
          </w:r>
          <w:r>
            <w:tab/>
          </w:r>
          <w:r>
            <w:fldChar w:fldCharType="begin"/>
          </w:r>
          <w:r>
            <w:instrText xml:space="preserve"> PAGEREF _Toc2526 \h </w:instrText>
          </w:r>
          <w:r>
            <w:fldChar w:fldCharType="separate"/>
          </w:r>
          <w:r>
            <w:t>11</w:t>
          </w:r>
          <w:r>
            <w:fldChar w:fldCharType="end"/>
          </w:r>
          <w:r>
            <w:fldChar w:fldCharType="end"/>
          </w:r>
        </w:p>
        <w:p w14:paraId="4D897AA9">
          <w:r>
            <w:fldChar w:fldCharType="end"/>
          </w:r>
        </w:p>
      </w:sdtContent>
    </w:sdt>
    <w:p w14:paraId="2E3388D3">
      <w:pPr>
        <w:jc w:val="center"/>
        <w:rPr>
          <w:rFonts w:eastAsia="黑体" w:cs="Times New Roman"/>
          <w:color w:val="000000"/>
          <w:sz w:val="36"/>
          <w:szCs w:val="44"/>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0A14E1EB">
      <w:pPr>
        <w:jc w:val="center"/>
        <w:rPr>
          <w:rFonts w:eastAsia="方正小标宋简体" w:cs="Times New Roman"/>
          <w:b/>
          <w:bCs/>
          <w:sz w:val="48"/>
          <w:szCs w:val="72"/>
        </w:rPr>
      </w:pPr>
      <w:r>
        <w:rPr>
          <w:rFonts w:eastAsia="黑体" w:cs="Times New Roman"/>
          <w:color w:val="000000"/>
          <w:sz w:val="36"/>
          <w:szCs w:val="44"/>
        </w:rPr>
        <w:t>《</w:t>
      </w:r>
      <w:r>
        <w:rPr>
          <w:rFonts w:hint="eastAsia" w:eastAsia="黑体" w:cs="Times New Roman"/>
          <w:color w:val="000000"/>
          <w:sz w:val="36"/>
          <w:szCs w:val="44"/>
        </w:rPr>
        <w:t>河流断流干涸遥感监测评价技术规范</w:t>
      </w:r>
      <w:r>
        <w:rPr>
          <w:rFonts w:eastAsia="黑体" w:cs="Times New Roman"/>
          <w:color w:val="000000"/>
          <w:sz w:val="36"/>
          <w:szCs w:val="44"/>
        </w:rPr>
        <w:t>》</w:t>
      </w:r>
      <w:r>
        <w:rPr>
          <w:rFonts w:hint="eastAsia" w:eastAsia="黑体" w:cs="Times New Roman"/>
          <w:color w:val="000000"/>
          <w:sz w:val="36"/>
          <w:szCs w:val="44"/>
        </w:rPr>
        <w:t>（试行）</w:t>
      </w:r>
    </w:p>
    <w:p w14:paraId="5E2BB0FD">
      <w:pPr>
        <w:jc w:val="center"/>
        <w:rPr>
          <w:rFonts w:eastAsia="黑体" w:cs="Times New Roman"/>
          <w:color w:val="000000"/>
          <w:sz w:val="36"/>
          <w:szCs w:val="44"/>
        </w:rPr>
      </w:pPr>
      <w:r>
        <w:rPr>
          <w:rFonts w:hint="eastAsia" w:eastAsia="黑体" w:cs="Times New Roman"/>
          <w:color w:val="000000"/>
          <w:sz w:val="36"/>
          <w:szCs w:val="44"/>
        </w:rPr>
        <w:t>编制说明</w:t>
      </w:r>
    </w:p>
    <w:p w14:paraId="4D31B1BA">
      <w:pPr>
        <w:jc w:val="center"/>
      </w:pPr>
    </w:p>
    <w:p w14:paraId="067C01EB">
      <w:pPr>
        <w:ind w:firstLine="562" w:firstLineChars="200"/>
        <w:outlineLvl w:val="0"/>
        <w:rPr>
          <w:rFonts w:eastAsia="黑体"/>
          <w:b/>
          <w:sz w:val="28"/>
        </w:rPr>
      </w:pPr>
      <w:bookmarkStart w:id="4" w:name="_Toc14822"/>
      <w:bookmarkStart w:id="5" w:name="_Toc8374"/>
      <w:bookmarkStart w:id="6" w:name="_Toc16931"/>
      <w:bookmarkStart w:id="7" w:name="_Toc15455"/>
      <w:bookmarkStart w:id="8" w:name="_Toc10525"/>
      <w:bookmarkStart w:id="9" w:name="_Toc4475"/>
      <w:bookmarkStart w:id="10" w:name="_Toc182323061"/>
      <w:bookmarkStart w:id="11" w:name="_Toc8927"/>
      <w:r>
        <w:rPr>
          <w:rFonts w:hint="eastAsia" w:eastAsia="黑体"/>
          <w:b/>
          <w:sz w:val="28"/>
        </w:rPr>
        <w:t>一、工作简况</w:t>
      </w:r>
      <w:bookmarkEnd w:id="4"/>
      <w:bookmarkEnd w:id="5"/>
      <w:bookmarkEnd w:id="6"/>
      <w:bookmarkEnd w:id="7"/>
      <w:bookmarkEnd w:id="8"/>
      <w:bookmarkEnd w:id="9"/>
      <w:bookmarkEnd w:id="10"/>
      <w:bookmarkEnd w:id="11"/>
    </w:p>
    <w:p w14:paraId="5E624393">
      <w:pPr>
        <w:ind w:firstLine="562" w:firstLineChars="200"/>
        <w:outlineLvl w:val="1"/>
        <w:rPr>
          <w:b/>
          <w:sz w:val="28"/>
        </w:rPr>
      </w:pPr>
      <w:bookmarkStart w:id="12" w:name="_Toc15033"/>
      <w:bookmarkStart w:id="13" w:name="_Toc1414"/>
      <w:bookmarkStart w:id="14" w:name="_Toc14573"/>
      <w:bookmarkStart w:id="15" w:name="_Toc31414"/>
      <w:bookmarkStart w:id="16" w:name="_Toc3755"/>
      <w:bookmarkStart w:id="17" w:name="_Toc144"/>
      <w:bookmarkStart w:id="18" w:name="_Toc18750"/>
      <w:bookmarkStart w:id="19" w:name="_Toc182323062"/>
      <w:r>
        <w:rPr>
          <w:rFonts w:hint="eastAsia"/>
          <w:b/>
          <w:sz w:val="28"/>
        </w:rPr>
        <w:t>1</w:t>
      </w:r>
      <w:r>
        <w:rPr>
          <w:b/>
          <w:sz w:val="28"/>
        </w:rPr>
        <w:t>.1</w:t>
      </w:r>
      <w:r>
        <w:rPr>
          <w:rFonts w:hint="eastAsia"/>
          <w:b/>
          <w:sz w:val="28"/>
        </w:rPr>
        <w:t>任务来源</w:t>
      </w:r>
      <w:bookmarkEnd w:id="12"/>
      <w:bookmarkEnd w:id="13"/>
      <w:bookmarkEnd w:id="14"/>
      <w:bookmarkEnd w:id="15"/>
      <w:bookmarkEnd w:id="16"/>
      <w:bookmarkEnd w:id="17"/>
      <w:bookmarkEnd w:id="18"/>
      <w:bookmarkEnd w:id="19"/>
    </w:p>
    <w:p w14:paraId="7AC748DF">
      <w:pPr>
        <w:ind w:firstLine="480" w:firstLineChars="200"/>
      </w:pPr>
      <w:r>
        <w:rPr>
          <w:rFonts w:hint="eastAsia"/>
        </w:rPr>
        <w:t>2015年4月16日，国务院发布《水污染防治行动计划》（简称“水十条”），对“着力节约保护水资源”提出了具体要求。</w:t>
      </w:r>
    </w:p>
    <w:p w14:paraId="4A43977C">
      <w:pPr>
        <w:ind w:firstLine="480" w:firstLineChars="200"/>
      </w:pPr>
      <w:r>
        <w:rPr>
          <w:rFonts w:hint="eastAsia"/>
        </w:rPr>
        <w:t>2019年，生态环境部启动重点流域“十四五”规划编制工作，印发了《重点流域水生态环境保护“十四五”规划编制技术大纲》（环办水体函〔2019〕937号）（以下简称《技术大纲》），将重点流域规划名称由“水污染防治”调整为“水生态环境保护”。《技术大纲》指出要“建立统筹水资源、水生态、水环境的规划指标体系”，提出了“有河有水、有鱼有草、人水和谐”的要求。水资源方面要“以解决断流河流‘有水’为重点”，“根据水文监测数据、遥感解译结果、实地调研情况等，重点分析行政区域内河湖生态流量（水位）保障情况、河流湖泊断流干涸情况”，“根据河流湖泊断流干涸现状，按照‘只能改善、不能变差’的原则，逐一明确清单内各河湖生态流量（水位）底线要求”。</w:t>
      </w:r>
    </w:p>
    <w:p w14:paraId="1E174F48">
      <w:pPr>
        <w:ind w:firstLine="480" w:firstLineChars="200"/>
      </w:pPr>
      <w:r>
        <w:rPr>
          <w:rFonts w:hint="eastAsia"/>
        </w:rPr>
        <w:t>2020年，黄润秋部长在黄河生态补偿评估监督工作会议上强调，“十四五”期间坚持两手抓，实现生态环境治理能力与治理体系的现代化。《黄河流域生态补偿评估监督工作方案》按照部领导要求增加了“断流河长”等二级指标来反映流域生态破坏程度以及生态用水保障程度，并要求“在卫星遥感监测方面，主要识别河流断流干涸时间及长度，规范各项遥感监测指标的概念、解译要求和分析方法等”。</w:t>
      </w:r>
    </w:p>
    <w:p w14:paraId="7F4951D2">
      <w:pPr>
        <w:ind w:firstLine="480" w:firstLineChars="200"/>
      </w:pPr>
      <w:r>
        <w:rPr>
          <w:rFonts w:hint="eastAsia"/>
        </w:rPr>
        <w:t>2021年，生态环境部水生态环境司《水生态环境问题发现和推动解决工作机制》中提出“根据每季度卫星遥感监测数据，国家重点区域河流断流干涸比同比上升20%以上的”识别为水生态环境突出问题和工作滞后地区。</w:t>
      </w:r>
    </w:p>
    <w:p w14:paraId="3AD4EF3C">
      <w:pPr>
        <w:ind w:firstLine="480" w:firstLineChars="200"/>
      </w:pPr>
      <w:r>
        <w:rPr>
          <w:rFonts w:hint="eastAsia"/>
        </w:rPr>
        <w:t>2022年，黄润秋部长在全国水生态环境保护工作会议提出“要更加突出‘三水统筹’，着力推动水生态环境保护向水资源、水生态、水环境等流域要素系统治理、统筹推进转变”的工作要求。</w:t>
      </w:r>
    </w:p>
    <w:p w14:paraId="15EA93B6">
      <w:pPr>
        <w:ind w:firstLine="480" w:firstLineChars="200"/>
      </w:pPr>
      <w:r>
        <w:rPr>
          <w:rFonts w:hint="eastAsia"/>
        </w:rPr>
        <w:t>2023年4月，生态环境部会同有关部门印发了《重点流域水生态环境保护规划》，在水资源方面提出了“达到生态流量要求的河湖数量为354个，恢复‘有水’的河流条数为53条”等具体指标，强化河湖生态流量监管。</w:t>
      </w:r>
    </w:p>
    <w:p w14:paraId="63316875">
      <w:pPr>
        <w:ind w:firstLine="480" w:firstLineChars="200"/>
      </w:pPr>
      <w:r>
        <w:rPr>
          <w:rFonts w:hint="eastAsia"/>
        </w:rPr>
        <w:t>2025年5月，生态环境部等7部门联合印发的《美丽河湖保护与建设行动方案（2025-2027年）》指出，加强基本生态用水保障，着力保障河湖生态流量，特别强调“利用遥感影像、基础地理信息数据和地面监测数据，开展河湖生态流量监测评价”。</w:t>
      </w:r>
    </w:p>
    <w:p w14:paraId="79814B4F">
      <w:pPr>
        <w:ind w:firstLine="480" w:firstLineChars="200"/>
      </w:pPr>
      <w:r>
        <w:rPr>
          <w:rFonts w:hint="eastAsia"/>
        </w:rPr>
        <w:t>2025年6月，中共中央办公厅、国务院办公厅《关于全面推进江河保护治理的意见》要求加强江河水生态保护，强调“北方地区以解决河流断流、湖泊萎缩为重点，实现还水于河；南方地区以改善水动力条件为重点，实现水清河畅”。</w:t>
      </w:r>
    </w:p>
    <w:p w14:paraId="70330ABC">
      <w:pPr>
        <w:ind w:firstLine="480" w:firstLineChars="200"/>
      </w:pPr>
      <w:r>
        <w:rPr>
          <w:rFonts w:hint="eastAsia"/>
        </w:rPr>
        <w:t>2025年9月，生态环境部水生态环境司印发《水生态环境问题处理处置工作机制》中提出河流断流干涸程度加剧的水体识别为水生态环境突出问题，即“当季度国家重点区域河流断流干涸指数同比上升20%以上（根据各地实际情况适时调整）</w:t>
      </w:r>
      <w:r>
        <w:t>”。</w:t>
      </w:r>
    </w:p>
    <w:p w14:paraId="712FC402">
      <w:pPr>
        <w:ind w:firstLine="480" w:firstLineChars="200"/>
      </w:pPr>
      <w:r>
        <w:rPr>
          <w:rFonts w:hint="eastAsia"/>
        </w:rPr>
        <w:t>为适应新形势下生态流量监管的新要求，掌握国内河流水体变化特征，科学监测河流断流干涸分布情况，相关部门和科研院所本着防患于未然的原则，将开展河流断流干涸监测、评价与预警作为重点工作方向，通过建立系统的监测与评估技术体系，为水生态环境保护治理提供科学依据和技术支撑。</w:t>
      </w:r>
    </w:p>
    <w:p w14:paraId="507F685A">
      <w:pPr>
        <w:ind w:firstLine="480" w:firstLineChars="200"/>
      </w:pPr>
      <w:r>
        <w:rPr>
          <w:rFonts w:hint="eastAsia"/>
        </w:rPr>
        <w:t>在河流断流干涸监测方面，全国范围内尚未形成一个针对河流断流干涸的遥感监测和评价技术标准。利用卫星遥感监测技术，不同的卫星遥感数据，其空间分辨率、光谱分辨率、波段设置都有所不同。如何基于常用的可业务化的遥感数据源，采用稳定可靠的技术手段来监测河流断流，对保证监测结果的稳定性和可靠性具有重大意义。因此，为满足河流断流干涸监测和评价的需要，将河流断流干涸遥感监测工作规范化、标准化，方便后续全面开展工作，生态环境部卫星环境应用中心（简称“卫星中心”）组织相关技术人员制定了《河流断流干涸遥感监测评价技术规范（试行）》。</w:t>
      </w:r>
    </w:p>
    <w:p w14:paraId="42D326A0">
      <w:pPr>
        <w:ind w:firstLine="562" w:firstLineChars="200"/>
        <w:outlineLvl w:val="1"/>
        <w:rPr>
          <w:b/>
          <w:sz w:val="28"/>
        </w:rPr>
      </w:pPr>
      <w:bookmarkStart w:id="20" w:name="_Toc12224"/>
      <w:bookmarkStart w:id="21" w:name="_Toc11965"/>
      <w:bookmarkStart w:id="22" w:name="_Toc182323063"/>
      <w:bookmarkStart w:id="23" w:name="_Toc28176"/>
      <w:bookmarkStart w:id="24" w:name="_Toc21954"/>
      <w:bookmarkStart w:id="25" w:name="_Toc22540"/>
      <w:bookmarkStart w:id="26" w:name="_Toc10560"/>
      <w:bookmarkStart w:id="27" w:name="_Toc4584"/>
      <w:r>
        <w:rPr>
          <w:b/>
          <w:sz w:val="28"/>
        </w:rPr>
        <w:t>1.2</w:t>
      </w:r>
      <w:r>
        <w:rPr>
          <w:rFonts w:hint="eastAsia"/>
          <w:b/>
          <w:sz w:val="28"/>
        </w:rPr>
        <w:t>主要工作过程</w:t>
      </w:r>
      <w:bookmarkEnd w:id="20"/>
      <w:bookmarkEnd w:id="21"/>
      <w:bookmarkEnd w:id="22"/>
      <w:bookmarkEnd w:id="23"/>
      <w:bookmarkEnd w:id="24"/>
      <w:bookmarkEnd w:id="25"/>
      <w:bookmarkEnd w:id="26"/>
      <w:bookmarkEnd w:id="27"/>
    </w:p>
    <w:p w14:paraId="397DB17A">
      <w:pPr>
        <w:ind w:firstLine="482" w:firstLineChars="200"/>
        <w:outlineLvl w:val="2"/>
        <w:rPr>
          <w:b/>
        </w:rPr>
      </w:pPr>
      <w:bookmarkStart w:id="28" w:name="_Toc2656"/>
      <w:bookmarkStart w:id="29" w:name="_Toc19806"/>
      <w:bookmarkStart w:id="30" w:name="_Toc13642"/>
      <w:bookmarkStart w:id="31" w:name="_Toc182323064"/>
      <w:bookmarkStart w:id="32" w:name="_Toc14447"/>
      <w:bookmarkStart w:id="33" w:name="_Toc1628"/>
      <w:bookmarkStart w:id="34" w:name="_Toc16667"/>
      <w:bookmarkStart w:id="35" w:name="_Toc20020"/>
      <w:r>
        <w:rPr>
          <w:b/>
        </w:rPr>
        <w:t>1.</w:t>
      </w:r>
      <w:r>
        <w:rPr>
          <w:rFonts w:hint="eastAsia"/>
          <w:b/>
        </w:rPr>
        <w:t>2.1成立标准编制组和启动标准编制工作</w:t>
      </w:r>
      <w:bookmarkEnd w:id="28"/>
      <w:bookmarkEnd w:id="29"/>
      <w:bookmarkEnd w:id="30"/>
      <w:bookmarkEnd w:id="31"/>
      <w:bookmarkEnd w:id="32"/>
      <w:bookmarkEnd w:id="33"/>
      <w:bookmarkEnd w:id="34"/>
      <w:bookmarkEnd w:id="35"/>
    </w:p>
    <w:p w14:paraId="260E57A2">
      <w:pPr>
        <w:ind w:firstLine="480" w:firstLineChars="200"/>
      </w:pPr>
      <w:r>
        <w:rPr>
          <w:rFonts w:hint="eastAsia"/>
        </w:rPr>
        <w:t>2018年，卫星中心总结河流断流干涸遥感监测工作经验，召集相关技术人员组建了《河流断流干涸遥感监测评价技术规范（试行）》编制组，并根据相关要求，认真制定实施方案和工作计划，明确了编制组成员及分工。</w:t>
      </w:r>
    </w:p>
    <w:p w14:paraId="0F44B22E">
      <w:pPr>
        <w:spacing w:before="156" w:beforeLines="50"/>
        <w:ind w:firstLine="482" w:firstLineChars="200"/>
        <w:outlineLvl w:val="2"/>
        <w:rPr>
          <w:b/>
        </w:rPr>
      </w:pPr>
      <w:bookmarkStart w:id="36" w:name="_Toc27658"/>
      <w:bookmarkStart w:id="37" w:name="_Toc20370"/>
      <w:bookmarkStart w:id="38" w:name="_Toc2869"/>
      <w:bookmarkStart w:id="39" w:name="_Toc8582"/>
      <w:bookmarkStart w:id="40" w:name="_Toc6609"/>
      <w:bookmarkStart w:id="41" w:name="_Toc182323065"/>
      <w:bookmarkStart w:id="42" w:name="_Toc9328"/>
      <w:bookmarkStart w:id="43" w:name="_Toc16064"/>
      <w:r>
        <w:rPr>
          <w:b/>
        </w:rPr>
        <w:t>1.</w:t>
      </w:r>
      <w:r>
        <w:rPr>
          <w:rFonts w:hint="eastAsia"/>
          <w:b/>
        </w:rPr>
        <w:t>2.2查询国内外相关标准和文献资料</w:t>
      </w:r>
      <w:bookmarkEnd w:id="36"/>
      <w:bookmarkEnd w:id="37"/>
      <w:bookmarkEnd w:id="38"/>
      <w:bookmarkEnd w:id="39"/>
      <w:bookmarkEnd w:id="40"/>
      <w:bookmarkEnd w:id="41"/>
      <w:bookmarkEnd w:id="42"/>
      <w:bookmarkEnd w:id="43"/>
    </w:p>
    <w:p w14:paraId="59743765">
      <w:pPr>
        <w:ind w:firstLine="480" w:firstLineChars="200"/>
      </w:pPr>
      <w:r>
        <w:rPr>
          <w:rFonts w:hint="eastAsia"/>
        </w:rPr>
        <w:t>2019年，根据工作计划和进度安排，标准编制组系统开展了前期调研与资料收集工作。主要包括：收集断流干涸国内外相关文献资料，整理不同监测方法和手段等，分析这些评价方法中值得借鉴的经验。同时，编制组分析我国水生态环境监测的新形势和新特点，结合国家管理需求，立足现有能力技术基础，以及近些年来在京津冀地区、黄河流域、辽河流域、长江流域等开展监测的实际情况，研究提出了本标准编制的编制原则、技术路线等内容。</w:t>
      </w:r>
    </w:p>
    <w:p w14:paraId="5A7E0FBB">
      <w:pPr>
        <w:spacing w:before="156" w:beforeLines="50"/>
        <w:ind w:firstLine="482" w:firstLineChars="200"/>
        <w:outlineLvl w:val="2"/>
        <w:rPr>
          <w:b/>
        </w:rPr>
      </w:pPr>
      <w:bookmarkStart w:id="44" w:name="_Toc182323066"/>
      <w:bookmarkStart w:id="45" w:name="_Toc20845"/>
      <w:bookmarkStart w:id="46" w:name="_Toc22112"/>
      <w:bookmarkStart w:id="47" w:name="_Toc24511"/>
      <w:bookmarkStart w:id="48" w:name="_Toc25284"/>
      <w:bookmarkStart w:id="49" w:name="_Toc14474"/>
      <w:bookmarkStart w:id="50" w:name="_Toc12208"/>
      <w:bookmarkStart w:id="51" w:name="_Toc26618"/>
      <w:r>
        <w:rPr>
          <w:b/>
        </w:rPr>
        <w:t>1.</w:t>
      </w:r>
      <w:r>
        <w:rPr>
          <w:rFonts w:hint="eastAsia"/>
          <w:b/>
        </w:rPr>
        <w:t>2.3编写技术规范及编制说明初稿</w:t>
      </w:r>
      <w:bookmarkEnd w:id="44"/>
      <w:bookmarkEnd w:id="45"/>
      <w:bookmarkEnd w:id="46"/>
      <w:bookmarkEnd w:id="47"/>
      <w:bookmarkEnd w:id="48"/>
      <w:bookmarkEnd w:id="49"/>
      <w:bookmarkEnd w:id="50"/>
      <w:bookmarkEnd w:id="51"/>
    </w:p>
    <w:p w14:paraId="312E644F">
      <w:pPr>
        <w:ind w:firstLine="480" w:firstLineChars="200"/>
      </w:pPr>
      <w:r>
        <w:rPr>
          <w:rFonts w:hint="eastAsia"/>
        </w:rPr>
        <w:t>2019年，结合《重点流域水生态环境保护“十四五”规划编制技术大纲》要求，完成《河流断流干涸遥感监测评价技术规范（试行）》和《河流断流干涸遥感监测评价技术规范（试行）编制说明》初稿的编制。</w:t>
      </w:r>
    </w:p>
    <w:p w14:paraId="5BCAE957">
      <w:pPr>
        <w:spacing w:before="156" w:beforeLines="50"/>
        <w:ind w:firstLine="482" w:firstLineChars="200"/>
        <w:outlineLvl w:val="2"/>
        <w:rPr>
          <w:b/>
        </w:rPr>
      </w:pPr>
      <w:bookmarkStart w:id="52" w:name="_Toc13631"/>
      <w:bookmarkStart w:id="53" w:name="_Toc28963"/>
      <w:bookmarkStart w:id="54" w:name="_Toc26177"/>
      <w:bookmarkStart w:id="55" w:name="_Toc1218"/>
      <w:bookmarkStart w:id="56" w:name="_Toc16163"/>
      <w:bookmarkStart w:id="57" w:name="_Toc8817"/>
      <w:bookmarkStart w:id="58" w:name="_Toc182323067"/>
      <w:bookmarkStart w:id="59" w:name="_Toc32106"/>
      <w:r>
        <w:rPr>
          <w:b/>
        </w:rPr>
        <w:t>1.</w:t>
      </w:r>
      <w:r>
        <w:rPr>
          <w:rFonts w:hint="eastAsia"/>
          <w:b/>
        </w:rPr>
        <w:t>2.4完善技术规范及编制说明</w:t>
      </w:r>
      <w:bookmarkEnd w:id="52"/>
      <w:bookmarkEnd w:id="53"/>
      <w:bookmarkEnd w:id="54"/>
      <w:bookmarkEnd w:id="55"/>
      <w:bookmarkEnd w:id="56"/>
      <w:bookmarkEnd w:id="57"/>
      <w:bookmarkEnd w:id="58"/>
      <w:bookmarkEnd w:id="59"/>
    </w:p>
    <w:p w14:paraId="126682C1">
      <w:pPr>
        <w:ind w:firstLine="480" w:firstLineChars="200"/>
      </w:pPr>
      <w:r>
        <w:rPr>
          <w:rFonts w:hint="eastAsia"/>
        </w:rPr>
        <w:t>2020年，根据《黄河流域生态补偿评估监督工作方案》要求，对标准中各项遥感监测指标的概念、解译要求和分析方法等进行修改完善。</w:t>
      </w:r>
    </w:p>
    <w:p w14:paraId="01B2D8EB">
      <w:pPr>
        <w:spacing w:before="156" w:beforeLines="50"/>
        <w:ind w:firstLine="482" w:firstLineChars="200"/>
        <w:outlineLvl w:val="2"/>
        <w:rPr>
          <w:b/>
        </w:rPr>
      </w:pPr>
      <w:bookmarkStart w:id="60" w:name="_Toc4150"/>
      <w:bookmarkStart w:id="61" w:name="_Toc20647"/>
      <w:bookmarkStart w:id="62" w:name="_Toc2979"/>
      <w:bookmarkStart w:id="63" w:name="_Toc29600"/>
      <w:bookmarkStart w:id="64" w:name="_Toc19421"/>
      <w:bookmarkStart w:id="65" w:name="_Toc23161"/>
      <w:bookmarkStart w:id="66" w:name="_Toc31495"/>
      <w:bookmarkStart w:id="67" w:name="_Toc182323069"/>
      <w:r>
        <w:rPr>
          <w:b/>
        </w:rPr>
        <w:t>1.</w:t>
      </w:r>
      <w:r>
        <w:rPr>
          <w:rFonts w:hint="eastAsia"/>
          <w:b/>
        </w:rPr>
        <w:t>2.5发布生态环境部卫星中心技术规定</w:t>
      </w:r>
      <w:bookmarkEnd w:id="60"/>
      <w:bookmarkEnd w:id="61"/>
      <w:bookmarkEnd w:id="62"/>
      <w:bookmarkEnd w:id="63"/>
      <w:bookmarkEnd w:id="64"/>
      <w:bookmarkEnd w:id="65"/>
      <w:bookmarkEnd w:id="66"/>
      <w:bookmarkEnd w:id="67"/>
    </w:p>
    <w:p w14:paraId="453868B1">
      <w:pPr>
        <w:ind w:firstLine="480" w:firstLineChars="200"/>
      </w:pPr>
      <w:r>
        <w:rPr>
          <w:rFonts w:hint="eastAsia"/>
        </w:rPr>
        <w:t>2022年，卫星中心组织召开专家咨询会，对《河流断流干涸遥感监测评价技术规范（试行）》及《河流断流干涸遥感监测评价技术规范（试行）编制说明》初稿进行讨论修改，形成并发布生态环境部卫星中心技术规定《河流断流干涸遥感监测技术规定（试行）》（卫星环字〔2022〕6号），并于2022年3月印发实施。</w:t>
      </w:r>
    </w:p>
    <w:p w14:paraId="2015266C">
      <w:pPr>
        <w:spacing w:before="156" w:beforeLines="50"/>
        <w:ind w:firstLine="482" w:firstLineChars="200"/>
        <w:outlineLvl w:val="2"/>
        <w:rPr>
          <w:b/>
        </w:rPr>
      </w:pPr>
      <w:bookmarkStart w:id="68" w:name="_Toc2724"/>
      <w:bookmarkStart w:id="69" w:name="_Toc4808"/>
      <w:bookmarkStart w:id="70" w:name="_Toc22514"/>
      <w:bookmarkStart w:id="71" w:name="_Toc182323070"/>
      <w:bookmarkStart w:id="72" w:name="_Toc11843"/>
      <w:bookmarkStart w:id="73" w:name="_Toc28214"/>
      <w:bookmarkStart w:id="74" w:name="_Toc17526"/>
      <w:bookmarkStart w:id="75" w:name="_Toc20682"/>
      <w:r>
        <w:rPr>
          <w:b/>
        </w:rPr>
        <w:t>1.</w:t>
      </w:r>
      <w:r>
        <w:rPr>
          <w:rFonts w:hint="eastAsia"/>
          <w:b/>
        </w:rPr>
        <w:t>2.6广泛征集社会意见</w:t>
      </w:r>
      <w:bookmarkEnd w:id="68"/>
      <w:bookmarkEnd w:id="69"/>
      <w:bookmarkEnd w:id="70"/>
      <w:bookmarkEnd w:id="71"/>
      <w:bookmarkEnd w:id="72"/>
      <w:bookmarkEnd w:id="73"/>
      <w:bookmarkEnd w:id="74"/>
      <w:bookmarkEnd w:id="75"/>
    </w:p>
    <w:p w14:paraId="666FB8BA">
      <w:pPr>
        <w:ind w:firstLine="480" w:firstLineChars="200"/>
      </w:pPr>
      <w:r>
        <w:rPr>
          <w:rFonts w:hint="eastAsia"/>
        </w:rPr>
        <w:t>2022年，广泛征集社会意见，涉及环保、水利、遥感等领域专家，共征集15条意见（采纳14条，未采纳1条），并进一步根据专家意见修改完善标准文本。</w:t>
      </w:r>
    </w:p>
    <w:p w14:paraId="670E99F3">
      <w:pPr>
        <w:spacing w:before="156" w:beforeLines="50"/>
        <w:ind w:firstLine="482" w:firstLineChars="200"/>
        <w:outlineLvl w:val="2"/>
        <w:rPr>
          <w:b/>
        </w:rPr>
      </w:pPr>
      <w:bookmarkStart w:id="76" w:name="_Toc8571"/>
      <w:bookmarkStart w:id="77" w:name="_Toc13467"/>
      <w:bookmarkStart w:id="78" w:name="_Toc25156"/>
      <w:bookmarkStart w:id="79" w:name="_Toc15712"/>
      <w:bookmarkStart w:id="80" w:name="_Toc27455"/>
      <w:bookmarkStart w:id="81" w:name="_Toc182323071"/>
      <w:bookmarkStart w:id="82" w:name="_Toc21718"/>
      <w:bookmarkStart w:id="83" w:name="_Toc4738"/>
      <w:r>
        <w:rPr>
          <w:b/>
        </w:rPr>
        <w:t>1.</w:t>
      </w:r>
      <w:r>
        <w:rPr>
          <w:rFonts w:hint="eastAsia"/>
          <w:b/>
        </w:rPr>
        <w:t>2.7中国环境科学学会团体标准立项</w:t>
      </w:r>
      <w:bookmarkEnd w:id="76"/>
      <w:bookmarkEnd w:id="77"/>
      <w:bookmarkEnd w:id="78"/>
      <w:bookmarkEnd w:id="79"/>
      <w:bookmarkEnd w:id="80"/>
      <w:bookmarkEnd w:id="81"/>
      <w:bookmarkEnd w:id="82"/>
      <w:bookmarkEnd w:id="83"/>
    </w:p>
    <w:p w14:paraId="3634EC13">
      <w:pPr>
        <w:ind w:firstLine="480" w:firstLineChars="200"/>
      </w:pPr>
      <w:r>
        <w:rPr>
          <w:rFonts w:hint="eastAsia"/>
        </w:rPr>
        <w:t>202</w:t>
      </w:r>
      <w:r>
        <w:t>3</w:t>
      </w:r>
      <w:r>
        <w:rPr>
          <w:rFonts w:hint="eastAsia"/>
        </w:rPr>
        <w:t>年</w:t>
      </w:r>
      <w:r>
        <w:t>11</w:t>
      </w:r>
      <w:r>
        <w:rPr>
          <w:rFonts w:hint="eastAsia"/>
        </w:rPr>
        <w:t>月，通过中国环境科学学会团体标准立项申请《关于2024年中国环境科学学会团体标准（第一批）立项的公告》。</w:t>
      </w:r>
    </w:p>
    <w:p w14:paraId="275164DA">
      <w:pPr>
        <w:spacing w:before="156" w:beforeLines="50"/>
        <w:ind w:firstLine="482" w:firstLineChars="200"/>
        <w:outlineLvl w:val="2"/>
        <w:rPr>
          <w:b/>
        </w:rPr>
      </w:pPr>
      <w:bookmarkStart w:id="84" w:name="_Toc5553"/>
      <w:bookmarkStart w:id="85" w:name="_Toc22636"/>
      <w:bookmarkStart w:id="86" w:name="_Toc9797"/>
      <w:bookmarkStart w:id="87" w:name="_Toc22780"/>
      <w:bookmarkStart w:id="88" w:name="_Toc1325"/>
      <w:bookmarkStart w:id="89" w:name="_Toc25130"/>
      <w:bookmarkStart w:id="90" w:name="_Toc25834"/>
      <w:r>
        <w:rPr>
          <w:b/>
        </w:rPr>
        <w:t>1.</w:t>
      </w:r>
      <w:r>
        <w:rPr>
          <w:rFonts w:hint="eastAsia"/>
          <w:b/>
        </w:rPr>
        <w:t>2.8召开专家咨询会</w:t>
      </w:r>
      <w:bookmarkEnd w:id="84"/>
      <w:bookmarkEnd w:id="85"/>
      <w:bookmarkEnd w:id="86"/>
      <w:bookmarkEnd w:id="87"/>
      <w:bookmarkEnd w:id="88"/>
      <w:bookmarkEnd w:id="89"/>
      <w:bookmarkEnd w:id="90"/>
    </w:p>
    <w:p w14:paraId="7896D1C3">
      <w:pPr>
        <w:ind w:firstLine="480" w:firstLineChars="200"/>
      </w:pPr>
      <w:r>
        <w:rPr>
          <w:rFonts w:hint="eastAsia"/>
        </w:rPr>
        <w:t>2024年</w:t>
      </w:r>
      <w:r>
        <w:t>1</w:t>
      </w:r>
      <w:r>
        <w:rPr>
          <w:rFonts w:hint="eastAsia"/>
        </w:rPr>
        <w:t>2月，中国环境科学学会召开了团体标准《河流断流干涸遥感监测评价技术规范（征求意见稿）》专家评审会。专家组同意技术规范通过评审，将根据专家意见修改完善后公开征求意见。</w:t>
      </w:r>
    </w:p>
    <w:p w14:paraId="4CFA2C7C">
      <w:pPr>
        <w:ind w:firstLine="562" w:firstLineChars="200"/>
        <w:outlineLvl w:val="1"/>
        <w:rPr>
          <w:b/>
          <w:sz w:val="28"/>
        </w:rPr>
      </w:pPr>
      <w:bookmarkStart w:id="91" w:name="_Toc28491"/>
      <w:bookmarkStart w:id="92" w:name="_Toc17942"/>
      <w:bookmarkStart w:id="93" w:name="_Toc182323072"/>
      <w:bookmarkStart w:id="94" w:name="_Toc11370"/>
      <w:bookmarkStart w:id="95" w:name="_Toc2506"/>
      <w:bookmarkStart w:id="96" w:name="_Toc14970"/>
      <w:bookmarkStart w:id="97" w:name="_Toc19975"/>
      <w:bookmarkStart w:id="98" w:name="_Toc4481"/>
      <w:r>
        <w:rPr>
          <w:b/>
          <w:sz w:val="28"/>
        </w:rPr>
        <w:t>1.3</w:t>
      </w:r>
      <w:r>
        <w:rPr>
          <w:rFonts w:hint="eastAsia"/>
          <w:b/>
          <w:sz w:val="28"/>
        </w:rPr>
        <w:t>主要起草人及任务分工</w:t>
      </w:r>
      <w:bookmarkEnd w:id="91"/>
      <w:bookmarkEnd w:id="92"/>
      <w:bookmarkEnd w:id="93"/>
      <w:bookmarkEnd w:id="94"/>
      <w:bookmarkEnd w:id="95"/>
      <w:bookmarkEnd w:id="96"/>
      <w:bookmarkEnd w:id="97"/>
      <w:bookmarkEnd w:id="98"/>
    </w:p>
    <w:p w14:paraId="34897A9F">
      <w:pPr>
        <w:ind w:firstLine="480" w:firstLineChars="200"/>
        <w:rPr>
          <w:b/>
        </w:rPr>
      </w:pPr>
      <w:r>
        <w:rPr>
          <w:rFonts w:hint="eastAsia"/>
        </w:rPr>
        <w:t>标准编制工作组由生态环境部卫星环境应用中心、生态环境部南京环境科学研究所、中国环境科学研究院3家单位组成。主要起草人包括王晨</w:t>
      </w:r>
      <w:r>
        <w:rPr>
          <w:rFonts w:hint="eastAsia"/>
          <w:vertAlign w:val="superscript"/>
        </w:rPr>
        <w:t>1</w:t>
      </w:r>
      <w:r>
        <w:rPr>
          <w:rFonts w:hint="eastAsia"/>
        </w:rPr>
        <w:t>、高吉喜</w:t>
      </w:r>
      <w:r>
        <w:rPr>
          <w:rFonts w:hint="eastAsia"/>
          <w:vertAlign w:val="superscript"/>
        </w:rPr>
        <w:t>1</w:t>
      </w:r>
      <w:r>
        <w:rPr>
          <w:rFonts w:hint="eastAsia"/>
        </w:rPr>
        <w:t>、王雪蕾</w:t>
      </w:r>
      <w:r>
        <w:rPr>
          <w:rFonts w:hint="eastAsia"/>
          <w:vertAlign w:val="superscript"/>
        </w:rPr>
        <w:t>1</w:t>
      </w:r>
      <w:r>
        <w:rPr>
          <w:rFonts w:hint="eastAsia"/>
        </w:rPr>
        <w:t>、邹长新</w:t>
      </w:r>
      <w:r>
        <w:rPr>
          <w:rFonts w:hint="eastAsia"/>
          <w:vertAlign w:val="superscript"/>
        </w:rPr>
        <w:t>2</w:t>
      </w:r>
      <w:r>
        <w:rPr>
          <w:rFonts w:hint="eastAsia"/>
        </w:rPr>
        <w:t>、王航</w:t>
      </w:r>
      <w:r>
        <w:rPr>
          <w:rFonts w:hint="eastAsia"/>
          <w:vertAlign w:val="superscript"/>
        </w:rPr>
        <w:t>1</w:t>
      </w:r>
      <w:r>
        <w:rPr>
          <w:rFonts w:hint="eastAsia"/>
        </w:rPr>
        <w:t>、孟凡乐</w:t>
      </w:r>
      <w:r>
        <w:rPr>
          <w:rFonts w:hint="eastAsia"/>
          <w:vertAlign w:val="superscript"/>
        </w:rPr>
        <w:t>1</w:t>
      </w:r>
      <w:r>
        <w:rPr>
          <w:rFonts w:hint="eastAsia"/>
        </w:rPr>
        <w:t>、田美荣</w:t>
      </w:r>
      <w:r>
        <w:rPr>
          <w:rFonts w:hint="eastAsia"/>
          <w:vertAlign w:val="superscript"/>
        </w:rPr>
        <w:t>3</w:t>
      </w:r>
      <w:r>
        <w:rPr>
          <w:rFonts w:hint="eastAsia"/>
        </w:rPr>
        <w:t>、张晓刚</w:t>
      </w:r>
      <w:r>
        <w:rPr>
          <w:rFonts w:hint="eastAsia"/>
          <w:vertAlign w:val="superscript"/>
        </w:rPr>
        <w:t>1</w:t>
      </w:r>
      <w:r>
        <w:rPr>
          <w:rFonts w:hint="eastAsia"/>
        </w:rPr>
        <w:t>、尹文杰</w:t>
      </w:r>
      <w:r>
        <w:rPr>
          <w:rFonts w:hint="eastAsia"/>
          <w:vertAlign w:val="superscript"/>
        </w:rPr>
        <w:t>1</w:t>
      </w:r>
      <w:r>
        <w:rPr>
          <w:rFonts w:hint="eastAsia"/>
        </w:rPr>
        <w:t>、赵瑞雪</w:t>
      </w:r>
      <w:r>
        <w:rPr>
          <w:rFonts w:hint="eastAsia"/>
          <w:vertAlign w:val="superscript"/>
        </w:rPr>
        <w:t>1</w:t>
      </w:r>
      <w:r>
        <w:rPr>
          <w:rFonts w:hint="eastAsia"/>
        </w:rPr>
        <w:t>、杨红艳</w:t>
      </w:r>
      <w:r>
        <w:rPr>
          <w:rFonts w:hint="eastAsia"/>
          <w:vertAlign w:val="superscript"/>
        </w:rPr>
        <w:t>1</w:t>
      </w:r>
      <w:r>
        <w:rPr>
          <w:rFonts w:hint="eastAsia"/>
        </w:rPr>
        <w:t>、张琨</w:t>
      </w:r>
      <w:r>
        <w:rPr>
          <w:rFonts w:hint="eastAsia"/>
          <w:vertAlign w:val="superscript"/>
        </w:rPr>
        <w:t>2</w:t>
      </w:r>
      <w:r>
        <w:rPr>
          <w:rFonts w:hint="eastAsia"/>
        </w:rPr>
        <w:t>、赵焕</w:t>
      </w:r>
      <w:r>
        <w:rPr>
          <w:rFonts w:hint="eastAsia"/>
          <w:vertAlign w:val="superscript"/>
        </w:rPr>
        <w:t>1</w:t>
      </w:r>
      <w:r>
        <w:rPr>
          <w:rFonts w:hint="eastAsia"/>
        </w:rPr>
        <w:t>、贾兴</w:t>
      </w:r>
      <w:r>
        <w:rPr>
          <w:rFonts w:hint="eastAsia"/>
          <w:vertAlign w:val="superscript"/>
        </w:rPr>
        <w:t>1</w:t>
      </w:r>
      <w:r>
        <w:rPr>
          <w:rFonts w:hint="eastAsia"/>
        </w:rPr>
        <w:t>、刘静</w:t>
      </w:r>
      <w:r>
        <w:rPr>
          <w:rFonts w:hint="eastAsia"/>
          <w:vertAlign w:val="superscript"/>
        </w:rPr>
        <w:t>2</w:t>
      </w:r>
      <w:r>
        <w:rPr>
          <w:rFonts w:hint="eastAsia"/>
        </w:rPr>
        <w:t>、徐德琳</w:t>
      </w:r>
      <w:r>
        <w:rPr>
          <w:rFonts w:hint="eastAsia"/>
          <w:vertAlign w:val="superscript"/>
        </w:rPr>
        <w:t>2</w:t>
      </w:r>
      <w:r>
        <w:rPr>
          <w:rFonts w:hint="eastAsia"/>
        </w:rPr>
        <w:t>、单楠</w:t>
      </w:r>
      <w:r>
        <w:rPr>
          <w:rFonts w:hint="eastAsia"/>
          <w:vertAlign w:val="superscript"/>
        </w:rPr>
        <w:t>2</w:t>
      </w:r>
      <w:r>
        <w:rPr>
          <w:rFonts w:hint="eastAsia"/>
        </w:rPr>
        <w:t>、王玉</w:t>
      </w:r>
      <w:r>
        <w:rPr>
          <w:rFonts w:hint="eastAsia"/>
          <w:vertAlign w:val="superscript"/>
        </w:rPr>
        <w:t>1</w:t>
      </w:r>
      <w:r>
        <w:rPr>
          <w:rFonts w:hint="eastAsia"/>
        </w:rPr>
        <w:t>、王楠</w:t>
      </w:r>
      <w:r>
        <w:rPr>
          <w:rFonts w:hint="eastAsia"/>
          <w:vertAlign w:val="superscript"/>
        </w:rPr>
        <w:t>1</w:t>
      </w:r>
      <w:r>
        <w:rPr>
          <w:rFonts w:hint="eastAsia"/>
        </w:rPr>
        <w:t>、刘帅</w:t>
      </w:r>
      <w:r>
        <w:rPr>
          <w:rFonts w:hint="eastAsia"/>
          <w:vertAlign w:val="superscript"/>
        </w:rPr>
        <w:t>1</w:t>
      </w:r>
      <w:r>
        <w:rPr>
          <w:rFonts w:hint="eastAsia"/>
        </w:rPr>
        <w:t>、陈华杰</w:t>
      </w:r>
      <w:r>
        <w:rPr>
          <w:rFonts w:hint="eastAsia"/>
          <w:vertAlign w:val="superscript"/>
        </w:rPr>
        <w:t>1</w:t>
      </w:r>
      <w:r>
        <w:rPr>
          <w:rFonts w:hint="eastAsia"/>
        </w:rPr>
        <w:t>、周亚明</w:t>
      </w:r>
      <w:r>
        <w:rPr>
          <w:rFonts w:hint="eastAsia"/>
          <w:vertAlign w:val="superscript"/>
        </w:rPr>
        <w:t>1</w:t>
      </w:r>
      <w:r>
        <w:rPr>
          <w:rFonts w:hint="eastAsia"/>
        </w:rPr>
        <w:t>、王庆涛</w:t>
      </w:r>
      <w:r>
        <w:rPr>
          <w:rFonts w:hint="eastAsia"/>
          <w:vertAlign w:val="superscript"/>
        </w:rPr>
        <w:t>1</w:t>
      </w:r>
      <w:r>
        <w:rPr>
          <w:rFonts w:hint="eastAsia"/>
        </w:rPr>
        <w:t>、田峰</w:t>
      </w:r>
      <w:r>
        <w:rPr>
          <w:rFonts w:hint="eastAsia"/>
          <w:vertAlign w:val="superscript"/>
        </w:rPr>
        <w:t>2</w:t>
      </w:r>
      <w:r>
        <w:rPr>
          <w:rFonts w:hint="eastAsia"/>
        </w:rPr>
        <w:t>、许小娟</w:t>
      </w:r>
      <w:r>
        <w:rPr>
          <w:rFonts w:hint="eastAsia"/>
          <w:vertAlign w:val="superscript"/>
        </w:rPr>
        <w:t>2</w:t>
      </w:r>
      <w:r>
        <w:rPr>
          <w:rFonts w:hint="eastAsia"/>
        </w:rPr>
        <w:t>、穆玉蓉</w:t>
      </w:r>
      <w:r>
        <w:rPr>
          <w:rFonts w:hint="eastAsia"/>
          <w:vertAlign w:val="superscript"/>
        </w:rPr>
        <w:t>1</w:t>
      </w:r>
      <w:r>
        <w:rPr>
          <w:rFonts w:hint="eastAsia"/>
        </w:rPr>
        <w:t>等。其中，王晨、高吉喜、王雪蕾和邹长新主要负责技术规范总体编写思路及技术路线指导；王航、田美荣、张晓刚、尹文杰、杨红艳和张琨等主要负责文献资料调研及标准文本编制；孟凡乐、赵焕、贾兴、刘静、徐德琳、单楠、王玉、王楠、刘帅、陈华杰、周亚明和王庆涛等主要负责标准技术路线及断流监测评价测试验证；赵瑞雪、田峰、许小娟和穆玉蓉等主要负责标准文本校稿。</w:t>
      </w:r>
    </w:p>
    <w:p w14:paraId="1931FCFB">
      <w:pPr>
        <w:ind w:firstLine="562" w:firstLineChars="200"/>
        <w:outlineLvl w:val="0"/>
        <w:rPr>
          <w:rFonts w:eastAsia="黑体"/>
          <w:b/>
          <w:sz w:val="28"/>
        </w:rPr>
      </w:pPr>
      <w:bookmarkStart w:id="99" w:name="_Toc13000"/>
      <w:bookmarkStart w:id="100" w:name="_Toc19064"/>
      <w:bookmarkStart w:id="101" w:name="_Toc16228"/>
      <w:bookmarkStart w:id="102" w:name="_Toc27602"/>
      <w:bookmarkStart w:id="103" w:name="_Toc27295"/>
      <w:bookmarkStart w:id="104" w:name="_Toc14193"/>
      <w:bookmarkStart w:id="105" w:name="_Toc23311"/>
      <w:bookmarkStart w:id="106" w:name="_Toc182323073"/>
      <w:r>
        <w:rPr>
          <w:rFonts w:hint="eastAsia" w:eastAsia="黑体"/>
          <w:b/>
          <w:sz w:val="28"/>
        </w:rPr>
        <w:t>二、标准制修订原则</w:t>
      </w:r>
      <w:bookmarkEnd w:id="99"/>
      <w:bookmarkEnd w:id="100"/>
      <w:bookmarkEnd w:id="101"/>
      <w:bookmarkEnd w:id="102"/>
      <w:bookmarkEnd w:id="103"/>
      <w:bookmarkEnd w:id="104"/>
      <w:bookmarkEnd w:id="105"/>
      <w:bookmarkEnd w:id="106"/>
    </w:p>
    <w:p w14:paraId="2DC2ED25">
      <w:pPr>
        <w:ind w:firstLine="480" w:firstLineChars="200"/>
      </w:pPr>
      <w:r>
        <w:rPr>
          <w:rFonts w:hint="eastAsia"/>
        </w:rPr>
        <w:t>标准编制组本着规范</w:t>
      </w:r>
      <w:r>
        <w:rPr>
          <w:rFonts w:hint="eastAsia"/>
          <w:lang w:val="en-US" w:eastAsia="zh-CN"/>
        </w:rPr>
        <w:t>性</w:t>
      </w:r>
      <w:r>
        <w:rPr>
          <w:rFonts w:hint="eastAsia"/>
        </w:rPr>
        <w:t>、可操作性</w:t>
      </w:r>
      <w:r>
        <w:rPr>
          <w:rFonts w:hint="eastAsia"/>
          <w:lang w:val="en-US" w:eastAsia="zh-CN"/>
        </w:rPr>
        <w:t>和</w:t>
      </w:r>
      <w:r>
        <w:rPr>
          <w:rFonts w:hint="eastAsia"/>
        </w:rPr>
        <w:t>经济</w:t>
      </w:r>
      <w:r>
        <w:rPr>
          <w:rFonts w:hint="eastAsia"/>
          <w:lang w:val="en-US" w:eastAsia="zh-CN"/>
        </w:rPr>
        <w:t>性</w:t>
      </w:r>
      <w:r>
        <w:rPr>
          <w:rFonts w:hint="eastAsia"/>
        </w:rPr>
        <w:t>原则，参考国内外河流断流干涸监测的方式方法，结合我国多年来河流断流干涸遥感监测结果，不断深入研究和完善，制定本标准。本标准旨在为河流断流干涸的监测、评价与预警工作提供统一的技术依据和方法支撑。其制定原则如下：</w:t>
      </w:r>
    </w:p>
    <w:p w14:paraId="2A10749E">
      <w:pPr>
        <w:ind w:firstLine="562" w:firstLineChars="200"/>
        <w:outlineLvl w:val="1"/>
        <w:rPr>
          <w:b/>
          <w:sz w:val="28"/>
        </w:rPr>
      </w:pPr>
      <w:bookmarkStart w:id="107" w:name="_Toc14638"/>
      <w:bookmarkStart w:id="108" w:name="_Toc25906"/>
      <w:bookmarkStart w:id="109" w:name="_Toc30373"/>
      <w:bookmarkStart w:id="110" w:name="_Toc26772"/>
      <w:bookmarkStart w:id="111" w:name="_Toc31492"/>
      <w:bookmarkStart w:id="112" w:name="_Toc16039"/>
      <w:bookmarkStart w:id="113" w:name="_Toc6134"/>
      <w:bookmarkStart w:id="114" w:name="_Toc182323074"/>
      <w:r>
        <w:rPr>
          <w:b/>
          <w:sz w:val="28"/>
        </w:rPr>
        <w:t>2.1</w:t>
      </w:r>
      <w:r>
        <w:rPr>
          <w:rFonts w:hint="eastAsia"/>
          <w:b/>
          <w:sz w:val="28"/>
        </w:rPr>
        <w:t>规范性原则</w:t>
      </w:r>
      <w:bookmarkEnd w:id="107"/>
      <w:bookmarkEnd w:id="108"/>
      <w:bookmarkEnd w:id="109"/>
      <w:bookmarkEnd w:id="110"/>
      <w:bookmarkEnd w:id="111"/>
      <w:bookmarkEnd w:id="112"/>
      <w:bookmarkEnd w:id="113"/>
      <w:bookmarkEnd w:id="114"/>
    </w:p>
    <w:p w14:paraId="54569283">
      <w:pPr>
        <w:ind w:firstLine="480" w:firstLineChars="200"/>
      </w:pPr>
      <w:r>
        <w:rPr>
          <w:rFonts w:hint="eastAsia"/>
        </w:rPr>
        <w:t>充分依据相关领域的科学原理，体现国内外最新研究进展，吸收多年来监测评价工作积累的成果与经验。在河流断流干涸遥感监测过程中，对监测内容与要求、监测方法、评价方法及质量控制与保障等环节提出规范化的技术要求，确保标准的科学性和技术可靠性。</w:t>
      </w:r>
    </w:p>
    <w:p w14:paraId="183F7F83">
      <w:pPr>
        <w:ind w:firstLine="562" w:firstLineChars="200"/>
        <w:outlineLvl w:val="1"/>
        <w:rPr>
          <w:b/>
          <w:sz w:val="28"/>
        </w:rPr>
      </w:pPr>
      <w:bookmarkStart w:id="115" w:name="_Toc15411"/>
      <w:bookmarkStart w:id="116" w:name="_Toc990"/>
      <w:bookmarkStart w:id="117" w:name="_Toc8075"/>
      <w:bookmarkStart w:id="118" w:name="_Toc8585"/>
      <w:bookmarkStart w:id="119" w:name="_Toc27909"/>
      <w:bookmarkStart w:id="120" w:name="_Toc182323075"/>
      <w:bookmarkStart w:id="121" w:name="_Toc12272"/>
      <w:bookmarkStart w:id="122" w:name="_Toc5984"/>
      <w:r>
        <w:rPr>
          <w:b/>
          <w:sz w:val="28"/>
        </w:rPr>
        <w:t>2.2</w:t>
      </w:r>
      <w:r>
        <w:rPr>
          <w:rFonts w:hint="eastAsia"/>
          <w:b/>
          <w:sz w:val="28"/>
        </w:rPr>
        <w:t>可操作性原则</w:t>
      </w:r>
      <w:bookmarkEnd w:id="115"/>
      <w:bookmarkEnd w:id="116"/>
      <w:bookmarkEnd w:id="117"/>
      <w:bookmarkEnd w:id="118"/>
      <w:bookmarkEnd w:id="119"/>
      <w:bookmarkEnd w:id="120"/>
      <w:bookmarkEnd w:id="121"/>
      <w:bookmarkEnd w:id="122"/>
    </w:p>
    <w:p w14:paraId="570B88D9">
      <w:pPr>
        <w:ind w:firstLine="480" w:firstLineChars="200"/>
      </w:pPr>
      <w:r>
        <w:rPr>
          <w:rFonts w:hint="eastAsia"/>
        </w:rPr>
        <w:t>标准工作流程简明清晰，便于对河流断流发生情况进行定性和定量描述，便于组织实施与监督管理。具备相关专业背景、技能和设备条件的人员，可按照本规范中的内容和要求开展河流断流遥感监测与评价工作，确保标准具有可执行性和可推广性。</w:t>
      </w:r>
    </w:p>
    <w:p w14:paraId="708DD8E0">
      <w:pPr>
        <w:ind w:firstLine="562" w:firstLineChars="200"/>
        <w:outlineLvl w:val="1"/>
        <w:rPr>
          <w:b/>
          <w:sz w:val="28"/>
        </w:rPr>
      </w:pPr>
      <w:bookmarkStart w:id="123" w:name="_Toc6887"/>
      <w:bookmarkStart w:id="124" w:name="_Toc30195"/>
      <w:bookmarkStart w:id="125" w:name="_Toc5699"/>
      <w:bookmarkStart w:id="126" w:name="_Toc16480"/>
      <w:bookmarkStart w:id="127" w:name="_Toc182323076"/>
      <w:bookmarkStart w:id="128" w:name="_Toc4535"/>
      <w:bookmarkStart w:id="129" w:name="_Toc24971"/>
      <w:bookmarkStart w:id="130" w:name="_Toc15937"/>
      <w:r>
        <w:rPr>
          <w:b/>
          <w:sz w:val="28"/>
        </w:rPr>
        <w:t>2.3</w:t>
      </w:r>
      <w:r>
        <w:rPr>
          <w:rFonts w:hint="eastAsia"/>
          <w:b/>
          <w:sz w:val="28"/>
        </w:rPr>
        <w:t>经济性原则</w:t>
      </w:r>
      <w:bookmarkEnd w:id="123"/>
      <w:bookmarkEnd w:id="124"/>
      <w:bookmarkEnd w:id="125"/>
      <w:bookmarkEnd w:id="126"/>
      <w:bookmarkEnd w:id="127"/>
      <w:bookmarkEnd w:id="128"/>
      <w:bookmarkEnd w:id="129"/>
      <w:bookmarkEnd w:id="130"/>
    </w:p>
    <w:p w14:paraId="0CC606BC">
      <w:pPr>
        <w:ind w:firstLine="480" w:firstLineChars="200"/>
      </w:pPr>
      <w:r>
        <w:rPr>
          <w:rFonts w:hint="eastAsia"/>
        </w:rPr>
        <w:t>相较于传统水文监测站的地面观测方式，卫星遥感监测技术可以实现对河流断流干涸情况的全面、客观、高效和动态化监测，</w:t>
      </w:r>
      <w:r>
        <w:rPr>
          <w:rFonts w:ascii="宋体" w:hAnsi="宋体" w:cs="宋体"/>
          <w:szCs w:val="24"/>
        </w:rPr>
        <w:t>大幅提高监测效率，</w:t>
      </w:r>
      <w:r>
        <w:rPr>
          <w:rFonts w:hint="eastAsia" w:ascii="宋体" w:hAnsi="宋体" w:cs="宋体"/>
          <w:szCs w:val="24"/>
        </w:rPr>
        <w:t>节约</w:t>
      </w:r>
      <w:r>
        <w:rPr>
          <w:rFonts w:hint="eastAsia"/>
        </w:rPr>
        <w:t>人力、物力、财力及时间成本。</w:t>
      </w:r>
    </w:p>
    <w:p w14:paraId="23FD096E">
      <w:pPr>
        <w:ind w:firstLine="562" w:firstLineChars="200"/>
        <w:outlineLvl w:val="0"/>
        <w:rPr>
          <w:b/>
        </w:rPr>
      </w:pPr>
      <w:bookmarkStart w:id="131" w:name="_Toc3320"/>
      <w:bookmarkStart w:id="132" w:name="_Toc13232"/>
      <w:bookmarkStart w:id="133" w:name="_Toc22332"/>
      <w:bookmarkStart w:id="134" w:name="_Toc182323077"/>
      <w:bookmarkStart w:id="135" w:name="_Toc3495"/>
      <w:bookmarkStart w:id="136" w:name="_Toc24916"/>
      <w:bookmarkStart w:id="137" w:name="_Toc22779"/>
      <w:bookmarkStart w:id="138" w:name="_Toc19536"/>
      <w:r>
        <w:rPr>
          <w:rFonts w:hint="eastAsia" w:eastAsia="黑体"/>
          <w:b/>
          <w:sz w:val="28"/>
        </w:rPr>
        <w:t>三、标准主要条文或技术内容的依据和专利情况说明</w:t>
      </w:r>
      <w:bookmarkEnd w:id="131"/>
      <w:bookmarkEnd w:id="132"/>
      <w:bookmarkEnd w:id="133"/>
      <w:bookmarkEnd w:id="134"/>
      <w:bookmarkEnd w:id="135"/>
      <w:bookmarkEnd w:id="136"/>
      <w:bookmarkEnd w:id="137"/>
      <w:bookmarkEnd w:id="138"/>
    </w:p>
    <w:p w14:paraId="3D5F7E1A">
      <w:pPr>
        <w:ind w:firstLine="562" w:firstLineChars="200"/>
        <w:outlineLvl w:val="1"/>
        <w:rPr>
          <w:b/>
          <w:sz w:val="28"/>
        </w:rPr>
      </w:pPr>
      <w:bookmarkStart w:id="139" w:name="_Toc20683"/>
      <w:bookmarkStart w:id="140" w:name="_Toc21248"/>
      <w:bookmarkStart w:id="141" w:name="_Toc8730"/>
      <w:bookmarkStart w:id="142" w:name="_Toc12844"/>
      <w:bookmarkStart w:id="143" w:name="_Toc20252"/>
      <w:bookmarkStart w:id="144" w:name="_Toc182323078"/>
      <w:bookmarkStart w:id="145" w:name="_Toc279"/>
      <w:bookmarkStart w:id="146" w:name="_Toc12164"/>
      <w:r>
        <w:rPr>
          <w:b/>
          <w:sz w:val="28"/>
        </w:rPr>
        <w:t>3.1</w:t>
      </w:r>
      <w:r>
        <w:rPr>
          <w:rFonts w:hint="eastAsia"/>
          <w:b/>
          <w:sz w:val="28"/>
        </w:rPr>
        <w:t>国内外研究现状</w:t>
      </w:r>
      <w:bookmarkEnd w:id="139"/>
      <w:bookmarkEnd w:id="140"/>
      <w:bookmarkEnd w:id="141"/>
      <w:bookmarkEnd w:id="142"/>
    </w:p>
    <w:p w14:paraId="13758DAE">
      <w:pPr>
        <w:ind w:firstLine="480" w:firstLineChars="200"/>
      </w:pPr>
      <w:r>
        <w:rPr>
          <w:rFonts w:hint="eastAsia"/>
        </w:rPr>
        <w:t>美国环保署（U.S. Environmental Protection Agency, EPA）在《国家河流与溪流评估》（National Rivers and Streams Assessment, NRSA）的技术支撑文件中，将河段中“干涸长度占比（Percent of support reach length that is dry, PCT_DR）”作为反映河流水文中断与栖息地状况的重要指标之一。</w:t>
      </w:r>
    </w:p>
    <w:p w14:paraId="1FC904B6">
      <w:pPr>
        <w:ind w:firstLine="480" w:firstLineChars="200"/>
      </w:pPr>
      <w:r>
        <w:rPr>
          <w:rFonts w:hint="eastAsia"/>
        </w:rPr>
        <w:t>欧盟《水框架指令》（Water Framework Directive, WFD）将河流-湖泊等水体的水文连通性纳入生态状态评价的重要组成部分，要求成员国通过监测水量、生态、化学及形态变化，确保“良好生态状态（good ecological status）”。</w:t>
      </w:r>
    </w:p>
    <w:p w14:paraId="7DC66BF1">
      <w:pPr>
        <w:ind w:firstLine="480" w:firstLineChars="200"/>
        <w:rPr>
          <w:b/>
          <w:sz w:val="28"/>
        </w:rPr>
      </w:pPr>
      <w:r>
        <w:rPr>
          <w:rFonts w:hint="eastAsia"/>
        </w:rPr>
        <w:t>我国现行技术规范中，已在水资源规划与评价等领域对河流断流的监测与评价提出了初步要求，但尚未形成统一的、系统化的断流监测评价指标体系。水利部发布的《水资源评价导则》（SL/T 238—1999）中，对河道断流的识别与记录提出了技术要求，建议在水资源评价工作中，结合实测资料与现场调查，记录河道断流发生的地段、起讫时间及断流持续期等信息，以反映水资源开发利用对天然径流过程的影响程度。《河湖生态流量技术导则》（试行）（SL/T 798—2020）进一步强调应对断流情况进行监测分析，将断流频率、持续时间及空间分布作为生态流量评价的重要参考参数，用于判定河流生态系统受胁迫程度及生态需水保障水平。2023年5月，生态环境部监测司印发《白洋淀生态环境质量专项监测方案》（环办监测函〔2023〕168号），其中生态质量监督中监测包含入淀河流断流干涸长度及断流干涸指数。2024年4月，生态环境部监测司印发《白洋淀水生态环境质量综合评价方法（试行）》（监测函〔2024〕14号）采用断流干涸比例评价水力连通性。</w:t>
      </w:r>
      <w:r>
        <w:t>202</w:t>
      </w:r>
      <w:r>
        <w:rPr>
          <w:rFonts w:hint="eastAsia"/>
        </w:rPr>
        <w:t>5</w:t>
      </w:r>
      <w:r>
        <w:t>年</w:t>
      </w:r>
      <w:r>
        <w:rPr>
          <w:rFonts w:hint="eastAsia"/>
        </w:rPr>
        <w:t>9月</w:t>
      </w:r>
      <w:r>
        <w:t>，生态环境部水生态环境司</w:t>
      </w:r>
      <w:r>
        <w:rPr>
          <w:rFonts w:hint="eastAsia"/>
        </w:rPr>
        <w:t>印发</w:t>
      </w:r>
      <w:r>
        <w:t>《水生态环境问题</w:t>
      </w:r>
      <w:r>
        <w:rPr>
          <w:rFonts w:hint="eastAsia"/>
        </w:rPr>
        <w:t>处理处置</w:t>
      </w:r>
      <w:r>
        <w:t>工作机制》</w:t>
      </w:r>
      <w:r>
        <w:rPr>
          <w:rFonts w:hint="eastAsia"/>
        </w:rPr>
        <w:t>（环办水体函〔2025〕330号）</w:t>
      </w:r>
      <w:r>
        <w:t>中提出</w:t>
      </w:r>
      <w:r>
        <w:rPr>
          <w:rFonts w:hint="eastAsia"/>
        </w:rPr>
        <w:t>河流断流干涸程度加剧的水体识别为水生态环境突出问题，即“当季度国家重点区域河流断流干涸指数同比上升20%以上（根据各地实际情况适时调整）</w:t>
      </w:r>
      <w:r>
        <w:t>”。</w:t>
      </w:r>
    </w:p>
    <w:p w14:paraId="4027F4BC">
      <w:pPr>
        <w:ind w:firstLine="562" w:firstLineChars="200"/>
        <w:outlineLvl w:val="1"/>
        <w:rPr>
          <w:b/>
          <w:sz w:val="28"/>
        </w:rPr>
      </w:pPr>
      <w:bookmarkStart w:id="147" w:name="_Toc16535"/>
      <w:bookmarkStart w:id="148" w:name="_Toc26050"/>
      <w:bookmarkStart w:id="149" w:name="_Toc27381"/>
      <w:bookmarkStart w:id="150" w:name="_Toc18603"/>
      <w:r>
        <w:rPr>
          <w:b/>
          <w:sz w:val="28"/>
        </w:rPr>
        <w:t>3.</w:t>
      </w:r>
      <w:r>
        <w:rPr>
          <w:rFonts w:hint="eastAsia"/>
          <w:b/>
          <w:sz w:val="28"/>
        </w:rPr>
        <w:t>2主要内容</w:t>
      </w:r>
      <w:bookmarkEnd w:id="143"/>
      <w:bookmarkEnd w:id="144"/>
      <w:bookmarkEnd w:id="145"/>
      <w:bookmarkEnd w:id="146"/>
      <w:bookmarkEnd w:id="147"/>
      <w:bookmarkEnd w:id="148"/>
      <w:bookmarkEnd w:id="149"/>
      <w:bookmarkEnd w:id="150"/>
    </w:p>
    <w:p w14:paraId="57E4B79F">
      <w:pPr>
        <w:ind w:firstLine="480" w:firstLineChars="200"/>
      </w:pPr>
      <w:r>
        <w:rPr>
          <w:rFonts w:hint="eastAsia"/>
        </w:rPr>
        <w:t>本标准适用于基于遥感影像数据开展河流断流干涸监测以及河流断流干涸程度评价工作。</w:t>
      </w:r>
    </w:p>
    <w:p w14:paraId="7C653B1B">
      <w:pPr>
        <w:ind w:firstLine="562" w:firstLineChars="200"/>
        <w:outlineLvl w:val="1"/>
        <w:rPr>
          <w:b/>
          <w:sz w:val="28"/>
        </w:rPr>
      </w:pPr>
      <w:bookmarkStart w:id="151" w:name="_Toc26391"/>
      <w:bookmarkStart w:id="152" w:name="_Toc12126"/>
      <w:bookmarkStart w:id="153" w:name="_Toc10940"/>
      <w:bookmarkStart w:id="154" w:name="_Toc29473"/>
      <w:bookmarkStart w:id="155" w:name="_Toc21632"/>
      <w:bookmarkStart w:id="156" w:name="_Toc461"/>
      <w:bookmarkStart w:id="157" w:name="_Toc18378"/>
      <w:bookmarkStart w:id="158" w:name="_Toc182323079"/>
      <w:r>
        <w:rPr>
          <w:b/>
          <w:sz w:val="28"/>
        </w:rPr>
        <w:t>3.</w:t>
      </w:r>
      <w:r>
        <w:rPr>
          <w:rFonts w:hint="eastAsia"/>
          <w:b/>
          <w:sz w:val="28"/>
        </w:rPr>
        <w:t>3技术规范结构框架</w:t>
      </w:r>
      <w:bookmarkEnd w:id="151"/>
      <w:bookmarkEnd w:id="152"/>
      <w:bookmarkEnd w:id="153"/>
      <w:bookmarkEnd w:id="154"/>
      <w:bookmarkEnd w:id="155"/>
      <w:bookmarkEnd w:id="156"/>
      <w:bookmarkEnd w:id="157"/>
      <w:bookmarkEnd w:id="158"/>
    </w:p>
    <w:p w14:paraId="52996DAC">
      <w:pPr>
        <w:ind w:firstLine="480" w:firstLineChars="200"/>
      </w:pPr>
      <w:r>
        <w:rPr>
          <w:rFonts w:hint="eastAsia"/>
        </w:rPr>
        <w:t>本技术规范主要包括适用范围、规范性引用文件、术语和定义、监测内容与要求、技术流程与方法、监测方法、河流断流干涸程度评价方法、质量控制与保障、成果形式要求等九个方面内容，具体见表1。</w:t>
      </w:r>
    </w:p>
    <w:p w14:paraId="63114ADB">
      <w:pPr>
        <w:jc w:val="center"/>
        <w:rPr>
          <w:rFonts w:eastAsia="黑体"/>
        </w:rPr>
      </w:pPr>
      <w:r>
        <w:rPr>
          <w:rFonts w:hint="eastAsia" w:eastAsia="黑体"/>
          <w:sz w:val="21"/>
        </w:rPr>
        <w:t>表1《河流断流干涸遥感监测评价技术规范（试行）》架构</w:t>
      </w:r>
    </w:p>
    <w:tbl>
      <w:tblPr>
        <w:tblStyle w:val="14"/>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30"/>
        <w:gridCol w:w="5329"/>
      </w:tblGrid>
      <w:tr w14:paraId="61768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3030" w:type="dxa"/>
            <w:shd w:val="clear" w:color="auto" w:fill="auto"/>
            <w:vAlign w:val="center"/>
          </w:tcPr>
          <w:p w14:paraId="29719890">
            <w:pPr>
              <w:ind w:left="979" w:hanging="978" w:hangingChars="466"/>
              <w:jc w:val="center"/>
              <w:rPr>
                <w:sz w:val="21"/>
                <w:szCs w:val="30"/>
              </w:rPr>
            </w:pPr>
            <w:r>
              <w:rPr>
                <w:rFonts w:hint="eastAsia" w:cs="宋体"/>
                <w:sz w:val="21"/>
                <w:szCs w:val="30"/>
              </w:rPr>
              <w:t>技术规范</w:t>
            </w:r>
            <w:r>
              <w:rPr>
                <w:rFonts w:cs="宋体"/>
                <w:sz w:val="21"/>
                <w:szCs w:val="30"/>
              </w:rPr>
              <w:t>内容</w:t>
            </w:r>
          </w:p>
        </w:tc>
        <w:tc>
          <w:tcPr>
            <w:tcW w:w="5329" w:type="dxa"/>
            <w:shd w:val="clear" w:color="auto" w:fill="auto"/>
            <w:vAlign w:val="center"/>
          </w:tcPr>
          <w:p w14:paraId="05F6A076">
            <w:pPr>
              <w:ind w:left="1035" w:hanging="1035" w:hangingChars="493"/>
              <w:jc w:val="center"/>
              <w:rPr>
                <w:rFonts w:cs="宋体"/>
                <w:sz w:val="21"/>
                <w:szCs w:val="30"/>
              </w:rPr>
            </w:pPr>
            <w:r>
              <w:rPr>
                <w:rFonts w:hint="eastAsia" w:cs="宋体"/>
                <w:sz w:val="21"/>
                <w:szCs w:val="30"/>
              </w:rPr>
              <w:t>详细</w:t>
            </w:r>
            <w:r>
              <w:rPr>
                <w:rFonts w:cs="宋体"/>
                <w:sz w:val="21"/>
                <w:szCs w:val="30"/>
              </w:rPr>
              <w:t>内容</w:t>
            </w:r>
          </w:p>
        </w:tc>
      </w:tr>
      <w:tr w14:paraId="442B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1A595CCF">
            <w:pPr>
              <w:pStyle w:val="23"/>
              <w:numPr>
                <w:ilvl w:val="0"/>
                <w:numId w:val="0"/>
              </w:numPr>
              <w:jc w:val="left"/>
              <w:rPr>
                <w:spacing w:val="-5"/>
                <w:kern w:val="0"/>
                <w:szCs w:val="30"/>
              </w:rPr>
            </w:pPr>
            <w:r>
              <w:rPr>
                <w:rFonts w:hint="eastAsia"/>
                <w:spacing w:val="-5"/>
                <w:kern w:val="0"/>
                <w:szCs w:val="30"/>
              </w:rPr>
              <w:t>1 适用范围</w:t>
            </w:r>
          </w:p>
        </w:tc>
        <w:tc>
          <w:tcPr>
            <w:tcW w:w="5329" w:type="dxa"/>
            <w:vAlign w:val="center"/>
          </w:tcPr>
          <w:p w14:paraId="714A22F3">
            <w:pPr>
              <w:pStyle w:val="23"/>
              <w:numPr>
                <w:ilvl w:val="0"/>
                <w:numId w:val="0"/>
              </w:numPr>
              <w:jc w:val="left"/>
              <w:rPr>
                <w:spacing w:val="-5"/>
                <w:kern w:val="0"/>
                <w:szCs w:val="30"/>
              </w:rPr>
            </w:pPr>
            <w:r>
              <w:rPr>
                <w:rFonts w:hint="eastAsia"/>
                <w:spacing w:val="-5"/>
                <w:kern w:val="0"/>
                <w:szCs w:val="30"/>
              </w:rPr>
              <w:t>概述了本技术</w:t>
            </w:r>
            <w:r>
              <w:rPr>
                <w:rFonts w:hint="eastAsia" w:cs="宋体"/>
                <w:szCs w:val="30"/>
              </w:rPr>
              <w:t>规范</w:t>
            </w:r>
            <w:r>
              <w:rPr>
                <w:rFonts w:hint="eastAsia"/>
                <w:spacing w:val="-5"/>
                <w:kern w:val="0"/>
                <w:szCs w:val="30"/>
              </w:rPr>
              <w:t>的编制内容和适用范围。</w:t>
            </w:r>
          </w:p>
        </w:tc>
      </w:tr>
      <w:tr w14:paraId="6C90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5BDE8E4B">
            <w:pPr>
              <w:pStyle w:val="23"/>
              <w:numPr>
                <w:ilvl w:val="0"/>
                <w:numId w:val="0"/>
              </w:numPr>
              <w:jc w:val="left"/>
              <w:rPr>
                <w:spacing w:val="-5"/>
                <w:kern w:val="0"/>
                <w:szCs w:val="30"/>
              </w:rPr>
            </w:pPr>
            <w:r>
              <w:rPr>
                <w:rFonts w:hint="eastAsia"/>
                <w:spacing w:val="-5"/>
                <w:kern w:val="0"/>
                <w:szCs w:val="30"/>
              </w:rPr>
              <w:t>2 规范性引用文件</w:t>
            </w:r>
          </w:p>
        </w:tc>
        <w:tc>
          <w:tcPr>
            <w:tcW w:w="5329" w:type="dxa"/>
            <w:vAlign w:val="center"/>
          </w:tcPr>
          <w:p w14:paraId="0405C631">
            <w:pPr>
              <w:pStyle w:val="23"/>
              <w:numPr>
                <w:ilvl w:val="0"/>
                <w:numId w:val="0"/>
              </w:numPr>
              <w:jc w:val="left"/>
              <w:rPr>
                <w:spacing w:val="-5"/>
                <w:kern w:val="0"/>
                <w:szCs w:val="30"/>
              </w:rPr>
            </w:pPr>
            <w:r>
              <w:rPr>
                <w:rFonts w:hint="eastAsia"/>
                <w:spacing w:val="-5"/>
                <w:kern w:val="0"/>
                <w:szCs w:val="30"/>
              </w:rPr>
              <w:t>介绍了本技术</w:t>
            </w:r>
            <w:r>
              <w:rPr>
                <w:rFonts w:hint="eastAsia" w:cs="宋体"/>
                <w:szCs w:val="30"/>
              </w:rPr>
              <w:t>规范</w:t>
            </w:r>
            <w:r>
              <w:rPr>
                <w:rFonts w:hint="eastAsia"/>
                <w:spacing w:val="-5"/>
                <w:kern w:val="0"/>
                <w:szCs w:val="30"/>
              </w:rPr>
              <w:t>中引用的相关技术标准文件。</w:t>
            </w:r>
          </w:p>
        </w:tc>
      </w:tr>
      <w:tr w14:paraId="1BD4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0EA14286">
            <w:pPr>
              <w:pStyle w:val="23"/>
              <w:numPr>
                <w:ilvl w:val="0"/>
                <w:numId w:val="0"/>
              </w:numPr>
              <w:jc w:val="left"/>
              <w:rPr>
                <w:spacing w:val="-5"/>
                <w:kern w:val="0"/>
                <w:szCs w:val="30"/>
              </w:rPr>
            </w:pPr>
            <w:r>
              <w:rPr>
                <w:rFonts w:hint="eastAsia"/>
                <w:spacing w:val="-5"/>
                <w:kern w:val="0"/>
                <w:szCs w:val="30"/>
              </w:rPr>
              <w:t>3 术语和定义</w:t>
            </w:r>
          </w:p>
        </w:tc>
        <w:tc>
          <w:tcPr>
            <w:tcW w:w="5329" w:type="dxa"/>
            <w:vAlign w:val="center"/>
          </w:tcPr>
          <w:p w14:paraId="5B81C0F5">
            <w:pPr>
              <w:pStyle w:val="23"/>
              <w:numPr>
                <w:ilvl w:val="0"/>
                <w:numId w:val="0"/>
              </w:numPr>
              <w:jc w:val="left"/>
              <w:rPr>
                <w:spacing w:val="-5"/>
                <w:kern w:val="0"/>
                <w:szCs w:val="30"/>
              </w:rPr>
            </w:pPr>
            <w:r>
              <w:rPr>
                <w:rFonts w:hint="eastAsia"/>
                <w:spacing w:val="-5"/>
                <w:kern w:val="0"/>
                <w:szCs w:val="30"/>
              </w:rPr>
              <w:t>规定了3个术语，包括断流干涸河道、河流断流干涸指数和河流断流干涸频率</w:t>
            </w:r>
            <w:r>
              <w:rPr>
                <w:rFonts w:hint="eastAsia"/>
                <w:color w:val="000000"/>
                <w:spacing w:val="-5"/>
                <w:kern w:val="0"/>
                <w:szCs w:val="30"/>
              </w:rPr>
              <w:t>。</w:t>
            </w:r>
          </w:p>
        </w:tc>
      </w:tr>
      <w:tr w14:paraId="3954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3A7EE808">
            <w:pPr>
              <w:pStyle w:val="23"/>
              <w:numPr>
                <w:ilvl w:val="0"/>
                <w:numId w:val="0"/>
              </w:numPr>
              <w:jc w:val="left"/>
              <w:rPr>
                <w:spacing w:val="-5"/>
                <w:kern w:val="0"/>
                <w:szCs w:val="30"/>
              </w:rPr>
            </w:pPr>
            <w:r>
              <w:rPr>
                <w:rFonts w:hint="eastAsia"/>
                <w:spacing w:val="-5"/>
                <w:kern w:val="0"/>
                <w:szCs w:val="30"/>
              </w:rPr>
              <w:t>4 监测内容与要求</w:t>
            </w:r>
          </w:p>
        </w:tc>
        <w:tc>
          <w:tcPr>
            <w:tcW w:w="5329" w:type="dxa"/>
            <w:vAlign w:val="center"/>
          </w:tcPr>
          <w:p w14:paraId="31984323">
            <w:pPr>
              <w:pStyle w:val="23"/>
              <w:numPr>
                <w:ilvl w:val="0"/>
                <w:numId w:val="0"/>
              </w:numPr>
              <w:jc w:val="left"/>
              <w:rPr>
                <w:spacing w:val="-5"/>
                <w:kern w:val="0"/>
                <w:szCs w:val="30"/>
              </w:rPr>
            </w:pPr>
            <w:r>
              <w:rPr>
                <w:rFonts w:hint="eastAsia"/>
                <w:szCs w:val="30"/>
              </w:rPr>
              <w:t>规定了监测指标、监测时间与频次、一般要求。</w:t>
            </w:r>
          </w:p>
        </w:tc>
      </w:tr>
      <w:tr w14:paraId="3184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77DDE588">
            <w:pPr>
              <w:pStyle w:val="23"/>
              <w:numPr>
                <w:ilvl w:val="0"/>
                <w:numId w:val="0"/>
              </w:numPr>
              <w:jc w:val="left"/>
              <w:rPr>
                <w:spacing w:val="-5"/>
                <w:kern w:val="0"/>
                <w:szCs w:val="30"/>
              </w:rPr>
            </w:pPr>
            <w:r>
              <w:rPr>
                <w:rFonts w:hint="eastAsia"/>
                <w:spacing w:val="-5"/>
                <w:kern w:val="0"/>
                <w:szCs w:val="30"/>
              </w:rPr>
              <w:t>5 技术流程与方法</w:t>
            </w:r>
          </w:p>
        </w:tc>
        <w:tc>
          <w:tcPr>
            <w:tcW w:w="5329" w:type="dxa"/>
            <w:vAlign w:val="center"/>
          </w:tcPr>
          <w:p w14:paraId="16BB7BAF">
            <w:pPr>
              <w:pStyle w:val="23"/>
              <w:numPr>
                <w:ilvl w:val="0"/>
                <w:numId w:val="0"/>
              </w:numPr>
              <w:jc w:val="left"/>
              <w:rPr>
                <w:spacing w:val="-5"/>
                <w:kern w:val="0"/>
                <w:szCs w:val="30"/>
              </w:rPr>
            </w:pPr>
            <w:r>
              <w:rPr>
                <w:rFonts w:hint="eastAsia"/>
                <w:szCs w:val="30"/>
              </w:rPr>
              <w:t>规定</w:t>
            </w:r>
            <w:r>
              <w:rPr>
                <w:szCs w:val="30"/>
              </w:rPr>
              <w:t>了</w:t>
            </w:r>
            <w:r>
              <w:rPr>
                <w:rFonts w:hint="eastAsia"/>
                <w:szCs w:val="30"/>
              </w:rPr>
              <w:t>河流断流干涸遥感</w:t>
            </w:r>
            <w:r>
              <w:rPr>
                <w:szCs w:val="30"/>
              </w:rPr>
              <w:t>监测流程</w:t>
            </w:r>
            <w:r>
              <w:rPr>
                <w:rFonts w:hint="eastAsia"/>
                <w:szCs w:val="30"/>
              </w:rPr>
              <w:t>。</w:t>
            </w:r>
          </w:p>
        </w:tc>
      </w:tr>
      <w:tr w14:paraId="7FFE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489422B0">
            <w:pPr>
              <w:pStyle w:val="23"/>
              <w:numPr>
                <w:ilvl w:val="0"/>
                <w:numId w:val="0"/>
              </w:numPr>
              <w:jc w:val="left"/>
              <w:rPr>
                <w:spacing w:val="-5"/>
                <w:kern w:val="0"/>
                <w:szCs w:val="30"/>
              </w:rPr>
            </w:pPr>
            <w:r>
              <w:rPr>
                <w:rFonts w:hint="eastAsia"/>
                <w:spacing w:val="-5"/>
                <w:kern w:val="0"/>
                <w:szCs w:val="30"/>
              </w:rPr>
              <w:t>6 监测方法</w:t>
            </w:r>
          </w:p>
        </w:tc>
        <w:tc>
          <w:tcPr>
            <w:tcW w:w="5329" w:type="dxa"/>
            <w:vAlign w:val="center"/>
          </w:tcPr>
          <w:p w14:paraId="7603847D">
            <w:pPr>
              <w:pStyle w:val="23"/>
              <w:numPr>
                <w:ilvl w:val="0"/>
                <w:numId w:val="0"/>
              </w:numPr>
              <w:jc w:val="left"/>
              <w:rPr>
                <w:spacing w:val="-5"/>
                <w:kern w:val="0"/>
                <w:szCs w:val="30"/>
              </w:rPr>
            </w:pPr>
            <w:r>
              <w:rPr>
                <w:rFonts w:hint="eastAsia"/>
                <w:spacing w:val="-5"/>
                <w:kern w:val="0"/>
                <w:szCs w:val="30"/>
              </w:rPr>
              <w:t>规定了数据准备、信息提取和精度验证等内容</w:t>
            </w:r>
            <w:r>
              <w:rPr>
                <w:rFonts w:hint="eastAsia"/>
                <w:szCs w:val="30"/>
              </w:rPr>
              <w:t>。</w:t>
            </w:r>
          </w:p>
        </w:tc>
      </w:tr>
      <w:tr w14:paraId="0279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shd w:val="clear" w:color="auto" w:fill="auto"/>
            <w:vAlign w:val="center"/>
          </w:tcPr>
          <w:p w14:paraId="671A1D93">
            <w:pPr>
              <w:pStyle w:val="23"/>
              <w:numPr>
                <w:ilvl w:val="0"/>
                <w:numId w:val="0"/>
              </w:numPr>
              <w:jc w:val="left"/>
              <w:rPr>
                <w:spacing w:val="-5"/>
                <w:kern w:val="0"/>
                <w:szCs w:val="30"/>
              </w:rPr>
            </w:pPr>
            <w:r>
              <w:rPr>
                <w:rFonts w:hint="eastAsia"/>
                <w:spacing w:val="-5"/>
                <w:kern w:val="0"/>
                <w:szCs w:val="30"/>
              </w:rPr>
              <w:t>7</w:t>
            </w:r>
            <w:r>
              <w:rPr>
                <w:spacing w:val="-5"/>
                <w:kern w:val="0"/>
                <w:szCs w:val="30"/>
              </w:rPr>
              <w:t xml:space="preserve"> </w:t>
            </w:r>
            <w:r>
              <w:rPr>
                <w:rFonts w:hint="eastAsia"/>
                <w:spacing w:val="-5"/>
                <w:kern w:val="0"/>
                <w:szCs w:val="30"/>
              </w:rPr>
              <w:t>河流</w:t>
            </w:r>
            <w:r>
              <w:rPr>
                <w:rFonts w:hint="eastAsia"/>
                <w:szCs w:val="21"/>
              </w:rPr>
              <w:t>断流干涸程度评价方法</w:t>
            </w:r>
          </w:p>
        </w:tc>
        <w:tc>
          <w:tcPr>
            <w:tcW w:w="5329" w:type="dxa"/>
            <w:shd w:val="clear" w:color="auto" w:fill="auto"/>
            <w:vAlign w:val="center"/>
          </w:tcPr>
          <w:p w14:paraId="6FED6CF0">
            <w:pPr>
              <w:pStyle w:val="23"/>
              <w:numPr>
                <w:ilvl w:val="0"/>
                <w:numId w:val="0"/>
              </w:numPr>
              <w:jc w:val="left"/>
              <w:rPr>
                <w:spacing w:val="-5"/>
                <w:kern w:val="0"/>
                <w:szCs w:val="30"/>
              </w:rPr>
            </w:pPr>
            <w:r>
              <w:rPr>
                <w:rFonts w:hint="eastAsia"/>
                <w:szCs w:val="21"/>
              </w:rPr>
              <w:t>规定了河流断流干涸评价方法。</w:t>
            </w:r>
          </w:p>
        </w:tc>
      </w:tr>
      <w:tr w14:paraId="08D23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7AD5A1C4">
            <w:pPr>
              <w:pStyle w:val="22"/>
              <w:rPr>
                <w:szCs w:val="21"/>
              </w:rPr>
            </w:pPr>
            <w:r>
              <w:rPr>
                <w:rFonts w:hint="eastAsia"/>
                <w:szCs w:val="21"/>
              </w:rPr>
              <w:t>8</w:t>
            </w:r>
            <w:r>
              <w:rPr>
                <w:szCs w:val="21"/>
              </w:rPr>
              <w:t xml:space="preserve"> </w:t>
            </w:r>
            <w:r>
              <w:rPr>
                <w:rFonts w:hint="eastAsia"/>
                <w:spacing w:val="-5"/>
                <w:kern w:val="0"/>
                <w:szCs w:val="30"/>
              </w:rPr>
              <w:t>质量控制与保障</w:t>
            </w:r>
          </w:p>
        </w:tc>
        <w:tc>
          <w:tcPr>
            <w:tcW w:w="5329" w:type="dxa"/>
            <w:vAlign w:val="center"/>
          </w:tcPr>
          <w:p w14:paraId="70ABC5DA">
            <w:pPr>
              <w:pStyle w:val="22"/>
              <w:rPr>
                <w:szCs w:val="21"/>
              </w:rPr>
            </w:pPr>
            <w:r>
              <w:rPr>
                <w:rFonts w:hint="eastAsia"/>
                <w:spacing w:val="-5"/>
                <w:kern w:val="0"/>
                <w:szCs w:val="30"/>
              </w:rPr>
              <w:t>规定了影像数据和河流断流遥感监测结果的质量控制方法。</w:t>
            </w:r>
          </w:p>
        </w:tc>
      </w:tr>
      <w:tr w14:paraId="5E4A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30" w:type="dxa"/>
            <w:vAlign w:val="center"/>
          </w:tcPr>
          <w:p w14:paraId="02C039B0">
            <w:pPr>
              <w:pStyle w:val="23"/>
              <w:numPr>
                <w:ilvl w:val="0"/>
                <w:numId w:val="0"/>
              </w:numPr>
              <w:jc w:val="left"/>
              <w:rPr>
                <w:spacing w:val="-5"/>
                <w:kern w:val="0"/>
                <w:szCs w:val="30"/>
              </w:rPr>
            </w:pPr>
            <w:r>
              <w:rPr>
                <w:rFonts w:hint="eastAsia"/>
                <w:spacing w:val="-5"/>
                <w:kern w:val="0"/>
                <w:szCs w:val="30"/>
              </w:rPr>
              <w:t>9 成果形式要求</w:t>
            </w:r>
          </w:p>
        </w:tc>
        <w:tc>
          <w:tcPr>
            <w:tcW w:w="5329" w:type="dxa"/>
            <w:vAlign w:val="center"/>
          </w:tcPr>
          <w:p w14:paraId="2371C2CC">
            <w:pPr>
              <w:pStyle w:val="23"/>
              <w:numPr>
                <w:ilvl w:val="0"/>
                <w:numId w:val="0"/>
              </w:numPr>
              <w:jc w:val="left"/>
              <w:rPr>
                <w:spacing w:val="-5"/>
                <w:kern w:val="0"/>
                <w:szCs w:val="30"/>
              </w:rPr>
            </w:pPr>
            <w:r>
              <w:rPr>
                <w:rFonts w:hint="eastAsia"/>
                <w:spacing w:val="-5"/>
                <w:kern w:val="0"/>
                <w:szCs w:val="30"/>
              </w:rPr>
              <w:t>规定了河流断流干涸遥感监测成果形式。</w:t>
            </w:r>
          </w:p>
        </w:tc>
      </w:tr>
    </w:tbl>
    <w:p w14:paraId="75963B4D">
      <w:pPr>
        <w:ind w:firstLine="562" w:firstLineChars="200"/>
        <w:outlineLvl w:val="1"/>
        <w:rPr>
          <w:b/>
          <w:sz w:val="28"/>
        </w:rPr>
      </w:pPr>
      <w:bookmarkStart w:id="159" w:name="_Toc6000"/>
      <w:bookmarkStart w:id="160" w:name="_Toc32488"/>
      <w:bookmarkStart w:id="161" w:name="_Toc20573"/>
      <w:bookmarkStart w:id="162" w:name="_Toc11028"/>
      <w:bookmarkStart w:id="163" w:name="_Toc182323080"/>
      <w:bookmarkStart w:id="164" w:name="_Toc12471"/>
      <w:bookmarkStart w:id="165" w:name="_Toc10171"/>
      <w:bookmarkStart w:id="166" w:name="_Toc22662"/>
      <w:r>
        <w:rPr>
          <w:b/>
          <w:sz w:val="28"/>
        </w:rPr>
        <w:t>3.</w:t>
      </w:r>
      <w:r>
        <w:rPr>
          <w:rFonts w:hint="eastAsia"/>
          <w:b/>
          <w:sz w:val="28"/>
        </w:rPr>
        <w:t>4监测原理</w:t>
      </w:r>
      <w:bookmarkEnd w:id="159"/>
      <w:bookmarkEnd w:id="160"/>
      <w:bookmarkEnd w:id="161"/>
      <w:bookmarkEnd w:id="162"/>
      <w:bookmarkEnd w:id="163"/>
      <w:bookmarkEnd w:id="164"/>
      <w:bookmarkEnd w:id="165"/>
      <w:bookmarkEnd w:id="166"/>
    </w:p>
    <w:p w14:paraId="1F6DEEC3">
      <w:pPr>
        <w:ind w:firstLine="480" w:firstLineChars="200"/>
      </w:pPr>
      <w:r>
        <w:rPr>
          <w:rFonts w:hint="eastAsia"/>
        </w:rPr>
        <w:t>利用卫星遥感技术监测河流断流干涸的基本原理，是基于地表水体独特的光谱特征，获取其空间分布信息。具体如下：水体的反射主要集中在蓝光和绿光波段，其他波段的反射率相对较低，尤其在近红外波段，水体对该波段辐射几乎完全吸收。研究表明，通过对卫星遥感波段运算得到的水体指数，可有效识别地表河流水体的空间分布信息。常用的水体指数有归一化差分水体指数（NDWI）和改进归一化水体指数（MNDWI），具体指数来源及计算公式可参见表</w:t>
      </w:r>
      <w:r>
        <w:t>2</w:t>
      </w:r>
      <w:r>
        <w:rPr>
          <w:rFonts w:hint="eastAsia"/>
        </w:rPr>
        <w:t>。</w:t>
      </w:r>
    </w:p>
    <w:p w14:paraId="576D76FF">
      <w:pPr>
        <w:jc w:val="center"/>
        <w:rPr>
          <w:rFonts w:eastAsia="黑体"/>
          <w:sz w:val="21"/>
        </w:rPr>
      </w:pPr>
      <w:r>
        <w:rPr>
          <w:rFonts w:hint="eastAsia" w:eastAsia="黑体"/>
          <w:sz w:val="21"/>
        </w:rPr>
        <w:t>表2 常用水体指数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2835"/>
        <w:gridCol w:w="1417"/>
        <w:gridCol w:w="1468"/>
      </w:tblGrid>
      <w:tr w14:paraId="67D7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D7AEB68">
            <w:pPr>
              <w:jc w:val="center"/>
              <w:rPr>
                <w:sz w:val="21"/>
                <w:szCs w:val="21"/>
              </w:rPr>
            </w:pPr>
            <w:r>
              <w:rPr>
                <w:sz w:val="21"/>
                <w:szCs w:val="21"/>
              </w:rPr>
              <w:t>指数名称</w:t>
            </w:r>
          </w:p>
        </w:tc>
        <w:tc>
          <w:tcPr>
            <w:tcW w:w="1276" w:type="dxa"/>
            <w:vAlign w:val="center"/>
          </w:tcPr>
          <w:p w14:paraId="0FA5B54C">
            <w:pPr>
              <w:jc w:val="center"/>
              <w:rPr>
                <w:sz w:val="21"/>
                <w:szCs w:val="21"/>
              </w:rPr>
            </w:pPr>
            <w:r>
              <w:rPr>
                <w:sz w:val="21"/>
                <w:szCs w:val="21"/>
              </w:rPr>
              <w:t>缩写</w:t>
            </w:r>
          </w:p>
        </w:tc>
        <w:tc>
          <w:tcPr>
            <w:tcW w:w="2835" w:type="dxa"/>
            <w:vAlign w:val="center"/>
          </w:tcPr>
          <w:p w14:paraId="6328E725">
            <w:pPr>
              <w:jc w:val="center"/>
              <w:rPr>
                <w:sz w:val="21"/>
                <w:szCs w:val="21"/>
              </w:rPr>
            </w:pPr>
            <w:r>
              <w:rPr>
                <w:sz w:val="21"/>
                <w:szCs w:val="21"/>
              </w:rPr>
              <w:t>计算公式</w:t>
            </w:r>
          </w:p>
        </w:tc>
        <w:tc>
          <w:tcPr>
            <w:tcW w:w="1417" w:type="dxa"/>
            <w:vAlign w:val="center"/>
          </w:tcPr>
          <w:p w14:paraId="33385BAC">
            <w:pPr>
              <w:jc w:val="center"/>
              <w:rPr>
                <w:sz w:val="21"/>
                <w:szCs w:val="21"/>
              </w:rPr>
            </w:pPr>
            <w:r>
              <w:rPr>
                <w:sz w:val="21"/>
                <w:szCs w:val="21"/>
              </w:rPr>
              <w:t>取值范围</w:t>
            </w:r>
          </w:p>
        </w:tc>
        <w:tc>
          <w:tcPr>
            <w:tcW w:w="1468" w:type="dxa"/>
            <w:vAlign w:val="center"/>
          </w:tcPr>
          <w:p w14:paraId="1421982C">
            <w:pPr>
              <w:jc w:val="center"/>
              <w:rPr>
                <w:sz w:val="21"/>
                <w:szCs w:val="21"/>
              </w:rPr>
            </w:pPr>
            <w:r>
              <w:rPr>
                <w:rFonts w:hint="eastAsia"/>
                <w:sz w:val="21"/>
                <w:szCs w:val="21"/>
              </w:rPr>
              <w:t>参考</w:t>
            </w:r>
            <w:r>
              <w:rPr>
                <w:sz w:val="21"/>
                <w:szCs w:val="21"/>
              </w:rPr>
              <w:t>文献</w:t>
            </w:r>
          </w:p>
        </w:tc>
      </w:tr>
      <w:tr w14:paraId="1CF2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6" w:type="dxa"/>
            <w:vAlign w:val="center"/>
          </w:tcPr>
          <w:p w14:paraId="55A6ABD3">
            <w:pPr>
              <w:jc w:val="center"/>
              <w:rPr>
                <w:sz w:val="21"/>
                <w:szCs w:val="21"/>
              </w:rPr>
            </w:pPr>
            <w:r>
              <w:rPr>
                <w:rFonts w:hint="eastAsia"/>
                <w:sz w:val="21"/>
                <w:szCs w:val="21"/>
              </w:rPr>
              <w:t>归一化差分水体指数</w:t>
            </w:r>
          </w:p>
        </w:tc>
        <w:tc>
          <w:tcPr>
            <w:tcW w:w="1276" w:type="dxa"/>
            <w:vAlign w:val="center"/>
          </w:tcPr>
          <w:p w14:paraId="761AB190">
            <w:pPr>
              <w:jc w:val="center"/>
              <w:rPr>
                <w:sz w:val="21"/>
                <w:szCs w:val="21"/>
              </w:rPr>
            </w:pPr>
            <w:r>
              <w:rPr>
                <w:sz w:val="21"/>
                <w:szCs w:val="21"/>
              </w:rPr>
              <w:t>ND</w:t>
            </w:r>
            <w:r>
              <w:rPr>
                <w:rFonts w:hint="eastAsia"/>
                <w:sz w:val="21"/>
                <w:szCs w:val="21"/>
              </w:rPr>
              <w:t>W</w:t>
            </w:r>
            <w:r>
              <w:rPr>
                <w:sz w:val="21"/>
                <w:szCs w:val="21"/>
              </w:rPr>
              <w:t>I</w:t>
            </w:r>
          </w:p>
        </w:tc>
        <w:tc>
          <w:tcPr>
            <w:tcW w:w="2835" w:type="dxa"/>
            <w:vAlign w:val="center"/>
          </w:tcPr>
          <w:p w14:paraId="791AE170">
            <w:pPr>
              <w:jc w:val="center"/>
              <w:rPr>
                <w:sz w:val="21"/>
                <w:szCs w:val="21"/>
              </w:rPr>
            </w:pPr>
            <m:oMathPara>
              <m:oMath>
                <m:f>
                  <m:fPr>
                    <m:ctrlPr>
                      <w:rPr>
                        <w:rFonts w:ascii="Cambria Math" w:hAnsi="Cambria Math"/>
                        <w:sz w:val="21"/>
                        <w:szCs w:val="21"/>
                      </w:rPr>
                    </m:ctrlPr>
                  </m:fPr>
                  <m:num>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Gre</m:t>
                        </m:r>
                        <m:r>
                          <m:rPr/>
                          <w:rPr>
                            <w:rFonts w:hint="eastAsia" w:ascii="Cambria Math" w:hAnsi="Cambria Math"/>
                            <w:sz w:val="21"/>
                            <w:szCs w:val="21"/>
                          </w:rPr>
                          <m:t>e</m:t>
                        </m:r>
                        <m:r>
                          <m:rPr/>
                          <w:rPr>
                            <w:rFonts w:ascii="Cambria Math" w:hAnsi="Cambria Math"/>
                            <w:sz w:val="21"/>
                            <w:szCs w:val="21"/>
                          </w:rPr>
                          <m:t>n</m:t>
                        </m:r>
                        <m:ctrlPr>
                          <w:rPr>
                            <w:rFonts w:ascii="Cambria Math" w:hAnsi="Cambria Math"/>
                            <w:sz w:val="21"/>
                            <w:szCs w:val="21"/>
                          </w:rPr>
                        </m:ctrlPr>
                      </m:e>
                    </m:d>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NIR</m:t>
                        </m:r>
                        <m:ctrlPr>
                          <w:rPr>
                            <w:rFonts w:ascii="Cambria Math" w:hAnsi="Cambria Math"/>
                            <w:sz w:val="21"/>
                            <w:szCs w:val="21"/>
                          </w:rPr>
                        </m:ctrlPr>
                      </m:e>
                    </m:d>
                    <m:ctrlPr>
                      <w:rPr>
                        <w:rFonts w:ascii="Cambria Math" w:hAnsi="Cambria Math"/>
                        <w:sz w:val="21"/>
                        <w:szCs w:val="21"/>
                      </w:rPr>
                    </m:ctrlPr>
                  </m:num>
                  <m:den>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Gre</m:t>
                        </m:r>
                        <m:r>
                          <m:rPr/>
                          <w:rPr>
                            <w:rFonts w:hint="eastAsia" w:ascii="Cambria Math" w:hAnsi="Cambria Math"/>
                            <w:sz w:val="21"/>
                            <w:szCs w:val="21"/>
                          </w:rPr>
                          <m:t>e</m:t>
                        </m:r>
                        <m:r>
                          <m:rPr/>
                          <w:rPr>
                            <w:rFonts w:ascii="Cambria Math" w:hAnsi="Cambria Math"/>
                            <w:sz w:val="21"/>
                            <w:szCs w:val="21"/>
                          </w:rPr>
                          <m:t>n</m:t>
                        </m:r>
                        <m:ctrlPr>
                          <w:rPr>
                            <w:rFonts w:ascii="Cambria Math" w:hAnsi="Cambria Math"/>
                            <w:sz w:val="21"/>
                            <w:szCs w:val="21"/>
                          </w:rPr>
                        </m:ctrlPr>
                      </m:e>
                    </m:d>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NIR</m:t>
                        </m:r>
                        <m:ctrlPr>
                          <w:rPr>
                            <w:rFonts w:ascii="Cambria Math" w:hAnsi="Cambria Math"/>
                            <w:sz w:val="21"/>
                            <w:szCs w:val="21"/>
                          </w:rPr>
                        </m:ctrlPr>
                      </m:e>
                    </m:d>
                    <m:ctrlPr>
                      <w:rPr>
                        <w:rFonts w:ascii="Cambria Math" w:hAnsi="Cambria Math"/>
                        <w:sz w:val="21"/>
                        <w:szCs w:val="21"/>
                      </w:rPr>
                    </m:ctrlPr>
                  </m:den>
                </m:f>
              </m:oMath>
            </m:oMathPara>
          </w:p>
        </w:tc>
        <w:tc>
          <w:tcPr>
            <w:tcW w:w="1417" w:type="dxa"/>
            <w:vAlign w:val="center"/>
          </w:tcPr>
          <w:p w14:paraId="174776E8">
            <w:pPr>
              <w:jc w:val="center"/>
              <w:rPr>
                <w:sz w:val="21"/>
                <w:szCs w:val="21"/>
              </w:rPr>
            </w:pPr>
            <w:r>
              <w:rPr>
                <w:rFonts w:hint="eastAsia"/>
                <w:sz w:val="21"/>
                <w:szCs w:val="21"/>
              </w:rPr>
              <w:t>[-1,</w:t>
            </w:r>
            <w:r>
              <w:rPr>
                <w:rFonts w:hint="eastAsia"/>
                <w:sz w:val="21"/>
                <w:szCs w:val="21"/>
                <w:lang w:val="en-US" w:eastAsia="zh-CN"/>
              </w:rPr>
              <w:t xml:space="preserve"> </w:t>
            </w:r>
            <w:r>
              <w:rPr>
                <w:rFonts w:hint="eastAsia"/>
                <w:sz w:val="21"/>
                <w:szCs w:val="21"/>
              </w:rPr>
              <w:t>1]</w:t>
            </w:r>
          </w:p>
        </w:tc>
        <w:tc>
          <w:tcPr>
            <w:tcW w:w="1468" w:type="dxa"/>
            <w:vAlign w:val="center"/>
          </w:tcPr>
          <w:p w14:paraId="2BA96771">
            <w:pPr>
              <w:jc w:val="center"/>
              <w:rPr>
                <w:sz w:val="21"/>
                <w:szCs w:val="21"/>
              </w:rPr>
            </w:pPr>
            <w:r>
              <w:rPr>
                <w:sz w:val="21"/>
                <w:szCs w:val="21"/>
              </w:rPr>
              <w:t>Mcfeeters</w:t>
            </w:r>
            <w:r>
              <w:rPr>
                <w:rFonts w:hint="eastAsia"/>
                <w:sz w:val="21"/>
                <w:szCs w:val="21"/>
              </w:rPr>
              <w:t xml:space="preserve">等, </w:t>
            </w:r>
            <w:r>
              <w:rPr>
                <w:sz w:val="21"/>
                <w:szCs w:val="21"/>
              </w:rPr>
              <w:t>19</w:t>
            </w:r>
            <w:r>
              <w:rPr>
                <w:rFonts w:hint="eastAsia"/>
                <w:sz w:val="21"/>
                <w:szCs w:val="21"/>
              </w:rPr>
              <w:t>96</w:t>
            </w:r>
          </w:p>
        </w:tc>
      </w:tr>
      <w:tr w14:paraId="55BE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0C0BA65">
            <w:pPr>
              <w:jc w:val="center"/>
              <w:rPr>
                <w:sz w:val="21"/>
                <w:szCs w:val="21"/>
              </w:rPr>
            </w:pPr>
            <w:r>
              <w:rPr>
                <w:rFonts w:hint="eastAsia"/>
                <w:sz w:val="21"/>
                <w:szCs w:val="21"/>
              </w:rPr>
              <w:t>改进归一化水体指数</w:t>
            </w:r>
          </w:p>
        </w:tc>
        <w:tc>
          <w:tcPr>
            <w:tcW w:w="1276" w:type="dxa"/>
            <w:vAlign w:val="center"/>
          </w:tcPr>
          <w:p w14:paraId="4CBB683E">
            <w:pPr>
              <w:jc w:val="center"/>
              <w:rPr>
                <w:sz w:val="21"/>
                <w:szCs w:val="21"/>
              </w:rPr>
            </w:pPr>
            <w:r>
              <w:rPr>
                <w:rFonts w:hint="eastAsia"/>
                <w:sz w:val="21"/>
                <w:szCs w:val="21"/>
              </w:rPr>
              <w:t>MNDWI</w:t>
            </w:r>
          </w:p>
        </w:tc>
        <w:tc>
          <w:tcPr>
            <w:tcW w:w="2835" w:type="dxa"/>
            <w:vAlign w:val="center"/>
          </w:tcPr>
          <w:p w14:paraId="4C9AEB2A">
            <w:pPr>
              <w:jc w:val="center"/>
              <w:rPr>
                <w:sz w:val="21"/>
                <w:szCs w:val="21"/>
              </w:rPr>
            </w:pPr>
            <m:oMathPara>
              <m:oMath>
                <m:f>
                  <m:fPr>
                    <m:ctrlPr>
                      <w:rPr>
                        <w:rFonts w:ascii="Cambria Math" w:hAnsi="Cambria Math"/>
                        <w:sz w:val="21"/>
                        <w:szCs w:val="21"/>
                      </w:rPr>
                    </m:ctrlPr>
                  </m:fPr>
                  <m:num>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Gre</m:t>
                        </m:r>
                        <m:r>
                          <m:rPr/>
                          <w:rPr>
                            <w:rFonts w:hint="eastAsia" w:ascii="Cambria Math" w:hAnsi="Cambria Math"/>
                            <w:sz w:val="21"/>
                            <w:szCs w:val="21"/>
                          </w:rPr>
                          <m:t>e</m:t>
                        </m:r>
                        <m:r>
                          <m:rPr/>
                          <w:rPr>
                            <w:rFonts w:ascii="Cambria Math" w:hAnsi="Cambria Math"/>
                            <w:sz w:val="21"/>
                            <w:szCs w:val="21"/>
                          </w:rPr>
                          <m:t>n</m:t>
                        </m:r>
                        <m:ctrlPr>
                          <w:rPr>
                            <w:rFonts w:ascii="Cambria Math" w:hAnsi="Cambria Math"/>
                            <w:sz w:val="21"/>
                            <w:szCs w:val="21"/>
                          </w:rPr>
                        </m:ctrlPr>
                      </m:e>
                    </m:d>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MIR</m:t>
                        </m:r>
                        <m:ctrlPr>
                          <w:rPr>
                            <w:rFonts w:ascii="Cambria Math" w:hAnsi="Cambria Math"/>
                            <w:sz w:val="21"/>
                            <w:szCs w:val="21"/>
                          </w:rPr>
                        </m:ctrlPr>
                      </m:e>
                    </m:d>
                    <m:ctrlPr>
                      <w:rPr>
                        <w:rFonts w:ascii="Cambria Math" w:hAnsi="Cambria Math"/>
                        <w:sz w:val="21"/>
                        <w:szCs w:val="21"/>
                      </w:rPr>
                    </m:ctrlPr>
                  </m:num>
                  <m:den>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Gre</m:t>
                        </m:r>
                        <m:r>
                          <m:rPr/>
                          <w:rPr>
                            <w:rFonts w:hint="eastAsia" w:ascii="Cambria Math" w:hAnsi="Cambria Math"/>
                            <w:sz w:val="21"/>
                            <w:szCs w:val="21"/>
                          </w:rPr>
                          <m:t>e</m:t>
                        </m:r>
                        <m:r>
                          <m:rPr/>
                          <w:rPr>
                            <w:rFonts w:ascii="Cambria Math" w:hAnsi="Cambria Math"/>
                            <w:sz w:val="21"/>
                            <w:szCs w:val="21"/>
                          </w:rPr>
                          <m:t>n</m:t>
                        </m:r>
                        <m:ctrlPr>
                          <w:rPr>
                            <w:rFonts w:ascii="Cambria Math" w:hAnsi="Cambria Math"/>
                            <w:sz w:val="21"/>
                            <w:szCs w:val="21"/>
                          </w:rPr>
                        </m:ctrlPr>
                      </m:e>
                    </m:d>
                    <m:r>
                      <m:rPr>
                        <m:sty m:val="p"/>
                      </m:rPr>
                      <w:rPr>
                        <w:rFonts w:ascii="Cambria Math" w:hAnsi="Cambria Math"/>
                        <w:sz w:val="21"/>
                        <w:szCs w:val="21"/>
                      </w:rPr>
                      <m:t>+ρ</m:t>
                    </m:r>
                    <m:d>
                      <m:dPr>
                        <m:ctrlPr>
                          <w:rPr>
                            <w:rFonts w:ascii="Cambria Math" w:hAnsi="Cambria Math"/>
                            <w:sz w:val="21"/>
                            <w:szCs w:val="21"/>
                          </w:rPr>
                        </m:ctrlPr>
                      </m:dPr>
                      <m:e>
                        <m:r>
                          <m:rPr/>
                          <w:rPr>
                            <w:rFonts w:ascii="Cambria Math" w:hAnsi="Cambria Math"/>
                            <w:sz w:val="21"/>
                            <w:szCs w:val="21"/>
                          </w:rPr>
                          <m:t>MIR</m:t>
                        </m:r>
                        <m:ctrlPr>
                          <w:rPr>
                            <w:rFonts w:ascii="Cambria Math" w:hAnsi="Cambria Math"/>
                            <w:sz w:val="21"/>
                            <w:szCs w:val="21"/>
                          </w:rPr>
                        </m:ctrlPr>
                      </m:e>
                    </m:d>
                    <m:ctrlPr>
                      <w:rPr>
                        <w:rFonts w:ascii="Cambria Math" w:hAnsi="Cambria Math"/>
                        <w:sz w:val="21"/>
                        <w:szCs w:val="21"/>
                      </w:rPr>
                    </m:ctrlPr>
                  </m:den>
                </m:f>
              </m:oMath>
            </m:oMathPara>
          </w:p>
        </w:tc>
        <w:tc>
          <w:tcPr>
            <w:tcW w:w="1417" w:type="dxa"/>
            <w:vAlign w:val="center"/>
          </w:tcPr>
          <w:p w14:paraId="6E3C7F86">
            <w:pPr>
              <w:jc w:val="center"/>
              <w:rPr>
                <w:sz w:val="21"/>
                <w:szCs w:val="21"/>
              </w:rPr>
            </w:pPr>
            <w:r>
              <w:rPr>
                <w:rFonts w:hint="eastAsia"/>
                <w:sz w:val="21"/>
                <w:szCs w:val="21"/>
              </w:rPr>
              <w:t>[-1,</w:t>
            </w:r>
            <w:r>
              <w:rPr>
                <w:rFonts w:hint="eastAsia"/>
                <w:sz w:val="21"/>
                <w:szCs w:val="21"/>
                <w:lang w:val="en-US" w:eastAsia="zh-CN"/>
              </w:rPr>
              <w:t xml:space="preserve"> </w:t>
            </w:r>
            <w:r>
              <w:rPr>
                <w:rFonts w:hint="eastAsia"/>
                <w:sz w:val="21"/>
                <w:szCs w:val="21"/>
              </w:rPr>
              <w:t>1]</w:t>
            </w:r>
          </w:p>
        </w:tc>
        <w:tc>
          <w:tcPr>
            <w:tcW w:w="1468" w:type="dxa"/>
            <w:vAlign w:val="center"/>
          </w:tcPr>
          <w:p w14:paraId="21F52CA5">
            <w:pPr>
              <w:jc w:val="center"/>
              <w:rPr>
                <w:sz w:val="21"/>
                <w:szCs w:val="21"/>
              </w:rPr>
            </w:pPr>
            <w:r>
              <w:rPr>
                <w:rFonts w:hint="eastAsia"/>
                <w:sz w:val="21"/>
                <w:szCs w:val="21"/>
              </w:rPr>
              <w:t>徐涵秋</w:t>
            </w:r>
            <w:r>
              <w:rPr>
                <w:sz w:val="21"/>
                <w:szCs w:val="21"/>
              </w:rPr>
              <w:t>,</w:t>
            </w:r>
            <w:r>
              <w:rPr>
                <w:rFonts w:hint="eastAsia"/>
                <w:sz w:val="21"/>
                <w:szCs w:val="21"/>
              </w:rPr>
              <w:t xml:space="preserve"> 2005</w:t>
            </w:r>
          </w:p>
        </w:tc>
      </w:tr>
      <w:tr w14:paraId="3A75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07FE1B98">
            <w:pPr>
              <w:jc w:val="center"/>
              <w:rPr>
                <w:sz w:val="21"/>
                <w:szCs w:val="21"/>
              </w:rPr>
            </w:pPr>
            <w:r>
              <w:rPr>
                <w:rFonts w:hint="eastAsia"/>
                <w:sz w:val="21"/>
                <w:szCs w:val="21"/>
              </w:rPr>
              <w:t xml:space="preserve">参数说明： </w:t>
            </w:r>
            <m:oMath>
              <m:r>
                <m:rPr/>
                <w:rPr>
                  <w:rFonts w:ascii="Cambria Math" w:hAnsi="Cambria Math"/>
                  <w:sz w:val="21"/>
                  <w:szCs w:val="21"/>
                </w:rPr>
                <m:t>ρ</m:t>
              </m:r>
            </m:oMath>
            <w:r>
              <w:rPr>
                <w:rFonts w:hint="eastAsia"/>
                <w:sz w:val="21"/>
                <w:szCs w:val="21"/>
              </w:rPr>
              <w:t>为反射率， NIR、MIR、Green分别代表近红外、中红外、绿波段</w:t>
            </w:r>
          </w:p>
        </w:tc>
      </w:tr>
    </w:tbl>
    <w:p w14:paraId="4150FB0F">
      <w:pPr>
        <w:ind w:firstLine="562" w:firstLineChars="200"/>
        <w:outlineLvl w:val="1"/>
        <w:rPr>
          <w:b/>
          <w:sz w:val="28"/>
        </w:rPr>
      </w:pPr>
      <w:bookmarkStart w:id="167" w:name="_Toc23448"/>
      <w:bookmarkStart w:id="168" w:name="_Toc90"/>
      <w:bookmarkStart w:id="169" w:name="_Toc23512"/>
      <w:bookmarkStart w:id="170" w:name="_Toc21440"/>
      <w:bookmarkStart w:id="171" w:name="_Toc31829"/>
      <w:bookmarkStart w:id="172" w:name="_Toc182323081"/>
      <w:bookmarkStart w:id="173" w:name="_Toc32758"/>
      <w:bookmarkStart w:id="174" w:name="_Toc1244"/>
      <w:r>
        <w:rPr>
          <w:b/>
          <w:sz w:val="28"/>
        </w:rPr>
        <w:t>3.</w:t>
      </w:r>
      <w:r>
        <w:rPr>
          <w:rFonts w:hint="eastAsia"/>
          <w:b/>
          <w:sz w:val="28"/>
        </w:rPr>
        <w:t>5监测手段</w:t>
      </w:r>
      <w:bookmarkEnd w:id="167"/>
      <w:bookmarkEnd w:id="168"/>
      <w:bookmarkEnd w:id="169"/>
      <w:bookmarkEnd w:id="170"/>
      <w:bookmarkEnd w:id="171"/>
      <w:bookmarkEnd w:id="172"/>
      <w:bookmarkEnd w:id="173"/>
      <w:bookmarkEnd w:id="174"/>
    </w:p>
    <w:p w14:paraId="5ABC4CA2">
      <w:pPr>
        <w:ind w:firstLine="480" w:firstLineChars="200"/>
        <w:rPr>
          <w:b/>
          <w:sz w:val="28"/>
        </w:rPr>
      </w:pPr>
      <w:r>
        <w:rPr>
          <w:rFonts w:hint="eastAsia"/>
        </w:rPr>
        <w:t>根据河流断流干涸遥感监测基本原理，综合考虑当前环境管理对遥感监测的分辨率和时效性的要求，以及卫星遥感技术发展现状，本技术</w:t>
      </w:r>
      <w:r>
        <w:rPr>
          <w:rFonts w:hint="eastAsia" w:cs="宋体"/>
          <w:szCs w:val="30"/>
        </w:rPr>
        <w:t>规范</w:t>
      </w:r>
      <w:r>
        <w:rPr>
          <w:rFonts w:hint="eastAsia"/>
        </w:rPr>
        <w:t>选择指定时间段（可选择周、月、季、年开展监测）的中、高空间分辨率卫星遥感影像开展监测工作，根据卫星遥感监测结果确定河流断流干涸分布状况与河流断流干涸程度。</w:t>
      </w:r>
    </w:p>
    <w:p w14:paraId="04D4C90F">
      <w:pPr>
        <w:ind w:firstLine="562" w:firstLineChars="200"/>
        <w:outlineLvl w:val="1"/>
        <w:rPr>
          <w:b/>
          <w:sz w:val="28"/>
        </w:rPr>
      </w:pPr>
      <w:bookmarkStart w:id="175" w:name="_Toc20137"/>
      <w:bookmarkStart w:id="176" w:name="_Toc27273"/>
      <w:bookmarkStart w:id="177" w:name="_Toc22872"/>
      <w:bookmarkStart w:id="178" w:name="_Toc6124"/>
      <w:bookmarkStart w:id="179" w:name="_Toc8979"/>
      <w:bookmarkStart w:id="180" w:name="_Toc20864"/>
      <w:bookmarkStart w:id="181" w:name="_Toc2338"/>
      <w:bookmarkStart w:id="182" w:name="_Toc182323084"/>
      <w:r>
        <w:rPr>
          <w:b/>
          <w:sz w:val="28"/>
        </w:rPr>
        <w:t>3.</w:t>
      </w:r>
      <w:r>
        <w:rPr>
          <w:rFonts w:hint="eastAsia"/>
          <w:b/>
          <w:sz w:val="28"/>
        </w:rPr>
        <w:t>6质量控制</w:t>
      </w:r>
      <w:bookmarkEnd w:id="175"/>
      <w:bookmarkEnd w:id="176"/>
      <w:bookmarkEnd w:id="177"/>
      <w:bookmarkEnd w:id="178"/>
      <w:bookmarkEnd w:id="179"/>
      <w:bookmarkEnd w:id="180"/>
      <w:bookmarkEnd w:id="181"/>
      <w:bookmarkEnd w:id="182"/>
      <w:bookmarkStart w:id="276" w:name="_GoBack"/>
      <w:bookmarkEnd w:id="276"/>
    </w:p>
    <w:p w14:paraId="7231EEA2">
      <w:pPr>
        <w:ind w:firstLine="482" w:firstLineChars="200"/>
        <w:outlineLvl w:val="2"/>
        <w:rPr>
          <w:b/>
        </w:rPr>
      </w:pPr>
      <w:bookmarkStart w:id="183" w:name="_Toc4567"/>
      <w:bookmarkStart w:id="184" w:name="_Toc19770"/>
      <w:bookmarkStart w:id="185" w:name="_Toc31741"/>
      <w:bookmarkStart w:id="186" w:name="_Toc182323085"/>
      <w:bookmarkStart w:id="187" w:name="_Toc1996"/>
      <w:bookmarkStart w:id="188" w:name="_Toc10298"/>
      <w:bookmarkStart w:id="189" w:name="_Toc5529"/>
      <w:bookmarkStart w:id="190" w:name="_Toc1843"/>
      <w:r>
        <w:rPr>
          <w:b/>
        </w:rPr>
        <w:t>3</w:t>
      </w:r>
      <w:r>
        <w:rPr>
          <w:rFonts w:hint="eastAsia"/>
          <w:b/>
        </w:rPr>
        <w:t>.6.1卫星影像数据筛选质量控制</w:t>
      </w:r>
      <w:bookmarkEnd w:id="183"/>
      <w:bookmarkEnd w:id="184"/>
      <w:bookmarkEnd w:id="185"/>
      <w:bookmarkEnd w:id="186"/>
      <w:bookmarkEnd w:id="187"/>
      <w:bookmarkEnd w:id="188"/>
      <w:bookmarkEnd w:id="189"/>
      <w:bookmarkEnd w:id="190"/>
    </w:p>
    <w:p w14:paraId="009CA0CF">
      <w:pPr>
        <w:ind w:firstLine="480" w:firstLineChars="200"/>
        <w:rPr>
          <w:rFonts w:eastAsia="仿宋_GB2312"/>
          <w:sz w:val="30"/>
          <w:szCs w:val="30"/>
        </w:rPr>
      </w:pPr>
      <w:r>
        <w:rPr>
          <w:rFonts w:hint="eastAsia"/>
        </w:rPr>
        <w:t>在河流断流干涸遥感监测的数据处理前，应对原始卫星影像数据进行质量筛选与检查，确保其满足监测精度要求。影像应具备完整的波段信息，无明显条带、缺行、缺列或数据异常。优先选用云量低于10%、无明显雾霾干扰的影像，避免选择水体区域有大面积“耀斑”的遥感影像。影像获取时间应与地面监测时间尽可能接近，保证数据的时效性和可比性。</w:t>
      </w:r>
    </w:p>
    <w:p w14:paraId="13D1E4AB">
      <w:pPr>
        <w:spacing w:before="156" w:beforeLines="50"/>
        <w:ind w:firstLine="482" w:firstLineChars="200"/>
        <w:outlineLvl w:val="2"/>
        <w:rPr>
          <w:b/>
        </w:rPr>
      </w:pPr>
      <w:bookmarkStart w:id="191" w:name="_Toc15665"/>
      <w:bookmarkStart w:id="192" w:name="_Toc28678"/>
      <w:bookmarkStart w:id="193" w:name="_Toc5077"/>
      <w:bookmarkStart w:id="194" w:name="_Toc29675"/>
      <w:bookmarkStart w:id="195" w:name="_Toc21625"/>
      <w:bookmarkStart w:id="196" w:name="_Toc9342"/>
      <w:bookmarkStart w:id="197" w:name="_Toc182323086"/>
      <w:bookmarkStart w:id="198" w:name="_Toc25784"/>
      <w:r>
        <w:rPr>
          <w:b/>
        </w:rPr>
        <w:t>3</w:t>
      </w:r>
      <w:r>
        <w:rPr>
          <w:rFonts w:hint="eastAsia"/>
          <w:b/>
        </w:rPr>
        <w:t>.6.2卫星影像数据处理质量控制</w:t>
      </w:r>
      <w:bookmarkEnd w:id="191"/>
      <w:bookmarkEnd w:id="192"/>
      <w:bookmarkEnd w:id="193"/>
      <w:bookmarkEnd w:id="194"/>
      <w:bookmarkEnd w:id="195"/>
      <w:bookmarkEnd w:id="196"/>
      <w:bookmarkEnd w:id="197"/>
      <w:bookmarkEnd w:id="198"/>
    </w:p>
    <w:p w14:paraId="763E21D3">
      <w:pPr>
        <w:ind w:firstLine="480" w:firstLineChars="200"/>
      </w:pPr>
      <w:r>
        <w:rPr>
          <w:rFonts w:hint="eastAsia"/>
        </w:rPr>
        <w:t>为了保证河流断流干涸遥感监测的准确性，需要在几何校正、影像融合、水体提取等数据处理阶段进行质量控制，保证最终结果的可靠性。影像融合后应检查影像是否出现重影、错位、失真等现象，检查影像纹理细节与色彩是否存在瑕疵；水体提取前应进行影像辐射一致性调整，确保水体光谱特征保持稳定。</w:t>
      </w:r>
    </w:p>
    <w:p w14:paraId="48A49FB7">
      <w:pPr>
        <w:spacing w:before="156" w:beforeLines="50"/>
        <w:ind w:firstLine="482" w:firstLineChars="200"/>
        <w:outlineLvl w:val="2"/>
        <w:rPr>
          <w:b/>
        </w:rPr>
      </w:pPr>
      <w:bookmarkStart w:id="199" w:name="_Toc10977"/>
      <w:bookmarkStart w:id="200" w:name="_Toc23993"/>
      <w:bookmarkStart w:id="201" w:name="_Toc11514"/>
      <w:bookmarkStart w:id="202" w:name="_Toc31857"/>
      <w:bookmarkStart w:id="203" w:name="_Toc29955"/>
      <w:bookmarkStart w:id="204" w:name="_Toc182323087"/>
      <w:bookmarkStart w:id="205" w:name="_Toc15007"/>
      <w:bookmarkStart w:id="206" w:name="_Toc4493"/>
      <w:r>
        <w:rPr>
          <w:b/>
        </w:rPr>
        <w:t>3</w:t>
      </w:r>
      <w:r>
        <w:rPr>
          <w:rFonts w:hint="eastAsia"/>
          <w:b/>
        </w:rPr>
        <w:t>.6.3河流断流干涸遥感监测结果质量控制</w:t>
      </w:r>
      <w:bookmarkEnd w:id="199"/>
      <w:bookmarkEnd w:id="200"/>
      <w:bookmarkEnd w:id="201"/>
      <w:bookmarkEnd w:id="202"/>
      <w:bookmarkEnd w:id="203"/>
      <w:bookmarkEnd w:id="204"/>
      <w:bookmarkEnd w:id="205"/>
      <w:bookmarkEnd w:id="206"/>
    </w:p>
    <w:p w14:paraId="6E8FFBAE">
      <w:pPr>
        <w:ind w:firstLine="480" w:firstLineChars="200"/>
      </w:pPr>
      <w:r>
        <w:rPr>
          <w:rFonts w:hint="eastAsia"/>
        </w:rPr>
        <w:t>为确保河流断流干涸遥感监测结果的科学性与可靠性，本规范在制定过程中充分考虑了不同区域自然条件、数据可获取性及工作可操作性。根据遥感监测成果特征及核查条件，监测精度的验证主要通过地面监测站点、水文资料、现场实地核查及亚米级遥感影像比对等方式开展。</w:t>
      </w:r>
    </w:p>
    <w:p w14:paraId="24B73800">
      <w:pPr>
        <w:ind w:firstLine="480" w:firstLineChars="200"/>
      </w:pPr>
      <w:r>
        <w:rPr>
          <w:rFonts w:hint="eastAsia"/>
        </w:rPr>
        <w:t>在具备地面观测条件的河段，可优先采用断面监测数据或水文站点流量数据进行验证，以保证精度评价的客观性与可量化性。对于缺乏地面监测站点的区域，可结合实际条件，选取具有代表性的河段开展现场核查工作。现场核查可利用无人机航拍、地面观测或人工踏勘等方式获取第一手信息，对通水状况、河道形态及断流原因进行判定。核查内容包括核查点的经纬度坐标、拍摄照片编号、环境描述、河宽、通水状况及断流干涸原因等，相关记录应统一填写《河流断流干涸情况野外核查记录表》，以保证核查资料的系统性和可追溯性。</w:t>
      </w:r>
    </w:p>
    <w:p w14:paraId="23EC2028">
      <w:pPr>
        <w:ind w:firstLine="480" w:firstLineChars="200"/>
      </w:pPr>
      <w:r>
        <w:rPr>
          <w:rFonts w:hint="eastAsia"/>
        </w:rPr>
        <w:t>对于交通不便或不具备现场核查条件的区域，可选取与监测同期或近同期的亚米级高分辨率遥感影像作为真值数据，采用人工目视解译提取河道水体与干涸分布信息，并与监测结果进行空间一致性比对。</w:t>
      </w:r>
    </w:p>
    <w:p w14:paraId="349A754D">
      <w:pPr>
        <w:ind w:firstLine="480" w:firstLineChars="200"/>
      </w:pPr>
      <w:r>
        <w:rPr>
          <w:rFonts w:hint="eastAsia"/>
        </w:rPr>
        <w:t>结合上述验证结果，可计算监测结果的总体精度，以评价遥感监测的可靠性。</w:t>
      </w:r>
    </w:p>
    <w:p w14:paraId="2492CB7D">
      <w:pPr>
        <w:ind w:firstLine="562" w:firstLineChars="200"/>
        <w:outlineLvl w:val="1"/>
        <w:rPr>
          <w:b/>
          <w:sz w:val="28"/>
        </w:rPr>
      </w:pPr>
      <w:bookmarkStart w:id="207" w:name="_Toc5421"/>
      <w:bookmarkStart w:id="208" w:name="_Toc4894"/>
      <w:bookmarkStart w:id="209" w:name="_Toc28527"/>
      <w:bookmarkStart w:id="210" w:name="_Toc20102"/>
      <w:bookmarkStart w:id="211" w:name="_Toc182323088"/>
      <w:bookmarkStart w:id="212" w:name="_Toc30640"/>
      <w:bookmarkStart w:id="213" w:name="_Toc26317"/>
      <w:bookmarkStart w:id="214" w:name="_Toc20100"/>
      <w:r>
        <w:rPr>
          <w:b/>
          <w:sz w:val="28"/>
        </w:rPr>
        <w:t>3.</w:t>
      </w:r>
      <w:r>
        <w:rPr>
          <w:rFonts w:hint="eastAsia"/>
          <w:b/>
          <w:sz w:val="28"/>
        </w:rPr>
        <w:t>7专利情况说明</w:t>
      </w:r>
      <w:bookmarkEnd w:id="207"/>
      <w:bookmarkEnd w:id="208"/>
      <w:bookmarkEnd w:id="209"/>
      <w:bookmarkEnd w:id="210"/>
      <w:bookmarkEnd w:id="211"/>
      <w:bookmarkEnd w:id="212"/>
      <w:bookmarkEnd w:id="213"/>
      <w:bookmarkEnd w:id="214"/>
    </w:p>
    <w:p w14:paraId="2E953CF3">
      <w:pPr>
        <w:pStyle w:val="3"/>
        <w:ind w:firstLine="480"/>
      </w:pPr>
      <w:r>
        <w:rPr>
          <w:rFonts w:hint="eastAsia"/>
        </w:rPr>
        <w:t>本规范所使用的研究方法以及参考的相关标准均未涉及专利。</w:t>
      </w:r>
    </w:p>
    <w:p w14:paraId="2E4FF525">
      <w:pPr>
        <w:ind w:firstLine="562" w:firstLineChars="200"/>
        <w:outlineLvl w:val="0"/>
        <w:rPr>
          <w:b/>
        </w:rPr>
      </w:pPr>
      <w:bookmarkStart w:id="215" w:name="_Toc28261"/>
      <w:bookmarkStart w:id="216" w:name="_Toc12687"/>
      <w:bookmarkStart w:id="217" w:name="_Toc15879"/>
      <w:bookmarkStart w:id="218" w:name="_Toc10664"/>
      <w:bookmarkStart w:id="219" w:name="_Toc182323089"/>
      <w:bookmarkStart w:id="220" w:name="_Toc8858"/>
      <w:bookmarkStart w:id="221" w:name="_Toc18953"/>
      <w:bookmarkStart w:id="222" w:name="_Toc19636"/>
      <w:r>
        <w:rPr>
          <w:rFonts w:hint="eastAsia" w:eastAsia="黑体"/>
          <w:b/>
          <w:sz w:val="28"/>
        </w:rPr>
        <w:t>四、主要试验、验证及试行结果</w:t>
      </w:r>
      <w:bookmarkEnd w:id="215"/>
      <w:bookmarkEnd w:id="216"/>
      <w:bookmarkEnd w:id="217"/>
      <w:bookmarkEnd w:id="218"/>
      <w:bookmarkEnd w:id="219"/>
      <w:bookmarkEnd w:id="220"/>
      <w:bookmarkEnd w:id="221"/>
      <w:bookmarkEnd w:id="222"/>
      <w:r>
        <w:rPr>
          <w:rFonts w:hint="eastAsia"/>
          <w:b/>
        </w:rPr>
        <w:t xml:space="preserve"> </w:t>
      </w:r>
    </w:p>
    <w:p w14:paraId="4C7C4F21">
      <w:pPr>
        <w:ind w:firstLine="480" w:firstLineChars="200"/>
      </w:pPr>
      <w:r>
        <w:rPr>
          <w:rFonts w:hint="eastAsia"/>
        </w:rPr>
        <w:t>生态环境部卫星环境应用中心自2015年起开展河流断流干涸遥感监测评估业务工作，积累了良好的技术基础和研究经验，针对河流断流干涸遥感监测问题，已开展了大量基础性研究工作，并在京津冀地区、辽河流域、黄河流域、长江经济带等重点区域进行了监测应用，建立了河流水资源遥感监测与评价方面的人才队伍，完善了河流断流干涸遥感监测业务工作流程，在实际工作中积累了大量的工作经验与成果，为标准规范的编制和实施提供了良好的技术保证。</w:t>
      </w:r>
    </w:p>
    <w:p w14:paraId="57F471CA">
      <w:pPr>
        <w:ind w:firstLine="480" w:firstLineChars="200"/>
      </w:pPr>
      <w:r>
        <w:rPr>
          <w:rFonts w:hint="eastAsia"/>
        </w:rPr>
        <w:t>在结果验证方面，基于谷歌地球高分辨率卫星影像、国控断面月度监测数据、水文站点数据和实地踏勘等四种方式开展河流断流干涸遥感监测结果的验证及分析工作。在谷歌地球影像验证方面，以2018年辽河流域枯水期数据为例，抽取15%河流矢量（40条河流，共计1484.11千米），结合谷歌地球同期高分辨率卫星影像对遥感监测结果进行核查，总体精度达95.5%。在水文站点数据验证方面，以2019年京津冀地区汛期数据为例，验证19条河流24处有水文数据河段，总体精度达100%。在实地踏勘验证方面，以2018年京津冀地区夏季数据为例，实地有效踏勘验证15条河流（水库）40个点位，总体精度达95.0%。综合上述三种验证方式及结果，遥感监测河流断流干涸结果总体准确率达9</w:t>
      </w:r>
      <w:r>
        <w:t>5%</w:t>
      </w:r>
      <w:r>
        <w:rPr>
          <w:rFonts w:hint="eastAsia"/>
        </w:rPr>
        <w:t>以上，结果相对准确可信。</w:t>
      </w:r>
    </w:p>
    <w:p w14:paraId="57BE3330">
      <w:pPr>
        <w:ind w:firstLine="562" w:firstLineChars="200"/>
        <w:outlineLvl w:val="0"/>
        <w:rPr>
          <w:rFonts w:eastAsia="黑体"/>
          <w:b/>
          <w:sz w:val="28"/>
        </w:rPr>
      </w:pPr>
      <w:bookmarkStart w:id="223" w:name="_Toc24961"/>
      <w:bookmarkStart w:id="224" w:name="_Toc9259"/>
      <w:bookmarkStart w:id="225" w:name="_Toc13816"/>
      <w:bookmarkStart w:id="226" w:name="_Toc11361"/>
      <w:bookmarkStart w:id="227" w:name="_Toc7156"/>
      <w:r>
        <w:rPr>
          <w:rFonts w:hint="eastAsia" w:eastAsia="黑体"/>
          <w:b/>
          <w:sz w:val="28"/>
        </w:rPr>
        <w:t>五、与相关标准的关系分析</w:t>
      </w:r>
      <w:bookmarkEnd w:id="223"/>
      <w:bookmarkEnd w:id="224"/>
      <w:bookmarkEnd w:id="225"/>
      <w:bookmarkEnd w:id="226"/>
      <w:bookmarkEnd w:id="227"/>
      <w:r>
        <w:rPr>
          <w:rFonts w:hint="eastAsia" w:eastAsia="黑体"/>
          <w:b/>
          <w:sz w:val="28"/>
        </w:rPr>
        <w:t xml:space="preserve"> </w:t>
      </w:r>
    </w:p>
    <w:p w14:paraId="36BEAC5A">
      <w:pPr>
        <w:ind w:firstLine="480" w:firstLineChars="200"/>
      </w:pPr>
      <w:r>
        <w:rPr>
          <w:rFonts w:hint="eastAsia"/>
        </w:rPr>
        <w:t>本标准为首次制定，与本行业现有的其他标准协调配套，没有冲突。</w:t>
      </w:r>
    </w:p>
    <w:p w14:paraId="4BE6D276">
      <w:pPr>
        <w:ind w:firstLine="480" w:firstLineChars="200"/>
      </w:pPr>
      <w:r>
        <w:rPr>
          <w:rFonts w:hint="eastAsia"/>
        </w:rPr>
        <w:t>本标准在制定时，参考并借鉴了大量涉及河流断流地面调查监测的现行标准规范，并在此基础上提出一套基于遥感的河流断流干涸监测与评价指标体系，具体见表3。</w:t>
      </w:r>
    </w:p>
    <w:p w14:paraId="7124C391">
      <w:pPr>
        <w:jc w:val="center"/>
      </w:pPr>
      <w:r>
        <w:rPr>
          <w:rFonts w:hint="eastAsia" w:eastAsia="黑体"/>
          <w:sz w:val="21"/>
        </w:rPr>
        <w:t>表</w:t>
      </w:r>
      <w:r>
        <w:rPr>
          <w:rFonts w:eastAsia="黑体"/>
          <w:sz w:val="21"/>
        </w:rPr>
        <w:t>3</w:t>
      </w:r>
      <w:r>
        <w:rPr>
          <w:rFonts w:hint="eastAsia" w:eastAsia="黑体"/>
          <w:sz w:val="21"/>
        </w:rPr>
        <w:t xml:space="preserve"> 国内现行相关标准规范内容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1985"/>
        <w:gridCol w:w="3402"/>
        <w:gridCol w:w="2205"/>
      </w:tblGrid>
      <w:tr w14:paraId="3285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04" w:type="dxa"/>
            <w:shd w:val="clear" w:color="auto" w:fill="auto"/>
            <w:tcMar>
              <w:top w:w="72" w:type="dxa"/>
              <w:left w:w="144" w:type="dxa"/>
              <w:bottom w:w="72" w:type="dxa"/>
              <w:right w:w="144" w:type="dxa"/>
            </w:tcMar>
            <w:vAlign w:val="center"/>
          </w:tcPr>
          <w:p w14:paraId="2A6F958D">
            <w:pPr>
              <w:jc w:val="center"/>
              <w:rPr>
                <w:sz w:val="21"/>
              </w:rPr>
            </w:pPr>
            <w:r>
              <w:rPr>
                <w:bCs/>
                <w:sz w:val="21"/>
              </w:rPr>
              <w:t>序号</w:t>
            </w:r>
          </w:p>
        </w:tc>
        <w:tc>
          <w:tcPr>
            <w:tcW w:w="1985" w:type="dxa"/>
            <w:shd w:val="clear" w:color="auto" w:fill="auto"/>
            <w:tcMar>
              <w:top w:w="72" w:type="dxa"/>
              <w:left w:w="144" w:type="dxa"/>
              <w:bottom w:w="72" w:type="dxa"/>
              <w:right w:w="144" w:type="dxa"/>
            </w:tcMar>
            <w:vAlign w:val="center"/>
          </w:tcPr>
          <w:p w14:paraId="15C91013">
            <w:pPr>
              <w:jc w:val="center"/>
              <w:rPr>
                <w:sz w:val="21"/>
              </w:rPr>
            </w:pPr>
            <w:r>
              <w:rPr>
                <w:bCs/>
                <w:sz w:val="21"/>
              </w:rPr>
              <w:t>标准名称</w:t>
            </w:r>
          </w:p>
        </w:tc>
        <w:tc>
          <w:tcPr>
            <w:tcW w:w="3402" w:type="dxa"/>
            <w:shd w:val="clear" w:color="auto" w:fill="auto"/>
            <w:tcMar>
              <w:top w:w="72" w:type="dxa"/>
              <w:left w:w="144" w:type="dxa"/>
              <w:bottom w:w="72" w:type="dxa"/>
              <w:right w:w="144" w:type="dxa"/>
            </w:tcMar>
            <w:vAlign w:val="center"/>
          </w:tcPr>
          <w:p w14:paraId="5D7A782D">
            <w:pPr>
              <w:jc w:val="center"/>
              <w:rPr>
                <w:sz w:val="21"/>
              </w:rPr>
            </w:pPr>
            <w:r>
              <w:rPr>
                <w:rFonts w:hint="eastAsia"/>
                <w:bCs/>
                <w:sz w:val="21"/>
              </w:rPr>
              <w:t>涉及</w:t>
            </w:r>
            <w:r>
              <w:rPr>
                <w:bCs/>
                <w:sz w:val="21"/>
              </w:rPr>
              <w:t>内容</w:t>
            </w:r>
          </w:p>
        </w:tc>
        <w:tc>
          <w:tcPr>
            <w:tcW w:w="2205" w:type="dxa"/>
            <w:shd w:val="clear" w:color="auto" w:fill="auto"/>
            <w:tcMar>
              <w:top w:w="72" w:type="dxa"/>
              <w:left w:w="144" w:type="dxa"/>
              <w:bottom w:w="72" w:type="dxa"/>
              <w:right w:w="144" w:type="dxa"/>
            </w:tcMar>
            <w:vAlign w:val="center"/>
          </w:tcPr>
          <w:p w14:paraId="3E6136EE">
            <w:pPr>
              <w:jc w:val="center"/>
              <w:rPr>
                <w:sz w:val="21"/>
              </w:rPr>
            </w:pPr>
            <w:r>
              <w:rPr>
                <w:bCs/>
                <w:sz w:val="21"/>
              </w:rPr>
              <w:t>与本标准关系说明</w:t>
            </w:r>
          </w:p>
        </w:tc>
      </w:tr>
      <w:tr w14:paraId="214A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04" w:type="dxa"/>
            <w:shd w:val="clear" w:color="auto" w:fill="auto"/>
            <w:tcMar>
              <w:top w:w="72" w:type="dxa"/>
              <w:left w:w="144" w:type="dxa"/>
              <w:bottom w:w="72" w:type="dxa"/>
              <w:right w:w="144" w:type="dxa"/>
            </w:tcMar>
            <w:vAlign w:val="center"/>
          </w:tcPr>
          <w:p w14:paraId="39480CB9">
            <w:pPr>
              <w:jc w:val="center"/>
              <w:rPr>
                <w:sz w:val="21"/>
              </w:rPr>
            </w:pPr>
            <w:r>
              <w:rPr>
                <w:rFonts w:hint="eastAsia"/>
                <w:sz w:val="21"/>
              </w:rPr>
              <w:t>1</w:t>
            </w:r>
          </w:p>
        </w:tc>
        <w:tc>
          <w:tcPr>
            <w:tcW w:w="1985" w:type="dxa"/>
            <w:shd w:val="clear" w:color="auto" w:fill="auto"/>
            <w:tcMar>
              <w:top w:w="72" w:type="dxa"/>
              <w:left w:w="144" w:type="dxa"/>
              <w:bottom w:w="72" w:type="dxa"/>
              <w:right w:w="144" w:type="dxa"/>
            </w:tcMar>
            <w:vAlign w:val="center"/>
          </w:tcPr>
          <w:p w14:paraId="1C1CDECA">
            <w:pPr>
              <w:rPr>
                <w:sz w:val="21"/>
              </w:rPr>
            </w:pPr>
            <w:r>
              <w:rPr>
                <w:rFonts w:hint="eastAsia"/>
                <w:sz w:val="21"/>
              </w:rPr>
              <w:t>《水资源规划规范》（GB/T 51051-2014）</w:t>
            </w:r>
          </w:p>
        </w:tc>
        <w:tc>
          <w:tcPr>
            <w:tcW w:w="3402" w:type="dxa"/>
            <w:shd w:val="clear" w:color="auto" w:fill="auto"/>
            <w:tcMar>
              <w:top w:w="72" w:type="dxa"/>
              <w:left w:w="144" w:type="dxa"/>
              <w:bottom w:w="72" w:type="dxa"/>
              <w:right w:w="144" w:type="dxa"/>
            </w:tcMar>
            <w:vAlign w:val="center"/>
          </w:tcPr>
          <w:p w14:paraId="1A9BAD19">
            <w:pPr>
              <w:rPr>
                <w:sz w:val="21"/>
              </w:rPr>
            </w:pPr>
            <w:r>
              <w:rPr>
                <w:rFonts w:hint="eastAsia"/>
                <w:sz w:val="21"/>
              </w:rPr>
              <w:t>水生态环境状况分析中提出河流断流调查分析，调查对象应为天然情况下的非季节性河流，调查内容包括断流河流的基本情况，断流河段起止断面、长度，断流持续时间、年内断流出现次数及断流出现时段等。</w:t>
            </w:r>
          </w:p>
        </w:tc>
        <w:tc>
          <w:tcPr>
            <w:tcW w:w="2205" w:type="dxa"/>
            <w:vMerge w:val="restart"/>
            <w:shd w:val="clear" w:color="auto" w:fill="auto"/>
            <w:tcMar>
              <w:top w:w="72" w:type="dxa"/>
              <w:left w:w="144" w:type="dxa"/>
              <w:bottom w:w="72" w:type="dxa"/>
              <w:right w:w="144" w:type="dxa"/>
            </w:tcMar>
            <w:vAlign w:val="center"/>
          </w:tcPr>
          <w:p w14:paraId="614C5705">
            <w:pPr>
              <w:rPr>
                <w:sz w:val="21"/>
              </w:rPr>
            </w:pPr>
            <w:r>
              <w:rPr>
                <w:rFonts w:hint="eastAsia"/>
                <w:sz w:val="21"/>
              </w:rPr>
              <w:t>上述标准从不同角度对水资源监测内容、断流防治等进行了相应的规范，对河流断流干涸的监测评价具有重要的参考价值。但上述相关标准都是基于传统的地面监测调查的方法开展监测，尚未提及用遥感手段开展河流断流遥感监测，同时未构建一套河流断流干涸评价指标体系。</w:t>
            </w:r>
          </w:p>
          <w:p w14:paraId="48B34AD6">
            <w:pPr>
              <w:rPr>
                <w:sz w:val="21"/>
              </w:rPr>
            </w:pPr>
            <w:r>
              <w:rPr>
                <w:rFonts w:hint="eastAsia"/>
                <w:sz w:val="21"/>
              </w:rPr>
              <w:t>本标准充分参考上述技术文件，针对河流断流干涸监测提出一套基于遥感的监测与评价指标体系，并提出相应的质量控制方案。</w:t>
            </w:r>
          </w:p>
        </w:tc>
      </w:tr>
      <w:tr w14:paraId="6B61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04" w:type="dxa"/>
            <w:shd w:val="clear" w:color="auto" w:fill="auto"/>
            <w:tcMar>
              <w:top w:w="72" w:type="dxa"/>
              <w:left w:w="144" w:type="dxa"/>
              <w:bottom w:w="72" w:type="dxa"/>
              <w:right w:w="144" w:type="dxa"/>
            </w:tcMar>
            <w:vAlign w:val="center"/>
          </w:tcPr>
          <w:p w14:paraId="4B2B5C6A">
            <w:pPr>
              <w:jc w:val="center"/>
              <w:rPr>
                <w:sz w:val="21"/>
              </w:rPr>
            </w:pPr>
            <w:r>
              <w:rPr>
                <w:rFonts w:hint="eastAsia"/>
                <w:sz w:val="21"/>
              </w:rPr>
              <w:t>2</w:t>
            </w:r>
          </w:p>
        </w:tc>
        <w:tc>
          <w:tcPr>
            <w:tcW w:w="1985" w:type="dxa"/>
            <w:shd w:val="clear" w:color="auto" w:fill="auto"/>
            <w:tcMar>
              <w:top w:w="72" w:type="dxa"/>
              <w:left w:w="144" w:type="dxa"/>
              <w:bottom w:w="72" w:type="dxa"/>
              <w:right w:w="144" w:type="dxa"/>
            </w:tcMar>
            <w:vAlign w:val="center"/>
          </w:tcPr>
          <w:p w14:paraId="59853EE6">
            <w:pPr>
              <w:rPr>
                <w:sz w:val="21"/>
              </w:rPr>
            </w:pPr>
            <w:r>
              <w:rPr>
                <w:rFonts w:hint="eastAsia"/>
                <w:sz w:val="21"/>
              </w:rPr>
              <w:t>《水资源评价导则》（SL /T 238-1999）</w:t>
            </w:r>
          </w:p>
        </w:tc>
        <w:tc>
          <w:tcPr>
            <w:tcW w:w="3402" w:type="dxa"/>
            <w:shd w:val="clear" w:color="auto" w:fill="auto"/>
            <w:tcMar>
              <w:top w:w="72" w:type="dxa"/>
              <w:left w:w="144" w:type="dxa"/>
              <w:bottom w:w="72" w:type="dxa"/>
              <w:right w:w="144" w:type="dxa"/>
            </w:tcMar>
            <w:vAlign w:val="center"/>
          </w:tcPr>
          <w:p w14:paraId="67CAE913">
            <w:pPr>
              <w:rPr>
                <w:sz w:val="21"/>
              </w:rPr>
            </w:pPr>
            <w:r>
              <w:rPr>
                <w:rFonts w:hint="eastAsia"/>
                <w:sz w:val="21"/>
              </w:rPr>
              <w:t>提到河道退化和湖泊、水库萎缩的水环境问题评价内容应包括河床变化和湖泊、水库蓄水量及水面面积减少的定量指标；河道断流的水环境问题评价内容应包括河道断流发生的地段及起讫时间等内容。</w:t>
            </w:r>
          </w:p>
        </w:tc>
        <w:tc>
          <w:tcPr>
            <w:tcW w:w="2205" w:type="dxa"/>
            <w:vMerge w:val="continue"/>
            <w:shd w:val="clear" w:color="auto" w:fill="auto"/>
            <w:tcMar>
              <w:top w:w="72" w:type="dxa"/>
              <w:left w:w="144" w:type="dxa"/>
              <w:bottom w:w="72" w:type="dxa"/>
              <w:right w:w="144" w:type="dxa"/>
            </w:tcMar>
            <w:vAlign w:val="center"/>
          </w:tcPr>
          <w:p w14:paraId="6E5C70D7">
            <w:pPr>
              <w:rPr>
                <w:sz w:val="21"/>
              </w:rPr>
            </w:pPr>
          </w:p>
        </w:tc>
      </w:tr>
      <w:tr w14:paraId="11EC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04" w:type="dxa"/>
            <w:shd w:val="clear" w:color="auto" w:fill="auto"/>
            <w:tcMar>
              <w:top w:w="72" w:type="dxa"/>
              <w:left w:w="144" w:type="dxa"/>
              <w:bottom w:w="72" w:type="dxa"/>
              <w:right w:w="144" w:type="dxa"/>
            </w:tcMar>
            <w:vAlign w:val="center"/>
          </w:tcPr>
          <w:p w14:paraId="24034881">
            <w:pPr>
              <w:jc w:val="center"/>
              <w:rPr>
                <w:sz w:val="21"/>
              </w:rPr>
            </w:pPr>
            <w:r>
              <w:rPr>
                <w:rFonts w:hint="eastAsia"/>
                <w:sz w:val="21"/>
              </w:rPr>
              <w:t>3</w:t>
            </w:r>
          </w:p>
        </w:tc>
        <w:tc>
          <w:tcPr>
            <w:tcW w:w="1985" w:type="dxa"/>
            <w:shd w:val="clear" w:color="auto" w:fill="auto"/>
            <w:tcMar>
              <w:top w:w="72" w:type="dxa"/>
              <w:left w:w="144" w:type="dxa"/>
              <w:bottom w:w="72" w:type="dxa"/>
              <w:right w:w="144" w:type="dxa"/>
            </w:tcMar>
            <w:vAlign w:val="center"/>
          </w:tcPr>
          <w:p w14:paraId="2D01362F">
            <w:pPr>
              <w:rPr>
                <w:sz w:val="21"/>
              </w:rPr>
            </w:pPr>
            <w:r>
              <w:rPr>
                <w:rFonts w:hint="eastAsia"/>
                <w:sz w:val="21"/>
              </w:rPr>
              <w:t>《水资源水量监测技术导则》（SL 365-2015）</w:t>
            </w:r>
          </w:p>
        </w:tc>
        <w:tc>
          <w:tcPr>
            <w:tcW w:w="3402" w:type="dxa"/>
            <w:shd w:val="clear" w:color="auto" w:fill="auto"/>
            <w:tcMar>
              <w:top w:w="72" w:type="dxa"/>
              <w:left w:w="144" w:type="dxa"/>
              <w:bottom w:w="72" w:type="dxa"/>
              <w:right w:w="144" w:type="dxa"/>
            </w:tcMar>
            <w:vAlign w:val="center"/>
          </w:tcPr>
          <w:p w14:paraId="22888131">
            <w:pPr>
              <w:rPr>
                <w:sz w:val="21"/>
              </w:rPr>
            </w:pPr>
            <w:r>
              <w:rPr>
                <w:rFonts w:hint="eastAsia"/>
                <w:sz w:val="21"/>
              </w:rPr>
              <w:t>规定了水资源水量监测站网布设、监测和调查的方法、监测精度、资料整理等内容和技术要求。</w:t>
            </w:r>
          </w:p>
        </w:tc>
        <w:tc>
          <w:tcPr>
            <w:tcW w:w="2205" w:type="dxa"/>
            <w:vMerge w:val="continue"/>
            <w:shd w:val="clear" w:color="auto" w:fill="auto"/>
            <w:vAlign w:val="center"/>
          </w:tcPr>
          <w:p w14:paraId="69D0FFA7">
            <w:pPr>
              <w:rPr>
                <w:sz w:val="21"/>
              </w:rPr>
            </w:pPr>
          </w:p>
        </w:tc>
      </w:tr>
      <w:tr w14:paraId="0020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04" w:type="dxa"/>
            <w:shd w:val="clear" w:color="auto" w:fill="auto"/>
            <w:tcMar>
              <w:top w:w="72" w:type="dxa"/>
              <w:left w:w="144" w:type="dxa"/>
              <w:bottom w:w="72" w:type="dxa"/>
              <w:right w:w="144" w:type="dxa"/>
            </w:tcMar>
            <w:vAlign w:val="center"/>
          </w:tcPr>
          <w:p w14:paraId="3C216582">
            <w:pPr>
              <w:jc w:val="center"/>
              <w:rPr>
                <w:sz w:val="21"/>
              </w:rPr>
            </w:pPr>
            <w:r>
              <w:rPr>
                <w:rFonts w:hint="eastAsia"/>
                <w:sz w:val="21"/>
              </w:rPr>
              <w:t>4</w:t>
            </w:r>
          </w:p>
        </w:tc>
        <w:tc>
          <w:tcPr>
            <w:tcW w:w="1985" w:type="dxa"/>
            <w:shd w:val="clear" w:color="auto" w:fill="auto"/>
            <w:tcMar>
              <w:top w:w="72" w:type="dxa"/>
              <w:left w:w="144" w:type="dxa"/>
              <w:bottom w:w="72" w:type="dxa"/>
              <w:right w:w="144" w:type="dxa"/>
            </w:tcMar>
            <w:vAlign w:val="center"/>
          </w:tcPr>
          <w:p w14:paraId="683FFC3F">
            <w:pPr>
              <w:rPr>
                <w:sz w:val="21"/>
              </w:rPr>
            </w:pPr>
            <w:r>
              <w:rPr>
                <w:rFonts w:hint="eastAsia"/>
                <w:sz w:val="21"/>
              </w:rPr>
              <w:t>《小型水电站下游河道减脱水防治技术导则》（SL/T 796-2020）</w:t>
            </w:r>
          </w:p>
        </w:tc>
        <w:tc>
          <w:tcPr>
            <w:tcW w:w="3402" w:type="dxa"/>
            <w:shd w:val="clear" w:color="auto" w:fill="auto"/>
            <w:tcMar>
              <w:top w:w="72" w:type="dxa"/>
              <w:left w:w="144" w:type="dxa"/>
              <w:bottom w:w="72" w:type="dxa"/>
              <w:right w:w="144" w:type="dxa"/>
            </w:tcMar>
            <w:vAlign w:val="center"/>
          </w:tcPr>
          <w:p w14:paraId="79BCFCC9">
            <w:pPr>
              <w:rPr>
                <w:sz w:val="21"/>
              </w:rPr>
            </w:pPr>
            <w:r>
              <w:rPr>
                <w:rFonts w:hint="eastAsia"/>
                <w:sz w:val="21"/>
              </w:rPr>
              <w:t>对小水电生态流量泄放及辅助工程设施的设计提出了规定，防止小水电下游河道减脱水现象的发生。</w:t>
            </w:r>
          </w:p>
        </w:tc>
        <w:tc>
          <w:tcPr>
            <w:tcW w:w="2205" w:type="dxa"/>
            <w:vMerge w:val="continue"/>
            <w:shd w:val="clear" w:color="auto" w:fill="auto"/>
            <w:vAlign w:val="center"/>
          </w:tcPr>
          <w:p w14:paraId="623AAD8B">
            <w:pPr>
              <w:rPr>
                <w:sz w:val="21"/>
              </w:rPr>
            </w:pPr>
          </w:p>
        </w:tc>
      </w:tr>
    </w:tbl>
    <w:p w14:paraId="7D61A3FA">
      <w:pPr>
        <w:ind w:firstLine="480" w:firstLineChars="200"/>
      </w:pPr>
    </w:p>
    <w:p w14:paraId="25DCA5C9">
      <w:pPr>
        <w:ind w:firstLine="562" w:firstLineChars="200"/>
        <w:outlineLvl w:val="0"/>
        <w:rPr>
          <w:b/>
        </w:rPr>
      </w:pPr>
      <w:bookmarkStart w:id="228" w:name="_Toc11401"/>
      <w:bookmarkStart w:id="229" w:name="_Toc2531"/>
      <w:bookmarkStart w:id="230" w:name="_Toc182323090"/>
      <w:bookmarkStart w:id="231" w:name="_Toc28457"/>
      <w:bookmarkStart w:id="232" w:name="_Toc21243"/>
      <w:bookmarkStart w:id="233" w:name="_Toc25043"/>
      <w:bookmarkStart w:id="234" w:name="_Toc19430"/>
      <w:bookmarkStart w:id="235" w:name="_Toc5685"/>
      <w:r>
        <w:rPr>
          <w:rFonts w:hint="eastAsia" w:eastAsia="黑体"/>
          <w:b/>
          <w:sz w:val="28"/>
        </w:rPr>
        <w:t>六、采用国际标准的程度及水平说明</w:t>
      </w:r>
      <w:bookmarkEnd w:id="228"/>
      <w:bookmarkEnd w:id="229"/>
      <w:bookmarkEnd w:id="230"/>
      <w:bookmarkEnd w:id="231"/>
      <w:bookmarkEnd w:id="232"/>
      <w:bookmarkEnd w:id="233"/>
      <w:bookmarkEnd w:id="234"/>
      <w:bookmarkEnd w:id="235"/>
      <w:r>
        <w:rPr>
          <w:rFonts w:hint="eastAsia"/>
          <w:b/>
        </w:rPr>
        <w:t xml:space="preserve"> </w:t>
      </w:r>
    </w:p>
    <w:p w14:paraId="1CD0CA8A">
      <w:pPr>
        <w:ind w:firstLine="480" w:firstLineChars="200"/>
      </w:pPr>
      <w:r>
        <w:rPr>
          <w:rFonts w:hint="eastAsia"/>
        </w:rPr>
        <w:t>本标准制定过程中未查询到相应或相关的国际标准，因此未采用。</w:t>
      </w:r>
    </w:p>
    <w:p w14:paraId="10F6E4A8">
      <w:pPr>
        <w:ind w:firstLine="562" w:firstLineChars="200"/>
        <w:outlineLvl w:val="0"/>
        <w:rPr>
          <w:b/>
        </w:rPr>
      </w:pPr>
      <w:bookmarkStart w:id="236" w:name="_Toc29122"/>
      <w:bookmarkStart w:id="237" w:name="_Toc16649"/>
      <w:bookmarkStart w:id="238" w:name="_Toc19925"/>
      <w:bookmarkStart w:id="239" w:name="_Toc25627"/>
      <w:bookmarkStart w:id="240" w:name="_Toc25215"/>
      <w:bookmarkStart w:id="241" w:name="_Toc23943"/>
      <w:bookmarkStart w:id="242" w:name="_Toc11730"/>
      <w:bookmarkStart w:id="243" w:name="_Toc182323091"/>
      <w:r>
        <w:rPr>
          <w:rFonts w:hint="eastAsia" w:eastAsia="黑体"/>
          <w:b/>
          <w:sz w:val="28"/>
        </w:rPr>
        <w:t>七、重大分歧或重难点的处理经过和依据</w:t>
      </w:r>
      <w:bookmarkEnd w:id="236"/>
      <w:bookmarkEnd w:id="237"/>
      <w:bookmarkEnd w:id="238"/>
      <w:bookmarkEnd w:id="239"/>
      <w:bookmarkEnd w:id="240"/>
      <w:bookmarkEnd w:id="241"/>
      <w:bookmarkEnd w:id="242"/>
      <w:bookmarkEnd w:id="243"/>
      <w:r>
        <w:rPr>
          <w:rFonts w:hint="eastAsia"/>
          <w:b/>
        </w:rPr>
        <w:t xml:space="preserve"> </w:t>
      </w:r>
    </w:p>
    <w:p w14:paraId="6AAEB04F">
      <w:pPr>
        <w:ind w:firstLine="480" w:firstLineChars="200"/>
      </w:pPr>
      <w:r>
        <w:rPr>
          <w:rFonts w:hint="eastAsia"/>
        </w:rPr>
        <w:t>河流断流干涸遥感监测方法已经较为成熟，相关监测结果在生态环境部有关司局和部分地方主管部门得到一定的应用，标准在制定过程中严格遵照相关行业通用标准，采用标准化流程，因此在编制中无重大意见分歧。</w:t>
      </w:r>
    </w:p>
    <w:p w14:paraId="4AAEB824">
      <w:pPr>
        <w:ind w:firstLine="562" w:firstLineChars="200"/>
        <w:outlineLvl w:val="0"/>
        <w:rPr>
          <w:rFonts w:eastAsia="黑体"/>
          <w:b/>
          <w:sz w:val="28"/>
        </w:rPr>
      </w:pPr>
      <w:bookmarkStart w:id="244" w:name="_Toc28272"/>
      <w:bookmarkStart w:id="245" w:name="_Toc182323092"/>
      <w:bookmarkStart w:id="246" w:name="_Toc24545"/>
      <w:bookmarkStart w:id="247" w:name="_Toc15435"/>
      <w:bookmarkStart w:id="248" w:name="_Toc16030"/>
      <w:bookmarkStart w:id="249" w:name="_Toc9998"/>
      <w:bookmarkStart w:id="250" w:name="_Toc29513"/>
      <w:bookmarkStart w:id="251" w:name="_Toc5624"/>
      <w:r>
        <w:rPr>
          <w:rFonts w:hint="eastAsia" w:eastAsia="黑体"/>
          <w:b/>
          <w:sz w:val="28"/>
        </w:rPr>
        <w:t>八、贯彻措施及预期效果</w:t>
      </w:r>
      <w:bookmarkEnd w:id="244"/>
      <w:bookmarkEnd w:id="245"/>
      <w:bookmarkEnd w:id="246"/>
      <w:bookmarkEnd w:id="247"/>
      <w:bookmarkEnd w:id="248"/>
      <w:bookmarkEnd w:id="249"/>
      <w:bookmarkEnd w:id="250"/>
      <w:bookmarkEnd w:id="251"/>
      <w:r>
        <w:rPr>
          <w:rFonts w:hint="eastAsia" w:eastAsia="黑体"/>
          <w:b/>
          <w:sz w:val="28"/>
        </w:rPr>
        <w:t xml:space="preserve"> </w:t>
      </w:r>
    </w:p>
    <w:p w14:paraId="2BDB1712">
      <w:pPr>
        <w:ind w:firstLine="562" w:firstLineChars="200"/>
        <w:outlineLvl w:val="1"/>
        <w:rPr>
          <w:b/>
          <w:sz w:val="28"/>
        </w:rPr>
      </w:pPr>
      <w:bookmarkStart w:id="252" w:name="_Toc182323093"/>
      <w:bookmarkStart w:id="253" w:name="_Toc19406"/>
      <w:bookmarkStart w:id="254" w:name="_Toc23603"/>
      <w:bookmarkStart w:id="255" w:name="_Toc4259"/>
      <w:bookmarkStart w:id="256" w:name="_Toc25670"/>
      <w:bookmarkStart w:id="257" w:name="_Toc6350"/>
      <w:bookmarkStart w:id="258" w:name="_Toc31025"/>
      <w:bookmarkStart w:id="259" w:name="_Toc16500"/>
      <w:r>
        <w:rPr>
          <w:rFonts w:hint="eastAsia"/>
          <w:b/>
          <w:sz w:val="28"/>
        </w:rPr>
        <w:t>8</w:t>
      </w:r>
      <w:r>
        <w:rPr>
          <w:b/>
          <w:sz w:val="28"/>
        </w:rPr>
        <w:t>.1</w:t>
      </w:r>
      <w:r>
        <w:rPr>
          <w:rFonts w:hint="eastAsia"/>
          <w:b/>
          <w:sz w:val="28"/>
        </w:rPr>
        <w:t>贯彻措施</w:t>
      </w:r>
      <w:bookmarkEnd w:id="252"/>
      <w:bookmarkEnd w:id="253"/>
      <w:bookmarkEnd w:id="254"/>
      <w:bookmarkEnd w:id="255"/>
      <w:bookmarkEnd w:id="256"/>
      <w:bookmarkEnd w:id="257"/>
      <w:bookmarkEnd w:id="258"/>
      <w:bookmarkEnd w:id="259"/>
    </w:p>
    <w:p w14:paraId="0F10C6CA">
      <w:pPr>
        <w:ind w:firstLine="480" w:firstLineChars="200"/>
      </w:pPr>
      <w:r>
        <w:rPr>
          <w:rFonts w:hint="eastAsia"/>
        </w:rPr>
        <w:t>标准发布后将在生态环境系统相关单位进行宣贯，并在生态环境部生态用水保障工作中予以实施，同时建议各地综合考虑实际情况进行实施。建议标准发布实施后，根据实施情况及河流断流干涸监测与评价的技术发展情况适时对本标准进行修订，同步加强相关科学研究。</w:t>
      </w:r>
    </w:p>
    <w:p w14:paraId="11A6DE2C">
      <w:pPr>
        <w:ind w:firstLine="562" w:firstLineChars="200"/>
        <w:outlineLvl w:val="1"/>
        <w:rPr>
          <w:b/>
          <w:sz w:val="28"/>
        </w:rPr>
      </w:pPr>
      <w:bookmarkStart w:id="260" w:name="_Toc569"/>
      <w:bookmarkStart w:id="261" w:name="_Toc25827"/>
      <w:bookmarkStart w:id="262" w:name="_Toc31290"/>
      <w:bookmarkStart w:id="263" w:name="_Toc7908"/>
      <w:bookmarkStart w:id="264" w:name="_Toc12441"/>
      <w:bookmarkStart w:id="265" w:name="_Toc27564"/>
      <w:bookmarkStart w:id="266" w:name="_Toc182323094"/>
      <w:bookmarkStart w:id="267" w:name="_Toc32348"/>
      <w:r>
        <w:rPr>
          <w:rFonts w:hint="eastAsia"/>
          <w:b/>
          <w:sz w:val="28"/>
        </w:rPr>
        <w:t>8</w:t>
      </w:r>
      <w:r>
        <w:rPr>
          <w:b/>
          <w:sz w:val="28"/>
        </w:rPr>
        <w:t>.2</w:t>
      </w:r>
      <w:r>
        <w:rPr>
          <w:rFonts w:hint="eastAsia"/>
          <w:b/>
          <w:sz w:val="28"/>
        </w:rPr>
        <w:t>预期效果</w:t>
      </w:r>
      <w:bookmarkEnd w:id="260"/>
      <w:bookmarkEnd w:id="261"/>
      <w:bookmarkEnd w:id="262"/>
      <w:bookmarkEnd w:id="263"/>
      <w:bookmarkEnd w:id="264"/>
      <w:bookmarkEnd w:id="265"/>
      <w:bookmarkEnd w:id="266"/>
      <w:bookmarkEnd w:id="267"/>
    </w:p>
    <w:p w14:paraId="49A5E698">
      <w:pPr>
        <w:ind w:firstLine="480" w:firstLineChars="200"/>
      </w:pPr>
      <w:r>
        <w:rPr>
          <w:rFonts w:hint="eastAsia"/>
        </w:rPr>
        <w:t>贯彻和实施本技术规范，能够使监测数据更加全面、科学、精准，该标准在推广应用中，将会产生较好的经济、生态和社会效益。</w:t>
      </w:r>
    </w:p>
    <w:p w14:paraId="7C8C404A">
      <w:pPr>
        <w:ind w:firstLine="480" w:firstLineChars="200"/>
      </w:pPr>
      <w:r>
        <w:rPr>
          <w:rFonts w:hint="eastAsia"/>
        </w:rPr>
        <w:t>经济效益：本标准提供的技术方法可节省大量地面监测的人力、物力和财力成本，同时充分发挥遥感技术手段的先进性，挖掘卫星影像的潜在应用价值。</w:t>
      </w:r>
    </w:p>
    <w:p w14:paraId="2B8B4661">
      <w:pPr>
        <w:ind w:firstLine="480" w:firstLineChars="200"/>
      </w:pPr>
      <w:r>
        <w:rPr>
          <w:rFonts w:hint="eastAsia"/>
        </w:rPr>
        <w:t>生态效益：本标准提供的河流断流干涸遥感监测技术和方法可以对河流干涸断流区域进行快速、精准的定位，快速找到水系断流干涸的节点，为环境管理部门提供最新的数据和资料，有助于环境管理部门做出管理决策，对我国监测河流干涸断流、保障生态用水需求、维护水生态安全以及水资源的调配管理具有重大意义。</w:t>
      </w:r>
    </w:p>
    <w:p w14:paraId="1917B582">
      <w:pPr>
        <w:ind w:firstLine="480" w:firstLineChars="200"/>
      </w:pPr>
      <w:r>
        <w:rPr>
          <w:rFonts w:hint="eastAsia"/>
        </w:rPr>
        <w:t>社会效益：本标准的实施，可以实现对河流干涸断流情况进行全面、客观、高效、动态化监管，为河湖水生态环境评估、管理、保障和修复提供第一手数据和技术支撑，有助于环境管理部门做出针对性决策，从而维护人民生活、生产用水的稳定性，所涉主要技术已在多个区域进行示范，对推广全国河流断流干涸一张图的构建形成明显的示范、辐射带动作用。</w:t>
      </w:r>
    </w:p>
    <w:p w14:paraId="3D9AED88">
      <w:pPr>
        <w:ind w:firstLine="562" w:firstLineChars="200"/>
        <w:outlineLvl w:val="0"/>
        <w:rPr>
          <w:rFonts w:eastAsia="黑体"/>
          <w:b/>
          <w:sz w:val="28"/>
        </w:rPr>
      </w:pPr>
      <w:bookmarkStart w:id="268" w:name="_Toc14629"/>
      <w:bookmarkStart w:id="269" w:name="_Toc2526"/>
      <w:bookmarkStart w:id="270" w:name="_Toc7393"/>
      <w:bookmarkStart w:id="271" w:name="_Toc24865"/>
      <w:bookmarkStart w:id="272" w:name="_Toc22305"/>
      <w:bookmarkStart w:id="273" w:name="_Toc32035"/>
      <w:bookmarkStart w:id="274" w:name="_Toc182323095"/>
      <w:bookmarkStart w:id="275" w:name="_Toc13546"/>
      <w:r>
        <w:rPr>
          <w:rFonts w:hint="eastAsia" w:eastAsia="黑体"/>
          <w:b/>
          <w:sz w:val="28"/>
        </w:rPr>
        <w:t>九、其他应说明的事项</w:t>
      </w:r>
      <w:bookmarkEnd w:id="268"/>
      <w:bookmarkEnd w:id="269"/>
      <w:bookmarkEnd w:id="270"/>
      <w:bookmarkEnd w:id="271"/>
      <w:bookmarkEnd w:id="272"/>
      <w:bookmarkEnd w:id="273"/>
      <w:bookmarkEnd w:id="274"/>
      <w:bookmarkEnd w:id="275"/>
    </w:p>
    <w:p w14:paraId="7B9741CF">
      <w:pPr>
        <w:ind w:firstLine="480" w:firstLineChars="200"/>
        <w:rPr>
          <w:b/>
        </w:rPr>
      </w:pPr>
      <w:r>
        <w:rPr>
          <w:rFonts w:hint="eastAsia"/>
        </w:rPr>
        <w:t>无</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BFF7A5-5064-4C36-82DC-19A9CAAAF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embedRegular r:id="rId2" w:fontKey="{7AD948C2-9331-4425-8341-C216528B056F}"/>
  </w:font>
  <w:font w:name="仿宋_GB2312">
    <w:panose1 w:val="02010609030101010101"/>
    <w:charset w:val="86"/>
    <w:family w:val="modern"/>
    <w:pitch w:val="default"/>
    <w:sig w:usb0="00000001" w:usb1="080E0000" w:usb2="00000000" w:usb3="00000000" w:csb0="00040000" w:csb1="00000000"/>
    <w:embedRegular r:id="rId3" w:fontKey="{0E70686D-2F68-43A8-AB15-D5986FEBD7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638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CCD92">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8CCD92">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6322">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B51A6">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6B51A6">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23"/>
      <w:lvlText w:val="（%1）"/>
      <w:lvlJc w:val="left"/>
      <w:pPr>
        <w:tabs>
          <w:tab w:val="left" w:pos="284"/>
        </w:tabs>
        <w:ind w:left="86" w:firstLine="454"/>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16"/>
    <w:rsid w:val="00043800"/>
    <w:rsid w:val="0004595C"/>
    <w:rsid w:val="00074666"/>
    <w:rsid w:val="000900ED"/>
    <w:rsid w:val="000E08DF"/>
    <w:rsid w:val="00137322"/>
    <w:rsid w:val="001406F7"/>
    <w:rsid w:val="001775EB"/>
    <w:rsid w:val="00184CA9"/>
    <w:rsid w:val="001C1623"/>
    <w:rsid w:val="001C35D9"/>
    <w:rsid w:val="00275380"/>
    <w:rsid w:val="00293712"/>
    <w:rsid w:val="0029666F"/>
    <w:rsid w:val="002A33A6"/>
    <w:rsid w:val="002B325F"/>
    <w:rsid w:val="00303861"/>
    <w:rsid w:val="003D544F"/>
    <w:rsid w:val="004820AB"/>
    <w:rsid w:val="004E7EDB"/>
    <w:rsid w:val="005438DD"/>
    <w:rsid w:val="00556649"/>
    <w:rsid w:val="005757E5"/>
    <w:rsid w:val="005C0E07"/>
    <w:rsid w:val="00603A5C"/>
    <w:rsid w:val="00642668"/>
    <w:rsid w:val="006853EB"/>
    <w:rsid w:val="006A0538"/>
    <w:rsid w:val="006B05C5"/>
    <w:rsid w:val="006B65B7"/>
    <w:rsid w:val="006C1FEB"/>
    <w:rsid w:val="006E226F"/>
    <w:rsid w:val="006E6C95"/>
    <w:rsid w:val="006F6681"/>
    <w:rsid w:val="00794542"/>
    <w:rsid w:val="007F6BD2"/>
    <w:rsid w:val="0084503A"/>
    <w:rsid w:val="0088159F"/>
    <w:rsid w:val="008F260A"/>
    <w:rsid w:val="00905716"/>
    <w:rsid w:val="00920A74"/>
    <w:rsid w:val="00961B32"/>
    <w:rsid w:val="00974F2C"/>
    <w:rsid w:val="00992643"/>
    <w:rsid w:val="00A8565D"/>
    <w:rsid w:val="00AA43D3"/>
    <w:rsid w:val="00AB7C70"/>
    <w:rsid w:val="00AC0CB5"/>
    <w:rsid w:val="00B00CF0"/>
    <w:rsid w:val="00B07F38"/>
    <w:rsid w:val="00B62E2B"/>
    <w:rsid w:val="00B6331B"/>
    <w:rsid w:val="00B66315"/>
    <w:rsid w:val="00BA0DD4"/>
    <w:rsid w:val="00BA0FE2"/>
    <w:rsid w:val="00BA1239"/>
    <w:rsid w:val="00BD67B1"/>
    <w:rsid w:val="00BE7F10"/>
    <w:rsid w:val="00C06879"/>
    <w:rsid w:val="00C85EF5"/>
    <w:rsid w:val="00C941D9"/>
    <w:rsid w:val="00CD63EE"/>
    <w:rsid w:val="00CE1118"/>
    <w:rsid w:val="00CF3D93"/>
    <w:rsid w:val="00D62C60"/>
    <w:rsid w:val="00DC5DB7"/>
    <w:rsid w:val="00DC6D25"/>
    <w:rsid w:val="00DD3A0D"/>
    <w:rsid w:val="00DD4B95"/>
    <w:rsid w:val="00DE5EFE"/>
    <w:rsid w:val="00E66804"/>
    <w:rsid w:val="00EA42CC"/>
    <w:rsid w:val="00F0678F"/>
    <w:rsid w:val="00F14C6E"/>
    <w:rsid w:val="00F858BD"/>
    <w:rsid w:val="00F85CB9"/>
    <w:rsid w:val="017165B7"/>
    <w:rsid w:val="01912243"/>
    <w:rsid w:val="01953085"/>
    <w:rsid w:val="07D375B6"/>
    <w:rsid w:val="09867421"/>
    <w:rsid w:val="0A59205D"/>
    <w:rsid w:val="0BD83B2A"/>
    <w:rsid w:val="0F794DF1"/>
    <w:rsid w:val="106152D9"/>
    <w:rsid w:val="10F17FF9"/>
    <w:rsid w:val="14B24AC5"/>
    <w:rsid w:val="14E135FC"/>
    <w:rsid w:val="17E537B5"/>
    <w:rsid w:val="18FE29CF"/>
    <w:rsid w:val="191B7B25"/>
    <w:rsid w:val="19C257AA"/>
    <w:rsid w:val="19D37E82"/>
    <w:rsid w:val="1A273FC2"/>
    <w:rsid w:val="1A8962C8"/>
    <w:rsid w:val="1C40632C"/>
    <w:rsid w:val="1CAE5C26"/>
    <w:rsid w:val="1FA04B17"/>
    <w:rsid w:val="1FD248D1"/>
    <w:rsid w:val="200F1C74"/>
    <w:rsid w:val="206A10B5"/>
    <w:rsid w:val="210B4A7C"/>
    <w:rsid w:val="21492C29"/>
    <w:rsid w:val="219859DA"/>
    <w:rsid w:val="21A86451"/>
    <w:rsid w:val="2202337D"/>
    <w:rsid w:val="24EF75A7"/>
    <w:rsid w:val="253A782E"/>
    <w:rsid w:val="260F4EBF"/>
    <w:rsid w:val="268C708D"/>
    <w:rsid w:val="290B259E"/>
    <w:rsid w:val="2AF459E0"/>
    <w:rsid w:val="2CA02339"/>
    <w:rsid w:val="2EDF6454"/>
    <w:rsid w:val="2FF26266"/>
    <w:rsid w:val="30332B06"/>
    <w:rsid w:val="31921AAF"/>
    <w:rsid w:val="31C83722"/>
    <w:rsid w:val="33E67858"/>
    <w:rsid w:val="354A56C8"/>
    <w:rsid w:val="359E663C"/>
    <w:rsid w:val="389B224D"/>
    <w:rsid w:val="3BBA5CF6"/>
    <w:rsid w:val="3C504A40"/>
    <w:rsid w:val="3F0810EF"/>
    <w:rsid w:val="42295B17"/>
    <w:rsid w:val="42BF5395"/>
    <w:rsid w:val="42F26851"/>
    <w:rsid w:val="44F63328"/>
    <w:rsid w:val="49013EF1"/>
    <w:rsid w:val="49957EB8"/>
    <w:rsid w:val="4BFF6475"/>
    <w:rsid w:val="4C6F7AAC"/>
    <w:rsid w:val="50CF02A4"/>
    <w:rsid w:val="52100317"/>
    <w:rsid w:val="537F4F19"/>
    <w:rsid w:val="544E36DD"/>
    <w:rsid w:val="54B51647"/>
    <w:rsid w:val="55F304BE"/>
    <w:rsid w:val="56A57A82"/>
    <w:rsid w:val="58AC2BA6"/>
    <w:rsid w:val="5AF65C8F"/>
    <w:rsid w:val="5CD03307"/>
    <w:rsid w:val="60245FC6"/>
    <w:rsid w:val="621C0D9D"/>
    <w:rsid w:val="62514EEA"/>
    <w:rsid w:val="62970423"/>
    <w:rsid w:val="631148EF"/>
    <w:rsid w:val="63443715"/>
    <w:rsid w:val="63FA510E"/>
    <w:rsid w:val="64FC1E00"/>
    <w:rsid w:val="65470D73"/>
    <w:rsid w:val="65F50841"/>
    <w:rsid w:val="69CB598D"/>
    <w:rsid w:val="69DF7D42"/>
    <w:rsid w:val="6AD84076"/>
    <w:rsid w:val="6E873EE3"/>
    <w:rsid w:val="6FC15797"/>
    <w:rsid w:val="6FCB2CF4"/>
    <w:rsid w:val="73037A82"/>
    <w:rsid w:val="73691968"/>
    <w:rsid w:val="77862AE9"/>
    <w:rsid w:val="78497DE7"/>
    <w:rsid w:val="78E71991"/>
    <w:rsid w:val="793401D0"/>
    <w:rsid w:val="79967CE3"/>
    <w:rsid w:val="79DC37D9"/>
    <w:rsid w:val="7C9B7252"/>
    <w:rsid w:val="7CC81145"/>
    <w:rsid w:val="7DD16AF9"/>
    <w:rsid w:val="7DD224EE"/>
    <w:rsid w:val="7E3855A4"/>
    <w:rsid w:val="7F146D07"/>
    <w:rsid w:val="7F64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7"/>
    <w:semiHidden/>
    <w:unhideWhenUsed/>
    <w:qFormat/>
    <w:uiPriority w:val="99"/>
    <w:pPr>
      <w:jc w:val="left"/>
    </w:pPr>
  </w:style>
  <w:style w:type="paragraph" w:styleId="5">
    <w:name w:val="toc 3"/>
    <w:basedOn w:val="1"/>
    <w:next w:val="1"/>
    <w:autoRedefine/>
    <w:unhideWhenUsed/>
    <w:qFormat/>
    <w:uiPriority w:val="39"/>
    <w:pPr>
      <w:ind w:left="840" w:leftChars="400"/>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footnote text"/>
    <w:basedOn w:val="1"/>
    <w:link w:val="21"/>
    <w:semiHidden/>
    <w:unhideWhenUsed/>
    <w:qFormat/>
    <w:uiPriority w:val="99"/>
    <w:pPr>
      <w:snapToGrid w:val="0"/>
      <w:jc w:val="left"/>
    </w:pPr>
    <w:rPr>
      <w:sz w:val="18"/>
      <w:szCs w:val="18"/>
    </w:rPr>
  </w:style>
  <w:style w:type="paragraph" w:styleId="11">
    <w:name w:val="toc 2"/>
    <w:basedOn w:val="1"/>
    <w:next w:val="1"/>
    <w:autoRedefine/>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13">
    <w:name w:val="annotation subject"/>
    <w:basedOn w:val="4"/>
    <w:next w:val="4"/>
    <w:link w:val="28"/>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styleId="18">
    <w:name w:val="footnote reference"/>
    <w:basedOn w:val="15"/>
    <w:semiHidden/>
    <w:unhideWhenUsed/>
    <w:qFormat/>
    <w:uiPriority w:val="99"/>
    <w:rPr>
      <w:vertAlign w:val="superscript"/>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character" w:customStyle="1" w:styleId="21">
    <w:name w:val="脚注文本 字符"/>
    <w:basedOn w:val="15"/>
    <w:link w:val="10"/>
    <w:semiHidden/>
    <w:qFormat/>
    <w:uiPriority w:val="99"/>
    <w:rPr>
      <w:rFonts w:ascii="Times New Roman" w:hAnsi="Times New Roman" w:eastAsia="宋体"/>
      <w:sz w:val="18"/>
      <w:szCs w:val="18"/>
    </w:rPr>
  </w:style>
  <w:style w:type="paragraph" w:customStyle="1" w:styleId="22">
    <w:name w:val="正文缩进1"/>
    <w:basedOn w:val="1"/>
    <w:qFormat/>
    <w:uiPriority w:val="0"/>
    <w:pPr>
      <w:jc w:val="left"/>
    </w:pPr>
    <w:rPr>
      <w:rFonts w:cs="Times New Roman"/>
      <w:sz w:val="21"/>
      <w:szCs w:val="20"/>
    </w:rPr>
  </w:style>
  <w:style w:type="paragraph" w:customStyle="1" w:styleId="23">
    <w:name w:val="编号正文缩进"/>
    <w:basedOn w:val="1"/>
    <w:qFormat/>
    <w:uiPriority w:val="0"/>
    <w:pPr>
      <w:numPr>
        <w:ilvl w:val="0"/>
        <w:numId w:val="1"/>
      </w:numPr>
    </w:pPr>
    <w:rPr>
      <w:rFonts w:cs="Times New Roman"/>
      <w:sz w:val="21"/>
      <w:szCs w:val="20"/>
    </w:rPr>
  </w:style>
  <w:style w:type="character" w:customStyle="1" w:styleId="24">
    <w:name w:val="标题 1 字符"/>
    <w:basedOn w:val="15"/>
    <w:link w:val="2"/>
    <w:qFormat/>
    <w:uiPriority w:val="9"/>
    <w:rPr>
      <w:rFonts w:ascii="Times New Roman" w:hAnsi="Times New Roman" w:eastAsia="宋体"/>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6">
    <w:name w:val="批注框文本 字符"/>
    <w:basedOn w:val="15"/>
    <w:link w:val="6"/>
    <w:semiHidden/>
    <w:qFormat/>
    <w:uiPriority w:val="99"/>
    <w:rPr>
      <w:rFonts w:ascii="Times New Roman" w:hAnsi="Times New Roman" w:eastAsia="宋体"/>
      <w:kern w:val="2"/>
      <w:sz w:val="18"/>
      <w:szCs w:val="18"/>
    </w:rPr>
  </w:style>
  <w:style w:type="character" w:customStyle="1" w:styleId="27">
    <w:name w:val="批注文字 字符"/>
    <w:basedOn w:val="15"/>
    <w:link w:val="4"/>
    <w:semiHidden/>
    <w:qFormat/>
    <w:uiPriority w:val="99"/>
    <w:rPr>
      <w:rFonts w:cstheme="minorBidi"/>
      <w:kern w:val="2"/>
      <w:sz w:val="24"/>
      <w:szCs w:val="22"/>
    </w:rPr>
  </w:style>
  <w:style w:type="character" w:customStyle="1" w:styleId="28">
    <w:name w:val="批注主题 字符"/>
    <w:basedOn w:val="27"/>
    <w:link w:val="13"/>
    <w:semiHidden/>
    <w:qFormat/>
    <w:uiPriority w:val="99"/>
    <w:rPr>
      <w:rFonts w:cstheme="minorBid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4461</Words>
  <Characters>4856</Characters>
  <Lines>77</Lines>
  <Paragraphs>21</Paragraphs>
  <TotalTime>2</TotalTime>
  <ScaleCrop>false</ScaleCrop>
  <LinksUpToDate>false</LinksUpToDate>
  <CharactersWithSpaces>4988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2024-11-12T01:19:00Z</dcterms:created>
  <dc:creator>DELL</dc:creator>
  <cp:lastModifiedBy>dell</cp:lastModifiedBy>
  <dcterms:modified xsi:type="dcterms:W3CDTF">2025-12-03T03:04:50Z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D5E19C64518148FAA3C7BBAE53A1E66D_13</vt:lpwstr>
  </property>
  <property fmtid="{D5CDD505-2E9C-101B-9397-08002B2CF9AE}" pid="4" name="KSOTemplateDocerSaveRecord">
    <vt:lpwstr>eyJoZGlkIjoiMjNlYWI2MmJhOWJhM2Y5NDlhNDNkYTJkMzEzN2YxNDMiLCJ1c2VySWQiOiI1NjQ2NzY2OTEifQ==</vt:lpwstr>
  </property>
</Properties>
</file>