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2CC7B">
      <w:pPr>
        <w:pStyle w:val="35"/>
      </w:pPr>
    </w:p>
    <w:p w14:paraId="50A5C411">
      <w:pPr>
        <w:spacing w:line="360" w:lineRule="auto"/>
        <w:jc w:val="center"/>
        <w:rPr>
          <w:rFonts w:hint="eastAsia" w:ascii="方正小标宋简体" w:hAnsi="方正小标宋简体" w:eastAsia="方正小标宋简体" w:cs="方正小标宋简体"/>
          <w:bCs/>
          <w:sz w:val="36"/>
          <w:szCs w:val="44"/>
        </w:rPr>
      </w:pPr>
    </w:p>
    <w:p w14:paraId="025FA269">
      <w:pPr>
        <w:spacing w:line="360" w:lineRule="auto"/>
        <w:jc w:val="center"/>
        <w:rPr>
          <w:rFonts w:hint="eastAsia" w:ascii="方正小标宋简体" w:hAnsi="方正小标宋简体" w:eastAsia="方正小标宋简体" w:cs="方正小标宋简体"/>
          <w:bCs/>
          <w:sz w:val="36"/>
          <w:szCs w:val="44"/>
        </w:rPr>
      </w:pPr>
      <w:r>
        <w:rPr>
          <w:rFonts w:hint="eastAsia" w:ascii="方正小标宋简体" w:hAnsi="方正小标宋简体" w:eastAsia="方正小标宋简体" w:cs="方正小标宋简体"/>
          <w:bCs/>
          <w:sz w:val="36"/>
          <w:szCs w:val="44"/>
        </w:rPr>
        <w:t>《水泥行业建设项目温室气体排放环境影响评价技术指南</w:t>
      </w:r>
      <w:bookmarkStart w:id="0" w:name="_Hlk148996480"/>
      <w:r>
        <w:rPr>
          <w:rFonts w:hint="eastAsia" w:ascii="方正小标宋简体" w:hAnsi="方正小标宋简体" w:eastAsia="方正小标宋简体" w:cs="方正小标宋简体"/>
          <w:bCs/>
          <w:sz w:val="36"/>
          <w:szCs w:val="44"/>
        </w:rPr>
        <w:t>（征求意见稿）</w:t>
      </w:r>
      <w:bookmarkEnd w:id="0"/>
      <w:bookmarkStart w:id="8" w:name="_GoBack"/>
      <w:bookmarkEnd w:id="8"/>
      <w:r>
        <w:rPr>
          <w:rFonts w:hint="eastAsia" w:ascii="方正小标宋简体" w:hAnsi="方正小标宋简体" w:eastAsia="方正小标宋简体" w:cs="方正小标宋简体"/>
          <w:bCs/>
          <w:sz w:val="36"/>
          <w:szCs w:val="44"/>
        </w:rPr>
        <w:t>》编制说明</w:t>
      </w:r>
    </w:p>
    <w:p w14:paraId="29E64EA4">
      <w:pPr>
        <w:spacing w:line="360" w:lineRule="auto"/>
        <w:jc w:val="center"/>
        <w:rPr>
          <w:rFonts w:hint="eastAsia" w:ascii="方正小标宋简体" w:hAnsi="方正小标宋简体" w:eastAsia="方正小标宋简体" w:cs="方正小标宋简体"/>
          <w:bCs/>
          <w:sz w:val="36"/>
          <w:szCs w:val="44"/>
        </w:rPr>
      </w:pPr>
    </w:p>
    <w:p w14:paraId="0363C1C6">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一、工作背景</w:t>
      </w:r>
    </w:p>
    <w:p w14:paraId="250D8B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泥行业是大气污染物和二氧化碳的重点排放源，开展水泥行业建设项目温室气体排放环境影响评价，有利于发挥环境影响评价的源头防控作用，有利于对行业污染物和温室气体排放增量进行预警，推动水泥行业实现减污降碳协同增效高质量发展，引导行业的绿色低碳转型。2021年6月，生态环境部印发环境影响评价领域协同推进碳减排工作方案，提出对电力、水泥等行业建设项目开展碳排放量核算和控制试点。2021年7月，生态环境部办公厅印发《关于开展重点行业建设项目碳排放环境影响评价试点的通知》（环办环评函〔2021〕346号），在浙江、重庆开展包括水泥在内的建材行业建设项目碳排放环境影响评价试点，建立方法体系，测算碳排放水平，提出碳减排措施，完善环评管理要求，试点工作取得阶段性成效。</w:t>
      </w:r>
    </w:p>
    <w:p w14:paraId="13A959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为进一步规范和完善重点行业温室气体排放环境影响评价技术体系，统一适用对象、评价指标、评价方法，全面统筹温室气体与污染物排放环境影响评价工作内容，202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年1月启动《水泥行业建设项目温室气体排放环境影响评价技术指南（试行）》（以下简称《指南》）编制工作。</w:t>
      </w:r>
      <w:r>
        <w:rPr>
          <w:rFonts w:hint="eastAsia" w:ascii="仿宋_GB2312" w:hAnsi="仿宋_GB2312" w:eastAsia="仿宋_GB2312" w:cs="仿宋_GB2312"/>
          <w:sz w:val="32"/>
          <w:szCs w:val="32"/>
          <w:lang w:val="en-US" w:eastAsia="zh-CN"/>
        </w:rPr>
        <w:t>2026年1月，在中国环境科学学会立项，拟以团体标准形式发布。指南</w:t>
      </w:r>
      <w:r>
        <w:rPr>
          <w:rFonts w:hint="eastAsia" w:ascii="仿宋_GB2312" w:hAnsi="仿宋_GB2312" w:eastAsia="仿宋_GB2312" w:cs="仿宋_GB2312"/>
          <w:sz w:val="32"/>
          <w:szCs w:val="32"/>
        </w:rPr>
        <w:t>编制过程中，全面总结前期试点工作经验与存在问题，对典型水泥企业温室气体排放水平进行分析评估，并赴湖北、广东等地开展调研座谈，在多次征求有关专家、部门意见后，修改完善形成征求意见稿。</w:t>
      </w:r>
    </w:p>
    <w:p w14:paraId="62DEBCA9">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二、编制必要性</w:t>
      </w:r>
    </w:p>
    <w:p w14:paraId="15F89230">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（一）总结试点经验，提供技术指导</w:t>
      </w:r>
    </w:p>
    <w:p w14:paraId="7C0CF9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国务院关于深入打好污染防治攻坚战的意见》《关于进一步优化环境影响评价工作的意见》（环环评〔2023〕52号）等文件提出，完善现有环评体系，推动形成污染物与温室气体管理统筹融合的环评技术方法和管理制度。</w:t>
      </w:r>
      <w:r>
        <w:rPr>
          <w:rFonts w:hint="eastAsia" w:ascii="仿宋_GB2312" w:hAnsi="仿宋_GB2312" w:eastAsia="仿宋_GB2312" w:cs="仿宋_GB2312"/>
          <w:sz w:val="32"/>
          <w:szCs w:val="32"/>
          <w:lang w:val="en-US" w:eastAsia="zh-CN"/>
        </w:rPr>
        <w:t>2026年3月，《生态环境法典》发布，提出“国家加强温室气体排放的生态环境影响评价”的要求。</w:t>
      </w:r>
      <w:r>
        <w:rPr>
          <w:rFonts w:hint="eastAsia" w:ascii="仿宋_GB2312" w:hAnsi="仿宋_GB2312" w:eastAsia="仿宋_GB2312" w:cs="仿宋_GB2312"/>
          <w:sz w:val="32"/>
          <w:szCs w:val="32"/>
        </w:rPr>
        <w:t>根据前期试点经验制定《指南》是落实相关要求的重要技术保障，也是全面贯彻党的二十大精神和全国生态环境保护大会精神的重要举措，可有效推动建设项目温室气体与污染物排放环境影响评价制度的深度融合。</w:t>
      </w:r>
    </w:p>
    <w:p w14:paraId="18C8C694">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（二）源头推进水泥行业建设项目减污降碳协同增效</w:t>
      </w:r>
    </w:p>
    <w:p w14:paraId="6976CD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水泥行业建设项目温室气体排放环境影响评价，可以多维度、全过程地分解、量化各工艺过程温室气体排放情况。制定全国统一的水泥行业建设项目温室气体排放环境影响评价技术指南，为环评工作提供统一和规范方法，能够在同一尺度上指导、规范企业环境治理行为，帮助企业根据评价结果对标先进，寻找差距，有针对性的开展精细化环境治理与管控，推动先进低碳技术措施和管理要求的应用与推广，从源头提升建设项目减污降碳协同度，同时发挥环评对水泥行业碳排放预警作用，全面推动水泥行业清洁低碳绿色发展。</w:t>
      </w:r>
    </w:p>
    <w:p w14:paraId="0DB4524D">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w:t>
      </w:r>
      <w:bookmarkStart w:id="1" w:name="OLE_LINK1"/>
      <w:r>
        <w:rPr>
          <w:rFonts w:hint="eastAsia" w:ascii="楷体_GB2312" w:hAnsi="楷体_GB2312" w:eastAsia="楷体_GB2312" w:cs="楷体_GB2312"/>
          <w:b/>
          <w:bCs/>
          <w:sz w:val="32"/>
          <w:szCs w:val="32"/>
        </w:rPr>
        <w:t>有利于推动水泥行业绿色低碳发展</w:t>
      </w:r>
      <w:bookmarkEnd w:id="1"/>
    </w:p>
    <w:p w14:paraId="59C61D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泥行业是全国碳排放的重点领域之一，“双碳”目标下新建水泥建设项目需统筹考虑环境污染物与温室气体的协同减排工作。制定全国统一的水泥行业建设项目温室气体排放环境影响评价技术指南，能够在同一尺度上约束企业环境治理行为，根据评价结果对标先进，寻找差距，推动先进低碳技术措施和管理要求的示范应用与推广实施，进一步提升水泥行业绿色发展水平。</w:t>
      </w:r>
    </w:p>
    <w:p w14:paraId="205A32F2">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三、工作思路与原则</w:t>
      </w:r>
    </w:p>
    <w:p w14:paraId="3F6141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推动水泥行业建设项目温室气体排放纳入环境影响评价工作体系为核心，以健全完善重点行业温室气体排放与环境影响评价技术方法体系为目标，以支撑探索温室气体排放环境影响评价管理策略与路径为导向，遵循全面性、科学性和前瞻性原则，提出水泥行业建设项目温室气体排放环境影响评价指标和评价方法，提升水泥行业建设项目的协同减污降碳技术能力与清洁低碳水平。</w:t>
      </w:r>
    </w:p>
    <w:p w14:paraId="111913A7">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四、工作过程</w:t>
      </w:r>
    </w:p>
    <w:p w14:paraId="0A13A199">
      <w:pPr>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ascii="仿宋_GB2312" w:hAnsi="宋体" w:eastAsia="仿宋_GB2312"/>
          <w:sz w:val="32"/>
          <w:szCs w:val="32"/>
        </w:rPr>
        <w:t>4</w:t>
      </w:r>
      <w:r>
        <w:rPr>
          <w:rFonts w:hint="eastAsia" w:ascii="仿宋_GB2312" w:hAnsi="宋体" w:eastAsia="仿宋_GB2312"/>
          <w:sz w:val="32"/>
          <w:szCs w:val="32"/>
        </w:rPr>
        <w:t>年1月-2024年</w:t>
      </w:r>
      <w:r>
        <w:rPr>
          <w:rFonts w:ascii="仿宋_GB2312" w:hAnsi="宋体" w:eastAsia="仿宋_GB2312"/>
          <w:sz w:val="32"/>
          <w:szCs w:val="32"/>
        </w:rPr>
        <w:t>4</w:t>
      </w:r>
      <w:r>
        <w:rPr>
          <w:rFonts w:hint="eastAsia" w:ascii="仿宋_GB2312" w:hAnsi="宋体" w:eastAsia="仿宋_GB2312"/>
          <w:sz w:val="32"/>
          <w:szCs w:val="32"/>
        </w:rPr>
        <w:t>月，在</w:t>
      </w:r>
      <w:r>
        <w:rPr>
          <w:rFonts w:hint="eastAsia" w:ascii="仿宋_GB2312" w:hAnsi="仿宋_GB2312" w:eastAsia="仿宋_GB2312" w:cs="仿宋_GB2312"/>
          <w:sz w:val="32"/>
          <w:szCs w:val="32"/>
        </w:rPr>
        <w:t>全面总结水泥行业温室气体纳入环境影响评价试点工作经验与存在问题的基础上，明确《指南》适用范围、评价范围、核算边界、核算方法等内容</w:t>
      </w:r>
      <w:r>
        <w:rPr>
          <w:rFonts w:hint="eastAsia" w:ascii="仿宋_GB2312" w:hAnsi="宋体" w:eastAsia="仿宋_GB2312"/>
          <w:sz w:val="32"/>
          <w:szCs w:val="32"/>
        </w:rPr>
        <w:t>，形成《指南》初稿。</w:t>
      </w:r>
    </w:p>
    <w:p w14:paraId="2E2B1957">
      <w:pPr>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ascii="仿宋_GB2312" w:hAnsi="宋体" w:eastAsia="仿宋_GB2312"/>
          <w:sz w:val="32"/>
          <w:szCs w:val="32"/>
        </w:rPr>
        <w:t>4</w:t>
      </w:r>
      <w:r>
        <w:rPr>
          <w:rFonts w:hint="eastAsia" w:ascii="仿宋_GB2312" w:hAnsi="宋体" w:eastAsia="仿宋_GB2312"/>
          <w:sz w:val="32"/>
          <w:szCs w:val="32"/>
        </w:rPr>
        <w:t>年</w:t>
      </w:r>
      <w:r>
        <w:rPr>
          <w:rFonts w:ascii="仿宋_GB2312" w:hAnsi="宋体" w:eastAsia="仿宋_GB2312"/>
          <w:sz w:val="32"/>
          <w:szCs w:val="32"/>
        </w:rPr>
        <w:t>5</w:t>
      </w:r>
      <w:r>
        <w:rPr>
          <w:rFonts w:hint="eastAsia" w:ascii="仿宋_GB2312" w:hAnsi="宋体" w:eastAsia="仿宋_GB2312"/>
          <w:sz w:val="32"/>
          <w:szCs w:val="32"/>
        </w:rPr>
        <w:t>月-2024年9月，多次邀请行业专家开展研讨并向环评司汇报工作成果，按照相关意见对《指南》进行完善，并与《企业温室气体排放核算与报告指南水泥行业》（</w:t>
      </w:r>
      <w:r>
        <w:rPr>
          <w:rFonts w:ascii="仿宋_GB2312" w:hAnsi="宋体" w:eastAsia="仿宋_GB2312"/>
          <w:sz w:val="32"/>
          <w:szCs w:val="32"/>
        </w:rPr>
        <w:t>CETS—AG—02.01—V01—2024</w:t>
      </w:r>
      <w:r>
        <w:rPr>
          <w:rFonts w:hint="eastAsia" w:ascii="仿宋_GB2312" w:hAnsi="宋体" w:eastAsia="仿宋_GB2312"/>
          <w:sz w:val="32"/>
          <w:szCs w:val="32"/>
        </w:rPr>
        <w:t>）相关内容进行衔接。</w:t>
      </w:r>
      <w:r>
        <w:rPr>
          <w:rFonts w:hint="eastAsia" w:ascii="仿宋_GB2312" w:hAnsi="仿宋_GB2312" w:eastAsia="仿宋_GB2312" w:cs="仿宋_GB2312"/>
          <w:sz w:val="32"/>
          <w:szCs w:val="32"/>
        </w:rPr>
        <w:t>赴湖北、广东、河北等地开展企业调研，对企业温室气体排放水平进行统计分析，研究形成水泥行业温室气体排放评价绩效水平。</w:t>
      </w:r>
    </w:p>
    <w:p w14:paraId="4677DF45">
      <w:pPr>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rPr>
        <w:t>2025年4月，</w:t>
      </w:r>
      <w:r>
        <w:rPr>
          <w:rFonts w:hint="eastAsia" w:ascii="仿宋_GB2312" w:hAnsi="仿宋_GB2312" w:eastAsia="仿宋_GB2312" w:cs="仿宋_GB2312"/>
          <w:sz w:val="32"/>
          <w:szCs w:val="32"/>
        </w:rPr>
        <w:t>在多次征求有关专家意见后，形成《水泥行业温室气体排放环境影响评价技术指南（试行）》（征求意见稿），并通过环评司组织的专家评审会。</w:t>
      </w:r>
    </w:p>
    <w:p w14:paraId="7FBD2A89">
      <w:pPr>
        <w:ind w:firstLine="640" w:firstLineChars="200"/>
        <w:rPr>
          <w:rFonts w:hint="eastAsia" w:ascii="仿宋_GB2312" w:hAnsi="仿宋_GB2312" w:eastAsia="仿宋_GB2312" w:cs="仿宋_GB2312"/>
          <w:sz w:val="32"/>
          <w:szCs w:val="32"/>
        </w:rPr>
      </w:pPr>
      <w:r>
        <w:rPr>
          <w:rFonts w:ascii="仿宋_GB2312" w:hAnsi="宋体" w:eastAsia="仿宋_GB2312"/>
          <w:sz w:val="32"/>
          <w:szCs w:val="32"/>
        </w:rPr>
        <w:t>202</w:t>
      </w:r>
      <w:r>
        <w:rPr>
          <w:rFonts w:hint="eastAsia" w:ascii="仿宋_GB2312" w:hAnsi="宋体" w:eastAsia="仿宋_GB2312"/>
          <w:sz w:val="32"/>
          <w:szCs w:val="32"/>
        </w:rPr>
        <w:t>5年5月，</w:t>
      </w:r>
      <w:r>
        <w:rPr>
          <w:rFonts w:hint="eastAsia" w:ascii="仿宋_GB2312" w:hAnsi="仿宋_GB2312" w:eastAsia="仿宋_GB2312" w:cs="仿宋_GB2312"/>
          <w:sz w:val="32"/>
          <w:szCs w:val="32"/>
        </w:rPr>
        <w:t>根据专家评审意见进一步修改完善，形成</w:t>
      </w:r>
      <w:r>
        <w:rPr>
          <w:rFonts w:hint="eastAsia" w:ascii="仿宋_GB2312" w:hAnsi="宋体" w:eastAsia="仿宋_GB2312"/>
          <w:sz w:val="32"/>
          <w:szCs w:val="32"/>
        </w:rPr>
        <w:t>《指南》</w:t>
      </w:r>
      <w:r>
        <w:rPr>
          <w:rFonts w:hint="eastAsia" w:ascii="仿宋_GB2312" w:hAnsi="仿宋_GB2312" w:eastAsia="仿宋_GB2312" w:cs="仿宋_GB2312"/>
          <w:sz w:val="32"/>
          <w:szCs w:val="32"/>
        </w:rPr>
        <w:t>公开征求意见稿。</w:t>
      </w:r>
    </w:p>
    <w:p w14:paraId="6DD2E6FC">
      <w:pPr>
        <w:ind w:firstLine="640" w:firstLineChars="200"/>
        <w:outlineLvl w:val="0"/>
        <w:rPr>
          <w:rFonts w:hint="eastAsia" w:ascii="仿宋_GB2312" w:hAnsi="宋体" w:eastAsia="仿宋_GB2312"/>
          <w:sz w:val="32"/>
          <w:szCs w:val="32"/>
          <w:lang w:val="en-US" w:eastAsia="zh-CN"/>
        </w:rPr>
      </w:pPr>
      <w:r>
        <w:rPr>
          <w:rFonts w:hint="eastAsia" w:ascii="仿宋_GB2312" w:hAnsi="宋体" w:eastAsia="仿宋_GB2312"/>
          <w:sz w:val="32"/>
          <w:szCs w:val="32"/>
        </w:rPr>
        <w:t>2025年</w:t>
      </w:r>
      <w:r>
        <w:rPr>
          <w:rFonts w:hint="eastAsia" w:ascii="仿宋_GB2312" w:hAnsi="宋体" w:eastAsia="仿宋_GB2312"/>
          <w:sz w:val="32"/>
          <w:szCs w:val="32"/>
          <w:lang w:val="en-US" w:eastAsia="zh-CN"/>
        </w:rPr>
        <w:t>6-7</w:t>
      </w:r>
      <w:r>
        <w:rPr>
          <w:rFonts w:hint="eastAsia" w:ascii="仿宋_GB2312" w:hAnsi="宋体" w:eastAsia="仿宋_GB2312"/>
          <w:sz w:val="32"/>
          <w:szCs w:val="32"/>
        </w:rPr>
        <w:t>月</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公开征求有关单位意见，共征求7个部司局及6家部属单位和高校共13家单位意见，收到反馈意见21条，意见主要集中在文本表述规范性、与现有政策衔接以及指南评价范围体现源项全覆盖等方面，充分采纳相关意见对指南进行修改完善。</w:t>
      </w:r>
    </w:p>
    <w:p w14:paraId="5B536B4B">
      <w:pPr>
        <w:ind w:firstLine="640" w:firstLineChars="200"/>
        <w:outlineLvl w:val="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2025年12月-2026年1月，环评司组织召开专家研讨会，在中国环境科学学会团标立项。</w:t>
      </w:r>
    </w:p>
    <w:p w14:paraId="16C1B3C3">
      <w:pPr>
        <w:ind w:firstLine="640" w:firstLineChars="200"/>
        <w:outlineLvl w:val="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2026年2-3月，行车《指南》征求意见稿，征求相关行业专家意见，并进行修改完善。</w:t>
      </w:r>
    </w:p>
    <w:p w14:paraId="6B1CF227">
      <w:pPr>
        <w:ind w:firstLine="640" w:firstLineChars="200"/>
        <w:outlineLvl w:val="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2026年4月，公开征求意见。</w:t>
      </w:r>
    </w:p>
    <w:p w14:paraId="1715CD1F">
      <w:pPr>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五、主要内容及说明</w:t>
      </w:r>
    </w:p>
    <w:p w14:paraId="3A6AE1C6">
      <w:pPr>
        <w:ind w:firstLine="643" w:firstLineChars="200"/>
        <w:rPr>
          <w:rFonts w:hint="eastAsia" w:ascii="楷体_GB2312" w:hAnsi="楷体_GB2312" w:eastAsia="楷体_GB2312" w:cs="楷体_GB2312"/>
          <w:b/>
          <w:bCs/>
          <w:sz w:val="32"/>
          <w:szCs w:val="32"/>
        </w:rPr>
      </w:pPr>
      <w:bookmarkStart w:id="2" w:name="_Toc153201410"/>
      <w:r>
        <w:rPr>
          <w:rFonts w:hint="eastAsia" w:ascii="楷体_GB2312" w:hAnsi="楷体_GB2312" w:eastAsia="楷体_GB2312" w:cs="楷体_GB2312"/>
          <w:b/>
          <w:bCs/>
          <w:sz w:val="32"/>
          <w:szCs w:val="32"/>
        </w:rPr>
        <w:t>（一）适用范围</w:t>
      </w:r>
      <w:bookmarkEnd w:id="2"/>
    </w:p>
    <w:p w14:paraId="316435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建设项目环境影响评价分类管理名录（2021年版）》《关于开展重点行业建设项目碳排放环境影响评价试点的通知》（环办环评函〔2021〕346号）等文件规定，聚焦水泥行业主要温室气体排放源项，提出本指南适用范围为《国民经济行业分类（2017年版）》中“水泥3011”类别的新建、改建、扩建项目（含异地迁建项目），包括新建、改建、扩建水泥协同处置项目的温室气体排放环境影响评价。</w:t>
      </w:r>
    </w:p>
    <w:p w14:paraId="6C6B47DE">
      <w:pPr>
        <w:ind w:firstLine="643" w:firstLineChars="200"/>
        <w:rPr>
          <w:rFonts w:hint="eastAsia" w:ascii="楷体_GB2312" w:hAnsi="楷体_GB2312" w:eastAsia="楷体_GB2312" w:cs="楷体_GB2312"/>
          <w:b/>
          <w:bCs/>
          <w:sz w:val="32"/>
          <w:szCs w:val="32"/>
        </w:rPr>
      </w:pPr>
      <w:bookmarkStart w:id="3" w:name="_Toc153201414"/>
      <w:r>
        <w:rPr>
          <w:rFonts w:hint="eastAsia" w:ascii="楷体_GB2312" w:hAnsi="楷体_GB2312" w:eastAsia="楷体_GB2312" w:cs="楷体_GB2312"/>
          <w:b/>
          <w:bCs/>
          <w:sz w:val="32"/>
          <w:szCs w:val="32"/>
        </w:rPr>
        <w:t>（二）</w:t>
      </w:r>
      <w:bookmarkEnd w:id="3"/>
      <w:r>
        <w:rPr>
          <w:rFonts w:hint="eastAsia" w:ascii="楷体_GB2312" w:hAnsi="楷体_GB2312" w:eastAsia="楷体_GB2312" w:cs="楷体_GB2312"/>
          <w:b/>
          <w:bCs/>
          <w:sz w:val="32"/>
          <w:szCs w:val="32"/>
        </w:rPr>
        <w:t>核算边界</w:t>
      </w:r>
    </w:p>
    <w:p w14:paraId="6AB107A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虑到随着水泥行业逐步纳入全国碳排放权交易市场，建设项目温室气体排放环境影响评价结果可为全国碳市场配额总量设定和分配提供重要的数据支撑和增量预警作用，因此，为提前做好统筹衔接，《指南》将核算边界分为主要边界与其他边界两类，其中，主要边界与全国碳排放权交易市场水泥行业配额管控边界保持一致。本《指南》核算边界包括间接排放核算。考虑到企业边界内的其他排放设施也是水泥企业减污降碳的重要环节，将其作为其他边界纳入核算范围。</w:t>
      </w:r>
    </w:p>
    <w:p w14:paraId="24809E1E">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（三）核算方法</w:t>
      </w:r>
    </w:p>
    <w:p w14:paraId="753E9A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根据《企业温室气体排放核算与报告指南 水泥行业（CETS—AG—02.01—V01—2024）》，结合水泥行业温室气体排放环境影响评价需求，提出化石燃料燃烧、工业生产过程、温室气体回收利用（处置）等温室气体排放量核算方法，并以附录形式明确相关参数缺省值。相关方法和缺省值均与《企业温室气体排放核算与报告指南 水泥行业（CETS—AG—02.01—V01—2024）》保持一致。《指南》要求水泥项目按现有项目、拟实施建设项目、“以新带老”、削减替代等情形，汇总项目建设后环境污染物与温室气体排放量变化情况，温室气体排放量核算结果按照主要边界和其他边界分别统计。</w:t>
      </w:r>
    </w:p>
    <w:p w14:paraId="7DC18889">
      <w:pPr>
        <w:ind w:firstLine="643" w:firstLineChars="200"/>
        <w:rPr>
          <w:rFonts w:hint="eastAsia" w:ascii="楷体_GB2312" w:hAnsi="楷体_GB2312" w:eastAsia="楷体_GB2312" w:cs="楷体_GB2312"/>
          <w:b/>
          <w:bCs/>
          <w:sz w:val="32"/>
          <w:szCs w:val="32"/>
        </w:rPr>
      </w:pPr>
      <w:bookmarkStart w:id="4" w:name="_Toc153198392"/>
      <w:bookmarkStart w:id="5" w:name="_Toc149557928"/>
      <w:bookmarkStart w:id="6" w:name="_Toc153201417"/>
      <w:r>
        <w:rPr>
          <w:rFonts w:hint="eastAsia" w:ascii="楷体_GB2312" w:hAnsi="楷体_GB2312" w:eastAsia="楷体_GB2312" w:cs="楷体_GB2312"/>
          <w:b/>
          <w:bCs/>
          <w:sz w:val="32"/>
          <w:szCs w:val="32"/>
        </w:rPr>
        <w:t>（四）温室气体排放评价</w:t>
      </w:r>
      <w:bookmarkEnd w:id="4"/>
      <w:bookmarkEnd w:id="5"/>
      <w:bookmarkEnd w:id="6"/>
    </w:p>
    <w:p w14:paraId="049FE2F0">
      <w:pPr>
        <w:ind w:firstLine="640" w:firstLineChars="200"/>
        <w:rPr>
          <w:rFonts w:hint="eastAsia" w:ascii="仿宋_GB2312" w:hAnsi="仿宋_GB2312" w:eastAsia="仿宋_GB2312" w:cs="仿宋_GB2312"/>
          <w:sz w:val="32"/>
          <w:szCs w:val="32"/>
        </w:rPr>
      </w:pPr>
      <w:bookmarkStart w:id="7" w:name="_Hlk70346026"/>
      <w:r>
        <w:rPr>
          <w:rFonts w:hint="eastAsia" w:ascii="仿宋_GB2312" w:hAnsi="仿宋_GB2312" w:eastAsia="仿宋_GB2312" w:cs="仿宋_GB2312"/>
          <w:sz w:val="32"/>
          <w:szCs w:val="32"/>
        </w:rPr>
        <w:t>为便于指导评价建设项目温室气体排放水平，《指南》研究提出新建、改建、扩建（含异地迁建）硅酸盐水泥熟料生产项目温室气体排放水平参考值，并以资料性附录的形式列出，供水泥行业建设项目温室气体排放环境影响评价工作参考，不作为相关准入的前置条件。参考值按照《指南》技术方法核算水泥行业温室气体排放水平，以前20%平均水平作为Ⅰ级水平，以行业整体平均水平作为Ⅱ级水平。</w:t>
      </w:r>
    </w:p>
    <w:p w14:paraId="741FE90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动建设项目减污降碳协同增效，本指南提出了开展减污降碳协同评价。对于新建、改扩建项目，温室气体和污染物（氮氧化物）同时下降，则满足要求，同时上升则应提出协同措施；对于一增一减或一减一增的情况则进行协调度评价。</w:t>
      </w:r>
    </w:p>
    <w:bookmarkEnd w:id="7"/>
    <w:p w14:paraId="04D1CBB6">
      <w:pPr>
        <w:pStyle w:val="2"/>
      </w:pPr>
    </w:p>
    <w:sectPr>
      <w:footerReference r:id="rId3" w:type="default"/>
      <w:pgSz w:w="11906" w:h="16838"/>
      <w:pgMar w:top="1474"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72971">
    <w:pPr>
      <w:pStyle w:val="11"/>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p w14:paraId="666F3D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trackRevisions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MzcwZWZhNzM1MDQzYjEyMDIwNjBmNjczZTcwOTQifQ=="/>
  </w:docVars>
  <w:rsids>
    <w:rsidRoot w:val="517000EE"/>
    <w:rsid w:val="0001296F"/>
    <w:rsid w:val="0001795D"/>
    <w:rsid w:val="000318CD"/>
    <w:rsid w:val="00036EBE"/>
    <w:rsid w:val="00042A04"/>
    <w:rsid w:val="00051244"/>
    <w:rsid w:val="00051D05"/>
    <w:rsid w:val="00067212"/>
    <w:rsid w:val="00076C90"/>
    <w:rsid w:val="0008200A"/>
    <w:rsid w:val="000A4FA2"/>
    <w:rsid w:val="000A54D9"/>
    <w:rsid w:val="000B047D"/>
    <w:rsid w:val="000B2C7E"/>
    <w:rsid w:val="000B7EC6"/>
    <w:rsid w:val="000C6AC6"/>
    <w:rsid w:val="000E0280"/>
    <w:rsid w:val="000E1B00"/>
    <w:rsid w:val="001027A0"/>
    <w:rsid w:val="00111241"/>
    <w:rsid w:val="00141DCA"/>
    <w:rsid w:val="0015049B"/>
    <w:rsid w:val="001573B5"/>
    <w:rsid w:val="001718D8"/>
    <w:rsid w:val="00174AEB"/>
    <w:rsid w:val="00183E99"/>
    <w:rsid w:val="001A1D41"/>
    <w:rsid w:val="001B1C23"/>
    <w:rsid w:val="001B4F65"/>
    <w:rsid w:val="001E6C2E"/>
    <w:rsid w:val="001E6CC1"/>
    <w:rsid w:val="001F0C18"/>
    <w:rsid w:val="001F35A3"/>
    <w:rsid w:val="001F5963"/>
    <w:rsid w:val="002039DA"/>
    <w:rsid w:val="0020686F"/>
    <w:rsid w:val="00215B5E"/>
    <w:rsid w:val="00220782"/>
    <w:rsid w:val="0022716A"/>
    <w:rsid w:val="00235208"/>
    <w:rsid w:val="00252610"/>
    <w:rsid w:val="0025287D"/>
    <w:rsid w:val="00256020"/>
    <w:rsid w:val="00275243"/>
    <w:rsid w:val="00294033"/>
    <w:rsid w:val="002969EB"/>
    <w:rsid w:val="002A2AD0"/>
    <w:rsid w:val="002A48DD"/>
    <w:rsid w:val="002A5C36"/>
    <w:rsid w:val="002B3638"/>
    <w:rsid w:val="002B4F7B"/>
    <w:rsid w:val="002C445D"/>
    <w:rsid w:val="002C609C"/>
    <w:rsid w:val="002E4971"/>
    <w:rsid w:val="002E4BBC"/>
    <w:rsid w:val="003123FB"/>
    <w:rsid w:val="003352FF"/>
    <w:rsid w:val="00344BD7"/>
    <w:rsid w:val="003506FC"/>
    <w:rsid w:val="00354CB3"/>
    <w:rsid w:val="00360101"/>
    <w:rsid w:val="0038115E"/>
    <w:rsid w:val="00381602"/>
    <w:rsid w:val="00390A9A"/>
    <w:rsid w:val="00397D59"/>
    <w:rsid w:val="003A091F"/>
    <w:rsid w:val="003B3634"/>
    <w:rsid w:val="003C0C6B"/>
    <w:rsid w:val="003D57E5"/>
    <w:rsid w:val="003E3DCC"/>
    <w:rsid w:val="003E6091"/>
    <w:rsid w:val="003F67F2"/>
    <w:rsid w:val="00401B5E"/>
    <w:rsid w:val="004131A3"/>
    <w:rsid w:val="0042773F"/>
    <w:rsid w:val="00432063"/>
    <w:rsid w:val="00433988"/>
    <w:rsid w:val="004612EB"/>
    <w:rsid w:val="004737D3"/>
    <w:rsid w:val="00487089"/>
    <w:rsid w:val="00492468"/>
    <w:rsid w:val="00493452"/>
    <w:rsid w:val="004A1B8E"/>
    <w:rsid w:val="004A330D"/>
    <w:rsid w:val="004A76D1"/>
    <w:rsid w:val="004A7964"/>
    <w:rsid w:val="004B389B"/>
    <w:rsid w:val="004B7AB2"/>
    <w:rsid w:val="004C35D9"/>
    <w:rsid w:val="004C6DCB"/>
    <w:rsid w:val="004C7B18"/>
    <w:rsid w:val="004D08C2"/>
    <w:rsid w:val="004E59EC"/>
    <w:rsid w:val="004F500F"/>
    <w:rsid w:val="005042FE"/>
    <w:rsid w:val="0050681B"/>
    <w:rsid w:val="00516592"/>
    <w:rsid w:val="00524C37"/>
    <w:rsid w:val="0053192C"/>
    <w:rsid w:val="00553436"/>
    <w:rsid w:val="005800EC"/>
    <w:rsid w:val="00592E40"/>
    <w:rsid w:val="005B5428"/>
    <w:rsid w:val="005E14F5"/>
    <w:rsid w:val="005F50D5"/>
    <w:rsid w:val="0060255A"/>
    <w:rsid w:val="00612ECB"/>
    <w:rsid w:val="0061331D"/>
    <w:rsid w:val="0061569E"/>
    <w:rsid w:val="00625050"/>
    <w:rsid w:val="0063452A"/>
    <w:rsid w:val="0064033E"/>
    <w:rsid w:val="00642D66"/>
    <w:rsid w:val="006578E2"/>
    <w:rsid w:val="00665795"/>
    <w:rsid w:val="00667A68"/>
    <w:rsid w:val="00671CEE"/>
    <w:rsid w:val="00673485"/>
    <w:rsid w:val="00673635"/>
    <w:rsid w:val="006767D6"/>
    <w:rsid w:val="00677EA0"/>
    <w:rsid w:val="00683E6A"/>
    <w:rsid w:val="00684963"/>
    <w:rsid w:val="00687729"/>
    <w:rsid w:val="006905FE"/>
    <w:rsid w:val="006929B0"/>
    <w:rsid w:val="00697031"/>
    <w:rsid w:val="00697558"/>
    <w:rsid w:val="006A2A2B"/>
    <w:rsid w:val="006A37A6"/>
    <w:rsid w:val="006A3EE3"/>
    <w:rsid w:val="006B7192"/>
    <w:rsid w:val="006C2034"/>
    <w:rsid w:val="006C769C"/>
    <w:rsid w:val="006F3775"/>
    <w:rsid w:val="00714690"/>
    <w:rsid w:val="00717ECE"/>
    <w:rsid w:val="0072178E"/>
    <w:rsid w:val="007234F4"/>
    <w:rsid w:val="007248C5"/>
    <w:rsid w:val="0073745A"/>
    <w:rsid w:val="007418A2"/>
    <w:rsid w:val="00772EF2"/>
    <w:rsid w:val="00773975"/>
    <w:rsid w:val="007875A9"/>
    <w:rsid w:val="00797A2A"/>
    <w:rsid w:val="007A2384"/>
    <w:rsid w:val="007A3C70"/>
    <w:rsid w:val="007B21E8"/>
    <w:rsid w:val="007B4739"/>
    <w:rsid w:val="007C1759"/>
    <w:rsid w:val="007E4D51"/>
    <w:rsid w:val="007F3DAC"/>
    <w:rsid w:val="007F6FA2"/>
    <w:rsid w:val="007F739E"/>
    <w:rsid w:val="00802DF1"/>
    <w:rsid w:val="0080407E"/>
    <w:rsid w:val="008140B1"/>
    <w:rsid w:val="00815D64"/>
    <w:rsid w:val="008262A8"/>
    <w:rsid w:val="00832154"/>
    <w:rsid w:val="00837268"/>
    <w:rsid w:val="0085033F"/>
    <w:rsid w:val="00851583"/>
    <w:rsid w:val="008577E8"/>
    <w:rsid w:val="00864AF6"/>
    <w:rsid w:val="00875035"/>
    <w:rsid w:val="00875398"/>
    <w:rsid w:val="00876F51"/>
    <w:rsid w:val="00893867"/>
    <w:rsid w:val="008A3CEB"/>
    <w:rsid w:val="008B3416"/>
    <w:rsid w:val="008D4BDB"/>
    <w:rsid w:val="008D7E5E"/>
    <w:rsid w:val="008F0106"/>
    <w:rsid w:val="008F14DD"/>
    <w:rsid w:val="008F7B59"/>
    <w:rsid w:val="009113CC"/>
    <w:rsid w:val="00923FCE"/>
    <w:rsid w:val="00925B84"/>
    <w:rsid w:val="00930B6E"/>
    <w:rsid w:val="00931EC0"/>
    <w:rsid w:val="00933AA0"/>
    <w:rsid w:val="0097400E"/>
    <w:rsid w:val="00984F69"/>
    <w:rsid w:val="009861F2"/>
    <w:rsid w:val="00996AA6"/>
    <w:rsid w:val="009974CF"/>
    <w:rsid w:val="009A49E2"/>
    <w:rsid w:val="009B32F4"/>
    <w:rsid w:val="009C5F59"/>
    <w:rsid w:val="009D4CE4"/>
    <w:rsid w:val="009D4E77"/>
    <w:rsid w:val="009D7ADB"/>
    <w:rsid w:val="009E2200"/>
    <w:rsid w:val="009E7196"/>
    <w:rsid w:val="00A07514"/>
    <w:rsid w:val="00A159D4"/>
    <w:rsid w:val="00A238C8"/>
    <w:rsid w:val="00A31FF8"/>
    <w:rsid w:val="00A34670"/>
    <w:rsid w:val="00A35353"/>
    <w:rsid w:val="00A417E5"/>
    <w:rsid w:val="00A55C41"/>
    <w:rsid w:val="00A627CD"/>
    <w:rsid w:val="00A8705F"/>
    <w:rsid w:val="00A90C2C"/>
    <w:rsid w:val="00AA4411"/>
    <w:rsid w:val="00AC2042"/>
    <w:rsid w:val="00AC3E34"/>
    <w:rsid w:val="00AC4024"/>
    <w:rsid w:val="00AD0726"/>
    <w:rsid w:val="00AF487C"/>
    <w:rsid w:val="00B018B0"/>
    <w:rsid w:val="00B37E5A"/>
    <w:rsid w:val="00B40AF7"/>
    <w:rsid w:val="00B5611F"/>
    <w:rsid w:val="00B71097"/>
    <w:rsid w:val="00B71950"/>
    <w:rsid w:val="00B74B34"/>
    <w:rsid w:val="00B92678"/>
    <w:rsid w:val="00BB13B4"/>
    <w:rsid w:val="00BB3A9F"/>
    <w:rsid w:val="00BB6630"/>
    <w:rsid w:val="00BD5A2E"/>
    <w:rsid w:val="00BE6343"/>
    <w:rsid w:val="00BE7D03"/>
    <w:rsid w:val="00BF7053"/>
    <w:rsid w:val="00C134C0"/>
    <w:rsid w:val="00C237C5"/>
    <w:rsid w:val="00C31CD7"/>
    <w:rsid w:val="00C32810"/>
    <w:rsid w:val="00C34C8D"/>
    <w:rsid w:val="00C40523"/>
    <w:rsid w:val="00C62520"/>
    <w:rsid w:val="00C66E48"/>
    <w:rsid w:val="00C77A0E"/>
    <w:rsid w:val="00C8585F"/>
    <w:rsid w:val="00CB2736"/>
    <w:rsid w:val="00CB4481"/>
    <w:rsid w:val="00CD418F"/>
    <w:rsid w:val="00CE530A"/>
    <w:rsid w:val="00CF740A"/>
    <w:rsid w:val="00D146FE"/>
    <w:rsid w:val="00D21AAC"/>
    <w:rsid w:val="00D319F7"/>
    <w:rsid w:val="00D4267A"/>
    <w:rsid w:val="00D5356E"/>
    <w:rsid w:val="00D83163"/>
    <w:rsid w:val="00D922B0"/>
    <w:rsid w:val="00D9344B"/>
    <w:rsid w:val="00DA0612"/>
    <w:rsid w:val="00DB263A"/>
    <w:rsid w:val="00DB6D3A"/>
    <w:rsid w:val="00DC3B19"/>
    <w:rsid w:val="00DD4B71"/>
    <w:rsid w:val="00DE0E77"/>
    <w:rsid w:val="00DE592D"/>
    <w:rsid w:val="00DF276D"/>
    <w:rsid w:val="00DF28E2"/>
    <w:rsid w:val="00E04110"/>
    <w:rsid w:val="00E14D69"/>
    <w:rsid w:val="00E27449"/>
    <w:rsid w:val="00E44707"/>
    <w:rsid w:val="00E501FC"/>
    <w:rsid w:val="00E778A2"/>
    <w:rsid w:val="00E87F6B"/>
    <w:rsid w:val="00EA4FA1"/>
    <w:rsid w:val="00EA7749"/>
    <w:rsid w:val="00EB4523"/>
    <w:rsid w:val="00EB5B01"/>
    <w:rsid w:val="00EC45B5"/>
    <w:rsid w:val="00EC6591"/>
    <w:rsid w:val="00EE2723"/>
    <w:rsid w:val="00EE3157"/>
    <w:rsid w:val="00F06B93"/>
    <w:rsid w:val="00F12F43"/>
    <w:rsid w:val="00F13ACD"/>
    <w:rsid w:val="00F172DB"/>
    <w:rsid w:val="00F42A61"/>
    <w:rsid w:val="00F52407"/>
    <w:rsid w:val="00F54AF7"/>
    <w:rsid w:val="00F61BFC"/>
    <w:rsid w:val="00F7397E"/>
    <w:rsid w:val="00F856ED"/>
    <w:rsid w:val="00F93B3F"/>
    <w:rsid w:val="00FA1CD6"/>
    <w:rsid w:val="00FC1519"/>
    <w:rsid w:val="00FC338C"/>
    <w:rsid w:val="00FD02C2"/>
    <w:rsid w:val="00FD1BC6"/>
    <w:rsid w:val="00FD2B9D"/>
    <w:rsid w:val="00FF4C40"/>
    <w:rsid w:val="00FF4F32"/>
    <w:rsid w:val="00FF6991"/>
    <w:rsid w:val="00FF6BFD"/>
    <w:rsid w:val="01172F15"/>
    <w:rsid w:val="01397C84"/>
    <w:rsid w:val="014A5669"/>
    <w:rsid w:val="029657DC"/>
    <w:rsid w:val="03307322"/>
    <w:rsid w:val="03AD2AD0"/>
    <w:rsid w:val="0415107B"/>
    <w:rsid w:val="05657CA7"/>
    <w:rsid w:val="05A625ED"/>
    <w:rsid w:val="05CA232E"/>
    <w:rsid w:val="05F6263F"/>
    <w:rsid w:val="06394B17"/>
    <w:rsid w:val="068D3C4E"/>
    <w:rsid w:val="0882431F"/>
    <w:rsid w:val="09AA06D3"/>
    <w:rsid w:val="0A1A59C5"/>
    <w:rsid w:val="0A8A4FB0"/>
    <w:rsid w:val="0A9C278D"/>
    <w:rsid w:val="0B7F6B06"/>
    <w:rsid w:val="0C2B3D10"/>
    <w:rsid w:val="0C5F4AC6"/>
    <w:rsid w:val="0CC116B9"/>
    <w:rsid w:val="0D812D93"/>
    <w:rsid w:val="11F005CC"/>
    <w:rsid w:val="12AF6AEB"/>
    <w:rsid w:val="12E733DF"/>
    <w:rsid w:val="12F2294A"/>
    <w:rsid w:val="13450016"/>
    <w:rsid w:val="139108B9"/>
    <w:rsid w:val="14C41EB0"/>
    <w:rsid w:val="14E82956"/>
    <w:rsid w:val="16AD7042"/>
    <w:rsid w:val="17EB66A1"/>
    <w:rsid w:val="185633E1"/>
    <w:rsid w:val="18747DEC"/>
    <w:rsid w:val="187A7192"/>
    <w:rsid w:val="1962635B"/>
    <w:rsid w:val="1A1222D0"/>
    <w:rsid w:val="1A9129F2"/>
    <w:rsid w:val="1B37696C"/>
    <w:rsid w:val="1E9978BD"/>
    <w:rsid w:val="1F5E7A48"/>
    <w:rsid w:val="1F636352"/>
    <w:rsid w:val="1F992258"/>
    <w:rsid w:val="200751DF"/>
    <w:rsid w:val="20883CF5"/>
    <w:rsid w:val="20DB5507"/>
    <w:rsid w:val="224774B4"/>
    <w:rsid w:val="234603F2"/>
    <w:rsid w:val="23793445"/>
    <w:rsid w:val="23D441DB"/>
    <w:rsid w:val="24421296"/>
    <w:rsid w:val="24D54D60"/>
    <w:rsid w:val="259F5C88"/>
    <w:rsid w:val="261D5971"/>
    <w:rsid w:val="267A72B1"/>
    <w:rsid w:val="26A32F12"/>
    <w:rsid w:val="26E30E8F"/>
    <w:rsid w:val="26EC6709"/>
    <w:rsid w:val="28B53E72"/>
    <w:rsid w:val="2B7C3AAE"/>
    <w:rsid w:val="2C365165"/>
    <w:rsid w:val="2C8B2499"/>
    <w:rsid w:val="2CDB547D"/>
    <w:rsid w:val="2E891E7E"/>
    <w:rsid w:val="2F5977A4"/>
    <w:rsid w:val="320B3AB4"/>
    <w:rsid w:val="33733819"/>
    <w:rsid w:val="342E7373"/>
    <w:rsid w:val="344A46D3"/>
    <w:rsid w:val="34DE1B37"/>
    <w:rsid w:val="34FB1589"/>
    <w:rsid w:val="37C93560"/>
    <w:rsid w:val="37E50541"/>
    <w:rsid w:val="381B084C"/>
    <w:rsid w:val="382B676C"/>
    <w:rsid w:val="385216C3"/>
    <w:rsid w:val="39E30FE4"/>
    <w:rsid w:val="3A427B87"/>
    <w:rsid w:val="3B4327A2"/>
    <w:rsid w:val="3B991AA0"/>
    <w:rsid w:val="3CC90592"/>
    <w:rsid w:val="3E21317B"/>
    <w:rsid w:val="3EEF420D"/>
    <w:rsid w:val="4105309E"/>
    <w:rsid w:val="422E19F3"/>
    <w:rsid w:val="42537770"/>
    <w:rsid w:val="42A85512"/>
    <w:rsid w:val="42F35C5E"/>
    <w:rsid w:val="43675AF5"/>
    <w:rsid w:val="43D47C18"/>
    <w:rsid w:val="43E1436D"/>
    <w:rsid w:val="45DD69B0"/>
    <w:rsid w:val="466F034F"/>
    <w:rsid w:val="46A7518D"/>
    <w:rsid w:val="471835AA"/>
    <w:rsid w:val="47B5127A"/>
    <w:rsid w:val="48115FC9"/>
    <w:rsid w:val="49814A1C"/>
    <w:rsid w:val="4A5615D6"/>
    <w:rsid w:val="4AFA5590"/>
    <w:rsid w:val="4C4A0CBD"/>
    <w:rsid w:val="4C671411"/>
    <w:rsid w:val="4CBB540E"/>
    <w:rsid w:val="4CC21D27"/>
    <w:rsid w:val="4D6D3EAA"/>
    <w:rsid w:val="4DF743EC"/>
    <w:rsid w:val="4E44523F"/>
    <w:rsid w:val="4EDA4589"/>
    <w:rsid w:val="4F0C4816"/>
    <w:rsid w:val="4F41651A"/>
    <w:rsid w:val="517000EE"/>
    <w:rsid w:val="53247996"/>
    <w:rsid w:val="57BB2241"/>
    <w:rsid w:val="57EF2F07"/>
    <w:rsid w:val="581D758D"/>
    <w:rsid w:val="5AB77D75"/>
    <w:rsid w:val="5C9858E0"/>
    <w:rsid w:val="5CFA4013"/>
    <w:rsid w:val="5D855267"/>
    <w:rsid w:val="5D996589"/>
    <w:rsid w:val="5E365D5A"/>
    <w:rsid w:val="60310C3E"/>
    <w:rsid w:val="60453BB5"/>
    <w:rsid w:val="607425D4"/>
    <w:rsid w:val="635C46FB"/>
    <w:rsid w:val="642002E0"/>
    <w:rsid w:val="643A1529"/>
    <w:rsid w:val="645C355B"/>
    <w:rsid w:val="65B80788"/>
    <w:rsid w:val="65E62883"/>
    <w:rsid w:val="66123219"/>
    <w:rsid w:val="66510180"/>
    <w:rsid w:val="669044F1"/>
    <w:rsid w:val="67636EBE"/>
    <w:rsid w:val="67A04100"/>
    <w:rsid w:val="682A7D58"/>
    <w:rsid w:val="689B45BD"/>
    <w:rsid w:val="69894184"/>
    <w:rsid w:val="69AD65A1"/>
    <w:rsid w:val="6B0F2128"/>
    <w:rsid w:val="6BCB507D"/>
    <w:rsid w:val="6D0437AA"/>
    <w:rsid w:val="6DFF2DFA"/>
    <w:rsid w:val="6F050EFB"/>
    <w:rsid w:val="6FDF51BF"/>
    <w:rsid w:val="70806316"/>
    <w:rsid w:val="710664CC"/>
    <w:rsid w:val="72BF7F83"/>
    <w:rsid w:val="73384CAA"/>
    <w:rsid w:val="73476F55"/>
    <w:rsid w:val="737E6CBC"/>
    <w:rsid w:val="74342682"/>
    <w:rsid w:val="74CD195E"/>
    <w:rsid w:val="755D050C"/>
    <w:rsid w:val="768F401B"/>
    <w:rsid w:val="77652769"/>
    <w:rsid w:val="7803200E"/>
    <w:rsid w:val="784E37F0"/>
    <w:rsid w:val="78A13B12"/>
    <w:rsid w:val="78B63881"/>
    <w:rsid w:val="78F50488"/>
    <w:rsid w:val="7910193A"/>
    <w:rsid w:val="79E80778"/>
    <w:rsid w:val="7A9F225E"/>
    <w:rsid w:val="7AC01CD1"/>
    <w:rsid w:val="7C541F49"/>
    <w:rsid w:val="7D502CB8"/>
    <w:rsid w:val="7E4A5576"/>
    <w:rsid w:val="7E665FF8"/>
    <w:rsid w:val="7F32517A"/>
    <w:rsid w:val="7F97781F"/>
    <w:rsid w:val="7F9C1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163" w:beforeLines="50" w:after="163" w:afterLines="50"/>
      <w:ind w:firstLine="510"/>
      <w:outlineLvl w:val="0"/>
    </w:pPr>
    <w:rPr>
      <w:rFonts w:eastAsia="黑体"/>
      <w:bCs/>
      <w:kern w:val="44"/>
      <w:sz w:val="32"/>
      <w:szCs w:val="28"/>
    </w:rPr>
  </w:style>
  <w:style w:type="paragraph" w:styleId="4">
    <w:name w:val="heading 2"/>
    <w:basedOn w:val="1"/>
    <w:next w:val="1"/>
    <w:link w:val="22"/>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qFormat/>
    <w:uiPriority w:val="0"/>
    <w:pPr>
      <w:spacing w:beforeAutospacing="1" w:afterAutospacing="1"/>
      <w:jc w:val="left"/>
      <w:outlineLvl w:val="2"/>
    </w:pPr>
    <w:rPr>
      <w:rFonts w:hint="eastAsia" w:ascii="宋体" w:hAnsi="宋体"/>
      <w:b/>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7"/>
    <w:qFormat/>
    <w:uiPriority w:val="99"/>
    <w:pPr>
      <w:autoSpaceDE w:val="0"/>
      <w:autoSpaceDN w:val="0"/>
      <w:adjustRightInd w:val="0"/>
      <w:textAlignment w:val="baseline"/>
    </w:pPr>
    <w:rPr>
      <w:rFonts w:ascii="宋体"/>
    </w:rPr>
  </w:style>
  <w:style w:type="paragraph" w:styleId="6">
    <w:name w:val="Body Text"/>
    <w:basedOn w:val="1"/>
    <w:link w:val="23"/>
    <w:qFormat/>
    <w:uiPriority w:val="1"/>
    <w:rPr>
      <w:rFonts w:ascii="宋体" w:hAnsi="宋体" w:cs="宋体"/>
      <w:szCs w:val="21"/>
      <w:lang w:val="zh-CN" w:bidi="zh-CN"/>
    </w:rPr>
  </w:style>
  <w:style w:type="paragraph" w:styleId="7">
    <w:name w:val="Body Text Indent"/>
    <w:basedOn w:val="1"/>
    <w:link w:val="36"/>
    <w:qFormat/>
    <w:uiPriority w:val="0"/>
    <w:pPr>
      <w:spacing w:after="120"/>
      <w:ind w:left="420" w:leftChars="200"/>
    </w:pPr>
  </w:style>
  <w:style w:type="paragraph" w:styleId="8">
    <w:name w:val="toc 3"/>
    <w:basedOn w:val="1"/>
    <w:next w:val="1"/>
    <w:qFormat/>
    <w:uiPriority w:val="39"/>
    <w:pPr>
      <w:ind w:left="840" w:leftChars="400"/>
    </w:pPr>
  </w:style>
  <w:style w:type="paragraph" w:styleId="9">
    <w:name w:val="Date"/>
    <w:basedOn w:val="1"/>
    <w:next w:val="1"/>
    <w:link w:val="24"/>
    <w:qFormat/>
    <w:uiPriority w:val="0"/>
    <w:pPr>
      <w:ind w:left="100" w:leftChars="2500"/>
    </w:pPr>
  </w:style>
  <w:style w:type="paragraph" w:styleId="10">
    <w:name w:val="Balloon Text"/>
    <w:basedOn w:val="1"/>
    <w:link w:val="25"/>
    <w:qFormat/>
    <w:uiPriority w:val="0"/>
    <w:rPr>
      <w:sz w:val="18"/>
      <w:szCs w:val="18"/>
    </w:rPr>
  </w:style>
  <w:style w:type="paragraph" w:styleId="11">
    <w:name w:val="footer"/>
    <w:basedOn w:val="1"/>
    <w:link w:val="26"/>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608"/>
      </w:tabs>
      <w:spacing w:line="360" w:lineRule="auto"/>
    </w:pPr>
  </w:style>
  <w:style w:type="paragraph" w:styleId="14">
    <w:name w:val="toc 2"/>
    <w:basedOn w:val="1"/>
    <w:next w:val="1"/>
    <w:qFormat/>
    <w:uiPriority w:val="39"/>
    <w:pPr>
      <w:tabs>
        <w:tab w:val="right" w:leader="dot" w:pos="8608"/>
      </w:tabs>
      <w:spacing w:line="360" w:lineRule="auto"/>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unhideWhenUsed/>
    <w:qFormat/>
    <w:uiPriority w:val="99"/>
    <w:rPr>
      <w:color w:val="800080"/>
      <w:u w:val="single"/>
    </w:rPr>
  </w:style>
  <w:style w:type="character" w:styleId="21">
    <w:name w:val="Hyperlink"/>
    <w:unhideWhenUsed/>
    <w:qFormat/>
    <w:uiPriority w:val="99"/>
    <w:rPr>
      <w:color w:val="0563C1"/>
      <w:u w:val="single"/>
    </w:rPr>
  </w:style>
  <w:style w:type="character" w:customStyle="1" w:styleId="22">
    <w:name w:val="标题 2 字符"/>
    <w:link w:val="4"/>
    <w:semiHidden/>
    <w:qFormat/>
    <w:uiPriority w:val="0"/>
    <w:rPr>
      <w:rFonts w:ascii="Calibri Light" w:hAnsi="Calibri Light" w:eastAsia="宋体" w:cs="Times New Roman"/>
      <w:b/>
      <w:bCs/>
      <w:kern w:val="2"/>
      <w:sz w:val="32"/>
      <w:szCs w:val="32"/>
    </w:rPr>
  </w:style>
  <w:style w:type="character" w:customStyle="1" w:styleId="23">
    <w:name w:val="正文文本 字符"/>
    <w:link w:val="6"/>
    <w:qFormat/>
    <w:uiPriority w:val="1"/>
    <w:rPr>
      <w:rFonts w:ascii="宋体" w:hAnsi="宋体" w:cs="宋体"/>
      <w:kern w:val="2"/>
      <w:sz w:val="21"/>
      <w:szCs w:val="21"/>
      <w:lang w:val="zh-CN" w:bidi="zh-CN"/>
    </w:rPr>
  </w:style>
  <w:style w:type="character" w:customStyle="1" w:styleId="24">
    <w:name w:val="日期 字符"/>
    <w:link w:val="9"/>
    <w:qFormat/>
    <w:uiPriority w:val="0"/>
    <w:rPr>
      <w:rFonts w:ascii="Calibri" w:hAnsi="Calibri" w:eastAsia="宋体" w:cs="Times New Roman"/>
      <w:kern w:val="2"/>
      <w:sz w:val="21"/>
      <w:szCs w:val="24"/>
    </w:rPr>
  </w:style>
  <w:style w:type="character" w:customStyle="1" w:styleId="25">
    <w:name w:val="批注框文本 字符"/>
    <w:link w:val="10"/>
    <w:qFormat/>
    <w:uiPriority w:val="0"/>
    <w:rPr>
      <w:rFonts w:ascii="Calibri" w:hAnsi="Calibri" w:eastAsia="宋体" w:cs="Times New Roman"/>
      <w:kern w:val="2"/>
      <w:sz w:val="18"/>
      <w:szCs w:val="18"/>
    </w:rPr>
  </w:style>
  <w:style w:type="character" w:customStyle="1" w:styleId="26">
    <w:name w:val="页脚 字符"/>
    <w:link w:val="11"/>
    <w:qFormat/>
    <w:uiPriority w:val="99"/>
    <w:rPr>
      <w:rFonts w:ascii="Calibri" w:hAnsi="Calibri" w:eastAsia="宋体" w:cs="Times New Roman"/>
      <w:kern w:val="2"/>
      <w:sz w:val="18"/>
      <w:szCs w:val="18"/>
    </w:rPr>
  </w:style>
  <w:style w:type="character" w:customStyle="1" w:styleId="27">
    <w:name w:val="页眉 字符"/>
    <w:link w:val="12"/>
    <w:qFormat/>
    <w:uiPriority w:val="0"/>
    <w:rPr>
      <w:rFonts w:ascii="Calibri" w:hAnsi="Calibri" w:eastAsia="宋体" w:cs="Times New Roman"/>
      <w:kern w:val="2"/>
      <w:sz w:val="18"/>
      <w:szCs w:val="18"/>
    </w:rPr>
  </w:style>
  <w:style w:type="paragraph" w:customStyle="1" w:styleId="28">
    <w:name w:val="修订1"/>
    <w:unhideWhenUsed/>
    <w:qFormat/>
    <w:uiPriority w:val="99"/>
    <w:rPr>
      <w:rFonts w:ascii="Calibri" w:hAnsi="Calibri" w:eastAsia="宋体" w:cs="Times New Roman"/>
      <w:kern w:val="2"/>
      <w:sz w:val="21"/>
      <w:szCs w:val="24"/>
      <w:lang w:val="en-US" w:eastAsia="zh-CN" w:bidi="ar-SA"/>
    </w:rPr>
  </w:style>
  <w:style w:type="character" w:customStyle="1" w:styleId="29">
    <w:name w:val="000正文样式 Char"/>
    <w:link w:val="30"/>
    <w:qFormat/>
    <w:uiPriority w:val="0"/>
    <w:rPr>
      <w:rFonts w:ascii="仿宋_GB2312" w:hAnsi="宋体" w:eastAsia="仿宋_GB2312"/>
      <w:kern w:val="2"/>
      <w:sz w:val="32"/>
      <w:szCs w:val="32"/>
    </w:rPr>
  </w:style>
  <w:style w:type="paragraph" w:customStyle="1" w:styleId="30">
    <w:name w:val="000正文样式"/>
    <w:basedOn w:val="1"/>
    <w:link w:val="29"/>
    <w:qFormat/>
    <w:uiPriority w:val="0"/>
    <w:pPr>
      <w:spacing w:line="620" w:lineRule="exact"/>
      <w:ind w:firstLine="640" w:firstLineChars="200"/>
    </w:pPr>
    <w:rPr>
      <w:rFonts w:ascii="仿宋_GB2312" w:hAnsi="宋体" w:eastAsia="仿宋_GB2312"/>
      <w:sz w:val="32"/>
      <w:szCs w:val="32"/>
    </w:rPr>
  </w:style>
  <w:style w:type="paragraph" w:customStyle="1" w:styleId="31">
    <w:name w:val="样式1"/>
    <w:basedOn w:val="3"/>
    <w:qFormat/>
    <w:uiPriority w:val="0"/>
    <w:pPr>
      <w:adjustRightInd/>
      <w:spacing w:before="312" w:beforeLines="100" w:after="312" w:afterLines="100" w:line="360" w:lineRule="exact"/>
      <w:ind w:firstLine="0"/>
    </w:pPr>
    <w:rPr>
      <w:rFonts w:ascii="黑体" w:hAnsi="Times New Roman"/>
      <w:b/>
      <w:sz w:val="28"/>
    </w:rPr>
  </w:style>
  <w:style w:type="paragraph" w:customStyle="1" w:styleId="32">
    <w:name w:val="样式3"/>
    <w:basedOn w:val="4"/>
    <w:next w:val="4"/>
    <w:qFormat/>
    <w:uiPriority w:val="0"/>
    <w:rPr>
      <w:rFonts w:eastAsia="黑体"/>
      <w:sz w:val="24"/>
    </w:rPr>
  </w:style>
  <w:style w:type="paragraph" w:customStyle="1" w:styleId="33">
    <w:name w:val="TOC 标题1"/>
    <w:basedOn w:val="3"/>
    <w:next w:val="1"/>
    <w:unhideWhenUsed/>
    <w:qFormat/>
    <w:uiPriority w:val="39"/>
    <w:pPr>
      <w:widowControl/>
      <w:adjustRightInd/>
      <w:spacing w:before="240" w:beforeLines="0" w:after="0" w:afterLines="0" w:line="259" w:lineRule="auto"/>
      <w:ind w:firstLine="0"/>
      <w:jc w:val="left"/>
      <w:outlineLvl w:val="9"/>
    </w:pPr>
    <w:rPr>
      <w:rFonts w:ascii="Calibri Light" w:hAnsi="Calibri Light" w:eastAsia="宋体"/>
      <w:bCs w:val="0"/>
      <w:color w:val="2E75B5"/>
      <w:kern w:val="0"/>
      <w:szCs w:val="32"/>
    </w:rPr>
  </w:style>
  <w:style w:type="paragraph" w:customStyle="1" w:styleId="34">
    <w:name w:val="Revision"/>
    <w:hidden/>
    <w:unhideWhenUsed/>
    <w:qFormat/>
    <w:uiPriority w:val="99"/>
    <w:rPr>
      <w:rFonts w:ascii="Calibri" w:hAnsi="Calibri" w:eastAsia="宋体" w:cs="Times New Roman"/>
      <w:kern w:val="2"/>
      <w:sz w:val="21"/>
      <w:szCs w:val="24"/>
      <w:lang w:val="en-US" w:eastAsia="zh-CN" w:bidi="ar-SA"/>
    </w:rPr>
  </w:style>
  <w:style w:type="paragraph" w:customStyle="1" w:styleId="35">
    <w:name w:val="列出段落1"/>
    <w:basedOn w:val="1"/>
    <w:qFormat/>
    <w:uiPriority w:val="0"/>
    <w:pPr>
      <w:ind w:firstLine="420" w:firstLineChars="200"/>
    </w:pPr>
    <w:rPr>
      <w:szCs w:val="22"/>
    </w:rPr>
  </w:style>
  <w:style w:type="character" w:customStyle="1" w:styleId="36">
    <w:name w:val="正文文本缩进 字符"/>
    <w:link w:val="7"/>
    <w:qFormat/>
    <w:uiPriority w:val="0"/>
    <w:rPr>
      <w:rFonts w:ascii="Calibri" w:hAnsi="Calibri"/>
      <w:kern w:val="2"/>
      <w:sz w:val="21"/>
      <w:szCs w:val="24"/>
    </w:rPr>
  </w:style>
  <w:style w:type="character" w:customStyle="1" w:styleId="37">
    <w:name w:val="纯文本 字符"/>
    <w:link w:val="2"/>
    <w:qFormat/>
    <w:uiPriority w:val="99"/>
    <w:rPr>
      <w:rFonts w:ascii="宋体" w:hAnsi="Calibri"/>
      <w:kern w:val="2"/>
      <w:sz w:val="21"/>
      <w:szCs w:val="24"/>
    </w:rPr>
  </w:style>
  <w:style w:type="paragraph" w:customStyle="1" w:styleId="3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仿宋_GB2312" w:hAnsi="宋体" w:eastAsia="仿宋_GB2312" w:cs="宋体"/>
      <w:kern w:val="0"/>
      <w:sz w:val="24"/>
    </w:rPr>
  </w:style>
  <w:style w:type="paragraph" w:customStyle="1" w:styleId="41">
    <w:name w:val="font7"/>
    <w:basedOn w:val="1"/>
    <w:qFormat/>
    <w:uiPriority w:val="0"/>
    <w:pPr>
      <w:widowControl/>
      <w:spacing w:before="100" w:beforeAutospacing="1" w:after="100" w:afterAutospacing="1"/>
      <w:jc w:val="left"/>
    </w:pPr>
    <w:rPr>
      <w:rFonts w:ascii="仿宋_GB2312" w:hAnsi="宋体" w:eastAsia="仿宋_GB2312" w:cs="宋体"/>
      <w:kern w:val="0"/>
      <w:sz w:val="24"/>
    </w:rPr>
  </w:style>
  <w:style w:type="paragraph" w:customStyle="1" w:styleId="42">
    <w:name w:val="font8"/>
    <w:basedOn w:val="1"/>
    <w:qFormat/>
    <w:uiPriority w:val="0"/>
    <w:pPr>
      <w:widowControl/>
      <w:spacing w:before="100" w:beforeAutospacing="1" w:after="100" w:afterAutospacing="1"/>
      <w:jc w:val="left"/>
    </w:pPr>
    <w:rPr>
      <w:rFonts w:ascii="仿宋_GB2312" w:hAnsi="宋体" w:eastAsia="仿宋_GB2312" w:cs="宋体"/>
      <w:b/>
      <w:bCs/>
      <w:kern w:val="0"/>
      <w:sz w:val="24"/>
    </w:rPr>
  </w:style>
  <w:style w:type="paragraph" w:customStyle="1" w:styleId="43">
    <w:name w:val="font9"/>
    <w:basedOn w:val="1"/>
    <w:qFormat/>
    <w:uiPriority w:val="0"/>
    <w:pPr>
      <w:widowControl/>
      <w:spacing w:before="100" w:beforeAutospacing="1" w:after="100" w:afterAutospacing="1"/>
      <w:jc w:val="left"/>
    </w:pPr>
    <w:rPr>
      <w:rFonts w:ascii="仿宋_GB2312" w:hAnsi="宋体" w:eastAsia="仿宋_GB2312" w:cs="宋体"/>
      <w:color w:val="000000"/>
      <w:kern w:val="0"/>
      <w:sz w:val="24"/>
    </w:rPr>
  </w:style>
  <w:style w:type="paragraph" w:customStyle="1" w:styleId="44">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5">
    <w:name w:val="xl65"/>
    <w:basedOn w:val="1"/>
    <w:qFormat/>
    <w:uiPriority w:val="0"/>
    <w:pPr>
      <w:widowControl/>
      <w:spacing w:before="100" w:beforeAutospacing="1" w:after="100" w:afterAutospacing="1"/>
      <w:jc w:val="center"/>
    </w:pPr>
    <w:rPr>
      <w:rFonts w:ascii="黑体" w:hAnsi="黑体" w:eastAsia="黑体" w:cs="宋体"/>
      <w:kern w:val="0"/>
      <w:sz w:val="28"/>
      <w:szCs w:val="28"/>
    </w:rPr>
  </w:style>
  <w:style w:type="paragraph" w:customStyle="1" w:styleId="46">
    <w:name w:val="xl66"/>
    <w:basedOn w:val="1"/>
    <w:qFormat/>
    <w:uiPriority w:val="0"/>
    <w:pPr>
      <w:widowControl/>
      <w:spacing w:before="100" w:beforeAutospacing="1" w:after="100" w:afterAutospacing="1"/>
      <w:jc w:val="center"/>
    </w:pPr>
    <w:rPr>
      <w:rFonts w:ascii="宋体" w:hAnsi="宋体" w:cs="宋体"/>
      <w:kern w:val="0"/>
      <w:sz w:val="28"/>
      <w:szCs w:val="28"/>
    </w:rPr>
  </w:style>
  <w:style w:type="paragraph" w:customStyle="1" w:styleId="4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8"/>
      <w:szCs w:val="28"/>
    </w:rPr>
  </w:style>
  <w:style w:type="paragraph" w:customStyle="1" w:styleId="4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4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rPr>
  </w:style>
  <w:style w:type="paragraph" w:customStyle="1" w:styleId="5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32"/>
      <w:szCs w:val="32"/>
    </w:rPr>
  </w:style>
  <w:style w:type="paragraph" w:customStyle="1" w:styleId="5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rPr>
  </w:style>
  <w:style w:type="paragraph" w:customStyle="1" w:styleId="53">
    <w:name w:val="xl73"/>
    <w:basedOn w:val="1"/>
    <w:qFormat/>
    <w:uiPriority w:val="0"/>
    <w:pPr>
      <w:widowControl/>
      <w:spacing w:before="100" w:beforeAutospacing="1" w:after="100" w:afterAutospacing="1"/>
      <w:jc w:val="center"/>
    </w:pPr>
    <w:rPr>
      <w:rFonts w:ascii="仿宋_GB2312" w:hAnsi="宋体" w:eastAsia="仿宋_GB2312" w:cs="宋体"/>
      <w:kern w:val="0"/>
      <w:sz w:val="28"/>
      <w:szCs w:val="28"/>
    </w:rPr>
  </w:style>
  <w:style w:type="paragraph" w:customStyle="1" w:styleId="5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pPr>
    <w:rPr>
      <w:rFonts w:ascii="仿宋_GB2312" w:hAnsi="宋体" w:eastAsia="仿宋_GB2312" w:cs="宋体"/>
      <w:kern w:val="0"/>
      <w:sz w:val="24"/>
    </w:rPr>
  </w:style>
  <w:style w:type="paragraph" w:customStyle="1" w:styleId="5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rPr>
  </w:style>
  <w:style w:type="paragraph" w:customStyle="1" w:styleId="5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kern w:val="0"/>
      <w:sz w:val="24"/>
    </w:rPr>
  </w:style>
  <w:style w:type="paragraph" w:customStyle="1" w:styleId="5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rPr>
  </w:style>
  <w:style w:type="paragraph" w:customStyle="1" w:styleId="5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rPr>
  </w:style>
  <w:style w:type="paragraph" w:customStyle="1" w:styleId="59">
    <w:name w:val="xl7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
    <w:name w:val="font11"/>
    <w:basedOn w:val="1"/>
    <w:qFormat/>
    <w:uiPriority w:val="0"/>
    <w:pPr>
      <w:widowControl/>
      <w:spacing w:before="100" w:beforeAutospacing="1" w:after="100" w:afterAutospacing="1"/>
      <w:jc w:val="left"/>
    </w:pPr>
    <w:rPr>
      <w:rFonts w:ascii="仿宋_GB2312" w:hAnsi="宋体" w:eastAsia="仿宋_GB2312" w:cs="宋体"/>
      <w:b/>
      <w:bCs/>
      <w:color w:val="FF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3E22-EC11-485A-B326-180F89B679A0}">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2712</Words>
  <Characters>2812</Characters>
  <Lines>61</Lines>
  <Paragraphs>27</Paragraphs>
  <TotalTime>32</TotalTime>
  <ScaleCrop>false</ScaleCrop>
  <LinksUpToDate>false</LinksUpToDate>
  <CharactersWithSpaces>2814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2025-05-21T08:56:00Z</dcterms:created>
  <dc:creator>牛牛</dc:creator>
  <cp:lastModifiedBy>Alina</cp:lastModifiedBy>
  <cp:lastPrinted>2023-12-20T09:50:00Z</cp:lastPrinted>
  <dcterms:modified xsi:type="dcterms:W3CDTF">2026-04-08T02:43:16Z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43B0C450027D4FDB9DD819766504F6D4_13</vt:lpwstr>
  </property>
  <property fmtid="{D5CDD505-2E9C-101B-9397-08002B2CF9AE}" pid="4" name="KSOTemplateDocerSaveRecord">
    <vt:lpwstr>eyJoZGlkIjoiZjgwNjMxMDVjMTNlMTQ2MTUzODc4ZWNiNGYxZmUwYTgiLCJ1c2VySWQiOiI0MzgxNjM2OTgifQ==</vt:lpwstr>
  </property>
</Properties>
</file>