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6E7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A09A47E">
            <w:pPr>
              <w:pStyle w:val="21"/>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EF84E7D">
            <w:pPr>
              <w:pStyle w:val="21"/>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551C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A94C3C9">
            <w:pPr>
              <w:pStyle w:val="21"/>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7C8DA5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827BEA0">
                  <w:pPr>
                    <w:pStyle w:val="54"/>
                    <w:framePr w:wrap="notBeside" w:vAnchor="page" w:hAnchor="page" w:x="1372" w:y="568"/>
                    <w:ind w:left="420" w:right="624"/>
                    <w:rPr>
                      <w:rFonts w:hint="eastAsia" w:ascii="宋体" w:hAnsi="宋体"/>
                      <w:sz w:val="28"/>
                      <w:szCs w:val="28"/>
                    </w:rPr>
                  </w:pPr>
                  <w:r>
                    <w:rPr>
                      <w:sz w:val="21"/>
                      <w:szCs w:val="21"/>
                    </w:rPr>
                    <w:t xml:space="preserve"> </w:t>
                  </w:r>
                </w:p>
              </w:tc>
            </w:tr>
          </w:tbl>
          <w:p w14:paraId="3F6D09C2">
            <w:pPr>
              <w:pStyle w:val="21"/>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32750670">
      <w:pPr>
        <w:pStyle w:val="55"/>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E84D732">
      <w:pPr>
        <w:pStyle w:val="200"/>
        <w:framePr/>
      </w:pPr>
      <w:r>
        <w:t>T/</w:t>
      </w:r>
      <w:r>
        <w:fldChar w:fldCharType="begin">
          <w:ffData>
            <w:name w:val="文字1"/>
            <w:enabled/>
            <w:calcOnExit w:val="0"/>
            <w:textInput>
              <w:default w:val="CSES"/>
            </w:textInput>
          </w:ffData>
        </w:fldChar>
      </w:r>
      <w:bookmarkStart w:id="3" w:name="文字1"/>
      <w:r>
        <w:instrText xml:space="preserve"> FORMTEXT </w:instrText>
      </w:r>
      <w:r>
        <w:fldChar w:fldCharType="separate"/>
      </w:r>
      <w:r>
        <w:t>CSES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9407134">
      <w:pPr>
        <w:pStyle w:val="201"/>
        <w:framePr/>
        <w:rPr>
          <w:rFonts w:hint="eastAsia" w:hAnsi="黑体"/>
        </w:rPr>
      </w:pPr>
    </w:p>
    <w:p w14:paraId="1843C22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A7BA848">
      <w:pPr>
        <w:pStyle w:val="55"/>
        <w:framePr w:w="9639" w:h="6976" w:hRule="exact" w:hSpace="0" w:vSpace="0" w:wrap="around" w:hAnchor="page" w:y="6408"/>
        <w:jc w:val="center"/>
        <w:rPr>
          <w:rFonts w:hint="eastAsia" w:ascii="黑体" w:hAnsi="黑体" w:eastAsia="黑体"/>
          <w:b w:val="0"/>
          <w:bCs w:val="0"/>
          <w:w w:val="100"/>
        </w:rPr>
      </w:pPr>
    </w:p>
    <w:p w14:paraId="74F3BDC0">
      <w:pPr>
        <w:framePr w:w="9639" w:h="6974" w:hRule="exact" w:wrap="around" w:vAnchor="page" w:hAnchor="page" w:x="1419" w:y="6408" w:anchorLock="1"/>
        <w:wordWrap w:val="0"/>
        <w:jc w:val="center"/>
        <w:rPr>
          <w:rFonts w:hint="eastAsia" w:ascii="黑体" w:hAnsi="黑体" w:eastAsia="黑体"/>
          <w:bCs/>
          <w:kern w:val="0"/>
          <w:sz w:val="52"/>
          <w:szCs w:val="20"/>
        </w:rPr>
      </w:pPr>
    </w:p>
    <w:p w14:paraId="45C368A9">
      <w:pPr>
        <w:framePr w:w="9639" w:h="6974" w:hRule="exact" w:wrap="around" w:vAnchor="page" w:hAnchor="page" w:x="1419" w:y="6408" w:anchorLock="1"/>
        <w:wordWrap w:val="0"/>
        <w:spacing w:line="500" w:lineRule="exact"/>
        <w:jc w:val="center"/>
        <w:rPr>
          <w:rFonts w:hint="eastAsia" w:ascii="黑体" w:hAnsi="黑体" w:eastAsia="黑体"/>
          <w:bCs/>
          <w:kern w:val="0"/>
          <w:sz w:val="52"/>
          <w:szCs w:val="20"/>
        </w:rPr>
      </w:pPr>
      <w:r>
        <w:rPr>
          <w:rFonts w:ascii="黑体" w:hAnsi="黑体" w:eastAsia="黑体"/>
          <w:bCs/>
          <w:kern w:val="0"/>
          <w:sz w:val="52"/>
          <w:szCs w:val="20"/>
        </w:rPr>
        <w:t>生活垃圾填埋场建设项目温室气体排放环境影响评价技术指南</w:t>
      </w:r>
    </w:p>
    <w:p w14:paraId="7492E33F">
      <w:pPr>
        <w:pStyle w:val="130"/>
        <w:framePr w:w="9639" w:h="6974" w:hRule="exact" w:wrap="around" w:vAnchor="page" w:hAnchor="page" w:x="1419" w:y="6408" w:anchorLock="1"/>
        <w:textAlignment w:val="bottom"/>
        <w:rPr>
          <w:rFonts w:eastAsia="黑体"/>
          <w:szCs w:val="28"/>
        </w:rPr>
      </w:pPr>
    </w:p>
    <w:p w14:paraId="4224EF82">
      <w:pPr>
        <w:pStyle w:val="130"/>
        <w:framePr w:w="9639" w:h="6974" w:hRule="exact" w:wrap="around" w:vAnchor="page" w:hAnchor="page" w:x="1419" w:y="6408" w:anchorLock="1"/>
        <w:textAlignment w:val="bottom"/>
        <w:rPr>
          <w:rFonts w:eastAsia="黑体"/>
          <w:szCs w:val="28"/>
        </w:rPr>
      </w:pPr>
      <w:r>
        <w:rPr>
          <w:rFonts w:hint="eastAsia" w:eastAsia="黑体"/>
          <w:szCs w:val="28"/>
        </w:rPr>
        <w:t>Technical Guidelines for Environmental Impact Assessment of Greenhouse Gas Emissions in Municipal Solid Waste Landfill Site Construction Projects</w:t>
      </w:r>
    </w:p>
    <w:p w14:paraId="1E051F3A">
      <w:pPr>
        <w:pStyle w:val="130"/>
        <w:framePr w:w="9639" w:h="6974" w:hRule="exact" w:wrap="around" w:vAnchor="page" w:hAnchor="page" w:x="1419" w:y="6408" w:anchorLock="1"/>
        <w:textAlignment w:val="bottom"/>
        <w:rPr>
          <w:rFonts w:eastAsia="黑体"/>
          <w:szCs w:val="28"/>
        </w:rPr>
      </w:pPr>
    </w:p>
    <w:p w14:paraId="458BB51C">
      <w:pPr>
        <w:pStyle w:val="130"/>
        <w:framePr w:w="9639" w:h="6974" w:hRule="exact" w:wrap="around" w:vAnchor="page" w:hAnchor="page" w:x="1419" w:y="6408" w:anchorLock="1"/>
        <w:spacing w:before="440" w:after="160"/>
        <w:textAlignment w:val="bottom"/>
        <w:rPr>
          <w:sz w:val="21"/>
          <w:szCs w:val="28"/>
        </w:rPr>
      </w:pPr>
      <w:r>
        <w:rPr>
          <w:rFonts w:hint="eastAsia"/>
          <w:sz w:val="24"/>
          <w:szCs w:val="28"/>
        </w:rPr>
        <w:t>（征求意见稿）</w:t>
      </w:r>
    </w:p>
    <w:p w14:paraId="1BAFC020">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p>
    <w:p w14:paraId="406A5402">
      <w:pPr>
        <w:pStyle w:val="198"/>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14:paraId="4A259609">
      <w:pPr>
        <w:pStyle w:val="199"/>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1EF9B1C9">
      <w:pPr>
        <w:pStyle w:val="156"/>
        <w:framePr w:h="584" w:hRule="exact" w:hSpace="181" w:vSpace="181" w:wrap="around" w:y="14800"/>
        <w:rPr>
          <w:rFonts w:hint="eastAsia" w:hAnsi="黑体"/>
        </w:rPr>
      </w:pPr>
      <w:r>
        <w:rPr>
          <w:rFonts w:hAnsi="黑体"/>
          <w:w w:val="100"/>
          <w:sz w:val="28"/>
        </w:rPr>
        <w:fldChar w:fldCharType="begin">
          <w:ffData>
            <w:name w:val="fm"/>
            <w:enabled/>
            <w:calcOnExit w:val="0"/>
            <w:textInput>
              <w:default w:val="中国环境科学学会"/>
            </w:textInput>
          </w:ffData>
        </w:fldChar>
      </w:r>
      <w:bookmarkStart w:id="13" w:name="fm"/>
      <w:r>
        <w:rPr>
          <w:rFonts w:hAnsi="黑体"/>
          <w:w w:val="100"/>
          <w:sz w:val="28"/>
        </w:rPr>
        <w:instrText xml:space="preserve"> FORMTEXT </w:instrText>
      </w:r>
      <w:r>
        <w:rPr>
          <w:rFonts w:hAnsi="黑体"/>
          <w:w w:val="100"/>
          <w:sz w:val="28"/>
        </w:rPr>
        <w:fldChar w:fldCharType="separate"/>
      </w:r>
      <w:r>
        <w:rPr>
          <w:rFonts w:hAnsi="黑体"/>
          <w:w w:val="100"/>
          <w:sz w:val="28"/>
        </w:rPr>
        <w:t>中国环境科学学会</w:t>
      </w:r>
      <w:r>
        <w:rPr>
          <w:rFonts w:hAnsi="黑体"/>
          <w:w w:val="100"/>
          <w:sz w:val="28"/>
        </w:rPr>
        <w:fldChar w:fldCharType="end"/>
      </w:r>
      <w:bookmarkEnd w:id="13"/>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6C262FA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00000E1">
      <w:pPr>
        <w:pStyle w:val="96"/>
        <w:spacing w:after="360"/>
      </w:pPr>
      <w:bookmarkStart w:id="14" w:name="BookMark1"/>
      <w:r>
        <w:rPr>
          <w:rFonts w:hint="eastAsia"/>
          <w:spacing w:val="320"/>
        </w:rPr>
        <w:t>目</w:t>
      </w:r>
      <w:r>
        <w:rPr>
          <w:rFonts w:hint="eastAsia"/>
        </w:rPr>
        <w:t>次</w:t>
      </w:r>
    </w:p>
    <w:p w14:paraId="6B2E62F8">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"_Toc227330814" </w:instrText>
      </w:r>
      <w:r>
        <w:fldChar w:fldCharType="separate"/>
      </w:r>
      <w:r>
        <w:rPr>
          <w:rStyle w:val="36"/>
          <w:rFonts w:hint="eastAsia"/>
          <w:spacing w:val="320"/>
        </w:rPr>
        <w:t>前</w:t>
      </w:r>
      <w:r>
        <w:rPr>
          <w:rStyle w:val="36"/>
          <w:rFonts w:hint="eastAsia"/>
        </w:rPr>
        <w:t>言</w:t>
      </w:r>
      <w:r>
        <w:rPr>
          <w:rFonts w:hint="eastAsia"/>
        </w:rPr>
        <w:tab/>
      </w:r>
      <w:r>
        <w:rPr>
          <w:rFonts w:hint="eastAsia"/>
        </w:rPr>
        <w:fldChar w:fldCharType="begin"/>
      </w:r>
      <w:r>
        <w:rPr>
          <w:rFonts w:hint="eastAsia"/>
        </w:rPr>
        <w:instrText xml:space="preserve"> </w:instrText>
      </w:r>
      <w:r>
        <w:instrText xml:space="preserve">PAGEREF _Toc227330814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D97BCE0">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"_Toc227330815" </w:instrText>
      </w:r>
      <w:r>
        <w:fldChar w:fldCharType="separate"/>
      </w:r>
      <w:r>
        <w:rPr>
          <w:rStyle w:val="36"/>
          <w:rFonts w:hint="eastAsia"/>
          <w:spacing w:val="320"/>
        </w:rPr>
        <w:t>引</w:t>
      </w:r>
      <w:r>
        <w:rPr>
          <w:rStyle w:val="36"/>
          <w:rFonts w:hint="eastAsia"/>
        </w:rPr>
        <w:t>言</w:t>
      </w:r>
      <w:r>
        <w:rPr>
          <w:rFonts w:hint="eastAsia"/>
        </w:rPr>
        <w:tab/>
      </w:r>
      <w:r>
        <w:rPr>
          <w:rFonts w:hint="eastAsia"/>
        </w:rPr>
        <w:fldChar w:fldCharType="begin"/>
      </w:r>
      <w:r>
        <w:rPr>
          <w:rFonts w:hint="eastAsia"/>
        </w:rPr>
        <w:instrText xml:space="preserve"> </w:instrText>
      </w:r>
      <w:r>
        <w:instrText xml:space="preserve">PAGEREF _Toc227330815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135D615">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"_Toc227330816" </w:instrText>
      </w:r>
      <w:r>
        <w:fldChar w:fldCharType="separate"/>
      </w:r>
      <w:r>
        <w:rPr>
          <w:rStyle w:val="36"/>
          <w:rFonts w:hint="eastAsia"/>
        </w:rPr>
        <w:t>1 范围</w:t>
      </w:r>
      <w:r>
        <w:rPr>
          <w:rFonts w:hint="eastAsia"/>
        </w:rPr>
        <w:tab/>
      </w:r>
      <w:r>
        <w:rPr>
          <w:rFonts w:hint="eastAsia"/>
        </w:rPr>
        <w:fldChar w:fldCharType="begin"/>
      </w:r>
      <w:r>
        <w:rPr>
          <w:rFonts w:hint="eastAsia"/>
        </w:rPr>
        <w:instrText xml:space="preserve"> </w:instrText>
      </w:r>
      <w:r>
        <w:instrText xml:space="preserve">PAGEREF _Toc227330816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962D572">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"_Toc227330817" </w:instrText>
      </w:r>
      <w:r>
        <w:fldChar w:fldCharType="separate"/>
      </w:r>
      <w:r>
        <w:rPr>
          <w:rStyle w:val="36"/>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_Toc227330817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FA34CF5">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"_Toc227330818" </w:instrText>
      </w:r>
      <w:r>
        <w:fldChar w:fldCharType="separate"/>
      </w:r>
      <w:r>
        <w:rPr>
          <w:rStyle w:val="36"/>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_Toc227330818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6CC24F9">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"_Toc227330826" </w:instrText>
      </w:r>
      <w:r>
        <w:fldChar w:fldCharType="separate"/>
      </w:r>
      <w:r>
        <w:rPr>
          <w:rStyle w:val="36"/>
          <w:rFonts w:hint="eastAsia"/>
        </w:rPr>
        <w:t>4 工作内容和程序</w:t>
      </w:r>
      <w:r>
        <w:rPr>
          <w:rFonts w:hint="eastAsia"/>
        </w:rPr>
        <w:tab/>
      </w:r>
      <w:r>
        <w:rPr>
          <w:rFonts w:hint="eastAsia"/>
        </w:rPr>
        <w:t>4</w:t>
      </w:r>
      <w:r>
        <w:rPr>
          <w:rFonts w:hint="eastAsia"/>
        </w:rPr>
        <w:fldChar w:fldCharType="end"/>
      </w:r>
    </w:p>
    <w:p w14:paraId="70B359B8">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"_Toc227330827" </w:instrText>
      </w:r>
      <w:r>
        <w:fldChar w:fldCharType="separate"/>
      </w:r>
      <w:r>
        <w:rPr>
          <w:rStyle w:val="36"/>
          <w:rFonts w:hint="eastAsia"/>
        </w:rPr>
        <w:t>5 评价方法</w:t>
      </w:r>
      <w:r>
        <w:rPr>
          <w:rFonts w:hint="eastAsia"/>
        </w:rPr>
        <w:tab/>
      </w:r>
      <w:r>
        <w:rPr>
          <w:rFonts w:hint="eastAsia"/>
        </w:rPr>
        <w:fldChar w:fldCharType="begin"/>
      </w:r>
      <w:r>
        <w:rPr>
          <w:rFonts w:hint="eastAsia"/>
        </w:rPr>
        <w:instrText xml:space="preserve"> </w:instrText>
      </w:r>
      <w:r>
        <w:instrText xml:space="preserve">PAGEREF _Toc227330827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B85CBF3">
      <w:pPr>
        <w:pStyle w:val="27"/>
        <w:rPr>
          <w:rFonts w:hint="eastAsia" w:asciiTheme="minorHAnsi" w:hAnsiTheme="minorHAnsi" w:eastAsiaTheme="minorEastAsia" w:cstheme="minorBidi"/>
          <w:sz w:val="22"/>
          <w:szCs w:val="24"/>
          <w14:ligatures w14:val="standardContextual"/>
        </w:rPr>
      </w:pPr>
      <w:r>
        <w:fldChar w:fldCharType="begin"/>
      </w:r>
      <w:r>
        <w:instrText xml:space="preserve"> HYPERLINK \l "_Toc227330828" </w:instrText>
      </w:r>
      <w:r>
        <w:fldChar w:fldCharType="separate"/>
      </w:r>
      <w:r>
        <w:rPr>
          <w:rStyle w:val="36"/>
          <w:rFonts w:hint="eastAsia"/>
          <w14:scene3d w14:prst="orthographicFront">
            <w14:lightRig w14:rig="threePt" w14:dir="t">
              <w14:rot w14:lat="0" w14:lon="0" w14:rev="0"/>
            </w14:lightRig>
          </w14:scene3d>
        </w:rPr>
        <w:t>5.1</w:t>
      </w:r>
      <w:r>
        <w:rPr>
          <w:rStyle w:val="36"/>
          <w:rFonts w:hint="eastAsia"/>
        </w:rPr>
        <w:t xml:space="preserve"> 政策符合性分析</w:t>
      </w:r>
      <w:r>
        <w:rPr>
          <w:rFonts w:hint="eastAsia"/>
        </w:rPr>
        <w:tab/>
      </w:r>
      <w:r>
        <w:rPr>
          <w:rFonts w:hint="eastAsia"/>
        </w:rPr>
        <w:fldChar w:fldCharType="begin"/>
      </w:r>
      <w:r>
        <w:rPr>
          <w:rFonts w:hint="eastAsia"/>
        </w:rPr>
        <w:instrText xml:space="preserve"> </w:instrText>
      </w:r>
      <w:r>
        <w:instrText xml:space="preserve">PAGEREF _Toc227330828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6EDF687">
      <w:pPr>
        <w:pStyle w:val="27"/>
        <w:rPr>
          <w:rFonts w:hint="eastAsia" w:asciiTheme="minorHAnsi" w:hAnsiTheme="minorHAnsi" w:eastAsiaTheme="minorEastAsia" w:cstheme="minorBidi"/>
          <w:sz w:val="22"/>
          <w:szCs w:val="24"/>
          <w14:ligatures w14:val="standardContextual"/>
        </w:rPr>
      </w:pPr>
      <w:r>
        <w:fldChar w:fldCharType="begin"/>
      </w:r>
      <w:r>
        <w:instrText xml:space="preserve"> HYPERLINK \l "_Toc227330829" </w:instrText>
      </w:r>
      <w:r>
        <w:fldChar w:fldCharType="separate"/>
      </w:r>
      <w:r>
        <w:rPr>
          <w:rStyle w:val="36"/>
          <w:rFonts w:hint="eastAsia"/>
          <w14:scene3d w14:prst="orthographicFront">
            <w14:lightRig w14:rig="threePt" w14:dir="t">
              <w14:rot w14:lat="0" w14:lon="0" w14:rev="0"/>
            </w14:lightRig>
          </w14:scene3d>
        </w:rPr>
        <w:t>5.2</w:t>
      </w:r>
      <w:r>
        <w:rPr>
          <w:rStyle w:val="36"/>
          <w:rFonts w:hint="eastAsia"/>
        </w:rPr>
        <w:t xml:space="preserve"> 工程分析</w:t>
      </w:r>
      <w:r>
        <w:rPr>
          <w:rFonts w:hint="eastAsia"/>
        </w:rPr>
        <w:tab/>
      </w:r>
      <w:r>
        <w:rPr>
          <w:rFonts w:hint="eastAsia"/>
        </w:rPr>
        <w:fldChar w:fldCharType="begin"/>
      </w:r>
      <w:r>
        <w:rPr>
          <w:rFonts w:hint="eastAsia"/>
        </w:rPr>
        <w:instrText xml:space="preserve"> </w:instrText>
      </w:r>
      <w:r>
        <w:instrText xml:space="preserve">PAGEREF _Toc227330829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2177D4C">
      <w:pPr>
        <w:pStyle w:val="27"/>
        <w:rPr>
          <w:rFonts w:hint="eastAsia" w:asciiTheme="minorHAnsi" w:hAnsiTheme="minorHAnsi" w:eastAsiaTheme="minorEastAsia" w:cstheme="minorBidi"/>
          <w:sz w:val="22"/>
          <w:szCs w:val="24"/>
          <w14:ligatures w14:val="standardContextual"/>
        </w:rPr>
      </w:pPr>
      <w:r>
        <w:fldChar w:fldCharType="begin"/>
      </w:r>
      <w:r>
        <w:instrText xml:space="preserve"> HYPERLINK \l "_Toc227330830" </w:instrText>
      </w:r>
      <w:r>
        <w:fldChar w:fldCharType="separate"/>
      </w:r>
      <w:r>
        <w:rPr>
          <w:rStyle w:val="36"/>
          <w:rFonts w:hint="eastAsia"/>
          <w14:scene3d w14:prst="orthographicFront">
            <w14:lightRig w14:rig="threePt" w14:dir="t">
              <w14:rot w14:lat="0" w14:lon="0" w14:rev="0"/>
            </w14:lightRig>
          </w14:scene3d>
        </w:rPr>
        <w:t>5.3</w:t>
      </w:r>
      <w:r>
        <w:rPr>
          <w:rStyle w:val="36"/>
          <w:rFonts w:hint="eastAsia"/>
        </w:rPr>
        <w:t xml:space="preserve"> 温室气体排放绩效评价</w:t>
      </w:r>
      <w:r>
        <w:rPr>
          <w:rFonts w:hint="eastAsia"/>
        </w:rPr>
        <w:tab/>
      </w:r>
      <w:r>
        <w:rPr>
          <w:rFonts w:hint="eastAsia"/>
        </w:rPr>
        <w:t>6</w:t>
      </w:r>
      <w:r>
        <w:rPr>
          <w:rFonts w:hint="eastAsia"/>
        </w:rPr>
        <w:fldChar w:fldCharType="end"/>
      </w:r>
    </w:p>
    <w:p w14:paraId="4A2EA7CC">
      <w:pPr>
        <w:pStyle w:val="27"/>
        <w:rPr>
          <w:rFonts w:hint="eastAsia" w:asciiTheme="minorHAnsi" w:hAnsiTheme="minorHAnsi" w:eastAsiaTheme="minorEastAsia" w:cstheme="minorBidi"/>
          <w:sz w:val="22"/>
          <w:szCs w:val="24"/>
          <w14:ligatures w14:val="standardContextual"/>
        </w:rPr>
      </w:pPr>
      <w:r>
        <w:fldChar w:fldCharType="begin"/>
      </w:r>
      <w:r>
        <w:instrText xml:space="preserve"> HYPERLINK \l "_Toc227330831" </w:instrText>
      </w:r>
      <w:r>
        <w:fldChar w:fldCharType="separate"/>
      </w:r>
      <w:r>
        <w:rPr>
          <w:rStyle w:val="36"/>
          <w:rFonts w:hint="eastAsia"/>
          <w14:scene3d w14:prst="orthographicFront">
            <w14:lightRig w14:rig="threePt" w14:dir="t">
              <w14:rot w14:lat="0" w14:lon="0" w14:rev="0"/>
            </w14:lightRig>
          </w14:scene3d>
        </w:rPr>
        <w:t>5.4</w:t>
      </w:r>
      <w:r>
        <w:rPr>
          <w:rStyle w:val="36"/>
          <w:rFonts w:hint="eastAsia"/>
        </w:rPr>
        <w:t xml:space="preserve"> 温室气体减排措施可行性论证</w:t>
      </w:r>
      <w:r>
        <w:rPr>
          <w:rFonts w:hint="eastAsia"/>
        </w:rPr>
        <w:tab/>
      </w:r>
      <w:r>
        <w:rPr>
          <w:rFonts w:hint="eastAsia"/>
        </w:rPr>
        <w:fldChar w:fldCharType="begin"/>
      </w:r>
      <w:r>
        <w:rPr>
          <w:rFonts w:hint="eastAsia"/>
        </w:rPr>
        <w:instrText xml:space="preserve"> </w:instrText>
      </w:r>
      <w:r>
        <w:instrText xml:space="preserve">PAGEREF _Toc227330831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AE8191E">
      <w:pPr>
        <w:pStyle w:val="27"/>
        <w:rPr>
          <w:rFonts w:hint="eastAsia" w:asciiTheme="minorHAnsi" w:hAnsiTheme="minorHAnsi" w:eastAsiaTheme="minorEastAsia" w:cstheme="minorBidi"/>
          <w:sz w:val="22"/>
          <w:szCs w:val="24"/>
          <w14:ligatures w14:val="standardContextual"/>
        </w:rPr>
      </w:pPr>
      <w:r>
        <w:fldChar w:fldCharType="begin"/>
      </w:r>
      <w:r>
        <w:instrText xml:space="preserve"> HYPERLINK \l "_Toc227330832" </w:instrText>
      </w:r>
      <w:r>
        <w:fldChar w:fldCharType="separate"/>
      </w:r>
      <w:r>
        <w:rPr>
          <w:rStyle w:val="36"/>
          <w:rFonts w:hint="eastAsia"/>
          <w14:scene3d w14:prst="orthographicFront">
            <w14:lightRig w14:rig="threePt" w14:dir="t">
              <w14:rot w14:lat="0" w14:lon="0" w14:rev="0"/>
            </w14:lightRig>
          </w14:scene3d>
        </w:rPr>
        <w:t>5.5</w:t>
      </w:r>
      <w:r>
        <w:rPr>
          <w:rStyle w:val="36"/>
          <w:rFonts w:hint="eastAsia"/>
        </w:rPr>
        <w:t xml:space="preserve"> 排放管理要求与监测计划</w:t>
      </w:r>
      <w:r>
        <w:rPr>
          <w:rFonts w:hint="eastAsia"/>
        </w:rPr>
        <w:tab/>
      </w:r>
      <w:r>
        <w:rPr>
          <w:rFonts w:hint="eastAsia"/>
        </w:rPr>
        <w:t>8</w:t>
      </w:r>
      <w:r>
        <w:rPr>
          <w:rFonts w:hint="eastAsia"/>
        </w:rPr>
        <w:fldChar w:fldCharType="end"/>
      </w:r>
    </w:p>
    <w:p w14:paraId="35189633">
      <w:pPr>
        <w:pStyle w:val="27"/>
      </w:pPr>
      <w:r>
        <w:fldChar w:fldCharType="begin"/>
      </w:r>
      <w:r>
        <w:instrText xml:space="preserve"> HYPERLINK \l "_Toc227330833" </w:instrText>
      </w:r>
      <w:r>
        <w:fldChar w:fldCharType="separate"/>
      </w:r>
      <w:r>
        <w:rPr>
          <w:rStyle w:val="36"/>
          <w:rFonts w:hint="eastAsia"/>
          <w14:scene3d w14:prst="orthographicFront">
            <w14:lightRig w14:rig="threePt" w14:dir="t">
              <w14:rot w14:lat="0" w14:lon="0" w14:rev="0"/>
            </w14:lightRig>
          </w14:scene3d>
        </w:rPr>
        <w:t>5.6</w:t>
      </w:r>
      <w:r>
        <w:rPr>
          <w:rStyle w:val="36"/>
          <w:rFonts w:hint="eastAsia"/>
        </w:rPr>
        <w:t xml:space="preserve"> 排放评价结论</w:t>
      </w:r>
      <w:r>
        <w:rPr>
          <w:rFonts w:hint="eastAsia"/>
        </w:rPr>
        <w:tab/>
      </w:r>
      <w:r>
        <w:rPr>
          <w:rFonts w:hint="eastAsia"/>
        </w:rPr>
        <w:t>8</w:t>
      </w:r>
      <w:r>
        <w:rPr>
          <w:rFonts w:hint="eastAsia"/>
        </w:rPr>
        <w:fldChar w:fldCharType="end"/>
      </w:r>
    </w:p>
    <w:p w14:paraId="0B46F793">
      <w:pPr>
        <w:ind w:firstLine="210" w:firstLineChars="100"/>
      </w:pPr>
      <w:r>
        <w:rPr>
          <w:rFonts w:hint="eastAsia"/>
        </w:rPr>
        <w:t>参考文献</w:t>
      </w:r>
      <w:r>
        <w:t>……………………………………………………………………………………………………………………………………………………</w:t>
      </w:r>
      <w:r>
        <w:rPr>
          <w:rFonts w:hint="eastAsia"/>
        </w:rPr>
        <w:t>8</w:t>
      </w:r>
    </w:p>
    <w:p w14:paraId="3C947C19">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"_Toc227330834" </w:instrText>
      </w:r>
      <w:r>
        <w:fldChar w:fldCharType="separate"/>
      </w:r>
      <w:r>
        <w:rPr>
          <w:rStyle w:val="36"/>
          <w:rFonts w:hint="eastAsia" w:ascii="Times New Roman"/>
          <w:b/>
          <w:bCs/>
          <w:spacing w:val="100"/>
        </w:rPr>
        <w:t>附录A</w:t>
      </w:r>
      <w:r>
        <w:rPr>
          <w:rStyle w:val="36"/>
          <w:rFonts w:hint="eastAsia"/>
        </w:rPr>
        <w:t xml:space="preserve"> （资料性附录）</w:t>
      </w:r>
      <w:r>
        <w:rPr>
          <w:rFonts w:hint="eastAsia"/>
        </w:rPr>
        <w:tab/>
      </w:r>
      <w:r>
        <w:rPr>
          <w:rFonts w:hint="eastAsia"/>
        </w:rPr>
        <w:fldChar w:fldCharType="begin"/>
      </w:r>
      <w:r>
        <w:rPr>
          <w:rFonts w:hint="eastAsia"/>
        </w:rPr>
        <w:instrText xml:space="preserve"> </w:instrText>
      </w:r>
      <w:r>
        <w:instrText xml:space="preserve">PAGEREF _Toc227330834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7699FAE">
      <w:pPr>
        <w:pStyle w:val="96"/>
        <w:spacing w:after="36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14"/>
    <w:p w14:paraId="1A1F8C76">
      <w:pPr>
        <w:jc w:val="center"/>
        <w:rPr>
          <w:rFonts w:hint="eastAsia" w:ascii="黑体" w:hAnsi="黑体" w:eastAsia="黑体" w:cs="黑体"/>
          <w:sz w:val="30"/>
          <w:szCs w:val="30"/>
        </w:rPr>
      </w:pPr>
      <w:bookmarkStart w:id="15" w:name="BookMark2"/>
      <w:r>
        <w:rPr>
          <w:rFonts w:hint="eastAsia" w:ascii="黑体" w:hAnsi="黑体" w:eastAsia="黑体" w:cs="黑体"/>
          <w:sz w:val="30"/>
          <w:szCs w:val="30"/>
        </w:rPr>
        <w:t>前言</w:t>
      </w:r>
    </w:p>
    <w:p w14:paraId="475C51D3">
      <w:pPr>
        <w:pStyle w:val="61"/>
        <w:ind w:firstLine="420"/>
      </w:pPr>
      <w:r>
        <w:t>本文件按照GB/T 1.1—2020《标准化工作导则  第1部分：标准化文件的结构和起草规则》的规定起草。</w:t>
      </w:r>
    </w:p>
    <w:p w14:paraId="3BBBE604">
      <w:pPr>
        <w:pStyle w:val="61"/>
        <w:ind w:firstLine="420"/>
      </w:pPr>
      <w:r>
        <w:t>请注意本文件的某些内容可能涉及专利。本文件的发布机构不承担识别专利的责任。</w:t>
      </w:r>
    </w:p>
    <w:p w14:paraId="3274038B">
      <w:pPr>
        <w:pStyle w:val="61"/>
        <w:ind w:firstLine="420"/>
      </w:pPr>
      <w:r>
        <w:t>本文件由生态环境部环境影响评价与排放管理司提出。</w:t>
      </w:r>
    </w:p>
    <w:p w14:paraId="27B8A80A">
      <w:pPr>
        <w:pStyle w:val="61"/>
        <w:ind w:firstLine="420"/>
      </w:pPr>
      <w:r>
        <w:t>本文件由中国环境科学学会归口。</w:t>
      </w:r>
    </w:p>
    <w:p w14:paraId="7213587A">
      <w:pPr>
        <w:pStyle w:val="61"/>
        <w:ind w:firstLine="420"/>
      </w:pPr>
      <w:r>
        <w:t>本文件起草单位：生态环境部环境工程评估中心、</w:t>
      </w:r>
      <w:r>
        <w:rPr>
          <w:rFonts w:hint="eastAsia"/>
        </w:rPr>
        <w:t>上海交通大学、河南百川畅银环保能源股份有限公司、香港浸会大学、</w:t>
      </w:r>
      <w:r>
        <w:t>生态环境部环境规划院、生态环境部环境发展中心、</w:t>
      </w:r>
      <w:r>
        <w:rPr>
          <w:rFonts w:hint="eastAsia"/>
        </w:rPr>
        <w:t>北京师范大学、香港大学</w:t>
      </w:r>
    </w:p>
    <w:p w14:paraId="6B364025">
      <w:pPr>
        <w:pStyle w:val="61"/>
        <w:ind w:firstLine="420"/>
      </w:pPr>
      <w:r>
        <w:t>本文件主要起草人：</w:t>
      </w:r>
    </w:p>
    <w:p w14:paraId="1B47C700">
      <w:pPr>
        <w:pStyle w:val="61"/>
        <w:ind w:firstLine="420"/>
      </w:pPr>
    </w:p>
    <w:p w14:paraId="2BAA12B5">
      <w:pPr>
        <w:pStyle w:val="61"/>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bookmarkEnd w:id="15"/>
    <w:p w14:paraId="369C7D13">
      <w:pPr>
        <w:jc w:val="center"/>
        <w:rPr>
          <w:rFonts w:hint="eastAsia" w:ascii="黑体" w:hAnsi="黑体" w:eastAsia="黑体" w:cs="黑体"/>
          <w:sz w:val="30"/>
          <w:szCs w:val="30"/>
        </w:rPr>
      </w:pPr>
      <w:bookmarkStart w:id="16" w:name="BookMark3"/>
      <w:r>
        <w:rPr>
          <w:rFonts w:hint="eastAsia" w:ascii="黑体" w:hAnsi="黑体" w:eastAsia="黑体" w:cs="黑体"/>
          <w:sz w:val="30"/>
          <w:szCs w:val="30"/>
        </w:rPr>
        <w:t>引言</w:t>
      </w:r>
    </w:p>
    <w:p w14:paraId="2C771B25">
      <w:pPr>
        <w:widowControl/>
        <w:ind w:firstLine="420" w:firstLineChars="200"/>
        <w:rPr>
          <w:rFonts w:ascii="Times New Roman" w:hAnsi="Times New Roman"/>
          <w:color w:val="000000"/>
          <w:kern w:val="0"/>
        </w:rPr>
      </w:pPr>
      <w:r>
        <w:rPr>
          <w:rFonts w:ascii="Times New Roman" w:hAnsi="Times New Roman"/>
          <w:color w:val="000000"/>
          <w:kern w:val="0"/>
        </w:rPr>
        <w:t>为深入贯彻《中共中央 国务院关于深入打好污染防治攻坚战的意见》《国家适应气候变化战略2035》《关于统筹和加强应对气候变化与生态环境保护相关工作的指导意见》（环综合〔2021〕4号）《关于进一步优化环境影响评价工作的意见》（环环评〔2023〕52号）以及《</w:t>
      </w:r>
      <w:r>
        <w:rPr>
          <w:rFonts w:hint="eastAsia" w:ascii="Times New Roman" w:hAnsi="Times New Roman"/>
          <w:color w:val="000000"/>
          <w:kern w:val="0"/>
        </w:rPr>
        <w:t>国家甲烷</w:t>
      </w:r>
      <w:r>
        <w:rPr>
          <w:rFonts w:ascii="Times New Roman" w:hAnsi="Times New Roman"/>
          <w:color w:val="000000"/>
          <w:kern w:val="0"/>
        </w:rPr>
        <w:t>排放控制行动方案》等文件相关要求，进一步规范和完善生活垃圾填埋场建设项目温室气体排放环境影响评价技术方法，从源头实施温室气体与污染物协同控制，指导生活垃圾填埋场建设项目从源头实施高质量发展，制定本指南。</w:t>
      </w:r>
    </w:p>
    <w:p w14:paraId="70591ABA">
      <w:pPr>
        <w:widowControl/>
        <w:ind w:firstLine="420" w:firstLineChars="200"/>
        <w:rPr>
          <w:rFonts w:ascii="Times New Roman" w:hAnsi="Times New Roman"/>
          <w:color w:val="000000"/>
          <w:kern w:val="0"/>
        </w:rPr>
      </w:pPr>
      <w:r>
        <w:rPr>
          <w:rFonts w:ascii="Times New Roman" w:hAnsi="Times New Roman"/>
          <w:color w:val="000000"/>
          <w:kern w:val="0"/>
        </w:rPr>
        <w:t>本指南规定了生活垃圾填埋场建设项目开展温室气体排放环境影响评价的一般工作流程、内容、方法和技术要求。</w:t>
      </w:r>
    </w:p>
    <w:p w14:paraId="25634BEE">
      <w:pPr>
        <w:widowControl/>
        <w:ind w:firstLine="420" w:firstLineChars="200"/>
        <w:rPr>
          <w:rFonts w:ascii="Times New Roman" w:hAnsi="Times New Roman"/>
          <w:color w:val="000000"/>
          <w:kern w:val="0"/>
        </w:rPr>
      </w:pPr>
      <w:r>
        <w:rPr>
          <w:rFonts w:ascii="Times New Roman" w:hAnsi="Times New Roman"/>
          <w:color w:val="000000"/>
          <w:kern w:val="0"/>
        </w:rPr>
        <w:t>本指南附录为资料性附录。</w:t>
      </w:r>
    </w:p>
    <w:p w14:paraId="6D64B4C3">
      <w:pPr>
        <w:pStyle w:val="61"/>
        <w:ind w:firstLine="420"/>
      </w:pPr>
    </w:p>
    <w:p w14:paraId="4B778BBC">
      <w:pPr>
        <w:pStyle w:val="61"/>
        <w:ind w:firstLine="420"/>
        <w:sectPr>
          <w:headerReference r:id="rId19" w:type="default"/>
          <w:footerReference r:id="rId21" w:type="default"/>
          <w:headerReference r:id="rId20" w:type="even"/>
          <w:footerReference r:id="rId22" w:type="even"/>
          <w:pgSz w:w="11906" w:h="16838"/>
          <w:pgMar w:top="2410" w:right="1134" w:bottom="1134" w:left="1134" w:header="1418" w:footer="1134" w:gutter="284"/>
          <w:pgNumType w:fmt="upperRoman"/>
          <w:cols w:space="425" w:num="1"/>
          <w:formProt w:val="0"/>
          <w:docGrid w:linePitch="312" w:charSpace="0"/>
        </w:sectPr>
      </w:pPr>
    </w:p>
    <w:bookmarkEnd w:id="16"/>
    <w:p w14:paraId="44387E8B">
      <w:pPr>
        <w:spacing w:line="20" w:lineRule="exact"/>
        <w:jc w:val="center"/>
        <w:rPr>
          <w:rFonts w:hint="eastAsia" w:ascii="黑体" w:hAnsi="黑体" w:eastAsia="黑体"/>
          <w:sz w:val="32"/>
          <w:szCs w:val="32"/>
        </w:rPr>
      </w:pPr>
      <w:bookmarkStart w:id="17" w:name="BookMark4"/>
    </w:p>
    <w:p w14:paraId="465B6CC4">
      <w:pPr>
        <w:spacing w:line="20" w:lineRule="exact"/>
        <w:jc w:val="center"/>
        <w:rPr>
          <w:rFonts w:hint="eastAsia" w:ascii="黑体" w:hAnsi="黑体" w:eastAsia="黑体"/>
          <w:sz w:val="32"/>
          <w:szCs w:val="32"/>
        </w:rPr>
      </w:pPr>
    </w:p>
    <w:p w14:paraId="3C6885FA">
      <w:pPr>
        <w:pStyle w:val="109"/>
        <w:numPr>
          <w:ilvl w:val="0"/>
          <w:numId w:val="0"/>
        </w:numPr>
        <w:spacing w:before="240" w:after="240"/>
        <w:rPr>
          <w:rFonts w:hint="eastAsia" w:hAnsi="黑体" w:cs="黑体"/>
          <w:sz w:val="28"/>
          <w:szCs w:val="28"/>
        </w:rPr>
      </w:pPr>
      <w:bookmarkStart w:id="18" w:name="NEW_STAND_NAME"/>
      <w:sdt>
        <w:sdtPr>
          <w:tag w:val="NEW_STAND_NAME"/>
          <w:id w:val="595910757"/>
          <w:lock w:val="sdtLocked"/>
          <w:placeholder>
            <w:docPart w:val="1372F4FE3A5242C98876936A4D5A7CDD"/>
          </w:placeholder>
        </w:sdtPr>
        <w:sdtContent>
          <w:r>
            <w:rPr>
              <w:rFonts w:hint="eastAsia" w:ascii="Times New Roman"/>
              <w:sz w:val="30"/>
              <w:szCs w:val="30"/>
            </w:rPr>
            <w:t>生活垃圾填埋场</w:t>
          </w:r>
          <w:r>
            <w:rPr>
              <w:rFonts w:ascii="Times New Roman"/>
              <w:sz w:val="30"/>
              <w:szCs w:val="30"/>
            </w:rPr>
            <w:t>建设项目温室气体排放环境影响评价技术指南（试行）</w:t>
          </w:r>
        </w:sdtContent>
      </w:sdt>
      <w:bookmarkStart w:id="19" w:name="_Toc26122"/>
      <w:bookmarkStart w:id="20" w:name="_Toc26986530"/>
      <w:bookmarkStart w:id="21" w:name="_Toc17233333"/>
      <w:bookmarkStart w:id="22" w:name="_Toc26986771"/>
      <w:bookmarkStart w:id="23" w:name="_Toc77262523"/>
      <w:bookmarkStart w:id="24" w:name="_Toc24884211"/>
      <w:bookmarkStart w:id="25" w:name="_Toc18965"/>
      <w:bookmarkStart w:id="26" w:name="_Toc28408"/>
      <w:bookmarkStart w:id="27" w:name="_Toc26718930"/>
      <w:bookmarkStart w:id="28" w:name="_Toc24884218"/>
      <w:bookmarkStart w:id="29" w:name="_Toc17233325"/>
      <w:bookmarkStart w:id="30" w:name="_Toc26648465"/>
    </w:p>
    <w:p w14:paraId="10E89B72">
      <w:pPr>
        <w:pStyle w:val="109"/>
        <w:numPr>
          <w:ilvl w:val="0"/>
          <w:numId w:val="0"/>
        </w:numPr>
        <w:spacing w:before="240" w:after="240"/>
        <w:rPr>
          <w:rFonts w:hint="eastAsia" w:hAnsi="黑体" w:cs="黑体"/>
          <w:sz w:val="28"/>
          <w:szCs w:val="28"/>
        </w:rPr>
      </w:pPr>
      <w:r>
        <w:rPr>
          <w:rFonts w:hint="eastAsia" w:hAnsi="黑体" w:cs="黑体"/>
          <w:sz w:val="28"/>
          <w:szCs w:val="28"/>
        </w:rPr>
        <w:t>1 范围</w:t>
      </w:r>
      <w:bookmarkEnd w:id="19"/>
      <w:bookmarkEnd w:id="20"/>
      <w:bookmarkEnd w:id="21"/>
      <w:bookmarkEnd w:id="22"/>
      <w:bookmarkEnd w:id="23"/>
      <w:bookmarkEnd w:id="24"/>
      <w:bookmarkEnd w:id="25"/>
      <w:bookmarkEnd w:id="26"/>
      <w:bookmarkEnd w:id="27"/>
      <w:bookmarkEnd w:id="28"/>
      <w:bookmarkEnd w:id="29"/>
      <w:bookmarkEnd w:id="30"/>
    </w:p>
    <w:p w14:paraId="46A00CCD">
      <w:pPr>
        <w:topLinePunct/>
        <w:snapToGrid w:val="0"/>
        <w:ind w:firstLine="420"/>
        <w:rPr>
          <w:rFonts w:ascii="Times New Roman" w:hAnsi="Times New Roman"/>
        </w:rPr>
      </w:pPr>
      <w:r>
        <w:rPr>
          <w:rFonts w:ascii="Times New Roman" w:hAnsi="Times New Roman"/>
        </w:rPr>
        <w:t>本指南适用于当前生活垃圾填埋场建设项目需编制环境影响报告书的新建、改建、扩建（含</w:t>
      </w:r>
      <w:r>
        <w:rPr>
          <w:rFonts w:hint="eastAsia" w:ascii="Times New Roman" w:hAnsi="Times New Roman"/>
        </w:rPr>
        <w:t>异</w:t>
      </w:r>
      <w:r>
        <w:rPr>
          <w:rFonts w:ascii="Times New Roman" w:hAnsi="Times New Roman"/>
        </w:rPr>
        <w:t>地搬迁）项目温室气体排放环境影响评价。</w:t>
      </w:r>
      <w:r>
        <w:rPr>
          <w:rFonts w:hint="eastAsia" w:ascii="Times New Roman" w:hAnsi="Times New Roman"/>
        </w:rPr>
        <w:t>具体指</w:t>
      </w:r>
      <w:r>
        <w:rPr>
          <w:rFonts w:ascii="Times New Roman" w:hAnsi="Times New Roman"/>
        </w:rPr>
        <w:t>《建设项目环境影响评价分类管理名录》中“四十八、公共设施管理业“106 生活垃圾（含餐厨废弃物）集中处置（生活垃圾发电除外）”。</w:t>
      </w:r>
    </w:p>
    <w:p w14:paraId="0517EAA5">
      <w:pPr>
        <w:topLinePunct/>
        <w:snapToGrid w:val="0"/>
        <w:ind w:firstLine="420"/>
        <w:rPr>
          <w:rFonts w:ascii="Times New Roman" w:hAnsi="Times New Roman"/>
        </w:rPr>
      </w:pPr>
      <w:r>
        <w:rPr>
          <w:rFonts w:hint="eastAsia" w:ascii="Times New Roman" w:hAnsi="Times New Roman"/>
        </w:rPr>
        <w:t>生活垃圾填埋场</w:t>
      </w:r>
      <w:r>
        <w:rPr>
          <w:rFonts w:ascii="Times New Roman" w:hAnsi="Times New Roman"/>
        </w:rPr>
        <w:t>建设项目内其他生产工序的温室气体排放环境影响评价可参照执行，待相关行业技术指南发布后从其规定。</w:t>
      </w:r>
    </w:p>
    <w:p w14:paraId="01916B13">
      <w:pPr>
        <w:spacing w:line="620" w:lineRule="exact"/>
        <w:rPr>
          <w:rFonts w:hint="eastAsia" w:ascii="黑体" w:hAnsi="黑体" w:eastAsia="黑体" w:cs="黑体"/>
          <w:kern w:val="0"/>
          <w:sz w:val="28"/>
          <w:szCs w:val="28"/>
        </w:rPr>
      </w:pPr>
      <w:r>
        <w:rPr>
          <w:rFonts w:hint="eastAsia" w:ascii="黑体" w:hAnsi="黑体" w:eastAsia="黑体" w:cs="黑体"/>
          <w:kern w:val="0"/>
          <w:sz w:val="28"/>
          <w:szCs w:val="28"/>
        </w:rPr>
        <w:t>2 规范性引用文件</w:t>
      </w:r>
    </w:p>
    <w:p w14:paraId="42C5750B">
      <w:pPr>
        <w:widowControl/>
        <w:ind w:firstLine="420" w:firstLineChars="200"/>
        <w:rPr>
          <w:rFonts w:ascii="宋体" w:hAnsi="Times New Roman"/>
          <w:kern w:val="0"/>
          <w:szCs w:val="20"/>
        </w:rPr>
      </w:pPr>
      <w:r>
        <w:rPr>
          <w:rFonts w:hint="eastAsia" w:ascii="宋体" w:hAnsi="Times New Roman"/>
          <w:kern w:val="0"/>
          <w:szCs w:val="20"/>
        </w:rPr>
        <w:t>本指南引用了下列文件或其中的条款。凡是注日期的引用文件，仅所注日期的版本适用于本指南。凡是不注日期的引用文件，其最新版（包括所有的修改单）适用于本指南。</w:t>
      </w:r>
    </w:p>
    <w:p w14:paraId="2C28093B">
      <w:pPr>
        <w:widowControl/>
        <w:ind w:firstLine="420" w:firstLineChars="200"/>
        <w:rPr>
          <w:rFonts w:ascii="宋体" w:hAnsi="Times New Roman"/>
          <w:kern w:val="0"/>
          <w:szCs w:val="20"/>
        </w:rPr>
      </w:pPr>
      <w:r>
        <w:rPr>
          <w:rFonts w:hint="eastAsia" w:ascii="宋体" w:hAnsi="Times New Roman"/>
          <w:kern w:val="0"/>
          <w:szCs w:val="20"/>
        </w:rPr>
        <w:t>GB 16889《生活垃圾填埋场污染控制标准》</w:t>
      </w:r>
    </w:p>
    <w:p w14:paraId="16F6E065">
      <w:pPr>
        <w:widowControl/>
        <w:ind w:firstLine="420" w:firstLineChars="200"/>
        <w:rPr>
          <w:rFonts w:ascii="宋体" w:hAnsi="Times New Roman"/>
          <w:kern w:val="0"/>
          <w:szCs w:val="20"/>
        </w:rPr>
      </w:pPr>
      <w:r>
        <w:rPr>
          <w:rFonts w:hint="eastAsia" w:ascii="宋体" w:hAnsi="Times New Roman"/>
          <w:kern w:val="0"/>
          <w:szCs w:val="20"/>
        </w:rPr>
        <w:t>GB 50869《生活垃圾卫生填埋处理技术规范》</w:t>
      </w:r>
    </w:p>
    <w:p w14:paraId="180B52DE">
      <w:pPr>
        <w:widowControl/>
        <w:ind w:firstLine="420" w:firstLineChars="200"/>
        <w:rPr>
          <w:rFonts w:ascii="宋体" w:hAnsi="Times New Roman"/>
          <w:kern w:val="0"/>
          <w:szCs w:val="20"/>
        </w:rPr>
      </w:pPr>
      <w:r>
        <w:rPr>
          <w:rFonts w:hint="eastAsia" w:ascii="宋体" w:hAnsi="Times New Roman"/>
          <w:kern w:val="0"/>
          <w:szCs w:val="20"/>
        </w:rPr>
        <w:t>GB/T 18772 《生活垃圾填埋场环境监测技术要求》</w:t>
      </w:r>
    </w:p>
    <w:p w14:paraId="0576CFC4">
      <w:pPr>
        <w:widowControl/>
        <w:ind w:firstLine="420" w:firstLineChars="200"/>
        <w:rPr>
          <w:rFonts w:ascii="宋体" w:hAnsi="Times New Roman"/>
          <w:kern w:val="0"/>
          <w:szCs w:val="20"/>
        </w:rPr>
      </w:pPr>
      <w:r>
        <w:rPr>
          <w:rFonts w:hint="eastAsia" w:ascii="宋体" w:hAnsi="Times New Roman"/>
          <w:kern w:val="0"/>
          <w:szCs w:val="20"/>
        </w:rPr>
        <w:t>GB/T 13486《便携式热催化甲烷检测报警仪》</w:t>
      </w:r>
    </w:p>
    <w:p w14:paraId="3A0D3FC3">
      <w:pPr>
        <w:widowControl/>
        <w:ind w:firstLine="420" w:firstLineChars="200"/>
        <w:rPr>
          <w:rFonts w:ascii="宋体" w:hAnsi="Times New Roman"/>
          <w:kern w:val="0"/>
          <w:szCs w:val="20"/>
        </w:rPr>
      </w:pPr>
      <w:r>
        <w:rPr>
          <w:rFonts w:hint="eastAsia" w:ascii="宋体" w:hAnsi="Times New Roman"/>
          <w:kern w:val="0"/>
          <w:szCs w:val="20"/>
        </w:rPr>
        <w:t>GB/T 32150《工业企业温室气体排放核算和报告通则》</w:t>
      </w:r>
    </w:p>
    <w:p w14:paraId="2953E01A">
      <w:pPr>
        <w:widowControl/>
        <w:ind w:firstLine="420" w:firstLineChars="200"/>
        <w:rPr>
          <w:rFonts w:ascii="宋体" w:hAnsi="Times New Roman"/>
          <w:kern w:val="0"/>
          <w:szCs w:val="20"/>
        </w:rPr>
      </w:pPr>
      <w:r>
        <w:rPr>
          <w:rFonts w:hint="eastAsia" w:ascii="宋体" w:hAnsi="Times New Roman"/>
          <w:kern w:val="0"/>
          <w:szCs w:val="20"/>
        </w:rPr>
        <w:t>HJ 819《排污单位自行监测技术指南 总则》</w:t>
      </w:r>
    </w:p>
    <w:p w14:paraId="11C90B22">
      <w:pPr>
        <w:widowControl/>
        <w:ind w:firstLine="420" w:firstLineChars="200"/>
        <w:rPr>
          <w:rFonts w:ascii="宋体" w:hAnsi="Times New Roman"/>
          <w:kern w:val="0"/>
          <w:szCs w:val="20"/>
        </w:rPr>
      </w:pPr>
      <w:r>
        <w:rPr>
          <w:rFonts w:hint="eastAsia" w:ascii="宋体" w:hAnsi="Times New Roman"/>
          <w:kern w:val="0"/>
          <w:szCs w:val="20"/>
        </w:rPr>
        <w:t>HJ 604 《环境空气　总烃、甲烷和非甲烷总烃的测定　直接进样⁃气相色谱法》</w:t>
      </w:r>
    </w:p>
    <w:p w14:paraId="68BCC7FA">
      <w:pPr>
        <w:widowControl/>
        <w:ind w:firstLine="420" w:firstLineChars="200"/>
        <w:rPr>
          <w:rFonts w:ascii="宋体" w:hAnsi="Times New Roman"/>
          <w:kern w:val="0"/>
          <w:szCs w:val="20"/>
        </w:rPr>
      </w:pPr>
      <w:r>
        <w:rPr>
          <w:rFonts w:hint="eastAsia" w:ascii="宋体" w:hAnsi="Times New Roman"/>
          <w:kern w:val="0"/>
          <w:szCs w:val="20"/>
        </w:rPr>
        <w:t>CJJ 133《生活垃圾填埋场填埋气体收集处理及利用工程技术规范》</w:t>
      </w:r>
    </w:p>
    <w:p w14:paraId="2D50BD9A">
      <w:pPr>
        <w:spacing w:line="620" w:lineRule="exact"/>
        <w:rPr>
          <w:rFonts w:hint="eastAsia" w:ascii="黑体" w:hAnsi="黑体" w:eastAsia="黑体" w:cs="黑体"/>
          <w:kern w:val="0"/>
          <w:sz w:val="28"/>
          <w:szCs w:val="28"/>
        </w:rPr>
      </w:pPr>
      <w:r>
        <w:rPr>
          <w:rFonts w:hint="eastAsia" w:ascii="黑体" w:hAnsi="黑体" w:eastAsia="黑体" w:cs="黑体"/>
          <w:kern w:val="0"/>
          <w:sz w:val="28"/>
          <w:szCs w:val="28"/>
        </w:rPr>
        <w:t>3 术语和定义</w:t>
      </w:r>
    </w:p>
    <w:p w14:paraId="0D86997C">
      <w:pPr>
        <w:spacing w:line="620" w:lineRule="exact"/>
        <w:rPr>
          <w:rFonts w:hint="eastAsia" w:ascii="黑体" w:hAnsi="黑体" w:eastAsia="黑体"/>
          <w:kern w:val="0"/>
          <w:szCs w:val="20"/>
        </w:rPr>
      </w:pPr>
      <w:r>
        <w:rPr>
          <w:rFonts w:hint="eastAsia" w:ascii="Times New Roman" w:hAnsi="Times New Roman" w:eastAsia="黑体"/>
          <w:sz w:val="28"/>
          <w:szCs w:val="28"/>
        </w:rPr>
        <w:t xml:space="preserve">  </w:t>
      </w:r>
      <w:bookmarkStart w:id="31" w:name="_Toc26986532"/>
      <w:bookmarkEnd w:id="31"/>
      <w:r>
        <w:t>下列术语和定义适用于本文件。</w:t>
      </w:r>
    </w:p>
    <w:p w14:paraId="7FBAEA08">
      <w:pPr>
        <w:spacing w:before="100" w:beforeAutospacing="1" w:after="100" w:afterAutospacing="1"/>
        <w:rPr>
          <w:rFonts w:ascii="Times New Roman" w:hAnsi="Times New Roman" w:eastAsia="黑体"/>
          <w:sz w:val="28"/>
          <w:szCs w:val="28"/>
        </w:rPr>
      </w:pPr>
      <w:r>
        <w:rPr>
          <w:rFonts w:ascii="黑体" w:hAnsi="黑体" w:eastAsia="黑体"/>
          <w:kern w:val="0"/>
          <w:szCs w:val="20"/>
        </w:rPr>
        <w:t>3.1</w:t>
      </w:r>
      <w:r>
        <w:rPr>
          <w:rFonts w:ascii="Times New Roman" w:hAnsi="Times New Roman" w:eastAsia="黑体"/>
          <w:sz w:val="28"/>
          <w:szCs w:val="28"/>
        </w:rPr>
        <w:t xml:space="preserve"> </w:t>
      </w:r>
    </w:p>
    <w:p w14:paraId="40B139C1">
      <w:pPr>
        <w:spacing w:before="100" w:beforeAutospacing="1" w:after="100" w:afterAutospacing="1"/>
        <w:rPr>
          <w:rFonts w:ascii="Times New Roman" w:hAnsi="Times New Roman" w:eastAsia="黑体"/>
        </w:rPr>
      </w:pPr>
      <w:r>
        <w:rPr>
          <w:rFonts w:ascii="黑体" w:hAnsi="黑体" w:eastAsia="黑体"/>
          <w:kern w:val="0"/>
          <w:szCs w:val="20"/>
        </w:rPr>
        <w:t xml:space="preserve">温室气体 </w:t>
      </w:r>
      <w:r>
        <w:rPr>
          <w:rFonts w:ascii="Times New Roman" w:hAnsi="Times New Roman" w:eastAsia="黑体"/>
        </w:rPr>
        <w:t>greenhouse gas</w:t>
      </w:r>
    </w:p>
    <w:p w14:paraId="6A017CE6">
      <w:pPr>
        <w:widowControl/>
        <w:ind w:firstLine="420" w:firstLineChars="200"/>
        <w:rPr>
          <w:rFonts w:ascii="宋体" w:hAnsi="Times New Roman"/>
          <w:kern w:val="0"/>
          <w:szCs w:val="20"/>
        </w:rPr>
      </w:pPr>
      <w:r>
        <w:rPr>
          <w:rFonts w:hint="eastAsia" w:ascii="宋体" w:hAnsi="Times New Roman"/>
          <w:kern w:val="0"/>
          <w:szCs w:val="20"/>
        </w:rPr>
        <w:t>大气中吸收和重新放出红外辐射的自然和人为的气态成分，包括二氧化碳（CO</w:t>
      </w:r>
      <w:r>
        <w:rPr>
          <w:rFonts w:hint="eastAsia" w:ascii="宋体" w:hAnsi="Times New Roman"/>
          <w:kern w:val="0"/>
          <w:szCs w:val="20"/>
          <w:vertAlign w:val="subscript"/>
        </w:rPr>
        <w:t>2</w:t>
      </w:r>
      <w:r>
        <w:rPr>
          <w:rFonts w:hint="eastAsia" w:ascii="宋体" w:hAnsi="Times New Roman"/>
          <w:kern w:val="0"/>
          <w:szCs w:val="20"/>
        </w:rPr>
        <w:t>）、甲烷（CH</w:t>
      </w:r>
      <w:r>
        <w:rPr>
          <w:rFonts w:hint="eastAsia" w:ascii="宋体" w:hAnsi="Times New Roman"/>
          <w:kern w:val="0"/>
          <w:szCs w:val="20"/>
          <w:vertAlign w:val="subscript"/>
        </w:rPr>
        <w:t>4</w:t>
      </w:r>
      <w:r>
        <w:rPr>
          <w:rFonts w:hint="eastAsia" w:ascii="宋体" w:hAnsi="Times New Roman"/>
          <w:kern w:val="0"/>
          <w:szCs w:val="20"/>
        </w:rPr>
        <w:t>）、氧化亚氮（N</w:t>
      </w:r>
      <w:r>
        <w:rPr>
          <w:rFonts w:hint="eastAsia" w:ascii="宋体" w:hAnsi="Times New Roman"/>
          <w:kern w:val="0"/>
          <w:szCs w:val="20"/>
          <w:vertAlign w:val="subscript"/>
        </w:rPr>
        <w:t>2</w:t>
      </w:r>
      <w:r>
        <w:rPr>
          <w:rFonts w:hint="eastAsia" w:ascii="宋体" w:hAnsi="Times New Roman"/>
          <w:kern w:val="0"/>
          <w:szCs w:val="20"/>
        </w:rPr>
        <w:t>O）、氢氟碳化物（HFCs）、全氟化碳（PFCs）、六氟化硫（SF</w:t>
      </w:r>
      <w:r>
        <w:rPr>
          <w:rFonts w:hint="eastAsia" w:ascii="宋体" w:hAnsi="Times New Roman"/>
          <w:kern w:val="0"/>
          <w:szCs w:val="20"/>
          <w:vertAlign w:val="subscript"/>
        </w:rPr>
        <w:t>6</w:t>
      </w:r>
      <w:r>
        <w:rPr>
          <w:rFonts w:hint="eastAsia" w:ascii="宋体" w:hAnsi="Times New Roman"/>
          <w:kern w:val="0"/>
          <w:szCs w:val="20"/>
        </w:rPr>
        <w:t>）、三氟化氮（NF</w:t>
      </w:r>
      <w:r>
        <w:rPr>
          <w:rFonts w:hint="eastAsia" w:ascii="宋体" w:hAnsi="Times New Roman"/>
          <w:kern w:val="0"/>
          <w:szCs w:val="20"/>
          <w:vertAlign w:val="subscript"/>
        </w:rPr>
        <w:t>3</w:t>
      </w:r>
      <w:r>
        <w:rPr>
          <w:rFonts w:hint="eastAsia" w:ascii="宋体" w:hAnsi="Times New Roman"/>
          <w:kern w:val="0"/>
          <w:szCs w:val="20"/>
        </w:rPr>
        <w:t>）等。本指南中的温室气体仅限于甲烷（CH</w:t>
      </w:r>
      <w:r>
        <w:rPr>
          <w:rFonts w:hint="eastAsia" w:ascii="宋体" w:hAnsi="Times New Roman"/>
          <w:kern w:val="0"/>
          <w:szCs w:val="20"/>
          <w:vertAlign w:val="subscript"/>
        </w:rPr>
        <w:t>4</w:t>
      </w:r>
      <w:r>
        <w:rPr>
          <w:rFonts w:hint="eastAsia" w:ascii="宋体" w:hAnsi="Times New Roman"/>
          <w:kern w:val="0"/>
          <w:szCs w:val="20"/>
        </w:rPr>
        <w:t>）。</w:t>
      </w:r>
    </w:p>
    <w:p w14:paraId="562170F3">
      <w:pPr>
        <w:widowControl/>
        <w:ind w:firstLine="420" w:firstLineChars="200"/>
        <w:rPr>
          <w:rFonts w:hint="eastAsia" w:ascii="宋体" w:hAnsi="宋体"/>
          <w:kern w:val="0"/>
          <w:szCs w:val="20"/>
        </w:rPr>
      </w:pPr>
      <w:r>
        <w:rPr>
          <w:rFonts w:hint="eastAsia" w:ascii="宋体" w:hAnsi="宋体"/>
          <w:kern w:val="0"/>
          <w:szCs w:val="20"/>
        </w:rPr>
        <w:t>来源：[GB/T 32150-2015，有改动]。</w:t>
      </w:r>
    </w:p>
    <w:p w14:paraId="5BF6FB9C">
      <w:pPr>
        <w:widowControl/>
        <w:rPr>
          <w:rFonts w:hint="eastAsia" w:ascii="仿宋_GB2312" w:hAnsi="黑体" w:eastAsia="仿宋_GB2312"/>
          <w:sz w:val="28"/>
          <w:szCs w:val="28"/>
        </w:rPr>
      </w:pPr>
    </w:p>
    <w:p w14:paraId="2D1F67A4">
      <w:pPr>
        <w:spacing w:before="100" w:beforeAutospacing="1" w:after="100" w:afterAutospacing="1"/>
        <w:rPr>
          <w:rFonts w:hint="eastAsia" w:ascii="黑体" w:hAnsi="黑体" w:eastAsia="黑体"/>
          <w:kern w:val="0"/>
          <w:szCs w:val="20"/>
        </w:rPr>
      </w:pPr>
      <w:r>
        <w:rPr>
          <w:rFonts w:ascii="黑体" w:hAnsi="黑体" w:eastAsia="黑体"/>
          <w:kern w:val="0"/>
          <w:szCs w:val="20"/>
        </w:rPr>
        <w:t>3.2</w:t>
      </w:r>
    </w:p>
    <w:p w14:paraId="28D7BB7F">
      <w:pPr>
        <w:spacing w:before="100" w:beforeAutospacing="1" w:after="100" w:afterAutospacing="1"/>
        <w:rPr>
          <w:rFonts w:ascii="Times New Roman" w:hAnsi="Times New Roman" w:eastAsia="黑体"/>
        </w:rPr>
      </w:pPr>
      <w:r>
        <w:rPr>
          <w:rFonts w:hint="eastAsia" w:ascii="黑体" w:hAnsi="黑体" w:eastAsia="黑体"/>
          <w:kern w:val="0"/>
          <w:szCs w:val="20"/>
        </w:rPr>
        <w:t>温室气体</w:t>
      </w:r>
      <w:r>
        <w:rPr>
          <w:rFonts w:ascii="黑体" w:hAnsi="黑体" w:eastAsia="黑体"/>
          <w:kern w:val="0"/>
          <w:szCs w:val="20"/>
        </w:rPr>
        <w:t xml:space="preserve">排放 </w:t>
      </w:r>
      <w:r>
        <w:rPr>
          <w:rFonts w:ascii="Times New Roman" w:hAnsi="Times New Roman" w:eastAsia="黑体"/>
        </w:rPr>
        <w:t>greenhouse gas</w:t>
      </w:r>
      <w:r>
        <w:rPr>
          <w:rFonts w:hint="eastAsia" w:ascii="Times New Roman" w:hAnsi="Times New Roman" w:eastAsia="黑体"/>
        </w:rPr>
        <w:t xml:space="preserve"> </w:t>
      </w:r>
      <w:r>
        <w:rPr>
          <w:rFonts w:ascii="Times New Roman" w:hAnsi="Times New Roman" w:eastAsia="黑体"/>
        </w:rPr>
        <w:t>emission</w:t>
      </w:r>
    </w:p>
    <w:p w14:paraId="7740C476">
      <w:pPr>
        <w:widowControl/>
        <w:ind w:firstLine="420" w:firstLineChars="200"/>
        <w:rPr>
          <w:rFonts w:ascii="宋体" w:hAnsi="Times New Roman"/>
          <w:kern w:val="0"/>
          <w:szCs w:val="20"/>
        </w:rPr>
      </w:pPr>
      <w:r>
        <w:rPr>
          <w:rFonts w:hint="eastAsia" w:ascii="宋体" w:hAnsi="Times New Roman"/>
          <w:kern w:val="0"/>
          <w:szCs w:val="20"/>
        </w:rPr>
        <w:t>生活垃圾填埋场建设项目生产运行以及封场维护阶段产生的温室气体排放。温室气体排放量以二氧化碳当量表示，计量单位为“吨二氧化碳当量（tCO</w:t>
      </w:r>
      <w:r>
        <w:rPr>
          <w:rFonts w:hint="eastAsia" w:ascii="宋体" w:hAnsi="Times New Roman"/>
          <w:kern w:val="0"/>
          <w:szCs w:val="20"/>
          <w:vertAlign w:val="subscript"/>
        </w:rPr>
        <w:t>2</w:t>
      </w:r>
      <w:r>
        <w:rPr>
          <w:rFonts w:hint="eastAsia" w:ascii="宋体" w:hAnsi="Times New Roman"/>
          <w:kern w:val="0"/>
          <w:szCs w:val="20"/>
        </w:rPr>
        <w:t>e）”。</w:t>
      </w:r>
    </w:p>
    <w:p w14:paraId="0ABDCE18">
      <w:pPr>
        <w:widowControl/>
        <w:ind w:firstLine="420" w:firstLineChars="200"/>
        <w:rPr>
          <w:rFonts w:ascii="宋体" w:hAnsi="Times New Roman"/>
          <w:kern w:val="0"/>
          <w:szCs w:val="20"/>
        </w:rPr>
      </w:pPr>
      <w:r>
        <w:rPr>
          <w:rFonts w:hint="eastAsia" w:ascii="宋体" w:hAnsi="Times New Roman"/>
          <w:kern w:val="0"/>
          <w:szCs w:val="20"/>
        </w:rPr>
        <w:t>注：二氧化碳当量等于给定温室气体的质量乘以其全球变暖潜势值，甲烷全球变暖潜势值为28。</w:t>
      </w:r>
    </w:p>
    <w:p w14:paraId="2E981F80">
      <w:pPr>
        <w:spacing w:line="620" w:lineRule="exact"/>
        <w:rPr>
          <w:rFonts w:ascii="Times New Roman" w:hAnsi="Times New Roman" w:eastAsia="黑体"/>
          <w:sz w:val="28"/>
          <w:szCs w:val="28"/>
        </w:rPr>
      </w:pPr>
      <w:r>
        <w:rPr>
          <w:rFonts w:ascii="黑体" w:hAnsi="黑体" w:eastAsia="黑体"/>
          <w:kern w:val="0"/>
          <w:szCs w:val="20"/>
        </w:rPr>
        <w:t>3.3</w:t>
      </w:r>
      <w:r>
        <w:rPr>
          <w:rFonts w:hint="eastAsia" w:ascii="Times New Roman" w:hAnsi="Times New Roman" w:eastAsia="黑体"/>
          <w:sz w:val="28"/>
          <w:szCs w:val="28"/>
        </w:rPr>
        <w:t xml:space="preserve"> </w:t>
      </w:r>
    </w:p>
    <w:p w14:paraId="1CFD2E7E">
      <w:pPr>
        <w:spacing w:line="620" w:lineRule="exact"/>
        <w:rPr>
          <w:rFonts w:ascii="Times New Roman" w:hAnsi="Times New Roman" w:eastAsia="黑体"/>
        </w:rPr>
      </w:pPr>
      <w:r>
        <w:rPr>
          <w:rFonts w:hint="eastAsia" w:ascii="黑体" w:hAnsi="黑体" w:eastAsia="黑体"/>
          <w:kern w:val="0"/>
          <w:szCs w:val="20"/>
        </w:rPr>
        <w:t>全球变暖潜势</w:t>
      </w:r>
      <w:r>
        <w:rPr>
          <w:rFonts w:hint="eastAsia" w:ascii="Times New Roman" w:hAnsi="Times New Roman" w:eastAsia="黑体"/>
          <w:sz w:val="28"/>
          <w:szCs w:val="28"/>
        </w:rPr>
        <w:t xml:space="preserve"> </w:t>
      </w:r>
      <w:r>
        <w:rPr>
          <w:rFonts w:ascii="Times New Roman" w:hAnsi="Times New Roman" w:eastAsia="黑体"/>
        </w:rPr>
        <w:t>global warming potential, GWP</w:t>
      </w:r>
    </w:p>
    <w:p w14:paraId="37ED6C12">
      <w:pPr>
        <w:widowControl/>
        <w:ind w:firstLine="420" w:firstLineChars="200"/>
        <w:rPr>
          <w:rFonts w:ascii="宋体" w:hAnsi="Times New Roman"/>
          <w:kern w:val="0"/>
          <w:szCs w:val="20"/>
        </w:rPr>
      </w:pPr>
      <w:r>
        <w:rPr>
          <w:rFonts w:hint="eastAsia" w:ascii="宋体" w:hAnsi="Times New Roman"/>
          <w:kern w:val="0"/>
          <w:szCs w:val="20"/>
        </w:rPr>
        <w:t>指将单位质量的某种温室气体在给定时段内辐射强迫的影响与等量二氧化碳辐射强度影响相关联的系数。</w:t>
      </w:r>
    </w:p>
    <w:p w14:paraId="2A57AF47">
      <w:pPr>
        <w:widowControl/>
        <w:ind w:firstLine="420" w:firstLineChars="200"/>
        <w:rPr>
          <w:rFonts w:ascii="宋体" w:hAnsi="Times New Roman"/>
          <w:kern w:val="0"/>
          <w:szCs w:val="20"/>
        </w:rPr>
      </w:pPr>
      <w:r>
        <w:rPr>
          <w:rFonts w:hint="eastAsia" w:ascii="宋体" w:hAnsi="Times New Roman"/>
          <w:kern w:val="0"/>
          <w:szCs w:val="20"/>
        </w:rPr>
        <w:t>来源：[GB/T 32150-2015]。</w:t>
      </w:r>
    </w:p>
    <w:p w14:paraId="00EC0E3D">
      <w:pPr>
        <w:spacing w:line="620" w:lineRule="exact"/>
        <w:rPr>
          <w:rFonts w:hint="eastAsia" w:ascii="黑体" w:hAnsi="黑体" w:eastAsia="黑体"/>
          <w:kern w:val="0"/>
          <w:szCs w:val="20"/>
        </w:rPr>
      </w:pPr>
      <w:r>
        <w:rPr>
          <w:rFonts w:hint="eastAsia" w:ascii="黑体" w:hAnsi="黑体" w:eastAsia="黑体"/>
          <w:kern w:val="0"/>
          <w:szCs w:val="20"/>
        </w:rPr>
        <w:t>3.4</w:t>
      </w:r>
    </w:p>
    <w:p w14:paraId="7AEAECA9">
      <w:pPr>
        <w:spacing w:line="620" w:lineRule="exact"/>
        <w:rPr>
          <w:rFonts w:ascii="Times New Roman" w:hAnsi="Times New Roman" w:eastAsia="黑体"/>
        </w:rPr>
      </w:pPr>
      <w:r>
        <w:rPr>
          <w:rFonts w:hint="eastAsia" w:ascii="黑体" w:hAnsi="黑体" w:eastAsia="黑体"/>
          <w:kern w:val="0"/>
          <w:szCs w:val="20"/>
        </w:rPr>
        <w:t>填埋气</w:t>
      </w:r>
      <w:r>
        <w:rPr>
          <w:rFonts w:ascii="Times New Roman" w:hAnsi="Times New Roman" w:eastAsia="黑体"/>
        </w:rPr>
        <w:t>landfill gas</w:t>
      </w:r>
    </w:p>
    <w:p w14:paraId="2185F992">
      <w:pPr>
        <w:widowControl/>
        <w:ind w:firstLine="420" w:firstLineChars="200"/>
        <w:rPr>
          <w:rFonts w:ascii="宋体" w:hAnsi="Times New Roman"/>
          <w:kern w:val="0"/>
          <w:szCs w:val="20"/>
        </w:rPr>
      </w:pPr>
      <w:r>
        <w:rPr>
          <w:rFonts w:hint="eastAsia" w:ascii="宋体" w:hAnsi="Times New Roman"/>
          <w:kern w:val="0"/>
          <w:szCs w:val="20"/>
        </w:rPr>
        <w:t>填埋场填埋堆体内有机垃圾厌氧分解产生的气体。</w:t>
      </w:r>
    </w:p>
    <w:p w14:paraId="2BC423BE">
      <w:pPr>
        <w:widowControl/>
        <w:ind w:firstLine="420" w:firstLineChars="200"/>
        <w:rPr>
          <w:rFonts w:ascii="宋体" w:hAnsi="Times New Roman"/>
          <w:kern w:val="0"/>
          <w:szCs w:val="20"/>
        </w:rPr>
      </w:pPr>
      <w:r>
        <w:rPr>
          <w:rFonts w:hint="eastAsia" w:ascii="宋体" w:hAnsi="Times New Roman"/>
          <w:kern w:val="0"/>
          <w:szCs w:val="20"/>
        </w:rPr>
        <w:t>来源：[CJJ 133-2024]</w:t>
      </w:r>
    </w:p>
    <w:p w14:paraId="1E9BF15D">
      <w:pPr>
        <w:spacing w:line="620" w:lineRule="exact"/>
        <w:rPr>
          <w:rFonts w:hint="eastAsia" w:ascii="黑体" w:hAnsi="黑体" w:eastAsia="黑体"/>
          <w:kern w:val="0"/>
          <w:szCs w:val="20"/>
        </w:rPr>
      </w:pPr>
      <w:r>
        <w:rPr>
          <w:rFonts w:hint="eastAsia" w:ascii="黑体" w:hAnsi="黑体" w:eastAsia="黑体"/>
          <w:kern w:val="0"/>
          <w:szCs w:val="20"/>
        </w:rPr>
        <w:t xml:space="preserve">3.5 </w:t>
      </w:r>
    </w:p>
    <w:p w14:paraId="5F873F3F">
      <w:pPr>
        <w:spacing w:line="620" w:lineRule="exact"/>
        <w:rPr>
          <w:rFonts w:ascii="Times New Roman" w:hAnsi="Times New Roman" w:eastAsia="黑体"/>
        </w:rPr>
      </w:pPr>
      <w:r>
        <w:rPr>
          <w:rFonts w:hint="eastAsia" w:ascii="黑体" w:hAnsi="黑体" w:eastAsia="黑体"/>
          <w:kern w:val="0"/>
          <w:szCs w:val="20"/>
        </w:rPr>
        <w:t xml:space="preserve">温室气体排放绩效 </w:t>
      </w:r>
      <w:r>
        <w:rPr>
          <w:rFonts w:ascii="Times New Roman" w:hAnsi="Times New Roman" w:eastAsia="黑体"/>
        </w:rPr>
        <w:t>greenhouse gas emission</w:t>
      </w:r>
      <w:r>
        <w:rPr>
          <w:rFonts w:hint="eastAsia" w:ascii="Times New Roman" w:hAnsi="Times New Roman" w:eastAsia="黑体"/>
        </w:rPr>
        <w:t xml:space="preserve"> performance</w:t>
      </w:r>
    </w:p>
    <w:p w14:paraId="62923225">
      <w:pPr>
        <w:widowControl/>
        <w:ind w:firstLine="420" w:firstLineChars="200"/>
        <w:rPr>
          <w:rFonts w:ascii="宋体" w:hAnsi="Times New Roman"/>
          <w:kern w:val="0"/>
          <w:szCs w:val="20"/>
        </w:rPr>
      </w:pPr>
      <w:r>
        <w:rPr>
          <w:rFonts w:hint="eastAsia" w:ascii="宋体" w:hAnsi="Times New Roman"/>
          <w:kern w:val="0"/>
          <w:szCs w:val="20"/>
        </w:rPr>
        <w:t>建设项目生产运行阶段处理单位生活垃圾填埋气回收系统温室气体回收利用量与产生温室气体排放量的比值。</w:t>
      </w:r>
    </w:p>
    <w:p w14:paraId="1D9AA29D">
      <w:pPr>
        <w:spacing w:line="620" w:lineRule="exact"/>
        <w:rPr>
          <w:rFonts w:hint="eastAsia" w:ascii="黑体" w:hAnsi="黑体" w:eastAsia="黑体"/>
          <w:kern w:val="0"/>
          <w:szCs w:val="20"/>
        </w:rPr>
      </w:pPr>
      <w:r>
        <w:rPr>
          <w:rFonts w:hint="eastAsia" w:ascii="黑体" w:hAnsi="黑体" w:eastAsia="黑体"/>
          <w:kern w:val="0"/>
          <w:szCs w:val="20"/>
        </w:rPr>
        <w:t>3.6</w:t>
      </w:r>
    </w:p>
    <w:p w14:paraId="505D2D76">
      <w:pPr>
        <w:spacing w:line="620" w:lineRule="exact"/>
        <w:rPr>
          <w:rFonts w:hint="eastAsia" w:ascii="黑体" w:hAnsi="黑体" w:eastAsia="黑体"/>
          <w:kern w:val="0"/>
          <w:szCs w:val="20"/>
        </w:rPr>
      </w:pPr>
      <w:r>
        <w:rPr>
          <w:rFonts w:hint="eastAsia" w:ascii="黑体" w:hAnsi="黑体" w:eastAsia="黑体"/>
          <w:kern w:val="0"/>
          <w:szCs w:val="20"/>
        </w:rPr>
        <w:t>评价基准年</w:t>
      </w:r>
      <w:r>
        <w:rPr>
          <w:rFonts w:hint="eastAsia" w:ascii="Times New Roman" w:hAnsi="Times New Roman" w:eastAsia="黑体"/>
          <w:sz w:val="28"/>
          <w:szCs w:val="28"/>
        </w:rPr>
        <w:t xml:space="preserve"> </w:t>
      </w:r>
      <w:r>
        <w:rPr>
          <w:rFonts w:ascii="Times New Roman" w:hAnsi="Times New Roman" w:eastAsia="黑体"/>
        </w:rPr>
        <w:t>assessment base year</w:t>
      </w:r>
    </w:p>
    <w:p w14:paraId="21A5EC33">
      <w:pPr>
        <w:widowControl/>
        <w:ind w:firstLine="210" w:firstLineChars="100"/>
        <w:rPr>
          <w:rFonts w:ascii="Times New Roman" w:hAnsi="Times New Roman" w:eastAsia="黑体"/>
          <w:sz w:val="28"/>
          <w:szCs w:val="28"/>
        </w:rPr>
      </w:pPr>
      <w:r>
        <w:rPr>
          <w:rFonts w:hint="eastAsia" w:ascii="宋体" w:hAnsi="Times New Roman"/>
          <w:kern w:val="0"/>
          <w:szCs w:val="20"/>
        </w:rPr>
        <w:t>评价改建、扩建（含异地迁建）建设项目中现有工程甲烷排放现状水平的1个日历年。</w:t>
      </w:r>
    </w:p>
    <w:p w14:paraId="75631C51">
      <w:pPr>
        <w:pStyle w:val="18"/>
        <w:spacing w:line="620" w:lineRule="exact"/>
        <w:rPr>
          <w:rFonts w:hint="eastAsia" w:ascii="黑体" w:hAnsi="黑体" w:eastAsia="黑体"/>
          <w:kern w:val="0"/>
          <w:szCs w:val="20"/>
        </w:rPr>
      </w:pPr>
      <w:r>
        <w:rPr>
          <w:rFonts w:hint="eastAsia" w:ascii="黑体" w:hAnsi="黑体" w:eastAsia="黑体"/>
          <w:kern w:val="0"/>
          <w:szCs w:val="20"/>
        </w:rPr>
        <w:t xml:space="preserve">3.7 </w:t>
      </w:r>
    </w:p>
    <w:p w14:paraId="76424DAD">
      <w:pPr>
        <w:pStyle w:val="18"/>
        <w:spacing w:line="620" w:lineRule="exact"/>
        <w:rPr>
          <w:rFonts w:hint="eastAsia" w:ascii="黑体" w:hAnsi="黑体" w:eastAsia="黑体"/>
          <w:kern w:val="0"/>
          <w:szCs w:val="20"/>
        </w:rPr>
      </w:pPr>
      <w:r>
        <w:rPr>
          <w:rFonts w:hint="eastAsia" w:ascii="黑体" w:hAnsi="黑体" w:eastAsia="黑体"/>
          <w:kern w:val="0"/>
          <w:szCs w:val="20"/>
        </w:rPr>
        <w:t>生活垃圾　</w:t>
      </w:r>
      <w:r>
        <w:rPr>
          <w:rFonts w:hint="eastAsia" w:ascii="Times New Roman" w:hAnsi="Times New Roman" w:eastAsia="黑体"/>
        </w:rPr>
        <w:t>municipal solid waste</w:t>
      </w:r>
      <w:r>
        <w:rPr>
          <w:rFonts w:hint="eastAsia" w:ascii="黑体" w:hAnsi="黑体" w:eastAsia="黑体"/>
          <w:kern w:val="0"/>
          <w:szCs w:val="20"/>
        </w:rPr>
        <w:t xml:space="preserve"> </w:t>
      </w:r>
    </w:p>
    <w:p w14:paraId="68AAE898">
      <w:pPr>
        <w:widowControl/>
        <w:ind w:firstLine="420" w:firstLineChars="200"/>
        <w:rPr>
          <w:rFonts w:ascii="宋体" w:hAnsi="Times New Roman"/>
          <w:kern w:val="0"/>
          <w:szCs w:val="20"/>
        </w:rPr>
      </w:pPr>
      <w:r>
        <w:rPr>
          <w:rFonts w:hint="eastAsia" w:ascii="宋体" w:hAnsi="Times New Roman"/>
          <w:kern w:val="0"/>
          <w:szCs w:val="20"/>
        </w:rPr>
        <w:t xml:space="preserve">在日常生活中或者为日常生活提供服务的活动中产生的固体废物，以及法律、行政法规规定视为生活垃圾的固体废物。 </w:t>
      </w:r>
    </w:p>
    <w:p w14:paraId="7FAA0E12">
      <w:pPr>
        <w:widowControl/>
        <w:ind w:firstLine="420" w:firstLineChars="200"/>
        <w:rPr>
          <w:rFonts w:ascii="宋体" w:hAnsi="Times New Roman"/>
          <w:kern w:val="0"/>
          <w:szCs w:val="20"/>
        </w:rPr>
      </w:pPr>
      <w:r>
        <w:rPr>
          <w:rFonts w:hint="eastAsia" w:ascii="宋体" w:hAnsi="Times New Roman"/>
          <w:kern w:val="0"/>
          <w:szCs w:val="20"/>
        </w:rPr>
        <w:t>来源：[GB 16889-2024]</w:t>
      </w:r>
    </w:p>
    <w:p w14:paraId="39EAB63C">
      <w:pPr>
        <w:pStyle w:val="18"/>
        <w:spacing w:line="620" w:lineRule="exact"/>
        <w:rPr>
          <w:rFonts w:hint="eastAsia" w:ascii="黑体" w:hAnsi="黑体" w:eastAsia="黑体"/>
          <w:kern w:val="0"/>
          <w:szCs w:val="20"/>
        </w:rPr>
      </w:pPr>
      <w:r>
        <w:rPr>
          <w:rFonts w:hint="eastAsia" w:ascii="黑体" w:hAnsi="黑体" w:eastAsia="黑体"/>
          <w:kern w:val="0"/>
          <w:szCs w:val="20"/>
        </w:rPr>
        <w:t xml:space="preserve">3.8 </w:t>
      </w:r>
    </w:p>
    <w:p w14:paraId="7C5DF2A3">
      <w:pPr>
        <w:pStyle w:val="18"/>
        <w:spacing w:line="620" w:lineRule="exact"/>
        <w:rPr>
          <w:rFonts w:ascii="Times New Roman" w:hAnsi="Times New Roman" w:eastAsia="黑体"/>
        </w:rPr>
      </w:pPr>
      <w:r>
        <w:rPr>
          <w:rFonts w:hint="eastAsia" w:ascii="黑体" w:hAnsi="黑体" w:eastAsia="黑体"/>
          <w:kern w:val="0"/>
          <w:szCs w:val="20"/>
        </w:rPr>
        <w:t>生活垃圾填埋场</w:t>
      </w:r>
      <w:r>
        <w:rPr>
          <w:rFonts w:ascii="Times New Roman" w:hAnsi="Times New Roman" w:eastAsia="黑体"/>
          <w:sz w:val="28"/>
          <w:szCs w:val="28"/>
        </w:rPr>
        <w:t>　</w:t>
      </w:r>
      <w:r>
        <w:rPr>
          <w:rFonts w:hint="eastAsia" w:ascii="Times New Roman" w:hAnsi="Times New Roman" w:eastAsia="黑体"/>
        </w:rPr>
        <w:t xml:space="preserve">municipal solid waste landfill site </w:t>
      </w:r>
    </w:p>
    <w:p w14:paraId="3B32450F">
      <w:pPr>
        <w:widowControl/>
        <w:ind w:firstLine="420" w:firstLineChars="200"/>
        <w:rPr>
          <w:rFonts w:ascii="宋体" w:hAnsi="Times New Roman"/>
          <w:kern w:val="0"/>
          <w:szCs w:val="20"/>
        </w:rPr>
      </w:pPr>
      <w:r>
        <w:rPr>
          <w:rFonts w:hint="eastAsia" w:ascii="宋体" w:hAnsi="Times New Roman"/>
          <w:kern w:val="0"/>
          <w:szCs w:val="20"/>
        </w:rPr>
        <w:t xml:space="preserve">由若干个处置单元和构筑物组成的生活垃圾的填埋处置设施。本标准所指的填埋场均为生活垃圾填埋场。 </w:t>
      </w:r>
    </w:p>
    <w:p w14:paraId="1290353B">
      <w:pPr>
        <w:widowControl/>
        <w:rPr>
          <w:rFonts w:ascii="宋体" w:hAnsi="Times New Roman"/>
          <w:kern w:val="0"/>
          <w:szCs w:val="20"/>
        </w:rPr>
      </w:pPr>
      <w:r>
        <w:rPr>
          <w:rFonts w:hint="eastAsia" w:ascii="宋体" w:hAnsi="Times New Roman"/>
          <w:kern w:val="0"/>
          <w:szCs w:val="20"/>
        </w:rPr>
        <w:t>来源：[GB 16889-2024]</w:t>
      </w:r>
    </w:p>
    <w:p w14:paraId="4156D7AC">
      <w:pPr>
        <w:spacing w:line="620" w:lineRule="exact"/>
        <w:rPr>
          <w:rFonts w:hint="eastAsia" w:ascii="黑体" w:hAnsi="黑体" w:eastAsia="黑体" w:cs="黑体"/>
          <w:kern w:val="0"/>
          <w:sz w:val="28"/>
          <w:szCs w:val="28"/>
        </w:rPr>
      </w:pPr>
      <w:r>
        <w:rPr>
          <w:rFonts w:hint="eastAsia" w:ascii="黑体" w:hAnsi="黑体" w:eastAsia="黑体" w:cs="黑体"/>
          <w:kern w:val="0"/>
          <w:sz w:val="28"/>
          <w:szCs w:val="28"/>
        </w:rPr>
        <w:t>4 工作内容和程序</w:t>
      </w:r>
    </w:p>
    <w:p w14:paraId="3B9CC703">
      <w:pPr>
        <w:ind w:firstLine="420"/>
        <w:rPr>
          <w:rFonts w:ascii="Times New Roman" w:hAnsi="Times New Roman"/>
        </w:rPr>
      </w:pPr>
      <w:r>
        <w:rPr>
          <w:rFonts w:ascii="Times New Roman" w:hAnsi="Times New Roman"/>
        </w:rPr>
        <w:t>生活垃圾填埋场建设项目温室气体排放环境影响评价的主要工作内容包括：政策符合性分析、工程分析、</w:t>
      </w:r>
      <w:r>
        <w:rPr>
          <w:rFonts w:hint="eastAsia" w:ascii="Times New Roman" w:hAnsi="Times New Roman"/>
        </w:rPr>
        <w:t>温室气体排放管控要求</w:t>
      </w:r>
      <w:r>
        <w:rPr>
          <w:rFonts w:ascii="Times New Roman" w:hAnsi="Times New Roman"/>
        </w:rPr>
        <w:t>、温室气体减排措施</w:t>
      </w:r>
      <w:r>
        <w:rPr>
          <w:rFonts w:hint="eastAsia" w:ascii="Times New Roman" w:hAnsi="Times New Roman"/>
        </w:rPr>
        <w:t>可行性</w:t>
      </w:r>
      <w:r>
        <w:rPr>
          <w:rFonts w:ascii="Times New Roman" w:hAnsi="Times New Roman"/>
        </w:rPr>
        <w:t>评价、</w:t>
      </w:r>
      <w:r>
        <w:rPr>
          <w:rFonts w:hint="eastAsia" w:ascii="Times New Roman" w:hAnsi="Times New Roman"/>
        </w:rPr>
        <w:t>温室气体</w:t>
      </w:r>
      <w:r>
        <w:rPr>
          <w:rFonts w:ascii="Times New Roman" w:hAnsi="Times New Roman"/>
        </w:rPr>
        <w:t>排放</w:t>
      </w:r>
      <w:r>
        <w:rPr>
          <w:rFonts w:hint="eastAsia" w:ascii="Times New Roman" w:hAnsi="Times New Roman"/>
        </w:rPr>
        <w:t>绩效水平评价</w:t>
      </w:r>
      <w:r>
        <w:rPr>
          <w:rFonts w:ascii="Times New Roman" w:hAnsi="Times New Roman"/>
        </w:rPr>
        <w:t>、</w:t>
      </w:r>
      <w:r>
        <w:rPr>
          <w:rFonts w:hint="eastAsia" w:ascii="Times New Roman" w:hAnsi="Times New Roman"/>
        </w:rPr>
        <w:t>建设项目封场管理 、温室气体</w:t>
      </w:r>
      <w:r>
        <w:rPr>
          <w:rFonts w:ascii="Times New Roman" w:hAnsi="Times New Roman"/>
        </w:rPr>
        <w:t>排放管理与监测计划</w:t>
      </w:r>
      <w:r>
        <w:rPr>
          <w:rFonts w:hint="eastAsia" w:ascii="Times New Roman" w:hAnsi="Times New Roman"/>
        </w:rPr>
        <w:t>和</w:t>
      </w:r>
      <w:r>
        <w:rPr>
          <w:rFonts w:ascii="Times New Roman" w:hAnsi="Times New Roman"/>
        </w:rPr>
        <w:t>评价结论。温室气体排放评价设置独立章节，具体工作流程如图1所示。</w:t>
      </w:r>
    </w:p>
    <w:p w14:paraId="088B9CA7">
      <w:pPr>
        <w:pStyle w:val="18"/>
      </w:pPr>
      <w:r>
        <w:rPr>
          <w:rFonts w:ascii="Times New Roman" w:hAnsi="Times New Roman" w:eastAsia="方正仿宋_GB2312"/>
          <w:sz w:val="28"/>
          <w:szCs w:val="28"/>
        </w:rPr>
        <w:drawing>
          <wp:inline distT="0" distB="0" distL="0" distR="0">
            <wp:extent cx="5269230" cy="4508500"/>
            <wp:effectExtent l="0" t="0" r="7620" b="6350"/>
            <wp:docPr id="2085979103" name="图片 55" descr="38dcdffe-c8df-472a-8a2f-e3591951e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79103" name="图片 55" descr="38dcdffe-c8df-472a-8a2f-e3591951ee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269230" cy="4508500"/>
                    </a:xfrm>
                    <a:prstGeom prst="rect">
                      <a:avLst/>
                    </a:prstGeom>
                    <a:noFill/>
                    <a:ln>
                      <a:noFill/>
                    </a:ln>
                    <a:effectLst/>
                  </pic:spPr>
                </pic:pic>
              </a:graphicData>
            </a:graphic>
          </wp:inline>
        </w:drawing>
      </w:r>
    </w:p>
    <w:p w14:paraId="6F056EFC">
      <w:pPr>
        <w:spacing w:after="120" w:afterLines="50"/>
        <w:jc w:val="center"/>
        <w:rPr>
          <w:rFonts w:ascii="Times New Roman" w:hAnsi="Times New Roman"/>
          <w:b/>
          <w:bCs/>
        </w:rPr>
      </w:pPr>
      <w:r>
        <w:rPr>
          <w:rFonts w:ascii="Times New Roman" w:hAnsi="Times New Roman"/>
          <w:b/>
          <w:bCs/>
        </w:rPr>
        <w:t>图1生活垃圾填埋场建设项目温室气体排放环境影响评价工作程序</w:t>
      </w:r>
    </w:p>
    <w:p w14:paraId="3E7F9BDA">
      <w:pPr>
        <w:spacing w:line="620" w:lineRule="exact"/>
        <w:rPr>
          <w:rFonts w:hint="eastAsia" w:ascii="黑体" w:hAnsi="黑体" w:eastAsia="黑体" w:cs="黑体"/>
          <w:kern w:val="0"/>
          <w:sz w:val="28"/>
          <w:szCs w:val="28"/>
        </w:rPr>
      </w:pPr>
      <w:r>
        <w:rPr>
          <w:rFonts w:hint="eastAsia" w:ascii="黑体" w:hAnsi="黑体" w:eastAsia="黑体" w:cs="黑体"/>
          <w:kern w:val="0"/>
          <w:sz w:val="28"/>
          <w:szCs w:val="28"/>
        </w:rPr>
        <w:t>5 评价方法</w:t>
      </w:r>
    </w:p>
    <w:p w14:paraId="408AE006">
      <w:pPr>
        <w:spacing w:before="100" w:beforeAutospacing="1" w:after="100" w:afterAutospacing="1"/>
        <w:rPr>
          <w:rFonts w:ascii="黑体" w:hAnsi="Times New Roman" w:eastAsia="黑体"/>
          <w:kern w:val="0"/>
          <w:szCs w:val="20"/>
        </w:rPr>
      </w:pPr>
      <w:r>
        <w:rPr>
          <w:rFonts w:hint="eastAsia" w:ascii="黑体" w:hAnsi="Times New Roman" w:eastAsia="黑体"/>
          <w:kern w:val="0"/>
          <w:szCs w:val="20"/>
        </w:rPr>
        <w:t>5.1 政策符合性分析</w:t>
      </w:r>
    </w:p>
    <w:p w14:paraId="2AC11A40">
      <w:pPr>
        <w:spacing w:before="100" w:beforeAutospacing="1" w:after="100" w:afterAutospacing="1"/>
        <w:ind w:firstLine="420" w:firstLineChars="200"/>
        <w:rPr>
          <w:rFonts w:ascii="Times New Roman" w:hAnsi="Times New Roman"/>
        </w:rPr>
      </w:pPr>
      <w:r>
        <w:rPr>
          <w:rFonts w:ascii="Times New Roman" w:hAnsi="Times New Roman"/>
        </w:rPr>
        <w:t>收集建设项目相关基础资料，分析生活垃圾填埋场的建设是否满足相关政策和规划的要求。生活垃圾填埋场建设项目</w:t>
      </w:r>
      <w:r>
        <w:rPr>
          <w:rFonts w:hint="eastAsia" w:ascii="Times New Roman" w:hAnsi="Times New Roman"/>
        </w:rPr>
        <w:t>温室气体</w:t>
      </w:r>
      <w:r>
        <w:rPr>
          <w:rFonts w:ascii="Times New Roman" w:hAnsi="Times New Roman"/>
        </w:rPr>
        <w:t>排放与生态环境保护相关法律法规，国家、区域（园区）和行业碳达峰碳中和目标或行动方案、深入打好污染防治攻坚战目标任务、减污降碳协同增效要求、生态环境分区管控等政策，以及国家、区域生态环境保护等相关规划和规划环境影响评价要求的相符性。</w:t>
      </w:r>
    </w:p>
    <w:p w14:paraId="4D18DB72">
      <w:pPr>
        <w:spacing w:before="100" w:beforeAutospacing="1" w:after="100" w:afterAutospacing="1"/>
        <w:rPr>
          <w:rFonts w:ascii="黑体" w:hAnsi="Times New Roman" w:eastAsia="黑体"/>
          <w:kern w:val="0"/>
          <w:szCs w:val="20"/>
        </w:rPr>
      </w:pPr>
      <w:r>
        <w:rPr>
          <w:rFonts w:hint="eastAsia" w:ascii="黑体" w:hAnsi="Times New Roman" w:eastAsia="黑体"/>
          <w:kern w:val="0"/>
          <w:szCs w:val="20"/>
        </w:rPr>
        <w:t>5.2 工程分析</w:t>
      </w:r>
    </w:p>
    <w:p w14:paraId="4DA78838">
      <w:pPr>
        <w:spacing w:before="100" w:beforeAutospacing="1" w:after="100" w:afterAutospacing="1"/>
        <w:rPr>
          <w:rFonts w:hint="eastAsia" w:ascii="黑体" w:hAnsi="黑体" w:eastAsia="黑体" w:cs="黑体"/>
          <w:sz w:val="28"/>
          <w:szCs w:val="28"/>
        </w:rPr>
      </w:pPr>
      <w:r>
        <w:rPr>
          <w:rFonts w:hint="eastAsia" w:ascii="黑体" w:hAnsi="Times New Roman" w:eastAsia="黑体"/>
          <w:kern w:val="0"/>
          <w:szCs w:val="20"/>
        </w:rPr>
        <w:t>5.2.1 核算边界的确定</w:t>
      </w:r>
    </w:p>
    <w:p w14:paraId="2F21A416">
      <w:pPr>
        <w:spacing w:before="100" w:beforeAutospacing="1" w:after="100" w:afterAutospacing="1"/>
        <w:ind w:firstLine="420" w:firstLineChars="200"/>
        <w:jc w:val="left"/>
        <w:rPr>
          <w:rFonts w:ascii="Times New Roman" w:hAnsi="Times New Roman"/>
        </w:rPr>
      </w:pPr>
      <w:r>
        <w:rPr>
          <w:rFonts w:ascii="Times New Roman" w:hAnsi="Times New Roman"/>
        </w:rPr>
        <w:t>建设项目核算项目范围内</w:t>
      </w:r>
      <w:r>
        <w:rPr>
          <w:rFonts w:hint="eastAsia" w:ascii="Times New Roman" w:hAnsi="Times New Roman"/>
        </w:rPr>
        <w:t>温室气体</w:t>
      </w:r>
      <w:r>
        <w:rPr>
          <w:rFonts w:ascii="Times New Roman" w:hAnsi="Times New Roman"/>
        </w:rPr>
        <w:t>排放量，包括导排的</w:t>
      </w:r>
      <w:r>
        <w:rPr>
          <w:rFonts w:hint="eastAsia" w:ascii="Times New Roman" w:hAnsi="Times New Roman"/>
        </w:rPr>
        <w:t>温室气体</w:t>
      </w:r>
      <w:r>
        <w:rPr>
          <w:rFonts w:ascii="Times New Roman" w:hAnsi="Times New Roman"/>
        </w:rPr>
        <w:t>排放和堆体打井的</w:t>
      </w:r>
      <w:r>
        <w:rPr>
          <w:rFonts w:hint="eastAsia" w:ascii="Times New Roman" w:hAnsi="Times New Roman"/>
        </w:rPr>
        <w:t>温室气体</w:t>
      </w:r>
      <w:r>
        <w:rPr>
          <w:rFonts w:ascii="Times New Roman" w:hAnsi="Times New Roman"/>
        </w:rPr>
        <w:t>浓度和量等。生活垃圾填埋场及其</w:t>
      </w:r>
      <w:bookmarkStart w:id="32" w:name="_Hlk214559348"/>
      <w:r>
        <w:rPr>
          <w:rFonts w:ascii="Times New Roman" w:hAnsi="Times New Roman"/>
        </w:rPr>
        <w:t>填埋气利用工程项目边界包括垃圾填埋场、填埋气</w:t>
      </w:r>
      <w:bookmarkStart w:id="33" w:name="OLE_LINK55"/>
      <w:r>
        <w:rPr>
          <w:rFonts w:ascii="Times New Roman" w:hAnsi="Times New Roman"/>
        </w:rPr>
        <w:t>收集和预处理系统、</w:t>
      </w:r>
      <w:bookmarkEnd w:id="33"/>
      <w:r>
        <w:rPr>
          <w:rFonts w:hint="eastAsia" w:ascii="Times New Roman" w:hAnsi="Times New Roman"/>
        </w:rPr>
        <w:t>火炬系统、</w:t>
      </w:r>
      <w:r>
        <w:rPr>
          <w:rFonts w:ascii="Times New Roman" w:hAnsi="Times New Roman"/>
        </w:rPr>
        <w:t>发电并网/提纯系统、</w:t>
      </w:r>
      <w:r>
        <w:rPr>
          <w:rFonts w:hint="eastAsia" w:ascii="Times New Roman" w:hAnsi="Times New Roman"/>
        </w:rPr>
        <w:t>以及</w:t>
      </w:r>
      <w:r>
        <w:rPr>
          <w:rFonts w:ascii="Times New Roman" w:hAnsi="Times New Roman"/>
        </w:rPr>
        <w:t>相关配套设施，如图</w:t>
      </w:r>
      <w:r>
        <w:rPr>
          <w:rFonts w:hint="eastAsia" w:ascii="Times New Roman" w:hAnsi="Times New Roman"/>
        </w:rPr>
        <w:t>2</w:t>
      </w:r>
      <w:r>
        <w:rPr>
          <w:rFonts w:ascii="Times New Roman" w:hAnsi="Times New Roman"/>
        </w:rPr>
        <w:t>所示。</w:t>
      </w:r>
      <w:bookmarkEnd w:id="32"/>
    </w:p>
    <w:p w14:paraId="38A0AE5E">
      <w:pPr>
        <w:pStyle w:val="2"/>
      </w:pPr>
      <w:r>
        <w:rPr>
          <w:rFonts w:ascii="黑体" w:hAnsi="黑体" w:eastAsia="黑体"/>
          <w:szCs w:val="22"/>
        </w:rPr>
        <mc:AlternateContent>
          <mc:Choice Requires="wpc">
            <w:drawing>
              <wp:inline distT="0" distB="0" distL="0" distR="0">
                <wp:extent cx="5534025" cy="3726815"/>
                <wp:effectExtent l="0" t="0" r="9525" b="6985"/>
                <wp:docPr id="1498117638" name="画布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16886310" name="文本框 161639509"/>
                        <wps:cNvSpPr txBox="1">
                          <a:spLocks noChangeArrowheads="1"/>
                        </wps:cNvSpPr>
                        <wps:spPr bwMode="auto">
                          <a:xfrm>
                            <a:off x="355291" y="698740"/>
                            <a:ext cx="1314450" cy="334930"/>
                          </a:xfrm>
                          <a:prstGeom prst="rect">
                            <a:avLst/>
                          </a:prstGeom>
                          <a:solidFill>
                            <a:srgbClr val="FFFFFF"/>
                          </a:solidFill>
                          <a:ln>
                            <a:noFill/>
                          </a:ln>
                          <a:effectLst/>
                        </wps:spPr>
                        <wps:txbx>
                          <w:txbxContent>
                            <w:p w14:paraId="5742ADA6">
                              <w:pPr>
                                <w:rPr>
                                  <w:rFonts w:hint="eastAsia" w:ascii="宋体" w:hAnsi="宋体"/>
                                  <w:sz w:val="18"/>
                                  <w:szCs w:val="18"/>
                                </w:rPr>
                              </w:pPr>
                              <w:r>
                                <w:rPr>
                                  <w:rFonts w:hint="eastAsia" w:ascii="宋体" w:hAnsi="宋体"/>
                                  <w:sz w:val="18"/>
                                  <w:szCs w:val="18"/>
                                </w:rPr>
                                <w:t>垃圾填埋气利用工程</w:t>
                              </w:r>
                            </w:p>
                          </w:txbxContent>
                        </wps:txbx>
                        <wps:bodyPr rot="0" vert="horz" wrap="square" lIns="91440" tIns="45720" rIns="91440" bIns="45720" anchor="t" anchorCtr="0" upright="1">
                          <a:noAutofit/>
                        </wps:bodyPr>
                      </wps:wsp>
                      <wps:wsp>
                        <wps:cNvPr id="1604925863" name="文本框 1"/>
                        <wps:cNvSpPr txBox="1">
                          <a:spLocks noChangeArrowheads="1"/>
                        </wps:cNvSpPr>
                        <wps:spPr bwMode="auto">
                          <a:xfrm>
                            <a:off x="2270716" y="268948"/>
                            <a:ext cx="1014095" cy="308758"/>
                          </a:xfrm>
                          <a:prstGeom prst="rect">
                            <a:avLst/>
                          </a:prstGeom>
                          <a:solidFill>
                            <a:srgbClr val="FFFFFF"/>
                          </a:solidFill>
                          <a:ln w="12700">
                            <a:solidFill>
                              <a:srgbClr val="000000"/>
                            </a:solidFill>
                            <a:prstDash val="sysDash"/>
                            <a:round/>
                          </a:ln>
                          <a:effectLst/>
                        </wps:spPr>
                        <wps:txbx>
                          <w:txbxContent>
                            <w:p w14:paraId="61EE7EAE">
                              <w:pPr>
                                <w:spacing w:line="276" w:lineRule="auto"/>
                                <w:jc w:val="center"/>
                                <w:rPr>
                                  <w:rFonts w:hint="eastAsia" w:ascii="宋体" w:hAnsi="宋体"/>
                                  <w:color w:val="000000"/>
                                  <w:sz w:val="18"/>
                                  <w:szCs w:val="18"/>
                                </w:rPr>
                              </w:pPr>
                              <w:r>
                                <w:rPr>
                                  <w:rFonts w:hint="eastAsia" w:ascii="宋体" w:hAnsi="宋体"/>
                                  <w:color w:val="000000"/>
                                  <w:sz w:val="18"/>
                                  <w:szCs w:val="18"/>
                                </w:rPr>
                                <w:t>垃圾填埋堆体</w:t>
                              </w:r>
                            </w:p>
                          </w:txbxContent>
                        </wps:txbx>
                        <wps:bodyPr rot="0" vert="horz" wrap="square" lIns="91440" tIns="45720" rIns="91440" bIns="45720" anchor="t" anchorCtr="0" upright="1">
                          <a:noAutofit/>
                        </wps:bodyPr>
                      </wps:wsp>
                      <wps:wsp>
                        <wps:cNvPr id="341213766" name="文本框 1"/>
                        <wps:cNvSpPr txBox="1">
                          <a:spLocks noChangeArrowheads="1"/>
                        </wps:cNvSpPr>
                        <wps:spPr bwMode="auto">
                          <a:xfrm>
                            <a:off x="2119195" y="858892"/>
                            <a:ext cx="1311216" cy="313057"/>
                          </a:xfrm>
                          <a:prstGeom prst="rect">
                            <a:avLst/>
                          </a:prstGeom>
                          <a:solidFill>
                            <a:srgbClr val="FFFFFF"/>
                          </a:solidFill>
                          <a:ln w="12700">
                            <a:solidFill>
                              <a:srgbClr val="000000"/>
                            </a:solidFill>
                            <a:round/>
                          </a:ln>
                          <a:effectLst/>
                        </wps:spPr>
                        <wps:txbx>
                          <w:txbxContent>
                            <w:p w14:paraId="3B652BD7">
                              <w:pPr>
                                <w:spacing w:line="276" w:lineRule="auto"/>
                                <w:jc w:val="center"/>
                                <w:rPr>
                                  <w:rFonts w:hint="eastAsia" w:ascii="宋体" w:hAnsi="宋体"/>
                                  <w:color w:val="000000"/>
                                  <w:sz w:val="18"/>
                                  <w:szCs w:val="18"/>
                                </w:rPr>
                              </w:pPr>
                              <w:r>
                                <w:rPr>
                                  <w:rFonts w:hint="eastAsia" w:ascii="宋体" w:hAnsi="宋体"/>
                                  <w:color w:val="000000"/>
                                  <w:sz w:val="18"/>
                                  <w:szCs w:val="18"/>
                                </w:rPr>
                                <w:t>填埋气收集系统</w:t>
                              </w:r>
                            </w:p>
                          </w:txbxContent>
                        </wps:txbx>
                        <wps:bodyPr rot="0" vert="horz" wrap="square" lIns="91440" tIns="45720" rIns="91440" bIns="45720" anchor="t" anchorCtr="0" upright="1">
                          <a:noAutofit/>
                        </wps:bodyPr>
                      </wps:wsp>
                      <wps:wsp>
                        <wps:cNvPr id="620221675" name="文本框 1"/>
                        <wps:cNvSpPr txBox="1">
                          <a:spLocks noChangeArrowheads="1"/>
                        </wps:cNvSpPr>
                        <wps:spPr bwMode="auto">
                          <a:xfrm>
                            <a:off x="3013510" y="1951588"/>
                            <a:ext cx="703385" cy="288852"/>
                          </a:xfrm>
                          <a:prstGeom prst="rect">
                            <a:avLst/>
                          </a:prstGeom>
                          <a:noFill/>
                          <a:ln w="12700">
                            <a:solidFill>
                              <a:srgbClr val="000000"/>
                            </a:solidFill>
                            <a:round/>
                            <a:tailEnd type="triangle" w="med" len="med"/>
                          </a:ln>
                          <a:effectLst/>
                        </wps:spPr>
                        <wps:txbx>
                          <w:txbxContent>
                            <w:p w14:paraId="11FC5455">
                              <w:pPr>
                                <w:spacing w:line="276" w:lineRule="auto"/>
                                <w:jc w:val="center"/>
                                <w:rPr>
                                  <w:rFonts w:hint="eastAsia" w:ascii="宋体" w:hAnsi="宋体"/>
                                  <w:color w:val="000000"/>
                                  <w:sz w:val="18"/>
                                  <w:szCs w:val="18"/>
                                </w:rPr>
                              </w:pPr>
                              <w:r>
                                <w:rPr>
                                  <w:rFonts w:ascii="宋体" w:hAnsi="宋体"/>
                                  <w:color w:val="000000"/>
                                  <w:sz w:val="18"/>
                                  <w:szCs w:val="18"/>
                                </w:rPr>
                                <w:t>发电</w:t>
                              </w:r>
                              <w:r>
                                <w:rPr>
                                  <w:rFonts w:hint="eastAsia" w:ascii="宋体" w:hAnsi="宋体"/>
                                  <w:color w:val="000000"/>
                                  <w:sz w:val="18"/>
                                  <w:szCs w:val="18"/>
                                </w:rPr>
                                <w:t>系统</w:t>
                              </w:r>
                            </w:p>
                          </w:txbxContent>
                        </wps:txbx>
                        <wps:bodyPr rot="0" vert="horz" wrap="square" lIns="91440" tIns="45720" rIns="91440" bIns="45720" anchor="t" anchorCtr="0" upright="1">
                          <a:noAutofit/>
                        </wps:bodyPr>
                      </wps:wsp>
                      <wps:wsp>
                        <wps:cNvPr id="78166415" name="直接连接符 1609732390"/>
                        <wps:cNvCnPr>
                          <a:cxnSpLocks noChangeShapeType="1"/>
                        </wps:cNvCnPr>
                        <wps:spPr bwMode="auto">
                          <a:xfrm>
                            <a:off x="344734" y="3081094"/>
                            <a:ext cx="1465778" cy="540"/>
                          </a:xfrm>
                          <a:prstGeom prst="line">
                            <a:avLst/>
                          </a:prstGeom>
                          <a:noFill/>
                          <a:ln w="12700">
                            <a:solidFill>
                              <a:srgbClr val="000000"/>
                            </a:solidFill>
                            <a:round/>
                          </a:ln>
                          <a:effectLst/>
                        </wps:spPr>
                        <wps:bodyPr/>
                      </wps:wsp>
                      <wps:wsp>
                        <wps:cNvPr id="1905811370" name="文本框 1487783866"/>
                        <wps:cNvSpPr txBox="1">
                          <a:spLocks noChangeArrowheads="1"/>
                        </wps:cNvSpPr>
                        <wps:spPr bwMode="auto">
                          <a:xfrm>
                            <a:off x="3106834" y="2913463"/>
                            <a:ext cx="697523" cy="283580"/>
                          </a:xfrm>
                          <a:prstGeom prst="rect">
                            <a:avLst/>
                          </a:prstGeom>
                          <a:noFill/>
                          <a:ln w="12700">
                            <a:solidFill>
                              <a:srgbClr val="000000"/>
                            </a:solidFill>
                            <a:round/>
                            <a:tailEnd type="triangle" w="med" len="med"/>
                          </a:ln>
                          <a:effectLst/>
                        </wps:spPr>
                        <wps:txbx>
                          <w:txbxContent>
                            <w:p w14:paraId="50730936">
                              <w:pPr>
                                <w:jc w:val="center"/>
                                <w:rPr>
                                  <w:rFonts w:hint="eastAsia" w:ascii="宋体" w:hAnsi="宋体"/>
                                  <w:sz w:val="18"/>
                                  <w:szCs w:val="18"/>
                                </w:rPr>
                              </w:pPr>
                              <w:r>
                                <w:rPr>
                                  <w:rFonts w:hint="eastAsia" w:ascii="宋体" w:hAnsi="宋体"/>
                                  <w:sz w:val="18"/>
                                  <w:szCs w:val="18"/>
                                </w:rPr>
                                <w:t>区域电网</w:t>
                              </w:r>
                            </w:p>
                          </w:txbxContent>
                        </wps:txbx>
                        <wps:bodyPr rot="0" vert="horz" wrap="square" lIns="91440" tIns="45720" rIns="91440" bIns="45720" anchor="t" anchorCtr="0" upright="1">
                          <a:noAutofit/>
                        </wps:bodyPr>
                      </wps:wsp>
                      <wps:wsp>
                        <wps:cNvPr id="1464386444" name="直接箭头连接符 1211285734"/>
                        <wps:cNvCnPr>
                          <a:cxnSpLocks noChangeShapeType="1"/>
                        </wps:cNvCnPr>
                        <wps:spPr bwMode="auto">
                          <a:xfrm>
                            <a:off x="3325449" y="2240440"/>
                            <a:ext cx="2931" cy="673023"/>
                          </a:xfrm>
                          <a:prstGeom prst="straightConnector1">
                            <a:avLst/>
                          </a:prstGeom>
                          <a:noFill/>
                          <a:ln w="12700">
                            <a:solidFill>
                              <a:srgbClr val="000000"/>
                            </a:solidFill>
                            <a:round/>
                            <a:tailEnd type="triangle" w="med" len="med"/>
                          </a:ln>
                          <a:effectLst/>
                        </wps:spPr>
                        <wps:bodyPr/>
                      </wps:wsp>
                      <wps:wsp>
                        <wps:cNvPr id="825519790" name="直接箭头连接符 369151274"/>
                        <wps:cNvCnPr>
                          <a:cxnSpLocks noChangeShapeType="1"/>
                        </wps:cNvCnPr>
                        <wps:spPr bwMode="auto">
                          <a:xfrm flipV="1">
                            <a:off x="3706451" y="2422586"/>
                            <a:ext cx="0" cy="482936"/>
                          </a:xfrm>
                          <a:prstGeom prst="straightConnector1">
                            <a:avLst/>
                          </a:prstGeom>
                          <a:noFill/>
                          <a:ln w="12700">
                            <a:solidFill>
                              <a:srgbClr val="000000"/>
                            </a:solidFill>
                            <a:round/>
                            <a:tailEnd type="triangle" w="med" len="med"/>
                          </a:ln>
                          <a:effectLst/>
                        </wps:spPr>
                        <wps:bodyPr/>
                      </wps:wsp>
                      <wps:wsp>
                        <wps:cNvPr id="1591958363" name="文本框 928095815"/>
                        <wps:cNvSpPr txBox="1">
                          <a:spLocks noChangeArrowheads="1"/>
                        </wps:cNvSpPr>
                        <wps:spPr bwMode="auto">
                          <a:xfrm>
                            <a:off x="4115110" y="2573351"/>
                            <a:ext cx="1059237" cy="306729"/>
                          </a:xfrm>
                          <a:prstGeom prst="rect">
                            <a:avLst/>
                          </a:prstGeom>
                          <a:solidFill>
                            <a:srgbClr val="FFFFFF"/>
                          </a:solidFill>
                          <a:ln w="6350">
                            <a:solidFill>
                              <a:srgbClr val="000000"/>
                            </a:solidFill>
                            <a:round/>
                          </a:ln>
                          <a:effectLst/>
                        </wps:spPr>
                        <wps:txbx>
                          <w:txbxContent>
                            <w:p w14:paraId="5D06B1B5">
                              <w:pPr>
                                <w:rPr>
                                  <w:rFonts w:hint="eastAsia" w:ascii="宋体" w:hAnsi="宋体"/>
                                  <w:sz w:val="18"/>
                                  <w:szCs w:val="18"/>
                                </w:rPr>
                              </w:pPr>
                              <w:r>
                                <w:rPr>
                                  <w:rFonts w:hint="eastAsia" w:ascii="宋体" w:hAnsi="宋体"/>
                                  <w:sz w:val="18"/>
                                  <w:szCs w:val="18"/>
                                </w:rPr>
                                <w:t>其他并网发电厂</w:t>
                              </w:r>
                            </w:p>
                          </w:txbxContent>
                        </wps:txbx>
                        <wps:bodyPr rot="0" vert="horz" wrap="square" lIns="91440" tIns="45720" rIns="91440" bIns="45720" anchor="t" anchorCtr="0" upright="1">
                          <a:noAutofit/>
                        </wps:bodyPr>
                      </wps:wsp>
                      <wps:wsp>
                        <wps:cNvPr id="973434665" name="直接箭头连接符 1053999097"/>
                        <wps:cNvCnPr>
                          <a:cxnSpLocks noChangeShapeType="1"/>
                        </wps:cNvCnPr>
                        <wps:spPr bwMode="auto">
                          <a:xfrm>
                            <a:off x="4644568" y="2880080"/>
                            <a:ext cx="0" cy="205656"/>
                          </a:xfrm>
                          <a:prstGeom prst="straightConnector1">
                            <a:avLst/>
                          </a:prstGeom>
                          <a:noFill/>
                          <a:ln w="12700">
                            <a:solidFill>
                              <a:srgbClr val="000000"/>
                            </a:solidFill>
                            <a:round/>
                            <a:tailEnd type="triangle" w="med" len="med"/>
                          </a:ln>
                          <a:effectLst/>
                        </wps:spPr>
                        <wps:bodyPr/>
                      </wps:wsp>
                      <wps:wsp>
                        <wps:cNvPr id="1320234856" name="文本框 1819780708"/>
                        <wps:cNvSpPr txBox="1">
                          <a:spLocks noChangeArrowheads="1"/>
                        </wps:cNvSpPr>
                        <wps:spPr bwMode="auto">
                          <a:xfrm>
                            <a:off x="4301490" y="3314065"/>
                            <a:ext cx="815975" cy="346710"/>
                          </a:xfrm>
                          <a:prstGeom prst="rect">
                            <a:avLst/>
                          </a:prstGeom>
                          <a:noFill/>
                          <a:ln>
                            <a:noFill/>
                          </a:ln>
                          <a:effectLst/>
                        </wps:spPr>
                        <wps:txbx>
                          <w:txbxContent>
                            <w:p w14:paraId="75195E05">
                              <w:pPr>
                                <w:rPr>
                                  <w:rFonts w:hint="eastAsia" w:ascii="宋体" w:hAnsi="宋体"/>
                                  <w:sz w:val="18"/>
                                  <w:szCs w:val="18"/>
                                </w:rPr>
                              </w:pPr>
                              <w:r>
                                <w:rPr>
                                  <w:rFonts w:hint="eastAsia" w:ascii="宋体" w:hAnsi="宋体"/>
                                  <w:sz w:val="18"/>
                                  <w:szCs w:val="18"/>
                                </w:rPr>
                                <w:t>项目边界</w:t>
                              </w:r>
                            </w:p>
                          </w:txbxContent>
                        </wps:txbx>
                        <wps:bodyPr rot="0" vert="horz" wrap="square" lIns="91440" tIns="45720" rIns="91440" bIns="45720" anchor="t" anchorCtr="0" upright="1">
                          <a:noAutofit/>
                        </wps:bodyPr>
                      </wps:wsp>
                      <wps:wsp>
                        <wps:cNvPr id="2104614338" name="文本框 1"/>
                        <wps:cNvSpPr txBox="1">
                          <a:spLocks noChangeArrowheads="1"/>
                        </wps:cNvSpPr>
                        <wps:spPr bwMode="auto">
                          <a:xfrm>
                            <a:off x="1786317" y="1951588"/>
                            <a:ext cx="773723" cy="288290"/>
                          </a:xfrm>
                          <a:prstGeom prst="rect">
                            <a:avLst/>
                          </a:prstGeom>
                          <a:noFill/>
                          <a:ln w="12700">
                            <a:solidFill>
                              <a:srgbClr val="000000"/>
                            </a:solidFill>
                            <a:round/>
                            <a:tailEnd type="triangle" w="med" len="med"/>
                          </a:ln>
                          <a:effectLst/>
                        </wps:spPr>
                        <wps:txbx>
                          <w:txbxContent>
                            <w:p w14:paraId="471C5CB8">
                              <w:pPr>
                                <w:spacing w:line="276" w:lineRule="auto"/>
                                <w:jc w:val="center"/>
                                <w:rPr>
                                  <w:rFonts w:hint="eastAsia" w:ascii="宋体" w:hAnsi="宋体"/>
                                  <w:color w:val="000000"/>
                                  <w:sz w:val="18"/>
                                  <w:szCs w:val="18"/>
                                </w:rPr>
                              </w:pPr>
                              <w:r>
                                <w:rPr>
                                  <w:rFonts w:hint="eastAsia" w:ascii="宋体" w:hAnsi="宋体"/>
                                  <w:color w:val="000000"/>
                                  <w:sz w:val="18"/>
                                  <w:szCs w:val="18"/>
                                </w:rPr>
                                <w:t>提纯系统</w:t>
                              </w:r>
                            </w:p>
                          </w:txbxContent>
                        </wps:txbx>
                        <wps:bodyPr rot="0" vert="horz" wrap="square" lIns="91440" tIns="45720" rIns="91440" bIns="45720" anchor="t" anchorCtr="0" upright="1">
                          <a:noAutofit/>
                        </wps:bodyPr>
                      </wps:wsp>
                      <wps:wsp>
                        <wps:cNvPr id="1742806065" name="直接箭头连接符 688287243"/>
                        <wps:cNvCnPr>
                          <a:cxnSpLocks noChangeShapeType="1"/>
                        </wps:cNvCnPr>
                        <wps:spPr bwMode="auto">
                          <a:xfrm>
                            <a:off x="2173179" y="2239878"/>
                            <a:ext cx="0" cy="689158"/>
                          </a:xfrm>
                          <a:prstGeom prst="straightConnector1">
                            <a:avLst/>
                          </a:prstGeom>
                          <a:noFill/>
                          <a:ln w="12700">
                            <a:solidFill>
                              <a:srgbClr val="000000"/>
                            </a:solidFill>
                            <a:round/>
                            <a:tailEnd type="triangle" w="med" len="med"/>
                          </a:ln>
                          <a:effectLst/>
                        </wps:spPr>
                        <wps:bodyPr/>
                      </wps:wsp>
                      <wps:wsp>
                        <wps:cNvPr id="1241387850" name="文本框 1"/>
                        <wps:cNvSpPr txBox="1">
                          <a:spLocks noChangeArrowheads="1"/>
                        </wps:cNvSpPr>
                        <wps:spPr bwMode="auto">
                          <a:xfrm>
                            <a:off x="355291" y="2587903"/>
                            <a:ext cx="992997" cy="306705"/>
                          </a:xfrm>
                          <a:prstGeom prst="rect">
                            <a:avLst/>
                          </a:prstGeom>
                          <a:solidFill>
                            <a:srgbClr val="FFFFFF"/>
                          </a:solidFill>
                          <a:ln w="6350">
                            <a:solidFill>
                              <a:srgbClr val="000000"/>
                            </a:solidFill>
                            <a:round/>
                          </a:ln>
                          <a:effectLst/>
                        </wps:spPr>
                        <wps:txbx>
                          <w:txbxContent>
                            <w:p w14:paraId="60F1F00C">
                              <w:pPr>
                                <w:spacing w:line="276" w:lineRule="auto"/>
                                <w:rPr>
                                  <w:rFonts w:hint="eastAsia" w:ascii="宋体" w:hAnsi="宋体"/>
                                  <w:sz w:val="18"/>
                                  <w:szCs w:val="18"/>
                                </w:rPr>
                              </w:pPr>
                              <w:r>
                                <w:rPr>
                                  <w:rFonts w:hint="eastAsia" w:ascii="宋体" w:hAnsi="宋体"/>
                                  <w:sz w:val="18"/>
                                  <w:szCs w:val="18"/>
                                </w:rPr>
                                <w:t>其他供天然气厂</w:t>
                              </w:r>
                            </w:p>
                          </w:txbxContent>
                        </wps:txbx>
                        <wps:bodyPr rot="0" vert="horz" wrap="square" lIns="91440" tIns="45720" rIns="91440" bIns="45720" anchor="t" anchorCtr="0" upright="1">
                          <a:noAutofit/>
                        </wps:bodyPr>
                      </wps:wsp>
                      <wps:wsp>
                        <wps:cNvPr id="708694772" name="直接箭头连接符 1626669749"/>
                        <wps:cNvCnPr>
                          <a:cxnSpLocks noChangeShapeType="1"/>
                        </wps:cNvCnPr>
                        <wps:spPr bwMode="auto">
                          <a:xfrm>
                            <a:off x="848310" y="2905522"/>
                            <a:ext cx="0" cy="182765"/>
                          </a:xfrm>
                          <a:prstGeom prst="straightConnector1">
                            <a:avLst/>
                          </a:prstGeom>
                          <a:noFill/>
                          <a:ln w="12700">
                            <a:solidFill>
                              <a:srgbClr val="000000"/>
                            </a:solidFill>
                            <a:round/>
                            <a:tailEnd type="triangle" w="med" len="med"/>
                          </a:ln>
                          <a:effectLst/>
                        </wps:spPr>
                        <wps:bodyPr/>
                      </wps:wsp>
                      <wps:wsp>
                        <wps:cNvPr id="1004334334" name="直接连接符 1231787908"/>
                        <wps:cNvCnPr>
                          <a:cxnSpLocks noChangeShapeType="1"/>
                        </wps:cNvCnPr>
                        <wps:spPr bwMode="auto">
                          <a:xfrm>
                            <a:off x="1791396" y="3200655"/>
                            <a:ext cx="1376" cy="953"/>
                          </a:xfrm>
                          <a:prstGeom prst="line">
                            <a:avLst/>
                          </a:prstGeom>
                          <a:noFill/>
                          <a:ln w="9525">
                            <a:solidFill>
                              <a:srgbClr val="000000"/>
                            </a:solidFill>
                            <a:round/>
                          </a:ln>
                          <a:effectLst/>
                        </wps:spPr>
                        <wps:bodyPr/>
                      </wps:wsp>
                      <wps:wsp>
                        <wps:cNvPr id="544487007" name="文本框 1"/>
                        <wps:cNvSpPr txBox="1">
                          <a:spLocks noChangeArrowheads="1"/>
                        </wps:cNvSpPr>
                        <wps:spPr bwMode="auto">
                          <a:xfrm>
                            <a:off x="1551728" y="2905522"/>
                            <a:ext cx="999743" cy="283210"/>
                          </a:xfrm>
                          <a:prstGeom prst="rect">
                            <a:avLst/>
                          </a:prstGeom>
                          <a:solidFill>
                            <a:srgbClr val="FFFFFF"/>
                          </a:solidFill>
                          <a:ln w="12700">
                            <a:solidFill>
                              <a:srgbClr val="000000"/>
                            </a:solidFill>
                            <a:round/>
                          </a:ln>
                          <a:effectLst/>
                        </wps:spPr>
                        <wps:txbx>
                          <w:txbxContent>
                            <w:p w14:paraId="6BC52AF1">
                              <w:pPr>
                                <w:spacing w:line="276" w:lineRule="auto"/>
                                <w:jc w:val="center"/>
                                <w:rPr>
                                  <w:rFonts w:hint="eastAsia" w:ascii="宋体" w:hAnsi="宋体"/>
                                  <w:sz w:val="18"/>
                                  <w:szCs w:val="18"/>
                                </w:rPr>
                              </w:pPr>
                              <w:r>
                                <w:rPr>
                                  <w:rFonts w:hint="eastAsia" w:ascii="宋体" w:hAnsi="宋体"/>
                                  <w:sz w:val="18"/>
                                  <w:szCs w:val="18"/>
                                </w:rPr>
                                <w:t>区域管网/用户</w:t>
                              </w:r>
                            </w:p>
                            <w:p w14:paraId="060D550B">
                              <w:pPr>
                                <w:spacing w:line="276" w:lineRule="auto"/>
                                <w:jc w:val="center"/>
                                <w:rPr>
                                  <w:sz w:val="18"/>
                                  <w:szCs w:val="18"/>
                                </w:rPr>
                              </w:pPr>
                            </w:p>
                          </w:txbxContent>
                        </wps:txbx>
                        <wps:bodyPr rot="0" vert="horz" wrap="square" lIns="91440" tIns="45720" rIns="91440" bIns="45720" anchor="t" anchorCtr="0" upright="1">
                          <a:noAutofit/>
                        </wps:bodyPr>
                      </wps:wsp>
                      <wps:wsp>
                        <wps:cNvPr id="1767454329" name="直接连接符 2061649275"/>
                        <wps:cNvCnPr>
                          <a:cxnSpLocks noChangeShapeType="1"/>
                        </wps:cNvCnPr>
                        <wps:spPr bwMode="auto">
                          <a:xfrm>
                            <a:off x="3804357" y="3061883"/>
                            <a:ext cx="1384170" cy="8518"/>
                          </a:xfrm>
                          <a:prstGeom prst="line">
                            <a:avLst/>
                          </a:prstGeom>
                          <a:noFill/>
                          <a:ln w="12700">
                            <a:solidFill>
                              <a:srgbClr val="000000"/>
                            </a:solidFill>
                            <a:round/>
                          </a:ln>
                          <a:effectLst/>
                        </wps:spPr>
                        <wps:bodyPr/>
                      </wps:wsp>
                      <wps:wsp>
                        <wps:cNvPr id="2079526625" name="矩形: 圆角 566919861"/>
                        <wps:cNvSpPr>
                          <a:spLocks noChangeArrowheads="1"/>
                        </wps:cNvSpPr>
                        <wps:spPr bwMode="auto">
                          <a:xfrm>
                            <a:off x="327958" y="698740"/>
                            <a:ext cx="4866005" cy="1723846"/>
                          </a:xfrm>
                          <a:prstGeom prst="roundRect">
                            <a:avLst>
                              <a:gd name="adj" fmla="val 16667"/>
                            </a:avLst>
                          </a:prstGeom>
                          <a:noFill/>
                          <a:ln w="12700">
                            <a:solidFill>
                              <a:srgbClr val="000000"/>
                            </a:solidFill>
                            <a:prstDash val="sysDash"/>
                            <a:round/>
                          </a:ln>
                          <a:effectLst/>
                        </wps:spPr>
                        <wps:bodyPr rot="0" vert="horz" wrap="square" lIns="91440" tIns="45720" rIns="91440" bIns="45720" anchor="ctr" anchorCtr="0" upright="1">
                          <a:noAutofit/>
                        </wps:bodyPr>
                      </wps:wsp>
                      <wps:wsp>
                        <wps:cNvPr id="2129836194" name="直接箭头连接符 1555375054"/>
                        <wps:cNvCnPr>
                          <a:cxnSpLocks noChangeShapeType="1"/>
                        </wps:cNvCnPr>
                        <wps:spPr bwMode="auto">
                          <a:xfrm>
                            <a:off x="2766752" y="577970"/>
                            <a:ext cx="0" cy="280922"/>
                          </a:xfrm>
                          <a:prstGeom prst="straightConnector1">
                            <a:avLst/>
                          </a:prstGeom>
                          <a:noFill/>
                          <a:ln w="12700">
                            <a:solidFill>
                              <a:srgbClr val="000000"/>
                            </a:solidFill>
                            <a:round/>
                            <a:tailEnd type="triangle" w="med" len="med"/>
                          </a:ln>
                          <a:effectLst/>
                        </wps:spPr>
                        <wps:bodyPr/>
                      </wps:wsp>
                      <wps:wsp>
                        <wps:cNvPr id="942163799" name="文本框 1"/>
                        <wps:cNvSpPr txBox="1">
                          <a:spLocks noChangeArrowheads="1"/>
                        </wps:cNvSpPr>
                        <wps:spPr bwMode="auto">
                          <a:xfrm>
                            <a:off x="2120947" y="1327317"/>
                            <a:ext cx="1310640" cy="313055"/>
                          </a:xfrm>
                          <a:prstGeom prst="rect">
                            <a:avLst/>
                          </a:prstGeom>
                          <a:solidFill>
                            <a:srgbClr val="FFFFFF"/>
                          </a:solidFill>
                          <a:ln w="12700">
                            <a:solidFill>
                              <a:srgbClr val="000000"/>
                            </a:solidFill>
                            <a:round/>
                          </a:ln>
                          <a:effectLst/>
                        </wps:spPr>
                        <wps:txbx>
                          <w:txbxContent>
                            <w:p w14:paraId="12B0120C">
                              <w:pPr>
                                <w:spacing w:line="276" w:lineRule="auto"/>
                                <w:jc w:val="center"/>
                                <w:rPr>
                                  <w:color w:val="000000"/>
                                  <w:sz w:val="18"/>
                                  <w:szCs w:val="18"/>
                                </w:rPr>
                              </w:pPr>
                              <w:r>
                                <w:rPr>
                                  <w:rFonts w:hint="eastAsia"/>
                                  <w:color w:val="000000"/>
                                  <w:sz w:val="18"/>
                                  <w:szCs w:val="18"/>
                                </w:rPr>
                                <w:t>填埋气预处理系统</w:t>
                              </w:r>
                            </w:p>
                          </w:txbxContent>
                        </wps:txbx>
                        <wps:bodyPr rot="0" vert="horz" wrap="square" lIns="91440" tIns="45720" rIns="91440" bIns="45720" anchor="t" anchorCtr="0" upright="1">
                          <a:noAutofit/>
                        </wps:bodyPr>
                      </wps:wsp>
                      <wps:wsp>
                        <wps:cNvPr id="912498040" name="连接符: 肘形 1851774450"/>
                        <wps:cNvCnPr>
                          <a:cxnSpLocks noChangeShapeType="1"/>
                        </wps:cNvCnPr>
                        <wps:spPr bwMode="auto">
                          <a:xfrm rot="16200000" flipH="1">
                            <a:off x="2697851" y="1248901"/>
                            <a:ext cx="155368" cy="1464"/>
                          </a:xfrm>
                          <a:prstGeom prst="bentConnector3">
                            <a:avLst>
                              <a:gd name="adj1" fmla="val 50000"/>
                            </a:avLst>
                          </a:prstGeom>
                          <a:noFill/>
                          <a:ln w="12700">
                            <a:solidFill>
                              <a:srgbClr val="000000"/>
                            </a:solidFill>
                            <a:round/>
                            <a:tailEnd type="triangle" w="med" len="med"/>
                          </a:ln>
                          <a:effectLst/>
                        </wps:spPr>
                        <wps:bodyPr/>
                      </wps:wsp>
                      <wps:wsp>
                        <wps:cNvPr id="567623838" name="连接符: 肘形 1350152178"/>
                        <wps:cNvCnPr>
                          <a:cxnSpLocks noChangeShapeType="1"/>
                        </wps:cNvCnPr>
                        <wps:spPr bwMode="auto">
                          <a:xfrm rot="5400000">
                            <a:off x="2319115" y="1494436"/>
                            <a:ext cx="311216" cy="603088"/>
                          </a:xfrm>
                          <a:prstGeom prst="bentConnector3">
                            <a:avLst>
                              <a:gd name="adj1" fmla="val 50000"/>
                            </a:avLst>
                          </a:prstGeom>
                          <a:noFill/>
                          <a:ln w="12700">
                            <a:solidFill>
                              <a:srgbClr val="000000"/>
                            </a:solidFill>
                            <a:round/>
                            <a:tailEnd type="triangle" w="med" len="med"/>
                          </a:ln>
                          <a:effectLst/>
                        </wps:spPr>
                        <wps:bodyPr/>
                      </wps:wsp>
                      <wps:wsp>
                        <wps:cNvPr id="591988252" name="连接符: 肘形 815997574"/>
                        <wps:cNvCnPr>
                          <a:cxnSpLocks noChangeShapeType="1"/>
                        </wps:cNvCnPr>
                        <wps:spPr bwMode="auto">
                          <a:xfrm rot="16200000" flipH="1">
                            <a:off x="2915119" y="1501502"/>
                            <a:ext cx="311216" cy="588937"/>
                          </a:xfrm>
                          <a:prstGeom prst="bentConnector3">
                            <a:avLst>
                              <a:gd name="adj1" fmla="val 50000"/>
                            </a:avLst>
                          </a:prstGeom>
                          <a:noFill/>
                          <a:ln w="12700">
                            <a:solidFill>
                              <a:srgbClr val="000000"/>
                            </a:solidFill>
                            <a:round/>
                            <a:tailEnd type="triangle" w="med" len="med"/>
                          </a:ln>
                          <a:effectLst/>
                        </wps:spPr>
                        <wps:bodyPr/>
                      </wps:wsp>
                      <wps:wsp>
                        <wps:cNvPr id="1730023521" name="直接箭头连接符 720573358"/>
                        <wps:cNvCnPr>
                          <a:cxnSpLocks noChangeShapeType="1"/>
                        </wps:cNvCnPr>
                        <wps:spPr bwMode="auto">
                          <a:xfrm>
                            <a:off x="2770505" y="1717675"/>
                            <a:ext cx="1276985" cy="0"/>
                          </a:xfrm>
                          <a:prstGeom prst="straightConnector1">
                            <a:avLst/>
                          </a:prstGeom>
                          <a:noFill/>
                          <a:ln w="12700">
                            <a:solidFill>
                              <a:srgbClr val="000000"/>
                            </a:solidFill>
                            <a:round/>
                            <a:tailEnd type="triangle" w="med" len="med"/>
                          </a:ln>
                          <a:effectLst/>
                        </wps:spPr>
                        <wps:bodyPr/>
                      </wps:wsp>
                      <wps:wsp>
                        <wps:cNvPr id="472483192" name="文本框 1"/>
                        <wps:cNvSpPr txBox="1">
                          <a:spLocks noChangeArrowheads="1"/>
                        </wps:cNvSpPr>
                        <wps:spPr bwMode="auto">
                          <a:xfrm>
                            <a:off x="4042410" y="1556385"/>
                            <a:ext cx="763905" cy="304800"/>
                          </a:xfrm>
                          <a:prstGeom prst="rect">
                            <a:avLst/>
                          </a:prstGeom>
                          <a:solidFill>
                            <a:srgbClr val="FFFFFF"/>
                          </a:solidFill>
                          <a:ln w="6350">
                            <a:solidFill>
                              <a:srgbClr val="000000"/>
                            </a:solidFill>
                            <a:round/>
                          </a:ln>
                          <a:effectLst/>
                        </wps:spPr>
                        <wps:txbx>
                          <w:txbxContent>
                            <w:p w14:paraId="2F8DD480">
                              <w:pPr>
                                <w:spacing w:line="276" w:lineRule="auto"/>
                                <w:jc w:val="center"/>
                                <w:rPr>
                                  <w:rFonts w:hint="eastAsia" w:ascii="宋体" w:hAnsi="宋体"/>
                                  <w:color w:val="000000"/>
                                  <w:sz w:val="18"/>
                                  <w:szCs w:val="18"/>
                                </w:rPr>
                              </w:pPr>
                              <w:r>
                                <w:rPr>
                                  <w:rFonts w:ascii="宋体" w:hAnsi="宋体"/>
                                  <w:color w:val="000000"/>
                                  <w:sz w:val="18"/>
                                  <w:szCs w:val="18"/>
                                </w:rPr>
                                <w:t>火炬系统</w:t>
                              </w:r>
                            </w:p>
                          </w:txbxContent>
                        </wps:txbx>
                        <wps:bodyPr rot="0" vert="horz" wrap="square" lIns="91440" tIns="45720" rIns="91440" bIns="45720" anchor="t" anchorCtr="0" upright="1">
                          <a:noAutofit/>
                        </wps:bodyPr>
                      </wps:wsp>
                    </wpc:wpc>
                  </a:graphicData>
                </a:graphic>
              </wp:inline>
            </w:drawing>
          </mc:Choice>
          <mc:Fallback>
            <w:pict>
              <v:group id="画布 56" o:spid="_x0000_s1026" o:spt="203" style="height:293.45pt;width:435.75pt;" coordsize="5534025,3726815" editas="canvas" o:gfxdata="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">
                <o:lock v:ext="edit" aspectratio="f"/>
                <v:shape id="画布 56" o:spid="_x0000_s1026" style="position:absolute;left:0;top:0;height:3726815;width:5534025;" fillcolor="#FFFFFF" filled="t" stroked="f" coordsize="21600,21600" o:gfxdata="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">
                  <v:fill on="t" focussize="0,0"/>
                  <v:stroke on="f"/>
                  <v:imagedata o:title=""/>
                  <o:lock v:ext="edit" aspectratio="t"/>
                </v:shape>
                <v:shape id="文本框 161639509" o:spid="_x0000_s1026" o:spt="202" type="#_x0000_t202" style="position:absolute;left:355291;top:698740;height:334930;width:1314450;" fillcolor="#FFFFFF" filled="t" stroked="f" coordsize="21600,21600" o:gfxdata="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PvNLD1QAAAAUBAAAPAAAAAAAAAAEAIAAA&#10;ACIAAABkcnMvZG93bnJldi54bWxQSwECFAAUAAAACACHTuJAIXoVH0gCAABnBAAADgAAAAAAAAAB&#10;ACAAAAAkAQAAZHJzL2Uyb0RvYy54bWxQSwUGAAAAAAYABgBZAQAA3gUAAAAA&#10;">
                  <v:fill on="t" focussize="0,0"/>
                  <v:stroke on="f"/>
                  <v:imagedata o:title=""/>
                  <o:lock v:ext="edit" aspectratio="f"/>
                  <v:textbox>
                    <w:txbxContent>
                      <w:p w14:paraId="5742ADA6">
                        <w:pPr>
                          <w:rPr>
                            <w:rFonts w:hint="eastAsia" w:ascii="宋体" w:hAnsi="宋体"/>
                            <w:sz w:val="18"/>
                            <w:szCs w:val="18"/>
                          </w:rPr>
                        </w:pPr>
                        <w:r>
                          <w:rPr>
                            <w:rFonts w:hint="eastAsia" w:ascii="宋体" w:hAnsi="宋体"/>
                            <w:sz w:val="18"/>
                            <w:szCs w:val="18"/>
                          </w:rPr>
                          <w:t>垃圾填埋气利用工程</w:t>
                        </w:r>
                      </w:p>
                    </w:txbxContent>
                  </v:textbox>
                </v:shape>
                <v:shape id="文本框 1" o:spid="_x0000_s1026" o:spt="202" type="#_x0000_t202" style="position:absolute;left:2270716;top:268948;height:308758;width:1014095;" fillcolor="#FFFFFF" filled="t" stroked="t" coordsize="21600,21600" o:gfxdata="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0SgV6dUAAAAFAQAADwAAAAAAAAABACAAAAAiAAAAZHJzL2Rvd25yZXYueG1sUEsBAhQAFAAAAAgA&#10;h07iQCMKiLthAgAAuAQAAA4AAAAAAAAAAQAgAAAAJAEAAGRycy9lMm9Eb2MueG1sUEsFBgAAAAAG&#10;AAYAWQEAAPcFAAAAAA==&#10;">
                  <v:fill on="t" focussize="0,0"/>
                  <v:stroke weight="1pt" color="#000000" joinstyle="round" dashstyle="3 1"/>
                  <v:imagedata o:title=""/>
                  <o:lock v:ext="edit" aspectratio="f"/>
                  <v:textbox>
                    <w:txbxContent>
                      <w:p w14:paraId="61EE7EAE">
                        <w:pPr>
                          <w:spacing w:line="276" w:lineRule="auto"/>
                          <w:jc w:val="center"/>
                          <w:rPr>
                            <w:rFonts w:hint="eastAsia" w:ascii="宋体" w:hAnsi="宋体"/>
                            <w:color w:val="000000"/>
                            <w:sz w:val="18"/>
                            <w:szCs w:val="18"/>
                          </w:rPr>
                        </w:pPr>
                        <w:r>
                          <w:rPr>
                            <w:rFonts w:hint="eastAsia" w:ascii="宋体" w:hAnsi="宋体"/>
                            <w:color w:val="000000"/>
                            <w:sz w:val="18"/>
                            <w:szCs w:val="18"/>
                          </w:rPr>
                          <w:t>垃圾填埋堆体</w:t>
                        </w:r>
                      </w:p>
                    </w:txbxContent>
                  </v:textbox>
                </v:shape>
                <v:shape id="文本框 1" o:spid="_x0000_s1026" o:spt="202" type="#_x0000_t202" style="position:absolute;left:2119195;top:858892;height:313057;width:1311216;" fillcolor="#FFFFFF" filled="t" stroked="t" coordsize="21600,21600" o:gfxdata="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Jbap3YAAAABQEA&#10;AA8AAAAAAAAAAQAgAAAAIgAAAGRycy9kb3ducmV2LnhtbFBLAQIUABQAAAAIAIdO4kAfum45UwIA&#10;AJwEAAAOAAAAAAAAAAEAIAAAACcBAABkcnMvZTJvRG9jLnhtbFBLBQYAAAAABgAGAFkBAADsBQAA&#10;AAA=&#10;">
                  <v:fill on="t" focussize="0,0"/>
                  <v:stroke weight="1pt" color="#000000" joinstyle="round"/>
                  <v:imagedata o:title=""/>
                  <o:lock v:ext="edit" aspectratio="f"/>
                  <v:textbox>
                    <w:txbxContent>
                      <w:p w14:paraId="3B652BD7">
                        <w:pPr>
                          <w:spacing w:line="276" w:lineRule="auto"/>
                          <w:jc w:val="center"/>
                          <w:rPr>
                            <w:rFonts w:hint="eastAsia" w:ascii="宋体" w:hAnsi="宋体"/>
                            <w:color w:val="000000"/>
                            <w:sz w:val="18"/>
                            <w:szCs w:val="18"/>
                          </w:rPr>
                        </w:pPr>
                        <w:r>
                          <w:rPr>
                            <w:rFonts w:hint="eastAsia" w:ascii="宋体" w:hAnsi="宋体"/>
                            <w:color w:val="000000"/>
                            <w:sz w:val="18"/>
                            <w:szCs w:val="18"/>
                          </w:rPr>
                          <w:t>填埋气收集系统</w:t>
                        </w:r>
                      </w:p>
                    </w:txbxContent>
                  </v:textbox>
                </v:shape>
                <v:shape id="文本框 1" o:spid="_x0000_s1026" o:spt="202" type="#_x0000_t202" style="position:absolute;left:3013510;top:1951588;height:288852;width:703385;" filled="f" stroked="t" coordsize="21600,21600" o:gfxdata="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5ADXNYAAAAFAQAADwAAAAAAAAABACAAAAAiAAAAZHJzL2Rvd25yZXYueG1sUEsB&#10;AhQAFAAAAAgAh07iQHzKOpNpAgAAoQQAAA4AAAAAAAAAAQAgAAAAJQEAAGRycy9lMm9Eb2MueG1s&#10;UEsFBgAAAAAGAAYAWQEAAAAGAAAAAA==&#10;">
                  <v:fill on="f" focussize="0,0"/>
                  <v:stroke weight="1pt" color="#000000" joinstyle="round" endarrow="block"/>
                  <v:imagedata o:title=""/>
                  <o:lock v:ext="edit" aspectratio="f"/>
                  <v:textbox>
                    <w:txbxContent>
                      <w:p w14:paraId="11FC5455">
                        <w:pPr>
                          <w:spacing w:line="276" w:lineRule="auto"/>
                          <w:jc w:val="center"/>
                          <w:rPr>
                            <w:rFonts w:hint="eastAsia" w:ascii="宋体" w:hAnsi="宋体"/>
                            <w:color w:val="000000"/>
                            <w:sz w:val="18"/>
                            <w:szCs w:val="18"/>
                          </w:rPr>
                        </w:pPr>
                        <w:r>
                          <w:rPr>
                            <w:rFonts w:ascii="宋体" w:hAnsi="宋体"/>
                            <w:color w:val="000000"/>
                            <w:sz w:val="18"/>
                            <w:szCs w:val="18"/>
                          </w:rPr>
                          <w:t>发电</w:t>
                        </w:r>
                        <w:r>
                          <w:rPr>
                            <w:rFonts w:hint="eastAsia" w:ascii="宋体" w:hAnsi="宋体"/>
                            <w:color w:val="000000"/>
                            <w:sz w:val="18"/>
                            <w:szCs w:val="18"/>
                          </w:rPr>
                          <w:t>系统</w:t>
                        </w:r>
                      </w:p>
                    </w:txbxContent>
                  </v:textbox>
                </v:shape>
                <v:line id="直接连接符 1609732390" o:spid="_x0000_s1026" o:spt="20" style="position:absolute;left:344734;top:3081094;height:540;width:1465778;" filled="f" stroked="t" coordsize="21600,21600" o:gfxdata="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&#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6jMc1gAAAAUBAAAPAAAAAAAAAAEAIAAAACIAAABk&#10;cnMvZG93bnJldi54bWxQSwECFAAUAAAACACHTuJAcMr/YggCAADWAwAADgAAAAAAAAABACAAAAAl&#10;AQAAZHJzL2Uyb0RvYy54bWxQSwUGAAAAAAYABgBZAQAAnwUAAAAA&#10;">
                  <v:fill on="f" focussize="0,0"/>
                  <v:stroke weight="1pt" color="#000000" joinstyle="round"/>
                  <v:imagedata o:title=""/>
                  <o:lock v:ext="edit" aspectratio="f"/>
                </v:line>
                <v:shape id="文本框 1487783866" o:spid="_x0000_s1026" o:spt="202" type="#_x0000_t202" style="position:absolute;left:3106834;top:2913463;height:283580;width:697523;" filled="f" stroked="t" coordsize="21600,21600" o:gfxdata="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fkANc1gAAAAUBAAAPAAAAAAAAAAEAIAAAACIAAABkcnMvZG93&#10;bnJldi54bWxQSwECFAAUAAAACACHTuJAWLgIk3QCAACrBAAADgAAAAAAAAABACAAAAAlAQAAZHJz&#10;L2Uyb0RvYy54bWxQSwUGAAAAAAYABgBZAQAACwYAAAAA&#10;">
                  <v:fill on="f" focussize="0,0"/>
                  <v:stroke weight="1pt" color="#000000" joinstyle="round" endarrow="block"/>
                  <v:imagedata o:title=""/>
                  <o:lock v:ext="edit" aspectratio="f"/>
                  <v:textbox>
                    <w:txbxContent>
                      <w:p w14:paraId="50730936">
                        <w:pPr>
                          <w:jc w:val="center"/>
                          <w:rPr>
                            <w:rFonts w:hint="eastAsia" w:ascii="宋体" w:hAnsi="宋体"/>
                            <w:sz w:val="18"/>
                            <w:szCs w:val="18"/>
                          </w:rPr>
                        </w:pPr>
                        <w:r>
                          <w:rPr>
                            <w:rFonts w:hint="eastAsia" w:ascii="宋体" w:hAnsi="宋体"/>
                            <w:sz w:val="18"/>
                            <w:szCs w:val="18"/>
                          </w:rPr>
                          <w:t>区域电网</w:t>
                        </w:r>
                      </w:p>
                    </w:txbxContent>
                  </v:textbox>
                </v:shape>
                <v:shape id="直接箭头连接符 1211285734" o:spid="_x0000_s1026" o:spt="32" type="#_x0000_t32" style="position:absolute;left:3325449;top:2240440;height:673023;width:2931;" filled="f" stroked="t" coordsize="21600,21600" o:gfxdata="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Aipxw1QAAAAUBAAAPAAAAAAAAAAEAIAAAACIAAABkcnMvZG93bnJldi54bWxQ&#10;SwECFAAUAAAACACHTuJAHFBTrjMCAAAbBAAADgAAAAAAAAABACAAAAAkAQAAZHJzL2Uyb0RvYy54&#10;bWxQSwUGAAAAAAYABgBZAQAAyQUAAAAA&#10;">
                  <v:fill on="f" focussize="0,0"/>
                  <v:stroke weight="1pt" color="#000000" joinstyle="round" endarrow="block"/>
                  <v:imagedata o:title=""/>
                  <o:lock v:ext="edit" aspectratio="f"/>
                </v:shape>
                <v:shape id="直接箭头连接符 369151274" o:spid="_x0000_s1026" o:spt="32" type="#_x0000_t32" style="position:absolute;left:3706451;top:2422586;flip:y;height:482936;width:0;" filled="f" stroked="t" coordsize="21600,21600" o:gfxdata="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N1pQNcAAAAFAQAADwAAAAAAAAABACAAAAAiAAAAZHJzL2Rvd25yZXYu&#10;eG1sUEsBAhQAFAAAAAgAh07iQAMI/w01AgAAIAQAAA4AAAAAAAAAAQAgAAAAJgEAAGRycy9lMm9E&#10;b2MueG1sUEsFBgAAAAAGAAYAWQEAAM0FAAAAAA==&#10;">
                  <v:fill on="f" focussize="0,0"/>
                  <v:stroke weight="1pt" color="#000000" joinstyle="round" endarrow="block"/>
                  <v:imagedata o:title=""/>
                  <o:lock v:ext="edit" aspectratio="f"/>
                </v:shape>
                <v:shape id="文本框 928095815" o:spid="_x0000_s1026" o:spt="202" type="#_x0000_t202" style="position:absolute;left:4115110;top:2573351;height:306729;width:1059237;" fillcolor="#FFFFFF" filled="t" stroked="t" coordsize="21600,21600" o:gfxdata="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qOcE9QA&#10;AAAFAQAADwAAAAAAAAABACAAAAAiAAAAZHJzL2Rvd25yZXYueG1sUEsBAhQAFAAAAAgAh07iQD/d&#10;rlVcAgAApQQAAA4AAAAAAAAAAQAgAAAAIwEAAGRycy9lMm9Eb2MueG1sUEsFBgAAAAAGAAYAWQEA&#10;APEFAAAAAA==&#10;">
                  <v:fill on="t" focussize="0,0"/>
                  <v:stroke weight="0.5pt" color="#000000" joinstyle="round"/>
                  <v:imagedata o:title=""/>
                  <o:lock v:ext="edit" aspectratio="f"/>
                  <v:textbox>
                    <w:txbxContent>
                      <w:p w14:paraId="5D06B1B5">
                        <w:pPr>
                          <w:rPr>
                            <w:rFonts w:hint="eastAsia" w:ascii="宋体" w:hAnsi="宋体"/>
                            <w:sz w:val="18"/>
                            <w:szCs w:val="18"/>
                          </w:rPr>
                        </w:pPr>
                        <w:r>
                          <w:rPr>
                            <w:rFonts w:hint="eastAsia" w:ascii="宋体" w:hAnsi="宋体"/>
                            <w:sz w:val="18"/>
                            <w:szCs w:val="18"/>
                          </w:rPr>
                          <w:t>其他并网发电厂</w:t>
                        </w:r>
                      </w:p>
                    </w:txbxContent>
                  </v:textbox>
                </v:shape>
                <v:shape id="直接箭头连接符 1053999097" o:spid="_x0000_s1026" o:spt="32" type="#_x0000_t32" style="position:absolute;left:4644568;top:2880080;height:205656;width:0;" filled="f" stroked="t" coordsize="21600,21600" o:gfxdata="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ipxw1QAAAAUBAAAPAAAAAAAAAAEAIAAAACIAAABkcnMvZG93bnJldi54bWxQSwEC&#10;FAAUAAAACACHTuJAHhV4ZjACAAAXBAAADgAAAAAAAAABACAAAAAkAQAAZHJzL2Uyb0RvYy54bWxQ&#10;SwUGAAAAAAYABgBZAQAAxgUAAAAA&#10;">
                  <v:fill on="f" focussize="0,0"/>
                  <v:stroke weight="1pt" color="#000000" joinstyle="round" endarrow="block"/>
                  <v:imagedata o:title=""/>
                  <o:lock v:ext="edit" aspectratio="f"/>
                </v:shape>
                <v:shape id="文本框 1819780708" o:spid="_x0000_s1026" o:spt="202" type="#_x0000_t202" style="position:absolute;left:4301490;top:3314065;height:346710;width:815975;" filled="f" stroked="f" coordsize="21600,21600" o:gfxdata="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yxMlJ1AAAAAUBAAAPAAAAAAAAAAEAIAAAACIAAABkcnMvZG93bnJldi54&#10;bWxQSwECFAAUAAAACACHTuJAnfQifjcCAABABAAADgAAAAAAAAABACAAAAAjAQAAZHJzL2Uyb0Rv&#10;Yy54bWxQSwUGAAAAAAYABgBZAQAAzAUAAAAA&#10;">
                  <v:fill on="f" focussize="0,0"/>
                  <v:stroke on="f"/>
                  <v:imagedata o:title=""/>
                  <o:lock v:ext="edit" aspectratio="f"/>
                  <v:textbox>
                    <w:txbxContent>
                      <w:p w14:paraId="75195E05">
                        <w:pPr>
                          <w:rPr>
                            <w:rFonts w:hint="eastAsia" w:ascii="宋体" w:hAnsi="宋体"/>
                            <w:sz w:val="18"/>
                            <w:szCs w:val="18"/>
                          </w:rPr>
                        </w:pPr>
                        <w:r>
                          <w:rPr>
                            <w:rFonts w:hint="eastAsia" w:ascii="宋体" w:hAnsi="宋体"/>
                            <w:sz w:val="18"/>
                            <w:szCs w:val="18"/>
                          </w:rPr>
                          <w:t>项目边界</w:t>
                        </w:r>
                      </w:p>
                    </w:txbxContent>
                  </v:textbox>
                </v:shape>
                <v:shape id="文本框 1" o:spid="_x0000_s1026" o:spt="202" type="#_x0000_t202" style="position:absolute;left:1786317;top:1951588;height:288290;width:773723;" filled="f" stroked="t" coordsize="21600,21600" o:gfxdata="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5ADXNYAAAAFAQAADwAAAAAAAAABACAAAAAiAAAAZHJzL2Rvd25yZXYueG1s&#10;UEsBAhQAFAAAAAgAh07iQGP6ZVxsAgAAogQAAA4AAAAAAAAAAQAgAAAAJQEAAGRycy9lMm9Eb2Mu&#10;eG1sUEsFBgAAAAAGAAYAWQEAAAMGAAAAAA==&#10;">
                  <v:fill on="f" focussize="0,0"/>
                  <v:stroke weight="1pt" color="#000000" joinstyle="round" endarrow="block"/>
                  <v:imagedata o:title=""/>
                  <o:lock v:ext="edit" aspectratio="f"/>
                  <v:textbox>
                    <w:txbxContent>
                      <w:p w14:paraId="471C5CB8">
                        <w:pPr>
                          <w:spacing w:line="276" w:lineRule="auto"/>
                          <w:jc w:val="center"/>
                          <w:rPr>
                            <w:rFonts w:hint="eastAsia" w:ascii="宋体" w:hAnsi="宋体"/>
                            <w:color w:val="000000"/>
                            <w:sz w:val="18"/>
                            <w:szCs w:val="18"/>
                          </w:rPr>
                        </w:pPr>
                        <w:r>
                          <w:rPr>
                            <w:rFonts w:hint="eastAsia" w:ascii="宋体" w:hAnsi="宋体"/>
                            <w:color w:val="000000"/>
                            <w:sz w:val="18"/>
                            <w:szCs w:val="18"/>
                          </w:rPr>
                          <w:t>提纯系统</w:t>
                        </w:r>
                      </w:p>
                    </w:txbxContent>
                  </v:textbox>
                </v:shape>
                <v:shape id="直接箭头连接符 688287243" o:spid="_x0000_s1026" o:spt="32" type="#_x0000_t32" style="position:absolute;left:2173179;top:2239878;height:689158;width:0;" filled="f" stroked="t" coordsize="21600,21600" o:gfxdata="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IqccNUAAAAFAQAADwAAAAAAAAABACAAAAAiAAAAZHJzL2Rvd25yZXYueG1sUEsB&#10;AhQAFAAAAAgAh07iQNGlXYgxAgAAFwQAAA4AAAAAAAAAAQAgAAAAJAEAAGRycy9lMm9Eb2MueG1s&#10;UEsFBgAAAAAGAAYAWQEAAMcFAAAAAA==&#10;">
                  <v:fill on="f" focussize="0,0"/>
                  <v:stroke weight="1pt" color="#000000" joinstyle="round" endarrow="block"/>
                  <v:imagedata o:title=""/>
                  <o:lock v:ext="edit" aspectratio="f"/>
                </v:shape>
                <v:shape id="文本框 1" o:spid="_x0000_s1026" o:spt="202" type="#_x0000_t202" style="position:absolute;left:355291;top:2587903;height:306705;width:992997;" fillcolor="#FFFFFF" filled="t" stroked="t" coordsize="21600,21600" o:gfxdata="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qOcE9QAAAAFAQAADwAA&#10;AAAAAAABACAAAAAiAAAAZHJzL2Rvd25yZXYueG1sUEsBAhQAFAAAAAgAh07iQJreQzdTAgAAmwQA&#10;AA4AAAAAAAAAAQAgAAAAIwEAAGRycy9lMm9Eb2MueG1sUEsFBgAAAAAGAAYAWQEAAOgFAAAAAA==&#10;">
                  <v:fill on="t" focussize="0,0"/>
                  <v:stroke weight="0.5pt" color="#000000" joinstyle="round"/>
                  <v:imagedata o:title=""/>
                  <o:lock v:ext="edit" aspectratio="f"/>
                  <v:textbox>
                    <w:txbxContent>
                      <w:p w14:paraId="60F1F00C">
                        <w:pPr>
                          <w:spacing w:line="276" w:lineRule="auto"/>
                          <w:rPr>
                            <w:rFonts w:hint="eastAsia" w:ascii="宋体" w:hAnsi="宋体"/>
                            <w:sz w:val="18"/>
                            <w:szCs w:val="18"/>
                          </w:rPr>
                        </w:pPr>
                        <w:r>
                          <w:rPr>
                            <w:rFonts w:hint="eastAsia" w:ascii="宋体" w:hAnsi="宋体"/>
                            <w:sz w:val="18"/>
                            <w:szCs w:val="18"/>
                          </w:rPr>
                          <w:t>其他供天然气厂</w:t>
                        </w:r>
                      </w:p>
                    </w:txbxContent>
                  </v:textbox>
                </v:shape>
                <v:shape id="直接箭头连接符 1626669749" o:spid="_x0000_s1026" o:spt="32" type="#_x0000_t32" style="position:absolute;left:848310;top:2905522;height:182765;width:0;" filled="f" stroked="t" coordsize="21600,21600" o:gfxdata="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ipxw1QAAAAUBAAAPAAAAAAAAAAEAIAAAACIAAABkcnMvZG93bnJldi54bWxQSwEC&#10;FAAUAAAACACHTuJAhW+hmzACAAAWBAAADgAAAAAAAAABACAAAAAkAQAAZHJzL2Uyb0RvYy54bWxQ&#10;SwUGAAAAAAYABgBZAQAAxgUAAAAA&#10;">
                  <v:fill on="f" focussize="0,0"/>
                  <v:stroke weight="1pt" color="#000000" joinstyle="round" endarrow="block"/>
                  <v:imagedata o:title=""/>
                  <o:lock v:ext="edit" aspectratio="f"/>
                </v:shape>
                <v:line id="直接连接符 1231787908" o:spid="_x0000_s1026" o:spt="20" style="position:absolute;left:1791396;top:3200655;height:953;width:1376;" filled="f" stroked="t" coordsize="21600,21600" o:gfxdata="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AfjvTWAAAABQEAAA8AAAAAAAAAAQAgAAAAIgAAAGRycy9kb3du&#10;cmV2LnhtbFBLAQIUABQAAAAIAIdO4kA0Rcl3AQIAANUDAAAOAAAAAAAAAAEAIAAAACUBAABkcnMv&#10;ZTJvRG9jLnhtbFBLBQYAAAAABgAGAFkBAACYBQAAAAA=&#10;">
                  <v:fill on="f" focussize="0,0"/>
                  <v:stroke color="#000000" joinstyle="round"/>
                  <v:imagedata o:title=""/>
                  <o:lock v:ext="edit" aspectratio="f"/>
                </v:line>
                <v:shape id="文本框 1" o:spid="_x0000_s1026" o:spt="202" type="#_x0000_t202" style="position:absolute;left:1551728;top:2905522;height:283210;width:999743;" fillcolor="#FFFFFF" filled="t" stroked="t" coordsize="21600,21600" o:gfxdata="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ltqndgAAAAF&#10;AQAADwAAAAAAAAABACAAAAAiAAAAZHJzL2Rvd25yZXYueG1sUEsBAhQAFAAAAAgAh07iQP2euChV&#10;AgAAnAQAAA4AAAAAAAAAAQAgAAAAJwEAAGRycy9lMm9Eb2MueG1sUEsFBgAAAAAGAAYAWQEAAO4F&#10;AAAAAA==&#10;">
                  <v:fill on="t" focussize="0,0"/>
                  <v:stroke weight="1pt" color="#000000" joinstyle="round"/>
                  <v:imagedata o:title=""/>
                  <o:lock v:ext="edit" aspectratio="f"/>
                  <v:textbox>
                    <w:txbxContent>
                      <w:p w14:paraId="6BC52AF1">
                        <w:pPr>
                          <w:spacing w:line="276" w:lineRule="auto"/>
                          <w:jc w:val="center"/>
                          <w:rPr>
                            <w:rFonts w:hint="eastAsia" w:ascii="宋体" w:hAnsi="宋体"/>
                            <w:sz w:val="18"/>
                            <w:szCs w:val="18"/>
                          </w:rPr>
                        </w:pPr>
                        <w:r>
                          <w:rPr>
                            <w:rFonts w:hint="eastAsia" w:ascii="宋体" w:hAnsi="宋体"/>
                            <w:sz w:val="18"/>
                            <w:szCs w:val="18"/>
                          </w:rPr>
                          <w:t>区域管网/用户</w:t>
                        </w:r>
                      </w:p>
                      <w:p w14:paraId="060D550B">
                        <w:pPr>
                          <w:spacing w:line="276" w:lineRule="auto"/>
                          <w:jc w:val="center"/>
                          <w:rPr>
                            <w:sz w:val="18"/>
                            <w:szCs w:val="18"/>
                          </w:rPr>
                        </w:pPr>
                      </w:p>
                    </w:txbxContent>
                  </v:textbox>
                </v:shape>
                <v:line id="直接连接符 2061649275" o:spid="_x0000_s1026" o:spt="20" style="position:absolute;left:3804357;top:3061883;height:8518;width:1384170;" filled="f" stroked="t" coordsize="21600,21600" o:gfxdata="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eozHNYAAAAFAQAADwAAAAAAAAABACAAAAAiAAAA&#10;ZHJzL2Rvd25yZXYueG1sUEsBAhQAFAAAAAgAh07iQGcTUwMJAgAA2gMAAA4AAAAAAAAAAQAgAAAA&#10;JQEAAGRycy9lMm9Eb2MueG1sUEsFBgAAAAAGAAYAWQEAAKAFAAAAAA==&#10;">
                  <v:fill on="f" focussize="0,0"/>
                  <v:stroke weight="1pt" color="#000000" joinstyle="round"/>
                  <v:imagedata o:title=""/>
                  <o:lock v:ext="edit" aspectratio="f"/>
                </v:line>
                <v:roundrect id="矩形: 圆角 566919861" o:spid="_x0000_s1026" o:spt="2" style="position:absolute;left:327958;top:698740;height:1723846;width:4866005;v-text-anchor:middle;" filled="f" stroked="t" coordsize="21600,21600" arcsize="0.166666666666667" o:gfxdata="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0OWvWAAAABQEAAA8AAAAAAAAAAQAgAAAAIgAA&#10;AGRycy9kb3ducmV2LnhtbFBLAQIUABQAAAAIAIdO4kC+QTNdfAIAALoEAAAOAAAAAAAAAAEAIAAA&#10;ACUBAABkcnMvZTJvRG9jLnhtbFBLBQYAAAAABgAGAFkBAAATBgAAAAA=&#10;">
                  <v:fill on="f" focussize="0,0"/>
                  <v:stroke weight="1pt" color="#000000" joinstyle="round" dashstyle="3 1"/>
                  <v:imagedata o:title=""/>
                  <o:lock v:ext="edit" aspectratio="f"/>
                </v:roundrect>
                <v:shape id="直接箭头连接符 1555375054" o:spid="_x0000_s1026" o:spt="32" type="#_x0000_t32" style="position:absolute;left:2766752;top:577970;height:280922;width:0;" filled="f" stroked="t" coordsize="21600,21600" o:gfxdata="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ipxw1QAAAAUBAAAPAAAAAAAAAAEAIAAAACIAAABkcnMvZG93bnJldi54bWxQSwEC&#10;FAAUAAAACACHTuJAgrQMoDACAAAXBAAADgAAAAAAAAABACAAAAAkAQAAZHJzL2Uyb0RvYy54bWxQ&#10;SwUGAAAAAAYABgBZAQAAxgUAAAAA&#10;">
                  <v:fill on="f" focussize="0,0"/>
                  <v:stroke weight="1pt" color="#000000" joinstyle="round" endarrow="block"/>
                  <v:imagedata o:title=""/>
                  <o:lock v:ext="edit" aspectratio="f"/>
                </v:shape>
                <v:shape id="文本框 1" o:spid="_x0000_s1026" o:spt="202" type="#_x0000_t202" style="position:absolute;left:2120947;top:1327317;height:313055;width:1310640;" fillcolor="#FFFFFF" filled="t" stroked="t" coordsize="21600,21600" o:gfxdata="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CW2qd2AAAAAUB&#10;AAAPAAAAAAAAAAEAIAAAACIAAABkcnMvZG93bnJldi54bWxQSwECFAAUAAAACACHTuJATV4JwFQC&#10;AACdBAAADgAAAAAAAAABACAAAAAnAQAAZHJzL2Uyb0RvYy54bWxQSwUGAAAAAAYABgBZAQAA7QUA&#10;AAAA&#10;">
                  <v:fill on="t" focussize="0,0"/>
                  <v:stroke weight="1pt" color="#000000" joinstyle="round"/>
                  <v:imagedata o:title=""/>
                  <o:lock v:ext="edit" aspectratio="f"/>
                  <v:textbox>
                    <w:txbxContent>
                      <w:p w14:paraId="12B0120C">
                        <w:pPr>
                          <w:spacing w:line="276" w:lineRule="auto"/>
                          <w:jc w:val="center"/>
                          <w:rPr>
                            <w:color w:val="000000"/>
                            <w:sz w:val="18"/>
                            <w:szCs w:val="18"/>
                          </w:rPr>
                        </w:pPr>
                        <w:r>
                          <w:rPr>
                            <w:rFonts w:hint="eastAsia"/>
                            <w:color w:val="000000"/>
                            <w:sz w:val="18"/>
                            <w:szCs w:val="18"/>
                          </w:rPr>
                          <w:t>填埋气预处理系统</w:t>
                        </w:r>
                      </w:p>
                    </w:txbxContent>
                  </v:textbox>
                </v:shape>
                <v:shape id="连接符: 肘形 1851774450" o:spid="_x0000_s1026" o:spt="34" type="#_x0000_t34" style="position:absolute;left:2697851;top:1248901;flip:x;height:1464;width:155368;rotation:5898240f;" filled="f" stroked="t" coordsize="21600,21600" o:gfxdata="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EcYZB1QAAAAUBAAAP&#10;AAAAAAAAAAEAIAAAACIAAABkcnMvZG93bnJldi54bWxQSwECFAAUAAAACACHTuJA2SfHRlQCAABY&#10;BAAADgAAAAAAAAABACAAAAAkAQAAZHJzL2Uyb0RvYy54bWxQSwUGAAAAAAYABgBZAQAA6gUAAAAA&#10;" adj="10800">
                  <v:fill on="f" focussize="0,0"/>
                  <v:stroke weight="1pt" color="#000000" joinstyle="round" endarrow="block"/>
                  <v:imagedata o:title=""/>
                  <o:lock v:ext="edit" aspectratio="f"/>
                </v:shape>
                <v:shape id="连接符: 肘形 1350152178" o:spid="_x0000_s1026" o:spt="34" type="#_x0000_t34" style="position:absolute;left:2319115;top:1494436;height:603088;width:311216;rotation:5898240f;" filled="f" stroked="t" coordsize="21600,21600" o:gfxdata="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nGpx91gAAAAUBAAAPAAAA&#10;AAAAAAEAIAAAACIAAABkcnMvZG93bnJldi54bWxQSwECFAAUAAAACACHTuJAXfWtilACAABPBAAA&#10;DgAAAAAAAAABACAAAAAlAQAAZHJzL2Uyb0RvYy54bWxQSwUGAAAAAAYABgBZAQAA5wUAAAAA&#10;" adj="10800">
                  <v:fill on="f" focussize="0,0"/>
                  <v:stroke weight="1pt" color="#000000" joinstyle="round" endarrow="block"/>
                  <v:imagedata o:title=""/>
                  <o:lock v:ext="edit" aspectratio="f"/>
                </v:shape>
                <v:shape id="连接符: 肘形 815997574" o:spid="_x0000_s1026" o:spt="34" type="#_x0000_t34" style="position:absolute;left:2915119;top:1501502;flip:x;height:588937;width:311216;rotation:5898240f;" filled="f" stroked="t" coordsize="21600,21600" o:gfxdata="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RxhkHVAAAABQEA&#10;AA8AAAAAAAAAAQAgAAAAIgAAAGRycy9kb3ducmV2LnhtbFBLAQIUABQAAAAIAIdO4kBolGnTVgIA&#10;AFkEAAAOAAAAAAAAAAEAIAAAACQBAABkcnMvZTJvRG9jLnhtbFBLBQYAAAAABgAGAFkBAADsBQAA&#10;AAA=&#10;" adj="10800">
                  <v:fill on="f" focussize="0,0"/>
                  <v:stroke weight="1pt" color="#000000" joinstyle="round" endarrow="block"/>
                  <v:imagedata o:title=""/>
                  <o:lock v:ext="edit" aspectratio="f"/>
                </v:shape>
                <v:shape id="直接箭头连接符 720573358" o:spid="_x0000_s1026" o:spt="32" type="#_x0000_t32" style="position:absolute;left:2770505;top:1717675;height:0;width:1276985;" filled="f" stroked="t" coordsize="21600,21600" o:gfxdata="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ipxw1QAAAAUBAAAPAAAAAAAAAAEAIAAAACIAAABkcnMvZG93bnJldi54bWxQSwEC&#10;FAAUAAAACACHTuJAc6Z/BDACAAAYBAAADgAAAAAAAAABACAAAAAkAQAAZHJzL2Uyb0RvYy54bWxQ&#10;SwUGAAAAAAYABgBZAQAAxgUAAAAA&#10;">
                  <v:fill on="f" focussize="0,0"/>
                  <v:stroke weight="1pt" color="#000000" joinstyle="round" endarrow="block"/>
                  <v:imagedata o:title=""/>
                  <o:lock v:ext="edit" aspectratio="f"/>
                </v:shape>
                <v:shape id="文本框 1" o:spid="_x0000_s1026" o:spt="202" type="#_x0000_t202" style="position:absolute;left:4042410;top:1556385;height:304800;width:763905;" fillcolor="#FFFFFF" filled="t" stroked="t" coordsize="21600,21600" o:gfxdata="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qo5wT1AAAAAUB&#10;AAAPAAAAAAAAAAEAIAAAACIAAABkcnMvZG93bnJldi54bWxQSwECFAAUAAAACACHTuJAwSzDWFgC&#10;AACbBAAADgAAAAAAAAABACAAAAAjAQAAZHJzL2Uyb0RvYy54bWxQSwUGAAAAAAYABgBZAQAA7QUA&#10;AAAA&#10;">
                  <v:fill on="t" focussize="0,0"/>
                  <v:stroke weight="0.5pt" color="#000000" joinstyle="round"/>
                  <v:imagedata o:title=""/>
                  <o:lock v:ext="edit" aspectratio="f"/>
                  <v:textbox>
                    <w:txbxContent>
                      <w:p w14:paraId="2F8DD480">
                        <w:pPr>
                          <w:spacing w:line="276" w:lineRule="auto"/>
                          <w:jc w:val="center"/>
                          <w:rPr>
                            <w:rFonts w:hint="eastAsia" w:ascii="宋体" w:hAnsi="宋体"/>
                            <w:color w:val="000000"/>
                            <w:sz w:val="18"/>
                            <w:szCs w:val="18"/>
                          </w:rPr>
                        </w:pPr>
                        <w:r>
                          <w:rPr>
                            <w:rFonts w:ascii="宋体" w:hAnsi="宋体"/>
                            <w:color w:val="000000"/>
                            <w:sz w:val="18"/>
                            <w:szCs w:val="18"/>
                          </w:rPr>
                          <w:t>火炬系统</w:t>
                        </w:r>
                      </w:p>
                    </w:txbxContent>
                  </v:textbox>
                </v:shape>
                <w10:wrap type="none"/>
                <w10:anchorlock/>
              </v:group>
            </w:pict>
          </mc:Fallback>
        </mc:AlternateContent>
      </w:r>
    </w:p>
    <w:p w14:paraId="074E25D7">
      <w:pPr>
        <w:spacing w:after="120" w:afterLines="50"/>
        <w:jc w:val="center"/>
        <w:rPr>
          <w:rFonts w:ascii="Times New Roman" w:hAnsi="Times New Roman"/>
          <w:b/>
          <w:bCs/>
        </w:rPr>
      </w:pPr>
      <w:r>
        <w:rPr>
          <w:rFonts w:ascii="Times New Roman" w:hAnsi="Times New Roman"/>
          <w:b/>
          <w:bCs/>
        </w:rPr>
        <w:t>图</w:t>
      </w:r>
      <w:r>
        <w:rPr>
          <w:rFonts w:hint="eastAsia" w:ascii="Times New Roman" w:hAnsi="Times New Roman"/>
          <w:b/>
          <w:bCs/>
        </w:rPr>
        <w:t>2</w:t>
      </w:r>
      <w:r>
        <w:rPr>
          <w:rFonts w:ascii="Times New Roman" w:hAnsi="Times New Roman"/>
          <w:b/>
          <w:bCs/>
        </w:rPr>
        <w:t xml:space="preserve"> 生活垃圾填埋场</w:t>
      </w:r>
      <w:r>
        <w:rPr>
          <w:rFonts w:hint="eastAsia" w:ascii="Times New Roman" w:hAnsi="Times New Roman"/>
          <w:b/>
          <w:bCs/>
        </w:rPr>
        <w:t>建设项目</w:t>
      </w:r>
      <w:r>
        <w:rPr>
          <w:rFonts w:ascii="Times New Roman" w:hAnsi="Times New Roman"/>
          <w:b/>
          <w:bCs/>
        </w:rPr>
        <w:t>温室气体</w:t>
      </w:r>
      <w:r>
        <w:rPr>
          <w:rFonts w:hint="eastAsia" w:ascii="Times New Roman" w:hAnsi="Times New Roman"/>
          <w:b/>
          <w:bCs/>
        </w:rPr>
        <w:t>排放环境影响评价</w:t>
      </w:r>
      <w:r>
        <w:rPr>
          <w:rFonts w:ascii="Times New Roman" w:hAnsi="Times New Roman"/>
          <w:b/>
          <w:bCs/>
        </w:rPr>
        <w:t>边界图</w:t>
      </w:r>
    </w:p>
    <w:p w14:paraId="5C0E6CD7">
      <w:pPr>
        <w:spacing w:before="100" w:beforeAutospacing="1" w:after="100" w:afterAutospacing="1"/>
        <w:rPr>
          <w:rFonts w:ascii="黑体" w:hAnsi="Times New Roman" w:eastAsia="黑体"/>
          <w:kern w:val="0"/>
          <w:szCs w:val="20"/>
        </w:rPr>
      </w:pPr>
      <w:r>
        <w:rPr>
          <w:rFonts w:hint="eastAsia" w:ascii="黑体" w:hAnsi="Times New Roman" w:eastAsia="黑体"/>
          <w:kern w:val="0"/>
          <w:szCs w:val="20"/>
        </w:rPr>
        <w:t>5.2.2 现状调查与分析</w:t>
      </w:r>
    </w:p>
    <w:p w14:paraId="307255BD">
      <w:pPr>
        <w:spacing w:before="100" w:beforeAutospacing="1" w:after="100" w:afterAutospacing="1"/>
        <w:ind w:firstLine="420" w:firstLineChars="200"/>
        <w:rPr>
          <w:rFonts w:ascii="Times New Roman" w:hAnsi="Times New Roman"/>
        </w:rPr>
      </w:pPr>
      <w:r>
        <w:rPr>
          <w:rFonts w:ascii="Times New Roman" w:hAnsi="Times New Roman"/>
        </w:rPr>
        <w:t>收集与生活垃圾填埋场建设项目甲烷排放相关的主要技术资料，根据生活垃圾填埋量、种类、填埋层厚度、</w:t>
      </w:r>
      <w:r>
        <w:rPr>
          <w:rFonts w:hint="eastAsia" w:ascii="Times New Roman" w:hAnsi="Times New Roman"/>
        </w:rPr>
        <w:t>填埋年限、封场时间、</w:t>
      </w:r>
      <w:r>
        <w:rPr>
          <w:rFonts w:ascii="Times New Roman" w:hAnsi="Times New Roman"/>
        </w:rPr>
        <w:t>尾气处理设备的类型、</w:t>
      </w:r>
      <w:r>
        <w:rPr>
          <w:rFonts w:hint="eastAsia" w:ascii="Times New Roman" w:hAnsi="Times New Roman"/>
        </w:rPr>
        <w:t>收集效率、</w:t>
      </w:r>
      <w:r>
        <w:rPr>
          <w:rFonts w:ascii="Times New Roman" w:hAnsi="Times New Roman"/>
        </w:rPr>
        <w:t>去除效率和投运率等情况，当地的气候条件，包括温度、降水量等，明确核算技术方法和相关活动数据。</w:t>
      </w:r>
    </w:p>
    <w:p w14:paraId="2D500123">
      <w:pPr>
        <w:widowControl/>
        <w:spacing w:line="620" w:lineRule="exact"/>
        <w:jc w:val="left"/>
        <w:rPr>
          <w:rFonts w:ascii="黑体" w:hAnsi="Times New Roman" w:eastAsia="黑体"/>
          <w:color w:val="000000"/>
          <w:kern w:val="0"/>
          <w:szCs w:val="20"/>
          <w:lang w:bidi="ar"/>
        </w:rPr>
      </w:pPr>
      <w:r>
        <w:rPr>
          <w:rFonts w:hint="eastAsia" w:ascii="黑体" w:hAnsi="Times New Roman" w:eastAsia="黑体"/>
          <w:kern w:val="0"/>
          <w:szCs w:val="20"/>
        </w:rPr>
        <w:t>5.2.3 评价</w:t>
      </w:r>
      <w:r>
        <w:rPr>
          <w:rFonts w:hint="eastAsia" w:ascii="黑体" w:hAnsi="Times New Roman" w:eastAsia="黑体"/>
          <w:color w:val="000000"/>
          <w:kern w:val="0"/>
          <w:szCs w:val="20"/>
          <w:lang w:bidi="ar"/>
        </w:rPr>
        <w:t>基准年确定</w:t>
      </w:r>
    </w:p>
    <w:p w14:paraId="71486E82">
      <w:pPr>
        <w:ind w:firstLine="420" w:firstLineChars="200"/>
        <w:rPr>
          <w:rFonts w:ascii="Times New Roman" w:hAnsi="Times New Roman"/>
        </w:rPr>
      </w:pPr>
      <w:r>
        <w:rPr>
          <w:rFonts w:ascii="Times New Roman" w:hAnsi="Times New Roman"/>
          <w:color w:val="000000"/>
        </w:rPr>
        <w:t>合理确定评价基准年，优先与项目环境影响评价的评价基准年保持一致；若不一致，应在环评文件中说明理由并提供佐证依据。评价基准年基于项目实际运行数据或行业典型水平确定，选择近12个月内有完整运行数据日历年作为温室气体排放评价基准年</w:t>
      </w:r>
      <w:r>
        <w:rPr>
          <w:rFonts w:ascii="Times New Roman" w:hAnsi="Times New Roman"/>
        </w:rPr>
        <w:t>。</w:t>
      </w:r>
    </w:p>
    <w:p w14:paraId="02C4666B">
      <w:pPr>
        <w:ind w:firstLine="420" w:firstLineChars="200"/>
        <w:rPr>
          <w:rFonts w:ascii="Times New Roman" w:hAnsi="Times New Roman"/>
        </w:rPr>
      </w:pPr>
      <w:r>
        <w:rPr>
          <w:rFonts w:ascii="Times New Roman" w:hAnsi="Times New Roman"/>
        </w:rPr>
        <w:t>（1）新建项目</w:t>
      </w:r>
    </w:p>
    <w:p w14:paraId="4399CDA5">
      <w:pPr>
        <w:ind w:firstLine="420" w:firstLineChars="200"/>
        <w:rPr>
          <w:rFonts w:ascii="Times New Roman" w:hAnsi="Times New Roman"/>
        </w:rPr>
      </w:pPr>
      <w:r>
        <w:rPr>
          <w:rFonts w:ascii="Times New Roman" w:hAnsi="Times New Roman"/>
        </w:rPr>
        <w:t>依据项目可研报告、立项与工程设计文件、填埋和导流工艺路线、尾气处理装置等资料，明确建设项目去除效率和投运率等，确保所引用数据有据可依且合理可信。</w:t>
      </w:r>
    </w:p>
    <w:p w14:paraId="7E730450">
      <w:pPr>
        <w:ind w:firstLine="420" w:firstLineChars="200"/>
        <w:rPr>
          <w:rFonts w:ascii="Times New Roman" w:hAnsi="Times New Roman"/>
        </w:rPr>
      </w:pPr>
      <w:r>
        <w:rPr>
          <w:rFonts w:ascii="Times New Roman" w:hAnsi="Times New Roman"/>
        </w:rPr>
        <w:t>（2）改扩建及异地迁建项目</w:t>
      </w:r>
    </w:p>
    <w:p w14:paraId="1D796BF3">
      <w:pPr>
        <w:ind w:firstLine="420" w:firstLineChars="200"/>
        <w:rPr>
          <w:rFonts w:ascii="Times New Roman" w:hAnsi="Times New Roman"/>
        </w:rPr>
      </w:pPr>
      <w:r>
        <w:rPr>
          <w:rFonts w:ascii="Times New Roman" w:hAnsi="Times New Roman"/>
        </w:rPr>
        <w:t>调查现有项目评价基准年</w:t>
      </w:r>
      <w:r>
        <w:rPr>
          <w:rFonts w:hint="eastAsia" w:ascii="Times New Roman" w:hAnsi="Times New Roman"/>
        </w:rPr>
        <w:t>温室气体</w:t>
      </w:r>
      <w:r>
        <w:rPr>
          <w:rFonts w:ascii="Times New Roman" w:hAnsi="Times New Roman"/>
        </w:rPr>
        <w:t>排放情况。除参照新建项目所需收集相关数据信息外，还需收集现有项目甲烷排放核查报告、企业日常管理台账及监测记录。综合考虑评价数据的一致性，原则上现有工程甲烷排放评价基准年应与大气环境影响评价基准年保持一致，不一致的，应说明理由。</w:t>
      </w:r>
    </w:p>
    <w:p w14:paraId="562EF88E">
      <w:pPr>
        <w:widowControl/>
        <w:spacing w:before="100" w:beforeAutospacing="1" w:after="100" w:afterAutospacing="1"/>
        <w:jc w:val="left"/>
        <w:rPr>
          <w:rFonts w:ascii="黑体" w:hAnsi="Times New Roman" w:eastAsia="黑体"/>
          <w:kern w:val="0"/>
          <w:szCs w:val="20"/>
          <w:lang w:bidi="ar"/>
        </w:rPr>
      </w:pPr>
      <w:r>
        <w:rPr>
          <w:rFonts w:hint="eastAsia" w:ascii="黑体" w:hAnsi="Times New Roman" w:eastAsia="黑体"/>
          <w:kern w:val="0"/>
          <w:szCs w:val="20"/>
          <w:lang w:bidi="ar"/>
        </w:rPr>
        <w:t>5.2.4 温室气体排放量核算</w:t>
      </w:r>
    </w:p>
    <w:p w14:paraId="63025107">
      <w:pPr>
        <w:ind w:firstLine="420" w:firstLineChars="200"/>
        <w:rPr>
          <w:rFonts w:ascii="Times New Roman" w:hAnsi="Times New Roman"/>
        </w:rPr>
      </w:pPr>
      <w:r>
        <w:rPr>
          <w:rFonts w:hint="eastAsia" w:ascii="Times New Roman" w:hAnsi="Times New Roman"/>
        </w:rPr>
        <w:t>生活垃圾填埋项目参照GB/T</w:t>
      </w:r>
      <w:r>
        <w:rPr>
          <w:rFonts w:ascii="Times New Roman" w:hAnsi="Times New Roman"/>
        </w:rPr>
        <w:t xml:space="preserve"> </w:t>
      </w:r>
      <w:r>
        <w:rPr>
          <w:rFonts w:hint="eastAsia" w:ascii="Times New Roman" w:hAnsi="Times New Roman"/>
        </w:rPr>
        <w:t>32150和《省级温室气体清单编制指南（2025版）》（环办气候〔2026〕1号）预测建设项目甲烷排放量。活动水平数据依据建设项目可研、设计等文件及同类型企业实测和统计数据。新的温室气体排放核算方法标准发布后，从其规定。</w:t>
      </w:r>
    </w:p>
    <w:p w14:paraId="6AEB5388">
      <w:pPr>
        <w:ind w:firstLine="420" w:firstLineChars="200"/>
        <w:rPr>
          <w:rFonts w:ascii="Times New Roman" w:hAnsi="Times New Roman"/>
        </w:rPr>
      </w:pPr>
      <w:r>
        <w:rPr>
          <w:rFonts w:hint="eastAsia" w:ascii="Times New Roman" w:hAnsi="Times New Roman"/>
        </w:rPr>
        <w:t>建设项目采用了国家核证自愿减排量（CCER）方法学中规定的温室气体减排措施的，其减排量可参照相应方法学进行核算。</w:t>
      </w:r>
      <w:bookmarkStart w:id="34" w:name="OLE_LINK7"/>
      <w:bookmarkStart w:id="35" w:name="_Hlk194584747"/>
      <w:bookmarkStart w:id="36" w:name="_Hlk194585572"/>
    </w:p>
    <w:p w14:paraId="60F06803">
      <w:pPr>
        <w:ind w:firstLine="420" w:firstLineChars="200"/>
        <w:rPr>
          <w:rFonts w:ascii="Times New Roman"/>
          <w:szCs w:val="21"/>
        </w:rPr>
      </w:pPr>
      <w:r>
        <w:rPr>
          <w:rFonts w:hint="eastAsia" w:ascii="Times New Roman" w:hAnsi="Times New Roman"/>
          <w:lang w:val="en-GB"/>
        </w:rPr>
        <w:t>生活垃圾填埋场建设项目温室气体产生</w:t>
      </w:r>
      <w:r>
        <w:rPr>
          <w:rFonts w:hint="eastAsia" w:ascii="Times New Roman" w:hAnsi="Times New Roman"/>
        </w:rPr>
        <w:t>量按照公式（</w:t>
      </w:r>
      <w:r>
        <w:rPr>
          <w:rFonts w:ascii="Times New Roman" w:hAnsi="Times New Roman"/>
        </w:rPr>
        <w:t>1</w:t>
      </w:r>
      <w:r>
        <w:rPr>
          <w:rFonts w:hint="eastAsia" w:ascii="Times New Roman" w:hAnsi="Times New Roman"/>
        </w:rPr>
        <w:t>）计算</w:t>
      </w:r>
      <w:r>
        <w:rPr>
          <w:rFonts w:hint="eastAsia" w:ascii="Times New Roman" w:hAnsi="Times New Roman"/>
          <w:lang w:val="en-GB"/>
        </w:rPr>
        <w:t>：</w:t>
      </w:r>
    </w:p>
    <w:p w14:paraId="01D3329B">
      <w:pPr>
        <w:autoSpaceDE w:val="0"/>
        <w:autoSpaceDN w:val="0"/>
        <w:ind w:firstLine="840" w:firstLineChars="400"/>
        <w:rPr>
          <w:rFonts w:ascii="Times New Roman" w:hAnsi="Times New Roman"/>
        </w:rPr>
      </w:pPr>
    </w:p>
    <w:p w14:paraId="1E490CEC">
      <w:pPr>
        <w:autoSpaceDE w:val="0"/>
        <w:autoSpaceDN w:val="0"/>
        <w:spacing w:line="240" w:lineRule="auto"/>
        <w:rPr>
          <w:rFonts w:ascii="Times New Roman" w:hAnsi="Times New Roman"/>
          <w:bCs/>
        </w:rPr>
      </w:pPr>
      <w:r>
        <w:rPr>
          <w:rFonts w:hint="eastAsia" w:ascii="Times New Roman" w:hAnsi="Times New Roman"/>
        </w:rPr>
        <w:t xml:space="preserve">              </w:t>
      </w:r>
      <w:r>
        <w:rPr>
          <w:rFonts w:ascii="Times New Roman" w:hAnsi="Times New Roman"/>
        </w:rPr>
        <w:pict>
          <v:shape id="_x0000_i1025" o:spt="75" type="#_x0000_t75" style="height:31.35pt;width:275.15pt;" filled="f" o:preferrelative="t" stroked="f" coordsize="21600,21600" equationxml="&lt;?xml version=&quot;1.0&quot; encoding=&quot;UTF-8&quot; standalone=&quot;yes&quot;?&gt;&#10;&#10;&lt;?mso-application progid=&quot;Word.Document&quot;?&gt;&#10;&#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7&quot;/&gt;&lt;w:characterSpacingControl w:val=&quot;CompressPunctuation&quot;/&gt;&lt;w:documentProtection w:enforcement=&quot;off&quot;/&gt;&lt;w:displayBackgroundShape w:val=&quot;1&quot;/&gt;&lt;w:doNotEmbedSystemFonts/&gt;&lt;w:trackRevisions w:val=&quot;1&quot;/&gt;&lt;w:defaultTabStop w:val=&quot;420&quot;/&gt;&lt;w:drawingGridHorizontalSpacing w:val=&quot;1&quot;/&gt;&lt;w:drawingGridVerticalSpacing w:val=&quot;1&quot;/&gt;&lt;w:displayHorizontalDrawingGridEvery w:val=&quot;1&quot;/&gt;&lt;w:displayVerticalDrawingGridEvery w:val=&quot;1&quot;/&gt;&lt;w:useMarginsForDrawingGridOrigin/&gt;&lt;w:drawingGridHorizontalOrigin w:val=&quot;0&quot;/&gt;&lt;w:drawingGridVerticalOrigin w:val=&quot;0&quot;/&gt;&lt;w:compat&gt;&lt;w:adjustLineHeightInTable/&gt;&lt;w:ulTrailSpace/&gt;&lt;w:doNotExpandShiftReturn/&gt;&lt;w:balanceSingleByteDoubleByteWidth/&gt;&lt;w:spaceForUL/&gt;&lt;w:breakWrappedTables/&gt;&lt;w:dontGrowAutofit/&gt;&lt;w:useFELayout/&gt;&lt;/w:compat&gt;&lt;/w:docPr&gt;&lt;w:body&gt;&lt;wx:sect&gt;&lt;w:p&gt;&lt;m:oMathPara&gt;&lt;m:oMath&gt;&lt;m:sSub&gt;&lt;m:sSubPr&gt;&lt;m:ctrlPr&gt;&lt;aml:annotation aml:id=&quot;0&quot; aml:author=&quot;___&quot; aml:createdate=&quot;2026-04-0teDteD1T10:15:40Z&quot; w:type=&quot;Word.Insertion&quot;&gt;&lt;aml:content&gt;&lt;w:rPr&gt;&lt;w:rFonts w:ascii=&quot;Cambria Math&quot; w:h-ansi=&quot;Cambria Math&quot; w:cs=&quot;绛_嚎&quot; w:hint=&quot;default&quot;/&gt;&lt;w:b-cs/&gt;&lt;w:sz-cs w:val=&quot;21&quot;/&gt;&lt;/w:rPr&gt;&lt;/aml:content&gt;&lt;/aml:annotation&gt;&lt;/m:ctrlPr&gt;&lt;/m:sSubPr&gt;&lt;m:e&gt;&lt;m:r&gt;&lt;aml0t:teDeDannteDotation aml:id=&quot;1&quot; aml:author=&quot;___&quot; aml:createdate=&quot;2026-04-01T10:15:40Z&quot; w:type=&quot;Word.Insertion&quot;&gt;&lt;aml:content&gt;&lt;m:rPr&gt;&lt;m:scr m:val=&quot;roman&quot;/&gt;&lt;/m:rPr&gt;&lt;w:rPr&gt;&lt;w:rFonts w:ascii=&quot;Cambria Math&quot; w:h-ansi=&quot;Cambria Math&quot; w:cs=&quot;绛_嚎&quot; w:hint=&quot;default&quot;/&gt;0t&lt;wmleD:teD:sz-csannteD w:val=&quot;21&quot;/&gt;&lt;/w:rPr&gt;&lt;m:t&gt;BE&lt;/m:t&gt;&lt;/aml:content&gt;&lt;/aml:annotation&gt;&lt;/m:r&gt;&lt;m:ctrlPr&gt;&lt;aml:annotation aml:id=&quot;2&quot; aml:author=&quot;___&quot; aml:createdate=&quot;2026-04-01T10:15:40Z&quot; w:type=&quot;Word.Insertion&quot;&gt;&lt;aml:content&gt;&lt;w:rPr&gt;&lt;w:rFonts w:ascii=&quot;Cambria Math&quot; teDw:h-ansi=&quot;CateDmbria Math&quot; w:cs=&quot;绛_嚎&quot; w:hint=&quot;default&quot;/&gt;&lt;w:b-cs/&gt;&lt;w:sz-cs w:val=&quot;21&quot;/&gt;&lt;/w:rPr&gt;&lt;/aml:content&gt;&lt;/aml:annotation&gt;&lt;/m:ctrlPr&gt;&lt;/m:e&gt;&lt;m:sub&gt;&lt;m:sSub&gt;&lt;m:sSubPr&gt;&lt;m:ctrlPr&gt;&lt;aml:annotation aml:id=&quot;3&quot; aml:author=&quot;___&quot; aml:createdate=&quot;2026-0ia4-01T1h&quot;h&quot; teD0:15:40Z&quot; w:typ&quot;CateDe=&quot;Word.Insertion&quot;&gt;&lt;aml:content&gt;&lt;w:rPr&gt;&lt;w:rFonts w:ascii=&quot;Cambria Math&quot; w:h-ansi=&quot;Cambria Math&quot; w:cs=&quot;绛_嚎&quot; w:hint=&quot;default&quot;/&gt;&lt;w:i/&gt;&lt;w:sz-cs w:val=&quot;21&quot;/&gt;&lt;/w:rPr&gt;&lt;/aml:content&gt;&lt;/aml:annotation&gt;&lt;/m:ctrlPr&gt;&lt;/m:sSubPr&gt;&lt;m:e&gt;ia&lt;m:r&gt;&lt;amh&quot;l:annteDotation aml:id=&quot;4&quot; amteDl:author=&quot;___&quot; aml:createdate=&quot;2026-04-01T10:15:40Z&quot; w:type=&quot;Word.Insertion&quot;&gt;&lt;aml:content&gt;&lt;m:rPr&gt;&lt;m:scr m:val=&quot;roman&quot;/&gt;&lt;/m:rPr&gt;&lt;w:rPr&gt;&lt;w:rFonts w:ascii=&quot;Cambria Math&quot; w:h-ansi=&quot;Cambria Math&quot; w:cs=&quot;绛_嚎&quot; w:hint=&quot;diaefault&quot;/&gt;&lt;h&quot;w:szannteD-cs w:val=&quot;21&quot;/&gt;&lt;/w:rPr&gt; amteD&lt;m:t&gt;CH&lt;/m:t&gt;&lt;/aml:content&gt;&lt;/aml:annotation&gt;&lt;/m:r&gt;&lt;m:ctrlPr&gt;&lt;aml:annotation aml:id=&quot;5&quot; aml:author=&quot;___&quot; aml:createdate=&quot;2026-04-01T10:15:40Z&quot; w:type=&quot;Word.Insertion&quot;&gt;&lt;aml:content&gt;&lt;w:rPr&gt;&lt;w:rFonts w:ascii=&quot;Cambria Math&quot; w:hteD-ansi=&quot;Cambria Math&quot; w:cs=&quot;绛?mteD绾? w:hint=&quot;default&quot;/&gt;&lt;w:i/&gt;&lt;w:sz-cs w:val=&quot;21&quot;/&gt;&lt;/w:rPr&gt;&lt;/aml:content&gt;&lt;/aml:annotation&gt;&lt;/m:ctrlPr&gt;&lt;/m:e&gt;&lt;m:sub&gt;&lt;m:r&gt;&lt;aml:annotation aml:id=&quot;6&quot; aml:author=&quot;___&quot; aml:createdate=&quot;2026-04-01T10:15:40Z&quot; iiw:type=&quot;WordMa.Insert:hteDion&quot;&gt;&lt;aml:content&gt;&lt;m:rPr&gt;&lt;m:scr m?mteD:val=&quot;roman&quot;/&gt;&lt;/m:rPr&gt;&lt;w:rPr&gt;&lt;w:rFonts w:ascii=&quot;Cambria Math&quot; w:h-ansi=&quot;Cambria Math&quot; w:cs=&quot;绛_嚎&quot; w:hint=&quot;default&quot;/&gt;&lt;w:sz-cs w:val=&quot;21&quot;/&gt;&lt;/w:rPr&gt;&lt;m:t&gt;4&lt;/m:t&gt;&lt;/aml:content&gt;&lt;/aml:annotation&gt;&lt;/iim:r&gt;&lt;m:ctrlPr&gt;Ma&lt;aml:annotateDtion aml:id=&quot;7&quot; aml:author=&quot;___&quot; amm?mteDl:createdate=&quot;2026-04-01T10:15:40Z&quot; w:type=&quot;Word.Insertion&quot;&gt;&lt;aml:content&gt;&lt;w:rPr&gt;&lt;w:rFonts w:ascii=&quot;Cambria Math&quot; w:h-ansi=&quot;Cambria Math&quot; w:cs=&quot;绛_嚎&quot; w:hint=&quot;default&quot;/&gt;&lt;w:i/&gt;&lt;w:sz-cs wii:val=&quot;21&quot;/&gt;&lt;/w:rMaPr&gt;&lt;/aml:cotateDontent&gt;&lt;/aml:annotation&gt;&lt;/m:ctrlPr&gt;&lt;/m:sub&gt;&lt;teD/m:sSub&gt;&lt;m:r&gt;&lt;aml:annotation aml:id=&quot;8&quot; aml:author=&quot;___&quot; aml:createdate=&quot;2026-04-01T10:15:40Z&quot; w:type=&quot;Word.Insertion&quot;&gt;&lt;aml:content&gt;&lt;m:rPr&gt;&lt;m:scr m:val=&quot;roman&quot;/&gt;&lt;/m:rPr&gt;&lt;w:rPr&gt;&lt;w:rFonts w:ascii=&quot;Cambria MateDth&quot; w:h-ansi=&quot;Cambria Math&quot; w:cs=&quot;绛_嚎&quot; w:hinb&gt;&lt;teDt=&quot;default&quot;/&gt;&lt;w:sz-cs w:val=&quot;21&quot;/&gt;&lt;/w:rPr&gt;&lt;m:t&gt;,SWDS,y&lt;/m:t&gt;&lt;/aml:content&gt;&lt;/aml:annotation&gt;&lt;/m:r&gt;&lt;m:ctrlPr&gt;&lt;aml:annotation aml:id=&quot;9&quot; aml:author=&quot;___&quot; aml:createdate=&quot;20rP26-04-01T10:15:40Zci&quot; w:type=&quot;Wo MateDrd.Insertion&quot;&gt;&lt;aml:content&gt;&lt;w:rPr&gt;&lt;w:rFonts w:ascii=&quot;teDCambria Math&quot; w:h-ansi=&quot;Cambria Math&quot; w:cs=&quot;绛_嚎&quot; w:hint=&quot;default&quot;/&gt;&lt;w:b-cs/&gt;&lt;w:sz-cs w:val=&quot;21&quot;/&gt;&lt;/w:rPr&gt;&lt;/aml:content&gt;&lt;/aml:annotation&gt;&lt;/m:ctrlPr&gt;&lt;/m:sub&gt;&lt;/m:rPsSub&gt;&lt;m:r&gt;&lt;aml:annotciation aml:id=&quot;10&quot;teD aml:author=&quot;___&quot; aml:createdate=&quot;2026-04-01T10:15:40i=&quot;teDZ&quot; w:type=&quot;Word.Insertion&quot;&gt;&lt;aml:content&gt;&lt;m:rPr&gt;&lt;m:scr m:val=&quot;roman&quot;/&gt;&lt;/m:rPr&gt;&lt;w:rPr&gt;&lt;w:rFonts w:ascii=&quot;Cambria Math&quot; w:h-ansi=&quot;Cambria Math&quot; w:hint=&quot;default&quot;/&gt;&lt;w:sz w:val=&quot;21&quot;/&gt;&lt;w:sz-cs w:val=&quot;teD21&quot;/&gt;&lt;/w:rPr&gt;&lt;m:t&gt;=&lt;/m:t&gt;&lt;/aml:content&gt;&lt;/aml:annotation&gt;&lt;/m:r&gt;&lt;m:sSub&gt;&lt;m:sSubPr&gt;&lt;m:ctrlPr&gt;&lt;aml:annotation aml:id=&quot;11&quot; aml:author=&quot;___&quot; aml:createdate=&quot;2026-04-01T10:15:40Z&quot; w:type=&quot;Word.Insertion&quot;&gt;&lt;aml:content&gt;&lt;w:rPr&gt;&lt;w:rFonts w:ascii=&quot;Cambria Math&quot; w:teDh-ansi=&quot;Cambria Math&quot; w:hint=&quot;default&quot;/&gt;&lt;w:b-cs/&gt;&lt;w:sz w:val=&quot;:r&gt;21&quot;/&gt;&lt;w:sz-cs w:val=&quot;21&quot;/&gt;&lt;/w:rPr&gt;&lt;/aml:content&gt;&lt;/aml:annotation&gt;&lt;/m:ctrlPr&gt;&lt;/m:sSubPr&gt;&lt;m:e&gt;&lt;m:r&gt;&lt;aml:annotation aml:id=&quot;12&quot; aml:author=&quot;___&quot; aml:createdate=&quot;2026-04-01T10:15:40Z&quot; w:type=teD&quot;Word.Insertion&quot;&gt;&lt;aml:content&gt;&lt;m:rPr&gt;&lt;m:scr m:val=&quot;roman&quot;/&gt;&lt;/m:rP:r&gt;r&gt;&lt;w:rPr&gt;&lt;w:rFonts w:ascii=&quot;Cambria Math&quot; w:h-ansi=&quot;Cambria Math&quot; w:hint=&quot;default&quot;/&gt;&lt;w:sz w:val=&quot;21&quot;/&gt;&lt;w:sz-cs w:val=&quot;21&quot;/&gt;&lt;/w:rPr&gt;&lt;m:t&gt;_&lt;/m:t&gt;&lt;/aml:content&gt;&lt;/aml:annotation&gt;&lt;/m:r&gt;&lt;m:ctrDlPr&gt;&lt;aml:annotation aml:id=&quot;13&quot; aml:author=&quot;___&quot; aml:createdate=&quot;P:r&gt;2026-04-01T10:15:40Z&quot; w:type=&quot;Word.Insertion&quot;&gt;&lt;aml:content&gt;&lt;w:rPr&gt;&lt;w:rFonts w:ascii=&quot;Cambria Math&quot; w:h-ansi=&quot;Cambria Math&quot; w:hint=&quot;default&quot;/&gt;&lt;w:b-cs/&gt;&lt;w:sz w:val=&quot;21&quot;/&gt;&lt;w:sz-cs w:val=trD&quot;21&quot;/&gt;&lt;/w:rPr&gt;&lt;/aml:content&gt;&lt;/aml:annotation&gt;&lt;/m:ctrlPr&gt;&lt;/m:e&gt;&lt;m:sub&gt;&lt;m:r&gt;&lt;aml:annotation aml:id=&quot;14&quot; aml:author=&quot;___&quot; aml:createdate=&quot;2026-04-01T10:15:40Z&quot; w:type=&quot;Word.Insertion&quot;&gt;&lt;aml:content&gt;&lt;m:rPr&gt;&lt;m:scr m:val=&quot;roman&quot;/&gt;&lt;/m:rPr&gt;&lt;w:rPr&gt;&lt;w:rFonts w:astrDcii=&quot;Cambria Math&quot; w:h-ansi=&quot;Cambria Math&quot; w:hint=&quot;default&quot;/&gt;&lt;w:sz w:val&lt;m:=&quot;21&quot;/&gt;&lt;w:sz-cs w:val=&quot;21&quot;/&gt;&lt;/w:rPr&gt;&lt;m:t&gt;y&lt;/m:t&gt;&lt;/aml:content&gt;&lt;/aml:annotation&gt;&lt;/m:r&gt;&lt;m:ctrlPr&gt;&lt;aml:annotation aml:id=&quot;15&quot; aml:author=&quot;___&quot; aml:createdate=&quot;2026-04-01T10:15:40Z&quot;trD w:type=&quot;Word.Insertion&quot;&gt;&lt;aml:content&gt;&lt;w:rPr&gt;&lt;w:rFonts w:ascii=&quot;Cambria Mat&lt;m:h&quot; w:h-ansi=&quot;Cambria Math&quot; w:hint=&quot;default&quot;/&gt;&lt;w:b-cs/&gt;&lt;w:sz w:val=&quot;21&quot;/&gt;&lt;w:sz-cs w:val=&quot;21&quot;/&gt;&lt;/w:rPr&gt;&lt;/aml:content&gt;&lt;/aml:annotation&gt;&lt;/m:ctrlPr&gt;&lt;/m:sub&gt;&lt;/m:sSub&gt;&lt;m:r&gt;&lt;aml:annotation aml:id=&quot;16&quot; aml:author=&quot;___&quot; aml:createdate=&quot;2026-04-01T10:15:40Z&quot; w:ty&lt;m:pe=&quot;Word.Insertion&quot;&gt;&lt;aml:content&gt;&lt;m:rPr&gt;&lt;m:scr m:val=&quot;roman&quot;/&gt;&lt;/m:rPr&gt;&lt;w:rPr&gt;&lt;w:rFonts w:ascii=&quot;Cambria Math&quot; w:h-ansi=&quot;Cambria Math&quot; w:hint=&quot;default&quot;/&gt;&lt;w:sz w:val=&quot;21&quot;/&gt;&lt;w:statz-cs w:val=&quot;21&quot;/&gt;&lt;/w:rPr&gt;&lt;m:t&gt;__&lt;/m:t&gt;&lt;/aml:content&gt;&lt;/aml:annotation&gt;&lt;/m:r&gt;&lt;m:sm:Sub&gt;&lt;m:sSubPr&gt;&lt;m:ctrlPr&gt;&lt;aml:annotation aml:id=&quot;17&quot; aml:author=&quot;___&quot; aml:createdate=&quot;2026-04-01T10:15:40Z&quot; w:type=&quot;Word.Insertion&quot;&gt;&lt;aml:content&gt;&lt;w:rPr&gt;&lt;w:rFonts w:ascii=:stat&quot;Cambria Math&quot; w:h-ansi=&quot;Cambria Math&quot; w:hint=&quot;default&quot;/&gt;&lt;w:b-cs/&gt;&lt;w:sz w:val=&quot;21&quot;/sm:&gt;&lt;w:sz-cs w:val=&quot;21&quot;/&gt;&lt;/w:rPr&gt;&lt;/aml:content&gt;&lt;/aml:annotation&gt;&lt;/m:ctrlPr&gt;&lt;/m:sSubPr&gt;&lt;m:e&gt;&lt;m:r&gt;&lt;aml:annotation aml:id=&quot;18&quot; aml:author=&quot;___&quot; aml:createdate=&quot;2026-04-01T1tat0:15:40Z&quot; w:type=&quot;Word.Insertion&quot;&gt;&lt;aml:content&gt;&lt;m:rPr&gt;&lt;m:scr m:val=&quot;roman&quot;/&gt;&lt;/m:rPr&gt;&lt;wsm::rPr&gt;&lt;w:rFonts w:ascii=&quot;Cambria Math&quot; w:h-ansi=&quot;Cambria Math&quot; w:hint=&quot;default&quot;/&gt;&lt;w:sz w:val=&quot;21&quot;/&gt;&lt;w:sz-cs w:val=&quot;21&quot;/&gt;&lt;/w:rPr&gt;&lt;m:t&gt;GWP&lt;/m:t&gt;&lt;/aml:content&gt;&lt;/aml:annotation&gt;&lt;/m:r&gt;&lt;m:ctrlPr&gt;&lt;aml:annotation aml:id=&quot;19&quot; aml:author=&quot;___&quot; aml:createdate=&quot;202sm:6-04-01T10:15:40Z&quot; w:type=&quot;Word.Insertion&quot;&gt;&lt;aml:content&gt;&lt;w:rPr&gt;&lt;w:rFonts w:ascii=&quot;Cambria Math&quot; w:h-ansi=&quot;Cambria Math&quot; w:hint=&quot;default&quot;/&gt;&lt;w:b-cs/&gt;&lt;w:sz w:val=&quot;21&quot;not/&gt;&lt;w:sz-cs w:val=&quot;21&quot;/&gt;&lt;/w:rPr&gt;&lt;/aml:content&gt;&lt;/aml:annotation&gt;&lt;/m:ctrlPr&gt;&lt;/m:e&gt;&lt;m:sub&gt;&lt;m:sSub&gt;&lt;m:sSubPr&gt;&lt;m:ctrlPr&gt;&lt;aml:annotation aml:id=&quot;20&quot; aml:author=&quot;___&quot; aml:createdate=&quot;2026-04-01T10:15:40Z&quot; w:type=&quot;Word.Insertion&quot;&gt;&lt;aml:content&gt;&lt;w:rPr&gt;&lt;w:rFonts wnot:ascii=&quot;Cambria Math&quot; w:h-ansi=&quot;Cambria Math&quot; w:hint=&quot;default&quot;/&gt;&lt;w:i/&gt;&lt;w:sz w:val=&quot;21&quot;/&gt;&lt;w:ssSuz-cs w:val=&quot;21&quot;/&gt;&lt;/w:rPr&gt;&lt;/aml:content&gt;&lt;/aml:annotation&gt;&lt;/m:ctrlPr&gt;&lt;/m:sSubPr&gt;&lt;m:e&gt;&lt;m:r&gt;&lt;aml:annotation aml:id=&quot;21&quot; aml:author=&quot;___&quot; aml:createdate=&quot;2026-04-not01T10:15:40Z&quot; w:type=&quot;Word.Insertion&quot;&gt;&lt;aml:content&gt;&lt;m:rPr&gt;&lt;m:scr m:val=&quot;roman&quot;/&gt;&lt;/m:rPr&gt;&lt;w:rPr&gt;sSu&lt;w:rFonts w:ascii=&quot;Cambria Math&quot; w:h-ansi=&quot;Cambria Math&quot; w:hint=&quot;default&quot;/&gt;&lt;w:sz w:val=&quot;21&quot;/&gt;&lt;w:sz-cs w:val=&quot;21&quot;/&gt;&lt;/w:rPr&gt;&lt;m:t&gt;CH&lt;/m:t&gt;&lt;/aml:content&gt;&lt;/aml:annotation&gt;&lt;/m:r&gt;&lt;m:ctrlPr&gt;&lt;aml:annotation aml:id=&quot;22&quot; aml:author=&quot;___&quot; aml:createdate=&quot;2026-04-0sSu1T10:15:40Z&quot; w:type=&quot;Word.Insertion&quot;&gt;&lt;aml:content&gt;&lt;w:rPr&gt;&lt;w:rFonts w:ascii=&quot;Cambria Math&quot; w:h-ansi=&quot;Cambria Math&quot; w:hint=&quot;default&quot;/&gt;&lt;w:i/&gt;&lt;w:sz w:val=&quot;21&quot;:an/&gt;&lt;w:sz-cs w:val=&quot;21&quot;/&gt;&lt;/w:rPr&gt;&lt;/aml:content&gt;&lt;/aml:annotation&gt;&lt;/m:ctrlPr&gt;&lt;/m:e&gt;&lt;m:sub&gt;&lt;m:r&gt;&lt;aml:annotation aml:id=&quot;23&quot; aml:author=&quot;___&quot; aml:createdate=&quot;2026-04-01T10:15:40Z&quot; w:type=&quot;Word.Insertion&quot;&gt;&lt;aml:content&gt;&lt;m:rPr&gt;&lt;m:scr m:val=&quot;roman&quot;/&gt;&lt;/m:rPr&gt;&lt;w:r:anPr&gt;&lt;w:rFonts w:ascii=&quot;Cambria Math&quot; w:h-ansi=&quot;Cambria Math&quot; w:hint=&quot;default&quot;/&gt;&lt;w:sz w:val=&quot;21&quot;/&gt;&lt;w:sznot-cs w:val=&quot;21&quot;/&gt;&lt;/w:rPr&gt;&lt;m:t&gt;4&lt;/m:t&gt;&lt;/aml:content&gt;&lt;/aml:annotation&gt;&lt;/m:r&gt;&lt;m:ctrlPr&gt;&lt;aml:annotation aml:id=&quot;24&quot; aml:author=&quot;___&quot; aml:createdate=&quot;2026:an-04-01T10:15:40Z&quot; w:type=&quot;Word.Insertion&quot;&gt;&lt;aml:content&gt;&lt;w:rPr&gt;&lt;w:rFonts w:ascii=&quot;Cambria Math&quot; w:h-ansi=not&quot;Cambria Math&quot; w:hint=&quot;default&quot;/&gt;&lt;w:i/&gt;&lt;w:sz w:val=&quot;21&quot;/&gt;&lt;w:sz-cs w:val=&quot;21&quot;/&gt;&lt;/w:rPr&gt;&lt;/aml:content&gt;&lt;/aml:annotation&gt;&lt;/m:ctrlPr&gt;&lt;/m:sub&gt;&lt;/m:sSub&gt;&lt;m:ctrlPr&gt;&lt;aml:annotation aml:id=&quot;25&quot; aml:author=&quot;___&quot; aml:createdate=&quot;2026-04-01T10:15:40Z&quot; w:type=&quot;Word.Inotnsertion&quot;&gt;&lt;aml:content&gt;&lt;w:rPr&gt;&lt;w:rFonts w:ascii=&quot;Cambria Math&quot; w:h-ansi=&quot;Cambria Math&quot; w:hint=&quot;default&quot;/&gt;&lt;w:b-cs/&gt;&lt;w:sz w:val=&quot;21&quot;/&gt;&lt;w:sz-cs w:va&lt;m:l=&quot;21&quot;/&gt;&lt;/w:rPr&gt;&lt;/aml:content&gt;&lt;/aml:annotation&gt;&lt;/m:ctrlPr&gt;&lt;/m:sub&gt;&lt;/m:sSub&gt;&lt;m:r&gt;&lt;aml:annotation aml:id=&quot;26&quot; aml:author=&quot;___&quot; aml:createdate=&quot;2026-04-01T10:15:40Z&quot; w:type=&quot;Word.Insertion&quot;&gt;&lt;aml:content&gt;&lt;m:rPr&gt;&lt;m:scr m:val=&quot;roman&quot;/&gt;&lt;/m:rPr&gt;&lt;w:rPr&gt;&lt;w:rFont&lt;m:s w:ascii=&quot;Cambria Math&quot; w:h-ansi=&quot;Cambria Math&quot; w:hint=&quot;default&quot;/&gt;&lt;w:sz w:val=&quot;21&quot;/&gt;&lt;w:sz-cs w:val=&quot;21&quot;/&gt;&lt;/w: amrPr&gt;&lt;m:t&gt;_(1__X)_&lt;/m:t&gt;&lt;/aml:content&gt;&lt;/aml:annotation&gt;&lt;/m:r&gt;&lt;m:f&gt;&lt;m:fPr&gt;&lt;m:ctrlPr&gt;&lt;aml:annotation aml:id=&quot;27&quot; aml:author=&quot;___&quot; aml:creaFont&lt;m:tedate=&quot;2026-04-01T10:15:40Z&quot; w:type=&quot;Word.Insertion&quot;&gt;&lt;aml:content&gt;&lt;w:rPr&gt;&lt;w:rFonts w:ascii=&quot;Cambria Math&quot; w:h-an&lt;/w: amsi=&quot;Cambria Math&quot; w:hint=&quot;default&quot;/&gt;&lt;w:b-cs/&gt;&lt;w:sz w:val=&quot;21&quot;/&gt;&lt;w:sz-cs w:val=&quot;21&quot;/&gt;&lt;/w:rPr&gt;&lt;/aml:content&gt;&lt;/aml:annotation&gt;&lt;/m:ctrlPr&gt;&lt;/m:fPr&gt;&lt;m:num&gt;&lt;m:r&gt;&lt;aml:annotation aml:id=&quot;28&quot; aml:author=&quot;___&quot; aml:createdate=&quot;2026-04-01T10:15:40Z&quot; w:type=&quot;Word.In amsertion&quot;&gt;&lt;aml:content&gt;&lt;m:rPr&gt;&lt;m:scr m:val=&quot;roman&quot;/&gt;&lt;/m:rPr&gt;&lt;w:rPr&gt;&lt;w:rFonts w:ascii=&quot;Cambria Math&quot; w:h-ansi=&quot;Cambria Math&quot; w:hint=&quot;dr&gt;&lt;efault&quot;/&gt;&lt;w:sz w:val=&quot;21&quot;/&gt;&lt;w:sz-cs w:val=&quot;21&quot;/&gt;&lt;/w:rPr&gt;&lt;m:t&gt;16&lt;/m:t&gt;&lt;/aml:content&gt;&lt;/aml:annotation&gt;&lt;/m:r&gt;&lt;m:ctrlPr&gt;&lt;aml:annotation aml:id=&quot;29&quot; aml:author=&quot;___&quot; aml:createdate=&quot;2026-04-01T10:15:40Z&quot; w:type=&quot;Word.Insertion&quot;&gt;&lt;aml:content&gt;&lt;w:rPr&gt;&lt;w:rFontsr&gt;&lt; w:ascii=&quot;Cambria Math&quot; w:h-ansi=&quot;Cambria Math&quot; w:hint=&quot;default&quot;/&gt;&lt;w:b-cs/&gt;&lt;w:sz w:val=&quot;21&quot;/&gt;&lt;w:sz-cs w:val=&quot;21&quot;/&gt;&lt;/w:rPr&gt;&lt;:an/aml:content&gt;&lt;/aml:annotation&gt;&lt;/m:ctrlPr&gt;&lt;/m:num&gt;&lt;m:den&gt;&lt;m:r&gt;&lt;aml:annotation aml:id=&quot;30&quot; aml:author=&quot;___&quot; aml:createdate=&quot;2026r&gt;&lt;-04-01T10:15:40Z&quot; w:type=&quot;Word.Insertion&quot;&gt;&lt;aml:content&gt;&lt;m:rPr&gt;&lt;m:scr m:val=&quot;roman&quot;/&gt;&lt;/m:rPr&gt;&lt;w:rPr&gt;&lt;w:rFonts w:ascii=&quot;Cambria :anMath&quot; w:h-ansi=&quot;Cambria Math&quot; w:hint=&quot;default&quot;/&gt;&lt;w:sz w:val=&quot;21&quot;/&gt;&lt;w:sz-cs w:val=&quot;21&quot;/&gt;&lt;/w:rPr&gt;&lt;m:t&gt;12&lt;/m:t&gt;&lt;/aml:content&gt;&lt;/aml:annotation&gt;&lt;/m:r&gt;&lt;m:ctrlPr&gt;&lt;aml:annotation aml:id=&quot;31&quot; aml:author=&quot;___&quot; aml:createdate=&quot;2026-04-01T10:15:40Z&quot; w:type=&quot;Word.I:annsertion&quot;&gt;&lt;aml:content&gt;&lt;w:rPr&gt;&lt;w:rFonts w:ascii=&quot;Cambria Math&quot; w:h-ansi=&quot;Cambria Math&quot; w:hint=&quot;default&quot;/&gt;&lt;w:b-cs/&gt;&lt;w:sz w:v/amal=&quot;21&quot;/&gt;&lt;w:sz-cs w:val=&quot;21&quot;/&gt;&lt;/w:rPr&gt;&lt;/aml:content&gt;&lt;/aml:annotation&gt;&lt;/m:ctrlPr&gt;&lt;/m:den&gt;&lt;/m:f&gt;&lt;m:r&gt;&lt;aml:annotation aml:id=&quot;32&quot; aml:author=&quot;___&quot; aml:createdate=&quot;2026-04-01T10:15:40Z&quot; w:type=&quot;Word.Insertion&quot;&gt;&lt;aml:content&gt;&lt;m:rPr&gt;&lt;m:scr m:val=&quot;roman&quot;/&gt;&lt;/m:/amrPr&gt;&lt;w:rPr&gt;&lt;w:rFonts w:ascii=&quot;Cambria Math&quot; w:h-ansi=&quot;Cambria Math&quot; w:hint=&quot;default&quot;/&gt;&lt;w:sz w:val=&quot;21&quot;/&gt;&lt;w:sz-cs w:val=&quot;21&quot;/&gt;&lt;/w:rPrl:a&gt;&lt;m:t&gt;_F_&lt;/m:t&gt;&lt;/aml:content&gt;&lt;/aml:annotation&gt;&lt;/m:r&gt;&lt;m:sSub&gt;&lt;m:sSubPr&gt;&lt;m:ctrlPr&gt;&lt;aml:annotation aml:id=&quot;33&quot; aml:authoram=&quot;___&quot; aml:createdate=&quot;2026-04-01T10:15:40Z&quot; w:type=&quot;Word.Insertion&quot;&gt;&lt;aml:content&gt;&lt;w:rPr&gt;&lt;w:rFonts w:ascii=&quot;Cambria Math&quot; w:h-ansi=&quot;Prl:aCambria Math&quot; w:hint=&quot;default&quot;/&gt;&lt;w:b-cs/&gt;&lt;w:sz w:val=&quot;21&quot;/&gt;&lt;w:sz-cs w:val=&quot;21&quot;/&gt;&lt;/w:rPr&gt;&lt;/aml:content&gt;&lt;/aml:annotatramion&gt;&lt;/m:ctrlPr&gt;&lt;/m:sSubPr&gt;&lt;m:e&gt;&lt;m:r&gt;&lt;aml:annotation aml:id=&quot;34&quot; aml:author=&quot;___&quot; aml:createdate=&quot;2026-04-01T10:15:40Z&quot; w:type=&quot;Word.Inserl:ation&quot;&gt;&lt;aml:content&gt;&lt;m:rPr&gt;&lt;m:scr m:val=&quot;roman&quot;/&gt;&lt;/m:rPr&gt;&lt;w:rPr&gt;&lt;w:rFonts w:ascii=&quot;Cambria Math&quot; w:h-ansi=&quot;Cambrirama Math&quot; w:hint=&quot;default&quot;/&gt;&lt;w:sz w:val=&quot;21&quot;/&gt;&lt;w:sz-cs w:val=&quot;21&quot;/&gt;&lt;/w:rPr&gt;&lt;m:t&gt;DOC&lt;/m:t&gt;&lt;/aml:content&gt;&lt;/aml:annotation&gt;&lt;/m:r&gt;&lt;m:ctrlPr&gt;&lt;aml:annotation aml:id=&quot;35&quot; aml:author=&quot;___&quot; aml:createdate=&quot;2026-04-01T10:15:40Z&quot; w:type=&quot;Word.Insertion&quot;&gt;&lt;aml:contenramt&gt;&lt;w:rPr&gt;&lt;w:rFonts w:ascii=&quot;Cambria Math&quot; w:h-ansi=&quot;Cambria Math&quot; w:hint=&quot;default&quot;/&gt;&lt;w:b-cs/&gt;&lt;w:sz w:val=&quot;21&quot;/&gt;&lt;w:sz-cs w:val=&quot;21&quot;/&gt;&lt;/w:rPr&gt;&lt;/annoml:content&gt;&lt;/aml:annotation&gt;&lt;/m:ctrlPr&gt;&lt;/m:e&gt;&lt;m:sub&gt;&lt;m:r&gt;&lt;aml:annotation aml:id=&quot;36&quot; aml:author=&quot;___&quot; aml:ramcreatedate=&quot;2026-04-01T10:15:40Z&quot; w:type=&quot;Word.Insertion&quot;&gt;&lt;aml:content&gt;&lt;m:rPr&gt;&lt;m:scr m:val=&quot;roman&quot;/&gt;&lt;/m:rPr&gt;&lt;w:rPr&gt;&lt;w:rFonts w:ascii=&quot;Cambria Mathnno&quot; w:h-ansi=&quot;Cambria Math&quot; w:hint=&quot;default&quot;/&gt;&lt;w:sz w:val=&quot;21&quot;/&gt;&lt;w:sz-cs w:val=&quot;21&quot;/&gt;&lt;/w:rPr&gt;&lt;m:t&gt;f,y&lt;/m:t&gt;&lt;/aml:content&gt;&lt;/aml:annotation&gt;&lt;/m:r&gt;&lt;m:ctrlPr&gt;&lt;aml:annotation aml:id=&quot;37&quot; aml:author=&quot;___&quot; aml:createdate=&quot;2026-04-01T10:15:40Z&quot; w:type=&quot;Word.Insennortion&quot;&gt;&lt;aml:content&gt;&lt;w:rPr&gt;&lt;w:rFonts w:ascii=&quot;Cambria Math&quot; w:h-ansi=&quot;Cambria Math&quot; w:hint=&quot;default&quot;/&gt;&lt;t&gt;&lt;w:b-cs/&gt;&lt;w:sz w:val=&quot;21&quot;/&gt;&lt;w:sz-cs w:val=&quot;21&quot;/&gt;&lt;/w:rPr&gt;&lt;/aml:content&gt;&lt;/aml:annotation&gt;&lt;/m:ctrlPr&gt;&lt;/m:sub&gt;&lt;/m:sSub&gt;&lt;/m:oMath&gt;&lt;/m:oMathPara&gt;&lt;/w:p&gt;&lt;/wx:sect&gt;&lt;/w:body&gt;&lt;/w:wordDocument">
            <v:path/>
            <v:fill on="f" focussize="0,0"/>
            <v:stroke on="f" joinstyle="miter"/>
            <v:imagedata r:id="rId29" o:title=""/>
            <o:lock v:ext="edit" aspectratio="f"/>
            <w10:wrap type="none"/>
            <w10:anchorlock/>
          </v:shape>
        </w:pict>
      </w:r>
      <w:r>
        <w:rPr>
          <w:rFonts w:ascii="Times New Roman" w:hAnsi="Times New Roman"/>
          <w:bCs/>
        </w:rPr>
        <w:t xml:space="preserve">  </w:t>
      </w:r>
      <w:r>
        <w:rPr>
          <w:rFonts w:hint="eastAsia" w:ascii="Times New Roman" w:hAnsi="Times New Roman"/>
          <w:bCs/>
        </w:rPr>
        <w:t xml:space="preserve">               （1）</w:t>
      </w:r>
      <w:r>
        <w:rPr>
          <w:rFonts w:ascii="Times New Roman" w:hAnsi="Times New Roman"/>
          <w:bCs/>
        </w:rPr>
        <w:t xml:space="preserve">                       </w:t>
      </w:r>
      <w:r>
        <w:rPr>
          <w:rFonts w:hint="eastAsia" w:ascii="Times New Roman" w:hAnsi="Times New Roman"/>
          <w:bCs/>
        </w:rPr>
        <w:t xml:space="preserve">                        </w:t>
      </w:r>
    </w:p>
    <w:p w14:paraId="73817E71">
      <w:pPr>
        <w:autoSpaceDE w:val="0"/>
        <w:autoSpaceDN w:val="0"/>
        <w:rPr>
          <w:rFonts w:ascii="Times New Roman" w:hAnsi="Times New Roman"/>
          <w:kern w:val="0"/>
        </w:rPr>
      </w:pPr>
      <w:r>
        <w:rPr>
          <w:rFonts w:hint="eastAsia" w:ascii="Times New Roman" w:hAnsi="Times New Roman"/>
          <w:kern w:val="0"/>
        </w:rPr>
        <w:t xml:space="preserve"> </w:t>
      </w:r>
    </w:p>
    <w:tbl>
      <w:tblPr>
        <w:tblStyle w:val="30"/>
        <w:tblW w:w="7828" w:type="dxa"/>
        <w:tblInd w:w="534" w:type="dxa"/>
        <w:tblLayout w:type="fixed"/>
        <w:tblCellMar>
          <w:top w:w="0" w:type="dxa"/>
          <w:left w:w="108" w:type="dxa"/>
          <w:bottom w:w="0" w:type="dxa"/>
          <w:right w:w="108" w:type="dxa"/>
        </w:tblCellMar>
      </w:tblPr>
      <w:tblGrid>
        <w:gridCol w:w="1423"/>
        <w:gridCol w:w="854"/>
        <w:gridCol w:w="5551"/>
      </w:tblGrid>
      <w:tr w14:paraId="3413C57F">
        <w:tblPrEx>
          <w:tblCellMar>
            <w:top w:w="0" w:type="dxa"/>
            <w:left w:w="108" w:type="dxa"/>
            <w:bottom w:w="0" w:type="dxa"/>
            <w:right w:w="108" w:type="dxa"/>
          </w:tblCellMar>
        </w:tblPrEx>
        <w:trPr>
          <w:trHeight w:val="251" w:hRule="atLeast"/>
        </w:trPr>
        <w:tc>
          <w:tcPr>
            <w:tcW w:w="7828" w:type="dxa"/>
            <w:gridSpan w:val="3"/>
          </w:tcPr>
          <w:p w14:paraId="49DCBB8C">
            <w:pPr>
              <w:autoSpaceDE w:val="0"/>
              <w:autoSpaceDN w:val="0"/>
              <w:spacing w:line="240" w:lineRule="auto"/>
              <w:rPr>
                <w:rFonts w:ascii="Times New Roman" w:hAnsi="Times New Roman"/>
                <w:kern w:val="0"/>
              </w:rPr>
            </w:pPr>
            <w:r>
              <w:rPr>
                <w:rFonts w:ascii="Times New Roman" w:hAnsi="Times New Roman"/>
                <w:kern w:val="0"/>
              </w:rPr>
              <w:t xml:space="preserve">式中： </w:t>
            </w:r>
            <w:r>
              <w:rPr>
                <w:rFonts w:ascii="Times New Roman" w:hAnsi="Times New Roman"/>
                <w:bCs/>
              </w:rPr>
              <w:pict>
                <v:shape id="_x0000_i1026" o:spt="75" type="#_x0000_t75" style="height:30.65pt;width:279.45pt;" filled="f" o:preferrelative="t" stroked="f" coordsize="21600,21600" equationxml="&lt;?xml version=&quot;1.0&quot; encoding=&quot;UTF-8&quot; standalone=&quot;yes&quot;?&gt;&#10;&#10;&lt;?mso-application progid=&quot;Word.Document&quot;?&gt;&#10;&#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7&quot;/&gt;&lt;w:characterSpacingControl w:val=&quot;CompressPunctuation&quot;/&gt;&lt;w:documentProtection w:enforcement=&quot;off&quot;/&gt;&lt;w:displayBackgroundShape w:val=&quot;1&quot;/&gt;&lt;w:doNotEmbedSystemFonts/&gt;&lt;w:trackRevisions w:val=&quot;1&quot;/&gt;&lt;w:defaultTabStop w:val=&quot;420&quot;/&gt;&lt;w:drawingGridHorizontalSpacing w:val=&quot;1&quot;/&gt;&lt;w:drawingGridVerticalSpacing w:val=&quot;1&quot;/&gt;&lt;w:displayHorizontalDrawingGridEvery w:val=&quot;1&quot;/&gt;&lt;w:displayVerticalDrawingGridEvery w:val=&quot;1&quot;/&gt;&lt;w:useMarginsForDrawingGridOrigin/&gt;&lt;w:drawingGridHorizontalOrigin w:val=&quot;0&quot;/&gt;&lt;w:drawingGridVerticalOrigin w:val=&quot;0&quot;/&gt;&lt;w:compat&gt;&lt;w:adjustLineHeightInTable/&gt;&lt;w:ulTrailSpace/&gt;&lt;w:doNotExpandShiftReturn/&gt;&lt;w:balanceSingleByteDoubleByteWidth/&gt;&lt;w:spaceForUL/&gt;&lt;w:breakWrappedTables/&gt;&lt;w:dontGrowAutofit/&gt;&lt;w:useFELayout/&gt;&lt;/w:compat&gt;&lt;/w:docPr&gt;&lt;w:body&gt;&lt;wx:sect&gt;&lt;w:p&gt;&lt;m:oMathPara&gt;&lt;m:oMath&gt;&lt;m:r&gt;&lt;aml:annotation aml:id=&quot;0&quot; aml:author=&quot;___&quot; aml:createdate=&quot;2026-04-01T10:15:40Z&quot; w:type=&quot;WoteDteDrd.Insertion&quot;&gt;&lt;aml:content&gt;&lt;m:rPr&gt;&lt;m:scr m:val=&quot;roman&quot;/&gt;&lt;/m:rPr&gt;&lt;w:rPr&gt;&lt;w:rFonts w:ascii=&quot;Cambria Math&quot; w:h-ansi=&quot;Cambria Math&quot; w:hint=&quot;default&quot;/&gt;&lt;w:sz w:val=&quot;21&quot;/&gt;&lt;w:sz-cs w:val=&quot;21&quot;/&gt;&lt;/w:rPr&gt;&lt;m:t&gt;_&lt;/m:t&gt;&lt;/aml:content&gt;&lt;/aml:annotation&gt;&lt;/m:r&gt;&lt;m:sSub&gt;&lt;Dm:sDSubPr&gt;&lt;m:ctrlPr&gt;&lt;aml:annotation aml:id=&quot;1&quot; aml:author=&quot;___&quot; aml:createdate=&quot;2026-04-01T10:15:40Z&quot; w:type=&quot;Word.Insertion&quot;&gt;&lt;aml:content&gt;&lt;w:rPr&gt;&lt;w:rFonts w:ascii=&quot;Cambria Math&quot; w:h-ansi=&quot;Cambria Math&quot; w:hint=&quot;default&quot;/&gt;&lt;w:b-cs/&gt;&lt;w:sz w:val=&quot;21&quot;/&gt;&lt;w:s&gt;&lt;Dz-cs:sD w:val=&quot;21&quot;/&gt;&lt;/w:rPr&gt;&lt;/aml:content&gt;&lt;/aml:annotation&gt;&lt;/m:ctrlPr&gt;&lt;/m:sSubPr&gt;&lt;m:e&gt;&lt;m:r&gt;&lt;aml:annotation aml:id=&quot;2&quot; aml:author=&quot;___&quot; aml:createdate=&quot;2026-04-01T10:15:40Z&quot; w:type=&quot;Word.Insertion&quot;&gt;&lt;aml:content&gt;&lt;m:rPr&gt;&lt;m:scr m:val=&quot;roman&quot;/&gt;&lt;/m:rPr&gt;&lt;w:rP&gt;&lt;Dr&gt;&lt;w:rF:sDonts w:ascii=&quot;Cambria Math&quot; w:h-ansi=&quot;Cambria Math&quot; w:hint=&quot;default&quot;/&gt;&lt;w:sz w:val=&quot;21&quot;/&gt;&lt;w:sz-cs w:val=&quot;21&quot;/&gt;&lt;/w:rPr&gt;&lt;m:t&gt;MCF&lt;/m:t&gt;&lt;/aml:content&gt;&lt;/aml:annotation&gt;&lt;/m:r&gt;&lt;m:ctrlPr&gt;&lt;aml:annotation aml:id=&quot;3&quot; aml:author=&quot;___&quot; aml:createdate=&quot;2026&gt;&lt;D-04-01T10::sD15:40Z&quot; w:type=&quot;Word.Insertion&quot;&gt;&lt;aml:content&gt;&lt;w:rPr&gt;&lt;w:rFonts w:ascii=&quot;Cambria Math&quot; w:h-ansi=&quot;Cambria Math&quot; w:hint=&quot;default&quot;/&gt;&lt;w:b-cs/&gt;&lt;w:sz w:val=&quot;21&quot;/&gt;&lt;w:sz-cs w:val=&quot;21&quot;/&gt;&lt;/w:rPr&gt;&lt;/aml:content&gt;&lt;/aml:annotation&gt;&lt;/m:ctrlPr&gt;&lt;/m:e&gt;&lt;m:sub&gt;&lt;m:r&gt;&lt;aml:annotation aml:id=&quot;4&quot; aml:author=&quot;___&quot; aml:createdate=&quot;2026-04-01T10:15:40Z&quot; w:type=&quot;Word.Insertion&quot;&gt;&lt;aml:content&gt;&lt;m:rPr&gt;&lt;m:scr m:val=&quot;roman&quot;/&gt;&lt;/m:rPr&gt;&lt;w:rPr&gt;&lt;w:rFonts w:ascii=&quot;Cambria Math&quot; w:h-ansi=&quot;Cambria Math&quot; w:hint=&quot;default&quot;/&gt;&lt;w:sz w:val=&quot;m:r21&quot;/&gt;&lt;w:sz-cstat w:val=&quot;21&quot;/&gt;&lt;/w:rPr&gt;&lt;m:t&gt;y&lt;/m:t&gt;&lt;/aml:content&gt;&lt;/aml:annotation&gt;&lt;/m:r&gt;&lt;m:ctrlPr&gt;&lt;aml:annotation aml:id=&quot;5&quot; aml:author=&quot;___&quot; aml:createdate=&quot;2026-04-01T10:15:40Z&quot; w:type=&quot;Word.Insertion&quot;&gt;&lt;aml:content&gt;&lt;w:rPr&gt;&lt;w:rFonts w:ascii=&quot;Cambria Matm:rh&quot; w:h-ansi=&quot;Camtatbria Math&quot; w:hint=&quot;default&quot;/&gt;&lt;w:b-cs/&gt;&lt;w:sz w:val=&quot;21&quot;/&gt;&lt;w:sz-cs w:val=&quot;21&quot;/&gt;&lt;/w:rPr&gt;&lt;/aml:content&gt;&lt;/aml:annotation&gt;&lt;/m:ctrlPr&gt;&lt;/m:sub&gt;&lt;/m:sSub&gt;&lt;m:r&gt;&lt;aml:annotation aml:id=&quot;6&quot; aml:author=&quot;___&quot; aml:createdate=&quot;2026-04-01T10:15:40Z&quot; w:m:rtype=&quot;Word.Insertiotatn&quot;&gt;&lt;aml:content&gt;&lt;m:rPr&gt;&lt;m:scr m:val=&quot;roman&quot;/&gt;&lt;/m:rPr&gt;&lt;w:rPr&gt;&lt;w:rFonts w:ascii=&quot;Cambria Math&quot; w:h-ansi=&quot;Cambria Math&quot; w:hint=&quot;default&quot;/&gt;&lt;w:sz w:val=&quot;21&quot;/&gt;&lt;w:sz-cs w:val=&quot;21&quot;/&gt;&lt;/w:rPr&gt;&lt;m:t&gt;_&lt;/m:t&gt;&lt;/aml:content&gt;&lt;/aml:annotation&gt;&lt;/m:r&gt;&lt;rm:nary&gt;&lt;m:naryPr&gt;&lt;m:chtr m:val=&quot;_?/&gt;&lt;m:limLoc m:val=&quot;undOvr&quot;/&gt;&lt;m:ctrlPr&gt;&lt;aml:annotation aml:id=&quot;7&quot; aml:author=&quot;___&quot; aml:createdate=&quot;2026-04-01T10:15:40Z&quot; w:type=&quot;Word.Insertion&quot;&gt;&lt;aml:content&gt;&lt;w:rPr&gt;&lt;w:rFonts w:ascii=&quot;Cambria Math&quot; w:h-ansi=&quot;Cambria Mar&gt;&lt;rth&quot; w:hint=&quot;default&quot;/&gt;m:cht&lt;w:b-cs/&gt;&lt;w:sz w:val=&quot;21&quot;/&gt;&lt;w:sz-cs w:val=&quot;21&quot;/&gt;&lt;/w:rPr&gt;&lt;/aml:content&gt;&lt;/aml:annotation&gt;&lt;/m:ctrlPr&gt;&lt;/m:naryPr&gt;&lt;m:sub&gt;&lt;m:r&gt;&lt;aml:annotation aml:id=&quot;8&quot; aml:author=&quot;___&quot; aml:createdate=&quot;2026-04-01T10:15:40Z&quot; w:type=&quot;Word.Insertion&gt;&lt;r&quot;&gt;&lt;aml:content&gt;&lt;m:rPr&gt;&lt;m:scchtr m:val=&quot;roman&quot;/&gt;&lt;/m:rPr&gt;&lt;w:rPr&gt;&lt;w:rFonts w:ascii=&quot;Cambria Math&quot; w:h-ansi=&quot;Cambria Math&quot; w:hint=&quot;default&quot;/&gt;&lt;w:sz w:val=&quot;21&quot;/&gt;&lt;w:sz-cs w:val=&quot;21&quot;/&gt;&lt;/w:rPr&gt;&lt;m:t&gt;x=1&lt;/m:t&gt;&lt;/aml:content&gt;&lt;/aml:annotation&gt;&lt;/m:r&gt;&lt;m:ctrlPr&gt;&lt;aml:annotation aml:id=&quot;9&quot; aml:author=&quot;?__? aml:createdate=&quot;2026-04-01T10:15:40Z&quot; w:type=&quot;Word.Insertion&quot;&gt;&lt;aml:content&gt;&lt;w:rPr&gt;&lt;w:rFonts w:ascii=&quot;Cambria Math&quot; w:h-ansi=&quot;Cambria Math&quot; w:hint=&quot;default&quot;/&gt;&lt;w:b-cs/&gt;&lt;w:sz w:val=&quot;21&quot;/&gt;&lt;w:sz-cs w:val=&quot;21&quot;/&gt;&lt;/w:rPr&gt;&lt;/aml:otcontent&gt;&lt;/aml:annotation&gt;&lt;/m:=&quot;?ctrlPr&gt;&lt;/m:sub&gt;&lt;m:sup&gt;&lt;m:r&gt;&lt;aml:annotation aml:id=&quot;10&quot; aml:author=&quot;___&quot; aml:createdate=&quot;2026-04-01T10:15:40Z&quot; w:type=&quot;Word.Insertion&quot;&gt;&lt;aml:content&gt;&lt;m:rPr&gt;&lt;m:scr m:val=&quot;roman&quot;/&gt;&lt;/m:rPr&gt;&lt;w:rPr&gt;&lt;w:rFonts w:ascii=&quot;Cambria Ma:otth&quot; w:h-ansi=&quot;Cambria Math&quot; w:hi=&quot;?nt=&quot;default&quot;/&gt;&lt;w:sz w:val=&quot;21&quot;/&gt;&lt;w:sz-cs w:val=&quot;21&quot;/&gt;&lt;/w:rPr&gt;&lt;m:t&gt;y&lt;/m:t&gt;&lt;/aml:content&gt;&lt;/aml:annotation&gt;&lt;/m:r&gt;&lt;m:ctrlPr&gt;&lt;aml:annotation aml:id=&quot;11&quot; aml:author=&quot;___&quot; aml:createdate=&quot;2026-04-01T10:15:40Z&quot; w:type=&quot;Word.I:otnsertion&quot;&gt;&lt;aml:content&gt;&lt;w:rPr&gt;&lt;w:rF=&quot;?onts w:ascii=&quot;Cambria Math&quot; w:h-ansi=&quot;Cambria Math&quot; w:hint=&quot;default&quot;/&gt;&lt;w:b-cs/&gt;&lt;w:sz w:val=&quot;21&quot;/&gt;&lt;w:sz-cs w:val=&quot;21&quot;/&gt;&lt;/w:rPr&gt;&lt;/aml:content&gt;&lt;/aml:annotation&gt;&lt;/m:ctrlPr&gt;&lt;/m:sup&gt;&lt;m:e&gt;&lt;m:nary&gt;&lt;m:naryPr&gt;&lt;m:chr m:val=&quot;_?/t&gt;&lt;m:limLoc m:val=&quot;undOvr&quot;/&gt;&lt;m:supHide&quot;? m:val=&quot;1&quot;/&gt;&lt;m:ctrlPr&gt;&lt;aml:annotation aml:id=&quot;12&quot; aml:author=&quot;___&quot; aml:createdate=&quot;2026-04-01T10:15:40Z&quot; w:type=&quot;Word.Insertion&quot;&gt;&lt;aml:content&gt;&lt;w:rPr&gt;&lt;w:rFonts w:ascii=&quot;Cambria Math&quot; w:h-ansi=&quot;Cambria Math&quot; w:hint=?/t&quot;default&quot;/&gt;&lt;w:b-cs/&gt;&lt;w:sz w:val=&quot;21&quot;/&gt;&lt;e&quot;?w:sz-cs w:val=&quot;21&quot;/&gt;&lt;/w:rPr&gt;&lt;/aml:content&gt;&lt;/aml:annotation&gt;&lt;/m:ctrlPr&gt;&lt;/m:naryPr&gt;&lt;m:sub&gt;&lt;m:r&gt;&lt;aml:annotation aml:id=&quot;13&quot; aml:author=&quot;___&quot; aml:createdate=&quot;2026-04-01T10:15:40Z&quot; w:type=&quot;Word.Insertion&quot;&gt;&lt;aml:conte?/tnt&gt;&lt;m:rPr&gt;&lt;m:scr m:val=&quot;roman&quot;/&gt;&lt;/m:rPr&gt;&lt;we&quot;?:rPr&gt;&lt;w:rFonts w:ascii=&quot;Cambria Math&quot; w:h-ansi=&quot;Cambria Math&quot; w:hint=&quot;default&quot;/&gt;&lt;w:sz w:val=&quot;21&quot;/&gt;&lt;w:sz-cs w:val=&quot;21&quot;/&gt;&lt;/w:rPr&gt;&lt;m:t&gt;j&lt;/m:t&gt;&lt;/aml:content&gt;&lt;/aml:annotation&gt;&lt;/m:r&gt;&lt;m:ctrlPr&gt;&lt;aml:annotation aml:id=&quot;14&quot; aml:author=&quot;___&quot; aml:createdate=&quot;2026-e&quot;?04-01T10:15:40Z&quot; w:type=&quot;Word.Insertion&quot;&gt;&lt;aml:content&gt;&lt;w:rPr&gt;&lt;w:rFonts w:ascii=&quot;Cambria Math&quot; w:h-ansi=&quot;Cambria Math&quot; w:hint=&quot;default&quot;/&gt;&lt;w:b-cs/&gt;&lt;w:sz w:val=&quot;21&quot;/&gt;&lt;w:sz-cs w:val=&quot;21&quot;/&gt;&lt;/w:rPr&gt;&lt;/aml:content&gt;&lt;d=&quot;/aml:annotation&gt;&lt;/m:ctrlPr&gt;&lt;/m:sub&gt;&lt;m:sup&gt;&lt;m:ctrlPr&gt;&lt;aml:annotation aml:id=&quot;15&quot; aml:author=&quot;___&quot; aml:createdate=&quot;2026-04-01T10:15:40Z&quot; w:type=&quot;Word.Insertion&quot;&gt;&lt;aml:content&gt;&lt;w:rPr&gt;&lt;w:rFonts w:ascii=&quot;Cambria Math&quot; w:h-ansi=&quot;Cambria Math&quot; w:hint=&quot;default&quot;d=&quot;/&gt;&lt;w:b-cs/&gt;&lt;w:sz w:val=&quot;21&quot;/&gt;&lt;w:sz-cs w:val=&quot;21&quot;ctr/&gt;&lt;/w:rPr&gt;&lt;/aml:content&gt;&lt;/aml:annotation&gt;&lt;/m:ctrlPr&gt;&lt;/m:sup&gt;&lt;m:e&gt;&lt;m:r&gt;&lt;aml:annotation aml:id=&quot;16&quot; aml:author=&quot;___&quot; aml:createdate=&quot;2026-04-01T10:15:40Z&quot; w:type=&quot;Word.Insertion&quot;&gt;&lt;aml:content&gt;&lt;m:rPr&gt;&lt;m:sd=&quot;cr m:val=&quot;roman&quot;/&gt;&lt;/m:rPr&gt;&lt;w:rPr&gt;&lt;w:rFonts w:ascii=ctr&quot;Cambria Math&quot; w:h-ansi=&quot;Cambria Math&quot; w:hint=&quot;default&quot;/&gt;&lt;w:sz w:val=&quot;21&quot;/&gt;&lt;w:sz-cs w:val=&quot;21&quot;/&gt;&lt;/w:rPr&gt;&lt;m:t&gt;(&lt;/m:t&gt;&lt;/aml:content&gt;&lt;/aml:annotation&gt;&lt;/m:r&gt;&lt;m:sSub&gt;&lt;m:sSubPr&gt;&lt;m:ctrlPr&gt;&lt;aml:annotation aml:id=&quot;17&quot; aml:author=&quot;___&quot; aml:createdate=&quot;2026-04-01ctrT10:15:40Z&quot; w:type=&quot;Word.Insertion&quot;&gt;&lt;aml:content&gt;&lt;w:rPr&gt;&lt;w:rFonts w:ascii=&quot;Cambria Math&quot; w:h-ansi=&quot;Cambria Math&quot; w:hint=&quot;default&quot;/&gt;&lt;w:b-cs/&gt;&lt;w:sz w:val=&quot;21&quot;/&gt;&lt;w:sz-cs w:val=&quot;21&quot;/&gt;&lt;/w:rPr&gt;&lt;/aml:conteml:nt&gt;&lt;/aml:annotation&gt;&lt;/m:ctrlPr&gt;&lt;/m:sSubPr&gt;&lt;m:e&gt;&lt;m:r&gt;&lt;aml:annotation aml:id=&quot;18&quot; aml:author=&quot;___&quot; aml:createdate=&quot;2026-04-01T10:15:40Z&quot; w:type=&quot;Word.Insertion&quot;&gt;&lt;aml:content&gt;&lt;m:rPr&gt;&lt;m:scr m:val=&quot;roman&quot;/&gt;&lt;/m:rPr&gt;&lt;w:rPr&gt;&lt;w:rFonts w:ascii=&quot;Cambria Math&quot; w:hml:-ansi=&quot;Cambria Math&quot; w:hint=&quot;default&quot;/&gt;&lt;w:sz w:val=&quot;21&quot;/&gt;ml:&lt;w:sz-cs w:val=&quot;21&quot;/&gt;&lt;/w:rPr&gt;&lt;m:t&gt;W&lt;/m:t&gt;&lt;/aml:content&gt;&lt;/aml:annotation&gt;&lt;/m:r&gt;&lt;m:ctrlPr&gt;&lt;aml:annotation aml:id=&quot;19&quot; aml:author=&quot;___&quot; aml:createdate=&quot;2026-04-01T10:15:40Z&quot; w:type=&quot;Word.Insertioml:n&quot;&gt;&lt;aml:content&gt;&lt;w:rPr&gt;&lt;w:rFonts w:ascii=&quot;Cambria Math&quot; w:h-ml:ansi=&quot;Cambria Math&quot; w:hint=&quot;default&quot;/&gt;&lt;w:b-cs/&gt;&lt;w:sz w:val=&quot;21&quot;/&gt;&lt;w:sz-cs w:val=&quot;21&quot;/&gt;&lt;/w:rPr&gt;&lt;/aml:content&gt;&lt;/aml:annotation&gt;&lt;/m:ctrlPr&gt;&lt;/m:e&gt;&lt;m:sub&gt;&lt;m:r&gt;&lt;aml:annotation aml:id=&quot;20&quot; aml:author=&quot;___&quot; aml:createdate=&quot;2026-04-01T10:15:40Z&quot; w:type=&quot;Word.Inml:sertion&quot;&gt;&lt;aml:content&gt;&lt;m:rPr&gt;&lt;m:scr m:val=&quot;roman&quot;/&gt;&lt;/m:rPr&gt;&lt;w:rPr&gt;&lt;w:rFonts w:ascii=&quot;Cambria Math&quot; w:h-ansi=&quot;Cambria Math&quot; w:hint=&quot;default&quot;/&gt;&lt;w:sz w:val=&quot;21&quot;/&gt;&lt;w:sz-cs w:val=&quot;21&quot;/&gt;&lt;/w:rPr&gt;&lt;horm:t&gt;j,x&lt;/m:t&gt;&lt;/aml:content&gt;&lt;/aml:annotation&gt;&lt;/m:r&gt;&lt;m:ctrlPr&gt;&lt;aml:annotation aml:id=&quot;21&quot; aml:author=&quot;___&quot; aml:createdate=&quot;2026-04-01T10:15:40Z&quot; w:type=&quot;Word.Insertion&quot;&gt;&lt;aml:content&gt;&lt;w:rPr&gt;&lt;w:rFonts w:ascii=&quot;Cambria Math&quot; w:h-ansi=&quot;Cambria Math&quot; w:hint=&quot;hordefault&quot;/&gt;&lt;w:b-cs/&gt;&lt;w:sz w:val=&quot;21&quot;/&gt;&lt;w:sz-cs w:val=&quot;21&quot;/&gt;&lt;/w:rPr&gt;l:a&lt;/aml:content&gt;&lt;/aml:annotation&gt;&lt;/m:ctrlPr&gt;&lt;/m:sub&gt;&lt;/m:sSub&gt;&lt;m:ctrlPr&gt;&lt;aml:annotation aml:id=&quot;22&quot; aml:author=&quot;___&quot; aml:createdate=&quot;2026-04-01T10:15:40Z&quot; w:type=&quot;Word.Insertion&quot;&gt;&lt;aml:cohorntent&gt;&lt;w:rPr&gt;&lt;w:rFonts w:ascii=&quot;Cambria Math&quot; w:h-ansi=&quot;Cambria Math&quot;l:a w:hint=&quot;default&quot;/&gt;&lt;w:b-cs/&gt;&lt;w:sz w:val=&quot;21&quot;/&gt;&lt;w:sz-cs w:val=&quot;21&quot;/&gt;&lt;/w:rPr&gt;&lt;/aml:content&gt;&lt;/aml:annotation&gt;&lt;/m:ctrlPr&gt;&lt;/m:e&gt;&lt;/m:nary&gt;&lt;m:r&gt;&lt;aml:annotation aml:id=&quot;23&quot; aml:author=&quot;___hor&quot; aml:createdate=&quot;2026-04-01T10:15:40Z&quot; w:type=&quot;Word.Insertion&quot;&gt;&lt;aml:conl:atent&gt;&lt;m:rPr&gt;&lt;m:scr m:val=&quot;roman&quot;/&gt;&lt;/m:rPr&gt;&lt;w:rPr&gt;&lt;w:rFonts w:ascii=&quot;Cambria Math&quot; w:h-ansi=&quot;Cambria Math&quot; w:hint=&quot;default&quot;/&gt;&lt;w:sz w:val=&quot;21&quot;/&gt;&lt;w:sz-cs w:val=&quot;21&quot;/&gt;&lt;/w:rPr&gt;&lt;m:t&gt;_&lt;/rm:t&gt;&lt;/aml:content&gt;&lt;/aml:annotation&gt;&lt;/m:r&gt;&lt;m:sSub&gt;&lt;m:sSubPr&gt;&lt;m:ctrlPr&gt;&lt;aml:aannotation aml:id=&quot;24&quot; aml:author=&quot;___&quot; aml:createdate=&quot;2026-04-01T10:15:40Z&quot; w:type=&quot;Word.Insertion&quot;&gt;&lt;aml:content&gt;&lt;w:rPr&gt;&lt;w:rFonts w:ascii=&quot;Cambria Math&quot; w:h-ansi=&quot;Cambria Math&lt;/r&quot; w:hint=&quot;default&quot;/&gt;&lt;w:b-cs/&gt;&lt;w:sz w:val=&quot;21&quot;/&gt;&lt;w:sz-cs w:val=&quot;21&quot;/&gt;&lt;/w:rPr&gt;:aa&lt;/aml:content&gt;&lt;/aml:annotation&gt;&lt;/m:ctrlPr&gt;&lt;/m:sSubPr&gt;&lt;m:e&gt;&lt;m:r&gt;&lt;aml:annotation aml:id=&quot;25&quot; aml:author=&quot;___&quot; aml:createdate=&quot;2026-04-01T10:15:40Z&quot; w:type=&quot;Word.Insertion&quot;&gt;&lt;am&lt;/rl:content&gt;&lt;m:rPr&gt;&lt;m:scr m:val=&quot;roman&quot;/&gt;&lt;/m:rPr&gt;&lt;w:rPr&gt;&lt;w:rFonts w:ascii=&quot;Cambri:aaa Math&quot; w:h-ansi=&quot;Cambria Math&quot; w:hint=&quot;default&quot;/&gt;&lt;w:sz w:val=&quot;21&quot;/&gt;&lt;w:sz-cs w:val=&quot;21&quot;/&gt;&lt;/w:rPr&gt;&lt;m:t&gt;DOC&lt;/m:t&gt;&lt;/aml:content&gt;&lt;/aml:annotation&gt;&lt;/m:r&gt;&lt;m:ctrlPr&gt;&lt;aml:annotation aml:id=&quot;26&quot; aml:author=&quot;___&quot; aml:createdate=&quot;2026-04-01T10:15:40Z&quot; w:type=&quot;Wor:aad.Insertion&quot;&gt;&lt;aml:content&gt;&lt;w:rPr&gt;&lt;w:rFonts w:ascii=&quot;Cambria Math&quot; w:h-ansi=&quot;Cambria Math&quot; w:hint=&quot;default&quot;/&gt;&lt;w:b-cs/&gt;&lt;w:sz w:val=&quot;21&quot;/&gt;&lt;w:sz-cs w:val=&quot;21&quot;/&gt;&lt;/w:rPr&gt;&lt;/aml:ioncontent&gt;&lt;/aml:annotation&gt;&lt;/m:ctrlPr&gt;&lt;/m:e&gt;&lt;m:sub&gt;&lt;m:r&gt;&lt;aml:annotation aml:id=&quot;27&quot; aml:author=&quot;___&quot; aml:createdate=&quot;2026-04-01T10:15:40Z&quot; w:type=&quot;Word.Insertion&quot;&gt;&lt;aml:content&gt;&lt;m:rPr&gt;&lt;m:scr m:val=&quot;roman&quot;/&gt;&lt;/m:rPr&gt;&lt;w:rPr&gt;&lt;w:rFonts w:ascii=&quot;Cambria Math&quot; wion:h-ansi=&quot;Cambria Math&quot; w:hint=&quot;default&quot;/&gt;&lt;w:sz w:val=&quot;21&quot;/&gt;&lt;w:sz-cs w:val=&quot;21&quot;/&gt;&lt;/w:ramlPr&gt;&lt;m:t&gt;j&lt;/m:t&gt;&lt;/aml:content&gt;&lt;/aml:annotation&gt;&lt;/m:r&gt;&lt;m:ctrlPr&gt;&lt;aml:annotation aml:id=&quot;28&quot; aml:author=&quot;___&quot; aml:createdate=&quot;2026-04-01T10:15:40Z&quot; w:type=&quot;Word.Insertionion&quot;&gt;&lt;aml:content&gt;&lt;w:rPr&gt;&lt;w:rFonts w:ascii=&quot;Cambria Math&quot; w:h-ansi=&quot;Cambria Math&quot; w:hintaml=&quot;default&quot;/&gt;&lt;w:b-cs/&gt;&lt;w:sz w:val=&quot;21&quot;/&gt;&lt;w:sz-cs w:val=&quot;21&quot;/&gt;&lt;/w:rPr&gt;&lt;/aml:content&gt;&lt;/aml:annotation&gt;&lt;/m:ctrlPr&gt;&lt;/m:sub&gt;&lt;/m:sSub&gt;&lt;m:r&gt;&lt;aml:annotation aml:id=&quot;29&quot; aml:author=&quot;___&quot; aml:createdate=&quot;2026-04-01T10:15:40Z&quot; w:type=&quot;Word.Insertion&quot;&gt;&lt;aml:content&gt;aml&lt;m:rPr&gt;&lt;m:scr m:val=&quot;roman&quot;/&gt;&lt;/m:rPr&gt;&lt;w:rPr&gt;&lt;w:rFonts w:ascii=&quot;Cambria Math&quot; w:h-ansi=&quot;Cambria Math&quot; w:hint=&quot;default&quot;/&gt;&lt;w:sz w:val=&quot;21&quot;/&gt;&lt;w:sz-cs w:val=&quot;21&quot;/&gt;&lt;/wml::rPr&gt;&lt;m:t&gt;_&lt;/m:t&gt;&lt;/aml:content&gt;&lt;/aml:annotation&gt;&lt;/m:r&gt;&lt;m:sSup&gt;&lt;m:sSupPr&gt;&lt;m:ctrlPr&gt;&lt;aml:annotaltion aml:id=&quot;30&quot; aml:author=&quot;___&quot; aml:createdate=&quot;2026-04-01T10:15:40Z&quot; w:type=&quot;Word.Insertion&quot;&gt;&lt;aml:content&gt;&lt;w:rPr&gt;&lt;w:rFonts w:ascii=&quot;Cambria Math&quot; w:h-ansiwml:=&quot;Cambria Math&quot; w:hint=&quot;default&quot;/&gt;&lt;w:b-cs/&gt;&lt;w:sz w:val=&quot;21&quot;/&gt;&lt;w:sz-cs w:val=&quot;21&quot;/&gt;&lt;/w:rPr&gt;&lt;/amltal:content&gt;&lt;/aml:annotation&gt;&lt;/m:ctrlPr&gt;&lt;/m:sSupPr&gt;&lt;m:e&gt;&lt;m:r&gt;&lt;aml:annotation aml:id=&quot;31&quot; aml:author=&quot;___&quot; aml:createdate=&quot;2026-04-01T10:15:40Z&quot; w:type=&quot;Word.ml:Insertion&quot;&gt;&lt;aml:content&gt;&lt;m:rPr&gt;&lt;m:scr m:val=&quot;roman&quot;/&gt;&lt;/m:rPr&gt;&lt;w:rPr&gt;&lt;w:rFonts w:ascii=&quot;Cambria Mattalh&quot; w:h-ansi=&quot;Cambria Math&quot; w:hint=&quot;default&quot;/&gt;&lt;w:sz w:val=&quot;21&quot;/&gt;&lt;w:sz-cs w:val=&quot;21&quot;/&gt;&lt;/w:rPr&gt;&lt;m:t&gt;e&lt;/m:t&gt;&lt;/aml:content&gt;&lt;/aml:annotation&gt;&lt;/m:r&gt;&lt;m:ctrlPr&gt;&lt;aml:annotation aml:id=&quot;32&quot; aml:author=&quot;___&quot; aml:createdate=&quot;2026-04-01T10:15:40Z&quot; w:type=&quot;Word.Insertaltion&quot;&gt;&lt;aml:content&gt;&lt;w:rPr&gt;&lt;w:rFonts w:ascii=&quot;Cambria Math&quot; w:h-ansi=&quot;Cambria Math&quot; w:hint=&quot;default&quot;/&gt;&lt;w:b-cs/&gt;&lt;w:sz w:val=&quot;21&quot;/&gt;&lt;w:sz-cs w:val=&quot;21&quot;/&gt;&lt;/&lt;amw:rPr&gt;&lt;/aml:content&gt;&lt;/aml:annotation&gt;&lt;/m:ctrlPr&gt;&lt;/m:e&gt;&lt;m:sup&gt;&lt;m:r&gt;&lt;aml:annotation aml:id=&quot;33&quot; aml:author=&quot;___&quot; aml:createdate=&quot;2026-04-01T10:15:40Z&quot; w:type=&quot;Word.Insertion&quot;&gt;&lt;aml:content&gt;&lt;m:rPr&gt;&lt;m:scr m:val=&quot;roman&quot;/&gt;&lt;/m:rPr&gt;&lt;w:rPr&gt;&lt;w:rFonts w:ascii=&quot;Cam&lt;ambria Math&quot; w:h-ansi=&quot;Cambria Math&quot; w:hint=&quot;default&quot;/&gt;&lt;w:sz w:val=&quot;21&quot;/&gt;&lt;w:sz-cs w:val=&quot;21&quot;/&gt;&lt;/w:rPr&gt;&lt;m:thor&gt;_?/m:t&gt;&lt;/aml:content&gt;&lt;/aml:annotation&gt;&lt;/m:r&gt;&lt;m:sSub&gt;&lt;m:sSubPr&gt;&lt;m:ctrlPr&gt;&lt;aml:annotation aml:id=&quot;34&quot; aml:author=&quot;___&quot; aml:createdate=&quot;2026-04-01m&lt;amT10:15:40Z&quot; w:type=&quot;Word.Insertion&quot;&gt;&lt;aml:content&gt;&lt;w:rPr&gt;&lt;w:rFonts w:ascii=&quot;Cambria Math&quot; w:h-ansi=&quot;Cambria:thor Math&quot; w:hint=&quot;default&quot;/&gt;&lt;w:b-cs/&gt;&lt;w:sz w:val=&quot;21&quot;/&gt;&lt;w:sz-cs w:val=&quot;21&quot;/&gt;&lt;/w:rPr&gt;&lt;/aml:content&gt;&lt;/aml:annotation&gt;&lt;/m:ctrlPr&gt;&lt;/m:sSubPr&gt;&lt;m:e&gt;&lt;m:r&gt;&lt;aml:annotation aml:id=&quot;35&quot; aml:author=&quot;___&quot; aml:createdate=&quot;2026-04-01T10:15:40Z&quot; w:type=&quot;Word.Insertion&quot;&gt;&lt;horaml:content&gt;&lt;m:rPr&gt;&lt;m:scr m:val=&quot;roman&quot;/&gt;&lt;/m:rPr&gt;&lt;w:rPr&gt;&lt;w:rFonts w:ascii=&quot;Cambria Math&quot; w:h-ansi=&quot;Cambria Math&quot; w:hint=&quot;default&quot;/&gt;&lt;w:sz w:va:r&gt;l=&quot;21&quot;/&gt;&lt;w:sz-cs w:val=&quot;21&quot;/&gt;&lt;/w:rPr&gt;&lt;m:t&gt;k&lt;/m:t&gt;&lt;/aml:content&gt;&lt;/aml:annotation&gt;&lt;/m:r&gt;&lt;m:ctrlPr&gt;&lt;aml:annotation aml:id=&quot;36&quot; aml:author=&quot;___&quot; aml:createdate=&quot;2026-04-01T10:15:40Z&quot; w:type=&quot;Word.Insertion&quot;&gt;&lt;aml:content&gt;&lt;w:rPr&gt;&lt;w:rFonts w:ascii=&quot;Cambria Ma:r&gt;th&quot; w:h-ansi=&quot;Cambria Math&quot; w:hint=&quot;default&quot;/&gt;&lt;w:b-cs/&gt;&lt;w:sz w:val=&quot;21&quot;/&gt;&lt;w:sz-cs w:val=&quot;21&quot;/&gt;&lt;/w:rPr&gt;&lt;/aml:conten amt&gt;&lt;/aml:annotation&gt;&lt;/m:ctrlPr&gt;&lt;/m:e&gt;&lt;m:sub&gt;&lt;m:r&gt;&lt;aml:annotation aml:id=&quot;37&quot; aml:author=&quot;___&quot; aml:createdate=&quot;2026-04-01T10:15:40Z&quot; w:ty:r&gt;pe=&quot;Word.Insertion&quot;&gt;&lt;aml:content&gt;&lt;m:rPr&gt;&lt;m:scr m:val=&quot;roman&quot;/&gt;&lt;/m:rPr&gt;&lt;w:rPr&gt;&lt;w:rFonts w:ascii=&quot;Cambria Math&quot; w:h-ans ami=&quot;Cambria Math&quot; w:hint=&quot;default&quot;/&gt;&lt;w:sz w:val=&quot;21&quot;/&gt;&lt;w:sz-cs w:val=&quot;21&quot;/&gt;&lt;/w:rPr&gt;&lt;m:t&gt;j&lt;/m:t&gt;&lt;/aml:content&gt;&lt;/aml:annotation&gt;&lt;/m:r&gt;&lt;m:ctrlPr&gt;&lt;aml:annotation aml:id=&quot;38&quot; aml:author=&quot;___&quot; aml:createdate=&quot;2026-04-01T10:15:40Z&quot; w:type=&quot;Word.Insertion&quot;&gt;&lt;aml am:content&gt;&lt;w:rPr&gt;&lt;w:rFonts w:ascii=&quot;Cambria Math&quot; w:h-ansi=&quot;Cambria Math&quot; w:hint=&quot;default&quot;/&gt;&lt;w:b-cs/&gt;&lt;w:sz w:val=&quot;21&quot;/&gt;&lt;w:sz-cs w:valm:c=&quot;21&quot;/&gt;&lt;/w:rPr&gt;&lt;/aml:content&gt;&lt;/aml:annotation&gt;&lt;/m:ctrlPr&gt;&lt;/m:sub&gt;&lt;/m:sSub&gt;&lt;m:r&gt;&lt;aml:annotation aml:id=&quot;39&quot; aml:author=&quot;__am_&quot; aml:createdate=&quot;2026-04-01T10:15:40Z&quot; w:type=&quot;Word.Insertion&quot;&gt;&lt;aml:content&gt;&lt;m:rPr&gt;&lt;m:scr m:val=&quot;roman&quot;/&gt;&lt;/m:rPr&gt;&lt;w:rPr&gt;&lt;w:rFonm:cts w:ascii=&quot;Cambria Math&quot; w:h-ansi=&quot;Cambria Math&quot; w:hint=&quot;default&quot;/&gt;&lt;w:sz w:val=&quot;21&quot;/&gt;&lt;w:sz-cs w:val=&quot;21&quot;/&gt;&lt;/w:rPr&gt;&lt;m:t&gt;_&lt;/mam:t&gt;&lt;/aml:content&gt;&lt;/aml:annotation&gt;&lt;/m:r&gt;&lt;m:d&gt;&lt;m:dPr&gt;&lt;m:ctrlPr&gt;&lt;aml:annotation aml:id=&quot;40&quot; aml:author=&quot;___&quot; aml:createdate=&quot;20nm:c26-04-01T10:15:40Z&quot; w:type=&quot;Word.Insertion&quot;&gt;&lt;aml:content&gt;&lt;w:rPr&gt;&lt;w:rFonts w:ascii=&quot;Cambria Math&quot; w:h-ansi=&quot;Cambria Math&quot; w:hintmam=&quot;default&quot;/&gt;&lt;w:b-cs/&gt;&lt;w:sz w:val=&quot;21&quot;/&gt;&lt;w:sz-cs w:val=&quot;21&quot;/&gt;&lt;/w:rPr&gt;&lt;/aml:content&gt;&lt;/aml:annotation&gt;&lt;/m:ctrlPr&gt;&lt;/m:dPr&gt;&lt;m:e&gt;&lt;m:r&gt;&lt;aml:annotation aml:id=&quot;41&quot; aml:author=&quot;___&quot; aml:createdate=&quot;2026-04-01T10:15:40Z&quot; w:type=&quot;Word.Insertion&quot;&gt;&lt;aml:content&gt;&lt;m:rmamPr&gt;&lt;m:scr m:val=&quot;roman&quot;/&gt;&lt;/m:rPr&gt;&lt;w:rPr&gt;&lt;w:rFonts w:ascii=&quot;Cambria Math&quot; w:h-ansi=&quot;Cambria Math&quot; w:hint=&quot;default&quot;/&gt;&lt;w:sz w&gt;&lt;m:val=&quot;21&quot;/&gt;&lt;w:sz-cs w:val=&quot;21&quot;/&gt;&lt;/w:rPr&gt;&lt;m:t&gt;y__&lt;/m:t&gt;&lt;/aml:content&gt;&lt;/aml:annotation&gt;&lt;/m:r&gt;&lt;m:ctrlPr&gt;&lt;aml:annotation aml:id=&quot;42&quot; amaml:author=&quot;___&quot; aml:createdate=&quot;2026-04-01T10:15:40Z&quot; w:type=&quot;Word.Insertion&quot;&gt;&lt;aml:content&gt;&lt;w:rPr&gt;&lt;w:rFonts w:ascii=&quot;C w&gt;&lt;mambria Math&quot; w:h-ansi=&quot;Cambria Math&quot; w:hint=&quot;default&quot;/&gt;&lt;w:b-cs/&gt;&lt;w:sz w:val=&quot;21&quot;/&gt;&lt;w:sz-cs w:val=&quot;21&quot;/&gt;&lt;/w:rPr&gt;&lt;/aml:content&gt;&lt;/aml:annomamtation&gt;&lt;/m:ctrlPr&gt;&lt;/m:e&gt;&lt;/m:d&gt;&lt;m:ctrlPr&gt;&lt;aml:annotation aml:id=&quot;43&quot; aml:author=&quot;___&quot; aml:createdate=&quot;2026-04-01T10&gt;&lt;m:15:40Z&quot; w:type=&quot;Word.Insertion&quot;&gt;&lt;aml:content&gt;&lt;w:rPr&gt;&lt;w:rFonts w:ascii=&quot;Cambria Math&quot; w:h-ansi=&quot;Cambria Math&quot; w:hint=&quot;default&quot;/&gt;&lt;w:b-cs/&gt;&lt;mamw:sz w:val=&quot;21&quot;/&gt;&lt;w:sz-cs w:val=&quot;21&quot;/&gt;&lt;/w:rPr&gt;&lt;/aml:content&gt;&lt;/aml:annotation&gt;&lt;/m:ctrlPr&gt;&lt;/m:sup&gt;&lt;/m:sSup&gt;&lt;m:r&gt;&lt;aml:annotation aml:id=&quot;44&quot; aml:author=&quot;___&quot; aml:createdate=&quot;2026-04-01T10:15:40Z&quot; w:type=&quot;Word.Insertion&quot;&gt;&lt;aml:content&gt;&lt;m:rPr&gt;&lt;m:scr m:val=&quot;rmamoman&quot;/&gt;&lt;/m:rPr&gt;&lt;w:rPr&gt;&lt;w:rFonts w:ascii=&quot;Cambria Math&quot; w:h-ansi=&quot;Cambria Math&quot; w:hint=&quot;default&quot;/&gt;&lt;w:sz w:val=&quot;2aml1&quot;/&gt;&lt;w:sz-cs w:val=&quot;21&quot;/&gt;&lt;/w:rPr&gt;&lt;m:t&gt;_(1_?/m:t&gt;&lt;/aml:content&gt;&lt;/aml:annotation&gt;&lt;/m:r&gt;&lt;m:sSup&gt;&lt;m:sSupPr&gt;&lt;m:ctrlPr&gt;&lt;aml:annotation aml:id=&quot;45&quot; mamaml:author=&quot;___&quot; aml:createdate=&quot;2026-04-01T10:15:40Z&quot; w:type=&quot;Word.Insertion&quot;&gt;&lt;aml:content&gt;&lt;w:rPr&gt;&lt;w:rFon&quot;2amlts w:ascii=&quot;Cambria Math&quot; w:h-ansi=&quot;Cambria Math&quot; w:hint=&quot;default&quot;/&gt;&lt;w:b-cs/&gt;&lt;w:sz w:val=&quot;21&quot;/&gt;&lt;w:sz-cs w:val=&quot;21&quot;/&gt;&lt;/w:rPr&gt;&lt;/aml:content&gt;&lt;/aml:anmamnotation&gt;&lt;/m:ctrlPr&gt;&lt;/m:sSupPr&gt;&lt;m:e&gt;&lt;m:r&gt;&lt;aml:annotation aml:id=&quot;46&quot; aml:author=&quot;___&quot; aml:createdate=&quot;2aml026-04-01T10:15:40Z&quot; w:type=&quot;Word.Insertion&quot;&gt;&lt;aml:content&gt;&lt;m:rPr&gt;&lt;m:scr m:val=&quot;roman&quot;/&gt;&lt;/m:rPr&gt;&lt;w:rPr&gt;&lt;w:rFonts w:ascii=&quot;Cambria Math&quot; w:h-ansi=&quot;Cambmamria Math&quot; w:hint=&quot;default&quot;/&gt;&lt;w:sz w:val=&quot;21&quot;/&gt;&lt;w:sz-cs w:val=&quot;21&quot;/&gt;&lt;/w:rPr&gt;&lt;m:t&gt;e&lt;/m:t&gt;&lt;/aml:content&gt;&lt;/aml:annotation&gt;&lt;/m:r&gt;&lt;m:ctrlPr&gt;&lt;aml:annotation aml:id=&quot;47&quot; aml:author=&quot;___&quot; aml:createdate=&quot;2026-04-01T10:15:40Z&quot; w:type=&quot;Word.Insertion&quot;&gt;&lt;aml:contenmamt&gt;&lt;w:rPr&gt;&lt;w:rFonts w:ascii=&quot;Cambria Math&quot; w:h-ansi=&quot;Cambria Math&quot; w:hint=&quot;default&quot;/&gt;&lt;w:b-cs/&gt;&lt;w:sz w&gt;&lt;/:val=&quot;21&quot;/&gt;&lt;w:sz-cs w:val=&quot;21&quot;/&gt;&lt;/w:rPr&gt;&lt;/aml:content&gt;&lt;/aml:annotation&gt;&lt;/m:ctrlPr&gt;&lt;/m:e&gt;&lt;m:sup&gt;&lt;m:r&gt;&lt;aml:annotation aml:id=&quot;48&quot; aml:author=&quot;___&quot; aml:cremamatedate=&quot;2026-04-01T10:15:40Z&quot; w:type=&quot;Word.Insertion&quot;&gt;&lt;aml:content&gt;&lt;m:rPr&gt;&lt;m:scr m:val=&quot;roman&quot;/&gt;&gt;&lt;/&lt;/m:rPr&gt;&lt;w:rPr&gt;&lt;w:rFonts w:ascii=&quot;Cambria Math&quot; w:h-ansi=&quot;Cambria Math&quot; w:hint=&quot;default&quot;/&gt;&lt;w:sz w:val=&quot;21&quot;/&gt;&lt;w:sz-cs w:val=&quot;21&quot;/&gt;&lt;/w:rPr&gt;&lt;m:t&gt;_?/m:t&gt;&lt;/aml:camontent&gt;&lt;/aml:annotation&gt;&lt;/m:r&gt;&lt;m:sSub&gt;&lt;m:sSubPr&gt;&lt;m:ctrlPr&gt;&lt;aml:annotation aml:id=&quot;49&quot; aml:author/=&quot;___&quot; aml:createdate=&quot;2026-04-01T10:15:40Z&quot; w:type=&quot;Word.Insertion&quot;&gt;&lt;aml:content&gt;&lt;w:rPr&gt;&lt;w:rFonts w:ascii=&quot;Cambria Math&quot; w:h-ansi=&quot;Cambria Math&quot; w:hint=&quot;decamfault&quot;/&gt;&lt;w:b-cs/&gt;&lt;w:sz w:val=&quot;21&quot;/&gt;&lt;w:sz-cs w:val=&quot;21&quot;/&gt;&lt;/w:rPr&gt;&lt;/aml:content&gt;&lt;/aml:annotatioor/n&gt;&lt;/m:ctrlPr&gt;&lt;/m:sSubPr&gt;&lt;m:e&gt;&lt;m:r&gt;&lt;aml:annotation aml:id=&quot;50&quot; aml:author=&quot;___&quot; aml:createdate=&quot;2026-04-01T10:15:40Z&quot; w:type=&quot;Word.Insertion&quot;&gt;&lt;aml:content&gt;&lt;m:rPcamr&gt;&lt;m:scr m:val=&quot;roman&quot;/&gt;&lt;/m:rPr&gt;&lt;w:rPr&gt;&lt;w:rFonts w:ascii=&quot;Cambria Math&quot; w:h-ansi=&quot;Cambria or/Math&quot; w:hint=&quot;default&quot;/&gt;&lt;w:sz w:val=&quot;21&quot;/&gt;&lt;w:sz-cs w:val=&quot;21&quot;/&gt;&lt;/w:rPr&gt;&lt;m:t&gt;k&lt;/m:t&gt;&lt;/aml:content&gt;&lt;/aml:annotation&gt;&lt;/m:r&gt;&lt;m:ctrlPr&gt;&lt;aml:annotation aml:id=&quot;51&quot; aml:author=&quot;___&quot; aml:createdate=&quot;2026-04-01T10:15:40Z&quot; w:type=&quot;Word.Insertion&quot;&gt;&lt;aml:content&gt;&lt;wor/:rPr&gt;&lt;w:rFonts w:ascii=&quot;Cambria Math&quot; w:h-ansi=&quot;Cambria Math&quot; w:hint=&quot;default&quot;/&gt;&lt;w:b-cs/&gt;&lt;w:sz w:val=&quot;21&quot;/&gt;&lt;w:sz-cs w:val=&quot;21&quot;/&gt;&lt;/w:rPr&gt;&lt;/aml:content&gt;&lt;/aml:annotatioautn&gt;&lt;/m:ctrlPr&gt;&lt;/m:e&gt;&lt;m:sub&gt;&lt;m:r&gt;&lt;aml:annotation aml:id=&quot;52&quot; aml:author=&quot;___&quot; aml:creaor/tedate=&quot;2026-04-01T10:15:40Z&quot; w:type=&quot;Word.Insertion&quot;&gt;&lt;aml:content&gt;&lt;m:rPr&gt;&lt;m:scr m:val=&quot;roman&quot;/&gt;&lt;/m:rPr&gt;&lt;w:rPr&gt;&lt;w:rFonts w:ascii=&quot;Cambria Math&quot; w:h-ansi=&quot;Cambria Math&quot; autw:hint=&quot;default&quot;/&gt;&lt;w:sz w:val=&quot;21&quot;/&gt;&lt;w:sz-cs w:val=&quot;21&quot;/&gt;&lt;/w:rPr&gt;&lt;m:t&gt;j&lt;/m:t&gt;&lt;/aml:content&gt;&lt;/aml:annotation&gt;&lt;/m:r&gt;&lt;m:ctrlPr&gt;&lt;aml:annotation aml:id=&quot;53&quot; aml:author=&quot;___&quot; aml:createdate=&quot;2026-04-01T10:15:40Z&quot; w:type=&quot;Word.Insertion&quot;&gt;&lt;aml:content&gt;&lt;w:rPr&gt;&lt;autw:rFonts w:ascii=&quot;Cambria Math&quot; w:h-ansi=&quot;Cambria Math&quot; w:hint=&quot;default&quot;/&gt;&lt;w:b-csl:c/&gt;&lt;w:sz w:val=&quot;21&quot;/&gt;&lt;w:sz-cs w:val=&quot;21&quot;/&gt;&lt;/w:rPr&gt;&lt;/aml:content&gt;&lt;/aml:annotation&gt;&lt;/m:ctrlPr&gt;&lt;/m:sub&gt;&lt;/m:sSub&gt;&lt;m:ctrlPr&gt;&lt;aml:annotation aml:id=&quot;54&quot; aml:author=&quot;___&quot; aml:creaauttedate=&quot;2026-04-01T10:15:40Z&quot; w:type=&quot;Word.Insertion&quot;&gt;&lt;aml:content&gt;&lt;w:rPr&gt;&lt;w:rl:cFonts w:ascii=&quot;Cambria Math&quot; w:h-ansi=&quot;Cambria Math&quot; w:hint=&quot;default&quot;/&gt;&lt;w:b-cs/&gt;&lt;w:sz w:val=&quot;21&quot;/&gt;&lt;w:sz-cs w:val=&quot;21&quot;/&gt;&lt;/w:rPr&gt;&lt;/aml:content&gt;&lt;/aml:annotation&gt;&lt;/m:ctrlPr&gt;&lt;/m:sup&gt;&lt;/m:sSup&gt;&lt;m:r&gt;&lt;aml:annotation aml:id=&quot;55&quot; aml:author=&quot;___&quot; aml:createdate=&quot;l:c2026-04-01T10:15:40Z&quot; w:type=&quot;Word.Insertion&quot;&gt;&lt;aml:content&gt;&lt;m:rPr&gt;&lt;m:scr m:val=&quot;roman&quot;/&gt;&lt;/m:rPr&gt;&lt;w:rPr&gt;&lt;w:rFonts w:ascii=&quot;Cambria Math&quot; w:h-ansi=&quot;Cambria Math&quot; w:hint=&quot;default&quot;/up&gt;&gt;&lt;w:sz w:val=&quot;21&quot;/&gt;&lt;w:sz-cs w:val=&quot;21&quot;/&gt;&lt;/w:rPr&gt;&lt;m:t&gt;)&lt;/m:t&gt;&lt;/aml:content&gt;&lt;/aml:annotation&gt;&lt;/m:r&gt;&lt;m:ctrlPr&gt;&lt;aml:annotation aml:id=&quot;56&quot; aml:author=&quot;___&quot; aml:createdate=&quot;2026-04-01T10:15:40Z&quot; w:type=&quot;Word.Insertion&quot;&gt;&lt;aml:content&gt;&lt;w:rPr&gt;&lt;w:rFonts w:ascii=up&gt;&quot;Cambria Math&quot; w:h-ansi=&quot;Cambria Math&quot; w:hint=&quot;default&quot;/&gt;&lt;w:b-cs/&gt;&lt;w:sz t&gt;&lt;w:val=&quot;21&quot;/&gt;&lt;w:sz-cs w:val=&quot;21&quot;/&gt;&lt;/w:rPr&gt;&lt;/aml:content&gt;&lt;/aml:annotation&gt;&lt;/m:ctrlPr&gt;&lt;/m:e&gt;&lt;/m:nary&gt;&lt;m:r&gt;&lt;aml:annotation aml:id=&quot;57&quot; aml:author=&quot;___&quot; aml:createdate=&quot;2026-04-01T10:15up&gt;:40Z&quot; w:type=&quot;Word.Insertion&quot;&gt;&lt;aml:content&gt;&lt;m:rPr&gt;&lt;m:scr m:val=&quot;romant&gt;&lt;&quot;/&gt;&lt;/m:rPr&gt;&lt;w:rPr&gt;&lt;w:rFonts w:ascii=&quot;Cambria Math&quot; w:h-ansi=&quot;Cambria Math&quot; w:hint=&quot;default&quot;/&gt;&lt;w:sz w:val=&quot;21&quot;/&gt;&lt;w:sz-cs w:val=&quot;21&quot;/&gt;&lt;/w:rPr&gt;&lt;m:t&gt;)&lt;/m:t&gt;&lt;/aml:content&gt;&lt;/aml:annotation&gt;&lt;/m:r&gt;&lt;/m:oMath&gt;&lt;/m:oMathPara&gt;&lt;/w:p&gt;&lt;/wx:sect&gt;&lt;/w:body&gt;&lt;/w:wordDocument">
                  <v:path/>
                  <v:fill on="f" focussize="0,0"/>
                  <v:stroke on="f" joinstyle="miter"/>
                  <v:imagedata r:id="rId30" o:title=""/>
                  <o:lock v:ext="edit" aspectratio="f"/>
                  <w10:wrap type="none"/>
                  <w10:anchorlock/>
                </v:shape>
              </w:pict>
            </w:r>
          </w:p>
        </w:tc>
      </w:tr>
      <w:tr w14:paraId="4F2B298F">
        <w:tblPrEx>
          <w:tblCellMar>
            <w:top w:w="0" w:type="dxa"/>
            <w:left w:w="108" w:type="dxa"/>
            <w:bottom w:w="0" w:type="dxa"/>
            <w:right w:w="108" w:type="dxa"/>
          </w:tblCellMar>
        </w:tblPrEx>
        <w:trPr>
          <w:trHeight w:val="251" w:hRule="atLeast"/>
        </w:trPr>
        <w:tc>
          <w:tcPr>
            <w:tcW w:w="1423" w:type="dxa"/>
          </w:tcPr>
          <w:p w14:paraId="758C7898">
            <w:pPr>
              <w:autoSpaceDE w:val="0"/>
              <w:autoSpaceDN w:val="0"/>
              <w:rPr>
                <w:rFonts w:ascii="Times New Roman" w:hAnsi="Times New Roman"/>
                <w:kern w:val="0"/>
              </w:rPr>
            </w:pPr>
            <w:r>
              <w:rPr>
                <w:rFonts w:ascii="Times New Roman" w:hAnsi="Times New Roman"/>
                <w:kern w:val="0"/>
              </w:rPr>
              <w:pict>
                <v:shape id="_x0000_i1027" o:spt="75" type="#_x0000_t75" style="height:15.7pt;width:54.9pt;" filled="f" o:preferrelative="t" stroked="f" coordsize="21600,21600" equationxml="&lt;?xml version=&quot;1.0&quot; encoding=&quot;UTF-8&quot; standalone=&quot;yes&quot;?&gt;&#10;&#10;&lt;?mso-application progid=&quot;Word.Document&quot;?&gt;&#10;&#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7&quot;/&gt;&lt;w:characterSpacingControl w:val=&quot;CompressPunctuation&quot;/&gt;&lt;w:documentProtection w:enforcement=&quot;off&quot;/&gt;&lt;w:displayBackgroundShape w:val=&quot;1&quot;/&gt;&lt;w:doNotEmbedSystemFonts/&gt;&lt;w:trackRevisions w:val=&quot;1&quot;/&gt;&lt;w:defaultTabStop w:val=&quot;420&quot;/&gt;&lt;w:drawingGridHorizontalSpacing w:val=&quot;1&quot;/&gt;&lt;w:drawingGridVerticalSpacing w:val=&quot;1&quot;/&gt;&lt;w:displayHorizontalDrawingGridEvery w:val=&quot;1&quot;/&gt;&lt;w:displayVerticalDrawingGridEvery w:val=&quot;1&quot;/&gt;&lt;w:useMarginsForDrawingGridOrigin/&gt;&lt;w:drawingGridHorizontalOrigin w:val=&quot;0&quot;/&gt;&lt;w:drawingGridVerticalOrigin w:val=&quot;0&quot;/&gt;&lt;w:compat&gt;&lt;w:adjustLineHeightInTable/&gt;&lt;w:ulTrailSpace/&gt;&lt;w:doNotExpandShiftReturn/&gt;&lt;w:balanceSingleByteDoubleByteWidth/&gt;&lt;w:spaceForUL/&gt;&lt;w:breakWrappedTables/&gt;&lt;w:dontGrowAutofit/&gt;&lt;w:useFELayout/&gt;&lt;/w:compat&gt;&lt;/w:docPr&gt;&lt;w:body&gt;&lt;wx:sect&gt;&lt;w:p&gt;&lt;m:oMathPara&gt;&lt;m:oMathParaPr&gt;&lt;m:jc m:val=&quot;left&quot;/&gt;&lt;/m:oMathParaPr&gt;&lt;m:oMath&gt;&lt;m:sSub&gt;&lt;m:sSubPr&gt;&lt;m:ctrlPr&gt;&lt;aml:annotation aml:id=&quot;0&quot; aml:author=&quot;___&quot; aml:createdate=&quot;2026-04-01T10:15:40Z&quot; w:type=&quot;Word.Insertion&quot;&gt;&lt;aml:content&gt;&lt;w:rPr&gt;&lt;w:rFonts w:ascii=&quot;Cambria Math&quot; w:h-ansi=&quot;Cambria Math&quot; w:cs=&quot;绛_嚎&quot; w:hint=&quot;default&quot;/&gt;&lt;w:b-cs/&gt;&lt;w:sz-cs w:val=&quot;21&quot;/&gt;&lt;/w:rPr&gt;&lt;/aml:content&gt;&lt;/aml: amlml:i:i aml:iannotation&gt;&lt;/m:ctrlPr&gt;&lt;/m:sSubPr&gt;&lt;m:e&gt;&lt;m:r&gt;&lt;aml:annotation aml:id=&quot;1&quot; aml:author=&quot;___&quot; aml:createdate=&quot;2026-04-01T10:15:40Z&quot; w:type=&quot;Word.Insertion&quot;&gt;&lt;aml:content&gt;&lt;m:rPr&gt;&lt;m:scr m:val=&quot;roman&quot;/&gt;&lt;/m:rPr&gt;&lt;w:rPr&gt;&lt;w:rFonts w:ascii=&quot;Cambria Math&quot; w:h-ansl:ii=&quot;Caml:ibria Math&quot; w:cs=&quot;绛_嚎&quot; w:hint=&quot;default&quot;/&gt;&lt;w:sz-cs w:val=&quot;21&quot;/&gt;&lt;/w:rPr&gt;&lt;m:t&gt;BE&lt;/m:t&gt;&lt;/aml:content&gt;&lt;/aml:annotation&gt;&lt;/m:r&gt;&lt;m:ctrlPr&gt;&lt;aml:annotation aml:id=&quot;2&quot; aml:author=&quot;___&quot; aml:createdate=&quot;2026-04-01T10:15:40Z&quot; w:type=&quot;Word.Insertion&quot;&gt;&lt;amh-l:anslsl:icontent&gt;&lt;Caml:iw:rPr&gt;&lt;w:rFonts w:ascii=&quot;Cambria Math&quot; w:h-ansi=&quot;Cambria Math&quot; w:cs=&quot;绛_嚎&quot; w:hint=&quot;default&quot;/&gt;&lt;w:b-cs/&gt;&lt;w:sz-cs w:val=&quot;21&quot;/&gt;&lt;/w:rPr&gt;&lt;/aml:content&gt;&lt;/aml:annotation&gt;&lt;/m:ctrlPr&gt;&lt;/m:e&gt;&lt;m:sub&gt;&lt;m:sSub&gt;&lt;m:sSubPr&gt;&lt;m:ctrlPr&gt;&lt;aml:annotationh- aml:isld=&quot;l:i3&quot; aml:author=&quot;l:i___&quot; aml:createdate=&quot;2026-04-01T10:15:40Z&quot; w:type=&quot;Word.Insertion&quot;&gt;&lt;aml:content&gt;&lt;w:rPr&gt;&lt;w:rFonts w:ascii=&quot;Cambria Math&quot; w:h-ansi=&quot;Cambria Math&quot; w:cs=&quot;绛_嚎&quot; w:hint=&quot;default&quot;/&gt;&lt;w:i/&gt;&lt;w:sz-cs w:val=&quot;21&quot;/&gt;&lt;/w:rPr&gt;&lt;/aml:contenth-&gt;&lt;/aml:aslnnd=&quot;l:iotation&gt;&lt;/m:ctrlPrr=&quot;l:i&gt;&lt;/m:sSubPr&gt;&lt;m:e&gt;&lt;m:r&gt;&lt;aml:annotation aml:id=&quot;4&quot; aml:author=&quot;___&quot; aml:createdate=&quot;2026-04-01T10:15:40Z&quot; w:type=&quot;Word.Insertion&quot;&gt;&lt;aml:content&gt;&lt;m:rPr&gt;&lt;m:scr m:val=&quot;roman&quot;/&gt;&lt;/m:rPr&gt;&lt;w:rPr&gt;&lt;w:rFonts w:ascii=&quot;Cambria Math&quot; w:h-ansi=&quot;l:iCambria Math&quot; w:cs=&quot;绛_=&quot;l:i嚎&quot; w:hint=&quot;default&quot;/&gt;&lt;w:sz-cs w:val=&quot;21&quot;/&gt;&lt;/w:rPr&gt;&lt;m:t&gt;CH&lt;/m:t&gt;&lt;/aml:content&gt;&lt;/aml:annotation&gt;&lt;/m:r&gt;&lt;m:ctrlPr&gt;&lt;aml:annotation aml:id=&quot;5&quot; aml:author=&quot;___&quot; aml:createdate=&quot;2026-04-01T10:15:40Z&quot; w:type=&quot;Word.Ins Mertion&quot;&gt;&lt;a-aml:ci=&quot;l:iontent&gt;&lt;w:rPr&gt;&lt;w:rFonts w:asc&quot;l:iii=&quot;Cambria Math&quot; w:h-ansi=&quot;Cambria Math&quot; w:cs=&quot;绛_嚎&quot; w:hint=&quot;default&quot;/&gt;&lt;w:i/&gt;&lt;w:sz-cs w:val=&quot;21&quot;/&gt;&lt;/w:rPr&gt;&lt;/aml:content&gt;&lt;/aml:annotation&gt;&lt;/m:ctrlPr&gt;&lt;/m:e&gt;&lt;m:sub&gt;&lt;m:r&gt;&lt;aml:annotation aml:id=&quot;6&quot; aml:a Muthor=&quot;___&quot; -aaml:cri=&quot;l:ieatedate=&quot;2026-04-01T10:15:40Z&quot; wsc&quot;l:i:type=&quot;Word.Insertion&quot;&gt;&lt;aml:content&gt;&lt;m:rPr&gt;&lt;m:scr m:val=&quot;roman&quot;/&gt;&lt;/m:rPr&gt;&lt;w:rPr&gt;&lt;w:rFonts w:ascii=&quot;Cambria Math&quot; w:h-ansi=&quot;Cambria Math&quot; w:cs=&quot;绛_嚎&quot; w:hint=&quot;default&quot;/&gt;&lt;w:sz-cs w:val=&quot;21&quot;/&gt;&lt; M/w:rPr&gt;&lt;m:t&gt;4&lt;-a/m:t&gt;&lt;/aml:l:icontent&gt;&lt;/aml:annotation&gt;&lt;/m:r&gt;&lt;m:ctrlPl:ir&gt;&lt;aml:annotation aml:id=&quot;7&quot; aml:author=&quot;___&quot; aml:createdate=&quot;2026-04-01T10:15:40Z&quot; w:type=&quot;Word.Insertion&quot;&gt;&lt;aml:content&gt;&lt;w:rPr&gt;&lt;w:rFonts w:ascii=&quot;Cambria Math&quot; w:h-ansi=&quot;Cambria Math&quot; w:cs=&quot;绛_嚎&quot; w-a:hint=&quot;defml:l:iault&quot;/&gt;&lt;w:i/&gt;&lt;w:sz-cs w:val=&quot;21&quot;/&gt;&lt;/w:rPr&gt;rlPl:i&lt;/aml:content&gt;&lt;/aml:annotation&gt;&lt;/m:ctrlPr&gt;&lt;/m:sub&gt;&lt;/m:sSub&gt;&lt;m:r&gt;&lt;aml:annotation aml:id=&quot;8&quot; aml:author=&quot;___&quot; aml:createdate=&quot;2026-04-01T10:15:40Z&quot; w:type=&quot;Word.Insertion&quot;&gt;&lt;amthl:content&gt;&lt;m:rPr&gt;&lt;m:scr m:val=&quot;l:iroman&quot;/&gt;&lt;/m:rPr&gt;&lt;w:rPr&gt;&lt;w:rFonts w:ascii=&quot;Cambril:ia Math&quot; w:h-ansi=&quot;Cambria Math&quot; w:cs=&quot;绛_嚎&quot; w:hint=&quot;default&quot;/&gt;&lt;w:sz-cs w:val=&quot;21&quot;/&gt;&lt;/w:rPr&gt;&lt;m:t&gt;,SWDS,y&lt;/m:t&gt;&lt;/aml:content&gt;&lt;/aml:annotation&gt;&lt;/m:r&gt;&lt;m:ctrlPr&gt;&lt;aml:annotatithon aml:id=&quot;9&quot; aml:&gt;&lt;author=&quot;___&quot;l=&quot;l:i aml:createdate=&quot;2026-04-01T10:15:40Z&quot; w:type=&quot;Wordbril:i.Insertion&quot;&gt;&lt;aml:content&gt;&lt;w:rPr&gt;&lt;w:rFonts w:ascii=&quot;Cambria Math&quot; w:h-ansi=&quot;Cambria Math&quot; w:cs=&quot;绛_嚎&quot; w:hint=&quot;default&quot;/&gt;&lt;w:b-cs/&gt;&lt;w:sz-cs w:val=&quot;21&quot;/&gt;&lt;/w:rPr&gt;&lt;/thaml:content&gt;&lt;/aml:an&gt;&lt;notation&gt;&lt;/m:ctrll:iPr&gt;&lt;/m:sub&gt;&lt;/m:sSub&gt;&lt;/m:oMath&gt;&lt;/m:oMathPara&gt;&lt;/w:p&gt;&lt;/wx:sel:ict&gt;&lt;/w:body&gt;&lt;/w:wordDocument">
                  <v:path/>
                  <v:fill on="f" focussize="0,0"/>
                  <v:stroke on="f" joinstyle="miter"/>
                  <v:imagedata r:id="rId31" o:title=""/>
                  <o:lock v:ext="edit" aspectratio="f"/>
                  <w10:wrap type="none"/>
                  <w10:anchorlock/>
                </v:shape>
              </w:pict>
            </w:r>
          </w:p>
        </w:tc>
        <w:tc>
          <w:tcPr>
            <w:tcW w:w="854" w:type="dxa"/>
          </w:tcPr>
          <w:p w14:paraId="28FB48CB">
            <w:pPr>
              <w:autoSpaceDE w:val="0"/>
              <w:autoSpaceDN w:val="0"/>
              <w:rPr>
                <w:rFonts w:ascii="Times New Roman" w:hAnsi="Times New Roman"/>
                <w:kern w:val="0"/>
              </w:rPr>
            </w:pPr>
            <w:r>
              <w:rPr>
                <w:rFonts w:ascii="Times New Roman" w:hAnsi="Times New Roman"/>
                <w:kern w:val="0"/>
              </w:rPr>
              <w:t>——</w:t>
            </w:r>
          </w:p>
        </w:tc>
        <w:tc>
          <w:tcPr>
            <w:tcW w:w="5551" w:type="dxa"/>
          </w:tcPr>
          <w:p w14:paraId="4B246B0A">
            <w:pPr>
              <w:autoSpaceDE w:val="0"/>
              <w:autoSpaceDN w:val="0"/>
              <w:rPr>
                <w:rFonts w:ascii="Times New Roman" w:hAnsi="Times New Roman"/>
                <w:bCs/>
                <w:shd w:val="clear" w:color="auto" w:fill="FFFFFF"/>
              </w:rPr>
            </w:pPr>
            <w:r>
              <w:rPr>
                <w:rFonts w:hint="eastAsia" w:ascii="Times New Roman" w:hAnsi="Times New Roman"/>
                <w:bCs/>
                <w:shd w:val="clear" w:color="auto" w:fill="FFFFFF"/>
              </w:rPr>
              <w:t>建设项目生活</w:t>
            </w:r>
            <w:r>
              <w:rPr>
                <w:rFonts w:ascii="Times New Roman" w:hAnsi="Times New Roman"/>
                <w:bCs/>
                <w:shd w:val="clear" w:color="auto" w:fill="FFFFFF"/>
              </w:rPr>
              <w:t>垃圾填埋场产生的CH</w:t>
            </w:r>
            <w:r>
              <w:rPr>
                <w:rFonts w:ascii="Times New Roman" w:hAnsi="Times New Roman"/>
                <w:bCs/>
                <w:shd w:val="clear" w:color="auto" w:fill="FFFFFF"/>
                <w:vertAlign w:val="subscript"/>
              </w:rPr>
              <w:t>4</w:t>
            </w:r>
            <w:r>
              <w:rPr>
                <w:rFonts w:hint="eastAsia" w:ascii="Times New Roman" w:hAnsi="Times New Roman"/>
                <w:bCs/>
                <w:shd w:val="clear" w:color="auto" w:fill="FFFFFF"/>
              </w:rPr>
              <w:t>，</w:t>
            </w:r>
            <w:r>
              <w:rPr>
                <w:rFonts w:ascii="Times New Roman" w:hAnsi="Times New Roman"/>
                <w:bCs/>
                <w:shd w:val="clear" w:color="auto" w:fill="FFFFFF"/>
              </w:rPr>
              <w:t>单位为吨二氧化碳当量（tCO</w:t>
            </w:r>
            <w:r>
              <w:rPr>
                <w:rFonts w:ascii="Times New Roman" w:hAnsi="Times New Roman"/>
                <w:bCs/>
                <w:shd w:val="clear" w:color="auto" w:fill="FFFFFF"/>
                <w:vertAlign w:val="subscript"/>
              </w:rPr>
              <w:t>2</w:t>
            </w:r>
            <w:r>
              <w:rPr>
                <w:rFonts w:ascii="Times New Roman" w:hAnsi="Times New Roman"/>
                <w:bCs/>
                <w:shd w:val="clear" w:color="auto" w:fill="FFFFFF"/>
              </w:rPr>
              <w:t xml:space="preserve">e）； </w:t>
            </w:r>
          </w:p>
        </w:tc>
      </w:tr>
      <w:tr w14:paraId="22EEAE0E">
        <w:tblPrEx>
          <w:tblCellMar>
            <w:top w:w="0" w:type="dxa"/>
            <w:left w:w="108" w:type="dxa"/>
            <w:bottom w:w="0" w:type="dxa"/>
            <w:right w:w="108" w:type="dxa"/>
          </w:tblCellMar>
        </w:tblPrEx>
        <w:trPr>
          <w:trHeight w:val="251" w:hRule="atLeast"/>
        </w:trPr>
        <w:tc>
          <w:tcPr>
            <w:tcW w:w="1423" w:type="dxa"/>
          </w:tcPr>
          <w:p w14:paraId="45E6455D">
            <w:pPr>
              <w:autoSpaceDE w:val="0"/>
              <w:autoSpaceDN w:val="0"/>
              <w:rPr>
                <w:rFonts w:ascii="Times New Roman" w:hAnsi="Times New Roman"/>
                <w:kern w:val="0"/>
              </w:rPr>
            </w:pPr>
            <w:r>
              <w:rPr>
                <w:rFonts w:ascii="Times New Roman" w:hAnsi="Times New Roman"/>
                <w:kern w:val="0"/>
              </w:rPr>
              <w:pict>
                <v:shape id="_x0000_i1028" o:spt="75" type="#_x0000_t75" style="height:15.7pt;width:11.4pt;" filled="f" o:preferrelative="t" stroked="f" coordsize="21600,21600" equationxml="&lt;?xml version=&quot;1.0&quot; encoding=&quot;UTF-8&quot; standalone=&quot;yes&quot;?&gt;&#10;&#10;&lt;?mso-application progid=&quot;Word.Document&quot;?&gt;&#10;&#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7&quot;/&gt;&lt;w:characterSpacingControl w:val=&quot;CompressPunctuation&quot;/&gt;&lt;w:documentProtection w:enforcement=&quot;off&quot;/&gt;&lt;w:displayBackgroundShape w:val=&quot;1&quot;/&gt;&lt;w:doNotEmbedSystemFonts/&gt;&lt;w:trackRevisions w:val=&quot;1&quot;/&gt;&lt;w:defaultTabStop w:val=&quot;420&quot;/&gt;&lt;w:drawingGridHorizontalSpacing w:val=&quot;1&quot;/&gt;&lt;w:drawingGridVerticalSpacing w:val=&quot;1&quot;/&gt;&lt;w:displayHorizontalDrawingGridEvery w:val=&quot;1&quot;/&gt;&lt;w:displayVerticalDrawingGridEvery w:val=&quot;1&quot;/&gt;&lt;w:useMarginsForDrawingGridOrigin/&gt;&lt;w:drawingGridHorizontalOrigin w:val=&quot;0&quot;/&gt;&lt;w:drawingGridVerticalOrigin w:val=&quot;0&quot;/&gt;&lt;w:compat&gt;&lt;w:adjustLineHeightInTable/&gt;&lt;w:ulTrailSpace/&gt;&lt;w:doNotExpandShiftReturn/&gt;&lt;w:balanceSingleByteDoubleByteWidth/&gt;&lt;w:spaceForUL/&gt;&lt;w:breakWrappedTables/&gt;&lt;w:dontGrowAutofit/&gt;&lt;w:useFELayout/&gt;&lt;/w:compat&gt;&lt;/w:docPr&gt;&lt;w:body&gt;&lt;wx:sect&gt;&lt;w:p&gt;&lt;m:oMathPara&gt;&lt;m:oMathParaPr&gt;&lt;m:jc m:val=&quot;left&quot;/&gt;&lt;/m:oMathParaPr&gt;&lt;m:oMath&gt;&lt;m:sSub&gt;&lt;m:sSubPr&gt;&lt;m:ctrlPr&gt;&lt;aml:annotation aml:id=&quot;0&quot; aml:author=&quot;___&quot; aml:createdate=&quot;2026-04-01T10:15:40Z&quot; w:type=&quot;Word.Insertion&quot;&gt;&lt;aml:content&gt;&lt;w:rPr&gt;&lt;w:rFonts w:ascii=&quot;Cambria Math&quot; w:h-ansi=&quot;Cambria Math&quot; w:fareast=&quot;瀹__&quot; w:hint=&quot;default&quot;/&gt;&lt;w:b-cs/&gt;&lt;w:sz w:val=&quot;21&quot;/&gt;&lt;w:sz-cs w:val=&quot;21&quot;/&gt;&lt;/w:r amll:ii aml:iPr&gt;&lt;/aml:content&gt;&lt;/aml:annotation&gt;&lt;/m:ctrlPr&gt;&lt;/m:sSubPr&gt;&lt;m:e&gt;&lt;m:r&gt;&lt;aml:annotation aml:id=&quot;1&quot; aml:author=&quot;___&quot; aml:createdate=&quot;2026-04-01T10:15:40Z&quot; w:type=&quot;Word.Insertion&quot;&gt;&lt;aml:content&gt;&lt;m:rPr&gt;&lt;m:scr m:val=&quot;roman&quot;/&gt;&lt;/m:rPr&gt;&lt;w:rPr&gt;&lt;w:rFonts w:asciil:i=&quot;Cambl:iria Math&quot; w:h-ansi=&quot;Cambria Math&quot; w:fareast=&quot;瀹__&quot; w:hint=&quot;default&quot;/&gt;&lt;w:sz w:val=&quot;21&quot;/&gt;&lt;w:sz-cs w:val=&quot;21&quot;/&gt;&lt;/w:rPr&gt;&lt;m:t&gt;_&lt;/m:t&gt;&lt;/aml:content&gt;&lt;/aml:annotation&gt;&lt;/m:r&gt;&lt;m:ctrlPr&gt;&lt;aml:annotation aml:id=&quot;2&quot; aml:author=&quot;___&quot; aml:createdate=&quot;2026-sciiil::i04-01T10:Cambl:i15:40Z&quot; w:type=&quot;Word.Insertion&quot;&gt;&lt;aml:content&gt;&lt;w:rPr&gt;&lt;w:rFonts w:ascii=&quot;Cambria Math&quot; w:h-ansi=&quot;Cambria Math&quot; w:fareast=&quot;瀹__&quot; w:hint=&quot;default&quot;/&gt;&lt;w:b-cs/&gt;&lt;w:sz w:val=&quot;21&quot;/&gt;&lt;w:sz-cs w:val=&quot;21&quot;/&gt;&lt;/w:rPr&gt;&lt;/aml:content&gt;&lt;/aml:annotation&gt;&lt;/im:ct:l:irlPr&gt;&lt;/m:e&gt;&lt;m:sul:ib&gt;&lt;m:r&gt;&lt;aml:annotation aml:id=&quot;3&quot; aml:author=&quot;___&quot; aml:createdate=&quot;2026-04-01T10:15:40Z&quot; w:type=&quot;Word.Insertion&quot;&gt;&lt;aml:content&gt;&lt;m:rPr&gt;&lt;m:scr m:val=&quot;roman&quot;/&gt;&lt;/m:rPr&gt;&lt;w:rPr&gt;&lt;w:rFonts w:ascii=&quot;Cambria Math&quot; w:h-ansi=&quot;Cambria Math&quot; w:farel:iast=&quot;瀹__&quot; w:hint:sul:i=&quot;default&quot;/&gt;&lt;w:sz w:val=&quot;21&quot;/&gt;&lt;w:sz-cs w:val=&quot;21&quot;/&gt;&lt;/w:rPr&gt;&lt;m:t&gt;y&lt;/m:t&gt;&lt;/aml:content&gt;&lt;/aml:annotation&gt;&lt;/m:r&gt;&lt;m:ctrlPr&gt;&lt;aml:annotation aml:id=&quot;4&quot; aml:author=&quot;___&quot; aml:createdate=&quot;2026-04-01T10:15:40Z&quot; w:type=&quot;Word.Insertion&quot;&gt;w&lt;amareel:il:content&gt;&lt;w:rPr&gt;&lt;w:rFontl:is w:ascii=&quot;Cambria Math&quot; w:h-ansi=&quot;Cambria Math&quot; w:fareast=&quot;瀹__&quot; w:hint=&quot;default&quot;/&gt;&lt;w:b-cs/&gt;&lt;w:sz w:val=&quot;21&quot;/&gt;&lt;w:sz-cs w:val=&quot;21&quot;/&gt;&lt;/w:rPr&gt;&lt;/aml:content&gt;&lt;/aml:annotation&gt;&lt;/m:ctrlPr&gt;&lt;/m:sub&gt;&lt;/m:sSub&gt;&lt;/m:oMath&gt;&lt;/m:oMatwhPara&gt;e&lt;/l:iw:p&gt;&lt;/wx:sect&gt;&lt;/w:body&gt;&lt;/w:wl:iordDocument">
                  <v:path/>
                  <v:fill on="f" focussize="0,0"/>
                  <v:stroke on="f" joinstyle="miter"/>
                  <v:imagedata r:id="rId32" o:title=""/>
                  <o:lock v:ext="edit" aspectratio="f"/>
                  <w10:wrap type="none"/>
                  <w10:anchorlock/>
                </v:shape>
              </w:pict>
            </w:r>
          </w:p>
        </w:tc>
        <w:tc>
          <w:tcPr>
            <w:tcW w:w="854" w:type="dxa"/>
          </w:tcPr>
          <w:p w14:paraId="2DFFE8A3">
            <w:pPr>
              <w:autoSpaceDE w:val="0"/>
              <w:autoSpaceDN w:val="0"/>
              <w:rPr>
                <w:rFonts w:ascii="Times New Roman" w:hAnsi="Times New Roman"/>
                <w:kern w:val="0"/>
              </w:rPr>
            </w:pPr>
            <w:r>
              <w:rPr>
                <w:rFonts w:ascii="Times New Roman" w:hAnsi="Times New Roman"/>
                <w:kern w:val="0"/>
              </w:rPr>
              <w:t>——</w:t>
            </w:r>
          </w:p>
        </w:tc>
        <w:tc>
          <w:tcPr>
            <w:tcW w:w="5551" w:type="dxa"/>
          </w:tcPr>
          <w:p w14:paraId="4D8C859D">
            <w:pPr>
              <w:autoSpaceDE w:val="0"/>
              <w:autoSpaceDN w:val="0"/>
              <w:rPr>
                <w:rFonts w:ascii="Times New Roman" w:hAnsi="Times New Roman"/>
                <w:kern w:val="0"/>
              </w:rPr>
            </w:pPr>
            <w:r>
              <w:rPr>
                <w:rFonts w:hint="eastAsia" w:ascii="Times New Roman" w:hAnsi="Times New Roman"/>
                <w:kern w:val="0"/>
              </w:rPr>
              <w:t>考虑模型不确定性的模型校正因子，无量纲；</w:t>
            </w:r>
            <w:r>
              <w:rPr>
                <w:rFonts w:ascii="Times New Roman" w:hAnsi="Times New Roman"/>
                <w:kern w:val="0"/>
              </w:rPr>
              <w:t xml:space="preserve"> </w:t>
            </w:r>
          </w:p>
        </w:tc>
      </w:tr>
      <w:tr w14:paraId="08B9BEC2">
        <w:tblPrEx>
          <w:tblCellMar>
            <w:top w:w="0" w:type="dxa"/>
            <w:left w:w="108" w:type="dxa"/>
            <w:bottom w:w="0" w:type="dxa"/>
            <w:right w:w="108" w:type="dxa"/>
          </w:tblCellMar>
        </w:tblPrEx>
        <w:trPr>
          <w:trHeight w:val="253" w:hRule="atLeast"/>
        </w:trPr>
        <w:tc>
          <w:tcPr>
            <w:tcW w:w="1423" w:type="dxa"/>
          </w:tcPr>
          <w:p w14:paraId="399816A5">
            <w:pPr>
              <w:autoSpaceDE w:val="0"/>
              <w:autoSpaceDN w:val="0"/>
            </w:pPr>
            <w:r>
              <w:rPr>
                <w:rFonts w:ascii="Times New Roman" w:hAnsi="Times New Roman"/>
                <w:kern w:val="0"/>
              </w:rPr>
              <w:drawing>
                <wp:inline distT="0" distB="0" distL="114300" distR="114300">
                  <wp:extent cx="470535" cy="199390"/>
                  <wp:effectExtent l="0" t="0" r="12065" b="3175"/>
                  <wp:docPr id="1" name="图片 10"/>
                  <wp:cNvGraphicFramePr/>
                  <a:graphic xmlns:a="http://schemas.openxmlformats.org/drawingml/2006/main">
                    <a:graphicData uri="http://schemas.openxmlformats.org/drawingml/2006/picture">
                      <pic:pic xmlns:pic="http://schemas.openxmlformats.org/drawingml/2006/picture">
                        <pic:nvPicPr>
                          <pic:cNvPr id="1" name="图片 10"/>
                          <pic:cNvPicPr/>
                        </pic:nvPicPr>
                        <pic:blipFill>
                          <a:blip r:embed="rId33"/>
                          <a:stretch>
                            <a:fillRect/>
                          </a:stretch>
                        </pic:blipFill>
                        <pic:spPr>
                          <a:xfrm>
                            <a:off x="0" y="0"/>
                            <a:ext cx="470535" cy="199390"/>
                          </a:xfrm>
                          <a:prstGeom prst="rect">
                            <a:avLst/>
                          </a:prstGeom>
                          <a:noFill/>
                          <a:ln>
                            <a:noFill/>
                          </a:ln>
                        </pic:spPr>
                      </pic:pic>
                    </a:graphicData>
                  </a:graphic>
                </wp:inline>
              </w:drawing>
            </w:r>
          </w:p>
        </w:tc>
        <w:tc>
          <w:tcPr>
            <w:tcW w:w="854" w:type="dxa"/>
          </w:tcPr>
          <w:p w14:paraId="1AA97D54">
            <w:pPr>
              <w:autoSpaceDE w:val="0"/>
              <w:autoSpaceDN w:val="0"/>
            </w:pPr>
            <w:r>
              <w:rPr>
                <w:rFonts w:ascii="Times New Roman" w:hAnsi="Times New Roman"/>
                <w:kern w:val="0"/>
              </w:rPr>
              <w:t>——</w:t>
            </w:r>
          </w:p>
        </w:tc>
        <w:tc>
          <w:tcPr>
            <w:tcW w:w="5551" w:type="dxa"/>
          </w:tcPr>
          <w:p w14:paraId="7339BAA2">
            <w:pPr>
              <w:autoSpaceDE w:val="0"/>
              <w:autoSpaceDN w:val="0"/>
            </w:pPr>
            <w:r>
              <w:rPr>
                <w:rFonts w:ascii="Times New Roman" w:hAnsi="Times New Roman"/>
                <w:bCs/>
                <w:shd w:val="clear" w:color="auto" w:fill="FFFFFF"/>
              </w:rPr>
              <w:t>100</w:t>
            </w:r>
            <w:r>
              <w:rPr>
                <w:rFonts w:hint="eastAsia" w:ascii="Times New Roman" w:hAnsi="Times New Roman"/>
                <w:bCs/>
                <w:shd w:val="clear" w:color="auto" w:fill="FFFFFF"/>
              </w:rPr>
              <w:t>年时间尺度下</w:t>
            </w:r>
            <w:r>
              <w:rPr>
                <w:rFonts w:ascii="Times New Roman" w:hAnsi="Times New Roman"/>
                <w:bCs/>
                <w:shd w:val="clear" w:color="auto" w:fill="FFFFFF"/>
              </w:rPr>
              <w:t>CH</w:t>
            </w:r>
            <w:r>
              <w:rPr>
                <w:rFonts w:ascii="Times New Roman" w:hAnsi="Times New Roman"/>
                <w:bCs/>
                <w:shd w:val="clear" w:color="auto" w:fill="FFFFFF"/>
                <w:vertAlign w:val="subscript"/>
              </w:rPr>
              <w:t>4</w:t>
            </w:r>
            <w:r>
              <w:rPr>
                <w:rFonts w:ascii="Times New Roman" w:hAnsi="Times New Roman"/>
                <w:bCs/>
                <w:shd w:val="clear" w:color="auto" w:fill="FFFFFF"/>
              </w:rPr>
              <w:t>的全球</w:t>
            </w:r>
            <w:r>
              <w:rPr>
                <w:rFonts w:hint="eastAsia" w:ascii="Times New Roman" w:hAnsi="Times New Roman"/>
                <w:bCs/>
                <w:shd w:val="clear" w:color="auto" w:fill="FFFFFF"/>
              </w:rPr>
              <w:t>增</w:t>
            </w:r>
            <w:r>
              <w:rPr>
                <w:rFonts w:ascii="Times New Roman" w:hAnsi="Times New Roman"/>
                <w:bCs/>
                <w:shd w:val="clear" w:color="auto" w:fill="FFFFFF"/>
              </w:rPr>
              <w:t>温潜势</w:t>
            </w:r>
            <w:r>
              <w:rPr>
                <w:rFonts w:hint="eastAsia" w:ascii="Times New Roman" w:hAnsi="Times New Roman"/>
                <w:bCs/>
                <w:shd w:val="clear" w:color="auto" w:fill="FFFFFF"/>
              </w:rPr>
              <w:t>，单位为吨二氧化碳当量每吨甲烷</w:t>
            </w:r>
            <w:r>
              <w:rPr>
                <w:rFonts w:ascii="Times New Roman" w:hAnsi="Times New Roman"/>
                <w:bCs/>
                <w:shd w:val="clear" w:color="auto" w:fill="FFFFFF"/>
              </w:rPr>
              <w:t>（tCO</w:t>
            </w:r>
            <w:r>
              <w:rPr>
                <w:rFonts w:ascii="Times New Roman" w:hAnsi="Times New Roman"/>
                <w:bCs/>
                <w:shd w:val="clear" w:color="auto" w:fill="FFFFFF"/>
                <w:vertAlign w:val="subscript"/>
              </w:rPr>
              <w:t>2</w:t>
            </w:r>
            <w:r>
              <w:rPr>
                <w:rFonts w:ascii="Times New Roman" w:hAnsi="Times New Roman"/>
                <w:bCs/>
                <w:shd w:val="clear" w:color="auto" w:fill="FFFFFF"/>
              </w:rPr>
              <w:t>e/tCH</w:t>
            </w:r>
            <w:r>
              <w:rPr>
                <w:rFonts w:ascii="Times New Roman" w:hAnsi="Times New Roman"/>
                <w:bCs/>
                <w:shd w:val="clear" w:color="auto" w:fill="FFFFFF"/>
                <w:vertAlign w:val="subscript"/>
              </w:rPr>
              <w:t>4</w:t>
            </w:r>
            <w:r>
              <w:rPr>
                <w:rFonts w:ascii="Times New Roman" w:hAnsi="Times New Roman"/>
                <w:bCs/>
                <w:shd w:val="clear" w:color="auto" w:fill="FFFFFF"/>
              </w:rPr>
              <w:t>）</w:t>
            </w:r>
            <w:r>
              <w:rPr>
                <w:rFonts w:ascii="Times New Roman" w:hAnsi="Times New Roman"/>
                <w:kern w:val="0"/>
              </w:rPr>
              <w:t xml:space="preserve">； </w:t>
            </w:r>
          </w:p>
        </w:tc>
      </w:tr>
      <w:tr w14:paraId="689BDA9C">
        <w:tblPrEx>
          <w:tblCellMar>
            <w:top w:w="0" w:type="dxa"/>
            <w:left w:w="108" w:type="dxa"/>
            <w:bottom w:w="0" w:type="dxa"/>
            <w:right w:w="108" w:type="dxa"/>
          </w:tblCellMar>
        </w:tblPrEx>
        <w:trPr>
          <w:trHeight w:val="120" w:hRule="atLeast"/>
        </w:trPr>
        <w:tc>
          <w:tcPr>
            <w:tcW w:w="1423" w:type="dxa"/>
          </w:tcPr>
          <w:p w14:paraId="58D7CD26">
            <w:pPr>
              <w:autoSpaceDE w:val="0"/>
              <w:autoSpaceDN w:val="0"/>
              <w:rPr>
                <w:rFonts w:ascii="Times New Roman" w:hAnsi="Times New Roman"/>
                <w:kern w:val="0"/>
              </w:rPr>
            </w:pPr>
            <w:r>
              <w:rPr>
                <w:rFonts w:ascii="Cambria Math" w:hAnsi="Cambria Math" w:cs="Cambria Math"/>
                <w:kern w:val="0"/>
              </w:rPr>
              <w:t>𝑂𝑋</w:t>
            </w:r>
          </w:p>
        </w:tc>
        <w:tc>
          <w:tcPr>
            <w:tcW w:w="854" w:type="dxa"/>
          </w:tcPr>
          <w:p w14:paraId="69E61F3E">
            <w:pPr>
              <w:autoSpaceDE w:val="0"/>
              <w:autoSpaceDN w:val="0"/>
              <w:rPr>
                <w:rFonts w:ascii="Times New Roman" w:hAnsi="Times New Roman"/>
                <w:kern w:val="0"/>
              </w:rPr>
            </w:pPr>
            <w:r>
              <w:rPr>
                <w:rFonts w:ascii="Times New Roman" w:hAnsi="Times New Roman"/>
                <w:kern w:val="0"/>
              </w:rPr>
              <w:t>——</w:t>
            </w:r>
          </w:p>
        </w:tc>
        <w:tc>
          <w:tcPr>
            <w:tcW w:w="5551" w:type="dxa"/>
          </w:tcPr>
          <w:p w14:paraId="3C4971B4">
            <w:pPr>
              <w:autoSpaceDE w:val="0"/>
              <w:autoSpaceDN w:val="0"/>
              <w:rPr>
                <w:rFonts w:ascii="Times New Roman" w:hAnsi="Times New Roman"/>
                <w:kern w:val="0"/>
              </w:rPr>
            </w:pPr>
            <w:r>
              <w:rPr>
                <w:rFonts w:hint="eastAsia" w:ascii="Times New Roman" w:hAnsi="Times New Roman"/>
                <w:bCs/>
                <w:shd w:val="clear" w:color="auto" w:fill="FFFFFF"/>
              </w:rPr>
              <w:t>氧化因子（反映由土壤或其他物质构成的填埋场垃圾覆盖层中氧化的甲烷数量），无量纲</w:t>
            </w:r>
            <w:r>
              <w:rPr>
                <w:rFonts w:ascii="Times New Roman" w:hAnsi="Times New Roman"/>
                <w:kern w:val="0"/>
              </w:rPr>
              <w:t xml:space="preserve">； </w:t>
            </w:r>
          </w:p>
        </w:tc>
      </w:tr>
      <w:tr w14:paraId="7A8F0330">
        <w:tblPrEx>
          <w:tblCellMar>
            <w:top w:w="0" w:type="dxa"/>
            <w:left w:w="108" w:type="dxa"/>
            <w:bottom w:w="0" w:type="dxa"/>
            <w:right w:w="108" w:type="dxa"/>
          </w:tblCellMar>
        </w:tblPrEx>
        <w:trPr>
          <w:trHeight w:val="120" w:hRule="atLeast"/>
        </w:trPr>
        <w:tc>
          <w:tcPr>
            <w:tcW w:w="1423" w:type="dxa"/>
          </w:tcPr>
          <w:p w14:paraId="3E1E72CE">
            <w:pPr>
              <w:autoSpaceDE w:val="0"/>
              <w:autoSpaceDN w:val="0"/>
              <w:rPr>
                <w:rFonts w:ascii="Times New Roman" w:hAnsi="Times New Roman"/>
                <w:kern w:val="0"/>
              </w:rPr>
            </w:pPr>
            <w:r>
              <w:rPr>
                <w:rFonts w:hint="eastAsia" w:ascii="Times New Roman" w:hAnsi="Times New Roman"/>
                <w:kern w:val="0"/>
              </w:rPr>
              <w:t>16/12</w:t>
            </w:r>
          </w:p>
        </w:tc>
        <w:tc>
          <w:tcPr>
            <w:tcW w:w="854" w:type="dxa"/>
          </w:tcPr>
          <w:p w14:paraId="31272466">
            <w:pPr>
              <w:autoSpaceDE w:val="0"/>
              <w:autoSpaceDN w:val="0"/>
              <w:rPr>
                <w:rFonts w:ascii="Times New Roman" w:hAnsi="Times New Roman"/>
                <w:kern w:val="0"/>
              </w:rPr>
            </w:pPr>
            <w:r>
              <w:rPr>
                <w:rFonts w:ascii="Times New Roman" w:hAnsi="Times New Roman"/>
                <w:kern w:val="0"/>
              </w:rPr>
              <w:t>——</w:t>
            </w:r>
          </w:p>
        </w:tc>
        <w:tc>
          <w:tcPr>
            <w:tcW w:w="5551" w:type="dxa"/>
          </w:tcPr>
          <w:p w14:paraId="45AC358C">
            <w:pPr>
              <w:autoSpaceDE w:val="0"/>
              <w:autoSpaceDN w:val="0"/>
              <w:rPr>
                <w:rFonts w:ascii="Times New Roman" w:hAnsi="Times New Roman"/>
                <w:kern w:val="0"/>
              </w:rPr>
            </w:pPr>
            <w:r>
              <w:rPr>
                <w:rFonts w:ascii="Times New Roman" w:hAnsi="Times New Roman"/>
                <w:kern w:val="0"/>
              </w:rPr>
              <w:t>可降解有机碳生成甲烷的转换因子，单位为吨甲烷每吨有机碳（tCH</w:t>
            </w:r>
            <w:r>
              <w:rPr>
                <w:rFonts w:ascii="Times New Roman" w:hAnsi="Times New Roman"/>
                <w:kern w:val="0"/>
                <w:vertAlign w:val="subscript"/>
              </w:rPr>
              <w:t>4</w:t>
            </w:r>
            <w:r>
              <w:rPr>
                <w:rFonts w:ascii="Times New Roman" w:hAnsi="Times New Roman"/>
                <w:kern w:val="0"/>
              </w:rPr>
              <w:t>/tC）；</w:t>
            </w:r>
          </w:p>
        </w:tc>
      </w:tr>
      <w:tr w14:paraId="21D6A896">
        <w:tblPrEx>
          <w:tblCellMar>
            <w:top w:w="0" w:type="dxa"/>
            <w:left w:w="108" w:type="dxa"/>
            <w:bottom w:w="0" w:type="dxa"/>
            <w:right w:w="108" w:type="dxa"/>
          </w:tblCellMar>
        </w:tblPrEx>
        <w:trPr>
          <w:trHeight w:val="120" w:hRule="atLeast"/>
        </w:trPr>
        <w:tc>
          <w:tcPr>
            <w:tcW w:w="1423" w:type="dxa"/>
          </w:tcPr>
          <w:p w14:paraId="5B7A45A4">
            <w:pPr>
              <w:autoSpaceDE w:val="0"/>
              <w:autoSpaceDN w:val="0"/>
              <w:rPr>
                <w:rFonts w:ascii="Times New Roman" w:hAnsi="Times New Roman"/>
                <w:kern w:val="0"/>
              </w:rPr>
            </w:pPr>
            <w:r>
              <w:rPr>
                <w:rFonts w:ascii="Cambria Math" w:hAnsi="Cambria Math" w:cs="Cambria Math"/>
                <w:kern w:val="0"/>
              </w:rPr>
              <w:t>𝐹</w:t>
            </w:r>
          </w:p>
        </w:tc>
        <w:tc>
          <w:tcPr>
            <w:tcW w:w="854" w:type="dxa"/>
          </w:tcPr>
          <w:p w14:paraId="7CCE927F">
            <w:pPr>
              <w:autoSpaceDE w:val="0"/>
              <w:autoSpaceDN w:val="0"/>
              <w:rPr>
                <w:rFonts w:ascii="Times New Roman" w:hAnsi="Times New Roman"/>
                <w:kern w:val="0"/>
              </w:rPr>
            </w:pPr>
            <w:r>
              <w:rPr>
                <w:rFonts w:ascii="Times New Roman" w:hAnsi="Times New Roman"/>
                <w:kern w:val="0"/>
              </w:rPr>
              <w:t>——</w:t>
            </w:r>
          </w:p>
        </w:tc>
        <w:tc>
          <w:tcPr>
            <w:tcW w:w="5551" w:type="dxa"/>
          </w:tcPr>
          <w:p w14:paraId="1BD6FDE3">
            <w:pPr>
              <w:autoSpaceDE w:val="0"/>
              <w:autoSpaceDN w:val="0"/>
              <w:rPr>
                <w:rFonts w:ascii="Times New Roman" w:hAnsi="Times New Roman"/>
                <w:kern w:val="0"/>
              </w:rPr>
            </w:pPr>
            <w:r>
              <w:rPr>
                <w:rFonts w:ascii="Times New Roman" w:hAnsi="Times New Roman"/>
                <w:kern w:val="0"/>
              </w:rPr>
              <w:t>有机碳分解产生的甲烷在垃圾填埋气中的比例（体积比例），无量纲</w:t>
            </w:r>
            <w:r>
              <w:rPr>
                <w:rFonts w:hint="eastAsia" w:ascii="Times New Roman" w:hAnsi="Times New Roman"/>
                <w:kern w:val="0"/>
              </w:rPr>
              <w:t>；</w:t>
            </w:r>
          </w:p>
        </w:tc>
      </w:tr>
      <w:tr w14:paraId="6E047A16">
        <w:tblPrEx>
          <w:tblCellMar>
            <w:top w:w="0" w:type="dxa"/>
            <w:left w:w="108" w:type="dxa"/>
            <w:bottom w:w="0" w:type="dxa"/>
            <w:right w:w="108" w:type="dxa"/>
          </w:tblCellMar>
        </w:tblPrEx>
        <w:trPr>
          <w:trHeight w:val="120" w:hRule="atLeast"/>
        </w:trPr>
        <w:tc>
          <w:tcPr>
            <w:tcW w:w="1423" w:type="dxa"/>
          </w:tcPr>
          <w:p w14:paraId="430E4208">
            <w:pPr>
              <w:autoSpaceDE w:val="0"/>
              <w:autoSpaceDN w:val="0"/>
              <w:rPr>
                <w:rFonts w:ascii="Times New Roman" w:hAnsi="Times New Roman"/>
                <w:kern w:val="0"/>
              </w:rPr>
            </w:pPr>
            <w:r>
              <w:rPr>
                <w:rFonts w:ascii="Times New Roman" w:hAnsi="Times New Roman"/>
                <w:kern w:val="0"/>
              </w:rPr>
              <w:drawing>
                <wp:inline distT="0" distB="0" distL="114300" distR="114300">
                  <wp:extent cx="389255" cy="199390"/>
                  <wp:effectExtent l="0" t="0" r="17145" b="3175"/>
                  <wp:docPr id="2" name="图片 11"/>
                  <wp:cNvGraphicFramePr/>
                  <a:graphic xmlns:a="http://schemas.openxmlformats.org/drawingml/2006/main">
                    <a:graphicData uri="http://schemas.openxmlformats.org/drawingml/2006/picture">
                      <pic:pic xmlns:pic="http://schemas.openxmlformats.org/drawingml/2006/picture">
                        <pic:nvPicPr>
                          <pic:cNvPr id="2" name="图片 11"/>
                          <pic:cNvPicPr/>
                        </pic:nvPicPr>
                        <pic:blipFill>
                          <a:blip r:embed="rId34"/>
                          <a:stretch>
                            <a:fillRect/>
                          </a:stretch>
                        </pic:blipFill>
                        <pic:spPr>
                          <a:xfrm>
                            <a:off x="0" y="0"/>
                            <a:ext cx="389255" cy="199390"/>
                          </a:xfrm>
                          <a:prstGeom prst="rect">
                            <a:avLst/>
                          </a:prstGeom>
                          <a:noFill/>
                          <a:ln>
                            <a:noFill/>
                          </a:ln>
                        </pic:spPr>
                      </pic:pic>
                    </a:graphicData>
                  </a:graphic>
                </wp:inline>
              </w:drawing>
            </w:r>
          </w:p>
        </w:tc>
        <w:tc>
          <w:tcPr>
            <w:tcW w:w="854" w:type="dxa"/>
          </w:tcPr>
          <w:p w14:paraId="150807F2">
            <w:pPr>
              <w:autoSpaceDE w:val="0"/>
              <w:autoSpaceDN w:val="0"/>
              <w:rPr>
                <w:rFonts w:ascii="Times New Roman" w:hAnsi="Times New Roman"/>
                <w:kern w:val="0"/>
              </w:rPr>
            </w:pPr>
            <w:r>
              <w:rPr>
                <w:rFonts w:ascii="Times New Roman" w:hAnsi="Times New Roman"/>
                <w:kern w:val="0"/>
              </w:rPr>
              <w:t>——</w:t>
            </w:r>
          </w:p>
        </w:tc>
        <w:tc>
          <w:tcPr>
            <w:tcW w:w="5551" w:type="dxa"/>
          </w:tcPr>
          <w:p w14:paraId="70259CFD">
            <w:pPr>
              <w:autoSpaceDE w:val="0"/>
              <w:autoSpaceDN w:val="0"/>
              <w:rPr>
                <w:rFonts w:ascii="Times New Roman" w:hAnsi="Times New Roman"/>
                <w:kern w:val="0"/>
              </w:rPr>
            </w:pPr>
            <w:r>
              <w:rPr>
                <w:rFonts w:hint="eastAsia" w:ascii="Times New Roman" w:hAnsi="Times New Roman"/>
                <w:kern w:val="0"/>
              </w:rPr>
              <w:t>生活垃圾填埋场</w:t>
            </w:r>
            <w:r>
              <w:rPr>
                <w:rFonts w:ascii="Times New Roman" w:hAnsi="Times New Roman"/>
                <w:kern w:val="0"/>
              </w:rPr>
              <w:t>的特定条件下</w:t>
            </w:r>
            <w:r>
              <w:rPr>
                <w:rFonts w:hint="eastAsia" w:ascii="Times New Roman" w:hAnsi="Times New Roman"/>
                <w:kern w:val="0"/>
              </w:rPr>
              <w:t>分解</w:t>
            </w:r>
            <w:r>
              <w:rPr>
                <w:rFonts w:ascii="Times New Roman" w:hAnsi="Times New Roman"/>
                <w:kern w:val="0"/>
              </w:rPr>
              <w:t>可降解有机碳的比例</w:t>
            </w:r>
            <w:r>
              <w:rPr>
                <w:rFonts w:hint="eastAsia" w:ascii="Times New Roman" w:hAnsi="Times New Roman"/>
                <w:kern w:val="0"/>
              </w:rPr>
              <w:t>（质量分数），</w:t>
            </w:r>
            <w:r>
              <w:rPr>
                <w:rFonts w:ascii="Times New Roman" w:hAnsi="Times New Roman"/>
                <w:kern w:val="0"/>
              </w:rPr>
              <w:t>单位为百分比（%）；</w:t>
            </w:r>
          </w:p>
        </w:tc>
      </w:tr>
      <w:tr w14:paraId="17309D77">
        <w:tblPrEx>
          <w:tblCellMar>
            <w:top w:w="0" w:type="dxa"/>
            <w:left w:w="108" w:type="dxa"/>
            <w:bottom w:w="0" w:type="dxa"/>
            <w:right w:w="108" w:type="dxa"/>
          </w:tblCellMar>
        </w:tblPrEx>
        <w:trPr>
          <w:trHeight w:val="120" w:hRule="atLeast"/>
        </w:trPr>
        <w:tc>
          <w:tcPr>
            <w:tcW w:w="1423" w:type="dxa"/>
          </w:tcPr>
          <w:p w14:paraId="3CCC98A6">
            <w:pPr>
              <w:autoSpaceDE w:val="0"/>
              <w:autoSpaceDN w:val="0"/>
              <w:rPr>
                <w:rFonts w:ascii="Times New Roman" w:hAnsi="Times New Roman"/>
                <w:kern w:val="0"/>
              </w:rPr>
            </w:pPr>
            <w:r>
              <w:rPr>
                <w:rFonts w:ascii="Times New Roman" w:hAnsi="Times New Roman"/>
                <w:kern w:val="0"/>
              </w:rPr>
              <w:drawing>
                <wp:inline distT="0" distB="0" distL="114300" distR="114300">
                  <wp:extent cx="335280" cy="199390"/>
                  <wp:effectExtent l="0" t="0" r="20320" b="3175"/>
                  <wp:docPr id="3" name="图片 12"/>
                  <wp:cNvGraphicFramePr/>
                  <a:graphic xmlns:a="http://schemas.openxmlformats.org/drawingml/2006/main">
                    <a:graphicData uri="http://schemas.openxmlformats.org/drawingml/2006/picture">
                      <pic:pic xmlns:pic="http://schemas.openxmlformats.org/drawingml/2006/picture">
                        <pic:nvPicPr>
                          <pic:cNvPr id="3" name="图片 12"/>
                          <pic:cNvPicPr/>
                        </pic:nvPicPr>
                        <pic:blipFill>
                          <a:blip r:embed="rId35"/>
                          <a:stretch>
                            <a:fillRect/>
                          </a:stretch>
                        </pic:blipFill>
                        <pic:spPr>
                          <a:xfrm>
                            <a:off x="0" y="0"/>
                            <a:ext cx="335280" cy="199390"/>
                          </a:xfrm>
                          <a:prstGeom prst="rect">
                            <a:avLst/>
                          </a:prstGeom>
                          <a:noFill/>
                          <a:ln>
                            <a:noFill/>
                          </a:ln>
                        </pic:spPr>
                      </pic:pic>
                    </a:graphicData>
                  </a:graphic>
                </wp:inline>
              </w:drawing>
            </w:r>
          </w:p>
        </w:tc>
        <w:tc>
          <w:tcPr>
            <w:tcW w:w="854" w:type="dxa"/>
          </w:tcPr>
          <w:p w14:paraId="1008FF7C">
            <w:pPr>
              <w:autoSpaceDE w:val="0"/>
              <w:autoSpaceDN w:val="0"/>
              <w:rPr>
                <w:rFonts w:ascii="Times New Roman" w:hAnsi="Times New Roman"/>
                <w:kern w:val="0"/>
              </w:rPr>
            </w:pPr>
            <w:r>
              <w:rPr>
                <w:rFonts w:ascii="Times New Roman" w:hAnsi="Times New Roman"/>
                <w:kern w:val="0"/>
              </w:rPr>
              <w:t>——</w:t>
            </w:r>
          </w:p>
        </w:tc>
        <w:tc>
          <w:tcPr>
            <w:tcW w:w="5551" w:type="dxa"/>
          </w:tcPr>
          <w:p w14:paraId="443DF018">
            <w:pPr>
              <w:autoSpaceDE w:val="0"/>
              <w:autoSpaceDN w:val="0"/>
              <w:rPr>
                <w:rFonts w:ascii="Times New Roman" w:hAnsi="Times New Roman"/>
                <w:kern w:val="0"/>
              </w:rPr>
            </w:pPr>
            <w:r>
              <w:rPr>
                <w:rFonts w:ascii="Times New Roman" w:hAnsi="Times New Roman"/>
                <w:kern w:val="0"/>
              </w:rPr>
              <w:t>甲烷</w:t>
            </w:r>
            <w:r>
              <w:rPr>
                <w:rFonts w:hint="eastAsia" w:ascii="Times New Roman" w:hAnsi="Times New Roman"/>
                <w:kern w:val="0"/>
              </w:rPr>
              <w:t>转化</w:t>
            </w:r>
            <w:r>
              <w:rPr>
                <w:rFonts w:ascii="Times New Roman" w:hAnsi="Times New Roman"/>
                <w:kern w:val="0"/>
              </w:rPr>
              <w:t>因子</w:t>
            </w:r>
            <w:r>
              <w:rPr>
                <w:rFonts w:hint="eastAsia" w:ascii="Times New Roman" w:hAnsi="Times New Roman"/>
                <w:kern w:val="0"/>
              </w:rPr>
              <w:t>，无量纲</w:t>
            </w:r>
            <w:r>
              <w:rPr>
                <w:rFonts w:ascii="Times New Roman" w:hAnsi="Times New Roman"/>
                <w:kern w:val="0"/>
              </w:rPr>
              <w:t>；</w:t>
            </w:r>
          </w:p>
        </w:tc>
      </w:tr>
      <w:tr w14:paraId="5F17595A">
        <w:tblPrEx>
          <w:tblCellMar>
            <w:top w:w="0" w:type="dxa"/>
            <w:left w:w="108" w:type="dxa"/>
            <w:bottom w:w="0" w:type="dxa"/>
            <w:right w:w="108" w:type="dxa"/>
          </w:tblCellMar>
        </w:tblPrEx>
        <w:trPr>
          <w:trHeight w:val="120" w:hRule="atLeast"/>
        </w:trPr>
        <w:tc>
          <w:tcPr>
            <w:tcW w:w="1423" w:type="dxa"/>
          </w:tcPr>
          <w:p w14:paraId="3F15A26A">
            <w:pPr>
              <w:autoSpaceDE w:val="0"/>
              <w:autoSpaceDN w:val="0"/>
              <w:rPr>
                <w:rFonts w:ascii="Times New Roman" w:hAnsi="Times New Roman"/>
                <w:kern w:val="0"/>
              </w:rPr>
            </w:pPr>
            <w:r>
              <w:rPr>
                <w:rFonts w:ascii="Times New Roman" w:hAnsi="Times New Roman"/>
                <w:kern w:val="0"/>
              </w:rPr>
              <w:drawing>
                <wp:inline distT="0" distB="0" distL="114300" distR="114300">
                  <wp:extent cx="235585" cy="199390"/>
                  <wp:effectExtent l="0" t="0" r="18415" b="3175"/>
                  <wp:docPr id="4" name="图片 13"/>
                  <wp:cNvGraphicFramePr/>
                  <a:graphic xmlns:a="http://schemas.openxmlformats.org/drawingml/2006/main">
                    <a:graphicData uri="http://schemas.openxmlformats.org/drawingml/2006/picture">
                      <pic:pic xmlns:pic="http://schemas.openxmlformats.org/drawingml/2006/picture">
                        <pic:nvPicPr>
                          <pic:cNvPr id="4" name="图片 13"/>
                          <pic:cNvPicPr/>
                        </pic:nvPicPr>
                        <pic:blipFill>
                          <a:blip r:embed="rId36"/>
                          <a:stretch>
                            <a:fillRect/>
                          </a:stretch>
                        </pic:blipFill>
                        <pic:spPr>
                          <a:xfrm>
                            <a:off x="0" y="0"/>
                            <a:ext cx="235585" cy="199390"/>
                          </a:xfrm>
                          <a:prstGeom prst="rect">
                            <a:avLst/>
                          </a:prstGeom>
                          <a:noFill/>
                          <a:ln>
                            <a:noFill/>
                          </a:ln>
                        </pic:spPr>
                      </pic:pic>
                    </a:graphicData>
                  </a:graphic>
                </wp:inline>
              </w:drawing>
            </w:r>
          </w:p>
        </w:tc>
        <w:tc>
          <w:tcPr>
            <w:tcW w:w="854" w:type="dxa"/>
          </w:tcPr>
          <w:p w14:paraId="3C04A196">
            <w:pPr>
              <w:autoSpaceDE w:val="0"/>
              <w:autoSpaceDN w:val="0"/>
              <w:rPr>
                <w:rFonts w:ascii="Times New Roman" w:hAnsi="Times New Roman"/>
                <w:kern w:val="0"/>
              </w:rPr>
            </w:pPr>
            <w:r>
              <w:rPr>
                <w:rFonts w:ascii="Times New Roman" w:hAnsi="Times New Roman"/>
                <w:kern w:val="0"/>
              </w:rPr>
              <w:t>——</w:t>
            </w:r>
          </w:p>
        </w:tc>
        <w:tc>
          <w:tcPr>
            <w:tcW w:w="5551" w:type="dxa"/>
          </w:tcPr>
          <w:p w14:paraId="18B7D29C">
            <w:pPr>
              <w:autoSpaceDE w:val="0"/>
              <w:autoSpaceDN w:val="0"/>
              <w:rPr>
                <w:rFonts w:ascii="Times New Roman" w:hAnsi="Times New Roman"/>
                <w:kern w:val="0"/>
              </w:rPr>
            </w:pPr>
            <w:r>
              <w:rPr>
                <w:rFonts w:ascii="Times New Roman" w:hAnsi="Times New Roman"/>
                <w:kern w:val="0"/>
              </w:rPr>
              <w:t>在</w:t>
            </w:r>
            <w:r>
              <w:rPr>
                <w:rFonts w:hint="eastAsia" w:ascii="Times New Roman" w:hAnsi="Times New Roman"/>
                <w:kern w:val="0"/>
              </w:rPr>
              <w:t>生活垃圾填埋场</w:t>
            </w:r>
            <w:r>
              <w:rPr>
                <w:rFonts w:ascii="Times New Roman" w:hAnsi="Times New Roman"/>
                <w:kern w:val="0"/>
              </w:rPr>
              <w:t>已处理或尚未处理的第</w:t>
            </w:r>
            <w:r>
              <w:rPr>
                <w:rFonts w:ascii="Cambria Math" w:hAnsi="Cambria Math" w:cs="Cambria Math"/>
                <w:kern w:val="0"/>
              </w:rPr>
              <w:t>𝑗</w:t>
            </w:r>
            <w:r>
              <w:rPr>
                <w:rFonts w:ascii="Times New Roman" w:hAnsi="Times New Roman"/>
                <w:kern w:val="0"/>
              </w:rPr>
              <w:t>类城市生活垃圾数量，x从1至y</w:t>
            </w:r>
            <w:r>
              <w:rPr>
                <w:rFonts w:hint="eastAsia" w:ascii="Times New Roman" w:hAnsi="Times New Roman"/>
                <w:kern w:val="0"/>
              </w:rPr>
              <w:t>，</w:t>
            </w:r>
            <w:r>
              <w:rPr>
                <w:rFonts w:ascii="Times New Roman" w:hAnsi="Times New Roman"/>
                <w:kern w:val="0"/>
              </w:rPr>
              <w:t>单位为（t）；</w:t>
            </w:r>
          </w:p>
        </w:tc>
      </w:tr>
      <w:tr w14:paraId="68D39E1A">
        <w:tblPrEx>
          <w:tblCellMar>
            <w:top w:w="0" w:type="dxa"/>
            <w:left w:w="108" w:type="dxa"/>
            <w:bottom w:w="0" w:type="dxa"/>
            <w:right w:w="108" w:type="dxa"/>
          </w:tblCellMar>
        </w:tblPrEx>
        <w:trPr>
          <w:trHeight w:val="120" w:hRule="atLeast"/>
        </w:trPr>
        <w:tc>
          <w:tcPr>
            <w:tcW w:w="1423" w:type="dxa"/>
          </w:tcPr>
          <w:p w14:paraId="1DCBB1C1">
            <w:pPr>
              <w:autoSpaceDE w:val="0"/>
              <w:autoSpaceDN w:val="0"/>
              <w:rPr>
                <w:rFonts w:ascii="Times New Roman" w:hAnsi="Times New Roman"/>
                <w:kern w:val="0"/>
              </w:rPr>
            </w:pPr>
            <w:r>
              <w:rPr>
                <w:rFonts w:ascii="Times New Roman" w:hAnsi="Times New Roman"/>
                <w:kern w:val="0"/>
              </w:rPr>
              <w:drawing>
                <wp:inline distT="0" distB="0" distL="114300" distR="114300">
                  <wp:extent cx="298450" cy="199390"/>
                  <wp:effectExtent l="0" t="0" r="6350" b="3175"/>
                  <wp:docPr id="6" name="图片 14"/>
                  <wp:cNvGraphicFramePr/>
                  <a:graphic xmlns:a="http://schemas.openxmlformats.org/drawingml/2006/main">
                    <a:graphicData uri="http://schemas.openxmlformats.org/drawingml/2006/picture">
                      <pic:pic xmlns:pic="http://schemas.openxmlformats.org/drawingml/2006/picture">
                        <pic:nvPicPr>
                          <pic:cNvPr id="6" name="图片 14"/>
                          <pic:cNvPicPr/>
                        </pic:nvPicPr>
                        <pic:blipFill>
                          <a:blip r:embed="rId37"/>
                          <a:stretch>
                            <a:fillRect/>
                          </a:stretch>
                        </pic:blipFill>
                        <pic:spPr>
                          <a:xfrm>
                            <a:off x="0" y="0"/>
                            <a:ext cx="298450" cy="199390"/>
                          </a:xfrm>
                          <a:prstGeom prst="rect">
                            <a:avLst/>
                          </a:prstGeom>
                          <a:noFill/>
                          <a:ln>
                            <a:noFill/>
                          </a:ln>
                        </pic:spPr>
                      </pic:pic>
                    </a:graphicData>
                  </a:graphic>
                </wp:inline>
              </w:drawing>
            </w:r>
          </w:p>
        </w:tc>
        <w:tc>
          <w:tcPr>
            <w:tcW w:w="854" w:type="dxa"/>
          </w:tcPr>
          <w:p w14:paraId="2A6F0DB5">
            <w:pPr>
              <w:autoSpaceDE w:val="0"/>
              <w:autoSpaceDN w:val="0"/>
              <w:rPr>
                <w:rFonts w:ascii="Times New Roman" w:hAnsi="Times New Roman"/>
                <w:kern w:val="0"/>
              </w:rPr>
            </w:pPr>
            <w:r>
              <w:rPr>
                <w:rFonts w:ascii="Times New Roman" w:hAnsi="Times New Roman"/>
                <w:kern w:val="0"/>
              </w:rPr>
              <w:t>——</w:t>
            </w:r>
          </w:p>
        </w:tc>
        <w:tc>
          <w:tcPr>
            <w:tcW w:w="5551" w:type="dxa"/>
          </w:tcPr>
          <w:p w14:paraId="016DB55F">
            <w:pPr>
              <w:autoSpaceDE w:val="0"/>
              <w:autoSpaceDN w:val="0"/>
              <w:rPr>
                <w:rFonts w:ascii="Times New Roman" w:hAnsi="Times New Roman"/>
                <w:kern w:val="0"/>
              </w:rPr>
            </w:pPr>
            <w:r>
              <w:rPr>
                <w:rFonts w:hint="eastAsia" w:ascii="Times New Roman" w:hAnsi="Times New Roman"/>
                <w:kern w:val="0"/>
              </w:rPr>
              <w:t>建设项目所在</w:t>
            </w:r>
            <w:r>
              <w:rPr>
                <w:rFonts w:ascii="Times New Roman" w:hAnsi="Times New Roman"/>
                <w:kern w:val="0"/>
              </w:rPr>
              <w:t>城市生活垃圾产生可降解有机碳的</w:t>
            </w:r>
            <w:r>
              <w:rPr>
                <w:rFonts w:hint="eastAsia" w:ascii="Times New Roman" w:hAnsi="Times New Roman"/>
                <w:kern w:val="0"/>
              </w:rPr>
              <w:t>比例</w:t>
            </w:r>
            <w:r>
              <w:rPr>
                <w:rFonts w:ascii="Times New Roman" w:hAnsi="Times New Roman"/>
                <w:kern w:val="0"/>
              </w:rPr>
              <w:t>，单位为千克有机碳每千克</w:t>
            </w:r>
            <w:r>
              <w:rPr>
                <w:rFonts w:hint="eastAsia" w:ascii="Times New Roman" w:hAnsi="Times New Roman"/>
                <w:kern w:val="0"/>
              </w:rPr>
              <w:t>干物质</w:t>
            </w:r>
            <w:r>
              <w:rPr>
                <w:rFonts w:ascii="Times New Roman" w:hAnsi="Times New Roman"/>
                <w:kern w:val="0"/>
              </w:rPr>
              <w:t>（kg C/kg）</w:t>
            </w:r>
            <w:r>
              <w:rPr>
                <w:rFonts w:hint="eastAsia" w:ascii="Times New Roman" w:hAnsi="Times New Roman"/>
                <w:kern w:val="0"/>
              </w:rPr>
              <w:t>；</w:t>
            </w:r>
          </w:p>
        </w:tc>
      </w:tr>
      <w:tr w14:paraId="193EE089">
        <w:tblPrEx>
          <w:tblCellMar>
            <w:top w:w="0" w:type="dxa"/>
            <w:left w:w="108" w:type="dxa"/>
            <w:bottom w:w="0" w:type="dxa"/>
            <w:right w:w="108" w:type="dxa"/>
          </w:tblCellMar>
        </w:tblPrEx>
        <w:trPr>
          <w:trHeight w:val="120" w:hRule="atLeast"/>
        </w:trPr>
        <w:tc>
          <w:tcPr>
            <w:tcW w:w="1423" w:type="dxa"/>
          </w:tcPr>
          <w:p w14:paraId="19654C2D">
            <w:pPr>
              <w:autoSpaceDE w:val="0"/>
              <w:autoSpaceDN w:val="0"/>
              <w:rPr>
                <w:rFonts w:ascii="Times New Roman" w:hAnsi="Times New Roman"/>
                <w:kern w:val="0"/>
              </w:rPr>
            </w:pPr>
            <w:r>
              <w:rPr>
                <w:rFonts w:ascii="Cambria Math" w:hAnsi="Cambria Math" w:cs="Cambria Math"/>
                <w:kern w:val="0"/>
              </w:rPr>
              <w:t>𝑘</w:t>
            </w:r>
            <w:r>
              <w:rPr>
                <w:rFonts w:ascii="Cambria Math" w:hAnsi="Cambria Math" w:cs="Cambria Math"/>
                <w:kern w:val="0"/>
                <w:vertAlign w:val="subscript"/>
              </w:rPr>
              <w:t>𝑗</w:t>
            </w:r>
          </w:p>
        </w:tc>
        <w:tc>
          <w:tcPr>
            <w:tcW w:w="854" w:type="dxa"/>
          </w:tcPr>
          <w:p w14:paraId="5E281B89">
            <w:pPr>
              <w:autoSpaceDE w:val="0"/>
              <w:autoSpaceDN w:val="0"/>
              <w:rPr>
                <w:rFonts w:ascii="Times New Roman" w:hAnsi="Times New Roman"/>
                <w:kern w:val="0"/>
              </w:rPr>
            </w:pPr>
            <w:r>
              <w:rPr>
                <w:rFonts w:ascii="Times New Roman" w:hAnsi="Times New Roman"/>
                <w:kern w:val="0"/>
              </w:rPr>
              <w:t>——</w:t>
            </w:r>
          </w:p>
        </w:tc>
        <w:tc>
          <w:tcPr>
            <w:tcW w:w="5551" w:type="dxa"/>
          </w:tcPr>
          <w:p w14:paraId="43B531A8">
            <w:pPr>
              <w:autoSpaceDE w:val="0"/>
              <w:autoSpaceDN w:val="0"/>
              <w:rPr>
                <w:rFonts w:ascii="Times New Roman" w:hAnsi="Times New Roman"/>
                <w:kern w:val="0"/>
              </w:rPr>
            </w:pPr>
            <w:r>
              <w:rPr>
                <w:rFonts w:hint="eastAsia" w:ascii="Times New Roman" w:hAnsi="Times New Roman"/>
                <w:kern w:val="0"/>
              </w:rPr>
              <w:t>建设项目所在</w:t>
            </w:r>
            <w:r>
              <w:rPr>
                <w:rFonts w:ascii="Times New Roman" w:hAnsi="Times New Roman"/>
                <w:kern w:val="0"/>
              </w:rPr>
              <w:t>城市生活垃圾的</w:t>
            </w:r>
            <w:r>
              <w:rPr>
                <w:rFonts w:hint="eastAsia" w:ascii="Times New Roman" w:hAnsi="Times New Roman"/>
                <w:kern w:val="0"/>
              </w:rPr>
              <w:t>年降</w:t>
            </w:r>
            <w:r>
              <w:rPr>
                <w:rFonts w:ascii="Times New Roman" w:hAnsi="Times New Roman"/>
                <w:kern w:val="0"/>
              </w:rPr>
              <w:t>解率，单位为1/yr；</w:t>
            </w:r>
          </w:p>
        </w:tc>
      </w:tr>
      <w:tr w14:paraId="376C2E1E">
        <w:tblPrEx>
          <w:tblCellMar>
            <w:top w:w="0" w:type="dxa"/>
            <w:left w:w="108" w:type="dxa"/>
            <w:bottom w:w="0" w:type="dxa"/>
            <w:right w:w="108" w:type="dxa"/>
          </w:tblCellMar>
        </w:tblPrEx>
        <w:trPr>
          <w:trHeight w:val="120" w:hRule="atLeast"/>
        </w:trPr>
        <w:tc>
          <w:tcPr>
            <w:tcW w:w="1423" w:type="dxa"/>
          </w:tcPr>
          <w:p w14:paraId="1C38ADD4">
            <w:pPr>
              <w:autoSpaceDE w:val="0"/>
              <w:autoSpaceDN w:val="0"/>
              <w:rPr>
                <w:rFonts w:ascii="Times New Roman" w:hAnsi="Times New Roman"/>
                <w:kern w:val="0"/>
              </w:rPr>
            </w:pPr>
            <w:r>
              <w:rPr>
                <w:rFonts w:ascii="Cambria Math" w:hAnsi="Cambria Math" w:cs="Cambria Math"/>
                <w:kern w:val="0"/>
              </w:rPr>
              <w:t>𝑗</w:t>
            </w:r>
          </w:p>
        </w:tc>
        <w:tc>
          <w:tcPr>
            <w:tcW w:w="854" w:type="dxa"/>
          </w:tcPr>
          <w:p w14:paraId="4571717C">
            <w:pPr>
              <w:autoSpaceDE w:val="0"/>
              <w:autoSpaceDN w:val="0"/>
              <w:rPr>
                <w:rFonts w:ascii="Times New Roman" w:hAnsi="Times New Roman"/>
                <w:kern w:val="0"/>
              </w:rPr>
            </w:pPr>
            <w:r>
              <w:rPr>
                <w:rFonts w:ascii="Times New Roman" w:hAnsi="Times New Roman"/>
                <w:kern w:val="0"/>
              </w:rPr>
              <w:t>——</w:t>
            </w:r>
          </w:p>
        </w:tc>
        <w:tc>
          <w:tcPr>
            <w:tcW w:w="5551" w:type="dxa"/>
          </w:tcPr>
          <w:p w14:paraId="2C1B893A">
            <w:pPr>
              <w:autoSpaceDE w:val="0"/>
              <w:autoSpaceDN w:val="0"/>
              <w:rPr>
                <w:rFonts w:ascii="Times New Roman" w:hAnsi="Times New Roman"/>
                <w:kern w:val="0"/>
              </w:rPr>
            </w:pPr>
            <w:r>
              <w:rPr>
                <w:rFonts w:hint="eastAsia" w:ascii="Times New Roman" w:hAnsi="Times New Roman"/>
                <w:kern w:val="0"/>
              </w:rPr>
              <w:t>生活垃圾填埋场中第j</w:t>
            </w:r>
            <w:r>
              <w:rPr>
                <w:rFonts w:ascii="Times New Roman" w:hAnsi="Times New Roman"/>
                <w:kern w:val="0"/>
              </w:rPr>
              <w:t>种垃圾；</w:t>
            </w:r>
          </w:p>
        </w:tc>
      </w:tr>
      <w:tr w14:paraId="102CDF82">
        <w:tblPrEx>
          <w:tblCellMar>
            <w:top w:w="0" w:type="dxa"/>
            <w:left w:w="108" w:type="dxa"/>
            <w:bottom w:w="0" w:type="dxa"/>
            <w:right w:w="108" w:type="dxa"/>
          </w:tblCellMar>
        </w:tblPrEx>
        <w:trPr>
          <w:trHeight w:val="120" w:hRule="atLeast"/>
        </w:trPr>
        <w:tc>
          <w:tcPr>
            <w:tcW w:w="1423" w:type="dxa"/>
          </w:tcPr>
          <w:p w14:paraId="4C3209A4">
            <w:pPr>
              <w:autoSpaceDE w:val="0"/>
              <w:autoSpaceDN w:val="0"/>
              <w:rPr>
                <w:rFonts w:ascii="Times New Roman" w:hAnsi="Times New Roman"/>
                <w:kern w:val="0"/>
              </w:rPr>
            </w:pPr>
          </w:p>
        </w:tc>
        <w:tc>
          <w:tcPr>
            <w:tcW w:w="854" w:type="dxa"/>
          </w:tcPr>
          <w:p w14:paraId="36A8C321">
            <w:pPr>
              <w:autoSpaceDE w:val="0"/>
              <w:autoSpaceDN w:val="0"/>
              <w:rPr>
                <w:rFonts w:ascii="Times New Roman" w:hAnsi="Times New Roman"/>
                <w:kern w:val="0"/>
              </w:rPr>
            </w:pPr>
          </w:p>
        </w:tc>
        <w:tc>
          <w:tcPr>
            <w:tcW w:w="5551" w:type="dxa"/>
          </w:tcPr>
          <w:p w14:paraId="035287B5">
            <w:pPr>
              <w:autoSpaceDE w:val="0"/>
              <w:autoSpaceDN w:val="0"/>
              <w:rPr>
                <w:rFonts w:ascii="Times New Roman" w:hAnsi="Times New Roman"/>
                <w:kern w:val="0"/>
              </w:rPr>
            </w:pPr>
          </w:p>
        </w:tc>
      </w:tr>
      <w:bookmarkEnd w:id="34"/>
      <w:bookmarkEnd w:id="35"/>
      <w:bookmarkEnd w:id="36"/>
    </w:tbl>
    <w:p w14:paraId="24872CE9">
      <w:pPr>
        <w:widowControl/>
        <w:spacing w:before="100" w:beforeAutospacing="1" w:after="100" w:afterAutospacing="1"/>
        <w:jc w:val="left"/>
        <w:rPr>
          <w:rFonts w:ascii="黑体" w:hAnsi="Times New Roman" w:eastAsia="黑体"/>
          <w:kern w:val="0"/>
          <w:szCs w:val="20"/>
          <w:lang w:bidi="ar"/>
        </w:rPr>
      </w:pPr>
      <w:r>
        <w:rPr>
          <w:rFonts w:hint="eastAsia" w:ascii="黑体" w:hAnsi="Times New Roman" w:eastAsia="黑体"/>
          <w:kern w:val="0"/>
          <w:szCs w:val="20"/>
          <w:lang w:bidi="ar"/>
        </w:rPr>
        <w:t>5.3 温室气体排放管控要求</w:t>
      </w:r>
    </w:p>
    <w:p w14:paraId="70D2B757">
      <w:pPr>
        <w:wordWrap w:val="0"/>
        <w:spacing w:before="100" w:beforeAutospacing="1" w:after="100" w:afterAutospacing="1"/>
        <w:rPr>
          <w:rFonts w:ascii="黑体" w:hAnsi="Times New Roman" w:eastAsia="黑体"/>
          <w:kern w:val="0"/>
          <w:szCs w:val="20"/>
          <w:lang w:bidi="ar"/>
        </w:rPr>
      </w:pPr>
      <w:r>
        <w:rPr>
          <w:rFonts w:hint="eastAsia" w:ascii="黑体" w:hAnsi="Times New Roman" w:eastAsia="黑体"/>
          <w:kern w:val="0"/>
          <w:szCs w:val="20"/>
          <w:lang w:bidi="ar"/>
        </w:rPr>
        <w:t>5.3.1总体要求</w:t>
      </w:r>
    </w:p>
    <w:p w14:paraId="5ED0767F">
      <w:pPr>
        <w:wordWrap w:val="0"/>
        <w:spacing w:before="100" w:beforeAutospacing="1" w:after="100" w:afterAutospacing="1"/>
        <w:ind w:firstLine="420" w:firstLineChars="200"/>
        <w:rPr>
          <w:rFonts w:ascii="Times New Roman" w:hAnsi="Times New Roman"/>
        </w:rPr>
      </w:pPr>
      <w:r>
        <w:rPr>
          <w:rFonts w:ascii="Times New Roman" w:hAnsi="Times New Roman"/>
        </w:rPr>
        <w:t>建设项目</w:t>
      </w:r>
      <w:r>
        <w:rPr>
          <w:rFonts w:hint="eastAsia" w:ascii="Times New Roman" w:hAnsi="Times New Roman"/>
        </w:rPr>
        <w:t>温室气体</w:t>
      </w:r>
      <w:r>
        <w:rPr>
          <w:rFonts w:ascii="Times New Roman" w:hAnsi="Times New Roman"/>
        </w:rPr>
        <w:t>排放应符合GB 16889要求。地方有更严格要求的，从其规定。建设项目需设置填埋气体导排设施，并进行利用或处理。</w:t>
      </w:r>
    </w:p>
    <w:p w14:paraId="7E5EC392">
      <w:pPr>
        <w:wordWrap w:val="0"/>
        <w:spacing w:before="100" w:beforeAutospacing="1" w:after="100" w:afterAutospacing="1"/>
        <w:rPr>
          <w:rFonts w:ascii="Times New Roman" w:hAnsi="Times New Roman"/>
        </w:rPr>
      </w:pPr>
      <w:r>
        <w:rPr>
          <w:rFonts w:hint="eastAsia" w:ascii="Times New Roman" w:hAnsi="Times New Roman"/>
        </w:rPr>
        <w:t>5.3.2</w:t>
      </w:r>
      <w:r>
        <w:rPr>
          <w:rFonts w:hint="eastAsia" w:ascii="黑体" w:hAnsi="Times New Roman" w:eastAsia="黑体"/>
          <w:kern w:val="0"/>
          <w:szCs w:val="20"/>
          <w:lang w:bidi="ar"/>
        </w:rPr>
        <w:t>填埋气回收利用</w:t>
      </w:r>
    </w:p>
    <w:p w14:paraId="1481A54A">
      <w:pPr>
        <w:wordWrap w:val="0"/>
        <w:spacing w:before="100" w:beforeAutospacing="1" w:after="100" w:afterAutospacing="1"/>
        <w:ind w:firstLine="420" w:firstLineChars="200"/>
        <w:rPr>
          <w:rFonts w:ascii="Times New Roman" w:hAnsi="Times New Roman"/>
        </w:rPr>
      </w:pPr>
      <w:r>
        <w:rPr>
          <w:rFonts w:ascii="Times New Roman" w:hAnsi="Times New Roman"/>
        </w:rPr>
        <w:t>设计填埋量不小于250万吨且生活垃圾填埋厚度超过20米的建设项目应优先对导排的填埋气体进行回收利用，利用方式及规模根据填埋场规模、生活垃圾成分、产气速率、产气量和用途、经济技术情况等确定，</w:t>
      </w:r>
      <w:r>
        <w:rPr>
          <w:rFonts w:hint="eastAsia" w:ascii="Times New Roman" w:hAnsi="Times New Roman"/>
        </w:rPr>
        <w:t>填埋</w:t>
      </w:r>
      <w:r>
        <w:rPr>
          <w:rFonts w:ascii="Times New Roman" w:hAnsi="Times New Roman"/>
        </w:rPr>
        <w:t>气利用率不宜小于70%。填埋气体导排和利用设施、渗滤液导排设施设置应符合GB 50869和CJJ 133相关要求。</w:t>
      </w:r>
    </w:p>
    <w:p w14:paraId="4CAEB4EA">
      <w:pPr>
        <w:wordWrap w:val="0"/>
        <w:spacing w:before="100" w:beforeAutospacing="1" w:after="100" w:afterAutospacing="1"/>
        <w:rPr>
          <w:rFonts w:ascii="Times New Roman" w:hAnsi="Times New Roman"/>
        </w:rPr>
      </w:pPr>
      <w:r>
        <w:rPr>
          <w:rFonts w:hint="eastAsia" w:ascii="黑体" w:hAnsi="Times New Roman" w:eastAsia="黑体"/>
          <w:kern w:val="0"/>
          <w:szCs w:val="20"/>
          <w:lang w:bidi="ar"/>
        </w:rPr>
        <w:t>5.3.3填埋气其他减排方式</w:t>
      </w:r>
    </w:p>
    <w:p w14:paraId="655F5537">
      <w:pPr>
        <w:wordWrap w:val="0"/>
        <w:spacing w:before="100" w:beforeAutospacing="1" w:after="100" w:afterAutospacing="1"/>
        <w:ind w:firstLine="420" w:firstLineChars="200"/>
        <w:rPr>
          <w:rFonts w:ascii="Times New Roman" w:hAnsi="Times New Roman"/>
        </w:rPr>
      </w:pPr>
      <w:r>
        <w:rPr>
          <w:rFonts w:ascii="Times New Roman" w:hAnsi="Times New Roman"/>
        </w:rPr>
        <w:t>小于上述规模的不具备填埋气体利用条件的建设项目，应采用生物覆盖层等手段减少</w:t>
      </w:r>
      <w:r>
        <w:rPr>
          <w:rFonts w:hint="eastAsia" w:ascii="Times New Roman" w:hAnsi="Times New Roman"/>
        </w:rPr>
        <w:t>温室气体</w:t>
      </w:r>
      <w:r>
        <w:rPr>
          <w:rFonts w:ascii="Times New Roman" w:hAnsi="Times New Roman"/>
        </w:rPr>
        <w:t>产生。应采用准好氧填埋等方式减少</w:t>
      </w:r>
      <w:r>
        <w:rPr>
          <w:rFonts w:hint="eastAsia" w:ascii="Times New Roman" w:hAnsi="Times New Roman"/>
        </w:rPr>
        <w:t>温室气体</w:t>
      </w:r>
      <w:r>
        <w:rPr>
          <w:rFonts w:ascii="Times New Roman" w:hAnsi="Times New Roman"/>
        </w:rPr>
        <w:t>产生；大中型填埋场，采取火炬燃烧、收集发点等方式进行处理，减少</w:t>
      </w:r>
      <w:r>
        <w:rPr>
          <w:rFonts w:hint="eastAsia" w:ascii="Times New Roman" w:hAnsi="Times New Roman"/>
        </w:rPr>
        <w:t>温室气体</w:t>
      </w:r>
      <w:r>
        <w:rPr>
          <w:rFonts w:ascii="Times New Roman" w:hAnsi="Times New Roman"/>
        </w:rPr>
        <w:t>排放。</w:t>
      </w:r>
    </w:p>
    <w:p w14:paraId="15550184">
      <w:pPr>
        <w:wordWrap w:val="0"/>
        <w:spacing w:before="100" w:beforeAutospacing="1" w:after="100" w:afterAutospacing="1"/>
        <w:rPr>
          <w:rFonts w:ascii="黑体" w:hAnsi="Times New Roman" w:eastAsia="黑体"/>
          <w:kern w:val="0"/>
          <w:szCs w:val="20"/>
          <w:lang w:bidi="ar"/>
        </w:rPr>
      </w:pPr>
      <w:r>
        <w:rPr>
          <w:rFonts w:hint="eastAsia" w:ascii="黑体" w:hAnsi="Times New Roman" w:eastAsia="黑体"/>
          <w:kern w:val="0"/>
          <w:szCs w:val="20"/>
          <w:lang w:bidi="ar"/>
        </w:rPr>
        <w:t>5.3.4温室气体无组织管控要求</w:t>
      </w:r>
    </w:p>
    <w:p w14:paraId="7927D2F5">
      <w:pPr>
        <w:wordWrap w:val="0"/>
        <w:spacing w:before="100" w:beforeAutospacing="1" w:after="100" w:afterAutospacing="1"/>
        <w:ind w:firstLine="420" w:firstLineChars="200"/>
        <w:rPr>
          <w:rFonts w:ascii="Times New Roman" w:hAnsi="Times New Roman"/>
        </w:rPr>
      </w:pPr>
      <w:r>
        <w:rPr>
          <w:rFonts w:hint="eastAsia" w:ascii="Times New Roman" w:hAnsi="Times New Roman"/>
        </w:rPr>
        <w:t>建设项目应确保填埋场</w:t>
      </w:r>
      <w:r>
        <w:rPr>
          <w:rFonts w:ascii="Times New Roman" w:hAnsi="Times New Roman"/>
        </w:rPr>
        <w:t>上方甲烷气体含量小于5%，填埋场建（构）筑物内甲烷气体含量小于1.25%。</w:t>
      </w:r>
    </w:p>
    <w:p w14:paraId="07D4EF14">
      <w:pPr>
        <w:widowControl/>
        <w:wordWrap w:val="0"/>
        <w:spacing w:before="100" w:beforeAutospacing="1" w:after="100" w:afterAutospacing="1"/>
        <w:jc w:val="left"/>
        <w:rPr>
          <w:rFonts w:ascii="黑体" w:hAnsi="Times New Roman" w:eastAsia="黑体"/>
          <w:kern w:val="0"/>
          <w:szCs w:val="20"/>
          <w:lang w:bidi="ar"/>
        </w:rPr>
      </w:pPr>
      <w:r>
        <w:rPr>
          <w:rFonts w:hint="eastAsia" w:ascii="黑体" w:hAnsi="Times New Roman" w:eastAsia="黑体"/>
          <w:kern w:val="0"/>
          <w:szCs w:val="20"/>
          <w:lang w:bidi="ar"/>
        </w:rPr>
        <w:t xml:space="preserve">5.4 </w:t>
      </w:r>
      <w:bookmarkStart w:id="37" w:name="_Toc12589"/>
      <w:bookmarkStart w:id="38" w:name="_Toc3703"/>
      <w:bookmarkStart w:id="39" w:name="_Toc7624"/>
      <w:bookmarkStart w:id="40" w:name="_Toc149326836"/>
      <w:bookmarkStart w:id="41" w:name="_Toc7354"/>
      <w:r>
        <w:rPr>
          <w:rFonts w:hint="eastAsia" w:ascii="黑体" w:hAnsi="Times New Roman" w:eastAsia="黑体"/>
          <w:kern w:val="0"/>
          <w:szCs w:val="20"/>
          <w:lang w:bidi="ar"/>
        </w:rPr>
        <w:t>温室气体排放绩效评价</w:t>
      </w:r>
      <w:bookmarkEnd w:id="37"/>
      <w:bookmarkEnd w:id="38"/>
      <w:bookmarkEnd w:id="39"/>
      <w:bookmarkEnd w:id="40"/>
      <w:bookmarkEnd w:id="41"/>
    </w:p>
    <w:p w14:paraId="0EE47F4D">
      <w:pPr>
        <w:wordWrap w:val="0"/>
        <w:spacing w:before="100" w:beforeAutospacing="1" w:after="100" w:afterAutospacing="1" w:line="360" w:lineRule="auto"/>
        <w:rPr>
          <w:rFonts w:ascii="黑体" w:hAnsi="Times New Roman" w:eastAsia="黑体"/>
          <w:kern w:val="0"/>
          <w:szCs w:val="20"/>
          <w:lang w:bidi="ar"/>
        </w:rPr>
      </w:pPr>
      <w:r>
        <w:rPr>
          <w:rFonts w:hint="eastAsia" w:ascii="黑体" w:hAnsi="Times New Roman" w:eastAsia="黑体"/>
          <w:kern w:val="0"/>
          <w:szCs w:val="20"/>
          <w:lang w:bidi="ar"/>
        </w:rPr>
        <w:t>5.4.1评价内容</w:t>
      </w:r>
    </w:p>
    <w:p w14:paraId="6EF466D1">
      <w:pPr>
        <w:pStyle w:val="18"/>
        <w:numPr>
          <w:ilvl w:val="0"/>
          <w:numId w:val="32"/>
        </w:numPr>
        <w:autoSpaceDE/>
        <w:autoSpaceDN/>
        <w:spacing w:line="360" w:lineRule="auto"/>
        <w:ind w:firstLine="420"/>
        <w:rPr>
          <w:rFonts w:ascii="Times New Roman" w:hAnsi="Times New Roman"/>
          <w:szCs w:val="21"/>
        </w:rPr>
      </w:pPr>
      <w:r>
        <w:rPr>
          <w:rFonts w:hint="eastAsia" w:ascii="Times New Roman" w:hAnsi="Times New Roman"/>
          <w:szCs w:val="21"/>
        </w:rPr>
        <w:t>设计填埋量不小于250万吨且生活垃圾填埋厚度超过20米的建设项目填埋气回收利用率不低于70%，温室气体排放绩效则为综合治理效率应大于</w:t>
      </w:r>
      <w:r>
        <w:rPr>
          <w:rFonts w:ascii="Times New Roman" w:hAnsi="Times New Roman"/>
          <w:szCs w:val="21"/>
        </w:rPr>
        <w:t>30</w:t>
      </w:r>
      <w:r>
        <w:rPr>
          <w:rFonts w:hint="eastAsia" w:ascii="Times New Roman" w:hAnsi="Times New Roman"/>
          <w:szCs w:val="21"/>
        </w:rPr>
        <w:t>%。</w:t>
      </w:r>
    </w:p>
    <w:p w14:paraId="31194275">
      <w:pPr>
        <w:numPr>
          <w:ilvl w:val="0"/>
          <w:numId w:val="32"/>
        </w:numPr>
        <w:spacing w:line="360" w:lineRule="auto"/>
        <w:ind w:firstLine="420" w:firstLineChars="0"/>
        <w:rPr>
          <w:rFonts w:ascii="Times New Roman" w:hAnsi="Times New Roman"/>
        </w:rPr>
      </w:pPr>
      <w:r>
        <w:rPr>
          <w:rFonts w:hint="eastAsia" w:ascii="Times New Roman" w:hAnsi="Times New Roman"/>
        </w:rPr>
        <w:t>满足a</w:t>
      </w:r>
      <w:r>
        <w:rPr>
          <w:rFonts w:ascii="Times New Roman" w:hAnsi="Times New Roman"/>
        </w:rPr>
        <w:t xml:space="preserve">) </w:t>
      </w:r>
      <w:r>
        <w:rPr>
          <w:rFonts w:hint="eastAsia" w:ascii="Times New Roman" w:hAnsi="Times New Roman"/>
        </w:rPr>
        <w:t>中条件的改建、扩建及异地搬迁生活垃圾填埋场项目还应与现有工程温室气体排放水平进行比较，原则上改扩建后温室气体综合治理效率不低于现有工程；若温室气体综合治理效率低于现有工程的，应进行合理说明。</w:t>
      </w:r>
    </w:p>
    <w:p w14:paraId="311756F3">
      <w:pPr>
        <w:pStyle w:val="15"/>
        <w:spacing w:line="360" w:lineRule="auto"/>
        <w:rPr>
          <w:rFonts w:ascii="Times New Roman" w:hAnsi="Times New Roman"/>
        </w:rPr>
      </w:pPr>
      <w:r>
        <w:rPr>
          <w:rFonts w:hint="eastAsia" w:ascii="Times New Roman" w:hAnsi="Times New Roman"/>
        </w:rPr>
        <w:t xml:space="preserve">    c）</w:t>
      </w:r>
      <w:r>
        <w:rPr>
          <w:rFonts w:hint="eastAsia" w:ascii="Times New Roman" w:hAnsi="Times New Roman" w:cs="Times New Roman"/>
          <w:color w:val="auto"/>
          <w:sz w:val="21"/>
          <w:szCs w:val="21"/>
        </w:rPr>
        <w:t>国家、</w:t>
      </w:r>
      <w:bookmarkStart w:id="42" w:name="_GoBack"/>
      <w:bookmarkEnd w:id="42"/>
      <w:r>
        <w:rPr>
          <w:rFonts w:hint="eastAsia" w:ascii="Times New Roman" w:hAnsi="Times New Roman" w:cs="Times New Roman"/>
          <w:color w:val="auto"/>
          <w:sz w:val="21"/>
          <w:szCs w:val="21"/>
        </w:rPr>
        <w:t>区域或行业有其他相关温室气体排放基准（标准）或评价要求的，从其规定。</w:t>
      </w:r>
    </w:p>
    <w:p w14:paraId="676F76F3">
      <w:pPr>
        <w:pStyle w:val="70"/>
        <w:numPr>
          <w:ilvl w:val="3"/>
          <w:numId w:val="0"/>
        </w:numPr>
        <w:spacing w:before="120" w:after="120"/>
      </w:pPr>
      <w:r>
        <w:rPr>
          <w:rFonts w:hint="eastAsia" w:ascii="Times New Roman" w:eastAsia="宋体"/>
          <w:szCs w:val="21"/>
        </w:rPr>
        <w:t xml:space="preserve">5.4.2 </w:t>
      </w:r>
      <w:r>
        <w:t>评价</w:t>
      </w:r>
      <w:r>
        <w:rPr>
          <w:rFonts w:hint="eastAsia"/>
        </w:rPr>
        <w:t>方法</w:t>
      </w:r>
    </w:p>
    <w:p w14:paraId="3A333DD7">
      <w:pPr>
        <w:pStyle w:val="18"/>
        <w:autoSpaceDE/>
        <w:autoSpaceDN/>
        <w:spacing w:line="360" w:lineRule="auto"/>
        <w:ind w:firstLine="420"/>
        <w:rPr>
          <w:rFonts w:ascii="Times New Roman" w:hAnsi="Times New Roman"/>
          <w:szCs w:val="21"/>
        </w:rPr>
      </w:pPr>
      <w:r>
        <w:rPr>
          <w:rFonts w:hint="eastAsia" w:ascii="Times New Roman" w:hAnsi="Times New Roman"/>
          <w:szCs w:val="21"/>
        </w:rPr>
        <w:t>建设项目温室气体排放绩效核算公式水平值核算方法见式（2）。</w:t>
      </w:r>
    </w:p>
    <w:p w14:paraId="5AD83AB8">
      <w:pPr>
        <w:pStyle w:val="18"/>
        <w:autoSpaceDE/>
        <w:autoSpaceDN/>
        <w:spacing w:line="360" w:lineRule="auto"/>
        <w:ind w:firstLine="420"/>
        <w:jc w:val="center"/>
        <w:rPr>
          <w:rFonts w:ascii="Times New Roman" w:hAnsi="Times New Roman"/>
          <w:szCs w:val="21"/>
        </w:rPr>
      </w:pPr>
      <w:r>
        <w:rPr>
          <w:rFonts w:ascii="Times New Roman" w:hAnsi="Times New Roman"/>
          <w:szCs w:val="21"/>
        </w:rPr>
        <w:t>Q</w:t>
      </w:r>
      <w:r>
        <w:rPr>
          <w:rFonts w:hint="eastAsia" w:ascii="Times New Roman" w:hAnsi="Times New Roman"/>
          <w:szCs w:val="21"/>
          <w:vertAlign w:val="subscript"/>
        </w:rPr>
        <w:t>排放绩效</w:t>
      </w:r>
      <w:r>
        <w:rPr>
          <w:rFonts w:ascii="Times New Roman" w:hAnsi="Times New Roman"/>
          <w:szCs w:val="21"/>
        </w:rPr>
        <w:t>=E</w:t>
      </w:r>
      <w:r>
        <w:rPr>
          <w:rFonts w:hint="eastAsia" w:ascii="Times New Roman" w:hAnsi="Times New Roman"/>
          <w:szCs w:val="21"/>
          <w:vertAlign w:val="subscript"/>
        </w:rPr>
        <w:t>收集利用量</w:t>
      </w:r>
      <w:r>
        <w:rPr>
          <w:rFonts w:ascii="Times New Roman" w:hAnsi="Times New Roman"/>
          <w:szCs w:val="21"/>
        </w:rPr>
        <w:t>/E</w:t>
      </w:r>
      <w:r>
        <w:rPr>
          <w:rFonts w:hint="eastAsia" w:ascii="Times New Roman" w:hAnsi="Times New Roman"/>
          <w:szCs w:val="21"/>
          <w:vertAlign w:val="subscript"/>
        </w:rPr>
        <w:t>产生量</w:t>
      </w:r>
      <w:r>
        <w:rPr>
          <w:rFonts w:ascii="Times New Roman" w:hAnsi="Times New Roman"/>
          <w:szCs w:val="21"/>
          <w:vertAlign w:val="baseline"/>
        </w:rPr>
        <w:t xml:space="preserve"> </w:t>
      </w:r>
      <w:r>
        <w:rPr>
          <w:rFonts w:ascii="Times New Roman" w:hAnsi="Times New Roman"/>
          <w:szCs w:val="21"/>
        </w:rPr>
        <w:t xml:space="preserve"> </w:t>
      </w:r>
      <w:r>
        <w:rPr>
          <w:rFonts w:hint="eastAsia" w:ascii="Times New Roman" w:hAnsi="Times New Roman"/>
          <w:szCs w:val="21"/>
        </w:rPr>
        <w:t xml:space="preserve">       （2）</w:t>
      </w:r>
    </w:p>
    <w:p w14:paraId="345187FA">
      <w:pPr>
        <w:pStyle w:val="18"/>
        <w:autoSpaceDE/>
        <w:autoSpaceDN/>
        <w:spacing w:line="360" w:lineRule="auto"/>
        <w:ind w:firstLine="420"/>
        <w:rPr>
          <w:rFonts w:ascii="Times New Roman" w:hAnsi="Times New Roman"/>
          <w:szCs w:val="21"/>
        </w:rPr>
      </w:pPr>
      <w:r>
        <w:rPr>
          <w:rFonts w:hint="eastAsia" w:ascii="Times New Roman" w:hAnsi="Times New Roman"/>
          <w:szCs w:val="21"/>
        </w:rPr>
        <w:t>式中：</w:t>
      </w:r>
    </w:p>
    <w:p w14:paraId="36DA4136">
      <w:pPr>
        <w:pStyle w:val="18"/>
        <w:autoSpaceDE/>
        <w:autoSpaceDN/>
        <w:spacing w:line="360" w:lineRule="auto"/>
        <w:ind w:firstLine="420"/>
        <w:rPr>
          <w:rFonts w:ascii="Times New Roman" w:hAnsi="Times New Roman"/>
          <w:szCs w:val="21"/>
        </w:rPr>
      </w:pPr>
      <w:r>
        <w:rPr>
          <w:rFonts w:ascii="Times New Roman" w:hAnsi="Times New Roman"/>
          <w:szCs w:val="21"/>
        </w:rPr>
        <w:t>Q</w:t>
      </w:r>
      <w:r>
        <w:rPr>
          <w:rFonts w:hint="eastAsia" w:ascii="Times New Roman" w:hAnsi="Times New Roman"/>
          <w:szCs w:val="21"/>
          <w:vertAlign w:val="subscript"/>
        </w:rPr>
        <w:t>排放绩效</w:t>
      </w:r>
      <w:r>
        <w:rPr>
          <w:rFonts w:hint="eastAsia" w:ascii="Times New Roman" w:hAnsi="Times New Roman"/>
          <w:szCs w:val="21"/>
        </w:rPr>
        <w:t>为生活垃圾填埋场温室气体排放绩效值，单位为</w:t>
      </w:r>
      <w:r>
        <w:rPr>
          <w:rFonts w:ascii="Times New Roman" w:hAnsi="Times New Roman"/>
          <w:szCs w:val="21"/>
        </w:rPr>
        <w:t>%</w:t>
      </w:r>
      <w:r>
        <w:rPr>
          <w:rFonts w:hint="eastAsia" w:ascii="Times New Roman" w:hAnsi="Times New Roman"/>
          <w:szCs w:val="21"/>
        </w:rPr>
        <w:t>；</w:t>
      </w:r>
    </w:p>
    <w:p w14:paraId="6E0481B7">
      <w:pPr>
        <w:pStyle w:val="18"/>
        <w:autoSpaceDE/>
        <w:autoSpaceDN/>
        <w:spacing w:line="360" w:lineRule="auto"/>
        <w:ind w:firstLine="420"/>
        <w:rPr>
          <w:rFonts w:ascii="Times New Roman" w:hAnsi="Times New Roman"/>
          <w:szCs w:val="21"/>
        </w:rPr>
      </w:pPr>
      <w:r>
        <w:rPr>
          <w:rFonts w:ascii="Times New Roman" w:hAnsi="Times New Roman"/>
          <w:szCs w:val="21"/>
        </w:rPr>
        <w:t>E</w:t>
      </w:r>
      <w:r>
        <w:rPr>
          <w:rFonts w:hint="eastAsia" w:ascii="Times New Roman" w:hAnsi="Times New Roman"/>
          <w:szCs w:val="21"/>
          <w:vertAlign w:val="subscript"/>
        </w:rPr>
        <w:t>收集利用量</w:t>
      </w:r>
      <w:r>
        <w:rPr>
          <w:rFonts w:hint="eastAsia" w:ascii="Times New Roman" w:hAnsi="Times New Roman"/>
          <w:szCs w:val="21"/>
        </w:rPr>
        <w:t>为建设项目收集到</w:t>
      </w:r>
      <w:r>
        <w:rPr>
          <w:rFonts w:hint="eastAsia" w:ascii="Times New Roman" w:hAnsi="Times New Roman"/>
          <w:color w:val="auto"/>
          <w:szCs w:val="21"/>
        </w:rPr>
        <w:t>处理的</w:t>
      </w:r>
      <w:r>
        <w:rPr>
          <w:rFonts w:hint="eastAsia" w:ascii="Times New Roman" w:hAnsi="Times New Roman"/>
          <w:szCs w:val="21"/>
        </w:rPr>
        <w:t>温室气体量（收集到填埋气中甲烷的量）</w:t>
      </w:r>
    </w:p>
    <w:p w14:paraId="3DF14629">
      <w:pPr>
        <w:pStyle w:val="18"/>
        <w:autoSpaceDE/>
        <w:autoSpaceDN/>
        <w:spacing w:line="360" w:lineRule="auto"/>
        <w:ind w:firstLine="420"/>
        <w:rPr>
          <w:rFonts w:ascii="Times New Roman" w:hAnsi="Times New Roman"/>
          <w:szCs w:val="21"/>
        </w:rPr>
      </w:pPr>
      <w:r>
        <w:rPr>
          <w:rFonts w:ascii="Times New Roman" w:hAnsi="Times New Roman"/>
          <w:szCs w:val="21"/>
        </w:rPr>
        <w:t>E</w:t>
      </w:r>
      <w:r>
        <w:rPr>
          <w:rFonts w:hint="eastAsia" w:ascii="Times New Roman" w:hAnsi="Times New Roman"/>
          <w:szCs w:val="21"/>
          <w:vertAlign w:val="subscript"/>
        </w:rPr>
        <w:t>产生量</w:t>
      </w:r>
      <w:r>
        <w:rPr>
          <w:rFonts w:hint="eastAsia" w:ascii="Times New Roman" w:hAnsi="Times New Roman"/>
          <w:szCs w:val="21"/>
        </w:rPr>
        <w:t>为建设项目温室气体（甲烷）产生量，核算方法详见公式（1）。</w:t>
      </w:r>
    </w:p>
    <w:p w14:paraId="6C1D7652">
      <w:pPr>
        <w:widowControl/>
        <w:spacing w:before="100" w:beforeAutospacing="1" w:after="100" w:afterAutospacing="1"/>
        <w:jc w:val="left"/>
        <w:rPr>
          <w:rFonts w:ascii="黑体" w:hAnsi="Times New Roman" w:eastAsia="黑体"/>
          <w:kern w:val="0"/>
          <w:szCs w:val="20"/>
          <w:lang w:bidi="ar"/>
        </w:rPr>
      </w:pPr>
      <w:r>
        <w:rPr>
          <w:rFonts w:ascii="黑体" w:hAnsi="Times New Roman" w:eastAsia="黑体"/>
          <w:kern w:val="0"/>
          <w:szCs w:val="20"/>
          <w:lang w:bidi="ar"/>
        </w:rPr>
        <w:t xml:space="preserve">5.5 </w:t>
      </w:r>
      <w:r>
        <w:rPr>
          <w:rFonts w:hint="eastAsia" w:ascii="黑体" w:hAnsi="Times New Roman" w:eastAsia="黑体"/>
          <w:kern w:val="0"/>
          <w:szCs w:val="20"/>
          <w:lang w:bidi="ar"/>
        </w:rPr>
        <w:t>温室气体减排措施可行性论证</w:t>
      </w:r>
    </w:p>
    <w:p w14:paraId="4151296A">
      <w:pPr>
        <w:ind w:firstLine="400" w:firstLineChars="200"/>
        <w:rPr>
          <w:rFonts w:hint="eastAsia" w:ascii="宋体" w:hAnsi="宋体" w:cs="宋体"/>
          <w:color w:val="000000"/>
          <w:sz w:val="20"/>
          <w:szCs w:val="20"/>
        </w:rPr>
      </w:pPr>
      <w:r>
        <w:rPr>
          <w:rFonts w:hint="eastAsia" w:ascii="宋体" w:hAnsi="宋体" w:cs="宋体"/>
          <w:color w:val="000000"/>
          <w:sz w:val="20"/>
          <w:szCs w:val="20"/>
        </w:rPr>
        <w:t>建设项目应提出温室气体排放控制措施，并开展措施效果分析，采用方案比选的方式从源头防控、过程控制、末端治理、回收利用等方面说明建设项目拟采取的温室气体减排措施和管理方案。明确拟采取的温室气体回收利用或焚毁技术，分析论证拟采取措施的技术可行性、经济合理性和温室气体减排有效性，其有效性判定应以同类或相同措施的实际运行效果为依据，没有实际运行经验的，可提供工程化实验数据。温室气体减排措施效果能力可参考附录A。</w:t>
      </w:r>
    </w:p>
    <w:p w14:paraId="61AEAA7D">
      <w:pPr>
        <w:ind w:firstLine="420" w:firstLineChars="200"/>
        <w:rPr>
          <w:rFonts w:hint="eastAsia" w:ascii="宋体" w:hAnsi="宋体" w:cs="宋体"/>
          <w:color w:val="000000"/>
          <w:sz w:val="20"/>
          <w:szCs w:val="20"/>
        </w:rPr>
      </w:pPr>
      <w:r>
        <w:rPr>
          <w:rFonts w:ascii="Times New Roman" w:hAnsi="Times New Roman"/>
        </w:rPr>
        <w:t>鼓励</w:t>
      </w:r>
      <w:r>
        <w:rPr>
          <w:rFonts w:hint="eastAsia" w:ascii="Times New Roman" w:hAnsi="Times New Roman"/>
        </w:rPr>
        <w:t>建设项目</w:t>
      </w:r>
      <w:r>
        <w:rPr>
          <w:rFonts w:ascii="Times New Roman" w:hAnsi="Times New Roman"/>
        </w:rPr>
        <w:t>采用《高耗能行业重点领域节能降碳改造升级实施指南》《国家重点推广的低碳技术目录》《</w:t>
      </w:r>
      <w:r>
        <w:rPr>
          <w:rFonts w:hint="eastAsia"/>
        </w:rPr>
        <w:t>国家工业和信息化领域节能技术装备推荐目录</w:t>
      </w:r>
      <w:r>
        <w:rPr>
          <w:rFonts w:ascii="Times New Roman" w:hAnsi="Times New Roman"/>
        </w:rPr>
        <w:t>》《</w:t>
      </w:r>
      <w:r>
        <w:rPr>
          <w:rFonts w:hint="eastAsia"/>
        </w:rPr>
        <w:t>国家工业和信息化领域节能降碳技术装备推荐目录</w:t>
      </w:r>
      <w:r>
        <w:rPr>
          <w:rFonts w:ascii="Times New Roman" w:hAnsi="Times New Roman"/>
        </w:rPr>
        <w:t>》等国家和省级部门已发布的</w:t>
      </w:r>
      <w:r>
        <w:rPr>
          <w:rFonts w:hint="eastAsia" w:ascii="Times New Roman" w:hAnsi="Times New Roman"/>
        </w:rPr>
        <w:t>温室气体减排</w:t>
      </w:r>
      <w:r>
        <w:rPr>
          <w:rFonts w:ascii="Times New Roman" w:hAnsi="Times New Roman"/>
        </w:rPr>
        <w:t>技术和装备，减少</w:t>
      </w:r>
      <w:r>
        <w:rPr>
          <w:rFonts w:hint="eastAsia" w:ascii="Times New Roman" w:hAnsi="Times New Roman"/>
        </w:rPr>
        <w:t>温室气体</w:t>
      </w:r>
      <w:r>
        <w:rPr>
          <w:rFonts w:ascii="Times New Roman" w:hAnsi="Times New Roman"/>
        </w:rPr>
        <w:t>排放</w:t>
      </w:r>
      <w:r>
        <w:rPr>
          <w:rFonts w:hint="eastAsia" w:ascii="Times New Roman" w:hAnsi="Times New Roman"/>
        </w:rPr>
        <w:t>，</w:t>
      </w:r>
      <w:r>
        <w:rPr>
          <w:rFonts w:ascii="Times New Roman" w:hAnsi="Times New Roman"/>
        </w:rPr>
        <w:t>若</w:t>
      </w:r>
      <w:r>
        <w:rPr>
          <w:rFonts w:hint="eastAsia" w:ascii="Times New Roman" w:hAnsi="Times New Roman"/>
        </w:rPr>
        <w:t>建设</w:t>
      </w:r>
      <w:r>
        <w:rPr>
          <w:rFonts w:ascii="Times New Roman" w:hAnsi="Times New Roman"/>
        </w:rPr>
        <w:t>项目所使用的</w:t>
      </w:r>
      <w:r>
        <w:rPr>
          <w:rFonts w:hint="eastAsia" w:ascii="Times New Roman" w:hAnsi="Times New Roman"/>
        </w:rPr>
        <w:t>温室气体减排</w:t>
      </w:r>
      <w:r>
        <w:rPr>
          <w:rFonts w:ascii="Times New Roman" w:hAnsi="Times New Roman"/>
        </w:rPr>
        <w:t>技术</w:t>
      </w:r>
      <w:r>
        <w:rPr>
          <w:rFonts w:hint="eastAsia" w:ascii="Times New Roman" w:hAnsi="Times New Roman"/>
        </w:rPr>
        <w:t>列入上述文件中，可简要说明</w:t>
      </w:r>
      <w:r>
        <w:rPr>
          <w:rFonts w:ascii="Times New Roman" w:hAnsi="Times New Roman"/>
        </w:rPr>
        <w:t>。</w:t>
      </w:r>
    </w:p>
    <w:p w14:paraId="04CF553B">
      <w:pPr>
        <w:spacing w:before="100" w:beforeAutospacing="1" w:after="100" w:afterAutospacing="1"/>
        <w:rPr>
          <w:rFonts w:ascii="黑体" w:hAnsi="Times New Roman" w:eastAsia="黑体"/>
          <w:kern w:val="0"/>
          <w:szCs w:val="20"/>
        </w:rPr>
      </w:pPr>
      <w:r>
        <w:rPr>
          <w:rFonts w:hint="eastAsia" w:ascii="黑体" w:hAnsi="Times New Roman" w:eastAsia="黑体"/>
          <w:kern w:val="0"/>
          <w:szCs w:val="20"/>
        </w:rPr>
        <w:t>5.6 排放管理与监测计划</w:t>
      </w:r>
    </w:p>
    <w:p w14:paraId="2105676A">
      <w:pPr>
        <w:spacing w:before="100" w:beforeAutospacing="1" w:after="100" w:afterAutospacing="1"/>
        <w:rPr>
          <w:rFonts w:ascii="黑体" w:hAnsi="Times New Roman" w:eastAsia="黑体"/>
          <w:kern w:val="0"/>
          <w:szCs w:val="20"/>
        </w:rPr>
      </w:pPr>
      <w:r>
        <w:rPr>
          <w:rFonts w:hint="eastAsia" w:ascii="黑体" w:hAnsi="Times New Roman" w:eastAsia="黑体"/>
          <w:kern w:val="0"/>
          <w:szCs w:val="20"/>
        </w:rPr>
        <w:t>5.6.1管理要求</w:t>
      </w:r>
    </w:p>
    <w:p w14:paraId="675D2313">
      <w:pPr>
        <w:spacing w:before="100" w:beforeAutospacing="1" w:after="100" w:afterAutospacing="1"/>
        <w:ind w:firstLine="420" w:firstLineChars="200"/>
        <w:rPr>
          <w:rFonts w:ascii="Times New Roman" w:hAnsi="Times New Roman"/>
        </w:rPr>
      </w:pPr>
      <w:r>
        <w:rPr>
          <w:rFonts w:ascii="Times New Roman" w:hAnsi="Times New Roman"/>
        </w:rPr>
        <w:t>编制建设项目</w:t>
      </w:r>
      <w:r>
        <w:rPr>
          <w:rFonts w:hint="eastAsia" w:ascii="Times New Roman" w:hAnsi="Times New Roman"/>
        </w:rPr>
        <w:t>温室气体</w:t>
      </w:r>
      <w:r>
        <w:rPr>
          <w:rFonts w:ascii="Times New Roman" w:hAnsi="Times New Roman"/>
        </w:rPr>
        <w:t>排放清单，提出</w:t>
      </w:r>
      <w:r>
        <w:rPr>
          <w:rFonts w:hint="eastAsia" w:ascii="Times New Roman" w:hAnsi="Times New Roman"/>
        </w:rPr>
        <w:t>温室气体</w:t>
      </w:r>
      <w:r>
        <w:rPr>
          <w:rFonts w:ascii="Times New Roman" w:hAnsi="Times New Roman"/>
        </w:rPr>
        <w:t>排放环境管理要求。新建项目应提出</w:t>
      </w:r>
      <w:r>
        <w:rPr>
          <w:rFonts w:hint="eastAsia" w:ascii="Times New Roman" w:hAnsi="Times New Roman"/>
        </w:rPr>
        <w:t>温室气体排放</w:t>
      </w:r>
      <w:r>
        <w:rPr>
          <w:rFonts w:ascii="Times New Roman" w:hAnsi="Times New Roman"/>
        </w:rPr>
        <w:t>环境管理机构设置、人员配置、管理制度、管理台账记录要求；改扩建项目应分析其依托现有环境管理机构及制度的可行性，提出完善</w:t>
      </w:r>
      <w:r>
        <w:rPr>
          <w:rFonts w:hint="eastAsia" w:ascii="Times New Roman" w:hAnsi="Times New Roman"/>
        </w:rPr>
        <w:t>温室气体</w:t>
      </w:r>
      <w:r>
        <w:rPr>
          <w:rFonts w:ascii="Times New Roman" w:hAnsi="Times New Roman"/>
        </w:rPr>
        <w:t>排放环境管理的要求。</w:t>
      </w:r>
    </w:p>
    <w:p w14:paraId="7B177A5F">
      <w:pPr>
        <w:spacing w:before="100" w:beforeAutospacing="1" w:after="100" w:afterAutospacing="1"/>
        <w:rPr>
          <w:rFonts w:ascii="黑体" w:hAnsi="Times New Roman" w:eastAsia="黑体"/>
          <w:kern w:val="0"/>
          <w:szCs w:val="20"/>
        </w:rPr>
      </w:pPr>
      <w:r>
        <w:rPr>
          <w:rFonts w:hint="eastAsia" w:ascii="黑体" w:hAnsi="Times New Roman" w:eastAsia="黑体"/>
          <w:kern w:val="0"/>
          <w:szCs w:val="20"/>
        </w:rPr>
        <w:t>5.6.2 自行监测计划</w:t>
      </w:r>
    </w:p>
    <w:p w14:paraId="4EBE92FC">
      <w:pPr>
        <w:ind w:firstLine="420" w:firstLineChars="200"/>
        <w:rPr>
          <w:rFonts w:ascii="Times New Roman" w:hAnsi="Times New Roman"/>
        </w:rPr>
      </w:pPr>
      <w:r>
        <w:rPr>
          <w:rFonts w:ascii="Times New Roman" w:hAnsi="Times New Roman"/>
        </w:rPr>
        <w:t>建设项目</w:t>
      </w:r>
      <w:r>
        <w:rPr>
          <w:rFonts w:hint="eastAsia" w:ascii="Times New Roman" w:hAnsi="Times New Roman"/>
        </w:rPr>
        <w:t>温室气体</w:t>
      </w:r>
      <w:r>
        <w:rPr>
          <w:rFonts w:ascii="Times New Roman" w:hAnsi="Times New Roman"/>
        </w:rPr>
        <w:t>排放监测应按照GB 16889和 HJ 819要求，即填埋场上方和填埋场建（构）筑物内的甲烷气体的采样点布设应按照GB/T 18772的规定执行，监测频率不应少于每日1次。对空气中</w:t>
      </w:r>
      <w:r>
        <w:rPr>
          <w:rFonts w:hint="eastAsia" w:ascii="Times New Roman" w:hAnsi="Times New Roman"/>
        </w:rPr>
        <w:t>温室气体</w:t>
      </w:r>
      <w:r>
        <w:rPr>
          <w:rFonts w:ascii="Times New Roman" w:hAnsi="Times New Roman"/>
        </w:rPr>
        <w:t>气体含量的监测应采用符合GB 13486要求或具有相同效果的便携式分析</w:t>
      </w:r>
      <w:r>
        <w:rPr>
          <w:rFonts w:hint="eastAsia" w:ascii="Times New Roman" w:hAnsi="Times New Roman"/>
          <w:lang w:bidi="ar"/>
        </w:rPr>
        <w:t>仪器进行</w:t>
      </w:r>
      <w:r>
        <w:rPr>
          <w:rFonts w:ascii="Times New Roman" w:hAnsi="Times New Roman"/>
        </w:rPr>
        <w:t>测定。对空气中</w:t>
      </w:r>
      <w:r>
        <w:rPr>
          <w:rFonts w:hint="eastAsia" w:ascii="Times New Roman" w:hAnsi="Times New Roman"/>
        </w:rPr>
        <w:t>温室</w:t>
      </w:r>
      <w:r>
        <w:rPr>
          <w:rFonts w:ascii="Times New Roman" w:hAnsi="Times New Roman"/>
        </w:rPr>
        <w:t>气体含量的执法监测应按照HJ 604中规定的方法进行测定。</w:t>
      </w:r>
    </w:p>
    <w:p w14:paraId="0019ACC9">
      <w:pPr>
        <w:ind w:firstLine="420" w:firstLineChars="200"/>
        <w:rPr>
          <w:rFonts w:ascii="Times New Roman" w:hAnsi="Times New Roman"/>
        </w:rPr>
      </w:pPr>
      <w:r>
        <w:rPr>
          <w:rFonts w:ascii="Times New Roman" w:hAnsi="Times New Roman"/>
        </w:rPr>
        <w:t>新的</w:t>
      </w:r>
      <w:r>
        <w:rPr>
          <w:rFonts w:hint="eastAsia" w:ascii="Times New Roman" w:hAnsi="Times New Roman"/>
        </w:rPr>
        <w:t>温室气体</w:t>
      </w:r>
      <w:r>
        <w:rPr>
          <w:rFonts w:ascii="Times New Roman" w:hAnsi="Times New Roman"/>
        </w:rPr>
        <w:t>排放核算方法标准发布后，</w:t>
      </w:r>
      <w:r>
        <w:rPr>
          <w:rFonts w:hint="eastAsia" w:ascii="Times New Roman" w:hAnsi="Times New Roman"/>
        </w:rPr>
        <w:t>相关监测方案从其规定。</w:t>
      </w:r>
    </w:p>
    <w:p w14:paraId="74064953">
      <w:pPr>
        <w:spacing w:before="100" w:beforeAutospacing="1" w:after="100" w:afterAutospacing="1"/>
      </w:pPr>
      <w:r>
        <w:rPr>
          <w:rFonts w:hint="eastAsia" w:ascii="黑体" w:hAnsi="Times New Roman" w:eastAsia="黑体"/>
          <w:kern w:val="0"/>
          <w:szCs w:val="20"/>
        </w:rPr>
        <w:t xml:space="preserve">5.6.3 建设项目封场管理 </w:t>
      </w:r>
      <w:r>
        <w:rPr>
          <w:rFonts w:hint="eastAsia" w:ascii="黑体" w:hAnsi="黑体" w:eastAsia="黑体" w:cs="黑体"/>
          <w:sz w:val="28"/>
          <w:szCs w:val="28"/>
        </w:rPr>
        <w:t xml:space="preserve">   </w:t>
      </w:r>
      <w:r>
        <w:rPr>
          <w:rFonts w:hint="eastAsia"/>
        </w:rPr>
        <w:t xml:space="preserve">  </w:t>
      </w:r>
    </w:p>
    <w:p w14:paraId="3037D8BC">
      <w:pPr>
        <w:spacing w:before="100" w:beforeAutospacing="1" w:after="100" w:afterAutospacing="1"/>
        <w:ind w:firstLine="420" w:firstLineChars="200"/>
        <w:rPr>
          <w:rFonts w:ascii="Times New Roman" w:hAnsi="Times New Roman"/>
        </w:rPr>
      </w:pPr>
      <w:r>
        <w:rPr>
          <w:rFonts w:ascii="Times New Roman" w:hAnsi="Times New Roman"/>
        </w:rPr>
        <w:t>建设项目在建成运营服役期满后，封场日起30年内需要持续开展上述</w:t>
      </w:r>
      <w:r>
        <w:rPr>
          <w:rFonts w:hint="eastAsia" w:ascii="Times New Roman" w:hAnsi="Times New Roman"/>
        </w:rPr>
        <w:t>温室气体</w:t>
      </w:r>
      <w:r>
        <w:rPr>
          <w:rFonts w:ascii="Times New Roman" w:hAnsi="Times New Roman"/>
        </w:rPr>
        <w:t>排放核算，</w:t>
      </w:r>
      <w:r>
        <w:rPr>
          <w:rFonts w:hint="eastAsia" w:ascii="Times New Roman" w:hAnsi="Times New Roman"/>
        </w:rPr>
        <w:t>温室气体</w:t>
      </w:r>
      <w:r>
        <w:rPr>
          <w:rFonts w:ascii="Times New Roman" w:hAnsi="Times New Roman"/>
        </w:rPr>
        <w:t>排放评价，</w:t>
      </w:r>
      <w:r>
        <w:rPr>
          <w:rFonts w:hint="eastAsia" w:ascii="Times New Roman" w:hAnsi="Times New Roman"/>
        </w:rPr>
        <w:t>排放管理与监测计划</w:t>
      </w:r>
      <w:r>
        <w:rPr>
          <w:rFonts w:ascii="Times New Roman" w:hAnsi="Times New Roman"/>
        </w:rPr>
        <w:t>运行工作。</w:t>
      </w:r>
      <w:r>
        <w:rPr>
          <w:rFonts w:hint="eastAsia" w:ascii="Times New Roman" w:hAnsi="Times New Roman"/>
        </w:rPr>
        <w:t>相关监测频次可酌情减少，</w:t>
      </w:r>
      <w:r>
        <w:rPr>
          <w:rFonts w:ascii="Times New Roman" w:hAnsi="Times New Roman"/>
        </w:rPr>
        <w:t>新的</w:t>
      </w:r>
      <w:r>
        <w:rPr>
          <w:rFonts w:hint="eastAsia" w:ascii="Times New Roman" w:hAnsi="Times New Roman"/>
        </w:rPr>
        <w:t>温室气体</w:t>
      </w:r>
      <w:r>
        <w:rPr>
          <w:rFonts w:ascii="Times New Roman" w:hAnsi="Times New Roman"/>
        </w:rPr>
        <w:t>排放核算方法标准发布后</w:t>
      </w:r>
      <w:r>
        <w:rPr>
          <w:rFonts w:hint="eastAsia" w:ascii="Times New Roman" w:hAnsi="Times New Roman"/>
        </w:rPr>
        <w:t>，相关要求从其规定。</w:t>
      </w:r>
    </w:p>
    <w:p w14:paraId="698274D8">
      <w:pPr>
        <w:pStyle w:val="70"/>
        <w:numPr>
          <w:ilvl w:val="3"/>
          <w:numId w:val="0"/>
        </w:numPr>
        <w:spacing w:before="120" w:after="120"/>
      </w:pPr>
      <w:r>
        <w:rPr>
          <w:rFonts w:hint="eastAsia"/>
        </w:rPr>
        <w:t xml:space="preserve">5.6.4 </w:t>
      </w:r>
      <w:r>
        <w:t>验收要求</w:t>
      </w:r>
    </w:p>
    <w:p w14:paraId="4CC9666C">
      <w:pPr>
        <w:ind w:firstLine="420"/>
        <w:jc w:val="left"/>
        <w:rPr>
          <w:rFonts w:ascii="Times New Roman" w:hAnsi="Times New Roman"/>
        </w:rPr>
      </w:pPr>
      <w:r>
        <w:rPr>
          <w:rFonts w:hint="eastAsia" w:ascii="Times New Roman" w:hAnsi="Times New Roman"/>
        </w:rPr>
        <w:t>生活垃圾填埋场</w:t>
      </w:r>
      <w:r>
        <w:rPr>
          <w:rFonts w:ascii="Times New Roman" w:hAnsi="Times New Roman"/>
        </w:rPr>
        <w:t>建设项目</w:t>
      </w:r>
      <w:r>
        <w:rPr>
          <w:rFonts w:hint="eastAsia" w:ascii="Times New Roman" w:hAnsi="Times New Roman"/>
        </w:rPr>
        <w:t>温室气体排放控制措施</w:t>
      </w:r>
      <w:r>
        <w:rPr>
          <w:rFonts w:ascii="Times New Roman" w:hAnsi="Times New Roman"/>
        </w:rPr>
        <w:t>、监测计划等内容纳入环境保护设施验收。</w:t>
      </w:r>
    </w:p>
    <w:p w14:paraId="656B22E9">
      <w:pPr>
        <w:pStyle w:val="18"/>
        <w:autoSpaceDE/>
        <w:autoSpaceDN/>
        <w:spacing w:before="100" w:beforeAutospacing="1" w:after="100" w:afterAutospacing="1"/>
        <w:rPr>
          <w:rFonts w:hint="eastAsia" w:ascii="仿宋_GB2312" w:hAnsi="黑体" w:eastAsia="仿宋_GB2312"/>
          <w:sz w:val="28"/>
          <w:szCs w:val="28"/>
        </w:rPr>
      </w:pPr>
      <w:r>
        <w:rPr>
          <w:rFonts w:ascii="黑体" w:hAnsi="Times New Roman" w:eastAsia="黑体"/>
        </w:rPr>
        <w:t>5.7</w:t>
      </w:r>
      <w:r>
        <w:rPr>
          <w:rFonts w:hint="eastAsia" w:ascii="黑体" w:hAnsi="Times New Roman" w:eastAsia="黑体"/>
        </w:rPr>
        <w:t xml:space="preserve"> </w:t>
      </w:r>
      <w:r>
        <w:rPr>
          <w:rFonts w:ascii="黑体" w:hAnsi="Times New Roman" w:eastAsia="黑体"/>
        </w:rPr>
        <w:t>评价结论</w:t>
      </w:r>
    </w:p>
    <w:p w14:paraId="5A273124">
      <w:pPr>
        <w:pStyle w:val="18"/>
        <w:autoSpaceDE/>
        <w:autoSpaceDN/>
        <w:spacing w:line="360" w:lineRule="auto"/>
        <w:ind w:firstLine="420" w:firstLineChars="200"/>
        <w:rPr>
          <w:rFonts w:ascii="Times New Roman" w:hAnsi="Times New Roman"/>
          <w:szCs w:val="21"/>
        </w:rPr>
      </w:pPr>
      <w:r>
        <w:rPr>
          <w:rFonts w:hint="eastAsia" w:ascii="Times New Roman" w:hAnsi="Times New Roman"/>
          <w:szCs w:val="21"/>
        </w:rPr>
        <w:t>概括总结建设项目对政策符合性分析、工程分析、温室气体排放管控要求、温室气体排放绩效评价、温室气体排放管理与监测计划等。</w:t>
      </w:r>
    </w:p>
    <w:p w14:paraId="2C950C85">
      <w:pPr>
        <w:pStyle w:val="61"/>
        <w:tabs>
          <w:tab w:val="left" w:pos="1470"/>
        </w:tabs>
        <w:spacing w:before="100" w:beforeAutospacing="1" w:after="100" w:afterAutospacing="1" w:line="360" w:lineRule="auto"/>
        <w:ind w:firstLine="420"/>
      </w:pPr>
      <w:r>
        <w:rPr>
          <w:rFonts w:hint="eastAsia"/>
          <w:szCs w:val="21"/>
        </w:rPr>
        <w:t>根据排放绩效评价结果，</w:t>
      </w:r>
      <w:r>
        <w:rPr>
          <w:szCs w:val="21"/>
        </w:rPr>
        <w:t>结合国家、区域和行业温室气体排放与控制相关行动方案、地区温室气体排放控制目标与技术要求等，给出</w:t>
      </w:r>
      <w:r>
        <w:rPr>
          <w:rFonts w:hint="eastAsia"/>
          <w:szCs w:val="21"/>
        </w:rPr>
        <w:t>生活垃圾填埋场</w:t>
      </w:r>
      <w:r>
        <w:rPr>
          <w:szCs w:val="21"/>
        </w:rPr>
        <w:t>建设项目的温室气体排放控制是否满足相关要求的结论。</w:t>
      </w:r>
    </w:p>
    <w:p w14:paraId="6D0E0702">
      <w:pPr>
        <w:widowControl/>
        <w:spacing w:before="100" w:beforeAutospacing="1" w:after="100" w:afterAutospacing="1"/>
        <w:ind w:firstLine="420" w:firstLineChars="200"/>
        <w:rPr>
          <w:rFonts w:ascii="宋体" w:hAnsi="Times New Roman"/>
          <w:kern w:val="0"/>
          <w:szCs w:val="20"/>
        </w:rPr>
      </w:pPr>
      <w:r>
        <w:rPr>
          <w:rFonts w:ascii="黑体" w:hAnsi="Times New Roman" w:eastAsia="黑体"/>
        </w:rPr>
        <w:t>参考文献</w:t>
      </w:r>
    </w:p>
    <w:p w14:paraId="4E2FB683">
      <w:pPr>
        <w:widowControl/>
        <w:ind w:firstLine="420" w:firstLineChars="200"/>
        <w:rPr>
          <w:rFonts w:ascii="宋体" w:hAnsi="Times New Roman"/>
          <w:kern w:val="0"/>
          <w:szCs w:val="20"/>
        </w:rPr>
      </w:pPr>
      <w:r>
        <w:rPr>
          <w:rFonts w:hint="eastAsia" w:ascii="宋体" w:hAnsi="Times New Roman"/>
          <w:kern w:val="0"/>
          <w:szCs w:val="20"/>
        </w:rPr>
        <w:t>关于印发《加快构建碳排放双控制度体系工作方案》的通知（国办发〔2024〕39号）</w:t>
      </w:r>
    </w:p>
    <w:p w14:paraId="177990E4">
      <w:pPr>
        <w:widowControl/>
        <w:ind w:firstLine="420" w:firstLineChars="200"/>
        <w:rPr>
          <w:rFonts w:ascii="宋体" w:hAnsi="Times New Roman"/>
          <w:kern w:val="0"/>
          <w:szCs w:val="20"/>
        </w:rPr>
      </w:pPr>
      <w:r>
        <w:rPr>
          <w:rFonts w:hint="eastAsia" w:ascii="宋体" w:hAnsi="Times New Roman"/>
          <w:kern w:val="0"/>
          <w:szCs w:val="20"/>
        </w:rPr>
        <w:t>关于印发《国家甲烷排放控制行动方案》的通知（环气候〔2023〕67号）</w:t>
      </w:r>
    </w:p>
    <w:p w14:paraId="2DB83161">
      <w:pPr>
        <w:widowControl/>
        <w:ind w:firstLine="420" w:firstLineChars="200"/>
        <w:rPr>
          <w:rFonts w:ascii="宋体" w:hAnsi="Times New Roman"/>
          <w:kern w:val="0"/>
          <w:szCs w:val="20"/>
        </w:rPr>
      </w:pPr>
      <w:r>
        <w:rPr>
          <w:rFonts w:hint="eastAsia" w:ascii="宋体" w:hAnsi="Times New Roman"/>
          <w:kern w:val="0"/>
          <w:szCs w:val="20"/>
        </w:rPr>
        <w:t>《省级温室气体清单编制指南（2025版）》（环办气候〔2026〕1号）</w:t>
      </w:r>
    </w:p>
    <w:p w14:paraId="0E4B12B5">
      <w:pPr>
        <w:pStyle w:val="18"/>
        <w:ind w:firstLine="560"/>
        <w:rPr>
          <w:rFonts w:ascii="Times New Roman" w:hAnsi="Times New Roman"/>
          <w:szCs w:val="21"/>
        </w:rPr>
      </w:pPr>
    </w:p>
    <w:p w14:paraId="711973A1">
      <w:pPr>
        <w:pStyle w:val="18"/>
        <w:rPr>
          <w:rFonts w:ascii="Times New Roman" w:hAnsi="Times New Roman"/>
          <w:szCs w:val="21"/>
        </w:rPr>
      </w:pPr>
    </w:p>
    <w:p w14:paraId="7875EB6F">
      <w:pPr>
        <w:pStyle w:val="18"/>
      </w:pPr>
    </w:p>
    <w:p w14:paraId="5ED5FC94">
      <w:pPr>
        <w:pStyle w:val="18"/>
      </w:pPr>
    </w:p>
    <w:p w14:paraId="5247B253">
      <w:pPr>
        <w:pStyle w:val="18"/>
      </w:pPr>
    </w:p>
    <w:p w14:paraId="2390FDF5">
      <w:pPr>
        <w:pStyle w:val="18"/>
      </w:pPr>
    </w:p>
    <w:p w14:paraId="0C6B77C0">
      <w:pPr>
        <w:pStyle w:val="18"/>
      </w:pPr>
    </w:p>
    <w:p w14:paraId="11DDA8C4">
      <w:pPr>
        <w:pStyle w:val="18"/>
      </w:pPr>
    </w:p>
    <w:p w14:paraId="7FA01A87">
      <w:pPr>
        <w:pStyle w:val="18"/>
      </w:pPr>
    </w:p>
    <w:p w14:paraId="3C269724">
      <w:pPr>
        <w:pStyle w:val="18"/>
      </w:pPr>
    </w:p>
    <w:p w14:paraId="2F8121B6">
      <w:pPr>
        <w:pStyle w:val="18"/>
      </w:pPr>
    </w:p>
    <w:p w14:paraId="07F71099">
      <w:pPr>
        <w:pStyle w:val="18"/>
      </w:pPr>
    </w:p>
    <w:p w14:paraId="2C446A04">
      <w:pPr>
        <w:pStyle w:val="18"/>
      </w:pPr>
    </w:p>
    <w:p w14:paraId="57A3EA47">
      <w:pPr>
        <w:pStyle w:val="18"/>
      </w:pPr>
    </w:p>
    <w:p w14:paraId="465F82EE">
      <w:pPr>
        <w:pStyle w:val="18"/>
      </w:pPr>
    </w:p>
    <w:p w14:paraId="592EB5D5">
      <w:pPr>
        <w:pStyle w:val="18"/>
      </w:pPr>
    </w:p>
    <w:p w14:paraId="70029041">
      <w:pPr>
        <w:pStyle w:val="18"/>
      </w:pPr>
    </w:p>
    <w:p w14:paraId="2D6512B0">
      <w:pPr>
        <w:pStyle w:val="18"/>
      </w:pPr>
    </w:p>
    <w:p w14:paraId="198AB432">
      <w:pPr>
        <w:pStyle w:val="18"/>
      </w:pPr>
    </w:p>
    <w:p w14:paraId="792F95DD">
      <w:pPr>
        <w:pStyle w:val="18"/>
      </w:pPr>
    </w:p>
    <w:p w14:paraId="319525DD">
      <w:pPr>
        <w:pStyle w:val="18"/>
      </w:pPr>
    </w:p>
    <w:p w14:paraId="41DA5C63">
      <w:pPr>
        <w:pStyle w:val="18"/>
      </w:pPr>
    </w:p>
    <w:p w14:paraId="71171848">
      <w:pPr>
        <w:pStyle w:val="18"/>
      </w:pPr>
    </w:p>
    <w:p w14:paraId="1E0B6597">
      <w:pPr>
        <w:pStyle w:val="18"/>
      </w:pPr>
    </w:p>
    <w:p w14:paraId="364506D5">
      <w:pPr>
        <w:pStyle w:val="18"/>
      </w:pPr>
    </w:p>
    <w:p w14:paraId="1123DCF8">
      <w:pPr>
        <w:pStyle w:val="18"/>
      </w:pPr>
    </w:p>
    <w:p w14:paraId="27E0C36D">
      <w:pPr>
        <w:pStyle w:val="18"/>
      </w:pPr>
    </w:p>
    <w:p w14:paraId="74B60250">
      <w:pPr>
        <w:pStyle w:val="18"/>
      </w:pPr>
    </w:p>
    <w:p w14:paraId="0583AF7A">
      <w:pPr>
        <w:pStyle w:val="18"/>
      </w:pPr>
    </w:p>
    <w:p w14:paraId="27EF8AE7">
      <w:pPr>
        <w:pStyle w:val="18"/>
      </w:pPr>
    </w:p>
    <w:p w14:paraId="2BB08082">
      <w:pPr>
        <w:pStyle w:val="18"/>
      </w:pPr>
    </w:p>
    <w:p w14:paraId="2D3EC4BC">
      <w:pPr>
        <w:pStyle w:val="18"/>
      </w:pPr>
    </w:p>
    <w:p w14:paraId="5C0E1B0A">
      <w:pPr>
        <w:pStyle w:val="18"/>
      </w:pPr>
    </w:p>
    <w:p w14:paraId="2430380F">
      <w:pPr>
        <w:pStyle w:val="18"/>
      </w:pPr>
    </w:p>
    <w:p w14:paraId="68E360BA">
      <w:pPr>
        <w:pStyle w:val="18"/>
      </w:pPr>
    </w:p>
    <w:p w14:paraId="191229D5">
      <w:pPr>
        <w:pStyle w:val="18"/>
        <w:rPr>
          <w:rFonts w:hint="eastAsia"/>
        </w:rPr>
      </w:pPr>
    </w:p>
    <w:p w14:paraId="68DB9DED">
      <w:pPr>
        <w:pStyle w:val="18"/>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附录A</w:t>
      </w:r>
    </w:p>
    <w:p w14:paraId="4C468D39">
      <w:pPr>
        <w:pStyle w:val="18"/>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生活垃圾填埋场甲烷排放控制技术效果</w:t>
      </w:r>
    </w:p>
    <w:p w14:paraId="49A4B4C6">
      <w:pPr>
        <w:pStyle w:val="18"/>
        <w:jc w:val="center"/>
        <w:rPr>
          <w:rFonts w:ascii="Times New Roman" w:hAnsi="Times New Roman" w:eastAsia="方正仿宋_GB2312"/>
          <w:sz w:val="28"/>
          <w:szCs w:val="28"/>
        </w:rPr>
      </w:pPr>
      <w:r>
        <w:rPr>
          <w:rFonts w:hint="eastAsia" w:ascii="Times New Roman" w:hAnsi="Times New Roman" w:eastAsia="方正仿宋_GB2312"/>
          <w:sz w:val="28"/>
          <w:szCs w:val="28"/>
        </w:rPr>
        <w:t>（资料性）</w:t>
      </w:r>
    </w:p>
    <w:p w14:paraId="4EB7ED71">
      <w:pPr>
        <w:spacing w:line="360" w:lineRule="auto"/>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附表A.1 </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覆盖层对填埋气</w:t>
      </w:r>
      <w:r>
        <w:rPr>
          <w:rFonts w:ascii="仿宋_GB2312" w:hAnsi="仿宋_GB2312" w:eastAsia="仿宋_GB2312" w:cs="仿宋_GB2312"/>
          <w:b/>
          <w:bCs/>
          <w:sz w:val="32"/>
          <w:szCs w:val="32"/>
        </w:rPr>
        <w:t>收集效率</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5"/>
        <w:gridCol w:w="1743"/>
      </w:tblGrid>
      <w:tr w14:paraId="1961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5" w:type="dxa"/>
            <w:shd w:val="clear" w:color="auto" w:fill="D0CECE"/>
            <w:vAlign w:val="center"/>
          </w:tcPr>
          <w:p w14:paraId="011CD5E8">
            <w:pPr>
              <w:jc w:val="center"/>
              <w:rPr>
                <w:rFonts w:hint="eastAsia" w:ascii="宋体" w:hAnsi="宋体"/>
                <w:b/>
                <w:bCs/>
                <w:sz w:val="24"/>
              </w:rPr>
            </w:pPr>
            <w:r>
              <w:rPr>
                <w:rFonts w:hint="eastAsia" w:ascii="宋体" w:hAnsi="宋体"/>
                <w:b/>
                <w:bCs/>
                <w:sz w:val="24"/>
              </w:rPr>
              <w:t>覆盖层类型</w:t>
            </w:r>
          </w:p>
        </w:tc>
        <w:tc>
          <w:tcPr>
            <w:tcW w:w="1743" w:type="dxa"/>
            <w:shd w:val="clear" w:color="auto" w:fill="D0CECE"/>
            <w:vAlign w:val="center"/>
          </w:tcPr>
          <w:p w14:paraId="4A46CE31">
            <w:pPr>
              <w:jc w:val="center"/>
              <w:rPr>
                <w:rFonts w:hint="eastAsia" w:ascii="宋体" w:hAnsi="宋体"/>
                <w:b/>
                <w:bCs/>
                <w:sz w:val="24"/>
              </w:rPr>
            </w:pPr>
            <w:r>
              <w:rPr>
                <w:rFonts w:hint="eastAsia" w:ascii="宋体" w:hAnsi="宋体"/>
                <w:b/>
                <w:bCs/>
                <w:sz w:val="24"/>
              </w:rPr>
              <w:t>气体收集效率</w:t>
            </w:r>
          </w:p>
        </w:tc>
      </w:tr>
      <w:tr w14:paraId="301F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5" w:type="dxa"/>
            <w:vAlign w:val="center"/>
          </w:tcPr>
          <w:p w14:paraId="3B71B013">
            <w:pPr>
              <w:jc w:val="center"/>
              <w:rPr>
                <w:rFonts w:hint="eastAsia" w:ascii="宋体" w:hAnsi="宋体"/>
                <w:sz w:val="24"/>
              </w:rPr>
            </w:pPr>
            <w:r>
              <w:rPr>
                <w:rFonts w:hint="eastAsia" w:ascii="宋体" w:hAnsi="宋体"/>
                <w:sz w:val="24"/>
              </w:rPr>
              <w:t>无活性气体收集区，不管覆盖层类型如何</w:t>
            </w:r>
          </w:p>
        </w:tc>
        <w:tc>
          <w:tcPr>
            <w:tcW w:w="1743" w:type="dxa"/>
            <w:vAlign w:val="center"/>
          </w:tcPr>
          <w:p w14:paraId="137CA704">
            <w:pPr>
              <w:jc w:val="center"/>
              <w:rPr>
                <w:rFonts w:hint="eastAsia" w:ascii="宋体" w:hAnsi="宋体"/>
                <w:sz w:val="24"/>
              </w:rPr>
            </w:pPr>
            <w:r>
              <w:rPr>
                <w:rFonts w:hint="eastAsia" w:ascii="宋体" w:hAnsi="宋体"/>
                <w:sz w:val="24"/>
              </w:rPr>
              <w:t>0%</w:t>
            </w:r>
          </w:p>
        </w:tc>
      </w:tr>
      <w:tr w14:paraId="2F1F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5" w:type="dxa"/>
            <w:vAlign w:val="center"/>
          </w:tcPr>
          <w:p w14:paraId="56462DD2">
            <w:pPr>
              <w:jc w:val="center"/>
              <w:rPr>
                <w:rFonts w:hint="eastAsia" w:ascii="宋体" w:hAnsi="宋体"/>
                <w:sz w:val="24"/>
              </w:rPr>
            </w:pPr>
            <w:r>
              <w:rPr>
                <w:rFonts w:hint="eastAsia" w:ascii="宋体" w:hAnsi="宋体"/>
                <w:sz w:val="24"/>
              </w:rPr>
              <w:t>具有每日土壤覆盖层和活性气体收集功能的区域</w:t>
            </w:r>
          </w:p>
        </w:tc>
        <w:tc>
          <w:tcPr>
            <w:tcW w:w="1743" w:type="dxa"/>
            <w:vAlign w:val="center"/>
          </w:tcPr>
          <w:p w14:paraId="5D58B4DE">
            <w:pPr>
              <w:jc w:val="center"/>
              <w:rPr>
                <w:rFonts w:hint="eastAsia" w:ascii="宋体" w:hAnsi="宋体"/>
                <w:sz w:val="24"/>
              </w:rPr>
            </w:pPr>
            <w:r>
              <w:rPr>
                <w:rFonts w:hint="eastAsia" w:ascii="宋体" w:hAnsi="宋体"/>
                <w:sz w:val="24"/>
              </w:rPr>
              <w:t>6</w:t>
            </w:r>
            <w:r>
              <w:rPr>
                <w:rFonts w:ascii="宋体" w:hAnsi="宋体"/>
                <w:sz w:val="24"/>
              </w:rPr>
              <w:t>0</w:t>
            </w:r>
            <w:r>
              <w:rPr>
                <w:rFonts w:hint="eastAsia" w:ascii="宋体" w:hAnsi="宋体"/>
                <w:sz w:val="24"/>
              </w:rPr>
              <w:t>%</w:t>
            </w:r>
          </w:p>
        </w:tc>
      </w:tr>
      <w:tr w14:paraId="6CDF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5" w:type="dxa"/>
            <w:vAlign w:val="center"/>
          </w:tcPr>
          <w:p w14:paraId="692B0C91">
            <w:pPr>
              <w:jc w:val="center"/>
              <w:rPr>
                <w:rFonts w:hint="eastAsia" w:ascii="宋体" w:hAnsi="宋体"/>
                <w:sz w:val="24"/>
              </w:rPr>
            </w:pPr>
            <w:r>
              <w:rPr>
                <w:rFonts w:hint="eastAsia" w:ascii="宋体" w:hAnsi="宋体"/>
                <w:sz w:val="24"/>
              </w:rPr>
              <w:t>中间土壤覆盖或最终土壤覆盖不符合以下标准以达到</w:t>
            </w:r>
            <w:r>
              <w:rPr>
                <w:rFonts w:ascii="宋体" w:hAnsi="宋体"/>
                <w:sz w:val="24"/>
              </w:rPr>
              <w:t>95%效率的区域和活性气体收集</w:t>
            </w:r>
          </w:p>
        </w:tc>
        <w:tc>
          <w:tcPr>
            <w:tcW w:w="1743" w:type="dxa"/>
            <w:vAlign w:val="center"/>
          </w:tcPr>
          <w:p w14:paraId="338E159B">
            <w:pPr>
              <w:jc w:val="center"/>
              <w:rPr>
                <w:rFonts w:hint="eastAsia" w:ascii="宋体" w:hAnsi="宋体"/>
                <w:sz w:val="24"/>
              </w:rPr>
            </w:pPr>
            <w:r>
              <w:rPr>
                <w:rFonts w:hint="eastAsia" w:ascii="宋体" w:hAnsi="宋体"/>
                <w:sz w:val="24"/>
              </w:rPr>
              <w:t>7</w:t>
            </w:r>
            <w:r>
              <w:rPr>
                <w:rFonts w:ascii="宋体" w:hAnsi="宋体"/>
                <w:sz w:val="24"/>
              </w:rPr>
              <w:t>5</w:t>
            </w:r>
            <w:r>
              <w:rPr>
                <w:rFonts w:hint="eastAsia" w:ascii="宋体" w:hAnsi="宋体"/>
                <w:sz w:val="24"/>
              </w:rPr>
              <w:t>%</w:t>
            </w:r>
          </w:p>
        </w:tc>
      </w:tr>
      <w:tr w14:paraId="567B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5" w:type="dxa"/>
            <w:vAlign w:val="center"/>
          </w:tcPr>
          <w:p w14:paraId="5B7A9864">
            <w:pPr>
              <w:jc w:val="center"/>
              <w:rPr>
                <w:rFonts w:hint="eastAsia" w:ascii="宋体" w:hAnsi="宋体"/>
                <w:sz w:val="24"/>
              </w:rPr>
            </w:pPr>
            <w:r>
              <w:rPr>
                <w:rFonts w:hint="eastAsia" w:ascii="宋体" w:hAnsi="宋体"/>
                <w:sz w:val="24"/>
              </w:rPr>
              <w:t>最终土壤覆盖层为0.9米</w:t>
            </w:r>
            <w:r>
              <w:rPr>
                <w:rFonts w:ascii="宋体" w:hAnsi="宋体"/>
                <w:sz w:val="24"/>
              </w:rPr>
              <w:t>或更厚的粘土或土工膜覆盖系统和活性气体收集区</w:t>
            </w:r>
          </w:p>
        </w:tc>
        <w:tc>
          <w:tcPr>
            <w:tcW w:w="1743" w:type="dxa"/>
            <w:vAlign w:val="center"/>
          </w:tcPr>
          <w:p w14:paraId="0935228D">
            <w:pPr>
              <w:jc w:val="center"/>
              <w:rPr>
                <w:rFonts w:hint="eastAsia" w:ascii="宋体" w:hAnsi="宋体"/>
                <w:sz w:val="24"/>
              </w:rPr>
            </w:pPr>
            <w:r>
              <w:rPr>
                <w:rFonts w:hint="eastAsia" w:ascii="宋体" w:hAnsi="宋体"/>
                <w:sz w:val="24"/>
              </w:rPr>
              <w:t>9</w:t>
            </w:r>
            <w:r>
              <w:rPr>
                <w:rFonts w:ascii="宋体" w:hAnsi="宋体"/>
                <w:sz w:val="24"/>
              </w:rPr>
              <w:t>5</w:t>
            </w:r>
            <w:r>
              <w:rPr>
                <w:rFonts w:hint="eastAsia" w:ascii="宋体" w:hAnsi="宋体"/>
                <w:sz w:val="24"/>
              </w:rPr>
              <w:t>%</w:t>
            </w:r>
          </w:p>
        </w:tc>
      </w:tr>
    </w:tbl>
    <w:p w14:paraId="4FD7EDE5">
      <w:pPr>
        <w:spacing w:line="360" w:lineRule="auto"/>
        <w:jc w:val="center"/>
        <w:rPr>
          <w:rFonts w:hint="eastAsia" w:ascii="仿宋_GB2312" w:hAnsi="仿宋_GB2312" w:eastAsia="仿宋_GB2312" w:cs="仿宋_GB2312"/>
          <w:b/>
          <w:bCs/>
          <w:sz w:val="32"/>
          <w:szCs w:val="32"/>
        </w:rPr>
      </w:pPr>
    </w:p>
    <w:p w14:paraId="29CE5198">
      <w:pPr>
        <w:spacing w:line="360" w:lineRule="auto"/>
        <w:jc w:val="center"/>
        <w:rPr>
          <w:rFonts w:hint="eastAsia" w:ascii="仿宋_GB2312" w:hAnsi="仿宋_GB2312" w:eastAsia="仿宋_GB2312" w:cs="仿宋_GB2312"/>
          <w:b/>
          <w:bCs/>
          <w:sz w:val="32"/>
          <w:szCs w:val="32"/>
        </w:rPr>
      </w:pPr>
    </w:p>
    <w:p w14:paraId="6B1D012B">
      <w:pPr>
        <w:spacing w:line="360" w:lineRule="auto"/>
        <w:jc w:val="center"/>
        <w:rPr>
          <w:rFonts w:hint="eastAsia" w:ascii="仿宋_GB2312" w:hAnsi="仿宋_GB2312" w:eastAsia="仿宋_GB2312" w:cs="仿宋_GB2312"/>
          <w:b/>
          <w:bCs/>
          <w:sz w:val="32"/>
          <w:szCs w:val="32"/>
        </w:rPr>
      </w:pPr>
    </w:p>
    <w:p w14:paraId="52C2BD5D">
      <w:pPr>
        <w:spacing w:line="360" w:lineRule="auto"/>
        <w:jc w:val="center"/>
        <w:rPr>
          <w:rFonts w:hint="eastAsia" w:ascii="仿宋_GB2312" w:hAnsi="仿宋_GB2312" w:eastAsia="仿宋_GB2312" w:cs="仿宋_GB2312"/>
          <w:b/>
          <w:bCs/>
          <w:sz w:val="32"/>
          <w:szCs w:val="32"/>
        </w:rPr>
      </w:pPr>
    </w:p>
    <w:p w14:paraId="13E78476">
      <w:pPr>
        <w:spacing w:line="360" w:lineRule="auto"/>
        <w:jc w:val="center"/>
        <w:rPr>
          <w:rFonts w:hint="eastAsia" w:ascii="仿宋_GB2312" w:hAnsi="仿宋_GB2312" w:eastAsia="仿宋_GB2312" w:cs="仿宋_GB2312"/>
          <w:b/>
          <w:bCs/>
          <w:sz w:val="32"/>
          <w:szCs w:val="32"/>
        </w:rPr>
      </w:pPr>
    </w:p>
    <w:p w14:paraId="33D15705">
      <w:pPr>
        <w:spacing w:line="360" w:lineRule="auto"/>
        <w:jc w:val="center"/>
        <w:rPr>
          <w:rFonts w:hint="eastAsia" w:ascii="仿宋_GB2312" w:hAnsi="仿宋_GB2312" w:eastAsia="仿宋_GB2312" w:cs="仿宋_GB2312"/>
          <w:b/>
          <w:bCs/>
          <w:sz w:val="32"/>
          <w:szCs w:val="32"/>
        </w:rPr>
      </w:pPr>
    </w:p>
    <w:p w14:paraId="01041E7B">
      <w:pPr>
        <w:pStyle w:val="15"/>
        <w:rPr>
          <w:rFonts w:hint="eastAsia" w:ascii="仿宋_GB2312" w:hAnsi="仿宋_GB2312" w:eastAsia="仿宋_GB2312" w:cs="仿宋_GB2312"/>
          <w:b/>
          <w:bCs/>
          <w:sz w:val="32"/>
          <w:szCs w:val="32"/>
        </w:rPr>
      </w:pPr>
    </w:p>
    <w:p w14:paraId="161208FD">
      <w:pPr>
        <w:rPr>
          <w:rFonts w:hint="eastAsia" w:ascii="仿宋_GB2312" w:hAnsi="仿宋_GB2312" w:eastAsia="仿宋_GB2312" w:cs="仿宋_GB2312"/>
          <w:b/>
          <w:bCs/>
          <w:sz w:val="32"/>
          <w:szCs w:val="32"/>
        </w:rPr>
      </w:pPr>
    </w:p>
    <w:p w14:paraId="4CEF7D25">
      <w:pPr>
        <w:pStyle w:val="15"/>
        <w:rPr>
          <w:rFonts w:hint="eastAsia" w:ascii="仿宋_GB2312" w:hAnsi="仿宋_GB2312" w:eastAsia="仿宋_GB2312" w:cs="仿宋_GB2312"/>
          <w:b/>
          <w:bCs/>
          <w:sz w:val="32"/>
          <w:szCs w:val="32"/>
        </w:rPr>
      </w:pPr>
    </w:p>
    <w:p w14:paraId="1AA0D25E">
      <w:pPr>
        <w:rPr>
          <w:rFonts w:hint="eastAsia" w:ascii="仿宋_GB2312" w:hAnsi="仿宋_GB2312" w:eastAsia="仿宋_GB2312" w:cs="仿宋_GB2312"/>
          <w:b/>
          <w:bCs/>
          <w:sz w:val="32"/>
          <w:szCs w:val="32"/>
        </w:rPr>
      </w:pPr>
    </w:p>
    <w:p w14:paraId="26B31AD2">
      <w:pPr>
        <w:pStyle w:val="15"/>
        <w:rPr>
          <w:rFonts w:hint="eastAsia" w:ascii="仿宋_GB2312" w:hAnsi="仿宋_GB2312" w:eastAsia="仿宋_GB2312" w:cs="仿宋_GB2312"/>
          <w:b/>
          <w:bCs/>
          <w:sz w:val="32"/>
          <w:szCs w:val="32"/>
        </w:rPr>
      </w:pPr>
    </w:p>
    <w:p w14:paraId="4018A662"/>
    <w:p w14:paraId="0CB3CB02"/>
    <w:p w14:paraId="687FB130">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附表A.2 末端治理措施填埋气去除效率</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717"/>
        <w:gridCol w:w="1717"/>
        <w:gridCol w:w="2255"/>
        <w:gridCol w:w="2253"/>
      </w:tblGrid>
      <w:tr w14:paraId="0982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tcPr>
          <w:p w14:paraId="05BD77C0">
            <w:pPr>
              <w:pStyle w:val="18"/>
              <w:jc w:val="center"/>
              <w:rPr>
                <w:rFonts w:eastAsia="等线"/>
                <w:b/>
                <w:bCs/>
              </w:rPr>
            </w:pPr>
            <w:r>
              <w:rPr>
                <w:rFonts w:hint="eastAsia"/>
                <w:b/>
                <w:bCs/>
              </w:rPr>
              <w:t>末端处置设施类型</w:t>
            </w:r>
          </w:p>
        </w:tc>
        <w:tc>
          <w:tcPr>
            <w:tcW w:w="897" w:type="pct"/>
          </w:tcPr>
          <w:p w14:paraId="50A7B726">
            <w:pPr>
              <w:pStyle w:val="18"/>
              <w:jc w:val="center"/>
              <w:rPr>
                <w:rFonts w:eastAsia="等线"/>
                <w:b/>
                <w:bCs/>
              </w:rPr>
            </w:pPr>
            <w:r>
              <w:rPr>
                <w:rFonts w:hint="eastAsia" w:eastAsia="等线"/>
                <w:b/>
                <w:bCs/>
              </w:rPr>
              <w:t>适用条件</w:t>
            </w:r>
          </w:p>
        </w:tc>
        <w:tc>
          <w:tcPr>
            <w:tcW w:w="897" w:type="pct"/>
          </w:tcPr>
          <w:p w14:paraId="4D2A01B3">
            <w:pPr>
              <w:pStyle w:val="18"/>
              <w:jc w:val="center"/>
              <w:rPr>
                <w:rFonts w:eastAsia="等线"/>
                <w:b/>
                <w:bCs/>
              </w:rPr>
            </w:pPr>
            <w:r>
              <w:rPr>
                <w:rFonts w:hint="eastAsia" w:eastAsia="等线"/>
                <w:b/>
                <w:bCs/>
              </w:rPr>
              <w:t>甲烷去除效率（%）</w:t>
            </w:r>
          </w:p>
        </w:tc>
        <w:tc>
          <w:tcPr>
            <w:tcW w:w="1178" w:type="pct"/>
          </w:tcPr>
          <w:p w14:paraId="5F900226">
            <w:pPr>
              <w:pStyle w:val="18"/>
              <w:jc w:val="center"/>
              <w:rPr>
                <w:rFonts w:eastAsia="等线"/>
                <w:b/>
                <w:bCs/>
              </w:rPr>
            </w:pPr>
            <w:r>
              <w:rPr>
                <w:rFonts w:hint="eastAsia" w:eastAsia="等线"/>
                <w:b/>
                <w:bCs/>
              </w:rPr>
              <w:t>非甲烷总烃去除效率（%）</w:t>
            </w:r>
          </w:p>
        </w:tc>
        <w:tc>
          <w:tcPr>
            <w:tcW w:w="1177" w:type="pct"/>
          </w:tcPr>
          <w:p w14:paraId="32AF48A4">
            <w:pPr>
              <w:pStyle w:val="18"/>
              <w:jc w:val="center"/>
              <w:rPr>
                <w:rFonts w:eastAsia="等线"/>
                <w:b/>
                <w:bCs/>
              </w:rPr>
            </w:pPr>
            <w:r>
              <w:rPr>
                <w:rFonts w:hint="eastAsia" w:eastAsia="等线"/>
                <w:b/>
                <w:bCs/>
              </w:rPr>
              <w:t>备注说明</w:t>
            </w:r>
          </w:p>
        </w:tc>
      </w:tr>
      <w:tr w14:paraId="12C1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tcPr>
          <w:p w14:paraId="71F8980C">
            <w:pPr>
              <w:pStyle w:val="18"/>
              <w:rPr>
                <w:rFonts w:eastAsia="等线"/>
              </w:rPr>
            </w:pPr>
            <w:r>
              <w:rPr>
                <w:rFonts w:hint="eastAsia" w:ascii="Times New Roman" w:hAnsi="Times New Roman"/>
                <w:sz w:val="24"/>
              </w:rPr>
              <w:t>火炬燃烧</w:t>
            </w:r>
            <w:r>
              <w:rPr>
                <w:rFonts w:hint="eastAsia" w:ascii="Times New Roman" w:hAnsi="Times New Roman"/>
                <w:sz w:val="24"/>
                <w:vertAlign w:val="superscript"/>
              </w:rPr>
              <w:t>1</w:t>
            </w:r>
          </w:p>
        </w:tc>
        <w:tc>
          <w:tcPr>
            <w:tcW w:w="897" w:type="pct"/>
            <w:vAlign w:val="center"/>
          </w:tcPr>
          <w:p w14:paraId="68EE07EE">
            <w:pPr>
              <w:pStyle w:val="18"/>
              <w:rPr>
                <w:rFonts w:eastAsia="等线"/>
              </w:rPr>
            </w:pPr>
            <w:r>
              <w:rPr>
                <w:rFonts w:hint="eastAsia" w:ascii="Times New Roman" w:hAnsi="Times New Roman"/>
                <w:sz w:val="24"/>
              </w:rPr>
              <w:t>所有带有气体收集系统的垃圾填埋场</w:t>
            </w:r>
          </w:p>
        </w:tc>
        <w:tc>
          <w:tcPr>
            <w:tcW w:w="897" w:type="pct"/>
          </w:tcPr>
          <w:p w14:paraId="0EB3342B">
            <w:pPr>
              <w:pStyle w:val="18"/>
              <w:rPr>
                <w:rFonts w:eastAsia="等线"/>
              </w:rPr>
            </w:pPr>
            <w:r>
              <w:rPr>
                <w:rFonts w:hint="eastAsia" w:ascii="Times New Roman" w:hAnsi="Times New Roman"/>
                <w:sz w:val="24"/>
              </w:rPr>
              <w:t>9</w:t>
            </w:r>
            <w:r>
              <w:rPr>
                <w:rFonts w:ascii="Times New Roman" w:hAnsi="Times New Roman"/>
                <w:sz w:val="24"/>
              </w:rPr>
              <w:t>9</w:t>
            </w:r>
            <w:r>
              <w:rPr>
                <w:rFonts w:hint="eastAsia" w:ascii="Times New Roman" w:hAnsi="Times New Roman"/>
                <w:sz w:val="24"/>
              </w:rPr>
              <w:t>%</w:t>
            </w:r>
          </w:p>
        </w:tc>
        <w:tc>
          <w:tcPr>
            <w:tcW w:w="1178" w:type="pct"/>
            <w:vMerge w:val="restart"/>
          </w:tcPr>
          <w:p w14:paraId="0BE50F05">
            <w:pPr>
              <w:pStyle w:val="18"/>
              <w:rPr>
                <w:rFonts w:eastAsia="等线"/>
              </w:rPr>
            </w:pPr>
            <w:r>
              <w:rPr>
                <w:rFonts w:hint="eastAsia" w:eastAsia="等线"/>
              </w:rPr>
              <w:t>98%</w:t>
            </w:r>
          </w:p>
        </w:tc>
        <w:tc>
          <w:tcPr>
            <w:tcW w:w="1177" w:type="pct"/>
          </w:tcPr>
          <w:p w14:paraId="6D7DEB89">
            <w:pPr>
              <w:pStyle w:val="18"/>
              <w:rPr>
                <w:rFonts w:eastAsia="等线"/>
              </w:rPr>
            </w:pPr>
            <w:r>
              <w:rPr>
                <w:rFonts w:hint="eastAsia" w:ascii="Times New Roman" w:hAnsi="Times New Roman"/>
                <w:sz w:val="24"/>
              </w:rPr>
              <w:t>产生和排放新</w:t>
            </w:r>
            <w:r>
              <w:rPr>
                <w:rFonts w:ascii="Times New Roman" w:hAnsi="Times New Roman"/>
                <w:sz w:val="24"/>
              </w:rPr>
              <w:t>污染物(如</w:t>
            </w:r>
            <w:r>
              <w:rPr>
                <w:rFonts w:hint="eastAsia" w:ascii="Times New Roman" w:hAnsi="Times New Roman"/>
                <w:sz w:val="24"/>
              </w:rPr>
              <w:t>氮氧化物（</w:t>
            </w:r>
            <w:r>
              <w:rPr>
                <w:rFonts w:ascii="Times New Roman" w:hAnsi="Times New Roman"/>
                <w:sz w:val="24"/>
              </w:rPr>
              <w:t>Nox</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和一氧化碳（</w:t>
            </w:r>
            <w:r>
              <w:rPr>
                <w:rFonts w:ascii="Times New Roman" w:hAnsi="Times New Roman"/>
                <w:sz w:val="24"/>
              </w:rPr>
              <w:t>CO</w:t>
            </w:r>
            <w:r>
              <w:rPr>
                <w:rFonts w:hint="eastAsia" w:ascii="Times New Roman" w:hAnsi="Times New Roman"/>
                <w:sz w:val="24"/>
              </w:rPr>
              <w:t>）</w:t>
            </w:r>
            <w:r>
              <w:rPr>
                <w:rFonts w:ascii="Times New Roman" w:hAnsi="Times New Roman"/>
                <w:sz w:val="24"/>
              </w:rPr>
              <w:t>)。</w:t>
            </w:r>
          </w:p>
        </w:tc>
      </w:tr>
      <w:tr w14:paraId="530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30E9B11C">
            <w:pPr>
              <w:pStyle w:val="18"/>
              <w:rPr>
                <w:rFonts w:eastAsia="等线"/>
              </w:rPr>
            </w:pPr>
            <w:r>
              <w:rPr>
                <w:rFonts w:hint="eastAsia" w:ascii="Times New Roman" w:hAnsi="Times New Roman"/>
                <w:sz w:val="24"/>
              </w:rPr>
              <w:t>涡轮机</w:t>
            </w:r>
            <w:r>
              <w:rPr>
                <w:rFonts w:hint="eastAsia" w:ascii="Times New Roman" w:hAnsi="Times New Roman"/>
                <w:sz w:val="24"/>
                <w:vertAlign w:val="superscript"/>
              </w:rPr>
              <w:t>1</w:t>
            </w:r>
          </w:p>
        </w:tc>
        <w:tc>
          <w:tcPr>
            <w:tcW w:w="897" w:type="pct"/>
            <w:vMerge w:val="restart"/>
            <w:vAlign w:val="center"/>
          </w:tcPr>
          <w:p w14:paraId="103C4143">
            <w:pPr>
              <w:pStyle w:val="18"/>
              <w:rPr>
                <w:rFonts w:eastAsia="等线"/>
              </w:rPr>
            </w:pPr>
            <w:r>
              <w:rPr>
                <w:rFonts w:hint="eastAsia" w:ascii="Times New Roman" w:hAnsi="Times New Roman"/>
                <w:sz w:val="24"/>
              </w:rPr>
              <w:t>大型垃圾填埋场与气体收集系统</w:t>
            </w:r>
          </w:p>
        </w:tc>
        <w:tc>
          <w:tcPr>
            <w:tcW w:w="897" w:type="pct"/>
            <w:vAlign w:val="center"/>
          </w:tcPr>
          <w:p w14:paraId="72A062C1">
            <w:pPr>
              <w:pStyle w:val="18"/>
              <w:rPr>
                <w:rFonts w:eastAsia="等线"/>
              </w:rPr>
            </w:pPr>
            <w:r>
              <w:rPr>
                <w:rFonts w:hint="eastAsia" w:ascii="Times New Roman" w:hAnsi="Times New Roman"/>
                <w:sz w:val="24"/>
              </w:rPr>
              <w:t>9</w:t>
            </w:r>
            <w:r>
              <w:rPr>
                <w:rFonts w:ascii="Times New Roman" w:hAnsi="Times New Roman"/>
                <w:sz w:val="24"/>
              </w:rPr>
              <w:t>9</w:t>
            </w:r>
            <w:r>
              <w:rPr>
                <w:rFonts w:hint="eastAsia" w:ascii="Times New Roman" w:hAnsi="Times New Roman"/>
                <w:sz w:val="24"/>
              </w:rPr>
              <w:t>%</w:t>
            </w:r>
          </w:p>
        </w:tc>
        <w:tc>
          <w:tcPr>
            <w:tcW w:w="1178" w:type="pct"/>
            <w:vMerge w:val="continue"/>
          </w:tcPr>
          <w:p w14:paraId="0DF987E4">
            <w:pPr>
              <w:pStyle w:val="18"/>
              <w:rPr>
                <w:rFonts w:eastAsia="等线"/>
              </w:rPr>
            </w:pPr>
          </w:p>
        </w:tc>
        <w:tc>
          <w:tcPr>
            <w:tcW w:w="1177" w:type="pct"/>
            <w:vMerge w:val="restart"/>
          </w:tcPr>
          <w:p w14:paraId="38DF0062">
            <w:pPr>
              <w:pStyle w:val="18"/>
              <w:rPr>
                <w:rFonts w:ascii="Times New Roman" w:hAnsi="Times New Roman"/>
                <w:sz w:val="24"/>
              </w:rPr>
            </w:pPr>
            <w:r>
              <w:rPr>
                <w:rFonts w:hint="eastAsia" w:ascii="Times New Roman" w:hAnsi="Times New Roman"/>
                <w:sz w:val="24"/>
              </w:rPr>
              <w:t>产生和排放新</w:t>
            </w:r>
            <w:r>
              <w:rPr>
                <w:rFonts w:ascii="Times New Roman" w:hAnsi="Times New Roman"/>
                <w:sz w:val="24"/>
              </w:rPr>
              <w:t xml:space="preserve">污染物(如NOx </w:t>
            </w:r>
            <w:r>
              <w:rPr>
                <w:rFonts w:hint="eastAsia" w:ascii="Times New Roman" w:hAnsi="Times New Roman"/>
                <w:sz w:val="24"/>
              </w:rPr>
              <w:t>和</w:t>
            </w:r>
            <w:r>
              <w:rPr>
                <w:rFonts w:ascii="Times New Roman" w:hAnsi="Times New Roman"/>
                <w:sz w:val="24"/>
              </w:rPr>
              <w:t>CO)。</w:t>
            </w:r>
          </w:p>
          <w:p w14:paraId="5E1E7F2D">
            <w:pPr>
              <w:pStyle w:val="18"/>
              <w:rPr>
                <w:rFonts w:eastAsia="等线"/>
              </w:rPr>
            </w:pPr>
            <w:r>
              <w:rPr>
                <w:rFonts w:hint="eastAsia" w:ascii="Times New Roman" w:hAnsi="Times New Roman"/>
                <w:sz w:val="24"/>
              </w:rPr>
              <w:t>有潜力给垃圾填埋场带来收入效益。</w:t>
            </w:r>
          </w:p>
        </w:tc>
      </w:tr>
      <w:tr w14:paraId="24F7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03E73894">
            <w:pPr>
              <w:pStyle w:val="18"/>
              <w:rPr>
                <w:rFonts w:eastAsia="等线"/>
              </w:rPr>
            </w:pPr>
            <w:r>
              <w:rPr>
                <w:rFonts w:hint="eastAsia" w:ascii="Times New Roman" w:hAnsi="Times New Roman"/>
                <w:sz w:val="24"/>
              </w:rPr>
              <w:t>发动机</w:t>
            </w:r>
            <w:r>
              <w:rPr>
                <w:rFonts w:hint="eastAsia" w:ascii="Times New Roman" w:hAnsi="Times New Roman"/>
                <w:sz w:val="24"/>
                <w:vertAlign w:val="superscript"/>
              </w:rPr>
              <w:t>1</w:t>
            </w:r>
          </w:p>
        </w:tc>
        <w:tc>
          <w:tcPr>
            <w:tcW w:w="897" w:type="pct"/>
            <w:vMerge w:val="continue"/>
          </w:tcPr>
          <w:p w14:paraId="58724707">
            <w:pPr>
              <w:pStyle w:val="18"/>
              <w:rPr>
                <w:rFonts w:eastAsia="等线"/>
              </w:rPr>
            </w:pPr>
          </w:p>
        </w:tc>
        <w:tc>
          <w:tcPr>
            <w:tcW w:w="897" w:type="pct"/>
            <w:vAlign w:val="center"/>
          </w:tcPr>
          <w:p w14:paraId="331BB967">
            <w:pPr>
              <w:pStyle w:val="18"/>
              <w:rPr>
                <w:rFonts w:eastAsia="等线"/>
              </w:rPr>
            </w:pPr>
            <w:r>
              <w:rPr>
                <w:rFonts w:hint="eastAsia" w:ascii="Times New Roman" w:hAnsi="Times New Roman"/>
                <w:sz w:val="24"/>
              </w:rPr>
              <w:t>9</w:t>
            </w:r>
            <w:r>
              <w:rPr>
                <w:rFonts w:ascii="Times New Roman" w:hAnsi="Times New Roman"/>
                <w:sz w:val="24"/>
              </w:rPr>
              <w:t>6-98</w:t>
            </w:r>
            <w:r>
              <w:rPr>
                <w:rFonts w:hint="eastAsia" w:ascii="Times New Roman" w:hAnsi="Times New Roman"/>
                <w:sz w:val="24"/>
              </w:rPr>
              <w:t>%</w:t>
            </w:r>
          </w:p>
        </w:tc>
        <w:tc>
          <w:tcPr>
            <w:tcW w:w="1178" w:type="pct"/>
            <w:vMerge w:val="continue"/>
          </w:tcPr>
          <w:p w14:paraId="49A4606F">
            <w:pPr>
              <w:pStyle w:val="18"/>
              <w:rPr>
                <w:rFonts w:eastAsia="等线"/>
              </w:rPr>
            </w:pPr>
          </w:p>
        </w:tc>
        <w:tc>
          <w:tcPr>
            <w:tcW w:w="1177" w:type="pct"/>
            <w:vMerge w:val="continue"/>
          </w:tcPr>
          <w:p w14:paraId="42146F1F">
            <w:pPr>
              <w:pStyle w:val="18"/>
              <w:rPr>
                <w:rFonts w:eastAsia="等线"/>
              </w:rPr>
            </w:pPr>
          </w:p>
        </w:tc>
      </w:tr>
      <w:tr w14:paraId="0B8A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50C89230">
            <w:pPr>
              <w:pStyle w:val="18"/>
              <w:rPr>
                <w:rFonts w:eastAsia="等线"/>
              </w:rPr>
            </w:pPr>
            <w:r>
              <w:rPr>
                <w:rFonts w:hint="eastAsia" w:ascii="Times New Roman" w:hAnsi="Times New Roman"/>
                <w:sz w:val="24"/>
              </w:rPr>
              <w:t>微涡轮机</w:t>
            </w:r>
            <w:r>
              <w:rPr>
                <w:rFonts w:hint="eastAsia" w:ascii="Times New Roman" w:hAnsi="Times New Roman"/>
                <w:sz w:val="24"/>
                <w:vertAlign w:val="superscript"/>
              </w:rPr>
              <w:t>1</w:t>
            </w:r>
          </w:p>
        </w:tc>
        <w:tc>
          <w:tcPr>
            <w:tcW w:w="897" w:type="pct"/>
            <w:vMerge w:val="continue"/>
          </w:tcPr>
          <w:p w14:paraId="399D1BB9">
            <w:pPr>
              <w:pStyle w:val="18"/>
              <w:rPr>
                <w:rFonts w:eastAsia="等线"/>
              </w:rPr>
            </w:pPr>
          </w:p>
        </w:tc>
        <w:tc>
          <w:tcPr>
            <w:tcW w:w="897" w:type="pct"/>
            <w:vAlign w:val="center"/>
          </w:tcPr>
          <w:p w14:paraId="5B3D4B57">
            <w:pPr>
              <w:pStyle w:val="18"/>
              <w:rPr>
                <w:rFonts w:eastAsia="等线"/>
              </w:rPr>
            </w:pPr>
            <w:r>
              <w:rPr>
                <w:rFonts w:hint="eastAsia" w:ascii="Times New Roman" w:hAnsi="Times New Roman"/>
                <w:sz w:val="24"/>
              </w:rPr>
              <w:t>9</w:t>
            </w:r>
            <w:r>
              <w:rPr>
                <w:rFonts w:ascii="Times New Roman" w:hAnsi="Times New Roman"/>
                <w:sz w:val="24"/>
              </w:rPr>
              <w:t>9</w:t>
            </w:r>
            <w:r>
              <w:rPr>
                <w:rFonts w:hint="eastAsia" w:ascii="Times New Roman" w:hAnsi="Times New Roman"/>
                <w:sz w:val="24"/>
              </w:rPr>
              <w:t>%</w:t>
            </w:r>
          </w:p>
        </w:tc>
        <w:tc>
          <w:tcPr>
            <w:tcW w:w="1178" w:type="pct"/>
            <w:vMerge w:val="continue"/>
          </w:tcPr>
          <w:p w14:paraId="59803F37">
            <w:pPr>
              <w:pStyle w:val="18"/>
              <w:rPr>
                <w:rFonts w:eastAsia="等线"/>
              </w:rPr>
            </w:pPr>
          </w:p>
        </w:tc>
        <w:tc>
          <w:tcPr>
            <w:tcW w:w="1177" w:type="pct"/>
            <w:vMerge w:val="continue"/>
          </w:tcPr>
          <w:p w14:paraId="28060F6D">
            <w:pPr>
              <w:pStyle w:val="18"/>
              <w:rPr>
                <w:rFonts w:eastAsia="等线"/>
              </w:rPr>
            </w:pPr>
          </w:p>
        </w:tc>
      </w:tr>
      <w:tr w14:paraId="27AB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5F0545B0">
            <w:pPr>
              <w:pStyle w:val="18"/>
              <w:rPr>
                <w:rFonts w:eastAsia="等线"/>
              </w:rPr>
            </w:pPr>
            <w:r>
              <w:rPr>
                <w:rFonts w:hint="eastAsia" w:ascii="Times New Roman" w:hAnsi="Times New Roman"/>
                <w:sz w:val="24"/>
              </w:rPr>
              <w:t>小型发动机</w:t>
            </w:r>
            <w:r>
              <w:rPr>
                <w:rFonts w:hint="eastAsia" w:ascii="Times New Roman" w:hAnsi="Times New Roman"/>
                <w:sz w:val="24"/>
                <w:vertAlign w:val="superscript"/>
              </w:rPr>
              <w:t>1</w:t>
            </w:r>
          </w:p>
        </w:tc>
        <w:tc>
          <w:tcPr>
            <w:tcW w:w="897" w:type="pct"/>
            <w:vMerge w:val="continue"/>
          </w:tcPr>
          <w:p w14:paraId="684F5976">
            <w:pPr>
              <w:pStyle w:val="18"/>
              <w:rPr>
                <w:rFonts w:eastAsia="等线"/>
              </w:rPr>
            </w:pPr>
          </w:p>
        </w:tc>
        <w:tc>
          <w:tcPr>
            <w:tcW w:w="897" w:type="pct"/>
            <w:vAlign w:val="center"/>
          </w:tcPr>
          <w:p w14:paraId="4727EC9E">
            <w:pPr>
              <w:pStyle w:val="18"/>
              <w:rPr>
                <w:rFonts w:eastAsia="等线"/>
              </w:rPr>
            </w:pPr>
            <w:r>
              <w:rPr>
                <w:rFonts w:hint="eastAsia" w:ascii="Times New Roman" w:hAnsi="Times New Roman"/>
                <w:sz w:val="24"/>
              </w:rPr>
              <w:t>9</w:t>
            </w:r>
            <w:r>
              <w:rPr>
                <w:rFonts w:ascii="Times New Roman" w:hAnsi="Times New Roman"/>
                <w:sz w:val="24"/>
              </w:rPr>
              <w:t>6-98</w:t>
            </w:r>
            <w:r>
              <w:rPr>
                <w:rFonts w:hint="eastAsia" w:ascii="Times New Roman" w:hAnsi="Times New Roman"/>
                <w:sz w:val="24"/>
              </w:rPr>
              <w:t>%</w:t>
            </w:r>
          </w:p>
        </w:tc>
        <w:tc>
          <w:tcPr>
            <w:tcW w:w="1178" w:type="pct"/>
            <w:vMerge w:val="continue"/>
          </w:tcPr>
          <w:p w14:paraId="61AD40B0">
            <w:pPr>
              <w:pStyle w:val="18"/>
              <w:rPr>
                <w:rFonts w:eastAsia="等线"/>
              </w:rPr>
            </w:pPr>
          </w:p>
        </w:tc>
        <w:tc>
          <w:tcPr>
            <w:tcW w:w="1177" w:type="pct"/>
            <w:vMerge w:val="continue"/>
          </w:tcPr>
          <w:p w14:paraId="4E97913A">
            <w:pPr>
              <w:pStyle w:val="18"/>
              <w:rPr>
                <w:rFonts w:eastAsia="等线"/>
              </w:rPr>
            </w:pPr>
          </w:p>
        </w:tc>
      </w:tr>
      <w:tr w14:paraId="052E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723B8CE5">
            <w:pPr>
              <w:pStyle w:val="18"/>
              <w:rPr>
                <w:rFonts w:eastAsia="等线"/>
              </w:rPr>
            </w:pPr>
            <w:r>
              <w:rPr>
                <w:rFonts w:hint="eastAsia" w:ascii="Times New Roman" w:hAnsi="Times New Roman"/>
                <w:sz w:val="24"/>
              </w:rPr>
              <w:t>热电联产式发动机</w:t>
            </w:r>
            <w:r>
              <w:rPr>
                <w:rFonts w:hint="eastAsia" w:ascii="Times New Roman" w:hAnsi="Times New Roman"/>
                <w:sz w:val="24"/>
                <w:vertAlign w:val="superscript"/>
              </w:rPr>
              <w:t>1</w:t>
            </w:r>
          </w:p>
        </w:tc>
        <w:tc>
          <w:tcPr>
            <w:tcW w:w="897" w:type="pct"/>
            <w:vMerge w:val="continue"/>
          </w:tcPr>
          <w:p w14:paraId="719923F3">
            <w:pPr>
              <w:pStyle w:val="18"/>
              <w:rPr>
                <w:rFonts w:eastAsia="等线"/>
              </w:rPr>
            </w:pPr>
          </w:p>
        </w:tc>
        <w:tc>
          <w:tcPr>
            <w:tcW w:w="897" w:type="pct"/>
            <w:vAlign w:val="center"/>
          </w:tcPr>
          <w:p w14:paraId="1B051DBC">
            <w:pPr>
              <w:pStyle w:val="18"/>
              <w:rPr>
                <w:rFonts w:eastAsia="等线"/>
              </w:rPr>
            </w:pPr>
            <w:r>
              <w:rPr>
                <w:rFonts w:hint="eastAsia" w:ascii="Times New Roman" w:hAnsi="Times New Roman"/>
                <w:sz w:val="24"/>
              </w:rPr>
              <w:t>9</w:t>
            </w:r>
            <w:r>
              <w:rPr>
                <w:rFonts w:ascii="Times New Roman" w:hAnsi="Times New Roman"/>
                <w:sz w:val="24"/>
              </w:rPr>
              <w:t>6-98</w:t>
            </w:r>
            <w:r>
              <w:rPr>
                <w:rFonts w:hint="eastAsia" w:ascii="Times New Roman" w:hAnsi="Times New Roman"/>
                <w:sz w:val="24"/>
              </w:rPr>
              <w:t>%</w:t>
            </w:r>
          </w:p>
        </w:tc>
        <w:tc>
          <w:tcPr>
            <w:tcW w:w="1178" w:type="pct"/>
            <w:vMerge w:val="continue"/>
          </w:tcPr>
          <w:p w14:paraId="2E5283E6">
            <w:pPr>
              <w:pStyle w:val="18"/>
              <w:rPr>
                <w:rFonts w:eastAsia="等线"/>
              </w:rPr>
            </w:pPr>
          </w:p>
        </w:tc>
        <w:tc>
          <w:tcPr>
            <w:tcW w:w="1177" w:type="pct"/>
            <w:vMerge w:val="continue"/>
          </w:tcPr>
          <w:p w14:paraId="2E9AD6C9">
            <w:pPr>
              <w:pStyle w:val="18"/>
              <w:rPr>
                <w:rFonts w:eastAsia="等线"/>
              </w:rPr>
            </w:pPr>
          </w:p>
        </w:tc>
      </w:tr>
      <w:tr w14:paraId="75C4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6CBF60DE">
            <w:pPr>
              <w:pStyle w:val="18"/>
              <w:rPr>
                <w:rFonts w:ascii="Times New Roman" w:hAnsi="Times New Roman" w:eastAsia="等线"/>
                <w:sz w:val="24"/>
              </w:rPr>
            </w:pPr>
            <w:r>
              <w:rPr>
                <w:rFonts w:hint="eastAsia" w:ascii="Times New Roman" w:hAnsi="Times New Roman"/>
                <w:sz w:val="24"/>
              </w:rPr>
              <w:t>直接使用（锅炉、加热器等）</w:t>
            </w:r>
            <w:r>
              <w:rPr>
                <w:rFonts w:hint="eastAsia" w:ascii="Times New Roman" w:hAnsi="Times New Roman"/>
                <w:sz w:val="24"/>
                <w:vertAlign w:val="superscript"/>
              </w:rPr>
              <w:t>1</w:t>
            </w:r>
          </w:p>
        </w:tc>
        <w:tc>
          <w:tcPr>
            <w:tcW w:w="897" w:type="pct"/>
            <w:vMerge w:val="continue"/>
          </w:tcPr>
          <w:p w14:paraId="04F40DED">
            <w:pPr>
              <w:pStyle w:val="18"/>
              <w:rPr>
                <w:rFonts w:eastAsia="等线"/>
              </w:rPr>
            </w:pPr>
          </w:p>
        </w:tc>
        <w:tc>
          <w:tcPr>
            <w:tcW w:w="897" w:type="pct"/>
            <w:vAlign w:val="center"/>
          </w:tcPr>
          <w:p w14:paraId="21C6F885">
            <w:pPr>
              <w:pStyle w:val="18"/>
              <w:rPr>
                <w:rFonts w:ascii="Times New Roman" w:hAnsi="Times New Roman" w:eastAsia="等线"/>
                <w:sz w:val="24"/>
              </w:rPr>
            </w:pPr>
            <w:r>
              <w:rPr>
                <w:rFonts w:hint="eastAsia" w:ascii="Times New Roman" w:hAnsi="Times New Roman" w:eastAsia="等线"/>
                <w:sz w:val="24"/>
              </w:rPr>
              <w:t>因不同应用场景而异</w:t>
            </w:r>
          </w:p>
        </w:tc>
        <w:tc>
          <w:tcPr>
            <w:tcW w:w="1178" w:type="pct"/>
            <w:vMerge w:val="continue"/>
          </w:tcPr>
          <w:p w14:paraId="6938BB5D">
            <w:pPr>
              <w:pStyle w:val="18"/>
              <w:rPr>
                <w:rFonts w:eastAsia="等线"/>
              </w:rPr>
            </w:pPr>
          </w:p>
        </w:tc>
        <w:tc>
          <w:tcPr>
            <w:tcW w:w="1177" w:type="pct"/>
            <w:vMerge w:val="continue"/>
          </w:tcPr>
          <w:p w14:paraId="4078CFB4">
            <w:pPr>
              <w:pStyle w:val="18"/>
              <w:rPr>
                <w:rFonts w:eastAsia="等线"/>
              </w:rPr>
            </w:pPr>
          </w:p>
        </w:tc>
      </w:tr>
      <w:tr w14:paraId="2A4D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210308D3">
            <w:pPr>
              <w:pStyle w:val="18"/>
              <w:rPr>
                <w:rFonts w:ascii="Times New Roman" w:hAnsi="Times New Roman" w:eastAsia="等线"/>
                <w:sz w:val="24"/>
              </w:rPr>
            </w:pPr>
            <w:r>
              <w:rPr>
                <w:rFonts w:hint="eastAsia" w:ascii="Times New Roman" w:hAnsi="Times New Roman"/>
                <w:sz w:val="24"/>
              </w:rPr>
              <w:t>生物保护层</w:t>
            </w:r>
          </w:p>
        </w:tc>
        <w:tc>
          <w:tcPr>
            <w:tcW w:w="897" w:type="pct"/>
            <w:vAlign w:val="center"/>
          </w:tcPr>
          <w:p w14:paraId="0C765541">
            <w:pPr>
              <w:pStyle w:val="18"/>
              <w:rPr>
                <w:rFonts w:eastAsia="等线"/>
              </w:rPr>
            </w:pPr>
            <w:r>
              <w:rPr>
                <w:rFonts w:hint="eastAsia" w:ascii="Times New Roman" w:hAnsi="Times New Roman"/>
                <w:sz w:val="24"/>
              </w:rPr>
              <w:t>所有垃圾填埋场</w:t>
            </w:r>
          </w:p>
        </w:tc>
        <w:tc>
          <w:tcPr>
            <w:tcW w:w="897" w:type="pct"/>
            <w:vAlign w:val="center"/>
          </w:tcPr>
          <w:p w14:paraId="32B166D8">
            <w:pPr>
              <w:pStyle w:val="18"/>
              <w:rPr>
                <w:rFonts w:ascii="Times New Roman" w:hAnsi="Times New Roman" w:eastAsia="等线"/>
                <w:sz w:val="24"/>
              </w:rPr>
            </w:pPr>
            <w:r>
              <w:rPr>
                <w:rFonts w:hint="eastAsia" w:ascii="Times New Roman" w:hAnsi="Times New Roman" w:eastAsia="等线"/>
                <w:sz w:val="24"/>
              </w:rPr>
              <w:t>32%</w:t>
            </w:r>
          </w:p>
        </w:tc>
        <w:tc>
          <w:tcPr>
            <w:tcW w:w="1178" w:type="pct"/>
          </w:tcPr>
          <w:p w14:paraId="5AC34A34">
            <w:pPr>
              <w:pStyle w:val="18"/>
              <w:rPr>
                <w:rFonts w:eastAsia="等线"/>
              </w:rPr>
            </w:pPr>
          </w:p>
        </w:tc>
        <w:tc>
          <w:tcPr>
            <w:tcW w:w="1177" w:type="pct"/>
          </w:tcPr>
          <w:p w14:paraId="11028FA6">
            <w:pPr>
              <w:pStyle w:val="18"/>
              <w:rPr>
                <w:rFonts w:eastAsia="等线"/>
              </w:rPr>
            </w:pPr>
          </w:p>
        </w:tc>
      </w:tr>
      <w:tr w14:paraId="2D15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7D889DAF">
            <w:pPr>
              <w:pStyle w:val="18"/>
              <w:rPr>
                <w:rFonts w:ascii="Times New Roman" w:hAnsi="Times New Roman" w:eastAsia="等线"/>
                <w:sz w:val="24"/>
              </w:rPr>
            </w:pPr>
            <w:r>
              <w:rPr>
                <w:rFonts w:hint="eastAsia" w:ascii="Times New Roman" w:hAnsi="Times New Roman"/>
                <w:sz w:val="24"/>
              </w:rPr>
              <w:t>生物过滤床</w:t>
            </w:r>
          </w:p>
        </w:tc>
        <w:tc>
          <w:tcPr>
            <w:tcW w:w="897" w:type="pct"/>
            <w:vAlign w:val="center"/>
          </w:tcPr>
          <w:p w14:paraId="7D163D61">
            <w:pPr>
              <w:pStyle w:val="18"/>
              <w:rPr>
                <w:rFonts w:eastAsia="等线"/>
              </w:rPr>
            </w:pPr>
            <w:r>
              <w:rPr>
                <w:rFonts w:hint="eastAsia" w:ascii="Times New Roman" w:hAnsi="Times New Roman" w:cs="Times New Roman"/>
                <w:sz w:val="24"/>
                <w:szCs w:val="24"/>
                <w:shd w:val="clear"/>
              </w:rPr>
              <w:t>设有被动或无气体收集系统的堆填区</w:t>
            </w:r>
          </w:p>
        </w:tc>
        <w:tc>
          <w:tcPr>
            <w:tcW w:w="897" w:type="pct"/>
            <w:vAlign w:val="center"/>
          </w:tcPr>
          <w:p w14:paraId="593DA75A">
            <w:pPr>
              <w:pStyle w:val="18"/>
              <w:rPr>
                <w:rFonts w:ascii="Times New Roman" w:hAnsi="Times New Roman" w:eastAsia="等线"/>
                <w:sz w:val="24"/>
              </w:rPr>
            </w:pPr>
            <w:r>
              <w:rPr>
                <w:rFonts w:hint="eastAsia" w:ascii="Times New Roman" w:hAnsi="Times New Roman" w:eastAsia="等线"/>
                <w:sz w:val="24"/>
              </w:rPr>
              <w:t>19%</w:t>
            </w:r>
          </w:p>
        </w:tc>
        <w:tc>
          <w:tcPr>
            <w:tcW w:w="1178" w:type="pct"/>
          </w:tcPr>
          <w:p w14:paraId="2D49FDF0">
            <w:pPr>
              <w:pStyle w:val="18"/>
              <w:rPr>
                <w:rFonts w:eastAsia="等线"/>
              </w:rPr>
            </w:pPr>
          </w:p>
        </w:tc>
        <w:tc>
          <w:tcPr>
            <w:tcW w:w="1177" w:type="pct"/>
          </w:tcPr>
          <w:p w14:paraId="0A9FBCA7">
            <w:pPr>
              <w:pStyle w:val="18"/>
              <w:rPr>
                <w:rFonts w:eastAsia="等线"/>
              </w:rPr>
            </w:pPr>
            <w:r>
              <w:rPr>
                <w:rFonts w:hint="eastAsia" w:eastAsia="等线"/>
              </w:rPr>
              <w:t>成本低</w:t>
            </w:r>
          </w:p>
        </w:tc>
      </w:tr>
    </w:tbl>
    <w:p w14:paraId="1B6E418C">
      <w:pPr>
        <w:pStyle w:val="18"/>
      </w:pPr>
      <w:r>
        <w:rPr>
          <w:rFonts w:hint="eastAsia"/>
        </w:rPr>
        <w:t>注</w:t>
      </w:r>
      <w:r>
        <w:rPr>
          <w:rFonts w:hint="eastAsia"/>
          <w:vertAlign w:val="superscript"/>
        </w:rPr>
        <w:t>1</w:t>
      </w:r>
      <w:r>
        <w:rPr>
          <w:rFonts w:hint="eastAsia"/>
        </w:rPr>
        <w:t>：在进入本表格中的末端治理措施前，需</w:t>
      </w:r>
      <w:r>
        <w:t>去除水分、颗粒和其他杂质</w:t>
      </w:r>
      <w:r>
        <w:rPr>
          <w:rFonts w:hint="eastAsia"/>
        </w:rPr>
        <w:t>（如</w:t>
      </w:r>
      <w:r>
        <w:t>硫化氢（H</w:t>
      </w:r>
      <w:r>
        <w:rPr>
          <w:vertAlign w:val="subscript"/>
        </w:rPr>
        <w:t>2</w:t>
      </w:r>
      <w:r>
        <w:t>S）和硅氧烷</w:t>
      </w:r>
      <w:r>
        <w:rPr>
          <w:rFonts w:hint="eastAsia"/>
        </w:rPr>
        <w:t>）。</w:t>
      </w:r>
    </w:p>
    <w:bookmarkEnd w:id="17"/>
    <w:bookmarkEnd w:id="18"/>
    <w:p w14:paraId="6FD54CD5">
      <w:pPr>
        <w:pStyle w:val="182"/>
        <w:spacing w:after="528" w:afterLines="220"/>
        <w:rPr>
          <w:rFonts w:hint="eastAsia"/>
        </w:rPr>
      </w:pPr>
    </w:p>
    <w:sectPr>
      <w:headerReference r:id="rId23" w:type="default"/>
      <w:footerReference r:id="rId25" w:type="default"/>
      <w:headerReference r:id="rId24" w:type="even"/>
      <w:footerReference r:id="rId26" w:type="even"/>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4021">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6FBB">
    <w:pPr>
      <w:pStyle w:val="57"/>
    </w:pPr>
    <w:r>
      <w:fldChar w:fldCharType="begin"/>
    </w:r>
    <w:r>
      <w:instrText xml:space="preserve">PAGE   \* MERGEFORMAT</w:instrText>
    </w:r>
    <w:r>
      <w:fldChar w:fldCharType="separate"/>
    </w:r>
    <w:r>
      <w:rPr>
        <w:lang w:val="zh-CN"/>
      </w:rPr>
      <w:t>5</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2BC76">
    <w:pPr>
      <w:pStyle w:val="56"/>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8D26">
    <w:pPr>
      <w:pStyle w:val="2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2221">
    <w:pPr>
      <w:pStyle w:val="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9A986">
    <w:pPr>
      <w:pStyle w:val="57"/>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5A43">
    <w:pPr>
      <w:pStyle w:val="56"/>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61113">
    <w:pPr>
      <w:pStyle w:val="57"/>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6EB9">
    <w:pPr>
      <w:pStyle w:val="56"/>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064B">
    <w:pPr>
      <w:pStyle w:val="57"/>
    </w:pPr>
    <w:r>
      <w:fldChar w:fldCharType="begin"/>
    </w:r>
    <w:r>
      <w:instrText xml:space="preserve">PAGE   \* MERGEFORMAT</w:instrText>
    </w:r>
    <w:r>
      <w:fldChar w:fldCharType="separate"/>
    </w:r>
    <w:r>
      <w:rPr>
        <w:lang w:val="zh-CN"/>
      </w:rP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0A6C5">
    <w:pPr>
      <w:pStyle w:val="56"/>
    </w:pPr>
    <w:r>
      <w:fldChar w:fldCharType="begin"/>
    </w:r>
    <w:r>
      <w:instrText xml:space="preserve"> PAGE   \* MERGEFORMAT \* MERGEFORMAT </w:instrText>
    </w:r>
    <w:r>
      <w:fldChar w:fldCharType="separate"/>
    </w:r>
    <w: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619D3">
    <w:pPr>
      <w:pStyle w:val="21"/>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BCCF">
    <w:pPr>
      <w:pStyle w:val="66"/>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B123">
    <w:pPr>
      <w:pStyle w:val="67"/>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84D1">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BA04">
    <w:pPr>
      <w:pStyle w:val="21"/>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692E">
    <w:pPr>
      <w:pStyle w:val="66"/>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8652">
    <w:pPr>
      <w:pStyle w:val="67"/>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B9BB">
    <w:pPr>
      <w:pStyle w:val="66"/>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26B89">
    <w:pPr>
      <w:pStyle w:val="67"/>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19A6D">
    <w:pPr>
      <w:pStyle w:val="66"/>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CC0A6">
    <w:pPr>
      <w:pStyle w:val="67"/>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DA53E"/>
    <w:multiLevelType w:val="singleLevel"/>
    <w:tmpl w:val="EFBDA53E"/>
    <w:lvl w:ilvl="0" w:tentative="0">
      <w:start w:val="1"/>
      <w:numFmt w:val="lowerLetter"/>
      <w:suff w:val="space"/>
      <w:lvlText w:val="%1)"/>
      <w:lvlJc w:val="left"/>
    </w:lvl>
  </w:abstractNum>
  <w:abstractNum w:abstractNumId="1">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7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AC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346"/>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6"/>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57DDA"/>
    <w:rsid w:val="0016088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558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43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3F4"/>
    <w:rsid w:val="00202AA4"/>
    <w:rsid w:val="002031F7"/>
    <w:rsid w:val="002040E6"/>
    <w:rsid w:val="0020527B"/>
    <w:rsid w:val="00205F2C"/>
    <w:rsid w:val="00210B15"/>
    <w:rsid w:val="00213D18"/>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8CB"/>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6FF"/>
    <w:rsid w:val="00317988"/>
    <w:rsid w:val="003221B4"/>
    <w:rsid w:val="0032258D"/>
    <w:rsid w:val="00322E62"/>
    <w:rsid w:val="00324D13"/>
    <w:rsid w:val="00324EDD"/>
    <w:rsid w:val="003315C7"/>
    <w:rsid w:val="003331E4"/>
    <w:rsid w:val="00336C64"/>
    <w:rsid w:val="00337162"/>
    <w:rsid w:val="0034194F"/>
    <w:rsid w:val="00344605"/>
    <w:rsid w:val="003474AA"/>
    <w:rsid w:val="00350A10"/>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2954"/>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C7C"/>
    <w:rsid w:val="0044083F"/>
    <w:rsid w:val="00441AE7"/>
    <w:rsid w:val="00445574"/>
    <w:rsid w:val="004467FB"/>
    <w:rsid w:val="00446C7A"/>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276"/>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89B"/>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A9"/>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68C"/>
    <w:rsid w:val="00562D83"/>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4CB"/>
    <w:rsid w:val="006015CE"/>
    <w:rsid w:val="00604784"/>
    <w:rsid w:val="00606419"/>
    <w:rsid w:val="00607D29"/>
    <w:rsid w:val="00612952"/>
    <w:rsid w:val="006138FE"/>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3556"/>
    <w:rsid w:val="006C37BE"/>
    <w:rsid w:val="006C5A62"/>
    <w:rsid w:val="006C5D68"/>
    <w:rsid w:val="006C6976"/>
    <w:rsid w:val="006C6DD0"/>
    <w:rsid w:val="006D04EA"/>
    <w:rsid w:val="006D16C4"/>
    <w:rsid w:val="006D3E96"/>
    <w:rsid w:val="006D4515"/>
    <w:rsid w:val="006D4BB1"/>
    <w:rsid w:val="006D6593"/>
    <w:rsid w:val="006E6C76"/>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E00"/>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732"/>
    <w:rsid w:val="007A7FFA"/>
    <w:rsid w:val="007B04EB"/>
    <w:rsid w:val="007B0D4F"/>
    <w:rsid w:val="007B5A3D"/>
    <w:rsid w:val="007B5B95"/>
    <w:rsid w:val="007B6032"/>
    <w:rsid w:val="007B68EA"/>
    <w:rsid w:val="007B7453"/>
    <w:rsid w:val="007C0375"/>
    <w:rsid w:val="007C2D89"/>
    <w:rsid w:val="007C4593"/>
    <w:rsid w:val="007C5309"/>
    <w:rsid w:val="007C6069"/>
    <w:rsid w:val="007C76A3"/>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660"/>
    <w:rsid w:val="00823A9F"/>
    <w:rsid w:val="00823C85"/>
    <w:rsid w:val="00825138"/>
    <w:rsid w:val="008269DD"/>
    <w:rsid w:val="00830621"/>
    <w:rsid w:val="0083348C"/>
    <w:rsid w:val="008373D3"/>
    <w:rsid w:val="00840617"/>
    <w:rsid w:val="00840F84"/>
    <w:rsid w:val="008429FE"/>
    <w:rsid w:val="00842A47"/>
    <w:rsid w:val="00843C13"/>
    <w:rsid w:val="008454F8"/>
    <w:rsid w:val="0085016A"/>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5C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6B80"/>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0FF4"/>
    <w:rsid w:val="00A55BD6"/>
    <w:rsid w:val="00A55D50"/>
    <w:rsid w:val="00A57142"/>
    <w:rsid w:val="00A6162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95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654A"/>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840"/>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949"/>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EED"/>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209"/>
    <w:rsid w:val="00D20737"/>
    <w:rsid w:val="00D21E81"/>
    <w:rsid w:val="00D223DE"/>
    <w:rsid w:val="00D25646"/>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AD0"/>
    <w:rsid w:val="00D66846"/>
    <w:rsid w:val="00D675FB"/>
    <w:rsid w:val="00D71F25"/>
    <w:rsid w:val="00D72A9C"/>
    <w:rsid w:val="00D77031"/>
    <w:rsid w:val="00D8376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461"/>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65E3"/>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893"/>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36F"/>
    <w:rsid w:val="00ED3AD2"/>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ED12E9"/>
    <w:rsid w:val="09A80FE4"/>
    <w:rsid w:val="109E0A4B"/>
    <w:rsid w:val="24D875CC"/>
    <w:rsid w:val="28DD039D"/>
    <w:rsid w:val="387A1423"/>
    <w:rsid w:val="3E962C89"/>
    <w:rsid w:val="434F3F3C"/>
    <w:rsid w:val="43FC7DF1"/>
    <w:rsid w:val="489B7043"/>
    <w:rsid w:val="4A2861F7"/>
    <w:rsid w:val="60C5514D"/>
    <w:rsid w:val="652561BA"/>
    <w:rsid w:val="703679C3"/>
    <w:rsid w:val="F6F39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1"/>
    <w:qFormat/>
    <w:uiPriority w:val="0"/>
    <w:pPr>
      <w:keepNext/>
      <w:keepLines/>
      <w:spacing w:before="260" w:after="260" w:line="416" w:lineRule="auto"/>
      <w:outlineLvl w:val="2"/>
    </w:pPr>
    <w:rPr>
      <w:b/>
      <w:bCs/>
      <w:sz w:val="32"/>
      <w:szCs w:val="32"/>
    </w:rPr>
  </w:style>
  <w:style w:type="paragraph" w:styleId="6">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2">
    <w:name w:val="_Style 1"/>
    <w:basedOn w:val="1"/>
    <w:qFormat/>
    <w:uiPriority w:val="0"/>
    <w:pPr>
      <w:spacing w:line="481" w:lineRule="atLeast"/>
      <w:ind w:firstLine="623"/>
      <w:textAlignment w:val="baseline"/>
    </w:pPr>
    <w:rPr>
      <w:rFonts w:eastAsia="仿宋_GB2312"/>
      <w:color w:val="000000"/>
      <w:sz w:val="31"/>
    </w:rPr>
  </w:style>
  <w:style w:type="paragraph" w:styleId="12">
    <w:name w:val="toc 7"/>
    <w:basedOn w:val="1"/>
    <w:next w:val="1"/>
    <w:autoRedefine/>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link w:val="235"/>
    <w:semiHidden/>
    <w:unhideWhenUsed/>
    <w:qFormat/>
    <w:uiPriority w:val="99"/>
    <w:pPr>
      <w:jc w:val="left"/>
    </w:pPr>
  </w:style>
  <w:style w:type="paragraph" w:styleId="15">
    <w:name w:val="Body Text"/>
    <w:basedOn w:val="1"/>
    <w:next w:val="1"/>
    <w:link w:val="91"/>
    <w:qFormat/>
    <w:uiPriority w:val="0"/>
    <w:pPr>
      <w:spacing w:after="120"/>
    </w:p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Plain Text"/>
    <w:basedOn w:val="1"/>
    <w:link w:val="242"/>
    <w:unhideWhenUsed/>
    <w:qFormat/>
    <w:uiPriority w:val="99"/>
    <w:pPr>
      <w:suppressAutoHyphens/>
      <w:autoSpaceDE w:val="0"/>
      <w:autoSpaceDN w:val="0"/>
      <w:spacing w:line="240" w:lineRule="auto"/>
    </w:pPr>
    <w:rPr>
      <w:rFonts w:ascii="宋体"/>
      <w:szCs w:val="24"/>
    </w:rPr>
  </w:style>
  <w:style w:type="paragraph" w:styleId="19">
    <w:name w:val="Balloon Text"/>
    <w:basedOn w:val="1"/>
    <w:link w:val="50"/>
    <w:semiHidden/>
    <w:unhideWhenUsed/>
    <w:qFormat/>
    <w:uiPriority w:val="99"/>
    <w:rPr>
      <w:sz w:val="18"/>
      <w:szCs w:val="18"/>
    </w:rPr>
  </w:style>
  <w:style w:type="paragraph" w:styleId="20">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8"/>
    <w:qFormat/>
    <w:uiPriority w:val="99"/>
    <w:pPr>
      <w:tabs>
        <w:tab w:val="center" w:pos="4153"/>
        <w:tab w:val="right" w:pos="8306"/>
      </w:tabs>
      <w:adjustRightInd/>
      <w:snapToGrid w:val="0"/>
      <w:jc w:val="center"/>
    </w:pPr>
    <w:rPr>
      <w:sz w:val="18"/>
      <w:szCs w:val="18"/>
    </w:rPr>
  </w:style>
  <w:style w:type="paragraph" w:styleId="22">
    <w:name w:val="toc 1"/>
    <w:basedOn w:val="1"/>
    <w:next w:val="1"/>
    <w:autoRedefine/>
    <w:unhideWhenUsed/>
    <w:qFormat/>
    <w:uiPriority w:val="39"/>
    <w:rPr>
      <w:rFonts w:ascii="宋体"/>
    </w:rPr>
  </w:style>
  <w:style w:type="paragraph" w:styleId="23">
    <w:name w:val="toc 4"/>
    <w:basedOn w:val="1"/>
    <w:next w:val="1"/>
    <w:autoRedefine/>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autoRedefine/>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autoRedefine/>
    <w:unhideWhenUsed/>
    <w:uiPriority w:val="39"/>
    <w:pPr>
      <w:tabs>
        <w:tab w:val="right" w:leader="dot" w:pos="9344"/>
      </w:tabs>
      <w:spacing w:line="300" w:lineRule="exact"/>
      <w:ind w:left="210"/>
    </w:pPr>
    <w:rPr>
      <w:rFonts w:ascii="宋体"/>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paragraph" w:styleId="29">
    <w:name w:val="annotation subject"/>
    <w:basedOn w:val="14"/>
    <w:next w:val="14"/>
    <w:link w:val="236"/>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3"/>
    <w:qFormat/>
    <w:uiPriority w:val="0"/>
    <w:rPr>
      <w:rFonts w:ascii="Times New Roman" w:hAnsi="Times New Roman" w:eastAsia="宋体" w:cs="Times New Roman"/>
      <w:b/>
      <w:bCs/>
      <w:kern w:val="44"/>
      <w:sz w:val="44"/>
      <w:szCs w:val="44"/>
    </w:rPr>
  </w:style>
  <w:style w:type="character" w:customStyle="1" w:styleId="40">
    <w:name w:val="标题 2 字符"/>
    <w:link w:val="4"/>
    <w:qFormat/>
    <w:uiPriority w:val="0"/>
    <w:rPr>
      <w:rFonts w:ascii="Arial" w:hAnsi="Arial" w:eastAsia="黑体" w:cs="Times New Roman"/>
      <w:b/>
      <w:bCs/>
      <w:sz w:val="32"/>
      <w:szCs w:val="32"/>
    </w:rPr>
  </w:style>
  <w:style w:type="character" w:customStyle="1" w:styleId="41">
    <w:name w:val="标题 3 字符"/>
    <w:link w:val="5"/>
    <w:qFormat/>
    <w:uiPriority w:val="0"/>
    <w:rPr>
      <w:rFonts w:ascii="Times New Roman" w:hAnsi="Times New Roman" w:eastAsia="宋体" w:cs="Times New Roman"/>
      <w:b/>
      <w:bCs/>
      <w:sz w:val="32"/>
      <w:szCs w:val="32"/>
    </w:rPr>
  </w:style>
  <w:style w:type="character" w:customStyle="1" w:styleId="42">
    <w:name w:val="标题 4 字符"/>
    <w:link w:val="6"/>
    <w:qFormat/>
    <w:uiPriority w:val="0"/>
    <w:rPr>
      <w:rFonts w:ascii="Arial" w:hAnsi="Arial" w:eastAsia="黑体" w:cs="Times New Roman"/>
      <w:b/>
      <w:bCs/>
      <w:sz w:val="28"/>
      <w:szCs w:val="28"/>
    </w:rPr>
  </w:style>
  <w:style w:type="character" w:customStyle="1" w:styleId="43">
    <w:name w:val="标题 5 字符"/>
    <w:link w:val="7"/>
    <w:qFormat/>
    <w:uiPriority w:val="0"/>
    <w:rPr>
      <w:rFonts w:ascii="Times New Roman" w:hAnsi="Times New Roman" w:eastAsia="宋体" w:cs="Times New Roman"/>
      <w:b/>
      <w:bCs/>
      <w:sz w:val="28"/>
      <w:szCs w:val="28"/>
    </w:rPr>
  </w:style>
  <w:style w:type="character" w:customStyle="1" w:styleId="44">
    <w:name w:val="标题 6 字符"/>
    <w:link w:val="8"/>
    <w:qFormat/>
    <w:uiPriority w:val="0"/>
    <w:rPr>
      <w:rFonts w:ascii="Arial" w:hAnsi="Arial" w:eastAsia="黑体" w:cs="Times New Roman"/>
      <w:b/>
      <w:bCs/>
      <w:sz w:val="24"/>
      <w:szCs w:val="24"/>
    </w:rPr>
  </w:style>
  <w:style w:type="character" w:customStyle="1" w:styleId="45">
    <w:name w:val="标题 7 字符"/>
    <w:link w:val="9"/>
    <w:qFormat/>
    <w:uiPriority w:val="0"/>
    <w:rPr>
      <w:rFonts w:ascii="Times New Roman" w:hAnsi="Times New Roman" w:eastAsia="宋体" w:cs="Times New Roman"/>
      <w:b/>
      <w:bCs/>
      <w:sz w:val="24"/>
      <w:szCs w:val="24"/>
    </w:rPr>
  </w:style>
  <w:style w:type="character" w:customStyle="1" w:styleId="46">
    <w:name w:val="标题 8 字符"/>
    <w:link w:val="10"/>
    <w:qFormat/>
    <w:uiPriority w:val="0"/>
    <w:rPr>
      <w:rFonts w:ascii="Arial" w:hAnsi="Arial" w:eastAsia="黑体" w:cs="Times New Roman"/>
      <w:sz w:val="24"/>
      <w:szCs w:val="24"/>
    </w:rPr>
  </w:style>
  <w:style w:type="character" w:customStyle="1" w:styleId="47">
    <w:name w:val="标题 9 字符"/>
    <w:link w:val="11"/>
    <w:qFormat/>
    <w:uiPriority w:val="0"/>
    <w:rPr>
      <w:rFonts w:ascii="Arial" w:hAnsi="Arial" w:eastAsia="黑体" w:cs="Times New Roman"/>
      <w:szCs w:val="21"/>
    </w:rPr>
  </w:style>
  <w:style w:type="character" w:customStyle="1" w:styleId="48">
    <w:name w:val="页眉 字符"/>
    <w:link w:val="21"/>
    <w:qFormat/>
    <w:uiPriority w:val="99"/>
    <w:rPr>
      <w:rFonts w:ascii="Times New Roman" w:hAnsi="Times New Roman" w:eastAsia="宋体" w:cs="Times New Roman"/>
      <w:sz w:val="18"/>
      <w:szCs w:val="18"/>
    </w:rPr>
  </w:style>
  <w:style w:type="character" w:customStyle="1" w:styleId="49">
    <w:name w:val="页脚 字符"/>
    <w:link w:val="20"/>
    <w:qFormat/>
    <w:uiPriority w:val="99"/>
    <w:rPr>
      <w:rFonts w:ascii="宋体" w:hAnsi="Times New Roman" w:eastAsia="宋体" w:cs="Times New Roman"/>
      <w:sz w:val="18"/>
      <w:szCs w:val="18"/>
    </w:rPr>
  </w:style>
  <w:style w:type="character" w:customStyle="1" w:styleId="50">
    <w:name w:val="批注框文本 字符"/>
    <w:link w:val="19"/>
    <w:semiHidden/>
    <w:qFormat/>
    <w:uiPriority w:val="99"/>
    <w:rPr>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28"/>
    <w:qFormat/>
    <w:uiPriority w:val="0"/>
    <w:rPr>
      <w:rFonts w:ascii="Arial" w:hAnsi="Arial" w:eastAsia="宋体" w:cs="Arial"/>
      <w:b/>
      <w:bCs/>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5"/>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4"/>
    <w:semiHidden/>
    <w:qFormat/>
    <w:uiPriority w:val="0"/>
    <w:rPr>
      <w:rFonts w:ascii="宋体" w:hAnsi="Times New Roman" w:eastAsia="宋体" w:cs="Times New Roman"/>
      <w:sz w:val="18"/>
      <w:szCs w:val="18"/>
    </w:rPr>
  </w:style>
  <w:style w:type="paragraph" w:customStyle="1" w:styleId="105">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uiPriority w:val="0"/>
    <w:pPr>
      <w:numPr>
        <w:ilvl w:val="3"/>
        <w:numId w:val="20"/>
      </w:numPr>
      <w:adjustRightInd/>
      <w:spacing w:line="240" w:lineRule="auto"/>
    </w:pPr>
    <w:rPr>
      <w:rFonts w:ascii="宋体" w:hAnsi="宋体"/>
      <w:szCs w:val="24"/>
    </w:rPr>
  </w:style>
  <w:style w:type="paragraph" w:customStyle="1" w:styleId="124">
    <w:name w:val="发布部门"/>
    <w:next w:val="61"/>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uiPriority w:val="0"/>
    <w:pPr>
      <w:outlineLvl w:val="5"/>
    </w:pPr>
  </w:style>
  <w:style w:type="paragraph" w:customStyle="1" w:styleId="136">
    <w:name w:val="附录图"/>
    <w:next w:val="61"/>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uiPriority w:val="0"/>
    <w:pPr>
      <w:autoSpaceDN w:val="0"/>
      <w:outlineLvl w:val="2"/>
    </w:pPr>
    <w:rPr>
      <w:rFonts w:ascii="宋体" w:hAnsi="宋体" w:eastAsia="宋体"/>
    </w:rPr>
  </w:style>
  <w:style w:type="character" w:customStyle="1" w:styleId="141">
    <w:name w:val="个人答复风格"/>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uiPriority w:val="0"/>
    <w:pPr>
      <w:adjustRightInd/>
      <w:spacing w:line="240" w:lineRule="auto"/>
      <w:jc w:val="left"/>
    </w:pPr>
    <w:rPr>
      <w:bCs/>
      <w:iCs/>
    </w:rPr>
  </w:style>
  <w:style w:type="paragraph" w:customStyle="1" w:styleId="148">
    <w:name w:val="目录 31"/>
    <w:basedOn w:val="1"/>
    <w:next w:val="1"/>
    <w:autoRedefine/>
    <w:semiHidden/>
    <w:uiPriority w:val="0"/>
    <w:pPr>
      <w:spacing w:line="240" w:lineRule="auto"/>
    </w:pPr>
    <w:rPr>
      <w:rFonts w:ascii="宋体" w:hAnsi="宋体"/>
      <w:iCs/>
    </w:rPr>
  </w:style>
  <w:style w:type="paragraph" w:customStyle="1" w:styleId="149">
    <w:name w:val="目录 41"/>
    <w:basedOn w:val="1"/>
    <w:next w:val="1"/>
    <w:autoRedefine/>
    <w:semiHidden/>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5">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2"/>
    <w:semiHidden/>
    <w:qFormat/>
    <w:uiPriority w:val="99"/>
    <w:rPr>
      <w:color w:val="808080"/>
    </w:rPr>
  </w:style>
  <w:style w:type="paragraph" w:customStyle="1" w:styleId="192">
    <w:name w:val="标准文件_二级项2"/>
    <w:basedOn w:val="61"/>
    <w:qFormat/>
    <w:uiPriority w:val="0"/>
    <w:pPr>
      <w:numPr>
        <w:ilvl w:val="1"/>
        <w:numId w:val="21"/>
      </w:numPr>
      <w:ind w:left="1271" w:hanging="420" w:firstLineChars="0"/>
    </w:pPr>
  </w:style>
  <w:style w:type="paragraph" w:customStyle="1" w:styleId="193">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frame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next w:val="61"/>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qFormat/>
    <w:uiPriority w:val="0"/>
    <w:rPr>
      <w:rFonts w:ascii="黑体" w:eastAsia="黑体"/>
      <w:spacing w:val="85"/>
      <w:w w:val="100"/>
      <w:position w:val="3"/>
      <w:sz w:val="28"/>
      <w:szCs w:val="28"/>
    </w:rPr>
  </w:style>
  <w:style w:type="character" w:customStyle="1" w:styleId="235">
    <w:name w:val="批注文字 字符"/>
    <w:basedOn w:val="32"/>
    <w:link w:val="14"/>
    <w:semiHidden/>
    <w:qFormat/>
    <w:uiPriority w:val="99"/>
    <w:rPr>
      <w:kern w:val="2"/>
      <w:sz w:val="21"/>
      <w:szCs w:val="21"/>
    </w:rPr>
  </w:style>
  <w:style w:type="character" w:customStyle="1" w:styleId="236">
    <w:name w:val="批注主题 字符"/>
    <w:basedOn w:val="235"/>
    <w:link w:val="29"/>
    <w:semiHidden/>
    <w:uiPriority w:val="99"/>
    <w:rPr>
      <w:b/>
      <w:bCs/>
      <w:kern w:val="2"/>
      <w:sz w:val="21"/>
      <w:szCs w:val="21"/>
    </w:rPr>
  </w:style>
  <w:style w:type="paragraph" w:customStyle="1" w:styleId="23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列表段落1"/>
    <w:basedOn w:val="1"/>
    <w:qFormat/>
    <w:uiPriority w:val="99"/>
    <w:pPr>
      <w:ind w:firstLine="420"/>
    </w:pPr>
  </w:style>
  <w:style w:type="table" w:customStyle="1" w:styleId="239">
    <w:name w:val="网格型浅色1"/>
    <w:basedOn w:val="30"/>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240">
    <w:name w:val="正文四号"/>
    <w:basedOn w:val="1"/>
    <w:qFormat/>
    <w:uiPriority w:val="99"/>
    <w:pPr>
      <w:spacing w:line="600" w:lineRule="exact"/>
      <w:ind w:firstLine="200"/>
      <w:jc w:val="left"/>
    </w:pPr>
    <w:rPr>
      <w:rFonts w:eastAsia="仿宋_GB2312"/>
      <w:sz w:val="28"/>
      <w:szCs w:val="28"/>
    </w:rPr>
  </w:style>
  <w:style w:type="paragraph" w:customStyle="1" w:styleId="241">
    <w:name w:val="000正文样式"/>
    <w:basedOn w:val="1"/>
    <w:qFormat/>
    <w:uiPriority w:val="0"/>
    <w:pPr>
      <w:spacing w:line="620" w:lineRule="exact"/>
    </w:pPr>
    <w:rPr>
      <w:rFonts w:ascii="仿宋_GB2312" w:hAnsi="宋体" w:eastAsia="仿宋_GB2312" w:cstheme="minorBidi"/>
      <w:sz w:val="32"/>
      <w:szCs w:val="32"/>
    </w:rPr>
  </w:style>
  <w:style w:type="character" w:customStyle="1" w:styleId="242">
    <w:name w:val="纯文本 字符"/>
    <w:basedOn w:val="32"/>
    <w:link w:val="18"/>
    <w:qFormat/>
    <w:uiPriority w:val="99"/>
    <w:rPr>
      <w:rFonts w:ascii="宋体" w:hAnsi="Calibri"/>
      <w:kern w:val="2"/>
      <w:sz w:val="21"/>
      <w:szCs w:val="24"/>
    </w:rPr>
  </w:style>
  <w:style w:type="paragraph" w:customStyle="1" w:styleId="243">
    <w:name w:val="Revision"/>
    <w:hidden/>
    <w:unhideWhenUsed/>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glossaryDocument" Target="glossary/document.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0.png"/><Relationship Id="rId36" Type="http://schemas.openxmlformats.org/officeDocument/2006/relationships/image" Target="media/image9.png"/><Relationship Id="rId35" Type="http://schemas.openxmlformats.org/officeDocument/2006/relationships/image" Target="media/image8.png"/><Relationship Id="rId34" Type="http://schemas.openxmlformats.org/officeDocument/2006/relationships/image" Target="media/image7.png"/><Relationship Id="rId33" Type="http://schemas.openxmlformats.org/officeDocument/2006/relationships/image" Target="media/image6.png"/><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72F4FE3A5242C98876936A4D5A7CDD"/>
        <w:style w:val=""/>
        <w:category>
          <w:name w:val="常规"/>
          <w:gallery w:val="placeholder"/>
        </w:category>
        <w:types>
          <w:type w:val="bbPlcHdr"/>
        </w:types>
        <w:behaviors>
          <w:behavior w:val="content"/>
        </w:behaviors>
        <w:description w:val=""/>
        <w:guid w:val="{393FDA10-800D-41B1-A2C0-45E5DBD84985}"/>
      </w:docPartPr>
      <w:docPartBody>
        <w:p w14:paraId="020959C6">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73"/>
    <w:rsid w:val="001107B9"/>
    <w:rsid w:val="00160883"/>
    <w:rsid w:val="002B08CB"/>
    <w:rsid w:val="00356643"/>
    <w:rsid w:val="0039219E"/>
    <w:rsid w:val="003C2954"/>
    <w:rsid w:val="00450C54"/>
    <w:rsid w:val="004C2276"/>
    <w:rsid w:val="0056212E"/>
    <w:rsid w:val="00665AA1"/>
    <w:rsid w:val="006E6C76"/>
    <w:rsid w:val="00CE7399"/>
    <w:rsid w:val="00D84D73"/>
    <w:rsid w:val="00E45E4C"/>
    <w:rsid w:val="00E85299"/>
    <w:rsid w:val="00FD1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72F4FE3A5242C98876936A4D5A7CDD"/>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17</Pages>
  <Words>5645</Words>
  <Characters>6429</Characters>
  <Lines>307</Lines>
  <Paragraphs>268</Paragraphs>
  <TotalTime>14</TotalTime>
  <ScaleCrop>false</ScaleCrop>
  <LinksUpToDate>false</LinksUpToDate>
  <CharactersWithSpaces>6688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2021-07-15T17:25:00Z</dcterms:created>
  <dc:creator>54257</dc:creator>
  <dc:description>&lt;config cover="true" show_menu="true" version="1.0.0" doctype="SDKXY"&gt;_x000d_
&lt;/config&gt;</dc:description>
  <cp:lastModifiedBy>牛牛</cp:lastModifiedBy>
  <cp:lastPrinted>2021-02-02T16:22:00Z</cp:lastPrinted>
  <dcterms:modified xsi:type="dcterms:W3CDTF">2026-04-24T01:35:36Z</dcterms:modified>
  <dc:title>团体标准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eyJoZGlkIjoiNjgwNzk2YmQyNmJlMDFmNTEyNzAyZTM1ZjQ5NDk5MWIiLCJ1c2VySWQiOiI4ODI4NTQxNjcifQ==</vt:lpwstr>
  </property>
  <property fmtid="{D5CDD505-2E9C-101B-9397-08002B2CF9AE}" pid="16" name="KSOProductBuildVer">
    <vt:lpwstr>2052-12.1.0.24657</vt:lpwstr>
  </property>
  <property fmtid="{D5CDD505-2E9C-101B-9397-08002B2CF9AE}" pid="17" name="ICV">
    <vt:lpwstr>63B4D10C4A4B77750084E56903F1A063_43</vt:lpwstr>
  </property>
</Properties>
</file>