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5F02" w14:textId="77777777" w:rsidR="00865461" w:rsidRDefault="00865461">
      <w:pPr>
        <w:wordWrap w:val="0"/>
        <w:jc w:val="center"/>
        <w:rPr>
          <w:rFonts w:ascii="方正小标宋简体" w:eastAsia="方正小标宋简体" w:hAnsi="方正小标宋简体" w:cs="方正小标宋简体" w:hint="eastAsia"/>
          <w:sz w:val="36"/>
          <w:szCs w:val="36"/>
        </w:rPr>
      </w:pPr>
    </w:p>
    <w:p w14:paraId="05B59D6E" w14:textId="77777777" w:rsidR="00865461" w:rsidRDefault="00865461">
      <w:pPr>
        <w:wordWrap w:val="0"/>
        <w:jc w:val="center"/>
        <w:rPr>
          <w:rFonts w:ascii="方正小标宋简体" w:eastAsia="方正小标宋简体" w:hAnsi="方正小标宋简体" w:cs="方正小标宋简体" w:hint="eastAsia"/>
          <w:sz w:val="36"/>
          <w:szCs w:val="36"/>
        </w:rPr>
      </w:pPr>
    </w:p>
    <w:p w14:paraId="2365464D" w14:textId="77777777" w:rsidR="00865461" w:rsidRDefault="00865461">
      <w:pPr>
        <w:wordWrap w:val="0"/>
        <w:jc w:val="center"/>
        <w:rPr>
          <w:rFonts w:ascii="方正小标宋简体" w:eastAsia="方正小标宋简体" w:hAnsi="方正小标宋简体" w:cs="方正小标宋简体" w:hint="eastAsia"/>
          <w:sz w:val="36"/>
          <w:szCs w:val="36"/>
        </w:rPr>
      </w:pPr>
    </w:p>
    <w:p w14:paraId="7F46BA6E" w14:textId="77777777" w:rsidR="00865461" w:rsidRDefault="00000000">
      <w:pPr>
        <w:wordWrap w:val="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污水处理温室气体排放环境影响评价指南（试行）</w:t>
      </w:r>
    </w:p>
    <w:p w14:paraId="576B1295" w14:textId="77777777" w:rsidR="00865461" w:rsidRDefault="00000000">
      <w:pPr>
        <w:wordWrap w:val="0"/>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（征求意见稿）</w:t>
      </w:r>
    </w:p>
    <w:p w14:paraId="41B4CB73" w14:textId="77777777" w:rsidR="00865461" w:rsidRDefault="00000000">
      <w:pPr>
        <w:wordWrap w:val="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编制说明</w:t>
      </w:r>
    </w:p>
    <w:p w14:paraId="4FEDD524" w14:textId="77777777" w:rsidR="00865461" w:rsidRDefault="00865461">
      <w:pPr>
        <w:widowControl/>
        <w:ind w:firstLineChars="200" w:firstLine="480"/>
        <w:jc w:val="left"/>
        <w:rPr>
          <w:rFonts w:ascii="宋体" w:eastAsia="宋体" w:hAnsi="宋体" w:cs="宋体" w:hint="eastAsia"/>
          <w:kern w:val="0"/>
          <w:lang w:bidi="ar"/>
        </w:rPr>
      </w:pPr>
    </w:p>
    <w:p w14:paraId="7216A22A" w14:textId="77777777" w:rsidR="00865461" w:rsidRDefault="00865461">
      <w:pPr>
        <w:widowControl/>
        <w:ind w:firstLineChars="200" w:firstLine="480"/>
        <w:jc w:val="left"/>
        <w:rPr>
          <w:rFonts w:ascii="宋体" w:eastAsia="宋体" w:hAnsi="宋体" w:cs="宋体" w:hint="eastAsia"/>
          <w:kern w:val="0"/>
          <w:lang w:bidi="ar"/>
        </w:rPr>
      </w:pPr>
    </w:p>
    <w:p w14:paraId="69580829" w14:textId="77777777" w:rsidR="00865461" w:rsidRDefault="00865461">
      <w:pPr>
        <w:widowControl/>
        <w:ind w:firstLineChars="200" w:firstLine="480"/>
        <w:jc w:val="left"/>
        <w:rPr>
          <w:rFonts w:ascii="宋体" w:eastAsia="宋体" w:hAnsi="宋体" w:cs="宋体" w:hint="eastAsia"/>
          <w:kern w:val="0"/>
          <w:lang w:bidi="ar"/>
        </w:rPr>
      </w:pPr>
    </w:p>
    <w:p w14:paraId="713E041A" w14:textId="77777777" w:rsidR="00865461" w:rsidRDefault="00865461">
      <w:pPr>
        <w:widowControl/>
        <w:ind w:firstLineChars="200" w:firstLine="480"/>
        <w:jc w:val="left"/>
        <w:rPr>
          <w:rFonts w:ascii="宋体" w:eastAsia="宋体" w:hAnsi="宋体" w:cs="宋体" w:hint="eastAsia"/>
          <w:kern w:val="0"/>
          <w:lang w:bidi="ar"/>
        </w:rPr>
      </w:pPr>
    </w:p>
    <w:p w14:paraId="73305945" w14:textId="77777777" w:rsidR="00865461" w:rsidRDefault="00865461">
      <w:pPr>
        <w:widowControl/>
        <w:ind w:firstLineChars="200" w:firstLine="480"/>
        <w:jc w:val="left"/>
        <w:rPr>
          <w:rFonts w:ascii="宋体" w:eastAsia="宋体" w:hAnsi="宋体" w:cs="宋体" w:hint="eastAsia"/>
          <w:kern w:val="0"/>
          <w:lang w:bidi="ar"/>
        </w:rPr>
      </w:pPr>
    </w:p>
    <w:p w14:paraId="20DDA7C6" w14:textId="77777777" w:rsidR="00865461" w:rsidRDefault="00865461">
      <w:pPr>
        <w:widowControl/>
        <w:ind w:firstLineChars="200" w:firstLine="480"/>
        <w:jc w:val="left"/>
        <w:rPr>
          <w:rFonts w:ascii="宋体" w:eastAsia="宋体" w:hAnsi="宋体" w:cs="宋体" w:hint="eastAsia"/>
          <w:kern w:val="0"/>
          <w:lang w:bidi="ar"/>
        </w:rPr>
      </w:pPr>
    </w:p>
    <w:p w14:paraId="727A2C92" w14:textId="77777777" w:rsidR="00865461" w:rsidRDefault="00865461">
      <w:pPr>
        <w:widowControl/>
        <w:ind w:firstLineChars="200" w:firstLine="480"/>
        <w:jc w:val="left"/>
        <w:rPr>
          <w:rFonts w:ascii="宋体" w:eastAsia="宋体" w:hAnsi="宋体" w:cs="宋体" w:hint="eastAsia"/>
          <w:kern w:val="0"/>
          <w:lang w:bidi="ar"/>
        </w:rPr>
      </w:pPr>
    </w:p>
    <w:p w14:paraId="540CCE7B" w14:textId="77777777" w:rsidR="00865461" w:rsidRDefault="00865461">
      <w:pPr>
        <w:widowControl/>
        <w:ind w:firstLineChars="200" w:firstLine="480"/>
        <w:jc w:val="left"/>
        <w:rPr>
          <w:rFonts w:ascii="宋体" w:eastAsia="宋体" w:hAnsi="宋体" w:cs="宋体" w:hint="eastAsia"/>
          <w:kern w:val="0"/>
          <w:lang w:bidi="ar"/>
        </w:rPr>
      </w:pPr>
    </w:p>
    <w:p w14:paraId="0A5A1ED3" w14:textId="77777777" w:rsidR="00865461" w:rsidRDefault="00865461">
      <w:pPr>
        <w:widowControl/>
        <w:ind w:firstLineChars="200" w:firstLine="480"/>
        <w:jc w:val="left"/>
        <w:rPr>
          <w:rFonts w:ascii="宋体" w:eastAsia="宋体" w:hAnsi="宋体" w:cs="宋体" w:hint="eastAsia"/>
          <w:kern w:val="0"/>
          <w:lang w:bidi="ar"/>
        </w:rPr>
      </w:pPr>
    </w:p>
    <w:p w14:paraId="3E5D4BD6" w14:textId="77777777" w:rsidR="00865461" w:rsidRDefault="00865461">
      <w:pPr>
        <w:widowControl/>
        <w:ind w:firstLineChars="200" w:firstLine="480"/>
        <w:jc w:val="left"/>
        <w:rPr>
          <w:rFonts w:ascii="宋体" w:eastAsia="宋体" w:hAnsi="宋体" w:cs="宋体" w:hint="eastAsia"/>
          <w:kern w:val="0"/>
          <w:lang w:bidi="ar"/>
        </w:rPr>
      </w:pPr>
    </w:p>
    <w:p w14:paraId="1C3319A6" w14:textId="77777777" w:rsidR="00865461" w:rsidRDefault="00865461">
      <w:pPr>
        <w:widowControl/>
        <w:ind w:firstLineChars="200" w:firstLine="480"/>
        <w:jc w:val="left"/>
        <w:rPr>
          <w:rFonts w:ascii="宋体" w:eastAsia="宋体" w:hAnsi="宋体" w:cs="宋体" w:hint="eastAsia"/>
          <w:kern w:val="0"/>
          <w:lang w:bidi="ar"/>
        </w:rPr>
      </w:pPr>
    </w:p>
    <w:p w14:paraId="6F6BC507" w14:textId="77777777" w:rsidR="00865461" w:rsidRDefault="00865461">
      <w:pPr>
        <w:widowControl/>
        <w:ind w:firstLineChars="200" w:firstLine="480"/>
        <w:jc w:val="left"/>
        <w:rPr>
          <w:rFonts w:ascii="宋体" w:eastAsia="宋体" w:hAnsi="宋体" w:cs="宋体" w:hint="eastAsia"/>
          <w:kern w:val="0"/>
          <w:lang w:bidi="ar"/>
        </w:rPr>
      </w:pPr>
    </w:p>
    <w:p w14:paraId="14728193" w14:textId="77777777" w:rsidR="00865461" w:rsidRDefault="00865461">
      <w:pPr>
        <w:widowControl/>
        <w:ind w:firstLineChars="200" w:firstLine="480"/>
        <w:jc w:val="left"/>
        <w:rPr>
          <w:rFonts w:ascii="宋体" w:eastAsia="宋体" w:hAnsi="宋体" w:cs="宋体" w:hint="eastAsia"/>
          <w:kern w:val="0"/>
          <w:lang w:bidi="ar"/>
        </w:rPr>
      </w:pPr>
    </w:p>
    <w:p w14:paraId="07E1AAC4" w14:textId="77777777" w:rsidR="00865461" w:rsidRDefault="00865461">
      <w:pPr>
        <w:widowControl/>
        <w:ind w:firstLineChars="200" w:firstLine="480"/>
        <w:jc w:val="left"/>
        <w:rPr>
          <w:rFonts w:ascii="宋体" w:eastAsia="宋体" w:hAnsi="宋体" w:cs="宋体" w:hint="eastAsia"/>
          <w:kern w:val="0"/>
          <w:lang w:bidi="ar"/>
        </w:rPr>
      </w:pPr>
    </w:p>
    <w:p w14:paraId="7760C3D1" w14:textId="77777777" w:rsidR="00865461" w:rsidRDefault="00865461">
      <w:pPr>
        <w:widowControl/>
        <w:ind w:firstLineChars="200" w:firstLine="480"/>
        <w:jc w:val="left"/>
        <w:rPr>
          <w:rFonts w:ascii="宋体" w:eastAsia="宋体" w:hAnsi="宋体" w:cs="宋体" w:hint="eastAsia"/>
          <w:kern w:val="0"/>
          <w:lang w:bidi="ar"/>
        </w:rPr>
      </w:pPr>
    </w:p>
    <w:p w14:paraId="564525FB" w14:textId="77777777" w:rsidR="00865461" w:rsidRDefault="00865461">
      <w:pPr>
        <w:widowControl/>
        <w:ind w:firstLineChars="200" w:firstLine="480"/>
        <w:jc w:val="left"/>
        <w:rPr>
          <w:rFonts w:ascii="宋体" w:eastAsia="宋体" w:hAnsi="宋体" w:cs="宋体" w:hint="eastAsia"/>
          <w:kern w:val="0"/>
          <w:lang w:bidi="ar"/>
        </w:rPr>
      </w:pPr>
    </w:p>
    <w:p w14:paraId="35CEEE2B" w14:textId="77777777" w:rsidR="00865461" w:rsidRDefault="00865461">
      <w:pPr>
        <w:widowControl/>
        <w:ind w:firstLineChars="200" w:firstLine="480"/>
        <w:jc w:val="left"/>
        <w:rPr>
          <w:rFonts w:ascii="宋体" w:eastAsia="宋体" w:hAnsi="宋体" w:cs="宋体" w:hint="eastAsia"/>
          <w:kern w:val="0"/>
          <w:lang w:bidi="ar"/>
        </w:rPr>
      </w:pPr>
    </w:p>
    <w:p w14:paraId="5E93B53F" w14:textId="77777777" w:rsidR="00865461" w:rsidRDefault="00865461">
      <w:pPr>
        <w:widowControl/>
        <w:ind w:firstLineChars="200" w:firstLine="480"/>
        <w:jc w:val="left"/>
        <w:rPr>
          <w:rFonts w:ascii="宋体" w:eastAsia="宋体" w:hAnsi="宋体" w:cs="宋体" w:hint="eastAsia"/>
          <w:kern w:val="0"/>
          <w:lang w:bidi="ar"/>
        </w:rPr>
      </w:pPr>
    </w:p>
    <w:p w14:paraId="639D129E" w14:textId="77777777" w:rsidR="00865461" w:rsidRDefault="00865461">
      <w:pPr>
        <w:widowControl/>
        <w:ind w:firstLineChars="200" w:firstLine="480"/>
        <w:jc w:val="left"/>
        <w:rPr>
          <w:rFonts w:ascii="宋体" w:eastAsia="宋体" w:hAnsi="宋体" w:cs="宋体" w:hint="eastAsia"/>
          <w:kern w:val="0"/>
          <w:lang w:bidi="ar"/>
        </w:rPr>
      </w:pPr>
    </w:p>
    <w:p w14:paraId="1BE02459" w14:textId="77777777" w:rsidR="00865461" w:rsidRDefault="00865461">
      <w:pPr>
        <w:widowControl/>
        <w:ind w:firstLineChars="200" w:firstLine="480"/>
        <w:jc w:val="left"/>
        <w:rPr>
          <w:rFonts w:ascii="宋体" w:eastAsia="宋体" w:hAnsi="宋体" w:cs="宋体" w:hint="eastAsia"/>
          <w:kern w:val="0"/>
          <w:lang w:bidi="ar"/>
        </w:rPr>
      </w:pPr>
    </w:p>
    <w:p w14:paraId="00DF21DC" w14:textId="77777777" w:rsidR="00865461" w:rsidRDefault="00865461">
      <w:pPr>
        <w:widowControl/>
        <w:ind w:firstLineChars="200" w:firstLine="480"/>
        <w:jc w:val="left"/>
        <w:rPr>
          <w:rFonts w:ascii="宋体" w:eastAsia="宋体" w:hAnsi="宋体" w:cs="宋体" w:hint="eastAsia"/>
          <w:kern w:val="0"/>
          <w:lang w:bidi="ar"/>
        </w:rPr>
      </w:pPr>
    </w:p>
    <w:p w14:paraId="0B2298E4" w14:textId="77777777" w:rsidR="00865461" w:rsidRDefault="00865461">
      <w:pPr>
        <w:widowControl/>
        <w:ind w:firstLineChars="200" w:firstLine="480"/>
        <w:jc w:val="left"/>
        <w:rPr>
          <w:rFonts w:ascii="宋体" w:eastAsia="宋体" w:hAnsi="宋体" w:cs="宋体" w:hint="eastAsia"/>
          <w:kern w:val="0"/>
          <w:lang w:bidi="ar"/>
        </w:rPr>
      </w:pPr>
    </w:p>
    <w:p w14:paraId="49501D7F" w14:textId="77777777" w:rsidR="00865461" w:rsidRDefault="00865461">
      <w:pPr>
        <w:widowControl/>
        <w:ind w:firstLineChars="200" w:firstLine="480"/>
        <w:jc w:val="left"/>
        <w:rPr>
          <w:rFonts w:ascii="宋体" w:eastAsia="宋体" w:hAnsi="宋体" w:cs="宋体" w:hint="eastAsia"/>
          <w:kern w:val="0"/>
          <w:lang w:bidi="ar"/>
        </w:rPr>
      </w:pPr>
    </w:p>
    <w:p w14:paraId="21887F19" w14:textId="77777777" w:rsidR="00865461" w:rsidRDefault="00865461">
      <w:pPr>
        <w:widowControl/>
        <w:ind w:firstLineChars="200" w:firstLine="480"/>
        <w:jc w:val="left"/>
        <w:rPr>
          <w:rFonts w:ascii="宋体" w:eastAsia="宋体" w:hAnsi="宋体" w:cs="宋体" w:hint="eastAsia"/>
          <w:kern w:val="0"/>
          <w:lang w:bidi="ar"/>
        </w:rPr>
      </w:pPr>
    </w:p>
    <w:p w14:paraId="0C8097BC" w14:textId="77777777" w:rsidR="00865461" w:rsidRDefault="00000000">
      <w:pPr>
        <w:widowControl/>
        <w:ind w:firstLineChars="200" w:firstLine="480"/>
        <w:jc w:val="left"/>
      </w:pPr>
      <w:r>
        <w:rPr>
          <w:rFonts w:ascii="宋体" w:eastAsia="宋体" w:hAnsi="宋体" w:cs="宋体"/>
          <w:kern w:val="0"/>
          <w:lang w:bidi="ar"/>
        </w:rPr>
        <w:lastRenderedPageBreak/>
        <w:t>为规范污水处理行业</w:t>
      </w:r>
      <w:r>
        <w:rPr>
          <w:rFonts w:ascii="宋体" w:eastAsia="宋体" w:hAnsi="宋体" w:cs="宋体" w:hint="eastAsia"/>
          <w:kern w:val="0"/>
          <w:lang w:bidi="ar"/>
        </w:rPr>
        <w:t>新建、改建、扩建</w:t>
      </w:r>
      <w:r>
        <w:rPr>
          <w:rFonts w:ascii="宋体" w:eastAsia="宋体" w:hAnsi="宋体" w:cs="宋体"/>
          <w:kern w:val="0"/>
          <w:lang w:bidi="ar"/>
        </w:rPr>
        <w:t>项目环境影响评价中甲烷排放识别、核算、评价与管控工作，补齐行业温室气体环</w:t>
      </w:r>
      <w:proofErr w:type="gramStart"/>
      <w:r>
        <w:rPr>
          <w:rFonts w:ascii="宋体" w:eastAsia="宋体" w:hAnsi="宋体" w:cs="宋体"/>
          <w:kern w:val="0"/>
          <w:lang w:bidi="ar"/>
        </w:rPr>
        <w:t>评技术</w:t>
      </w:r>
      <w:proofErr w:type="gramEnd"/>
      <w:r>
        <w:rPr>
          <w:rFonts w:ascii="宋体" w:eastAsia="宋体" w:hAnsi="宋体" w:cs="宋体"/>
          <w:kern w:val="0"/>
          <w:lang w:bidi="ar"/>
        </w:rPr>
        <w:t>短板，</w:t>
      </w:r>
      <w:r>
        <w:rPr>
          <w:rFonts w:ascii="宋体" w:eastAsia="宋体" w:hAnsi="宋体" w:cs="宋体" w:hint="eastAsia"/>
          <w:kern w:val="0"/>
          <w:lang w:bidi="ar"/>
        </w:rPr>
        <w:t>促进甲烷回收与利用，</w:t>
      </w:r>
      <w:r>
        <w:rPr>
          <w:rFonts w:ascii="宋体" w:eastAsia="宋体" w:hAnsi="宋体" w:cs="宋体"/>
          <w:kern w:val="0"/>
          <w:lang w:bidi="ar"/>
        </w:rPr>
        <w:t>落实国家甲烷减排与减</w:t>
      </w:r>
      <w:proofErr w:type="gramStart"/>
      <w:r>
        <w:rPr>
          <w:rFonts w:ascii="宋体" w:eastAsia="宋体" w:hAnsi="宋体" w:cs="宋体"/>
          <w:kern w:val="0"/>
          <w:lang w:bidi="ar"/>
        </w:rPr>
        <w:t>污降碳</w:t>
      </w:r>
      <w:proofErr w:type="gramEnd"/>
      <w:r>
        <w:rPr>
          <w:rFonts w:ascii="宋体" w:eastAsia="宋体" w:hAnsi="宋体" w:cs="宋体"/>
          <w:kern w:val="0"/>
          <w:lang w:bidi="ar"/>
        </w:rPr>
        <w:t>协同管控要求，特编制《污水处理行业甲烷排放环境影响评价指南》（以下简称《指南》）。</w:t>
      </w:r>
    </w:p>
    <w:p w14:paraId="3C49BCDF" w14:textId="77777777" w:rsidR="00865461" w:rsidRDefault="00000000">
      <w:pPr>
        <w:pStyle w:val="1"/>
      </w:pPr>
      <w:r>
        <w:rPr>
          <w:rFonts w:hint="eastAsia"/>
        </w:rPr>
        <w:t xml:space="preserve">1 </w:t>
      </w:r>
      <w:r>
        <w:rPr>
          <w:rFonts w:hint="eastAsia"/>
        </w:rPr>
        <w:t>项目背景及编制历程</w:t>
      </w:r>
    </w:p>
    <w:p w14:paraId="73DF8BFA" w14:textId="77777777" w:rsidR="00865461" w:rsidRDefault="00000000">
      <w:bookmarkStart w:id="0" w:name="OLE_LINK21"/>
      <w:r>
        <w:rPr>
          <w:b/>
        </w:rPr>
        <w:t>1.1</w:t>
      </w:r>
      <w:r>
        <w:rPr>
          <w:rFonts w:hint="eastAsia"/>
          <w:b/>
        </w:rPr>
        <w:t>项目背景</w:t>
      </w:r>
    </w:p>
    <w:p w14:paraId="6209F546" w14:textId="77777777" w:rsidR="00865461" w:rsidRDefault="00000000">
      <w:pPr>
        <w:ind w:firstLineChars="200" w:firstLine="480"/>
      </w:pPr>
      <w:bookmarkStart w:id="1" w:name="OLE_LINK2"/>
      <w:bookmarkEnd w:id="0"/>
      <w:r>
        <w:t>为应对全球气候变化，我国提出</w:t>
      </w:r>
      <w:r>
        <w:t xml:space="preserve">“2030 </w:t>
      </w:r>
      <w:r>
        <w:t>年前达到二氧化碳排放峰值、</w:t>
      </w:r>
      <w:r>
        <w:t xml:space="preserve">2060 </w:t>
      </w:r>
      <w:r>
        <w:t>年前实现碳中和</w:t>
      </w:r>
      <w:r>
        <w:t>”</w:t>
      </w:r>
      <w:r>
        <w:t>的战略目标。随着国家应对气候变化行动的全面开展，</w:t>
      </w:r>
      <w:bookmarkStart w:id="2" w:name="OLE_LINK1"/>
      <w:r>
        <w:t>碳排放管理领域的生态环境标准被提到了新的高度</w:t>
      </w:r>
      <w:bookmarkEnd w:id="2"/>
      <w:r>
        <w:t>，近年来国家发布的政策文件，从不同角度多次强调了碳排放管理标准对</w:t>
      </w:r>
      <w:proofErr w:type="gramStart"/>
      <w:r>
        <w:t>实现碳达峰</w:t>
      </w:r>
      <w:proofErr w:type="gramEnd"/>
      <w:r>
        <w:t>、碳中和发展目标的重要性</w:t>
      </w:r>
      <w:r>
        <w:rPr>
          <w:rFonts w:hint="eastAsia"/>
        </w:rPr>
        <w:t>。</w:t>
      </w:r>
    </w:p>
    <w:p w14:paraId="33135739" w14:textId="77777777" w:rsidR="00865461" w:rsidRDefault="00000000">
      <w:pPr>
        <w:ind w:firstLineChars="200" w:firstLine="480"/>
      </w:pPr>
      <w:r>
        <w:t>甲烷是仅次于二氧化碳的全球第二大温室气体，其百年全球增温潜势（</w:t>
      </w:r>
      <w:r>
        <w:t>GWP</w:t>
      </w:r>
      <w:r>
        <w:t>）是二氧化碳的</w:t>
      </w:r>
      <w:r>
        <w:t>28</w:t>
      </w:r>
      <w:r>
        <w:t>倍</w:t>
      </w:r>
      <w:r>
        <w:rPr>
          <w:rFonts w:hint="eastAsia"/>
        </w:rPr>
        <w:t>左右</w:t>
      </w:r>
      <w:r>
        <w:t>，短期温升效应显著，是全球应对气候变化、实现</w:t>
      </w:r>
      <w:proofErr w:type="gramStart"/>
      <w:r>
        <w:t>碳达峰碳</w:t>
      </w:r>
      <w:proofErr w:type="gramEnd"/>
      <w:r>
        <w:t>中和目标的重点管控温室气体。我国高度重视甲烷排放控制工作，为进一步规范重点行业建设项目环境影响评价中甲烷管控，</w:t>
      </w:r>
      <w:r>
        <w:t>2022</w:t>
      </w:r>
      <w:r>
        <w:t>年</w:t>
      </w:r>
      <w:r>
        <w:t>11</w:t>
      </w:r>
      <w:r>
        <w:t>月，环评司组织评估中心成立课题组启动相关工作，编制完成《重点行业建设项目环境影响评价中甲烷管控技术指南（试行）》（以下简称《指南》）。</w:t>
      </w:r>
      <w:r>
        <w:t>2023</w:t>
      </w:r>
      <w:r>
        <w:t>年</w:t>
      </w:r>
      <w:r>
        <w:t>11</w:t>
      </w:r>
      <w:r>
        <w:t>月</w:t>
      </w:r>
      <w:r>
        <w:t>7</w:t>
      </w:r>
      <w:r>
        <w:t>日，生态环境部等</w:t>
      </w:r>
      <w:r>
        <w:t>11</w:t>
      </w:r>
      <w:r>
        <w:t>部门联合印发《甲烷排放控制行动方案》。</w:t>
      </w:r>
    </w:p>
    <w:p w14:paraId="0805E28D" w14:textId="77777777" w:rsidR="00865461" w:rsidRDefault="00000000">
      <w:pPr>
        <w:ind w:firstLineChars="200" w:firstLine="480"/>
      </w:pPr>
      <w:r>
        <w:t>《关于加强重点行业建设项目环境影响评价中甲烷管控的通知（征求意见稿）》明确将污水处理行业纳入重点甲烷排放管控领域，要求强化建设项目环境影响评价源头管控作用，将甲烷排放管</w:t>
      </w:r>
      <w:proofErr w:type="gramStart"/>
      <w:r>
        <w:t>控全面</w:t>
      </w:r>
      <w:proofErr w:type="gramEnd"/>
      <w:r>
        <w:t>融入</w:t>
      </w:r>
      <w:proofErr w:type="gramStart"/>
      <w:r>
        <w:t>环评全过程</w:t>
      </w:r>
      <w:proofErr w:type="gramEnd"/>
      <w:r>
        <w:t>。</w:t>
      </w:r>
    </w:p>
    <w:p w14:paraId="64D10194" w14:textId="77777777" w:rsidR="00865461" w:rsidRDefault="00000000">
      <w:pPr>
        <w:ind w:firstLineChars="200" w:firstLine="480"/>
      </w:pPr>
      <w:r>
        <w:t>污水处理是城镇及工业废弃物处理领域的重要甲烷排放源</w:t>
      </w:r>
      <w:r>
        <w:rPr>
          <w:rFonts w:hint="eastAsia"/>
        </w:rPr>
        <w:t>，</w:t>
      </w:r>
      <w:r>
        <w:t>污水厌氧处理会产生无组织或有组织甲烷排放，部分大型污水处理厂及工业废水处理设施甲烷排放量可观，且存在排放散、监测难、管控弱、评价不规范等问题。当前，我国环境影响评价体系中，针对常规污染物的评价体系较为成熟，但针对甲烷这类温室气体的专项环</w:t>
      </w:r>
      <w:proofErr w:type="gramStart"/>
      <w:r>
        <w:t>评技术</w:t>
      </w:r>
      <w:proofErr w:type="gramEnd"/>
      <w:r>
        <w:t>规范缺失，污水处理行业甲烷排放的识别边界、核算方法、评价标准、管控措施等无统一指引，导致各地环</w:t>
      </w:r>
      <w:proofErr w:type="gramStart"/>
      <w:r>
        <w:t>评文件</w:t>
      </w:r>
      <w:proofErr w:type="gramEnd"/>
      <w:r>
        <w:t>编制质量参差不齐，源头防控效果难以保障。</w:t>
      </w:r>
    </w:p>
    <w:p w14:paraId="41367A1C" w14:textId="77777777" w:rsidR="00865461" w:rsidRDefault="00000000">
      <w:pPr>
        <w:ind w:firstLineChars="200" w:firstLine="480"/>
      </w:pPr>
      <w:r>
        <w:t>同时，随着我国污水处理设施覆盖率持续提升、处理规模不断扩大，行业甲烷排放结构与排放量持续变化，亟需出台专项技术指南，统一行业技术要求，衔接现有环</w:t>
      </w:r>
      <w:proofErr w:type="gramStart"/>
      <w:r>
        <w:t>评管理</w:t>
      </w:r>
      <w:proofErr w:type="gramEnd"/>
      <w:r>
        <w:t>体系，推动污水处理行业减</w:t>
      </w:r>
      <w:proofErr w:type="gramStart"/>
      <w:r>
        <w:t>污与降碳</w:t>
      </w:r>
      <w:proofErr w:type="gramEnd"/>
      <w:r>
        <w:t>同步推进、协同增效，助力国家温室气体排放管</w:t>
      </w:r>
      <w:proofErr w:type="gramStart"/>
      <w:r>
        <w:t>控目标</w:t>
      </w:r>
      <w:proofErr w:type="gramEnd"/>
      <w:r>
        <w:t>落地。</w:t>
      </w:r>
    </w:p>
    <w:p w14:paraId="61F75ADD" w14:textId="348C8995" w:rsidR="00865461" w:rsidRDefault="00000000">
      <w:pPr>
        <w:ind w:firstLineChars="200" w:firstLine="480"/>
      </w:pPr>
      <w:r>
        <w:t>课题组按照相关要求对《关于加强重点行业建设项目环境影响评价中甲烷管</w:t>
      </w:r>
      <w:r>
        <w:lastRenderedPageBreak/>
        <w:t>控的通知（征求意见稿）》进行进一步</w:t>
      </w:r>
      <w:r>
        <w:rPr>
          <w:rFonts w:hint="eastAsia"/>
        </w:rPr>
        <w:t>具体化</w:t>
      </w:r>
      <w:r>
        <w:t>，形成《</w:t>
      </w:r>
      <w:r>
        <w:rPr>
          <w:rFonts w:ascii="宋体" w:eastAsia="宋体" w:hAnsi="宋体" w:cs="宋体"/>
          <w:kern w:val="0"/>
          <w:lang w:bidi="ar"/>
        </w:rPr>
        <w:t>污水处理行业</w:t>
      </w:r>
      <w:r w:rsidR="00BC331C">
        <w:rPr>
          <w:rFonts w:ascii="宋体" w:eastAsia="宋体" w:hAnsi="宋体" w:cs="宋体" w:hint="eastAsia"/>
          <w:kern w:val="0"/>
          <w:lang w:bidi="ar"/>
        </w:rPr>
        <w:t>温室气体</w:t>
      </w:r>
      <w:r>
        <w:rPr>
          <w:rFonts w:ascii="宋体" w:eastAsia="宋体" w:hAnsi="宋体" w:cs="宋体"/>
          <w:kern w:val="0"/>
          <w:lang w:bidi="ar"/>
        </w:rPr>
        <w:t>排放环境影响评价指南</w:t>
      </w:r>
      <w:r>
        <w:t>》。</w:t>
      </w:r>
    </w:p>
    <w:bookmarkEnd w:id="1"/>
    <w:p w14:paraId="6965B031" w14:textId="77777777" w:rsidR="00865461" w:rsidRDefault="00000000">
      <w:r>
        <w:rPr>
          <w:b/>
        </w:rPr>
        <w:t>1.</w:t>
      </w:r>
      <w:r>
        <w:rPr>
          <w:rFonts w:hint="eastAsia"/>
          <w:b/>
        </w:rPr>
        <w:t>2</w:t>
      </w:r>
      <w:r>
        <w:rPr>
          <w:rFonts w:hint="eastAsia"/>
          <w:b/>
        </w:rPr>
        <w:t>编制历程</w:t>
      </w:r>
    </w:p>
    <w:p w14:paraId="7D2534D1" w14:textId="77777777" w:rsidR="00865461" w:rsidRDefault="00000000">
      <w:pPr>
        <w:ind w:firstLineChars="200" w:firstLine="480"/>
      </w:pPr>
      <w:r>
        <w:rPr>
          <w:rFonts w:hint="eastAsia"/>
        </w:rPr>
        <w:t>课题组由生态环境部环境工程评估中心、中海油能源发展股份有限公司安全环保分公司、海</w:t>
      </w:r>
      <w:proofErr w:type="gramStart"/>
      <w:r>
        <w:rPr>
          <w:rFonts w:hint="eastAsia"/>
        </w:rPr>
        <w:t>油环境</w:t>
      </w:r>
      <w:proofErr w:type="gramEnd"/>
      <w:r>
        <w:rPr>
          <w:rFonts w:hint="eastAsia"/>
        </w:rPr>
        <w:t>科技（北京）有限公司、北京师范大学、生态环境部环境发展中心、生态环境部环境规划院、中原环保股份有限公司港区水</w:t>
      </w:r>
      <w:proofErr w:type="gramStart"/>
      <w:r>
        <w:rPr>
          <w:rFonts w:hint="eastAsia"/>
        </w:rPr>
        <w:t>务</w:t>
      </w:r>
      <w:proofErr w:type="gramEnd"/>
      <w:r>
        <w:rPr>
          <w:rFonts w:hint="eastAsia"/>
        </w:rPr>
        <w:t>分公司、北京首创中荷科技有限责任公司、东华工</w:t>
      </w:r>
      <w:proofErr w:type="gramStart"/>
      <w:r>
        <w:rPr>
          <w:rFonts w:hint="eastAsia"/>
        </w:rPr>
        <w:t>程科技</w:t>
      </w:r>
      <w:proofErr w:type="gramEnd"/>
      <w:r>
        <w:rPr>
          <w:rFonts w:hint="eastAsia"/>
        </w:rPr>
        <w:t>股份有限公司、北京东润灏源科技发展有限公司、江苏中科云璟环境科技有限公司组成。课题组经过标准立项、数据调研和编制报告形成了征求意见稿。</w:t>
      </w:r>
    </w:p>
    <w:p w14:paraId="17684125" w14:textId="77777777" w:rsidR="00865461" w:rsidRDefault="00000000">
      <w:pPr>
        <w:ind w:firstLineChars="200" w:firstLine="480"/>
      </w:pPr>
      <w:r>
        <w:rPr>
          <w:rFonts w:hint="eastAsia"/>
        </w:rPr>
        <w:t>2026</w:t>
      </w:r>
      <w:r>
        <w:rPr>
          <w:rFonts w:hint="eastAsia"/>
        </w:rPr>
        <w:t>年</w:t>
      </w:r>
      <w:r>
        <w:rPr>
          <w:rFonts w:hint="eastAsia"/>
        </w:rPr>
        <w:t>2</w:t>
      </w:r>
      <w:r>
        <w:rPr>
          <w:rFonts w:hint="eastAsia"/>
        </w:rPr>
        <w:t>月</w:t>
      </w:r>
      <w:r>
        <w:rPr>
          <w:rFonts w:hint="eastAsia"/>
        </w:rPr>
        <w:t>9</w:t>
      </w:r>
      <w:r>
        <w:rPr>
          <w:rFonts w:hint="eastAsia"/>
        </w:rPr>
        <w:t>日，通过中国环境科学学会的开题立项（文号为：</w:t>
      </w:r>
      <w:proofErr w:type="gramStart"/>
      <w:r>
        <w:rPr>
          <w:rFonts w:hint="eastAsia"/>
        </w:rPr>
        <w:t>中环学发字</w:t>
      </w:r>
      <w:proofErr w:type="gramEnd"/>
      <w:r>
        <w:rPr>
          <w:rFonts w:hint="eastAsia"/>
        </w:rPr>
        <w:t xml:space="preserve"> </w:t>
      </w:r>
      <w:r>
        <w:rPr>
          <w:rFonts w:hint="eastAsia"/>
        </w:rPr>
        <w:t>〔</w:t>
      </w:r>
      <w:r>
        <w:rPr>
          <w:rFonts w:hint="eastAsia"/>
        </w:rPr>
        <w:t>2026</w:t>
      </w:r>
      <w:r>
        <w:rPr>
          <w:rFonts w:hint="eastAsia"/>
        </w:rPr>
        <w:t>〕</w:t>
      </w:r>
      <w:r>
        <w:rPr>
          <w:rFonts w:hint="eastAsia"/>
        </w:rPr>
        <w:t>16</w:t>
      </w:r>
      <w:r>
        <w:rPr>
          <w:rFonts w:hint="eastAsia"/>
        </w:rPr>
        <w:t>号）。</w:t>
      </w:r>
    </w:p>
    <w:p w14:paraId="1597EECD" w14:textId="77777777" w:rsidR="00865461" w:rsidRDefault="00000000">
      <w:pPr>
        <w:ind w:firstLineChars="200" w:firstLine="480"/>
      </w:pPr>
      <w:r>
        <w:rPr>
          <w:rFonts w:hint="eastAsia"/>
        </w:rPr>
        <w:t>2026</w:t>
      </w:r>
      <w:r>
        <w:rPr>
          <w:rFonts w:hint="eastAsia"/>
        </w:rPr>
        <w:t>年</w:t>
      </w:r>
      <w:r>
        <w:rPr>
          <w:rFonts w:hint="eastAsia"/>
        </w:rPr>
        <w:t>2-3</w:t>
      </w:r>
      <w:r>
        <w:rPr>
          <w:rFonts w:hint="eastAsia"/>
        </w:rPr>
        <w:t>月，开展相关数据收集，排放特征分析等工作，形成征求意见稿。</w:t>
      </w:r>
    </w:p>
    <w:p w14:paraId="00B0F775" w14:textId="77777777" w:rsidR="00865461" w:rsidRDefault="00000000">
      <w:r>
        <w:rPr>
          <w:rFonts w:hint="eastAsia"/>
        </w:rPr>
        <w:t xml:space="preserve">2 </w:t>
      </w:r>
      <w:r>
        <w:rPr>
          <w:rFonts w:hint="eastAsia"/>
        </w:rPr>
        <w:t>指南制定的必要性</w:t>
      </w:r>
    </w:p>
    <w:p w14:paraId="2011F3D6" w14:textId="77777777" w:rsidR="00865461" w:rsidRDefault="00000000">
      <w:pPr>
        <w:pStyle w:val="2"/>
      </w:pPr>
      <w:r>
        <w:t>2.1 落实国家甲烷减排与气候治理政策的刚性需求</w:t>
      </w:r>
    </w:p>
    <w:p w14:paraId="6BC41249" w14:textId="77777777" w:rsidR="00865461" w:rsidRDefault="00000000">
      <w:pPr>
        <w:widowControl/>
        <w:ind w:firstLineChars="200" w:firstLine="480"/>
        <w:jc w:val="left"/>
      </w:pPr>
      <w:r>
        <w:rPr>
          <w:rFonts w:ascii="宋体" w:eastAsia="宋体" w:hAnsi="宋体" w:cs="宋体"/>
          <w:kern w:val="0"/>
          <w:lang w:bidi="ar"/>
        </w:rPr>
        <w:t>国家层面明确要求重点行业建设项目环评强化甲烷排放管控，将温室气体管控纳入</w:t>
      </w:r>
      <w:proofErr w:type="gramStart"/>
      <w:r>
        <w:rPr>
          <w:rFonts w:ascii="宋体" w:eastAsia="宋体" w:hAnsi="宋体" w:cs="宋体"/>
          <w:kern w:val="0"/>
          <w:lang w:bidi="ar"/>
        </w:rPr>
        <w:t>环评全过程</w:t>
      </w:r>
      <w:proofErr w:type="gramEnd"/>
      <w:r>
        <w:rPr>
          <w:rFonts w:ascii="宋体" w:eastAsia="宋体" w:hAnsi="宋体" w:cs="宋体"/>
          <w:kern w:val="0"/>
          <w:lang w:bidi="ar"/>
        </w:rPr>
        <w:t>，污水处理行业作为甲烷重点排放行业，亟需配套专项技术指南，将宏观政策要求转化为可落地、可执行的环</w:t>
      </w:r>
      <w:proofErr w:type="gramStart"/>
      <w:r>
        <w:rPr>
          <w:rFonts w:ascii="宋体" w:eastAsia="宋体" w:hAnsi="宋体" w:cs="宋体"/>
          <w:kern w:val="0"/>
          <w:lang w:bidi="ar"/>
        </w:rPr>
        <w:t>评技术</w:t>
      </w:r>
      <w:proofErr w:type="gramEnd"/>
      <w:r>
        <w:rPr>
          <w:rFonts w:ascii="宋体" w:eastAsia="宋体" w:hAnsi="宋体" w:cs="宋体"/>
          <w:kern w:val="0"/>
          <w:lang w:bidi="ar"/>
        </w:rPr>
        <w:t>规范，确保环</w:t>
      </w:r>
      <w:proofErr w:type="gramStart"/>
      <w:r>
        <w:rPr>
          <w:rFonts w:ascii="宋体" w:eastAsia="宋体" w:hAnsi="宋体" w:cs="宋体"/>
          <w:kern w:val="0"/>
          <w:lang w:bidi="ar"/>
        </w:rPr>
        <w:t>评制度</w:t>
      </w:r>
      <w:proofErr w:type="gramEnd"/>
      <w:r>
        <w:rPr>
          <w:rFonts w:ascii="宋体" w:eastAsia="宋体" w:hAnsi="宋体" w:cs="宋体"/>
          <w:kern w:val="0"/>
          <w:lang w:bidi="ar"/>
        </w:rPr>
        <w:t>充分发挥源头预防作用，压实行业甲烷减排责任，助力我国履行国际气候承诺，实现</w:t>
      </w:r>
      <w:proofErr w:type="gramStart"/>
      <w:r>
        <w:rPr>
          <w:rFonts w:ascii="宋体" w:eastAsia="宋体" w:hAnsi="宋体" w:cs="宋体"/>
          <w:kern w:val="0"/>
          <w:lang w:bidi="ar"/>
        </w:rPr>
        <w:t>碳达峰碳</w:t>
      </w:r>
      <w:proofErr w:type="gramEnd"/>
      <w:r>
        <w:rPr>
          <w:rFonts w:ascii="宋体" w:eastAsia="宋体" w:hAnsi="宋体" w:cs="宋体"/>
          <w:kern w:val="0"/>
          <w:lang w:bidi="ar"/>
        </w:rPr>
        <w:t>中和阶段性目标。</w:t>
      </w:r>
    </w:p>
    <w:p w14:paraId="5BFE730A" w14:textId="77777777" w:rsidR="00865461" w:rsidRDefault="00000000">
      <w:pPr>
        <w:pStyle w:val="2"/>
        <w:rPr>
          <w:rFonts w:cs="宋体"/>
        </w:rPr>
      </w:pPr>
      <w:r>
        <w:rPr>
          <w:rFonts w:cs="宋体"/>
        </w:rPr>
        <w:t>2.2 补齐</w:t>
      </w:r>
      <w:proofErr w:type="gramStart"/>
      <w:r>
        <w:rPr>
          <w:rFonts w:cs="宋体"/>
        </w:rPr>
        <w:t>行业环评技术</w:t>
      </w:r>
      <w:proofErr w:type="gramEnd"/>
      <w:r>
        <w:rPr>
          <w:rFonts w:cs="宋体"/>
        </w:rPr>
        <w:t>短板，</w:t>
      </w:r>
      <w:proofErr w:type="gramStart"/>
      <w:r>
        <w:rPr>
          <w:rFonts w:cs="宋体"/>
        </w:rPr>
        <w:t>规范环</w:t>
      </w:r>
      <w:proofErr w:type="gramEnd"/>
      <w:r>
        <w:rPr>
          <w:rFonts w:cs="宋体"/>
        </w:rPr>
        <w:t>评编制与审批工作的现实需要</w:t>
      </w:r>
    </w:p>
    <w:p w14:paraId="4B903A3F" w14:textId="77777777" w:rsidR="00865461" w:rsidRDefault="00000000">
      <w:pPr>
        <w:widowControl/>
        <w:ind w:firstLineChars="200" w:firstLine="480"/>
        <w:jc w:val="left"/>
      </w:pPr>
      <w:r>
        <w:rPr>
          <w:rFonts w:ascii="宋体" w:eastAsia="宋体" w:hAnsi="宋体" w:cs="宋体"/>
          <w:kern w:val="0"/>
          <w:lang w:bidi="ar"/>
        </w:rPr>
        <w:t>目前，我国暂无污水处理行业甲烷排放环评专项规范，现有环评工作多参照通用温室气体核算方法或零散技术文件，存在排放源识别不全、核算方法不统一、评价内容不完整、管控措施针对性不足等问题，既增加了环评编制单位、技术评估单位及审批部门的工作难度，也容易出现甲烷排放漏评、错评、</w:t>
      </w:r>
      <w:proofErr w:type="gramStart"/>
      <w:r>
        <w:rPr>
          <w:rFonts w:ascii="宋体" w:eastAsia="宋体" w:hAnsi="宋体" w:cs="宋体"/>
          <w:kern w:val="0"/>
          <w:lang w:bidi="ar"/>
        </w:rPr>
        <w:t>管控不到位</w:t>
      </w:r>
      <w:proofErr w:type="gramEnd"/>
      <w:r>
        <w:rPr>
          <w:rFonts w:ascii="宋体" w:eastAsia="宋体" w:hAnsi="宋体" w:cs="宋体"/>
          <w:kern w:val="0"/>
          <w:lang w:bidi="ar"/>
        </w:rPr>
        <w:t>等情况。编制本《指南》，可统一技术口径、明确评价要点，规范全行业甲烷排放环评工作，提升环</w:t>
      </w:r>
      <w:proofErr w:type="gramStart"/>
      <w:r>
        <w:rPr>
          <w:rFonts w:ascii="宋体" w:eastAsia="宋体" w:hAnsi="宋体" w:cs="宋体"/>
          <w:kern w:val="0"/>
          <w:lang w:bidi="ar"/>
        </w:rPr>
        <w:t>评文件</w:t>
      </w:r>
      <w:proofErr w:type="gramEnd"/>
      <w:r>
        <w:rPr>
          <w:rFonts w:ascii="宋体" w:eastAsia="宋体" w:hAnsi="宋体" w:cs="宋体"/>
          <w:kern w:val="0"/>
          <w:lang w:bidi="ar"/>
        </w:rPr>
        <w:t>质量与审批效率。</w:t>
      </w:r>
    </w:p>
    <w:p w14:paraId="77176723" w14:textId="77777777" w:rsidR="00865461" w:rsidRDefault="00000000">
      <w:pPr>
        <w:pStyle w:val="2"/>
        <w:widowControl/>
      </w:pPr>
      <w:r>
        <w:t>2.3 推动行业减</w:t>
      </w:r>
      <w:proofErr w:type="gramStart"/>
      <w:r>
        <w:t>污降碳</w:t>
      </w:r>
      <w:proofErr w:type="gramEnd"/>
      <w:r>
        <w:t>协同，实现绿色低碳发展的客观需要</w:t>
      </w:r>
    </w:p>
    <w:p w14:paraId="57DCAB44" w14:textId="77777777" w:rsidR="00865461" w:rsidRDefault="00000000">
      <w:pPr>
        <w:widowControl/>
        <w:ind w:firstLineChars="200" w:firstLine="480"/>
        <w:jc w:val="left"/>
      </w:pPr>
      <w:r>
        <w:rPr>
          <w:rFonts w:ascii="宋体" w:eastAsia="宋体" w:hAnsi="宋体" w:cs="宋体"/>
          <w:kern w:val="0"/>
          <w:lang w:bidi="ar"/>
        </w:rPr>
        <w:t>污水处理行业兼具水污染治理与温室气体排放双重属性，甲烷排放管控与污水达标处理、污泥处置、恶臭治理等工作高度协同。通过规范甲烷排放环评，引导项目优化处理工艺、强化甲烷回收利用、严控无组织排放，既能减少温室气体排放，也能降低挥发性有机物、恶臭污染物等常规污染物排放，实现“治污、降碳、减臭”多重效益，推动污水处理行业从单纯污染治理向低碳绿色转型。</w:t>
      </w:r>
    </w:p>
    <w:p w14:paraId="47A32BCA" w14:textId="77777777" w:rsidR="00865461" w:rsidRDefault="00000000">
      <w:pPr>
        <w:pStyle w:val="2"/>
        <w:widowControl/>
      </w:pPr>
      <w:r>
        <w:lastRenderedPageBreak/>
        <w:t>2.4 适配行业发展新形势，强化全生命周期管控的长远需要</w:t>
      </w:r>
    </w:p>
    <w:p w14:paraId="59D3C749" w14:textId="77777777" w:rsidR="00865461" w:rsidRDefault="00000000">
      <w:pPr>
        <w:widowControl/>
        <w:ind w:firstLineChars="200" w:firstLine="480"/>
        <w:jc w:val="left"/>
      </w:pPr>
      <w:r>
        <w:rPr>
          <w:rFonts w:ascii="宋体" w:eastAsia="宋体" w:hAnsi="宋体" w:cs="宋体"/>
          <w:kern w:val="0"/>
          <w:lang w:bidi="ar"/>
        </w:rPr>
        <w:t>随着污水处理行业工艺升级、资源化利用推进，大型厌氧处理设施、污泥集中处置项目不断增多，甲烷排放风险与管</w:t>
      </w:r>
      <w:proofErr w:type="gramStart"/>
      <w:r>
        <w:rPr>
          <w:rFonts w:ascii="宋体" w:eastAsia="宋体" w:hAnsi="宋体" w:cs="宋体"/>
          <w:kern w:val="0"/>
          <w:lang w:bidi="ar"/>
        </w:rPr>
        <w:t>控重点</w:t>
      </w:r>
      <w:proofErr w:type="gramEnd"/>
      <w:r>
        <w:rPr>
          <w:rFonts w:ascii="宋体" w:eastAsia="宋体" w:hAnsi="宋体" w:cs="宋体"/>
          <w:kern w:val="0"/>
          <w:lang w:bidi="ar"/>
        </w:rPr>
        <w:t>随之变化。本《指南》立足行业现状，兼顾新建、改建、扩建及现有污水处理项目，覆盖全工艺流程甲烷排放管控，可有效指导项目从设计阶段优化布局、优选低碳工艺，从源头减少甲烷产生与排放，</w:t>
      </w:r>
      <w:proofErr w:type="gramStart"/>
      <w:r>
        <w:rPr>
          <w:rFonts w:ascii="宋体" w:eastAsia="宋体" w:hAnsi="宋体" w:cs="宋体"/>
          <w:kern w:val="0"/>
          <w:lang w:bidi="ar"/>
        </w:rPr>
        <w:t>构建全</w:t>
      </w:r>
      <w:proofErr w:type="gramEnd"/>
      <w:r>
        <w:rPr>
          <w:rFonts w:ascii="宋体" w:eastAsia="宋体" w:hAnsi="宋体" w:cs="宋体"/>
          <w:kern w:val="0"/>
          <w:lang w:bidi="ar"/>
        </w:rPr>
        <w:t>生命周期甲烷排放管控体系，适配行业高质量发展要求。</w:t>
      </w:r>
    </w:p>
    <w:p w14:paraId="2C9132BB" w14:textId="77777777" w:rsidR="00865461" w:rsidRDefault="00000000">
      <w:pPr>
        <w:pStyle w:val="1"/>
      </w:pPr>
      <w:r>
        <w:rPr>
          <w:rFonts w:hint="eastAsia"/>
        </w:rPr>
        <w:t xml:space="preserve">3 </w:t>
      </w:r>
      <w:r>
        <w:rPr>
          <w:rFonts w:hint="eastAsia"/>
        </w:rPr>
        <w:t>国内外污水行业甲烷排放评价现状</w:t>
      </w:r>
    </w:p>
    <w:p w14:paraId="59540966" w14:textId="77777777" w:rsidR="00865461" w:rsidRDefault="00000000">
      <w:pPr>
        <w:pStyle w:val="2"/>
      </w:pPr>
      <w:r>
        <w:t>3.1 国外行业现状</w:t>
      </w:r>
    </w:p>
    <w:p w14:paraId="07F96340" w14:textId="77777777" w:rsidR="00865461" w:rsidRDefault="00000000">
      <w:pPr>
        <w:ind w:firstLineChars="200" w:firstLine="480"/>
      </w:pPr>
      <w:r>
        <w:rPr>
          <w:rFonts w:hint="eastAsia"/>
        </w:rPr>
        <w:t>欧美等发达国家及国际组织较早开展污水处理温室气体排放研究与管控工作，形成了相对完善的核算与评价体系。国际气候变化专门委员会（</w:t>
      </w:r>
      <w:r>
        <w:rPr>
          <w:rFonts w:hint="eastAsia"/>
        </w:rPr>
        <w:t>IPCC</w:t>
      </w:r>
      <w:r>
        <w:rPr>
          <w:rFonts w:hint="eastAsia"/>
        </w:rPr>
        <w:t>）发布的国家温室气体清单指南，明确了污水处理行业甲烷排放核算的核心方法与默认排放因子，被全球多数国家采用；欧盟出台《温室气体核算与报告指令》，将污水处理设施纳入</w:t>
      </w:r>
      <w:r>
        <w:rPr>
          <w:rFonts w:hint="eastAsia"/>
        </w:rPr>
        <w:t xml:space="preserve"> mandatory </w:t>
      </w:r>
      <w:r>
        <w:rPr>
          <w:rFonts w:hint="eastAsia"/>
        </w:rPr>
        <w:t>排放核算范围，要求建设项目环评同步开展温室气体评价，重点规范厌氧处理环节甲烷排放管控，鼓励甲烷回收发电、供热等资源化利用；美国环保署（</w:t>
      </w:r>
      <w:r>
        <w:rPr>
          <w:rFonts w:hint="eastAsia"/>
        </w:rPr>
        <w:t>EPA</w:t>
      </w:r>
      <w:r>
        <w:rPr>
          <w:rFonts w:hint="eastAsia"/>
        </w:rPr>
        <w:t>）制定污水处理厂温室气体核算工具包，细化不同工艺、不同规模设施的甲烷排放核算方法，将甲烷排放评价纳入项目环境许可审批环节，配套监测、核查与减排激励机制。</w:t>
      </w:r>
    </w:p>
    <w:p w14:paraId="056155E3" w14:textId="77777777" w:rsidR="00865461" w:rsidRDefault="00000000">
      <w:pPr>
        <w:ind w:firstLineChars="200" w:firstLine="480"/>
      </w:pPr>
      <w:r>
        <w:rPr>
          <w:rFonts w:hint="eastAsia"/>
        </w:rPr>
        <w:t>整体来看，国外发达国家已实现污水处理甲烷排放“核算</w:t>
      </w:r>
      <w:r>
        <w:rPr>
          <w:rFonts w:hint="eastAsia"/>
        </w:rPr>
        <w:t>-</w:t>
      </w:r>
      <w:r>
        <w:rPr>
          <w:rFonts w:hint="eastAsia"/>
        </w:rPr>
        <w:t>评价</w:t>
      </w:r>
      <w:r>
        <w:rPr>
          <w:rFonts w:hint="eastAsia"/>
        </w:rPr>
        <w:t>-</w:t>
      </w:r>
      <w:r>
        <w:rPr>
          <w:rFonts w:hint="eastAsia"/>
        </w:rPr>
        <w:t>管控</w:t>
      </w:r>
      <w:r>
        <w:rPr>
          <w:rFonts w:hint="eastAsia"/>
        </w:rPr>
        <w:t>-</w:t>
      </w:r>
      <w:r>
        <w:rPr>
          <w:rFonts w:hint="eastAsia"/>
        </w:rPr>
        <w:t>核查”全流程规范化管理，技术体系成熟，且注重资源化利用与减排协同，环评与温室气体管控深度融合，但各国结合自身行业特点，核算因子与评价要求存在差异，无统一全球标准。</w:t>
      </w:r>
    </w:p>
    <w:p w14:paraId="02288B75" w14:textId="77777777" w:rsidR="00865461" w:rsidRDefault="00000000">
      <w:pPr>
        <w:pStyle w:val="2"/>
      </w:pPr>
      <w:r>
        <w:t>3.2 国内行业现状</w:t>
      </w:r>
    </w:p>
    <w:p w14:paraId="687ABE80" w14:textId="77777777" w:rsidR="00865461" w:rsidRDefault="00000000">
      <w:pPr>
        <w:pStyle w:val="a8"/>
        <w:widowControl/>
        <w:spacing w:beforeAutospacing="0" w:afterAutospacing="0"/>
        <w:ind w:firstLineChars="200" w:firstLine="480"/>
      </w:pPr>
      <w:r>
        <w:rPr>
          <w:rFonts w:hint="eastAsia"/>
        </w:rPr>
        <w:t>我国污水处理行业甲烷排放管控工作起步较晚，近年来随着</w:t>
      </w:r>
      <w:proofErr w:type="gramStart"/>
      <w:r>
        <w:rPr>
          <w:rFonts w:hint="eastAsia"/>
        </w:rPr>
        <w:t>碳达峰碳</w:t>
      </w:r>
      <w:proofErr w:type="gramEnd"/>
      <w:r>
        <w:rPr>
          <w:rFonts w:hint="eastAsia"/>
        </w:rPr>
        <w:t>中和工作推进，相关研究与管理工作快速推进。目前，国内已发布《城镇污水处理厂污染物去除协同控制温室气体核算技术指南（试行）》《污水处理厂低碳运行评价技术规范》《</w:t>
      </w:r>
      <w:r>
        <w:t>污水处理厂低碳运行管理技术规范</w:t>
      </w:r>
      <w:r>
        <w:rPr>
          <w:rFonts w:hint="eastAsia"/>
        </w:rPr>
        <w:t>》《</w:t>
      </w:r>
      <w:r>
        <w:t>省级温室气体清单编制指南（</w:t>
      </w:r>
      <w:r>
        <w:t>2025</w:t>
      </w:r>
      <w:r>
        <w:t>年版）</w:t>
      </w:r>
      <w:r>
        <w:rPr>
          <w:rFonts w:hint="eastAsia"/>
        </w:rPr>
        <w:t>》等技术文件，初步明确了行业甲烷排放核算边界与方法，部分省市开展了污水处理项目碳排放环</w:t>
      </w:r>
      <w:proofErr w:type="gramStart"/>
      <w:r>
        <w:rPr>
          <w:rFonts w:hint="eastAsia"/>
        </w:rPr>
        <w:t>评试点</w:t>
      </w:r>
      <w:proofErr w:type="gramEnd"/>
      <w:r>
        <w:rPr>
          <w:rFonts w:hint="eastAsia"/>
        </w:rPr>
        <w:t>工作，将甲烷纳入评价范围。</w:t>
      </w:r>
    </w:p>
    <w:p w14:paraId="47EB1AC8" w14:textId="77777777" w:rsidR="00865461" w:rsidRDefault="00000000">
      <w:pPr>
        <w:ind w:firstLineChars="200" w:firstLine="480"/>
      </w:pPr>
      <w:r>
        <w:rPr>
          <w:rFonts w:hint="eastAsia"/>
        </w:rPr>
        <w:t>但国内行业仍存在诸多短板：一是专项环</w:t>
      </w:r>
      <w:proofErr w:type="gramStart"/>
      <w:r>
        <w:rPr>
          <w:rFonts w:hint="eastAsia"/>
        </w:rPr>
        <w:t>评规范</w:t>
      </w:r>
      <w:proofErr w:type="gramEnd"/>
      <w:r>
        <w:rPr>
          <w:rFonts w:hint="eastAsia"/>
        </w:rPr>
        <w:t>缺失，现有核算文件侧重运行阶段核算，未针对性衔接环评阶段源强预测、环境影响分析、防控措施评价等</w:t>
      </w:r>
      <w:r>
        <w:rPr>
          <w:rFonts w:hint="eastAsia"/>
        </w:rPr>
        <w:lastRenderedPageBreak/>
        <w:t>核心环节；二是监测与管</w:t>
      </w:r>
      <w:proofErr w:type="gramStart"/>
      <w:r>
        <w:rPr>
          <w:rFonts w:hint="eastAsia"/>
        </w:rPr>
        <w:t>控要求</w:t>
      </w:r>
      <w:proofErr w:type="gramEnd"/>
      <w:r>
        <w:rPr>
          <w:rFonts w:hint="eastAsia"/>
        </w:rPr>
        <w:t>不明确，无组织甲烷排放监测、减排措施效果验证缺乏统一标准。整体而言，国内污水处理行业甲烷排放环评工作仍处于碎片化、试点化阶段，亟需统一的专项指南规范行业行为。</w:t>
      </w:r>
    </w:p>
    <w:p w14:paraId="216F32D0" w14:textId="77777777" w:rsidR="00865461" w:rsidRDefault="00000000">
      <w:pPr>
        <w:pStyle w:val="1"/>
      </w:pPr>
      <w:r>
        <w:rPr>
          <w:rFonts w:hint="eastAsia"/>
        </w:rPr>
        <w:t xml:space="preserve">4 </w:t>
      </w:r>
      <w:r>
        <w:rPr>
          <w:rFonts w:hint="eastAsia"/>
        </w:rPr>
        <w:t>编制的工作思路和基本原则</w:t>
      </w:r>
    </w:p>
    <w:p w14:paraId="41FD2C54" w14:textId="7D5F3707" w:rsidR="00865461" w:rsidRDefault="00000000">
      <w:pPr>
        <w:ind w:firstLineChars="200" w:firstLine="480"/>
      </w:pPr>
      <w:r>
        <w:rPr>
          <w:rFonts w:hint="eastAsia"/>
        </w:rPr>
        <w:t>根据《甲烷排放控制行动方案》，聚焦污水处理行业，结合《建设项目环境影响评价分类管理名录》，将甲烷管</w:t>
      </w:r>
      <w:proofErr w:type="gramStart"/>
      <w:r>
        <w:rPr>
          <w:rFonts w:hint="eastAsia"/>
        </w:rPr>
        <w:t>控要求</w:t>
      </w:r>
      <w:proofErr w:type="gramEnd"/>
      <w:r>
        <w:rPr>
          <w:rFonts w:hint="eastAsia"/>
        </w:rPr>
        <w:t>落实到污水处理行业建设项目环境影响评价中。</w:t>
      </w:r>
    </w:p>
    <w:p w14:paraId="289A7965" w14:textId="77777777" w:rsidR="00865461" w:rsidRDefault="00000000">
      <w:pPr>
        <w:ind w:firstLineChars="200" w:firstLine="480"/>
      </w:pPr>
      <w:r>
        <w:rPr>
          <w:rFonts w:hint="eastAsia"/>
        </w:rPr>
        <w:t>将污水处理行业的现行政策、标准和技术规范中对甲烷排放管</w:t>
      </w:r>
      <w:proofErr w:type="gramStart"/>
      <w:r>
        <w:rPr>
          <w:rFonts w:hint="eastAsia"/>
        </w:rPr>
        <w:t>控要求</w:t>
      </w:r>
      <w:proofErr w:type="gramEnd"/>
      <w:r>
        <w:rPr>
          <w:rFonts w:hint="eastAsia"/>
        </w:rPr>
        <w:t>进行归纳和总结，进一步规范污水处理行业建设项目环评中甲烷排放的管控要求，增加协同控制评价和示范工程建设的内容。</w:t>
      </w:r>
    </w:p>
    <w:p w14:paraId="492FDA3A" w14:textId="77777777" w:rsidR="00865461" w:rsidRDefault="00000000">
      <w:pPr>
        <w:ind w:firstLineChars="200" w:firstLine="480"/>
      </w:pPr>
      <w:r>
        <w:rPr>
          <w:rFonts w:hint="eastAsia"/>
        </w:rPr>
        <w:t>通过环评，不断加强源头及过程控制，提升治理措施，优化技术工艺，提高资源利用效率，鼓励实施新型甲烷回收利用措施及示范工程，提高污水处理行业甲烷排放管控能力和管理水平。</w:t>
      </w:r>
    </w:p>
    <w:p w14:paraId="16B7F4A9" w14:textId="48CF14DC" w:rsidR="00865461" w:rsidRDefault="00000000" w:rsidP="00413D92">
      <w:pPr>
        <w:pStyle w:val="1"/>
      </w:pPr>
      <w:r>
        <w:rPr>
          <w:rFonts w:hint="eastAsia"/>
        </w:rPr>
        <w:t xml:space="preserve">5 </w:t>
      </w:r>
      <w:r>
        <w:rPr>
          <w:rFonts w:hint="eastAsia"/>
        </w:rPr>
        <w:t>主要内容</w:t>
      </w:r>
    </w:p>
    <w:p w14:paraId="2A31C433" w14:textId="77777777" w:rsidR="00865461" w:rsidRDefault="00000000">
      <w:pPr>
        <w:ind w:firstLineChars="200" w:firstLine="480"/>
        <w:rPr>
          <w:rFonts w:ascii="Times New Roman" w:hAnsi="Times New Roman" w:cs="Times New Roman"/>
          <w:szCs w:val="22"/>
        </w:rPr>
      </w:pPr>
      <w:r>
        <w:rPr>
          <w:rFonts w:ascii="Times New Roman" w:hAnsi="Times New Roman" w:cs="Times New Roman"/>
          <w:szCs w:val="22"/>
        </w:rPr>
        <w:t>《</w:t>
      </w:r>
      <w:r w:rsidRPr="00413D92">
        <w:rPr>
          <w:rFonts w:ascii="Times New Roman" w:hAnsi="Times New Roman" w:cs="Times New Roman" w:hint="eastAsia"/>
        </w:rPr>
        <w:t>污水处理建设项目温室气体排放环境影响评价技术指南</w:t>
      </w:r>
      <w:r>
        <w:rPr>
          <w:rFonts w:ascii="Times New Roman" w:hAnsi="Times New Roman" w:cs="Times New Roman"/>
        </w:rPr>
        <w:t>（试行）</w:t>
      </w:r>
      <w:r>
        <w:rPr>
          <w:rFonts w:ascii="Times New Roman" w:hAnsi="Times New Roman" w:cs="Times New Roman"/>
          <w:szCs w:val="22"/>
        </w:rPr>
        <w:t>》包括正文的五个部分以及附录，分别明确了《指南》的适用范围、规范性引用文件、所用术语、温室气体评价工作程序以及评价内容（主要包括核算边界、温室气体排放节点识别、温室气体排放量核算及评价等内容）。核算的温室气体种类为</w:t>
      </w:r>
      <w:r>
        <w:rPr>
          <w:rFonts w:ascii="Times New Roman" w:hAnsi="Times New Roman" w:cs="Times New Roman" w:hint="eastAsia"/>
          <w:szCs w:val="22"/>
        </w:rPr>
        <w:t>甲烷，即</w:t>
      </w:r>
      <w:r w:rsidRPr="00413D92">
        <w:rPr>
          <w:rFonts w:ascii="Times New Roman" w:hAnsi="Times New Roman" w:cs="Times New Roman" w:hint="eastAsia"/>
          <w:szCs w:val="22"/>
        </w:rPr>
        <w:t>污水处理过程中厌氧微生物代谢产生的甲烷气体释放，包括有组织（如沼气收集系统）和无组织（如敞口池面挥发）排放</w:t>
      </w:r>
      <w:r>
        <w:rPr>
          <w:rFonts w:ascii="Times New Roman" w:hAnsi="Times New Roman" w:cs="Times New Roman" w:hint="eastAsia"/>
          <w:szCs w:val="22"/>
        </w:rPr>
        <w:t>。</w:t>
      </w:r>
    </w:p>
    <w:p w14:paraId="524092F8" w14:textId="599C8505" w:rsidR="00865461" w:rsidRDefault="00000000">
      <w:pPr>
        <w:widowControl/>
        <w:ind w:firstLineChars="236" w:firstLine="566"/>
        <w:jc w:val="left"/>
        <w:rPr>
          <w:rFonts w:ascii="Times New Roman" w:hAnsi="Times New Roman" w:cs="Times New Roman"/>
          <w:kern w:val="0"/>
          <w:lang w:bidi="ar"/>
        </w:rPr>
      </w:pPr>
      <w:r>
        <w:rPr>
          <w:rFonts w:ascii="Times New Roman" w:hAnsi="Times New Roman" w:cs="Times New Roman"/>
          <w:kern w:val="0"/>
          <w:lang w:bidi="ar"/>
        </w:rPr>
        <w:t>附录</w:t>
      </w:r>
      <w:r>
        <w:rPr>
          <w:rFonts w:ascii="Times New Roman" w:hAnsi="Times New Roman" w:cs="Times New Roman" w:hint="eastAsia"/>
          <w:kern w:val="0"/>
          <w:lang w:bidi="ar"/>
        </w:rPr>
        <w:t>A</w:t>
      </w:r>
      <w:r>
        <w:rPr>
          <w:rFonts w:ascii="Times New Roman" w:hAnsi="Times New Roman" w:cs="Times New Roman"/>
          <w:kern w:val="0"/>
          <w:lang w:bidi="ar"/>
        </w:rPr>
        <w:t>-</w:t>
      </w:r>
      <w:r>
        <w:rPr>
          <w:rFonts w:ascii="Times New Roman" w:hAnsi="Times New Roman" w:cs="Times New Roman" w:hint="eastAsia"/>
          <w:kern w:val="0"/>
          <w:lang w:bidi="ar"/>
        </w:rPr>
        <w:t>B</w:t>
      </w:r>
      <w:r>
        <w:rPr>
          <w:rFonts w:ascii="Times New Roman" w:hAnsi="Times New Roman" w:cs="Times New Roman"/>
          <w:kern w:val="0"/>
          <w:lang w:bidi="ar"/>
        </w:rPr>
        <w:t>作为资料性附录，</w:t>
      </w:r>
      <w:r w:rsidR="00BF6FE6">
        <w:rPr>
          <w:rFonts w:ascii="Times New Roman" w:hAnsi="Times New Roman" w:cs="Times New Roman" w:hint="eastAsia"/>
          <w:kern w:val="0"/>
          <w:lang w:bidi="ar"/>
        </w:rPr>
        <w:t>参照</w:t>
      </w:r>
      <w:r w:rsidR="00BF6FE6" w:rsidRPr="00BF6FE6">
        <w:rPr>
          <w:rFonts w:ascii="Times New Roman" w:hAnsi="Times New Roman" w:cs="Times New Roman" w:hint="eastAsia"/>
          <w:kern w:val="0"/>
          <w:lang w:bidi="ar"/>
        </w:rPr>
        <w:t>《广东省工业源挥发性有机物减排量核算方法（</w:t>
      </w:r>
      <w:r w:rsidR="00BF6FE6" w:rsidRPr="00BF6FE6">
        <w:rPr>
          <w:rFonts w:ascii="Times New Roman" w:hAnsi="Times New Roman" w:cs="Times New Roman" w:hint="eastAsia"/>
          <w:kern w:val="0"/>
          <w:lang w:bidi="ar"/>
        </w:rPr>
        <w:t>2023</w:t>
      </w:r>
      <w:r w:rsidR="00BF6FE6" w:rsidRPr="00BF6FE6">
        <w:rPr>
          <w:rFonts w:ascii="Times New Roman" w:hAnsi="Times New Roman" w:cs="Times New Roman" w:hint="eastAsia"/>
          <w:kern w:val="0"/>
          <w:lang w:bidi="ar"/>
        </w:rPr>
        <w:t>年修订版）》（</w:t>
      </w:r>
      <w:proofErr w:type="gramStart"/>
      <w:r w:rsidR="00BF6FE6" w:rsidRPr="00BF6FE6">
        <w:rPr>
          <w:rFonts w:ascii="Times New Roman" w:hAnsi="Times New Roman" w:cs="Times New Roman" w:hint="eastAsia"/>
          <w:kern w:val="0"/>
          <w:lang w:bidi="ar"/>
        </w:rPr>
        <w:t>粤环函</w:t>
      </w:r>
      <w:proofErr w:type="gramEnd"/>
      <w:r w:rsidR="00BF6FE6" w:rsidRPr="00BF6FE6">
        <w:rPr>
          <w:rFonts w:ascii="Times New Roman" w:hAnsi="Times New Roman" w:cs="Times New Roman" w:hint="eastAsia"/>
          <w:kern w:val="0"/>
          <w:lang w:bidi="ar"/>
        </w:rPr>
        <w:t>〔</w:t>
      </w:r>
      <w:r w:rsidR="00BF6FE6" w:rsidRPr="00BF6FE6">
        <w:rPr>
          <w:rFonts w:ascii="Times New Roman" w:hAnsi="Times New Roman" w:cs="Times New Roman" w:hint="eastAsia"/>
          <w:kern w:val="0"/>
          <w:lang w:bidi="ar"/>
        </w:rPr>
        <w:t>2023</w:t>
      </w:r>
      <w:r w:rsidR="00BF6FE6" w:rsidRPr="00BF6FE6">
        <w:rPr>
          <w:rFonts w:ascii="Times New Roman" w:hAnsi="Times New Roman" w:cs="Times New Roman" w:hint="eastAsia"/>
          <w:kern w:val="0"/>
          <w:lang w:bidi="ar"/>
        </w:rPr>
        <w:t>〕</w:t>
      </w:r>
      <w:r w:rsidR="00BF6FE6" w:rsidRPr="00BF6FE6">
        <w:rPr>
          <w:rFonts w:ascii="Times New Roman" w:hAnsi="Times New Roman" w:cs="Times New Roman" w:hint="eastAsia"/>
          <w:kern w:val="0"/>
          <w:lang w:bidi="ar"/>
        </w:rPr>
        <w:t>538</w:t>
      </w:r>
      <w:r w:rsidR="00BF6FE6" w:rsidRPr="00BF6FE6">
        <w:rPr>
          <w:rFonts w:ascii="Times New Roman" w:hAnsi="Times New Roman" w:cs="Times New Roman" w:hint="eastAsia"/>
          <w:kern w:val="0"/>
          <w:lang w:bidi="ar"/>
        </w:rPr>
        <w:t>号），部分参数根据本标准编制过程中行业调研数据进行了适应性调整</w:t>
      </w:r>
      <w:r w:rsidR="00BF6FE6">
        <w:rPr>
          <w:rFonts w:ascii="Times New Roman" w:hAnsi="Times New Roman" w:cs="Times New Roman" w:hint="eastAsia"/>
          <w:kern w:val="0"/>
          <w:lang w:bidi="ar"/>
        </w:rPr>
        <w:t>，</w:t>
      </w:r>
      <w:r>
        <w:rPr>
          <w:rFonts w:ascii="Times New Roman" w:hAnsi="Times New Roman" w:cs="Times New Roman"/>
          <w:kern w:val="0"/>
          <w:lang w:bidi="ar"/>
        </w:rPr>
        <w:t>分别给出了</w:t>
      </w:r>
      <w:r>
        <w:rPr>
          <w:rFonts w:ascii="Times New Roman" w:hAnsi="Times New Roman" w:cs="Times New Roman" w:hint="eastAsia"/>
          <w:kern w:val="0"/>
          <w:lang w:bidi="ar"/>
        </w:rPr>
        <w:t>各甲烷收集措施效率和处置措施效率。</w:t>
      </w:r>
    </w:p>
    <w:p w14:paraId="12532803" w14:textId="77777777" w:rsidR="00865461" w:rsidRDefault="00000000">
      <w:pPr>
        <w:pStyle w:val="2"/>
      </w:pPr>
      <w:r>
        <w:t>5.1 适用范围</w:t>
      </w:r>
    </w:p>
    <w:p w14:paraId="1B32AE7E" w14:textId="77777777" w:rsidR="00865461" w:rsidRDefault="00000000">
      <w:pPr>
        <w:ind w:firstLineChars="200" w:firstLine="480"/>
      </w:pPr>
      <w:r>
        <w:rPr>
          <w:rFonts w:hint="eastAsia"/>
        </w:rPr>
        <w:t>本《指南》适用范围行业按照《国民经济行业分类代码（</w:t>
      </w:r>
      <w:r>
        <w:rPr>
          <w:rFonts w:hint="eastAsia"/>
        </w:rPr>
        <w:t>GB/T 4754-2017</w:t>
      </w:r>
      <w:r>
        <w:rPr>
          <w:rFonts w:hint="eastAsia"/>
        </w:rPr>
        <w:t>）》划分为</w:t>
      </w:r>
      <w:r>
        <w:rPr>
          <w:rFonts w:hint="eastAsia"/>
        </w:rPr>
        <w:t>C14</w:t>
      </w:r>
      <w:r>
        <w:rPr>
          <w:rFonts w:hint="eastAsia"/>
        </w:rPr>
        <w:t>食品制造业、</w:t>
      </w:r>
      <w:r>
        <w:rPr>
          <w:rFonts w:hint="eastAsia"/>
        </w:rPr>
        <w:t>C22</w:t>
      </w:r>
      <w:r>
        <w:rPr>
          <w:rFonts w:hint="eastAsia"/>
        </w:rPr>
        <w:t>造纸和纸制品业、</w:t>
      </w:r>
      <w:r>
        <w:rPr>
          <w:rFonts w:hint="eastAsia"/>
        </w:rPr>
        <w:t>C25</w:t>
      </w:r>
      <w:r>
        <w:rPr>
          <w:rFonts w:hint="eastAsia"/>
        </w:rPr>
        <w:t>石油、煤炭及其他燃料加工业、</w:t>
      </w:r>
      <w:r>
        <w:rPr>
          <w:rFonts w:hint="eastAsia"/>
        </w:rPr>
        <w:t>C26</w:t>
      </w:r>
      <w:r>
        <w:rPr>
          <w:rFonts w:hint="eastAsia"/>
        </w:rPr>
        <w:t>化学原料和化学制品制造业、</w:t>
      </w:r>
      <w:r>
        <w:rPr>
          <w:rFonts w:hint="eastAsia"/>
        </w:rPr>
        <w:t>C27</w:t>
      </w:r>
      <w:r>
        <w:rPr>
          <w:rFonts w:hint="eastAsia"/>
        </w:rPr>
        <w:t>医药制造业、</w:t>
      </w:r>
      <w:r>
        <w:rPr>
          <w:rFonts w:hint="eastAsia"/>
        </w:rPr>
        <w:t>C28</w:t>
      </w:r>
      <w:r>
        <w:rPr>
          <w:rFonts w:hint="eastAsia"/>
        </w:rPr>
        <w:t>化学纤维制造业和</w:t>
      </w:r>
      <w:r>
        <w:rPr>
          <w:rFonts w:hint="eastAsia"/>
        </w:rPr>
        <w:lastRenderedPageBreak/>
        <w:t>C29</w:t>
      </w:r>
      <w:r>
        <w:rPr>
          <w:rFonts w:hint="eastAsia"/>
        </w:rPr>
        <w:t>橡胶和塑料制品业等行业。</w:t>
      </w:r>
    </w:p>
    <w:p w14:paraId="025CE27B" w14:textId="77777777" w:rsidR="00865461" w:rsidRDefault="00000000">
      <w:pPr>
        <w:pStyle w:val="2"/>
      </w:pPr>
      <w:r>
        <w:rPr>
          <w:rFonts w:hint="default"/>
        </w:rPr>
        <w:t xml:space="preserve">5.2 </w:t>
      </w:r>
      <w:r>
        <w:t xml:space="preserve">规范性引用文件 </w:t>
      </w:r>
    </w:p>
    <w:p w14:paraId="40693FD5" w14:textId="12E85C7A" w:rsidR="00865461" w:rsidRDefault="00000000" w:rsidP="00413D92">
      <w:pPr>
        <w:widowControl/>
        <w:ind w:firstLineChars="200" w:firstLine="480"/>
        <w:rPr>
          <w:rFonts w:ascii="宋体" w:eastAsia="宋体" w:hAnsi="宋体" w:cs="宋体" w:hint="eastAsia"/>
          <w:color w:val="000000"/>
          <w:kern w:val="0"/>
          <w:lang w:bidi="ar"/>
        </w:rPr>
      </w:pPr>
      <w:r>
        <w:rPr>
          <w:rFonts w:ascii="宋体" w:eastAsia="宋体" w:hAnsi="宋体" w:cs="宋体"/>
          <w:color w:val="000000"/>
          <w:kern w:val="0"/>
          <w:lang w:bidi="ar"/>
        </w:rPr>
        <w:t>本《指南》制定以</w:t>
      </w:r>
      <w:r>
        <w:rPr>
          <w:rFonts w:ascii="宋体" w:eastAsia="宋体" w:hAnsi="宋体" w:cs="宋体" w:hint="eastAsia"/>
          <w:color w:val="000000"/>
          <w:kern w:val="0"/>
          <w:lang w:bidi="ar"/>
        </w:rPr>
        <w:t>规范污水处理行业新建、改建、扩建项目环境影响评价中甲烷排放识别、核算、评价与管控工作，补齐行业温室气体环</w:t>
      </w:r>
      <w:proofErr w:type="gramStart"/>
      <w:r>
        <w:rPr>
          <w:rFonts w:ascii="宋体" w:eastAsia="宋体" w:hAnsi="宋体" w:cs="宋体" w:hint="eastAsia"/>
          <w:color w:val="000000"/>
          <w:kern w:val="0"/>
          <w:lang w:bidi="ar"/>
        </w:rPr>
        <w:t>评技术</w:t>
      </w:r>
      <w:proofErr w:type="gramEnd"/>
      <w:r>
        <w:rPr>
          <w:rFonts w:ascii="宋体" w:eastAsia="宋体" w:hAnsi="宋体" w:cs="宋体" w:hint="eastAsia"/>
          <w:color w:val="000000"/>
          <w:kern w:val="0"/>
          <w:lang w:bidi="ar"/>
        </w:rPr>
        <w:t>短板，促进甲烷回收与利用，落实国家甲烷减排与减</w:t>
      </w:r>
      <w:proofErr w:type="gramStart"/>
      <w:r>
        <w:rPr>
          <w:rFonts w:ascii="宋体" w:eastAsia="宋体" w:hAnsi="宋体" w:cs="宋体" w:hint="eastAsia"/>
          <w:color w:val="000000"/>
          <w:kern w:val="0"/>
          <w:lang w:bidi="ar"/>
        </w:rPr>
        <w:t>污降碳</w:t>
      </w:r>
      <w:proofErr w:type="gramEnd"/>
      <w:r>
        <w:rPr>
          <w:rFonts w:ascii="宋体" w:eastAsia="宋体" w:hAnsi="宋体" w:cs="宋体" w:hint="eastAsia"/>
          <w:color w:val="000000"/>
          <w:kern w:val="0"/>
          <w:lang w:bidi="ar"/>
        </w:rPr>
        <w:t>协同管控要求。因此，</w:t>
      </w:r>
      <w:r>
        <w:rPr>
          <w:rFonts w:ascii="宋体" w:eastAsia="宋体" w:hAnsi="宋体" w:cs="宋体"/>
          <w:color w:val="000000"/>
          <w:kern w:val="0"/>
          <w:lang w:bidi="ar"/>
        </w:rPr>
        <w:t>环境影响评价制度导则包括《建设项目环境影响评价技术导则 总纲》（</w:t>
      </w:r>
      <w:r>
        <w:rPr>
          <w:rFonts w:ascii="Times New Roman" w:eastAsia="宋体" w:hAnsi="Times New Roman" w:cs="Times New Roman"/>
          <w:color w:val="000000"/>
          <w:kern w:val="0"/>
          <w:lang w:bidi="ar"/>
        </w:rPr>
        <w:t>HJ 2.1</w:t>
      </w:r>
      <w:r>
        <w:rPr>
          <w:rFonts w:ascii="宋体" w:eastAsia="宋体" w:hAnsi="宋体" w:cs="宋体"/>
          <w:color w:val="000000"/>
          <w:kern w:val="0"/>
          <w:lang w:bidi="ar"/>
        </w:rPr>
        <w:t>）、《建设项目环境影响评价技术导则 大气环境》（</w:t>
      </w:r>
      <w:r>
        <w:rPr>
          <w:rFonts w:ascii="Times New Roman" w:eastAsia="宋体" w:hAnsi="Times New Roman" w:cs="Times New Roman"/>
          <w:color w:val="000000"/>
          <w:kern w:val="0"/>
          <w:lang w:bidi="ar"/>
        </w:rPr>
        <w:t>HJ 2.2</w:t>
      </w:r>
      <w:r>
        <w:rPr>
          <w:rFonts w:ascii="宋体" w:eastAsia="宋体" w:hAnsi="宋体" w:cs="宋体"/>
          <w:color w:val="000000"/>
          <w:kern w:val="0"/>
          <w:lang w:bidi="ar"/>
        </w:rPr>
        <w:t>）和《建设项目环境影响评价技术导则 地表水环境》（</w:t>
      </w:r>
      <w:r>
        <w:rPr>
          <w:rFonts w:ascii="Times New Roman" w:eastAsia="宋体" w:hAnsi="Times New Roman" w:cs="Times New Roman"/>
          <w:color w:val="000000"/>
          <w:kern w:val="0"/>
          <w:lang w:bidi="ar"/>
        </w:rPr>
        <w:t>HJ 2.3</w:t>
      </w:r>
      <w:r>
        <w:rPr>
          <w:rFonts w:ascii="宋体" w:eastAsia="宋体" w:hAnsi="宋体" w:cs="宋体"/>
          <w:color w:val="000000"/>
          <w:kern w:val="0"/>
          <w:lang w:bidi="ar"/>
        </w:rPr>
        <w:t>）</w:t>
      </w:r>
      <w:r>
        <w:rPr>
          <w:rFonts w:ascii="宋体" w:eastAsia="宋体" w:hAnsi="宋体" w:cs="宋体" w:hint="eastAsia"/>
          <w:color w:val="000000"/>
          <w:kern w:val="0"/>
          <w:lang w:bidi="ar"/>
        </w:rPr>
        <w:t>。</w:t>
      </w:r>
      <w:r>
        <w:rPr>
          <w:rFonts w:ascii="宋体" w:eastAsia="宋体" w:hAnsi="宋体" w:cs="宋体"/>
          <w:color w:val="000000"/>
          <w:kern w:val="0"/>
          <w:lang w:bidi="ar"/>
        </w:rPr>
        <w:t>国家层面发布的</w:t>
      </w:r>
      <w:r>
        <w:rPr>
          <w:rFonts w:ascii="宋体" w:eastAsia="宋体" w:hAnsi="宋体" w:cs="宋体" w:hint="eastAsia"/>
          <w:color w:val="000000"/>
          <w:kern w:val="0"/>
          <w:lang w:bidi="ar"/>
        </w:rPr>
        <w:t>污水处理</w:t>
      </w:r>
      <w:r>
        <w:rPr>
          <w:rFonts w:ascii="宋体" w:eastAsia="宋体" w:hAnsi="宋体" w:cs="宋体"/>
          <w:color w:val="000000"/>
          <w:kern w:val="0"/>
          <w:lang w:bidi="ar"/>
        </w:rPr>
        <w:t>行业</w:t>
      </w:r>
      <w:r>
        <w:rPr>
          <w:rFonts w:ascii="宋体" w:eastAsia="宋体" w:hAnsi="宋体" w:cs="宋体" w:hint="eastAsia"/>
          <w:color w:val="000000"/>
          <w:kern w:val="0"/>
          <w:lang w:bidi="ar"/>
        </w:rPr>
        <w:t>甲烷</w:t>
      </w:r>
      <w:r>
        <w:rPr>
          <w:rFonts w:ascii="宋体" w:eastAsia="宋体" w:hAnsi="宋体" w:cs="宋体"/>
          <w:color w:val="000000"/>
          <w:kern w:val="0"/>
          <w:lang w:bidi="ar"/>
        </w:rPr>
        <w:t>排放量核算方法与报告标准包括：</w:t>
      </w:r>
      <w:r w:rsidRPr="00413D92">
        <w:rPr>
          <w:rFonts w:ascii="宋体" w:eastAsia="宋体" w:hAnsi="宋体" w:cs="宋体" w:hint="eastAsia"/>
          <w:color w:val="000000"/>
          <w:kern w:val="0"/>
          <w:lang w:bidi="ar"/>
        </w:rPr>
        <w:t>GB/T 32150 《工业企业温室气体排放核算和报告通则》、</w:t>
      </w:r>
      <w:r>
        <w:rPr>
          <w:rFonts w:ascii="宋体" w:eastAsia="宋体" w:hAnsi="宋体" w:cs="宋体" w:hint="eastAsia"/>
          <w:color w:val="000000"/>
          <w:kern w:val="0"/>
          <w:lang w:bidi="ar"/>
        </w:rPr>
        <w:t>《甲烷排放控制行动方案》（环气候〔2023〕67号）、《省级温室气体清单编制指南（2025年版）》（</w:t>
      </w:r>
      <w:proofErr w:type="gramStart"/>
      <w:r>
        <w:rPr>
          <w:rFonts w:ascii="宋体" w:eastAsia="宋体" w:hAnsi="宋体" w:cs="宋体" w:hint="eastAsia"/>
          <w:color w:val="000000"/>
          <w:kern w:val="0"/>
          <w:lang w:bidi="ar"/>
        </w:rPr>
        <w:t>环办气候</w:t>
      </w:r>
      <w:proofErr w:type="gramEnd"/>
      <w:r>
        <w:rPr>
          <w:rFonts w:ascii="宋体" w:eastAsia="宋体" w:hAnsi="宋体" w:cs="宋体" w:hint="eastAsia"/>
          <w:color w:val="000000"/>
          <w:kern w:val="0"/>
          <w:lang w:bidi="ar"/>
        </w:rPr>
        <w:t>〔2026〕1号）、《工业企业污染治理设施污染物去除协同控制温室气体核算技术指南（试行）》（</w:t>
      </w:r>
      <w:proofErr w:type="gramStart"/>
      <w:r>
        <w:rPr>
          <w:rFonts w:ascii="宋体" w:eastAsia="宋体" w:hAnsi="宋体" w:cs="宋体" w:hint="eastAsia"/>
          <w:color w:val="000000"/>
          <w:kern w:val="0"/>
          <w:lang w:bidi="ar"/>
        </w:rPr>
        <w:t>环办科技</w:t>
      </w:r>
      <w:proofErr w:type="gramEnd"/>
      <w:r>
        <w:rPr>
          <w:rFonts w:ascii="宋体" w:eastAsia="宋体" w:hAnsi="宋体" w:cs="宋体" w:hint="eastAsia"/>
          <w:color w:val="000000"/>
          <w:kern w:val="0"/>
          <w:lang w:bidi="ar"/>
        </w:rPr>
        <w:t>〔2017〕73号）、《关于推进污水处理减污降碳协同增效的实施意见》（</w:t>
      </w:r>
      <w:proofErr w:type="gramStart"/>
      <w:r>
        <w:rPr>
          <w:rFonts w:ascii="宋体" w:eastAsia="宋体" w:hAnsi="宋体" w:cs="宋体" w:hint="eastAsia"/>
          <w:color w:val="000000"/>
          <w:kern w:val="0"/>
          <w:lang w:bidi="ar"/>
        </w:rPr>
        <w:t>发改环</w:t>
      </w:r>
      <w:proofErr w:type="gramEnd"/>
      <w:r>
        <w:rPr>
          <w:rFonts w:ascii="宋体" w:eastAsia="宋体" w:hAnsi="宋体" w:cs="宋体" w:hint="eastAsia"/>
          <w:color w:val="000000"/>
          <w:kern w:val="0"/>
          <w:lang w:bidi="ar"/>
        </w:rPr>
        <w:t>资〔2023〕1714号）、《关于做好2023—2025年部分重点行业企业温室气体排放报告与核查工作的通知》（</w:t>
      </w:r>
      <w:proofErr w:type="gramStart"/>
      <w:r>
        <w:rPr>
          <w:rFonts w:ascii="宋体" w:eastAsia="宋体" w:hAnsi="宋体" w:cs="宋体" w:hint="eastAsia"/>
          <w:color w:val="000000"/>
          <w:kern w:val="0"/>
          <w:lang w:bidi="ar"/>
        </w:rPr>
        <w:t>环办气候</w:t>
      </w:r>
      <w:proofErr w:type="gramEnd"/>
      <w:r>
        <w:rPr>
          <w:rFonts w:ascii="宋体" w:eastAsia="宋体" w:hAnsi="宋体" w:cs="宋体" w:hint="eastAsia"/>
          <w:color w:val="000000"/>
          <w:kern w:val="0"/>
          <w:lang w:bidi="ar"/>
        </w:rPr>
        <w:t>函〔2023〕332号）等。同时还参考了部分行业标准和团体标准：</w:t>
      </w:r>
      <w:r w:rsidRPr="00413D92">
        <w:rPr>
          <w:rFonts w:ascii="宋体" w:eastAsia="宋体" w:hAnsi="宋体" w:cs="宋体" w:hint="eastAsia"/>
          <w:color w:val="000000"/>
          <w:kern w:val="0"/>
          <w:lang w:bidi="ar"/>
        </w:rPr>
        <w:t>NY/T 1220 《沼气工程技术规范》、T/CAEPI 44 《污水处理厂低碳运行评价技术规范》。监测</w:t>
      </w:r>
      <w:r>
        <w:rPr>
          <w:rFonts w:ascii="宋体" w:eastAsia="宋体" w:hAnsi="宋体" w:cs="宋体" w:hint="eastAsia"/>
          <w:color w:val="000000"/>
          <w:kern w:val="0"/>
          <w:lang w:bidi="ar"/>
        </w:rPr>
        <w:t>计划部分参考了GB/T 19022 《测量管理体系 测量过程和测量设备的要求》、GB17167 《用能单位能源计量器具配备和管理通则》、GB/T21368 《钢铁企业能源计量器具配备和管理要求》、</w:t>
      </w:r>
      <w:r>
        <w:rPr>
          <w:rFonts w:ascii="仿宋_GB2312" w:eastAsia="仿宋_GB2312" w:hAnsi="黑体" w:hint="eastAsia"/>
        </w:rPr>
        <w:t xml:space="preserve">HJ </w:t>
      </w:r>
      <w:r w:rsidRPr="00413D92">
        <w:rPr>
          <w:rFonts w:ascii="宋体" w:eastAsia="宋体" w:hAnsi="宋体" w:cs="宋体" w:hint="eastAsia"/>
          <w:color w:val="000000"/>
          <w:kern w:val="0"/>
          <w:lang w:bidi="ar"/>
        </w:rPr>
        <w:t>819 《排污单位自行监测技术指南 总则》</w:t>
      </w:r>
      <w:r>
        <w:rPr>
          <w:rFonts w:ascii="宋体" w:eastAsia="宋体" w:hAnsi="宋体" w:cs="宋体" w:hint="eastAsia"/>
          <w:color w:val="000000"/>
          <w:kern w:val="0"/>
          <w:lang w:bidi="ar"/>
        </w:rPr>
        <w:t>。</w:t>
      </w:r>
    </w:p>
    <w:p w14:paraId="20C29C3C" w14:textId="77777777" w:rsidR="00865461" w:rsidRDefault="00000000">
      <w:pPr>
        <w:pStyle w:val="2"/>
      </w:pPr>
      <w:r>
        <w:rPr>
          <w:rFonts w:hint="default"/>
        </w:rPr>
        <w:t>5.3 术语和定义</w:t>
      </w:r>
    </w:p>
    <w:p w14:paraId="64F069B5" w14:textId="77777777" w:rsidR="00865461" w:rsidRDefault="00000000">
      <w:pPr>
        <w:ind w:firstLineChars="200" w:firstLine="480"/>
      </w:pPr>
      <w:r>
        <w:t>本《指南》中涉及的术语包括</w:t>
      </w:r>
      <w:r>
        <w:rPr>
          <w:rFonts w:hint="eastAsia"/>
        </w:rPr>
        <w:t>甲烷排放、厌氧工艺单元、活动水平、排放因子、评价基准年。本《指南》中“甲烷排放指”污水处理过程中厌氧微生物代谢产生的甲烷气体释放，包括有组织（如沼气收集系统）和无组织（如敞口池面挥发）排放。甲烷气体排放量以二氧化碳当量表示，计量单位为“吨二氧化碳当量（</w:t>
      </w:r>
      <w:r>
        <w:rPr>
          <w:rFonts w:hint="eastAsia"/>
        </w:rPr>
        <w:t>tCO2e</w:t>
      </w:r>
      <w:r>
        <w:rPr>
          <w:rFonts w:hint="eastAsia"/>
        </w:rPr>
        <w:t>）”。</w:t>
      </w:r>
      <w:r>
        <w:rPr>
          <w:rFonts w:hint="eastAsia"/>
        </w:rPr>
        <w:t>IPCC</w:t>
      </w:r>
      <w:r>
        <w:rPr>
          <w:rFonts w:hint="eastAsia"/>
        </w:rPr>
        <w:t>第六次评估报告（</w:t>
      </w:r>
      <w:r>
        <w:rPr>
          <w:rFonts w:hint="eastAsia"/>
        </w:rPr>
        <w:t>AR6</w:t>
      </w:r>
      <w:r>
        <w:rPr>
          <w:rFonts w:hint="eastAsia"/>
        </w:rPr>
        <w:t>）甲烷全球变暖潜势（</w:t>
      </w:r>
      <w:r>
        <w:rPr>
          <w:rFonts w:hint="eastAsia"/>
        </w:rPr>
        <w:t>GWP</w:t>
      </w:r>
      <w:r>
        <w:rPr>
          <w:rFonts w:hint="eastAsia"/>
        </w:rPr>
        <w:t>）值给出了</w:t>
      </w:r>
      <w:r>
        <w:rPr>
          <w:rFonts w:hint="eastAsia"/>
        </w:rPr>
        <w:t>3</w:t>
      </w:r>
      <w:r>
        <w:rPr>
          <w:rFonts w:hint="eastAsia"/>
        </w:rPr>
        <w:t>个数值，包括化石源（</w:t>
      </w:r>
      <w:r>
        <w:rPr>
          <w:rFonts w:hint="eastAsia"/>
        </w:rPr>
        <w:t>29.8</w:t>
      </w:r>
      <w:r>
        <w:rPr>
          <w:rFonts w:hint="eastAsia"/>
        </w:rPr>
        <w:t>）和生物源（</w:t>
      </w:r>
      <w:r>
        <w:rPr>
          <w:rFonts w:hint="eastAsia"/>
        </w:rPr>
        <w:t>27.0</w:t>
      </w:r>
      <w:r>
        <w:rPr>
          <w:rFonts w:hint="eastAsia"/>
        </w:rPr>
        <w:t>），以及不考虑来源的平均值（</w:t>
      </w:r>
      <w:r>
        <w:rPr>
          <w:rFonts w:hint="eastAsia"/>
        </w:rPr>
        <w:t>27.9</w:t>
      </w:r>
      <w:r>
        <w:rPr>
          <w:rFonts w:hint="eastAsia"/>
        </w:rPr>
        <w:t>），已出台的政策、报告中引用平均值的较多，如生态环境部环境与经济政策研究中心编制的《甲烷排放控制与资源化利用报告》，建议本文参考实际情况引用</w:t>
      </w:r>
      <w:r>
        <w:rPr>
          <w:rFonts w:hint="eastAsia"/>
        </w:rPr>
        <w:t>27.9</w:t>
      </w:r>
      <w:r>
        <w:rPr>
          <w:rFonts w:hint="eastAsia"/>
        </w:rPr>
        <w:t>。</w:t>
      </w:r>
    </w:p>
    <w:p w14:paraId="761442A1" w14:textId="77777777" w:rsidR="00865461" w:rsidRDefault="00000000">
      <w:pPr>
        <w:ind w:firstLineChars="200" w:firstLine="480"/>
      </w:pPr>
      <w:r>
        <w:rPr>
          <w:rFonts w:hint="eastAsia"/>
        </w:rPr>
        <w:t>涉及甲烷排放量计算的“厌氧工艺单元”、“活动水平”、“排放因子”参考《省级温室气体清单编制指南（试行）》（发改办气候〔</w:t>
      </w:r>
      <w:r>
        <w:rPr>
          <w:rFonts w:hint="eastAsia"/>
        </w:rPr>
        <w:t>2011</w:t>
      </w:r>
      <w:r>
        <w:rPr>
          <w:rFonts w:hint="eastAsia"/>
        </w:rPr>
        <w:t>〕</w:t>
      </w:r>
      <w:r>
        <w:rPr>
          <w:rFonts w:hint="eastAsia"/>
        </w:rPr>
        <w:t>1041</w:t>
      </w:r>
      <w:r>
        <w:rPr>
          <w:rFonts w:hint="eastAsia"/>
        </w:rPr>
        <w:t>号）、《污水处理厂低碳运行评价技术规范》（</w:t>
      </w:r>
      <w:r>
        <w:rPr>
          <w:rFonts w:hint="eastAsia"/>
        </w:rPr>
        <w:t>T/CAEPI 49-2022</w:t>
      </w:r>
      <w:r>
        <w:rPr>
          <w:rFonts w:hint="eastAsia"/>
        </w:rPr>
        <w:t>）。</w:t>
      </w:r>
    </w:p>
    <w:p w14:paraId="024D20B0" w14:textId="77777777" w:rsidR="00865461" w:rsidRDefault="00000000">
      <w:pPr>
        <w:pStyle w:val="2"/>
      </w:pPr>
      <w:r>
        <w:rPr>
          <w:rFonts w:hint="default"/>
        </w:rPr>
        <w:lastRenderedPageBreak/>
        <w:t xml:space="preserve">5.4 </w:t>
      </w:r>
      <w:r>
        <w:t xml:space="preserve">工作程序 </w:t>
      </w:r>
    </w:p>
    <w:p w14:paraId="63EBBFB3" w14:textId="77777777" w:rsidR="00865461" w:rsidRDefault="00000000">
      <w:pPr>
        <w:widowControl/>
        <w:ind w:firstLineChars="200" w:firstLine="480"/>
        <w:jc w:val="left"/>
      </w:pPr>
      <w:r>
        <w:rPr>
          <w:rFonts w:ascii="宋体" w:eastAsia="宋体" w:hAnsi="宋体" w:cs="宋体"/>
          <w:color w:val="000000"/>
          <w:kern w:val="0"/>
          <w:lang w:bidi="ar"/>
        </w:rPr>
        <w:t>结合《建设项目环境影响评价技术导则 总纲》（</w:t>
      </w:r>
      <w:r>
        <w:rPr>
          <w:rFonts w:ascii="Times New Roman" w:eastAsia="宋体" w:hAnsi="Times New Roman" w:cs="Times New Roman"/>
          <w:color w:val="000000"/>
          <w:kern w:val="0"/>
          <w:lang w:bidi="ar"/>
        </w:rPr>
        <w:t>HJ 2.1</w:t>
      </w:r>
      <w:r>
        <w:rPr>
          <w:rFonts w:ascii="宋体" w:eastAsia="宋体" w:hAnsi="宋体" w:cs="宋体"/>
          <w:color w:val="000000"/>
          <w:kern w:val="0"/>
          <w:lang w:bidi="ar"/>
        </w:rPr>
        <w:t xml:space="preserve">）关于建设项目环 </w:t>
      </w:r>
    </w:p>
    <w:p w14:paraId="662625F8" w14:textId="77777777" w:rsidR="00865461" w:rsidRDefault="00000000">
      <w:pPr>
        <w:widowControl/>
        <w:jc w:val="left"/>
      </w:pPr>
      <w:r>
        <w:rPr>
          <w:rFonts w:ascii="宋体" w:eastAsia="宋体" w:hAnsi="宋体" w:cs="宋体"/>
          <w:color w:val="000000"/>
          <w:kern w:val="0"/>
          <w:lang w:bidi="ar"/>
        </w:rPr>
        <w:t>境影响评价的工作内容和要求，</w:t>
      </w:r>
      <w:r>
        <w:rPr>
          <w:rFonts w:ascii="宋体" w:eastAsia="宋体" w:hAnsi="宋体" w:cs="宋体" w:hint="eastAsia"/>
          <w:color w:val="000000"/>
          <w:kern w:val="0"/>
          <w:lang w:bidi="ar"/>
        </w:rPr>
        <w:t>污水处理</w:t>
      </w:r>
      <w:r>
        <w:rPr>
          <w:rFonts w:ascii="宋体" w:eastAsia="宋体" w:hAnsi="宋体" w:cs="宋体"/>
          <w:color w:val="000000"/>
          <w:kern w:val="0"/>
          <w:lang w:bidi="ar"/>
        </w:rPr>
        <w:t>行业建设项目</w:t>
      </w:r>
      <w:r>
        <w:rPr>
          <w:rFonts w:ascii="宋体" w:eastAsia="宋体" w:hAnsi="宋体" w:cs="宋体" w:hint="eastAsia"/>
          <w:color w:val="000000"/>
          <w:kern w:val="0"/>
          <w:lang w:bidi="ar"/>
        </w:rPr>
        <w:t>甲烷</w:t>
      </w:r>
      <w:r>
        <w:rPr>
          <w:rFonts w:ascii="宋体" w:eastAsia="宋体" w:hAnsi="宋体" w:cs="宋体"/>
          <w:color w:val="000000"/>
          <w:kern w:val="0"/>
          <w:lang w:bidi="ar"/>
        </w:rPr>
        <w:t xml:space="preserve">排放环境影响评价的 </w:t>
      </w:r>
    </w:p>
    <w:p w14:paraId="608B9A2C" w14:textId="77777777" w:rsidR="00865461" w:rsidRDefault="00000000">
      <w:pPr>
        <w:widowControl/>
        <w:jc w:val="left"/>
        <w:rPr>
          <w:rFonts w:ascii="宋体" w:eastAsia="宋体" w:hAnsi="宋体" w:cs="宋体" w:hint="eastAsia"/>
          <w:color w:val="000000"/>
          <w:kern w:val="0"/>
          <w:lang w:bidi="ar"/>
        </w:rPr>
      </w:pPr>
      <w:r>
        <w:rPr>
          <w:rFonts w:ascii="宋体" w:eastAsia="宋体" w:hAnsi="宋体" w:cs="宋体"/>
          <w:color w:val="000000"/>
          <w:kern w:val="0"/>
          <w:lang w:bidi="ar"/>
        </w:rPr>
        <w:t>主要内容包括</w:t>
      </w:r>
      <w:r>
        <w:rPr>
          <w:rFonts w:ascii="宋体" w:eastAsia="宋体" w:hAnsi="宋体" w:cs="宋体" w:hint="eastAsia"/>
          <w:color w:val="000000"/>
          <w:kern w:val="0"/>
          <w:lang w:bidi="ar"/>
        </w:rPr>
        <w:t>：</w:t>
      </w:r>
      <w:r>
        <w:rPr>
          <w:rFonts w:ascii="宋体" w:eastAsia="宋体" w:hAnsi="宋体" w:cs="宋体"/>
          <w:color w:val="000000"/>
          <w:kern w:val="0"/>
          <w:lang w:bidi="ar"/>
        </w:rPr>
        <w:t>建设项目</w:t>
      </w:r>
      <w:r>
        <w:rPr>
          <w:rFonts w:ascii="宋体" w:eastAsia="宋体" w:hAnsi="宋体" w:cs="宋体" w:hint="eastAsia"/>
          <w:color w:val="000000"/>
          <w:kern w:val="0"/>
          <w:lang w:bidi="ar"/>
        </w:rPr>
        <w:t>甲烷</w:t>
      </w:r>
      <w:r>
        <w:rPr>
          <w:rFonts w:ascii="宋体" w:eastAsia="宋体" w:hAnsi="宋体" w:cs="宋体"/>
          <w:color w:val="000000"/>
          <w:kern w:val="0"/>
          <w:lang w:bidi="ar"/>
        </w:rPr>
        <w:t>排放政策符合性分析，</w:t>
      </w:r>
      <w:r>
        <w:rPr>
          <w:rFonts w:ascii="宋体" w:eastAsia="宋体" w:hAnsi="宋体" w:cs="宋体" w:hint="eastAsia"/>
          <w:color w:val="000000"/>
          <w:kern w:val="0"/>
          <w:lang w:bidi="ar"/>
        </w:rPr>
        <w:t>甲烷</w:t>
      </w:r>
      <w:r>
        <w:rPr>
          <w:rFonts w:ascii="宋体" w:eastAsia="宋体" w:hAnsi="宋体" w:cs="宋体"/>
          <w:color w:val="000000"/>
          <w:kern w:val="0"/>
          <w:lang w:bidi="ar"/>
        </w:rPr>
        <w:t>排放节点识别，开展</w:t>
      </w:r>
      <w:r>
        <w:rPr>
          <w:rFonts w:ascii="宋体" w:eastAsia="宋体" w:hAnsi="宋体" w:cs="宋体" w:hint="eastAsia"/>
          <w:color w:val="000000"/>
          <w:kern w:val="0"/>
          <w:lang w:bidi="ar"/>
        </w:rPr>
        <w:t>甲烷</w:t>
      </w:r>
      <w:r>
        <w:rPr>
          <w:rFonts w:ascii="宋体" w:eastAsia="宋体" w:hAnsi="宋体" w:cs="宋体"/>
          <w:color w:val="000000"/>
          <w:kern w:val="0"/>
          <w:lang w:bidi="ar"/>
        </w:rPr>
        <w:t>排放量核算与评价，以及</w:t>
      </w:r>
      <w:r>
        <w:rPr>
          <w:rFonts w:ascii="宋体" w:eastAsia="宋体" w:hAnsi="宋体" w:cs="宋体" w:hint="eastAsia"/>
          <w:color w:val="000000"/>
          <w:kern w:val="0"/>
          <w:lang w:bidi="ar"/>
        </w:rPr>
        <w:t>甲烷</w:t>
      </w:r>
      <w:r>
        <w:rPr>
          <w:rFonts w:ascii="宋体" w:eastAsia="宋体" w:hAnsi="宋体" w:cs="宋体"/>
          <w:color w:val="000000"/>
          <w:kern w:val="0"/>
          <w:lang w:bidi="ar"/>
        </w:rPr>
        <w:t>与污染物协同控制措施有效性论证，最终提出建设项目</w:t>
      </w:r>
      <w:r>
        <w:rPr>
          <w:rFonts w:ascii="宋体" w:eastAsia="宋体" w:hAnsi="宋体" w:cs="宋体" w:hint="eastAsia"/>
          <w:color w:val="000000"/>
          <w:kern w:val="0"/>
          <w:lang w:bidi="ar"/>
        </w:rPr>
        <w:t>甲烷</w:t>
      </w:r>
      <w:r>
        <w:rPr>
          <w:rFonts w:ascii="宋体" w:eastAsia="宋体" w:hAnsi="宋体" w:cs="宋体"/>
          <w:color w:val="000000"/>
          <w:kern w:val="0"/>
          <w:lang w:bidi="ar"/>
        </w:rPr>
        <w:t>排放环境影响评价结论。</w:t>
      </w:r>
    </w:p>
    <w:p w14:paraId="18AC6330" w14:textId="18EDB90F" w:rsidR="00865461" w:rsidRDefault="00000000" w:rsidP="00413D92">
      <w:pPr>
        <w:widowControl/>
        <w:ind w:firstLineChars="200" w:firstLine="480"/>
        <w:jc w:val="left"/>
      </w:pPr>
      <w:r>
        <w:rPr>
          <w:rFonts w:ascii="宋体" w:eastAsia="宋体" w:hAnsi="宋体" w:cs="宋体"/>
          <w:color w:val="000000"/>
          <w:kern w:val="0"/>
          <w:lang w:bidi="ar"/>
        </w:rPr>
        <w:t>本《指南》按照现有工程、拟建项目进行工程分析，可以使</w:t>
      </w:r>
      <w:r>
        <w:rPr>
          <w:rFonts w:ascii="宋体" w:eastAsia="宋体" w:hAnsi="宋体" w:cs="宋体" w:hint="eastAsia"/>
          <w:color w:val="000000"/>
          <w:kern w:val="0"/>
          <w:lang w:bidi="ar"/>
        </w:rPr>
        <w:t>甲烷</w:t>
      </w:r>
      <w:r>
        <w:rPr>
          <w:rFonts w:ascii="宋体" w:eastAsia="宋体" w:hAnsi="宋体" w:cs="宋体"/>
          <w:color w:val="000000"/>
          <w:kern w:val="0"/>
          <w:lang w:bidi="ar"/>
        </w:rPr>
        <w:t>排放环境影响评价报告更加清晰，有利于规范</w:t>
      </w:r>
      <w:r>
        <w:rPr>
          <w:rFonts w:ascii="宋体" w:eastAsia="宋体" w:hAnsi="宋体" w:cs="宋体" w:hint="eastAsia"/>
          <w:color w:val="000000"/>
          <w:kern w:val="0"/>
          <w:lang w:bidi="ar"/>
        </w:rPr>
        <w:t>甲烷</w:t>
      </w:r>
      <w:r>
        <w:rPr>
          <w:rFonts w:ascii="宋体" w:eastAsia="宋体" w:hAnsi="宋体" w:cs="宋体"/>
          <w:color w:val="000000"/>
          <w:kern w:val="0"/>
          <w:lang w:bidi="ar"/>
        </w:rPr>
        <w:t>排放评价报告内容。为了将</w:t>
      </w:r>
      <w:r>
        <w:rPr>
          <w:rFonts w:ascii="宋体" w:eastAsia="宋体" w:hAnsi="宋体" w:cs="宋体" w:hint="eastAsia"/>
          <w:color w:val="000000"/>
          <w:kern w:val="0"/>
          <w:lang w:bidi="ar"/>
        </w:rPr>
        <w:t>甲烷</w:t>
      </w:r>
      <w:r>
        <w:rPr>
          <w:rFonts w:ascii="宋体" w:eastAsia="宋体" w:hAnsi="宋体" w:cs="宋体"/>
          <w:color w:val="000000"/>
          <w:kern w:val="0"/>
          <w:lang w:bidi="ar"/>
        </w:rPr>
        <w:t>排放评价工作从形式上更好地与建设项目环境影响评价工作衔接，本《指南》工作规定</w:t>
      </w:r>
      <w:r>
        <w:rPr>
          <w:rFonts w:ascii="宋体" w:eastAsia="宋体" w:hAnsi="宋体" w:cs="宋体" w:hint="eastAsia"/>
          <w:color w:val="000000"/>
          <w:kern w:val="0"/>
          <w:lang w:bidi="ar"/>
        </w:rPr>
        <w:t>：</w:t>
      </w:r>
      <w:r>
        <w:rPr>
          <w:rFonts w:ascii="宋体" w:eastAsia="宋体" w:hAnsi="宋体" w:cs="宋体"/>
          <w:color w:val="000000"/>
          <w:kern w:val="0"/>
          <w:lang w:bidi="ar"/>
        </w:rPr>
        <w:t>在环境影响评价文件编制期间应同步开展</w:t>
      </w:r>
      <w:r>
        <w:rPr>
          <w:rFonts w:ascii="宋体" w:eastAsia="宋体" w:hAnsi="宋体" w:cs="宋体" w:hint="eastAsia"/>
          <w:color w:val="000000"/>
          <w:kern w:val="0"/>
          <w:lang w:bidi="ar"/>
        </w:rPr>
        <w:t>甲烷</w:t>
      </w:r>
      <w:r>
        <w:rPr>
          <w:rFonts w:ascii="宋体" w:eastAsia="宋体" w:hAnsi="宋体" w:cs="宋体"/>
          <w:color w:val="000000"/>
          <w:kern w:val="0"/>
          <w:lang w:bidi="ar"/>
        </w:rPr>
        <w:t>排放环境影响评价，相关内容纳入环境影响评价报告相应章节，其中</w:t>
      </w:r>
      <w:r>
        <w:rPr>
          <w:rFonts w:ascii="宋体" w:eastAsia="宋体" w:hAnsi="宋体" w:cs="宋体" w:hint="eastAsia"/>
          <w:color w:val="000000"/>
          <w:kern w:val="0"/>
          <w:lang w:bidi="ar"/>
        </w:rPr>
        <w:t>甲烷</w:t>
      </w:r>
      <w:r>
        <w:rPr>
          <w:rFonts w:ascii="宋体" w:eastAsia="宋体" w:hAnsi="宋体" w:cs="宋体"/>
          <w:color w:val="000000"/>
          <w:kern w:val="0"/>
          <w:lang w:bidi="ar"/>
        </w:rPr>
        <w:t>排放评价设置独立章节。</w:t>
      </w:r>
    </w:p>
    <w:p w14:paraId="40A566BF" w14:textId="72E125D3" w:rsidR="00865461" w:rsidRDefault="00000000">
      <w:pPr>
        <w:widowControl/>
        <w:jc w:val="left"/>
      </w:pPr>
      <w:r>
        <w:rPr>
          <w:noProof/>
        </w:rPr>
        <w:lastRenderedPageBreak/>
        <w:drawing>
          <wp:inline distT="0" distB="0" distL="114300" distR="114300" wp14:anchorId="7129889A" wp14:editId="616A6E22">
            <wp:extent cx="5271135" cy="6879590"/>
            <wp:effectExtent l="0" t="0" r="5715" b="16510"/>
            <wp:docPr id="12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41"/>
                    <pic:cNvPicPr>
                      <a:picLocks noChangeAspect="1"/>
                    </pic:cNvPicPr>
                  </pic:nvPicPr>
                  <pic:blipFill>
                    <a:blip r:embed="rId6"/>
                    <a:stretch>
                      <a:fillRect/>
                    </a:stretch>
                  </pic:blipFill>
                  <pic:spPr>
                    <a:xfrm>
                      <a:off x="0" y="0"/>
                      <a:ext cx="5271135" cy="6879590"/>
                    </a:xfrm>
                    <a:prstGeom prst="rect">
                      <a:avLst/>
                    </a:prstGeom>
                    <a:noFill/>
                    <a:ln>
                      <a:noFill/>
                    </a:ln>
                  </pic:spPr>
                </pic:pic>
              </a:graphicData>
            </a:graphic>
          </wp:inline>
        </w:drawing>
      </w:r>
    </w:p>
    <w:p w14:paraId="24638F52" w14:textId="77777777" w:rsidR="00865461" w:rsidRDefault="00000000">
      <w:pPr>
        <w:jc w:val="center"/>
        <w:rPr>
          <w:rFonts w:ascii="仿宋_GB2312" w:eastAsia="仿宋_GB2312" w:hAnsi="黑体" w:hint="eastAsia"/>
          <w:sz w:val="21"/>
          <w:szCs w:val="21"/>
        </w:rPr>
      </w:pPr>
      <w:r>
        <w:rPr>
          <w:rFonts w:ascii="仿宋_GB2312" w:eastAsia="仿宋_GB2312" w:hAnsi="黑体"/>
          <w:sz w:val="21"/>
          <w:szCs w:val="21"/>
        </w:rPr>
        <w:t>图1</w:t>
      </w:r>
      <w:r>
        <w:rPr>
          <w:rFonts w:ascii="仿宋_GB2312" w:eastAsia="仿宋_GB2312" w:hAnsi="黑体" w:hint="eastAsia"/>
          <w:sz w:val="21"/>
          <w:szCs w:val="21"/>
        </w:rPr>
        <w:t xml:space="preserve"> 污水处理</w:t>
      </w:r>
      <w:r>
        <w:rPr>
          <w:rFonts w:ascii="仿宋_GB2312" w:eastAsia="仿宋_GB2312" w:hAnsi="黑体"/>
          <w:sz w:val="21"/>
          <w:szCs w:val="21"/>
        </w:rPr>
        <w:t>行业建设项目</w:t>
      </w:r>
      <w:r>
        <w:rPr>
          <w:rFonts w:ascii="仿宋_GB2312" w:eastAsia="仿宋_GB2312" w:hAnsi="黑体" w:hint="eastAsia"/>
          <w:sz w:val="21"/>
          <w:szCs w:val="21"/>
        </w:rPr>
        <w:t>甲烷</w:t>
      </w:r>
      <w:r>
        <w:rPr>
          <w:rFonts w:ascii="仿宋_GB2312" w:eastAsia="仿宋_GB2312" w:hAnsi="黑体"/>
          <w:sz w:val="21"/>
          <w:szCs w:val="21"/>
        </w:rPr>
        <w:t>排放环境影响评价工作程序</w:t>
      </w:r>
    </w:p>
    <w:p w14:paraId="1A7DFFC7" w14:textId="77777777" w:rsidR="00865461" w:rsidRDefault="00000000">
      <w:pPr>
        <w:pStyle w:val="2"/>
      </w:pPr>
      <w:r>
        <w:rPr>
          <w:rFonts w:hint="default"/>
        </w:rPr>
        <w:t xml:space="preserve">5.5 </w:t>
      </w:r>
      <w:r>
        <w:t xml:space="preserve">温室气体排放评价内容 </w:t>
      </w:r>
    </w:p>
    <w:p w14:paraId="6ECA379A" w14:textId="77777777" w:rsidR="00865461" w:rsidRDefault="00000000">
      <w:pPr>
        <w:widowControl/>
        <w:jc w:val="left"/>
      </w:pPr>
      <w:r>
        <w:rPr>
          <w:rFonts w:ascii="Times New Roman" w:eastAsia="宋体" w:hAnsi="Times New Roman" w:cs="Times New Roman"/>
          <w:color w:val="000000"/>
          <w:kern w:val="0"/>
          <w:lang w:bidi="ar"/>
        </w:rPr>
        <w:t xml:space="preserve">5.5.1 </w:t>
      </w:r>
      <w:r>
        <w:rPr>
          <w:rFonts w:ascii="黑体" w:eastAsia="黑体" w:hAnsi="宋体" w:cs="黑体"/>
          <w:color w:val="000000"/>
          <w:kern w:val="0"/>
          <w:lang w:bidi="ar"/>
        </w:rPr>
        <w:t xml:space="preserve">政策符合性分析 </w:t>
      </w:r>
    </w:p>
    <w:p w14:paraId="5EC405A1" w14:textId="77777777" w:rsidR="00865461" w:rsidRDefault="00000000">
      <w:pPr>
        <w:widowControl/>
        <w:ind w:firstLineChars="200" w:firstLine="480"/>
        <w:jc w:val="left"/>
        <w:rPr>
          <w:rFonts w:ascii="宋体" w:eastAsia="宋体" w:hAnsi="宋体" w:cs="宋体" w:hint="eastAsia"/>
          <w:color w:val="000000"/>
          <w:kern w:val="0"/>
          <w:lang w:bidi="ar"/>
        </w:rPr>
      </w:pPr>
      <w:r>
        <w:rPr>
          <w:rFonts w:ascii="宋体" w:eastAsia="宋体" w:hAnsi="宋体" w:cs="宋体"/>
          <w:color w:val="000000"/>
          <w:kern w:val="0"/>
          <w:lang w:bidi="ar"/>
        </w:rPr>
        <w:t>本《指南》要求在政策符合性章节中</w:t>
      </w:r>
      <w:r>
        <w:rPr>
          <w:rFonts w:ascii="宋体" w:eastAsia="宋体" w:hAnsi="宋体" w:cs="宋体" w:hint="eastAsia"/>
          <w:color w:val="000000"/>
          <w:kern w:val="0"/>
          <w:lang w:bidi="ar"/>
        </w:rPr>
        <w:t>收集建设项目相关基础资料，分析污水处理厂建设项目甲烷排放与生态环境保护相关法律法规，国家、区域（园区）和行业</w:t>
      </w:r>
      <w:proofErr w:type="gramStart"/>
      <w:r>
        <w:rPr>
          <w:rFonts w:ascii="宋体" w:eastAsia="宋体" w:hAnsi="宋体" w:cs="宋体" w:hint="eastAsia"/>
          <w:color w:val="000000"/>
          <w:kern w:val="0"/>
          <w:lang w:bidi="ar"/>
        </w:rPr>
        <w:t>碳达峰碳</w:t>
      </w:r>
      <w:proofErr w:type="gramEnd"/>
      <w:r>
        <w:rPr>
          <w:rFonts w:ascii="宋体" w:eastAsia="宋体" w:hAnsi="宋体" w:cs="宋体" w:hint="eastAsia"/>
          <w:color w:val="000000"/>
          <w:kern w:val="0"/>
          <w:lang w:bidi="ar"/>
        </w:rPr>
        <w:t>中和目标或行动方案、深入打好污染防治攻坚战目标任务、减</w:t>
      </w:r>
      <w:proofErr w:type="gramStart"/>
      <w:r>
        <w:rPr>
          <w:rFonts w:ascii="宋体" w:eastAsia="宋体" w:hAnsi="宋体" w:cs="宋体" w:hint="eastAsia"/>
          <w:color w:val="000000"/>
          <w:kern w:val="0"/>
          <w:lang w:bidi="ar"/>
        </w:rPr>
        <w:t>污降</w:t>
      </w:r>
      <w:r>
        <w:rPr>
          <w:rFonts w:ascii="宋体" w:eastAsia="宋体" w:hAnsi="宋体" w:cs="宋体" w:hint="eastAsia"/>
          <w:color w:val="000000"/>
          <w:kern w:val="0"/>
          <w:lang w:bidi="ar"/>
        </w:rPr>
        <w:lastRenderedPageBreak/>
        <w:t>碳</w:t>
      </w:r>
      <w:proofErr w:type="gramEnd"/>
      <w:r>
        <w:rPr>
          <w:rFonts w:ascii="宋体" w:eastAsia="宋体" w:hAnsi="宋体" w:cs="宋体" w:hint="eastAsia"/>
          <w:color w:val="000000"/>
          <w:kern w:val="0"/>
          <w:lang w:bidi="ar"/>
        </w:rPr>
        <w:t>协同增效要求和大气污染物排放标准等政策，以及国家、区域生态环境保护等相关规划和规划环境影响评价要求的相符性。</w:t>
      </w:r>
    </w:p>
    <w:p w14:paraId="2118E6E7" w14:textId="77777777" w:rsidR="00865461" w:rsidRDefault="00000000">
      <w:pPr>
        <w:widowControl/>
        <w:jc w:val="left"/>
      </w:pPr>
      <w:r>
        <w:rPr>
          <w:rFonts w:ascii="Times New Roman" w:eastAsia="宋体" w:hAnsi="Times New Roman" w:cs="Times New Roman"/>
          <w:color w:val="000000"/>
          <w:kern w:val="0"/>
          <w:lang w:bidi="ar"/>
        </w:rPr>
        <w:t xml:space="preserve">5.5.2 </w:t>
      </w:r>
      <w:r>
        <w:rPr>
          <w:rFonts w:ascii="黑体" w:eastAsia="黑体" w:hAnsi="宋体" w:cs="黑体"/>
          <w:color w:val="000000"/>
          <w:kern w:val="0"/>
          <w:lang w:bidi="ar"/>
        </w:rPr>
        <w:t xml:space="preserve">工程分析 </w:t>
      </w:r>
    </w:p>
    <w:p w14:paraId="535EF798" w14:textId="77777777" w:rsidR="00865461" w:rsidRDefault="00000000">
      <w:pPr>
        <w:widowControl/>
        <w:jc w:val="left"/>
      </w:pPr>
      <w:r>
        <w:rPr>
          <w:rFonts w:ascii="宋体" w:eastAsia="宋体" w:hAnsi="宋体" w:cs="宋体"/>
          <w:color w:val="000000"/>
          <w:kern w:val="0"/>
          <w:lang w:bidi="ar"/>
        </w:rPr>
        <w:t>（</w:t>
      </w:r>
      <w:r>
        <w:rPr>
          <w:rFonts w:ascii="Times New Roman" w:eastAsia="宋体" w:hAnsi="Times New Roman" w:cs="Times New Roman"/>
          <w:color w:val="000000"/>
          <w:kern w:val="0"/>
          <w:lang w:bidi="ar"/>
        </w:rPr>
        <w:t>1</w:t>
      </w:r>
      <w:r>
        <w:rPr>
          <w:rFonts w:ascii="宋体" w:eastAsia="宋体" w:hAnsi="宋体" w:cs="宋体"/>
          <w:color w:val="000000"/>
          <w:kern w:val="0"/>
          <w:lang w:bidi="ar"/>
        </w:rPr>
        <w:t>）</w:t>
      </w:r>
      <w:r>
        <w:rPr>
          <w:rFonts w:ascii="宋体" w:eastAsia="宋体" w:hAnsi="宋体" w:cs="宋体" w:hint="eastAsia"/>
          <w:color w:val="000000"/>
          <w:kern w:val="0"/>
          <w:lang w:bidi="ar"/>
        </w:rPr>
        <w:t>甲烷</w:t>
      </w:r>
      <w:r>
        <w:rPr>
          <w:rFonts w:ascii="宋体" w:eastAsia="宋体" w:hAnsi="宋体" w:cs="宋体"/>
          <w:color w:val="000000"/>
          <w:kern w:val="0"/>
          <w:lang w:bidi="ar"/>
        </w:rPr>
        <w:t xml:space="preserve">排放核算边界的确定 </w:t>
      </w:r>
    </w:p>
    <w:p w14:paraId="7D4D6D96" w14:textId="77777777" w:rsidR="00865461" w:rsidRDefault="00000000">
      <w:pPr>
        <w:widowControl/>
        <w:ind w:firstLineChars="200" w:firstLine="480"/>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对于核算边界，本《指南》限定于在污水处理场内由于厌氧生物反应产生甲烷的高浓度污水（COD≥1000mg/L）工艺单元及甲烷收集和利用设施，不包括进场污水中携带的甲烷以及污泥处理处置产生的甲烷。主要包括预处理单元（调节池、水解酸化池）、生化处理单元（厌氧反应器、厌氧池、缺氧池）、沼气处理设施（收集系统、气柜、火炬、净化、发电、供热等）。</w:t>
      </w:r>
    </w:p>
    <w:p w14:paraId="1E721EDC" w14:textId="77777777" w:rsidR="00865461" w:rsidRDefault="00000000">
      <w:pPr>
        <w:widowControl/>
        <w:jc w:val="left"/>
      </w:pPr>
      <w:r>
        <w:rPr>
          <w:noProof/>
        </w:rPr>
        <w:drawing>
          <wp:inline distT="0" distB="0" distL="114300" distR="114300" wp14:anchorId="20D2C26D" wp14:editId="5079A1B8">
            <wp:extent cx="5270500" cy="1463040"/>
            <wp:effectExtent l="0" t="0" r="635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0500" cy="1463040"/>
                    </a:xfrm>
                    <a:prstGeom prst="rect">
                      <a:avLst/>
                    </a:prstGeom>
                    <a:noFill/>
                    <a:ln>
                      <a:noFill/>
                    </a:ln>
                  </pic:spPr>
                </pic:pic>
              </a:graphicData>
            </a:graphic>
          </wp:inline>
        </w:drawing>
      </w:r>
    </w:p>
    <w:p w14:paraId="1B16B212" w14:textId="77777777" w:rsidR="00865461" w:rsidRDefault="00000000">
      <w:pPr>
        <w:spacing w:before="100" w:beforeAutospacing="1" w:line="240" w:lineRule="auto"/>
        <w:ind w:firstLineChars="200" w:firstLine="420"/>
        <w:jc w:val="center"/>
        <w:rPr>
          <w:rFonts w:ascii="仿宋_GB2312" w:eastAsia="仿宋_GB2312" w:hAnsi="黑体" w:hint="eastAsia"/>
          <w:sz w:val="21"/>
          <w:szCs w:val="21"/>
        </w:rPr>
      </w:pPr>
      <w:r>
        <w:rPr>
          <w:rFonts w:ascii="仿宋_GB2312" w:eastAsia="仿宋_GB2312" w:hAnsi="黑体"/>
          <w:sz w:val="21"/>
          <w:szCs w:val="21"/>
        </w:rPr>
        <w:t>图</w:t>
      </w:r>
      <w:r>
        <w:rPr>
          <w:rFonts w:ascii="仿宋_GB2312" w:eastAsia="仿宋_GB2312" w:hAnsi="黑体" w:hint="eastAsia"/>
          <w:sz w:val="21"/>
          <w:szCs w:val="21"/>
        </w:rPr>
        <w:t>2 污水处理</w:t>
      </w:r>
      <w:r>
        <w:rPr>
          <w:rFonts w:ascii="仿宋_GB2312" w:eastAsia="仿宋_GB2312" w:hAnsi="黑体"/>
          <w:sz w:val="21"/>
          <w:szCs w:val="21"/>
        </w:rPr>
        <w:t>行业建设项目</w:t>
      </w:r>
      <w:r>
        <w:rPr>
          <w:rFonts w:ascii="仿宋_GB2312" w:eastAsia="仿宋_GB2312" w:hAnsi="黑体" w:hint="eastAsia"/>
          <w:sz w:val="21"/>
          <w:szCs w:val="21"/>
        </w:rPr>
        <w:t>甲烷</w:t>
      </w:r>
      <w:r>
        <w:rPr>
          <w:rFonts w:ascii="仿宋_GB2312" w:eastAsia="仿宋_GB2312" w:hAnsi="黑体"/>
          <w:sz w:val="21"/>
          <w:szCs w:val="21"/>
        </w:rPr>
        <w:t>排放</w:t>
      </w:r>
      <w:r>
        <w:rPr>
          <w:rFonts w:ascii="仿宋_GB2312" w:eastAsia="仿宋_GB2312" w:hAnsi="黑体" w:hint="eastAsia"/>
          <w:sz w:val="21"/>
          <w:szCs w:val="21"/>
        </w:rPr>
        <w:t>核算边界示意图</w:t>
      </w:r>
    </w:p>
    <w:p w14:paraId="50BA0F57" w14:textId="77777777" w:rsidR="00865461" w:rsidRDefault="00865461">
      <w:pPr>
        <w:spacing w:before="100" w:beforeAutospacing="1" w:line="240" w:lineRule="auto"/>
        <w:ind w:firstLineChars="200" w:firstLine="420"/>
        <w:jc w:val="center"/>
        <w:rPr>
          <w:rFonts w:ascii="仿宋_GB2312" w:eastAsia="仿宋_GB2312" w:hAnsi="黑体" w:hint="eastAsia"/>
          <w:sz w:val="21"/>
          <w:szCs w:val="21"/>
        </w:rPr>
      </w:pPr>
    </w:p>
    <w:p w14:paraId="0CEB5C4B" w14:textId="77777777" w:rsidR="00865461" w:rsidRDefault="00000000">
      <w:pPr>
        <w:widowControl/>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（2）现状调查与分析</w:t>
      </w:r>
    </w:p>
    <w:p w14:paraId="3C405B00" w14:textId="77777777" w:rsidR="00865461" w:rsidRDefault="00000000">
      <w:pPr>
        <w:widowControl/>
        <w:ind w:firstLineChars="200" w:firstLine="480"/>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收集与污水处理行业建设项目甲烷排放相关的主要技术资料，识别项目甲烷排放的主要节点，明确核算技术方法和相关活动数据。</w:t>
      </w:r>
    </w:p>
    <w:p w14:paraId="0BEFD9DB" w14:textId="77777777" w:rsidR="00865461" w:rsidRDefault="00000000">
      <w:pPr>
        <w:widowControl/>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1）评价基准年确定</w:t>
      </w:r>
    </w:p>
    <w:p w14:paraId="0B856BA5" w14:textId="77777777" w:rsidR="00865461" w:rsidRDefault="00000000">
      <w:pPr>
        <w:widowControl/>
        <w:ind w:firstLineChars="200" w:firstLine="480"/>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合理确定评价基准年，优先与项目环境影响评价的评价基准年保持一致；若不一致，应在环</w:t>
      </w:r>
      <w:proofErr w:type="gramStart"/>
      <w:r>
        <w:rPr>
          <w:rFonts w:ascii="宋体" w:eastAsia="宋体" w:hAnsi="宋体" w:cs="宋体" w:hint="eastAsia"/>
          <w:color w:val="000000"/>
          <w:kern w:val="0"/>
          <w:lang w:bidi="ar"/>
        </w:rPr>
        <w:t>评文件</w:t>
      </w:r>
      <w:proofErr w:type="gramEnd"/>
      <w:r>
        <w:rPr>
          <w:rFonts w:ascii="宋体" w:eastAsia="宋体" w:hAnsi="宋体" w:cs="宋体" w:hint="eastAsia"/>
          <w:color w:val="000000"/>
          <w:kern w:val="0"/>
          <w:lang w:bidi="ar"/>
        </w:rPr>
        <w:t>中说明理由并提供佐证依据。评价基准年基于项目实际运行数据或行业典型水平确定，选择近12个月内有完整运行数据日历年作为甲烷排放评价基准年。</w:t>
      </w:r>
    </w:p>
    <w:p w14:paraId="187F5E8D" w14:textId="77777777" w:rsidR="00865461" w:rsidRDefault="00000000">
      <w:pPr>
        <w:widowControl/>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2）甲烷排放节点识别与分析</w:t>
      </w:r>
    </w:p>
    <w:p w14:paraId="695B173E" w14:textId="77777777" w:rsidR="00865461" w:rsidRDefault="00000000">
      <w:pPr>
        <w:widowControl/>
        <w:ind w:firstLineChars="200" w:firstLine="480"/>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在确定建设项目核算边界的基础上，根据HJ2.1、HJ2.2等技术导则要求，应根据污水处理工艺流程图，覆盖从废水进入厂区到最终处置的全生产流程，覆盖甲烷废气产生、收集、处理、排放的全生产流程；识别结果应与项目厌氧工艺类型、处理规模、进水特性、甲烷捕集处理处置方法相适配；对高浓度 COD 厌氧反应器、甲烷处理设施等甲烷</w:t>
      </w:r>
      <w:proofErr w:type="gramStart"/>
      <w:r>
        <w:rPr>
          <w:rFonts w:ascii="宋体" w:eastAsia="宋体" w:hAnsi="宋体" w:cs="宋体" w:hint="eastAsia"/>
          <w:color w:val="000000"/>
          <w:kern w:val="0"/>
          <w:lang w:bidi="ar"/>
        </w:rPr>
        <w:t>产排核心</w:t>
      </w:r>
      <w:proofErr w:type="gramEnd"/>
      <w:r>
        <w:rPr>
          <w:rFonts w:ascii="宋体" w:eastAsia="宋体" w:hAnsi="宋体" w:cs="宋体" w:hint="eastAsia"/>
          <w:color w:val="000000"/>
          <w:kern w:val="0"/>
          <w:lang w:bidi="ar"/>
        </w:rPr>
        <w:t>节点进行重点识别。</w:t>
      </w:r>
    </w:p>
    <w:p w14:paraId="6697A56D" w14:textId="77777777" w:rsidR="00865461" w:rsidRDefault="00000000">
      <w:pPr>
        <w:widowControl/>
        <w:jc w:val="left"/>
        <w:rPr>
          <w:rFonts w:ascii="宋体" w:eastAsia="宋体" w:hAnsi="宋体" w:cs="宋体" w:hint="eastAsia"/>
          <w:color w:val="000000"/>
          <w:kern w:val="0"/>
          <w:lang w:bidi="ar"/>
        </w:rPr>
      </w:pPr>
      <w:r>
        <w:rPr>
          <w:rFonts w:ascii="宋体" w:eastAsia="宋体" w:hAnsi="宋体" w:cs="宋体" w:hint="eastAsia"/>
          <w:color w:val="000000"/>
          <w:kern w:val="0"/>
          <w:lang w:bidi="ar"/>
        </w:rPr>
        <w:lastRenderedPageBreak/>
        <w:t>建议按工艺单元划分的行业通用识别节点（如污水处理单元分预处理、厌氧反应、沼气收集、火炬和尾水排放等环节），明确每个节点的排放形式、识别要求，同时标注重点管控节点。</w:t>
      </w:r>
    </w:p>
    <w:p w14:paraId="62B222C2" w14:textId="77777777" w:rsidR="00865461" w:rsidRDefault="00000000">
      <w:pPr>
        <w:widowControl/>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a.现有工程</w:t>
      </w:r>
    </w:p>
    <w:p w14:paraId="66EC5659" w14:textId="77777777" w:rsidR="00865461" w:rsidRDefault="00000000">
      <w:pPr>
        <w:widowControl/>
        <w:ind w:firstLineChars="200" w:firstLine="480"/>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调查现有工程评价基准年的甲烷排放情况。</w:t>
      </w:r>
      <w:proofErr w:type="gramStart"/>
      <w:r>
        <w:rPr>
          <w:rFonts w:ascii="宋体" w:eastAsia="宋体" w:hAnsi="宋体" w:cs="宋体" w:hint="eastAsia"/>
          <w:color w:val="000000"/>
          <w:kern w:val="0"/>
          <w:lang w:bidi="ar"/>
        </w:rPr>
        <w:t>若现有</w:t>
      </w:r>
      <w:proofErr w:type="gramEnd"/>
      <w:r>
        <w:rPr>
          <w:rFonts w:ascii="宋体" w:eastAsia="宋体" w:hAnsi="宋体" w:cs="宋体" w:hint="eastAsia"/>
          <w:color w:val="000000"/>
          <w:kern w:val="0"/>
          <w:lang w:bidi="ar"/>
        </w:rPr>
        <w:t>工程已纳入碳核查报告，可</w:t>
      </w:r>
      <w:proofErr w:type="gramStart"/>
      <w:r>
        <w:rPr>
          <w:rFonts w:ascii="宋体" w:eastAsia="宋体" w:hAnsi="宋体" w:cs="宋体" w:hint="eastAsia"/>
          <w:color w:val="000000"/>
          <w:kern w:val="0"/>
          <w:lang w:bidi="ar"/>
        </w:rPr>
        <w:t>直接从碳核查</w:t>
      </w:r>
      <w:proofErr w:type="gramEnd"/>
      <w:r>
        <w:rPr>
          <w:rFonts w:ascii="宋体" w:eastAsia="宋体" w:hAnsi="宋体" w:cs="宋体" w:hint="eastAsia"/>
          <w:color w:val="000000"/>
          <w:kern w:val="0"/>
          <w:lang w:bidi="ar"/>
        </w:rPr>
        <w:t>报告引用相关数据信息，包括甲烷排放总量，污水处理量、污水COD去除量、甲烷回收总量、火炬燃烧情况、甲烷利用情况等。</w:t>
      </w:r>
    </w:p>
    <w:p w14:paraId="13B9876D" w14:textId="77777777" w:rsidR="00865461" w:rsidRDefault="00000000">
      <w:pPr>
        <w:widowControl/>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b.拟建工程</w:t>
      </w:r>
    </w:p>
    <w:p w14:paraId="4F8D1413" w14:textId="77777777" w:rsidR="00865461" w:rsidRDefault="00000000">
      <w:pPr>
        <w:widowControl/>
        <w:ind w:firstLineChars="200" w:firstLine="480"/>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结工艺流程图中给出甲烷产生及排放节点，明确碳排放形式，依据项目基础资料，明确污水处理量、污水COD含量、污泥消解量、甲烷回收量以及火炬燃烧等情况，给出甲烷排放总量。</w:t>
      </w:r>
    </w:p>
    <w:p w14:paraId="7247EE92" w14:textId="77777777" w:rsidR="00865461" w:rsidRDefault="00000000">
      <w:pPr>
        <w:widowControl/>
        <w:jc w:val="left"/>
        <w:rPr>
          <w:b/>
          <w:bCs/>
        </w:rPr>
      </w:pPr>
      <w:r>
        <w:rPr>
          <w:rFonts w:hint="eastAsia"/>
          <w:b/>
          <w:bCs/>
        </w:rPr>
        <w:t xml:space="preserve">5.5.3 </w:t>
      </w:r>
      <w:r>
        <w:rPr>
          <w:rFonts w:hint="eastAsia"/>
          <w:b/>
          <w:bCs/>
        </w:rPr>
        <w:t>甲烷排放核算</w:t>
      </w:r>
    </w:p>
    <w:p w14:paraId="0B46780D" w14:textId="07BD1652" w:rsidR="00865461" w:rsidRDefault="00000000">
      <w:pPr>
        <w:pStyle w:val="a8"/>
        <w:widowControl/>
        <w:spacing w:beforeAutospacing="0" w:afterAutospacing="0"/>
        <w:ind w:firstLineChars="200" w:firstLine="480"/>
      </w:pPr>
      <w:r>
        <w:rPr>
          <w:rFonts w:hint="eastAsia"/>
        </w:rPr>
        <w:t>从现有设计运行水平看，污水处理所涉及的处理单元均存在形成厌氧环境的可能，继而在生物作用下生产并释放</w:t>
      </w:r>
      <w:r>
        <w:rPr>
          <w:rFonts w:hint="eastAsia"/>
        </w:rPr>
        <w:t>CH</w:t>
      </w:r>
      <w:r>
        <w:rPr>
          <w:rFonts w:hint="eastAsia"/>
          <w:vertAlign w:val="subscript"/>
        </w:rPr>
        <w:t>4</w:t>
      </w:r>
      <w:r>
        <w:rPr>
          <w:rFonts w:hint="eastAsia"/>
        </w:rPr>
        <w:t>，本《指南》核算范围集中在理论甲烷产量较大的构筑物单元。若污水处理厂通过回收或处理去除了部分</w:t>
      </w:r>
      <w:r>
        <w:rPr>
          <w:rFonts w:hint="eastAsia"/>
        </w:rPr>
        <w:t>CH</w:t>
      </w:r>
      <w:r>
        <w:rPr>
          <w:rFonts w:hint="eastAsia"/>
          <w:vertAlign w:val="subscript"/>
        </w:rPr>
        <w:t>4</w:t>
      </w:r>
      <w:r>
        <w:rPr>
          <w:rFonts w:hint="eastAsia"/>
        </w:rPr>
        <w:t>气体，则应予以扣除。污水处理</w:t>
      </w:r>
      <w:r>
        <w:rPr>
          <w:rFonts w:hint="eastAsia"/>
        </w:rPr>
        <w:t>CH</w:t>
      </w:r>
      <w:r>
        <w:rPr>
          <w:rFonts w:hint="eastAsia"/>
          <w:vertAlign w:val="subscript"/>
        </w:rPr>
        <w:t>4</w:t>
      </w:r>
      <w:r>
        <w:rPr>
          <w:rFonts w:hint="eastAsia"/>
        </w:rPr>
        <w:t>排放量核算一般采用排放系数法将污水处理作为整体进行核算。</w:t>
      </w:r>
      <w:r>
        <w:t>《省级温室气体清单编制指南（</w:t>
      </w:r>
      <w:r>
        <w:t>2025</w:t>
      </w:r>
      <w:r>
        <w:t>年版）》</w:t>
      </w:r>
      <w:r>
        <w:rPr>
          <w:rFonts w:hint="eastAsia"/>
        </w:rPr>
        <w:t>提供了污水处理</w:t>
      </w:r>
      <w:r>
        <w:rPr>
          <w:rFonts w:hint="eastAsia"/>
        </w:rPr>
        <w:t>CH</w:t>
      </w:r>
      <w:r>
        <w:rPr>
          <w:rFonts w:hint="eastAsia"/>
          <w:vertAlign w:val="subscript"/>
        </w:rPr>
        <w:t>4</w:t>
      </w:r>
      <w:r>
        <w:rPr>
          <w:rFonts w:hint="eastAsia"/>
        </w:rPr>
        <w:t>排放量核算公式，并给出了各行业对于排放因子；《污水处理厂低碳运行评价技术规范》提供了污水处理</w:t>
      </w:r>
      <w:r>
        <w:rPr>
          <w:rFonts w:hint="eastAsia"/>
        </w:rPr>
        <w:t>CH</w:t>
      </w:r>
      <w:r>
        <w:rPr>
          <w:rFonts w:hint="eastAsia"/>
          <w:vertAlign w:val="subscript"/>
        </w:rPr>
        <w:t>4</w:t>
      </w:r>
      <w:r>
        <w:rPr>
          <w:rFonts w:hint="eastAsia"/>
        </w:rPr>
        <w:t>排放量核算公式，给出厌氧过程降解单位</w:t>
      </w:r>
      <w:r>
        <w:rPr>
          <w:rFonts w:hint="eastAsia"/>
        </w:rPr>
        <w:t>COD</w:t>
      </w:r>
      <w:r>
        <w:rPr>
          <w:rFonts w:hint="eastAsia"/>
        </w:rPr>
        <w:t>时</w:t>
      </w:r>
      <w:r>
        <w:rPr>
          <w:rFonts w:hint="eastAsia"/>
        </w:rPr>
        <w:t>CH4</w:t>
      </w:r>
      <w:r>
        <w:rPr>
          <w:rFonts w:hint="eastAsia"/>
        </w:rPr>
        <w:t>的产率系数，取值为</w:t>
      </w:r>
      <w:r>
        <w:rPr>
          <w:rFonts w:hint="eastAsia"/>
        </w:rPr>
        <w:t>0.25kgCH</w:t>
      </w:r>
      <w:r w:rsidRPr="00413D92">
        <w:rPr>
          <w:vertAlign w:val="subscript"/>
        </w:rPr>
        <w:t>4</w:t>
      </w:r>
      <w:r>
        <w:rPr>
          <w:rFonts w:hint="eastAsia"/>
        </w:rPr>
        <w:t>/</w:t>
      </w:r>
      <w:proofErr w:type="spellStart"/>
      <w:r>
        <w:rPr>
          <w:rFonts w:hint="eastAsia"/>
        </w:rPr>
        <w:t>kgCOD</w:t>
      </w:r>
      <w:proofErr w:type="spellEnd"/>
      <w:r>
        <w:rPr>
          <w:rFonts w:hint="eastAsia"/>
        </w:rPr>
        <w:t>；《沼气工程技术规范》（</w:t>
      </w:r>
      <w:r>
        <w:rPr>
          <w:rFonts w:hint="eastAsia"/>
        </w:rPr>
        <w:t>NY/T 1220-2019</w:t>
      </w:r>
      <w:r>
        <w:rPr>
          <w:rFonts w:hint="eastAsia"/>
        </w:rPr>
        <w:t>）给出了沼气工程产气量计算公式以及不同发酵原料的产气率，其中有机废水产气率为</w:t>
      </w:r>
      <w:r>
        <w:rPr>
          <w:rFonts w:hint="eastAsia"/>
        </w:rPr>
        <w:t>0.35~0.40m</w:t>
      </w:r>
      <w:r w:rsidRPr="00413D92">
        <w:rPr>
          <w:vertAlign w:val="superscript"/>
        </w:rPr>
        <w:t>3</w:t>
      </w:r>
      <w:r>
        <w:rPr>
          <w:rFonts w:hint="eastAsia"/>
        </w:rPr>
        <w:t>/</w:t>
      </w:r>
      <w:proofErr w:type="spellStart"/>
      <w:r>
        <w:rPr>
          <w:rFonts w:hint="eastAsia"/>
        </w:rPr>
        <w:t>kgCOD</w:t>
      </w:r>
      <w:proofErr w:type="spellEnd"/>
      <w:r>
        <w:rPr>
          <w:rFonts w:hint="eastAsia"/>
        </w:rPr>
        <w:t>。上述三个参考中甲烷产生量核算均以</w:t>
      </w:r>
      <w:r>
        <w:rPr>
          <w:rFonts w:hint="eastAsia"/>
        </w:rPr>
        <w:t>COD</w:t>
      </w:r>
      <w:r>
        <w:rPr>
          <w:rFonts w:hint="eastAsia"/>
        </w:rPr>
        <w:t>消耗作为基本值，本指南同样以</w:t>
      </w:r>
      <w:r>
        <w:rPr>
          <w:rFonts w:hint="eastAsia"/>
        </w:rPr>
        <w:t>COD</w:t>
      </w:r>
      <w:r>
        <w:rPr>
          <w:rFonts w:hint="eastAsia"/>
        </w:rPr>
        <w:t>消耗量作为甲烷核算基本值；《污水处理厂低碳运行评价技术规范》和</w:t>
      </w:r>
      <w:r>
        <w:t>《省级温室气体清单编制指南（</w:t>
      </w:r>
      <w:r>
        <w:t>2025</w:t>
      </w:r>
      <w:r>
        <w:t>年版）》</w:t>
      </w:r>
      <w:r>
        <w:rPr>
          <w:rFonts w:hint="eastAsia"/>
        </w:rPr>
        <w:t>在甲烷产生量核算中考虑到由于污泥产生造成的</w:t>
      </w:r>
      <w:r>
        <w:rPr>
          <w:rFonts w:hint="eastAsia"/>
        </w:rPr>
        <w:t>COD</w:t>
      </w:r>
      <w:r>
        <w:rPr>
          <w:rFonts w:hint="eastAsia"/>
        </w:rPr>
        <w:t>消耗，《沼气工程技术规范》未考虑，在实践过程中，实际由污泥造成的</w:t>
      </w:r>
      <w:r>
        <w:rPr>
          <w:rFonts w:hint="eastAsia"/>
        </w:rPr>
        <w:t>COD</w:t>
      </w:r>
      <w:r>
        <w:rPr>
          <w:rFonts w:hint="eastAsia"/>
        </w:rPr>
        <w:t>消耗不易被准确监测，因此在本《指南》核算甲烷产生量时不考虑污泥产生造成的</w:t>
      </w:r>
      <w:r>
        <w:rPr>
          <w:rFonts w:hint="eastAsia"/>
        </w:rPr>
        <w:t>COD</w:t>
      </w:r>
      <w:r>
        <w:rPr>
          <w:rFonts w:hint="eastAsia"/>
        </w:rPr>
        <w:t>消耗。关于甲烷产率系数，由于本《指南》涉及多个行业污水，以《沼气工程技术规范》中给出的有机废水最低值为准。</w:t>
      </w:r>
    </w:p>
    <w:p w14:paraId="29783715" w14:textId="77777777" w:rsidR="00865461" w:rsidRDefault="00000000">
      <w:pPr>
        <w:pStyle w:val="a8"/>
        <w:widowControl/>
        <w:spacing w:beforeAutospacing="0" w:afterAutospacing="0"/>
        <w:ind w:firstLineChars="200" w:firstLine="480"/>
      </w:pPr>
      <w:r>
        <w:rPr>
          <w:rFonts w:hint="eastAsia"/>
        </w:rPr>
        <w:t>具体核算方法如下：</w:t>
      </w:r>
    </w:p>
    <w:p w14:paraId="04D58756" w14:textId="77777777" w:rsidR="00865461" w:rsidRDefault="00000000">
      <w:pPr>
        <w:rPr>
          <w:rFonts w:ascii="仿宋_GB2312" w:hAnsi="黑体" w:hint="eastAsia"/>
          <w:sz w:val="28"/>
          <w:szCs w:val="28"/>
          <w:highlight w:val="green"/>
        </w:rPr>
      </w:pPr>
      <m:oMath>
        <m:sSub>
          <m:sSubPr>
            <m:ctrlPr>
              <w:rPr>
                <w:rFonts w:ascii="DejaVu Math TeX Gyre" w:hAnsi="DejaVu Math TeX Gyre"/>
                <w:i/>
                <w:sz w:val="21"/>
                <w:szCs w:val="21"/>
              </w:rPr>
            </m:ctrlPr>
          </m:sSubPr>
          <m:e>
            <m:r>
              <w:rPr>
                <w:rFonts w:ascii="DejaVu Math TeX Gyre" w:hAnsi="DejaVu Math TeX Gyre"/>
                <w:sz w:val="21"/>
                <w:szCs w:val="21"/>
              </w:rPr>
              <m:t>P</m:t>
            </m:r>
          </m:e>
          <m:sub>
            <m:sSub>
              <m:sSubPr>
                <m:ctrlPr>
                  <w:rPr>
                    <w:rFonts w:ascii="DejaVu Math TeX Gyre" w:hAnsi="DejaVu Math TeX Gyre"/>
                    <w:i/>
                    <w:sz w:val="21"/>
                    <w:szCs w:val="21"/>
                  </w:rPr>
                </m:ctrlPr>
              </m:sSubPr>
              <m:e>
                <m:r>
                  <w:rPr>
                    <w:rFonts w:ascii="DejaVu Math TeX Gyre" w:hAnsi="DejaVu Math TeX Gyre"/>
                    <w:sz w:val="21"/>
                    <w:szCs w:val="21"/>
                  </w:rPr>
                  <m:t>CH</m:t>
                </m:r>
              </m:e>
              <m:sub>
                <m:r>
                  <w:rPr>
                    <w:rFonts w:ascii="DejaVu Math TeX Gyre" w:hAnsi="DejaVu Math TeX Gyre"/>
                    <w:sz w:val="21"/>
                    <w:szCs w:val="21"/>
                  </w:rPr>
                  <m:t>4</m:t>
                </m:r>
              </m:sub>
            </m:sSub>
          </m:sub>
        </m:sSub>
        <m:r>
          <w:rPr>
            <w:rFonts w:ascii="DejaVu Math TeX Gyre" w:hAnsi="DejaVu Math TeX Gyre"/>
            <w:sz w:val="21"/>
            <w:szCs w:val="21"/>
          </w:rPr>
          <m:t>=</m:t>
        </m:r>
        <m:nary>
          <m:naryPr>
            <m:chr m:val="∑"/>
            <m:limLoc m:val="subSup"/>
            <m:supHide m:val="1"/>
            <m:ctrlPr>
              <w:rPr>
                <w:rFonts w:ascii="DejaVu Math TeX Gyre" w:hAnsi="DejaVu Math TeX Gyre"/>
                <w:i/>
                <w:sz w:val="21"/>
                <w:szCs w:val="21"/>
              </w:rPr>
            </m:ctrlPr>
          </m:naryPr>
          <m:sub>
            <m:r>
              <w:rPr>
                <w:rFonts w:ascii="DejaVu Math TeX Gyre" w:hAnsi="DejaVu Math TeX Gyre"/>
                <w:sz w:val="21"/>
                <w:szCs w:val="21"/>
              </w:rPr>
              <m:t>i</m:t>
            </m:r>
          </m:sub>
          <m:sup/>
          <m:e>
            <m:d>
              <m:dPr>
                <m:begChr m:val="["/>
                <m:endChr m:val="]"/>
                <m:ctrlPr>
                  <w:rPr>
                    <w:rFonts w:ascii="DejaVu Math TeX Gyre" w:hAnsi="DejaVu Math TeX Gyre"/>
                    <w:i/>
                    <w:sz w:val="21"/>
                    <w:szCs w:val="21"/>
                  </w:rPr>
                </m:ctrlPr>
              </m:dPr>
              <m:e>
                <m:f>
                  <m:fPr>
                    <m:ctrlPr>
                      <w:rPr>
                        <w:rFonts w:ascii="DejaVu Math TeX Gyre" w:hAnsi="DejaVu Math TeX Gyre"/>
                        <w:i/>
                        <w:sz w:val="20"/>
                        <w:szCs w:val="20"/>
                      </w:rPr>
                    </m:ctrlPr>
                  </m:fPr>
                  <m:num>
                    <m:sSub>
                      <m:sSubPr>
                        <m:ctrlPr>
                          <w:rPr>
                            <w:rFonts w:ascii="DejaVu Math TeX Gyre" w:hAnsi="DejaVu Math TeX Gyre"/>
                            <w:i/>
                            <w:sz w:val="20"/>
                            <w:szCs w:val="20"/>
                          </w:rPr>
                        </m:ctrlPr>
                      </m:sSubPr>
                      <m:e>
                        <m:r>
                          <w:rPr>
                            <w:rFonts w:ascii="DejaVu Math TeX Gyre" w:hAnsi="DejaVu Math TeX Gyre"/>
                            <w:sz w:val="20"/>
                            <w:szCs w:val="20"/>
                          </w:rPr>
                          <m:t>Q</m:t>
                        </m:r>
                      </m:e>
                      <m:sub>
                        <m:r>
                          <w:rPr>
                            <w:rFonts w:ascii="DejaVu Math TeX Gyre" w:hAnsi="DejaVu Math TeX Gyre"/>
                            <w:sz w:val="20"/>
                            <w:szCs w:val="20"/>
                          </w:rPr>
                          <m:t>i</m:t>
                        </m:r>
                      </m:sub>
                    </m:sSub>
                    <m:r>
                      <w:rPr>
                        <w:rFonts w:ascii="DejaVu Math TeX Gyre" w:hAnsi="DejaVu Math TeX Gyre"/>
                        <w:sz w:val="20"/>
                        <w:szCs w:val="20"/>
                      </w:rPr>
                      <m:t>×</m:t>
                    </m:r>
                    <m:r>
                      <w:rPr>
                        <w:rFonts w:ascii="DejaVu Math TeX Gyre" w:hAnsi="DejaVu Math TeX Gyre"/>
                        <w:sz w:val="20"/>
                        <w:szCs w:val="20"/>
                      </w:rPr>
                      <m:t>（</m:t>
                    </m:r>
                    <m:sSub>
                      <m:sSubPr>
                        <m:ctrlPr>
                          <w:rPr>
                            <w:rFonts w:ascii="DejaVu Math TeX Gyre" w:hAnsi="DejaVu Math TeX Gyre"/>
                            <w:i/>
                            <w:sz w:val="20"/>
                            <w:szCs w:val="20"/>
                          </w:rPr>
                        </m:ctrlPr>
                      </m:sSubPr>
                      <m:e>
                        <m:r>
                          <w:rPr>
                            <w:rFonts w:ascii="DejaVu Math TeX Gyre" w:hAnsi="DejaVu Math TeX Gyre"/>
                            <w:sz w:val="20"/>
                            <w:szCs w:val="20"/>
                          </w:rPr>
                          <m:t>COD</m:t>
                        </m:r>
                      </m:e>
                      <m:sub>
                        <m:r>
                          <w:rPr>
                            <w:rFonts w:ascii="DejaVu Math TeX Gyre" w:hAnsi="DejaVu Math TeX Gyre"/>
                            <w:sz w:val="20"/>
                            <w:szCs w:val="20"/>
                          </w:rPr>
                          <m:t>进</m:t>
                        </m:r>
                        <m:r>
                          <w:rPr>
                            <w:rFonts w:ascii="DejaVu Math TeX Gyre" w:hAnsi="DejaVu Math TeX Gyre"/>
                            <w:sz w:val="20"/>
                            <w:szCs w:val="20"/>
                          </w:rPr>
                          <m:t>i</m:t>
                        </m:r>
                      </m:sub>
                    </m:sSub>
                    <m:r>
                      <w:rPr>
                        <w:rFonts w:ascii="DejaVu Math TeX Gyre" w:hAnsi="DejaVu Math TeX Gyre"/>
                        <w:sz w:val="20"/>
                        <w:szCs w:val="20"/>
                      </w:rPr>
                      <m:t>-</m:t>
                    </m:r>
                    <m:sSub>
                      <m:sSubPr>
                        <m:ctrlPr>
                          <w:rPr>
                            <w:rFonts w:ascii="DejaVu Math TeX Gyre" w:hAnsi="DejaVu Math TeX Gyre"/>
                            <w:i/>
                            <w:sz w:val="20"/>
                            <w:szCs w:val="20"/>
                          </w:rPr>
                        </m:ctrlPr>
                      </m:sSubPr>
                      <m:e>
                        <m:r>
                          <w:rPr>
                            <w:rFonts w:ascii="DejaVu Math TeX Gyre" w:hAnsi="DejaVu Math TeX Gyre"/>
                            <w:sz w:val="20"/>
                            <w:szCs w:val="20"/>
                          </w:rPr>
                          <m:t>COD</m:t>
                        </m:r>
                      </m:e>
                      <m:sub>
                        <m:r>
                          <w:rPr>
                            <w:rFonts w:ascii="DejaVu Math TeX Gyre" w:hAnsi="DejaVu Math TeX Gyre"/>
                            <w:sz w:val="20"/>
                            <w:szCs w:val="20"/>
                          </w:rPr>
                          <m:t>出</m:t>
                        </m:r>
                        <m:r>
                          <w:rPr>
                            <w:rFonts w:ascii="DejaVu Math TeX Gyre" w:hAnsi="DejaVu Math TeX Gyre"/>
                            <w:sz w:val="20"/>
                            <w:szCs w:val="20"/>
                          </w:rPr>
                          <m:t>i</m:t>
                        </m:r>
                      </m:sub>
                    </m:sSub>
                    <m:r>
                      <w:rPr>
                        <w:rFonts w:ascii="DejaVu Math TeX Gyre" w:hAnsi="DejaVu Math TeX Gyre"/>
                        <w:sz w:val="20"/>
                        <w:szCs w:val="20"/>
                      </w:rPr>
                      <m:t>）</m:t>
                    </m:r>
                  </m:num>
                  <m:den>
                    <m:r>
                      <w:rPr>
                        <w:rFonts w:ascii="DejaVu Math TeX Gyre" w:hAnsi="DejaVu Math TeX Gyre"/>
                        <w:sz w:val="20"/>
                        <w:szCs w:val="20"/>
                      </w:rPr>
                      <m:t>1000</m:t>
                    </m:r>
                  </m:den>
                </m:f>
                <m:r>
                  <w:rPr>
                    <w:rFonts w:ascii="DejaVu Math TeX Gyre" w:hAnsi="DejaVu Math TeX Gyre"/>
                    <w:sz w:val="20"/>
                    <w:szCs w:val="20"/>
                  </w:rPr>
                  <m:t>×Y×60%</m:t>
                </m:r>
                <m:r>
                  <m:rPr>
                    <m:sty m:val="p"/>
                  </m:rPr>
                  <w:rPr>
                    <w:rFonts w:ascii="DejaVu Math TeX Gyre" w:hAnsi="DejaVu Math TeX Gyre"/>
                    <w:sz w:val="20"/>
                    <w:szCs w:val="20"/>
                  </w:rPr>
                  <m:t>×0.717×</m:t>
                </m:r>
                <m:sSub>
                  <m:sSubPr>
                    <m:ctrlPr>
                      <w:rPr>
                        <w:rFonts w:ascii="DejaVu Math TeX Gyre" w:hAnsi="DejaVu Math TeX Gyre"/>
                        <w:sz w:val="20"/>
                        <w:szCs w:val="20"/>
                      </w:rPr>
                    </m:ctrlPr>
                  </m:sSubPr>
                  <m:e>
                    <m:r>
                      <m:rPr>
                        <m:sty m:val="p"/>
                      </m:rPr>
                      <w:rPr>
                        <w:rFonts w:ascii="DejaVu Math TeX Gyre" w:hAnsi="DejaVu Math TeX Gyre"/>
                        <w:sz w:val="20"/>
                        <w:szCs w:val="20"/>
                      </w:rPr>
                      <m:t>GWP</m:t>
                    </m:r>
                  </m:e>
                  <m:sub>
                    <m:sSub>
                      <m:sSubPr>
                        <m:ctrlPr>
                          <w:rPr>
                            <w:rFonts w:ascii="DejaVu Math TeX Gyre" w:hAnsi="DejaVu Math TeX Gyre"/>
                            <w:sz w:val="20"/>
                            <w:szCs w:val="20"/>
                          </w:rPr>
                        </m:ctrlPr>
                      </m:sSubPr>
                      <m:e>
                        <m:r>
                          <m:rPr>
                            <m:sty m:val="p"/>
                          </m:rPr>
                          <w:rPr>
                            <w:rFonts w:ascii="DejaVu Math TeX Gyre" w:hAnsi="DejaVu Math TeX Gyre"/>
                            <w:sz w:val="20"/>
                            <w:szCs w:val="20"/>
                          </w:rPr>
                          <m:t>CH</m:t>
                        </m:r>
                      </m:e>
                      <m:sub>
                        <m:r>
                          <m:rPr>
                            <m:sty m:val="p"/>
                          </m:rPr>
                          <w:rPr>
                            <w:rFonts w:ascii="DejaVu Math TeX Gyre" w:hAnsi="DejaVu Math TeX Gyre"/>
                            <w:sz w:val="20"/>
                            <w:szCs w:val="20"/>
                          </w:rPr>
                          <m:t>4</m:t>
                        </m:r>
                      </m:sub>
                    </m:sSub>
                  </m:sub>
                </m:sSub>
                <m:r>
                  <m:rPr>
                    <m:sty m:val="p"/>
                  </m:rPr>
                  <w:rPr>
                    <w:rFonts w:ascii="DejaVu Math TeX Gyre" w:hAnsi="DejaVu Math TeX Gyre"/>
                    <w:sz w:val="20"/>
                    <w:szCs w:val="20"/>
                  </w:rPr>
                  <m:t>×</m:t>
                </m:r>
                <m:sSup>
                  <m:sSupPr>
                    <m:ctrlPr>
                      <w:rPr>
                        <w:rFonts w:ascii="DejaVu Math TeX Gyre" w:hAnsi="DejaVu Math TeX Gyre"/>
                        <w:sz w:val="20"/>
                        <w:szCs w:val="20"/>
                      </w:rPr>
                    </m:ctrlPr>
                  </m:sSupPr>
                  <m:e>
                    <m:r>
                      <m:rPr>
                        <m:sty m:val="p"/>
                      </m:rPr>
                      <w:rPr>
                        <w:rFonts w:ascii="DejaVu Math TeX Gyre" w:hAnsi="DejaVu Math TeX Gyre"/>
                        <w:sz w:val="20"/>
                        <w:szCs w:val="20"/>
                      </w:rPr>
                      <m:t>10</m:t>
                    </m:r>
                  </m:e>
                  <m:sup>
                    <m:r>
                      <m:rPr>
                        <m:sty m:val="p"/>
                      </m:rPr>
                      <w:rPr>
                        <w:rFonts w:ascii="DejaVu Math TeX Gyre" w:hAnsi="DejaVu Math TeX Gyre"/>
                        <w:sz w:val="20"/>
                        <w:szCs w:val="20"/>
                      </w:rPr>
                      <m:t>-3</m:t>
                    </m:r>
                  </m:sup>
                </m:sSup>
              </m:e>
            </m:d>
          </m:e>
        </m:nary>
      </m:oMath>
      <w:r>
        <w:rPr>
          <w:rFonts w:hAnsi="DejaVu Math TeX Gyre" w:hint="eastAsia"/>
          <w:sz w:val="20"/>
          <w:szCs w:val="20"/>
        </w:rPr>
        <w:tab/>
        <w:t xml:space="preserve">    </w:t>
      </w:r>
      <w:r>
        <w:rPr>
          <w:rFonts w:hAnsi="DejaVu Math TeX Gyre" w:hint="eastAsia"/>
          <w:sz w:val="20"/>
          <w:szCs w:val="20"/>
        </w:rPr>
        <w:t>（</w:t>
      </w:r>
      <w:r>
        <w:rPr>
          <w:rFonts w:hAnsi="DejaVu Math TeX Gyre" w:hint="eastAsia"/>
          <w:sz w:val="20"/>
          <w:szCs w:val="20"/>
        </w:rPr>
        <w:t>1</w:t>
      </w:r>
      <w:r>
        <w:rPr>
          <w:rFonts w:hAnsi="DejaVu Math TeX Gyre" w:hint="eastAsia"/>
          <w:sz w:val="20"/>
          <w:szCs w:val="20"/>
        </w:rPr>
        <w:t>）</w:t>
      </w:r>
    </w:p>
    <w:p w14:paraId="0EB5AF49" w14:textId="77777777" w:rsidR="00865461" w:rsidRDefault="00000000">
      <w:pPr>
        <w:ind w:firstLineChars="200" w:firstLine="480"/>
        <w:rPr>
          <w:rFonts w:ascii="仿宋_GB2312" w:eastAsia="仿宋_GB2312" w:hAnsi="黑体" w:hint="eastAsia"/>
        </w:rPr>
      </w:pPr>
      <w:r>
        <w:rPr>
          <w:rFonts w:ascii="仿宋_GB2312" w:eastAsia="仿宋_GB2312" w:hAnsi="黑体" w:hint="eastAsia"/>
        </w:rPr>
        <w:t>式中：</w:t>
      </w:r>
      <m:oMath>
        <m:sSub>
          <m:sSubPr>
            <m:ctrlPr>
              <w:rPr>
                <w:rFonts w:ascii="Cambria Math" w:eastAsia="仿宋_GB2312" w:hAnsi="Cambria Math"/>
                <w:i/>
                <w:sz w:val="18"/>
                <w:szCs w:val="18"/>
              </w:rPr>
            </m:ctrlPr>
          </m:sSubPr>
          <m:e>
            <m:r>
              <w:rPr>
                <w:rFonts w:ascii="DejaVu Math TeX Gyre" w:eastAsia="仿宋_GB2312" w:hAnsi="DejaVu Math TeX Gyre"/>
                <w:sz w:val="18"/>
                <w:szCs w:val="18"/>
              </w:rPr>
              <m:t>P</m:t>
            </m:r>
          </m:e>
          <m:sub>
            <m:sSub>
              <m:sSubPr>
                <m:ctrlPr>
                  <w:rPr>
                    <w:rFonts w:ascii="Cambria Math" w:eastAsia="仿宋_GB2312" w:hAnsi="Cambria Math"/>
                    <w:i/>
                    <w:sz w:val="18"/>
                    <w:szCs w:val="18"/>
                  </w:rPr>
                </m:ctrlPr>
              </m:sSubPr>
              <m:e>
                <m:r>
                  <w:rPr>
                    <w:rFonts w:ascii="Cambria Math" w:eastAsia="仿宋_GB2312" w:hAnsi="Cambria Math"/>
                    <w:sz w:val="18"/>
                    <w:szCs w:val="18"/>
                  </w:rPr>
                  <m:t>CH</m:t>
                </m:r>
              </m:e>
              <m:sub>
                <m:r>
                  <w:rPr>
                    <w:rFonts w:ascii="Cambria Math" w:eastAsia="仿宋_GB2312" w:hAnsi="Cambria Math"/>
                    <w:sz w:val="18"/>
                    <w:szCs w:val="18"/>
                  </w:rPr>
                  <m:t>4</m:t>
                </m:r>
              </m:sub>
            </m:sSub>
          </m:sub>
        </m:sSub>
      </m:oMath>
      <w:r>
        <w:rPr>
          <w:rFonts w:ascii="仿宋_GB2312" w:eastAsia="仿宋_GB2312" w:hAnsi="黑体" w:hint="eastAsia"/>
          <w:i/>
          <w:iCs/>
          <w:sz w:val="18"/>
          <w:szCs w:val="18"/>
          <w:vertAlign w:val="subscript"/>
        </w:rPr>
        <w:t xml:space="preserve"> </w:t>
      </w:r>
      <w:r>
        <w:rPr>
          <w:rFonts w:ascii="仿宋_GB2312" w:eastAsia="仿宋_GB2312" w:hAnsi="黑体"/>
        </w:rPr>
        <w:t>—</w:t>
      </w:r>
      <w:r>
        <w:rPr>
          <w:rFonts w:ascii="仿宋_GB2312" w:eastAsia="仿宋_GB2312" w:hAnsi="黑体" w:hint="eastAsia"/>
        </w:rPr>
        <w:t>污水处理厂甲烷排放量，tCO</w:t>
      </w:r>
      <w:r>
        <w:rPr>
          <w:rFonts w:ascii="仿宋_GB2312" w:eastAsia="仿宋_GB2312" w:hAnsi="黑体" w:hint="eastAsia"/>
          <w:vertAlign w:val="subscript"/>
        </w:rPr>
        <w:t>2</w:t>
      </w:r>
      <w:r>
        <w:rPr>
          <w:rFonts w:ascii="仿宋_GB2312" w:eastAsia="仿宋_GB2312" w:hAnsi="黑体" w:hint="eastAsia"/>
        </w:rPr>
        <w:t>当量；</w:t>
      </w:r>
    </w:p>
    <w:p w14:paraId="6B122A1B" w14:textId="77777777" w:rsidR="00865461" w:rsidRDefault="00000000">
      <w:pPr>
        <w:ind w:firstLineChars="200" w:firstLine="480"/>
        <w:rPr>
          <w:rFonts w:ascii="仿宋_GB2312" w:eastAsia="仿宋_GB2312" w:hAnsi="黑体" w:hint="eastAsia"/>
        </w:rPr>
      </w:pPr>
      <w:r>
        <w:rPr>
          <w:rFonts w:ascii="仿宋_GB2312" w:eastAsia="仿宋_GB2312" w:hAnsi="黑体" w:hint="eastAsia"/>
        </w:rPr>
        <w:t xml:space="preserve">      </w:t>
      </w:r>
      <m:oMath>
        <m:r>
          <w:rPr>
            <w:rFonts w:ascii="DejaVu Math TeX Gyre" w:hAnsi="DejaVu Math TeX Gyre"/>
            <w:sz w:val="21"/>
            <w:szCs w:val="21"/>
          </w:rPr>
          <m:t>i</m:t>
        </m:r>
      </m:oMath>
      <w:r>
        <w:rPr>
          <w:rFonts w:hAnsi="DejaVu Math TeX Gyre" w:hint="eastAsia"/>
          <w:sz w:val="21"/>
          <w:szCs w:val="21"/>
        </w:rPr>
        <w:t xml:space="preserve"> </w:t>
      </w:r>
      <w:r>
        <w:rPr>
          <w:rFonts w:ascii="仿宋_GB2312" w:eastAsia="仿宋_GB2312" w:hAnsi="黑体"/>
        </w:rPr>
        <w:t>—</w:t>
      </w:r>
      <w:r>
        <w:rPr>
          <w:rFonts w:ascii="仿宋_GB2312" w:eastAsia="仿宋_GB2312" w:hAnsi="黑体" w:hint="eastAsia"/>
        </w:rPr>
        <w:t>核算年不同月份（总计12月）；</w:t>
      </w:r>
    </w:p>
    <w:p w14:paraId="32E63C8E" w14:textId="77777777" w:rsidR="00865461" w:rsidRDefault="00000000">
      <w:pPr>
        <w:ind w:firstLineChars="200" w:firstLine="480"/>
        <w:rPr>
          <w:rFonts w:ascii="仿宋_GB2312" w:eastAsia="仿宋_GB2312" w:hAnsi="黑体" w:hint="eastAsia"/>
        </w:rPr>
      </w:pPr>
      <w:r>
        <w:rPr>
          <w:rFonts w:ascii="仿宋_GB2312" w:eastAsia="仿宋_GB2312" w:hAnsi="黑体" w:hint="eastAsia"/>
        </w:rPr>
        <w:lastRenderedPageBreak/>
        <w:t xml:space="preserve">      </w:t>
      </w:r>
      <m:oMath>
        <m:sSub>
          <m:sSubPr>
            <m:ctrlPr>
              <w:rPr>
                <w:rFonts w:ascii="DejaVu Math TeX Gyre" w:hAnsi="DejaVu Math TeX Gyre"/>
                <w:i/>
                <w:sz w:val="20"/>
                <w:szCs w:val="20"/>
              </w:rPr>
            </m:ctrlPr>
          </m:sSubPr>
          <m:e>
            <m:r>
              <w:rPr>
                <w:rFonts w:ascii="DejaVu Math TeX Gyre" w:hAnsi="DejaVu Math TeX Gyre"/>
                <w:sz w:val="20"/>
                <w:szCs w:val="20"/>
              </w:rPr>
              <m:t>Q</m:t>
            </m:r>
          </m:e>
          <m:sub>
            <m:r>
              <w:rPr>
                <w:rFonts w:ascii="DejaVu Math TeX Gyre" w:hAnsi="DejaVu Math TeX Gyre"/>
                <w:sz w:val="20"/>
                <w:szCs w:val="20"/>
              </w:rPr>
              <m:t>i</m:t>
            </m:r>
          </m:sub>
        </m:sSub>
      </m:oMath>
      <w:r>
        <w:rPr>
          <w:rFonts w:ascii="仿宋_GB2312" w:eastAsia="仿宋_GB2312" w:hAnsi="黑体" w:hint="eastAsia"/>
          <w:vertAlign w:val="subscript"/>
        </w:rPr>
        <w:t xml:space="preserve"> </w:t>
      </w:r>
      <w:r>
        <w:rPr>
          <w:rFonts w:ascii="仿宋_GB2312" w:eastAsia="仿宋_GB2312" w:hAnsi="黑体"/>
        </w:rPr>
        <w:t>—</w:t>
      </w:r>
      <w:r>
        <w:rPr>
          <w:rFonts w:ascii="仿宋_GB2312" w:eastAsia="仿宋_GB2312" w:hAnsi="黑体" w:hint="eastAsia"/>
        </w:rPr>
        <w:t>污水处理厂当月进水量，m</w:t>
      </w:r>
      <w:r>
        <w:rPr>
          <w:rFonts w:ascii="仿宋_GB2312" w:eastAsia="仿宋_GB2312" w:hAnsi="黑体" w:hint="eastAsia"/>
          <w:vertAlign w:val="superscript"/>
        </w:rPr>
        <w:t>3</w:t>
      </w:r>
      <w:r>
        <w:rPr>
          <w:rFonts w:ascii="仿宋_GB2312" w:eastAsia="仿宋_GB2312" w:hAnsi="黑体" w:hint="eastAsia"/>
        </w:rPr>
        <w:t>；</w:t>
      </w:r>
    </w:p>
    <w:p w14:paraId="45ADD90B" w14:textId="77777777" w:rsidR="00865461" w:rsidRDefault="00000000">
      <w:pPr>
        <w:ind w:firstLineChars="200" w:firstLine="480"/>
        <w:rPr>
          <w:rFonts w:ascii="仿宋_GB2312" w:eastAsia="仿宋_GB2312" w:hAnsi="黑体" w:hint="eastAsia"/>
        </w:rPr>
      </w:pPr>
      <w:r>
        <w:rPr>
          <w:rFonts w:ascii="仿宋_GB2312" w:eastAsia="仿宋_GB2312" w:hAnsi="黑体" w:hint="eastAsia"/>
        </w:rPr>
        <w:t xml:space="preserve">      </w:t>
      </w:r>
      <m:oMath>
        <m:sSub>
          <m:sSubPr>
            <m:ctrlPr>
              <w:rPr>
                <w:rFonts w:ascii="Cambria Math" w:eastAsia="仿宋_GB2312" w:hAnsi="Cambria Math"/>
                <w:i/>
                <w:sz w:val="18"/>
                <w:szCs w:val="18"/>
              </w:rPr>
            </m:ctrlPr>
          </m:sSubPr>
          <m:e>
            <m:r>
              <w:rPr>
                <w:rFonts w:ascii="Cambria Math" w:eastAsia="仿宋_GB2312" w:hAnsi="Cambria Math"/>
                <w:sz w:val="18"/>
                <w:szCs w:val="18"/>
              </w:rPr>
              <m:t>COD</m:t>
            </m:r>
          </m:e>
          <m:sub>
            <m:r>
              <w:rPr>
                <w:rFonts w:ascii="DejaVu Math TeX Gyre" w:eastAsia="仿宋_GB2312" w:hAnsi="DejaVu Math TeX Gyre"/>
                <w:sz w:val="18"/>
                <w:szCs w:val="18"/>
              </w:rPr>
              <m:t>进</m:t>
            </m:r>
            <m:r>
              <w:rPr>
                <w:rFonts w:ascii="DejaVu Math TeX Gyre" w:eastAsia="仿宋_GB2312" w:hAnsi="DejaVu Math TeX Gyre"/>
                <w:sz w:val="18"/>
                <w:szCs w:val="18"/>
              </w:rPr>
              <m:t>,i</m:t>
            </m:r>
          </m:sub>
        </m:sSub>
      </m:oMath>
      <w:r>
        <w:rPr>
          <w:rFonts w:ascii="仿宋_GB2312" w:eastAsia="仿宋_GB2312" w:hAnsi="黑体" w:hint="eastAsia"/>
          <w:vertAlign w:val="subscript"/>
        </w:rPr>
        <w:t xml:space="preserve"> </w:t>
      </w:r>
      <w:r>
        <w:rPr>
          <w:rFonts w:ascii="仿宋_GB2312" w:eastAsia="仿宋_GB2312" w:hAnsi="黑体"/>
        </w:rPr>
        <w:t>—</w:t>
      </w:r>
      <w:r>
        <w:rPr>
          <w:rFonts w:ascii="仿宋_GB2312" w:eastAsia="仿宋_GB2312" w:hAnsi="黑体" w:hint="eastAsia"/>
        </w:rPr>
        <w:t>污水处理厂当月平均进水</w:t>
      </w:r>
      <w:proofErr w:type="spellStart"/>
      <w:r>
        <w:rPr>
          <w:rFonts w:ascii="仿宋_GB2312" w:eastAsia="仿宋_GB2312" w:hAnsi="黑体" w:hint="eastAsia"/>
        </w:rPr>
        <w:t>COD</w:t>
      </w:r>
      <w:r>
        <w:rPr>
          <w:rFonts w:ascii="仿宋_GB2312" w:eastAsia="仿宋_GB2312" w:hAnsi="黑体" w:hint="eastAsia"/>
          <w:vertAlign w:val="subscript"/>
        </w:rPr>
        <w:t>Cr</w:t>
      </w:r>
      <w:proofErr w:type="spellEnd"/>
      <w:r>
        <w:rPr>
          <w:rFonts w:ascii="仿宋_GB2312" w:eastAsia="仿宋_GB2312" w:hAnsi="黑体" w:hint="eastAsia"/>
        </w:rPr>
        <w:t>浓度，mg/L；</w:t>
      </w:r>
    </w:p>
    <w:p w14:paraId="396C6372" w14:textId="77777777" w:rsidR="00865461" w:rsidRDefault="00000000">
      <w:pPr>
        <w:ind w:firstLineChars="200" w:firstLine="480"/>
        <w:rPr>
          <w:rFonts w:ascii="仿宋_GB2312" w:eastAsia="仿宋_GB2312" w:hAnsi="黑体" w:hint="eastAsia"/>
        </w:rPr>
      </w:pPr>
      <w:r>
        <w:rPr>
          <w:rFonts w:ascii="仿宋_GB2312" w:eastAsia="仿宋_GB2312" w:hAnsi="黑体" w:hint="eastAsia"/>
        </w:rPr>
        <w:t xml:space="preserve">      </w:t>
      </w:r>
      <m:oMath>
        <m:sSub>
          <m:sSubPr>
            <m:ctrlPr>
              <w:rPr>
                <w:rFonts w:ascii="Cambria Math" w:eastAsia="仿宋_GB2312" w:hAnsi="Cambria Math"/>
                <w:i/>
                <w:sz w:val="18"/>
                <w:szCs w:val="18"/>
              </w:rPr>
            </m:ctrlPr>
          </m:sSubPr>
          <m:e>
            <m:r>
              <w:rPr>
                <w:rFonts w:ascii="Cambria Math" w:eastAsia="仿宋_GB2312" w:hAnsi="Cambria Math"/>
                <w:sz w:val="18"/>
                <w:szCs w:val="18"/>
              </w:rPr>
              <m:t>COD</m:t>
            </m:r>
          </m:e>
          <m:sub>
            <m:r>
              <w:rPr>
                <w:rFonts w:ascii="DejaVu Math TeX Gyre" w:eastAsia="仿宋_GB2312" w:hAnsi="DejaVu Math TeX Gyre"/>
                <w:sz w:val="18"/>
                <w:szCs w:val="18"/>
              </w:rPr>
              <m:t>出</m:t>
            </m:r>
            <m:r>
              <w:rPr>
                <w:rFonts w:ascii="DejaVu Math TeX Gyre" w:eastAsia="仿宋_GB2312" w:hAnsi="DejaVu Math TeX Gyre"/>
                <w:sz w:val="18"/>
                <w:szCs w:val="18"/>
              </w:rPr>
              <m:t>,i</m:t>
            </m:r>
          </m:sub>
        </m:sSub>
      </m:oMath>
      <w:r>
        <w:rPr>
          <w:rFonts w:eastAsia="仿宋_GB2312" w:hAnsi="Cambria Math" w:hint="eastAsia"/>
          <w:sz w:val="18"/>
          <w:szCs w:val="18"/>
        </w:rPr>
        <w:t xml:space="preserve"> </w:t>
      </w:r>
      <w:r>
        <w:rPr>
          <w:rFonts w:ascii="仿宋_GB2312" w:eastAsia="仿宋_GB2312" w:hAnsi="黑体"/>
        </w:rPr>
        <w:t>—</w:t>
      </w:r>
      <w:r>
        <w:rPr>
          <w:rFonts w:ascii="仿宋_GB2312" w:eastAsia="仿宋_GB2312" w:hAnsi="黑体" w:hint="eastAsia"/>
        </w:rPr>
        <w:t>污水处理厂当月平均厌氧出水</w:t>
      </w:r>
      <w:proofErr w:type="spellStart"/>
      <w:r>
        <w:rPr>
          <w:rFonts w:ascii="仿宋_GB2312" w:eastAsia="仿宋_GB2312" w:hAnsi="黑体" w:hint="eastAsia"/>
        </w:rPr>
        <w:t>COD</w:t>
      </w:r>
      <w:r>
        <w:rPr>
          <w:rFonts w:ascii="仿宋_GB2312" w:eastAsia="仿宋_GB2312" w:hAnsi="黑体" w:hint="eastAsia"/>
          <w:vertAlign w:val="subscript"/>
        </w:rPr>
        <w:t>Cr</w:t>
      </w:r>
      <w:proofErr w:type="spellEnd"/>
      <w:r>
        <w:rPr>
          <w:rFonts w:ascii="仿宋_GB2312" w:eastAsia="仿宋_GB2312" w:hAnsi="黑体" w:hint="eastAsia"/>
        </w:rPr>
        <w:t>浓度，mg/L；</w:t>
      </w:r>
    </w:p>
    <w:p w14:paraId="0E2FEE33" w14:textId="77777777" w:rsidR="00865461" w:rsidRDefault="00000000">
      <w:pPr>
        <w:ind w:firstLineChars="200" w:firstLine="480"/>
        <w:rPr>
          <w:rFonts w:ascii="仿宋_GB2312" w:eastAsia="仿宋_GB2312" w:hAnsi="黑体" w:hint="eastAsia"/>
        </w:rPr>
      </w:pPr>
      <w:r>
        <w:rPr>
          <w:rFonts w:ascii="仿宋_GB2312" w:eastAsia="仿宋_GB2312" w:hAnsi="黑体" w:hint="eastAsia"/>
        </w:rPr>
        <w:t xml:space="preserve">      </w:t>
      </w:r>
      <m:oMath>
        <m:r>
          <w:rPr>
            <w:rFonts w:ascii="DejaVu Math TeX Gyre" w:eastAsia="仿宋_GB2312" w:hAnsi="DejaVu Math TeX Gyre"/>
            <w:sz w:val="18"/>
            <w:szCs w:val="18"/>
          </w:rPr>
          <m:t>Y</m:t>
        </m:r>
      </m:oMath>
      <w:r>
        <w:rPr>
          <w:rFonts w:ascii="仿宋_GB2312" w:eastAsia="仿宋_GB2312" w:hAnsi="黑体"/>
        </w:rPr>
        <w:t>—</w:t>
      </w:r>
      <w:r>
        <w:rPr>
          <w:rFonts w:ascii="仿宋_GB2312" w:eastAsia="仿宋_GB2312" w:hAnsi="黑体" w:hint="eastAsia"/>
        </w:rPr>
        <w:t>厌氧过程中降解单位</w:t>
      </w:r>
      <w:proofErr w:type="spellStart"/>
      <w:r>
        <w:rPr>
          <w:rFonts w:ascii="仿宋_GB2312" w:eastAsia="仿宋_GB2312" w:hAnsi="黑体" w:hint="eastAsia"/>
        </w:rPr>
        <w:t>COD</w:t>
      </w:r>
      <w:r>
        <w:rPr>
          <w:rFonts w:ascii="仿宋_GB2312" w:eastAsia="仿宋_GB2312" w:hAnsi="黑体" w:hint="eastAsia"/>
          <w:vertAlign w:val="subscript"/>
        </w:rPr>
        <w:t>Cr</w:t>
      </w:r>
      <w:proofErr w:type="spellEnd"/>
      <w:r>
        <w:rPr>
          <w:rFonts w:ascii="仿宋_GB2312" w:eastAsia="仿宋_GB2312" w:hAnsi="黑体" w:hint="eastAsia"/>
        </w:rPr>
        <w:t>时沼气的产率系数，取值为0.35m</w:t>
      </w:r>
      <w:r>
        <w:rPr>
          <w:rFonts w:ascii="仿宋_GB2312" w:eastAsia="仿宋_GB2312" w:hAnsi="黑体" w:hint="eastAsia"/>
          <w:vertAlign w:val="superscript"/>
        </w:rPr>
        <w:t>3</w:t>
      </w:r>
      <w:r>
        <w:rPr>
          <w:rFonts w:ascii="仿宋_GB2312" w:eastAsia="仿宋_GB2312" w:hAnsi="黑体" w:hint="eastAsia"/>
        </w:rPr>
        <w:t>/</w:t>
      </w:r>
      <w:proofErr w:type="spellStart"/>
      <w:r>
        <w:rPr>
          <w:rFonts w:ascii="仿宋_GB2312" w:eastAsia="仿宋_GB2312" w:hAnsi="黑体" w:hint="eastAsia"/>
        </w:rPr>
        <w:t>kgCOD</w:t>
      </w:r>
      <w:r>
        <w:rPr>
          <w:rFonts w:ascii="仿宋_GB2312" w:eastAsia="仿宋_GB2312" w:hAnsi="黑体" w:hint="eastAsia"/>
          <w:vertAlign w:val="subscript"/>
        </w:rPr>
        <w:t>Cr</w:t>
      </w:r>
      <w:proofErr w:type="spellEnd"/>
      <w:r>
        <w:rPr>
          <w:rFonts w:ascii="仿宋_GB2312" w:eastAsia="仿宋_GB2312" w:hAnsi="黑体" w:hint="eastAsia"/>
        </w:rPr>
        <w:t>；</w:t>
      </w:r>
    </w:p>
    <w:p w14:paraId="5FD1CF93" w14:textId="77777777" w:rsidR="00865461" w:rsidRDefault="00000000">
      <w:pPr>
        <w:ind w:firstLineChars="200" w:firstLine="480"/>
        <w:rPr>
          <w:rFonts w:ascii="仿宋_GB2312" w:eastAsia="仿宋_GB2312" w:hAnsi="黑体" w:hint="eastAsia"/>
        </w:rPr>
      </w:pPr>
      <w:r>
        <w:rPr>
          <w:rFonts w:ascii="仿宋_GB2312" w:eastAsia="仿宋_GB2312" w:hAnsi="黑体" w:hint="eastAsia"/>
        </w:rPr>
        <w:t xml:space="preserve">      </w:t>
      </w:r>
      <m:oMath>
        <m:r>
          <w:rPr>
            <w:rFonts w:ascii="DejaVu Math TeX Gyre" w:eastAsia="仿宋_GB2312" w:hAnsi="DejaVu Math TeX Gyre"/>
            <w:sz w:val="18"/>
            <w:szCs w:val="18"/>
          </w:rPr>
          <m:t>60%</m:t>
        </m:r>
      </m:oMath>
      <w:r>
        <w:rPr>
          <w:rFonts w:eastAsia="仿宋_GB2312" w:hAnsi="Cambria Math" w:hint="eastAsia"/>
          <w:sz w:val="18"/>
          <w:szCs w:val="18"/>
        </w:rPr>
        <w:t xml:space="preserve"> </w:t>
      </w:r>
      <w:r>
        <w:rPr>
          <w:rFonts w:ascii="仿宋_GB2312" w:eastAsia="仿宋_GB2312" w:hAnsi="黑体"/>
        </w:rPr>
        <w:t>—</w:t>
      </w:r>
      <w:r>
        <w:rPr>
          <w:rFonts w:ascii="仿宋_GB2312" w:eastAsia="仿宋_GB2312" w:hAnsi="黑体" w:hint="eastAsia"/>
        </w:rPr>
        <w:t>标准状况下甲烷在沼气中的体积分数；</w:t>
      </w:r>
    </w:p>
    <w:p w14:paraId="0F152B53" w14:textId="77777777" w:rsidR="00865461" w:rsidRDefault="00000000">
      <w:pPr>
        <w:ind w:firstLineChars="200" w:firstLine="480"/>
        <w:rPr>
          <w:rFonts w:ascii="仿宋_GB2312" w:eastAsia="仿宋_GB2312" w:hAnsi="黑体" w:hint="eastAsia"/>
        </w:rPr>
      </w:pPr>
      <w:r>
        <w:rPr>
          <w:rFonts w:ascii="仿宋_GB2312" w:eastAsia="仿宋_GB2312" w:hAnsi="黑体" w:hint="eastAsia"/>
        </w:rPr>
        <w:t xml:space="preserve">      </w:t>
      </w:r>
      <w:r>
        <w:rPr>
          <w:rFonts w:ascii="仿宋_GB2312" w:eastAsia="仿宋_GB2312" w:hAnsi="黑体" w:hint="eastAsia"/>
          <w:sz w:val="18"/>
          <w:szCs w:val="18"/>
        </w:rPr>
        <w:t>0.717</w:t>
      </w:r>
      <w:r>
        <w:rPr>
          <w:rFonts w:ascii="仿宋_GB2312" w:eastAsia="仿宋_GB2312" w:hAnsi="黑体" w:hint="eastAsia"/>
        </w:rPr>
        <w:t xml:space="preserve"> </w:t>
      </w:r>
      <w:r>
        <w:rPr>
          <w:rFonts w:ascii="仿宋_GB2312" w:eastAsia="仿宋_GB2312" w:hAnsi="黑体"/>
        </w:rPr>
        <w:t>—</w:t>
      </w:r>
      <w:r>
        <w:rPr>
          <w:rFonts w:ascii="仿宋_GB2312" w:eastAsia="仿宋_GB2312" w:hAnsi="黑体" w:hint="eastAsia"/>
        </w:rPr>
        <w:t>标准状况（1个标准大气压和温度0℃）下CH4的密度，kgCH</w:t>
      </w:r>
      <w:r>
        <w:rPr>
          <w:rFonts w:ascii="仿宋_GB2312" w:eastAsia="仿宋_GB2312" w:hAnsi="黑体" w:hint="eastAsia"/>
          <w:vertAlign w:val="subscript"/>
        </w:rPr>
        <w:t>4</w:t>
      </w:r>
      <w:r>
        <w:rPr>
          <w:rFonts w:ascii="仿宋_GB2312" w:eastAsia="仿宋_GB2312" w:hAnsi="黑体" w:hint="eastAsia"/>
        </w:rPr>
        <w:t>/m</w:t>
      </w:r>
      <w:r>
        <w:rPr>
          <w:rFonts w:ascii="仿宋_GB2312" w:eastAsia="仿宋_GB2312" w:hAnsi="黑体" w:hint="eastAsia"/>
          <w:vertAlign w:val="superscript"/>
        </w:rPr>
        <w:t>3</w:t>
      </w:r>
      <w:r>
        <w:rPr>
          <w:rFonts w:ascii="仿宋_GB2312" w:eastAsia="仿宋_GB2312" w:hAnsi="黑体" w:hint="eastAsia"/>
        </w:rPr>
        <w:t>；</w:t>
      </w:r>
    </w:p>
    <w:p w14:paraId="3A2BB85D" w14:textId="77777777" w:rsidR="00865461" w:rsidRDefault="00000000">
      <w:pPr>
        <w:ind w:firstLineChars="200" w:firstLine="480"/>
        <w:rPr>
          <w:rFonts w:ascii="仿宋_GB2312" w:eastAsia="仿宋_GB2312" w:hAnsi="黑体" w:hint="eastAsia"/>
        </w:rPr>
      </w:pPr>
      <w:r>
        <w:rPr>
          <w:rFonts w:ascii="仿宋_GB2312" w:eastAsia="仿宋_GB2312" w:hAnsi="黑体" w:hint="eastAsia"/>
        </w:rPr>
        <w:t xml:space="preserve">      </w:t>
      </w:r>
      <m:oMath>
        <m:sSub>
          <m:sSubPr>
            <m:ctrlPr>
              <w:rPr>
                <w:rFonts w:ascii="Cambria Math" w:eastAsia="仿宋_GB2312" w:hAnsi="Cambria Math" w:hint="eastAsia"/>
                <w:i/>
                <w:sz w:val="18"/>
                <w:szCs w:val="18"/>
              </w:rPr>
            </m:ctrlPr>
          </m:sSubPr>
          <m:e>
            <m:r>
              <w:rPr>
                <w:rFonts w:ascii="Cambria Math" w:eastAsia="仿宋_GB2312" w:hAnsi="Cambria Math"/>
                <w:sz w:val="18"/>
                <w:szCs w:val="18"/>
              </w:rPr>
              <m:t>GWP</m:t>
            </m:r>
          </m:e>
          <m:sub>
            <m:sSub>
              <m:sSubPr>
                <m:ctrlPr>
                  <w:rPr>
                    <w:rFonts w:ascii="Cambria Math" w:eastAsia="仿宋_GB2312" w:hAnsi="Cambria Math" w:hint="eastAsia"/>
                    <w:i/>
                    <w:sz w:val="18"/>
                    <w:szCs w:val="18"/>
                  </w:rPr>
                </m:ctrlPr>
              </m:sSubPr>
              <m:e>
                <m:r>
                  <w:rPr>
                    <w:rFonts w:ascii="Cambria Math" w:eastAsia="仿宋_GB2312" w:hAnsi="Cambria Math"/>
                    <w:sz w:val="18"/>
                    <w:szCs w:val="18"/>
                  </w:rPr>
                  <m:t>CH</m:t>
                </m:r>
              </m:e>
              <m:sub>
                <m:r>
                  <w:rPr>
                    <w:rFonts w:ascii="Cambria Math" w:eastAsia="仿宋_GB2312" w:hAnsi="Cambria Math"/>
                    <w:sz w:val="18"/>
                    <w:szCs w:val="18"/>
                  </w:rPr>
                  <m:t>4</m:t>
                </m:r>
              </m:sub>
            </m:sSub>
          </m:sub>
        </m:sSub>
      </m:oMath>
      <w:r>
        <w:rPr>
          <w:rFonts w:eastAsia="仿宋_GB2312" w:hAnsi="Cambria Math" w:hint="eastAsia"/>
          <w:sz w:val="18"/>
          <w:szCs w:val="18"/>
        </w:rPr>
        <w:t xml:space="preserve"> </w:t>
      </w:r>
      <w:r>
        <w:rPr>
          <w:rFonts w:ascii="仿宋_GB2312" w:eastAsia="仿宋_GB2312" w:hAnsi="黑体"/>
        </w:rPr>
        <w:t>—</w:t>
      </w:r>
      <w:r>
        <w:rPr>
          <w:rFonts w:ascii="仿宋_GB2312" w:eastAsia="仿宋_GB2312" w:hAnsi="黑体" w:hint="eastAsia"/>
        </w:rPr>
        <w:t>甲烷的全球变暖潜势值，根据IPCC第六次评估报告，100年时间尺度内1吨甲烷相当于27.9吨二氧化碳的增温能力，因此</w:t>
      </w:r>
      <m:oMath>
        <m:sSub>
          <m:sSubPr>
            <m:ctrlPr>
              <w:rPr>
                <w:rFonts w:ascii="Cambria Math" w:eastAsia="仿宋_GB2312" w:hAnsi="Cambria Math" w:hint="eastAsia"/>
                <w:i/>
                <w:sz w:val="18"/>
                <w:szCs w:val="18"/>
              </w:rPr>
            </m:ctrlPr>
          </m:sSubPr>
          <m:e>
            <m:r>
              <w:rPr>
                <w:rFonts w:ascii="Cambria Math" w:eastAsia="仿宋_GB2312" w:hAnsi="Cambria Math"/>
                <w:sz w:val="18"/>
                <w:szCs w:val="18"/>
              </w:rPr>
              <m:t>GWP</m:t>
            </m:r>
          </m:e>
          <m:sub>
            <m:sSub>
              <m:sSubPr>
                <m:ctrlPr>
                  <w:rPr>
                    <w:rFonts w:ascii="Cambria Math" w:eastAsia="仿宋_GB2312" w:hAnsi="Cambria Math" w:hint="eastAsia"/>
                    <w:i/>
                    <w:sz w:val="18"/>
                    <w:szCs w:val="18"/>
                  </w:rPr>
                </m:ctrlPr>
              </m:sSubPr>
              <m:e>
                <m:r>
                  <w:rPr>
                    <w:rFonts w:ascii="Cambria Math" w:eastAsia="仿宋_GB2312" w:hAnsi="Cambria Math"/>
                    <w:sz w:val="18"/>
                    <w:szCs w:val="18"/>
                  </w:rPr>
                  <m:t>CH</m:t>
                </m:r>
              </m:e>
              <m:sub>
                <m:r>
                  <w:rPr>
                    <w:rFonts w:ascii="Cambria Math" w:eastAsia="仿宋_GB2312" w:hAnsi="Cambria Math"/>
                    <w:sz w:val="18"/>
                    <w:szCs w:val="18"/>
                  </w:rPr>
                  <m:t>4</m:t>
                </m:r>
              </m:sub>
            </m:sSub>
          </m:sub>
        </m:sSub>
      </m:oMath>
      <w:r>
        <w:rPr>
          <w:rFonts w:ascii="仿宋_GB2312" w:eastAsia="仿宋_GB2312" w:hAnsi="黑体" w:hint="eastAsia"/>
        </w:rPr>
        <w:t>值取27.9，以 tCO</w:t>
      </w:r>
      <w:r>
        <w:rPr>
          <w:rFonts w:ascii="仿宋_GB2312" w:eastAsia="仿宋_GB2312" w:hAnsi="黑体" w:hint="eastAsia"/>
          <w:vertAlign w:val="subscript"/>
        </w:rPr>
        <w:t>2</w:t>
      </w:r>
      <w:r>
        <w:rPr>
          <w:rFonts w:ascii="仿宋_GB2312" w:eastAsia="仿宋_GB2312" w:hAnsi="黑体" w:hint="eastAsia"/>
        </w:rPr>
        <w:t>e/t</w:t>
      </w:r>
      <w:r>
        <w:rPr>
          <w:rFonts w:ascii="仿宋_GB2312" w:eastAsia="仿宋_GB2312" w:hAnsi="黑体" w:hint="eastAsia"/>
          <w:vertAlign w:val="subscript"/>
        </w:rPr>
        <w:t>CH</w:t>
      </w:r>
      <w:r>
        <w:rPr>
          <w:rFonts w:ascii="仿宋_GB2312" w:eastAsia="仿宋_GB2312" w:hAnsi="黑体" w:hint="eastAsia"/>
          <w:sz w:val="15"/>
          <w:szCs w:val="15"/>
          <w:vertAlign w:val="subscript"/>
        </w:rPr>
        <w:t>4</w:t>
      </w:r>
      <w:r>
        <w:rPr>
          <w:rFonts w:ascii="仿宋_GB2312" w:eastAsia="仿宋_GB2312" w:hAnsi="黑体" w:hint="eastAsia"/>
        </w:rPr>
        <w:t>计。</w:t>
      </w:r>
    </w:p>
    <w:p w14:paraId="3A4C9DE1" w14:textId="77777777" w:rsidR="00865461" w:rsidRDefault="00000000" w:rsidP="00413D92">
      <w:pPr>
        <w:ind w:firstLineChars="300" w:firstLine="720"/>
        <w:rPr>
          <w:rFonts w:hAnsi="DejaVu Math TeX Gyre" w:cs="华文仿宋"/>
        </w:rPr>
      </w:pPr>
      <m:oMath>
        <m:sSub>
          <m:sSubPr>
            <m:ctrlPr>
              <w:rPr>
                <w:rFonts w:ascii="DejaVu Math TeX Gyre" w:hAnsi="DejaVu Math TeX Gyre"/>
                <w:i/>
              </w:rPr>
            </m:ctrlPr>
          </m:sSubPr>
          <m:e>
            <m:r>
              <w:rPr>
                <w:rFonts w:ascii="DejaVu Math TeX Gyre" w:hAnsi="DejaVu Math TeX Gyre"/>
              </w:rPr>
              <m:t>Z</m:t>
            </m:r>
          </m:e>
          <m:sub>
            <m:sSub>
              <m:sSubPr>
                <m:ctrlPr>
                  <w:rPr>
                    <w:rFonts w:ascii="DejaVu Math TeX Gyre" w:hAnsi="DejaVu Math TeX Gyre"/>
                    <w:i/>
                  </w:rPr>
                </m:ctrlPr>
              </m:sSubPr>
              <m:e>
                <m:r>
                  <w:rPr>
                    <w:rFonts w:ascii="DejaVu Math TeX Gyre" w:hAnsi="DejaVu Math TeX Gyre"/>
                  </w:rPr>
                  <m:t>CH</m:t>
                </m:r>
              </m:e>
              <m:sub>
                <m:r>
                  <w:rPr>
                    <w:rFonts w:ascii="DejaVu Math TeX Gyre" w:hAnsi="DejaVu Math TeX Gyre"/>
                  </w:rPr>
                  <m:t>4</m:t>
                </m:r>
              </m:sub>
            </m:sSub>
          </m:sub>
        </m:sSub>
      </m:oMath>
      <w:r>
        <w:rPr>
          <w:rFonts w:ascii="华文仿宋" w:eastAsia="华文仿宋" w:hAnsi="华文仿宋" w:cs="华文仿宋" w:hint="eastAsia"/>
        </w:rPr>
        <w:t>=</w:t>
      </w:r>
      <m:oMath>
        <m:sSub>
          <m:sSubPr>
            <m:ctrlPr>
              <w:rPr>
                <w:rFonts w:ascii="DejaVu Math TeX Gyre" w:hAnsi="DejaVu Math TeX Gyre" w:cs="华文仿宋"/>
                <w:i/>
              </w:rPr>
            </m:ctrlPr>
          </m:sSubPr>
          <m:e>
            <m:r>
              <w:rPr>
                <w:rFonts w:ascii="DejaVu Math TeX Gyre" w:hAnsi="DejaVu Math TeX Gyre" w:cs="华文仿宋"/>
              </w:rPr>
              <m:t>S</m:t>
            </m:r>
          </m:e>
          <m:sub>
            <m:sSub>
              <m:sSubPr>
                <m:ctrlPr>
                  <w:rPr>
                    <w:rFonts w:ascii="DejaVu Math TeX Gyre" w:hAnsi="DejaVu Math TeX Gyre" w:cs="华文仿宋"/>
                    <w:i/>
                  </w:rPr>
                </m:ctrlPr>
              </m:sSubPr>
              <m:e>
                <m:r>
                  <w:rPr>
                    <w:rFonts w:ascii="DejaVu Math TeX Gyre" w:hAnsi="DejaVu Math TeX Gyre" w:cs="华文仿宋"/>
                  </w:rPr>
                  <m:t>CH</m:t>
                </m:r>
              </m:e>
              <m:sub>
                <m:r>
                  <w:rPr>
                    <w:rFonts w:ascii="DejaVu Math TeX Gyre" w:hAnsi="DejaVu Math TeX Gyre" w:cs="华文仿宋"/>
                  </w:rPr>
                  <m:t>4</m:t>
                </m:r>
              </m:sub>
            </m:sSub>
          </m:sub>
        </m:sSub>
      </m:oMath>
      <w:r>
        <w:rPr>
          <w:rFonts w:hAnsi="DejaVu Math TeX Gyre" w:cs="华文仿宋" w:hint="eastAsia"/>
        </w:rPr>
        <w:t>/</w:t>
      </w:r>
      <m:oMath>
        <m:sSub>
          <m:sSubPr>
            <m:ctrlPr>
              <w:rPr>
                <w:rFonts w:ascii="DejaVu Math TeX Gyre" w:hAnsi="DejaVu Math TeX Gyre" w:cs="华文仿宋"/>
                <w:i/>
              </w:rPr>
            </m:ctrlPr>
          </m:sSubPr>
          <m:e>
            <m:r>
              <w:rPr>
                <w:rFonts w:ascii="DejaVu Math TeX Gyre" w:hAnsi="DejaVu Math TeX Gyre" w:cs="华文仿宋"/>
              </w:rPr>
              <m:t>C</m:t>
            </m:r>
          </m:e>
          <m:sub>
            <m:sSub>
              <m:sSubPr>
                <m:ctrlPr>
                  <w:rPr>
                    <w:rFonts w:ascii="DejaVu Math TeX Gyre" w:hAnsi="DejaVu Math TeX Gyre" w:cs="华文仿宋"/>
                    <w:i/>
                  </w:rPr>
                </m:ctrlPr>
              </m:sSubPr>
              <m:e>
                <m:r>
                  <w:rPr>
                    <w:rFonts w:ascii="DejaVu Math TeX Gyre" w:hAnsi="DejaVu Math TeX Gyre" w:cs="华文仿宋"/>
                  </w:rPr>
                  <m:t>CH</m:t>
                </m:r>
              </m:e>
              <m:sub>
                <m:r>
                  <w:rPr>
                    <w:rFonts w:ascii="DejaVu Math TeX Gyre" w:hAnsi="DejaVu Math TeX Gyre" w:cs="华文仿宋"/>
                  </w:rPr>
                  <m:t>4</m:t>
                </m:r>
              </m:sub>
            </m:sSub>
          </m:sub>
        </m:sSub>
      </m:oMath>
      <w:r>
        <w:rPr>
          <w:rFonts w:hAnsi="DejaVu Math TeX Gyre" w:cs="华文仿宋" w:hint="eastAsia"/>
        </w:rPr>
        <w:t xml:space="preserve">                                               </w:t>
      </w:r>
      <w:r>
        <w:rPr>
          <w:rFonts w:hAnsi="DejaVu Math TeX Gyre" w:cs="华文仿宋" w:hint="eastAsia"/>
        </w:rPr>
        <w:t>（</w:t>
      </w:r>
      <w:r>
        <w:rPr>
          <w:rFonts w:hAnsi="DejaVu Math TeX Gyre" w:cs="华文仿宋" w:hint="eastAsia"/>
        </w:rPr>
        <w:t>2</w:t>
      </w:r>
      <w:r>
        <w:rPr>
          <w:rFonts w:hAnsi="DejaVu Math TeX Gyre" w:cs="华文仿宋" w:hint="eastAsia"/>
        </w:rPr>
        <w:t>）</w:t>
      </w:r>
    </w:p>
    <w:p w14:paraId="28518F44" w14:textId="77777777" w:rsidR="00865461" w:rsidRDefault="00000000" w:rsidP="00413D92">
      <w:pPr>
        <w:ind w:firstLineChars="300" w:firstLine="720"/>
        <w:rPr>
          <w:rFonts w:ascii="仿宋_GB2312" w:eastAsia="仿宋_GB2312" w:hAnsi="黑体" w:hint="eastAsia"/>
        </w:rPr>
      </w:pPr>
      <w:r>
        <w:rPr>
          <w:rFonts w:hAnsi="DejaVu Math TeX Gyre" w:cs="华文仿宋" w:hint="eastAsia"/>
        </w:rPr>
        <w:t>式中：</w:t>
      </w:r>
      <m:oMath>
        <m:sSub>
          <m:sSubPr>
            <m:ctrlPr>
              <w:rPr>
                <w:rFonts w:ascii="DejaVu Math TeX Gyre" w:hAnsi="DejaVu Math TeX Gyre"/>
                <w:i/>
              </w:rPr>
            </m:ctrlPr>
          </m:sSubPr>
          <m:e>
            <m:r>
              <w:rPr>
                <w:rFonts w:ascii="DejaVu Math TeX Gyre" w:hAnsi="DejaVu Math TeX Gyre"/>
              </w:rPr>
              <m:t>Z</m:t>
            </m:r>
          </m:e>
          <m:sub>
            <m:sSub>
              <m:sSubPr>
                <m:ctrlPr>
                  <w:rPr>
                    <w:rFonts w:ascii="DejaVu Math TeX Gyre" w:hAnsi="DejaVu Math TeX Gyre"/>
                    <w:i/>
                  </w:rPr>
                </m:ctrlPr>
              </m:sSubPr>
              <m:e>
                <m:r>
                  <w:rPr>
                    <w:rFonts w:ascii="DejaVu Math TeX Gyre" w:hAnsi="DejaVu Math TeX Gyre"/>
                  </w:rPr>
                  <m:t>CH</m:t>
                </m:r>
              </m:e>
              <m:sub>
                <m:r>
                  <w:rPr>
                    <w:rFonts w:ascii="DejaVu Math TeX Gyre" w:hAnsi="DejaVu Math TeX Gyre"/>
                  </w:rPr>
                  <m:t>4</m:t>
                </m:r>
              </m:sub>
            </m:sSub>
          </m:sub>
        </m:sSub>
      </m:oMath>
      <w:r>
        <w:rPr>
          <w:rFonts w:ascii="仿宋_GB2312" w:eastAsia="仿宋_GB2312" w:hAnsi="黑体"/>
        </w:rPr>
        <w:t>—</w:t>
      </w:r>
      <w:r>
        <w:rPr>
          <w:rFonts w:ascii="仿宋_GB2312" w:eastAsia="仿宋_GB2312" w:hAnsi="黑体" w:hint="eastAsia"/>
        </w:rPr>
        <w:t>污水处理厂甲烷综合治理效率</w:t>
      </w:r>
    </w:p>
    <w:p w14:paraId="5BF1E4F7" w14:textId="77777777" w:rsidR="00865461" w:rsidRDefault="00000000" w:rsidP="00413D92">
      <w:pPr>
        <w:ind w:firstLineChars="600" w:firstLine="1440"/>
        <w:rPr>
          <w:rFonts w:ascii="仿宋_GB2312" w:eastAsia="仿宋_GB2312" w:hAnsi="黑体" w:hint="eastAsia"/>
        </w:rPr>
      </w:pPr>
      <m:oMath>
        <m:sSub>
          <m:sSubPr>
            <m:ctrlPr>
              <w:rPr>
                <w:rFonts w:ascii="DejaVu Math TeX Gyre" w:hAnsi="DejaVu Math TeX Gyre" w:cs="华文仿宋"/>
                <w:i/>
              </w:rPr>
            </m:ctrlPr>
          </m:sSubPr>
          <m:e>
            <m:r>
              <w:rPr>
                <w:rFonts w:ascii="DejaVu Math TeX Gyre" w:hAnsi="DejaVu Math TeX Gyre" w:cs="华文仿宋"/>
              </w:rPr>
              <m:t>S</m:t>
            </m:r>
          </m:e>
          <m:sub>
            <m:sSub>
              <m:sSubPr>
                <m:ctrlPr>
                  <w:rPr>
                    <w:rFonts w:ascii="DejaVu Math TeX Gyre" w:hAnsi="DejaVu Math TeX Gyre" w:cs="华文仿宋"/>
                    <w:i/>
                  </w:rPr>
                </m:ctrlPr>
              </m:sSubPr>
              <m:e>
                <m:r>
                  <w:rPr>
                    <w:rFonts w:ascii="DejaVu Math TeX Gyre" w:hAnsi="DejaVu Math TeX Gyre" w:cs="华文仿宋"/>
                  </w:rPr>
                  <m:t>CH</m:t>
                </m:r>
              </m:e>
              <m:sub>
                <m:r>
                  <w:rPr>
                    <w:rFonts w:ascii="DejaVu Math TeX Gyre" w:hAnsi="DejaVu Math TeX Gyre" w:cs="华文仿宋"/>
                  </w:rPr>
                  <m:t>4</m:t>
                </m:r>
              </m:sub>
            </m:sSub>
          </m:sub>
        </m:sSub>
      </m:oMath>
      <w:r>
        <w:rPr>
          <w:rFonts w:ascii="仿宋_GB2312" w:eastAsia="仿宋_GB2312" w:hAnsi="黑体"/>
        </w:rPr>
        <w:t>—</w:t>
      </w:r>
      <w:r>
        <w:rPr>
          <w:rFonts w:ascii="仿宋_GB2312" w:eastAsia="仿宋_GB2312" w:hAnsi="黑体" w:hint="eastAsia"/>
        </w:rPr>
        <w:t xml:space="preserve"> 污水处理厂甲烷收集设施收集效率，各收集措施效率具体参数参照附录A</w:t>
      </w:r>
    </w:p>
    <w:p w14:paraId="69E9B996" w14:textId="77777777" w:rsidR="00865461" w:rsidRDefault="00000000" w:rsidP="00413D92">
      <w:pPr>
        <w:ind w:firstLineChars="600" w:firstLine="1440"/>
        <w:rPr>
          <w:rFonts w:ascii="仿宋_GB2312" w:eastAsia="仿宋_GB2312" w:hAnsi="黑体" w:hint="eastAsia"/>
        </w:rPr>
      </w:pPr>
      <m:oMath>
        <m:sSub>
          <m:sSubPr>
            <m:ctrlPr>
              <w:rPr>
                <w:rFonts w:ascii="DejaVu Math TeX Gyre" w:hAnsi="DejaVu Math TeX Gyre" w:cs="华文仿宋"/>
                <w:i/>
              </w:rPr>
            </m:ctrlPr>
          </m:sSubPr>
          <m:e>
            <m:r>
              <w:rPr>
                <w:rFonts w:ascii="DejaVu Math TeX Gyre" w:hAnsi="DejaVu Math TeX Gyre" w:cs="华文仿宋"/>
              </w:rPr>
              <m:t>C</m:t>
            </m:r>
          </m:e>
          <m:sub>
            <m:sSub>
              <m:sSubPr>
                <m:ctrlPr>
                  <w:rPr>
                    <w:rFonts w:ascii="DejaVu Math TeX Gyre" w:hAnsi="DejaVu Math TeX Gyre" w:cs="华文仿宋"/>
                    <w:i/>
                  </w:rPr>
                </m:ctrlPr>
              </m:sSubPr>
              <m:e>
                <m:r>
                  <w:rPr>
                    <w:rFonts w:ascii="DejaVu Math TeX Gyre" w:hAnsi="DejaVu Math TeX Gyre" w:cs="华文仿宋"/>
                  </w:rPr>
                  <m:t>CH</m:t>
                </m:r>
              </m:e>
              <m:sub>
                <m:r>
                  <w:rPr>
                    <w:rFonts w:ascii="DejaVu Math TeX Gyre" w:hAnsi="DejaVu Math TeX Gyre" w:cs="华文仿宋"/>
                  </w:rPr>
                  <m:t>4</m:t>
                </m:r>
              </m:sub>
            </m:sSub>
          </m:sub>
        </m:sSub>
      </m:oMath>
      <w:r>
        <w:rPr>
          <w:rFonts w:ascii="仿宋_GB2312" w:eastAsia="仿宋_GB2312" w:hAnsi="黑体"/>
        </w:rPr>
        <w:t>—</w:t>
      </w:r>
      <w:r>
        <w:rPr>
          <w:rFonts w:ascii="仿宋_GB2312" w:eastAsia="仿宋_GB2312" w:hAnsi="黑体" w:hint="eastAsia"/>
        </w:rPr>
        <w:t>污水处理厂甲烷处置设施去除效率，各处</w:t>
      </w:r>
      <w:proofErr w:type="gramStart"/>
      <w:r>
        <w:rPr>
          <w:rFonts w:ascii="仿宋_GB2312" w:eastAsia="仿宋_GB2312" w:hAnsi="黑体" w:hint="eastAsia"/>
        </w:rPr>
        <w:t>置措施</w:t>
      </w:r>
      <w:proofErr w:type="gramEnd"/>
      <w:r>
        <w:rPr>
          <w:rFonts w:ascii="仿宋_GB2312" w:eastAsia="仿宋_GB2312" w:hAnsi="黑体" w:hint="eastAsia"/>
        </w:rPr>
        <w:t>效率具体参数参照附录B</w:t>
      </w:r>
    </w:p>
    <w:p w14:paraId="468191DF" w14:textId="77777777" w:rsidR="00865461" w:rsidRDefault="00000000" w:rsidP="00413D92">
      <w:pPr>
        <w:ind w:firstLineChars="200" w:firstLine="480"/>
        <w:rPr>
          <w:rFonts w:eastAsia="仿宋_GB2312" w:hAnsi="Cambria Math"/>
          <w:sz w:val="21"/>
          <w:szCs w:val="21"/>
        </w:rPr>
      </w:pPr>
      <m:oMath>
        <m:sSub>
          <m:sSubPr>
            <m:ctrlPr>
              <w:rPr>
                <w:rFonts w:ascii="DejaVu Math TeX Gyre" w:hAnsi="DejaVu Math TeX Gyre"/>
                <w:i/>
              </w:rPr>
            </m:ctrlPr>
          </m:sSubPr>
          <m:e>
            <m:r>
              <w:rPr>
                <w:rFonts w:ascii="DejaVu Math TeX Gyre" w:hAnsi="DejaVu Math TeX Gyre"/>
              </w:rPr>
              <m:t>E</m:t>
            </m:r>
          </m:e>
          <m:sub>
            <m:sSub>
              <m:sSubPr>
                <m:ctrlPr>
                  <w:rPr>
                    <w:rFonts w:ascii="DejaVu Math TeX Gyre" w:hAnsi="DejaVu Math TeX Gyre"/>
                    <w:i/>
                  </w:rPr>
                </m:ctrlPr>
              </m:sSubPr>
              <m:e>
                <m:r>
                  <w:rPr>
                    <w:rFonts w:ascii="DejaVu Math TeX Gyre" w:hAnsi="DejaVu Math TeX Gyre"/>
                  </w:rPr>
                  <m:t>CH</m:t>
                </m:r>
              </m:e>
              <m:sub>
                <m:r>
                  <w:rPr>
                    <w:rFonts w:ascii="DejaVu Math TeX Gyre" w:hAnsi="DejaVu Math TeX Gyre"/>
                  </w:rPr>
                  <m:t>4</m:t>
                </m:r>
              </m:sub>
            </m:sSub>
          </m:sub>
        </m:sSub>
      </m:oMath>
      <w:r>
        <w:rPr>
          <w:rFonts w:hAnsi="DejaVu Math TeX Gyre" w:hint="eastAsia"/>
        </w:rPr>
        <w:t>=</w:t>
      </w:r>
      <m:oMath>
        <m:sSub>
          <m:sSubPr>
            <m:ctrlPr>
              <w:rPr>
                <w:rFonts w:ascii="Cambria Math" w:eastAsia="仿宋_GB2312" w:hAnsi="Cambria Math"/>
                <w:i/>
                <w:sz w:val="21"/>
                <w:szCs w:val="21"/>
              </w:rPr>
            </m:ctrlPr>
          </m:sSubPr>
          <m:e>
            <m:r>
              <w:rPr>
                <w:rFonts w:ascii="DejaVu Math TeX Gyre" w:eastAsia="仿宋_GB2312" w:hAnsi="DejaVu Math TeX Gyre"/>
                <w:sz w:val="21"/>
                <w:szCs w:val="21"/>
              </w:rPr>
              <m:t>P</m:t>
            </m:r>
          </m:e>
          <m:sub>
            <m:sSub>
              <m:sSubPr>
                <m:ctrlPr>
                  <w:rPr>
                    <w:rFonts w:ascii="Cambria Math" w:eastAsia="仿宋_GB2312" w:hAnsi="Cambria Math"/>
                    <w:i/>
                    <w:sz w:val="21"/>
                    <w:szCs w:val="21"/>
                  </w:rPr>
                </m:ctrlPr>
              </m:sSubPr>
              <m:e>
                <m:r>
                  <w:rPr>
                    <w:rFonts w:ascii="Cambria Math" w:eastAsia="仿宋_GB2312" w:hAnsi="Cambria Math"/>
                    <w:sz w:val="21"/>
                    <w:szCs w:val="21"/>
                  </w:rPr>
                  <m:t>CH</m:t>
                </m:r>
              </m:e>
              <m:sub>
                <m:r>
                  <w:rPr>
                    <w:rFonts w:ascii="Cambria Math" w:eastAsia="仿宋_GB2312" w:hAnsi="Cambria Math"/>
                    <w:sz w:val="21"/>
                    <w:szCs w:val="21"/>
                  </w:rPr>
                  <m:t>4</m:t>
                </m:r>
              </m:sub>
            </m:sSub>
          </m:sub>
        </m:sSub>
      </m:oMath>
      <w:r>
        <w:rPr>
          <w:rFonts w:eastAsia="仿宋_GB2312" w:hAnsi="Cambria Math" w:hint="eastAsia"/>
          <w:sz w:val="21"/>
          <w:szCs w:val="21"/>
        </w:rPr>
        <w:t>×（</w:t>
      </w:r>
      <w:r>
        <w:rPr>
          <w:rFonts w:eastAsia="仿宋_GB2312" w:hAnsi="Cambria Math" w:hint="eastAsia"/>
          <w:sz w:val="21"/>
          <w:szCs w:val="21"/>
        </w:rPr>
        <w:t>1-</w:t>
      </w:r>
      <m:oMath>
        <m:sSub>
          <m:sSubPr>
            <m:ctrlPr>
              <w:rPr>
                <w:rFonts w:ascii="DejaVu Math TeX Gyre" w:hAnsi="DejaVu Math TeX Gyre"/>
                <w:i/>
              </w:rPr>
            </m:ctrlPr>
          </m:sSubPr>
          <m:e>
            <m:r>
              <w:rPr>
                <w:rFonts w:ascii="DejaVu Math TeX Gyre" w:hAnsi="DejaVu Math TeX Gyre"/>
              </w:rPr>
              <m:t>Z</m:t>
            </m:r>
          </m:e>
          <m:sub>
            <m:sSub>
              <m:sSubPr>
                <m:ctrlPr>
                  <w:rPr>
                    <w:rFonts w:ascii="DejaVu Math TeX Gyre" w:hAnsi="DejaVu Math TeX Gyre"/>
                    <w:i/>
                  </w:rPr>
                </m:ctrlPr>
              </m:sSubPr>
              <m:e>
                <m:r>
                  <w:rPr>
                    <w:rFonts w:ascii="DejaVu Math TeX Gyre" w:hAnsi="DejaVu Math TeX Gyre"/>
                  </w:rPr>
                  <m:t>CH</m:t>
                </m:r>
              </m:e>
              <m:sub>
                <m:r>
                  <w:rPr>
                    <w:rFonts w:ascii="DejaVu Math TeX Gyre" w:hAnsi="DejaVu Math TeX Gyre"/>
                  </w:rPr>
                  <m:t>4</m:t>
                </m:r>
              </m:sub>
            </m:sSub>
          </m:sub>
        </m:sSub>
      </m:oMath>
      <w:r>
        <w:rPr>
          <w:rFonts w:eastAsia="仿宋_GB2312" w:hAnsi="Cambria Math" w:hint="eastAsia"/>
          <w:sz w:val="21"/>
          <w:szCs w:val="21"/>
        </w:rPr>
        <w:t>）</w:t>
      </w:r>
      <w:r>
        <w:rPr>
          <w:rFonts w:eastAsia="仿宋_GB2312" w:hAnsi="Cambria Math" w:hint="eastAsia"/>
          <w:sz w:val="21"/>
          <w:szCs w:val="21"/>
        </w:rPr>
        <w:t xml:space="preserve">                                                </w:t>
      </w:r>
      <w:r>
        <w:rPr>
          <w:rFonts w:eastAsia="仿宋_GB2312" w:hAnsi="Cambria Math" w:hint="eastAsia"/>
          <w:sz w:val="21"/>
          <w:szCs w:val="21"/>
        </w:rPr>
        <w:t>（</w:t>
      </w:r>
      <w:r>
        <w:rPr>
          <w:rFonts w:eastAsia="仿宋_GB2312" w:hAnsi="Cambria Math" w:hint="eastAsia"/>
          <w:sz w:val="21"/>
          <w:szCs w:val="21"/>
        </w:rPr>
        <w:t>3</w:t>
      </w:r>
      <w:r>
        <w:rPr>
          <w:rFonts w:eastAsia="仿宋_GB2312" w:hAnsi="Cambria Math" w:hint="eastAsia"/>
          <w:sz w:val="21"/>
          <w:szCs w:val="21"/>
        </w:rPr>
        <w:t>）</w:t>
      </w:r>
    </w:p>
    <w:p w14:paraId="73C604CE" w14:textId="77777777" w:rsidR="00865461" w:rsidRDefault="00000000" w:rsidP="00413D92">
      <w:pPr>
        <w:ind w:firstLineChars="300" w:firstLine="630"/>
        <w:rPr>
          <w:rFonts w:ascii="仿宋_GB2312" w:eastAsia="仿宋_GB2312" w:hAnsi="黑体" w:hint="eastAsia"/>
        </w:rPr>
      </w:pPr>
      <w:r>
        <w:rPr>
          <w:rFonts w:eastAsia="仿宋_GB2312" w:hAnsi="Cambria Math" w:hint="eastAsia"/>
          <w:sz w:val="21"/>
          <w:szCs w:val="21"/>
        </w:rPr>
        <w:t>式中：</w:t>
      </w:r>
      <m:oMath>
        <m:sSub>
          <m:sSubPr>
            <m:ctrlPr>
              <w:rPr>
                <w:rFonts w:ascii="DejaVu Math TeX Gyre" w:hAnsi="DejaVu Math TeX Gyre"/>
                <w:i/>
              </w:rPr>
            </m:ctrlPr>
          </m:sSubPr>
          <m:e>
            <m:r>
              <w:rPr>
                <w:rFonts w:ascii="DejaVu Math TeX Gyre" w:hAnsi="DejaVu Math TeX Gyre"/>
              </w:rPr>
              <m:t>E</m:t>
            </m:r>
          </m:e>
          <m:sub>
            <m:sSub>
              <m:sSubPr>
                <m:ctrlPr>
                  <w:rPr>
                    <w:rFonts w:ascii="DejaVu Math TeX Gyre" w:hAnsi="DejaVu Math TeX Gyre"/>
                    <w:i/>
                  </w:rPr>
                </m:ctrlPr>
              </m:sSubPr>
              <m:e>
                <m:r>
                  <w:rPr>
                    <w:rFonts w:ascii="DejaVu Math TeX Gyre" w:hAnsi="DejaVu Math TeX Gyre"/>
                  </w:rPr>
                  <m:t>CH</m:t>
                </m:r>
              </m:e>
              <m:sub>
                <m:r>
                  <w:rPr>
                    <w:rFonts w:ascii="DejaVu Math TeX Gyre" w:hAnsi="DejaVu Math TeX Gyre"/>
                  </w:rPr>
                  <m:t>4</m:t>
                </m:r>
              </m:sub>
            </m:sSub>
          </m:sub>
        </m:sSub>
      </m:oMath>
      <w:r>
        <w:rPr>
          <w:rFonts w:ascii="仿宋_GB2312" w:eastAsia="仿宋_GB2312" w:hAnsi="黑体"/>
        </w:rPr>
        <w:t>—</w:t>
      </w:r>
      <w:r>
        <w:rPr>
          <w:rFonts w:ascii="仿宋_GB2312" w:eastAsia="仿宋_GB2312" w:hAnsi="黑体" w:hint="eastAsia"/>
        </w:rPr>
        <w:t>污水处理厂甲烷排放量</w:t>
      </w:r>
    </w:p>
    <w:p w14:paraId="0EB34927" w14:textId="77777777" w:rsidR="00865461" w:rsidRDefault="00000000" w:rsidP="00413D92">
      <w:pPr>
        <w:ind w:firstLineChars="600" w:firstLine="1260"/>
        <w:rPr>
          <w:rFonts w:ascii="仿宋_GB2312" w:eastAsia="仿宋_GB2312" w:hAnsi="黑体" w:hint="eastAsia"/>
        </w:rPr>
      </w:pPr>
      <m:oMath>
        <m:sSub>
          <m:sSubPr>
            <m:ctrlPr>
              <w:rPr>
                <w:rFonts w:ascii="Cambria Math" w:eastAsia="仿宋_GB2312" w:hAnsi="Cambria Math"/>
                <w:i/>
                <w:sz w:val="21"/>
                <w:szCs w:val="21"/>
              </w:rPr>
            </m:ctrlPr>
          </m:sSubPr>
          <m:e>
            <m:r>
              <w:rPr>
                <w:rFonts w:ascii="DejaVu Math TeX Gyre" w:eastAsia="仿宋_GB2312" w:hAnsi="DejaVu Math TeX Gyre"/>
                <w:sz w:val="21"/>
                <w:szCs w:val="21"/>
              </w:rPr>
              <m:t>P</m:t>
            </m:r>
          </m:e>
          <m:sub>
            <m:sSub>
              <m:sSubPr>
                <m:ctrlPr>
                  <w:rPr>
                    <w:rFonts w:ascii="Cambria Math" w:eastAsia="仿宋_GB2312" w:hAnsi="Cambria Math"/>
                    <w:i/>
                    <w:sz w:val="21"/>
                    <w:szCs w:val="21"/>
                  </w:rPr>
                </m:ctrlPr>
              </m:sSubPr>
              <m:e>
                <m:r>
                  <w:rPr>
                    <w:rFonts w:ascii="Cambria Math" w:eastAsia="仿宋_GB2312" w:hAnsi="Cambria Math"/>
                    <w:sz w:val="21"/>
                    <w:szCs w:val="21"/>
                  </w:rPr>
                  <m:t>CH</m:t>
                </m:r>
              </m:e>
              <m:sub>
                <m:r>
                  <w:rPr>
                    <w:rFonts w:ascii="Cambria Math" w:eastAsia="仿宋_GB2312" w:hAnsi="Cambria Math"/>
                    <w:sz w:val="21"/>
                    <w:szCs w:val="21"/>
                  </w:rPr>
                  <m:t>4</m:t>
                </m:r>
              </m:sub>
            </m:sSub>
          </m:sub>
        </m:sSub>
      </m:oMath>
      <w:r>
        <w:rPr>
          <w:rFonts w:ascii="仿宋_GB2312" w:eastAsia="仿宋_GB2312" w:hAnsi="黑体"/>
        </w:rPr>
        <w:t>—</w:t>
      </w:r>
      <w:r>
        <w:rPr>
          <w:rFonts w:ascii="仿宋_GB2312" w:eastAsia="仿宋_GB2312" w:hAnsi="黑体" w:hint="eastAsia"/>
        </w:rPr>
        <w:t>污水处理厂甲烷产生量，按照式（1）计算</w:t>
      </w:r>
    </w:p>
    <w:p w14:paraId="0F0A0974" w14:textId="77777777" w:rsidR="00865461" w:rsidRDefault="00000000" w:rsidP="00413D92">
      <w:pPr>
        <w:ind w:firstLineChars="500" w:firstLine="1200"/>
        <w:rPr>
          <w:rFonts w:ascii="仿宋_GB2312" w:eastAsia="仿宋_GB2312" w:hAnsi="黑体" w:hint="eastAsia"/>
        </w:rPr>
      </w:pPr>
      <m:oMath>
        <m:sSub>
          <m:sSubPr>
            <m:ctrlPr>
              <w:rPr>
                <w:rFonts w:ascii="DejaVu Math TeX Gyre" w:hAnsi="DejaVu Math TeX Gyre"/>
                <w:i/>
              </w:rPr>
            </m:ctrlPr>
          </m:sSubPr>
          <m:e>
            <m:r>
              <w:rPr>
                <w:rFonts w:ascii="DejaVu Math TeX Gyre" w:hAnsi="DejaVu Math TeX Gyre"/>
              </w:rPr>
              <m:t>Z</m:t>
            </m:r>
          </m:e>
          <m:sub>
            <m:sSub>
              <m:sSubPr>
                <m:ctrlPr>
                  <w:rPr>
                    <w:rFonts w:ascii="DejaVu Math TeX Gyre" w:hAnsi="DejaVu Math TeX Gyre"/>
                    <w:i/>
                  </w:rPr>
                </m:ctrlPr>
              </m:sSubPr>
              <m:e>
                <m:r>
                  <w:rPr>
                    <w:rFonts w:ascii="DejaVu Math TeX Gyre" w:hAnsi="DejaVu Math TeX Gyre"/>
                  </w:rPr>
                  <m:t>CH</m:t>
                </m:r>
              </m:e>
              <m:sub>
                <m:r>
                  <w:rPr>
                    <w:rFonts w:ascii="DejaVu Math TeX Gyre" w:hAnsi="DejaVu Math TeX Gyre"/>
                  </w:rPr>
                  <m:t>4</m:t>
                </m:r>
              </m:sub>
            </m:sSub>
          </m:sub>
        </m:sSub>
      </m:oMath>
      <w:r>
        <w:rPr>
          <w:rFonts w:ascii="仿宋_GB2312" w:eastAsia="仿宋_GB2312" w:hAnsi="黑体"/>
        </w:rPr>
        <w:t>—</w:t>
      </w:r>
      <w:r>
        <w:rPr>
          <w:rFonts w:ascii="仿宋_GB2312" w:eastAsia="仿宋_GB2312" w:hAnsi="黑体" w:hint="eastAsia"/>
        </w:rPr>
        <w:t>污水处理厂甲烷综合治理效率，按照式（2）计算</w:t>
      </w:r>
    </w:p>
    <w:p w14:paraId="781594CE" w14:textId="77777777" w:rsidR="00865461" w:rsidRDefault="00000000">
      <w:pPr>
        <w:widowControl/>
        <w:jc w:val="left"/>
        <w:rPr>
          <w:b/>
          <w:bCs/>
        </w:rPr>
      </w:pPr>
      <w:r>
        <w:rPr>
          <w:rFonts w:hint="eastAsia"/>
          <w:b/>
          <w:bCs/>
        </w:rPr>
        <w:t xml:space="preserve">5.5.4 </w:t>
      </w:r>
      <w:r>
        <w:rPr>
          <w:rFonts w:hint="eastAsia"/>
          <w:b/>
          <w:bCs/>
        </w:rPr>
        <w:t>甲烷排放评价</w:t>
      </w:r>
    </w:p>
    <w:p w14:paraId="6EFA99D2" w14:textId="77777777" w:rsidR="00865461" w:rsidRDefault="00000000">
      <w:pPr>
        <w:ind w:firstLineChars="200" w:firstLine="480"/>
      </w:pPr>
      <w:r>
        <w:rPr>
          <w:rFonts w:hint="eastAsia"/>
        </w:rPr>
        <w:t>（</w:t>
      </w:r>
      <w:r>
        <w:rPr>
          <w:rFonts w:hint="eastAsia"/>
        </w:rPr>
        <w:t>1</w:t>
      </w:r>
      <w:r>
        <w:rPr>
          <w:rFonts w:hint="eastAsia"/>
        </w:rPr>
        <w:t>）现有工程</w:t>
      </w:r>
    </w:p>
    <w:p w14:paraId="1EEBF837" w14:textId="77777777" w:rsidR="00865461" w:rsidRDefault="00000000">
      <w:pPr>
        <w:ind w:firstLineChars="200" w:firstLine="480"/>
      </w:pPr>
      <w:r>
        <w:rPr>
          <w:rFonts w:hint="eastAsia"/>
        </w:rPr>
        <w:t>以污水处理规模单位产品甲烷气体排放绩效值作为评价指标。现有工程甲烷排放评价应首先以国家或省相关主管部门公开发布的污水处理行业甲烷排放水平为评价依据，评价现有工程甲烷排放水平。若甲烷排放水平高于公开发布的污水处理行业甲烷气体排放水平，应进行合理说明，分析减</w:t>
      </w:r>
      <w:proofErr w:type="gramStart"/>
      <w:r>
        <w:rPr>
          <w:rFonts w:hint="eastAsia"/>
        </w:rPr>
        <w:t>污降碳</w:t>
      </w:r>
      <w:proofErr w:type="gramEnd"/>
      <w:r>
        <w:rPr>
          <w:rFonts w:hint="eastAsia"/>
        </w:rPr>
        <w:t>潜力。</w:t>
      </w:r>
    </w:p>
    <w:p w14:paraId="5D9E113F" w14:textId="77777777" w:rsidR="00865461" w:rsidRDefault="00000000">
      <w:pPr>
        <w:ind w:firstLineChars="200" w:firstLine="480"/>
      </w:pPr>
      <w:r>
        <w:rPr>
          <w:rFonts w:hint="eastAsia"/>
        </w:rPr>
        <w:t>（</w:t>
      </w:r>
      <w:r>
        <w:rPr>
          <w:rFonts w:hint="eastAsia"/>
        </w:rPr>
        <w:t>2</w:t>
      </w:r>
      <w:r>
        <w:rPr>
          <w:rFonts w:hint="eastAsia"/>
        </w:rPr>
        <w:t>）新建、改建、扩建及异地迁建工程</w:t>
      </w:r>
    </w:p>
    <w:p w14:paraId="140891BB" w14:textId="77777777" w:rsidR="00865461" w:rsidRDefault="00000000">
      <w:pPr>
        <w:ind w:firstLineChars="200" w:firstLine="480"/>
      </w:pPr>
      <w:r>
        <w:rPr>
          <w:rFonts w:hint="eastAsia"/>
        </w:rPr>
        <w:t>以污水处理规模单位产品甲烷排放绩效值作为评价指标。甲烷排放评价应首先以国家或省相关主管部门公开发布的污水处理行业甲烷排放水平为评价依据。</w:t>
      </w:r>
      <w:r>
        <w:rPr>
          <w:rFonts w:hint="eastAsia"/>
        </w:rPr>
        <w:lastRenderedPageBreak/>
        <w:t>原则上新建项目单位产品碳排放绩效值达到污水处理行业甲烷排放先进水平，若达不到应进行合理说明。改扩建项目还应与现有工程甲烷排放水平进行比较，原则上改扩建</w:t>
      </w:r>
      <w:proofErr w:type="gramStart"/>
      <w:r>
        <w:rPr>
          <w:rFonts w:hint="eastAsia"/>
        </w:rPr>
        <w:t>后单位</w:t>
      </w:r>
      <w:proofErr w:type="gramEnd"/>
      <w:r>
        <w:rPr>
          <w:rFonts w:hint="eastAsia"/>
        </w:rPr>
        <w:t>产品甲烷排放水平不高于现有工程；若甲烷排放水平高于现有工程的，应进行合理说明。</w:t>
      </w:r>
    </w:p>
    <w:p w14:paraId="27CB5F5E" w14:textId="77777777" w:rsidR="00865461" w:rsidRDefault="00000000">
      <w:pPr>
        <w:ind w:firstLineChars="200" w:firstLine="480"/>
      </w:pPr>
      <w:r>
        <w:rPr>
          <w:rFonts w:hint="eastAsia"/>
        </w:rPr>
        <w:t>（</w:t>
      </w:r>
      <w:r>
        <w:rPr>
          <w:rFonts w:hint="eastAsia"/>
        </w:rPr>
        <w:t>3</w:t>
      </w:r>
      <w:r>
        <w:rPr>
          <w:rFonts w:hint="eastAsia"/>
        </w:rPr>
        <w:t>）年温室气体排放量（二氧化碳当量）＞</w:t>
      </w:r>
      <w:r>
        <w:rPr>
          <w:rFonts w:hint="eastAsia"/>
        </w:rPr>
        <w:t>1000</w:t>
      </w:r>
      <w:r>
        <w:rPr>
          <w:rFonts w:hint="eastAsia"/>
        </w:rPr>
        <w:t>吨的确定依据</w:t>
      </w:r>
    </w:p>
    <w:p w14:paraId="401667F9" w14:textId="77777777" w:rsidR="00865461" w:rsidRDefault="00000000">
      <w:pPr>
        <w:ind w:firstLineChars="200" w:firstLine="480"/>
      </w:pPr>
      <w:r>
        <w:rPr>
          <w:rFonts w:hint="eastAsia"/>
        </w:rPr>
        <w:t>参考</w:t>
      </w:r>
      <w:proofErr w:type="gramStart"/>
      <w:r>
        <w:rPr>
          <w:rFonts w:hint="eastAsia"/>
        </w:rPr>
        <w:t>我国碳排放权</w:t>
      </w:r>
      <w:proofErr w:type="gramEnd"/>
      <w:r>
        <w:rPr>
          <w:rFonts w:hint="eastAsia"/>
        </w:rPr>
        <w:t>交易市场及环境影响评价管理的常规分级逻辑，符合我国对温室气体排放分类管控的管理思路，将排放规模较大、对区域减排目标影响更显著的污水处理项目纳入重点评价范围，提升评价针对性与管理效率。该门槛可覆盖绝大多数规模以上集中式污水处理项目，兼顾了管控覆盖性和管理成本，避免对小型分散项目过度评价。该阈值与国内现有温室气体排放报告、环境影响评价分级管理的相关要求相协调，便于与现有排污许可、碳排放监测等管理制度衔接，降低企业合</w:t>
      </w:r>
      <w:proofErr w:type="gramStart"/>
      <w:r>
        <w:rPr>
          <w:rFonts w:hint="eastAsia"/>
        </w:rPr>
        <w:t>规</w:t>
      </w:r>
      <w:proofErr w:type="gramEnd"/>
      <w:r>
        <w:rPr>
          <w:rFonts w:hint="eastAsia"/>
        </w:rPr>
        <w:t>成本。</w:t>
      </w:r>
    </w:p>
    <w:p w14:paraId="369F9898" w14:textId="77777777" w:rsidR="00865461" w:rsidRDefault="00000000">
      <w:pPr>
        <w:ind w:firstLineChars="200" w:firstLine="480"/>
      </w:pPr>
      <w:r>
        <w:rPr>
          <w:rFonts w:hint="eastAsia"/>
        </w:rPr>
        <w:t>（</w:t>
      </w:r>
      <w:r>
        <w:rPr>
          <w:rFonts w:hint="eastAsia"/>
        </w:rPr>
        <w:t>4</w:t>
      </w:r>
      <w:r>
        <w:rPr>
          <w:rFonts w:hint="eastAsia"/>
        </w:rPr>
        <w:t>）废水进水</w:t>
      </w:r>
      <w:r>
        <w:rPr>
          <w:rFonts w:hint="eastAsia"/>
        </w:rPr>
        <w:t>COD</w:t>
      </w:r>
      <w:r>
        <w:rPr>
          <w:rFonts w:hint="eastAsia"/>
        </w:rPr>
        <w:t>指标＞</w:t>
      </w:r>
      <w:r>
        <w:rPr>
          <w:rFonts w:hint="eastAsia"/>
        </w:rPr>
        <w:t>1000mg/L</w:t>
      </w:r>
      <w:r>
        <w:rPr>
          <w:rFonts w:hint="eastAsia"/>
        </w:rPr>
        <w:t>的确定依据</w:t>
      </w:r>
    </w:p>
    <w:p w14:paraId="23ADD098" w14:textId="77777777" w:rsidR="00865461" w:rsidRDefault="00000000">
      <w:pPr>
        <w:ind w:firstLineChars="200" w:firstLine="480"/>
      </w:pPr>
      <w:r>
        <w:rPr>
          <w:rFonts w:hint="eastAsia"/>
        </w:rPr>
        <w:t>污水处理过程中甲烷等温室气体主要来源于水中有机物的厌氧分解，进水</w:t>
      </w:r>
      <w:r>
        <w:rPr>
          <w:rFonts w:hint="eastAsia"/>
        </w:rPr>
        <w:t>COD</w:t>
      </w:r>
      <w:r>
        <w:rPr>
          <w:rFonts w:hint="eastAsia"/>
        </w:rPr>
        <w:t>浓度直接反映有机物含量，是甲烷产生量的核心驱动因子。当进水</w:t>
      </w:r>
      <w:r>
        <w:rPr>
          <w:rFonts w:hint="eastAsia"/>
        </w:rPr>
        <w:t>COD</w:t>
      </w:r>
      <w:r>
        <w:rPr>
          <w:rFonts w:hint="eastAsia"/>
        </w:rPr>
        <w:t>＞</w:t>
      </w:r>
      <w:r>
        <w:rPr>
          <w:rFonts w:hint="eastAsia"/>
        </w:rPr>
        <w:t>1000mg/L</w:t>
      </w:r>
      <w:r>
        <w:rPr>
          <w:rFonts w:hint="eastAsia"/>
        </w:rPr>
        <w:t>时，属于高浓度有机废水，厌氧环节产甲烷潜力大幅提升，温室气体排放的环境影响更显著，因此需纳入重点评价。常规城镇生活污水进水</w:t>
      </w:r>
      <w:r>
        <w:rPr>
          <w:rFonts w:hint="eastAsia"/>
        </w:rPr>
        <w:t>COD</w:t>
      </w:r>
      <w:r>
        <w:rPr>
          <w:rFonts w:hint="eastAsia"/>
        </w:rPr>
        <w:t>浓度一般在</w:t>
      </w:r>
      <w:r>
        <w:rPr>
          <w:rFonts w:hint="eastAsia"/>
        </w:rPr>
        <w:t>200-500mg/L</w:t>
      </w:r>
      <w:r>
        <w:rPr>
          <w:rFonts w:hint="eastAsia"/>
        </w:rPr>
        <w:t>，远低于该阈值；而高浓度工业废水（如食品、化工、造纸等）进水</w:t>
      </w:r>
      <w:r>
        <w:rPr>
          <w:rFonts w:hint="eastAsia"/>
        </w:rPr>
        <w:t>COD</w:t>
      </w:r>
      <w:r>
        <w:rPr>
          <w:rFonts w:hint="eastAsia"/>
        </w:rPr>
        <w:t>常超过</w:t>
      </w:r>
      <w:r>
        <w:rPr>
          <w:rFonts w:hint="eastAsia"/>
        </w:rPr>
        <w:t>1000mg/L</w:t>
      </w:r>
      <w:r>
        <w:rPr>
          <w:rFonts w:hint="eastAsia"/>
        </w:rPr>
        <w:t>，这类废水处理多会设置厌氧处理单元，甲烷溢散排放量远高于常规生活污水处理，设置该门槛可精准</w:t>
      </w:r>
      <w:proofErr w:type="gramStart"/>
      <w:r>
        <w:rPr>
          <w:rFonts w:hint="eastAsia"/>
        </w:rPr>
        <w:t>识别高</w:t>
      </w:r>
      <w:proofErr w:type="gramEnd"/>
      <w:r>
        <w:rPr>
          <w:rFonts w:hint="eastAsia"/>
        </w:rPr>
        <w:t>排放风险项目。</w:t>
      </w:r>
      <w:r>
        <w:rPr>
          <w:rFonts w:hint="eastAsia"/>
        </w:rPr>
        <w:t>PCC</w:t>
      </w:r>
      <w:r>
        <w:rPr>
          <w:rFonts w:hint="eastAsia"/>
        </w:rPr>
        <w:t>指南、国内《温室气体排放核算与报告要求》等方法学中，均将进水有机物浓度作为甲烷排放核算的核心基础参数，该阈值是基于排放因子法的参数关联性，划分评价等级的合理分界，保证评价阈值和核算方法逻辑统一。</w:t>
      </w:r>
    </w:p>
    <w:p w14:paraId="5E2814BC" w14:textId="77777777" w:rsidR="00865461" w:rsidRPr="00413D92" w:rsidRDefault="00000000" w:rsidP="00413D92">
      <w:pPr>
        <w:widowControl/>
        <w:jc w:val="left"/>
        <w:rPr>
          <w:b/>
          <w:bCs/>
        </w:rPr>
      </w:pPr>
      <w:r w:rsidRPr="00413D92">
        <w:rPr>
          <w:rFonts w:hint="eastAsia"/>
          <w:b/>
          <w:bCs/>
        </w:rPr>
        <w:t xml:space="preserve">5.5.5 </w:t>
      </w:r>
      <w:r w:rsidRPr="00413D92">
        <w:rPr>
          <w:rFonts w:hint="eastAsia"/>
          <w:b/>
          <w:bCs/>
        </w:rPr>
        <w:t>甲烷排放管理要求与监测计划</w:t>
      </w:r>
    </w:p>
    <w:p w14:paraId="42B04F02" w14:textId="77777777" w:rsidR="00865461" w:rsidRDefault="00000000">
      <w:pPr>
        <w:rPr>
          <w:rFonts w:ascii="黑体" w:eastAsia="黑体" w:hAnsi="黑体" w:hint="eastAsia"/>
        </w:rPr>
      </w:pPr>
      <w:r>
        <w:rPr>
          <w:rFonts w:ascii="黑体" w:eastAsia="黑体" w:hAnsi="黑体" w:hint="eastAsia"/>
        </w:rPr>
        <w:t>（1）管理要求</w:t>
      </w:r>
    </w:p>
    <w:p w14:paraId="00D3C9FC" w14:textId="77777777" w:rsidR="00865461" w:rsidRPr="00413D92" w:rsidRDefault="00000000" w:rsidP="00413D92">
      <w:pPr>
        <w:ind w:firstLineChars="200" w:firstLine="480"/>
        <w:jc w:val="left"/>
      </w:pPr>
      <w:r w:rsidRPr="00413D92">
        <w:rPr>
          <w:rFonts w:hint="eastAsia"/>
        </w:rPr>
        <w:t>编制建设项目甲烷排放清单，提出碳排放环境管理要求。新建项目应提出碳排放环境管理机构设置、人员配置、管理制度、管理台</w:t>
      </w:r>
      <w:proofErr w:type="gramStart"/>
      <w:r w:rsidRPr="00413D92">
        <w:rPr>
          <w:rFonts w:hint="eastAsia"/>
        </w:rPr>
        <w:t>账记录</w:t>
      </w:r>
      <w:proofErr w:type="gramEnd"/>
      <w:r w:rsidRPr="00413D92">
        <w:rPr>
          <w:rFonts w:hint="eastAsia"/>
        </w:rPr>
        <w:t>要求；改扩建项目应分析其依托现有环境管理机构及制度的可行性，提出完善碳排放环境管理的要求。</w:t>
      </w:r>
    </w:p>
    <w:p w14:paraId="57F87C3F" w14:textId="77777777" w:rsidR="00865461" w:rsidRPr="00413D92" w:rsidRDefault="00000000" w:rsidP="00413D92">
      <w:pPr>
        <w:ind w:firstLineChars="200" w:firstLine="480"/>
        <w:jc w:val="left"/>
      </w:pPr>
      <w:r w:rsidRPr="00413D92">
        <w:rPr>
          <w:rFonts w:hint="eastAsia"/>
        </w:rPr>
        <w:t>企业应建立、实施并保持满足</w:t>
      </w:r>
      <w:r w:rsidRPr="00413D92">
        <w:rPr>
          <w:rFonts w:hint="eastAsia"/>
        </w:rPr>
        <w:t>GB/T19022-2003</w:t>
      </w:r>
      <w:r w:rsidRPr="00413D92">
        <w:rPr>
          <w:rFonts w:hint="eastAsia"/>
        </w:rPr>
        <w:t>要求的测量管理体系，且通过测量管理体系第三方认证。甲烷回收采用气体涡轮流量计、旋进旋涡流量计、涡街流量计和孔板流量计等进行计量，计量精度须按照相应标准执行。企业应建立能源计量管理制度，能源计量器具配备率要求按照</w:t>
      </w:r>
      <w:r w:rsidRPr="00413D92">
        <w:rPr>
          <w:rFonts w:hint="eastAsia"/>
        </w:rPr>
        <w:t xml:space="preserve">GB17167 </w:t>
      </w:r>
      <w:r w:rsidRPr="00413D92">
        <w:rPr>
          <w:rFonts w:hint="eastAsia"/>
        </w:rPr>
        <w:t>和</w:t>
      </w:r>
      <w:r w:rsidRPr="00413D92">
        <w:rPr>
          <w:rFonts w:hint="eastAsia"/>
        </w:rPr>
        <w:t>GB/T21368</w:t>
      </w:r>
      <w:r w:rsidRPr="00413D92">
        <w:rPr>
          <w:rFonts w:hint="eastAsia"/>
        </w:rPr>
        <w:t>要求进行，计量器具准确度要求按照</w:t>
      </w:r>
      <w:r w:rsidRPr="00413D92">
        <w:rPr>
          <w:rFonts w:hint="eastAsia"/>
        </w:rPr>
        <w:t>GB/T21368</w:t>
      </w:r>
      <w:r w:rsidRPr="00413D92">
        <w:rPr>
          <w:rFonts w:hint="eastAsia"/>
        </w:rPr>
        <w:t>规定执行，计量覆盖范围与甲烷产</w:t>
      </w:r>
      <w:r w:rsidRPr="00413D92">
        <w:rPr>
          <w:rFonts w:hint="eastAsia"/>
        </w:rPr>
        <w:lastRenderedPageBreak/>
        <w:t>排节点保持一致。</w:t>
      </w:r>
    </w:p>
    <w:p w14:paraId="72C36376" w14:textId="77777777" w:rsidR="00865461" w:rsidRPr="00413D92" w:rsidRDefault="00000000" w:rsidP="00413D92">
      <w:pPr>
        <w:ind w:firstLineChars="200" w:firstLine="480"/>
        <w:jc w:val="left"/>
      </w:pPr>
      <w:r w:rsidRPr="00413D92">
        <w:rPr>
          <w:rFonts w:hint="eastAsia"/>
        </w:rPr>
        <w:t>企业应建立甲烷排放专项管理台账，台账记录记录水解酸化池</w:t>
      </w:r>
      <w:r w:rsidRPr="00413D92">
        <w:rPr>
          <w:rFonts w:hint="eastAsia"/>
        </w:rPr>
        <w:t>/</w:t>
      </w:r>
      <w:r w:rsidRPr="00413D92">
        <w:rPr>
          <w:rFonts w:hint="eastAsia"/>
        </w:rPr>
        <w:t>厌氧单元</w:t>
      </w:r>
      <w:r w:rsidRPr="00413D92">
        <w:rPr>
          <w:rFonts w:hint="eastAsia"/>
        </w:rPr>
        <w:t>/</w:t>
      </w:r>
      <w:r w:rsidRPr="00413D92">
        <w:rPr>
          <w:rFonts w:hint="eastAsia"/>
        </w:rPr>
        <w:t>厌氧沉淀池的相关数据，包括但不限于进出水</w:t>
      </w:r>
      <w:r w:rsidRPr="00413D92">
        <w:rPr>
          <w:rFonts w:hint="eastAsia"/>
        </w:rPr>
        <w:t>COD</w:t>
      </w:r>
      <w:r w:rsidRPr="00413D92">
        <w:rPr>
          <w:rFonts w:hint="eastAsia"/>
        </w:rPr>
        <w:t>浓度、实际处理水量、甲烷产生量、收集量、处置量、计量仪表运行参数、设施维护记录等，确保数据真实、连续、可追溯。</w:t>
      </w:r>
    </w:p>
    <w:p w14:paraId="4CCBA4B8" w14:textId="77777777" w:rsidR="00865461" w:rsidRDefault="00000000">
      <w:pPr>
        <w:rPr>
          <w:rFonts w:ascii="黑体" w:eastAsia="黑体" w:hAnsi="黑体" w:hint="eastAsia"/>
        </w:rPr>
      </w:pPr>
      <w:r>
        <w:rPr>
          <w:rFonts w:ascii="黑体" w:eastAsia="黑体" w:hAnsi="黑体" w:hint="eastAsia"/>
        </w:rPr>
        <w:t>（2）监测计划</w:t>
      </w:r>
    </w:p>
    <w:p w14:paraId="3B7B149D" w14:textId="77777777" w:rsidR="00865461" w:rsidRPr="00413D92" w:rsidRDefault="00000000" w:rsidP="00413D92">
      <w:pPr>
        <w:ind w:firstLineChars="200" w:firstLine="480"/>
        <w:jc w:val="left"/>
      </w:pPr>
      <w:r w:rsidRPr="00413D92">
        <w:rPr>
          <w:rFonts w:hint="eastAsia"/>
        </w:rPr>
        <w:t>提出污水处理行业建设项目甲烷排放监测、报告和核查工作计划以及建立甲烷排放量核算所需参数相关的监测和环境管理台</w:t>
      </w:r>
      <w:proofErr w:type="gramStart"/>
      <w:r w:rsidRPr="00413D92">
        <w:rPr>
          <w:rFonts w:hint="eastAsia"/>
        </w:rPr>
        <w:t>账记录</w:t>
      </w:r>
      <w:proofErr w:type="gramEnd"/>
      <w:r w:rsidRPr="00413D92">
        <w:rPr>
          <w:rFonts w:hint="eastAsia"/>
        </w:rPr>
        <w:t>要求，并根据</w:t>
      </w:r>
      <w:r w:rsidRPr="00413D92">
        <w:rPr>
          <w:rFonts w:hint="eastAsia"/>
        </w:rPr>
        <w:t>HJ 819</w:t>
      </w:r>
      <w:r w:rsidRPr="00413D92">
        <w:rPr>
          <w:rFonts w:hint="eastAsia"/>
        </w:rPr>
        <w:t>、《关于做好</w:t>
      </w:r>
      <w:r w:rsidRPr="00413D92">
        <w:rPr>
          <w:rFonts w:hint="eastAsia"/>
        </w:rPr>
        <w:t>2023</w:t>
      </w:r>
      <w:r w:rsidRPr="00413D92">
        <w:rPr>
          <w:rFonts w:hint="eastAsia"/>
        </w:rPr>
        <w:t>—</w:t>
      </w:r>
      <w:r w:rsidRPr="00413D92">
        <w:rPr>
          <w:rFonts w:hint="eastAsia"/>
        </w:rPr>
        <w:t>2025</w:t>
      </w:r>
      <w:r w:rsidRPr="00413D92">
        <w:rPr>
          <w:rFonts w:hint="eastAsia"/>
        </w:rPr>
        <w:t>年部分重点行业企业温室气体排放报告与核查工作的通知》（</w:t>
      </w:r>
      <w:proofErr w:type="gramStart"/>
      <w:r w:rsidRPr="00413D92">
        <w:rPr>
          <w:rFonts w:hint="eastAsia"/>
        </w:rPr>
        <w:t>环办气候</w:t>
      </w:r>
      <w:proofErr w:type="gramEnd"/>
      <w:r w:rsidRPr="00413D92">
        <w:rPr>
          <w:rFonts w:hint="eastAsia"/>
        </w:rPr>
        <w:t>函〔</w:t>
      </w:r>
      <w:r w:rsidRPr="00413D92">
        <w:rPr>
          <w:rFonts w:hint="eastAsia"/>
        </w:rPr>
        <w:t>2023</w:t>
      </w:r>
      <w:r w:rsidRPr="00413D92">
        <w:rPr>
          <w:rFonts w:hint="eastAsia"/>
        </w:rPr>
        <w:t>〕</w:t>
      </w:r>
      <w:r w:rsidRPr="00413D92">
        <w:rPr>
          <w:rFonts w:hint="eastAsia"/>
        </w:rPr>
        <w:t>332</w:t>
      </w:r>
      <w:r w:rsidRPr="00413D92">
        <w:rPr>
          <w:rFonts w:hint="eastAsia"/>
        </w:rPr>
        <w:t>号）等文件，明确监测内容、监测频次、监测方法、记录信息、保存年限等。</w:t>
      </w:r>
    </w:p>
    <w:p w14:paraId="7BD2A8D8" w14:textId="77777777" w:rsidR="00865461" w:rsidRPr="00413D92" w:rsidRDefault="00000000" w:rsidP="00413D92">
      <w:pPr>
        <w:ind w:firstLineChars="200" w:firstLine="480"/>
        <w:jc w:val="left"/>
      </w:pPr>
      <w:r w:rsidRPr="00413D92">
        <w:rPr>
          <w:rFonts w:hint="eastAsia"/>
        </w:rPr>
        <w:t>监测内容：重点监测水解酸化池</w:t>
      </w:r>
      <w:r w:rsidRPr="00413D92">
        <w:rPr>
          <w:rFonts w:hint="eastAsia"/>
        </w:rPr>
        <w:t>/</w:t>
      </w:r>
      <w:r w:rsidRPr="00413D92">
        <w:rPr>
          <w:rFonts w:hint="eastAsia"/>
        </w:rPr>
        <w:t>厌氧单元</w:t>
      </w:r>
      <w:r w:rsidRPr="00413D92">
        <w:rPr>
          <w:rFonts w:hint="eastAsia"/>
        </w:rPr>
        <w:t>/</w:t>
      </w:r>
      <w:r w:rsidRPr="00413D92">
        <w:rPr>
          <w:rFonts w:hint="eastAsia"/>
        </w:rPr>
        <w:t>厌氧沉淀池的有组织甲烷排放（沼气收集系统排放口）和无组织甲烷排放（池面无组织挥发）；同步监测上述节点的进水</w:t>
      </w:r>
      <w:r w:rsidRPr="00413D92">
        <w:rPr>
          <w:rFonts w:hint="eastAsia"/>
        </w:rPr>
        <w:t>COD</w:t>
      </w:r>
      <w:r w:rsidRPr="00413D92">
        <w:rPr>
          <w:rFonts w:hint="eastAsia"/>
        </w:rPr>
        <w:t>浓度、实际处理水量、池体温度、</w:t>
      </w:r>
      <w:r w:rsidRPr="00413D92">
        <w:rPr>
          <w:rFonts w:hint="eastAsia"/>
        </w:rPr>
        <w:t>pH</w:t>
      </w:r>
      <w:r w:rsidRPr="00413D92">
        <w:rPr>
          <w:rFonts w:hint="eastAsia"/>
        </w:rPr>
        <w:t>值等甲烷排放核算关键参数，为排放因子计算和排放量核算提供数据支撑。</w:t>
      </w:r>
    </w:p>
    <w:p w14:paraId="5BA45031" w14:textId="77777777" w:rsidR="00865461" w:rsidRPr="00413D92" w:rsidRDefault="00000000" w:rsidP="00413D92">
      <w:pPr>
        <w:ind w:firstLineChars="200" w:firstLine="480"/>
        <w:jc w:val="left"/>
      </w:pPr>
      <w:r w:rsidRPr="00413D92">
        <w:rPr>
          <w:rFonts w:hint="eastAsia"/>
        </w:rPr>
        <w:t>监测频次：有组织甲烷</w:t>
      </w:r>
      <w:proofErr w:type="gramStart"/>
      <w:r w:rsidRPr="00413D92">
        <w:rPr>
          <w:rFonts w:hint="eastAsia"/>
        </w:rPr>
        <w:t>排放口按生产</w:t>
      </w:r>
      <w:proofErr w:type="gramEnd"/>
      <w:r w:rsidRPr="00413D92">
        <w:rPr>
          <w:rFonts w:hint="eastAsia"/>
        </w:rPr>
        <w:t>周期开展监测，至少每月监测</w:t>
      </w:r>
      <w:r w:rsidRPr="00413D92">
        <w:rPr>
          <w:rFonts w:hint="eastAsia"/>
        </w:rPr>
        <w:t>1</w:t>
      </w:r>
      <w:r w:rsidRPr="00413D92">
        <w:rPr>
          <w:rFonts w:hint="eastAsia"/>
        </w:rPr>
        <w:t>次；无组织甲烷排放采用定期巡测</w:t>
      </w:r>
      <w:r w:rsidRPr="00413D92">
        <w:rPr>
          <w:rFonts w:hint="eastAsia"/>
        </w:rPr>
        <w:t>+</w:t>
      </w:r>
      <w:r w:rsidRPr="00413D92">
        <w:rPr>
          <w:rFonts w:hint="eastAsia"/>
        </w:rPr>
        <w:t>定点监测结合方式，巡测每季度不少于</w:t>
      </w:r>
      <w:r w:rsidRPr="00413D92">
        <w:rPr>
          <w:rFonts w:hint="eastAsia"/>
        </w:rPr>
        <w:t>1</w:t>
      </w:r>
      <w:r w:rsidRPr="00413D92">
        <w:rPr>
          <w:rFonts w:hint="eastAsia"/>
        </w:rPr>
        <w:t>次，定点监测可根据工艺运行负荷动态调整；甲烷排放核算关键参数的监测频次与水质常规监测频次保持一致，至少每日监测</w:t>
      </w:r>
      <w:r w:rsidRPr="00413D92">
        <w:rPr>
          <w:rFonts w:hint="eastAsia"/>
        </w:rPr>
        <w:t>1</w:t>
      </w:r>
      <w:r w:rsidRPr="00413D92">
        <w:rPr>
          <w:rFonts w:hint="eastAsia"/>
        </w:rPr>
        <w:t>次。</w:t>
      </w:r>
    </w:p>
    <w:p w14:paraId="49A54D07" w14:textId="77777777" w:rsidR="00865461" w:rsidRPr="00413D92" w:rsidRDefault="00000000" w:rsidP="00413D92">
      <w:pPr>
        <w:ind w:firstLineChars="200" w:firstLine="480"/>
        <w:jc w:val="left"/>
      </w:pPr>
      <w:r w:rsidRPr="00413D92">
        <w:rPr>
          <w:rFonts w:hint="eastAsia"/>
        </w:rPr>
        <w:t>监测方法：甲烷监测优先采用国家或行业发布的标准分析方法，无标准方法的，可参考</w:t>
      </w:r>
      <w:r w:rsidRPr="00413D92">
        <w:rPr>
          <w:rFonts w:hint="eastAsia"/>
        </w:rPr>
        <w:t>T/C AEPI 44</w:t>
      </w:r>
      <w:r w:rsidRPr="00413D92">
        <w:rPr>
          <w:rFonts w:hint="eastAsia"/>
        </w:rPr>
        <w:t>、</w:t>
      </w:r>
      <w:r w:rsidRPr="00413D92">
        <w:rPr>
          <w:rFonts w:hint="eastAsia"/>
        </w:rPr>
        <w:t>NY/T 1220</w:t>
      </w:r>
      <w:r w:rsidRPr="00413D92">
        <w:rPr>
          <w:rFonts w:hint="eastAsia"/>
        </w:rPr>
        <w:t>等行业规范执行；核算关键参数按水质监测相关国家标准执行。</w:t>
      </w:r>
    </w:p>
    <w:p w14:paraId="6588EE97" w14:textId="77777777" w:rsidR="00865461" w:rsidRPr="00413D92" w:rsidRDefault="00000000" w:rsidP="00413D92">
      <w:pPr>
        <w:ind w:firstLineChars="200" w:firstLine="480"/>
        <w:jc w:val="left"/>
      </w:pPr>
      <w:r w:rsidRPr="00413D92">
        <w:rPr>
          <w:rFonts w:hint="eastAsia"/>
        </w:rPr>
        <w:t>记录与保存：监测记录应完整留存水解酸化池</w:t>
      </w:r>
      <w:r w:rsidRPr="00413D92">
        <w:rPr>
          <w:rFonts w:hint="eastAsia"/>
        </w:rPr>
        <w:t>/</w:t>
      </w:r>
      <w:r w:rsidRPr="00413D92">
        <w:rPr>
          <w:rFonts w:hint="eastAsia"/>
        </w:rPr>
        <w:t>厌氧单元</w:t>
      </w:r>
      <w:r w:rsidRPr="00413D92">
        <w:rPr>
          <w:rFonts w:hint="eastAsia"/>
        </w:rPr>
        <w:t>/</w:t>
      </w:r>
      <w:r w:rsidRPr="00413D92">
        <w:rPr>
          <w:rFonts w:hint="eastAsia"/>
        </w:rPr>
        <w:t>厌氧沉淀池的甲烷监测数据、核算参数数据、计量设备运行数据、监测点位信息、监测人员及报告等内容；环境管理</w:t>
      </w:r>
      <w:proofErr w:type="gramStart"/>
      <w:r w:rsidRPr="00413D92">
        <w:rPr>
          <w:rFonts w:hint="eastAsia"/>
        </w:rPr>
        <w:t>台账及监测</w:t>
      </w:r>
      <w:proofErr w:type="gramEnd"/>
      <w:r w:rsidRPr="00413D92">
        <w:rPr>
          <w:rFonts w:hint="eastAsia"/>
        </w:rPr>
        <w:t>报告的电子和纸质记录保存年限不少于</w:t>
      </w:r>
      <w:r w:rsidRPr="00413D92">
        <w:rPr>
          <w:rFonts w:hint="eastAsia"/>
        </w:rPr>
        <w:t>5</w:t>
      </w:r>
      <w:r w:rsidRPr="00413D92">
        <w:rPr>
          <w:rFonts w:hint="eastAsia"/>
        </w:rPr>
        <w:t>年，确保数据可追溯、可核查。</w:t>
      </w:r>
    </w:p>
    <w:p w14:paraId="51360A05" w14:textId="77777777" w:rsidR="00865461" w:rsidRPr="00413D92" w:rsidRDefault="00000000" w:rsidP="00413D92">
      <w:pPr>
        <w:ind w:firstLineChars="200" w:firstLine="480"/>
        <w:jc w:val="left"/>
      </w:pPr>
      <w:r w:rsidRPr="00413D92">
        <w:rPr>
          <w:rFonts w:hint="eastAsia"/>
        </w:rPr>
        <w:t>企业应按相关要求定期编制甲烷排放报告，</w:t>
      </w:r>
      <w:proofErr w:type="gramStart"/>
      <w:r w:rsidRPr="00413D92">
        <w:rPr>
          <w:rFonts w:hint="eastAsia"/>
        </w:rPr>
        <w:t>明确报告</w:t>
      </w:r>
      <w:proofErr w:type="gramEnd"/>
      <w:r w:rsidRPr="00413D92">
        <w:rPr>
          <w:rFonts w:hint="eastAsia"/>
        </w:rPr>
        <w:t>编制周期、内容及上报要求，报告内容需聚焦产排节点的甲烷排放情况、减排措施实施效果等。</w:t>
      </w:r>
    </w:p>
    <w:p w14:paraId="212B42A0" w14:textId="77777777" w:rsidR="00865461" w:rsidRDefault="00000000">
      <w:pPr>
        <w:rPr>
          <w:rFonts w:ascii="黑体" w:eastAsia="黑体" w:hAnsi="黑体" w:hint="eastAsia"/>
        </w:rPr>
      </w:pPr>
      <w:r>
        <w:rPr>
          <w:rFonts w:ascii="黑体" w:eastAsia="黑体" w:hAnsi="黑体" w:hint="eastAsia"/>
        </w:rPr>
        <w:t>（3）验收要求</w:t>
      </w:r>
    </w:p>
    <w:p w14:paraId="13A7C1AE" w14:textId="77777777" w:rsidR="00865461" w:rsidRPr="00413D92" w:rsidRDefault="00000000" w:rsidP="00413D92">
      <w:pPr>
        <w:ind w:firstLineChars="200" w:firstLine="480"/>
        <w:jc w:val="left"/>
      </w:pPr>
      <w:r w:rsidRPr="00413D92">
        <w:rPr>
          <w:rFonts w:hint="eastAsia"/>
        </w:rPr>
        <w:t>污水处理行业建设项目减</w:t>
      </w:r>
      <w:proofErr w:type="gramStart"/>
      <w:r w:rsidRPr="00413D92">
        <w:rPr>
          <w:rFonts w:hint="eastAsia"/>
        </w:rPr>
        <w:t>污降碳技术</w:t>
      </w:r>
      <w:proofErr w:type="gramEnd"/>
      <w:r w:rsidRPr="00413D92">
        <w:rPr>
          <w:rFonts w:hint="eastAsia"/>
        </w:rPr>
        <w:t>措施、跟踪监测计划等内容纳入竣工环境保护设施验收。</w:t>
      </w:r>
    </w:p>
    <w:p w14:paraId="25BDE39D" w14:textId="77777777" w:rsidR="00865461" w:rsidRPr="00413D92" w:rsidRDefault="00000000" w:rsidP="00413D92">
      <w:pPr>
        <w:ind w:firstLineChars="200" w:firstLine="480"/>
        <w:jc w:val="left"/>
      </w:pPr>
      <w:r w:rsidRPr="00413D92">
        <w:rPr>
          <w:rFonts w:hint="eastAsia"/>
        </w:rPr>
        <w:t>验收指标应明甲烷收集效率、有组织排放浓度、无组织排放限值、甲烷排放量等关键指标，同时核查监测设备配置、计量体系建设、管理台</w:t>
      </w:r>
      <w:proofErr w:type="gramStart"/>
      <w:r w:rsidRPr="00413D92">
        <w:rPr>
          <w:rFonts w:hint="eastAsia"/>
        </w:rPr>
        <w:t>账建立</w:t>
      </w:r>
      <w:proofErr w:type="gramEnd"/>
      <w:r w:rsidRPr="00413D92">
        <w:rPr>
          <w:rFonts w:hint="eastAsia"/>
        </w:rPr>
        <w:t>等情况，确保甲烷排放管控的各项措施落地见效，满足相关政策及技术要求。</w:t>
      </w:r>
    </w:p>
    <w:p w14:paraId="00D1C8BE" w14:textId="77777777" w:rsidR="00865461" w:rsidRPr="00413D92" w:rsidRDefault="00000000" w:rsidP="00413D92">
      <w:pPr>
        <w:widowControl/>
        <w:jc w:val="left"/>
        <w:rPr>
          <w:b/>
          <w:bCs/>
        </w:rPr>
      </w:pPr>
      <w:r w:rsidRPr="00413D92">
        <w:rPr>
          <w:rFonts w:hint="eastAsia"/>
          <w:b/>
          <w:bCs/>
        </w:rPr>
        <w:lastRenderedPageBreak/>
        <w:t xml:space="preserve">5.5.6 </w:t>
      </w:r>
      <w:r w:rsidRPr="00413D92">
        <w:rPr>
          <w:rFonts w:hint="eastAsia"/>
          <w:b/>
          <w:bCs/>
        </w:rPr>
        <w:t>甲烷排放评价结论</w:t>
      </w:r>
    </w:p>
    <w:p w14:paraId="0B0ED82D" w14:textId="77777777" w:rsidR="00865461" w:rsidRPr="00413D92" w:rsidRDefault="00000000" w:rsidP="00413D92">
      <w:pPr>
        <w:ind w:firstLineChars="200" w:firstLine="480"/>
        <w:jc w:val="left"/>
      </w:pPr>
      <w:r w:rsidRPr="00413D92">
        <w:rPr>
          <w:rFonts w:hint="eastAsia"/>
        </w:rPr>
        <w:t>概括总结污水处理行业建设项目实施的甲烷排放政策符合性、甲烷排放水平、减</w:t>
      </w:r>
      <w:proofErr w:type="gramStart"/>
      <w:r w:rsidRPr="00413D92">
        <w:rPr>
          <w:rFonts w:hint="eastAsia"/>
        </w:rPr>
        <w:t>污降碳措施</w:t>
      </w:r>
      <w:proofErr w:type="gramEnd"/>
      <w:r w:rsidRPr="00413D92">
        <w:rPr>
          <w:rFonts w:hint="eastAsia"/>
        </w:rPr>
        <w:t>可行性及效果、甲烷排放管理与监测计划等。</w:t>
      </w:r>
    </w:p>
    <w:p w14:paraId="5387DDD6" w14:textId="77777777" w:rsidR="00865461" w:rsidRDefault="00000000" w:rsidP="00413D92">
      <w:pPr>
        <w:ind w:firstLineChars="200" w:firstLine="480"/>
        <w:jc w:val="left"/>
      </w:pPr>
      <w:r w:rsidRPr="00413D92">
        <w:rPr>
          <w:rFonts w:hint="eastAsia"/>
        </w:rPr>
        <w:t>结合国家、区域和行业甲烷排放与控制相关行动方案、地区甲烷排放控制目标与技术要求等，给出污水处理行业建设项目的甲烷气体排放控制是否满足相关要求的结论，督促其甲烷收集、处置措施的增加以及效率的提高。</w:t>
      </w:r>
    </w:p>
    <w:p w14:paraId="1E563585" w14:textId="77777777" w:rsidR="00865461" w:rsidRDefault="00000000">
      <w:pPr>
        <w:pStyle w:val="1"/>
        <w:rPr>
          <w:rFonts w:ascii="Times New Roman" w:eastAsia="黑体" w:hAnsi="Times New Roman" w:cs="Times New Roman"/>
        </w:rPr>
      </w:pPr>
      <w:bookmarkStart w:id="3" w:name="_Toc185784351"/>
      <w:bookmarkStart w:id="4" w:name="_Toc2749"/>
      <w:bookmarkStart w:id="5" w:name="_Toc3510"/>
      <w:r>
        <w:rPr>
          <w:rFonts w:ascii="Times New Roman" w:hAnsi="Times New Roman" w:cs="Times New Roman" w:hint="eastAsia"/>
        </w:rPr>
        <w:t>6</w:t>
      </w:r>
      <w:r>
        <w:rPr>
          <w:rFonts w:ascii="Times New Roman" w:eastAsia="黑体" w:hAnsi="Times New Roman" w:cs="Times New Roman" w:hint="eastAsia"/>
        </w:rPr>
        <w:t xml:space="preserve"> </w:t>
      </w:r>
      <w:r>
        <w:rPr>
          <w:rFonts w:ascii="Times New Roman" w:hAnsi="Times New Roman" w:cs="Times New Roman" w:hint="eastAsia"/>
        </w:rPr>
        <w:t>本指南与</w:t>
      </w:r>
      <w:r>
        <w:rPr>
          <w:rFonts w:ascii="Times New Roman" w:eastAsia="黑体" w:hAnsi="Times New Roman" w:cs="Times New Roman" w:hint="eastAsia"/>
        </w:rPr>
        <w:t>国内外相关</w:t>
      </w:r>
      <w:r>
        <w:rPr>
          <w:rFonts w:ascii="Times New Roman" w:hAnsi="Times New Roman" w:cs="Times New Roman" w:hint="eastAsia"/>
        </w:rPr>
        <w:t>标准</w:t>
      </w:r>
      <w:r>
        <w:rPr>
          <w:rFonts w:ascii="Times New Roman" w:eastAsia="黑体" w:hAnsi="Times New Roman" w:cs="Times New Roman" w:hint="eastAsia"/>
        </w:rPr>
        <w:t>的比较</w:t>
      </w:r>
      <w:bookmarkEnd w:id="3"/>
      <w:r>
        <w:rPr>
          <w:rFonts w:ascii="Times New Roman" w:hAnsi="Times New Roman" w:cs="Times New Roman" w:hint="eastAsia"/>
        </w:rPr>
        <w:t>分析</w:t>
      </w:r>
      <w:bookmarkEnd w:id="4"/>
      <w:bookmarkEnd w:id="5"/>
    </w:p>
    <w:p w14:paraId="6C4FF825" w14:textId="77777777" w:rsidR="00865461" w:rsidRPr="00413D92" w:rsidRDefault="00000000" w:rsidP="00413D92">
      <w:pPr>
        <w:pStyle w:val="2"/>
        <w:ind w:firstLineChars="200" w:firstLine="480"/>
        <w:rPr>
          <w:rFonts w:ascii="Times New Roman" w:eastAsiaTheme="minorEastAsia" w:hAnsi="Times New Roman" w:hint="default"/>
          <w:b w:val="0"/>
          <w:bCs w:val="0"/>
          <w:kern w:val="2"/>
        </w:rPr>
      </w:pPr>
      <w:bookmarkStart w:id="6" w:name="_Toc26619"/>
      <w:bookmarkStart w:id="7" w:name="_Toc4748"/>
      <w:r w:rsidRPr="00413D92">
        <w:rPr>
          <w:rFonts w:ascii="Times New Roman" w:eastAsiaTheme="minorEastAsia" w:hAnsi="Times New Roman"/>
          <w:b w:val="0"/>
          <w:bCs w:val="0"/>
          <w:kern w:val="2"/>
        </w:rPr>
        <w:t>本《指南》核心内容为甲烷排放核算边界与核算方法，因此本节重点分析本指南拟确定的评价要求与《省级温室气体清单编制指南（</w:t>
      </w:r>
      <w:r w:rsidRPr="00413D92">
        <w:rPr>
          <w:rFonts w:ascii="Times New Roman" w:eastAsiaTheme="minorEastAsia" w:hAnsi="Times New Roman" w:hint="default"/>
          <w:b w:val="0"/>
          <w:bCs w:val="0"/>
          <w:kern w:val="2"/>
        </w:rPr>
        <w:t>2025</w:t>
      </w:r>
      <w:r w:rsidRPr="00413D92">
        <w:rPr>
          <w:rFonts w:ascii="Times New Roman" w:eastAsiaTheme="minorEastAsia" w:hAnsi="Times New Roman"/>
          <w:b w:val="0"/>
          <w:bCs w:val="0"/>
          <w:kern w:val="2"/>
        </w:rPr>
        <w:t>年版）》以及《污水处理厂低碳运行评价技术规范》（</w:t>
      </w:r>
      <w:r w:rsidRPr="00413D92">
        <w:rPr>
          <w:rFonts w:ascii="Times New Roman" w:eastAsiaTheme="minorEastAsia" w:hAnsi="Times New Roman" w:hint="default"/>
          <w:b w:val="0"/>
          <w:bCs w:val="0"/>
          <w:kern w:val="2"/>
        </w:rPr>
        <w:t>TCAEPI 49</w:t>
      </w:r>
      <w:r w:rsidRPr="00413D92">
        <w:rPr>
          <w:rFonts w:ascii="Times New Roman" w:eastAsiaTheme="minorEastAsia" w:hAnsi="Times New Roman"/>
          <w:b w:val="0"/>
          <w:bCs w:val="0"/>
          <w:kern w:val="2"/>
        </w:rPr>
        <w:t>—</w:t>
      </w:r>
      <w:r w:rsidRPr="00413D92">
        <w:rPr>
          <w:rFonts w:ascii="Times New Roman" w:eastAsiaTheme="minorEastAsia" w:hAnsi="Times New Roman" w:hint="default"/>
          <w:b w:val="0"/>
          <w:bCs w:val="0"/>
          <w:kern w:val="2"/>
        </w:rPr>
        <w:t>2022</w:t>
      </w:r>
      <w:r w:rsidRPr="00413D92">
        <w:rPr>
          <w:rFonts w:ascii="Times New Roman" w:eastAsiaTheme="minorEastAsia" w:hAnsi="Times New Roman"/>
          <w:b w:val="0"/>
          <w:bCs w:val="0"/>
          <w:kern w:val="2"/>
        </w:rPr>
        <w:t>）进行对比。</w:t>
      </w:r>
    </w:p>
    <w:p w14:paraId="52EF928F" w14:textId="77777777" w:rsidR="00865461" w:rsidRDefault="00000000">
      <w:pPr>
        <w:pStyle w:val="2"/>
        <w:rPr>
          <w:rFonts w:ascii="Times New Roman" w:hAnsi="Times New Roman" w:hint="default"/>
        </w:rPr>
      </w:pPr>
      <w:r>
        <w:rPr>
          <w:rFonts w:ascii="Times New Roman" w:hAnsi="Times New Roman"/>
        </w:rPr>
        <w:t>6</w:t>
      </w:r>
      <w:r>
        <w:rPr>
          <w:rFonts w:ascii="Times New Roman" w:hAnsi="Times New Roman" w:hint="default"/>
        </w:rPr>
        <w:t xml:space="preserve">.1 </w:t>
      </w:r>
      <w:r>
        <w:rPr>
          <w:rFonts w:ascii="Times New Roman" w:hAnsi="Times New Roman"/>
        </w:rPr>
        <w:t>甲烷排放核算边界比较</w:t>
      </w:r>
      <w:bookmarkEnd w:id="6"/>
      <w:bookmarkEnd w:id="7"/>
    </w:p>
    <w:p w14:paraId="4BD6602D" w14:textId="77777777" w:rsidR="00865461" w:rsidRDefault="00000000">
      <w:pPr>
        <w:adjustRightInd w:val="0"/>
        <w:ind w:firstLineChars="200" w:firstLine="480"/>
        <w:rPr>
          <w:rFonts w:ascii="Times New Roman" w:hAnsi="Times New Roman" w:cs="Times New Roman"/>
        </w:rPr>
      </w:pPr>
      <w:r>
        <w:rPr>
          <w:rFonts w:ascii="Times New Roman" w:hAnsi="Times New Roman" w:cs="Times New Roman"/>
        </w:rPr>
        <w:t>《省级温室气体清单编制指南（</w:t>
      </w:r>
      <w:r>
        <w:rPr>
          <w:rFonts w:ascii="Times New Roman" w:hAnsi="Times New Roman" w:cs="Times New Roman"/>
        </w:rPr>
        <w:t>2025</w:t>
      </w:r>
      <w:r>
        <w:rPr>
          <w:rFonts w:ascii="Times New Roman" w:hAnsi="Times New Roman" w:cs="Times New Roman"/>
        </w:rPr>
        <w:t>年版）》以及《污水处理厂低碳运行评价技术规范》（</w:t>
      </w:r>
      <w:r>
        <w:rPr>
          <w:rFonts w:ascii="Times New Roman" w:hAnsi="Times New Roman" w:cs="Times New Roman"/>
        </w:rPr>
        <w:t>TCAEPI 49—2022</w:t>
      </w:r>
      <w:r>
        <w:rPr>
          <w:rFonts w:ascii="Times New Roman" w:hAnsi="Times New Roman" w:cs="Times New Roman"/>
        </w:rPr>
        <w:t>）</w:t>
      </w:r>
      <w:r>
        <w:rPr>
          <w:rFonts w:ascii="Times New Roman" w:hAnsi="Times New Roman" w:cs="Times New Roman" w:hint="eastAsia"/>
        </w:rPr>
        <w:t>中对甲烷排放的核算边界均是以整个处理厂为边界进行核算。</w:t>
      </w:r>
    </w:p>
    <w:p w14:paraId="7A346B39" w14:textId="77777777" w:rsidR="00865461" w:rsidRDefault="00000000">
      <w:pPr>
        <w:adjustRightInd w:val="0"/>
        <w:ind w:firstLineChars="200" w:firstLine="480"/>
        <w:rPr>
          <w:rFonts w:ascii="Times New Roman" w:hAnsi="Times New Roman" w:cs="Times New Roman"/>
        </w:rPr>
      </w:pPr>
      <w:r>
        <w:rPr>
          <w:rFonts w:ascii="Times New Roman" w:hAnsi="Times New Roman" w:cs="Times New Roman"/>
        </w:rPr>
        <w:t>本《指南》</w:t>
      </w:r>
      <w:r>
        <w:rPr>
          <w:rFonts w:ascii="Times New Roman" w:hAnsi="Times New Roman" w:cs="Times New Roman" w:hint="eastAsia"/>
        </w:rPr>
        <w:t>考虑到整个污水厂处理工艺中好氧工艺对</w:t>
      </w:r>
      <w:r>
        <w:rPr>
          <w:rFonts w:ascii="Times New Roman" w:hAnsi="Times New Roman" w:cs="Times New Roman" w:hint="eastAsia"/>
        </w:rPr>
        <w:t>COD</w:t>
      </w:r>
      <w:r>
        <w:rPr>
          <w:rFonts w:ascii="Times New Roman" w:hAnsi="Times New Roman" w:cs="Times New Roman" w:hint="eastAsia"/>
        </w:rPr>
        <w:t>的去除，在甲烷产生量核算时只考虑进水</w:t>
      </w:r>
      <w:r>
        <w:rPr>
          <w:rFonts w:ascii="Times New Roman" w:hAnsi="Times New Roman" w:cs="Times New Roman" w:hint="eastAsia"/>
        </w:rPr>
        <w:t>COD</w:t>
      </w:r>
      <w:r>
        <w:rPr>
          <w:rFonts w:ascii="Times New Roman" w:hAnsi="Times New Roman" w:cs="Times New Roman" w:hint="eastAsia"/>
        </w:rPr>
        <w:t>≥</w:t>
      </w:r>
      <w:r>
        <w:rPr>
          <w:rFonts w:ascii="Times New Roman" w:hAnsi="Times New Roman" w:cs="Times New Roman" w:hint="eastAsia"/>
        </w:rPr>
        <w:t>1000</w:t>
      </w:r>
      <w:r>
        <w:rPr>
          <w:rFonts w:ascii="Times New Roman" w:hAnsi="Times New Roman" w:cs="Times New Roman" w:hint="eastAsia"/>
        </w:rPr>
        <w:t>的可能产生甲烷的预处理单元以及厌氧工艺单元，包括</w:t>
      </w:r>
      <w:r w:rsidRPr="00413D92">
        <w:rPr>
          <w:rFonts w:ascii="Times New Roman" w:hAnsi="Times New Roman" w:cs="Times New Roman" w:hint="eastAsia"/>
        </w:rPr>
        <w:t>调节池、水解酸化池、厌氧反应器、厌氧池、缺氧池</w:t>
      </w:r>
      <w:r>
        <w:rPr>
          <w:rFonts w:ascii="Times New Roman" w:hAnsi="Times New Roman" w:cs="Times New Roman" w:hint="eastAsia"/>
        </w:rPr>
        <w:t>。可以单个单元进行</w:t>
      </w:r>
      <w:proofErr w:type="gramStart"/>
      <w:r>
        <w:rPr>
          <w:rFonts w:ascii="Times New Roman" w:hAnsi="Times New Roman" w:cs="Times New Roman" w:hint="eastAsia"/>
        </w:rPr>
        <w:t>核算再</w:t>
      </w:r>
      <w:proofErr w:type="gramEnd"/>
      <w:r>
        <w:rPr>
          <w:rFonts w:ascii="Times New Roman" w:hAnsi="Times New Roman" w:cs="Times New Roman" w:hint="eastAsia"/>
        </w:rPr>
        <w:t>进行累加。</w:t>
      </w:r>
    </w:p>
    <w:p w14:paraId="4802517C" w14:textId="77777777" w:rsidR="00865461" w:rsidRDefault="00000000">
      <w:pPr>
        <w:pStyle w:val="2"/>
        <w:rPr>
          <w:rFonts w:ascii="Times New Roman" w:hAnsi="Times New Roman" w:hint="default"/>
        </w:rPr>
      </w:pPr>
      <w:bookmarkStart w:id="8" w:name="_Toc28970"/>
      <w:bookmarkStart w:id="9" w:name="_Toc4979"/>
      <w:r>
        <w:rPr>
          <w:rFonts w:ascii="Times New Roman" w:hAnsi="Times New Roman"/>
        </w:rPr>
        <w:t>6</w:t>
      </w:r>
      <w:r>
        <w:rPr>
          <w:rFonts w:ascii="Times New Roman" w:hAnsi="Times New Roman" w:hint="default"/>
        </w:rPr>
        <w:t>.</w:t>
      </w:r>
      <w:r>
        <w:rPr>
          <w:rFonts w:ascii="Times New Roman" w:hAnsi="Times New Roman"/>
        </w:rPr>
        <w:t>2</w:t>
      </w:r>
      <w:r>
        <w:rPr>
          <w:rFonts w:ascii="Times New Roman" w:hAnsi="Times New Roman" w:hint="default"/>
        </w:rPr>
        <w:t xml:space="preserve"> </w:t>
      </w:r>
      <w:r>
        <w:rPr>
          <w:rFonts w:ascii="Times New Roman" w:hAnsi="Times New Roman"/>
        </w:rPr>
        <w:t>甲烷排放核算方法比较</w:t>
      </w:r>
      <w:bookmarkEnd w:id="8"/>
      <w:bookmarkEnd w:id="9"/>
    </w:p>
    <w:p w14:paraId="1BFCCB8E" w14:textId="77777777" w:rsidR="00865461" w:rsidRDefault="00000000">
      <w:pPr>
        <w:pStyle w:val="a3"/>
        <w:spacing w:after="0"/>
        <w:ind w:firstLineChars="200" w:firstLine="480"/>
        <w:rPr>
          <w:rFonts w:ascii="Times New Roman" w:hAnsi="Times New Roman"/>
        </w:rPr>
      </w:pPr>
      <w:r>
        <w:rPr>
          <w:rFonts w:ascii="Times New Roman" w:eastAsia="宋体" w:hAnsi="Times New Roman"/>
        </w:rPr>
        <w:t>本次标准与</w:t>
      </w:r>
      <w:r>
        <w:rPr>
          <w:rFonts w:ascii="Times New Roman" w:eastAsiaTheme="minorEastAsia" w:hAnsi="Times New Roman"/>
        </w:rPr>
        <w:t>《省级温室气体清单编制指南（</w:t>
      </w:r>
      <w:r>
        <w:rPr>
          <w:rFonts w:ascii="Times New Roman" w:eastAsiaTheme="minorEastAsia" w:hAnsi="Times New Roman"/>
        </w:rPr>
        <w:t>2025</w:t>
      </w:r>
      <w:r>
        <w:rPr>
          <w:rFonts w:ascii="Times New Roman" w:eastAsiaTheme="minorEastAsia" w:hAnsi="Times New Roman"/>
        </w:rPr>
        <w:t>年版）》以及《污水处理厂低碳运行评价技术规范》（</w:t>
      </w:r>
      <w:r>
        <w:rPr>
          <w:rFonts w:ascii="Times New Roman" w:eastAsiaTheme="minorEastAsia" w:hAnsi="Times New Roman"/>
        </w:rPr>
        <w:t>TCAEPI 49—2022</w:t>
      </w:r>
      <w:r>
        <w:rPr>
          <w:rFonts w:ascii="Times New Roman" w:eastAsiaTheme="minorEastAsia" w:hAnsi="Times New Roman"/>
        </w:rPr>
        <w:t>）</w:t>
      </w:r>
      <w:r>
        <w:rPr>
          <w:rFonts w:ascii="Times New Roman" w:eastAsia="宋体" w:hAnsi="Times New Roman"/>
        </w:rPr>
        <w:t>中</w:t>
      </w:r>
      <w:r>
        <w:rPr>
          <w:rFonts w:ascii="Times New Roman" w:eastAsia="宋体" w:hAnsi="Times New Roman" w:hint="eastAsia"/>
        </w:rPr>
        <w:t>甲烷产生量</w:t>
      </w:r>
      <w:r>
        <w:rPr>
          <w:rFonts w:ascii="Times New Roman" w:eastAsia="宋体" w:hAnsi="Times New Roman"/>
        </w:rPr>
        <w:t>核算方法对比分析结果具体见表</w:t>
      </w:r>
      <w:r>
        <w:rPr>
          <w:rFonts w:ascii="Times New Roman" w:eastAsia="宋体" w:hAnsi="Times New Roman"/>
        </w:rPr>
        <w:t>6-</w:t>
      </w:r>
      <w:r>
        <w:rPr>
          <w:rFonts w:ascii="Times New Roman" w:eastAsia="宋体" w:hAnsi="Times New Roman" w:hint="eastAsia"/>
        </w:rPr>
        <w:t>1</w:t>
      </w:r>
      <w:r>
        <w:rPr>
          <w:rFonts w:ascii="Times New Roman" w:eastAsia="宋体" w:hAnsi="Times New Roman"/>
        </w:rPr>
        <w:t>。</w:t>
      </w:r>
    </w:p>
    <w:p w14:paraId="4C19C154" w14:textId="77777777" w:rsidR="00865461" w:rsidRDefault="00000000">
      <w:pPr>
        <w:pStyle w:val="a3"/>
        <w:spacing w:after="0"/>
        <w:ind w:firstLineChars="200" w:firstLine="480"/>
        <w:rPr>
          <w:rFonts w:ascii="Times New Roman" w:eastAsia="宋体" w:hAnsi="Times New Roman"/>
          <w:color w:val="000000" w:themeColor="text1"/>
        </w:rPr>
      </w:pPr>
      <w:r>
        <w:rPr>
          <w:rFonts w:ascii="Times New Roman" w:eastAsia="宋体" w:hAnsi="Times New Roman"/>
          <w:color w:val="000000" w:themeColor="text1"/>
        </w:rPr>
        <w:t>项目</w:t>
      </w:r>
      <w:r>
        <w:rPr>
          <w:rFonts w:ascii="Times New Roman" w:eastAsia="宋体" w:hAnsi="Times New Roman" w:hint="eastAsia"/>
          <w:color w:val="000000" w:themeColor="text1"/>
        </w:rPr>
        <w:t>甲烷</w:t>
      </w:r>
      <w:r>
        <w:rPr>
          <w:rFonts w:ascii="Times New Roman" w:eastAsia="宋体" w:hAnsi="Times New Roman"/>
          <w:color w:val="000000" w:themeColor="text1"/>
        </w:rPr>
        <w:t>排放核算方法上，本《指南》</w:t>
      </w:r>
      <w:r>
        <w:rPr>
          <w:rFonts w:ascii="Times New Roman" w:eastAsia="宋体" w:hAnsi="Times New Roman" w:hint="eastAsia"/>
          <w:color w:val="000000" w:themeColor="text1"/>
        </w:rPr>
        <w:t>甲烷</w:t>
      </w:r>
      <w:r>
        <w:rPr>
          <w:rFonts w:ascii="Times New Roman" w:eastAsia="宋体" w:hAnsi="Times New Roman"/>
          <w:color w:val="000000" w:themeColor="text1"/>
        </w:rPr>
        <w:t>排放核算方法</w:t>
      </w:r>
      <w:r>
        <w:rPr>
          <w:rFonts w:ascii="Times New Roman" w:eastAsia="宋体" w:hAnsi="Times New Roman" w:hint="eastAsia"/>
          <w:color w:val="000000" w:themeColor="text1"/>
        </w:rPr>
        <w:t>逻辑上</w:t>
      </w:r>
      <w:r>
        <w:rPr>
          <w:rFonts w:ascii="Times New Roman" w:eastAsia="宋体" w:hAnsi="Times New Roman"/>
        </w:rPr>
        <w:t>与</w:t>
      </w:r>
      <w:r>
        <w:rPr>
          <w:rFonts w:ascii="Times New Roman" w:eastAsiaTheme="minorEastAsia" w:hAnsi="Times New Roman"/>
        </w:rPr>
        <w:t>《省级温室气体清单编制指南（</w:t>
      </w:r>
      <w:r>
        <w:rPr>
          <w:rFonts w:ascii="Times New Roman" w:eastAsiaTheme="minorEastAsia" w:hAnsi="Times New Roman"/>
        </w:rPr>
        <w:t>2025</w:t>
      </w:r>
      <w:r>
        <w:rPr>
          <w:rFonts w:ascii="Times New Roman" w:eastAsiaTheme="minorEastAsia" w:hAnsi="Times New Roman"/>
        </w:rPr>
        <w:t>年版）》以及《污水处理厂低碳运行评价技术规范》（</w:t>
      </w:r>
      <w:r>
        <w:rPr>
          <w:rFonts w:ascii="Times New Roman" w:eastAsiaTheme="minorEastAsia" w:hAnsi="Times New Roman"/>
        </w:rPr>
        <w:t>TCAEPI 49—2022</w:t>
      </w:r>
      <w:r>
        <w:rPr>
          <w:rFonts w:ascii="Times New Roman" w:eastAsiaTheme="minorEastAsia" w:hAnsi="Times New Roman"/>
        </w:rPr>
        <w:t>）</w:t>
      </w:r>
      <w:r>
        <w:rPr>
          <w:rFonts w:ascii="Times New Roman" w:eastAsiaTheme="minorEastAsia" w:hAnsi="Times New Roman" w:hint="eastAsia"/>
        </w:rPr>
        <w:t>一致，鉴于可操作性，</w:t>
      </w:r>
      <w:r>
        <w:rPr>
          <w:rFonts w:ascii="Times New Roman" w:eastAsia="宋体" w:hAnsi="Times New Roman"/>
          <w:color w:val="000000" w:themeColor="text1"/>
        </w:rPr>
        <w:t>差异体现在</w:t>
      </w:r>
      <w:r>
        <w:rPr>
          <w:rFonts w:ascii="Times New Roman" w:eastAsia="宋体" w:hAnsi="Times New Roman" w:hint="eastAsia"/>
          <w:color w:val="000000" w:themeColor="text1"/>
        </w:rPr>
        <w:t>省略产生污泥造成的</w:t>
      </w:r>
      <w:r>
        <w:rPr>
          <w:rFonts w:ascii="Times New Roman" w:eastAsia="宋体" w:hAnsi="Times New Roman" w:hint="eastAsia"/>
          <w:color w:val="000000" w:themeColor="text1"/>
        </w:rPr>
        <w:t>COD</w:t>
      </w:r>
      <w:r>
        <w:rPr>
          <w:rFonts w:ascii="Times New Roman" w:eastAsia="宋体" w:hAnsi="Times New Roman" w:hint="eastAsia"/>
          <w:color w:val="000000" w:themeColor="text1"/>
        </w:rPr>
        <w:t>降低以及对产甲烷系数进行了统一。</w:t>
      </w:r>
    </w:p>
    <w:p w14:paraId="7F0392D4" w14:textId="77777777" w:rsidR="00865461" w:rsidRDefault="00000000">
      <w:pPr>
        <w:adjustRightInd w:val="0"/>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表</w:t>
      </w:r>
      <w:r>
        <w:rPr>
          <w:rFonts w:ascii="Times New Roman" w:hAnsi="Times New Roman" w:cs="Times New Roman" w:hint="eastAsia"/>
          <w:b/>
          <w:bCs/>
          <w:color w:val="000000" w:themeColor="text1"/>
          <w:szCs w:val="22"/>
        </w:rPr>
        <w:t>6</w:t>
      </w:r>
      <w:r>
        <w:rPr>
          <w:rFonts w:ascii="Times New Roman" w:hAnsi="Times New Roman" w:cs="Times New Roman"/>
          <w:b/>
          <w:bCs/>
          <w:color w:val="000000" w:themeColor="text1"/>
          <w:szCs w:val="22"/>
        </w:rPr>
        <w:t>-</w:t>
      </w:r>
      <w:r>
        <w:rPr>
          <w:rFonts w:ascii="Times New Roman" w:hAnsi="Times New Roman" w:cs="Times New Roman" w:hint="eastAsia"/>
          <w:b/>
          <w:bCs/>
          <w:color w:val="000000" w:themeColor="text1"/>
          <w:szCs w:val="22"/>
        </w:rPr>
        <w:t>1</w:t>
      </w:r>
      <w:r>
        <w:rPr>
          <w:rFonts w:ascii="Times New Roman" w:hAnsi="Times New Roman" w:cs="Times New Roman"/>
          <w:b/>
          <w:bCs/>
          <w:color w:val="000000" w:themeColor="text1"/>
          <w:szCs w:val="22"/>
        </w:rPr>
        <w:t xml:space="preserve">    </w:t>
      </w:r>
      <w:r>
        <w:rPr>
          <w:rFonts w:ascii="Times New Roman" w:hAnsi="Times New Roman" w:cs="Times New Roman"/>
          <w:b/>
          <w:bCs/>
          <w:color w:val="000000" w:themeColor="text1"/>
          <w:szCs w:val="22"/>
        </w:rPr>
        <w:t>核算方法对比</w:t>
      </w:r>
    </w:p>
    <w:tbl>
      <w:tblPr>
        <w:tblStyle w:val="a9"/>
        <w:tblW w:w="0" w:type="auto"/>
        <w:tblLook w:val="04A0" w:firstRow="1" w:lastRow="0" w:firstColumn="1" w:lastColumn="0" w:noHBand="0" w:noVBand="1"/>
      </w:tblPr>
      <w:tblGrid>
        <w:gridCol w:w="2187"/>
        <w:gridCol w:w="6335"/>
      </w:tblGrid>
      <w:tr w:rsidR="00865461" w14:paraId="2B732F9D" w14:textId="77777777" w:rsidTr="00413D92">
        <w:tc>
          <w:tcPr>
            <w:tcW w:w="2187" w:type="dxa"/>
            <w:vAlign w:val="center"/>
          </w:tcPr>
          <w:p w14:paraId="4724C195" w14:textId="77777777" w:rsidR="00865461" w:rsidRPr="00413D92" w:rsidRDefault="00000000" w:rsidP="00413D92">
            <w:pPr>
              <w:jc w:val="center"/>
              <w:rPr>
                <w:sz w:val="21"/>
                <w:szCs w:val="21"/>
              </w:rPr>
            </w:pPr>
            <w:r w:rsidRPr="00413D92">
              <w:rPr>
                <w:rFonts w:hint="eastAsia"/>
                <w:sz w:val="21"/>
                <w:szCs w:val="21"/>
              </w:rPr>
              <w:t>标准名称</w:t>
            </w:r>
          </w:p>
        </w:tc>
        <w:tc>
          <w:tcPr>
            <w:tcW w:w="6335" w:type="dxa"/>
            <w:vAlign w:val="center"/>
          </w:tcPr>
          <w:p w14:paraId="682340A0" w14:textId="77777777" w:rsidR="00865461" w:rsidRPr="00413D92" w:rsidRDefault="00000000" w:rsidP="00413D92">
            <w:pPr>
              <w:jc w:val="center"/>
              <w:rPr>
                <w:sz w:val="21"/>
                <w:szCs w:val="21"/>
              </w:rPr>
            </w:pPr>
            <w:r>
              <w:rPr>
                <w:rFonts w:hint="eastAsia"/>
                <w:sz w:val="21"/>
                <w:szCs w:val="21"/>
              </w:rPr>
              <w:t>甲烷排放量</w:t>
            </w:r>
            <w:r w:rsidRPr="00413D92">
              <w:rPr>
                <w:rFonts w:hint="eastAsia"/>
                <w:sz w:val="21"/>
                <w:szCs w:val="21"/>
              </w:rPr>
              <w:t>核算方法</w:t>
            </w:r>
          </w:p>
        </w:tc>
      </w:tr>
      <w:tr w:rsidR="00865461" w14:paraId="609A3265" w14:textId="77777777" w:rsidTr="00413D92">
        <w:tc>
          <w:tcPr>
            <w:tcW w:w="2187" w:type="dxa"/>
            <w:vAlign w:val="center"/>
          </w:tcPr>
          <w:p w14:paraId="7CF66CAD" w14:textId="77777777" w:rsidR="00865461" w:rsidRPr="00413D92" w:rsidRDefault="00000000" w:rsidP="00413D92">
            <w:pPr>
              <w:jc w:val="center"/>
              <w:rPr>
                <w:sz w:val="21"/>
                <w:szCs w:val="21"/>
              </w:rPr>
            </w:pPr>
            <w:r>
              <w:rPr>
                <w:rFonts w:hint="eastAsia"/>
                <w:sz w:val="21"/>
                <w:szCs w:val="21"/>
              </w:rPr>
              <w:t>《省级温室气体清单</w:t>
            </w:r>
            <w:r>
              <w:rPr>
                <w:rFonts w:hint="eastAsia"/>
                <w:sz w:val="21"/>
                <w:szCs w:val="21"/>
              </w:rPr>
              <w:lastRenderedPageBreak/>
              <w:t>编制指南（</w:t>
            </w:r>
            <w:r>
              <w:rPr>
                <w:rFonts w:hint="eastAsia"/>
                <w:sz w:val="21"/>
                <w:szCs w:val="21"/>
              </w:rPr>
              <w:t>2025</w:t>
            </w:r>
            <w:r>
              <w:rPr>
                <w:rFonts w:hint="eastAsia"/>
                <w:sz w:val="21"/>
                <w:szCs w:val="21"/>
              </w:rPr>
              <w:t>年版）》</w:t>
            </w:r>
          </w:p>
        </w:tc>
        <w:tc>
          <w:tcPr>
            <w:tcW w:w="6335" w:type="dxa"/>
            <w:vAlign w:val="center"/>
          </w:tcPr>
          <w:p w14:paraId="14B43677" w14:textId="77777777" w:rsidR="00865461" w:rsidRPr="00413D92" w:rsidRDefault="00000000" w:rsidP="00413D92">
            <w:pPr>
              <w:jc w:val="center"/>
              <w:rPr>
                <w:sz w:val="21"/>
                <w:szCs w:val="21"/>
              </w:rPr>
            </w:pPr>
            <m:oMathPara>
              <m:oMath>
                <m:sSub>
                  <m:sSubPr>
                    <m:ctrlPr>
                      <w:rPr>
                        <w:rFonts w:ascii="DejaVu Math TeX Gyre" w:hAnsi="DejaVu Math TeX Gyre"/>
                        <w:i/>
                        <w:sz w:val="21"/>
                        <w:szCs w:val="21"/>
                      </w:rPr>
                    </m:ctrlPr>
                  </m:sSubPr>
                  <m:e>
                    <m:r>
                      <w:rPr>
                        <w:rFonts w:ascii="DejaVu Math TeX Gyre" w:hAnsi="DejaVu Math TeX Gyre"/>
                        <w:sz w:val="21"/>
                        <w:szCs w:val="21"/>
                      </w:rPr>
                      <m:t>E</m:t>
                    </m:r>
                  </m:e>
                  <m:sub>
                    <m:sSub>
                      <m:sSubPr>
                        <m:ctrlPr>
                          <w:rPr>
                            <w:rFonts w:ascii="DejaVu Math TeX Gyre" w:hAnsi="DejaVu Math TeX Gyre"/>
                            <w:i/>
                            <w:sz w:val="21"/>
                            <w:szCs w:val="21"/>
                          </w:rPr>
                        </m:ctrlPr>
                      </m:sSubPr>
                      <m:e>
                        <m:r>
                          <w:rPr>
                            <w:rFonts w:ascii="DejaVu Math TeX Gyre" w:hAnsi="DejaVu Math TeX Gyre"/>
                            <w:sz w:val="21"/>
                            <w:szCs w:val="21"/>
                          </w:rPr>
                          <m:t>CH</m:t>
                        </m:r>
                      </m:e>
                      <m:sub>
                        <m:r>
                          <w:rPr>
                            <w:rFonts w:ascii="DejaVu Math TeX Gyre" w:hAnsi="DejaVu Math TeX Gyre"/>
                            <w:sz w:val="21"/>
                            <w:szCs w:val="21"/>
                          </w:rPr>
                          <m:t>4</m:t>
                        </m:r>
                      </m:sub>
                    </m:sSub>
                  </m:sub>
                </m:sSub>
                <m:r>
                  <w:rPr>
                    <w:rFonts w:ascii="DejaVu Math TeX Gyre" w:hAnsi="DejaVu Math TeX Gyre"/>
                    <w:sz w:val="21"/>
                    <w:szCs w:val="21"/>
                  </w:rPr>
                  <m:t>=</m:t>
                </m:r>
                <m:nary>
                  <m:naryPr>
                    <m:chr m:val="∑"/>
                    <m:limLoc m:val="subSup"/>
                    <m:supHide m:val="1"/>
                    <m:ctrlPr>
                      <w:rPr>
                        <w:rFonts w:ascii="DejaVu Math TeX Gyre" w:hAnsi="DejaVu Math TeX Gyre"/>
                        <w:i/>
                        <w:sz w:val="21"/>
                        <w:szCs w:val="21"/>
                      </w:rPr>
                    </m:ctrlPr>
                  </m:naryPr>
                  <m:sub>
                    <m:r>
                      <w:rPr>
                        <w:rFonts w:ascii="DejaVu Math TeX Gyre" w:hAnsi="DejaVu Math TeX Gyre"/>
                        <w:sz w:val="21"/>
                        <w:szCs w:val="21"/>
                      </w:rPr>
                      <m:t>i</m:t>
                    </m:r>
                  </m:sub>
                  <m:sup/>
                  <m:e>
                    <m:d>
                      <m:dPr>
                        <m:begChr m:val="["/>
                        <m:endChr m:val="]"/>
                        <m:ctrlPr>
                          <w:rPr>
                            <w:rFonts w:ascii="DejaVu Math TeX Gyre" w:hAnsi="DejaVu Math TeX Gyre"/>
                            <w:i/>
                            <w:sz w:val="21"/>
                            <w:szCs w:val="21"/>
                          </w:rPr>
                        </m:ctrlPr>
                      </m:dPr>
                      <m:e>
                        <m:d>
                          <m:dPr>
                            <m:ctrlPr>
                              <w:rPr>
                                <w:rFonts w:ascii="DejaVu Math TeX Gyre" w:hAnsi="DejaVu Math TeX Gyre"/>
                                <w:i/>
                                <w:sz w:val="21"/>
                                <w:szCs w:val="21"/>
                              </w:rPr>
                            </m:ctrlPr>
                          </m:dPr>
                          <m:e>
                            <m:sSub>
                              <m:sSubPr>
                                <m:ctrlPr>
                                  <w:rPr>
                                    <w:rFonts w:ascii="DejaVu Math TeX Gyre" w:hAnsi="DejaVu Math TeX Gyre"/>
                                    <w:i/>
                                    <w:sz w:val="21"/>
                                    <w:szCs w:val="21"/>
                                  </w:rPr>
                                </m:ctrlPr>
                              </m:sSubPr>
                              <m:e>
                                <m:r>
                                  <w:rPr>
                                    <w:rFonts w:ascii="DejaVu Math TeX Gyre" w:hAnsi="DejaVu Math TeX Gyre"/>
                                    <w:sz w:val="21"/>
                                    <w:szCs w:val="21"/>
                                  </w:rPr>
                                  <m:t>TOW</m:t>
                                </m:r>
                              </m:e>
                              <m:sub>
                                <m:r>
                                  <w:rPr>
                                    <w:rFonts w:ascii="DejaVu Math TeX Gyre" w:hAnsi="DejaVu Math TeX Gyre"/>
                                    <w:sz w:val="21"/>
                                    <w:szCs w:val="21"/>
                                  </w:rPr>
                                  <m:t>i</m:t>
                                </m:r>
                              </m:sub>
                            </m:sSub>
                            <m:r>
                              <w:rPr>
                                <w:rFonts w:ascii="DejaVu Math TeX Gyre" w:hAnsi="DejaVu Math TeX Gyre"/>
                                <w:sz w:val="21"/>
                                <w:szCs w:val="21"/>
                              </w:rPr>
                              <m:t>-</m:t>
                            </m:r>
                            <m:sSub>
                              <m:sSubPr>
                                <m:ctrlPr>
                                  <w:rPr>
                                    <w:rFonts w:ascii="DejaVu Math TeX Gyre" w:hAnsi="DejaVu Math TeX Gyre"/>
                                    <w:i/>
                                    <w:sz w:val="21"/>
                                    <w:szCs w:val="21"/>
                                  </w:rPr>
                                </m:ctrlPr>
                              </m:sSubPr>
                              <m:e>
                                <m:r>
                                  <w:rPr>
                                    <w:rFonts w:ascii="DejaVu Math TeX Gyre" w:hAnsi="DejaVu Math TeX Gyre"/>
                                    <w:sz w:val="21"/>
                                    <w:szCs w:val="21"/>
                                  </w:rPr>
                                  <m:t>S</m:t>
                                </m:r>
                              </m:e>
                              <m:sub>
                                <m:r>
                                  <w:rPr>
                                    <w:rFonts w:ascii="DejaVu Math TeX Gyre" w:hAnsi="DejaVu Math TeX Gyre"/>
                                    <w:sz w:val="21"/>
                                    <w:szCs w:val="21"/>
                                  </w:rPr>
                                  <m:t>i</m:t>
                                </m:r>
                              </m:sub>
                            </m:sSub>
                          </m:e>
                        </m:d>
                        <m:r>
                          <w:rPr>
                            <w:rFonts w:ascii="DejaVu Math TeX Gyre" w:hAnsi="DejaVu Math TeX Gyre"/>
                            <w:sz w:val="21"/>
                            <w:szCs w:val="21"/>
                          </w:rPr>
                          <m:t>×</m:t>
                        </m:r>
                        <m:sSub>
                          <m:sSubPr>
                            <m:ctrlPr>
                              <w:rPr>
                                <w:rFonts w:ascii="DejaVu Math TeX Gyre" w:hAnsi="DejaVu Math TeX Gyre"/>
                                <w:i/>
                                <w:sz w:val="21"/>
                                <w:szCs w:val="21"/>
                              </w:rPr>
                            </m:ctrlPr>
                          </m:sSubPr>
                          <m:e>
                            <m:r>
                              <w:rPr>
                                <w:rFonts w:ascii="DejaVu Math TeX Gyre" w:hAnsi="DejaVu Math TeX Gyre"/>
                                <w:sz w:val="21"/>
                                <w:szCs w:val="21"/>
                              </w:rPr>
                              <m:t>EF</m:t>
                            </m:r>
                          </m:e>
                          <m:sub>
                            <m:r>
                              <w:rPr>
                                <w:rFonts w:ascii="DejaVu Math TeX Gyre" w:hAnsi="DejaVu Math TeX Gyre"/>
                                <w:sz w:val="21"/>
                                <w:szCs w:val="21"/>
                              </w:rPr>
                              <m:t>i</m:t>
                            </m:r>
                          </m:sub>
                        </m:sSub>
                        <m:r>
                          <w:rPr>
                            <w:rFonts w:ascii="DejaVu Math TeX Gyre" w:hAnsi="DejaVu Math TeX Gyre"/>
                            <w:sz w:val="21"/>
                            <w:szCs w:val="21"/>
                          </w:rPr>
                          <m:t>-</m:t>
                        </m:r>
                        <m:sSub>
                          <m:sSubPr>
                            <m:ctrlPr>
                              <w:rPr>
                                <w:rFonts w:ascii="DejaVu Math TeX Gyre" w:hAnsi="DejaVu Math TeX Gyre"/>
                                <w:i/>
                                <w:sz w:val="21"/>
                                <w:szCs w:val="21"/>
                              </w:rPr>
                            </m:ctrlPr>
                          </m:sSubPr>
                          <m:e>
                            <m:r>
                              <w:rPr>
                                <w:rFonts w:ascii="DejaVu Math TeX Gyre" w:hAnsi="DejaVu Math TeX Gyre"/>
                                <w:sz w:val="21"/>
                                <w:szCs w:val="21"/>
                              </w:rPr>
                              <m:t>R</m:t>
                            </m:r>
                          </m:e>
                          <m:sub>
                            <m:r>
                              <w:rPr>
                                <w:rFonts w:ascii="DejaVu Math TeX Gyre" w:hAnsi="DejaVu Math TeX Gyre"/>
                                <w:sz w:val="21"/>
                                <w:szCs w:val="21"/>
                              </w:rPr>
                              <m:t>i</m:t>
                            </m:r>
                          </m:sub>
                        </m:sSub>
                      </m:e>
                    </m:d>
                  </m:e>
                </m:nary>
              </m:oMath>
            </m:oMathPara>
          </w:p>
        </w:tc>
      </w:tr>
      <w:tr w:rsidR="00865461" w14:paraId="0D1D44C5" w14:textId="77777777" w:rsidTr="00413D92">
        <w:tc>
          <w:tcPr>
            <w:tcW w:w="2187" w:type="dxa"/>
            <w:vAlign w:val="center"/>
          </w:tcPr>
          <w:p w14:paraId="168C2B41" w14:textId="77777777" w:rsidR="00865461" w:rsidRPr="00413D92" w:rsidRDefault="00000000" w:rsidP="00413D92">
            <w:pPr>
              <w:jc w:val="center"/>
              <w:rPr>
                <w:sz w:val="21"/>
                <w:szCs w:val="21"/>
              </w:rPr>
            </w:pPr>
            <w:r w:rsidRPr="00413D92">
              <w:rPr>
                <w:rFonts w:hint="eastAsia"/>
                <w:sz w:val="21"/>
                <w:szCs w:val="21"/>
              </w:rPr>
              <w:t>《污水处理厂低碳运行评价技术规范》</w:t>
            </w:r>
          </w:p>
        </w:tc>
        <w:tc>
          <w:tcPr>
            <w:tcW w:w="6335" w:type="dxa"/>
            <w:vAlign w:val="center"/>
          </w:tcPr>
          <w:p w14:paraId="1A6418EF" w14:textId="77777777" w:rsidR="00865461" w:rsidRPr="00413D92" w:rsidRDefault="00000000" w:rsidP="00413D92">
            <w:pPr>
              <w:jc w:val="center"/>
              <w:rPr>
                <w:sz w:val="21"/>
                <w:szCs w:val="21"/>
              </w:rPr>
            </w:pPr>
            <m:oMathPara>
              <m:oMath>
                <m:sSub>
                  <m:sSubPr>
                    <m:ctrlPr>
                      <w:rPr>
                        <w:rFonts w:ascii="DejaVu Math TeX Gyre" w:hAnsi="DejaVu Math TeX Gyre"/>
                        <w:i/>
                        <w:sz w:val="21"/>
                        <w:szCs w:val="21"/>
                      </w:rPr>
                    </m:ctrlPr>
                  </m:sSubPr>
                  <m:e>
                    <m:r>
                      <w:rPr>
                        <w:rFonts w:ascii="DejaVu Math TeX Gyre" w:hAnsi="DejaVu Math TeX Gyre"/>
                        <w:sz w:val="21"/>
                        <w:szCs w:val="21"/>
                      </w:rPr>
                      <m:t>m</m:t>
                    </m:r>
                  </m:e>
                  <m:sub>
                    <m:sSub>
                      <m:sSubPr>
                        <m:ctrlPr>
                          <w:rPr>
                            <w:rFonts w:ascii="DejaVu Math TeX Gyre" w:hAnsi="DejaVu Math TeX Gyre"/>
                            <w:i/>
                            <w:sz w:val="21"/>
                            <w:szCs w:val="21"/>
                          </w:rPr>
                        </m:ctrlPr>
                      </m:sSubPr>
                      <m:e>
                        <m:r>
                          <w:rPr>
                            <w:rFonts w:ascii="DejaVu Math TeX Gyre" w:hAnsi="DejaVu Math TeX Gyre"/>
                            <w:sz w:val="21"/>
                            <w:szCs w:val="21"/>
                          </w:rPr>
                          <m:t>CH</m:t>
                        </m:r>
                      </m:e>
                      <m:sub>
                        <m:r>
                          <w:rPr>
                            <w:rFonts w:ascii="DejaVu Math TeX Gyre" w:hAnsi="DejaVu Math TeX Gyre"/>
                            <w:sz w:val="21"/>
                            <w:szCs w:val="21"/>
                          </w:rPr>
                          <m:t>4</m:t>
                        </m:r>
                      </m:sub>
                    </m:sSub>
                    <m:r>
                      <w:rPr>
                        <w:rFonts w:ascii="DejaVu Math TeX Gyre" w:hAnsi="DejaVu Math TeX Gyre"/>
                        <w:sz w:val="21"/>
                        <w:szCs w:val="21"/>
                      </w:rPr>
                      <m:t>,i</m:t>
                    </m:r>
                  </m:sub>
                </m:sSub>
                <m:r>
                  <w:rPr>
                    <w:rFonts w:ascii="DejaVu Math TeX Gyre" w:hAnsi="DejaVu Math TeX Gyre"/>
                    <w:sz w:val="21"/>
                    <w:szCs w:val="21"/>
                  </w:rPr>
                  <m:t>=</m:t>
                </m:r>
                <m:d>
                  <m:dPr>
                    <m:begChr m:val="["/>
                    <m:endChr m:val="]"/>
                    <m:ctrlPr>
                      <w:rPr>
                        <w:rFonts w:ascii="DejaVu Math TeX Gyre" w:hAnsi="DejaVu Math TeX Gyre"/>
                        <w:i/>
                        <w:sz w:val="21"/>
                        <w:szCs w:val="21"/>
                      </w:rPr>
                    </m:ctrlPr>
                  </m:dPr>
                  <m:e>
                    <m:f>
                      <m:fPr>
                        <m:ctrlPr>
                          <w:rPr>
                            <w:rFonts w:ascii="DejaVu Math TeX Gyre" w:hAnsi="DejaVu Math TeX Gyre"/>
                            <w:i/>
                            <w:sz w:val="21"/>
                            <w:szCs w:val="21"/>
                          </w:rPr>
                        </m:ctrlPr>
                      </m:fPr>
                      <m:num>
                        <m:sSub>
                          <m:sSubPr>
                            <m:ctrlPr>
                              <w:rPr>
                                <w:rFonts w:ascii="DejaVu Math TeX Gyre" w:hAnsi="DejaVu Math TeX Gyre"/>
                                <w:i/>
                                <w:sz w:val="21"/>
                                <w:szCs w:val="21"/>
                              </w:rPr>
                            </m:ctrlPr>
                          </m:sSubPr>
                          <m:e>
                            <m:r>
                              <w:rPr>
                                <w:rFonts w:ascii="DejaVu Math TeX Gyre" w:hAnsi="DejaVu Math TeX Gyre"/>
                                <w:sz w:val="21"/>
                                <w:szCs w:val="21"/>
                              </w:rPr>
                              <m:t>Q</m:t>
                            </m:r>
                          </m:e>
                          <m:sub>
                            <m:r>
                              <w:rPr>
                                <w:rFonts w:ascii="DejaVu Math TeX Gyre" w:hAnsi="DejaVu Math TeX Gyre"/>
                                <w:sz w:val="21"/>
                                <w:szCs w:val="21"/>
                              </w:rPr>
                              <m:t>ra,i</m:t>
                            </m:r>
                          </m:sub>
                        </m:sSub>
                        <m:r>
                          <w:rPr>
                            <w:rFonts w:ascii="DejaVu Math TeX Gyre" w:hAnsi="DejaVu Math TeX Gyre"/>
                            <w:sz w:val="21"/>
                            <w:szCs w:val="21"/>
                          </w:rPr>
                          <m:t>×</m:t>
                        </m:r>
                        <m:r>
                          <w:rPr>
                            <w:rFonts w:ascii="DejaVu Math TeX Gyre" w:hAnsi="DejaVu Math TeX Gyre"/>
                            <w:sz w:val="21"/>
                            <w:szCs w:val="21"/>
                          </w:rPr>
                          <m:t>（</m:t>
                        </m:r>
                        <m:sSub>
                          <m:sSubPr>
                            <m:ctrlPr>
                              <w:rPr>
                                <w:rFonts w:ascii="DejaVu Math TeX Gyre" w:hAnsi="DejaVu Math TeX Gyre"/>
                                <w:i/>
                                <w:sz w:val="21"/>
                                <w:szCs w:val="21"/>
                              </w:rPr>
                            </m:ctrlPr>
                          </m:sSubPr>
                          <m:e>
                            <m:r>
                              <w:rPr>
                                <w:rFonts w:ascii="DejaVu Math TeX Gyre" w:hAnsi="DejaVu Math TeX Gyre"/>
                                <w:sz w:val="21"/>
                                <w:szCs w:val="21"/>
                              </w:rPr>
                              <m:t>COD</m:t>
                            </m:r>
                          </m:e>
                          <m:sub>
                            <m:r>
                              <w:rPr>
                                <w:rFonts w:ascii="DejaVu Math TeX Gyre" w:hAnsi="DejaVu Math TeX Gyre"/>
                                <w:sz w:val="21"/>
                                <w:szCs w:val="21"/>
                              </w:rPr>
                              <m:t>ra,i</m:t>
                            </m:r>
                          </m:sub>
                        </m:sSub>
                        <m:r>
                          <w:rPr>
                            <w:rFonts w:ascii="DejaVu Math TeX Gyre" w:hAnsi="DejaVu Math TeX Gyre"/>
                            <w:sz w:val="21"/>
                            <w:szCs w:val="21"/>
                          </w:rPr>
                          <m:t>-</m:t>
                        </m:r>
                        <m:sSub>
                          <m:sSubPr>
                            <m:ctrlPr>
                              <w:rPr>
                                <w:rFonts w:ascii="DejaVu Math TeX Gyre" w:hAnsi="DejaVu Math TeX Gyre"/>
                                <w:i/>
                                <w:sz w:val="21"/>
                                <w:szCs w:val="21"/>
                              </w:rPr>
                            </m:ctrlPr>
                          </m:sSubPr>
                          <m:e>
                            <m:r>
                              <w:rPr>
                                <w:rFonts w:ascii="DejaVu Math TeX Gyre" w:hAnsi="DejaVu Math TeX Gyre"/>
                                <w:sz w:val="21"/>
                                <w:szCs w:val="21"/>
                              </w:rPr>
                              <m:t>COD</m:t>
                            </m:r>
                          </m:e>
                          <m:sub>
                            <m:r>
                              <w:rPr>
                                <w:rFonts w:ascii="DejaVu Math TeX Gyre" w:hAnsi="DejaVu Math TeX Gyre"/>
                                <w:sz w:val="21"/>
                                <w:szCs w:val="21"/>
                              </w:rPr>
                              <m:t>ea,i</m:t>
                            </m:r>
                          </m:sub>
                        </m:sSub>
                        <m:r>
                          <w:rPr>
                            <w:rFonts w:ascii="DejaVu Math TeX Gyre" w:hAnsi="DejaVu Math TeX Gyre"/>
                            <w:sz w:val="21"/>
                            <w:szCs w:val="21"/>
                          </w:rPr>
                          <m:t>）</m:t>
                        </m:r>
                      </m:num>
                      <m:den>
                        <m:r>
                          <w:rPr>
                            <w:rFonts w:ascii="DejaVu Math TeX Gyre" w:hAnsi="DejaVu Math TeX Gyre"/>
                            <w:sz w:val="21"/>
                            <w:szCs w:val="21"/>
                          </w:rPr>
                          <m:t>1000</m:t>
                        </m:r>
                      </m:den>
                    </m:f>
                    <m:r>
                      <w:rPr>
                        <w:rFonts w:ascii="DejaVu Math TeX Gyre" w:hAnsi="DejaVu Math TeX Gyre"/>
                        <w:sz w:val="21"/>
                        <w:szCs w:val="21"/>
                      </w:rPr>
                      <m:t>-</m:t>
                    </m:r>
                    <m:sSub>
                      <m:sSubPr>
                        <m:ctrlPr>
                          <w:rPr>
                            <w:rFonts w:ascii="DejaVu Math TeX Gyre" w:hAnsi="DejaVu Math TeX Gyre"/>
                            <w:i/>
                            <w:sz w:val="21"/>
                            <w:szCs w:val="21"/>
                          </w:rPr>
                        </m:ctrlPr>
                      </m:sSubPr>
                      <m:e>
                        <m:r>
                          <w:rPr>
                            <w:rFonts w:ascii="DejaVu Math TeX Gyre" w:hAnsi="DejaVu Math TeX Gyre"/>
                            <w:sz w:val="21"/>
                            <w:szCs w:val="21"/>
                          </w:rPr>
                          <m:t>SG</m:t>
                        </m:r>
                      </m:e>
                      <m:sub>
                        <m:r>
                          <w:rPr>
                            <w:rFonts w:ascii="DejaVu Math TeX Gyre" w:hAnsi="DejaVu Math TeX Gyre"/>
                            <w:sz w:val="21"/>
                            <w:szCs w:val="21"/>
                          </w:rPr>
                          <m:t>i</m:t>
                        </m:r>
                      </m:sub>
                    </m:sSub>
                    <m:r>
                      <w:rPr>
                        <w:rFonts w:ascii="DejaVu Math TeX Gyre" w:hAnsi="DejaVu Math TeX Gyre"/>
                        <w:sz w:val="21"/>
                        <w:szCs w:val="21"/>
                      </w:rPr>
                      <m:t>×</m:t>
                    </m:r>
                    <m:sSub>
                      <m:sSubPr>
                        <m:ctrlPr>
                          <w:rPr>
                            <w:rFonts w:ascii="DejaVu Math TeX Gyre" w:hAnsi="DejaVu Math TeX Gyre"/>
                            <w:i/>
                            <w:sz w:val="21"/>
                            <w:szCs w:val="21"/>
                          </w:rPr>
                        </m:ctrlPr>
                      </m:sSubPr>
                      <m:e>
                        <m:r>
                          <w:rPr>
                            <w:rFonts w:ascii="DejaVu Math TeX Gyre" w:hAnsi="DejaVu Math TeX Gyre"/>
                            <w:sz w:val="21"/>
                            <w:szCs w:val="21"/>
                          </w:rPr>
                          <m:t>P</m:t>
                        </m:r>
                      </m:e>
                      <m:sub>
                        <m:r>
                          <w:rPr>
                            <w:rFonts w:ascii="DejaVu Math TeX Gyre" w:hAnsi="DejaVu Math TeX Gyre"/>
                            <w:sz w:val="21"/>
                            <w:szCs w:val="21"/>
                          </w:rPr>
                          <m:t>v,i</m:t>
                        </m:r>
                      </m:sub>
                    </m:sSub>
                    <m:r>
                      <w:rPr>
                        <w:rFonts w:ascii="DejaVu Math TeX Gyre" w:hAnsi="DejaVu Math TeX Gyre"/>
                        <w:sz w:val="21"/>
                        <w:szCs w:val="21"/>
                      </w:rPr>
                      <m:t>×</m:t>
                    </m:r>
                    <m:sSub>
                      <m:sSubPr>
                        <m:ctrlPr>
                          <w:rPr>
                            <w:rFonts w:ascii="DejaVu Math TeX Gyre" w:hAnsi="DejaVu Math TeX Gyre"/>
                            <w:i/>
                            <w:sz w:val="21"/>
                            <w:szCs w:val="21"/>
                          </w:rPr>
                        </m:ctrlPr>
                      </m:sSubPr>
                      <m:e>
                        <m:r>
                          <w:rPr>
                            <w:rFonts w:ascii="DejaVu Math TeX Gyre" w:hAnsi="DejaVu Math TeX Gyre"/>
                            <w:sz w:val="21"/>
                            <w:szCs w:val="21"/>
                          </w:rPr>
                          <m:t>ρ</m:t>
                        </m:r>
                      </m:e>
                      <m:sub>
                        <m:r>
                          <w:rPr>
                            <w:rFonts w:ascii="DejaVu Math TeX Gyre" w:hAnsi="DejaVu Math TeX Gyre"/>
                            <w:sz w:val="21"/>
                            <w:szCs w:val="21"/>
                          </w:rPr>
                          <m:t>s</m:t>
                        </m:r>
                      </m:sub>
                    </m:sSub>
                  </m:e>
                </m:d>
                <m:r>
                  <w:rPr>
                    <w:rFonts w:ascii="DejaVu Math TeX Gyre" w:hAnsi="DejaVu Math TeX Gyre"/>
                    <w:sz w:val="21"/>
                    <w:szCs w:val="21"/>
                  </w:rPr>
                  <m:t>×</m:t>
                </m:r>
                <m:sSub>
                  <m:sSubPr>
                    <m:ctrlPr>
                      <w:rPr>
                        <w:rFonts w:ascii="DejaVu Math TeX Gyre" w:hAnsi="DejaVu Math TeX Gyre"/>
                        <w:i/>
                        <w:sz w:val="21"/>
                        <w:szCs w:val="21"/>
                      </w:rPr>
                    </m:ctrlPr>
                  </m:sSubPr>
                  <m:e>
                    <m:r>
                      <w:rPr>
                        <w:rFonts w:ascii="DejaVu Math TeX Gyre" w:hAnsi="DejaVu Math TeX Gyre"/>
                        <w:sz w:val="21"/>
                        <w:szCs w:val="21"/>
                      </w:rPr>
                      <m:t>B</m:t>
                    </m:r>
                  </m:e>
                  <m:sub>
                    <m:r>
                      <w:rPr>
                        <w:rFonts w:ascii="DejaVu Math TeX Gyre" w:hAnsi="DejaVu Math TeX Gyre"/>
                        <w:sz w:val="21"/>
                        <w:szCs w:val="21"/>
                      </w:rPr>
                      <m:t>0</m:t>
                    </m:r>
                  </m:sub>
                </m:sSub>
                <m:r>
                  <w:rPr>
                    <w:rFonts w:ascii="DejaVu Math TeX Gyre" w:hAnsi="DejaVu Math TeX Gyre"/>
                    <w:sz w:val="21"/>
                    <w:szCs w:val="21"/>
                  </w:rPr>
                  <m:t>×MCF-</m:t>
                </m:r>
                <m:sSub>
                  <m:sSubPr>
                    <m:ctrlPr>
                      <w:rPr>
                        <w:rFonts w:ascii="DejaVu Math TeX Gyre" w:hAnsi="DejaVu Math TeX Gyre"/>
                        <w:i/>
                        <w:sz w:val="21"/>
                        <w:szCs w:val="21"/>
                      </w:rPr>
                    </m:ctrlPr>
                  </m:sSubPr>
                  <m:e>
                    <m:r>
                      <w:rPr>
                        <w:rFonts w:ascii="DejaVu Math TeX Gyre" w:hAnsi="DejaVu Math TeX Gyre"/>
                        <w:sz w:val="21"/>
                        <w:szCs w:val="21"/>
                      </w:rPr>
                      <m:t>R</m:t>
                    </m:r>
                  </m:e>
                  <m:sub>
                    <m:sSub>
                      <m:sSubPr>
                        <m:ctrlPr>
                          <w:rPr>
                            <w:rFonts w:ascii="DejaVu Math TeX Gyre" w:hAnsi="DejaVu Math TeX Gyre"/>
                            <w:i/>
                            <w:sz w:val="21"/>
                            <w:szCs w:val="21"/>
                          </w:rPr>
                        </m:ctrlPr>
                      </m:sSubPr>
                      <m:e>
                        <m:r>
                          <w:rPr>
                            <w:rFonts w:ascii="DejaVu Math TeX Gyre" w:hAnsi="DejaVu Math TeX Gyre"/>
                            <w:sz w:val="21"/>
                            <w:szCs w:val="21"/>
                          </w:rPr>
                          <m:t>CH</m:t>
                        </m:r>
                      </m:e>
                      <m:sub>
                        <m:r>
                          <w:rPr>
                            <w:rFonts w:ascii="DejaVu Math TeX Gyre" w:hAnsi="DejaVu Math TeX Gyre"/>
                            <w:sz w:val="21"/>
                            <w:szCs w:val="21"/>
                          </w:rPr>
                          <m:t>4</m:t>
                        </m:r>
                      </m:sub>
                    </m:sSub>
                    <m:r>
                      <w:rPr>
                        <w:rFonts w:ascii="DejaVu Math TeX Gyre" w:hAnsi="DejaVu Math TeX Gyre"/>
                        <w:sz w:val="21"/>
                        <w:szCs w:val="21"/>
                      </w:rPr>
                      <m:t>,i</m:t>
                    </m:r>
                  </m:sub>
                </m:sSub>
                <m:r>
                  <w:rPr>
                    <w:rFonts w:ascii="DejaVu Math TeX Gyre" w:hAnsi="DejaVu Math TeX Gyre"/>
                    <w:sz w:val="21"/>
                    <w:szCs w:val="21"/>
                  </w:rPr>
                  <m:t>×0.717</m:t>
                </m:r>
              </m:oMath>
            </m:oMathPara>
          </w:p>
        </w:tc>
      </w:tr>
      <w:tr w:rsidR="00865461" w14:paraId="3301F805" w14:textId="77777777" w:rsidTr="00413D92">
        <w:tc>
          <w:tcPr>
            <w:tcW w:w="2187" w:type="dxa"/>
            <w:vAlign w:val="center"/>
          </w:tcPr>
          <w:p w14:paraId="36E3F908" w14:textId="77777777" w:rsidR="00865461" w:rsidRPr="00413D92" w:rsidRDefault="00000000" w:rsidP="00413D92">
            <w:pPr>
              <w:jc w:val="center"/>
              <w:rPr>
                <w:sz w:val="21"/>
                <w:szCs w:val="21"/>
              </w:rPr>
            </w:pPr>
            <w:r>
              <w:rPr>
                <w:rFonts w:hint="eastAsia"/>
                <w:sz w:val="21"/>
                <w:szCs w:val="21"/>
              </w:rPr>
              <w:t>本《指南》</w:t>
            </w:r>
          </w:p>
        </w:tc>
        <w:tc>
          <w:tcPr>
            <w:tcW w:w="6335" w:type="dxa"/>
            <w:vAlign w:val="center"/>
          </w:tcPr>
          <w:p w14:paraId="62D57BF9" w14:textId="77777777" w:rsidR="00865461" w:rsidRPr="00413D92" w:rsidRDefault="00000000" w:rsidP="00413D92">
            <w:pPr>
              <w:jc w:val="center"/>
              <w:rPr>
                <w:sz w:val="21"/>
                <w:szCs w:val="21"/>
              </w:rPr>
            </w:pPr>
            <m:oMathPara>
              <m:oMath>
                <m:sSub>
                  <m:sSubPr>
                    <m:ctrlPr>
                      <w:rPr>
                        <w:rFonts w:ascii="DejaVu Math TeX Gyre" w:hAnsi="DejaVu Math TeX Gyre"/>
                        <w:i/>
                      </w:rPr>
                    </m:ctrlPr>
                  </m:sSubPr>
                  <m:e>
                    <m:r>
                      <w:rPr>
                        <w:rFonts w:ascii="DejaVu Math TeX Gyre" w:hAnsi="DejaVu Math TeX Gyre"/>
                      </w:rPr>
                      <m:t>E</m:t>
                    </m:r>
                  </m:e>
                  <m:sub>
                    <m:sSub>
                      <m:sSubPr>
                        <m:ctrlPr>
                          <w:rPr>
                            <w:rFonts w:ascii="DejaVu Math TeX Gyre" w:hAnsi="DejaVu Math TeX Gyre"/>
                            <w:i/>
                          </w:rPr>
                        </m:ctrlPr>
                      </m:sSubPr>
                      <m:e>
                        <m:r>
                          <w:rPr>
                            <w:rFonts w:ascii="DejaVu Math TeX Gyre" w:hAnsi="DejaVu Math TeX Gyre"/>
                          </w:rPr>
                          <m:t>CH</m:t>
                        </m:r>
                      </m:e>
                      <m:sub>
                        <m:r>
                          <w:rPr>
                            <w:rFonts w:ascii="DejaVu Math TeX Gyre" w:hAnsi="DejaVu Math TeX Gyre"/>
                          </w:rPr>
                          <m:t>4</m:t>
                        </m:r>
                      </m:sub>
                    </m:sSub>
                  </m:sub>
                </m:sSub>
                <m:r>
                  <w:rPr>
                    <w:rFonts w:ascii="DejaVu Math TeX Gyre" w:hAnsi="DejaVu Math TeX Gyre"/>
                  </w:rPr>
                  <m:t>=</m:t>
                </m:r>
                <m:nary>
                  <m:naryPr>
                    <m:chr m:val="∑"/>
                    <m:limLoc m:val="subSup"/>
                    <m:supHide m:val="1"/>
                    <m:ctrlPr>
                      <w:rPr>
                        <w:rFonts w:ascii="DejaVu Math TeX Gyre" w:hAnsi="DejaVu Math TeX Gyre"/>
                        <w:i/>
                        <w:sz w:val="21"/>
                        <w:szCs w:val="21"/>
                      </w:rPr>
                    </m:ctrlPr>
                  </m:naryPr>
                  <m:sub>
                    <m:r>
                      <w:rPr>
                        <w:rFonts w:ascii="DejaVu Math TeX Gyre" w:hAnsi="DejaVu Math TeX Gyre"/>
                        <w:sz w:val="21"/>
                        <w:szCs w:val="21"/>
                      </w:rPr>
                      <m:t>i</m:t>
                    </m:r>
                  </m:sub>
                  <m:sup/>
                  <m:e>
                    <m:d>
                      <m:dPr>
                        <m:begChr m:val="["/>
                        <m:endChr m:val="]"/>
                        <m:ctrlPr>
                          <w:rPr>
                            <w:rFonts w:ascii="DejaVu Math TeX Gyre" w:hAnsi="DejaVu Math TeX Gyre"/>
                            <w:i/>
                            <w:sz w:val="21"/>
                            <w:szCs w:val="21"/>
                          </w:rPr>
                        </m:ctrlPr>
                      </m:dPr>
                      <m:e>
                        <m:f>
                          <m:fPr>
                            <m:ctrlPr>
                              <w:rPr>
                                <w:rFonts w:ascii="DejaVu Math TeX Gyre" w:hAnsi="DejaVu Math TeX Gyre"/>
                                <w:i/>
                                <w:sz w:val="20"/>
                                <w:szCs w:val="20"/>
                              </w:rPr>
                            </m:ctrlPr>
                          </m:fPr>
                          <m:num>
                            <m:sSub>
                              <m:sSubPr>
                                <m:ctrlPr>
                                  <w:rPr>
                                    <w:rFonts w:ascii="DejaVu Math TeX Gyre" w:hAnsi="DejaVu Math TeX Gyre"/>
                                    <w:i/>
                                    <w:sz w:val="20"/>
                                    <w:szCs w:val="20"/>
                                  </w:rPr>
                                </m:ctrlPr>
                              </m:sSubPr>
                              <m:e>
                                <m:r>
                                  <w:rPr>
                                    <w:rFonts w:ascii="DejaVu Math TeX Gyre" w:hAnsi="DejaVu Math TeX Gyre"/>
                                    <w:sz w:val="20"/>
                                    <w:szCs w:val="20"/>
                                  </w:rPr>
                                  <m:t>Q</m:t>
                                </m:r>
                              </m:e>
                              <m:sub>
                                <m:r>
                                  <w:rPr>
                                    <w:rFonts w:ascii="DejaVu Math TeX Gyre" w:hAnsi="DejaVu Math TeX Gyre"/>
                                    <w:sz w:val="20"/>
                                    <w:szCs w:val="20"/>
                                  </w:rPr>
                                  <m:t>i</m:t>
                                </m:r>
                              </m:sub>
                            </m:sSub>
                            <m:r>
                              <w:rPr>
                                <w:rFonts w:ascii="DejaVu Math TeX Gyre" w:hAnsi="DejaVu Math TeX Gyre"/>
                                <w:sz w:val="20"/>
                                <w:szCs w:val="20"/>
                              </w:rPr>
                              <m:t>×</m:t>
                            </m:r>
                            <m:r>
                              <w:rPr>
                                <w:rFonts w:ascii="DejaVu Math TeX Gyre" w:hAnsi="DejaVu Math TeX Gyre"/>
                                <w:sz w:val="20"/>
                                <w:szCs w:val="20"/>
                              </w:rPr>
                              <m:t>（</m:t>
                            </m:r>
                            <m:sSub>
                              <m:sSubPr>
                                <m:ctrlPr>
                                  <w:rPr>
                                    <w:rFonts w:ascii="DejaVu Math TeX Gyre" w:hAnsi="DejaVu Math TeX Gyre"/>
                                    <w:i/>
                                    <w:sz w:val="20"/>
                                    <w:szCs w:val="20"/>
                                  </w:rPr>
                                </m:ctrlPr>
                              </m:sSubPr>
                              <m:e>
                                <m:r>
                                  <w:rPr>
                                    <w:rFonts w:ascii="DejaVu Math TeX Gyre" w:hAnsi="DejaVu Math TeX Gyre"/>
                                    <w:sz w:val="20"/>
                                    <w:szCs w:val="20"/>
                                  </w:rPr>
                                  <m:t>COD</m:t>
                                </m:r>
                              </m:e>
                              <m:sub>
                                <m:r>
                                  <w:rPr>
                                    <w:rFonts w:ascii="DejaVu Math TeX Gyre" w:hAnsi="DejaVu Math TeX Gyre"/>
                                    <w:sz w:val="20"/>
                                    <w:szCs w:val="20"/>
                                  </w:rPr>
                                  <m:t>进</m:t>
                                </m:r>
                                <m:r>
                                  <w:rPr>
                                    <w:rFonts w:ascii="DejaVu Math TeX Gyre" w:hAnsi="DejaVu Math TeX Gyre"/>
                                    <w:sz w:val="20"/>
                                    <w:szCs w:val="20"/>
                                  </w:rPr>
                                  <m:t>i</m:t>
                                </m:r>
                              </m:sub>
                            </m:sSub>
                            <m:r>
                              <w:rPr>
                                <w:rFonts w:ascii="DejaVu Math TeX Gyre" w:hAnsi="DejaVu Math TeX Gyre"/>
                                <w:sz w:val="20"/>
                                <w:szCs w:val="20"/>
                              </w:rPr>
                              <m:t>-</m:t>
                            </m:r>
                            <m:sSub>
                              <m:sSubPr>
                                <m:ctrlPr>
                                  <w:rPr>
                                    <w:rFonts w:ascii="DejaVu Math TeX Gyre" w:hAnsi="DejaVu Math TeX Gyre"/>
                                    <w:i/>
                                    <w:sz w:val="20"/>
                                    <w:szCs w:val="20"/>
                                  </w:rPr>
                                </m:ctrlPr>
                              </m:sSubPr>
                              <m:e>
                                <m:r>
                                  <w:rPr>
                                    <w:rFonts w:ascii="DejaVu Math TeX Gyre" w:hAnsi="DejaVu Math TeX Gyre"/>
                                    <w:sz w:val="20"/>
                                    <w:szCs w:val="20"/>
                                  </w:rPr>
                                  <m:t>COD</m:t>
                                </m:r>
                              </m:e>
                              <m:sub>
                                <m:r>
                                  <w:rPr>
                                    <w:rFonts w:ascii="DejaVu Math TeX Gyre" w:hAnsi="DejaVu Math TeX Gyre"/>
                                    <w:sz w:val="20"/>
                                    <w:szCs w:val="20"/>
                                  </w:rPr>
                                  <m:t>出</m:t>
                                </m:r>
                                <m:r>
                                  <w:rPr>
                                    <w:rFonts w:ascii="DejaVu Math TeX Gyre" w:hAnsi="DejaVu Math TeX Gyre"/>
                                    <w:sz w:val="20"/>
                                    <w:szCs w:val="20"/>
                                  </w:rPr>
                                  <m:t>i</m:t>
                                </m:r>
                              </m:sub>
                            </m:sSub>
                            <m:r>
                              <w:rPr>
                                <w:rFonts w:ascii="DejaVu Math TeX Gyre" w:hAnsi="DejaVu Math TeX Gyre"/>
                                <w:sz w:val="20"/>
                                <w:szCs w:val="20"/>
                              </w:rPr>
                              <m:t>）</m:t>
                            </m:r>
                          </m:num>
                          <m:den>
                            <m:r>
                              <w:rPr>
                                <w:rFonts w:ascii="DejaVu Math TeX Gyre" w:hAnsi="DejaVu Math TeX Gyre"/>
                                <w:sz w:val="20"/>
                                <w:szCs w:val="20"/>
                              </w:rPr>
                              <m:t>1000</m:t>
                            </m:r>
                          </m:den>
                        </m:f>
                        <m:r>
                          <w:rPr>
                            <w:rFonts w:ascii="DejaVu Math TeX Gyre" w:hAnsi="DejaVu Math TeX Gyre"/>
                            <w:sz w:val="20"/>
                            <w:szCs w:val="20"/>
                          </w:rPr>
                          <m:t>×Y×60%</m:t>
                        </m:r>
                        <m:r>
                          <m:rPr>
                            <m:sty m:val="p"/>
                          </m:rPr>
                          <w:rPr>
                            <w:rFonts w:ascii="DejaVu Math TeX Gyre" w:hAnsi="DejaVu Math TeX Gyre"/>
                            <w:sz w:val="20"/>
                            <w:szCs w:val="20"/>
                          </w:rPr>
                          <m:t>×0.717×</m:t>
                        </m:r>
                        <m:sSub>
                          <m:sSubPr>
                            <m:ctrlPr>
                              <w:rPr>
                                <w:rFonts w:ascii="DejaVu Math TeX Gyre" w:hAnsi="DejaVu Math TeX Gyre"/>
                                <w:sz w:val="20"/>
                                <w:szCs w:val="20"/>
                              </w:rPr>
                            </m:ctrlPr>
                          </m:sSubPr>
                          <m:e>
                            <m:r>
                              <w:rPr>
                                <w:rFonts w:ascii="DejaVu Math TeX Gyre" w:hAnsi="DejaVu Math TeX Gyre"/>
                                <w:sz w:val="20"/>
                                <w:szCs w:val="20"/>
                              </w:rPr>
                              <m:t>GWP</m:t>
                            </m:r>
                          </m:e>
                          <m:sub>
                            <m:sSub>
                              <m:sSubPr>
                                <m:ctrlPr>
                                  <w:rPr>
                                    <w:rFonts w:ascii="DejaVu Math TeX Gyre" w:hAnsi="DejaVu Math TeX Gyre"/>
                                    <w:i/>
                                    <w:iCs/>
                                    <w:sz w:val="20"/>
                                    <w:szCs w:val="20"/>
                                  </w:rPr>
                                </m:ctrlPr>
                              </m:sSubPr>
                              <m:e>
                                <m:r>
                                  <w:rPr>
                                    <w:rFonts w:ascii="DejaVu Math TeX Gyre" w:hAnsi="DejaVu Math TeX Gyre"/>
                                    <w:sz w:val="20"/>
                                    <w:szCs w:val="20"/>
                                  </w:rPr>
                                  <m:t>CH</m:t>
                                </m:r>
                              </m:e>
                              <m:sub>
                                <m:r>
                                  <w:rPr>
                                    <w:rFonts w:ascii="DejaVu Math TeX Gyre" w:hAnsi="DejaVu Math TeX Gyre"/>
                                    <w:sz w:val="20"/>
                                    <w:szCs w:val="20"/>
                                  </w:rPr>
                                  <m:t>4</m:t>
                                </m:r>
                              </m:sub>
                            </m:sSub>
                          </m:sub>
                        </m:sSub>
                        <m:r>
                          <m:rPr>
                            <m:sty m:val="p"/>
                          </m:rPr>
                          <w:rPr>
                            <w:rFonts w:ascii="DejaVu Math TeX Gyre" w:hAnsi="DejaVu Math TeX Gyre"/>
                            <w:sz w:val="20"/>
                            <w:szCs w:val="20"/>
                          </w:rPr>
                          <m:t>×</m:t>
                        </m:r>
                        <m:sSup>
                          <m:sSupPr>
                            <m:ctrlPr>
                              <w:rPr>
                                <w:rFonts w:ascii="DejaVu Math TeX Gyre" w:hAnsi="DejaVu Math TeX Gyre"/>
                                <w:sz w:val="20"/>
                                <w:szCs w:val="20"/>
                              </w:rPr>
                            </m:ctrlPr>
                          </m:sSupPr>
                          <m:e>
                            <m:r>
                              <m:rPr>
                                <m:sty m:val="p"/>
                              </m:rPr>
                              <w:rPr>
                                <w:rFonts w:ascii="DejaVu Math TeX Gyre" w:hAnsi="DejaVu Math TeX Gyre"/>
                                <w:sz w:val="20"/>
                                <w:szCs w:val="20"/>
                              </w:rPr>
                              <m:t>10</m:t>
                            </m:r>
                          </m:e>
                          <m:sup>
                            <m:r>
                              <m:rPr>
                                <m:sty m:val="p"/>
                              </m:rPr>
                              <w:rPr>
                                <w:rFonts w:ascii="DejaVu Math TeX Gyre" w:hAnsi="DejaVu Math TeX Gyre"/>
                                <w:sz w:val="20"/>
                                <w:szCs w:val="20"/>
                              </w:rPr>
                              <m:t>-3</m:t>
                            </m:r>
                          </m:sup>
                        </m:sSup>
                      </m:e>
                    </m:d>
                  </m:e>
                </m:nary>
                <m:r>
                  <w:rPr>
                    <w:rFonts w:ascii="DejaVu Math TeX Gyre" w:hAnsi="DejaVu Math TeX Gyre"/>
                    <w:sz w:val="21"/>
                    <w:szCs w:val="21"/>
                  </w:rPr>
                  <m:t>×</m:t>
                </m:r>
                <m:d>
                  <m:dPr>
                    <m:ctrlPr>
                      <w:rPr>
                        <w:rFonts w:ascii="DejaVu Math TeX Gyre" w:hAnsi="DejaVu Math TeX Gyre"/>
                        <w:i/>
                        <w:sz w:val="21"/>
                        <w:szCs w:val="21"/>
                      </w:rPr>
                    </m:ctrlPr>
                  </m:dPr>
                  <m:e>
                    <m:r>
                      <w:rPr>
                        <w:rFonts w:ascii="DejaVu Math TeX Gyre" w:hAnsi="DejaVu Math TeX Gyre"/>
                        <w:sz w:val="21"/>
                        <w:szCs w:val="21"/>
                      </w:rPr>
                      <m:t>1-</m:t>
                    </m:r>
                    <m:sSub>
                      <m:sSubPr>
                        <m:ctrlPr>
                          <w:rPr>
                            <w:rFonts w:ascii="DejaVu Math TeX Gyre" w:hAnsi="DejaVu Math TeX Gyre"/>
                            <w:i/>
                          </w:rPr>
                        </m:ctrlPr>
                      </m:sSubPr>
                      <m:e>
                        <m:r>
                          <w:rPr>
                            <w:rFonts w:ascii="DejaVu Math TeX Gyre" w:hAnsi="DejaVu Math TeX Gyre"/>
                          </w:rPr>
                          <m:t>Z</m:t>
                        </m:r>
                      </m:e>
                      <m:sub>
                        <m:sSub>
                          <m:sSubPr>
                            <m:ctrlPr>
                              <w:rPr>
                                <w:rFonts w:ascii="DejaVu Math TeX Gyre" w:hAnsi="DejaVu Math TeX Gyre"/>
                                <w:i/>
                              </w:rPr>
                            </m:ctrlPr>
                          </m:sSubPr>
                          <m:e>
                            <m:r>
                              <w:rPr>
                                <w:rFonts w:ascii="DejaVu Math TeX Gyre" w:hAnsi="DejaVu Math TeX Gyre"/>
                              </w:rPr>
                              <m:t>CH</m:t>
                            </m:r>
                          </m:e>
                          <m:sub>
                            <m:r>
                              <w:rPr>
                                <w:rFonts w:ascii="DejaVu Math TeX Gyre" w:hAnsi="DejaVu Math TeX Gyre"/>
                              </w:rPr>
                              <m:t>4</m:t>
                            </m:r>
                          </m:sub>
                        </m:sSub>
                      </m:sub>
                    </m:sSub>
                  </m:e>
                </m:d>
              </m:oMath>
            </m:oMathPara>
          </w:p>
        </w:tc>
      </w:tr>
    </w:tbl>
    <w:p w14:paraId="6D949541" w14:textId="77777777" w:rsidR="00865461" w:rsidRDefault="00865461" w:rsidP="00413D92"/>
    <w:p w14:paraId="782EDCB7" w14:textId="77777777" w:rsidR="00865461" w:rsidRDefault="00000000">
      <w:pPr>
        <w:pStyle w:val="1"/>
        <w:rPr>
          <w:b w:val="0"/>
          <w:kern w:val="2"/>
          <w:sz w:val="24"/>
        </w:rPr>
      </w:pPr>
      <w:r>
        <w:rPr>
          <w:rFonts w:hint="eastAsia"/>
        </w:rPr>
        <w:t xml:space="preserve">6 </w:t>
      </w:r>
      <w:r>
        <w:rPr>
          <w:rFonts w:hint="eastAsia"/>
        </w:rPr>
        <w:t>指南实施措施及建议</w:t>
      </w:r>
    </w:p>
    <w:p w14:paraId="38D64D4B" w14:textId="77777777" w:rsidR="00865461" w:rsidRDefault="00000000">
      <w:pPr>
        <w:pStyle w:val="2"/>
      </w:pPr>
      <w:r>
        <w:t>6.1 推进试点工作</w:t>
      </w:r>
    </w:p>
    <w:p w14:paraId="106016FB" w14:textId="77777777" w:rsidR="00865461" w:rsidRDefault="00000000">
      <w:pPr>
        <w:ind w:firstLineChars="200" w:firstLine="480"/>
      </w:pPr>
      <w:r>
        <w:rPr>
          <w:rFonts w:hint="eastAsia"/>
        </w:rPr>
        <w:t>建议加快推进污水处理行业建设项目甲烷排放环境影响评价的试点工作，在试点中对《指南》试行版本存在的问题不断完善，持续总结经验，为完善和优化</w:t>
      </w:r>
      <w:proofErr w:type="gramStart"/>
      <w:r>
        <w:rPr>
          <w:rFonts w:hint="eastAsia"/>
        </w:rPr>
        <w:t>最终版</w:t>
      </w:r>
      <w:proofErr w:type="gramEnd"/>
      <w:r>
        <w:rPr>
          <w:rFonts w:hint="eastAsia"/>
        </w:rPr>
        <w:t>《指南》提供依据。</w:t>
      </w:r>
    </w:p>
    <w:p w14:paraId="515E61C4" w14:textId="77777777" w:rsidR="00865461" w:rsidRDefault="00000000">
      <w:pPr>
        <w:pStyle w:val="2"/>
      </w:pPr>
      <w:r>
        <w:t>6.2 加快研究和制定污水处理行业污染物和甲烷协同减排可行技术指南</w:t>
      </w:r>
    </w:p>
    <w:p w14:paraId="2CD97A17" w14:textId="77777777" w:rsidR="00865461" w:rsidRDefault="00000000">
      <w:pPr>
        <w:ind w:firstLineChars="200" w:firstLine="480"/>
      </w:pPr>
      <w:r>
        <w:rPr>
          <w:rFonts w:hint="eastAsia"/>
        </w:rPr>
        <w:t>建议进一步研究污水处理工艺与</w:t>
      </w:r>
      <w:proofErr w:type="gramStart"/>
      <w:r>
        <w:rPr>
          <w:rFonts w:hint="eastAsia"/>
        </w:rPr>
        <w:t>甲烷产放环节</w:t>
      </w:r>
      <w:proofErr w:type="gramEnd"/>
      <w:r>
        <w:rPr>
          <w:rFonts w:hint="eastAsia"/>
        </w:rPr>
        <w:t>，从能量消耗、环境效果、经济、技术和管理等方面对现行污水处理行业甲烷减</w:t>
      </w:r>
      <w:proofErr w:type="gramStart"/>
      <w:r>
        <w:rPr>
          <w:rFonts w:hint="eastAsia"/>
        </w:rPr>
        <w:t>排技术</w:t>
      </w:r>
      <w:proofErr w:type="gramEnd"/>
      <w:r>
        <w:rPr>
          <w:rFonts w:hint="eastAsia"/>
        </w:rPr>
        <w:t>开展综合评估，尽快出台污水处理行业污染物防治与甲烷减排协同可行技术指南。</w:t>
      </w:r>
    </w:p>
    <w:p w14:paraId="2E2D8EB0" w14:textId="77777777" w:rsidR="00865461" w:rsidRDefault="00000000">
      <w:pPr>
        <w:pStyle w:val="2"/>
      </w:pPr>
      <w:r>
        <w:t>6.3 加大甲烷排放评价宣传培训力度</w:t>
      </w:r>
    </w:p>
    <w:p w14:paraId="24C7B09C" w14:textId="77777777" w:rsidR="00865461" w:rsidRDefault="00000000">
      <w:pPr>
        <w:ind w:firstLineChars="200" w:firstLine="480"/>
      </w:pPr>
      <w:r>
        <w:rPr>
          <w:rFonts w:hint="eastAsia"/>
        </w:rPr>
        <w:t>甲烷排放环境影响评价尚处于探索阶段，应加大对生态环境主管部门和相关建设单位及环评编制单位的培训力度，帮助理解本《指南》的要求，指导建设单位和环评编制单位碳排放专题报告的编制和生态环境主管部门的评估审批。</w:t>
      </w:r>
    </w:p>
    <w:p w14:paraId="1BCF0CC4" w14:textId="77777777" w:rsidR="00865461" w:rsidRDefault="00865461"/>
    <w:sectPr w:rsidR="00865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A05E" w14:textId="77777777" w:rsidR="00322A6C" w:rsidRDefault="00322A6C">
      <w:pPr>
        <w:spacing w:line="240" w:lineRule="auto"/>
      </w:pPr>
      <w:r>
        <w:separator/>
      </w:r>
    </w:p>
  </w:endnote>
  <w:endnote w:type="continuationSeparator" w:id="0">
    <w:p w14:paraId="173BC6E6" w14:textId="77777777" w:rsidR="00322A6C" w:rsidRDefault="00322A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_GB2312">
    <w:altName w:val="方正楷体_GBK"/>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DejaVu Math TeX Gyre">
    <w:altName w:val="Calibri"/>
    <w:charset w:val="00"/>
    <w:family w:val="auto"/>
    <w:pitch w:val="default"/>
    <w:sig w:usb0="A10000EF" w:usb1="4201F9EE" w:usb2="02000000" w:usb3="00000000" w:csb0="60000193" w:csb1="0DD4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37C2" w14:textId="77777777" w:rsidR="00322A6C" w:rsidRDefault="00322A6C">
      <w:r>
        <w:separator/>
      </w:r>
    </w:p>
  </w:footnote>
  <w:footnote w:type="continuationSeparator" w:id="0">
    <w:p w14:paraId="59F92250" w14:textId="77777777" w:rsidR="00322A6C" w:rsidRDefault="00322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56CA8"/>
    <w:rsid w:val="00172A27"/>
    <w:rsid w:val="001E60CF"/>
    <w:rsid w:val="002832D9"/>
    <w:rsid w:val="002C4C03"/>
    <w:rsid w:val="00322A6C"/>
    <w:rsid w:val="00396699"/>
    <w:rsid w:val="00413D92"/>
    <w:rsid w:val="00466F66"/>
    <w:rsid w:val="00552A46"/>
    <w:rsid w:val="00604661"/>
    <w:rsid w:val="006231DC"/>
    <w:rsid w:val="00757FD3"/>
    <w:rsid w:val="00832737"/>
    <w:rsid w:val="00865461"/>
    <w:rsid w:val="00922579"/>
    <w:rsid w:val="00A51255"/>
    <w:rsid w:val="00AF6CB8"/>
    <w:rsid w:val="00BC331C"/>
    <w:rsid w:val="00BF6FE6"/>
    <w:rsid w:val="00C15BC1"/>
    <w:rsid w:val="00D4505A"/>
    <w:rsid w:val="00DB78D0"/>
    <w:rsid w:val="00E14B72"/>
    <w:rsid w:val="00E613CF"/>
    <w:rsid w:val="00F214CA"/>
    <w:rsid w:val="00F3663B"/>
    <w:rsid w:val="00FA193C"/>
    <w:rsid w:val="4A1947CF"/>
    <w:rsid w:val="4BDE717A"/>
    <w:rsid w:val="73BF6120"/>
    <w:rsid w:val="7FDDA3D8"/>
    <w:rsid w:val="FE936C3A"/>
    <w:rsid w:val="FEBF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E8B0D"/>
  <w15:docId w15:val="{34DB0A4F-A93A-4E8D-AC76-77B718EA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Strong" w:uiPriority="22" w:unhideWhenUsed="1"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12" w:lineRule="auto"/>
      <w:jc w:val="both"/>
    </w:pPr>
    <w:rPr>
      <w:rFonts w:asciiTheme="minorHAnsi" w:eastAsiaTheme="minorEastAsia" w:hAnsiTheme="minorHAnsi" w:cstheme="minorBidi"/>
      <w:kern w:val="2"/>
      <w:sz w:val="24"/>
      <w:szCs w:val="24"/>
    </w:rPr>
  </w:style>
  <w:style w:type="paragraph" w:styleId="1">
    <w:name w:val="heading 1"/>
    <w:basedOn w:val="a"/>
    <w:next w:val="a"/>
    <w:qFormat/>
    <w:pPr>
      <w:keepNext/>
      <w:keepLines/>
      <w:spacing w:before="340" w:after="330" w:line="576" w:lineRule="auto"/>
      <w:outlineLvl w:val="0"/>
    </w:pPr>
    <w:rPr>
      <w:b/>
      <w:kern w:val="44"/>
      <w:sz w:val="28"/>
    </w:rPr>
  </w:style>
  <w:style w:type="paragraph" w:styleId="2">
    <w:name w:val="heading 2"/>
    <w:basedOn w:val="a"/>
    <w:next w:val="a"/>
    <w:unhideWhenUsed/>
    <w:qFormat/>
    <w:pPr>
      <w:spacing w:before="60" w:after="240"/>
      <w:jc w:val="left"/>
      <w:outlineLvl w:val="1"/>
    </w:pPr>
    <w:rPr>
      <w:rFonts w:ascii="宋体" w:eastAsia="宋体" w:hAnsi="宋体" w:cs="Times New Roman" w:hint="eastAsia"/>
      <w:b/>
      <w:bCs/>
      <w:kern w:val="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pPr>
      <w:spacing w:after="120"/>
    </w:pPr>
    <w:rPr>
      <w:rFonts w:ascii="等线" w:eastAsia="等线" w:hAnsi="等线" w:cs="Times New Roman"/>
    </w:rPr>
  </w:style>
  <w:style w:type="paragraph" w:styleId="a4">
    <w:name w:val="footer"/>
    <w:basedOn w:val="a"/>
    <w:link w:val="a5"/>
    <w:qFormat/>
    <w:pPr>
      <w:tabs>
        <w:tab w:val="center" w:pos="4153"/>
        <w:tab w:val="right" w:pos="8306"/>
      </w:tabs>
      <w:snapToGrid w:val="0"/>
      <w:spacing w:line="240" w:lineRule="auto"/>
      <w:jc w:val="left"/>
    </w:pPr>
    <w:rPr>
      <w:sz w:val="18"/>
      <w:szCs w:val="18"/>
    </w:rPr>
  </w:style>
  <w:style w:type="paragraph" w:styleId="a6">
    <w:name w:val="header"/>
    <w:basedOn w:val="a"/>
    <w:link w:val="a7"/>
    <w:qFormat/>
    <w:pPr>
      <w:tabs>
        <w:tab w:val="center" w:pos="4153"/>
        <w:tab w:val="right" w:pos="8306"/>
      </w:tabs>
      <w:snapToGrid w:val="0"/>
      <w:spacing w:line="240" w:lineRule="auto"/>
      <w:jc w:val="center"/>
    </w:pPr>
    <w:rPr>
      <w:sz w:val="18"/>
      <w:szCs w:val="18"/>
    </w:rPr>
  </w:style>
  <w:style w:type="paragraph" w:styleId="a8">
    <w:name w:val="Normal (Web)"/>
    <w:basedOn w:val="a"/>
    <w:qFormat/>
    <w:pPr>
      <w:spacing w:beforeAutospacing="1" w:afterAutospacing="1"/>
      <w:jc w:val="left"/>
    </w:pPr>
    <w:rPr>
      <w:rFonts w:cs="Times New Roman"/>
      <w:kern w:val="0"/>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unhideWhenUsed/>
    <w:qFormat/>
    <w:rPr>
      <w:rFonts w:hint="default"/>
      <w:b/>
      <w:sz w:val="24"/>
      <w:szCs w:val="24"/>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character" w:customStyle="1" w:styleId="30">
    <w:name w:val="标题 3 字符"/>
    <w:basedOn w:val="a0"/>
    <w:link w:val="3"/>
    <w:semiHidden/>
    <w:qFormat/>
    <w:rPr>
      <w:rFonts w:asciiTheme="minorHAnsi" w:eastAsiaTheme="minorEastAsia" w:hAnsiTheme="minorHAnsi" w:cstheme="minorBidi"/>
      <w:b/>
      <w:bCs/>
      <w:kern w:val="2"/>
      <w:sz w:val="32"/>
      <w:szCs w:val="32"/>
    </w:rPr>
  </w:style>
  <w:style w:type="paragraph" w:styleId="ab">
    <w:name w:val="Revision"/>
    <w:hidden/>
    <w:uiPriority w:val="99"/>
    <w:unhideWhenUsed/>
    <w:rsid w:val="00BF6FE6"/>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1738</Words>
  <Characters>9910</Characters>
  <Application>Microsoft Office Word</Application>
  <DocSecurity>0</DocSecurity>
  <Lines>82</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cupsongqian@163.com</cp:lastModifiedBy>
  <cp:revision>6</cp:revision>
  <dcterms:created xsi:type="dcterms:W3CDTF">2018-07-12T07:11:00Z</dcterms:created>
  <dcterms:modified xsi:type="dcterms:W3CDTF">2026-04-26T09:15:00Z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F2CD0AE3B8C93BD84789C76988DCDCF6_42</vt:lpwstr>
  </property>
</Properties>
</file>