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55D1B">
      <w:pPr>
        <w:wordWrap w:val="0"/>
        <w:jc w:val="center"/>
        <w:rPr>
          <w:rFonts w:hint="eastAsia" w:ascii="方正小标宋简体" w:hAnsi="方正小标宋简体" w:eastAsia="方正小标宋简体" w:cs="方正小标宋简体"/>
          <w:sz w:val="36"/>
          <w:szCs w:val="36"/>
        </w:rPr>
      </w:pPr>
    </w:p>
    <w:p w14:paraId="6215C534">
      <w:pPr>
        <w:wordWrap w:val="0"/>
        <w:jc w:val="center"/>
        <w:rPr>
          <w:rFonts w:hint="eastAsia" w:ascii="方正小标宋简体" w:hAnsi="方正小标宋简体" w:eastAsia="方正小标宋简体" w:cs="方正小标宋简体"/>
          <w:sz w:val="36"/>
          <w:szCs w:val="36"/>
        </w:rPr>
      </w:pPr>
    </w:p>
    <w:p w14:paraId="15286546">
      <w:pPr>
        <w:wordWrap w:val="0"/>
        <w:jc w:val="center"/>
        <w:rPr>
          <w:rFonts w:hint="eastAsia" w:ascii="方正小标宋简体" w:hAnsi="方正小标宋简体" w:eastAsia="方正小标宋简体" w:cs="方正小标宋简体"/>
          <w:sz w:val="36"/>
          <w:szCs w:val="36"/>
        </w:rPr>
      </w:pPr>
    </w:p>
    <w:p w14:paraId="362535BF">
      <w:pPr>
        <w:wordWrap w:val="0"/>
        <w:jc w:val="center"/>
        <w:rPr>
          <w:rFonts w:hint="eastAsia" w:ascii="方正小标宋简体" w:hAnsi="方正小标宋简体" w:eastAsia="方正小标宋简体" w:cs="方正小标宋简体"/>
          <w:sz w:val="36"/>
          <w:szCs w:val="36"/>
        </w:rPr>
      </w:pPr>
    </w:p>
    <w:p w14:paraId="6C537CE8">
      <w:pPr>
        <w:wordWrap w:val="0"/>
        <w:jc w:val="center"/>
        <w:rPr>
          <w:rFonts w:hint="eastAsia" w:ascii="方正小标宋简体" w:hAnsi="方正小标宋简体" w:eastAsia="方正小标宋简体" w:cs="方正小标宋简体"/>
          <w:sz w:val="36"/>
          <w:szCs w:val="36"/>
        </w:rPr>
      </w:pPr>
    </w:p>
    <w:p w14:paraId="31AEA020">
      <w:pPr>
        <w:wordWrap w:val="0"/>
        <w:jc w:val="center"/>
        <w:rPr>
          <w:rFonts w:hint="eastAsia" w:ascii="方正小标宋简体" w:hAnsi="方正小标宋简体" w:eastAsia="方正小标宋简体" w:cs="方正小标宋简体"/>
          <w:sz w:val="36"/>
          <w:szCs w:val="36"/>
        </w:rPr>
      </w:pPr>
    </w:p>
    <w:p w14:paraId="7D3ACF09">
      <w:pPr>
        <w:wordWrap w:val="0"/>
        <w:jc w:val="center"/>
        <w:rPr>
          <w:rFonts w:hint="eastAsia" w:ascii="方正小标宋简体" w:hAnsi="方正小标宋简体" w:eastAsia="方正小标宋简体" w:cs="方正小标宋简体"/>
          <w:sz w:val="36"/>
          <w:szCs w:val="36"/>
        </w:rPr>
      </w:pPr>
    </w:p>
    <w:p w14:paraId="37C4963B">
      <w:pPr>
        <w:wordWrap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硝酸、己二酸和己内酰胺建设项目温室气体排放</w:t>
      </w:r>
      <w:r>
        <w:rPr>
          <w:rFonts w:hint="eastAsia" w:ascii="方正小标宋简体" w:hAnsi="方正小标宋简体" w:eastAsia="方正小标宋简体" w:cs="方正小标宋简体"/>
          <w:sz w:val="36"/>
          <w:szCs w:val="36"/>
          <w:lang w:val="en-US" w:eastAsia="zh-CN"/>
        </w:rPr>
        <w:t>生态</w:t>
      </w:r>
      <w:r>
        <w:rPr>
          <w:rFonts w:hint="eastAsia" w:ascii="方正小标宋简体" w:hAnsi="方正小标宋简体" w:eastAsia="方正小标宋简体" w:cs="方正小标宋简体"/>
          <w:sz w:val="36"/>
          <w:szCs w:val="36"/>
        </w:rPr>
        <w:t>环境影响评价技术指南（试行）</w:t>
      </w:r>
    </w:p>
    <w:p w14:paraId="3FAA18F4">
      <w:pPr>
        <w:wordWrap w:val="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14:paraId="3051E58F">
      <w:pPr>
        <w:wordWrap w:val="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编制说明</w:t>
      </w:r>
    </w:p>
    <w:p w14:paraId="4DB9C9C0">
      <w:pPr>
        <w:widowControl/>
        <w:ind w:firstLine="480" w:firstLineChars="200"/>
        <w:jc w:val="left"/>
        <w:rPr>
          <w:rFonts w:ascii="宋体" w:hAnsi="宋体" w:eastAsia="宋体" w:cs="宋体"/>
          <w:kern w:val="0"/>
          <w:lang w:bidi="ar"/>
        </w:rPr>
      </w:pPr>
    </w:p>
    <w:p w14:paraId="443C7110">
      <w:pPr>
        <w:widowControl/>
        <w:ind w:firstLine="480" w:firstLineChars="200"/>
        <w:jc w:val="left"/>
        <w:rPr>
          <w:rFonts w:ascii="宋体" w:hAnsi="宋体" w:eastAsia="宋体" w:cs="宋体"/>
          <w:kern w:val="0"/>
          <w:lang w:bidi="ar"/>
        </w:rPr>
      </w:pPr>
    </w:p>
    <w:p w14:paraId="04EFD9D4">
      <w:pPr>
        <w:widowControl/>
        <w:ind w:firstLine="480" w:firstLineChars="200"/>
        <w:jc w:val="left"/>
        <w:rPr>
          <w:rFonts w:ascii="宋体" w:hAnsi="宋体" w:eastAsia="宋体" w:cs="宋体"/>
          <w:kern w:val="0"/>
          <w:lang w:bidi="ar"/>
        </w:rPr>
      </w:pPr>
    </w:p>
    <w:p w14:paraId="7277982E">
      <w:pPr>
        <w:widowControl/>
        <w:ind w:firstLine="480" w:firstLineChars="200"/>
        <w:jc w:val="left"/>
        <w:rPr>
          <w:rFonts w:ascii="宋体" w:hAnsi="宋体" w:eastAsia="宋体" w:cs="宋体"/>
          <w:kern w:val="0"/>
          <w:lang w:bidi="ar"/>
        </w:rPr>
      </w:pPr>
    </w:p>
    <w:p w14:paraId="533869EA">
      <w:pPr>
        <w:widowControl/>
        <w:ind w:firstLine="480" w:firstLineChars="200"/>
        <w:jc w:val="left"/>
        <w:rPr>
          <w:rFonts w:ascii="宋体" w:hAnsi="宋体" w:eastAsia="宋体" w:cs="宋体"/>
          <w:kern w:val="0"/>
          <w:lang w:bidi="ar"/>
        </w:rPr>
      </w:pPr>
    </w:p>
    <w:p w14:paraId="5E69334F">
      <w:pPr>
        <w:widowControl/>
        <w:ind w:firstLine="480" w:firstLineChars="200"/>
        <w:jc w:val="left"/>
        <w:rPr>
          <w:rFonts w:ascii="宋体" w:hAnsi="宋体" w:eastAsia="宋体" w:cs="宋体"/>
          <w:kern w:val="0"/>
          <w:lang w:bidi="ar"/>
        </w:rPr>
      </w:pPr>
    </w:p>
    <w:p w14:paraId="02D89008">
      <w:pPr>
        <w:widowControl/>
        <w:ind w:firstLine="480" w:firstLineChars="200"/>
        <w:jc w:val="left"/>
        <w:rPr>
          <w:rFonts w:ascii="宋体" w:hAnsi="宋体" w:eastAsia="宋体" w:cs="宋体"/>
          <w:kern w:val="0"/>
          <w:lang w:bidi="ar"/>
        </w:rPr>
      </w:pPr>
    </w:p>
    <w:p w14:paraId="136FD2A3">
      <w:pPr>
        <w:widowControl/>
        <w:ind w:firstLine="480" w:firstLineChars="200"/>
        <w:jc w:val="left"/>
        <w:rPr>
          <w:rFonts w:ascii="宋体" w:hAnsi="宋体" w:eastAsia="宋体" w:cs="宋体"/>
          <w:kern w:val="0"/>
          <w:lang w:bidi="ar"/>
        </w:rPr>
      </w:pPr>
    </w:p>
    <w:p w14:paraId="6CFB8C22">
      <w:pPr>
        <w:widowControl/>
        <w:ind w:firstLine="480" w:firstLineChars="200"/>
        <w:jc w:val="left"/>
        <w:rPr>
          <w:rFonts w:ascii="宋体" w:hAnsi="宋体" w:eastAsia="宋体" w:cs="宋体"/>
          <w:kern w:val="0"/>
          <w:lang w:bidi="ar"/>
        </w:rPr>
      </w:pPr>
    </w:p>
    <w:p w14:paraId="467A100E">
      <w:pPr>
        <w:widowControl/>
        <w:ind w:firstLine="480" w:firstLineChars="200"/>
        <w:jc w:val="left"/>
        <w:rPr>
          <w:rFonts w:ascii="宋体" w:hAnsi="宋体" w:eastAsia="宋体" w:cs="宋体"/>
          <w:kern w:val="0"/>
          <w:lang w:bidi="ar"/>
        </w:rPr>
      </w:pPr>
    </w:p>
    <w:p w14:paraId="5A144C48">
      <w:pPr>
        <w:widowControl/>
        <w:ind w:firstLine="480" w:firstLineChars="200"/>
        <w:jc w:val="left"/>
        <w:rPr>
          <w:rFonts w:ascii="宋体" w:hAnsi="宋体" w:eastAsia="宋体" w:cs="宋体"/>
          <w:kern w:val="0"/>
          <w:lang w:bidi="ar"/>
        </w:rPr>
      </w:pPr>
    </w:p>
    <w:p w14:paraId="788062D7">
      <w:pPr>
        <w:widowControl/>
        <w:ind w:firstLine="480" w:firstLineChars="200"/>
        <w:jc w:val="left"/>
        <w:rPr>
          <w:rFonts w:ascii="宋体" w:hAnsi="宋体" w:eastAsia="宋体" w:cs="宋体"/>
          <w:kern w:val="0"/>
          <w:lang w:bidi="ar"/>
        </w:rPr>
      </w:pPr>
    </w:p>
    <w:p w14:paraId="4F169496">
      <w:pPr>
        <w:widowControl/>
        <w:ind w:firstLine="480" w:firstLineChars="200"/>
        <w:jc w:val="left"/>
        <w:rPr>
          <w:rFonts w:ascii="宋体" w:hAnsi="宋体" w:eastAsia="宋体" w:cs="宋体"/>
          <w:kern w:val="0"/>
          <w:lang w:bidi="ar"/>
        </w:rPr>
      </w:pPr>
    </w:p>
    <w:p w14:paraId="48229843">
      <w:pPr>
        <w:widowControl/>
        <w:ind w:firstLine="480" w:firstLineChars="200"/>
        <w:jc w:val="left"/>
        <w:rPr>
          <w:rFonts w:ascii="宋体" w:hAnsi="宋体" w:eastAsia="宋体" w:cs="宋体"/>
          <w:kern w:val="0"/>
          <w:lang w:bidi="ar"/>
        </w:rPr>
      </w:pPr>
    </w:p>
    <w:p w14:paraId="5CFB2229">
      <w:pPr>
        <w:widowControl/>
        <w:ind w:firstLine="480" w:firstLineChars="200"/>
        <w:jc w:val="left"/>
        <w:rPr>
          <w:rFonts w:ascii="宋体" w:hAnsi="宋体" w:eastAsia="宋体" w:cs="宋体"/>
          <w:kern w:val="0"/>
          <w:lang w:bidi="ar"/>
        </w:rPr>
      </w:pPr>
    </w:p>
    <w:p w14:paraId="28169D49">
      <w:pPr>
        <w:widowControl/>
        <w:ind w:firstLine="480" w:firstLineChars="200"/>
        <w:jc w:val="left"/>
        <w:rPr>
          <w:rFonts w:ascii="宋体" w:hAnsi="宋体" w:eastAsia="宋体" w:cs="宋体"/>
          <w:kern w:val="0"/>
          <w:lang w:bidi="ar"/>
        </w:rPr>
      </w:pPr>
    </w:p>
    <w:p w14:paraId="5B4CC2AB">
      <w:pPr>
        <w:widowControl/>
        <w:jc w:val="left"/>
        <w:rPr>
          <w:rFonts w:ascii="宋体" w:hAnsi="宋体" w:eastAsia="宋体" w:cs="宋体"/>
          <w:kern w:val="0"/>
          <w:lang w:bidi="ar"/>
        </w:rPr>
      </w:pPr>
    </w:p>
    <w:p w14:paraId="5B1B3CFA">
      <w:pPr>
        <w:widowControl/>
        <w:ind w:firstLine="480" w:firstLineChars="200"/>
        <w:jc w:val="left"/>
      </w:pPr>
      <w:r>
        <w:rPr>
          <w:rFonts w:ascii="宋体" w:hAnsi="宋体" w:eastAsia="宋体" w:cs="宋体"/>
          <w:kern w:val="0"/>
          <w:lang w:bidi="ar"/>
        </w:rPr>
        <w:t>为规范</w:t>
      </w:r>
      <w:r>
        <w:rPr>
          <w:rFonts w:hint="eastAsia" w:ascii="宋体" w:hAnsi="宋体" w:eastAsia="宋体" w:cs="宋体"/>
          <w:kern w:val="0"/>
          <w:lang w:eastAsia="zh-CN" w:bidi="ar"/>
        </w:rPr>
        <w:t>硝酸、己二酸和己内酰胺</w:t>
      </w:r>
      <w:r>
        <w:rPr>
          <w:rFonts w:hint="eastAsia" w:ascii="宋体" w:hAnsi="宋体" w:eastAsia="宋体" w:cs="宋体"/>
          <w:kern w:val="0"/>
          <w:lang w:bidi="ar"/>
        </w:rPr>
        <w:t>新建、改建、扩建</w:t>
      </w:r>
      <w:r>
        <w:rPr>
          <w:rFonts w:ascii="宋体" w:hAnsi="宋体" w:eastAsia="宋体" w:cs="宋体"/>
          <w:kern w:val="0"/>
          <w:lang w:bidi="ar"/>
        </w:rPr>
        <w:t>项目</w:t>
      </w:r>
      <w:r>
        <w:rPr>
          <w:rFonts w:hint="eastAsia" w:ascii="宋体" w:hAnsi="宋体" w:eastAsia="宋体" w:cs="宋体"/>
          <w:kern w:val="0"/>
          <w:lang w:val="en-US" w:eastAsia="zh-CN" w:bidi="ar"/>
        </w:rPr>
        <w:t>生态</w:t>
      </w:r>
      <w:r>
        <w:rPr>
          <w:rFonts w:ascii="宋体" w:hAnsi="宋体" w:eastAsia="宋体" w:cs="宋体"/>
          <w:kern w:val="0"/>
          <w:lang w:bidi="ar"/>
        </w:rPr>
        <w:t>环境影响评价中</w:t>
      </w:r>
      <w:r>
        <w:rPr>
          <w:rFonts w:hint="eastAsia" w:ascii="宋体" w:hAnsi="宋体" w:eastAsia="宋体" w:cs="宋体"/>
          <w:kern w:val="0"/>
          <w:lang w:val="en-US" w:eastAsia="zh-CN" w:bidi="ar"/>
        </w:rPr>
        <w:t>氧化亚氮</w:t>
      </w:r>
      <w:r>
        <w:rPr>
          <w:rFonts w:ascii="宋体" w:hAnsi="宋体" w:eastAsia="宋体" w:cs="宋体"/>
          <w:kern w:val="0"/>
          <w:lang w:bidi="ar"/>
        </w:rPr>
        <w:t>排放识别、核算、评价与管控工作，补齐行业温室气体环评技术短板，</w:t>
      </w:r>
      <w:r>
        <w:rPr>
          <w:rFonts w:hint="eastAsia" w:ascii="宋体" w:hAnsi="宋体" w:eastAsia="宋体" w:cs="宋体"/>
          <w:kern w:val="0"/>
          <w:lang w:bidi="ar"/>
        </w:rPr>
        <w:t>促进</w:t>
      </w:r>
      <w:r>
        <w:rPr>
          <w:rFonts w:hint="eastAsia" w:ascii="宋体" w:hAnsi="宋体" w:eastAsia="宋体" w:cs="宋体"/>
          <w:kern w:val="0"/>
          <w:lang w:val="en-US" w:eastAsia="zh-CN" w:bidi="ar"/>
        </w:rPr>
        <w:t>氧化亚氮排放减排及</w:t>
      </w:r>
      <w:r>
        <w:rPr>
          <w:rFonts w:hint="eastAsia" w:ascii="宋体" w:hAnsi="宋体" w:eastAsia="宋体" w:cs="宋体"/>
          <w:kern w:val="0"/>
          <w:lang w:bidi="ar"/>
        </w:rPr>
        <w:t>回收利用，</w:t>
      </w:r>
      <w:r>
        <w:rPr>
          <w:rFonts w:ascii="宋体" w:hAnsi="宋体" w:eastAsia="宋体" w:cs="宋体"/>
          <w:kern w:val="0"/>
          <w:lang w:bidi="ar"/>
        </w:rPr>
        <w:t>落实国家</w:t>
      </w:r>
      <w:r>
        <w:rPr>
          <w:rFonts w:hint="eastAsia" w:ascii="宋体" w:hAnsi="宋体" w:eastAsia="宋体" w:cs="宋体"/>
          <w:kern w:val="0"/>
          <w:lang w:val="en-US" w:eastAsia="zh-CN" w:bidi="ar"/>
        </w:rPr>
        <w:t>氧化亚氮</w:t>
      </w:r>
      <w:r>
        <w:rPr>
          <w:rFonts w:ascii="宋体" w:hAnsi="宋体" w:eastAsia="宋体" w:cs="宋体"/>
          <w:kern w:val="0"/>
          <w:lang w:bidi="ar"/>
        </w:rPr>
        <w:t>减排与减污降碳协同管控要求，特编制《</w:t>
      </w:r>
      <w:r>
        <w:rPr>
          <w:rFonts w:hint="eastAsia" w:ascii="宋体" w:hAnsi="宋体" w:eastAsia="宋体" w:cs="宋体"/>
          <w:kern w:val="0"/>
          <w:lang w:eastAsia="zh-CN" w:bidi="ar"/>
        </w:rPr>
        <w:t>硝酸、己二酸和己内酰胺建设项目温室气体</w:t>
      </w:r>
      <w:r>
        <w:rPr>
          <w:rFonts w:ascii="宋体" w:hAnsi="宋体" w:eastAsia="宋体" w:cs="宋体"/>
          <w:kern w:val="0"/>
          <w:lang w:bidi="ar"/>
        </w:rPr>
        <w:t>排放</w:t>
      </w:r>
      <w:r>
        <w:rPr>
          <w:rFonts w:hint="eastAsia" w:ascii="宋体" w:hAnsi="宋体" w:eastAsia="宋体" w:cs="宋体"/>
          <w:kern w:val="0"/>
          <w:lang w:val="en-US" w:eastAsia="zh-CN" w:bidi="ar"/>
        </w:rPr>
        <w:t>生态</w:t>
      </w:r>
      <w:r>
        <w:rPr>
          <w:rFonts w:ascii="宋体" w:hAnsi="宋体" w:eastAsia="宋体" w:cs="宋体"/>
          <w:kern w:val="0"/>
          <w:lang w:bidi="ar"/>
        </w:rPr>
        <w:t>环境影响评价指南》（以下简称《指南》）。</w:t>
      </w:r>
    </w:p>
    <w:p w14:paraId="3EFF2E0B">
      <w:pPr>
        <w:pStyle w:val="2"/>
        <w:rPr>
          <w:rFonts w:hint="eastAsia"/>
          <w:lang w:eastAsia="zh-CN"/>
        </w:rPr>
      </w:pPr>
      <w:r>
        <w:rPr>
          <w:rFonts w:hint="eastAsia"/>
        </w:rPr>
        <w:t>1 项目背景</w:t>
      </w:r>
      <w:r>
        <w:rPr>
          <w:rFonts w:hint="eastAsia"/>
          <w:lang w:eastAsia="zh-CN"/>
        </w:rPr>
        <w:t>及编制历程</w:t>
      </w:r>
    </w:p>
    <w:p w14:paraId="767C17E6">
      <w:pPr>
        <w:pStyle w:val="3"/>
        <w:keepNext/>
        <w:keepLines/>
        <w:snapToGrid w:val="0"/>
        <w:spacing w:before="0" w:after="0" w:line="348" w:lineRule="auto"/>
        <w:jc w:val="both"/>
        <w:rPr>
          <w:rFonts w:hint="default" w:ascii="Times New Roman" w:hAnsi="Times New Roman" w:eastAsia="黑体" w:cs="Times New Roman"/>
          <w:b w:val="0"/>
          <w:bCs w:val="0"/>
          <w:kern w:val="2"/>
          <w:szCs w:val="32"/>
          <w:lang w:val="en-US" w:eastAsia="zh-CN"/>
        </w:rPr>
      </w:pPr>
      <w:r>
        <w:rPr>
          <w:rFonts w:hint="eastAsia" w:ascii="Times New Roman" w:hAnsi="Times New Roman" w:eastAsia="黑体" w:cs="Times New Roman"/>
          <w:b w:val="0"/>
          <w:bCs w:val="0"/>
          <w:kern w:val="2"/>
          <w:szCs w:val="32"/>
          <w:lang w:val="en-US" w:eastAsia="zh-CN"/>
        </w:rPr>
        <w:t>1.1项目背景</w:t>
      </w:r>
    </w:p>
    <w:p w14:paraId="5E963310">
      <w:pPr>
        <w:ind w:firstLine="480" w:firstLineChars="200"/>
        <w:rPr>
          <w:rFonts w:hint="eastAsia"/>
        </w:rPr>
      </w:pPr>
      <w:r>
        <w:t>为应对全球气候变化，我国提出“2030年前达到二氧化碳排放峰值、2060年前实现碳中和”的战略目标。随着国家应对气候变化行动的全面开展，碳排放管理领域的生态环境标准被提到了新的高度，近年来国家发布的政策文件，从不同角度多次强调了碳排放管理标准对实现碳达峰、碳中和发展目标的重要性</w:t>
      </w:r>
      <w:r>
        <w:rPr>
          <w:rFonts w:hint="eastAsia"/>
        </w:rPr>
        <w:t>。</w:t>
      </w:r>
    </w:p>
    <w:p w14:paraId="680081F1">
      <w:pPr>
        <w:ind w:firstLine="480" w:firstLineChars="200"/>
      </w:pPr>
      <w:r>
        <w:rPr>
          <w:rFonts w:hint="eastAsia"/>
        </w:rPr>
        <w:t>氧化亚氮（</w:t>
      </w:r>
      <w:r>
        <w:rPr>
          <w:rFonts w:hint="eastAsia"/>
          <w:lang w:val="en-US" w:eastAsia="zh-CN"/>
        </w:rPr>
        <w:t>N</w:t>
      </w:r>
      <w:r>
        <w:rPr>
          <w:rFonts w:hint="eastAsia"/>
          <w:vertAlign w:val="subscript"/>
          <w:lang w:val="en-US" w:eastAsia="zh-CN"/>
        </w:rPr>
        <w:t>2</w:t>
      </w:r>
      <w:r>
        <w:rPr>
          <w:rFonts w:hint="eastAsia"/>
          <w:lang w:val="en-US" w:eastAsia="zh-CN"/>
        </w:rPr>
        <w:t>O</w:t>
      </w:r>
      <w:r>
        <w:rPr>
          <w:rFonts w:hint="eastAsia"/>
        </w:rPr>
        <w:t>）是仅次于二氧化碳和甲烷的第三大温室气体</w:t>
      </w:r>
      <w:r>
        <w:t>，其百年全球增温潜势（GWP）是二氧化碳的</w:t>
      </w:r>
      <w:r>
        <w:rPr>
          <w:rFonts w:hint="eastAsia"/>
          <w:lang w:val="en-US" w:eastAsia="zh-CN"/>
        </w:rPr>
        <w:t>265</w:t>
      </w:r>
      <w:r>
        <w:t>倍</w:t>
      </w:r>
      <w:r>
        <w:rPr>
          <w:rFonts w:hint="eastAsia"/>
        </w:rPr>
        <w:t>左右。工业领域中的硝酸、己二酸和己内酰胺等行业是氧化亚氮主要排放源之一，由于排放源相对集中、减排技术路线明确，受到更为广泛的关注。</w:t>
      </w:r>
      <w:r>
        <w:t>202</w:t>
      </w:r>
      <w:r>
        <w:rPr>
          <w:rFonts w:hint="eastAsia"/>
          <w:lang w:val="en-US" w:eastAsia="zh-CN"/>
        </w:rPr>
        <w:t>5</w:t>
      </w:r>
      <w:r>
        <w:t>年</w:t>
      </w:r>
      <w:r>
        <w:rPr>
          <w:rFonts w:hint="eastAsia"/>
          <w:lang w:val="en-US" w:eastAsia="zh-CN"/>
        </w:rPr>
        <w:t>8</w:t>
      </w:r>
      <w:r>
        <w:t>月</w:t>
      </w:r>
      <w:r>
        <w:rPr>
          <w:rFonts w:hint="eastAsia"/>
          <w:lang w:val="en-US" w:eastAsia="zh-CN"/>
        </w:rPr>
        <w:t>2</w:t>
      </w:r>
      <w:r>
        <w:t>7日，生态环境部</w:t>
      </w:r>
      <w:r>
        <w:rPr>
          <w:rFonts w:hint="eastAsia"/>
          <w:lang w:eastAsia="zh-CN"/>
        </w:rPr>
        <w:t>、</w:t>
      </w:r>
      <w:r>
        <w:rPr>
          <w:rFonts w:hint="eastAsia"/>
          <w:lang w:val="en-US" w:eastAsia="zh-CN"/>
        </w:rPr>
        <w:t>国家发展改革委、工业和信息化部3部门</w:t>
      </w:r>
      <w:r>
        <w:t>联合印发《</w:t>
      </w:r>
      <w:r>
        <w:rPr>
          <w:rFonts w:hint="eastAsia"/>
        </w:rPr>
        <w:t>工业领域氧化亚氮排放控制行动方案</w:t>
      </w:r>
      <w:r>
        <w:t>》</w:t>
      </w:r>
      <w:r>
        <w:rPr>
          <w:rFonts w:hint="eastAsia"/>
          <w:lang w:eastAsia="zh-CN"/>
        </w:rPr>
        <w:t>，</w:t>
      </w:r>
      <w:r>
        <w:rPr>
          <w:rFonts w:hint="eastAsia"/>
          <w:lang w:val="en-US" w:eastAsia="zh-CN"/>
        </w:rPr>
        <w:t>方案</w:t>
      </w:r>
      <w:r>
        <w:t>明确</w:t>
      </w:r>
      <w:r>
        <w:rPr>
          <w:rFonts w:hint="eastAsia"/>
          <w:lang w:val="en-US" w:eastAsia="zh-CN"/>
        </w:rPr>
        <w:t>要</w:t>
      </w:r>
      <w:r>
        <w:rPr>
          <w:rFonts w:hint="eastAsia"/>
        </w:rPr>
        <w:t>加快形成工业领域氧化亚氮排放管理体系，推进减污降碳协同增效，有效控制工业领域氧化亚氮排放</w:t>
      </w:r>
      <w:r>
        <w:t>。</w:t>
      </w:r>
    </w:p>
    <w:p w14:paraId="09203BC2">
      <w:pPr>
        <w:ind w:firstLine="480" w:firstLineChars="200"/>
      </w:pPr>
      <w:r>
        <w:rPr>
          <w:rFonts w:hint="eastAsia"/>
        </w:rPr>
        <w:t>硝酸生产过程的氨氧化反应、己二酸生产过程的硝酸氧化反应以及己内酰胺生产过程中的氨氧化反应、氨肟化反应均会产生氧化亚氮。</w:t>
      </w:r>
      <w:r>
        <w:t>当前，我国</w:t>
      </w:r>
      <w:r>
        <w:rPr>
          <w:rFonts w:hint="eastAsia"/>
          <w:lang w:val="en-US" w:eastAsia="zh-CN"/>
        </w:rPr>
        <w:t>生态</w:t>
      </w:r>
      <w:r>
        <w:t>环境影响评价体系中，针对常规污染物的评价体系较为成熟，但针对</w:t>
      </w:r>
      <w:r>
        <w:rPr>
          <w:rFonts w:hint="eastAsia"/>
          <w:lang w:val="en-US" w:eastAsia="zh-CN"/>
        </w:rPr>
        <w:t>氧化亚氮</w:t>
      </w:r>
      <w:r>
        <w:t>这类温室气体的专项环评技术规范缺失，</w:t>
      </w:r>
      <w:r>
        <w:rPr>
          <w:rFonts w:hint="eastAsia"/>
          <w:lang w:val="en-US" w:eastAsia="zh-CN"/>
        </w:rPr>
        <w:t>工业领域氧化亚氮</w:t>
      </w:r>
      <w:r>
        <w:t>排放的识别边界、核算方法、评价标准、管控措施等无统一指引，导致各地环评文件编制质量参差不齐，源头防控效果难以保障。亟需出台专项技术指南，统一行业技术要求，衔接现有环评管理体系，助力国家温室气体排放管控目标落地。</w:t>
      </w:r>
    </w:p>
    <w:p w14:paraId="34A148BC">
      <w:pPr>
        <w:ind w:firstLine="480" w:firstLineChars="200"/>
      </w:pPr>
      <w:r>
        <w:t>课题组</w:t>
      </w:r>
      <w:r>
        <w:rPr>
          <w:rFonts w:hint="eastAsia"/>
          <w:lang w:val="en-US" w:eastAsia="zh-CN"/>
        </w:rPr>
        <w:t>参照</w:t>
      </w:r>
      <w:r>
        <w:rPr>
          <w:rFonts w:hint="eastAsia"/>
        </w:rPr>
        <w:t>《工业领域氧化亚氮排放控制行动方案》</w:t>
      </w:r>
      <w:r>
        <w:t>，形成《</w:t>
      </w:r>
      <w:r>
        <w:rPr>
          <w:rFonts w:hint="eastAsia" w:ascii="宋体" w:hAnsi="宋体" w:eastAsia="宋体" w:cs="宋体"/>
          <w:kern w:val="0"/>
          <w:lang w:eastAsia="zh-CN" w:bidi="ar"/>
        </w:rPr>
        <w:t>硝酸、己二酸和己内酰胺建设项目温室气体排放</w:t>
      </w:r>
      <w:r>
        <w:rPr>
          <w:rFonts w:hint="eastAsia" w:ascii="宋体" w:hAnsi="宋体" w:eastAsia="宋体" w:cs="宋体"/>
          <w:kern w:val="0"/>
          <w:lang w:val="en-US" w:eastAsia="zh-CN" w:bidi="ar"/>
        </w:rPr>
        <w:t>生态</w:t>
      </w:r>
      <w:r>
        <w:rPr>
          <w:rFonts w:hint="eastAsia" w:ascii="宋体" w:hAnsi="宋体" w:eastAsia="宋体" w:cs="宋体"/>
          <w:kern w:val="0"/>
          <w:lang w:eastAsia="zh-CN" w:bidi="ar"/>
        </w:rPr>
        <w:t>环境影响评价指南</w:t>
      </w:r>
      <w:r>
        <w:t>》。</w:t>
      </w:r>
    </w:p>
    <w:p w14:paraId="23D3B8D5">
      <w:pPr>
        <w:pStyle w:val="3"/>
        <w:keepNext/>
        <w:keepLines/>
        <w:snapToGrid w:val="0"/>
        <w:spacing w:before="0" w:after="0" w:line="348" w:lineRule="auto"/>
        <w:jc w:val="both"/>
        <w:rPr>
          <w:rFonts w:hint="eastAsia" w:ascii="Times New Roman" w:hAnsi="Times New Roman" w:eastAsia="黑体" w:cs="Times New Roman"/>
          <w:b w:val="0"/>
          <w:bCs w:val="0"/>
          <w:kern w:val="2"/>
          <w:szCs w:val="32"/>
          <w:lang w:val="en-US" w:eastAsia="zh-CN"/>
        </w:rPr>
      </w:pPr>
      <w:r>
        <w:rPr>
          <w:rFonts w:hint="eastAsia" w:ascii="Times New Roman" w:hAnsi="Times New Roman" w:eastAsia="黑体" w:cs="Times New Roman"/>
          <w:b w:val="0"/>
          <w:bCs w:val="0"/>
          <w:kern w:val="2"/>
          <w:szCs w:val="32"/>
          <w:lang w:val="en-US" w:eastAsia="zh-CN"/>
        </w:rPr>
        <w:t>1.2编制历程</w:t>
      </w:r>
    </w:p>
    <w:p w14:paraId="30893151">
      <w:pPr>
        <w:pStyle w:val="7"/>
        <w:ind w:firstLine="480" w:firstLineChars="200"/>
        <w:rPr>
          <w:rFonts w:hint="eastAsia"/>
          <w:lang w:val="en-US" w:eastAsia="zh-CN"/>
        </w:rPr>
      </w:pPr>
      <w:r>
        <w:rPr>
          <w:rFonts w:hint="eastAsia"/>
          <w:lang w:val="en-US" w:eastAsia="zh-CN"/>
        </w:rPr>
        <w:t>课题组由生态环境部环境工程评估中心、福建省环境科学研究院、中国化工信息中心有限公司、中国石油和化学工业联合会、清华大学、中国人民大学、生态环境部环境发展中心、生态环境部环境规划院、中国寰球工程有限公司北京分公司、中国天辰工程有限公司、生态环境部华南环境科学研究所组成。课题组经过标准立项、数据调研和编制报告形成了征求意见稿。</w:t>
      </w:r>
    </w:p>
    <w:p w14:paraId="47FEC59B">
      <w:pPr>
        <w:pStyle w:val="7"/>
        <w:ind w:firstLine="480" w:firstLineChars="200"/>
        <w:rPr>
          <w:rFonts w:hint="eastAsia"/>
          <w:lang w:val="en-US" w:eastAsia="zh-CN"/>
        </w:rPr>
      </w:pPr>
      <w:r>
        <w:rPr>
          <w:rFonts w:hint="eastAsia"/>
          <w:lang w:val="en-US" w:eastAsia="zh-CN"/>
        </w:rPr>
        <w:t xml:space="preserve">2026年2月9日，通过中国环境科学学会的开题立项（文号为：中环学发字 </w:t>
      </w:r>
      <w:r>
        <w:rPr>
          <w:rFonts w:ascii="Arial" w:hAnsi="Arial" w:eastAsia="Arial" w:cs="Arial"/>
          <w:i w:val="0"/>
          <w:iCs w:val="0"/>
          <w:caps w:val="0"/>
          <w:color w:val="333333"/>
          <w:spacing w:val="0"/>
          <w:sz w:val="19"/>
          <w:szCs w:val="19"/>
          <w:shd w:val="clear" w:fill="FFFFFF"/>
        </w:rPr>
        <w:t>〔</w:t>
      </w:r>
      <w:r>
        <w:rPr>
          <w:rFonts w:hint="eastAsia"/>
          <w:lang w:val="en-US" w:eastAsia="zh-CN"/>
        </w:rPr>
        <w:t>2026</w:t>
      </w:r>
      <w:r>
        <w:rPr>
          <w:rFonts w:ascii="Arial" w:hAnsi="Arial" w:eastAsia="Arial" w:cs="Arial"/>
          <w:i w:val="0"/>
          <w:iCs w:val="0"/>
          <w:caps w:val="0"/>
          <w:color w:val="333333"/>
          <w:spacing w:val="0"/>
          <w:sz w:val="19"/>
          <w:szCs w:val="19"/>
          <w:shd w:val="clear" w:fill="FFFFFF"/>
        </w:rPr>
        <w:t>〕</w:t>
      </w:r>
      <w:r>
        <w:rPr>
          <w:rFonts w:hint="eastAsia"/>
          <w:lang w:val="en-US" w:eastAsia="zh-CN"/>
        </w:rPr>
        <w:t>16号）。</w:t>
      </w:r>
    </w:p>
    <w:p w14:paraId="65962A99">
      <w:pPr>
        <w:pStyle w:val="7"/>
        <w:ind w:firstLine="480" w:firstLineChars="200"/>
        <w:rPr>
          <w:rFonts w:hint="default"/>
          <w:lang w:val="en-US" w:eastAsia="zh-CN"/>
        </w:rPr>
      </w:pPr>
      <w:r>
        <w:rPr>
          <w:rFonts w:hint="eastAsia"/>
          <w:lang w:val="en-US" w:eastAsia="zh-CN"/>
        </w:rPr>
        <w:t>2026年2-5月，开展相关数据收集，排放特征分析等工作，形成征求意见稿。</w:t>
      </w:r>
    </w:p>
    <w:p w14:paraId="2A70242C">
      <w:pPr>
        <w:pStyle w:val="2"/>
        <w:rPr>
          <w:rFonts w:hint="eastAsia"/>
        </w:rPr>
      </w:pPr>
      <w:r>
        <w:rPr>
          <w:rFonts w:hint="eastAsia"/>
        </w:rPr>
        <w:t>2 指南制定的必要性</w:t>
      </w:r>
    </w:p>
    <w:p w14:paraId="2B287797">
      <w:pPr>
        <w:pStyle w:val="3"/>
        <w:keepNext/>
        <w:keepLines/>
        <w:snapToGrid w:val="0"/>
        <w:spacing w:before="0" w:after="0" w:line="348" w:lineRule="auto"/>
        <w:jc w:val="both"/>
        <w:rPr>
          <w:rFonts w:hint="default" w:ascii="Times New Roman" w:hAnsi="Times New Roman" w:eastAsia="黑体" w:cs="Times New Roman"/>
          <w:b w:val="0"/>
          <w:bCs w:val="0"/>
          <w:kern w:val="2"/>
          <w:szCs w:val="32"/>
        </w:rPr>
      </w:pPr>
      <w:r>
        <w:rPr>
          <w:rFonts w:hint="default" w:ascii="Times New Roman" w:hAnsi="Times New Roman" w:eastAsia="黑体" w:cs="Times New Roman"/>
          <w:b w:val="0"/>
          <w:bCs w:val="0"/>
          <w:kern w:val="2"/>
          <w:szCs w:val="32"/>
        </w:rPr>
        <w:t xml:space="preserve">2.1 </w:t>
      </w:r>
      <w:r>
        <w:rPr>
          <w:rFonts w:hint="eastAsia" w:ascii="Times New Roman" w:hAnsi="Times New Roman" w:eastAsia="黑体" w:cs="Times New Roman"/>
          <w:b w:val="0"/>
          <w:bCs w:val="0"/>
          <w:kern w:val="2"/>
          <w:szCs w:val="32"/>
        </w:rPr>
        <w:t>有力减缓气候变化</w:t>
      </w:r>
    </w:p>
    <w:p w14:paraId="4A8099E5">
      <w:pPr>
        <w:widowControl/>
        <w:ind w:firstLine="480" w:firstLineChars="200"/>
        <w:jc w:val="left"/>
      </w:pPr>
      <w:r>
        <w:rPr>
          <w:rFonts w:hint="eastAsia" w:ascii="宋体" w:hAnsi="宋体" w:eastAsia="宋体" w:cs="宋体"/>
          <w:kern w:val="0"/>
          <w:lang w:bidi="ar"/>
        </w:rPr>
        <w:t>氧化亚氮的增温潜势</w:t>
      </w:r>
      <w:r>
        <w:rPr>
          <w:rFonts w:hint="eastAsia" w:ascii="宋体" w:hAnsi="宋体" w:eastAsia="宋体" w:cs="宋体"/>
          <w:kern w:val="0"/>
          <w:lang w:val="en-US" w:eastAsia="zh-CN" w:bidi="ar"/>
        </w:rPr>
        <w:t>高、</w:t>
      </w:r>
      <w:r>
        <w:rPr>
          <w:rFonts w:hint="eastAsia" w:ascii="宋体" w:hAnsi="宋体" w:eastAsia="宋体" w:cs="宋体"/>
          <w:kern w:val="0"/>
          <w:lang w:bidi="ar"/>
        </w:rPr>
        <w:t>大气存留寿命长。2024年联合国环境署等联合发布的《全球氧化亚氮评估》报告显示，如能在全球范围实现高情景减排，仅工业领域氧化亚氮每年就有1.15亿吨二氧化碳当量的减排潜力。</w:t>
      </w:r>
    </w:p>
    <w:p w14:paraId="429CCF51">
      <w:pPr>
        <w:pStyle w:val="3"/>
        <w:keepNext/>
        <w:keepLines/>
        <w:snapToGrid w:val="0"/>
        <w:spacing w:before="0" w:after="0" w:line="348" w:lineRule="auto"/>
        <w:jc w:val="both"/>
        <w:rPr>
          <w:rFonts w:hint="default" w:ascii="Times New Roman" w:hAnsi="Times New Roman" w:eastAsia="黑体" w:cs="Times New Roman"/>
          <w:b w:val="0"/>
          <w:bCs w:val="0"/>
          <w:kern w:val="2"/>
          <w:szCs w:val="32"/>
        </w:rPr>
      </w:pPr>
      <w:r>
        <w:rPr>
          <w:rFonts w:hint="default" w:ascii="Times New Roman" w:hAnsi="Times New Roman" w:eastAsia="黑体" w:cs="Times New Roman"/>
          <w:b w:val="0"/>
          <w:bCs w:val="0"/>
          <w:kern w:val="2"/>
          <w:szCs w:val="32"/>
        </w:rPr>
        <w:t>2.2 补齐行业环评技术短板，规范环评编制与审批工作的现实需要</w:t>
      </w:r>
    </w:p>
    <w:p w14:paraId="14CA2A33">
      <w:pPr>
        <w:widowControl/>
        <w:ind w:firstLine="480" w:firstLineChars="200"/>
        <w:jc w:val="left"/>
        <w:rPr>
          <w:rFonts w:ascii="宋体" w:hAnsi="宋体" w:eastAsia="宋体" w:cs="宋体"/>
          <w:kern w:val="0"/>
          <w:lang w:bidi="ar"/>
        </w:rPr>
      </w:pPr>
      <w:r>
        <w:rPr>
          <w:rFonts w:ascii="宋体" w:hAnsi="宋体" w:eastAsia="宋体" w:cs="宋体"/>
          <w:kern w:val="0"/>
          <w:lang w:bidi="ar"/>
        </w:rPr>
        <w:t>目前，我国暂无</w:t>
      </w:r>
      <w:r>
        <w:rPr>
          <w:rFonts w:hint="eastAsia" w:ascii="宋体" w:hAnsi="宋体" w:eastAsia="宋体" w:cs="宋体"/>
          <w:kern w:val="0"/>
          <w:lang w:eastAsia="zh-CN" w:bidi="ar"/>
        </w:rPr>
        <w:t>硝酸、己二酸和己内酰胺建设项目</w:t>
      </w:r>
      <w:r>
        <w:rPr>
          <w:rFonts w:hint="eastAsia" w:ascii="宋体" w:hAnsi="宋体" w:eastAsia="宋体" w:cs="宋体"/>
          <w:kern w:val="0"/>
          <w:lang w:val="en-US" w:eastAsia="zh-CN" w:bidi="ar"/>
        </w:rPr>
        <w:t>氧化亚氮</w:t>
      </w:r>
      <w:r>
        <w:rPr>
          <w:rFonts w:ascii="宋体" w:hAnsi="宋体" w:eastAsia="宋体" w:cs="宋体"/>
          <w:kern w:val="0"/>
          <w:lang w:bidi="ar"/>
        </w:rPr>
        <w:t>排放环评专项规范，现有环评工作多参照通用温室气体核算方法或零散技术文件，</w:t>
      </w:r>
      <w:r>
        <w:rPr>
          <w:rFonts w:hint="eastAsia" w:ascii="宋体" w:hAnsi="宋体" w:eastAsia="宋体" w:cs="宋体"/>
          <w:kern w:val="0"/>
          <w:lang w:val="en-US" w:eastAsia="zh-CN" w:bidi="ar"/>
        </w:rPr>
        <w:t>易</w:t>
      </w:r>
      <w:r>
        <w:rPr>
          <w:rFonts w:ascii="宋体" w:hAnsi="宋体" w:eastAsia="宋体" w:cs="宋体"/>
          <w:kern w:val="0"/>
          <w:lang w:bidi="ar"/>
        </w:rPr>
        <w:t>存在排放源识别不全、核算方法不统一、评价内容不完整、管控措施针对性不足等问题，既增加了环评编制单位、技术评估单位及审批部门的工作难度，也容易出现</w:t>
      </w:r>
      <w:r>
        <w:rPr>
          <w:rFonts w:hint="eastAsia" w:ascii="宋体" w:hAnsi="宋体" w:eastAsia="宋体" w:cs="宋体"/>
          <w:kern w:val="0"/>
          <w:lang w:val="en-US" w:eastAsia="zh-CN" w:bidi="ar"/>
        </w:rPr>
        <w:t>氧化亚氮</w:t>
      </w:r>
      <w:r>
        <w:rPr>
          <w:rFonts w:ascii="宋体" w:hAnsi="宋体" w:eastAsia="宋体" w:cs="宋体"/>
          <w:kern w:val="0"/>
          <w:lang w:bidi="ar"/>
        </w:rPr>
        <w:t>排放漏评、错评、管控不到位等情况。编制本《指南》，可统一技术口径、明确评价要点，规范全行业</w:t>
      </w:r>
      <w:r>
        <w:rPr>
          <w:rFonts w:hint="eastAsia" w:ascii="宋体" w:hAnsi="宋体" w:eastAsia="宋体" w:cs="宋体"/>
          <w:kern w:val="0"/>
          <w:lang w:val="en-US" w:eastAsia="zh-CN" w:bidi="ar"/>
        </w:rPr>
        <w:t>氧化亚氮</w:t>
      </w:r>
      <w:r>
        <w:rPr>
          <w:rFonts w:ascii="宋体" w:hAnsi="宋体" w:eastAsia="宋体" w:cs="宋体"/>
          <w:kern w:val="0"/>
          <w:lang w:bidi="ar"/>
        </w:rPr>
        <w:t>排放环评工作，提升环评文件质量与审批效率。</w:t>
      </w:r>
    </w:p>
    <w:p w14:paraId="2500A33E">
      <w:pPr>
        <w:pStyle w:val="3"/>
        <w:keepNext/>
        <w:keepLines/>
        <w:snapToGrid w:val="0"/>
        <w:spacing w:before="0" w:after="0" w:line="348" w:lineRule="auto"/>
        <w:jc w:val="both"/>
        <w:rPr>
          <w:rFonts w:hint="default" w:ascii="Times New Roman" w:hAnsi="Times New Roman" w:eastAsia="黑体" w:cs="Times New Roman"/>
          <w:b w:val="0"/>
          <w:bCs w:val="0"/>
          <w:kern w:val="2"/>
          <w:szCs w:val="32"/>
        </w:rPr>
      </w:pPr>
      <w:r>
        <w:rPr>
          <w:rFonts w:hint="default" w:ascii="Times New Roman" w:hAnsi="Times New Roman" w:eastAsia="黑体" w:cs="Times New Roman"/>
          <w:b w:val="0"/>
          <w:bCs w:val="0"/>
          <w:kern w:val="2"/>
          <w:szCs w:val="32"/>
        </w:rPr>
        <w:t xml:space="preserve">2.3 </w:t>
      </w:r>
      <w:r>
        <w:rPr>
          <w:rFonts w:hint="eastAsia" w:ascii="Times New Roman" w:hAnsi="Times New Roman" w:eastAsia="黑体" w:cs="Times New Roman"/>
          <w:b w:val="0"/>
          <w:bCs w:val="0"/>
          <w:kern w:val="2"/>
          <w:szCs w:val="32"/>
        </w:rPr>
        <w:t>一体推进降碳减污扩绿增长</w:t>
      </w:r>
    </w:p>
    <w:p w14:paraId="1ABE77A2">
      <w:pPr>
        <w:pStyle w:val="7"/>
        <w:ind w:firstLine="480" w:firstLineChars="200"/>
        <w:rPr>
          <w:rFonts w:ascii="宋体" w:hAnsi="宋体" w:eastAsia="宋体" w:cs="宋体"/>
          <w:kern w:val="0"/>
          <w:lang w:bidi="ar"/>
        </w:rPr>
      </w:pPr>
      <w:r>
        <w:rPr>
          <w:rFonts w:hint="eastAsia" w:ascii="宋体" w:hAnsi="宋体" w:eastAsia="宋体" w:cs="宋体"/>
          <w:kern w:val="0"/>
          <w:lang w:bidi="ar"/>
        </w:rPr>
        <w:t>在工业领域，氧化亚氮与氮氧化物（NOx）、挥发性有机物（VOCs）等大气污染物同源，其控排过程中产生的高温热能和高压蒸汽还可回收利用，高浓度氧化亚氮尾气经提纯后</w:t>
      </w:r>
      <w:r>
        <w:rPr>
          <w:rFonts w:hint="eastAsia" w:hAnsi="宋体" w:eastAsia="宋体" w:cs="宋体"/>
          <w:kern w:val="0"/>
          <w:lang w:val="en-US" w:eastAsia="zh-CN" w:bidi="ar"/>
        </w:rPr>
        <w:t>也</w:t>
      </w:r>
      <w:r>
        <w:rPr>
          <w:rFonts w:hint="eastAsia" w:ascii="宋体" w:hAnsi="宋体" w:eastAsia="宋体" w:cs="宋体"/>
          <w:kern w:val="0"/>
          <w:lang w:bidi="ar"/>
        </w:rPr>
        <w:t>可用于其他领域。因此有效控制工业领域氧化亚氮排放兼具减缓全球温升的气候效益、协同控制污染物的环境效益，以及资源化利用的经济效益。</w:t>
      </w:r>
    </w:p>
    <w:p w14:paraId="1C8CED6A">
      <w:pPr>
        <w:pStyle w:val="3"/>
        <w:keepNext/>
        <w:keepLines/>
        <w:snapToGrid w:val="0"/>
        <w:spacing w:before="0" w:after="0" w:line="348" w:lineRule="auto"/>
        <w:jc w:val="both"/>
        <w:rPr>
          <w:rFonts w:hint="default" w:ascii="Times New Roman" w:hAnsi="Times New Roman" w:eastAsia="黑体" w:cs="Times New Roman"/>
          <w:b w:val="0"/>
          <w:bCs w:val="0"/>
          <w:kern w:val="2"/>
          <w:szCs w:val="32"/>
        </w:rPr>
      </w:pPr>
      <w:r>
        <w:rPr>
          <w:rFonts w:hint="default" w:ascii="Times New Roman" w:hAnsi="Times New Roman" w:eastAsia="黑体" w:cs="Times New Roman"/>
          <w:b w:val="0"/>
          <w:bCs w:val="0"/>
          <w:kern w:val="2"/>
          <w:szCs w:val="32"/>
        </w:rPr>
        <w:t>2.</w:t>
      </w:r>
      <w:r>
        <w:rPr>
          <w:rFonts w:hint="eastAsia" w:ascii="Times New Roman" w:hAnsi="Times New Roman" w:eastAsia="黑体" w:cs="Times New Roman"/>
          <w:b w:val="0"/>
          <w:bCs w:val="0"/>
          <w:kern w:val="2"/>
          <w:szCs w:val="32"/>
          <w:lang w:val="en-US" w:eastAsia="zh-CN"/>
        </w:rPr>
        <w:t>4</w:t>
      </w:r>
      <w:r>
        <w:rPr>
          <w:rFonts w:hint="default" w:ascii="Times New Roman" w:hAnsi="Times New Roman" w:eastAsia="黑体" w:cs="Times New Roman"/>
          <w:b w:val="0"/>
          <w:bCs w:val="0"/>
          <w:kern w:val="2"/>
          <w:szCs w:val="32"/>
        </w:rPr>
        <w:t xml:space="preserve"> </w:t>
      </w:r>
      <w:r>
        <w:rPr>
          <w:rFonts w:hint="eastAsia" w:ascii="Times New Roman" w:hAnsi="Times New Roman" w:eastAsia="黑体" w:cs="Times New Roman"/>
          <w:b w:val="0"/>
          <w:bCs w:val="0"/>
          <w:kern w:val="2"/>
          <w:szCs w:val="32"/>
        </w:rPr>
        <w:t>支持助推工业绿色低碳转型</w:t>
      </w:r>
    </w:p>
    <w:p w14:paraId="59C118F6">
      <w:pPr>
        <w:pStyle w:val="7"/>
        <w:ind w:firstLine="480" w:firstLineChars="200"/>
        <w:rPr>
          <w:rFonts w:ascii="宋体" w:hAnsi="宋体" w:eastAsia="宋体" w:cs="宋体"/>
          <w:kern w:val="0"/>
          <w:lang w:bidi="ar"/>
        </w:rPr>
      </w:pPr>
      <w:r>
        <w:rPr>
          <w:rFonts w:hint="eastAsia" w:ascii="宋体" w:hAnsi="宋体" w:eastAsia="宋体" w:cs="宋体"/>
          <w:kern w:val="0"/>
          <w:lang w:bidi="ar"/>
        </w:rPr>
        <w:t>开展工业领域氧化亚氮控排不仅能直接降低排放强度，还可激励相关企业革新生产工艺、优化反应条件、提升资源利用效率，引导企业加大绿色低碳技术研发投入，助力我国工业产业链向绿色低碳、安全高效、可持续发展方向转型。</w:t>
      </w:r>
    </w:p>
    <w:p w14:paraId="2AC19CDA">
      <w:pPr>
        <w:pStyle w:val="3"/>
        <w:keepNext/>
        <w:keepLines/>
        <w:snapToGrid w:val="0"/>
        <w:spacing w:before="0" w:after="0" w:line="348" w:lineRule="auto"/>
        <w:jc w:val="both"/>
        <w:rPr>
          <w:rFonts w:hint="default" w:ascii="Times New Roman" w:hAnsi="Times New Roman" w:eastAsia="黑体" w:cs="Times New Roman"/>
          <w:b w:val="0"/>
          <w:bCs w:val="0"/>
          <w:kern w:val="2"/>
          <w:szCs w:val="32"/>
        </w:rPr>
      </w:pPr>
      <w:r>
        <w:rPr>
          <w:rFonts w:hint="default" w:ascii="Times New Roman" w:hAnsi="Times New Roman" w:eastAsia="黑体" w:cs="Times New Roman"/>
          <w:b w:val="0"/>
          <w:bCs w:val="0"/>
          <w:kern w:val="2"/>
          <w:szCs w:val="32"/>
        </w:rPr>
        <w:t>2.</w:t>
      </w:r>
      <w:r>
        <w:rPr>
          <w:rFonts w:hint="eastAsia" w:ascii="Times New Roman" w:hAnsi="Times New Roman" w:eastAsia="黑体" w:cs="Times New Roman"/>
          <w:b w:val="0"/>
          <w:bCs w:val="0"/>
          <w:kern w:val="2"/>
          <w:szCs w:val="32"/>
          <w:lang w:val="en-US" w:eastAsia="zh-CN"/>
        </w:rPr>
        <w:t>5</w:t>
      </w:r>
      <w:r>
        <w:rPr>
          <w:rFonts w:hint="default" w:ascii="Times New Roman" w:hAnsi="Times New Roman" w:eastAsia="黑体" w:cs="Times New Roman"/>
          <w:b w:val="0"/>
          <w:bCs w:val="0"/>
          <w:kern w:val="2"/>
          <w:szCs w:val="32"/>
        </w:rPr>
        <w:t xml:space="preserve"> </w:t>
      </w:r>
      <w:r>
        <w:rPr>
          <w:rFonts w:hint="eastAsia" w:ascii="Times New Roman" w:hAnsi="Times New Roman" w:eastAsia="黑体" w:cs="Times New Roman"/>
          <w:b w:val="0"/>
          <w:bCs w:val="0"/>
          <w:kern w:val="2"/>
          <w:szCs w:val="32"/>
        </w:rPr>
        <w:t>展现负责任大国担当</w:t>
      </w:r>
    </w:p>
    <w:p w14:paraId="41D96889">
      <w:pPr>
        <w:widowControl/>
        <w:ind w:firstLine="480" w:firstLineChars="200"/>
        <w:jc w:val="left"/>
      </w:pPr>
      <w:r>
        <w:rPr>
          <w:rFonts w:hint="eastAsia" w:ascii="宋体" w:hAnsi="宋体" w:eastAsia="宋体" w:cs="宋体"/>
          <w:kern w:val="0"/>
          <w:lang w:eastAsia="zh-CN" w:bidi="ar"/>
        </w:rPr>
        <w:t>我国己二酸、硝酸和己内酰胺产能占全球总产能一半以上，未来预计产能还将持续增长。当前氧化亚氮正逐渐成为继甲烷之后的全球热门议题，有效控排既是对国际社会关切的积极回应，更是我国履行大国责任的具体体现，也为其他发展中国家提供了可复制的气候治理工作范式。</w:t>
      </w:r>
    </w:p>
    <w:p w14:paraId="4C8C3260">
      <w:pPr>
        <w:pStyle w:val="2"/>
        <w:rPr>
          <w:rFonts w:hint="eastAsia"/>
        </w:rPr>
      </w:pPr>
      <w:r>
        <w:rPr>
          <w:rFonts w:hint="eastAsia"/>
        </w:rPr>
        <w:t>3 国内外工业领域</w:t>
      </w:r>
      <w:r>
        <w:rPr>
          <w:rFonts w:hint="eastAsia"/>
          <w:lang w:val="en-US" w:eastAsia="zh-CN"/>
        </w:rPr>
        <w:t>氧化亚氮</w:t>
      </w:r>
      <w:r>
        <w:rPr>
          <w:rFonts w:hint="eastAsia"/>
        </w:rPr>
        <w:t>排放评价现状</w:t>
      </w:r>
    </w:p>
    <w:p w14:paraId="39756837">
      <w:pPr>
        <w:pStyle w:val="3"/>
        <w:keepNext/>
        <w:keepLines/>
        <w:snapToGrid w:val="0"/>
        <w:spacing w:before="0" w:after="0" w:line="348" w:lineRule="auto"/>
        <w:jc w:val="both"/>
        <w:rPr>
          <w:rFonts w:hint="default" w:ascii="Times New Roman" w:hAnsi="Times New Roman" w:eastAsia="黑体" w:cs="Times New Roman"/>
          <w:b w:val="0"/>
          <w:bCs w:val="0"/>
          <w:kern w:val="2"/>
          <w:szCs w:val="32"/>
        </w:rPr>
      </w:pPr>
      <w:r>
        <w:rPr>
          <w:rFonts w:hint="default" w:ascii="Times New Roman" w:hAnsi="Times New Roman" w:eastAsia="黑体" w:cs="Times New Roman"/>
          <w:b w:val="0"/>
          <w:bCs w:val="0"/>
          <w:kern w:val="2"/>
          <w:szCs w:val="32"/>
        </w:rPr>
        <w:t>3.1 国外行业现状</w:t>
      </w:r>
    </w:p>
    <w:p w14:paraId="72E0935E">
      <w:pPr>
        <w:ind w:firstLine="480" w:firstLineChars="200"/>
      </w:pPr>
      <w:r>
        <w:rPr>
          <w:rFonts w:hint="eastAsia"/>
        </w:rPr>
        <w:t>国际上，工业领域氧化亚氮排放的评价与控制已形成以欧盟、美国等为代表的多元路径。欧盟建立了最为系统的管控体系，其核心是将硝酸和己二酸生产纳入碳排放交易体系，通过碳配额交易的市场机制提供明确的经济激励，并配以完善的监测、报告与核查制度，成效显著，大幅降低了相关行业的排放。美国则主要通过强制性的“温室气体报告制度”驱动企业披露数据，并结合技术研发与推广来推动减排。日本、韩国等国主要通过立法明确企业的减排义务。根据联合国环境规划署2024年发布的《全球氧化亚氮评估》报告，工业领域的减排潜力巨大，但全球推广仍面临技术成本高、标准不统一等挑战。</w:t>
      </w:r>
    </w:p>
    <w:p w14:paraId="2C82793B">
      <w:pPr>
        <w:pStyle w:val="3"/>
        <w:keepNext/>
        <w:keepLines/>
        <w:snapToGrid w:val="0"/>
        <w:spacing w:before="0" w:after="0" w:line="348" w:lineRule="auto"/>
        <w:jc w:val="both"/>
        <w:rPr>
          <w:rFonts w:hint="default" w:ascii="Times New Roman" w:hAnsi="Times New Roman" w:eastAsia="黑体" w:cs="Times New Roman"/>
          <w:b w:val="0"/>
          <w:bCs w:val="0"/>
          <w:kern w:val="2"/>
          <w:szCs w:val="32"/>
        </w:rPr>
      </w:pPr>
      <w:r>
        <w:rPr>
          <w:rFonts w:hint="default" w:ascii="Times New Roman" w:hAnsi="Times New Roman" w:eastAsia="黑体" w:cs="Times New Roman"/>
          <w:b w:val="0"/>
          <w:bCs w:val="0"/>
          <w:kern w:val="2"/>
          <w:szCs w:val="32"/>
        </w:rPr>
        <w:t>3.2 国内行业现状</w:t>
      </w:r>
    </w:p>
    <w:p w14:paraId="35D9AA8D">
      <w:pPr>
        <w:ind w:firstLine="480" w:firstLineChars="200"/>
      </w:pPr>
      <w:r>
        <w:rPr>
          <w:rFonts w:hint="eastAsia"/>
        </w:rPr>
        <w:t>我国在政策基础方面，《中共中央 国务院关于完整准确全面贯彻新发展理念做好碳达峰碳中和工作的意见》《中共中央 国务院关于全面推进美丽中国建设的意见》等重要文件中明确提出“加强甲烷等非二氧化碳温室气体管控”，“实施甲烷排放控制行动方案，研究制定其他非二氧化碳温室气体排放控制行动方案”。在核算报告方面，</w:t>
      </w:r>
      <w:r>
        <w:rPr>
          <w:rFonts w:hint="eastAsia"/>
          <w:lang w:eastAsia="zh-CN"/>
        </w:rPr>
        <w:t>《</w:t>
      </w:r>
      <w:r>
        <w:rPr>
          <w:rFonts w:hint="eastAsia"/>
        </w:rPr>
        <w:t>省级温室气体清单编制指南2025年版</w:t>
      </w:r>
      <w:r>
        <w:rPr>
          <w:rFonts w:hint="eastAsia"/>
          <w:lang w:eastAsia="zh-CN"/>
        </w:rPr>
        <w:t>》</w:t>
      </w:r>
      <w:r>
        <w:rPr>
          <w:rFonts w:hint="eastAsia"/>
        </w:rPr>
        <w:t>《中国化工生产企业温室气体排放核算方法与报告指南（试行）》提供了</w:t>
      </w:r>
      <w:r>
        <w:rPr>
          <w:rFonts w:hint="eastAsia"/>
          <w:lang w:val="en-US" w:eastAsia="zh-CN"/>
        </w:rPr>
        <w:t>硝酸、己二酸和己内酰胺</w:t>
      </w:r>
      <w:r>
        <w:rPr>
          <w:rFonts w:hint="eastAsia"/>
        </w:rPr>
        <w:t>生产过程的氧化亚氮排放量计算方法。自2021年起，我国逐步将硝酸生产过程的氧化亚氮排放数据报告纳入全国碳市场。在技术研发方面，我国已有企业研发了具有自主知识产权的减排技术。</w:t>
      </w:r>
    </w:p>
    <w:p w14:paraId="7A70C334">
      <w:pPr>
        <w:pStyle w:val="2"/>
        <w:rPr>
          <w:rFonts w:hint="eastAsia"/>
        </w:rPr>
      </w:pPr>
      <w:r>
        <w:rPr>
          <w:rFonts w:hint="eastAsia"/>
        </w:rPr>
        <w:t>4 编制的工作思路和基本原则</w:t>
      </w:r>
    </w:p>
    <w:p w14:paraId="52FD95E1">
      <w:pPr>
        <w:ind w:firstLine="480" w:firstLineChars="200"/>
      </w:pPr>
      <w:r>
        <w:rPr>
          <w:rFonts w:hint="eastAsia"/>
        </w:rPr>
        <w:t>根据《工业领域氧化亚氮排放控制行动方案》，聚焦</w:t>
      </w:r>
      <w:r>
        <w:rPr>
          <w:rFonts w:hint="eastAsia"/>
          <w:lang w:eastAsia="zh-CN"/>
        </w:rPr>
        <w:t>硝酸、己二酸和己内酰胺</w:t>
      </w:r>
      <w:r>
        <w:rPr>
          <w:rFonts w:hint="eastAsia"/>
          <w:lang w:val="en-US" w:eastAsia="zh-CN"/>
        </w:rPr>
        <w:t>建设项目</w:t>
      </w:r>
      <w:r>
        <w:rPr>
          <w:rFonts w:hint="eastAsia"/>
        </w:rPr>
        <w:t>，结合《建设项目环境影响评价分类管理名录》，将</w:t>
      </w:r>
      <w:r>
        <w:rPr>
          <w:rFonts w:hint="eastAsia"/>
          <w:lang w:val="en-US" w:eastAsia="zh-CN"/>
        </w:rPr>
        <w:t>氧化亚氮</w:t>
      </w:r>
      <w:r>
        <w:rPr>
          <w:rFonts w:hint="eastAsia"/>
        </w:rPr>
        <w:t>管控要求落实到</w:t>
      </w:r>
      <w:r>
        <w:rPr>
          <w:rFonts w:hint="eastAsia"/>
          <w:lang w:eastAsia="zh-CN"/>
        </w:rPr>
        <w:t>硝酸、己二酸和己内酰胺</w:t>
      </w:r>
      <w:r>
        <w:rPr>
          <w:rFonts w:hint="eastAsia"/>
        </w:rPr>
        <w:t>建设项目</w:t>
      </w:r>
      <w:r>
        <w:rPr>
          <w:rFonts w:hint="eastAsia"/>
          <w:lang w:val="en-US" w:eastAsia="zh-CN"/>
        </w:rPr>
        <w:t>生态</w:t>
      </w:r>
      <w:r>
        <w:rPr>
          <w:rFonts w:hint="eastAsia"/>
        </w:rPr>
        <w:t xml:space="preserve">环境影响评价中。 </w:t>
      </w:r>
    </w:p>
    <w:p w14:paraId="656BB978">
      <w:pPr>
        <w:ind w:firstLine="480" w:firstLineChars="200"/>
      </w:pPr>
      <w:r>
        <w:rPr>
          <w:rFonts w:hint="eastAsia"/>
        </w:rPr>
        <w:t>将</w:t>
      </w:r>
      <w:r>
        <w:rPr>
          <w:rFonts w:hint="eastAsia"/>
          <w:lang w:eastAsia="zh-CN"/>
        </w:rPr>
        <w:t>硝酸、己二酸和己内酰胺</w:t>
      </w:r>
      <w:r>
        <w:rPr>
          <w:rFonts w:hint="eastAsia"/>
          <w:lang w:val="en-US" w:eastAsia="zh-CN"/>
        </w:rPr>
        <w:t>建设项目</w:t>
      </w:r>
      <w:r>
        <w:rPr>
          <w:rFonts w:hint="eastAsia"/>
        </w:rPr>
        <w:t>现行政策、标准和技术规范中对</w:t>
      </w:r>
      <w:r>
        <w:rPr>
          <w:rFonts w:hint="eastAsia"/>
          <w:lang w:val="en-US" w:eastAsia="zh-CN"/>
        </w:rPr>
        <w:t>氧化亚氮</w:t>
      </w:r>
      <w:r>
        <w:rPr>
          <w:rFonts w:hint="eastAsia"/>
        </w:rPr>
        <w:t>排放管控要求进行归纳和总结，进一步规范</w:t>
      </w:r>
      <w:r>
        <w:rPr>
          <w:rFonts w:hint="eastAsia"/>
          <w:lang w:eastAsia="zh-CN"/>
        </w:rPr>
        <w:t>硝酸、己二酸和己内酰胺</w:t>
      </w:r>
      <w:r>
        <w:rPr>
          <w:rFonts w:hint="eastAsia"/>
        </w:rPr>
        <w:t>建设项目环评中</w:t>
      </w:r>
      <w:r>
        <w:rPr>
          <w:rFonts w:hint="eastAsia"/>
          <w:lang w:val="en-US" w:eastAsia="zh-CN"/>
        </w:rPr>
        <w:t>氧化亚氮</w:t>
      </w:r>
      <w:r>
        <w:rPr>
          <w:rFonts w:hint="eastAsia"/>
        </w:rPr>
        <w:t>排放的管控要求。</w:t>
      </w:r>
    </w:p>
    <w:p w14:paraId="70B71D89">
      <w:pPr>
        <w:ind w:firstLine="480" w:firstLineChars="200"/>
      </w:pPr>
      <w:r>
        <w:rPr>
          <w:rFonts w:hint="eastAsia"/>
        </w:rPr>
        <w:t>通过环评，</w:t>
      </w:r>
      <w:r>
        <w:rPr>
          <w:rFonts w:hint="eastAsia"/>
          <w:lang w:eastAsia="zh-CN"/>
        </w:rPr>
        <w:t>以</w:t>
      </w:r>
      <w:r>
        <w:rPr>
          <w:rFonts w:hint="eastAsia"/>
          <w:lang w:val="en-US" w:eastAsia="zh-CN"/>
        </w:rPr>
        <w:t>单位产品氧化亚氮排放量、</w:t>
      </w:r>
      <w:r>
        <w:rPr>
          <w:rFonts w:hint="eastAsia"/>
          <w:lang w:eastAsia="zh-CN"/>
        </w:rPr>
        <w:t>建设项目</w:t>
      </w:r>
      <w:r>
        <w:rPr>
          <w:rFonts w:hint="eastAsia"/>
          <w:lang w:val="en-US" w:eastAsia="zh-CN"/>
        </w:rPr>
        <w:t>氧化亚氮排放去除效率</w:t>
      </w:r>
      <w:r>
        <w:rPr>
          <w:rFonts w:hint="eastAsia"/>
          <w:lang w:eastAsia="zh-CN"/>
        </w:rPr>
        <w:t>为目标导向，</w:t>
      </w:r>
      <w:r>
        <w:rPr>
          <w:rFonts w:hint="eastAsia"/>
        </w:rPr>
        <w:t>不断加强源头及过程控制，提升治理措施，优化技术工艺，提高资源利用效率，鼓励实施新型</w:t>
      </w:r>
      <w:r>
        <w:rPr>
          <w:rFonts w:hint="eastAsia"/>
          <w:lang w:val="en-US" w:eastAsia="zh-CN"/>
        </w:rPr>
        <w:t>氧化亚氮排放减排技术与</w:t>
      </w:r>
      <w:r>
        <w:rPr>
          <w:rFonts w:hint="eastAsia"/>
        </w:rPr>
        <w:t>回收利用措施，提高</w:t>
      </w:r>
      <w:r>
        <w:rPr>
          <w:rFonts w:hint="eastAsia"/>
          <w:lang w:eastAsia="zh-CN"/>
        </w:rPr>
        <w:t>硝酸、己二酸和己内酰胺建设</w:t>
      </w:r>
      <w:r>
        <w:rPr>
          <w:rFonts w:hint="eastAsia"/>
          <w:lang w:val="en-US" w:eastAsia="zh-CN"/>
        </w:rPr>
        <w:t>项目氧化亚氮</w:t>
      </w:r>
      <w:r>
        <w:rPr>
          <w:rFonts w:hint="eastAsia"/>
        </w:rPr>
        <w:t>排放管控能力和管理水平。</w:t>
      </w:r>
    </w:p>
    <w:p w14:paraId="3BF51505">
      <w:pPr>
        <w:pStyle w:val="2"/>
        <w:rPr>
          <w:rFonts w:hint="eastAsia"/>
        </w:rPr>
      </w:pPr>
      <w:r>
        <w:rPr>
          <w:rFonts w:hint="eastAsia"/>
        </w:rPr>
        <w:t>5 主要内容</w:t>
      </w:r>
    </w:p>
    <w:p w14:paraId="44342B38">
      <w:pPr>
        <w:pStyle w:val="3"/>
        <w:keepNext/>
        <w:keepLines/>
        <w:snapToGrid w:val="0"/>
        <w:spacing w:before="0" w:after="0" w:line="348" w:lineRule="auto"/>
        <w:jc w:val="both"/>
        <w:rPr>
          <w:rFonts w:hint="default" w:ascii="Times New Roman" w:hAnsi="Times New Roman" w:eastAsia="黑体" w:cs="Times New Roman"/>
          <w:b w:val="0"/>
          <w:bCs w:val="0"/>
          <w:kern w:val="2"/>
          <w:szCs w:val="32"/>
        </w:rPr>
      </w:pPr>
      <w:r>
        <w:rPr>
          <w:rFonts w:hint="default" w:ascii="Times New Roman" w:hAnsi="Times New Roman" w:eastAsia="黑体" w:cs="Times New Roman"/>
          <w:b w:val="0"/>
          <w:bCs w:val="0"/>
          <w:kern w:val="2"/>
          <w:szCs w:val="32"/>
        </w:rPr>
        <w:t>5.1 适用范围</w:t>
      </w:r>
    </w:p>
    <w:p w14:paraId="206AEB59">
      <w:pPr>
        <w:ind w:firstLine="480" w:firstLineChars="200"/>
      </w:pPr>
      <w:r>
        <w:rPr>
          <w:rFonts w:hint="eastAsia"/>
        </w:rPr>
        <w:t>本指南适用于需编制</w:t>
      </w:r>
      <w:r>
        <w:rPr>
          <w:rFonts w:hint="eastAsia"/>
          <w:lang w:val="en-US" w:eastAsia="zh-CN"/>
        </w:rPr>
        <w:t>生态</w:t>
      </w:r>
      <w:r>
        <w:rPr>
          <w:rFonts w:hint="eastAsia"/>
        </w:rPr>
        <w:t>环境影响报告书的硝酸、己二酸和己内酰胺新建、改建、扩建（含易地搬迁）项目的温室气体排放</w:t>
      </w:r>
      <w:r>
        <w:rPr>
          <w:rFonts w:hint="eastAsia"/>
          <w:lang w:val="en-US" w:eastAsia="zh-CN"/>
        </w:rPr>
        <w:t>生态</w:t>
      </w:r>
      <w:r>
        <w:rPr>
          <w:rFonts w:hint="eastAsia"/>
        </w:rPr>
        <w:t>环境影响评价。具体指《建设项目环境影响评价分类管理名录》“基础化学原料制造 261”中的硝酸、己二酸和己内酰胺。</w:t>
      </w:r>
    </w:p>
    <w:p w14:paraId="40D36D4E">
      <w:pPr>
        <w:pStyle w:val="3"/>
        <w:keepNext/>
        <w:keepLines/>
        <w:snapToGrid w:val="0"/>
        <w:spacing w:before="0" w:after="0" w:line="348" w:lineRule="auto"/>
        <w:jc w:val="both"/>
        <w:rPr>
          <w:rFonts w:hint="default" w:ascii="Times New Roman" w:hAnsi="Times New Roman" w:eastAsia="黑体" w:cs="Times New Roman"/>
          <w:b w:val="0"/>
          <w:bCs w:val="0"/>
          <w:kern w:val="2"/>
          <w:szCs w:val="32"/>
        </w:rPr>
      </w:pPr>
      <w:r>
        <w:rPr>
          <w:rFonts w:hint="default" w:ascii="Times New Roman" w:hAnsi="Times New Roman" w:eastAsia="黑体" w:cs="Times New Roman"/>
          <w:b w:val="0"/>
          <w:bCs w:val="0"/>
          <w:kern w:val="2"/>
          <w:szCs w:val="32"/>
        </w:rPr>
        <w:t>5.2 规范性引用文件</w:t>
      </w:r>
    </w:p>
    <w:p w14:paraId="3EC7A445">
      <w:pPr>
        <w:wordWrap w:val="0"/>
        <w:ind w:firstLine="480" w:firstLineChars="200"/>
        <w:rPr>
          <w:rFonts w:hint="eastAsia" w:ascii="宋体" w:hAnsi="宋体" w:eastAsia="宋体" w:cs="宋体"/>
          <w:color w:val="000000"/>
          <w:kern w:val="0"/>
          <w:lang w:eastAsia="zh-CN" w:bidi="ar"/>
        </w:rPr>
      </w:pPr>
      <w:r>
        <w:rPr>
          <w:rFonts w:ascii="宋体" w:hAnsi="宋体" w:eastAsia="宋体" w:cs="宋体"/>
          <w:color w:val="000000"/>
          <w:kern w:val="0"/>
          <w:lang w:bidi="ar"/>
        </w:rPr>
        <w:t>本《指南》制定以</w:t>
      </w:r>
      <w:r>
        <w:rPr>
          <w:rFonts w:hint="eastAsia" w:ascii="宋体" w:hAnsi="宋体" w:eastAsia="宋体" w:cs="宋体"/>
          <w:color w:val="000000"/>
          <w:kern w:val="0"/>
          <w:lang w:bidi="ar"/>
        </w:rPr>
        <w:t>规范</w:t>
      </w:r>
      <w:r>
        <w:rPr>
          <w:rFonts w:hint="eastAsia" w:ascii="宋体" w:hAnsi="宋体" w:eastAsia="宋体" w:cs="宋体"/>
          <w:color w:val="000000"/>
          <w:kern w:val="0"/>
          <w:lang w:eastAsia="zh-CN" w:bidi="ar"/>
        </w:rPr>
        <w:t>硝酸、己二酸和己内酰胺</w:t>
      </w:r>
      <w:r>
        <w:rPr>
          <w:rFonts w:hint="eastAsia" w:ascii="宋体" w:hAnsi="宋体" w:eastAsia="宋体" w:cs="宋体"/>
          <w:color w:val="000000"/>
          <w:kern w:val="0"/>
          <w:lang w:bidi="ar"/>
        </w:rPr>
        <w:t>新建、改建、扩建项目</w:t>
      </w:r>
      <w:r>
        <w:rPr>
          <w:rFonts w:hint="eastAsia" w:ascii="宋体" w:hAnsi="宋体" w:eastAsia="宋体" w:cs="宋体"/>
          <w:color w:val="000000"/>
          <w:kern w:val="0"/>
          <w:lang w:val="en-US" w:eastAsia="zh-CN" w:bidi="ar"/>
        </w:rPr>
        <w:t>生态</w:t>
      </w:r>
      <w:r>
        <w:rPr>
          <w:rFonts w:hint="eastAsia" w:ascii="宋体" w:hAnsi="宋体" w:eastAsia="宋体" w:cs="宋体"/>
          <w:color w:val="000000"/>
          <w:kern w:val="0"/>
          <w:lang w:bidi="ar"/>
        </w:rPr>
        <w:t>环境影响评价中</w:t>
      </w:r>
      <w:r>
        <w:rPr>
          <w:rFonts w:hint="eastAsia" w:ascii="宋体" w:hAnsi="宋体" w:eastAsia="宋体" w:cs="宋体"/>
          <w:color w:val="000000"/>
          <w:kern w:val="0"/>
          <w:lang w:val="en-US" w:eastAsia="zh-CN" w:bidi="ar"/>
        </w:rPr>
        <w:t>氧化亚氮</w:t>
      </w:r>
      <w:r>
        <w:rPr>
          <w:rFonts w:hint="eastAsia" w:ascii="宋体" w:hAnsi="宋体" w:eastAsia="宋体" w:cs="宋体"/>
          <w:color w:val="000000"/>
          <w:kern w:val="0"/>
          <w:lang w:bidi="ar"/>
        </w:rPr>
        <w:t>排放识别、核算、评价与管控工作，补齐行业温室气体环评技术短板，促进</w:t>
      </w:r>
      <w:r>
        <w:rPr>
          <w:rFonts w:hint="eastAsia" w:ascii="宋体" w:hAnsi="宋体" w:eastAsia="宋体" w:cs="宋体"/>
          <w:color w:val="000000"/>
          <w:kern w:val="0"/>
          <w:lang w:val="en-US" w:eastAsia="zh-CN" w:bidi="ar"/>
        </w:rPr>
        <w:t>氧化亚氮减排、</w:t>
      </w:r>
      <w:r>
        <w:rPr>
          <w:rFonts w:hint="eastAsia" w:ascii="宋体" w:hAnsi="宋体" w:eastAsia="宋体" w:cs="宋体"/>
          <w:color w:val="000000"/>
          <w:kern w:val="0"/>
          <w:lang w:bidi="ar"/>
        </w:rPr>
        <w:t>回收与利用，落实国家</w:t>
      </w:r>
      <w:r>
        <w:rPr>
          <w:rFonts w:hint="eastAsia" w:ascii="宋体" w:hAnsi="宋体" w:eastAsia="宋体" w:cs="宋体"/>
          <w:color w:val="000000"/>
          <w:kern w:val="0"/>
          <w:lang w:val="en-US" w:eastAsia="zh-CN" w:bidi="ar"/>
        </w:rPr>
        <w:t>氧化亚氮</w:t>
      </w:r>
      <w:r>
        <w:rPr>
          <w:rFonts w:hint="eastAsia" w:ascii="宋体" w:hAnsi="宋体" w:eastAsia="宋体" w:cs="宋体"/>
          <w:color w:val="000000"/>
          <w:kern w:val="0"/>
          <w:lang w:bidi="ar"/>
        </w:rPr>
        <w:t>减排与减污降碳协同管控要求。因此，环境影响评价制度导则包括《建设项目环境影响评价技术导则 总纲》（HJ 2.1）</w:t>
      </w:r>
      <w:r>
        <w:rPr>
          <w:rFonts w:hint="eastAsia" w:ascii="宋体" w:hAnsi="宋体" w:eastAsia="宋体" w:cs="宋体"/>
          <w:color w:val="000000"/>
          <w:kern w:val="0"/>
          <w:lang w:val="en-US" w:eastAsia="zh-CN" w:bidi="ar"/>
        </w:rPr>
        <w:t>和</w:t>
      </w:r>
      <w:r>
        <w:rPr>
          <w:rFonts w:hint="eastAsia" w:ascii="宋体" w:hAnsi="宋体" w:eastAsia="宋体" w:cs="宋体"/>
          <w:color w:val="000000"/>
          <w:kern w:val="0"/>
          <w:lang w:bidi="ar"/>
        </w:rPr>
        <w:t>《建设项目环境影响评价技术导则 大气环境》（HJ 2.2）</w:t>
      </w:r>
      <w:r>
        <w:rPr>
          <w:rFonts w:hint="eastAsia" w:ascii="宋体" w:hAnsi="宋体" w:eastAsia="宋体" w:cs="宋体"/>
          <w:color w:val="000000"/>
          <w:kern w:val="0"/>
          <w:lang w:eastAsia="zh-CN" w:bidi="ar"/>
        </w:rPr>
        <w:t>；国家层面发布的</w:t>
      </w:r>
      <w:r>
        <w:rPr>
          <w:rFonts w:hint="eastAsia" w:ascii="宋体" w:hAnsi="宋体" w:eastAsia="宋体" w:cs="宋体"/>
          <w:color w:val="000000"/>
          <w:kern w:val="0"/>
          <w:lang w:val="en-US" w:eastAsia="zh-CN" w:bidi="ar"/>
        </w:rPr>
        <w:t>硝酸、己二酸和己内酰胺</w:t>
      </w:r>
      <w:r>
        <w:rPr>
          <w:rFonts w:hint="eastAsia" w:ascii="宋体" w:hAnsi="宋体" w:eastAsia="宋体" w:cs="宋体"/>
          <w:color w:val="000000"/>
          <w:kern w:val="0"/>
          <w:lang w:eastAsia="zh-CN" w:bidi="ar"/>
        </w:rPr>
        <w:t>行业</w:t>
      </w:r>
      <w:r>
        <w:rPr>
          <w:rFonts w:hint="eastAsia" w:ascii="宋体" w:hAnsi="宋体" w:eastAsia="宋体" w:cs="宋体"/>
          <w:color w:val="000000"/>
          <w:kern w:val="0"/>
          <w:lang w:val="en-US" w:eastAsia="zh-CN" w:bidi="ar"/>
        </w:rPr>
        <w:t>氧化亚氮</w:t>
      </w:r>
      <w:r>
        <w:rPr>
          <w:rFonts w:hint="eastAsia" w:ascii="宋体" w:hAnsi="宋体" w:eastAsia="宋体" w:cs="宋体"/>
          <w:color w:val="000000"/>
          <w:kern w:val="0"/>
          <w:lang w:eastAsia="zh-CN" w:bidi="ar"/>
        </w:rPr>
        <w:t>排放量核算方法与报告标准包括《省级温室气体清单编制指南（2025年版）》、GB/T 32150工业企业温室气体排放核算和报告通则、GB/T 32151.10碳排放核算与报告要求 第10部分：化工生产企业</w:t>
      </w:r>
      <w:r>
        <w:rPr>
          <w:rFonts w:hint="eastAsia" w:ascii="宋体" w:hAnsi="宋体" w:eastAsia="宋体" w:cs="宋体"/>
          <w:color w:val="000000"/>
          <w:kern w:val="0"/>
          <w:lang w:val="en-US" w:eastAsia="zh-CN" w:bidi="ar"/>
        </w:rPr>
        <w:t>和</w:t>
      </w:r>
      <w:r>
        <w:rPr>
          <w:rFonts w:hint="eastAsia" w:ascii="宋体" w:hAnsi="宋体" w:eastAsia="宋体" w:cs="宋体"/>
          <w:color w:val="000000"/>
          <w:kern w:val="0"/>
          <w:lang w:eastAsia="zh-CN" w:bidi="ar"/>
        </w:rPr>
        <w:t>《中国化工生产企业温室气体排放核算方法与报告指南（试行）》（发改办气候〔2013〕2526号）；监测计划部分参考了排污单位自行监测技术指南 总则（HJ 819）、排污许可证申请与核发技术规范 无机化学工业（HJ 1035）</w:t>
      </w:r>
      <w:r>
        <w:rPr>
          <w:rFonts w:hint="eastAsia" w:ascii="宋体" w:hAnsi="宋体" w:eastAsia="宋体" w:cs="宋体"/>
          <w:color w:val="000000"/>
          <w:kern w:val="0"/>
          <w:lang w:val="en-US" w:eastAsia="zh-CN" w:bidi="ar"/>
        </w:rPr>
        <w:t>和</w:t>
      </w:r>
      <w:r>
        <w:rPr>
          <w:rFonts w:hint="eastAsia" w:ascii="宋体" w:hAnsi="宋体" w:eastAsia="宋体" w:cs="宋体"/>
          <w:color w:val="000000"/>
          <w:kern w:val="0"/>
          <w:lang w:eastAsia="zh-CN" w:bidi="ar"/>
        </w:rPr>
        <w:t>排污许可证申请与核发技术规范 专用化学产品制造工业（HJ 1103）。</w:t>
      </w:r>
    </w:p>
    <w:p w14:paraId="66247BD7">
      <w:pPr>
        <w:pStyle w:val="3"/>
        <w:keepNext/>
        <w:keepLines/>
        <w:snapToGrid w:val="0"/>
        <w:spacing w:before="0" w:after="0" w:line="348" w:lineRule="auto"/>
        <w:jc w:val="both"/>
        <w:rPr>
          <w:rFonts w:hint="default" w:ascii="Times New Roman" w:hAnsi="Times New Roman" w:eastAsia="黑体" w:cs="Times New Roman"/>
          <w:b w:val="0"/>
          <w:bCs w:val="0"/>
          <w:kern w:val="2"/>
          <w:szCs w:val="32"/>
        </w:rPr>
      </w:pPr>
      <w:r>
        <w:rPr>
          <w:rFonts w:hint="default" w:ascii="Times New Roman" w:hAnsi="Times New Roman" w:eastAsia="黑体" w:cs="Times New Roman"/>
          <w:b w:val="0"/>
          <w:bCs w:val="0"/>
          <w:kern w:val="2"/>
          <w:szCs w:val="32"/>
        </w:rPr>
        <w:t>5.3 术语和定义</w:t>
      </w:r>
    </w:p>
    <w:p w14:paraId="132AA2D6">
      <w:pPr>
        <w:ind w:firstLine="480" w:firstLineChars="200"/>
      </w:pPr>
      <w:r>
        <w:t>本《指南》中涉及的术语包括</w:t>
      </w:r>
      <w:r>
        <w:rPr>
          <w:rFonts w:hint="eastAsia"/>
          <w:lang w:val="en-US" w:eastAsia="zh-CN"/>
        </w:rPr>
        <w:t>温室气体、氧化亚氮、全球增温潜势、氧化亚氮排放、工业生产过程排放、活动数据、排放因子、氧化亚氮排放强度、评价基准年</w:t>
      </w:r>
      <w:r>
        <w:rPr>
          <w:rFonts w:hint="eastAsia"/>
          <w:lang w:eastAsia="zh-CN"/>
        </w:rPr>
        <w:t>等</w:t>
      </w:r>
      <w:r>
        <w:rPr>
          <w:rFonts w:hint="eastAsia"/>
        </w:rPr>
        <w:t>。</w:t>
      </w:r>
    </w:p>
    <w:p w14:paraId="65B5AF07">
      <w:pPr>
        <w:pStyle w:val="3"/>
        <w:keepNext/>
        <w:keepLines/>
        <w:snapToGrid w:val="0"/>
        <w:spacing w:before="0" w:after="0" w:line="348" w:lineRule="auto"/>
        <w:jc w:val="both"/>
        <w:rPr>
          <w:rFonts w:hint="default" w:ascii="Times New Roman" w:hAnsi="Times New Roman" w:eastAsia="黑体" w:cs="Times New Roman"/>
          <w:b w:val="0"/>
          <w:bCs w:val="0"/>
          <w:kern w:val="2"/>
          <w:szCs w:val="32"/>
        </w:rPr>
      </w:pPr>
      <w:r>
        <w:rPr>
          <w:rFonts w:hint="default" w:ascii="Times New Roman" w:hAnsi="Times New Roman" w:eastAsia="黑体" w:cs="Times New Roman"/>
          <w:b w:val="0"/>
          <w:bCs w:val="0"/>
          <w:kern w:val="2"/>
          <w:szCs w:val="32"/>
        </w:rPr>
        <w:t>5.4 工作程序</w:t>
      </w:r>
    </w:p>
    <w:p w14:paraId="70231429">
      <w:pPr>
        <w:widowControl/>
        <w:ind w:firstLine="480" w:firstLineChars="200"/>
        <w:jc w:val="left"/>
        <w:rPr>
          <w:rFonts w:hint="eastAsia" w:ascii="宋体" w:hAnsi="宋体" w:eastAsia="宋体" w:cs="宋体"/>
          <w:color w:val="000000"/>
          <w:kern w:val="0"/>
          <w:lang w:bidi="ar"/>
        </w:rPr>
      </w:pPr>
      <w:r>
        <w:rPr>
          <w:rFonts w:ascii="宋体" w:hAnsi="宋体" w:eastAsia="宋体" w:cs="宋体"/>
          <w:color w:val="000000"/>
          <w:kern w:val="0"/>
          <w:lang w:bidi="ar"/>
        </w:rPr>
        <w:t>结合《建设项目环境影响评价技术导则 总纲》（</w:t>
      </w:r>
      <w:r>
        <w:rPr>
          <w:rFonts w:ascii="Times New Roman" w:hAnsi="Times New Roman" w:eastAsia="宋体" w:cs="Times New Roman"/>
          <w:color w:val="000000"/>
          <w:kern w:val="0"/>
          <w:lang w:bidi="ar"/>
        </w:rPr>
        <w:t>HJ 2.1</w:t>
      </w:r>
      <w:r>
        <w:rPr>
          <w:rFonts w:ascii="宋体" w:hAnsi="宋体" w:eastAsia="宋体" w:cs="宋体"/>
          <w:color w:val="000000"/>
          <w:kern w:val="0"/>
          <w:lang w:bidi="ar"/>
        </w:rPr>
        <w:t>）关于建设项目环境影响评价的工作内容和要求，</w:t>
      </w:r>
      <w:r>
        <w:rPr>
          <w:rFonts w:hint="eastAsia" w:ascii="宋体" w:hAnsi="宋体" w:eastAsia="宋体" w:cs="宋体"/>
          <w:color w:val="000000"/>
          <w:kern w:val="0"/>
          <w:lang w:bidi="ar"/>
        </w:rPr>
        <w:t>硝酸、己二酸和己内酰胺建设项目氧化亚氮排放</w:t>
      </w:r>
      <w:r>
        <w:rPr>
          <w:rFonts w:hint="eastAsia" w:ascii="宋体" w:hAnsi="宋体" w:eastAsia="宋体" w:cs="宋体"/>
          <w:color w:val="000000"/>
          <w:kern w:val="0"/>
          <w:lang w:val="en-US" w:eastAsia="zh-CN" w:bidi="ar"/>
        </w:rPr>
        <w:t>生态</w:t>
      </w:r>
      <w:r>
        <w:rPr>
          <w:rFonts w:hint="eastAsia" w:ascii="宋体" w:hAnsi="宋体" w:eastAsia="宋体" w:cs="宋体"/>
          <w:color w:val="000000"/>
          <w:kern w:val="0"/>
          <w:lang w:bidi="ar"/>
        </w:rPr>
        <w:t>环境影响评价的主要工作内容包括：政策符合性分析、工程分析、氧化亚氮排放评价、减污降碳措施可行性论证、数据质量控制方案、评价结论。</w:t>
      </w:r>
    </w:p>
    <w:p w14:paraId="48EAF7E0">
      <w:pPr>
        <w:widowControl/>
        <w:ind w:firstLine="480" w:firstLineChars="200"/>
        <w:jc w:val="left"/>
      </w:pPr>
      <w:r>
        <w:rPr>
          <w:rFonts w:ascii="宋体" w:hAnsi="宋体" w:eastAsia="宋体" w:cs="宋体"/>
          <w:color w:val="000000"/>
          <w:kern w:val="0"/>
          <w:lang w:bidi="ar"/>
        </w:rPr>
        <w:t>为了将</w:t>
      </w:r>
      <w:r>
        <w:rPr>
          <w:rFonts w:hint="eastAsia" w:ascii="宋体" w:hAnsi="宋体" w:eastAsia="宋体" w:cs="宋体"/>
          <w:color w:val="000000"/>
          <w:kern w:val="0"/>
          <w:lang w:val="en-US" w:eastAsia="zh-CN" w:bidi="ar"/>
        </w:rPr>
        <w:t>氧化亚氮</w:t>
      </w:r>
      <w:r>
        <w:rPr>
          <w:rFonts w:ascii="宋体" w:hAnsi="宋体" w:eastAsia="宋体" w:cs="宋体"/>
          <w:color w:val="000000"/>
          <w:kern w:val="0"/>
          <w:lang w:bidi="ar"/>
        </w:rPr>
        <w:t>排放评价工作从形式上更好地与建设项目</w:t>
      </w:r>
      <w:r>
        <w:rPr>
          <w:rFonts w:hint="eastAsia" w:ascii="宋体" w:hAnsi="宋体" w:eastAsia="宋体" w:cs="宋体"/>
          <w:color w:val="000000"/>
          <w:kern w:val="0"/>
          <w:lang w:val="en-US" w:eastAsia="zh-CN" w:bidi="ar"/>
        </w:rPr>
        <w:t>生态</w:t>
      </w:r>
      <w:r>
        <w:rPr>
          <w:rFonts w:ascii="宋体" w:hAnsi="宋体" w:eastAsia="宋体" w:cs="宋体"/>
          <w:color w:val="000000"/>
          <w:kern w:val="0"/>
          <w:lang w:bidi="ar"/>
        </w:rPr>
        <w:t>环境影响评价工作衔接，本《指南》工作规定</w:t>
      </w:r>
      <w:r>
        <w:rPr>
          <w:rFonts w:hint="eastAsia" w:ascii="宋体" w:hAnsi="宋体" w:eastAsia="宋体" w:cs="宋体"/>
          <w:color w:val="000000"/>
          <w:kern w:val="0"/>
          <w:lang w:bidi="ar"/>
        </w:rPr>
        <w:t>：</w:t>
      </w:r>
      <w:r>
        <w:rPr>
          <w:rFonts w:ascii="宋体" w:hAnsi="宋体" w:eastAsia="宋体" w:cs="宋体"/>
          <w:color w:val="000000"/>
          <w:kern w:val="0"/>
          <w:lang w:bidi="ar"/>
        </w:rPr>
        <w:t>在环境影响评价文件编制期间应同步开展</w:t>
      </w:r>
      <w:r>
        <w:rPr>
          <w:rFonts w:hint="eastAsia" w:ascii="宋体" w:hAnsi="宋体" w:eastAsia="宋体" w:cs="宋体"/>
          <w:color w:val="000000"/>
          <w:kern w:val="0"/>
          <w:lang w:val="en-US" w:eastAsia="zh-CN" w:bidi="ar"/>
        </w:rPr>
        <w:t>氧化亚氮</w:t>
      </w:r>
      <w:r>
        <w:rPr>
          <w:rFonts w:ascii="宋体" w:hAnsi="宋体" w:eastAsia="宋体" w:cs="宋体"/>
          <w:color w:val="000000"/>
          <w:kern w:val="0"/>
          <w:lang w:bidi="ar"/>
        </w:rPr>
        <w:t>排放</w:t>
      </w:r>
      <w:r>
        <w:rPr>
          <w:rFonts w:hint="eastAsia" w:ascii="宋体" w:hAnsi="宋体" w:eastAsia="宋体" w:cs="宋体"/>
          <w:color w:val="000000"/>
          <w:kern w:val="0"/>
          <w:lang w:val="en-US" w:eastAsia="zh-CN" w:bidi="ar"/>
        </w:rPr>
        <w:t>生态</w:t>
      </w:r>
      <w:r>
        <w:rPr>
          <w:rFonts w:ascii="宋体" w:hAnsi="宋体" w:eastAsia="宋体" w:cs="宋体"/>
          <w:color w:val="000000"/>
          <w:kern w:val="0"/>
          <w:lang w:bidi="ar"/>
        </w:rPr>
        <w:t>环境影响评价，相关内容纳入环境影响评价报告相应章节，其中</w:t>
      </w:r>
      <w:r>
        <w:rPr>
          <w:rFonts w:hint="eastAsia" w:ascii="宋体" w:hAnsi="宋体" w:eastAsia="宋体" w:cs="宋体"/>
          <w:color w:val="000000"/>
          <w:kern w:val="0"/>
          <w:lang w:val="en-US" w:eastAsia="zh-CN" w:bidi="ar"/>
        </w:rPr>
        <w:t>氧化亚氮</w:t>
      </w:r>
      <w:r>
        <w:rPr>
          <w:rFonts w:ascii="宋体" w:hAnsi="宋体" w:eastAsia="宋体" w:cs="宋体"/>
          <w:color w:val="000000"/>
          <w:kern w:val="0"/>
          <w:lang w:bidi="ar"/>
        </w:rPr>
        <w:t xml:space="preserve">排放评价设置独立章节。 </w:t>
      </w:r>
    </w:p>
    <w:p w14:paraId="020CC326">
      <w:pPr>
        <w:pStyle w:val="7"/>
      </w:pPr>
      <w:r>
        <w:rPr>
          <w:rFonts w:ascii="Times New Roman" w:hAnsi="Times New Roman" w:eastAsia="方正仿宋_GB2312"/>
          <w:sz w:val="28"/>
          <w:szCs w:val="28"/>
        </w:rPr>
        <w:drawing>
          <wp:inline distT="0" distB="0" distL="114300" distR="114300">
            <wp:extent cx="5270500" cy="4815205"/>
            <wp:effectExtent l="0" t="0" r="6350" b="4445"/>
            <wp:docPr id="3" name="图片 1" descr="38dcdffe-c8df-472a-8a2f-e3591951e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8dcdffe-c8df-472a-8a2f-e3591951ee34"/>
                    <pic:cNvPicPr>
                      <a:picLocks noChangeAspect="1"/>
                    </pic:cNvPicPr>
                  </pic:nvPicPr>
                  <pic:blipFill>
                    <a:blip r:embed="rId6"/>
                    <a:stretch>
                      <a:fillRect/>
                    </a:stretch>
                  </pic:blipFill>
                  <pic:spPr>
                    <a:xfrm>
                      <a:off x="0" y="0"/>
                      <a:ext cx="5270500" cy="4815205"/>
                    </a:xfrm>
                    <a:prstGeom prst="rect">
                      <a:avLst/>
                    </a:prstGeom>
                    <a:noFill/>
                    <a:ln>
                      <a:noFill/>
                    </a:ln>
                  </pic:spPr>
                </pic:pic>
              </a:graphicData>
            </a:graphic>
          </wp:inline>
        </w:drawing>
      </w:r>
    </w:p>
    <w:p w14:paraId="69290ADE">
      <w:pPr>
        <w:pStyle w:val="7"/>
      </w:pPr>
      <w:r>
        <w:rPr>
          <w:rFonts w:hint="eastAsia"/>
        </w:rPr>
        <w:t>图1 硝酸、己二酸和己内酰胺建设项目氧化亚氮排放</w:t>
      </w:r>
      <w:r>
        <w:rPr>
          <w:rFonts w:hint="eastAsia"/>
          <w:lang w:val="en-US" w:eastAsia="zh-CN"/>
        </w:rPr>
        <w:t>生态</w:t>
      </w:r>
      <w:r>
        <w:rPr>
          <w:rFonts w:hint="eastAsia"/>
        </w:rPr>
        <w:t>环境影响评价工作程序图</w:t>
      </w:r>
    </w:p>
    <w:p w14:paraId="79342B88">
      <w:pPr>
        <w:pStyle w:val="3"/>
        <w:keepNext/>
        <w:keepLines/>
        <w:snapToGrid w:val="0"/>
        <w:spacing w:before="0" w:after="0" w:line="348" w:lineRule="auto"/>
        <w:jc w:val="both"/>
        <w:rPr>
          <w:rFonts w:hint="default" w:ascii="Times New Roman" w:hAnsi="Times New Roman" w:eastAsia="黑体" w:cs="Times New Roman"/>
          <w:b w:val="0"/>
          <w:bCs w:val="0"/>
          <w:kern w:val="2"/>
          <w:szCs w:val="32"/>
        </w:rPr>
      </w:pPr>
      <w:r>
        <w:rPr>
          <w:rFonts w:hint="default" w:ascii="Times New Roman" w:hAnsi="Times New Roman" w:eastAsia="黑体" w:cs="Times New Roman"/>
          <w:b w:val="0"/>
          <w:bCs w:val="0"/>
          <w:kern w:val="2"/>
          <w:szCs w:val="32"/>
        </w:rPr>
        <w:t>5.5 温室气体排放评价内容</w:t>
      </w:r>
    </w:p>
    <w:p w14:paraId="1A3581E4">
      <w:pPr>
        <w:pStyle w:val="4"/>
        <w:widowControl/>
        <w:rPr>
          <w:rFonts w:hint="default" w:ascii="Times New Roman" w:hAnsi="Times New Roman" w:cs="Times New Roman"/>
          <w:color w:val="000000"/>
          <w:lang w:bidi="ar"/>
        </w:rPr>
      </w:pPr>
      <w:r>
        <w:rPr>
          <w:rFonts w:hint="default" w:ascii="Times New Roman" w:hAnsi="Times New Roman" w:cs="Times New Roman"/>
          <w:color w:val="000000"/>
          <w:lang w:bidi="ar"/>
        </w:rPr>
        <w:t>5.5.1 政策符合性分析</w:t>
      </w:r>
    </w:p>
    <w:p w14:paraId="59348936">
      <w:pPr>
        <w:pStyle w:val="6"/>
        <w:adjustRightInd w:val="0"/>
        <w:spacing w:after="0"/>
        <w:ind w:firstLine="480" w:firstLineChars="200"/>
        <w:rPr>
          <w:rFonts w:hint="default" w:ascii="Times New Roman" w:hAnsi="Times New Roman" w:eastAsia="宋体" w:cs="Times New Roman"/>
          <w:color w:val="000000"/>
          <w:kern w:val="0"/>
          <w:lang w:bidi="ar"/>
        </w:rPr>
      </w:pPr>
      <w:r>
        <w:rPr>
          <w:rFonts w:hint="default" w:ascii="Times New Roman" w:hAnsi="Times New Roman" w:eastAsia="宋体" w:cs="Times New Roman"/>
          <w:color w:val="000000"/>
          <w:kern w:val="0"/>
          <w:lang w:bidi="ar"/>
        </w:rPr>
        <w:t>本《指南》与环办环评函〔2021〕346号要求一致，要求在政策符合性章节中分析</w:t>
      </w:r>
      <w:r>
        <w:rPr>
          <w:rFonts w:hint="eastAsia" w:ascii="Times New Roman" w:hAnsi="Times New Roman" w:eastAsia="宋体" w:cs="Times New Roman"/>
          <w:color w:val="000000"/>
          <w:kern w:val="0"/>
          <w:lang w:val="en-US" w:eastAsia="zh-CN" w:bidi="ar"/>
        </w:rPr>
        <w:t>硝酸、己二酸和己内酰胺</w:t>
      </w:r>
      <w:r>
        <w:rPr>
          <w:rFonts w:hint="default" w:ascii="Times New Roman" w:hAnsi="Times New Roman" w:eastAsia="宋体" w:cs="Times New Roman"/>
          <w:color w:val="000000"/>
          <w:kern w:val="0"/>
          <w:lang w:bidi="ar"/>
        </w:rPr>
        <w:t>行业建设项目温室气体排放与生态环境保护相关法律法规，国家、区域（园区）和行业碳达峰碳中和目标或行动方案、深入打好污染防治攻坚战目标任务、减污降碳协同增效要求、生态环境分区管控等政策，以及国家、区域生态环境保护等相关规划和规划环境影响评价要求的相符性。</w:t>
      </w:r>
    </w:p>
    <w:p w14:paraId="5884A014">
      <w:pPr>
        <w:pStyle w:val="4"/>
        <w:widowControl/>
        <w:adjustRightInd w:val="0"/>
        <w:rPr>
          <w:rFonts w:hint="default" w:ascii="Times New Roman" w:hAnsi="Times New Roman" w:cs="Times New Roman"/>
          <w:color w:val="000000"/>
          <w:lang w:bidi="ar"/>
        </w:rPr>
      </w:pPr>
      <w:r>
        <w:rPr>
          <w:rFonts w:hint="default" w:ascii="Times New Roman" w:hAnsi="Times New Roman" w:cs="Times New Roman"/>
          <w:color w:val="000000"/>
          <w:lang w:bidi="ar"/>
        </w:rPr>
        <w:t>5.5.2 工程分析</w:t>
      </w:r>
    </w:p>
    <w:p w14:paraId="63DB5054">
      <w:pPr>
        <w:snapToGrid w:val="0"/>
        <w:spacing w:line="348" w:lineRule="auto"/>
        <w:ind w:firstLine="480" w:firstLineChars="200"/>
        <w:rPr>
          <w:rFonts w:hint="default" w:ascii="Times New Roman" w:hAnsi="Times New Roman" w:eastAsia="宋体" w:cs="Times New Roman"/>
          <w:bCs/>
        </w:rPr>
      </w:pPr>
      <w:r>
        <w:rPr>
          <w:rFonts w:hint="default" w:ascii="Times New Roman" w:hAnsi="Times New Roman" w:eastAsia="宋体" w:cs="Times New Roman"/>
          <w:bCs/>
        </w:rPr>
        <w:t>（1）</w:t>
      </w:r>
      <w:r>
        <w:rPr>
          <w:rFonts w:hint="eastAsia" w:ascii="Times New Roman" w:hAnsi="Times New Roman" w:eastAsia="宋体" w:cs="Times New Roman"/>
          <w:bCs/>
          <w:lang w:val="en-US" w:eastAsia="zh-CN"/>
        </w:rPr>
        <w:t>氧化亚氮</w:t>
      </w:r>
      <w:r>
        <w:rPr>
          <w:rFonts w:hint="default" w:ascii="Times New Roman" w:hAnsi="Times New Roman" w:eastAsia="宋体" w:cs="Times New Roman"/>
          <w:bCs/>
        </w:rPr>
        <w:t>排放核算边界的确定</w:t>
      </w:r>
    </w:p>
    <w:p w14:paraId="6500DB7F">
      <w:pPr>
        <w:ind w:firstLine="480" w:firstLineChars="200"/>
      </w:pPr>
      <w:r>
        <w:rPr>
          <w:rFonts w:hint="default" w:ascii="Times New Roman" w:hAnsi="Times New Roman" w:eastAsia="宋体" w:cs="Times New Roman"/>
          <w:szCs w:val="32"/>
        </w:rPr>
        <w:t>结合</w:t>
      </w:r>
      <w:r>
        <w:rPr>
          <w:rFonts w:hint="eastAsia" w:ascii="Times New Roman" w:hAnsi="Times New Roman" w:eastAsia="宋体" w:cs="Times New Roman"/>
          <w:szCs w:val="32"/>
          <w:lang w:val="en-US" w:eastAsia="zh-CN"/>
        </w:rPr>
        <w:t>硝酸、己二酸和己内酰胺</w:t>
      </w:r>
      <w:r>
        <w:rPr>
          <w:rFonts w:hint="default" w:ascii="Times New Roman" w:hAnsi="Times New Roman" w:eastAsia="宋体" w:cs="Times New Roman"/>
          <w:szCs w:val="32"/>
        </w:rPr>
        <w:t>项目</w:t>
      </w:r>
      <w:r>
        <w:rPr>
          <w:rFonts w:hint="eastAsia" w:ascii="Times New Roman" w:hAnsi="Times New Roman" w:eastAsia="宋体" w:cs="Times New Roman"/>
          <w:szCs w:val="32"/>
          <w:lang w:val="en-US" w:eastAsia="zh-CN"/>
        </w:rPr>
        <w:t>氧化亚氮排放</w:t>
      </w:r>
      <w:r>
        <w:rPr>
          <w:rFonts w:hint="default" w:ascii="Times New Roman" w:hAnsi="Times New Roman" w:eastAsia="宋体" w:cs="Times New Roman"/>
          <w:szCs w:val="32"/>
        </w:rPr>
        <w:t>的特点，本《指南》提出，建设企业核算边界应以企业法人或视同法人的项目范围为核算边界，核算项目范围内各生产系统的氧化亚氮排放量。硝酸、己二酸和己内酰胺建设项目氧化亚氮排放环境影响评价核算边界包括工业生产过程氧化亚氮排放总量，涉及硝酸生产过程的氨氧化反应、己二酸生产过程的硝酸氧化反应以及己内酰胺生产过程中的氨氧化反应、氨肟化反应。</w:t>
      </w:r>
    </w:p>
    <w:p w14:paraId="33A6C2BA">
      <w:pPr>
        <w:widowControl/>
        <w:adjustRightInd w:val="0"/>
        <w:snapToGrid w:val="0"/>
        <w:spacing w:line="348" w:lineRule="auto"/>
        <w:ind w:firstLine="480" w:firstLineChars="200"/>
        <w:rPr>
          <w:rFonts w:hint="default" w:ascii="Times New Roman" w:hAnsi="Times New Roman" w:eastAsia="宋体" w:cs="Times New Roman"/>
          <w:bCs/>
          <w:color w:val="000000"/>
          <w:lang w:bidi="ar"/>
        </w:rPr>
      </w:pPr>
      <w:r>
        <w:rPr>
          <w:rFonts w:hint="default" w:ascii="Times New Roman" w:hAnsi="Times New Roman" w:eastAsia="宋体" w:cs="Times New Roman"/>
          <w:bCs/>
        </w:rPr>
        <w:t>（2）</w:t>
      </w:r>
      <w:r>
        <w:rPr>
          <w:rFonts w:hint="eastAsia" w:ascii="Times New Roman" w:hAnsi="Times New Roman" w:eastAsia="宋体" w:cs="Times New Roman"/>
          <w:bCs/>
          <w:color w:val="000000"/>
          <w:lang w:val="en-US" w:eastAsia="zh-CN" w:bidi="ar"/>
        </w:rPr>
        <w:t>现状调查</w:t>
      </w:r>
      <w:r>
        <w:rPr>
          <w:rFonts w:hint="default" w:ascii="Times New Roman" w:hAnsi="Times New Roman" w:eastAsia="宋体" w:cs="Times New Roman"/>
          <w:bCs/>
          <w:color w:val="000000"/>
          <w:lang w:bidi="ar"/>
        </w:rPr>
        <w:t>与分析</w:t>
      </w:r>
    </w:p>
    <w:p w14:paraId="4530D7B3">
      <w:pPr>
        <w:ind w:firstLine="480" w:firstLineChars="200"/>
        <w:rPr>
          <w:rFonts w:hint="eastAsia"/>
        </w:rPr>
      </w:pPr>
      <w:r>
        <w:rPr>
          <w:rFonts w:hint="eastAsia"/>
        </w:rPr>
        <w:t>收集与硝酸、己二酸和己内酰胺建设项目氧化亚氮排放相关的主要技术资料，根据生产工艺类型、产品产量、尾气处理设备的类型、去除效率和使用频率等情况，明确核算技术方法和相关活动数据。</w:t>
      </w:r>
    </w:p>
    <w:p w14:paraId="3BF97389">
      <w:pPr>
        <w:ind w:firstLine="480" w:firstLineChars="200"/>
        <w:rPr>
          <w:rFonts w:hint="eastAsia"/>
        </w:rPr>
      </w:pPr>
      <w:r>
        <w:rPr>
          <w:rFonts w:hint="eastAsia"/>
        </w:rPr>
        <w:t>1）新建项目</w:t>
      </w:r>
    </w:p>
    <w:p w14:paraId="0BA4C0B4">
      <w:pPr>
        <w:ind w:firstLine="480" w:firstLineChars="200"/>
        <w:rPr>
          <w:rFonts w:hint="eastAsia"/>
        </w:rPr>
      </w:pPr>
      <w:r>
        <w:rPr>
          <w:rFonts w:hint="eastAsia"/>
        </w:rPr>
        <w:t>依据项目可研报告、立项与工程设计文件、生产工艺路线等资料，明确建设项目生产工艺类型、预期产能、尾气处理设备的类型、去除效率和使用频率等，确保所引用数据有据可依且合理可信。</w:t>
      </w:r>
    </w:p>
    <w:p w14:paraId="594CB81E">
      <w:pPr>
        <w:ind w:firstLine="480" w:firstLineChars="200"/>
        <w:rPr>
          <w:rFonts w:hint="eastAsia"/>
        </w:rPr>
      </w:pPr>
      <w:r>
        <w:rPr>
          <w:rFonts w:hint="eastAsia"/>
        </w:rPr>
        <w:t>2）改扩建及异地迁建项目</w:t>
      </w:r>
    </w:p>
    <w:p w14:paraId="03D6A8D5">
      <w:pPr>
        <w:ind w:firstLine="480" w:firstLineChars="200"/>
      </w:pPr>
      <w:r>
        <w:rPr>
          <w:rFonts w:hint="eastAsia"/>
        </w:rPr>
        <w:t>调查现有项目评价基准年的氧化亚氮排放情况。除参照新建项目所需收集相关数据信息外，还需收集现有项目氧化亚氮排放核查报告、企业日常管理台账及监测记录。综合考虑评价数据的一致性，原则上现有工程氧化亚氮排放评价基准年应与大气环境影响评价基准年保持一致，不一致的，应说明理由。若现有工程已纳入温室气体排放报告管理工作范围，可引用碳排放核查报告相关数据信息，包括温室气体排放量、产品产量、尾气处理设备的去除效率和使用频率等信息。现有工程存在温室气体排放量缺项的，应根据本</w:t>
      </w:r>
      <w:r>
        <w:rPr>
          <w:rFonts w:hint="eastAsia"/>
          <w:lang w:eastAsia="zh-CN"/>
        </w:rPr>
        <w:t>《</w:t>
      </w:r>
      <w:r>
        <w:rPr>
          <w:rFonts w:hint="eastAsia"/>
        </w:rPr>
        <w:t>指南</w:t>
      </w:r>
      <w:r>
        <w:rPr>
          <w:rFonts w:hint="eastAsia"/>
          <w:lang w:eastAsia="zh-CN"/>
        </w:rPr>
        <w:t>》</w:t>
      </w:r>
      <w:r>
        <w:rPr>
          <w:rFonts w:hint="eastAsia"/>
        </w:rPr>
        <w:t>要求予以分析补充。</w:t>
      </w:r>
    </w:p>
    <w:p w14:paraId="757F6811">
      <w:pPr>
        <w:widowControl/>
        <w:adjustRightInd w:val="0"/>
        <w:snapToGrid w:val="0"/>
        <w:spacing w:line="348" w:lineRule="auto"/>
        <w:ind w:firstLine="480" w:firstLineChars="200"/>
        <w:rPr>
          <w:rFonts w:hint="default" w:ascii="Times New Roman" w:hAnsi="Times New Roman" w:eastAsia="宋体" w:cs="Times New Roman"/>
          <w:bCs/>
        </w:rPr>
      </w:pPr>
      <w:r>
        <w:rPr>
          <w:rFonts w:hint="default" w:ascii="Times New Roman" w:hAnsi="Times New Roman" w:eastAsia="宋体" w:cs="Times New Roman"/>
          <w:bCs/>
        </w:rPr>
        <w:t>（</w:t>
      </w:r>
      <w:r>
        <w:rPr>
          <w:rFonts w:hint="eastAsia" w:ascii="Times New Roman" w:hAnsi="Times New Roman" w:eastAsia="宋体" w:cs="Times New Roman"/>
          <w:bCs/>
          <w:lang w:val="en-US" w:eastAsia="zh-CN"/>
        </w:rPr>
        <w:t>3</w:t>
      </w:r>
      <w:r>
        <w:rPr>
          <w:rFonts w:hint="default" w:ascii="Times New Roman" w:hAnsi="Times New Roman" w:eastAsia="宋体" w:cs="Times New Roman"/>
          <w:bCs/>
        </w:rPr>
        <w:t>）</w:t>
      </w:r>
      <w:r>
        <w:rPr>
          <w:rFonts w:hint="eastAsia" w:ascii="Times New Roman" w:hAnsi="Times New Roman" w:eastAsia="宋体" w:cs="Times New Roman"/>
          <w:bCs/>
          <w:lang w:val="en-US" w:eastAsia="zh-CN"/>
        </w:rPr>
        <w:t>氧化亚氮排放量核算</w:t>
      </w:r>
    </w:p>
    <w:p w14:paraId="0B031503">
      <w:pPr>
        <w:ind w:firstLine="480" w:firstLineChars="200"/>
        <w:rPr>
          <w:rFonts w:hint="eastAsia"/>
          <w:lang w:val="en-US" w:eastAsia="zh-CN"/>
        </w:rPr>
      </w:pPr>
      <w:r>
        <w:rPr>
          <w:rFonts w:hint="eastAsia"/>
          <w:lang w:val="en-US" w:eastAsia="zh-CN"/>
        </w:rPr>
        <w:t>本《指南》参考《省级温室气体清单编制指南（2025年版）》中工业领域氧化亚氮排放核算方法对建设项目氧化亚氮源强进行预测。硝酸生产过程的氨氧化反应、己二酸生产过程的硝酸氧化反应以及己内酰胺生产过程中的氨氧化反应、氨肟化反应均会产生氧化亚氮排放。</w:t>
      </w:r>
    </w:p>
    <w:p w14:paraId="57061BEA">
      <w:pPr>
        <w:ind w:firstLine="480" w:firstLineChars="200"/>
        <w:rPr>
          <w:rFonts w:hint="default" w:eastAsiaTheme="minorEastAsia"/>
          <w:lang w:val="en-US" w:eastAsia="zh-CN"/>
        </w:rPr>
      </w:pPr>
      <w:r>
        <w:rPr>
          <w:rFonts w:hint="eastAsia"/>
          <w:lang w:val="en-US" w:eastAsia="zh-CN"/>
        </w:rPr>
        <w:t>硝酸、己二酸或己内酰胺产能数据应来源于设计文件，没有设计文件的，依据可研报告。硝酸、己二酸或己内酰胺生产技术类型分类及每种技术类型的氧化亚氮排放因子可参考本《指南》附录A。其中，因常压法及综合法制备硝酸工艺已被列入产业结构调整指导目录（2024版）限制类，不再鼓励新建应用此类工艺的项目，故而本指南未给出对应工艺的参考排放因子；双加压法排放因子则选取由中国氮肥工业协会牵头的、基于本土化实测数据更新的国家温室气体排放因子数据库数据。氮氧化物/氧化亚氮尾气处理设备类型分类及其氧化亚氮去除率应来源于相应措施的设计文件，没有设计文件的，依据可研报告。有条件的企业，可委托有资质的第三方专业机构定期监测氧化亚氮排放因子和氧化亚氮去除效率，用于改扩建及异地迁建项目评价。尾气处理设备使用率等于尾气处理设备运行时间与硝酸、己二酸或己内酰胺生产装置运行时间的比率，应来源于设计文件，没有设计文件的，依据可研报告。</w:t>
      </w:r>
    </w:p>
    <w:p w14:paraId="7DE935FD">
      <w:pPr>
        <w:pStyle w:val="4"/>
        <w:widowControl/>
        <w:rPr>
          <w:rFonts w:hint="default" w:ascii="Times New Roman" w:hAnsi="Times New Roman" w:cs="Times New Roman"/>
          <w:lang w:bidi="ar"/>
        </w:rPr>
      </w:pPr>
      <w:r>
        <w:rPr>
          <w:rFonts w:hint="default" w:ascii="Times New Roman" w:hAnsi="Times New Roman" w:cs="Times New Roman"/>
          <w:lang w:bidi="ar"/>
        </w:rPr>
        <w:t>5</w:t>
      </w:r>
      <w:r>
        <w:rPr>
          <w:rFonts w:hint="default" w:ascii="Times New Roman" w:hAnsi="Times New Roman" w:cs="Times New Roman"/>
          <w:color w:val="000000"/>
          <w:lang w:bidi="ar"/>
        </w:rPr>
        <w:t>.5.</w:t>
      </w:r>
      <w:r>
        <w:rPr>
          <w:rFonts w:hint="eastAsia" w:ascii="Times New Roman" w:hAnsi="Times New Roman" w:cs="Times New Roman"/>
          <w:color w:val="000000"/>
          <w:lang w:val="en-US" w:eastAsia="zh-CN" w:bidi="ar"/>
        </w:rPr>
        <w:t>3</w:t>
      </w:r>
      <w:r>
        <w:rPr>
          <w:rFonts w:hint="default" w:ascii="Times New Roman" w:hAnsi="Times New Roman" w:cs="Times New Roman"/>
          <w:color w:val="000000"/>
          <w:lang w:bidi="ar"/>
        </w:rPr>
        <w:t xml:space="preserve"> </w:t>
      </w:r>
      <w:r>
        <w:rPr>
          <w:rFonts w:hint="default" w:ascii="Times New Roman" w:hAnsi="Times New Roman" w:cs="Times New Roman"/>
          <w:lang w:bidi="ar"/>
        </w:rPr>
        <w:t>温室气体排放评价</w:t>
      </w:r>
    </w:p>
    <w:p w14:paraId="70E642AA">
      <w:pPr>
        <w:pStyle w:val="6"/>
        <w:adjustRightInd w:val="0"/>
        <w:spacing w:after="0"/>
        <w:ind w:firstLine="480" w:firstLineChars="200"/>
        <w:rPr>
          <w:rFonts w:hint="default" w:ascii="Times New Roman" w:hAnsi="Times New Roman" w:eastAsia="宋体" w:cs="Times New Roman"/>
          <w:color w:val="000000"/>
          <w:kern w:val="0"/>
          <w:lang w:bidi="ar"/>
        </w:rPr>
      </w:pPr>
      <w:r>
        <w:rPr>
          <w:rFonts w:hint="default" w:ascii="Times New Roman" w:hAnsi="Times New Roman" w:eastAsia="宋体" w:cs="Times New Roman"/>
          <w:color w:val="000000"/>
          <w:kern w:val="0"/>
          <w:lang w:bidi="ar"/>
        </w:rPr>
        <w:t>（1）</w:t>
      </w:r>
      <w:r>
        <w:rPr>
          <w:rFonts w:hint="eastAsia" w:ascii="Times New Roman" w:hAnsi="Times New Roman" w:eastAsia="宋体" w:cs="Times New Roman"/>
          <w:color w:val="000000"/>
          <w:kern w:val="0"/>
          <w:lang w:val="en-US" w:eastAsia="zh-CN" w:bidi="ar"/>
        </w:rPr>
        <w:t>氧化亚氮</w:t>
      </w:r>
      <w:r>
        <w:rPr>
          <w:rFonts w:hint="default" w:ascii="Times New Roman" w:hAnsi="Times New Roman" w:eastAsia="宋体" w:cs="Times New Roman"/>
          <w:color w:val="000000"/>
          <w:kern w:val="0"/>
          <w:lang w:bidi="ar"/>
        </w:rPr>
        <w:t>排放</w:t>
      </w:r>
      <w:r>
        <w:rPr>
          <w:rFonts w:hint="eastAsia" w:ascii="Times New Roman" w:hAnsi="Times New Roman" w:eastAsia="宋体" w:cs="Times New Roman"/>
          <w:color w:val="000000"/>
          <w:kern w:val="0"/>
          <w:lang w:val="en-US" w:eastAsia="zh-CN" w:bidi="ar"/>
        </w:rPr>
        <w:t>参考值</w:t>
      </w:r>
      <w:r>
        <w:rPr>
          <w:rFonts w:hint="default" w:ascii="Times New Roman" w:hAnsi="Times New Roman" w:eastAsia="宋体" w:cs="Times New Roman"/>
          <w:color w:val="000000"/>
          <w:kern w:val="0"/>
          <w:lang w:bidi="ar"/>
        </w:rPr>
        <w:t>确定</w:t>
      </w:r>
    </w:p>
    <w:p w14:paraId="318EDD8D">
      <w:pPr>
        <w:pStyle w:val="6"/>
        <w:adjustRightInd w:val="0"/>
        <w:spacing w:after="0"/>
        <w:ind w:firstLine="480" w:firstLineChars="200"/>
        <w:rPr>
          <w:rFonts w:hint="default" w:ascii="Times New Roman" w:hAnsi="Times New Roman" w:eastAsia="宋体" w:cs="Times New Roman"/>
          <w:color w:val="000000"/>
          <w:kern w:val="0"/>
          <w:lang w:bidi="ar"/>
        </w:rPr>
      </w:pPr>
      <w:r>
        <w:rPr>
          <w:rFonts w:hint="default" w:ascii="Times New Roman" w:hAnsi="Times New Roman" w:eastAsia="宋体" w:cs="Times New Roman"/>
          <w:color w:val="000000"/>
          <w:kern w:val="0"/>
          <w:lang w:bidi="ar"/>
        </w:rPr>
        <w:t>根据环办环评函〔2021〕346号要求，需要核算</w:t>
      </w:r>
      <w:r>
        <w:rPr>
          <w:rFonts w:hint="eastAsia" w:ascii="Times New Roman" w:hAnsi="Times New Roman" w:eastAsia="宋体" w:cs="Times New Roman"/>
          <w:color w:val="000000"/>
          <w:kern w:val="0"/>
          <w:lang w:val="en-US" w:eastAsia="zh-CN" w:bidi="ar"/>
        </w:rPr>
        <w:t>硝酸、己二酸和己内酰胺</w:t>
      </w:r>
      <w:r>
        <w:rPr>
          <w:rFonts w:hint="default" w:ascii="Times New Roman" w:hAnsi="Times New Roman" w:eastAsia="宋体" w:cs="Times New Roman"/>
          <w:color w:val="000000"/>
          <w:kern w:val="0"/>
          <w:lang w:bidi="ar"/>
        </w:rPr>
        <w:t>行业氧化亚氮排放强度，排放强度指标为单位产品氧化亚氮排放量。改建、扩建及易地迁建项目还应核算现有工程氧化亚氮排放水平，分析建设项目单位产品氧化亚氮排放量下降率情况。目前各省温室气体排放评价纳入环评工作仍处于探索阶段，环评中温室气体排放评价内容仅为简单的计算，多省暂无明确、统一的绩效水平参考值。</w:t>
      </w:r>
    </w:p>
    <w:p w14:paraId="751AFC26">
      <w:pPr>
        <w:pStyle w:val="6"/>
        <w:adjustRightInd w:val="0"/>
        <w:spacing w:after="0"/>
        <w:ind w:firstLine="480" w:firstLineChars="200"/>
        <w:rPr>
          <w:rFonts w:hint="default" w:ascii="Times New Roman" w:hAnsi="Times New Roman" w:eastAsia="宋体" w:cs="Times New Roman"/>
          <w:color w:val="000000"/>
          <w:kern w:val="0"/>
          <w:lang w:bidi="ar"/>
        </w:rPr>
      </w:pPr>
      <w:r>
        <w:rPr>
          <w:rFonts w:hint="eastAsia" w:ascii="Times New Roman" w:hAnsi="Times New Roman" w:eastAsia="宋体" w:cs="Times New Roman"/>
          <w:color w:val="000000"/>
          <w:kern w:val="0"/>
          <w:lang w:val="en-US" w:eastAsia="zh-CN" w:bidi="ar"/>
        </w:rPr>
        <w:t>本指南要求</w:t>
      </w:r>
      <w:r>
        <w:rPr>
          <w:rFonts w:hint="default" w:ascii="Times New Roman" w:hAnsi="Times New Roman" w:eastAsia="宋体" w:cs="Times New Roman"/>
          <w:color w:val="000000"/>
          <w:kern w:val="0"/>
          <w:lang w:bidi="ar"/>
        </w:rPr>
        <w:t>以</w:t>
      </w:r>
      <w:r>
        <w:rPr>
          <w:rFonts w:hint="eastAsia" w:ascii="Times New Roman" w:hAnsi="Times New Roman" w:eastAsia="宋体" w:cs="Times New Roman"/>
          <w:color w:val="000000"/>
          <w:kern w:val="0"/>
          <w:lang w:val="en-US" w:eastAsia="zh-CN" w:bidi="ar"/>
        </w:rPr>
        <w:t>2025年更新的省级温室气体排放清单编制指南缺省值与实际调研得到的氧化亚氮排放去除效率</w:t>
      </w:r>
      <w:r>
        <w:rPr>
          <w:rFonts w:hint="default" w:ascii="Times New Roman" w:hAnsi="Times New Roman" w:eastAsia="宋体" w:cs="Times New Roman"/>
          <w:color w:val="000000"/>
          <w:kern w:val="0"/>
          <w:lang w:bidi="ar"/>
        </w:rPr>
        <w:t>为评价依据，评价新建、改扩建及异地搬迁项目涉及的单位产品</w:t>
      </w:r>
      <w:r>
        <w:rPr>
          <w:rFonts w:hint="eastAsia" w:ascii="Times New Roman" w:hAnsi="Times New Roman" w:eastAsia="宋体" w:cs="Times New Roman"/>
          <w:color w:val="000000"/>
          <w:kern w:val="0"/>
          <w:lang w:val="en-US" w:eastAsia="zh-CN" w:bidi="ar"/>
        </w:rPr>
        <w:t>氧化亚氮</w:t>
      </w:r>
      <w:r>
        <w:rPr>
          <w:rFonts w:hint="default" w:ascii="Times New Roman" w:hAnsi="Times New Roman" w:eastAsia="宋体" w:cs="Times New Roman"/>
          <w:color w:val="000000"/>
          <w:kern w:val="0"/>
          <w:lang w:bidi="ar"/>
        </w:rPr>
        <w:t>排放</w:t>
      </w:r>
      <w:r>
        <w:rPr>
          <w:rFonts w:hint="eastAsia" w:ascii="Times New Roman" w:hAnsi="Times New Roman" w:eastAsia="宋体" w:cs="Times New Roman"/>
          <w:color w:val="000000"/>
          <w:kern w:val="0"/>
          <w:lang w:val="en-US" w:eastAsia="zh-CN" w:bidi="ar"/>
        </w:rPr>
        <w:t>强度</w:t>
      </w:r>
      <w:r>
        <w:rPr>
          <w:rFonts w:hint="default" w:ascii="Times New Roman" w:hAnsi="Times New Roman" w:eastAsia="宋体" w:cs="Times New Roman"/>
          <w:color w:val="000000"/>
          <w:kern w:val="0"/>
          <w:lang w:bidi="ar"/>
        </w:rPr>
        <w:t>。</w:t>
      </w:r>
    </w:p>
    <w:p w14:paraId="3ED4E69A">
      <w:pPr>
        <w:pStyle w:val="6"/>
        <w:adjustRightInd w:val="0"/>
        <w:spacing w:before="156" w:beforeLines="50" w:after="0" w:line="360" w:lineRule="auto"/>
        <w:ind w:firstLine="480" w:firstLineChars="200"/>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氧化亚氮</w:t>
      </w:r>
      <w:r>
        <w:rPr>
          <w:rFonts w:hint="default" w:ascii="Times New Roman" w:hAnsi="Times New Roman" w:eastAsia="宋体" w:cs="Times New Roman"/>
          <w:color w:val="000000" w:themeColor="text1"/>
          <w:highlight w:val="none"/>
          <w14:textFill>
            <w14:solidFill>
              <w14:schemeClr w14:val="tx1"/>
            </w14:solidFill>
          </w14:textFill>
        </w:rPr>
        <w:t>排放</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强度</w:t>
      </w:r>
      <w:r>
        <w:rPr>
          <w:rFonts w:hint="default" w:ascii="Times New Roman" w:hAnsi="Times New Roman" w:eastAsia="宋体" w:cs="Times New Roman"/>
          <w:color w:val="000000" w:themeColor="text1"/>
          <w:highlight w:val="none"/>
          <w14:textFill>
            <w14:solidFill>
              <w14:schemeClr w14:val="tx1"/>
            </w14:solidFill>
          </w14:textFill>
        </w:rPr>
        <w:t>评价要求</w:t>
      </w:r>
    </w:p>
    <w:p w14:paraId="1408307F">
      <w:pPr>
        <w:pStyle w:val="6"/>
        <w:adjustRightInd w:val="0"/>
        <w:spacing w:after="0" w:line="360" w:lineRule="auto"/>
        <w:ind w:firstLine="48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本《指南》确定</w:t>
      </w:r>
      <w:r>
        <w:rPr>
          <w:rFonts w:hint="eastAsia" w:ascii="Times New Roman" w:hAnsi="Times New Roman" w:eastAsia="宋体" w:cs="Times New Roman"/>
          <w:color w:val="000000" w:themeColor="text1"/>
          <w:lang w:val="en-US" w:eastAsia="zh-CN"/>
          <w14:textFill>
            <w14:solidFill>
              <w14:schemeClr w14:val="tx1"/>
            </w14:solidFill>
          </w14:textFill>
        </w:rPr>
        <w:t>硝酸、己二酸和己内酰胺建设</w:t>
      </w:r>
      <w:r>
        <w:rPr>
          <w:rFonts w:hint="default" w:ascii="Times New Roman" w:hAnsi="Times New Roman" w:eastAsia="宋体" w:cs="Times New Roman"/>
          <w:color w:val="000000" w:themeColor="text1"/>
          <w14:textFill>
            <w14:solidFill>
              <w14:schemeClr w14:val="tx1"/>
            </w14:solidFill>
          </w14:textFill>
        </w:rPr>
        <w:t>项目</w:t>
      </w:r>
      <w:r>
        <w:rPr>
          <w:rFonts w:hint="eastAsia" w:ascii="Times New Roman" w:hAnsi="Times New Roman" w:eastAsia="宋体" w:cs="Times New Roman"/>
          <w:color w:val="000000" w:themeColor="text1"/>
          <w:lang w:val="en-US" w:eastAsia="zh-CN"/>
          <w14:textFill>
            <w14:solidFill>
              <w14:schemeClr w14:val="tx1"/>
            </w14:solidFill>
          </w14:textFill>
        </w:rPr>
        <w:t>氧化亚氮</w:t>
      </w:r>
      <w:r>
        <w:rPr>
          <w:rFonts w:hint="default" w:ascii="Times New Roman" w:hAnsi="Times New Roman" w:eastAsia="宋体" w:cs="Times New Roman"/>
          <w:color w:val="000000" w:themeColor="text1"/>
          <w14:textFill>
            <w14:solidFill>
              <w14:schemeClr w14:val="tx1"/>
            </w14:solidFill>
          </w14:textFill>
        </w:rPr>
        <w:t>排放评价以氧化亚氮排放参考值作为评价指标。</w:t>
      </w:r>
    </w:p>
    <w:p w14:paraId="1FAE9A54">
      <w:pPr>
        <w:pStyle w:val="6"/>
        <w:adjustRightInd w:val="0"/>
        <w:spacing w:after="0"/>
        <w:ind w:firstLine="480" w:firstLineChars="200"/>
        <w:rPr>
          <w:rFonts w:hint="default" w:ascii="Times New Roman" w:hAnsi="Times New Roman" w:eastAsia="宋体" w:cs="Times New Roman"/>
          <w:color w:val="000000"/>
          <w:kern w:val="0"/>
          <w:lang w:bidi="ar"/>
        </w:rPr>
      </w:pPr>
      <w:r>
        <w:rPr>
          <w:rFonts w:hint="default" w:ascii="Times New Roman" w:hAnsi="Times New Roman" w:eastAsia="宋体" w:cs="Times New Roman"/>
          <w:color w:val="000000"/>
          <w:kern w:val="0"/>
          <w:lang w:bidi="ar"/>
        </w:rPr>
        <w:t>国家、区域或行业有其他相关氧化亚氮排放基准（标准）或评价要求的，从其规定。改建、扩建及异地迁建硝酸、己二酸和己内酰胺建设项目还应根据氧化亚氮排放量核算结果，对工程实施前后氧化亚氮排放强度进行纵向对比，项目实施后单位产品氧化亚氮排放量原则上不得高于现有工程；若</w:t>
      </w:r>
      <w:r>
        <w:rPr>
          <w:rFonts w:hint="eastAsia" w:ascii="Times New Roman" w:hAnsi="Times New Roman" w:eastAsia="宋体" w:cs="Times New Roman"/>
          <w:color w:val="000000"/>
          <w:kern w:val="0"/>
          <w:lang w:val="en-US" w:eastAsia="zh-CN" w:bidi="ar"/>
        </w:rPr>
        <w:t>氧化亚氮</w:t>
      </w:r>
      <w:r>
        <w:rPr>
          <w:rFonts w:hint="default" w:ascii="Times New Roman" w:hAnsi="Times New Roman" w:eastAsia="宋体" w:cs="Times New Roman"/>
          <w:color w:val="000000"/>
          <w:kern w:val="0"/>
          <w:lang w:bidi="ar"/>
        </w:rPr>
        <w:t>排放水平高于现有工程的，应进行合理说明。</w:t>
      </w:r>
    </w:p>
    <w:p w14:paraId="7E9A68B9">
      <w:pPr>
        <w:pStyle w:val="4"/>
        <w:keepNext/>
        <w:keepLines/>
        <w:pageBreakBefore w:val="0"/>
        <w:widowControl/>
        <w:kinsoku/>
        <w:wordWrap/>
        <w:overflowPunct/>
        <w:topLinePunct w:val="0"/>
        <w:autoSpaceDE/>
        <w:autoSpaceDN/>
        <w:bidi w:val="0"/>
        <w:adjustRightInd/>
        <w:snapToGrid w:val="0"/>
        <w:textAlignment w:val="auto"/>
        <w:rPr>
          <w:rFonts w:hint="default" w:ascii="Times New Roman" w:hAnsi="Times New Roman" w:cs="Times New Roman"/>
          <w:lang w:bidi="ar"/>
        </w:rPr>
      </w:pPr>
      <w:r>
        <w:rPr>
          <w:rFonts w:hint="default" w:ascii="Times New Roman" w:hAnsi="Times New Roman" w:cs="Times New Roman"/>
          <w:lang w:bidi="ar"/>
        </w:rPr>
        <w:t>5.5.</w:t>
      </w:r>
      <w:r>
        <w:rPr>
          <w:rFonts w:hint="eastAsia" w:ascii="Times New Roman" w:hAnsi="Times New Roman" w:cs="Times New Roman"/>
          <w:lang w:val="en-US" w:eastAsia="zh-CN" w:bidi="ar"/>
        </w:rPr>
        <w:t>4</w:t>
      </w:r>
      <w:r>
        <w:rPr>
          <w:rFonts w:hint="default" w:ascii="Times New Roman" w:hAnsi="Times New Roman" w:cs="Times New Roman"/>
          <w:lang w:bidi="ar"/>
        </w:rPr>
        <w:t xml:space="preserve"> 减污降碳措施</w:t>
      </w:r>
      <w:r>
        <w:rPr>
          <w:rFonts w:hint="eastAsia" w:ascii="Times New Roman" w:hAnsi="Times New Roman" w:cs="Times New Roman"/>
          <w:lang w:val="en-US" w:eastAsia="zh-CN" w:bidi="ar"/>
        </w:rPr>
        <w:t>可行性</w:t>
      </w:r>
      <w:r>
        <w:rPr>
          <w:rFonts w:hint="default" w:ascii="Times New Roman" w:hAnsi="Times New Roman" w:cs="Times New Roman"/>
          <w:lang w:bidi="ar"/>
        </w:rPr>
        <w:t>论证</w:t>
      </w:r>
    </w:p>
    <w:p w14:paraId="6A4616AB">
      <w:pPr>
        <w:pStyle w:val="6"/>
        <w:spacing w:after="0"/>
        <w:ind w:firstLine="480" w:firstLineChars="200"/>
        <w:rPr>
          <w:rFonts w:hint="eastAsia" w:ascii="Times New Roman" w:hAnsi="Times New Roman" w:eastAsia="宋体" w:cs="Times New Roman"/>
          <w:color w:val="000000"/>
          <w:kern w:val="0"/>
          <w:lang w:val="en-US" w:eastAsia="zh-CN" w:bidi="ar"/>
        </w:rPr>
      </w:pPr>
      <w:r>
        <w:rPr>
          <w:rFonts w:hint="eastAsia" w:ascii="Times New Roman" w:hAnsi="Times New Roman" w:eastAsia="宋体" w:cs="Times New Roman"/>
          <w:color w:val="000000"/>
          <w:kern w:val="0"/>
          <w:lang w:eastAsia="zh-CN" w:bidi="ar"/>
        </w:rPr>
        <w:t>（</w:t>
      </w:r>
      <w:r>
        <w:rPr>
          <w:rFonts w:hint="eastAsia" w:ascii="Times New Roman" w:hAnsi="Times New Roman" w:eastAsia="宋体" w:cs="Times New Roman"/>
          <w:color w:val="000000"/>
          <w:kern w:val="0"/>
          <w:lang w:val="en-US" w:eastAsia="zh-CN" w:bidi="ar"/>
        </w:rPr>
        <w:t>1</w:t>
      </w:r>
      <w:r>
        <w:rPr>
          <w:rFonts w:hint="eastAsia" w:ascii="Times New Roman" w:hAnsi="Times New Roman" w:eastAsia="宋体" w:cs="Times New Roman"/>
          <w:color w:val="000000"/>
          <w:kern w:val="0"/>
          <w:lang w:eastAsia="zh-CN" w:bidi="ar"/>
        </w:rPr>
        <w:t>）</w:t>
      </w:r>
      <w:r>
        <w:rPr>
          <w:rFonts w:hint="eastAsia" w:ascii="Times New Roman" w:hAnsi="Times New Roman" w:eastAsia="宋体" w:cs="Times New Roman"/>
          <w:color w:val="000000"/>
          <w:kern w:val="0"/>
          <w:lang w:val="en-US" w:eastAsia="zh-CN" w:bidi="ar"/>
        </w:rPr>
        <w:t>氧化亚氮排放去除效率要求</w:t>
      </w:r>
    </w:p>
    <w:p w14:paraId="52B06D46">
      <w:pPr>
        <w:ind w:firstLine="480" w:firstLineChars="200"/>
      </w:pPr>
      <w:r>
        <w:rPr>
          <w:rFonts w:hint="eastAsia"/>
        </w:rPr>
        <w:t>根据《工业领域氧化亚氮排放控制行动方案》提出的“到2030年，硝酸行业、己二酸行业、己内酰胺行业氧化亚氮排放去除率达到国际领先水平”的要求，结合对国内工业领域氧化亚氮减排应用技术运行情况以及美国等发达国家和地区工业领域氧化亚氮减排技术效果的综合性评价，要求己二酸生产的建设项目氧化亚氮排放去除效率不低于95%，硝酸或己内酰胺生产的建设项目氧化亚氮排放去除效率不低于80%。</w:t>
      </w:r>
    </w:p>
    <w:p w14:paraId="7BA2A60F">
      <w:pPr>
        <w:pStyle w:val="6"/>
        <w:spacing w:after="0"/>
        <w:ind w:firstLine="480" w:firstLineChars="200"/>
        <w:rPr>
          <w:rFonts w:hint="default" w:ascii="Times New Roman" w:hAnsi="Times New Roman" w:eastAsia="宋体" w:cs="Times New Roman"/>
          <w:color w:val="000000"/>
          <w:kern w:val="0"/>
          <w:lang w:val="en-US" w:eastAsia="zh-CN" w:bidi="ar"/>
        </w:rPr>
      </w:pPr>
      <w:r>
        <w:rPr>
          <w:rFonts w:hint="eastAsia" w:ascii="Times New Roman" w:hAnsi="Times New Roman" w:eastAsia="宋体" w:cs="Times New Roman"/>
          <w:color w:val="000000"/>
          <w:kern w:val="0"/>
          <w:lang w:eastAsia="zh-CN" w:bidi="ar"/>
        </w:rPr>
        <w:t>（</w:t>
      </w:r>
      <w:r>
        <w:rPr>
          <w:rFonts w:hint="eastAsia" w:ascii="Times New Roman" w:hAnsi="Times New Roman" w:eastAsia="宋体" w:cs="Times New Roman"/>
          <w:color w:val="000000"/>
          <w:kern w:val="0"/>
          <w:lang w:val="en-US" w:eastAsia="zh-CN" w:bidi="ar"/>
        </w:rPr>
        <w:t>2</w:t>
      </w:r>
      <w:r>
        <w:rPr>
          <w:rFonts w:hint="eastAsia" w:ascii="Times New Roman" w:hAnsi="Times New Roman" w:eastAsia="宋体" w:cs="Times New Roman"/>
          <w:color w:val="000000"/>
          <w:kern w:val="0"/>
          <w:lang w:eastAsia="zh-CN" w:bidi="ar"/>
        </w:rPr>
        <w:t>）</w:t>
      </w:r>
      <w:r>
        <w:rPr>
          <w:rFonts w:hint="eastAsia" w:ascii="Times New Roman" w:hAnsi="Times New Roman" w:eastAsia="宋体" w:cs="Times New Roman"/>
          <w:color w:val="000000"/>
          <w:kern w:val="0"/>
          <w:lang w:val="en-US" w:eastAsia="zh-CN" w:bidi="ar"/>
        </w:rPr>
        <w:t>降碳措施有效性论证</w:t>
      </w:r>
    </w:p>
    <w:p w14:paraId="05B88749">
      <w:pPr>
        <w:ind w:firstLine="480" w:firstLineChars="200"/>
        <w:rPr>
          <w:rFonts w:hint="eastAsia"/>
        </w:rPr>
      </w:pPr>
      <w:r>
        <w:rPr>
          <w:rFonts w:hint="eastAsia"/>
        </w:rPr>
        <w:t>根据环办环评函〔2021〕346号要求，从生态环境保护、温室气体减排、经济技术可行性等方面统筹开展减污降碳措施有效性论证，明确提出建设项目在生产运行阶段拟采取的具体降碳措施，并分析论证拟采取措施的技术有效性、经济合理性、污染防治及温室气体减排有效性。</w:t>
      </w:r>
    </w:p>
    <w:p w14:paraId="4C4F0389">
      <w:pPr>
        <w:ind w:firstLine="480" w:firstLineChars="200"/>
      </w:pPr>
      <w:r>
        <w:rPr>
          <w:rFonts w:hint="eastAsia"/>
        </w:rPr>
        <w:t>对于温室气体减排措施，考虑到最优化的管理效能。一是对于建设项目需采用方案比选的方式给出拟采取的温室气体减排和节能降耗措施；二是建设项目需明确拟采取的能源结构优化</w:t>
      </w:r>
      <w:r>
        <w:rPr>
          <w:rFonts w:hint="eastAsia"/>
          <w:lang w:eastAsia="zh-CN"/>
        </w:rPr>
        <w:t>、</w:t>
      </w:r>
      <w:r>
        <w:rPr>
          <w:rFonts w:hint="eastAsia"/>
        </w:rPr>
        <w:t>工艺产品优化</w:t>
      </w:r>
      <w:r>
        <w:rPr>
          <w:rFonts w:hint="eastAsia"/>
          <w:lang w:eastAsia="zh-CN"/>
        </w:rPr>
        <w:t>、</w:t>
      </w:r>
      <w:r>
        <w:rPr>
          <w:rFonts w:hint="eastAsia"/>
          <w:lang w:val="en-US" w:eastAsia="zh-CN"/>
        </w:rPr>
        <w:t>末端治理、回收利用</w:t>
      </w:r>
      <w:r>
        <w:rPr>
          <w:rFonts w:hint="eastAsia"/>
        </w:rPr>
        <w:t>等措施，分析论证拟采取措施的技术可行性、经济合理性、污染防治及</w:t>
      </w:r>
      <w:r>
        <w:rPr>
          <w:rFonts w:hint="eastAsia"/>
          <w:lang w:val="en-US" w:eastAsia="zh-CN"/>
        </w:rPr>
        <w:t>氧化亚氮</w:t>
      </w:r>
      <w:r>
        <w:rPr>
          <w:rFonts w:hint="eastAsia"/>
        </w:rPr>
        <w:t>减排有效性。</w:t>
      </w:r>
    </w:p>
    <w:p w14:paraId="3564A71B">
      <w:pPr>
        <w:pStyle w:val="4"/>
        <w:widowControl/>
        <w:rPr>
          <w:rFonts w:hint="default" w:ascii="Times New Roman" w:hAnsi="Times New Roman" w:cs="Times New Roman"/>
          <w:lang w:bidi="ar"/>
        </w:rPr>
      </w:pPr>
      <w:r>
        <w:rPr>
          <w:rFonts w:hint="default" w:ascii="Times New Roman" w:hAnsi="Times New Roman" w:cs="Times New Roman"/>
          <w:lang w:bidi="ar"/>
        </w:rPr>
        <w:t>5.5.</w:t>
      </w:r>
      <w:r>
        <w:rPr>
          <w:rFonts w:hint="default" w:ascii="Times New Roman" w:hAnsi="Times New Roman" w:cs="Times New Roman"/>
          <w:lang w:val="en-US" w:eastAsia="zh-CN" w:bidi="ar"/>
        </w:rPr>
        <w:t>5</w:t>
      </w:r>
      <w:r>
        <w:rPr>
          <w:rFonts w:hint="default" w:ascii="Times New Roman" w:hAnsi="Times New Roman" w:cs="Times New Roman"/>
          <w:lang w:bidi="ar"/>
        </w:rPr>
        <w:t xml:space="preserve"> 数据质量控制方案</w:t>
      </w:r>
    </w:p>
    <w:p w14:paraId="0E18E873">
      <w:pPr>
        <w:pStyle w:val="6"/>
        <w:spacing w:after="0"/>
        <w:ind w:firstLine="480" w:firstLineChars="200"/>
        <w:rPr>
          <w:rFonts w:hint="default" w:ascii="Times New Roman" w:hAnsi="Times New Roman" w:eastAsia="宋体" w:cs="Times New Roman"/>
          <w:color w:val="000000"/>
          <w:kern w:val="0"/>
          <w:lang w:bidi="ar"/>
        </w:rPr>
      </w:pPr>
      <w:r>
        <w:rPr>
          <w:rFonts w:hint="default" w:ascii="Times New Roman" w:hAnsi="Times New Roman" w:eastAsia="宋体" w:cs="Times New Roman"/>
          <w:color w:val="000000"/>
          <w:kern w:val="0"/>
          <w:lang w:bidi="ar"/>
        </w:rPr>
        <w:t>根据环办环评函〔2021〕346号要求，在开展碳排放</w:t>
      </w:r>
      <w:r>
        <w:rPr>
          <w:rFonts w:hint="eastAsia" w:ascii="Times New Roman" w:hAnsi="Times New Roman" w:eastAsia="宋体" w:cs="Times New Roman"/>
          <w:color w:val="000000"/>
          <w:kern w:val="0"/>
          <w:lang w:val="en-US" w:eastAsia="zh-CN" w:bidi="ar"/>
        </w:rPr>
        <w:t>生态</w:t>
      </w:r>
      <w:r>
        <w:rPr>
          <w:rFonts w:hint="default" w:ascii="Times New Roman" w:hAnsi="Times New Roman" w:eastAsia="宋体" w:cs="Times New Roman"/>
          <w:color w:val="000000"/>
          <w:kern w:val="0"/>
          <w:lang w:bidi="ar"/>
        </w:rPr>
        <w:t>环境影响评价过程中，需根据建设项目实际，编制温室气体排放清单，明确其排放管理要求。对新建项目应提出碳排放环境管理机构设置、人员配置、管理制度等要求；改扩建项目应分析其依托现有环境管理机构及制度的可行性，提出完善碳排放环境管理的要求。</w:t>
      </w:r>
    </w:p>
    <w:p w14:paraId="0445A04D">
      <w:pPr>
        <w:snapToGrid w:val="0"/>
        <w:spacing w:line="360" w:lineRule="auto"/>
        <w:ind w:firstLine="480" w:firstLineChars="200"/>
        <w:rPr>
          <w:rFonts w:hint="default" w:ascii="Times New Roman" w:hAnsi="Times New Roman" w:eastAsia="宋体" w:cs="Times New Roman"/>
        </w:rPr>
      </w:pPr>
      <w:r>
        <w:rPr>
          <w:rFonts w:hint="default" w:ascii="Times New Roman" w:hAnsi="Times New Roman" w:eastAsia="宋体" w:cs="Times New Roman"/>
          <w:bCs/>
        </w:rPr>
        <w:t>为建设项目温室气体排放量和排放绩效提供核算的依据，为下一步</w:t>
      </w:r>
      <w:r>
        <w:rPr>
          <w:rFonts w:hint="eastAsia" w:ascii="Times New Roman" w:hAnsi="Times New Roman" w:eastAsia="宋体" w:cs="Times New Roman"/>
          <w:bCs/>
          <w:lang w:val="en-US" w:eastAsia="zh-CN"/>
        </w:rPr>
        <w:t>硝酸、己二酸和己内酰胺氧化亚氮</w:t>
      </w:r>
      <w:r>
        <w:rPr>
          <w:rFonts w:hint="default" w:ascii="Times New Roman" w:hAnsi="Times New Roman" w:eastAsia="宋体" w:cs="Times New Roman"/>
          <w:bCs/>
        </w:rPr>
        <w:t>排放管理提供基础数据，本《指南》要求按照国家或地方相应的核算方法要求所需的参数，</w:t>
      </w:r>
      <w:r>
        <w:rPr>
          <w:rFonts w:hint="default" w:ascii="Times New Roman" w:hAnsi="Times New Roman" w:eastAsia="宋体" w:cs="Times New Roman"/>
        </w:rPr>
        <w:t>提出明确所使用的生产技术类型，建立清晰的企业台账或统计报表制度；对于企业尾气处理设备使用率，也应做好相应统计机制。</w:t>
      </w:r>
      <w:r>
        <w:rPr>
          <w:rFonts w:hint="eastAsia" w:ascii="Times New Roman" w:hAnsi="Times New Roman" w:eastAsia="宋体" w:cs="Times New Roman"/>
          <w:lang w:val="en-US" w:eastAsia="zh-CN"/>
        </w:rPr>
        <w:t>要求企业</w:t>
      </w:r>
      <w:r>
        <w:rPr>
          <w:rFonts w:hint="default" w:ascii="Times New Roman" w:hAnsi="Times New Roman" w:eastAsia="宋体" w:cs="Times New Roman"/>
        </w:rPr>
        <w:t>做好企业排放口氧化亚氮浓度、尾气处理设备氧化亚氮进口、出口浓度等监测设计，并做好相关备选预案。待氧化亚氮在线监测技术成熟后，鼓励硝酸、己二酸和己内酰胺建设项目开展温室气体排放在线监测试点与实践。监测点位设置应符合HJ 819、HJ 1035、HJ 1103中污染源监测点位的相关要求。</w:t>
      </w:r>
    </w:p>
    <w:p w14:paraId="79A38D09">
      <w:pPr>
        <w:pStyle w:val="4"/>
        <w:widowControl/>
        <w:rPr>
          <w:rFonts w:hint="default" w:ascii="Times New Roman" w:hAnsi="Times New Roman" w:cs="Times New Roman"/>
          <w:lang w:bidi="ar"/>
        </w:rPr>
      </w:pPr>
      <w:r>
        <w:rPr>
          <w:rFonts w:hint="default" w:ascii="Times New Roman" w:hAnsi="Times New Roman" w:cs="Times New Roman"/>
          <w:lang w:bidi="ar"/>
        </w:rPr>
        <w:t>5.5.</w:t>
      </w:r>
      <w:r>
        <w:rPr>
          <w:rFonts w:hint="eastAsia" w:ascii="Times New Roman" w:hAnsi="Times New Roman" w:cs="Times New Roman"/>
          <w:lang w:val="en-US" w:eastAsia="zh-CN" w:bidi="ar"/>
        </w:rPr>
        <w:t>6</w:t>
      </w:r>
      <w:r>
        <w:rPr>
          <w:rFonts w:hint="default" w:ascii="Times New Roman" w:hAnsi="Times New Roman" w:cs="Times New Roman"/>
          <w:lang w:bidi="ar"/>
        </w:rPr>
        <w:t xml:space="preserve"> 温室气体排放评价结论</w:t>
      </w:r>
    </w:p>
    <w:p w14:paraId="17A4D348">
      <w:pPr>
        <w:autoSpaceDE w:val="0"/>
        <w:autoSpaceDN w:val="0"/>
        <w:ind w:firstLine="480" w:firstLineChars="200"/>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概括总结硝酸、己二酸或己内酰胺建设项目实施的政策符合性、氧化亚氮排放量、氧化亚氮排放强度评价、减污降碳措施可行性及效果、氧化亚氮数据质量控制方案等。</w:t>
      </w:r>
    </w:p>
    <w:p w14:paraId="76DBECA4">
      <w:pPr>
        <w:autoSpaceDE w:val="0"/>
        <w:autoSpaceDN w:val="0"/>
        <w:ind w:firstLine="480" w:firstLineChars="200"/>
        <w:jc w:val="both"/>
        <w:rPr>
          <w:rFonts w:hint="eastAsia" w:ascii="宋体"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结合国家、区域</w:t>
      </w:r>
      <w:bookmarkStart w:id="0" w:name="_GoBack"/>
      <w:bookmarkEnd w:id="0"/>
      <w:r>
        <w:rPr>
          <w:rFonts w:hint="default" w:ascii="Times New Roman" w:hAnsi="Times New Roman" w:eastAsia="宋体" w:cs="Times New Roman"/>
          <w:sz w:val="24"/>
          <w:szCs w:val="24"/>
          <w:lang w:val="en-US" w:eastAsia="zh-CN" w:bidi="ar-SA"/>
        </w:rPr>
        <w:t>和行业氧化亚氮排放与控制相关行动方案、地区氧化亚氮排放控制目标与技术要求等，给出硝酸、己二酸或己内酰胺建设项目的氧化亚氮排放控制是否满足相关要求的结论。</w:t>
      </w:r>
    </w:p>
    <w:p w14:paraId="22BB6690">
      <w:pPr>
        <w:pStyle w:val="2"/>
        <w:rPr>
          <w:b w:val="0"/>
          <w:kern w:val="2"/>
          <w:sz w:val="24"/>
        </w:rPr>
      </w:pPr>
      <w:r>
        <w:rPr>
          <w:rFonts w:hint="eastAsia"/>
        </w:rPr>
        <w:t>6 指南实施措施及建议</w:t>
      </w:r>
    </w:p>
    <w:p w14:paraId="0A5A6CCB">
      <w:pPr>
        <w:pStyle w:val="4"/>
        <w:widowControl/>
        <w:rPr>
          <w:rFonts w:hint="default" w:ascii="Times New Roman" w:hAnsi="Times New Roman" w:eastAsia="黑体" w:cs="Times New Roman"/>
          <w:b w:val="0"/>
          <w:bCs w:val="0"/>
          <w:kern w:val="2"/>
          <w:sz w:val="24"/>
          <w:szCs w:val="32"/>
          <w:lang w:val="en-US" w:eastAsia="zh-CN" w:bidi="ar-SA"/>
        </w:rPr>
      </w:pPr>
      <w:r>
        <w:rPr>
          <w:rFonts w:hint="default" w:ascii="Times New Roman" w:hAnsi="Times New Roman" w:eastAsia="黑体" w:cs="Times New Roman"/>
          <w:b w:val="0"/>
          <w:bCs w:val="0"/>
          <w:kern w:val="2"/>
          <w:sz w:val="24"/>
          <w:szCs w:val="32"/>
          <w:lang w:val="en-US" w:eastAsia="zh-CN" w:bidi="ar-SA"/>
        </w:rPr>
        <w:t>6.1 推进试点工作</w:t>
      </w:r>
    </w:p>
    <w:p w14:paraId="4A0C705A">
      <w:pPr>
        <w:ind w:firstLine="480" w:firstLineChars="200"/>
      </w:pPr>
      <w:r>
        <w:rPr>
          <w:rFonts w:hint="eastAsia"/>
        </w:rPr>
        <w:t>建议加快推进硝酸、己二酸和己内酰胺建设项目氧化亚氮排放环境影响评价的试点工作，在试点中对《指南》试行版本存在的问题不断完善，持续总结经验，为完善和优化最终版《指南》提供依据。</w:t>
      </w:r>
    </w:p>
    <w:p w14:paraId="5A3F06E8">
      <w:pPr>
        <w:pStyle w:val="4"/>
        <w:widowControl/>
        <w:rPr>
          <w:rFonts w:hint="default" w:ascii="Times New Roman" w:hAnsi="Times New Roman" w:eastAsia="黑体" w:cs="Times New Roman"/>
          <w:b w:val="0"/>
          <w:bCs w:val="0"/>
          <w:kern w:val="2"/>
          <w:sz w:val="24"/>
          <w:szCs w:val="32"/>
          <w:lang w:val="en-US" w:eastAsia="zh-CN" w:bidi="ar-SA"/>
        </w:rPr>
      </w:pPr>
      <w:r>
        <w:rPr>
          <w:rFonts w:hint="default" w:ascii="Times New Roman" w:hAnsi="Times New Roman" w:eastAsia="黑体" w:cs="Times New Roman"/>
          <w:b w:val="0"/>
          <w:bCs w:val="0"/>
          <w:kern w:val="2"/>
          <w:sz w:val="24"/>
          <w:szCs w:val="32"/>
          <w:lang w:val="en-US" w:eastAsia="zh-CN" w:bidi="ar-SA"/>
        </w:rPr>
        <w:t>6.2 加快研究和制定</w:t>
      </w:r>
      <w:r>
        <w:rPr>
          <w:rFonts w:hint="eastAsia" w:ascii="Times New Roman" w:hAnsi="Times New Roman" w:eastAsia="黑体" w:cs="Times New Roman"/>
          <w:b w:val="0"/>
          <w:bCs w:val="0"/>
          <w:kern w:val="2"/>
          <w:sz w:val="24"/>
          <w:szCs w:val="32"/>
          <w:lang w:val="en-US" w:eastAsia="zh-CN" w:bidi="ar-SA"/>
        </w:rPr>
        <w:t>硝酸、己二酸和己内酰胺建设项目</w:t>
      </w:r>
      <w:r>
        <w:rPr>
          <w:rFonts w:hint="default" w:ascii="Times New Roman" w:hAnsi="Times New Roman" w:eastAsia="黑体" w:cs="Times New Roman"/>
          <w:b w:val="0"/>
          <w:bCs w:val="0"/>
          <w:kern w:val="2"/>
          <w:sz w:val="24"/>
          <w:szCs w:val="32"/>
          <w:lang w:val="en-US" w:eastAsia="zh-CN" w:bidi="ar-SA"/>
        </w:rPr>
        <w:t>污染物和</w:t>
      </w:r>
      <w:r>
        <w:rPr>
          <w:rFonts w:hint="eastAsia" w:ascii="Times New Roman" w:hAnsi="Times New Roman" w:eastAsia="黑体" w:cs="Times New Roman"/>
          <w:b w:val="0"/>
          <w:bCs w:val="0"/>
          <w:kern w:val="2"/>
          <w:sz w:val="24"/>
          <w:szCs w:val="32"/>
          <w:lang w:val="en-US" w:eastAsia="zh-CN" w:bidi="ar-SA"/>
        </w:rPr>
        <w:t>氧化亚氮</w:t>
      </w:r>
      <w:r>
        <w:rPr>
          <w:rFonts w:hint="default" w:ascii="Times New Roman" w:hAnsi="Times New Roman" w:eastAsia="黑体" w:cs="Times New Roman"/>
          <w:b w:val="0"/>
          <w:bCs w:val="0"/>
          <w:kern w:val="2"/>
          <w:sz w:val="24"/>
          <w:szCs w:val="32"/>
          <w:lang w:val="en-US" w:eastAsia="zh-CN" w:bidi="ar-SA"/>
        </w:rPr>
        <w:t>协同减排可行技术指南</w:t>
      </w:r>
    </w:p>
    <w:p w14:paraId="27034168">
      <w:pPr>
        <w:ind w:firstLine="480" w:firstLineChars="200"/>
        <w:rPr>
          <w:rFonts w:hint="eastAsia"/>
        </w:rPr>
      </w:pPr>
      <w:r>
        <w:rPr>
          <w:rFonts w:hint="eastAsia"/>
        </w:rPr>
        <w:t>建议进一步研究硝酸、己二酸和己内酰胺行业生产工艺与</w:t>
      </w:r>
      <w:r>
        <w:rPr>
          <w:rFonts w:hint="eastAsia"/>
          <w:lang w:val="en-US" w:eastAsia="zh-CN"/>
        </w:rPr>
        <w:t>氧化亚氮</w:t>
      </w:r>
      <w:r>
        <w:rPr>
          <w:rFonts w:hint="eastAsia"/>
        </w:rPr>
        <w:t>产放环节，从能量消耗、环境效果、经济、技术和管理等方面对现行硝酸、己二酸和己内酰胺行业</w:t>
      </w:r>
      <w:r>
        <w:rPr>
          <w:rFonts w:hint="eastAsia"/>
          <w:lang w:val="en-US" w:eastAsia="zh-CN"/>
        </w:rPr>
        <w:t>氧化亚氮</w:t>
      </w:r>
      <w:r>
        <w:rPr>
          <w:rFonts w:hint="eastAsia"/>
        </w:rPr>
        <w:t>减排技术开展综合评估，尽快出台硝酸、己二酸和己内酰胺行业废气污染物防治与</w:t>
      </w:r>
      <w:r>
        <w:rPr>
          <w:rFonts w:hint="eastAsia"/>
          <w:lang w:val="en-US" w:eastAsia="zh-CN"/>
        </w:rPr>
        <w:t>氧化亚氮</w:t>
      </w:r>
      <w:r>
        <w:rPr>
          <w:rFonts w:hint="eastAsia"/>
        </w:rPr>
        <w:t>减排协同可行技术指南。</w:t>
      </w:r>
    </w:p>
    <w:p w14:paraId="6DBAE4E4">
      <w:pPr>
        <w:pStyle w:val="4"/>
        <w:widowControl/>
        <w:rPr>
          <w:rFonts w:hint="default" w:ascii="Times New Roman" w:hAnsi="Times New Roman" w:cs="Times New Roman"/>
          <w:lang w:bidi="ar"/>
        </w:rPr>
      </w:pPr>
      <w:r>
        <w:rPr>
          <w:rFonts w:hint="default" w:ascii="Times New Roman" w:hAnsi="Times New Roman" w:cs="Times New Roman"/>
          <w:lang w:bidi="ar"/>
        </w:rPr>
        <w:t>6.3 加大</w:t>
      </w:r>
      <w:r>
        <w:rPr>
          <w:rFonts w:hint="eastAsia" w:ascii="Times New Roman" w:hAnsi="Times New Roman" w:cs="Times New Roman"/>
          <w:lang w:val="en-US" w:eastAsia="zh-CN" w:bidi="ar"/>
        </w:rPr>
        <w:t>氧化亚氮</w:t>
      </w:r>
      <w:r>
        <w:rPr>
          <w:rFonts w:hint="default" w:ascii="Times New Roman" w:hAnsi="Times New Roman" w:cs="Times New Roman"/>
          <w:lang w:bidi="ar"/>
        </w:rPr>
        <w:t>排放评价宣传培训力度</w:t>
      </w:r>
    </w:p>
    <w:p w14:paraId="35EBF54A">
      <w:pPr>
        <w:ind w:firstLine="480" w:firstLineChars="200"/>
      </w:pPr>
      <w:r>
        <w:rPr>
          <w:rFonts w:hint="eastAsia"/>
          <w:lang w:val="en-US" w:eastAsia="zh-CN"/>
        </w:rPr>
        <w:t>氧化亚氮</w:t>
      </w:r>
      <w:r>
        <w:rPr>
          <w:rFonts w:hint="eastAsia"/>
        </w:rPr>
        <w:t>排放环境影响评价尚处于探索阶段，应加大对生态环境主管部门和相关建设单位及环评编制单位的培训力度，帮助理解本《指南》的要求，指导建设单位和环评编制单位碳排放专题报告的编制和生态环境主管部门的评估审批。</w:t>
      </w:r>
    </w:p>
    <w:p w14:paraId="382DF87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45C8528-6B8F-4265-840D-55C4010AE6CE}"/>
  </w:font>
  <w:font w:name="黑体">
    <w:panose1 w:val="02010609060101010101"/>
    <w:charset w:val="86"/>
    <w:family w:val="auto"/>
    <w:pitch w:val="default"/>
    <w:sig w:usb0="800002BF" w:usb1="38CF7CFA" w:usb2="00000016" w:usb3="00000000" w:csb0="00040001" w:csb1="00000000"/>
    <w:embedRegular r:id="rId2" w:fontKey="{33BB427A-7E13-4959-8CE6-283E015348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3" w:fontKey="{C20CFAEE-E7A2-475A-B33A-AEADC2BA4EE0}"/>
  </w:font>
  <w:font w:name="楷体_GB2312">
    <w:panose1 w:val="02010609030101010101"/>
    <w:charset w:val="86"/>
    <w:family w:val="modern"/>
    <w:pitch w:val="default"/>
    <w:sig w:usb0="00000001" w:usb1="080E0000" w:usb2="00000000" w:usb3="00000000" w:csb0="00040000" w:csb1="00000000"/>
    <w:embedRegular r:id="rId4" w:fontKey="{CD25232A-A398-4367-B695-C84C32B72AD7}"/>
  </w:font>
  <w:font w:name="方正仿宋_GB2312">
    <w:panose1 w:val="02000000000000000000"/>
    <w:charset w:val="86"/>
    <w:family w:val="auto"/>
    <w:pitch w:val="default"/>
    <w:sig w:usb0="A00002BF" w:usb1="184F6CFA" w:usb2="00000012" w:usb3="00000000" w:csb0="00040001" w:csb1="00000000"/>
    <w:embedRegular r:id="rId5" w:fontKey="{4BFB0F7E-DB78-45D8-AF6D-D016B3C1138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396699"/>
    <w:rsid w:val="00466F66"/>
    <w:rsid w:val="00604661"/>
    <w:rsid w:val="00A51255"/>
    <w:rsid w:val="015177E1"/>
    <w:rsid w:val="02184D1E"/>
    <w:rsid w:val="02F9684E"/>
    <w:rsid w:val="04C900C2"/>
    <w:rsid w:val="057D7AE2"/>
    <w:rsid w:val="075E0DFE"/>
    <w:rsid w:val="07761501"/>
    <w:rsid w:val="0785222C"/>
    <w:rsid w:val="092B0BC4"/>
    <w:rsid w:val="09FB33A4"/>
    <w:rsid w:val="0F865924"/>
    <w:rsid w:val="1046581A"/>
    <w:rsid w:val="17FB2C27"/>
    <w:rsid w:val="18657716"/>
    <w:rsid w:val="18AD2173"/>
    <w:rsid w:val="1BC62401"/>
    <w:rsid w:val="1CEF5E03"/>
    <w:rsid w:val="1DAE190B"/>
    <w:rsid w:val="1DE234D3"/>
    <w:rsid w:val="213408CA"/>
    <w:rsid w:val="23EB3172"/>
    <w:rsid w:val="26961EDB"/>
    <w:rsid w:val="27D936AF"/>
    <w:rsid w:val="28E064D4"/>
    <w:rsid w:val="29BA7AEA"/>
    <w:rsid w:val="2B6C23D7"/>
    <w:rsid w:val="2F483F8B"/>
    <w:rsid w:val="32544FB6"/>
    <w:rsid w:val="32A36D40"/>
    <w:rsid w:val="32C136DC"/>
    <w:rsid w:val="34F8207D"/>
    <w:rsid w:val="361B439C"/>
    <w:rsid w:val="391B1873"/>
    <w:rsid w:val="3A542910"/>
    <w:rsid w:val="3A9C5BFB"/>
    <w:rsid w:val="3B223EA3"/>
    <w:rsid w:val="3B6E22A0"/>
    <w:rsid w:val="3BA81AFD"/>
    <w:rsid w:val="3BC46D08"/>
    <w:rsid w:val="3C16595A"/>
    <w:rsid w:val="3E2D6611"/>
    <w:rsid w:val="405A060F"/>
    <w:rsid w:val="40F1696F"/>
    <w:rsid w:val="41014921"/>
    <w:rsid w:val="41490E4E"/>
    <w:rsid w:val="45F349E1"/>
    <w:rsid w:val="4A1947CF"/>
    <w:rsid w:val="4A281D17"/>
    <w:rsid w:val="4A5B271D"/>
    <w:rsid w:val="4BDE717A"/>
    <w:rsid w:val="4C6410CE"/>
    <w:rsid w:val="4E96614C"/>
    <w:rsid w:val="4EAF54CC"/>
    <w:rsid w:val="5153670D"/>
    <w:rsid w:val="51640302"/>
    <w:rsid w:val="54E5012F"/>
    <w:rsid w:val="57AC74B7"/>
    <w:rsid w:val="58A834AD"/>
    <w:rsid w:val="59367040"/>
    <w:rsid w:val="5CCD3AF5"/>
    <w:rsid w:val="5E9B387E"/>
    <w:rsid w:val="62B72874"/>
    <w:rsid w:val="659B647C"/>
    <w:rsid w:val="6ACD59B9"/>
    <w:rsid w:val="6C1C6C97"/>
    <w:rsid w:val="6CB542C8"/>
    <w:rsid w:val="6EEB5D7F"/>
    <w:rsid w:val="71C76A04"/>
    <w:rsid w:val="73BF6120"/>
    <w:rsid w:val="73D32659"/>
    <w:rsid w:val="75970A0E"/>
    <w:rsid w:val="76414CCC"/>
    <w:rsid w:val="77D66EDC"/>
    <w:rsid w:val="799C2A97"/>
    <w:rsid w:val="7B6B5529"/>
    <w:rsid w:val="7CA8270B"/>
    <w:rsid w:val="7CAB00C0"/>
    <w:rsid w:val="7D2E71A9"/>
    <w:rsid w:val="7F642415"/>
    <w:rsid w:val="FEBF4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uto"/>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28"/>
    </w:rPr>
  </w:style>
  <w:style w:type="paragraph" w:styleId="3">
    <w:name w:val="heading 2"/>
    <w:basedOn w:val="1"/>
    <w:next w:val="1"/>
    <w:unhideWhenUsed/>
    <w:qFormat/>
    <w:uiPriority w:val="0"/>
    <w:pPr>
      <w:spacing w:before="60" w:after="240"/>
      <w:jc w:val="left"/>
      <w:outlineLvl w:val="1"/>
    </w:pPr>
    <w:rPr>
      <w:rFonts w:hint="eastAsia" w:ascii="宋体" w:hAnsi="宋体" w:eastAsia="宋体" w:cs="Times New Roman"/>
      <w:b/>
      <w:bCs/>
      <w:kern w:val="0"/>
    </w:rPr>
  </w:style>
  <w:style w:type="paragraph" w:styleId="4">
    <w:name w:val="heading 3"/>
    <w:next w:val="1"/>
    <w:unhideWhenUsed/>
    <w:qFormat/>
    <w:uiPriority w:val="9"/>
    <w:pPr>
      <w:keepNext/>
      <w:keepLines/>
      <w:widowControl w:val="0"/>
      <w:snapToGrid w:val="0"/>
      <w:spacing w:line="348" w:lineRule="auto"/>
      <w:jc w:val="both"/>
      <w:outlineLvl w:val="2"/>
    </w:pPr>
    <w:rPr>
      <w:rFonts w:eastAsia="黑体" w:asciiTheme="minorHAnsi" w:hAnsiTheme="minorHAnsi" w:cstheme="minorBidi"/>
      <w:bCs/>
      <w:kern w:val="2"/>
      <w:sz w:val="24"/>
      <w:szCs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next w:val="1"/>
    <w:unhideWhenUsed/>
    <w:qFormat/>
    <w:uiPriority w:val="0"/>
    <w:pPr>
      <w:widowControl w:val="0"/>
      <w:snapToGrid w:val="0"/>
      <w:spacing w:after="120" w:line="348" w:lineRule="auto"/>
      <w:jc w:val="both"/>
    </w:pPr>
    <w:rPr>
      <w:rFonts w:ascii="等线" w:hAnsi="等线" w:eastAsia="等线" w:cs="Times New Roman"/>
      <w:kern w:val="2"/>
      <w:sz w:val="24"/>
      <w:szCs w:val="24"/>
      <w:lang w:val="en-US" w:eastAsia="zh-CN" w:bidi="ar-SA"/>
    </w:rPr>
  </w:style>
  <w:style w:type="paragraph" w:styleId="7">
    <w:name w:val="Plain Text"/>
    <w:basedOn w:val="1"/>
    <w:qFormat/>
    <w:uiPriority w:val="99"/>
    <w:pPr>
      <w:autoSpaceDE w:val="0"/>
      <w:autoSpaceDN w:val="0"/>
      <w:adjustRightInd w:val="0"/>
      <w:textAlignment w:val="baseline"/>
    </w:pPr>
    <w:rPr>
      <w:rFonts w:ascii="宋体"/>
    </w:rPr>
  </w:style>
  <w:style w:type="paragraph" w:styleId="8">
    <w:name w:val="Normal (Web)"/>
    <w:basedOn w:val="1"/>
    <w:qFormat/>
    <w:uiPriority w:val="0"/>
    <w:pPr>
      <w:spacing w:beforeAutospacing="1" w:afterAutospacing="1"/>
      <w:jc w:val="left"/>
    </w:pPr>
    <w:rPr>
      <w:rFonts w:cs="Times New Roman"/>
      <w:kern w:val="0"/>
    </w:rPr>
  </w:style>
  <w:style w:type="character" w:styleId="11">
    <w:name w:val="Emphasis"/>
    <w:basedOn w:val="10"/>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6810</Words>
  <Characters>7007</Characters>
  <Lines>49</Lines>
  <Paragraphs>13</Paragraphs>
  <TotalTime>231</TotalTime>
  <ScaleCrop>false</ScaleCrop>
  <LinksUpToDate>false</LinksUpToDate>
  <CharactersWithSpaces>7059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shennc</cp:lastModifiedBy>
  <dcterms:modified xsi:type="dcterms:W3CDTF">2026-05-22T07:35:22Z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F2CD0AE3B8C93BD84789C76988DCDCF6_42</vt:lpwstr>
  </property>
  <property fmtid="{D5CDD505-2E9C-101B-9397-08002B2CF9AE}" pid="4" name="KSOTemplateDocerSaveRecord">
    <vt:lpwstr>eyJoZGlkIjoiNmNkNWI2ZGM1ZTQ1YTYxOGYyZGJhMjQ2MzdhYTYxMzIiLCJ1c2VySWQiOiI0OTQ1MTg0OTAifQ==</vt:lpwstr>
  </property>
</Properties>
</file>