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98D90">
      <w:pPr>
        <w:pStyle w:val="28"/>
        <w:framePr w:w="9639" w:h="624" w:hRule="exact" w:hSpace="181" w:vSpace="181" w:wrap="around" w:hAnchor="page" w:x="1305" w:y="2269"/>
        <w:rPr>
          <w:rFonts w:ascii="Arial" w:hAnsi="Arial" w:eastAsia="黑体" w:cs="Arial"/>
          <w:b w:val="0"/>
          <w:bCs w:val="0"/>
          <w:w w:val="100"/>
          <w:sz w:val="48"/>
          <w:szCs w:val="48"/>
        </w:rPr>
      </w:pPr>
      <w:bookmarkStart w:id="0" w:name="_Hlk26473981"/>
      <w:r>
        <w:rPr>
          <w:rFonts w:hint="default" w:ascii="Arial" w:hAnsi="Arial" w:eastAsia="黑体" w:cs="Arial"/>
          <w:b w:val="0"/>
          <w:w w:val="100"/>
          <w:sz w:val="48"/>
        </w:rPr>
        <w:t>团体</w:t>
      </w:r>
      <w:r>
        <w:rPr>
          <w:rFonts w:hint="default" w:ascii="Arial" w:hAnsi="Arial" w:eastAsia="黑体" w:cs="Arial"/>
          <w:b w:val="0"/>
          <w:bCs w:val="0"/>
          <w:w w:val="100"/>
          <w:sz w:val="48"/>
          <w:szCs w:val="48"/>
        </w:rPr>
        <w:t>标准</w:t>
      </w:r>
    </w:p>
    <w:bookmarkEnd w:id="0"/>
    <w:p w14:paraId="4D089FCF">
      <w:pPr>
        <w:pStyle w:val="29"/>
        <w:rPr>
          <w:rFonts w:ascii="Arial" w:hAnsi="Arial" w:cs="Arial"/>
        </w:rPr>
      </w:pPr>
      <w:r>
        <w:rPr>
          <w:rFonts w:ascii="Arial" w:hAnsi="Arial" w:cs="Arial"/>
        </w:rPr>
        <w:t>T/</w:t>
      </w:r>
      <w:r>
        <w:rPr>
          <w:rFonts w:ascii="Arial" w:hAnsi="Arial" w:cs="Arial"/>
        </w:rPr>
        <w:fldChar w:fldCharType="begin">
          <w:ffData>
            <w:name w:val="文字1"/>
            <w:enabled/>
            <w:calcOnExit w:val="0"/>
            <w:textInput>
              <w:default w:val="CSES"/>
            </w:textInput>
          </w:ffData>
        </w:fldChar>
      </w:r>
      <w:bookmarkStart w:id="1" w:name="文字1"/>
      <w:r>
        <w:rPr>
          <w:rFonts w:ascii="Arial" w:hAnsi="Arial" w:cs="Arial"/>
        </w:rPr>
        <w:instrText xml:space="preserve"> FORMTEXT </w:instrText>
      </w:r>
      <w:r>
        <w:rPr>
          <w:rFonts w:ascii="Arial" w:hAnsi="Arial" w:cs="Arial"/>
        </w:rPr>
        <w:fldChar w:fldCharType="separate"/>
      </w:r>
      <w:r>
        <w:rPr>
          <w:rFonts w:ascii="Arial" w:hAnsi="Arial" w:cs="Arial"/>
        </w:rPr>
        <w:t>CSES</w:t>
      </w:r>
      <w:r>
        <w:rPr>
          <w:rFonts w:ascii="Arial" w:hAnsi="Arial" w:cs="Arial"/>
        </w:rPr>
        <w:fldChar w:fldCharType="end"/>
      </w:r>
      <w:bookmarkEnd w:id="1"/>
      <w:r>
        <w:rPr>
          <w:rFonts w:ascii="Arial" w:hAnsi="Arial" w:cs="Arial"/>
        </w:rPr>
        <w:t xml:space="preserve"> </w:t>
      </w:r>
      <w:r>
        <w:rPr>
          <w:rFonts w:ascii="Arial" w:hAnsi="Arial" w:cs="Arial"/>
        </w:rPr>
        <w:fldChar w:fldCharType="begin">
          <w:ffData>
            <w:name w:val="NSTD_CODE_F"/>
            <w:enabled/>
            <w:calcOnExit w:val="0"/>
            <w:textInput>
              <w:default w:val="XXXX"/>
            </w:textInput>
          </w:ffData>
        </w:fldChar>
      </w:r>
      <w:bookmarkStart w:id="2" w:name="NSTD_CODE_F"/>
      <w:r>
        <w:rPr>
          <w:rFonts w:ascii="Arial" w:hAnsi="Arial" w:cs="Arial"/>
        </w:rPr>
        <w:instrText xml:space="preserve"> FORMTEXT </w:instrText>
      </w:r>
      <w:r>
        <w:rPr>
          <w:rFonts w:ascii="Arial" w:hAnsi="Arial" w:cs="Arial"/>
        </w:rPr>
        <w:fldChar w:fldCharType="separate"/>
      </w:r>
      <w:r>
        <w:rPr>
          <w:rFonts w:ascii="Arial" w:hAnsi="Arial" w:cs="Arial"/>
        </w:rPr>
        <w:t>XXXX</w:t>
      </w:r>
      <w:r>
        <w:rPr>
          <w:rFonts w:ascii="Arial" w:hAnsi="Arial" w:cs="Arial"/>
        </w:rPr>
        <w:fldChar w:fldCharType="end"/>
      </w:r>
      <w:bookmarkEnd w:id="2"/>
      <w:r>
        <w:rPr>
          <w:rFonts w:ascii="Arial" w:hAnsi="Arial" w:cs="Arial"/>
        </w:rPr>
        <w:t>—</w:t>
      </w:r>
      <w:r>
        <w:rPr>
          <w:rFonts w:ascii="Arial" w:hAnsi="Arial" w:cs="Arial"/>
        </w:rPr>
        <w:fldChar w:fldCharType="begin">
          <w:ffData>
            <w:name w:val="NSTD_CODE_B"/>
            <w:enabled/>
            <w:calcOnExit w:val="0"/>
            <w:textInput>
              <w:default w:val="XXXX"/>
            </w:textInput>
          </w:ffData>
        </w:fldChar>
      </w:r>
      <w:bookmarkStart w:id="3" w:name="NSTD_CODE_B"/>
      <w:r>
        <w:rPr>
          <w:rFonts w:ascii="Arial" w:hAnsi="Arial" w:cs="Arial"/>
        </w:rPr>
        <w:instrText xml:space="preserve"> FORMTEXT </w:instrText>
      </w:r>
      <w:r>
        <w:rPr>
          <w:rFonts w:ascii="Arial" w:hAnsi="Arial" w:cs="Arial"/>
        </w:rPr>
        <w:fldChar w:fldCharType="separate"/>
      </w:r>
      <w:r>
        <w:rPr>
          <w:rFonts w:ascii="Arial" w:hAnsi="Arial" w:cs="Arial"/>
        </w:rPr>
        <w:t>XXXX</w:t>
      </w:r>
      <w:r>
        <w:rPr>
          <w:rFonts w:ascii="Arial" w:hAnsi="Arial" w:cs="Arial"/>
        </w:rPr>
        <w:fldChar w:fldCharType="end"/>
      </w:r>
      <w:bookmarkEnd w:id="3"/>
    </w:p>
    <w:p w14:paraId="5EE7A183">
      <w:pPr>
        <w:pStyle w:val="30"/>
        <w:rPr>
          <w:rFonts w:ascii="Arial" w:hAnsi="Arial" w:cs="Arial"/>
        </w:rPr>
      </w:pPr>
    </w:p>
    <w:p w14:paraId="772C0C35">
      <w:pPr>
        <w:spacing w:line="240" w:lineRule="auto"/>
        <w:rPr>
          <w:rFonts w:ascii="Arial" w:hAnsi="Arial" w:eastAsia="黑体" w:cs="Arial"/>
          <w:kern w:val="0"/>
          <w:sz w:val="10"/>
          <w:szCs w:val="10"/>
        </w:rPr>
      </w:pPr>
      <w:r>
        <w:rPr>
          <w:rFonts w:ascii="Arial" w:hAnsi="Arial" w:eastAsia="黑体" w:cs="Arial"/>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FDD437D">
      <w:pPr>
        <w:pStyle w:val="28"/>
        <w:framePr w:w="9639" w:h="6976" w:hRule="exact" w:hSpace="0" w:vSpace="0" w:wrap="around" w:hAnchor="page" w:y="6408"/>
        <w:jc w:val="center"/>
        <w:rPr>
          <w:rFonts w:ascii="Arial" w:hAnsi="Arial" w:eastAsia="黑体" w:cs="Arial"/>
          <w:b w:val="0"/>
          <w:bCs w:val="0"/>
          <w:w w:val="100"/>
        </w:rPr>
      </w:pPr>
    </w:p>
    <w:p w14:paraId="16730487">
      <w:pPr>
        <w:pStyle w:val="31"/>
        <w:framePr w:h="6974" w:hRule="exact" w:wrap="around" w:x="1419" w:anchorLock="1"/>
        <w:rPr>
          <w:rFonts w:ascii="Arial" w:hAnsi="Arial" w:cs="Arial"/>
        </w:rPr>
      </w:pPr>
      <w:bookmarkStart w:id="4" w:name="_Toc3696"/>
      <w:bookmarkStart w:id="5" w:name="_Toc19588"/>
      <w:bookmarkStart w:id="6" w:name="_Toc21966"/>
      <w:bookmarkStart w:id="7" w:name="_Hlk149547269"/>
      <w:r>
        <w:rPr>
          <w:rFonts w:hint="eastAsia" w:ascii="黑体" w:hAnsi="黑体" w:eastAsia="黑体" w:cs="黑体"/>
          <w:lang w:val="en-US" w:eastAsia="zh-CN"/>
        </w:rPr>
        <w:t>现代煤化工</w:t>
      </w:r>
      <w:r>
        <w:rPr>
          <w:rFonts w:hint="eastAsia" w:ascii="黑体" w:hAnsi="黑体" w:eastAsia="黑体" w:cs="黑体"/>
        </w:rPr>
        <w:t>建设项目温室气体排放</w:t>
      </w:r>
      <w:r>
        <w:rPr>
          <w:rFonts w:hint="eastAsia" w:ascii="黑体" w:hAnsi="黑体" w:eastAsia="黑体" w:cs="黑体"/>
        </w:rPr>
        <w:br w:type="textWrapping"/>
      </w:r>
      <w:r>
        <w:rPr>
          <w:rFonts w:hint="eastAsia" w:ascii="黑体" w:hAnsi="黑体" w:eastAsia="黑体" w:cs="黑体"/>
          <w:lang w:val="en-US" w:eastAsia="zh-CN"/>
        </w:rPr>
        <w:t>生态</w:t>
      </w:r>
      <w:r>
        <w:rPr>
          <w:rFonts w:hint="eastAsia" w:ascii="黑体" w:hAnsi="黑体" w:eastAsia="黑体" w:cs="黑体"/>
        </w:rPr>
        <w:t>环境影响评价技术指南（试行）</w:t>
      </w:r>
      <w:bookmarkEnd w:id="4"/>
      <w:bookmarkEnd w:id="5"/>
      <w:bookmarkEnd w:id="6"/>
      <w:bookmarkEnd w:id="7"/>
    </w:p>
    <w:p w14:paraId="55817B18">
      <w:pPr>
        <w:framePr w:w="9639" w:h="6974" w:hRule="exact" w:wrap="around" w:vAnchor="page" w:hAnchor="page" w:x="1419" w:y="6408" w:anchorLock="1"/>
        <w:ind w:left="-1418"/>
        <w:rPr>
          <w:rFonts w:ascii="Arial" w:hAnsi="Arial" w:cs="Arial"/>
        </w:rPr>
      </w:pPr>
    </w:p>
    <w:p w14:paraId="635C2F91">
      <w:pPr>
        <w:pStyle w:val="32"/>
        <w:framePr w:w="9639" w:h="6974" w:hRule="exact" w:wrap="around" w:vAnchor="page" w:hAnchor="page" w:x="1419" w:y="6408" w:anchorLock="1"/>
        <w:textAlignment w:val="bottom"/>
        <w:rPr>
          <w:rFonts w:ascii="Arial" w:hAnsi="Arial" w:eastAsia="黑体" w:cs="Arial"/>
          <w:szCs w:val="28"/>
        </w:rPr>
      </w:pPr>
      <w:r>
        <w:rPr>
          <w:rFonts w:hint="default" w:ascii="Arial" w:hAnsi="Arial" w:eastAsia="黑体" w:cs="Arial"/>
          <w:szCs w:val="28"/>
        </w:rPr>
        <w:t>Technical Guidelines for Ecological</w:t>
      </w:r>
      <w:r>
        <w:rPr>
          <w:rFonts w:hint="eastAsia" w:ascii="Arial" w:hAnsi="Arial" w:eastAsia="黑体" w:cs="Arial"/>
          <w:szCs w:val="28"/>
          <w:lang w:val="en-US" w:eastAsia="zh-CN"/>
        </w:rPr>
        <w:t xml:space="preserve"> and </w:t>
      </w:r>
      <w:r>
        <w:rPr>
          <w:rFonts w:hint="default" w:ascii="Arial" w:hAnsi="Arial" w:eastAsia="黑体" w:cs="Arial"/>
          <w:szCs w:val="28"/>
        </w:rPr>
        <w:t xml:space="preserve">Environmental Impact Assessment of Greenhouse Gas Emissions in </w:t>
      </w:r>
      <w:r>
        <w:rPr>
          <w:rFonts w:hint="eastAsia" w:ascii="Arial" w:hAnsi="Arial" w:eastAsia="黑体" w:cs="Arial"/>
          <w:szCs w:val="28"/>
          <w:lang w:eastAsia="zh-CN"/>
        </w:rPr>
        <w:t>Modern Coal Chemical Industry Construction Projects</w:t>
      </w:r>
    </w:p>
    <w:p w14:paraId="6299C46F">
      <w:pPr>
        <w:framePr w:w="9639" w:h="6974" w:hRule="exact" w:wrap="around" w:vAnchor="page" w:hAnchor="page" w:x="1419" w:y="6408" w:anchorLock="1"/>
        <w:spacing w:line="760" w:lineRule="exact"/>
        <w:ind w:left="-1418"/>
        <w:rPr>
          <w:rFonts w:ascii="Arial" w:hAnsi="Arial" w:cs="Arial"/>
        </w:rPr>
      </w:pPr>
    </w:p>
    <w:p w14:paraId="4011D2B5">
      <w:pPr>
        <w:pStyle w:val="32"/>
        <w:framePr w:w="9639" w:h="6974" w:hRule="exact" w:wrap="around" w:vAnchor="page" w:hAnchor="page" w:x="1419" w:y="6408" w:anchorLock="1"/>
        <w:textAlignment w:val="bottom"/>
        <w:rPr>
          <w:rFonts w:ascii="Arial" w:hAnsi="Arial" w:eastAsia="黑体" w:cs="Arial"/>
          <w:szCs w:val="28"/>
        </w:rPr>
      </w:pPr>
    </w:p>
    <w:p w14:paraId="06CD3150">
      <w:pPr>
        <w:pStyle w:val="32"/>
        <w:framePr w:w="9639" w:h="6974" w:hRule="exact" w:wrap="around" w:vAnchor="page" w:hAnchor="page" w:x="1419" w:y="6408" w:anchorLock="1"/>
        <w:spacing w:before="440" w:after="160"/>
        <w:textAlignment w:val="bottom"/>
        <w:rPr>
          <w:rFonts w:ascii="Arial" w:hAnsi="Arial" w:cs="Arial"/>
          <w:sz w:val="24"/>
          <w:szCs w:val="28"/>
        </w:rPr>
      </w:pPr>
      <w:r>
        <w:rPr>
          <w:rFonts w:hint="default" w:ascii="Arial" w:hAnsi="Arial" w:cs="Arial"/>
          <w:sz w:val="24"/>
          <w:szCs w:val="28"/>
          <w:lang w:val="en-US" w:eastAsia="zh-CN"/>
        </w:rPr>
        <w:t>征求意见稿</w:t>
      </w:r>
    </w:p>
    <w:p w14:paraId="08E98F73">
      <w:pPr>
        <w:pStyle w:val="32"/>
        <w:framePr w:w="9639" w:h="6974" w:hRule="exact" w:wrap="around" w:vAnchor="page" w:hAnchor="page" w:x="1419" w:y="6408" w:anchorLock="1"/>
        <w:spacing w:before="180" w:line="240" w:lineRule="atLeast"/>
        <w:textAlignment w:val="bottom"/>
        <w:rPr>
          <w:rFonts w:ascii="Arial" w:hAnsi="Arial" w:cs="Arial"/>
          <w:sz w:val="21"/>
          <w:szCs w:val="28"/>
        </w:rPr>
      </w:pPr>
    </w:p>
    <w:p w14:paraId="0330E9E6">
      <w:pPr>
        <w:pStyle w:val="32"/>
        <w:framePr w:w="9639" w:h="6974" w:hRule="exact" w:wrap="around" w:vAnchor="page" w:hAnchor="page" w:x="1419" w:y="6408" w:anchorLock="1"/>
        <w:spacing w:before="720" w:beforeLines="300" w:after="72" w:afterLines="30" w:line="240" w:lineRule="auto"/>
        <w:textAlignment w:val="bottom"/>
        <w:rPr>
          <w:rFonts w:ascii="Arial" w:hAnsi="Arial" w:cs="Arial"/>
          <w:b/>
          <w:sz w:val="21"/>
          <w:szCs w:val="28"/>
        </w:rPr>
      </w:pPr>
      <w:r>
        <w:rPr>
          <w:rFonts w:ascii="Arial" w:hAnsi="Arial" w:cs="Arial"/>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8" w:name="下拉2"/>
      <w:r>
        <w:rPr>
          <w:rFonts w:ascii="Arial" w:hAnsi="Arial" w:cs="Arial"/>
          <w:b/>
          <w:sz w:val="21"/>
          <w:szCs w:val="28"/>
        </w:rPr>
        <w:instrText xml:space="preserve"> FORMDROPDOWN </w:instrText>
      </w:r>
      <w:r>
        <w:rPr>
          <w:rFonts w:ascii="Arial" w:hAnsi="Arial" w:cs="Arial"/>
          <w:b/>
          <w:sz w:val="21"/>
          <w:szCs w:val="28"/>
        </w:rPr>
        <w:fldChar w:fldCharType="separate"/>
      </w:r>
      <w:r>
        <w:rPr>
          <w:rFonts w:ascii="Arial" w:hAnsi="Arial" w:cs="Arial"/>
          <w:b/>
          <w:sz w:val="21"/>
          <w:szCs w:val="28"/>
        </w:rPr>
        <w:fldChar w:fldCharType="end"/>
      </w:r>
      <w:bookmarkEnd w:id="8"/>
    </w:p>
    <w:p w14:paraId="0689DC19">
      <w:pPr>
        <w:pStyle w:val="33"/>
        <w:framePr w:wrap="around" w:y="14176"/>
        <w:rPr>
          <w:rFonts w:ascii="Arial" w:hAnsi="Arial" w:cs="Arial"/>
        </w:rPr>
      </w:pPr>
      <w:r>
        <w:rPr>
          <w:rFonts w:hint="default" w:ascii="Arial" w:hAnsi="Arial" w:cs="Arial"/>
          <w:lang w:val="en-US" w:eastAsia="zh-CN"/>
        </w:rPr>
        <w:t>2026</w:t>
      </w:r>
      <w:r>
        <w:rPr>
          <w:rFonts w:ascii="Arial" w:hAnsi="Arial" w:cs="Arial"/>
        </w:rPr>
        <w:t xml:space="preserve"> - </w:t>
      </w:r>
      <w:r>
        <w:rPr>
          <w:rFonts w:ascii="Arial" w:hAnsi="Arial" w:cs="Arial"/>
        </w:rPr>
        <w:fldChar w:fldCharType="begin">
          <w:ffData>
            <w:name w:val="PLSH_DATE_M"/>
            <w:enabled/>
            <w:calcOnExit w:val="0"/>
            <w:textInput>
              <w:default w:val="XX"/>
              <w:maxLength w:val="2"/>
            </w:textInput>
          </w:ffData>
        </w:fldChar>
      </w:r>
      <w:bookmarkStart w:id="9" w:name="PLSH_DATE_M"/>
      <w:r>
        <w:rPr>
          <w:rFonts w:ascii="Arial" w:hAnsi="Arial" w:cs="Arial"/>
        </w:rPr>
        <w:instrText xml:space="preserve"> FORMTEXT </w:instrText>
      </w:r>
      <w:r>
        <w:rPr>
          <w:rFonts w:ascii="Arial" w:hAnsi="Arial" w:cs="Arial"/>
        </w:rPr>
        <w:fldChar w:fldCharType="separate"/>
      </w:r>
      <w:r>
        <w:rPr>
          <w:rFonts w:ascii="Arial" w:hAnsi="Arial" w:cs="Arial"/>
        </w:rPr>
        <w:t>XX</w:t>
      </w:r>
      <w:r>
        <w:rPr>
          <w:rFonts w:ascii="Arial" w:hAnsi="Arial" w:cs="Arial"/>
        </w:rPr>
        <w:fldChar w:fldCharType="end"/>
      </w:r>
      <w:bookmarkEnd w:id="9"/>
      <w:r>
        <w:rPr>
          <w:rFonts w:ascii="Arial" w:hAnsi="Arial" w:cs="Arial"/>
        </w:rPr>
        <w:t xml:space="preserve"> - </w:t>
      </w:r>
      <w:r>
        <w:rPr>
          <w:rFonts w:ascii="Arial" w:hAnsi="Arial" w:cs="Arial"/>
        </w:rPr>
        <w:fldChar w:fldCharType="begin">
          <w:ffData>
            <w:name w:val="PLSH_DATE_D"/>
            <w:enabled/>
            <w:calcOnExit w:val="0"/>
            <w:textInput>
              <w:default w:val="XX"/>
              <w:maxLength w:val="2"/>
            </w:textInput>
          </w:ffData>
        </w:fldChar>
      </w:r>
      <w:bookmarkStart w:id="10" w:name="PLSH_DATE_D"/>
      <w:r>
        <w:rPr>
          <w:rFonts w:ascii="Arial" w:hAnsi="Arial" w:cs="Arial"/>
        </w:rPr>
        <w:instrText xml:space="preserve"> FORMTEXT </w:instrText>
      </w:r>
      <w:r>
        <w:rPr>
          <w:rFonts w:ascii="Arial" w:hAnsi="Arial" w:cs="Arial"/>
        </w:rPr>
        <w:fldChar w:fldCharType="separate"/>
      </w:r>
      <w:r>
        <w:rPr>
          <w:rFonts w:ascii="Arial" w:hAnsi="Arial" w:cs="Arial"/>
        </w:rPr>
        <w:t>XX</w:t>
      </w:r>
      <w:r>
        <w:rPr>
          <w:rFonts w:ascii="Arial" w:hAnsi="Arial" w:cs="Arial"/>
        </w:rPr>
        <w:fldChar w:fldCharType="end"/>
      </w:r>
      <w:bookmarkEnd w:id="10"/>
      <w:r>
        <w:rPr>
          <w:rFonts w:hint="default" w:ascii="Arial" w:hAnsi="Arial" w:cs="Arial"/>
        </w:rPr>
        <w:t>发布</w:t>
      </w:r>
    </w:p>
    <w:p w14:paraId="71CD5FC2">
      <w:pPr>
        <w:pStyle w:val="35"/>
        <w:framePr w:wrap="around" w:y="14176"/>
        <w:rPr>
          <w:rFonts w:ascii="Arial" w:hAnsi="Arial" w:cs="Arial"/>
        </w:rPr>
      </w:pPr>
      <w:r>
        <w:rPr>
          <w:rFonts w:hint="default" w:ascii="Arial" w:hAnsi="Arial" w:cs="Arial"/>
          <w:lang w:val="en-US" w:eastAsia="zh-CN"/>
        </w:rPr>
        <w:t>2026</w:t>
      </w:r>
      <w:r>
        <w:rPr>
          <w:rFonts w:ascii="Arial" w:hAnsi="Arial" w:cs="Arial"/>
        </w:rPr>
        <w:t xml:space="preserve"> - </w:t>
      </w:r>
      <w:r>
        <w:rPr>
          <w:rFonts w:ascii="Arial" w:hAnsi="Arial" w:cs="Arial"/>
        </w:rPr>
        <w:fldChar w:fldCharType="begin">
          <w:ffData>
            <w:name w:val="CROT_DATE_M"/>
            <w:enabled/>
            <w:calcOnExit w:val="0"/>
            <w:textInput>
              <w:default w:val="XX"/>
              <w:maxLength w:val="2"/>
            </w:textInput>
          </w:ffData>
        </w:fldChar>
      </w:r>
      <w:bookmarkStart w:id="11" w:name="CROT_DATE_M"/>
      <w:r>
        <w:rPr>
          <w:rFonts w:ascii="Arial" w:hAnsi="Arial" w:cs="Arial"/>
        </w:rPr>
        <w:instrText xml:space="preserve"> FORMTEXT </w:instrText>
      </w:r>
      <w:r>
        <w:rPr>
          <w:rFonts w:ascii="Arial" w:hAnsi="Arial" w:cs="Arial"/>
        </w:rPr>
        <w:fldChar w:fldCharType="separate"/>
      </w:r>
      <w:r>
        <w:rPr>
          <w:rFonts w:ascii="Arial" w:hAnsi="Arial" w:cs="Arial"/>
        </w:rPr>
        <w:t>XX</w:t>
      </w:r>
      <w:r>
        <w:rPr>
          <w:rFonts w:ascii="Arial" w:hAnsi="Arial" w:cs="Arial"/>
        </w:rPr>
        <w:fldChar w:fldCharType="end"/>
      </w:r>
      <w:bookmarkEnd w:id="11"/>
      <w:r>
        <w:rPr>
          <w:rFonts w:ascii="Arial" w:hAnsi="Arial" w:cs="Arial"/>
        </w:rPr>
        <w:t xml:space="preserve"> - </w:t>
      </w:r>
      <w:r>
        <w:rPr>
          <w:rFonts w:ascii="Arial" w:hAnsi="Arial" w:cs="Arial"/>
        </w:rPr>
        <w:fldChar w:fldCharType="begin">
          <w:ffData>
            <w:name w:val="CROT_DATE_D"/>
            <w:enabled/>
            <w:calcOnExit w:val="0"/>
            <w:textInput>
              <w:default w:val="XX"/>
              <w:maxLength w:val="2"/>
            </w:textInput>
          </w:ffData>
        </w:fldChar>
      </w:r>
      <w:bookmarkStart w:id="12" w:name="CROT_DATE_D"/>
      <w:r>
        <w:rPr>
          <w:rFonts w:ascii="Arial" w:hAnsi="Arial" w:cs="Arial"/>
        </w:rPr>
        <w:instrText xml:space="preserve"> FORMTEXT </w:instrText>
      </w:r>
      <w:r>
        <w:rPr>
          <w:rFonts w:ascii="Arial" w:hAnsi="Arial" w:cs="Arial"/>
        </w:rPr>
        <w:fldChar w:fldCharType="separate"/>
      </w:r>
      <w:r>
        <w:rPr>
          <w:rFonts w:ascii="Arial" w:hAnsi="Arial" w:cs="Arial"/>
        </w:rPr>
        <w:t>XX</w:t>
      </w:r>
      <w:r>
        <w:rPr>
          <w:rFonts w:ascii="Arial" w:hAnsi="Arial" w:cs="Arial"/>
        </w:rPr>
        <w:fldChar w:fldCharType="end"/>
      </w:r>
      <w:bookmarkEnd w:id="12"/>
      <w:r>
        <w:rPr>
          <w:rFonts w:hint="default" w:ascii="Arial" w:hAnsi="Arial" w:cs="Arial"/>
        </w:rPr>
        <w:t>实施</w:t>
      </w:r>
    </w:p>
    <w:p w14:paraId="6EDF7A8B">
      <w:pPr>
        <w:pStyle w:val="37"/>
        <w:framePr w:h="584" w:hRule="exact" w:hSpace="181" w:vSpace="181" w:wrap="around" w:y="14800"/>
        <w:rPr>
          <w:rFonts w:ascii="Arial" w:hAnsi="Arial" w:cs="Arial"/>
        </w:rPr>
      </w:pPr>
      <w:r>
        <w:rPr>
          <w:rFonts w:ascii="Arial" w:hAnsi="Arial" w:cs="Arial"/>
          <w:w w:val="100"/>
          <w:sz w:val="28"/>
        </w:rPr>
        <w:fldChar w:fldCharType="begin">
          <w:ffData>
            <w:name w:val="fm"/>
            <w:enabled/>
            <w:calcOnExit w:val="0"/>
            <w:textInput>
              <w:default w:val="中国环境科学学会"/>
            </w:textInput>
          </w:ffData>
        </w:fldChar>
      </w:r>
      <w:bookmarkStart w:id="13" w:name="fm"/>
      <w:r>
        <w:rPr>
          <w:rFonts w:ascii="Arial" w:hAnsi="Arial" w:cs="Arial"/>
          <w:w w:val="100"/>
          <w:sz w:val="28"/>
        </w:rPr>
        <w:instrText xml:space="preserve"> FORMTEXT </w:instrText>
      </w:r>
      <w:r>
        <w:rPr>
          <w:rFonts w:ascii="Arial" w:hAnsi="Arial" w:cs="Arial"/>
          <w:w w:val="100"/>
          <w:sz w:val="28"/>
        </w:rPr>
        <w:fldChar w:fldCharType="separate"/>
      </w:r>
      <w:r>
        <w:rPr>
          <w:rFonts w:ascii="Arial" w:hAnsi="Arial" w:cs="Arial"/>
          <w:w w:val="100"/>
          <w:sz w:val="28"/>
        </w:rPr>
        <w:t>中国环境科学学会</w:t>
      </w:r>
      <w:r>
        <w:rPr>
          <w:rFonts w:ascii="Arial" w:hAnsi="Arial" w:cs="Arial"/>
          <w:w w:val="100"/>
          <w:sz w:val="28"/>
        </w:rPr>
        <w:fldChar w:fldCharType="end"/>
      </w:r>
      <w:bookmarkEnd w:id="13"/>
      <w:r>
        <w:rPr>
          <w:rFonts w:ascii="Arial" w:hAnsi="Arial" w:cs="Arial"/>
          <w:w w:val="100"/>
          <w:sz w:val="28"/>
        </w:rPr>
        <w:t>  </w:t>
      </w:r>
      <w:r>
        <w:rPr>
          <w:rStyle w:val="39"/>
          <w:rFonts w:hint="default" w:ascii="Arial" w:hAnsi="Arial" w:cs="Arial"/>
          <w:position w:val="0"/>
        </w:rPr>
        <w:t>发</w:t>
      </w:r>
      <w:r>
        <w:rPr>
          <w:rStyle w:val="39"/>
          <w:rFonts w:hint="default" w:ascii="Arial" w:hAnsi="Arial" w:cs="Arial"/>
          <w:spacing w:val="0"/>
          <w:position w:val="0"/>
        </w:rPr>
        <w:t>布</w:t>
      </w:r>
    </w:p>
    <w:p w14:paraId="0E6D18C4">
      <w:pPr>
        <w:rPr>
          <w:rFonts w:ascii="Arial" w:hAnsi="Arial" w:cs="Arial"/>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567" w:right="1134" w:bottom="1134" w:left="1134" w:header="1418" w:footer="1134" w:gutter="284"/>
          <w:pgBorders>
            <w:top w:val="none" w:sz="0" w:space="0"/>
            <w:left w:val="none" w:sz="0" w:space="0"/>
            <w:bottom w:val="none" w:sz="0" w:space="0"/>
            <w:right w:val="none" w:sz="0" w:space="0"/>
          </w:pgBorders>
          <w:pgNumType w:fmt="upperRoman"/>
          <w:cols w:space="425" w:num="1"/>
          <w:titlePg/>
          <w:docGrid w:linePitch="312" w:charSpace="0"/>
        </w:sectPr>
      </w:pPr>
      <w:r>
        <w:rPr>
          <w:rFonts w:hint="default" w:ascii="Arial" w:hAnsi="Arial" w:cs="Arial"/>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C8FDEC6">
      <w:pPr>
        <w:jc w:val="center"/>
        <w:rPr>
          <w:rFonts w:hint="eastAsia" w:ascii="方正小标宋简体" w:hAnsi="方正小标宋简体" w:eastAsia="方正小标宋简体" w:cs="方正小标宋简体"/>
          <w:sz w:val="36"/>
          <w:szCs w:val="36"/>
          <w:lang w:val="en-US" w:eastAsia="zh-CN"/>
        </w:rPr>
      </w:pPr>
    </w:p>
    <w:p w14:paraId="3CF3B7BD">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目  次</w:t>
      </w:r>
    </w:p>
    <w:sdt>
      <w:sdtPr>
        <w:rPr>
          <w:rFonts w:ascii="宋体" w:hAnsi="宋体" w:eastAsia="宋体" w:cstheme="minorBidi"/>
          <w:kern w:val="2"/>
          <w:sz w:val="21"/>
          <w:szCs w:val="24"/>
          <w:lang w:val="en-US" w:eastAsia="zh-CN" w:bidi="ar-SA"/>
        </w:rPr>
        <w:id w:val="147462955"/>
        <w15:color w:val="DBDBDB"/>
        <w:docPartObj>
          <w:docPartGallery w:val="Table of Contents"/>
          <w:docPartUnique/>
        </w:docPartObj>
      </w:sdtPr>
      <w:sdtEndPr>
        <w:rPr>
          <w:rFonts w:hint="eastAsia" w:ascii="宋体" w:hAnsi="宋体" w:eastAsia="宋体" w:cs="宋体"/>
          <w:kern w:val="2"/>
          <w:sz w:val="21"/>
          <w:szCs w:val="21"/>
          <w:lang w:val="en-US" w:eastAsia="zh-CN" w:bidi="ar-SA"/>
        </w:rPr>
      </w:sdtEndPr>
      <w:sdtContent>
        <w:p w14:paraId="0EC096EA">
          <w:pPr>
            <w:spacing w:before="0" w:beforeLines="0" w:after="0" w:afterLines="0" w:line="240" w:lineRule="auto"/>
            <w:ind w:left="0" w:leftChars="0" w:right="0" w:rightChars="0" w:firstLine="0" w:firstLineChars="0"/>
            <w:jc w:val="center"/>
          </w:pPr>
        </w:p>
        <w:p w14:paraId="524049D6">
          <w:pPr>
            <w:pStyle w:val="7"/>
            <w:tabs>
              <w:tab w:val="right" w:leader="dot" w:pos="9354"/>
            </w:tabs>
          </w:pPr>
          <w:r>
            <w:rPr>
              <w:rFonts w:hint="eastAsia"/>
              <w:lang w:val="en-US" w:eastAsia="zh-CN"/>
            </w:rPr>
            <w:fldChar w:fldCharType="begin"/>
          </w:r>
          <w:r>
            <w:rPr>
              <w:rFonts w:hint="eastAsia"/>
              <w:lang w:val="en-US" w:eastAsia="zh-CN"/>
            </w:rPr>
            <w:instrText xml:space="preserve">TOC \o "1-1"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_Toc25853 </w:instrText>
          </w:r>
          <w:r>
            <w:rPr>
              <w:rFonts w:hint="eastAsia"/>
              <w:lang w:val="en-US" w:eastAsia="zh-CN"/>
            </w:rPr>
            <w:fldChar w:fldCharType="separate"/>
          </w:r>
          <w:r>
            <w:rPr>
              <w:rFonts w:hint="eastAsia" w:ascii="黑体" w:hAnsi="黑体" w:eastAsia="黑体" w:cs="黑体"/>
              <w:spacing w:val="0"/>
              <w:szCs w:val="31"/>
              <w:lang w:val="en-US" w:eastAsia="zh-CN"/>
            </w:rPr>
            <w:t>前  言</w:t>
          </w:r>
          <w:r>
            <w:tab/>
          </w:r>
          <w:r>
            <w:fldChar w:fldCharType="begin"/>
          </w:r>
          <w:r>
            <w:instrText xml:space="preserve"> PAGEREF _Toc25853 \h </w:instrText>
          </w:r>
          <w:r>
            <w:fldChar w:fldCharType="separate"/>
          </w:r>
          <w:r>
            <w:t>III</w:t>
          </w:r>
          <w:r>
            <w:fldChar w:fldCharType="end"/>
          </w:r>
          <w:r>
            <w:rPr>
              <w:rFonts w:hint="eastAsia"/>
              <w:lang w:val="en-US" w:eastAsia="zh-CN"/>
            </w:rPr>
            <w:fldChar w:fldCharType="end"/>
          </w:r>
        </w:p>
        <w:p w14:paraId="03CBA4D9">
          <w:pPr>
            <w:pStyle w:val="7"/>
            <w:tabs>
              <w:tab w:val="right" w:leader="dot" w:pos="9354"/>
            </w:tabs>
          </w:pPr>
          <w:r>
            <w:rPr>
              <w:rFonts w:hint="eastAsia"/>
              <w:lang w:val="en-US" w:eastAsia="zh-CN"/>
            </w:rPr>
            <w:fldChar w:fldCharType="begin"/>
          </w:r>
          <w:r>
            <w:rPr>
              <w:rFonts w:hint="eastAsia"/>
              <w:lang w:val="en-US" w:eastAsia="zh-CN"/>
            </w:rPr>
            <w:instrText xml:space="preserve"> HYPERLINK \l _Toc1210 </w:instrText>
          </w:r>
          <w:r>
            <w:rPr>
              <w:rFonts w:hint="eastAsia"/>
              <w:lang w:val="en-US" w:eastAsia="zh-CN"/>
            </w:rPr>
            <w:fldChar w:fldCharType="separate"/>
          </w:r>
          <w:r>
            <w:rPr>
              <w:rFonts w:hint="eastAsia" w:ascii="黑体" w:hAnsi="黑体" w:eastAsia="黑体" w:cs="黑体"/>
              <w:spacing w:val="0"/>
              <w:szCs w:val="31"/>
              <w:lang w:val="en-US" w:eastAsia="zh-CN"/>
            </w:rPr>
            <w:t>引  言</w:t>
          </w:r>
          <w:r>
            <w:tab/>
          </w:r>
          <w:r>
            <w:fldChar w:fldCharType="begin"/>
          </w:r>
          <w:r>
            <w:instrText xml:space="preserve"> PAGEREF _Toc1210 \h </w:instrText>
          </w:r>
          <w:r>
            <w:fldChar w:fldCharType="separate"/>
          </w:r>
          <w:r>
            <w:t>IV</w:t>
          </w:r>
          <w:r>
            <w:fldChar w:fldCharType="end"/>
          </w:r>
          <w:r>
            <w:rPr>
              <w:rFonts w:hint="eastAsia"/>
              <w:lang w:val="en-US" w:eastAsia="zh-CN"/>
            </w:rPr>
            <w:fldChar w:fldCharType="end"/>
          </w:r>
        </w:p>
        <w:p w14:paraId="05CF8DBC">
          <w:pPr>
            <w:pStyle w:val="7"/>
            <w:tabs>
              <w:tab w:val="right" w:leader="dot" w:pos="9354"/>
            </w:tabs>
          </w:pPr>
          <w:r>
            <w:rPr>
              <w:rFonts w:hint="eastAsia"/>
              <w:lang w:val="en-US" w:eastAsia="zh-CN"/>
            </w:rPr>
            <w:fldChar w:fldCharType="begin"/>
          </w:r>
          <w:r>
            <w:rPr>
              <w:rFonts w:hint="eastAsia"/>
              <w:lang w:val="en-US" w:eastAsia="zh-CN"/>
            </w:rPr>
            <w:instrText xml:space="preserve"> HYPERLINK \l _Toc981 </w:instrText>
          </w:r>
          <w:r>
            <w:rPr>
              <w:rFonts w:hint="eastAsia"/>
              <w:lang w:val="en-US" w:eastAsia="zh-CN"/>
            </w:rPr>
            <w:fldChar w:fldCharType="separate"/>
          </w:r>
          <w:r>
            <w:rPr>
              <w:rFonts w:ascii="黑体" w:hAnsi="黑体" w:eastAsia="黑体" w:cs="黑体"/>
              <w:spacing w:val="-1"/>
              <w:szCs w:val="21"/>
            </w:rPr>
            <w:t xml:space="preserve">1 </w:t>
          </w:r>
          <w:r>
            <w:rPr>
              <w:rFonts w:hint="eastAsia" w:ascii="黑体" w:hAnsi="黑体" w:eastAsia="黑体" w:cs="黑体"/>
              <w:spacing w:val="-1"/>
              <w:szCs w:val="21"/>
              <w:lang w:val="en-US" w:eastAsia="zh-CN"/>
            </w:rPr>
            <w:t xml:space="preserve"> </w:t>
          </w:r>
          <w:r>
            <w:rPr>
              <w:rFonts w:ascii="黑体" w:hAnsi="黑体" w:eastAsia="黑体" w:cs="黑体"/>
              <w:spacing w:val="-1"/>
              <w:szCs w:val="21"/>
            </w:rPr>
            <w:t>适用范围</w:t>
          </w:r>
          <w:r>
            <w:tab/>
          </w:r>
          <w:r>
            <w:fldChar w:fldCharType="begin"/>
          </w:r>
          <w:r>
            <w:instrText xml:space="preserve"> PAGEREF _Toc981 \h </w:instrText>
          </w:r>
          <w:r>
            <w:fldChar w:fldCharType="separate"/>
          </w:r>
          <w:r>
            <w:t>1</w:t>
          </w:r>
          <w:r>
            <w:fldChar w:fldCharType="end"/>
          </w:r>
          <w:r>
            <w:rPr>
              <w:rFonts w:hint="eastAsia"/>
              <w:lang w:val="en-US" w:eastAsia="zh-CN"/>
            </w:rPr>
            <w:fldChar w:fldCharType="end"/>
          </w:r>
        </w:p>
        <w:p w14:paraId="57FA299D">
          <w:pPr>
            <w:pStyle w:val="7"/>
            <w:tabs>
              <w:tab w:val="right" w:leader="dot" w:pos="9354"/>
            </w:tabs>
          </w:pPr>
          <w:r>
            <w:rPr>
              <w:rFonts w:hint="eastAsia"/>
              <w:lang w:val="en-US" w:eastAsia="zh-CN"/>
            </w:rPr>
            <w:fldChar w:fldCharType="begin"/>
          </w:r>
          <w:r>
            <w:rPr>
              <w:rFonts w:hint="eastAsia"/>
              <w:lang w:val="en-US" w:eastAsia="zh-CN"/>
            </w:rPr>
            <w:instrText xml:space="preserve"> HYPERLINK \l _Toc23930 </w:instrText>
          </w:r>
          <w:r>
            <w:rPr>
              <w:rFonts w:hint="eastAsia"/>
              <w:lang w:val="en-US" w:eastAsia="zh-CN"/>
            </w:rPr>
            <w:fldChar w:fldCharType="separate"/>
          </w:r>
          <w:r>
            <w:rPr>
              <w:rFonts w:ascii="黑体" w:hAnsi="黑体" w:eastAsia="黑体" w:cs="黑体"/>
              <w:spacing w:val="-1"/>
              <w:szCs w:val="21"/>
            </w:rPr>
            <w:t xml:space="preserve">2 </w:t>
          </w:r>
          <w:r>
            <w:rPr>
              <w:rFonts w:hint="eastAsia" w:ascii="黑体" w:hAnsi="黑体" w:eastAsia="黑体" w:cs="黑体"/>
              <w:spacing w:val="-1"/>
              <w:szCs w:val="21"/>
              <w:lang w:val="en-US" w:eastAsia="zh-CN"/>
            </w:rPr>
            <w:t xml:space="preserve"> </w:t>
          </w:r>
          <w:r>
            <w:rPr>
              <w:rFonts w:ascii="黑体" w:hAnsi="黑体" w:eastAsia="黑体" w:cs="黑体"/>
              <w:spacing w:val="-1"/>
              <w:szCs w:val="21"/>
            </w:rPr>
            <w:t>规范性引用文件</w:t>
          </w:r>
          <w:r>
            <w:tab/>
          </w:r>
          <w:r>
            <w:fldChar w:fldCharType="begin"/>
          </w:r>
          <w:r>
            <w:instrText xml:space="preserve"> PAGEREF _Toc23930 \h </w:instrText>
          </w:r>
          <w:r>
            <w:fldChar w:fldCharType="separate"/>
          </w:r>
          <w:r>
            <w:t>1</w:t>
          </w:r>
          <w:r>
            <w:fldChar w:fldCharType="end"/>
          </w:r>
          <w:r>
            <w:rPr>
              <w:rFonts w:hint="eastAsia"/>
              <w:lang w:val="en-US" w:eastAsia="zh-CN"/>
            </w:rPr>
            <w:fldChar w:fldCharType="end"/>
          </w:r>
        </w:p>
        <w:p w14:paraId="44BEB120">
          <w:pPr>
            <w:pStyle w:val="7"/>
            <w:tabs>
              <w:tab w:val="right" w:leader="dot" w:pos="9354"/>
            </w:tabs>
          </w:pPr>
          <w:r>
            <w:rPr>
              <w:rFonts w:hint="eastAsia"/>
              <w:lang w:val="en-US" w:eastAsia="zh-CN"/>
            </w:rPr>
            <w:fldChar w:fldCharType="begin"/>
          </w:r>
          <w:r>
            <w:rPr>
              <w:rFonts w:hint="eastAsia"/>
              <w:lang w:val="en-US" w:eastAsia="zh-CN"/>
            </w:rPr>
            <w:instrText xml:space="preserve"> HYPERLINK \l _Toc13790 </w:instrText>
          </w:r>
          <w:r>
            <w:rPr>
              <w:rFonts w:hint="eastAsia"/>
              <w:lang w:val="en-US" w:eastAsia="zh-CN"/>
            </w:rPr>
            <w:fldChar w:fldCharType="separate"/>
          </w:r>
          <w:r>
            <w:rPr>
              <w:rFonts w:ascii="黑体" w:hAnsi="黑体" w:eastAsia="黑体" w:cs="黑体"/>
              <w:spacing w:val="-1"/>
              <w:szCs w:val="21"/>
            </w:rPr>
            <w:t>3  术语和定义</w:t>
          </w:r>
          <w:r>
            <w:tab/>
          </w:r>
          <w:r>
            <w:fldChar w:fldCharType="begin"/>
          </w:r>
          <w:r>
            <w:instrText xml:space="preserve"> PAGEREF _Toc13790 \h </w:instrText>
          </w:r>
          <w:r>
            <w:fldChar w:fldCharType="separate"/>
          </w:r>
          <w:r>
            <w:t>1</w:t>
          </w:r>
          <w:r>
            <w:fldChar w:fldCharType="end"/>
          </w:r>
          <w:r>
            <w:rPr>
              <w:rFonts w:hint="eastAsia"/>
              <w:lang w:val="en-US" w:eastAsia="zh-CN"/>
            </w:rPr>
            <w:fldChar w:fldCharType="end"/>
          </w:r>
        </w:p>
        <w:p w14:paraId="1D318809">
          <w:pPr>
            <w:pStyle w:val="7"/>
            <w:tabs>
              <w:tab w:val="right" w:leader="dot" w:pos="9354"/>
            </w:tabs>
          </w:pPr>
          <w:r>
            <w:rPr>
              <w:rFonts w:hint="eastAsia"/>
              <w:lang w:val="en-US" w:eastAsia="zh-CN"/>
            </w:rPr>
            <w:fldChar w:fldCharType="begin"/>
          </w:r>
          <w:r>
            <w:rPr>
              <w:rFonts w:hint="eastAsia"/>
              <w:lang w:val="en-US" w:eastAsia="zh-CN"/>
            </w:rPr>
            <w:instrText xml:space="preserve"> HYPERLINK \l _Toc32301 </w:instrText>
          </w:r>
          <w:r>
            <w:rPr>
              <w:rFonts w:hint="eastAsia"/>
              <w:lang w:val="en-US" w:eastAsia="zh-CN"/>
            </w:rPr>
            <w:fldChar w:fldCharType="separate"/>
          </w:r>
          <w:r>
            <w:rPr>
              <w:rFonts w:ascii="黑体" w:hAnsi="黑体" w:eastAsia="黑体" w:cs="黑体"/>
              <w:spacing w:val="-1"/>
              <w:szCs w:val="21"/>
            </w:rPr>
            <w:t xml:space="preserve">4  </w:t>
          </w:r>
          <w:r>
            <w:rPr>
              <w:rFonts w:hint="eastAsia" w:ascii="黑体" w:hAnsi="黑体" w:eastAsia="黑体" w:cs="黑体"/>
              <w:spacing w:val="-1"/>
              <w:szCs w:val="21"/>
              <w:lang w:val="en-US" w:eastAsia="zh-CN"/>
            </w:rPr>
            <w:t>评价工作</w:t>
          </w:r>
          <w:r>
            <w:rPr>
              <w:rFonts w:ascii="黑体" w:hAnsi="黑体" w:eastAsia="黑体" w:cs="黑体"/>
              <w:spacing w:val="-1"/>
              <w:szCs w:val="21"/>
            </w:rPr>
            <w:t>程序</w:t>
          </w:r>
          <w:r>
            <w:tab/>
          </w:r>
          <w:r>
            <w:fldChar w:fldCharType="begin"/>
          </w:r>
          <w:r>
            <w:instrText xml:space="preserve"> PAGEREF _Toc32301 \h </w:instrText>
          </w:r>
          <w:r>
            <w:fldChar w:fldCharType="separate"/>
          </w:r>
          <w:r>
            <w:t>3</w:t>
          </w:r>
          <w:r>
            <w:fldChar w:fldCharType="end"/>
          </w:r>
          <w:r>
            <w:rPr>
              <w:rFonts w:hint="eastAsia"/>
              <w:lang w:val="en-US" w:eastAsia="zh-CN"/>
            </w:rPr>
            <w:fldChar w:fldCharType="end"/>
          </w:r>
        </w:p>
        <w:p w14:paraId="4F62A513">
          <w:pPr>
            <w:pStyle w:val="7"/>
            <w:tabs>
              <w:tab w:val="right" w:leader="dot" w:pos="9354"/>
            </w:tabs>
            <w:rPr>
              <w:b/>
              <w:bCs/>
            </w:rPr>
          </w:pPr>
          <w:r>
            <w:rPr>
              <w:rFonts w:hint="eastAsia"/>
              <w:b w:val="0"/>
              <w:bCs w:val="0"/>
              <w:lang w:val="en-US" w:eastAsia="zh-CN"/>
            </w:rPr>
            <w:fldChar w:fldCharType="begin"/>
          </w:r>
          <w:r>
            <w:rPr>
              <w:rFonts w:hint="eastAsia"/>
              <w:b w:val="0"/>
              <w:bCs w:val="0"/>
              <w:lang w:val="en-US" w:eastAsia="zh-CN"/>
            </w:rPr>
            <w:instrText xml:space="preserve"> HYPERLINK \l _Toc27773 </w:instrText>
          </w:r>
          <w:r>
            <w:rPr>
              <w:rFonts w:hint="eastAsia"/>
              <w:b w:val="0"/>
              <w:bCs w:val="0"/>
              <w:lang w:val="en-US" w:eastAsia="zh-CN"/>
            </w:rPr>
            <w:fldChar w:fldCharType="separate"/>
          </w:r>
          <w:r>
            <w:rPr>
              <w:rFonts w:ascii="黑体" w:hAnsi="黑体" w:eastAsia="黑体" w:cs="黑体"/>
              <w:b w:val="0"/>
              <w:bCs w:val="0"/>
              <w:spacing w:val="-1"/>
              <w:szCs w:val="21"/>
            </w:rPr>
            <w:t>5  评价</w:t>
          </w:r>
          <w:r>
            <w:rPr>
              <w:rFonts w:hint="eastAsia" w:ascii="黑体" w:hAnsi="黑体" w:eastAsia="黑体" w:cs="黑体"/>
              <w:b w:val="0"/>
              <w:bCs w:val="0"/>
              <w:spacing w:val="-1"/>
              <w:szCs w:val="21"/>
              <w:lang w:val="en-US" w:eastAsia="zh-CN"/>
            </w:rPr>
            <w:t>方法</w:t>
          </w:r>
          <w:r>
            <w:rPr>
              <w:b w:val="0"/>
              <w:bCs w:val="0"/>
            </w:rPr>
            <w:tab/>
          </w:r>
          <w:r>
            <w:rPr>
              <w:b w:val="0"/>
              <w:bCs w:val="0"/>
            </w:rPr>
            <w:fldChar w:fldCharType="begin"/>
          </w:r>
          <w:r>
            <w:rPr>
              <w:b w:val="0"/>
              <w:bCs w:val="0"/>
            </w:rPr>
            <w:instrText xml:space="preserve"> PAGEREF _Toc27773 \h </w:instrText>
          </w:r>
          <w:r>
            <w:rPr>
              <w:b w:val="0"/>
              <w:bCs w:val="0"/>
            </w:rPr>
            <w:fldChar w:fldCharType="separate"/>
          </w:r>
          <w:r>
            <w:rPr>
              <w:b w:val="0"/>
              <w:bCs w:val="0"/>
            </w:rPr>
            <w:t>3</w:t>
          </w:r>
          <w:r>
            <w:rPr>
              <w:b w:val="0"/>
              <w:bCs w:val="0"/>
            </w:rPr>
            <w:fldChar w:fldCharType="end"/>
          </w:r>
          <w:r>
            <w:rPr>
              <w:rFonts w:hint="eastAsia"/>
              <w:b w:val="0"/>
              <w:bCs w:val="0"/>
              <w:lang w:val="en-US" w:eastAsia="zh-CN"/>
            </w:rPr>
            <w:fldChar w:fldCharType="end"/>
          </w:r>
        </w:p>
        <w:p w14:paraId="4A61C186">
          <w:pPr>
            <w:pStyle w:val="7"/>
            <w:tabs>
              <w:tab w:val="right" w:leader="dot" w:pos="9354"/>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_Toc22721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spacing w:val="0"/>
              <w:lang w:val="en-US" w:eastAsia="zh-CN" w:bidi="ar-SA"/>
            </w:rPr>
            <w:t>附录A</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_Toc22721 \h </w:instrText>
          </w:r>
          <w:r>
            <w:rPr>
              <w:rFonts w:hint="eastAsia" w:ascii="黑体" w:hAnsi="黑体" w:eastAsia="黑体" w:cs="黑体"/>
              <w:b w:val="0"/>
              <w:bCs w:val="0"/>
            </w:rPr>
            <w:fldChar w:fldCharType="separate"/>
          </w:r>
          <w:r>
            <w:rPr>
              <w:rFonts w:hint="eastAsia" w:ascii="黑体" w:hAnsi="黑体" w:eastAsia="黑体" w:cs="黑体"/>
              <w:b w:val="0"/>
              <w:bCs w:val="0"/>
            </w:rPr>
            <w:t>11</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14:paraId="46859D40">
          <w:pPr>
            <w:pStyle w:val="7"/>
            <w:tabs>
              <w:tab w:val="right" w:leader="dot" w:pos="9354"/>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_Toc1928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rPr>
            <w:t>附录</w:t>
          </w:r>
          <w:r>
            <w:rPr>
              <w:rFonts w:hint="eastAsia" w:ascii="黑体" w:hAnsi="黑体" w:eastAsia="黑体" w:cs="黑体"/>
              <w:b w:val="0"/>
              <w:bCs w:val="0"/>
              <w:lang w:eastAsia="zh-CN"/>
            </w:rPr>
            <w:t>B</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_Toc1928 \h </w:instrText>
          </w:r>
          <w:r>
            <w:rPr>
              <w:rFonts w:hint="eastAsia" w:ascii="黑体" w:hAnsi="黑体" w:eastAsia="黑体" w:cs="黑体"/>
              <w:b w:val="0"/>
              <w:bCs w:val="0"/>
            </w:rPr>
            <w:fldChar w:fldCharType="separate"/>
          </w:r>
          <w:r>
            <w:rPr>
              <w:rFonts w:hint="eastAsia" w:ascii="黑体" w:hAnsi="黑体" w:eastAsia="黑体" w:cs="黑体"/>
              <w:b w:val="0"/>
              <w:bCs w:val="0"/>
            </w:rPr>
            <w:t>12</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14:paraId="04AF2617">
          <w:pPr>
            <w:pStyle w:val="7"/>
            <w:tabs>
              <w:tab w:val="right" w:leader="dot" w:pos="9354"/>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_Toc5355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rPr>
            <w:t>附录</w:t>
          </w:r>
          <w:r>
            <w:rPr>
              <w:rFonts w:hint="eastAsia" w:ascii="黑体" w:hAnsi="黑体" w:eastAsia="黑体" w:cs="黑体"/>
              <w:b w:val="0"/>
              <w:bCs w:val="0"/>
              <w:lang w:val="en-US" w:eastAsia="zh-CN"/>
            </w:rPr>
            <w:t>C</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_Toc5355 \h </w:instrText>
          </w:r>
          <w:r>
            <w:rPr>
              <w:rFonts w:hint="eastAsia" w:ascii="黑体" w:hAnsi="黑体" w:eastAsia="黑体" w:cs="黑体"/>
              <w:b w:val="0"/>
              <w:bCs w:val="0"/>
            </w:rPr>
            <w:fldChar w:fldCharType="separate"/>
          </w:r>
          <w:r>
            <w:rPr>
              <w:rFonts w:hint="eastAsia" w:ascii="黑体" w:hAnsi="黑体" w:eastAsia="黑体" w:cs="黑体"/>
              <w:b w:val="0"/>
              <w:bCs w:val="0"/>
            </w:rPr>
            <w:t>16</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14:paraId="646310DD">
          <w:pPr>
            <w:pStyle w:val="7"/>
            <w:tabs>
              <w:tab w:val="right" w:leader="dot" w:pos="9354"/>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_Toc584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rPr>
            <w:t>附录</w:t>
          </w:r>
          <w:r>
            <w:rPr>
              <w:rFonts w:hint="eastAsia" w:ascii="黑体" w:hAnsi="黑体" w:eastAsia="黑体" w:cs="黑体"/>
              <w:b w:val="0"/>
              <w:bCs w:val="0"/>
              <w:lang w:val="en-US" w:eastAsia="zh-CN"/>
            </w:rPr>
            <w:t>D</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_Toc584 \h </w:instrText>
          </w:r>
          <w:r>
            <w:rPr>
              <w:rFonts w:hint="eastAsia" w:ascii="黑体" w:hAnsi="黑体" w:eastAsia="黑体" w:cs="黑体"/>
              <w:b w:val="0"/>
              <w:bCs w:val="0"/>
            </w:rPr>
            <w:fldChar w:fldCharType="separate"/>
          </w:r>
          <w:r>
            <w:rPr>
              <w:rFonts w:hint="eastAsia" w:ascii="黑体" w:hAnsi="黑体" w:eastAsia="黑体" w:cs="黑体"/>
              <w:b w:val="0"/>
              <w:bCs w:val="0"/>
            </w:rPr>
            <w:t>17</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14:paraId="7DFEE3C5">
          <w:pPr>
            <w:pStyle w:val="7"/>
            <w:tabs>
              <w:tab w:val="right" w:leader="dot" w:pos="9354"/>
            </w:tabs>
            <w:rPr>
              <w:rFonts w:hint="eastAsia" w:ascii="黑体" w:hAnsi="黑体" w:eastAsia="黑体" w:cs="黑体"/>
              <w:b w:val="0"/>
              <w:bCs w:val="0"/>
            </w:rPr>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_Toc4498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rPr>
            <w:t>附录</w:t>
          </w:r>
          <w:r>
            <w:rPr>
              <w:rFonts w:hint="eastAsia" w:ascii="黑体" w:hAnsi="黑体" w:eastAsia="黑体" w:cs="黑体"/>
              <w:b w:val="0"/>
              <w:bCs w:val="0"/>
              <w:lang w:val="en-US" w:eastAsia="zh-CN"/>
            </w:rPr>
            <w:t>E</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_Toc4498 \h </w:instrText>
          </w:r>
          <w:r>
            <w:rPr>
              <w:rFonts w:hint="eastAsia" w:ascii="黑体" w:hAnsi="黑体" w:eastAsia="黑体" w:cs="黑体"/>
              <w:b w:val="0"/>
              <w:bCs w:val="0"/>
            </w:rPr>
            <w:fldChar w:fldCharType="separate"/>
          </w:r>
          <w:r>
            <w:rPr>
              <w:rFonts w:hint="eastAsia" w:ascii="黑体" w:hAnsi="黑体" w:eastAsia="黑体" w:cs="黑体"/>
              <w:b w:val="0"/>
              <w:bCs w:val="0"/>
            </w:rPr>
            <w:t>18</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14:paraId="66225336">
          <w:pPr>
            <w:pStyle w:val="7"/>
            <w:tabs>
              <w:tab w:val="right" w:leader="dot" w:pos="9354"/>
            </w:tabs>
          </w:pP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\l _Toc21956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rPr>
            <w:t>附录F</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_Toc21956 \h </w:instrText>
          </w:r>
          <w:r>
            <w:rPr>
              <w:rFonts w:hint="eastAsia" w:ascii="黑体" w:hAnsi="黑体" w:eastAsia="黑体" w:cs="黑体"/>
              <w:b w:val="0"/>
              <w:bCs w:val="0"/>
            </w:rPr>
            <w:fldChar w:fldCharType="separate"/>
          </w:r>
          <w:r>
            <w:rPr>
              <w:rFonts w:hint="eastAsia" w:ascii="黑体" w:hAnsi="黑体" w:eastAsia="黑体" w:cs="黑体"/>
              <w:b w:val="0"/>
              <w:bCs w:val="0"/>
            </w:rPr>
            <w:t>19</w:t>
          </w:r>
          <w:r>
            <w:rPr>
              <w:rFonts w:hint="eastAsia" w:ascii="黑体" w:hAnsi="黑体" w:eastAsia="黑体" w:cs="黑体"/>
              <w:b w:val="0"/>
              <w:bCs w:val="0"/>
            </w:rPr>
            <w:fldChar w:fldCharType="end"/>
          </w:r>
          <w:r>
            <w:rPr>
              <w:rFonts w:hint="eastAsia" w:ascii="黑体" w:hAnsi="黑体" w:eastAsia="黑体" w:cs="黑体"/>
              <w:b w:val="0"/>
              <w:bCs w:val="0"/>
              <w:lang w:val="en-US" w:eastAsia="zh-CN"/>
            </w:rPr>
            <w:fldChar w:fldCharType="end"/>
          </w:r>
        </w:p>
        <w:p w14:paraId="5DB698D9">
          <w:pPr>
            <w:pStyle w:val="7"/>
            <w:tabs>
              <w:tab w:val="right" w:leader="dot" w:pos="9354"/>
            </w:tabs>
            <w:rPr>
              <w:rFonts w:hint="eastAsia" w:ascii="黑体" w:hAnsi="黑体" w:eastAsia="黑体" w:cs="黑体"/>
            </w:rPr>
          </w:pPr>
          <w:r>
            <w:rPr>
              <w:rFonts w:hint="eastAsia" w:ascii="黑体" w:hAnsi="黑体" w:eastAsia="黑体" w:cs="黑体"/>
              <w:lang w:val="en-US" w:eastAsia="zh-CN"/>
            </w:rPr>
            <w:fldChar w:fldCharType="begin"/>
          </w:r>
          <w:r>
            <w:rPr>
              <w:rFonts w:hint="eastAsia" w:ascii="黑体" w:hAnsi="黑体" w:eastAsia="黑体" w:cs="黑体"/>
              <w:lang w:val="en-US" w:eastAsia="zh-CN"/>
            </w:rPr>
            <w:instrText xml:space="preserve"> HYPERLINK \l _Toc2672 </w:instrText>
          </w:r>
          <w:r>
            <w:rPr>
              <w:rFonts w:hint="eastAsia" w:ascii="黑体" w:hAnsi="黑体" w:eastAsia="黑体" w:cs="黑体"/>
              <w:lang w:val="en-US" w:eastAsia="zh-CN"/>
            </w:rPr>
            <w:fldChar w:fldCharType="separate"/>
          </w:r>
          <w:r>
            <w:rPr>
              <w:rFonts w:hint="eastAsia" w:ascii="黑体" w:hAnsi="黑体" w:eastAsia="黑体" w:cs="黑体"/>
              <w:spacing w:val="0"/>
            </w:rPr>
            <w:t>参考文</w:t>
          </w:r>
          <w:r>
            <w:rPr>
              <w:rFonts w:hint="eastAsia" w:ascii="黑体" w:hAnsi="黑体" w:eastAsia="黑体" w:cs="黑体"/>
            </w:rPr>
            <w:t>献</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_Toc2672 \h </w:instrText>
          </w:r>
          <w:r>
            <w:rPr>
              <w:rFonts w:hint="eastAsia" w:ascii="黑体" w:hAnsi="黑体" w:eastAsia="黑体" w:cs="黑体"/>
            </w:rPr>
            <w:fldChar w:fldCharType="separate"/>
          </w:r>
          <w:r>
            <w:rPr>
              <w:rFonts w:hint="eastAsia" w:ascii="黑体" w:hAnsi="黑体" w:eastAsia="黑体" w:cs="黑体"/>
            </w:rPr>
            <w:t>20</w:t>
          </w:r>
          <w:r>
            <w:rPr>
              <w:rFonts w:hint="eastAsia" w:ascii="黑体" w:hAnsi="黑体" w:eastAsia="黑体" w:cs="黑体"/>
            </w:rPr>
            <w:fldChar w:fldCharType="end"/>
          </w:r>
          <w:r>
            <w:rPr>
              <w:rFonts w:hint="eastAsia" w:ascii="黑体" w:hAnsi="黑体" w:eastAsia="黑体" w:cs="黑体"/>
              <w:lang w:val="en-US" w:eastAsia="zh-CN"/>
            </w:rPr>
            <w:fldChar w:fldCharType="end"/>
          </w:r>
        </w:p>
        <w:p w14:paraId="0D0381F7">
          <w:pPr>
            <w:pStyle w:val="4"/>
            <w:rPr>
              <w:rFonts w:hint="eastAsia" w:ascii="宋体" w:hAnsi="宋体" w:eastAsia="宋体" w:cs="宋体"/>
              <w:kern w:val="2"/>
              <w:sz w:val="21"/>
              <w:szCs w:val="21"/>
              <w:lang w:val="en-US" w:eastAsia="zh-CN" w:bidi="ar-SA"/>
            </w:rPr>
          </w:pPr>
          <w:r>
            <w:rPr>
              <w:rFonts w:hint="eastAsia"/>
              <w:lang w:val="en-US" w:eastAsia="zh-CN"/>
            </w:rPr>
            <w:fldChar w:fldCharType="end"/>
          </w:r>
        </w:p>
      </w:sdtContent>
    </w:sdt>
    <w:p w14:paraId="7A27E3E8">
      <w:pPr>
        <w:rPr>
          <w:rFonts w:hint="eastAsia"/>
          <w:lang w:val="en-US" w:eastAsia="zh-CN"/>
        </w:rPr>
      </w:pPr>
    </w:p>
    <w:p w14:paraId="3EA2425E">
      <w:pPr>
        <w:jc w:val="center"/>
        <w:rPr>
          <w:rFonts w:hint="eastAsia" w:ascii="方正小标宋简体" w:hAnsi="方正小标宋简体" w:eastAsia="方正小标宋简体" w:cs="方正小标宋简体"/>
          <w:sz w:val="36"/>
          <w:szCs w:val="36"/>
          <w:lang w:val="en-US" w:eastAsia="zh-CN"/>
        </w:rPr>
      </w:pPr>
    </w:p>
    <w:p w14:paraId="781BF7A9">
      <w:pPr>
        <w:jc w:val="center"/>
        <w:rPr>
          <w:rFonts w:hint="eastAsia" w:ascii="方正小标宋简体" w:hAnsi="方正小标宋简体" w:eastAsia="方正小标宋简体" w:cs="方正小标宋简体"/>
          <w:sz w:val="36"/>
          <w:szCs w:val="36"/>
          <w:lang w:val="en-US" w:eastAsia="zh-CN"/>
        </w:rPr>
      </w:pPr>
    </w:p>
    <w:p w14:paraId="45152DE2">
      <w:pPr>
        <w:rPr>
          <w:rFonts w:hint="default" w:ascii="方正小标宋简体" w:hAnsi="方正小标宋简体" w:eastAsia="方正小标宋简体" w:cs="方正小标宋简体"/>
          <w:sz w:val="36"/>
          <w:szCs w:val="36"/>
          <w:lang w:val="en-US" w:eastAsia="zh-CN"/>
        </w:rPr>
      </w:pPr>
      <w:r>
        <w:rPr>
          <w:rFonts w:hint="default" w:ascii="方正小标宋简体" w:hAnsi="方正小标宋简体" w:eastAsia="方正小标宋简体" w:cs="方正小标宋简体"/>
          <w:sz w:val="36"/>
          <w:szCs w:val="36"/>
          <w:lang w:val="en-US" w:eastAsia="zh-CN"/>
        </w:rPr>
        <w:br w:type="page"/>
      </w:r>
    </w:p>
    <w:p w14:paraId="4C854FF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0"/>
        <w:rPr>
          <w:rFonts w:hint="eastAsia" w:ascii="黑体" w:hAnsi="黑体" w:eastAsia="黑体" w:cs="黑体"/>
          <w:spacing w:val="0"/>
          <w:sz w:val="31"/>
          <w:szCs w:val="31"/>
          <w:lang w:val="en-US" w:eastAsia="zh-CN"/>
        </w:rPr>
      </w:pPr>
      <w:bookmarkStart w:id="14" w:name="_Toc21099"/>
      <w:bookmarkStart w:id="15" w:name="_Toc24361"/>
      <w:bookmarkStart w:id="16" w:name="_Toc7325"/>
      <w:bookmarkStart w:id="17" w:name="_Toc32005"/>
      <w:bookmarkStart w:id="18" w:name="_Toc25853"/>
      <w:r>
        <w:rPr>
          <w:rFonts w:hint="eastAsia" w:ascii="黑体" w:hAnsi="黑体" w:eastAsia="黑体" w:cs="黑体"/>
          <w:spacing w:val="0"/>
          <w:sz w:val="31"/>
          <w:szCs w:val="31"/>
          <w:lang w:val="en-US" w:eastAsia="zh-CN"/>
        </w:rPr>
        <w:t>前  言</w:t>
      </w:r>
      <w:bookmarkEnd w:id="14"/>
      <w:bookmarkEnd w:id="15"/>
      <w:bookmarkEnd w:id="16"/>
      <w:bookmarkEnd w:id="17"/>
      <w:bookmarkEnd w:id="18"/>
    </w:p>
    <w:p w14:paraId="732649C3">
      <w:pPr>
        <w:pStyle w:val="4"/>
        <w:rPr>
          <w:rFonts w:hint="eastAsia"/>
          <w:lang w:val="en-US" w:eastAsia="zh-CN"/>
        </w:rPr>
      </w:pPr>
    </w:p>
    <w:p w14:paraId="3158C37E">
      <w:pPr>
        <w:pStyle w:val="22"/>
        <w:ind w:firstLine="420"/>
        <w:rPr>
          <w:rFonts w:hint="default" w:ascii="Times New Roman" w:hAnsi="Times New Roman" w:cs="Times New Roman"/>
        </w:rPr>
      </w:pPr>
      <w:r>
        <w:rPr>
          <w:rFonts w:hint="default" w:ascii="Times New Roman" w:hAnsi="Times New Roman" w:cs="Times New Roman"/>
        </w:rPr>
        <w:t>本文件按照GB/T 1.1—2020《标准化工作导则  第1部分：标准化文件的结构和起草规则》的规定起草。</w:t>
      </w:r>
    </w:p>
    <w:p w14:paraId="355084AD">
      <w:pPr>
        <w:pStyle w:val="22"/>
        <w:ind w:firstLine="420"/>
        <w:rPr>
          <w:rFonts w:ascii="Times New Roman" w:hAnsi="Times New Roman" w:cs="Times New Roman"/>
        </w:rPr>
      </w:pPr>
      <w:r>
        <w:rPr>
          <w:rFonts w:hint="default" w:ascii="Times New Roman" w:hAnsi="Times New Roman" w:cs="Times New Roman"/>
        </w:rPr>
        <w:t>请注意本文件的某些内容可能涉及专利。本文件的发布机构不承担识别专利的责任。</w:t>
      </w:r>
    </w:p>
    <w:p w14:paraId="1AB590CA">
      <w:pPr>
        <w:pStyle w:val="22"/>
        <w:ind w:firstLine="420"/>
        <w:rPr>
          <w:rFonts w:hint="default" w:ascii="Times New Roman" w:hAnsi="Times New Roman" w:cs="Times New Roman"/>
        </w:rPr>
      </w:pPr>
      <w:r>
        <w:rPr>
          <w:rFonts w:hint="default" w:ascii="Times New Roman" w:hAnsi="Times New Roman" w:cs="Times New Roman"/>
        </w:rPr>
        <w:t>本文件由</w:t>
      </w:r>
      <w:r>
        <w:rPr>
          <w:rFonts w:hint="default" w:ascii="Times New Roman" w:hAnsi="Times New Roman" w:cs="Times New Roman"/>
          <w:lang w:val="en-US" w:eastAsia="zh-CN"/>
        </w:rPr>
        <w:t>生态环境部环境</w:t>
      </w:r>
      <w:r>
        <w:rPr>
          <w:rFonts w:hint="eastAsia" w:ascii="Times New Roman" w:cs="Times New Roman"/>
          <w:lang w:val="en-US" w:eastAsia="zh-CN"/>
        </w:rPr>
        <w:t>工程评估中心</w:t>
      </w:r>
      <w:r>
        <w:rPr>
          <w:rFonts w:hint="default" w:ascii="Times New Roman" w:hAnsi="Times New Roman" w:cs="Times New Roman"/>
        </w:rPr>
        <w:t>提出。</w:t>
      </w:r>
    </w:p>
    <w:p w14:paraId="034FA37C">
      <w:pPr>
        <w:pStyle w:val="22"/>
        <w:ind w:firstLine="420"/>
        <w:rPr>
          <w:rFonts w:hint="default" w:ascii="Times New Roman" w:hAnsi="Times New Roman" w:cs="Times New Roman"/>
        </w:rPr>
      </w:pPr>
      <w:r>
        <w:rPr>
          <w:rFonts w:hint="default" w:ascii="Times New Roman" w:hAnsi="Times New Roman" w:cs="Times New Roman"/>
        </w:rPr>
        <w:t>本文件由中国环境科学学会归口。</w:t>
      </w:r>
    </w:p>
    <w:p w14:paraId="213F7B07">
      <w:pPr>
        <w:pStyle w:val="22"/>
        <w:ind w:firstLine="420"/>
        <w:rPr>
          <w:rFonts w:hint="default" w:ascii="Times New Roman" w:hAnsi="Times New Roman" w:eastAsia="宋体" w:cs="Times New Roman"/>
          <w:lang w:val="en-US" w:eastAsia="zh-CN"/>
        </w:rPr>
      </w:pPr>
      <w:r>
        <w:rPr>
          <w:rFonts w:hint="default" w:ascii="Times New Roman" w:hAnsi="Times New Roman" w:cs="Times New Roman"/>
        </w:rPr>
        <w:t>本文件起草单位：</w:t>
      </w:r>
      <w:r>
        <w:rPr>
          <w:rFonts w:hint="eastAsia" w:ascii="Times New Roman" w:cs="Times New Roman"/>
          <w:lang w:val="en-US" w:eastAsia="zh-CN"/>
        </w:rPr>
        <w:t>生态环境部环境工程评估中心、国家能源投资集团有限责任公司、中国寰球工程公司、青岛中油华东院安全环保有限公司、中国五环工程有限公司、赛鼎工程有限公司</w:t>
      </w:r>
    </w:p>
    <w:p w14:paraId="1B5F911E">
      <w:pPr>
        <w:pStyle w:val="22"/>
        <w:ind w:firstLine="420"/>
        <w:rPr>
          <w:rFonts w:hint="default" w:ascii="Times New Roman" w:hAnsi="Times New Roman" w:cs="Times New Roman"/>
        </w:rPr>
      </w:pPr>
      <w:r>
        <w:rPr>
          <w:rFonts w:hint="default" w:ascii="Times New Roman" w:hAnsi="Times New Roman" w:cs="Times New Roman"/>
        </w:rPr>
        <w:t>本文件主要起草人：</w:t>
      </w:r>
    </w:p>
    <w:p w14:paraId="3C4EE0A6">
      <w:pPr>
        <w:pStyle w:val="22"/>
        <w:ind w:firstLine="420"/>
      </w:pPr>
    </w:p>
    <w:p w14:paraId="390D1559">
      <w:pPr>
        <w:pStyle w:val="22"/>
        <w:ind w:firstLine="420"/>
      </w:pPr>
    </w:p>
    <w:p w14:paraId="1DDEAA97">
      <w:pPr>
        <w:pStyle w:val="22"/>
        <w:ind w:firstLine="420"/>
        <w:sectPr>
          <w:headerReference r:id="rId9" w:type="default"/>
          <w:footerReference r:id="rId10" w:type="default"/>
          <w:pgSz w:w="11906" w:h="16838"/>
          <w:pgMar w:top="2410" w:right="1134" w:bottom="1134" w:left="1134" w:header="1418" w:footer="1134" w:gutter="284"/>
          <w:pgNumType w:fmt="upperRoman"/>
          <w:cols w:space="425" w:num="1"/>
          <w:formProt w:val="0"/>
          <w:docGrid w:linePitch="312" w:charSpace="0"/>
        </w:sectPr>
      </w:pPr>
      <w:bookmarkStart w:id="52" w:name="_GoBack"/>
      <w:bookmarkEnd w:id="52"/>
    </w:p>
    <w:p w14:paraId="7039617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0"/>
        <w:rPr>
          <w:rFonts w:hint="default" w:ascii="黑体" w:hAnsi="黑体" w:eastAsia="黑体" w:cs="黑体"/>
          <w:spacing w:val="0"/>
          <w:sz w:val="31"/>
          <w:szCs w:val="31"/>
          <w:lang w:val="en-US" w:eastAsia="zh-CN"/>
        </w:rPr>
      </w:pPr>
      <w:bookmarkStart w:id="19" w:name="_Toc1210"/>
      <w:r>
        <w:rPr>
          <w:rFonts w:hint="eastAsia" w:ascii="黑体" w:hAnsi="黑体" w:eastAsia="黑体" w:cs="黑体"/>
          <w:spacing w:val="0"/>
          <w:sz w:val="31"/>
          <w:szCs w:val="31"/>
          <w:lang w:val="en-US" w:eastAsia="zh-CN"/>
        </w:rPr>
        <w:t>引  言</w:t>
      </w:r>
      <w:bookmarkEnd w:id="19"/>
    </w:p>
    <w:p w14:paraId="0AA9B776">
      <w:pPr>
        <w:keepNext w:val="0"/>
        <w:keepLines w:val="0"/>
        <w:pageBreakBefore w:val="0"/>
        <w:widowControl w:val="0"/>
        <w:kinsoku/>
        <w:wordWrap/>
        <w:overflowPunct/>
        <w:topLinePunct w:val="0"/>
        <w:autoSpaceDE/>
        <w:autoSpaceDN/>
        <w:bidi w:val="0"/>
        <w:adjustRightInd/>
        <w:snapToGrid/>
        <w:spacing w:line="400" w:lineRule="exact"/>
        <w:ind w:firstLine="412" w:firstLineChars="200"/>
        <w:jc w:val="both"/>
        <w:textAlignment w:val="auto"/>
        <w:rPr>
          <w:rFonts w:hint="eastAsia" w:ascii="宋体" w:hAnsi="宋体" w:eastAsia="宋体" w:cs="宋体"/>
          <w:spacing w:val="-2"/>
          <w:sz w:val="21"/>
          <w:szCs w:val="21"/>
        </w:rPr>
      </w:pPr>
    </w:p>
    <w:p w14:paraId="04F1B3D5">
      <w:pPr>
        <w:pStyle w:val="22"/>
        <w:ind w:firstLine="420"/>
        <w:rPr>
          <w:rFonts w:hint="default" w:ascii="Times New Roman" w:hAnsi="Times New Roman" w:eastAsia="宋体" w:cs="Times New Roman"/>
        </w:rPr>
      </w:pPr>
      <w:r>
        <w:rPr>
          <w:rFonts w:hint="default" w:ascii="Times New Roman" w:hAnsi="Times New Roman" w:eastAsia="宋体" w:cs="Times New Roman"/>
        </w:rPr>
        <w:t>为深入贯彻《中共中央 国务院关于深入打好污染防治攻坚战的意见》《国家适应气候变化战略2035》《关于统筹和加强应对气候变化与生态环境保护相关工作的指导意见》（环综合〔2021〕4号）</w:t>
      </w:r>
      <w:r>
        <w:rPr>
          <w:rFonts w:hint="eastAsia" w:ascii="Times New Roman" w:cs="Times New Roman"/>
          <w:lang w:eastAsia="zh-CN"/>
        </w:rPr>
        <w:t>、</w:t>
      </w:r>
      <w:r>
        <w:rPr>
          <w:rFonts w:ascii="Times New Roman"/>
        </w:rPr>
        <w:t>《</w:t>
      </w:r>
      <w:r>
        <w:rPr>
          <w:rFonts w:hint="eastAsia" w:ascii="Times New Roman"/>
        </w:rPr>
        <w:t>中共中央办公厅 国务院办公厅印发碳达峰碳中和综合评价考核办法</w:t>
      </w:r>
      <w:r>
        <w:rPr>
          <w:rFonts w:ascii="Times New Roman"/>
        </w:rPr>
        <w:t>》《</w:t>
      </w:r>
      <w:r>
        <w:rPr>
          <w:rFonts w:hint="eastAsia" w:ascii="Times New Roman"/>
        </w:rPr>
        <w:t>中共中央办公厅 国务院办公厅印发关于更高水平更高质量做好节能降碳工作的意见</w:t>
      </w:r>
      <w:r>
        <w:rPr>
          <w:rFonts w:ascii="Times New Roman"/>
        </w:rPr>
        <w:t>》</w:t>
      </w:r>
      <w:r>
        <w:rPr>
          <w:rFonts w:hint="default" w:ascii="Times New Roman" w:hAnsi="Times New Roman" w:eastAsia="宋体" w:cs="Times New Roman"/>
        </w:rPr>
        <w:t>以及《关于进一步优化环境影响评价工作的意见》（环环评〔2023〕52号）等文件相关要求，进一步规范和完善重点行业建设项目温室气体排放环境影响评价技术方法，统筹温室气体与污染物排放评价工作内容，推动从源头实现减污降碳协同增效，制定本指南。</w:t>
      </w:r>
    </w:p>
    <w:p w14:paraId="5F5ED59A">
      <w:pPr>
        <w:pStyle w:val="22"/>
        <w:ind w:firstLine="420"/>
        <w:rPr>
          <w:rFonts w:hint="eastAsia" w:ascii="Times New Roman" w:hAnsi="Times New Roman" w:cs="Times New Roman"/>
          <w:lang w:val="en-US" w:eastAsia="zh-CN"/>
        </w:rPr>
      </w:pPr>
      <w:r>
        <w:rPr>
          <w:rFonts w:hint="eastAsia" w:ascii="Times New Roman" w:hAnsi="Times New Roman" w:cs="Times New Roman"/>
          <w:lang w:val="en-US" w:eastAsia="zh-CN"/>
        </w:rPr>
        <w:t>本指南规定了现代煤化工建设项目开展温室气体排放</w:t>
      </w:r>
      <w:r>
        <w:rPr>
          <w:rFonts w:hint="eastAsia" w:ascii="Times New Roman" w:cs="Times New Roman"/>
          <w:lang w:val="en-US" w:eastAsia="zh-CN"/>
        </w:rPr>
        <w:t>环境影响评</w:t>
      </w:r>
      <w:r>
        <w:rPr>
          <w:rFonts w:hint="eastAsia" w:ascii="Times New Roman" w:hAnsi="Times New Roman" w:cs="Times New Roman"/>
          <w:lang w:val="en-US" w:eastAsia="zh-CN"/>
        </w:rPr>
        <w:t>价的一般工作流程、内容、方法和技术要求。</w:t>
      </w:r>
    </w:p>
    <w:p w14:paraId="1A6DCAF7">
      <w:pPr>
        <w:pStyle w:val="22"/>
        <w:ind w:firstLine="420"/>
        <w:rPr>
          <w:rFonts w:hint="eastAsia" w:ascii="Times New Roman" w:hAnsi="Times New Roman" w:cs="Times New Roman"/>
          <w:lang w:val="en-US" w:eastAsia="zh-CN"/>
        </w:rPr>
      </w:pPr>
      <w:r>
        <w:rPr>
          <w:rFonts w:hint="eastAsia" w:ascii="Times New Roman" w:hAnsi="Times New Roman" w:cs="Times New Roman"/>
          <w:lang w:val="en-US" w:eastAsia="zh-CN"/>
        </w:rPr>
        <w:t>本指南</w:t>
      </w:r>
      <w:r>
        <w:rPr>
          <w:rFonts w:hint="eastAsia" w:ascii="Times New Roman"/>
          <w:lang w:val="en-US" w:eastAsia="zh-CN"/>
        </w:rPr>
        <w:t>附录B</w:t>
      </w:r>
      <w:r>
        <w:rPr>
          <w:rFonts w:hint="eastAsia" w:ascii="华文楷体" w:hAnsi="华文楷体" w:eastAsia="华文楷体" w:cs="华文楷体"/>
          <w:lang w:val="en-US" w:eastAsia="zh-CN"/>
        </w:rPr>
        <w:t>~</w:t>
      </w:r>
      <w:r>
        <w:rPr>
          <w:rFonts w:hint="eastAsia" w:ascii="Times New Roman"/>
          <w:lang w:val="en-US" w:eastAsia="zh-CN"/>
        </w:rPr>
        <w:t>D</w:t>
      </w:r>
      <w:r>
        <w:rPr>
          <w:rFonts w:hint="eastAsia" w:ascii="Times New Roman"/>
        </w:rPr>
        <w:t>为</w:t>
      </w:r>
      <w:r>
        <w:rPr>
          <w:rFonts w:hint="eastAsia" w:ascii="Times New Roman"/>
          <w:lang w:val="en-US" w:eastAsia="zh-CN"/>
        </w:rPr>
        <w:t>规范性附录，附录A、附录E、附录F为</w:t>
      </w:r>
      <w:r>
        <w:rPr>
          <w:rFonts w:hint="eastAsia" w:ascii="Times New Roman"/>
        </w:rPr>
        <w:t>资料性附录</w:t>
      </w:r>
      <w:r>
        <w:rPr>
          <w:rFonts w:hint="eastAsia" w:ascii="Times New Roman" w:hAnsi="Times New Roman" w:cs="Times New Roman"/>
          <w:lang w:val="en-US" w:eastAsia="zh-CN"/>
        </w:rPr>
        <w:t>。</w:t>
      </w:r>
    </w:p>
    <w:p w14:paraId="13835764">
      <w:pPr>
        <w:keepNext w:val="0"/>
        <w:keepLines w:val="0"/>
        <w:pageBreakBefore w:val="0"/>
        <w:widowControl w:val="0"/>
        <w:kinsoku/>
        <w:wordWrap/>
        <w:overflowPunct/>
        <w:topLinePunct w:val="0"/>
        <w:autoSpaceDE/>
        <w:autoSpaceDN/>
        <w:bidi w:val="0"/>
        <w:adjustRightInd/>
        <w:snapToGrid/>
        <w:spacing w:line="400" w:lineRule="exact"/>
        <w:ind w:firstLine="416" w:firstLineChars="200"/>
        <w:jc w:val="both"/>
        <w:textAlignment w:val="auto"/>
        <w:rPr>
          <w:rFonts w:hint="eastAsia" w:ascii="宋体" w:hAnsi="宋体" w:eastAsia="宋体" w:cs="宋体"/>
          <w:spacing w:val="-1"/>
          <w:sz w:val="21"/>
          <w:szCs w:val="21"/>
          <w:lang w:val="en-US" w:eastAsia="zh-CN"/>
        </w:rPr>
      </w:pPr>
    </w:p>
    <w:p w14:paraId="72C5B187">
      <w:pPr>
        <w:keepNext w:val="0"/>
        <w:keepLines w:val="0"/>
        <w:pageBreakBefore w:val="0"/>
        <w:widowControl w:val="0"/>
        <w:kinsoku/>
        <w:wordWrap/>
        <w:overflowPunct/>
        <w:topLinePunct w:val="0"/>
        <w:autoSpaceDE/>
        <w:autoSpaceDN/>
        <w:bidi w:val="0"/>
        <w:adjustRightInd/>
        <w:snapToGrid/>
        <w:spacing w:after="157" w:afterLines="50" w:line="221" w:lineRule="auto"/>
        <w:ind w:left="0"/>
        <w:textAlignment w:val="auto"/>
        <w:outlineLvl w:val="0"/>
        <w:rPr>
          <w:rFonts w:ascii="黑体" w:hAnsi="黑体" w:eastAsia="黑体" w:cs="黑体"/>
          <w:spacing w:val="-1"/>
          <w:sz w:val="21"/>
          <w:szCs w:val="21"/>
        </w:rPr>
        <w:sectPr>
          <w:footerReference r:id="rId11" w:type="default"/>
          <w:pgSz w:w="11906" w:h="16838"/>
          <w:pgMar w:top="1440" w:right="1800" w:bottom="1440" w:left="1800" w:header="851" w:footer="992" w:gutter="0"/>
          <w:pgNumType w:fmt="upperRoman"/>
          <w:cols w:space="425" w:num="1"/>
          <w:docGrid w:type="lines" w:linePitch="312" w:charSpace="0"/>
        </w:sectPr>
      </w:pPr>
      <w:bookmarkStart w:id="20" w:name="_Toc2165"/>
      <w:bookmarkStart w:id="21" w:name="_Toc4152"/>
      <w:bookmarkStart w:id="22" w:name="_Toc981"/>
    </w:p>
    <w:p w14:paraId="79C1D37D">
      <w:pPr>
        <w:keepNext w:val="0"/>
        <w:keepLines w:val="0"/>
        <w:pageBreakBefore w:val="0"/>
        <w:widowControl w:val="0"/>
        <w:kinsoku/>
        <w:wordWrap/>
        <w:overflowPunct/>
        <w:topLinePunct w:val="0"/>
        <w:autoSpaceDE/>
        <w:autoSpaceDN/>
        <w:bidi w:val="0"/>
        <w:adjustRightInd/>
        <w:snapToGrid/>
        <w:spacing w:after="157" w:afterLines="50" w:line="221" w:lineRule="auto"/>
        <w:ind w:left="0"/>
        <w:textAlignment w:val="auto"/>
        <w:outlineLvl w:val="0"/>
        <w:rPr>
          <w:rFonts w:ascii="黑体" w:hAnsi="黑体" w:eastAsia="黑体" w:cs="黑体"/>
          <w:spacing w:val="-1"/>
          <w:sz w:val="21"/>
          <w:szCs w:val="21"/>
        </w:rPr>
      </w:pPr>
      <w:r>
        <w:rPr>
          <w:rFonts w:ascii="黑体" w:hAnsi="黑体" w:eastAsia="黑体" w:cs="黑体"/>
          <w:spacing w:val="-1"/>
          <w:sz w:val="21"/>
          <w:szCs w:val="21"/>
        </w:rPr>
        <w:t xml:space="preserve">1 </w:t>
      </w:r>
      <w:r>
        <w:rPr>
          <w:rFonts w:hint="eastAsia" w:ascii="黑体" w:hAnsi="黑体" w:eastAsia="黑体" w:cs="黑体"/>
          <w:spacing w:val="-1"/>
          <w:sz w:val="21"/>
          <w:szCs w:val="21"/>
          <w:lang w:val="en-US" w:eastAsia="zh-CN"/>
        </w:rPr>
        <w:t xml:space="preserve"> </w:t>
      </w:r>
      <w:r>
        <w:rPr>
          <w:rFonts w:ascii="黑体" w:hAnsi="黑体" w:eastAsia="黑体" w:cs="黑体"/>
          <w:spacing w:val="-1"/>
          <w:sz w:val="21"/>
          <w:szCs w:val="21"/>
        </w:rPr>
        <w:t>适用范围</w:t>
      </w:r>
      <w:bookmarkEnd w:id="20"/>
      <w:bookmarkEnd w:id="21"/>
      <w:bookmarkEnd w:id="22"/>
    </w:p>
    <w:p w14:paraId="51E68CC2">
      <w:pPr>
        <w:pStyle w:val="22"/>
        <w:ind w:firstLine="420"/>
        <w:rPr>
          <w:rFonts w:hint="default" w:ascii="Times New Roman" w:hAnsi="Times New Roman" w:eastAsia="宋体" w:cs="Times New Roman"/>
        </w:rPr>
      </w:pPr>
      <w:r>
        <w:rPr>
          <w:rFonts w:hint="default" w:ascii="Times New Roman" w:hAnsi="Times New Roman" w:eastAsia="宋体" w:cs="Times New Roman"/>
        </w:rPr>
        <w:t>本指南规定了</w:t>
      </w:r>
      <w:r>
        <w:rPr>
          <w:rFonts w:hint="eastAsia" w:ascii="Times New Roman" w:hAnsi="Times New Roman" w:eastAsia="宋体" w:cs="Times New Roman"/>
          <w:lang w:val="en-US" w:eastAsia="zh-CN"/>
        </w:rPr>
        <w:t>现代煤化工</w:t>
      </w:r>
      <w:r>
        <w:rPr>
          <w:rFonts w:hint="default" w:ascii="Times New Roman" w:hAnsi="Times New Roman" w:eastAsia="宋体" w:cs="Times New Roman"/>
        </w:rPr>
        <w:t>建设项目开展温室气体排放环境影响评价的一般工作流程、内容、方法和技术要求。</w:t>
      </w:r>
    </w:p>
    <w:p w14:paraId="6861EC8F">
      <w:pPr>
        <w:pStyle w:val="22"/>
        <w:ind w:firstLine="420"/>
        <w:rPr>
          <w:rFonts w:hint="default" w:ascii="Times New Roman" w:hAnsi="Times New Roman" w:eastAsia="宋体" w:cs="Times New Roman"/>
        </w:rPr>
      </w:pPr>
      <w:r>
        <w:rPr>
          <w:rFonts w:hint="default" w:ascii="Times New Roman" w:hAnsi="Times New Roman" w:eastAsia="宋体" w:cs="Times New Roman"/>
        </w:rPr>
        <w:t>本指南适用于新建、改建、扩建</w:t>
      </w:r>
      <w:r>
        <w:rPr>
          <w:rFonts w:hint="eastAsia" w:ascii="Times New Roman" w:eastAsia="宋体" w:cs="Times New Roman"/>
          <w:lang w:val="en-US" w:eastAsia="zh-CN"/>
        </w:rPr>
        <w:t>现代煤化工</w:t>
      </w:r>
      <w:r>
        <w:rPr>
          <w:rFonts w:hint="default" w:ascii="Times New Roman" w:hAnsi="Times New Roman" w:eastAsia="宋体" w:cs="Times New Roman"/>
        </w:rPr>
        <w:t>项目（含异地迁建项目）温室气体排放环境影响评价。</w:t>
      </w:r>
      <w:r>
        <w:rPr>
          <w:rFonts w:hint="eastAsia" w:ascii="Times New Roman" w:cs="Times New Roman"/>
          <w:lang w:val="en-US" w:eastAsia="zh-CN"/>
        </w:rPr>
        <w:t>现代煤化工建设项目，对应</w:t>
      </w:r>
      <w:r>
        <w:rPr>
          <w:rFonts w:ascii="Times New Roman" w:hAnsi="Times New Roman"/>
        </w:rPr>
        <w:t>《国民经济行业分类》</w:t>
      </w:r>
      <w:r>
        <w:rPr>
          <w:rFonts w:hint="eastAsia" w:ascii="Times New Roman" w:hAnsi="Times New Roman"/>
          <w:lang w:eastAsia="zh-CN"/>
        </w:rPr>
        <w:t>（</w:t>
      </w:r>
      <w:r>
        <w:rPr>
          <w:rFonts w:hint="eastAsia" w:ascii="Times New Roman" w:hAnsi="Times New Roman"/>
          <w:lang w:val="en-US" w:eastAsia="zh-CN"/>
        </w:rPr>
        <w:t>GB/T 4754</w:t>
      </w:r>
      <w:r>
        <w:rPr>
          <w:rFonts w:hint="eastAsia" w:ascii="Times New Roman" w:hAnsi="Times New Roman"/>
          <w:lang w:eastAsia="zh-CN"/>
        </w:rPr>
        <w:t>）</w:t>
      </w:r>
      <w:r>
        <w:rPr>
          <w:rFonts w:ascii="Times New Roman" w:hAnsi="Times New Roman"/>
        </w:rPr>
        <w:t>中</w:t>
      </w:r>
      <w:r>
        <w:rPr>
          <w:rFonts w:hint="default" w:ascii="Times New Roman" w:hAnsi="Times New Roman" w:eastAsia="宋体" w:cs="Times New Roman"/>
        </w:rPr>
        <w:t>“</w:t>
      </w:r>
      <w:r>
        <w:rPr>
          <w:rFonts w:hint="eastAsia" w:ascii="Times New Roman" w:hAnsi="Times New Roman" w:eastAsia="宋体" w:cs="Times New Roman"/>
          <w:lang w:val="en-US" w:eastAsia="zh-CN"/>
        </w:rPr>
        <w:t>煤制合成气</w:t>
      </w:r>
      <w:r>
        <w:rPr>
          <w:rFonts w:hint="default" w:ascii="Times New Roman" w:hAnsi="Times New Roman" w:eastAsia="宋体" w:cs="Times New Roman"/>
        </w:rPr>
        <w:t xml:space="preserve"> </w:t>
      </w:r>
      <w:r>
        <w:rPr>
          <w:rFonts w:hint="eastAsia" w:ascii="Times New Roman" w:hAnsi="Times New Roman" w:eastAsia="宋体" w:cs="Times New Roman"/>
          <w:lang w:val="en-US" w:eastAsia="zh-CN"/>
        </w:rPr>
        <w:t>2522</w:t>
      </w:r>
      <w:r>
        <w:rPr>
          <w:rFonts w:hint="default" w:ascii="Times New Roman" w:hAnsi="Times New Roman" w:eastAsia="宋体" w:cs="Times New Roman"/>
        </w:rPr>
        <w:t>”和“</w:t>
      </w:r>
      <w:r>
        <w:rPr>
          <w:rFonts w:hint="eastAsia" w:ascii="Times New Roman" w:hAnsi="Times New Roman" w:eastAsia="宋体" w:cs="Times New Roman"/>
          <w:lang w:val="en-US" w:eastAsia="zh-CN"/>
        </w:rPr>
        <w:t>煤制液体燃料2523</w:t>
      </w:r>
      <w:r>
        <w:rPr>
          <w:rFonts w:hint="default" w:ascii="Times New Roman" w:hAnsi="Times New Roman" w:eastAsia="宋体" w:cs="Times New Roman"/>
        </w:rPr>
        <w:t>”</w:t>
      </w:r>
      <w:r>
        <w:rPr>
          <w:rFonts w:hint="eastAsia" w:ascii="Times New Roman" w:eastAsia="宋体" w:cs="Times New Roman"/>
          <w:lang w:eastAsia="zh-CN"/>
        </w:rPr>
        <w:t>。</w:t>
      </w:r>
    </w:p>
    <w:p w14:paraId="22D5B512">
      <w:pPr>
        <w:pStyle w:val="4"/>
        <w:spacing w:before="1" w:line="354" w:lineRule="auto"/>
        <w:ind w:right="177" w:firstLine="425"/>
        <w:jc w:val="both"/>
        <w:rPr>
          <w:spacing w:val="-7"/>
        </w:rPr>
      </w:pPr>
    </w:p>
    <w:p w14:paraId="60678683">
      <w:pPr>
        <w:keepNext w:val="0"/>
        <w:keepLines w:val="0"/>
        <w:pageBreakBefore w:val="0"/>
        <w:widowControl w:val="0"/>
        <w:kinsoku/>
        <w:wordWrap/>
        <w:overflowPunct/>
        <w:topLinePunct w:val="0"/>
        <w:autoSpaceDE/>
        <w:autoSpaceDN/>
        <w:bidi w:val="0"/>
        <w:adjustRightInd/>
        <w:snapToGrid/>
        <w:spacing w:after="157" w:afterLines="50" w:line="221" w:lineRule="auto"/>
        <w:ind w:left="0"/>
        <w:textAlignment w:val="auto"/>
        <w:outlineLvl w:val="0"/>
        <w:rPr>
          <w:rFonts w:ascii="黑体" w:hAnsi="黑体" w:eastAsia="黑体" w:cs="黑体"/>
          <w:spacing w:val="-1"/>
          <w:sz w:val="21"/>
          <w:szCs w:val="21"/>
        </w:rPr>
      </w:pPr>
      <w:bookmarkStart w:id="23" w:name="_Toc25142"/>
      <w:bookmarkStart w:id="24" w:name="_Toc27987"/>
      <w:bookmarkStart w:id="25" w:name="_Toc23930"/>
      <w:r>
        <w:rPr>
          <w:rFonts w:ascii="黑体" w:hAnsi="黑体" w:eastAsia="黑体" w:cs="黑体"/>
          <w:spacing w:val="-1"/>
          <w:sz w:val="21"/>
          <w:szCs w:val="21"/>
        </w:rPr>
        <w:t xml:space="preserve">2 </w:t>
      </w:r>
      <w:r>
        <w:rPr>
          <w:rFonts w:hint="eastAsia" w:ascii="黑体" w:hAnsi="黑体" w:eastAsia="黑体" w:cs="黑体"/>
          <w:spacing w:val="-1"/>
          <w:sz w:val="21"/>
          <w:szCs w:val="21"/>
          <w:lang w:val="en-US" w:eastAsia="zh-CN"/>
        </w:rPr>
        <w:t xml:space="preserve"> </w:t>
      </w:r>
      <w:r>
        <w:rPr>
          <w:rFonts w:ascii="黑体" w:hAnsi="黑体" w:eastAsia="黑体" w:cs="黑体"/>
          <w:spacing w:val="-1"/>
          <w:sz w:val="21"/>
          <w:szCs w:val="21"/>
        </w:rPr>
        <w:t>规范性引用文件</w:t>
      </w:r>
      <w:bookmarkEnd w:id="23"/>
      <w:bookmarkEnd w:id="24"/>
      <w:bookmarkEnd w:id="25"/>
    </w:p>
    <w:p w14:paraId="039236E4">
      <w:pPr>
        <w:pStyle w:val="4"/>
        <w:keepNext w:val="0"/>
        <w:keepLines w:val="0"/>
        <w:pageBreakBefore w:val="0"/>
        <w:widowControl w:val="0"/>
        <w:kinsoku/>
        <w:wordWrap/>
        <w:overflowPunct/>
        <w:topLinePunct w:val="0"/>
        <w:autoSpaceDE/>
        <w:autoSpaceDN/>
        <w:bidi w:val="0"/>
        <w:adjustRightInd/>
        <w:snapToGrid/>
        <w:spacing w:line="400" w:lineRule="exact"/>
        <w:ind w:left="9" w:firstLine="416"/>
        <w:textAlignment w:val="auto"/>
      </w:pPr>
      <w:r>
        <w:t>本指南引用了下列文件或其中的条款。凡是注日期的引用文件，仅注日期的版本适用于本指南。凡是未注</w:t>
      </w:r>
      <w:r>
        <w:rPr>
          <w:rFonts w:hint="eastAsia"/>
          <w:lang w:val="en-US" w:eastAsia="zh-CN"/>
        </w:rPr>
        <w:t>明</w:t>
      </w:r>
      <w:r>
        <w:t>日期的引用文件，其最新版本（包括所有的修改单）</w:t>
      </w:r>
      <w:r>
        <w:rPr>
          <w:spacing w:val="-1"/>
        </w:rPr>
        <w:t>适用于本指南。</w:t>
      </w:r>
    </w:p>
    <w:p w14:paraId="5671AC29">
      <w:pPr>
        <w:pStyle w:val="4"/>
        <w:keepNext w:val="0"/>
        <w:keepLines w:val="0"/>
        <w:pageBreakBefore w:val="0"/>
        <w:widowControl w:val="0"/>
        <w:kinsoku/>
        <w:wordWrap/>
        <w:overflowPunct/>
        <w:topLinePunct w:val="0"/>
        <w:autoSpaceDE/>
        <w:autoSpaceDN/>
        <w:bidi w:val="0"/>
        <w:adjustRightInd/>
        <w:snapToGrid/>
        <w:spacing w:line="400" w:lineRule="exact"/>
        <w:ind w:left="42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GB/T 32150 工业企业温室气体排放核算和报告通则</w:t>
      </w:r>
    </w:p>
    <w:p w14:paraId="09F67CC3">
      <w:pPr>
        <w:pStyle w:val="4"/>
        <w:keepNext w:val="0"/>
        <w:keepLines w:val="0"/>
        <w:pageBreakBefore w:val="0"/>
        <w:widowControl w:val="0"/>
        <w:kinsoku/>
        <w:wordWrap/>
        <w:overflowPunct/>
        <w:topLinePunct w:val="0"/>
        <w:autoSpaceDE/>
        <w:autoSpaceDN/>
        <w:bidi w:val="0"/>
        <w:adjustRightInd/>
        <w:snapToGrid/>
        <w:spacing w:line="400" w:lineRule="exact"/>
        <w:ind w:left="42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GB/T 32151.10 温室气体排放核算与报告要求 第10部分 化工生产企业</w:t>
      </w:r>
    </w:p>
    <w:p w14:paraId="058A3942">
      <w:pPr>
        <w:pStyle w:val="4"/>
        <w:keepNext w:val="0"/>
        <w:keepLines w:val="0"/>
        <w:pageBreakBefore w:val="0"/>
        <w:widowControl w:val="0"/>
        <w:kinsoku/>
        <w:wordWrap/>
        <w:overflowPunct/>
        <w:topLinePunct w:val="0"/>
        <w:autoSpaceDE/>
        <w:autoSpaceDN/>
        <w:bidi w:val="0"/>
        <w:adjustRightInd/>
        <w:snapToGrid/>
        <w:spacing w:line="400" w:lineRule="exact"/>
        <w:ind w:left="42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GB/T 19022 测量管理体系 测量过程和测量设备的要求</w:t>
      </w:r>
    </w:p>
    <w:p w14:paraId="78D1029C">
      <w:pPr>
        <w:pStyle w:val="4"/>
        <w:keepNext w:val="0"/>
        <w:keepLines w:val="0"/>
        <w:pageBreakBefore w:val="0"/>
        <w:widowControl w:val="0"/>
        <w:kinsoku/>
        <w:wordWrap/>
        <w:overflowPunct/>
        <w:topLinePunct w:val="0"/>
        <w:autoSpaceDE/>
        <w:autoSpaceDN/>
        <w:bidi w:val="0"/>
        <w:adjustRightInd/>
        <w:snapToGrid/>
        <w:spacing w:line="400" w:lineRule="exact"/>
        <w:ind w:left="42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GB 17167 用能单位能源计量器具配备和管理通则</w:t>
      </w:r>
    </w:p>
    <w:p w14:paraId="77D95A35">
      <w:pPr>
        <w:pStyle w:val="4"/>
        <w:keepNext w:val="0"/>
        <w:keepLines w:val="0"/>
        <w:pageBreakBefore w:val="0"/>
        <w:widowControl w:val="0"/>
        <w:kinsoku/>
        <w:wordWrap/>
        <w:overflowPunct/>
        <w:topLinePunct w:val="0"/>
        <w:autoSpaceDE/>
        <w:autoSpaceDN/>
        <w:bidi w:val="0"/>
        <w:adjustRightInd/>
        <w:snapToGrid/>
        <w:spacing w:line="400" w:lineRule="exact"/>
        <w:ind w:left="420"/>
        <w:textAlignment w:val="auto"/>
        <w:rPr>
          <w:rFonts w:hint="default" w:ascii="Times New Roman" w:hAnsi="Times New Roman" w:cs="Times New Roman"/>
          <w:lang w:eastAsia="zh-CN"/>
        </w:rPr>
      </w:pPr>
      <w:r>
        <w:rPr>
          <w:rFonts w:hint="default" w:ascii="Times New Roman" w:hAnsi="Times New Roman" w:cs="Times New Roman"/>
          <w:lang w:eastAsia="zh-CN"/>
        </w:rPr>
        <w:t>GB/T 21367《化工企业能源计量器具配备和管理要求》</w:t>
      </w:r>
    </w:p>
    <w:p w14:paraId="511D52BC">
      <w:pPr>
        <w:pStyle w:val="4"/>
        <w:keepNext w:val="0"/>
        <w:keepLines w:val="0"/>
        <w:pageBreakBefore w:val="0"/>
        <w:widowControl w:val="0"/>
        <w:kinsoku/>
        <w:wordWrap/>
        <w:overflowPunct/>
        <w:topLinePunct w:val="0"/>
        <w:autoSpaceDE/>
        <w:autoSpaceDN/>
        <w:bidi w:val="0"/>
        <w:adjustRightInd/>
        <w:snapToGrid/>
        <w:spacing w:line="400" w:lineRule="exact"/>
        <w:ind w:left="42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HJ 2.1 建设项目环境影响评价技术导则 总纲</w:t>
      </w:r>
    </w:p>
    <w:p w14:paraId="3BB5C97E">
      <w:pPr>
        <w:pStyle w:val="4"/>
        <w:keepNext w:val="0"/>
        <w:keepLines w:val="0"/>
        <w:pageBreakBefore w:val="0"/>
        <w:widowControl w:val="0"/>
        <w:kinsoku/>
        <w:wordWrap/>
        <w:overflowPunct/>
        <w:topLinePunct w:val="0"/>
        <w:autoSpaceDE/>
        <w:autoSpaceDN/>
        <w:bidi w:val="0"/>
        <w:adjustRightInd/>
        <w:snapToGrid/>
        <w:spacing w:line="400" w:lineRule="exact"/>
        <w:ind w:left="42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HJ 2.2 环境影响评价技术导则 大气环境</w:t>
      </w:r>
    </w:p>
    <w:p w14:paraId="2D98C90F">
      <w:pPr>
        <w:pStyle w:val="4"/>
        <w:keepNext w:val="0"/>
        <w:keepLines w:val="0"/>
        <w:pageBreakBefore w:val="0"/>
        <w:widowControl w:val="0"/>
        <w:kinsoku/>
        <w:wordWrap/>
        <w:overflowPunct/>
        <w:topLinePunct w:val="0"/>
        <w:autoSpaceDE/>
        <w:autoSpaceDN/>
        <w:bidi w:val="0"/>
        <w:adjustRightInd/>
        <w:snapToGrid/>
        <w:spacing w:line="400" w:lineRule="exact"/>
        <w:ind w:left="42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HJ 819 排污单位自行监测技术指南 总则</w:t>
      </w:r>
    </w:p>
    <w:p w14:paraId="258602E3">
      <w:pPr>
        <w:pStyle w:val="4"/>
        <w:keepNext w:val="0"/>
        <w:keepLines w:val="0"/>
        <w:pageBreakBefore w:val="0"/>
        <w:widowControl w:val="0"/>
        <w:kinsoku/>
        <w:wordWrap/>
        <w:overflowPunct/>
        <w:topLinePunct w:val="0"/>
        <w:autoSpaceDE/>
        <w:autoSpaceDN/>
        <w:bidi w:val="0"/>
        <w:adjustRightInd/>
        <w:snapToGrid/>
        <w:spacing w:line="400" w:lineRule="exact"/>
        <w:ind w:left="42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HJ 1247-2022 排污单位自行监测技术指南  煤炭加工-合成气和液体燃料生产</w:t>
      </w:r>
    </w:p>
    <w:p w14:paraId="1D11C84B">
      <w:pPr>
        <w:pStyle w:val="4"/>
        <w:keepNext w:val="0"/>
        <w:keepLines w:val="0"/>
        <w:pageBreakBefore w:val="0"/>
        <w:widowControl w:val="0"/>
        <w:kinsoku/>
        <w:wordWrap/>
        <w:overflowPunct/>
        <w:topLinePunct w:val="0"/>
        <w:autoSpaceDE/>
        <w:autoSpaceDN/>
        <w:bidi w:val="0"/>
        <w:adjustRightInd/>
        <w:snapToGrid/>
        <w:spacing w:line="400" w:lineRule="exact"/>
        <w:ind w:left="42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《省级温室气体清单编制指南（试行）》</w:t>
      </w:r>
      <w:r>
        <w:rPr>
          <w:rFonts w:hint="eastAsia" w:ascii="Times New Roman" w:hAnsi="Times New Roman" w:eastAsia="宋体" w:cs="Times New Roman"/>
          <w:lang w:val="en-US" w:eastAsia="zh-CN"/>
        </w:rPr>
        <w:t>（2025年版）</w:t>
      </w:r>
    </w:p>
    <w:p w14:paraId="0205C5EA">
      <w:pPr>
        <w:pStyle w:val="4"/>
        <w:keepNext w:val="0"/>
        <w:keepLines w:val="0"/>
        <w:pageBreakBefore w:val="0"/>
        <w:widowControl w:val="0"/>
        <w:kinsoku/>
        <w:wordWrap/>
        <w:overflowPunct/>
        <w:topLinePunct w:val="0"/>
        <w:autoSpaceDE/>
        <w:autoSpaceDN/>
        <w:bidi w:val="0"/>
        <w:adjustRightInd/>
        <w:snapToGrid/>
        <w:spacing w:line="400" w:lineRule="exact"/>
        <w:ind w:left="42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《火电行业建设项目温室气体排放环境影响评价技术指南（试行）》</w:t>
      </w:r>
    </w:p>
    <w:p w14:paraId="53C71E56">
      <w:pPr>
        <w:pStyle w:val="4"/>
        <w:keepNext w:val="0"/>
        <w:keepLines w:val="0"/>
        <w:pageBreakBefore w:val="0"/>
        <w:widowControl w:val="0"/>
        <w:kinsoku/>
        <w:wordWrap/>
        <w:overflowPunct/>
        <w:topLinePunct w:val="0"/>
        <w:autoSpaceDE/>
        <w:autoSpaceDN/>
        <w:bidi w:val="0"/>
        <w:adjustRightInd/>
        <w:snapToGrid/>
        <w:spacing w:line="400" w:lineRule="exact"/>
        <w:ind w:left="42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《工业企业污染治理设施污染物去除协同控制温室气体核算技术指南（试行）》</w:t>
      </w:r>
    </w:p>
    <w:p w14:paraId="0931590E">
      <w:pPr>
        <w:pStyle w:val="4"/>
        <w:keepNext w:val="0"/>
        <w:keepLines w:val="0"/>
        <w:pageBreakBefore w:val="0"/>
        <w:widowControl w:val="0"/>
        <w:kinsoku/>
        <w:wordWrap/>
        <w:overflowPunct/>
        <w:topLinePunct w:val="0"/>
        <w:autoSpaceDE/>
        <w:autoSpaceDN/>
        <w:bidi w:val="0"/>
        <w:adjustRightInd/>
        <w:snapToGrid/>
        <w:spacing w:line="400" w:lineRule="exact"/>
        <w:ind w:left="42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《污水处理厂低碳运行评价技术规范》（T/CAEPI49—2022）</w:t>
      </w:r>
    </w:p>
    <w:p w14:paraId="55893453">
      <w:pPr>
        <w:pStyle w:val="4"/>
        <w:keepNext w:val="0"/>
        <w:keepLines w:val="0"/>
        <w:pageBreakBefore w:val="0"/>
        <w:widowControl w:val="0"/>
        <w:kinsoku/>
        <w:wordWrap/>
        <w:overflowPunct/>
        <w:topLinePunct w:val="0"/>
        <w:autoSpaceDE/>
        <w:autoSpaceDN/>
        <w:bidi w:val="0"/>
        <w:adjustRightInd/>
        <w:snapToGrid/>
        <w:spacing w:line="400" w:lineRule="exact"/>
        <w:ind w:left="420" w:leftChars="0" w:firstLineChars="0"/>
        <w:jc w:val="both"/>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《现代煤化工行业碳排放基准》（</w:t>
      </w:r>
      <w:r>
        <w:rPr>
          <w:rFonts w:hint="eastAsia" w:ascii="Times New Roman" w:hAnsi="Times New Roman" w:eastAsia="宋体" w:cs="Times New Roman"/>
          <w:spacing w:val="0"/>
          <w:sz w:val="21"/>
          <w:szCs w:val="21"/>
          <w:lang w:val="en-US" w:eastAsia="zh-CN"/>
        </w:rPr>
        <w:t>T/CCECTA 0104-2023</w:t>
      </w:r>
      <w:r>
        <w:rPr>
          <w:rFonts w:hint="eastAsia" w:ascii="Times New Roman" w:hAnsi="Times New Roman" w:eastAsia="宋体" w:cs="Times New Roman"/>
          <w:lang w:val="en-US" w:eastAsia="zh-CN"/>
        </w:rPr>
        <w:t>）</w:t>
      </w:r>
    </w:p>
    <w:p w14:paraId="555AACE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HAnsi" w:hAnsiTheme="minorHAnsi" w:eastAsiaTheme="minorEastAsia" w:cstheme="minorBidi"/>
          <w:spacing w:val="0"/>
          <w:sz w:val="21"/>
          <w:szCs w:val="24"/>
          <w:lang w:val="en-US" w:eastAsia="zh-CN"/>
        </w:rPr>
      </w:pPr>
    </w:p>
    <w:p w14:paraId="33637798">
      <w:pPr>
        <w:keepNext w:val="0"/>
        <w:keepLines w:val="0"/>
        <w:pageBreakBefore w:val="0"/>
        <w:widowControl w:val="0"/>
        <w:kinsoku/>
        <w:wordWrap/>
        <w:overflowPunct/>
        <w:topLinePunct w:val="0"/>
        <w:autoSpaceDE/>
        <w:autoSpaceDN/>
        <w:bidi w:val="0"/>
        <w:adjustRightInd/>
        <w:snapToGrid/>
        <w:spacing w:after="157" w:afterLines="50" w:line="221" w:lineRule="auto"/>
        <w:ind w:left="0"/>
        <w:textAlignment w:val="auto"/>
        <w:outlineLvl w:val="0"/>
        <w:rPr>
          <w:rFonts w:ascii="黑体" w:hAnsi="黑体" w:eastAsia="黑体" w:cs="黑体"/>
          <w:spacing w:val="-1"/>
          <w:sz w:val="21"/>
          <w:szCs w:val="21"/>
        </w:rPr>
      </w:pPr>
      <w:bookmarkStart w:id="26" w:name="_Toc25435"/>
      <w:bookmarkStart w:id="27" w:name="_Toc13790"/>
      <w:bookmarkStart w:id="28" w:name="_Toc18218"/>
      <w:r>
        <w:rPr>
          <w:rFonts w:ascii="黑体" w:hAnsi="黑体" w:eastAsia="黑体" w:cs="黑体"/>
          <w:spacing w:val="-1"/>
          <w:sz w:val="21"/>
          <w:szCs w:val="21"/>
        </w:rPr>
        <w:t>3  术语和定义</w:t>
      </w:r>
      <w:bookmarkEnd w:id="26"/>
      <w:bookmarkEnd w:id="27"/>
      <w:bookmarkEnd w:id="28"/>
    </w:p>
    <w:p w14:paraId="1E3C1CBA">
      <w:pPr>
        <w:pStyle w:val="4"/>
        <w:spacing w:before="274" w:line="220" w:lineRule="auto"/>
        <w:ind w:left="431"/>
      </w:pPr>
      <w:r>
        <w:rPr>
          <w:spacing w:val="-1"/>
        </w:rPr>
        <w:t>下列术语和定义适用于本指南。</w:t>
      </w:r>
    </w:p>
    <w:p w14:paraId="56050D7D">
      <w:pPr>
        <w:keepNext w:val="0"/>
        <w:keepLines w:val="0"/>
        <w:pageBreakBefore w:val="0"/>
        <w:widowControl w:val="0"/>
        <w:kinsoku/>
        <w:wordWrap/>
        <w:overflowPunct/>
        <w:topLinePunct w:val="0"/>
        <w:autoSpaceDE/>
        <w:autoSpaceDN/>
        <w:bidi w:val="0"/>
        <w:adjustRightInd/>
        <w:snapToGrid/>
        <w:spacing w:after="157" w:afterLines="50" w:line="240" w:lineRule="auto"/>
        <w:ind w:left="6"/>
        <w:textAlignment w:val="auto"/>
        <w:rPr>
          <w:rFonts w:ascii="黑体" w:hAnsi="黑体" w:eastAsia="黑体" w:cs="黑体"/>
          <w:sz w:val="21"/>
          <w:szCs w:val="21"/>
        </w:rPr>
      </w:pPr>
      <w:r>
        <w:rPr>
          <w:rFonts w:ascii="黑体" w:hAnsi="黑体" w:eastAsia="黑体" w:cs="黑体"/>
          <w:spacing w:val="-2"/>
          <w:sz w:val="21"/>
          <w:szCs w:val="21"/>
        </w:rPr>
        <w:t>3.1</w:t>
      </w:r>
    </w:p>
    <w:p w14:paraId="6DD09A4A">
      <w:pPr>
        <w:spacing w:before="134" w:line="213" w:lineRule="auto"/>
        <w:ind w:left="425"/>
        <w:rPr>
          <w:rFonts w:hint="default" w:ascii="Times New Roman" w:hAnsi="Times New Roman" w:eastAsia="Times New Roman" w:cs="Times New Roman"/>
          <w:spacing w:val="-1"/>
          <w:sz w:val="21"/>
          <w:szCs w:val="21"/>
          <w:lang w:val="en-US" w:eastAsia="zh-CN"/>
        </w:rPr>
      </w:pPr>
      <w:r>
        <w:rPr>
          <w:rFonts w:hint="eastAsia" w:ascii="黑体" w:hAnsi="黑体" w:eastAsia="黑体" w:cs="黑体"/>
          <w:spacing w:val="-1"/>
          <w:sz w:val="21"/>
          <w:szCs w:val="21"/>
          <w:lang w:val="en-US" w:eastAsia="zh-CN"/>
        </w:rPr>
        <w:t xml:space="preserve">现代煤化工 </w:t>
      </w:r>
      <w:r>
        <w:rPr>
          <w:rFonts w:hint="default" w:ascii="Times New Roman" w:hAnsi="Times New Roman" w:eastAsia="Times New Roman" w:cs="Times New Roman"/>
          <w:spacing w:val="-1"/>
          <w:sz w:val="21"/>
          <w:szCs w:val="21"/>
        </w:rPr>
        <w:t>modern coal chemical industry</w:t>
      </w:r>
    </w:p>
    <w:p w14:paraId="05937F1D">
      <w:pPr>
        <w:keepNext w:val="0"/>
        <w:keepLines w:val="0"/>
        <w:pageBreakBefore w:val="0"/>
        <w:widowControl w:val="0"/>
        <w:kinsoku/>
        <w:wordWrap/>
        <w:overflowPunct/>
        <w:topLinePunct w:val="0"/>
        <w:autoSpaceDE/>
        <w:autoSpaceDN/>
        <w:bidi w:val="0"/>
        <w:adjustRightInd/>
        <w:snapToGrid/>
        <w:spacing w:after="157" w:afterLines="50"/>
        <w:ind w:firstLine="420" w:firstLineChars="200"/>
        <w:textAlignment w:val="auto"/>
        <w:rPr>
          <w:rFonts w:hint="default" w:ascii="Times New Roman" w:hAnsi="Times New Roman" w:cs="Times New Roman" w:eastAsiaTheme="minorEastAsia"/>
          <w:szCs w:val="24"/>
          <w:lang w:eastAsia="zh-CN"/>
        </w:rPr>
      </w:pPr>
      <w:r>
        <w:rPr>
          <w:rFonts w:ascii="Times New Roman" w:hAnsi="Times New Roman" w:cs="Times New Roman" w:eastAsiaTheme="minorEastAsia"/>
          <w:szCs w:val="24"/>
          <w:lang w:eastAsia="zh-CN"/>
        </w:rPr>
        <w:t>现代煤化工是指以煤为原料，采用先进技术和加工手段生产替代石化产品和清洁燃料的产业。</w:t>
      </w:r>
      <w:r>
        <w:rPr>
          <w:rFonts w:hint="default" w:ascii="Times New Roman" w:hAnsi="Times New Roman" w:cs="Times New Roman" w:eastAsiaTheme="minorEastAsia"/>
          <w:szCs w:val="24"/>
          <w:lang w:eastAsia="zh-CN"/>
        </w:rPr>
        <w:t>本指南</w:t>
      </w:r>
      <w:r>
        <w:rPr>
          <w:rFonts w:hint="default" w:ascii="Times New Roman" w:hAnsi="Times New Roman" w:cs="Times New Roman" w:eastAsiaTheme="minorEastAsia"/>
          <w:szCs w:val="24"/>
          <w:lang w:val="en-US" w:eastAsia="zh-CN"/>
        </w:rPr>
        <w:t>所指现代煤化工主要</w:t>
      </w:r>
      <w:r>
        <w:rPr>
          <w:rFonts w:hint="default" w:ascii="Times New Roman" w:hAnsi="Times New Roman" w:cs="Times New Roman" w:eastAsiaTheme="minorEastAsia"/>
          <w:szCs w:val="24"/>
          <w:lang w:eastAsia="zh-CN"/>
        </w:rPr>
        <w:t>包括煤制天然气、</w:t>
      </w:r>
      <w:r>
        <w:rPr>
          <w:rFonts w:hint="default" w:ascii="Times New Roman" w:hAnsi="Times New Roman" w:cs="Times New Roman" w:eastAsiaTheme="minorEastAsia"/>
          <w:szCs w:val="24"/>
          <w:lang w:val="en-US" w:eastAsia="zh-CN"/>
        </w:rPr>
        <w:t>煤制</w:t>
      </w:r>
      <w:r>
        <w:rPr>
          <w:rFonts w:hint="default" w:ascii="Times New Roman" w:hAnsi="Times New Roman" w:cs="Times New Roman" w:eastAsiaTheme="minorEastAsia"/>
          <w:szCs w:val="24"/>
          <w:lang w:eastAsia="zh-CN"/>
        </w:rPr>
        <w:t>合成油、</w:t>
      </w:r>
      <w:r>
        <w:rPr>
          <w:rFonts w:hint="default" w:ascii="Times New Roman" w:hAnsi="Times New Roman" w:cs="Times New Roman" w:eastAsiaTheme="minorEastAsia"/>
          <w:szCs w:val="24"/>
          <w:lang w:val="en-US" w:eastAsia="zh-CN"/>
        </w:rPr>
        <w:t>煤经甲醇制</w:t>
      </w:r>
      <w:r>
        <w:rPr>
          <w:rFonts w:hint="default" w:ascii="Times New Roman" w:hAnsi="Times New Roman" w:cs="Times New Roman" w:eastAsiaTheme="minorEastAsia"/>
          <w:szCs w:val="24"/>
          <w:lang w:eastAsia="zh-CN"/>
        </w:rPr>
        <w:t>烯烃、</w:t>
      </w:r>
      <w:r>
        <w:rPr>
          <w:rFonts w:hint="default" w:ascii="Times New Roman" w:hAnsi="Times New Roman" w:cs="Times New Roman" w:eastAsiaTheme="minorEastAsia"/>
          <w:szCs w:val="24"/>
          <w:lang w:val="en-US" w:eastAsia="zh-CN"/>
        </w:rPr>
        <w:t>煤制</w:t>
      </w:r>
      <w:r>
        <w:rPr>
          <w:rFonts w:hint="default" w:ascii="Times New Roman" w:hAnsi="Times New Roman" w:cs="Times New Roman" w:eastAsiaTheme="minorEastAsia"/>
          <w:szCs w:val="24"/>
          <w:lang w:eastAsia="zh-CN"/>
        </w:rPr>
        <w:t>乙二醇、</w:t>
      </w:r>
      <w:r>
        <w:rPr>
          <w:rFonts w:hint="default" w:ascii="Times New Roman" w:hAnsi="Times New Roman" w:cs="Times New Roman" w:eastAsiaTheme="minorEastAsia"/>
          <w:szCs w:val="24"/>
          <w:lang w:val="en-US" w:eastAsia="zh-CN"/>
        </w:rPr>
        <w:t>煤制</w:t>
      </w:r>
      <w:r>
        <w:rPr>
          <w:rFonts w:hint="default" w:ascii="Times New Roman" w:hAnsi="Times New Roman" w:cs="Times New Roman" w:eastAsiaTheme="minorEastAsia"/>
          <w:szCs w:val="24"/>
          <w:lang w:eastAsia="zh-CN"/>
        </w:rPr>
        <w:t>甲醇等。</w:t>
      </w:r>
    </w:p>
    <w:p w14:paraId="32C5ECC0">
      <w:pPr>
        <w:keepNext w:val="0"/>
        <w:keepLines w:val="0"/>
        <w:pageBreakBefore w:val="0"/>
        <w:widowControl w:val="0"/>
        <w:kinsoku/>
        <w:wordWrap/>
        <w:overflowPunct/>
        <w:topLinePunct w:val="0"/>
        <w:autoSpaceDE/>
        <w:autoSpaceDN/>
        <w:bidi w:val="0"/>
        <w:adjustRightInd/>
        <w:snapToGrid/>
        <w:spacing w:after="157" w:afterLines="50"/>
        <w:ind w:firstLine="420" w:firstLineChars="200"/>
        <w:textAlignment w:val="auto"/>
        <w:rPr>
          <w:rFonts w:hint="default" w:ascii="Times New Roman" w:hAnsi="Times New Roman" w:cs="Times New Roman"/>
          <w:lang w:val="en-US" w:eastAsia="zh-CN"/>
        </w:rPr>
      </w:pPr>
      <w:r>
        <w:rPr>
          <w:rFonts w:hint="eastAsia" w:hAnsi="宋体"/>
        </w:rPr>
        <w:t>[来源</w:t>
      </w:r>
      <w:r>
        <w:rPr>
          <w:rFonts w:hint="eastAsia" w:hAnsi="宋体"/>
          <w:lang w:eastAsia="zh-CN"/>
        </w:rPr>
        <w:t>：</w:t>
      </w:r>
      <w:r>
        <w:rPr>
          <w:rFonts w:hint="eastAsia" w:ascii="宋体" w:hAnsi="宋体" w:cs="Times New Roman"/>
          <w:sz w:val="21"/>
          <w:szCs w:val="20"/>
        </w:rPr>
        <w:t>发改产业〔2017〕553号</w:t>
      </w:r>
      <w:r>
        <w:rPr>
          <w:rFonts w:hint="eastAsia" w:hAnsi="宋体"/>
        </w:rPr>
        <w:t>]</w:t>
      </w:r>
    </w:p>
    <w:p w14:paraId="31FF29BB">
      <w:pPr>
        <w:keepNext w:val="0"/>
        <w:keepLines w:val="0"/>
        <w:pageBreakBefore w:val="0"/>
        <w:widowControl w:val="0"/>
        <w:kinsoku/>
        <w:wordWrap/>
        <w:overflowPunct/>
        <w:topLinePunct w:val="0"/>
        <w:autoSpaceDE/>
        <w:autoSpaceDN/>
        <w:bidi w:val="0"/>
        <w:adjustRightInd/>
        <w:snapToGrid/>
        <w:spacing w:after="157" w:afterLines="50" w:line="240" w:lineRule="auto"/>
        <w:ind w:left="6"/>
        <w:textAlignment w:val="auto"/>
        <w:rPr>
          <w:rFonts w:hint="default"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3.2</w:t>
      </w:r>
    </w:p>
    <w:p w14:paraId="7BEA9249">
      <w:pPr>
        <w:keepNext w:val="0"/>
        <w:keepLines w:val="0"/>
        <w:pageBreakBefore w:val="0"/>
        <w:widowControl w:val="0"/>
        <w:kinsoku/>
        <w:wordWrap/>
        <w:overflowPunct/>
        <w:topLinePunct w:val="0"/>
        <w:autoSpaceDE/>
        <w:autoSpaceDN/>
        <w:bidi w:val="0"/>
        <w:adjustRightInd/>
        <w:snapToGrid/>
        <w:spacing w:after="157" w:afterLines="50" w:line="214" w:lineRule="auto"/>
        <w:ind w:left="425"/>
        <w:textAlignment w:val="auto"/>
        <w:rPr>
          <w:rFonts w:ascii="Times New Roman" w:hAnsi="Times New Roman" w:eastAsia="Times New Roman" w:cs="Times New Roman"/>
          <w:sz w:val="21"/>
          <w:szCs w:val="21"/>
        </w:rPr>
      </w:pPr>
      <w:r>
        <w:rPr>
          <w:rFonts w:ascii="黑体" w:hAnsi="黑体" w:eastAsia="黑体" w:cs="黑体"/>
          <w:spacing w:val="-1"/>
          <w:sz w:val="21"/>
          <w:szCs w:val="21"/>
        </w:rPr>
        <w:t>温室气体</w:t>
      </w:r>
      <w:r>
        <w:rPr>
          <w:rFonts w:ascii="黑体" w:hAnsi="黑体" w:eastAsia="黑体" w:cs="黑体"/>
          <w:spacing w:val="-40"/>
          <w:sz w:val="21"/>
          <w:szCs w:val="21"/>
        </w:rPr>
        <w:t xml:space="preserve"> </w:t>
      </w:r>
      <w:r>
        <w:rPr>
          <w:rFonts w:ascii="Times New Roman" w:hAnsi="Times New Roman" w:eastAsia="Times New Roman" w:cs="Times New Roman"/>
          <w:spacing w:val="-1"/>
          <w:sz w:val="21"/>
          <w:szCs w:val="21"/>
        </w:rPr>
        <w:t>greenhouse gas</w:t>
      </w:r>
    </w:p>
    <w:p w14:paraId="6FC03771">
      <w:pPr>
        <w:keepNext w:val="0"/>
        <w:keepLines w:val="0"/>
        <w:pageBreakBefore w:val="0"/>
        <w:widowControl w:val="0"/>
        <w:kinsoku/>
        <w:wordWrap/>
        <w:overflowPunct/>
        <w:topLinePunct w:val="0"/>
        <w:autoSpaceDE/>
        <w:autoSpaceDN/>
        <w:bidi w:val="0"/>
        <w:adjustRightInd/>
        <w:snapToGrid/>
        <w:spacing w:after="157" w:afterLines="50"/>
        <w:ind w:firstLine="420" w:firstLineChars="200"/>
        <w:textAlignment w:val="auto"/>
        <w:rPr>
          <w:rFonts w:hint="default" w:ascii="Times New Roman" w:hAnsi="Times New Roman" w:cs="Times New Roman"/>
        </w:rPr>
      </w:pPr>
      <w:r>
        <w:rPr>
          <w:rFonts w:hint="default" w:ascii="Times New Roman" w:hAnsi="Times New Roman" w:cs="Times New Roman"/>
        </w:rPr>
        <w:t>大气中吸收和重新放出红外辐射的自然和人为的气态成分，包括二氧化碳（CO</w:t>
      </w:r>
      <w:r>
        <w:rPr>
          <w:rFonts w:hint="default" w:ascii="Times New Roman" w:hAnsi="Times New Roman" w:cs="Times New Roman"/>
          <w:vertAlign w:val="subscript"/>
        </w:rPr>
        <w:t>2</w:t>
      </w:r>
      <w:r>
        <w:rPr>
          <w:rFonts w:hint="default" w:ascii="Times New Roman" w:hAnsi="Times New Roman" w:cs="Times New Roman"/>
        </w:rPr>
        <w:t>）、甲烷（CH</w:t>
      </w:r>
      <w:r>
        <w:rPr>
          <w:rFonts w:hint="default" w:ascii="Times New Roman" w:hAnsi="Times New Roman" w:cs="Times New Roman"/>
          <w:vertAlign w:val="subscript"/>
        </w:rPr>
        <w:t>4</w:t>
      </w:r>
      <w:r>
        <w:rPr>
          <w:rFonts w:hint="default" w:ascii="Times New Roman" w:hAnsi="Times New Roman" w:cs="Times New Roman"/>
        </w:rPr>
        <w:t>）、氧化亚氮（N</w:t>
      </w:r>
      <w:r>
        <w:rPr>
          <w:rFonts w:hint="default" w:ascii="Times New Roman" w:hAnsi="Times New Roman" w:cs="Times New Roman"/>
          <w:vertAlign w:val="subscript"/>
        </w:rPr>
        <w:t>2</w:t>
      </w:r>
      <w:r>
        <w:rPr>
          <w:rFonts w:hint="default" w:ascii="Times New Roman" w:hAnsi="Times New Roman" w:cs="Times New Roman"/>
        </w:rPr>
        <w:t>O）、氢氟碳化物（HFCs）、全氟化碳（PFCs）、六氟化硫（SF</w:t>
      </w:r>
      <w:r>
        <w:rPr>
          <w:rFonts w:hint="default" w:ascii="Times New Roman" w:hAnsi="Times New Roman" w:cs="Times New Roman"/>
          <w:vertAlign w:val="subscript"/>
        </w:rPr>
        <w:t>6</w:t>
      </w:r>
      <w:r>
        <w:rPr>
          <w:rFonts w:hint="default" w:ascii="Times New Roman" w:hAnsi="Times New Roman" w:cs="Times New Roman"/>
        </w:rPr>
        <w:t>）、三氟化氮（NF</w:t>
      </w:r>
      <w:r>
        <w:rPr>
          <w:rFonts w:hint="default" w:ascii="Times New Roman" w:hAnsi="Times New Roman" w:cs="Times New Roman"/>
          <w:vertAlign w:val="subscript"/>
        </w:rPr>
        <w:t>3</w:t>
      </w:r>
      <w:r>
        <w:rPr>
          <w:rFonts w:hint="default" w:ascii="Times New Roman" w:hAnsi="Times New Roman" w:cs="Times New Roman"/>
        </w:rPr>
        <w:t>）等。</w:t>
      </w:r>
    </w:p>
    <w:p w14:paraId="176EA2E7">
      <w:pPr>
        <w:pStyle w:val="22"/>
        <w:keepNext w:val="0"/>
        <w:keepLines w:val="0"/>
        <w:pageBreakBefore w:val="0"/>
        <w:kinsoku/>
        <w:wordWrap/>
        <w:overflowPunct/>
        <w:topLinePunct w:val="0"/>
        <w:bidi w:val="0"/>
        <w:adjustRightInd/>
        <w:snapToGrid/>
        <w:spacing w:after="157" w:afterLines="50"/>
        <w:ind w:firstLine="420"/>
        <w:textAlignment w:val="auto"/>
        <w:rPr>
          <w:rFonts w:hAnsi="宋体"/>
          <w:highlight w:val="yellow"/>
        </w:rPr>
      </w:pPr>
      <w:r>
        <w:rPr>
          <w:rFonts w:hint="eastAsia" w:hAnsi="宋体"/>
          <w:highlight w:val="none"/>
        </w:rPr>
        <w:t>[来源：</w:t>
      </w:r>
      <w:r>
        <w:rPr>
          <w:rFonts w:hint="eastAsia" w:ascii="Times New Roman" w:hAnsi="Times New Roman" w:cs="Times New Roman"/>
          <w:sz w:val="21"/>
          <w:szCs w:val="21"/>
          <w:highlight w:val="none"/>
          <w:lang w:eastAsia="zh-CN"/>
          <w:woUserID w:val="6"/>
        </w:rPr>
        <w:t>CETS-AG-03.01-V01-2024</w:t>
      </w:r>
      <w:r>
        <w:rPr>
          <w:rFonts w:hint="eastAsia" w:hAnsi="宋体"/>
          <w:highlight w:val="none"/>
          <w:lang w:val="en-US" w:eastAsia="zh-CN"/>
        </w:rPr>
        <w:t xml:space="preserve"> </w:t>
      </w:r>
      <w:r>
        <w:rPr>
          <w:rFonts w:hint="eastAsia" w:hAnsi="宋体"/>
          <w:highlight w:val="none"/>
        </w:rPr>
        <w:t>]</w:t>
      </w:r>
    </w:p>
    <w:p w14:paraId="0A5931C5"/>
    <w:p w14:paraId="00D58CB9">
      <w:pPr>
        <w:keepNext w:val="0"/>
        <w:keepLines w:val="0"/>
        <w:pageBreakBefore w:val="0"/>
        <w:widowControl w:val="0"/>
        <w:kinsoku/>
        <w:wordWrap/>
        <w:overflowPunct/>
        <w:topLinePunct w:val="0"/>
        <w:autoSpaceDE/>
        <w:autoSpaceDN/>
        <w:bidi w:val="0"/>
        <w:adjustRightInd/>
        <w:snapToGrid/>
        <w:spacing w:after="157" w:afterLines="50" w:line="240" w:lineRule="auto"/>
        <w:ind w:left="6"/>
        <w:textAlignment w:val="auto"/>
        <w:rPr>
          <w:rFonts w:hint="eastAsia"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3.3</w:t>
      </w:r>
    </w:p>
    <w:p w14:paraId="21B914E7">
      <w:pPr>
        <w:keepNext w:val="0"/>
        <w:keepLines w:val="0"/>
        <w:pageBreakBefore w:val="0"/>
        <w:widowControl w:val="0"/>
        <w:kinsoku/>
        <w:wordWrap/>
        <w:overflowPunct/>
        <w:topLinePunct w:val="0"/>
        <w:autoSpaceDE/>
        <w:autoSpaceDN/>
        <w:bidi w:val="0"/>
        <w:adjustRightInd/>
        <w:snapToGrid/>
        <w:spacing w:after="157" w:afterLines="50" w:line="214" w:lineRule="auto"/>
        <w:ind w:left="425"/>
        <w:textAlignment w:val="auto"/>
        <w:rPr>
          <w:rFonts w:ascii="黑体" w:hAnsi="黑体" w:eastAsia="黑体" w:cs="黑体"/>
          <w:spacing w:val="-1"/>
          <w:sz w:val="21"/>
          <w:szCs w:val="21"/>
        </w:rPr>
      </w:pPr>
      <w:r>
        <w:rPr>
          <w:rFonts w:ascii="黑体" w:hAnsi="黑体" w:eastAsia="黑体" w:cs="黑体"/>
          <w:spacing w:val="-1"/>
          <w:sz w:val="21"/>
          <w:szCs w:val="21"/>
        </w:rPr>
        <w:t>温室气体排放 greenhouse gas emission</w:t>
      </w:r>
    </w:p>
    <w:p w14:paraId="14E2970B">
      <w:pPr>
        <w:keepNext w:val="0"/>
        <w:keepLines w:val="0"/>
        <w:pageBreakBefore w:val="0"/>
        <w:widowControl w:val="0"/>
        <w:kinsoku/>
        <w:wordWrap/>
        <w:overflowPunct/>
        <w:topLinePunct w:val="0"/>
        <w:autoSpaceDE/>
        <w:autoSpaceDN/>
        <w:bidi w:val="0"/>
        <w:adjustRightInd/>
        <w:snapToGrid/>
        <w:spacing w:after="157" w:afterLines="50"/>
        <w:ind w:firstLine="420" w:firstLineChars="200"/>
        <w:textAlignment w:val="auto"/>
        <w:rPr>
          <w:rFonts w:hint="default" w:ascii="Times New Roman" w:hAnsi="Times New Roman" w:cs="Times New Roman"/>
        </w:rPr>
      </w:pPr>
      <w:r>
        <w:rPr>
          <w:rFonts w:hint="default" w:ascii="Times New Roman" w:hAnsi="Times New Roman" w:cs="Times New Roman"/>
        </w:rPr>
        <w:t>建设项目生产运行阶段煤炭、油品、燃气等化石燃料（包括自产和外购）燃烧和工业生产过程等活动产生的温室气体排放，以及因外购电力和热力导致的温室气体排放。温室气体排放量以二氧化碳当量表示，计量单位为“吨二氧化碳当量（tCO</w:t>
      </w:r>
      <w:r>
        <w:rPr>
          <w:rFonts w:hint="default" w:ascii="Times New Roman" w:hAnsi="Times New Roman" w:cs="Times New Roman"/>
          <w:vertAlign w:val="subscript"/>
        </w:rPr>
        <w:t>2e</w:t>
      </w:r>
      <w:r>
        <w:rPr>
          <w:rFonts w:hint="default" w:ascii="Times New Roman" w:hAnsi="Times New Roman" w:cs="Times New Roman"/>
        </w:rPr>
        <w:t>）”。</w:t>
      </w:r>
    </w:p>
    <w:p w14:paraId="5011E64C">
      <w:pPr>
        <w:keepNext w:val="0"/>
        <w:keepLines w:val="0"/>
        <w:pageBreakBefore w:val="0"/>
        <w:widowControl w:val="0"/>
        <w:kinsoku/>
        <w:wordWrap/>
        <w:overflowPunct/>
        <w:topLinePunct w:val="0"/>
        <w:autoSpaceDE/>
        <w:autoSpaceDN/>
        <w:bidi w:val="0"/>
        <w:adjustRightInd/>
        <w:snapToGrid/>
        <w:spacing w:after="157" w:afterLines="50" w:line="400" w:lineRule="exact"/>
        <w:ind w:left="0" w:leftChars="0" w:firstLine="0" w:firstLineChars="0"/>
        <w:jc w:val="both"/>
        <w:textAlignment w:val="auto"/>
        <w:rPr>
          <w:spacing w:val="12"/>
          <w:sz w:val="18"/>
          <w:szCs w:val="18"/>
        </w:rPr>
      </w:pPr>
      <w:r>
        <w:rPr>
          <w:spacing w:val="-1"/>
          <w:sz w:val="18"/>
          <w:szCs w:val="18"/>
        </w:rPr>
        <w:t>注：二氧化碳当量等于给定温室气体的质量乘以其全球变暖潜势值，二氧化碳全球变暖潜势值为</w:t>
      </w:r>
      <w:r>
        <w:rPr>
          <w:rFonts w:ascii="Times New Roman" w:hAnsi="Times New Roman" w:eastAsia="Times New Roman" w:cs="Times New Roman"/>
          <w:spacing w:val="-1"/>
          <w:sz w:val="18"/>
          <w:szCs w:val="18"/>
        </w:rPr>
        <w:t>1</w:t>
      </w:r>
      <w:r>
        <w:rPr>
          <w:spacing w:val="-1"/>
          <w:sz w:val="18"/>
          <w:szCs w:val="18"/>
        </w:rPr>
        <w:t>。</w:t>
      </w:r>
      <w:r>
        <w:rPr>
          <w:spacing w:val="12"/>
          <w:sz w:val="18"/>
          <w:szCs w:val="18"/>
        </w:rPr>
        <w:t xml:space="preserve"> </w:t>
      </w:r>
    </w:p>
    <w:p w14:paraId="1EDD9377">
      <w:pPr>
        <w:keepNext w:val="0"/>
        <w:keepLines w:val="0"/>
        <w:pageBreakBefore w:val="0"/>
        <w:widowControl w:val="0"/>
        <w:kinsoku/>
        <w:wordWrap/>
        <w:overflowPunct/>
        <w:topLinePunct w:val="0"/>
        <w:autoSpaceDE/>
        <w:autoSpaceDN/>
        <w:bidi w:val="0"/>
        <w:adjustRightInd/>
        <w:snapToGrid/>
        <w:spacing w:after="157" w:afterLines="50" w:line="240" w:lineRule="auto"/>
        <w:ind w:left="6"/>
        <w:textAlignment w:val="auto"/>
        <w:rPr>
          <w:rFonts w:hint="eastAsia" w:ascii="黑体" w:hAnsi="黑体" w:eastAsia="黑体" w:cs="黑体"/>
          <w:spacing w:val="-2"/>
          <w:sz w:val="21"/>
          <w:szCs w:val="21"/>
          <w:lang w:val="en-US" w:eastAsia="zh-CN"/>
        </w:rPr>
      </w:pPr>
      <w:r>
        <w:rPr>
          <w:rFonts w:hint="eastAsia" w:ascii="黑体" w:hAnsi="黑体" w:eastAsia="黑体" w:cs="黑体"/>
          <w:spacing w:val="-2"/>
          <w:sz w:val="21"/>
          <w:szCs w:val="21"/>
          <w:lang w:val="en-US" w:eastAsia="en-US"/>
        </w:rPr>
        <w:t>3.</w:t>
      </w:r>
      <w:r>
        <w:rPr>
          <w:rFonts w:hint="eastAsia" w:ascii="黑体" w:hAnsi="黑体" w:eastAsia="黑体" w:cs="黑体"/>
          <w:spacing w:val="-2"/>
          <w:sz w:val="21"/>
          <w:szCs w:val="21"/>
          <w:lang w:val="en-US" w:eastAsia="zh-CN"/>
        </w:rPr>
        <w:t>4</w:t>
      </w:r>
    </w:p>
    <w:p w14:paraId="53EB5999">
      <w:pPr>
        <w:keepNext w:val="0"/>
        <w:keepLines w:val="0"/>
        <w:pageBreakBefore w:val="0"/>
        <w:widowControl w:val="0"/>
        <w:kinsoku/>
        <w:wordWrap/>
        <w:overflowPunct/>
        <w:topLinePunct w:val="0"/>
        <w:autoSpaceDE/>
        <w:autoSpaceDN/>
        <w:bidi w:val="0"/>
        <w:adjustRightInd/>
        <w:snapToGrid/>
        <w:spacing w:after="157" w:afterLines="50" w:line="214" w:lineRule="auto"/>
        <w:ind w:left="425"/>
        <w:textAlignment w:val="auto"/>
        <w:rPr>
          <w:rFonts w:ascii="黑体" w:hAnsi="黑体" w:eastAsia="黑体" w:cs="黑体"/>
          <w:spacing w:val="-1"/>
          <w:sz w:val="21"/>
          <w:szCs w:val="21"/>
          <w:lang w:eastAsia="en-US"/>
        </w:rPr>
      </w:pPr>
      <w:r>
        <w:rPr>
          <w:rFonts w:ascii="黑体" w:hAnsi="黑体" w:eastAsia="黑体" w:cs="黑体"/>
          <w:spacing w:val="-1"/>
          <w:sz w:val="21"/>
          <w:szCs w:val="21"/>
          <w:lang w:eastAsia="en-US"/>
        </w:rPr>
        <w:t>化石燃料燃烧排放 emission from fossil fuel combustion</w:t>
      </w:r>
    </w:p>
    <w:p w14:paraId="55AC8E27">
      <w:pPr>
        <w:keepNext w:val="0"/>
        <w:keepLines w:val="0"/>
        <w:pageBreakBefore w:val="0"/>
        <w:widowControl w:val="0"/>
        <w:kinsoku/>
        <w:wordWrap/>
        <w:overflowPunct/>
        <w:topLinePunct w:val="0"/>
        <w:autoSpaceDE/>
        <w:autoSpaceDN/>
        <w:bidi w:val="0"/>
        <w:adjustRightInd/>
        <w:snapToGrid/>
        <w:spacing w:after="157" w:afterLines="50"/>
        <w:ind w:firstLine="420" w:firstLineChars="200"/>
        <w:textAlignment w:val="auto"/>
        <w:rPr>
          <w:rFonts w:hint="default" w:ascii="Times New Roman" w:hAnsi="Times New Roman" w:cs="Times New Roman"/>
          <w:lang w:val="en-US" w:eastAsia="en-US"/>
        </w:rPr>
      </w:pPr>
      <w:r>
        <w:rPr>
          <w:rFonts w:hint="default" w:ascii="Times New Roman" w:hAnsi="Times New Roman" w:cs="Times New Roman"/>
          <w:lang w:val="en-US" w:eastAsia="en-US"/>
        </w:rPr>
        <w:t>化石燃料在氧化燃烧过程中产生的温室气体排放，包括煤炭、油品、燃气等化石燃料在各种类型的固定和移动设备中发生氧化燃烧过程产生的排放。</w:t>
      </w:r>
    </w:p>
    <w:p w14:paraId="6D5D0F6C">
      <w:pPr>
        <w:spacing w:line="241" w:lineRule="auto"/>
        <w:ind w:left="5"/>
        <w:rPr>
          <w:rFonts w:hint="eastAsia" w:ascii="黑体" w:hAnsi="黑体" w:eastAsia="黑体" w:cs="黑体"/>
          <w:sz w:val="21"/>
          <w:szCs w:val="21"/>
          <w:lang w:eastAsia="zh-CN"/>
        </w:rPr>
      </w:pPr>
      <w:r>
        <w:rPr>
          <w:rFonts w:ascii="黑体" w:hAnsi="黑体" w:eastAsia="黑体" w:cs="黑体"/>
          <w:spacing w:val="-2"/>
          <w:sz w:val="21"/>
          <w:szCs w:val="21"/>
        </w:rPr>
        <w:t>3.</w:t>
      </w:r>
      <w:r>
        <w:rPr>
          <w:rFonts w:hint="eastAsia" w:ascii="黑体" w:hAnsi="黑体" w:eastAsia="黑体" w:cs="黑体"/>
          <w:spacing w:val="-2"/>
          <w:sz w:val="21"/>
          <w:szCs w:val="21"/>
          <w:lang w:val="en-US" w:eastAsia="zh-CN"/>
        </w:rPr>
        <w:t>5</w:t>
      </w:r>
    </w:p>
    <w:p w14:paraId="33A0A797">
      <w:pPr>
        <w:keepNext w:val="0"/>
        <w:keepLines w:val="0"/>
        <w:pageBreakBefore w:val="0"/>
        <w:widowControl w:val="0"/>
        <w:kinsoku/>
        <w:wordWrap/>
        <w:overflowPunct/>
        <w:topLinePunct w:val="0"/>
        <w:autoSpaceDE/>
        <w:autoSpaceDN/>
        <w:bidi w:val="0"/>
        <w:adjustRightInd/>
        <w:snapToGrid/>
        <w:spacing w:after="157" w:afterLines="50" w:line="214" w:lineRule="auto"/>
        <w:ind w:left="425"/>
        <w:textAlignment w:val="auto"/>
        <w:rPr>
          <w:rFonts w:ascii="黑体" w:hAnsi="黑体" w:eastAsia="黑体" w:cs="黑体"/>
          <w:spacing w:val="-1"/>
          <w:sz w:val="21"/>
          <w:szCs w:val="21"/>
          <w:lang w:eastAsia="en-US"/>
        </w:rPr>
      </w:pPr>
      <w:r>
        <w:rPr>
          <w:rFonts w:ascii="黑体" w:hAnsi="黑体" w:eastAsia="黑体" w:cs="黑体"/>
          <w:spacing w:val="-1"/>
          <w:sz w:val="21"/>
          <w:szCs w:val="21"/>
          <w:lang w:eastAsia="en-US"/>
        </w:rPr>
        <w:t>工业生产过程排放 emission from industrial process</w:t>
      </w:r>
    </w:p>
    <w:p w14:paraId="57228D21">
      <w:pPr>
        <w:keepNext w:val="0"/>
        <w:keepLines w:val="0"/>
        <w:pageBreakBefore w:val="0"/>
        <w:widowControl w:val="0"/>
        <w:kinsoku/>
        <w:wordWrap/>
        <w:overflowPunct/>
        <w:topLinePunct w:val="0"/>
        <w:autoSpaceDE/>
        <w:autoSpaceDN/>
        <w:bidi w:val="0"/>
        <w:adjustRightInd/>
        <w:snapToGrid/>
        <w:spacing w:after="157" w:afterLines="50"/>
        <w:ind w:firstLine="420" w:firstLineChars="200"/>
        <w:textAlignment w:val="auto"/>
        <w:rPr>
          <w:rFonts w:hint="default" w:ascii="Times New Roman" w:hAnsi="Times New Roman" w:cs="Times New Roman"/>
        </w:rPr>
      </w:pPr>
      <w:r>
        <w:rPr>
          <w:rFonts w:hint="default" w:ascii="Times New Roman" w:hAnsi="Times New Roman" w:cs="Times New Roman"/>
        </w:rPr>
        <w:t>生产过程除化石燃料燃烧之外的物理或化学反应导致的温室气体排放。本指南中工业生产过程</w:t>
      </w:r>
      <w:r>
        <w:rPr>
          <w:rFonts w:hint="eastAsia" w:ascii="Times New Roman" w:hAnsi="Times New Roman" w:cs="Times New Roman"/>
          <w:lang w:val="en-US" w:eastAsia="zh-CN"/>
        </w:rPr>
        <w:t>排放包括以原料煤为碳排放产生来源的所有过程排放，以及</w:t>
      </w:r>
      <w:r>
        <w:rPr>
          <w:rFonts w:hint="default" w:ascii="Times New Roman" w:hAnsi="Times New Roman" w:cs="Times New Roman"/>
          <w:highlight w:val="none"/>
        </w:rPr>
        <w:t>烟气脱硫的脱硫剂（碳酸盐）分解过程</w:t>
      </w:r>
      <w:r>
        <w:rPr>
          <w:rFonts w:hint="eastAsia" w:ascii="Times New Roman" w:hAnsi="Times New Roman" w:cs="Times New Roman"/>
          <w:highlight w:val="none"/>
          <w:lang w:val="en-US" w:eastAsia="zh-CN"/>
        </w:rPr>
        <w:t>排放</w:t>
      </w:r>
      <w:r>
        <w:rPr>
          <w:rFonts w:hint="default" w:ascii="Times New Roman" w:hAnsi="Times New Roman" w:cs="Times New Roman"/>
        </w:rPr>
        <w:t>。</w:t>
      </w:r>
    </w:p>
    <w:p w14:paraId="13A649BF">
      <w:pPr>
        <w:spacing w:before="1"/>
        <w:ind w:left="5"/>
        <w:rPr>
          <w:rFonts w:hint="eastAsia" w:ascii="黑体" w:hAnsi="黑体" w:eastAsia="黑体" w:cs="黑体"/>
          <w:sz w:val="21"/>
          <w:szCs w:val="21"/>
          <w:lang w:eastAsia="zh-CN"/>
        </w:rPr>
      </w:pPr>
      <w:r>
        <w:rPr>
          <w:rFonts w:ascii="黑体" w:hAnsi="黑体" w:eastAsia="黑体" w:cs="黑体"/>
          <w:spacing w:val="-2"/>
          <w:sz w:val="21"/>
          <w:szCs w:val="21"/>
        </w:rPr>
        <w:t>3.</w:t>
      </w:r>
      <w:r>
        <w:rPr>
          <w:rFonts w:hint="eastAsia" w:ascii="黑体" w:hAnsi="黑体" w:eastAsia="黑体" w:cs="黑体"/>
          <w:spacing w:val="-2"/>
          <w:sz w:val="21"/>
          <w:szCs w:val="21"/>
          <w:lang w:val="en-US" w:eastAsia="zh-CN"/>
        </w:rPr>
        <w:t>6</w:t>
      </w:r>
    </w:p>
    <w:p w14:paraId="205D8B0E">
      <w:pPr>
        <w:keepNext w:val="0"/>
        <w:keepLines w:val="0"/>
        <w:pageBreakBefore w:val="0"/>
        <w:widowControl w:val="0"/>
        <w:kinsoku/>
        <w:wordWrap/>
        <w:overflowPunct/>
        <w:topLinePunct w:val="0"/>
        <w:autoSpaceDE/>
        <w:autoSpaceDN/>
        <w:bidi w:val="0"/>
        <w:adjustRightInd/>
        <w:snapToGrid/>
        <w:spacing w:after="157" w:afterLines="50" w:line="214" w:lineRule="auto"/>
        <w:ind w:left="425"/>
        <w:textAlignment w:val="auto"/>
        <w:rPr>
          <w:rFonts w:ascii="黑体" w:hAnsi="黑体" w:eastAsia="黑体" w:cs="黑体"/>
          <w:spacing w:val="-1"/>
          <w:sz w:val="21"/>
          <w:szCs w:val="21"/>
          <w:lang w:eastAsia="en-US"/>
        </w:rPr>
      </w:pPr>
      <w:r>
        <w:rPr>
          <w:rFonts w:ascii="黑体" w:hAnsi="黑体" w:eastAsia="黑体" w:cs="黑体"/>
          <w:spacing w:val="-1"/>
          <w:sz w:val="21"/>
          <w:szCs w:val="21"/>
          <w:lang w:eastAsia="en-US"/>
        </w:rPr>
        <w:t>购入电力和热力产生的排放 emission from purchased electricity and heat</w:t>
      </w:r>
    </w:p>
    <w:p w14:paraId="4B9900C1">
      <w:pPr>
        <w:keepNext w:val="0"/>
        <w:keepLines w:val="0"/>
        <w:pageBreakBefore w:val="0"/>
        <w:widowControl w:val="0"/>
        <w:kinsoku/>
        <w:wordWrap/>
        <w:overflowPunct/>
        <w:topLinePunct w:val="0"/>
        <w:autoSpaceDE/>
        <w:autoSpaceDN/>
        <w:bidi w:val="0"/>
        <w:adjustRightInd/>
        <w:snapToGrid/>
        <w:spacing w:after="157" w:afterLines="50"/>
        <w:ind w:firstLine="420" w:firstLineChars="200"/>
        <w:textAlignment w:val="auto"/>
        <w:rPr>
          <w:rFonts w:hint="default" w:ascii="Times New Roman" w:hAnsi="Times New Roman" w:cs="Times New Roman"/>
        </w:rPr>
      </w:pPr>
      <w:r>
        <w:rPr>
          <w:rFonts w:hint="default" w:ascii="Times New Roman" w:hAnsi="Times New Roman" w:cs="Times New Roman"/>
        </w:rPr>
        <w:t>外购入使用电量和热量（蒸汽、热水）所对应的电力、热力生产活动产生的温室气体排放。</w:t>
      </w:r>
    </w:p>
    <w:p w14:paraId="6C888B2A">
      <w:pPr>
        <w:spacing w:before="157" w:line="241" w:lineRule="auto"/>
        <w:ind w:left="5"/>
        <w:rPr>
          <w:rFonts w:hint="eastAsia"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3.7</w:t>
      </w:r>
    </w:p>
    <w:p w14:paraId="69C67504">
      <w:pPr>
        <w:pStyle w:val="22"/>
        <w:ind w:firstLine="420"/>
        <w:rPr>
          <w:rFonts w:hint="default" w:ascii="Arial" w:hAnsi="Arial" w:eastAsia="黑体" w:cs="Arial"/>
          <w:sz w:val="21"/>
          <w:szCs w:val="21"/>
          <w:lang w:val="en-US" w:eastAsia="zh-CN"/>
        </w:rPr>
      </w:pPr>
      <w:r>
        <w:rPr>
          <w:rFonts w:hint="default" w:ascii="Arial" w:hAnsi="Arial" w:eastAsia="黑体" w:cs="Arial"/>
          <w:sz w:val="21"/>
          <w:szCs w:val="21"/>
          <w:lang w:val="en-US" w:eastAsia="zh-CN"/>
        </w:rPr>
        <w:t xml:space="preserve">活动数据  </w:t>
      </w:r>
      <w:r>
        <w:rPr>
          <w:rFonts w:ascii="Arial" w:hAnsi="Arial" w:eastAsia="Times New Roman PS MT" w:cs="Arial"/>
          <w:b w:val="0"/>
          <w:bCs w:val="0"/>
          <w:color w:val="000000"/>
          <w:sz w:val="20"/>
          <w:szCs w:val="20"/>
        </w:rPr>
        <w:t>activity data</w:t>
      </w:r>
    </w:p>
    <w:p w14:paraId="3062A49A">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rPr>
          <w:rFonts w:hint="default" w:ascii="Arial" w:hAnsi="Arial" w:cs="Arial"/>
        </w:rPr>
      </w:pPr>
      <w:r>
        <w:rPr>
          <w:rFonts w:hint="default" w:ascii="Arial" w:hAnsi="Arial" w:eastAsia="宋体" w:cs="Arial"/>
          <w:sz w:val="21"/>
          <w:szCs w:val="21"/>
        </w:rPr>
        <w:t>导致</w:t>
      </w:r>
      <w:r>
        <w:rPr>
          <w:rFonts w:hint="default" w:ascii="Arial" w:hAnsi="Arial" w:cs="Arial"/>
          <w:sz w:val="21"/>
          <w:szCs w:val="21"/>
          <w:lang w:val="en-US" w:eastAsia="zh-CN"/>
        </w:rPr>
        <w:t>温室气体</w:t>
      </w:r>
      <w:r>
        <w:rPr>
          <w:rFonts w:hint="default" w:ascii="Arial" w:hAnsi="Arial" w:eastAsia="宋体" w:cs="Arial"/>
          <w:sz w:val="21"/>
          <w:szCs w:val="21"/>
        </w:rPr>
        <w:t>排放的生产或消费活动量的表征值。如各种</w:t>
      </w:r>
      <w:r>
        <w:rPr>
          <w:rFonts w:hint="default" w:ascii="Arial" w:hAnsi="Arial" w:cs="Arial"/>
          <w:sz w:val="21"/>
          <w:szCs w:val="21"/>
          <w:lang w:val="en-US" w:eastAsia="zh-CN"/>
        </w:rPr>
        <w:t>化石</w:t>
      </w:r>
      <w:r>
        <w:rPr>
          <w:rFonts w:hint="default" w:ascii="Arial" w:hAnsi="Arial" w:eastAsia="宋体" w:cs="Arial"/>
          <w:sz w:val="21"/>
          <w:szCs w:val="21"/>
        </w:rPr>
        <w:t>燃料的消耗量、</w:t>
      </w:r>
      <w:r>
        <w:rPr>
          <w:rFonts w:hint="default" w:ascii="Arial" w:hAnsi="Arial" w:eastAsia="宋体" w:cs="Arial"/>
          <w:sz w:val="21"/>
          <w:szCs w:val="21"/>
          <w:lang w:val="en-US" w:eastAsia="zh-CN"/>
        </w:rPr>
        <w:t>含碳原料消耗量、使用电量、使用热量、</w:t>
      </w:r>
      <w:r>
        <w:rPr>
          <w:rFonts w:hint="default" w:ascii="Arial" w:hAnsi="Arial" w:cs="Arial"/>
          <w:sz w:val="21"/>
          <w:szCs w:val="21"/>
          <w:lang w:val="en-US" w:eastAsia="zh-CN"/>
        </w:rPr>
        <w:t>含</w:t>
      </w:r>
      <w:r>
        <w:rPr>
          <w:rFonts w:hint="default" w:ascii="Arial" w:hAnsi="Arial" w:eastAsia="宋体" w:cs="Arial"/>
          <w:sz w:val="21"/>
          <w:szCs w:val="21"/>
          <w:lang w:val="en-US" w:eastAsia="zh-CN"/>
        </w:rPr>
        <w:t>碳产品产量等</w:t>
      </w:r>
      <w:r>
        <w:rPr>
          <w:rFonts w:hint="default" w:ascii="Arial" w:hAnsi="Arial" w:eastAsia="宋体" w:cs="Arial"/>
          <w:sz w:val="21"/>
          <w:szCs w:val="21"/>
        </w:rPr>
        <w:t>。</w:t>
      </w:r>
    </w:p>
    <w:p w14:paraId="3AB01DB3">
      <w:pPr>
        <w:pStyle w:val="4"/>
        <w:rPr>
          <w:rFonts w:hint="eastAsia"/>
          <w:lang w:val="en-US" w:eastAsia="zh-CN"/>
        </w:rPr>
      </w:pPr>
    </w:p>
    <w:p w14:paraId="2FD133BA">
      <w:pPr>
        <w:spacing w:before="157" w:line="241" w:lineRule="auto"/>
        <w:ind w:left="5"/>
        <w:rPr>
          <w:rFonts w:hint="eastAsia"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3.8</w:t>
      </w:r>
    </w:p>
    <w:p w14:paraId="0016E0BE">
      <w:pPr>
        <w:pStyle w:val="22"/>
        <w:ind w:firstLine="420"/>
        <w:rPr>
          <w:rFonts w:hint="default" w:ascii="Arial" w:hAnsi="Arial" w:eastAsia="黑体" w:cs="Arial"/>
          <w:sz w:val="21"/>
          <w:szCs w:val="21"/>
          <w:lang w:val="en-US" w:eastAsia="zh-CN"/>
        </w:rPr>
      </w:pPr>
      <w:r>
        <w:rPr>
          <w:rFonts w:hint="default" w:ascii="Arial" w:hAnsi="Arial" w:eastAsia="黑体" w:cs="Arial"/>
          <w:sz w:val="21"/>
          <w:szCs w:val="21"/>
          <w:lang w:val="en-US" w:eastAsia="zh-CN"/>
        </w:rPr>
        <w:t>温室气体排放</w:t>
      </w:r>
      <w:r>
        <w:rPr>
          <w:rFonts w:hint="eastAsia" w:ascii="Arial" w:hAnsi="Arial" w:eastAsia="黑体" w:cs="Arial"/>
          <w:sz w:val="21"/>
          <w:szCs w:val="21"/>
          <w:lang w:val="en-US" w:eastAsia="zh-CN"/>
        </w:rPr>
        <w:t>水平</w:t>
      </w:r>
      <w:r>
        <w:rPr>
          <w:rFonts w:hint="default" w:ascii="Arial" w:hAnsi="Arial" w:eastAsia="黑体" w:cs="Arial"/>
          <w:sz w:val="21"/>
          <w:szCs w:val="21"/>
          <w:lang w:val="en-US" w:eastAsia="zh-CN"/>
        </w:rPr>
        <w:t xml:space="preserve">  greenhouse gas emission performance</w:t>
      </w:r>
    </w:p>
    <w:p w14:paraId="46536480">
      <w:pPr>
        <w:keepNext w:val="0"/>
        <w:keepLines w:val="0"/>
        <w:pageBreakBefore w:val="0"/>
        <w:widowControl/>
        <w:suppressLineNumbers w:val="0"/>
        <w:kinsoku/>
        <w:wordWrap/>
        <w:overflowPunct/>
        <w:topLinePunct w:val="0"/>
        <w:autoSpaceDE/>
        <w:autoSpaceDN/>
        <w:bidi w:val="0"/>
        <w:adjustRightInd w:val="0"/>
        <w:snapToGrid/>
        <w:spacing w:line="240" w:lineRule="auto"/>
        <w:ind w:firstLine="360" w:firstLineChars="200"/>
        <w:jc w:val="left"/>
        <w:textAlignment w:val="auto"/>
        <w:rPr>
          <w:rFonts w:hint="default" w:ascii="Arial" w:hAnsi="Arial" w:cs="Arial"/>
        </w:rPr>
      </w:pPr>
      <w:r>
        <w:rPr>
          <w:rFonts w:hint="default" w:ascii="Arial" w:hAnsi="Arial" w:eastAsia="宋体" w:cs="Arial"/>
          <w:color w:val="000000"/>
          <w:kern w:val="0"/>
          <w:sz w:val="18"/>
          <w:szCs w:val="18"/>
          <w:lang w:val="en-US" w:eastAsia="zh-CN" w:bidi="ar"/>
        </w:rPr>
        <w:t xml:space="preserve"> </w:t>
      </w:r>
      <w:r>
        <w:rPr>
          <w:rFonts w:hint="default" w:ascii="Arial" w:hAnsi="Arial" w:eastAsia="宋体" w:cs="Arial"/>
          <w:sz w:val="21"/>
          <w:szCs w:val="21"/>
        </w:rPr>
        <w:t>建设项目在生产运行阶段单位</w:t>
      </w:r>
      <w:r>
        <w:rPr>
          <w:rFonts w:hint="eastAsia" w:ascii="Arial" w:hAnsi="Arial" w:cs="Arial"/>
          <w:sz w:val="21"/>
          <w:szCs w:val="21"/>
          <w:lang w:val="en-US" w:eastAsia="zh-CN"/>
        </w:rPr>
        <w:t>加工量/</w:t>
      </w:r>
      <w:r>
        <w:rPr>
          <w:rFonts w:hint="default" w:ascii="Arial" w:hAnsi="Arial" w:eastAsia="宋体" w:cs="Arial"/>
          <w:sz w:val="21"/>
          <w:szCs w:val="21"/>
        </w:rPr>
        <w:t>产品</w:t>
      </w:r>
      <w:r>
        <w:rPr>
          <w:rFonts w:hint="default" w:ascii="Arial" w:hAnsi="Arial" w:cs="Arial"/>
          <w:sz w:val="21"/>
          <w:szCs w:val="21"/>
          <w:lang w:val="en-US" w:eastAsia="zh-CN"/>
        </w:rPr>
        <w:t>的</w:t>
      </w:r>
      <w:r>
        <w:rPr>
          <w:rFonts w:hint="eastAsia" w:ascii="Arial" w:hAnsi="Arial" w:cs="Arial"/>
          <w:sz w:val="21"/>
          <w:szCs w:val="21"/>
          <w:lang w:val="en-US" w:eastAsia="zh-CN"/>
        </w:rPr>
        <w:t>温室气体</w:t>
      </w:r>
      <w:r>
        <w:rPr>
          <w:rFonts w:hint="default" w:ascii="Arial" w:hAnsi="Arial" w:eastAsia="宋体" w:cs="Arial"/>
          <w:sz w:val="21"/>
          <w:szCs w:val="21"/>
        </w:rPr>
        <w:t>排放量。</w:t>
      </w:r>
    </w:p>
    <w:p w14:paraId="13103872">
      <w:pPr>
        <w:pStyle w:val="22"/>
        <w:ind w:firstLine="420"/>
        <w:rPr>
          <w:rFonts w:hint="default" w:ascii="Arial" w:hAnsi="Arial" w:eastAsia="黑体" w:cs="Arial"/>
          <w:sz w:val="21"/>
          <w:szCs w:val="21"/>
          <w:lang w:val="en-US" w:eastAsia="zh-CN"/>
        </w:rPr>
      </w:pPr>
    </w:p>
    <w:p w14:paraId="21C38CC8">
      <w:pPr>
        <w:spacing w:before="157" w:line="241" w:lineRule="auto"/>
        <w:ind w:left="5"/>
        <w:rPr>
          <w:rFonts w:hint="eastAsia"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3.9</w:t>
      </w:r>
    </w:p>
    <w:p w14:paraId="6131955F">
      <w:pPr>
        <w:pStyle w:val="22"/>
        <w:ind w:firstLine="420"/>
        <w:rPr>
          <w:rFonts w:hint="default" w:ascii="Arial" w:hAnsi="Arial" w:eastAsia="黑体" w:cs="Arial"/>
          <w:sz w:val="21"/>
          <w:szCs w:val="21"/>
          <w:lang w:val="en-US" w:eastAsia="zh-CN"/>
        </w:rPr>
      </w:pPr>
      <w:r>
        <w:rPr>
          <w:rFonts w:hint="default" w:ascii="Arial" w:hAnsi="Arial" w:eastAsia="黑体" w:cs="Arial"/>
          <w:sz w:val="21"/>
          <w:szCs w:val="21"/>
          <w:lang w:val="en-US" w:eastAsia="zh-CN"/>
        </w:rPr>
        <w:t xml:space="preserve">排放因子  </w:t>
      </w:r>
      <w:r>
        <w:rPr>
          <w:rFonts w:ascii="Arial" w:hAnsi="Arial" w:eastAsia="Times New Roman PS MT" w:cs="Arial"/>
          <w:b w:val="0"/>
          <w:bCs w:val="0"/>
          <w:color w:val="000000"/>
          <w:sz w:val="20"/>
          <w:szCs w:val="20"/>
        </w:rPr>
        <w:t>emission factor</w:t>
      </w:r>
    </w:p>
    <w:p w14:paraId="6EC13172">
      <w:pPr>
        <w:keepNext w:val="0"/>
        <w:keepLines w:val="0"/>
        <w:pageBreakBefore w:val="0"/>
        <w:widowControl/>
        <w:suppressLineNumbers w:val="0"/>
        <w:kinsoku/>
        <w:wordWrap/>
        <w:overflowPunct/>
        <w:topLinePunct w:val="0"/>
        <w:autoSpaceDE/>
        <w:autoSpaceDN/>
        <w:bidi w:val="0"/>
        <w:adjustRightInd w:val="0"/>
        <w:snapToGrid/>
        <w:spacing w:line="240" w:lineRule="auto"/>
        <w:ind w:firstLine="360" w:firstLineChars="200"/>
        <w:jc w:val="left"/>
        <w:textAlignment w:val="auto"/>
        <w:rPr>
          <w:rFonts w:hint="default" w:ascii="Arial" w:hAnsi="Arial" w:eastAsia="宋体" w:cs="Arial"/>
          <w:sz w:val="21"/>
          <w:szCs w:val="21"/>
        </w:rPr>
      </w:pPr>
      <w:r>
        <w:rPr>
          <w:rFonts w:hint="default" w:ascii="Arial" w:hAnsi="Arial" w:eastAsia="宋体" w:cs="Arial"/>
          <w:color w:val="000000"/>
          <w:kern w:val="0"/>
          <w:sz w:val="18"/>
          <w:szCs w:val="18"/>
          <w:lang w:val="en-US" w:eastAsia="zh-CN" w:bidi="ar"/>
        </w:rPr>
        <w:t xml:space="preserve"> </w:t>
      </w:r>
      <w:r>
        <w:rPr>
          <w:rFonts w:hint="default" w:ascii="Arial" w:hAnsi="Arial" w:eastAsia="宋体" w:cs="Arial"/>
          <w:sz w:val="21"/>
          <w:szCs w:val="21"/>
        </w:rPr>
        <w:t>表征单位生产或消费活动量的</w:t>
      </w:r>
      <w:r>
        <w:rPr>
          <w:rFonts w:hint="default" w:ascii="Arial" w:hAnsi="Arial" w:cs="Arial"/>
          <w:sz w:val="21"/>
          <w:szCs w:val="21"/>
          <w:lang w:val="en-US" w:eastAsia="zh-CN"/>
        </w:rPr>
        <w:t>温室气体</w:t>
      </w:r>
      <w:r>
        <w:rPr>
          <w:rFonts w:hint="default" w:ascii="Arial" w:hAnsi="Arial" w:eastAsia="宋体" w:cs="Arial"/>
          <w:sz w:val="21"/>
          <w:szCs w:val="21"/>
        </w:rPr>
        <w:t>排放的系数。</w:t>
      </w:r>
    </w:p>
    <w:p w14:paraId="5AB62E72">
      <w:pPr>
        <w:pStyle w:val="4"/>
        <w:rPr>
          <w:rFonts w:hint="default"/>
        </w:rPr>
      </w:pPr>
    </w:p>
    <w:p w14:paraId="39D77B21">
      <w:pPr>
        <w:pStyle w:val="4"/>
        <w:rPr>
          <w:rFonts w:hint="eastAsia" w:ascii="Arial" w:hAnsi="Arial" w:cs="Arial"/>
          <w:sz w:val="21"/>
          <w:szCs w:val="21"/>
          <w:lang w:val="en-US" w:eastAsia="zh-CN"/>
        </w:rPr>
      </w:pPr>
      <w:r>
        <w:rPr>
          <w:rFonts w:hint="eastAsia" w:ascii="Arial" w:hAnsi="Arial" w:cs="Arial"/>
          <w:sz w:val="21"/>
          <w:szCs w:val="21"/>
          <w:lang w:val="en-US" w:eastAsia="zh-CN"/>
        </w:rPr>
        <w:t>3.10</w:t>
      </w:r>
    </w:p>
    <w:p w14:paraId="4742281A">
      <w:pPr>
        <w:pStyle w:val="22"/>
        <w:ind w:firstLine="420"/>
        <w:rPr>
          <w:rFonts w:hint="default" w:ascii="Times New Roman" w:hAnsi="Times New Roman" w:eastAsia="黑体" w:cs="Times New Roman"/>
          <w:sz w:val="21"/>
          <w:szCs w:val="21"/>
          <w:lang w:val="en-US" w:eastAsia="zh-CN"/>
        </w:rPr>
      </w:pPr>
      <w:r>
        <w:rPr>
          <w:rFonts w:hint="eastAsia" w:ascii="Times New Roman" w:eastAsia="黑体" w:cs="Times New Roman"/>
          <w:sz w:val="21"/>
          <w:szCs w:val="21"/>
          <w:lang w:val="en-US" w:eastAsia="zh-CN"/>
        </w:rPr>
        <w:t>评价基准年</w:t>
      </w:r>
      <w:r>
        <w:rPr>
          <w:rFonts w:hint="eastAsia" w:ascii="Times New Roman" w:hAnsi="Times New Roman" w:eastAsia="黑体" w:cs="Times New Roman"/>
          <w:sz w:val="21"/>
          <w:szCs w:val="21"/>
          <w:lang w:val="en-US" w:eastAsia="zh-CN"/>
        </w:rPr>
        <w:t xml:space="preserve">  </w:t>
      </w:r>
      <w:r>
        <w:rPr>
          <w:rFonts w:ascii="Times New Roman PS MT" w:hAnsi="Times New Roman PS MT" w:eastAsia="Times New Roman PS MT" w:cs="Times New Roman PS MT"/>
          <w:b w:val="0"/>
          <w:bCs w:val="0"/>
          <w:color w:val="000000"/>
          <w:sz w:val="21"/>
          <w:szCs w:val="21"/>
        </w:rPr>
        <w:t>assessment base year</w:t>
      </w:r>
    </w:p>
    <w:p w14:paraId="40ADADD0">
      <w:pPr>
        <w:pStyle w:val="4"/>
        <w:ind w:firstLine="420" w:firstLineChars="200"/>
        <w:rPr>
          <w:rFonts w:hint="default"/>
        </w:rPr>
      </w:pPr>
      <w:r>
        <w:rPr>
          <w:rFonts w:hint="eastAsia" w:ascii="宋体" w:hAnsi="宋体" w:eastAsia="宋体" w:cs="宋体"/>
          <w:b w:val="0"/>
          <w:bCs w:val="0"/>
          <w:color w:val="000000"/>
          <w:sz w:val="21"/>
          <w:szCs w:val="21"/>
        </w:rPr>
        <w:t>评价</w:t>
      </w:r>
      <w:r>
        <w:rPr>
          <w:rFonts w:hint="eastAsia" w:ascii="宋体" w:hAnsi="宋体" w:cs="宋体"/>
          <w:b w:val="0"/>
          <w:bCs w:val="0"/>
          <w:color w:val="000000"/>
          <w:sz w:val="21"/>
          <w:szCs w:val="21"/>
          <w:lang w:eastAsia="zh-CN"/>
        </w:rPr>
        <w:t>改扩建及异地迁建</w:t>
      </w:r>
      <w:r>
        <w:rPr>
          <w:rFonts w:hint="eastAsia" w:ascii="宋体" w:hAnsi="宋体" w:eastAsia="宋体" w:cs="宋体"/>
          <w:b w:val="0"/>
          <w:bCs w:val="0"/>
          <w:color w:val="000000"/>
          <w:sz w:val="21"/>
          <w:szCs w:val="21"/>
        </w:rPr>
        <w:t>建设项目中现有工程温室气体排放现状水平</w:t>
      </w:r>
      <w:r>
        <w:rPr>
          <w:rFonts w:hint="eastAsia" w:ascii="宋体" w:hAnsi="宋体" w:cs="宋体"/>
          <w:b w:val="0"/>
          <w:bCs w:val="0"/>
          <w:color w:val="000000"/>
          <w:sz w:val="21"/>
          <w:szCs w:val="21"/>
          <w:lang w:val="en-US" w:eastAsia="zh-CN"/>
        </w:rPr>
        <w:t>以上一年度为基准年</w:t>
      </w:r>
      <w:r>
        <w:rPr>
          <w:rFonts w:hint="eastAsia" w:ascii="宋体" w:hAnsi="宋体" w:eastAsia="宋体" w:cs="宋体"/>
          <w:b w:val="0"/>
          <w:bCs w:val="0"/>
          <w:color w:val="000000"/>
          <w:sz w:val="21"/>
          <w:szCs w:val="21"/>
        </w:rPr>
        <w:t>。</w:t>
      </w:r>
    </w:p>
    <w:p w14:paraId="385AAE7D">
      <w:pPr>
        <w:rPr>
          <w:rFonts w:hint="default"/>
          <w:lang w:val="en-US" w:eastAsia="zh-CN"/>
        </w:rPr>
      </w:pPr>
    </w:p>
    <w:p w14:paraId="19EEF878">
      <w:pPr>
        <w:keepNext w:val="0"/>
        <w:keepLines w:val="0"/>
        <w:pageBreakBefore w:val="0"/>
        <w:widowControl w:val="0"/>
        <w:kinsoku/>
        <w:wordWrap/>
        <w:overflowPunct/>
        <w:topLinePunct w:val="0"/>
        <w:autoSpaceDE/>
        <w:autoSpaceDN/>
        <w:bidi w:val="0"/>
        <w:adjustRightInd/>
        <w:snapToGrid/>
        <w:spacing w:after="157" w:afterLines="50" w:line="221" w:lineRule="auto"/>
        <w:ind w:left="0"/>
        <w:textAlignment w:val="auto"/>
        <w:outlineLvl w:val="0"/>
        <w:rPr>
          <w:rFonts w:ascii="黑体" w:hAnsi="黑体" w:eastAsia="黑体" w:cs="黑体"/>
          <w:spacing w:val="-1"/>
          <w:sz w:val="21"/>
          <w:szCs w:val="21"/>
        </w:rPr>
      </w:pPr>
      <w:bookmarkStart w:id="29" w:name="_Toc31755"/>
      <w:bookmarkStart w:id="30" w:name="_Toc32301"/>
      <w:bookmarkStart w:id="31" w:name="_Toc21563"/>
      <w:r>
        <w:rPr>
          <w:rFonts w:ascii="黑体" w:hAnsi="黑体" w:eastAsia="黑体" w:cs="黑体"/>
          <w:spacing w:val="-1"/>
          <w:sz w:val="21"/>
          <w:szCs w:val="21"/>
        </w:rPr>
        <w:t xml:space="preserve">4  </w:t>
      </w:r>
      <w:r>
        <w:rPr>
          <w:rFonts w:hint="eastAsia" w:ascii="黑体" w:hAnsi="黑体" w:eastAsia="黑体" w:cs="黑体"/>
          <w:spacing w:val="-1"/>
          <w:sz w:val="21"/>
          <w:szCs w:val="21"/>
          <w:lang w:val="en-US" w:eastAsia="zh-CN"/>
        </w:rPr>
        <w:t>评价工作</w:t>
      </w:r>
      <w:r>
        <w:rPr>
          <w:rFonts w:ascii="黑体" w:hAnsi="黑体" w:eastAsia="黑体" w:cs="黑体"/>
          <w:spacing w:val="-1"/>
          <w:sz w:val="21"/>
          <w:szCs w:val="21"/>
        </w:rPr>
        <w:t>程序</w:t>
      </w:r>
      <w:bookmarkEnd w:id="29"/>
      <w:bookmarkEnd w:id="30"/>
      <w:bookmarkEnd w:id="31"/>
    </w:p>
    <w:p w14:paraId="406680A3">
      <w:pPr>
        <w:keepNext w:val="0"/>
        <w:keepLines w:val="0"/>
        <w:pageBreakBefore w:val="0"/>
        <w:widowControl w:val="0"/>
        <w:kinsoku/>
        <w:wordWrap/>
        <w:overflowPunct/>
        <w:topLinePunct w:val="0"/>
        <w:autoSpaceDE/>
        <w:autoSpaceDN/>
        <w:bidi w:val="0"/>
        <w:adjustRightInd/>
        <w:snapToGrid/>
        <w:spacing w:after="157" w:afterLines="50"/>
        <w:ind w:firstLine="420" w:firstLineChars="200"/>
        <w:textAlignment w:val="auto"/>
        <w:rPr>
          <w:rFonts w:hint="default" w:ascii="Times New Roman" w:hAnsi="Times New Roman" w:cs="Times New Roman"/>
        </w:rPr>
      </w:pPr>
      <w:r>
        <w:rPr>
          <w:rFonts w:hint="eastAsia" w:ascii="Times New Roman" w:hAnsi="Times New Roman" w:cs="Times New Roman"/>
          <w:lang w:val="en-US" w:eastAsia="zh-CN"/>
        </w:rPr>
        <w:t>现代煤化工</w:t>
      </w:r>
      <w:r>
        <w:rPr>
          <w:rFonts w:hint="default" w:ascii="Times New Roman" w:hAnsi="Times New Roman" w:cs="Times New Roman"/>
        </w:rPr>
        <w:t>建设项目温室气体排放环境影响评价的主要工作内容包括：政策符合性分析、工程分析、温室气体排放评价、协同减污降碳措施比选与可行性论证、温室气体排放管理与监测计划、评价结论。相关内容纳入建设项目环境影响评价报告的相应章节，其中温室气体排放评价设置独立章节，具体工作流程如图1所示。</w:t>
      </w:r>
    </w:p>
    <w:p w14:paraId="1947BB9B">
      <w:pPr>
        <w:pStyle w:val="4"/>
        <w:spacing w:before="165" w:line="360" w:lineRule="auto"/>
        <w:ind w:right="454"/>
        <w:jc w:val="center"/>
        <w:rPr>
          <w:rFonts w:hint="default" w:eastAsia="宋体"/>
          <w:spacing w:val="-2"/>
          <w:lang w:val="en-US" w:eastAsia="zh-CN"/>
        </w:rPr>
      </w:pPr>
      <w:r>
        <w:rPr>
          <w:rFonts w:hint="default"/>
          <w:spacing w:val="-2"/>
          <w:lang w:val="en-US" w:eastAsia="zh-CN"/>
        </w:rPr>
        <w:object>
          <v:shape id="_x0000_i1025" o:spt="75" type="#_x0000_t75" style="height:428.3pt;width:415.2pt;" o:ole="t" filled="f" o:preferrelative="t" stroked="f" coordsize="21600,21600">
            <v:path/>
            <v:fill on="f" focussize="0,0"/>
            <v:stroke on="f"/>
            <v:imagedata r:id="rId15" o:title=""/>
            <o:lock v:ext="edit" aspectratio="f"/>
            <w10:wrap type="none"/>
            <w10:anchorlock/>
          </v:shape>
          <o:OLEObject Type="Embed" ProgID="Visio.Drawing.11" ShapeID="_x0000_i1025" DrawAspect="Content" ObjectID="_1468075725" r:id="rId14">
            <o:LockedField>false</o:LockedField>
          </o:OLEObject>
        </w:object>
      </w:r>
      <w:r>
        <w:rPr>
          <w:rFonts w:hint="eastAsia"/>
          <w:spacing w:val="-2"/>
          <w:lang w:val="en-US" w:eastAsia="zh-CN"/>
        </w:rPr>
        <w:t xml:space="preserve">图1 </w:t>
      </w:r>
      <w:r>
        <w:rPr>
          <w:rFonts w:hint="eastAsia" w:ascii="Times New Roman" w:hAnsi="Times New Roman" w:cs="Times New Roman"/>
          <w:lang w:val="en-US" w:eastAsia="zh-CN"/>
        </w:rPr>
        <w:t>现代煤化工</w:t>
      </w:r>
      <w:r>
        <w:rPr>
          <w:rFonts w:hint="default" w:ascii="Times New Roman" w:hAnsi="Times New Roman" w:cs="Times New Roman"/>
        </w:rPr>
        <w:t>建设项目温室气体排放环境影响评价</w:t>
      </w:r>
      <w:r>
        <w:rPr>
          <w:rFonts w:hint="eastAsia" w:ascii="Times New Roman" w:hAnsi="Times New Roman" w:cs="Times New Roman"/>
          <w:lang w:val="en-US" w:eastAsia="zh-CN"/>
        </w:rPr>
        <w:t>工作程序</w:t>
      </w:r>
    </w:p>
    <w:p w14:paraId="7917B322">
      <w:pPr>
        <w:keepNext w:val="0"/>
        <w:keepLines w:val="0"/>
        <w:pageBreakBefore w:val="0"/>
        <w:widowControl w:val="0"/>
        <w:kinsoku/>
        <w:wordWrap/>
        <w:overflowPunct/>
        <w:topLinePunct w:val="0"/>
        <w:autoSpaceDE/>
        <w:autoSpaceDN/>
        <w:bidi w:val="0"/>
        <w:adjustRightInd/>
        <w:snapToGrid/>
        <w:spacing w:after="157" w:afterLines="50" w:line="221" w:lineRule="auto"/>
        <w:ind w:left="0"/>
        <w:textAlignment w:val="auto"/>
        <w:outlineLvl w:val="0"/>
        <w:rPr>
          <w:rFonts w:hint="eastAsia" w:ascii="黑体" w:hAnsi="黑体" w:eastAsia="黑体" w:cs="黑体"/>
          <w:spacing w:val="-1"/>
          <w:sz w:val="21"/>
          <w:szCs w:val="21"/>
          <w:lang w:eastAsia="zh-CN"/>
        </w:rPr>
      </w:pPr>
      <w:bookmarkStart w:id="32" w:name="_Toc18321"/>
      <w:bookmarkStart w:id="33" w:name="_Toc21295"/>
      <w:bookmarkStart w:id="34" w:name="_Toc27773"/>
      <w:r>
        <w:rPr>
          <w:rFonts w:ascii="黑体" w:hAnsi="黑体" w:eastAsia="黑体" w:cs="黑体"/>
          <w:spacing w:val="-1"/>
          <w:sz w:val="21"/>
          <w:szCs w:val="21"/>
        </w:rPr>
        <w:t>5  评价</w:t>
      </w:r>
      <w:r>
        <w:rPr>
          <w:rFonts w:hint="eastAsia" w:ascii="黑体" w:hAnsi="黑体" w:eastAsia="黑体" w:cs="黑体"/>
          <w:spacing w:val="-1"/>
          <w:sz w:val="21"/>
          <w:szCs w:val="21"/>
          <w:lang w:val="en-US" w:eastAsia="zh-CN"/>
        </w:rPr>
        <w:t>方法</w:t>
      </w:r>
      <w:bookmarkEnd w:id="32"/>
      <w:bookmarkEnd w:id="33"/>
      <w:bookmarkEnd w:id="34"/>
    </w:p>
    <w:p w14:paraId="0216E649">
      <w:pPr>
        <w:keepNext w:val="0"/>
        <w:keepLines w:val="0"/>
        <w:pageBreakBefore w:val="0"/>
        <w:widowControl w:val="0"/>
        <w:kinsoku/>
        <w:wordWrap/>
        <w:overflowPunct/>
        <w:topLinePunct w:val="0"/>
        <w:autoSpaceDE/>
        <w:autoSpaceDN/>
        <w:bidi w:val="0"/>
        <w:adjustRightInd/>
        <w:snapToGrid/>
        <w:spacing w:after="157" w:afterLines="50" w:line="240" w:lineRule="auto"/>
        <w:ind w:left="6"/>
        <w:textAlignment w:val="auto"/>
        <w:outlineLvl w:val="2"/>
        <w:rPr>
          <w:rFonts w:hint="eastAsia"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5.1 政策符合性分析</w:t>
      </w:r>
    </w:p>
    <w:p w14:paraId="503E644C">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黑体" w:hAnsi="黑体" w:eastAsia="黑体" w:cs="黑体"/>
          <w:spacing w:val="-2"/>
          <w:sz w:val="21"/>
          <w:szCs w:val="21"/>
          <w:lang w:val="en-US" w:eastAsia="zh-CN"/>
        </w:rPr>
      </w:pPr>
      <w:r>
        <w:rPr>
          <w:rFonts w:ascii="Arial" w:hAnsi="Arial" w:cs="Arial"/>
        </w:rPr>
        <w:t>收集相关资料，分析</w:t>
      </w:r>
      <w:r>
        <w:rPr>
          <w:rFonts w:hint="eastAsia" w:ascii="Arial" w:hAnsi="Arial" w:cs="Arial"/>
          <w:lang w:val="en-US" w:eastAsia="zh-CN"/>
        </w:rPr>
        <w:t>现代煤化工</w:t>
      </w:r>
      <w:r>
        <w:rPr>
          <w:rFonts w:ascii="Arial" w:hAnsi="Arial" w:cs="Arial"/>
        </w:rPr>
        <w:t>行业建设项目温室气体排放与生态环境保护相关法律法规，国家、区域（园区）和行业碳达峰碳中和目标或行动方案、深入打好污染防治攻坚战目标任务、减污降碳协同增效要求、生态环境分区管控、煤炭消费总量控制、清洁能源替代、清洁运输</w:t>
      </w:r>
      <w:r>
        <w:rPr>
          <w:rFonts w:hint="eastAsia" w:ascii="Arial" w:hAnsi="Arial" w:cs="Arial"/>
          <w:lang w:eastAsia="zh-CN"/>
        </w:rPr>
        <w:t>、</w:t>
      </w:r>
      <w:r>
        <w:rPr>
          <w:rFonts w:hint="eastAsia" w:ascii="Arial" w:hAnsi="Arial" w:cs="Arial"/>
          <w:lang w:val="en-US" w:eastAsia="zh-CN"/>
        </w:rPr>
        <w:t>碳排放置换</w:t>
      </w:r>
      <w:r>
        <w:rPr>
          <w:rFonts w:ascii="Arial" w:hAnsi="Arial" w:cs="Arial"/>
        </w:rPr>
        <w:t>等政策</w:t>
      </w:r>
      <w:r>
        <w:rPr>
          <w:rFonts w:hint="eastAsia" w:ascii="Arial" w:hAnsi="Arial" w:cs="Arial"/>
          <w:lang w:val="en-US" w:eastAsia="zh-CN"/>
        </w:rPr>
        <w:t>要求</w:t>
      </w:r>
      <w:r>
        <w:rPr>
          <w:rFonts w:ascii="Arial" w:hAnsi="Arial" w:cs="Arial"/>
        </w:rPr>
        <w:t>，以及国家、区域生态环境保护等相关规划和规划环境影响评价要求的相符性。</w:t>
      </w:r>
    </w:p>
    <w:p w14:paraId="7357414C">
      <w:pPr>
        <w:keepNext w:val="0"/>
        <w:keepLines w:val="0"/>
        <w:pageBreakBefore w:val="0"/>
        <w:widowControl w:val="0"/>
        <w:kinsoku/>
        <w:wordWrap/>
        <w:overflowPunct/>
        <w:topLinePunct w:val="0"/>
        <w:autoSpaceDE/>
        <w:autoSpaceDN/>
        <w:bidi w:val="0"/>
        <w:adjustRightInd/>
        <w:snapToGrid/>
        <w:spacing w:after="157" w:afterLines="50" w:line="240" w:lineRule="auto"/>
        <w:ind w:left="6"/>
        <w:textAlignment w:val="auto"/>
        <w:outlineLvl w:val="2"/>
        <w:rPr>
          <w:rFonts w:hint="eastAsia"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5.2 工程分析</w:t>
      </w:r>
    </w:p>
    <w:p w14:paraId="02AFD213">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5.2.1 核算边界确定</w:t>
      </w:r>
    </w:p>
    <w:p w14:paraId="4BCC67B9">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ascii="Arial" w:hAnsi="Arial" w:cs="Arial"/>
        </w:rPr>
      </w:pPr>
      <w:r>
        <w:rPr>
          <w:rFonts w:ascii="Arial" w:hAnsi="Arial" w:cs="Arial"/>
        </w:rPr>
        <w:t>建设项目温室气体排放核算边界</w:t>
      </w:r>
      <w:r>
        <w:rPr>
          <w:rFonts w:hint="eastAsia" w:ascii="Arial" w:hAnsi="Arial" w:cs="Arial"/>
          <w:lang w:val="en-US" w:eastAsia="zh-CN"/>
        </w:rPr>
        <w:t>包括</w:t>
      </w:r>
      <w:r>
        <w:rPr>
          <w:rFonts w:ascii="Arial" w:hAnsi="Arial" w:cs="Arial"/>
        </w:rPr>
        <w:t>项目核算边界和各</w:t>
      </w:r>
      <w:r>
        <w:rPr>
          <w:rFonts w:hint="eastAsia" w:ascii="Arial" w:hAnsi="Arial" w:cs="Arial"/>
        </w:rPr>
        <w:t>生产装置</w:t>
      </w:r>
      <w:r>
        <w:rPr>
          <w:rFonts w:ascii="Arial" w:hAnsi="Arial" w:cs="Arial"/>
        </w:rPr>
        <w:t>核算边界。</w:t>
      </w:r>
    </w:p>
    <w:p w14:paraId="7BB407EF">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ascii="Arial" w:hAnsi="Arial" w:cs="Arial"/>
        </w:rPr>
      </w:pPr>
      <w:bookmarkStart w:id="35" w:name="_Hlk149322960"/>
      <w:r>
        <w:rPr>
          <w:rFonts w:hint="eastAsia" w:ascii="Arial" w:hAnsi="Arial" w:cs="Arial"/>
        </w:rPr>
        <w:t>a</w:t>
      </w:r>
      <w:r>
        <w:rPr>
          <w:rFonts w:ascii="Arial" w:hAnsi="Arial" w:cs="Arial"/>
        </w:rPr>
        <w:t>）项目核算边界</w:t>
      </w:r>
    </w:p>
    <w:bookmarkEnd w:id="35"/>
    <w:p w14:paraId="44A152F6">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ascii="Arial" w:hAnsi="Arial" w:cs="Arial"/>
        </w:rPr>
      </w:pPr>
      <w:r>
        <w:rPr>
          <w:rFonts w:ascii="Arial" w:hAnsi="Arial" w:cs="Arial"/>
        </w:rPr>
        <w:t>建设项目分为主要生产系统、辅助生产系统和附属生产系统。其中，辅助生产系统包括</w:t>
      </w:r>
      <w:r>
        <w:rPr>
          <w:rFonts w:hint="eastAsia" w:ascii="Arial" w:hAnsi="Arial" w:cs="Arial"/>
        </w:rPr>
        <w:t>为生产需要而配置的用能工艺</w:t>
      </w:r>
      <w:r>
        <w:rPr>
          <w:rFonts w:hint="eastAsia" w:ascii="Arial" w:hAnsi="Arial" w:cs="Arial"/>
          <w:lang w:eastAsia="zh-CN"/>
        </w:rPr>
        <w:t>（</w:t>
      </w:r>
      <w:r>
        <w:rPr>
          <w:rFonts w:hint="eastAsia" w:ascii="Arial" w:hAnsi="Arial" w:cs="Arial"/>
        </w:rPr>
        <w:t>工序</w:t>
      </w:r>
      <w:r>
        <w:rPr>
          <w:rFonts w:hint="eastAsia" w:ascii="Arial" w:hAnsi="Arial" w:cs="Arial"/>
          <w:lang w:eastAsia="zh-CN"/>
        </w:rPr>
        <w:t>）</w:t>
      </w:r>
      <w:r>
        <w:rPr>
          <w:rFonts w:hint="eastAsia" w:ascii="Arial" w:hAnsi="Arial" w:cs="Arial"/>
        </w:rPr>
        <w:t>、装置、设施和设备，主要包括供电、供水、供气、供热、仪表控制、机修以及安全和环保装置等，不包括自备电厂发电过程。</w:t>
      </w:r>
      <w:r>
        <w:rPr>
          <w:rFonts w:ascii="Arial" w:hAnsi="Arial" w:cs="Arial"/>
        </w:rPr>
        <w:t>附属生产系统包括</w:t>
      </w:r>
      <w:r>
        <w:rPr>
          <w:rFonts w:hint="eastAsia" w:ascii="Arial" w:hAnsi="Arial" w:cs="Arial"/>
        </w:rPr>
        <w:t>为生产系统配置的服务部门和用能设施，主要包括办公室、化验室、成品检验室等。</w:t>
      </w:r>
    </w:p>
    <w:p w14:paraId="7BF87A02">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ascii="Arial" w:hAnsi="Arial" w:cs="Arial"/>
        </w:rPr>
      </w:pPr>
      <w:r>
        <w:rPr>
          <w:rFonts w:ascii="Arial" w:hAnsi="Arial" w:cs="Arial"/>
        </w:rPr>
        <w:t>建设项目温室气体核算边界以建设项目的范围为核算边界，分为主要边界与其他边界两类。主要边界为生产系统、辅助生产系统工业过程排放、消耗化石燃料排放，其他边界为生产系统、辅助生产系统净输入电力和热力产生的温室气体排放</w:t>
      </w:r>
      <w:r>
        <w:rPr>
          <w:rFonts w:hint="eastAsia" w:ascii="Arial" w:hAnsi="Arial" w:cs="Arial"/>
        </w:rPr>
        <w:t>和</w:t>
      </w:r>
      <w:r>
        <w:rPr>
          <w:rFonts w:ascii="Arial" w:hAnsi="Arial" w:cs="Arial"/>
        </w:rPr>
        <w:t>附属生产系统温室气体排放。</w:t>
      </w:r>
    </w:p>
    <w:p w14:paraId="066DAC58">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ascii="Arial" w:hAnsi="Arial" w:cs="Arial"/>
        </w:rPr>
      </w:pPr>
      <w:r>
        <w:rPr>
          <w:rFonts w:ascii="Arial" w:hAnsi="Arial" w:cs="Arial"/>
        </w:rPr>
        <w:t>存在按照发电行业纳入全国碳排放权交易市场的发电设施的，按照《火电行业建设项目温室气体排放环境影响评价技术指南（试行）》要求一并核算其温室气体排放量，纳入本指南核算边界。</w:t>
      </w:r>
    </w:p>
    <w:p w14:paraId="38796B22">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ascii="Arial" w:hAnsi="Arial" w:cs="Arial"/>
        </w:rPr>
      </w:pPr>
      <w:r>
        <w:rPr>
          <w:rFonts w:hint="eastAsia" w:ascii="Arial" w:hAnsi="Arial" w:cs="Arial"/>
        </w:rPr>
        <w:t>b</w:t>
      </w:r>
      <w:r>
        <w:rPr>
          <w:rFonts w:ascii="Arial" w:hAnsi="Arial" w:cs="Arial"/>
        </w:rPr>
        <w:t>）主要生产系统核算边界</w:t>
      </w:r>
    </w:p>
    <w:p w14:paraId="7733D0D1">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rPr>
      </w:pPr>
      <w:r>
        <w:rPr>
          <w:rFonts w:ascii="Arial" w:hAnsi="Arial" w:cs="Arial"/>
        </w:rPr>
        <w:t>生产系统主要包括</w:t>
      </w:r>
      <w:r>
        <w:rPr>
          <w:rFonts w:hint="eastAsia" w:ascii="Arial" w:hAnsi="Arial" w:cs="Arial"/>
          <w:lang w:val="en-US" w:eastAsia="zh-CN"/>
        </w:rPr>
        <w:t>煤</w:t>
      </w:r>
      <w:r>
        <w:rPr>
          <w:rFonts w:hint="eastAsia" w:ascii="Arial" w:hAnsi="Arial" w:cs="Arial"/>
        </w:rPr>
        <w:t>气化及净化装置（包括煤气化、变换和净化单元）、甲烷化和产品压缩、甲醇合成与精馏、甲醇制烯烃和烯烃分离、煤直接液化、煤间接液化、油品加氢处理（加氢稳定、加氢改质）、油品加氢精制、油品加氢裂化、乙二醇生产等生产装置或单元。</w:t>
      </w:r>
    </w:p>
    <w:p w14:paraId="6D0B1229">
      <w:pPr>
        <w:pStyle w:val="4"/>
      </w:pPr>
      <w:r>
        <w:object>
          <v:shape id="_x0000_i1026" o:spt="75" type="#_x0000_t75" style="height:221.35pt;width:415.05pt;" o:ole="t" filled="f" o:preferrelative="t" stroked="f" coordsize="21600,21600">
            <v:path/>
            <v:fill on="f" focussize="0,0"/>
            <v:stroke on="f"/>
            <v:imagedata r:id="rId17" o:title=""/>
            <o:lock v:ext="edit" aspectratio="f"/>
            <w10:wrap type="none"/>
            <w10:anchorlock/>
          </v:shape>
          <o:OLEObject Type="Embed" ProgID="Visio.Drawing.11" ShapeID="_x0000_i1026" DrawAspect="Content" ObjectID="_1468075726" r:id="rId16">
            <o:LockedField>false</o:LockedField>
          </o:OLEObject>
        </w:object>
      </w:r>
    </w:p>
    <w:p w14:paraId="6DAC3CB7">
      <w:pPr>
        <w:jc w:val="center"/>
        <w:rPr>
          <w:rFonts w:hint="default" w:eastAsiaTheme="minorEastAsia"/>
          <w:lang w:val="en-US" w:eastAsia="zh-CN"/>
        </w:rPr>
      </w:pPr>
      <w:r>
        <w:rPr>
          <w:rFonts w:hint="eastAsia"/>
          <w:spacing w:val="-2"/>
          <w:lang w:val="en-US" w:eastAsia="zh-CN"/>
        </w:rPr>
        <w:t xml:space="preserve">图2 </w:t>
      </w:r>
      <w:r>
        <w:rPr>
          <w:rFonts w:hint="eastAsia" w:ascii="Times New Roman" w:hAnsi="Times New Roman" w:cs="Times New Roman"/>
          <w:lang w:val="en-US" w:eastAsia="zh-CN"/>
        </w:rPr>
        <w:t>现代煤化工</w:t>
      </w:r>
      <w:r>
        <w:rPr>
          <w:rFonts w:hint="default" w:ascii="Times New Roman" w:hAnsi="Times New Roman" w:cs="Times New Roman"/>
        </w:rPr>
        <w:t>建设项目温室气体</w:t>
      </w:r>
      <w:r>
        <w:rPr>
          <w:rFonts w:hint="eastAsia" w:ascii="Times New Roman" w:hAnsi="Times New Roman" w:cs="Times New Roman"/>
          <w:lang w:val="en-US" w:eastAsia="zh-CN"/>
        </w:rPr>
        <w:t>核算边界</w:t>
      </w:r>
    </w:p>
    <w:p w14:paraId="6B8E2E53">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ascii="Arial" w:hAnsi="Arial" w:cs="Arial"/>
        </w:rPr>
      </w:pPr>
      <w:r>
        <w:rPr>
          <w:rFonts w:ascii="Arial" w:hAnsi="Arial" w:cs="Arial"/>
        </w:rPr>
        <w:t>存在项目核算边界小于装置核算边界的，应将项目所在装置整体作为装置核算边界。</w:t>
      </w:r>
    </w:p>
    <w:p w14:paraId="38B65740">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ascii="Arial" w:hAnsi="Arial" w:cs="Arial"/>
        </w:rPr>
      </w:pPr>
      <w:r>
        <w:rPr>
          <w:rFonts w:hint="eastAsia" w:ascii="Arial" w:hAnsi="Arial" w:cs="Arial"/>
        </w:rPr>
        <w:t>c</w:t>
      </w:r>
      <w:r>
        <w:rPr>
          <w:rFonts w:ascii="Arial" w:hAnsi="Arial" w:cs="Arial"/>
        </w:rPr>
        <w:t>）其他</w:t>
      </w:r>
    </w:p>
    <w:p w14:paraId="463E03C3">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ascii="Arial" w:hAnsi="Arial" w:cs="Arial"/>
        </w:rPr>
      </w:pPr>
      <w:r>
        <w:rPr>
          <w:rFonts w:ascii="Arial" w:hAnsi="Arial" w:cs="Arial"/>
        </w:rPr>
        <w:t>改扩建及异地搬迁项目核算边界还应考虑现有工程边界。</w:t>
      </w:r>
    </w:p>
    <w:p w14:paraId="16EA7095">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ascii="Arial" w:hAnsi="Arial" w:cs="Arial"/>
        </w:rPr>
        <w:t>对于涉及产能置换项目核算边界还应考虑被置换项目出让方项目边界。</w:t>
      </w:r>
    </w:p>
    <w:p w14:paraId="4FDED797">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5.2.2 现状调查与分析</w:t>
      </w:r>
    </w:p>
    <w:p w14:paraId="157B5066">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收集与建设项目温室气体排放相关的主要技术资料，识别项目温室气体排放的主要节点，明确核算技术方法与相关活动数据。</w:t>
      </w:r>
    </w:p>
    <w:p w14:paraId="5DA7FDB8">
      <w:pPr>
        <w:pStyle w:val="4"/>
        <w:spacing w:before="159" w:line="359" w:lineRule="auto"/>
        <w:ind w:left="5" w:firstLine="426"/>
        <w:jc w:val="both"/>
        <w:rPr>
          <w:rFonts w:hint="eastAsia"/>
          <w:spacing w:val="1"/>
          <w:lang w:val="en-US" w:eastAsia="zh-CN"/>
        </w:rPr>
      </w:pPr>
      <w:r>
        <w:rPr>
          <w:rFonts w:hint="eastAsia"/>
          <w:spacing w:val="1"/>
          <w:lang w:val="en-US" w:eastAsia="zh-CN"/>
        </w:rPr>
        <w:t>（1）新建项目</w:t>
      </w:r>
    </w:p>
    <w:p w14:paraId="3A770908">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ascii="Arial" w:hAnsi="Arial" w:cs="Arial"/>
        </w:rPr>
      </w:pPr>
      <w:r>
        <w:rPr>
          <w:rFonts w:ascii="Arial" w:hAnsi="Arial" w:cs="Arial"/>
        </w:rPr>
        <w:t>依据项目可研报告、立项与工程设计文件、化石燃料成分检验报告、节能评估报告等资料，明确建设项目</w:t>
      </w:r>
      <w:r>
        <w:rPr>
          <w:rFonts w:hint="eastAsia" w:ascii="Arial" w:hAnsi="Arial" w:cs="Arial"/>
          <w:lang w:val="en-US" w:eastAsia="zh-CN"/>
        </w:rPr>
        <w:t>原料煤和燃料煤</w:t>
      </w:r>
      <w:r>
        <w:rPr>
          <w:rFonts w:ascii="Arial" w:hAnsi="Arial" w:cs="Arial"/>
        </w:rPr>
        <w:t>（包括设计和校核）种类、使用量、收到基元素碳含量、收到基低位发热量等，</w:t>
      </w:r>
      <w:r>
        <w:rPr>
          <w:rFonts w:hint="eastAsia" w:ascii="Arial" w:hAnsi="Arial" w:cs="Arial"/>
          <w:lang w:val="en-US" w:eastAsia="zh-CN"/>
        </w:rPr>
        <w:t>其他原辅料</w:t>
      </w:r>
      <w:r>
        <w:rPr>
          <w:rFonts w:ascii="Arial" w:hAnsi="Arial" w:cs="Arial"/>
        </w:rPr>
        <w:t>种类、使用量等，外购入电量、热量等，</w:t>
      </w:r>
      <w:r>
        <w:rPr>
          <w:rFonts w:hint="eastAsia" w:ascii="Arial" w:hAnsi="Arial" w:cs="Arial"/>
          <w:lang w:val="en-US" w:eastAsia="zh-CN"/>
        </w:rPr>
        <w:t>使用其他种类外购燃料的，明确种类、使用量、含碳量等。</w:t>
      </w:r>
      <w:r>
        <w:rPr>
          <w:rFonts w:ascii="Arial" w:hAnsi="Arial" w:cs="Arial"/>
        </w:rPr>
        <w:t>确保所引用数据有据可依且合理可信</w:t>
      </w:r>
      <w:r>
        <w:rPr>
          <w:rFonts w:hint="eastAsia" w:ascii="Arial" w:hAnsi="Arial" w:cs="Arial"/>
          <w:lang w:eastAsia="zh-CN"/>
        </w:rPr>
        <w:t>，</w:t>
      </w:r>
      <w:r>
        <w:rPr>
          <w:rFonts w:hint="eastAsia" w:ascii="Arial" w:hAnsi="Arial" w:cs="Arial"/>
          <w:lang w:val="en-US" w:eastAsia="zh-CN"/>
        </w:rPr>
        <w:t>并与项目物料平衡、碳平衡等相契合</w:t>
      </w:r>
      <w:r>
        <w:rPr>
          <w:rFonts w:ascii="Arial" w:hAnsi="Arial" w:cs="Arial"/>
        </w:rPr>
        <w:t>。</w:t>
      </w:r>
    </w:p>
    <w:p w14:paraId="48645C08">
      <w:pPr>
        <w:pStyle w:val="4"/>
        <w:spacing w:before="159" w:line="359" w:lineRule="auto"/>
        <w:ind w:left="5" w:firstLine="426"/>
        <w:jc w:val="both"/>
        <w:rPr>
          <w:rFonts w:hint="eastAsia"/>
          <w:spacing w:val="1"/>
          <w:lang w:val="en-US" w:eastAsia="zh-CN"/>
        </w:rPr>
      </w:pPr>
      <w:r>
        <w:rPr>
          <w:rFonts w:hint="eastAsia"/>
          <w:spacing w:val="1"/>
          <w:lang w:val="en-US" w:eastAsia="zh-CN"/>
        </w:rPr>
        <w:t>（2）改扩建及异地迁建项目</w:t>
      </w:r>
    </w:p>
    <w:p w14:paraId="094A14E3">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调查现有项目评价基准年的温室气体排放情况。除参照新建项目所需资料收集相关数据信息外，还需收集现有项目温室气体排放核查报告、化石燃料购买合同、能源台账、购售电结算凭证、供热协议及购售热结算凭证、化石燃料成分检验报告等资料文件。综合考虑评价数据的一致性，原则上现有工程温室气体排放评价基准年应与大气环境影响评价基准年保持一致，不一致的，应说明理由。</w:t>
      </w:r>
    </w:p>
    <w:p w14:paraId="6FAFCC36">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若现有项目已纳入碳核查或碳市场管理，可引用碳核查报告或碳市场平台相关数据信息。碳含量、收到基低位发热量等原则上优先采用实测值，也可采用附录中排放系数核算排放量。</w:t>
      </w:r>
    </w:p>
    <w:p w14:paraId="751C9EBC">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default" w:ascii="Arial" w:hAnsi="Arial" w:cs="Arial"/>
          <w:lang w:val="en-US" w:eastAsia="zh-CN"/>
        </w:rPr>
      </w:pPr>
      <w:r>
        <w:rPr>
          <w:rFonts w:hint="eastAsia" w:ascii="Arial" w:hAnsi="Arial" w:cs="Arial"/>
          <w:lang w:val="en-US" w:eastAsia="zh-CN"/>
        </w:rPr>
        <w:t>5.2.3 产生环节与排放节点分析</w:t>
      </w:r>
    </w:p>
    <w:p w14:paraId="46BF5DF5">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
        </w:rPr>
        <w:t>建设项目温室气体排放源包括消</w:t>
      </w:r>
      <w:r>
        <w:rPr>
          <w:rFonts w:hint="default" w:ascii="Arial" w:hAnsi="Arial" w:cs="Arial"/>
          <w:lang w:val="en-US" w:eastAsia="zh-CN"/>
        </w:rPr>
        <w:t>耗化石燃料排放、</w:t>
      </w:r>
      <w:r>
        <w:rPr>
          <w:rFonts w:hint="eastAsia" w:ascii="Arial" w:hAnsi="Arial" w:cs="Arial"/>
          <w:lang w:val="en-US" w:eastAsia="zh"/>
        </w:rPr>
        <w:t>工业生产</w:t>
      </w:r>
      <w:r>
        <w:rPr>
          <w:rFonts w:hint="default" w:ascii="Arial" w:hAnsi="Arial" w:cs="Arial"/>
          <w:lang w:val="en-US" w:eastAsia="zh-CN"/>
        </w:rPr>
        <w:t>过程排放、净输入电力和热力</w:t>
      </w:r>
      <w:r>
        <w:rPr>
          <w:rFonts w:hint="eastAsia" w:ascii="Arial" w:hAnsi="Arial" w:cs="Arial"/>
          <w:lang w:val="en-US" w:eastAsia="zh"/>
        </w:rPr>
        <w:t>产生</w:t>
      </w:r>
      <w:r>
        <w:rPr>
          <w:rFonts w:hint="default" w:ascii="Arial" w:hAnsi="Arial" w:cs="Arial"/>
          <w:lang w:val="en-US" w:eastAsia="zh-CN"/>
        </w:rPr>
        <w:t>的排放</w:t>
      </w:r>
      <w:r>
        <w:rPr>
          <w:rFonts w:hint="eastAsia" w:ascii="Arial" w:hAnsi="Arial" w:cs="Arial"/>
          <w:lang w:val="en-US" w:eastAsia="zh"/>
        </w:rPr>
        <w:t>、</w:t>
      </w:r>
      <w:r>
        <w:rPr>
          <w:rFonts w:hint="default" w:ascii="Arial" w:hAnsi="Arial" w:cs="Arial"/>
          <w:lang w:val="en-US" w:eastAsia="zh-CN"/>
        </w:rPr>
        <w:t>含碳产品隐含的排放以及</w:t>
      </w:r>
      <w:r>
        <w:rPr>
          <w:rFonts w:hint="eastAsia" w:ascii="Arial" w:hAnsi="Arial" w:cs="Arial"/>
          <w:lang w:val="en-US" w:eastAsia="zh-CN"/>
        </w:rPr>
        <w:t>温室气体捕集和利用装置收集回用</w:t>
      </w:r>
      <w:r>
        <w:rPr>
          <w:rFonts w:hint="eastAsia" w:ascii="Arial" w:hAnsi="Arial" w:cs="Arial"/>
          <w:lang w:val="en-US" w:eastAsia="zh"/>
        </w:rPr>
        <w:t>；其中消</w:t>
      </w:r>
      <w:r>
        <w:rPr>
          <w:rFonts w:hint="default" w:ascii="Arial" w:hAnsi="Arial" w:cs="Arial"/>
          <w:lang w:val="en-US" w:eastAsia="zh-CN"/>
        </w:rPr>
        <w:t>耗化石燃料排放</w:t>
      </w:r>
      <w:r>
        <w:rPr>
          <w:rFonts w:hint="eastAsia" w:ascii="Arial" w:hAnsi="Arial" w:cs="Arial"/>
          <w:lang w:val="en-US" w:eastAsia="zh"/>
        </w:rPr>
        <w:t>为主要排放源，</w:t>
      </w:r>
      <w:r>
        <w:rPr>
          <w:rFonts w:hint="eastAsia" w:ascii="Arial" w:hAnsi="Arial" w:cs="Arial"/>
          <w:lang w:val="en-US" w:eastAsia="zh-CN"/>
        </w:rPr>
        <w:t>工业生产</w:t>
      </w:r>
      <w:r>
        <w:rPr>
          <w:rFonts w:hint="default" w:ascii="Arial" w:hAnsi="Arial" w:cs="Arial"/>
          <w:lang w:val="en-US" w:eastAsia="zh-CN"/>
        </w:rPr>
        <w:t>过程排放、净输入电力和热力</w:t>
      </w:r>
      <w:r>
        <w:rPr>
          <w:rFonts w:hint="eastAsia" w:ascii="Arial" w:hAnsi="Arial" w:cs="Arial"/>
          <w:lang w:val="en-US" w:eastAsia="zh"/>
        </w:rPr>
        <w:t>产生</w:t>
      </w:r>
      <w:r>
        <w:rPr>
          <w:rFonts w:hint="default" w:ascii="Arial" w:hAnsi="Arial" w:cs="Arial"/>
          <w:lang w:val="en-US" w:eastAsia="zh-CN"/>
        </w:rPr>
        <w:t>的排放</w:t>
      </w:r>
      <w:r>
        <w:rPr>
          <w:rFonts w:hint="eastAsia" w:ascii="Arial" w:hAnsi="Arial" w:cs="Arial"/>
          <w:lang w:val="en-US" w:eastAsia="zh"/>
        </w:rPr>
        <w:t>、</w:t>
      </w:r>
      <w:r>
        <w:rPr>
          <w:rFonts w:hint="default" w:ascii="Arial" w:hAnsi="Arial" w:cs="Arial"/>
          <w:lang w:val="en-US" w:eastAsia="zh-CN"/>
        </w:rPr>
        <w:t>含碳产品隐含的排放以及</w:t>
      </w:r>
      <w:r>
        <w:rPr>
          <w:rFonts w:hint="eastAsia" w:ascii="Arial" w:hAnsi="Arial" w:cs="Arial"/>
          <w:lang w:val="en-US" w:eastAsia="zh-CN"/>
        </w:rPr>
        <w:t>温室气体捕集和利用装置收集回用</w:t>
      </w:r>
      <w:r>
        <w:rPr>
          <w:rFonts w:hint="eastAsia" w:ascii="Arial" w:hAnsi="Arial" w:cs="Arial"/>
          <w:lang w:val="en-US" w:eastAsia="zh"/>
        </w:rPr>
        <w:t>为其他排放源。</w:t>
      </w:r>
    </w:p>
    <w:p w14:paraId="747058E0">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default" w:ascii="Arial" w:hAnsi="Arial" w:cs="Arial"/>
          <w:lang w:val="en-US" w:eastAsia="zh-CN"/>
        </w:rPr>
      </w:pPr>
      <w:r>
        <w:rPr>
          <w:rFonts w:hint="eastAsia" w:ascii="Arial" w:hAnsi="Arial" w:cs="Arial"/>
          <w:lang w:val="en-US" w:eastAsia="zh-CN"/>
        </w:rPr>
        <w:t>在确定建设项目核算边界的基础上，根据HJ2.1等技术导则要求，从工艺过程排放、化石燃料消耗、净输入电力和热力对应的排放等方面全面识别温室气体排放节点。结合项目各装置工艺流程图给出温室气体产生、排放节点及碳元素来源，明确碳排放形式，给出主要生产装置碳平衡。现代煤化工温室气体排放环节可参考附录A。</w:t>
      </w:r>
    </w:p>
    <w:p w14:paraId="02E43163">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5.2.4 温室气体排放量核算</w:t>
      </w:r>
    </w:p>
    <w:p w14:paraId="46FED744">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a）新建项目</w:t>
      </w:r>
    </w:p>
    <w:p w14:paraId="0E1FE697">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在确定建设项目核算边界的基础上，参照附录C核算新建项目温室气体年排放量，填写建设项目温室气体排放量“三本账”。新建项目结合设计参数核算各主要工序温室气体排放量。</w:t>
      </w:r>
    </w:p>
    <w:p w14:paraId="1209A56F">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b）改扩建项目</w:t>
      </w:r>
    </w:p>
    <w:p w14:paraId="48030B70">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改扩建项目应分别给出现有工程、拟建工程的温室气体排放量，核算改扩建项目</w:t>
      </w:r>
      <w:r>
        <w:rPr>
          <w:rFonts w:hint="eastAsia" w:ascii="Times New Roman" w:hAnsi="Times New Roman" w:eastAsia="宋体" w:cs="Times New Roman"/>
          <w:color w:val="000000" w:themeColor="text1"/>
          <w:lang w:val="en-US" w:eastAsia="zh-CN"/>
          <w14:textFill>
            <w14:solidFill>
              <w14:schemeClr w14:val="tx1"/>
            </w14:solidFill>
          </w14:textFill>
        </w:rPr>
        <w:t>涉及</w:t>
      </w:r>
      <w:r>
        <w:rPr>
          <w:rFonts w:hint="default" w:ascii="Times New Roman" w:hAnsi="Times New Roman" w:eastAsia="宋体" w:cs="Times New Roman"/>
          <w:color w:val="000000" w:themeColor="text1"/>
          <w14:textFill>
            <w14:solidFill>
              <w14:schemeClr w14:val="tx1"/>
            </w14:solidFill>
          </w14:textFill>
        </w:rPr>
        <w:t>该</w:t>
      </w:r>
      <w:r>
        <w:rPr>
          <w:rFonts w:hint="eastAsia" w:ascii="Arial" w:hAnsi="Arial" w:cs="Arial"/>
          <w:lang w:val="en-US" w:eastAsia="zh-CN"/>
        </w:rPr>
        <w:t>工序的温室气体排放量及变化情况，填写建设项目温室气体排放“三本账”。</w:t>
      </w:r>
    </w:p>
    <w:p w14:paraId="4A3F38C3">
      <w:pPr>
        <w:keepNext w:val="0"/>
        <w:keepLines w:val="0"/>
        <w:pageBreakBefore w:val="0"/>
        <w:widowControl w:val="0"/>
        <w:kinsoku/>
        <w:wordWrap/>
        <w:overflowPunct/>
        <w:topLinePunct w:val="0"/>
        <w:autoSpaceDE/>
        <w:autoSpaceDN/>
        <w:bidi w:val="0"/>
        <w:adjustRightInd/>
        <w:snapToGrid/>
        <w:spacing w:after="157" w:afterLines="50" w:line="240" w:lineRule="auto"/>
        <w:ind w:left="6"/>
        <w:textAlignment w:val="auto"/>
        <w:outlineLvl w:val="2"/>
        <w:rPr>
          <w:rFonts w:hint="eastAsia"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5.3 温室气体排放水平评价</w:t>
      </w:r>
    </w:p>
    <w:p w14:paraId="73EC723E">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default" w:ascii="Arial" w:hAnsi="Arial" w:cs="Arial"/>
          <w:lang w:val="en-US" w:eastAsia="zh-CN"/>
        </w:rPr>
      </w:pPr>
      <w:r>
        <w:rPr>
          <w:rFonts w:hint="eastAsia" w:ascii="Arial" w:hAnsi="Arial" w:cs="Arial"/>
          <w:lang w:val="en-US" w:eastAsia="zh-CN"/>
        </w:rPr>
        <w:t>5.3.1 温室气体排放水平核算</w:t>
      </w:r>
    </w:p>
    <w:p w14:paraId="61F2764E">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
        </w:rPr>
      </w:pPr>
      <w:r>
        <w:rPr>
          <w:rFonts w:hint="eastAsia" w:ascii="Arial" w:hAnsi="Arial" w:cs="Arial"/>
          <w:lang w:val="en-US" w:eastAsia="zh-CN"/>
        </w:rPr>
        <w:t>现代煤化工建设项目温室气体排放水平评价采用单位产品二氧化碳排放强度进行表征，计算项目主要工序温室气体排放水平，具体方法如公式1。改扩建及异地迁建</w:t>
      </w:r>
      <w:r>
        <w:rPr>
          <w:rFonts w:hint="eastAsia" w:ascii="Arial" w:hAnsi="Arial" w:cs="Arial"/>
          <w:lang w:val="en-US" w:eastAsia="zh"/>
        </w:rPr>
        <w:t>项目</w:t>
      </w:r>
      <w:r>
        <w:rPr>
          <w:rFonts w:hint="eastAsia" w:ascii="Arial" w:hAnsi="Arial" w:cs="Arial"/>
          <w:lang w:val="en-US" w:eastAsia="zh-CN"/>
        </w:rPr>
        <w:t>还应单独核算现有工程温室气体排放水平</w:t>
      </w:r>
      <w:r>
        <w:rPr>
          <w:rFonts w:hint="eastAsia" w:ascii="Arial" w:hAnsi="Arial" w:cs="Arial"/>
          <w:lang w:val="en-US" w:eastAsia="zh"/>
        </w:rPr>
        <w:t>。</w:t>
      </w:r>
    </w:p>
    <w:p w14:paraId="55697890">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Q</w:t>
      </w:r>
      <w:r>
        <w:rPr>
          <w:rFonts w:hint="eastAsia" w:ascii="Times New Roman" w:hAnsi="Times New Roman" w:cs="Times New Roman"/>
          <w:sz w:val="21"/>
          <w:szCs w:val="21"/>
          <w:highlight w:val="none"/>
          <w:vertAlign w:val="subscript"/>
          <w:lang w:val="en-US" w:eastAsia="zh-CN"/>
        </w:rPr>
        <w:t>产品</w:t>
      </w:r>
      <w:r>
        <w:rPr>
          <w:rFonts w:hint="default" w:ascii="Times New Roman" w:hAnsi="Times New Roman" w:eastAsia="宋体" w:cs="Times New Roman"/>
          <w:sz w:val="21"/>
          <w:szCs w:val="21"/>
          <w:highlight w:val="none"/>
        </w:rPr>
        <w:t>=E</w:t>
      </w:r>
      <w:r>
        <w:rPr>
          <w:rFonts w:hint="eastAsia" w:ascii="Times New Roman" w:hAnsi="Times New Roman" w:cs="Times New Roman"/>
          <w:sz w:val="21"/>
          <w:szCs w:val="21"/>
          <w:highlight w:val="none"/>
          <w:vertAlign w:val="subscript"/>
          <w:lang w:val="en-US" w:eastAsia="zh-CN"/>
        </w:rPr>
        <w:t>产品产生</w:t>
      </w:r>
      <w:r>
        <w:rPr>
          <w:rFonts w:hint="default" w:ascii="Times New Roman" w:hAnsi="Times New Roman" w:eastAsia="宋体" w:cs="Times New Roman"/>
          <w:sz w:val="21"/>
          <w:szCs w:val="21"/>
          <w:highlight w:val="none"/>
        </w:rPr>
        <w:t>/</w:t>
      </w:r>
      <w:r>
        <w:rPr>
          <w:rFonts w:hint="eastAsia" w:ascii="Times New Roman" w:hAnsi="Times New Roman" w:cs="Times New Roman"/>
          <w:sz w:val="21"/>
          <w:szCs w:val="21"/>
          <w:highlight w:val="none"/>
          <w:lang w:val="en-US" w:eastAsia="zh-CN"/>
        </w:rPr>
        <w:t>Y</w:t>
      </w:r>
      <w:r>
        <w:rPr>
          <w:rFonts w:hint="eastAsia" w:ascii="Times New Roman" w:hAnsi="Times New Roman" w:cs="Times New Roman"/>
          <w:sz w:val="21"/>
          <w:szCs w:val="21"/>
          <w:highlight w:val="none"/>
          <w:vertAlign w:val="subscript"/>
          <w:lang w:val="en-US" w:eastAsia="zh-CN"/>
        </w:rPr>
        <w:t>产品</w:t>
      </w:r>
      <w:r>
        <w:rPr>
          <w:rFonts w:hint="default" w:ascii="Times New Roman" w:hAnsi="Times New Roman" w:eastAsia="宋体" w:cs="Times New Roman"/>
          <w:sz w:val="21"/>
          <w:szCs w:val="21"/>
          <w:highlight w:val="none"/>
        </w:rPr>
        <w:t xml:space="preserve">  </w:t>
      </w:r>
      <w:r>
        <w:rPr>
          <w:rFonts w:hint="eastAsia" w:ascii="Times New Roman" w:hAnsi="Times New Roman" w:cs="Times New Roman"/>
          <w:sz w:val="21"/>
          <w:szCs w:val="21"/>
          <w:highlight w:val="none"/>
          <w:lang w:val="en-US" w:eastAsia="zh-CN"/>
        </w:rPr>
        <w:t xml:space="preserve">       （1）</w:t>
      </w:r>
      <w:r>
        <w:rPr>
          <w:rFonts w:hint="default" w:ascii="Times New Roman" w:hAnsi="Times New Roman" w:eastAsia="宋体" w:cs="Times New Roman"/>
          <w:sz w:val="21"/>
          <w:szCs w:val="21"/>
          <w:highlight w:val="none"/>
        </w:rPr>
        <w:t></w:t>
      </w:r>
    </w:p>
    <w:p w14:paraId="7E37D7C9">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式中：</w:t>
      </w:r>
    </w:p>
    <w:p w14:paraId="4112D366">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Q</w:t>
      </w:r>
      <w:r>
        <w:rPr>
          <w:rFonts w:hint="eastAsia" w:ascii="Times New Roman" w:hAnsi="Times New Roman" w:cs="Times New Roman"/>
          <w:sz w:val="21"/>
          <w:szCs w:val="21"/>
          <w:highlight w:val="none"/>
          <w:vertAlign w:val="subscript"/>
          <w:lang w:val="en-US" w:eastAsia="zh-CN"/>
        </w:rPr>
        <w:t>产品</w:t>
      </w:r>
      <w:r>
        <w:rPr>
          <w:rFonts w:hint="default" w:ascii="Times New Roman" w:hAnsi="Times New Roman" w:eastAsia="宋体" w:cs="Times New Roman"/>
          <w:sz w:val="21"/>
          <w:szCs w:val="21"/>
          <w:highlight w:val="none"/>
        </w:rPr>
        <w:t>为</w:t>
      </w:r>
      <w:r>
        <w:rPr>
          <w:rFonts w:hint="eastAsia" w:ascii="Times New Roman" w:hAnsi="Times New Roman" w:cs="Times New Roman"/>
          <w:sz w:val="21"/>
          <w:szCs w:val="21"/>
          <w:highlight w:val="none"/>
          <w:lang w:val="en-US" w:eastAsia="zh-CN"/>
        </w:rPr>
        <w:t>一</w:t>
      </w:r>
      <w:r>
        <w:rPr>
          <w:rFonts w:hint="eastAsia" w:ascii="Times New Roman" w:hAnsi="Times New Roman" w:cs="Times New Roman"/>
          <w:sz w:val="21"/>
          <w:szCs w:val="21"/>
          <w:highlight w:val="none"/>
          <w:lang w:eastAsia="zh"/>
          <w:woUserID w:val="6"/>
        </w:rPr>
        <w:t>主要</w:t>
      </w:r>
      <w:r>
        <w:rPr>
          <w:rFonts w:hint="default" w:ascii="Times New Roman" w:hAnsi="Times New Roman" w:eastAsia="宋体" w:cs="Times New Roman"/>
          <w:sz w:val="21"/>
          <w:szCs w:val="21"/>
          <w:highlight w:val="none"/>
        </w:rPr>
        <w:t>工序温室气体排放</w:t>
      </w:r>
      <w:r>
        <w:rPr>
          <w:rFonts w:hint="eastAsia" w:ascii="Times New Roman" w:hAnsi="Times New Roman" w:eastAsia="宋体" w:cs="Times New Roman"/>
          <w:sz w:val="21"/>
          <w:szCs w:val="21"/>
          <w:highlight w:val="none"/>
          <w:lang w:val="en-US" w:eastAsia="zh-CN"/>
        </w:rPr>
        <w:t>水平</w:t>
      </w:r>
      <w:r>
        <w:rPr>
          <w:rFonts w:hint="default" w:ascii="Times New Roman" w:hAnsi="Times New Roman" w:eastAsia="宋体" w:cs="Times New Roman"/>
          <w:sz w:val="21"/>
          <w:szCs w:val="21"/>
          <w:highlight w:val="none"/>
        </w:rPr>
        <w:t>，单位为tCO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/t产品；</w:t>
      </w:r>
    </w:p>
    <w:p w14:paraId="00BD705C">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E</w:t>
      </w:r>
      <w:r>
        <w:rPr>
          <w:rFonts w:hint="eastAsia" w:ascii="Times New Roman" w:hAnsi="Times New Roman" w:cs="Times New Roman"/>
          <w:sz w:val="21"/>
          <w:szCs w:val="21"/>
          <w:highlight w:val="none"/>
          <w:vertAlign w:val="subscript"/>
          <w:lang w:val="en-US" w:eastAsia="zh-CN"/>
        </w:rPr>
        <w:t>产品产生</w:t>
      </w:r>
      <w:r>
        <w:rPr>
          <w:rFonts w:hint="default" w:ascii="Times New Roman" w:hAnsi="Times New Roman" w:eastAsia="宋体" w:cs="Times New Roman"/>
          <w:sz w:val="21"/>
          <w:szCs w:val="21"/>
          <w:highlight w:val="none"/>
        </w:rPr>
        <w:t>为</w:t>
      </w:r>
      <w:r>
        <w:rPr>
          <w:rFonts w:hint="eastAsia" w:ascii="Times New Roman" w:hAnsi="Times New Roman" w:eastAsia="宋体" w:cs="Times New Roman"/>
          <w:sz w:val="21"/>
          <w:szCs w:val="21"/>
          <w:highlight w:val="none"/>
          <w:lang w:val="en-US" w:eastAsia="zh-CN"/>
        </w:rPr>
        <w:t>现代煤化工主要工序</w:t>
      </w:r>
      <w:r>
        <w:rPr>
          <w:rFonts w:hint="default" w:ascii="Times New Roman" w:hAnsi="Times New Roman" w:eastAsia="宋体" w:cs="Times New Roman"/>
          <w:sz w:val="21"/>
          <w:szCs w:val="21"/>
          <w:highlight w:val="none"/>
        </w:rPr>
        <w:t>温室气体排放量，</w:t>
      </w:r>
      <w:r>
        <w:rPr>
          <w:rFonts w:hint="eastAsia" w:ascii="Times New Roman" w:hAnsi="Times New Roman" w:cs="Times New Roman"/>
          <w:sz w:val="21"/>
          <w:szCs w:val="21"/>
          <w:highlight w:val="none"/>
          <w:lang w:eastAsia="zh"/>
          <w:woUserID w:val="6"/>
        </w:rPr>
        <w:t>依据5.2.4.2条款核算</w:t>
      </w:r>
      <w:r>
        <w:rPr>
          <w:rFonts w:hint="eastAsia" w:ascii="Times New Roman" w:hAnsi="Times New Roman" w:cs="Times New Roman"/>
          <w:sz w:val="21"/>
          <w:szCs w:val="21"/>
          <w:highlight w:val="none"/>
          <w:lang w:eastAsia="zh-CN"/>
          <w:woUserID w:val="6"/>
        </w:rPr>
        <w:t>，</w:t>
      </w:r>
      <w:r>
        <w:rPr>
          <w:rFonts w:hint="default" w:ascii="Times New Roman" w:hAnsi="Times New Roman" w:eastAsia="宋体" w:cs="Times New Roman"/>
          <w:sz w:val="21"/>
          <w:szCs w:val="21"/>
          <w:highlight w:val="none"/>
        </w:rPr>
        <w:t>单位为tCO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w:t>
      </w:r>
    </w:p>
    <w:p w14:paraId="56CEE3FB">
      <w:pPr>
        <w:keepNext w:val="0"/>
        <w:keepLines w:val="0"/>
        <w:pageBreakBefore w:val="0"/>
        <w:widowControl w:val="0"/>
        <w:kinsoku/>
        <w:wordWrap/>
        <w:overflowPunct/>
        <w:topLinePunct w:val="0"/>
        <w:autoSpaceDE/>
        <w:autoSpaceDN/>
        <w:bidi w:val="0"/>
        <w:adjustRightInd w:val="0"/>
        <w:spacing w:line="240" w:lineRule="auto"/>
        <w:ind w:firstLine="420" w:firstLineChars="200"/>
        <w:textAlignment w:val="auto"/>
        <w:rPr>
          <w:rFonts w:hint="default" w:ascii="Times New Roman" w:hAnsi="Times New Roman" w:eastAsia="宋体" w:cs="Times New Roman"/>
          <w:sz w:val="21"/>
          <w:szCs w:val="21"/>
          <w:highlight w:val="none"/>
        </w:rPr>
      </w:pPr>
      <w:r>
        <w:rPr>
          <w:rFonts w:hint="eastAsia" w:ascii="Times New Roman" w:hAnsi="Times New Roman" w:cs="Times New Roman"/>
          <w:sz w:val="21"/>
          <w:szCs w:val="21"/>
          <w:highlight w:val="none"/>
          <w:lang w:val="en-US" w:eastAsia="zh-CN"/>
        </w:rPr>
        <w:t>Y</w:t>
      </w:r>
      <w:r>
        <w:rPr>
          <w:rFonts w:hint="eastAsia" w:ascii="Times New Roman" w:hAnsi="Times New Roman" w:cs="Times New Roman"/>
          <w:sz w:val="21"/>
          <w:szCs w:val="21"/>
          <w:highlight w:val="none"/>
          <w:vertAlign w:val="subscript"/>
          <w:lang w:val="en-US" w:eastAsia="zh-CN"/>
        </w:rPr>
        <w:t>产品</w:t>
      </w:r>
      <w:r>
        <w:rPr>
          <w:rFonts w:hint="default" w:ascii="Times New Roman" w:hAnsi="Times New Roman" w:eastAsia="宋体" w:cs="Times New Roman"/>
          <w:sz w:val="21"/>
          <w:szCs w:val="21"/>
          <w:highlight w:val="none"/>
        </w:rPr>
        <w:t>为</w:t>
      </w:r>
      <w:r>
        <w:rPr>
          <w:rFonts w:hint="eastAsia" w:ascii="Times New Roman" w:hAnsi="Times New Roman" w:eastAsia="宋体" w:cs="Times New Roman"/>
          <w:sz w:val="21"/>
          <w:szCs w:val="21"/>
          <w:highlight w:val="none"/>
          <w:lang w:val="en-US" w:eastAsia="zh-CN"/>
        </w:rPr>
        <w:t>现代煤化工</w:t>
      </w:r>
      <w:r>
        <w:rPr>
          <w:rFonts w:hint="eastAsia" w:ascii="Times New Roman" w:hAnsi="Times New Roman" w:cs="Times New Roman"/>
          <w:sz w:val="21"/>
          <w:szCs w:val="21"/>
          <w:highlight w:val="none"/>
          <w:lang w:eastAsia="zh"/>
          <w:woUserID w:val="6"/>
        </w:rPr>
        <w:t>主要</w:t>
      </w:r>
      <w:r>
        <w:rPr>
          <w:rFonts w:hint="default" w:ascii="Times New Roman" w:hAnsi="Times New Roman" w:eastAsia="宋体" w:cs="Times New Roman"/>
          <w:sz w:val="21"/>
          <w:szCs w:val="21"/>
          <w:highlight w:val="none"/>
        </w:rPr>
        <w:t>产品产量（如</w:t>
      </w:r>
      <w:r>
        <w:rPr>
          <w:rFonts w:hint="eastAsia" w:ascii="Times New Roman" w:hAnsi="Times New Roman" w:eastAsia="宋体" w:cs="Times New Roman"/>
          <w:sz w:val="21"/>
          <w:szCs w:val="21"/>
          <w:highlight w:val="none"/>
          <w:lang w:val="en-US" w:eastAsia="zh-CN"/>
        </w:rPr>
        <w:t>合成油、天然气、烯烃、甲醇、乙二醇等</w:t>
      </w:r>
      <w:r>
        <w:rPr>
          <w:rFonts w:hint="default"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其中，</w:t>
      </w:r>
      <w:r>
        <w:rPr>
          <w:rFonts w:hint="eastAsia"/>
          <w:lang w:eastAsia="zh-CN"/>
        </w:rPr>
        <w:t>煤制甲醇产品量以</w:t>
      </w:r>
      <w:r>
        <w:rPr>
          <w:lang w:eastAsia="zh-CN"/>
        </w:rPr>
        <w:t>甲醇实物量折算成符合国家产品质量标准的合格品量；</w:t>
      </w:r>
      <w:r>
        <w:rPr>
          <w:rFonts w:hint="eastAsia"/>
          <w:lang w:eastAsia="zh-CN"/>
        </w:rPr>
        <w:t>煤制烯烃产品量以</w:t>
      </w:r>
      <w:r>
        <w:rPr>
          <w:lang w:eastAsia="zh-CN"/>
        </w:rPr>
        <w:t>乙烯</w:t>
      </w:r>
      <w:r>
        <w:rPr>
          <w:rFonts w:hint="eastAsia"/>
          <w:lang w:eastAsia="zh-CN"/>
        </w:rPr>
        <w:t>和</w:t>
      </w:r>
      <w:r>
        <w:rPr>
          <w:lang w:eastAsia="zh-CN"/>
        </w:rPr>
        <w:t>丙烯</w:t>
      </w:r>
      <w:r>
        <w:rPr>
          <w:rFonts w:hint="eastAsia"/>
          <w:lang w:eastAsia="zh-CN"/>
        </w:rPr>
        <w:t>两项产品的合计量</w:t>
      </w:r>
      <w:r>
        <w:rPr>
          <w:rFonts w:hint="eastAsia"/>
          <w:lang w:val="en-US" w:eastAsia="zh-CN"/>
        </w:rPr>
        <w:t>计</w:t>
      </w:r>
      <w:r>
        <w:rPr>
          <w:lang w:eastAsia="zh-CN"/>
        </w:rPr>
        <w:t>；</w:t>
      </w:r>
      <w:r>
        <w:rPr>
          <w:rFonts w:hint="eastAsia"/>
          <w:lang w:eastAsia="zh-CN"/>
        </w:rPr>
        <w:t>煤制乙二醇产品以</w:t>
      </w:r>
      <w:r>
        <w:rPr>
          <w:lang w:eastAsia="zh-CN"/>
        </w:rPr>
        <w:t>乙二醇实物量折算成符合国家产品质量标准的合格品量；</w:t>
      </w:r>
      <w:r>
        <w:rPr>
          <w:rFonts w:hint="eastAsia"/>
          <w:lang w:eastAsia="zh-CN"/>
        </w:rPr>
        <w:t>煤制天然气产品量指符合GB/T33445或合同要求的实物量折算成符合GB/T33445的合格品量；</w:t>
      </w:r>
      <w:r>
        <w:rPr>
          <w:lang w:eastAsia="zh-CN"/>
        </w:rPr>
        <w:t>煤</w:t>
      </w:r>
      <w:r>
        <w:rPr>
          <w:rFonts w:hint="eastAsia"/>
          <w:lang w:eastAsia="zh-CN"/>
        </w:rPr>
        <w:t>直接</w:t>
      </w:r>
      <w:r>
        <w:rPr>
          <w:lang w:eastAsia="zh-CN"/>
        </w:rPr>
        <w:t>液化</w:t>
      </w:r>
      <w:r>
        <w:rPr>
          <w:rFonts w:hint="eastAsia"/>
          <w:lang w:eastAsia="zh-CN"/>
        </w:rPr>
        <w:t>产品产量以柴油、石脑油、液化石油气、汽油、煤油（或航煤）五项产品以其收到基低位发热量为计算基础折算成标准油的合计量；煤间接液化产品产量以柴油、石脑油、液化石油气、液体蜡、稳定轻烃（或正十二烷）五项产品以其收到基低位发热量为计算基础折算成标准油的合计量；有甲烷化装置的油气联合项目产品量分别按煤间接液化和煤制天然气核算；无甲烷化装置的油气联合项目产品量按煤间接液化核算，副产天然气以低位发热量为计算基础折算成标准油；共用气化装置的煤化工项目，其产品量按消耗</w:t>
      </w:r>
      <w:r>
        <w:rPr>
          <w:rFonts w:hint="eastAsia"/>
          <w:lang w:val="en-US" w:eastAsia="zh-CN"/>
        </w:rPr>
        <w:t>粗合成气中</w:t>
      </w:r>
      <w:r>
        <w:rPr>
          <w:rFonts w:hint="eastAsia"/>
          <w:lang w:eastAsia="zh-CN"/>
        </w:rPr>
        <w:t>有效气量分别核算。</w:t>
      </w:r>
      <w:r>
        <w:rPr>
          <w:rFonts w:hint="eastAsia"/>
          <w:lang w:val="en-US" w:eastAsia="zh-CN"/>
        </w:rPr>
        <w:t>煤制天然气</w:t>
      </w:r>
      <w:r>
        <w:rPr>
          <w:rFonts w:hint="default" w:ascii="Times New Roman" w:hAnsi="Times New Roman" w:eastAsia="宋体" w:cs="Times New Roman"/>
          <w:sz w:val="21"/>
          <w:szCs w:val="21"/>
          <w:highlight w:val="none"/>
        </w:rPr>
        <w:t>单位</w:t>
      </w:r>
      <w:r>
        <w:rPr>
          <w:rFonts w:hint="eastAsia" w:ascii="Times New Roman" w:hAnsi="Times New Roman" w:eastAsia="宋体" w:cs="Times New Roman"/>
          <w:sz w:val="21"/>
          <w:szCs w:val="21"/>
          <w:highlight w:val="none"/>
          <w:lang w:val="en-US" w:eastAsia="zh-CN"/>
        </w:rPr>
        <w:t>千立方米，其他产品物料单位</w:t>
      </w:r>
      <w:r>
        <w:rPr>
          <w:rFonts w:hint="default" w:ascii="Times New Roman" w:hAnsi="Times New Roman" w:eastAsia="宋体" w:cs="Times New Roman"/>
          <w:sz w:val="21"/>
          <w:szCs w:val="21"/>
          <w:highlight w:val="none"/>
        </w:rPr>
        <w:t>为t。</w:t>
      </w:r>
    </w:p>
    <w:p w14:paraId="1D5D0BCE">
      <w:pPr>
        <w:rPr>
          <w:rFonts w:hint="default" w:ascii="Times New Roman" w:hAnsi="Times New Roman" w:eastAsia="宋体" w:cs="Times New Roman"/>
          <w:sz w:val="21"/>
          <w:szCs w:val="21"/>
          <w:highlight w:val="none"/>
          <w:lang w:val="en-US" w:eastAsia="zh-CN"/>
        </w:rPr>
      </w:pPr>
    </w:p>
    <w:p w14:paraId="14FD9D83">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default" w:ascii="Arial" w:hAnsi="Arial" w:cs="Arial"/>
          <w:lang w:val="en-US" w:eastAsia="zh-CN"/>
        </w:rPr>
      </w:pPr>
      <w:r>
        <w:rPr>
          <w:rFonts w:hint="eastAsia" w:ascii="Arial" w:hAnsi="Arial" w:cs="Arial"/>
          <w:lang w:val="en-US" w:eastAsia="zh-CN"/>
        </w:rPr>
        <w:t>5.3.2温室气体排放水平评价</w:t>
      </w:r>
    </w:p>
    <w:p w14:paraId="17C38904">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（1）现有工程</w:t>
      </w:r>
    </w:p>
    <w:p w14:paraId="303D4CA2">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现有工程温室气体排放水平评价应优先以国家或省级相关主管部门公开发布的行业温室气体排放水平值为依据，国家或省级相关主管部门未公开发布数据前，可参考</w:t>
      </w:r>
      <w:r>
        <w:rPr>
          <w:rFonts w:hint="eastAsia" w:ascii="Times New Roman" w:hAnsi="Times New Roman" w:eastAsia="宋体" w:cs="Times New Roman"/>
          <w:lang w:val="en-US" w:eastAsia="zh-CN"/>
        </w:rPr>
        <w:t>《现代煤化工行业碳排放基准》（</w:t>
      </w:r>
      <w:r>
        <w:rPr>
          <w:rFonts w:hint="eastAsia" w:ascii="Times New Roman" w:hAnsi="Times New Roman" w:eastAsia="宋体" w:cs="Times New Roman"/>
          <w:spacing w:val="0"/>
          <w:sz w:val="21"/>
          <w:szCs w:val="21"/>
          <w:lang w:val="en-US" w:eastAsia="zh-CN"/>
        </w:rPr>
        <w:t>T/CCECTA 0104-2023</w:t>
      </w:r>
      <w:r>
        <w:rPr>
          <w:rFonts w:hint="eastAsia" w:ascii="Times New Roman" w:hAnsi="Times New Roman" w:eastAsia="宋体" w:cs="Times New Roman"/>
          <w:lang w:val="en-US" w:eastAsia="zh-CN"/>
        </w:rPr>
        <w:t>）</w:t>
      </w:r>
      <w:r>
        <w:rPr>
          <w:rFonts w:hint="eastAsia" w:ascii="Arial" w:hAnsi="Arial" w:cs="Arial"/>
          <w:lang w:val="en-US" w:eastAsia="zh-CN"/>
        </w:rPr>
        <w:t>进行评价。对于温室气体排放水平不满足</w:t>
      </w:r>
      <w:r>
        <w:rPr>
          <w:rFonts w:hint="eastAsia" w:ascii="Times New Roman" w:hAnsi="Times New Roman" w:eastAsia="宋体" w:cs="Times New Roman"/>
          <w:spacing w:val="0"/>
          <w:sz w:val="21"/>
          <w:szCs w:val="21"/>
          <w:lang w:val="en-US" w:eastAsia="zh-CN"/>
        </w:rPr>
        <w:t>T/CCECTA 0104</w:t>
      </w:r>
      <w:r>
        <w:rPr>
          <w:rFonts w:hint="eastAsia" w:ascii="Arial" w:hAnsi="Arial" w:cs="Arial"/>
          <w:lang w:val="en-US" w:eastAsia="zh-CN"/>
        </w:rPr>
        <w:t>中基准值的，应开展原因分析及降碳潜力分析。</w:t>
      </w:r>
    </w:p>
    <w:p w14:paraId="70F4642B">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（2）拟建工程</w:t>
      </w:r>
    </w:p>
    <w:p w14:paraId="219ED082">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以排放边界的温室气体排放水平作为评价指标。温室气体排放评价应优先以国家或省级主管部门公开发布的温室气体排放水平为依据，国家或省级相关主管部门未公开发布数据前，可参考</w:t>
      </w:r>
      <w:r>
        <w:rPr>
          <w:rFonts w:hint="eastAsia" w:ascii="Times New Roman" w:hAnsi="Times New Roman" w:eastAsia="宋体" w:cs="Times New Roman"/>
          <w:lang w:val="en-US" w:eastAsia="zh-CN"/>
        </w:rPr>
        <w:t>《现代煤化工行业碳排放基准》（</w:t>
      </w:r>
      <w:r>
        <w:rPr>
          <w:rFonts w:hint="eastAsia" w:ascii="Times New Roman" w:hAnsi="Times New Roman" w:eastAsia="宋体" w:cs="Times New Roman"/>
          <w:spacing w:val="0"/>
          <w:sz w:val="21"/>
          <w:szCs w:val="21"/>
          <w:lang w:val="en-US" w:eastAsia="zh-CN"/>
        </w:rPr>
        <w:t>T/CCECTA 0104-2023</w:t>
      </w:r>
      <w:r>
        <w:rPr>
          <w:rFonts w:hint="eastAsia" w:ascii="Times New Roman" w:hAnsi="Times New Roman" w:eastAsia="宋体" w:cs="Times New Roman"/>
          <w:lang w:val="en-US" w:eastAsia="zh-CN"/>
        </w:rPr>
        <w:t>）</w:t>
      </w:r>
      <w:r>
        <w:rPr>
          <w:rFonts w:hint="eastAsia" w:ascii="Arial" w:hAnsi="Arial" w:cs="Arial"/>
          <w:lang w:val="en-US" w:eastAsia="zh-CN"/>
        </w:rPr>
        <w:t>进行评价。新建项目碳排放评价水平原则上应达到</w:t>
      </w:r>
      <w:r>
        <w:rPr>
          <w:rFonts w:hint="eastAsia" w:ascii="Times New Roman" w:hAnsi="Times New Roman" w:eastAsia="宋体" w:cs="Times New Roman"/>
          <w:spacing w:val="0"/>
          <w:sz w:val="21"/>
          <w:szCs w:val="21"/>
          <w:lang w:val="en-US" w:eastAsia="zh-CN"/>
        </w:rPr>
        <w:t>T/CCECTA 0104</w:t>
      </w:r>
      <w:r>
        <w:rPr>
          <w:rFonts w:hint="eastAsia" w:ascii="Arial" w:hAnsi="Arial" w:cs="Arial"/>
          <w:lang w:val="en-US" w:eastAsia="zh-CN"/>
        </w:rPr>
        <w:t>中先进值；改扩建项目实施后温室气体排放水平原则上不高于同口径现有工程排放水平。</w:t>
      </w:r>
    </w:p>
    <w:p w14:paraId="63200FDD">
      <w:pPr>
        <w:keepNext w:val="0"/>
        <w:keepLines w:val="0"/>
        <w:pageBreakBefore w:val="0"/>
        <w:widowControl w:val="0"/>
        <w:kinsoku/>
        <w:wordWrap/>
        <w:overflowPunct/>
        <w:topLinePunct w:val="0"/>
        <w:autoSpaceDE/>
        <w:autoSpaceDN/>
        <w:bidi w:val="0"/>
        <w:adjustRightInd/>
        <w:snapToGrid/>
        <w:spacing w:after="157" w:afterLines="50" w:line="240" w:lineRule="auto"/>
        <w:ind w:left="6"/>
        <w:textAlignment w:val="auto"/>
        <w:outlineLvl w:val="2"/>
        <w:rPr>
          <w:rFonts w:hint="eastAsia"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5.4 减污降碳协同评价</w:t>
      </w:r>
    </w:p>
    <w:p w14:paraId="0DC8BA11">
      <w:pPr>
        <w:keepNext w:val="0"/>
        <w:keepLines w:val="0"/>
        <w:pageBreakBefore w:val="0"/>
        <w:widowControl/>
        <w:kinsoku/>
        <w:wordWrap/>
        <w:overflowPunct/>
        <w:topLinePunct w:val="0"/>
        <w:autoSpaceDE/>
        <w:autoSpaceDN/>
        <w:bidi w:val="0"/>
        <w:adjustRightInd/>
        <w:snapToGrid/>
        <w:spacing w:after="157" w:afterLines="50" w:line="240" w:lineRule="auto"/>
        <w:ind w:left="0" w:firstLine="420" w:firstLineChars="200"/>
        <w:textAlignment w:val="auto"/>
        <w:outlineLvl w:val="9"/>
        <w:rPr>
          <w:rFonts w:hint="default" w:ascii="Arial" w:hAnsi="Arial" w:cs="Arial" w:eastAsiaTheme="minorEastAsia"/>
          <w:b w:val="0"/>
          <w:bCs w:val="0"/>
          <w:kern w:val="2"/>
          <w:sz w:val="21"/>
          <w:szCs w:val="24"/>
          <w:lang w:val="en-US" w:eastAsia="zh-CN" w:bidi="ar"/>
          <w:woUserID w:val="0"/>
        </w:rPr>
      </w:pPr>
      <w:r>
        <w:rPr>
          <w:rFonts w:hint="eastAsia" w:ascii="Arial" w:hAnsi="Arial" w:cs="Arial" w:eastAsiaTheme="minorEastAsia"/>
          <w:b w:val="0"/>
          <w:bCs w:val="0"/>
          <w:kern w:val="2"/>
          <w:sz w:val="21"/>
          <w:szCs w:val="24"/>
          <w:lang w:eastAsia="zh-CN" w:bidi="ar"/>
          <w:woUserID w:val="0"/>
        </w:rPr>
        <w:t>建设项目应</w:t>
      </w:r>
      <w:r>
        <w:rPr>
          <w:rFonts w:hint="eastAsia" w:ascii="Arial" w:hAnsi="Arial" w:cs="Arial"/>
          <w:b w:val="0"/>
          <w:bCs w:val="0"/>
          <w:kern w:val="2"/>
          <w:sz w:val="21"/>
          <w:szCs w:val="24"/>
          <w:lang w:val="en-US" w:eastAsia="zh-CN" w:bidi="ar"/>
          <w:woUserID w:val="0"/>
        </w:rPr>
        <w:t>开展减污降碳协同评价</w:t>
      </w:r>
      <w:r>
        <w:rPr>
          <w:rFonts w:hint="eastAsia" w:ascii="Arial" w:hAnsi="Arial" w:cs="Arial" w:eastAsiaTheme="minorEastAsia"/>
          <w:b w:val="0"/>
          <w:bCs w:val="0"/>
          <w:kern w:val="2"/>
          <w:sz w:val="21"/>
          <w:szCs w:val="24"/>
          <w:lang w:eastAsia="zh-CN" w:bidi="ar"/>
          <w:woUserID w:val="0"/>
        </w:rPr>
        <w:t>，</w:t>
      </w:r>
      <w:r>
        <w:rPr>
          <w:rFonts w:hint="eastAsia" w:ascii="Arial" w:hAnsi="Arial" w:cs="Arial" w:eastAsiaTheme="minorEastAsia"/>
          <w:b w:val="0"/>
          <w:bCs w:val="0"/>
          <w:kern w:val="2"/>
          <w:sz w:val="21"/>
          <w:szCs w:val="24"/>
          <w:lang w:val="en-US" w:eastAsia="zh-CN" w:bidi="ar"/>
          <w:woUserID w:val="0"/>
        </w:rPr>
        <w:t>评价技术路线见图3</w:t>
      </w:r>
      <w:r>
        <w:rPr>
          <w:rFonts w:hint="eastAsia" w:ascii="Arial" w:hAnsi="Arial" w:cs="Arial"/>
          <w:b w:val="0"/>
          <w:bCs w:val="0"/>
          <w:kern w:val="2"/>
          <w:sz w:val="21"/>
          <w:szCs w:val="24"/>
          <w:lang w:val="en-US" w:eastAsia="zh-CN" w:bidi="ar"/>
          <w:woUserID w:val="0"/>
        </w:rPr>
        <w:t>。改扩建项目对拟建工程所涉及的建设内容开展评价，现有工程不需要开展减污降碳协同评价。</w:t>
      </w:r>
    </w:p>
    <w:p w14:paraId="223DF1F8">
      <w:pPr>
        <w:keepNext w:val="0"/>
        <w:keepLines w:val="0"/>
        <w:pageBreakBefore w:val="0"/>
        <w:widowControl/>
        <w:kinsoku/>
        <w:wordWrap/>
        <w:overflowPunct/>
        <w:topLinePunct w:val="0"/>
        <w:autoSpaceDE/>
        <w:autoSpaceDN/>
        <w:bidi w:val="0"/>
        <w:adjustRightInd/>
        <w:snapToGrid/>
        <w:spacing w:after="157" w:afterLines="50" w:line="240" w:lineRule="auto"/>
        <w:ind w:left="0" w:firstLine="420" w:firstLineChars="200"/>
        <w:jc w:val="center"/>
        <w:textAlignment w:val="auto"/>
        <w:outlineLvl w:val="9"/>
        <w:rPr>
          <w:rFonts w:ascii="Times New Roman" w:hAnsi="Times New Roman"/>
          <w:b/>
          <w:bCs/>
        </w:rPr>
      </w:pPr>
      <w:r>
        <w:rPr>
          <w:rFonts w:hint="default"/>
          <w:lang w:val="en-US" w:eastAsia="zh-CN"/>
        </w:rPr>
        <w:object>
          <v:shape id="_x0000_i1027" o:spt="75" type="#_x0000_t75" style="height:560pt;width:415.2pt;" o:ole="t" filled="f" o:preferrelative="t" stroked="f" coordsize="21600,21600">
            <v:path/>
            <v:fill on="f" focussize="0,0"/>
            <v:stroke on="f"/>
            <v:imagedata r:id="rId19" o:title=""/>
            <o:lock v:ext="edit" aspectratio="f"/>
            <w10:wrap type="none"/>
            <w10:anchorlock/>
          </v:shape>
          <o:OLEObject Type="Embed" ProgID="Visio.Drawing.11" ShapeID="_x0000_i1027" DrawAspect="Content" ObjectID="_1468075727" r:id="rId18">
            <o:LockedField>false</o:LockedField>
          </o:OLEObject>
        </w:object>
      </w:r>
      <w:r>
        <w:rPr>
          <w:rFonts w:hint="eastAsia"/>
          <w:lang w:val="en-US" w:eastAsia="zh-CN"/>
        </w:rPr>
        <w:t>图3：现代煤化工</w:t>
      </w:r>
      <w:r>
        <w:rPr>
          <w:rFonts w:ascii="Times New Roman" w:hAnsi="Times New Roman"/>
          <w:b/>
          <w:bCs/>
        </w:rPr>
        <w:t>行业建设项目减污降碳协同评价技术路线图</w:t>
      </w:r>
    </w:p>
    <w:p w14:paraId="01B6009A">
      <w:pPr>
        <w:spacing w:line="240" w:lineRule="auto"/>
        <w:ind w:firstLine="420" w:firstLineChars="200"/>
        <w:rPr>
          <w:rFonts w:hint="eastAsia" w:ascii="Times New Roman" w:hAnsi="Times New Roman" w:eastAsia="宋体" w:cs="Times New Roman"/>
          <w:b w:val="0"/>
          <w:bCs w:val="0"/>
          <w:color w:val="000000"/>
          <w:kern w:val="0"/>
          <w:sz w:val="21"/>
          <w:szCs w:val="21"/>
          <w:lang w:eastAsia="zh" w:bidi="ar"/>
          <w:woUserID w:val="6"/>
        </w:rPr>
      </w:pPr>
      <w:r>
        <w:rPr>
          <w:rFonts w:ascii="Times New Roman" w:hAnsi="Times New Roman"/>
        </w:rPr>
        <w:t>根据</w:t>
      </w:r>
      <w:r>
        <w:rPr>
          <w:rFonts w:ascii="Times New Roman" w:hAnsi="Times New Roman"/>
          <w:lang w:eastAsia="zh"/>
        </w:rPr>
        <w:t>建设</w:t>
      </w:r>
      <w:r>
        <w:rPr>
          <w:rFonts w:ascii="Times New Roman" w:hAnsi="Times New Roman"/>
        </w:rPr>
        <w:t>项目</w:t>
      </w:r>
      <w:r>
        <w:rPr>
          <w:rFonts w:hint="eastAsia" w:ascii="Times New Roman" w:hAnsi="Times New Roman"/>
          <w:lang w:val="en-US" w:eastAsia="zh-CN"/>
        </w:rPr>
        <w:t>各工序</w:t>
      </w:r>
      <w:r>
        <w:rPr>
          <w:rFonts w:hint="eastAsia" w:ascii="Times New Roman" w:hAnsi="Times New Roman"/>
        </w:rPr>
        <w:t>氮氧化物</w:t>
      </w:r>
      <w:r>
        <w:rPr>
          <w:rFonts w:ascii="Times New Roman" w:hAnsi="Times New Roman"/>
        </w:rPr>
        <w:t>与</w:t>
      </w:r>
      <w:r>
        <w:rPr>
          <w:rFonts w:hint="eastAsia" w:ascii="Times New Roman" w:hAnsi="Times New Roman"/>
        </w:rPr>
        <w:t>温室气体排放</w:t>
      </w:r>
      <w:r>
        <w:rPr>
          <w:rFonts w:hint="eastAsia" w:ascii="Times New Roman" w:hAnsi="Times New Roman"/>
          <w:lang w:val="en-US" w:eastAsia="zh-CN"/>
        </w:rPr>
        <w:t>强度</w:t>
      </w:r>
      <w:r>
        <w:rPr>
          <w:rFonts w:ascii="Times New Roman" w:hAnsi="Times New Roman"/>
        </w:rPr>
        <w:t>的耦合关系，通过</w:t>
      </w:r>
      <w:r>
        <w:rPr>
          <w:rFonts w:hint="eastAsia" w:ascii="Times New Roman" w:hAnsi="Times New Roman"/>
          <w:lang w:val="en-US" w:eastAsia="zh-CN"/>
        </w:rPr>
        <w:t>减污降碳</w:t>
      </w:r>
      <w:r>
        <w:rPr>
          <w:rFonts w:ascii="Times New Roman" w:hAnsi="Times New Roman"/>
        </w:rPr>
        <w:t>协同度指标（S）量化</w:t>
      </w:r>
      <w:r>
        <w:rPr>
          <w:rFonts w:hint="eastAsia" w:ascii="Times New Roman" w:hAnsi="Times New Roman"/>
          <w:lang w:eastAsia="zh"/>
        </w:rPr>
        <w:t>其</w:t>
      </w:r>
      <w:r>
        <w:rPr>
          <w:rFonts w:ascii="Times New Roman" w:hAnsi="Times New Roman"/>
          <w:lang w:eastAsia="zh"/>
        </w:rPr>
        <w:t>在采取不同减污降碳措施情景下，单位产品污染物和温室气体排放</w:t>
      </w:r>
      <w:r>
        <w:rPr>
          <w:rFonts w:ascii="Times New Roman" w:hAnsi="Times New Roman"/>
        </w:rPr>
        <w:t>的综合效益。</w:t>
      </w:r>
      <w:r>
        <w:rPr>
          <w:rFonts w:hint="eastAsia" w:ascii="Times New Roman" w:hAnsi="Times New Roman" w:eastAsia="宋体" w:cs="Times New Roman"/>
          <w:b w:val="0"/>
          <w:bCs w:val="0"/>
          <w:color w:val="000000"/>
          <w:kern w:val="0"/>
          <w:sz w:val="21"/>
          <w:szCs w:val="21"/>
          <w:lang w:eastAsia="zh" w:bidi="ar"/>
          <w:woUserID w:val="6"/>
        </w:rPr>
        <w:t>在满足碳污宏观控制要求</w:t>
      </w:r>
      <w:r>
        <w:rPr>
          <w:rFonts w:hint="eastAsia" w:ascii="Times New Roman" w:hAnsi="Times New Roman" w:eastAsia="宋体" w:cs="Times New Roman"/>
          <w:b w:val="0"/>
          <w:bCs w:val="0"/>
          <w:color w:val="000000"/>
          <w:kern w:val="0"/>
          <w:sz w:val="21"/>
          <w:szCs w:val="21"/>
          <w:lang w:eastAsia="zh-CN" w:bidi="ar"/>
          <w:woUserID w:val="6"/>
        </w:rPr>
        <w:t>以及</w:t>
      </w:r>
      <w:r>
        <w:rPr>
          <w:rFonts w:hint="eastAsia" w:ascii="Times New Roman" w:hAnsi="Times New Roman" w:eastAsia="宋体" w:cs="Times New Roman"/>
          <w:b w:val="0"/>
          <w:bCs w:val="0"/>
          <w:color w:val="000000"/>
          <w:kern w:val="0"/>
          <w:sz w:val="21"/>
          <w:szCs w:val="21"/>
          <w:lang w:eastAsia="zh" w:bidi="ar"/>
          <w:woUserID w:val="6"/>
        </w:rPr>
        <w:t>HJ 2.1、HJ 2.2关于污染治理措施方案选择要求的前提下，</w:t>
      </w:r>
      <w:r>
        <w:rPr>
          <w:rFonts w:hint="eastAsia" w:ascii="Times New Roman" w:hAnsi="Times New Roman" w:eastAsia="宋体" w:cs="Times New Roman"/>
          <w:b w:val="0"/>
          <w:bCs w:val="0"/>
          <w:color w:val="000000"/>
          <w:kern w:val="0"/>
          <w:sz w:val="21"/>
          <w:szCs w:val="21"/>
          <w:lang w:val="en-US" w:eastAsia="zh" w:bidi="ar"/>
          <w:woUserID w:val="6"/>
        </w:rPr>
        <w:t>按照</w:t>
      </w:r>
      <w:r>
        <w:rPr>
          <w:rFonts w:ascii="Times New Roman" w:hAnsi="Times New Roman"/>
        </w:rPr>
        <w:t>公式</w:t>
      </w:r>
      <w:r>
        <w:rPr>
          <w:rFonts w:hint="eastAsia" w:ascii="Times New Roman" w:hAnsi="Times New Roman"/>
          <w:lang w:eastAsia="zh-CN"/>
        </w:rPr>
        <w:t>（</w:t>
      </w:r>
      <w:r>
        <w:rPr>
          <w:rFonts w:hint="eastAsia" w:ascii="Times New Roman" w:hAnsi="Times New Roman"/>
          <w:lang w:val="en-US" w:eastAsia="zh-CN"/>
        </w:rPr>
        <w:t>2）～公式（4）</w:t>
      </w:r>
      <w:r>
        <w:rPr>
          <w:rFonts w:hint="eastAsia" w:ascii="Times New Roman" w:hAnsi="Times New Roman" w:eastAsia="宋体" w:cs="Times New Roman"/>
          <w:b w:val="0"/>
          <w:bCs w:val="0"/>
          <w:color w:val="000000"/>
          <w:kern w:val="0"/>
          <w:sz w:val="21"/>
          <w:szCs w:val="21"/>
          <w:lang w:val="en-US" w:eastAsia="zh" w:bidi="ar"/>
          <w:woUserID w:val="6"/>
        </w:rPr>
        <w:t>计算各工序</w:t>
      </w:r>
      <w:r>
        <w:rPr>
          <w:rFonts w:hint="eastAsia" w:ascii="Times New Roman" w:hAnsi="Times New Roman" w:cs="Times New Roman"/>
          <w:b w:val="0"/>
          <w:bCs w:val="0"/>
          <w:color w:val="000000"/>
          <w:kern w:val="0"/>
          <w:sz w:val="21"/>
          <w:szCs w:val="21"/>
          <w:lang w:val="en-US" w:eastAsia="zh-CN" w:bidi="ar"/>
          <w:woUserID w:val="6"/>
        </w:rPr>
        <w:t>减污降碳</w:t>
      </w:r>
      <w:r>
        <w:rPr>
          <w:rFonts w:hint="eastAsia" w:ascii="Times New Roman" w:hAnsi="Times New Roman" w:eastAsia="宋体" w:cs="Times New Roman"/>
          <w:b w:val="0"/>
          <w:bCs w:val="0"/>
          <w:color w:val="000000"/>
          <w:kern w:val="0"/>
          <w:sz w:val="21"/>
          <w:szCs w:val="21"/>
          <w:lang w:val="en-US" w:eastAsia="zh" w:bidi="ar"/>
          <w:woUserID w:val="6"/>
        </w:rPr>
        <w:t>协同度</w:t>
      </w:r>
      <w:r>
        <w:rPr>
          <w:rFonts w:hint="eastAsia" w:ascii="Times New Roman" w:hAnsi="Times New Roman" w:cs="Times New Roman"/>
          <w:b w:val="0"/>
          <w:bCs w:val="0"/>
          <w:color w:val="000000"/>
          <w:kern w:val="0"/>
          <w:sz w:val="21"/>
          <w:szCs w:val="21"/>
          <w:lang w:val="en-US" w:eastAsia="zh-CN" w:bidi="ar"/>
          <w:woUserID w:val="6"/>
        </w:rPr>
        <w:t>，</w:t>
      </w:r>
      <w:r>
        <w:rPr>
          <w:rFonts w:hint="eastAsia" w:ascii="Times New Roman" w:hAnsi="Times New Roman" w:eastAsia="宋体" w:cs="Times New Roman"/>
          <w:b w:val="0"/>
          <w:bCs w:val="0"/>
          <w:color w:val="000000"/>
          <w:kern w:val="0"/>
          <w:sz w:val="21"/>
          <w:szCs w:val="21"/>
          <w:lang w:val="en-US" w:eastAsia="zh" w:bidi="ar"/>
          <w:woUserID w:val="6"/>
        </w:rPr>
        <w:t>评价</w:t>
      </w:r>
      <w:r>
        <w:rPr>
          <w:rFonts w:hint="eastAsia" w:ascii="Times New Roman" w:hAnsi="Times New Roman" w:eastAsia="宋体" w:cs="Times New Roman"/>
          <w:b w:val="0"/>
          <w:bCs w:val="0"/>
          <w:color w:val="000000"/>
          <w:kern w:val="0"/>
          <w:sz w:val="21"/>
          <w:szCs w:val="21"/>
          <w:lang w:eastAsia="zh" w:bidi="ar"/>
          <w:woUserID w:val="6"/>
        </w:rPr>
        <w:t>建设项目主体工艺及污染防治设施</w:t>
      </w:r>
      <w:r>
        <w:rPr>
          <w:rFonts w:hint="eastAsia" w:ascii="Times New Roman" w:hAnsi="Times New Roman" w:eastAsia="宋体" w:cs="Times New Roman"/>
          <w:b w:val="0"/>
          <w:bCs w:val="0"/>
          <w:color w:val="000000"/>
          <w:kern w:val="0"/>
          <w:sz w:val="21"/>
          <w:szCs w:val="21"/>
          <w:lang w:val="en-US" w:eastAsia="zh" w:bidi="ar"/>
          <w:woUserID w:val="6"/>
        </w:rPr>
        <w:t>的减污降碳协同水平</w:t>
      </w:r>
      <w:r>
        <w:rPr>
          <w:rFonts w:hint="eastAsia" w:ascii="Times New Roman" w:hAnsi="Times New Roman" w:eastAsia="宋体" w:cs="Times New Roman"/>
          <w:b w:val="0"/>
          <w:bCs w:val="0"/>
          <w:color w:val="000000"/>
          <w:kern w:val="0"/>
          <w:sz w:val="21"/>
          <w:szCs w:val="21"/>
          <w:lang w:eastAsia="zh" w:bidi="ar"/>
          <w:woUserID w:val="6"/>
        </w:rPr>
        <w:t>。</w:t>
      </w:r>
    </w:p>
    <w:p w14:paraId="5119EE5B">
      <w:pPr>
        <w:snapToGrid w:val="0"/>
        <w:spacing w:line="240" w:lineRule="auto"/>
        <w:ind w:firstLine="420"/>
        <w:rPr>
          <w:rFonts w:ascii="Times New Roman" w:hAnsi="Times New Roman"/>
        </w:rPr>
      </w:pPr>
    </w:p>
    <w:p w14:paraId="09B9A452">
      <w:pPr>
        <w:spacing w:line="360" w:lineRule="auto"/>
        <w:jc w:val="center"/>
        <w:rPr>
          <w:rFonts w:ascii="Times New Roman" w:hAnsi="Times New Roman"/>
        </w:rPr>
      </w:pPr>
      <m:oMath>
        <m:r>
          <m:rPr>
            <m:nor/>
            <m:sty m:val="p"/>
          </m:rPr>
          <w:rPr>
            <w:rFonts w:ascii="Times New Roman" w:hAnsi="Times New Roman"/>
            <w:b w:val="0"/>
            <w:i w:val="0"/>
          </w:rPr>
          <m:t>S=</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ctrlPr>
                  <w:rPr>
                    <w:rFonts w:ascii="Cambria Math" w:hAnsi="Cambria Math"/>
                  </w:rPr>
                </m:ctrlPr>
              </m:e>
              <m:sub>
                <m:sSub>
                  <m:sSubPr>
                    <m:ctrlPr>
                      <w:rPr>
                        <w:rFonts w:ascii="Cambria Math" w:hAnsi="Cambria Math"/>
                      </w:rPr>
                    </m:ctrlPr>
                  </m:sSubPr>
                  <m:e>
                    <m:r>
                      <m:rPr>
                        <m:sty m:val="p"/>
                      </m:rPr>
                      <w:rPr>
                        <w:rFonts w:ascii="Cambria Math" w:hAnsi="Cambria Math"/>
                      </w:rPr>
                      <m:t>NO</m:t>
                    </m:r>
                    <m:ctrlPr>
                      <w:rPr>
                        <w:rFonts w:ascii="Cambria Math" w:hAnsi="Cambria Math"/>
                      </w:rPr>
                    </m:ctrlPr>
                  </m:e>
                  <m:sub>
                    <m:r>
                      <m:rPr/>
                      <w:rPr>
                        <w:rFonts w:ascii="Cambria Math" w:hAnsi="Cambria Math"/>
                      </w:rPr>
                      <m:t>X</m:t>
                    </m:r>
                    <m:ctrlPr>
                      <w:rPr>
                        <w:rFonts w:ascii="Cambria Math" w:hAnsi="Cambria Math"/>
                      </w:rPr>
                    </m:ctrlPr>
                  </m:sub>
                </m:sSub>
                <m:ctrlPr>
                  <w:rPr>
                    <w:rFonts w:ascii="Cambria Math" w:hAnsi="Cambria Math"/>
                  </w:rPr>
                </m:ctrlPr>
              </m:sub>
            </m:sSub>
            <m:ctrlPr>
              <w:rPr>
                <w:rFonts w:ascii="Cambria Math" w:hAnsi="Cambria Math"/>
              </w:rPr>
            </m:ctrlPr>
          </m:num>
          <m:den>
            <m:sSub>
              <m:sSubPr>
                <m:ctrlPr>
                  <w:rPr>
                    <w:rFonts w:ascii="Cambria Math" w:hAnsi="Cambria Math"/>
                  </w:rPr>
                </m:ctrlPr>
              </m:sSubPr>
              <m:e>
                <m:r>
                  <m:rPr>
                    <m:sty m:val="p"/>
                  </m:rPr>
                  <w:rPr>
                    <w:rFonts w:ascii="Cambria Math" w:hAnsi="Cambria Math"/>
                  </w:rPr>
                  <m:t>k</m:t>
                </m:r>
                <m:ctrlPr>
                  <w:rPr>
                    <w:rFonts w:ascii="Cambria Math" w:hAnsi="Cambria Math"/>
                  </w:rPr>
                </m:ctrlPr>
              </m:e>
              <m:sub>
                <m:sSub>
                  <m:sSubPr>
                    <m:ctrlPr>
                      <w:rPr>
                        <w:rFonts w:ascii="Cambria Math" w:hAnsi="Cambria Math"/>
                      </w:rPr>
                    </m:ctrlPr>
                  </m:sSubPr>
                  <m:e>
                    <m:r>
                      <m:rPr>
                        <m:sty m:val="p"/>
                      </m:rPr>
                      <w:rPr>
                        <w:rFonts w:ascii="Cambria Math" w:hAnsi="Cambria Math"/>
                      </w:rPr>
                      <m:t>CO</m:t>
                    </m:r>
                    <m:ctrlPr>
                      <w:rPr>
                        <w:rFonts w:ascii="Cambria Math" w:hAnsi="Cambria Math"/>
                      </w:rPr>
                    </m:ctrlPr>
                  </m:e>
                  <m:sub>
                    <m:r>
                      <m:rPr/>
                      <w:rPr>
                        <w:rFonts w:ascii="Cambria Math" w:hAnsi="Cambria Math"/>
                      </w:rPr>
                      <m:t>2</m:t>
                    </m:r>
                    <m:ctrlPr>
                      <w:rPr>
                        <w:rFonts w:ascii="Cambria Math" w:hAnsi="Cambria Math"/>
                      </w:rPr>
                    </m:ctrlPr>
                  </m:sub>
                </m:sSub>
                <m:ctrlPr>
                  <w:rPr>
                    <w:rFonts w:ascii="Cambria Math" w:hAnsi="Cambria Math"/>
                  </w:rPr>
                </m:ctrlPr>
              </m:sub>
            </m:sSub>
            <m:ctrlPr>
              <w:rPr>
                <w:rFonts w:ascii="Cambria Math" w:hAnsi="Cambria Math"/>
              </w:rPr>
            </m:ctrlPr>
          </m:den>
        </m:f>
        <m:r>
          <m:rPr/>
          <w:rPr>
            <w:rFonts w:ascii="Times New Roman" w:hAnsi="Times New Roman"/>
          </w:rPr>
          <m:t xml:space="preserve">      </m:t>
        </m:r>
      </m:oMath>
      <w:r>
        <w:rPr>
          <w:rFonts w:hint="eastAsia" w:hAnsi="Times New Roman"/>
          <w:i w:val="0"/>
          <w:lang w:val="en-US" w:eastAsia="zh-CN"/>
        </w:rPr>
        <w:t xml:space="preserve">         (</w:t>
      </w:r>
      <w:r>
        <w:rPr>
          <w:rFonts w:hint="eastAsia" w:ascii="Times New Roman" w:hAnsi="Times New Roman"/>
          <w:lang w:val="en-US" w:eastAsia="zh-CN"/>
        </w:rPr>
        <w:t>2)</w:t>
      </w:r>
    </w:p>
    <w:p w14:paraId="6E179123">
      <w:pPr>
        <w:spacing w:line="360" w:lineRule="auto"/>
        <w:jc w:val="center"/>
        <w:rPr>
          <w:rFonts w:ascii="Times New Roman" w:hAnsi="Times New Roman"/>
        </w:rPr>
      </w:pPr>
      <m:oMath>
        <m:sSub>
          <m:sSubPr>
            <m:ctrlPr>
              <w:rPr>
                <w:rFonts w:ascii="Cambria Math" w:hAnsi="Cambria Math"/>
              </w:rPr>
            </m:ctrlPr>
          </m:sSubPr>
          <m:e>
            <m:r>
              <m:rPr>
                <m:sty m:val="p"/>
              </m:rPr>
              <w:rPr>
                <w:rFonts w:ascii="Cambria Math" w:hAnsi="Cambria Math"/>
              </w:rPr>
              <m:t>k</m:t>
            </m:r>
            <m:ctrlPr>
              <w:rPr>
                <w:rFonts w:ascii="Cambria Math" w:hAnsi="Cambria Math"/>
              </w:rPr>
            </m:ctrlPr>
          </m:e>
          <m:sub>
            <m:sSub>
              <m:sSubPr>
                <m:ctrlPr>
                  <w:rPr>
                    <w:rFonts w:ascii="Cambria Math" w:hAnsi="Cambria Math"/>
                  </w:rPr>
                </m:ctrlPr>
              </m:sSubPr>
              <m:e>
                <m:r>
                  <m:rPr>
                    <m:sty m:val="p"/>
                  </m:rPr>
                  <w:rPr>
                    <w:rFonts w:ascii="Cambria Math" w:hAnsi="Cambria Math"/>
                  </w:rPr>
                  <m:t>NO</m:t>
                </m:r>
                <m:ctrlPr>
                  <w:rPr>
                    <w:rFonts w:ascii="Cambria Math" w:hAnsi="Cambria Math"/>
                  </w:rPr>
                </m:ctrlPr>
              </m:e>
              <m:sub>
                <m:r>
                  <m:rPr/>
                  <w:rPr>
                    <w:rFonts w:ascii="Cambria Math" w:hAnsi="Cambria Math"/>
                  </w:rPr>
                  <m:t>X</m:t>
                </m:r>
                <m:ctrlPr>
                  <w:rPr>
                    <w:rFonts w:ascii="Cambria Math" w:hAnsi="Cambria Math"/>
                  </w:rPr>
                </m:ctrlPr>
              </m:sub>
            </m:sSub>
            <m:ctrlPr>
              <w:rPr>
                <w:rFonts w:ascii="Cambria Math" w:hAnsi="Cambria Math"/>
              </w:rPr>
            </m:ctrlPr>
          </m:sub>
        </m:sSub>
        <m:r>
          <m:rPr>
            <m:nor/>
            <m:sty m:val="p"/>
          </m:rPr>
          <w:rPr>
            <w:rFonts w:ascii="Times New Roman" w:hAnsi="Times New Roman"/>
            <w:b w:val="0"/>
            <w:i w:val="0"/>
          </w:rPr>
          <m:t>=</m:t>
        </m:r>
        <m:f>
          <m:fPr>
            <m:ctrlPr>
              <w:rPr>
                <w:rFonts w:ascii="Cambria Math" w:hAnsi="Cambria Math"/>
                <w:i/>
              </w:rPr>
            </m:ctrlPr>
          </m:fPr>
          <m:num>
            <m:sSub>
              <m:sSubPr>
                <m:ctrlPr>
                  <w:rPr>
                    <w:rFonts w:ascii="Cambria Math" w:hAnsi="Cambria Math"/>
                  </w:rPr>
                </m:ctrlPr>
              </m:sSubPr>
              <m:e>
                <m:r>
                  <m:rPr>
                    <m:nor/>
                    <m:sty m:val="p"/>
                  </m:rPr>
                  <w:rPr>
                    <w:rFonts w:ascii="Cambria Math" w:hAnsi="Times New Roman"/>
                    <w:b w:val="0"/>
                    <w:i w:val="0"/>
                  </w:rPr>
                  <m:t>I</m:t>
                </m:r>
                <m:ctrlPr>
                  <w:rPr>
                    <w:rFonts w:ascii="Cambria Math" w:hAnsi="Cambria Math"/>
                  </w:rPr>
                </m:ctrlPr>
              </m:e>
              <m:sub>
                <m:sSub>
                  <m:sSubPr>
                    <m:ctrlPr>
                      <w:rPr>
                        <w:rFonts w:ascii="Cambria Math" w:hAnsi="Cambria Math"/>
                      </w:rPr>
                    </m:ctrlPr>
                  </m:sSubPr>
                  <m:e>
                    <m:r>
                      <m:rPr>
                        <m:sty m:val="p"/>
                      </m:rPr>
                      <w:rPr>
                        <w:rFonts w:ascii="Cambria Math" w:hAnsi="Cambria Math"/>
                      </w:rPr>
                      <m:t>NO</m:t>
                    </m:r>
                    <m:ctrlPr>
                      <w:rPr>
                        <w:rFonts w:ascii="Cambria Math" w:hAnsi="Cambria Math"/>
                      </w:rPr>
                    </m:ctrlPr>
                  </m:e>
                  <m:sub>
                    <m:r>
                      <m:rPr/>
                      <w:rPr>
                        <w:rFonts w:ascii="Cambria Math" w:hAnsi="Cambria Math"/>
                      </w:rPr>
                      <m:t>X</m:t>
                    </m:r>
                    <m:ctrlPr>
                      <w:rPr>
                        <w:rFonts w:ascii="Cambria Math" w:hAnsi="Cambria Math"/>
                      </w:rPr>
                    </m:ctrlPr>
                  </m:sub>
                </m:sSub>
                <m:ctrlPr>
                  <w:rPr>
                    <w:rFonts w:ascii="Cambria Math" w:hAnsi="Cambria Math"/>
                  </w:rPr>
                </m:ctrlPr>
              </m:sub>
            </m:sSub>
            <m:r>
              <m:rPr>
                <m:nor/>
                <m:sty m:val="p"/>
              </m:rPr>
              <w:rPr>
                <w:rFonts w:ascii="Times New Roman" w:hAnsi="Times New Roman"/>
                <w:b w:val="0"/>
                <w:i w:val="0"/>
              </w:rPr>
              <m:t>-</m:t>
            </m:r>
            <m:sSubSup>
              <m:sSubSupPr>
                <m:ctrlPr>
                  <w:rPr>
                    <w:rFonts w:ascii="Cambria Math" w:hAnsi="Cambria Math"/>
                    <w:i/>
                  </w:rPr>
                </m:ctrlPr>
              </m:sSubSupPr>
              <m:e>
                <m:r>
                  <m:rPr/>
                  <w:rPr>
                    <w:rFonts w:ascii="Cambria Math" w:hAnsi="Cambria Math"/>
                  </w:rPr>
                  <m:t>I</m:t>
                </m:r>
                <m:ctrlPr>
                  <w:rPr>
                    <w:rFonts w:ascii="Cambria Math" w:hAnsi="Cambria Math"/>
                    <w:i/>
                  </w:rPr>
                </m:ctrlPr>
              </m:e>
              <m:sub>
                <m:sSub>
                  <m:sSubPr>
                    <m:ctrlPr>
                      <w:rPr>
                        <w:rFonts w:ascii="Cambria Math" w:hAnsi="Cambria Math"/>
                      </w:rPr>
                    </m:ctrlPr>
                  </m:sSubPr>
                  <m:e>
                    <m:r>
                      <m:rPr>
                        <m:sty m:val="p"/>
                      </m:rPr>
                      <w:rPr>
                        <w:rFonts w:ascii="Cambria Math" w:hAnsi="Cambria Math"/>
                      </w:rPr>
                      <m:t>NO</m:t>
                    </m:r>
                    <m:ctrlPr>
                      <w:rPr>
                        <w:rFonts w:ascii="Cambria Math" w:hAnsi="Cambria Math"/>
                      </w:rPr>
                    </m:ctrlPr>
                  </m:e>
                  <m:sub>
                    <m:r>
                      <m:rPr/>
                      <w:rPr>
                        <w:rFonts w:ascii="Cambria Math" w:hAnsi="Cambria Math"/>
                      </w:rPr>
                      <m:t>X</m:t>
                    </m:r>
                    <m:ctrlPr>
                      <w:rPr>
                        <w:rFonts w:ascii="Cambria Math" w:hAnsi="Cambria Math"/>
                      </w:rPr>
                    </m:ctrlPr>
                  </m:sub>
                </m:sSub>
                <m:ctrlPr>
                  <w:rPr>
                    <w:rFonts w:ascii="Cambria Math" w:hAnsi="Cambria Math"/>
                    <w:i/>
                  </w:rPr>
                </m:ctrlPr>
              </m:sub>
              <m:sup>
                <m:r>
                  <m:rPr/>
                  <w:rPr>
                    <w:rFonts w:ascii="Cambria Math" w:hAnsi="Cambria Math"/>
                  </w:rPr>
                  <m:t>'</m:t>
                </m:r>
                <m:ctrlPr>
                  <w:rPr>
                    <w:rFonts w:ascii="Cambria Math" w:hAnsi="Cambria Math"/>
                    <w:i/>
                  </w:rPr>
                </m:ctrlPr>
              </m:sup>
            </m:sSubSup>
            <m:ctrlPr>
              <w:rPr>
                <w:rFonts w:ascii="Cambria Math" w:hAnsi="Cambria Math"/>
                <w:i/>
              </w:rPr>
            </m:ctrlPr>
          </m:num>
          <m:den>
            <m:sSubSup>
              <m:sSubSupPr>
                <m:ctrlPr>
                  <w:rPr>
                    <w:rFonts w:ascii="Cambria Math" w:hAnsi="Cambria Math"/>
                    <w:i/>
                  </w:rPr>
                </m:ctrlPr>
              </m:sSubSupPr>
              <m:e>
                <m:r>
                  <m:rPr/>
                  <w:rPr>
                    <w:rFonts w:ascii="Cambria Math" w:hAnsi="Cambria Math"/>
                  </w:rPr>
                  <m:t>I</m:t>
                </m:r>
                <m:ctrlPr>
                  <w:rPr>
                    <w:rFonts w:ascii="Cambria Math" w:hAnsi="Cambria Math"/>
                    <w:i/>
                  </w:rPr>
                </m:ctrlPr>
              </m:e>
              <m:sub>
                <m:sSub>
                  <m:sSubPr>
                    <m:ctrlPr>
                      <w:rPr>
                        <w:rFonts w:ascii="Cambria Math" w:hAnsi="Cambria Math"/>
                      </w:rPr>
                    </m:ctrlPr>
                  </m:sSubPr>
                  <m:e>
                    <m:r>
                      <m:rPr>
                        <m:sty m:val="p"/>
                      </m:rPr>
                      <w:rPr>
                        <w:rFonts w:ascii="Cambria Math" w:hAnsi="Cambria Math"/>
                      </w:rPr>
                      <m:t>NO</m:t>
                    </m:r>
                    <m:ctrlPr>
                      <w:rPr>
                        <w:rFonts w:ascii="Cambria Math" w:hAnsi="Cambria Math"/>
                      </w:rPr>
                    </m:ctrlPr>
                  </m:e>
                  <m:sub>
                    <m:r>
                      <m:rPr/>
                      <w:rPr>
                        <w:rFonts w:ascii="Cambria Math" w:hAnsi="Cambria Math"/>
                      </w:rPr>
                      <m:t>X</m:t>
                    </m:r>
                    <m:ctrlPr>
                      <w:rPr>
                        <w:rFonts w:ascii="Cambria Math" w:hAnsi="Cambria Math"/>
                      </w:rPr>
                    </m:ctrlPr>
                  </m:sub>
                </m:sSub>
                <m:ctrlPr>
                  <w:rPr>
                    <w:rFonts w:ascii="Cambria Math" w:hAnsi="Cambria Math"/>
                    <w:i/>
                  </w:rPr>
                </m:ctrlPr>
              </m:sub>
              <m:sup>
                <m:r>
                  <m:rPr/>
                  <w:rPr>
                    <w:rFonts w:ascii="Cambria Math" w:hAnsi="Cambria Math"/>
                  </w:rPr>
                  <m:t>'</m:t>
                </m:r>
                <m:ctrlPr>
                  <w:rPr>
                    <w:rFonts w:ascii="Cambria Math" w:hAnsi="Cambria Math"/>
                    <w:i/>
                  </w:rPr>
                </m:ctrlPr>
              </m:sup>
            </m:sSubSup>
            <m:ctrlPr>
              <w:rPr>
                <w:rFonts w:ascii="Cambria Math" w:hAnsi="Cambria Math"/>
                <w:i/>
              </w:rPr>
            </m:ctrlPr>
          </m:den>
        </m:f>
      </m:oMath>
      <w:r>
        <w:rPr>
          <w:rFonts w:ascii="Times New Roman" w:hAnsi="Times New Roman"/>
        </w:rPr>
        <w:t xml:space="preserve">    </w:t>
      </w:r>
      <w:r>
        <w:rPr>
          <w:rFonts w:hint="eastAsia" w:ascii="Times New Roman" w:hAnsi="Times New Roman"/>
          <w:lang w:val="en-US" w:eastAsia="zh-CN"/>
        </w:rPr>
        <w:t xml:space="preserve">   (3)</w:t>
      </w:r>
    </w:p>
    <w:p w14:paraId="0ACFBB7C">
      <w:pPr>
        <w:spacing w:line="360" w:lineRule="auto"/>
        <w:jc w:val="center"/>
        <w:rPr>
          <w:rFonts w:ascii="Times New Roman" w:hAnsi="Times New Roman"/>
        </w:rPr>
      </w:pPr>
      <m:oMath>
        <m:sSub>
          <m:sSubPr>
            <m:ctrlPr>
              <w:rPr>
                <w:rFonts w:ascii="Cambria Math" w:hAnsi="Cambria Math"/>
              </w:rPr>
            </m:ctrlPr>
          </m:sSubPr>
          <m:e>
            <m:r>
              <m:rPr>
                <m:sty m:val="p"/>
              </m:rPr>
              <w:rPr>
                <w:rFonts w:ascii="Cambria Math" w:hAnsi="Cambria Math"/>
              </w:rPr>
              <m:t>k</m:t>
            </m:r>
            <m:ctrlPr>
              <w:rPr>
                <w:rFonts w:ascii="Cambria Math" w:hAnsi="Cambria Math"/>
              </w:rPr>
            </m:ctrlPr>
          </m:e>
          <m:sub>
            <m:sSub>
              <m:sSubPr>
                <m:ctrlPr>
                  <w:rPr>
                    <w:rFonts w:ascii="Cambria Math" w:hAnsi="Cambria Math"/>
                  </w:rPr>
                </m:ctrlPr>
              </m:sSubPr>
              <m:e>
                <m:r>
                  <m:rPr>
                    <m:sty m:val="p"/>
                  </m:rPr>
                  <w:rPr>
                    <w:rFonts w:ascii="Cambria Math" w:hAnsi="Cambria Math"/>
                  </w:rPr>
                  <m:t>CO</m:t>
                </m:r>
                <m:ctrlPr>
                  <w:rPr>
                    <w:rFonts w:ascii="Cambria Math" w:hAnsi="Cambria Math"/>
                  </w:rPr>
                </m:ctrlPr>
              </m:e>
              <m:sub>
                <m:r>
                  <m:rPr/>
                  <w:rPr>
                    <w:rFonts w:ascii="Cambria Math" w:hAnsi="Cambria Math"/>
                  </w:rPr>
                  <m:t>2</m:t>
                </m:r>
                <m:ctrlPr>
                  <w:rPr>
                    <w:rFonts w:ascii="Cambria Math" w:hAnsi="Cambria Math"/>
                  </w:rPr>
                </m:ctrlPr>
              </m:sub>
            </m:sSub>
            <m:ctrlPr>
              <w:rPr>
                <w:rFonts w:ascii="Cambria Math" w:hAnsi="Cambria Math"/>
              </w:rPr>
            </m:ctrlPr>
          </m:sub>
        </m:sSub>
        <m:r>
          <m:rPr>
            <m:nor/>
            <m:sty m:val="p"/>
          </m:rPr>
          <w:rPr>
            <w:rFonts w:ascii="Times New Roman" w:hAnsi="Times New Roman"/>
            <w:b w:val="0"/>
            <w:i w:val="0"/>
          </w:rPr>
          <m:t>=</m:t>
        </m:r>
        <m:f>
          <m:fPr>
            <m:ctrlPr>
              <w:rPr>
                <w:rFonts w:ascii="Cambria Math" w:hAnsi="Cambria Math"/>
                <w:i/>
              </w:rPr>
            </m:ctrlPr>
          </m:fPr>
          <m:num>
            <m:sSub>
              <m:sSubPr>
                <m:ctrlPr>
                  <w:rPr>
                    <w:rFonts w:ascii="Cambria Math" w:hAnsi="Cambria Math"/>
                  </w:rPr>
                </m:ctrlPr>
              </m:sSubPr>
              <m:e>
                <m:r>
                  <m:rPr>
                    <m:nor/>
                    <m:sty m:val="p"/>
                  </m:rPr>
                  <w:rPr>
                    <w:rFonts w:ascii="Cambria Math" w:hAnsi="Times New Roman"/>
                    <w:b w:val="0"/>
                    <w:i w:val="0"/>
                  </w:rPr>
                  <m:t>I</m:t>
                </m:r>
                <m:ctrlPr>
                  <w:rPr>
                    <w:rFonts w:ascii="Cambria Math" w:hAnsi="Cambria Math"/>
                  </w:rPr>
                </m:ctrlPr>
              </m:e>
              <m:sub>
                <m:sSub>
                  <m:sSubPr>
                    <m:ctrlPr>
                      <w:rPr>
                        <w:rFonts w:ascii="Cambria Math" w:hAnsi="Cambria Math"/>
                      </w:rPr>
                    </m:ctrlPr>
                  </m:sSubPr>
                  <m:e>
                    <m:r>
                      <m:rPr>
                        <m:sty m:val="p"/>
                      </m:rPr>
                      <w:rPr>
                        <w:rFonts w:ascii="Cambria Math" w:hAnsi="Cambria Math"/>
                      </w:rPr>
                      <m:t>CO</m:t>
                    </m:r>
                    <m:ctrlPr>
                      <w:rPr>
                        <w:rFonts w:ascii="Cambria Math" w:hAnsi="Cambria Math"/>
                      </w:rPr>
                    </m:ctrlPr>
                  </m:e>
                  <m:sub>
                    <m:r>
                      <m:rPr/>
                      <w:rPr>
                        <w:rFonts w:ascii="Cambria Math" w:hAnsi="Cambria Math"/>
                      </w:rPr>
                      <m:t>2</m:t>
                    </m:r>
                    <m:ctrlPr>
                      <w:rPr>
                        <w:rFonts w:ascii="Cambria Math" w:hAnsi="Cambria Math"/>
                      </w:rPr>
                    </m:ctrlPr>
                  </m:sub>
                </m:sSub>
                <m:ctrlPr>
                  <w:rPr>
                    <w:rFonts w:ascii="Cambria Math" w:hAnsi="Cambria Math"/>
                  </w:rPr>
                </m:ctrlPr>
              </m:sub>
            </m:sSub>
            <m:r>
              <m:rPr>
                <m:nor/>
                <m:sty m:val="p"/>
              </m:rPr>
              <w:rPr>
                <w:rFonts w:ascii="Times New Roman" w:hAnsi="Times New Roman"/>
                <w:b w:val="0"/>
                <w:i w:val="0"/>
              </w:rPr>
              <m:t>-</m:t>
            </m:r>
            <m:sSubSup>
              <m:sSubSupPr>
                <m:ctrlPr>
                  <w:rPr>
                    <w:rFonts w:ascii="Cambria Math" w:hAnsi="Cambria Math"/>
                    <w:i/>
                  </w:rPr>
                </m:ctrlPr>
              </m:sSubSupPr>
              <m:e>
                <m:r>
                  <m:rPr/>
                  <w:rPr>
                    <w:rFonts w:ascii="Cambria Math" w:hAnsi="Cambria Math"/>
                  </w:rPr>
                  <m:t>I</m:t>
                </m:r>
                <m:ctrlPr>
                  <w:rPr>
                    <w:rFonts w:ascii="Cambria Math" w:hAnsi="Cambria Math"/>
                    <w:i/>
                  </w:rPr>
                </m:ctrlPr>
              </m:e>
              <m:sub>
                <m:sSub>
                  <m:sSubPr>
                    <m:ctrlPr>
                      <w:rPr>
                        <w:rFonts w:ascii="Cambria Math" w:hAnsi="Cambria Math"/>
                      </w:rPr>
                    </m:ctrlPr>
                  </m:sSubPr>
                  <m:e>
                    <m:r>
                      <m:rPr>
                        <m:sty m:val="p"/>
                      </m:rPr>
                      <w:rPr>
                        <w:rFonts w:ascii="Cambria Math" w:hAnsi="Cambria Math"/>
                      </w:rPr>
                      <m:t>CO</m:t>
                    </m:r>
                    <m:ctrlPr>
                      <w:rPr>
                        <w:rFonts w:ascii="Cambria Math" w:hAnsi="Cambria Math"/>
                      </w:rPr>
                    </m:ctrlPr>
                  </m:e>
                  <m:sub>
                    <m:r>
                      <m:rPr/>
                      <w:rPr>
                        <w:rFonts w:ascii="Cambria Math" w:hAnsi="Cambria Math"/>
                      </w:rPr>
                      <m:t>2</m:t>
                    </m:r>
                    <m:ctrlPr>
                      <w:rPr>
                        <w:rFonts w:ascii="Cambria Math" w:hAnsi="Cambria Math"/>
                      </w:rPr>
                    </m:ctrlPr>
                  </m:sub>
                </m:sSub>
                <m:ctrlPr>
                  <w:rPr>
                    <w:rFonts w:ascii="Cambria Math" w:hAnsi="Cambria Math"/>
                    <w:i/>
                  </w:rPr>
                </m:ctrlPr>
              </m:sub>
              <m:sup>
                <m:r>
                  <m:rPr/>
                  <w:rPr>
                    <w:rFonts w:ascii="Cambria Math" w:hAnsi="Cambria Math"/>
                  </w:rPr>
                  <m:t>'</m:t>
                </m:r>
                <m:ctrlPr>
                  <w:rPr>
                    <w:rFonts w:ascii="Cambria Math" w:hAnsi="Cambria Math"/>
                    <w:i/>
                  </w:rPr>
                </m:ctrlPr>
              </m:sup>
            </m:sSubSup>
            <m:ctrlPr>
              <w:rPr>
                <w:rFonts w:ascii="Cambria Math" w:hAnsi="Cambria Math"/>
                <w:i/>
              </w:rPr>
            </m:ctrlPr>
          </m:num>
          <m:den>
            <m:sSubSup>
              <m:sSubSupPr>
                <m:ctrlPr>
                  <w:rPr>
                    <w:rFonts w:ascii="Cambria Math" w:hAnsi="Cambria Math"/>
                    <w:i/>
                  </w:rPr>
                </m:ctrlPr>
              </m:sSubSupPr>
              <m:e>
                <m:r>
                  <m:rPr/>
                  <w:rPr>
                    <w:rFonts w:ascii="Cambria Math" w:hAnsi="Cambria Math"/>
                  </w:rPr>
                  <m:t>I</m:t>
                </m:r>
                <m:ctrlPr>
                  <w:rPr>
                    <w:rFonts w:ascii="Cambria Math" w:hAnsi="Cambria Math"/>
                    <w:i/>
                  </w:rPr>
                </m:ctrlPr>
              </m:e>
              <m:sub>
                <m:sSub>
                  <m:sSubPr>
                    <m:ctrlPr>
                      <w:rPr>
                        <w:rFonts w:ascii="Cambria Math" w:hAnsi="Cambria Math"/>
                      </w:rPr>
                    </m:ctrlPr>
                  </m:sSubPr>
                  <m:e>
                    <m:r>
                      <m:rPr>
                        <m:sty m:val="p"/>
                      </m:rPr>
                      <w:rPr>
                        <w:rFonts w:ascii="Cambria Math" w:hAnsi="Cambria Math"/>
                      </w:rPr>
                      <m:t>CO</m:t>
                    </m:r>
                    <m:ctrlPr>
                      <w:rPr>
                        <w:rFonts w:ascii="Cambria Math" w:hAnsi="Cambria Math"/>
                      </w:rPr>
                    </m:ctrlPr>
                  </m:e>
                  <m:sub>
                    <m:r>
                      <m:rPr/>
                      <w:rPr>
                        <w:rFonts w:ascii="Cambria Math" w:hAnsi="Cambria Math"/>
                      </w:rPr>
                      <m:t>2</m:t>
                    </m:r>
                    <m:ctrlPr>
                      <w:rPr>
                        <w:rFonts w:ascii="Cambria Math" w:hAnsi="Cambria Math"/>
                      </w:rPr>
                    </m:ctrlPr>
                  </m:sub>
                </m:sSub>
                <m:ctrlPr>
                  <w:rPr>
                    <w:rFonts w:ascii="Cambria Math" w:hAnsi="Cambria Math"/>
                    <w:i/>
                  </w:rPr>
                </m:ctrlPr>
              </m:sub>
              <m:sup>
                <m:r>
                  <m:rPr/>
                  <w:rPr>
                    <w:rFonts w:ascii="Cambria Math" w:hAnsi="Cambria Math"/>
                  </w:rPr>
                  <m:t>'</m:t>
                </m:r>
                <m:ctrlPr>
                  <w:rPr>
                    <w:rFonts w:ascii="Cambria Math" w:hAnsi="Cambria Math"/>
                    <w:i/>
                  </w:rPr>
                </m:ctrlPr>
              </m:sup>
            </m:sSubSup>
            <m:ctrlPr>
              <w:rPr>
                <w:rFonts w:ascii="Cambria Math" w:hAnsi="Cambria Math"/>
                <w:i/>
              </w:rPr>
            </m:ctrlPr>
          </m:den>
        </m:f>
      </m:oMath>
      <w:r>
        <w:rPr>
          <w:rFonts w:ascii="Times New Roman" w:hAnsi="Times New Roman"/>
        </w:rPr>
        <w:t xml:space="preserve">      </w:t>
      </w:r>
      <w:r>
        <w:rPr>
          <w:rFonts w:hint="eastAsia" w:ascii="Times New Roman" w:hAnsi="Times New Roman"/>
          <w:lang w:val="en-US" w:eastAsia="zh-CN"/>
        </w:rPr>
        <w:t xml:space="preserve">  (4)</w:t>
      </w:r>
    </w:p>
    <w:p w14:paraId="51EA91CC">
      <w:pPr>
        <w:adjustRightInd w:val="0"/>
        <w:spacing w:line="360" w:lineRule="exact"/>
        <w:ind w:firstLine="420"/>
        <w:rPr>
          <w:rFonts w:ascii="Times New Roman" w:hAnsi="Times New Roman" w:eastAsia="宋体" w:cs="Times New Roman"/>
          <w:szCs w:val="21"/>
        </w:rPr>
      </w:pPr>
      <w:r>
        <w:rPr>
          <w:rFonts w:hint="eastAsia" w:ascii="Times New Roman" w:hAnsi="Times New Roman" w:eastAsia="宋体" w:cs="Times New Roman"/>
          <w:szCs w:val="21"/>
        </w:rPr>
        <w:t>其中：</w:t>
      </w:r>
    </w:p>
    <w:p w14:paraId="5BE479A7">
      <w:pPr>
        <w:adjustRightInd w:val="0"/>
        <w:spacing w:line="360" w:lineRule="exact"/>
        <w:ind w:firstLine="420"/>
        <w:rPr>
          <w:rFonts w:ascii="Times New Roman" w:hAnsi="Times New Roman" w:eastAsia="宋体" w:cs="Times New Roman"/>
          <w:szCs w:val="21"/>
        </w:rPr>
      </w:pPr>
      <w:r>
        <w:rPr>
          <w:rFonts w:hint="eastAsia" w:ascii="Times New Roman" w:hAnsi="Times New Roman" w:eastAsia="宋体" w:cs="Times New Roman"/>
          <w:szCs w:val="21"/>
        </w:rPr>
        <w:t>S：现代煤化工某产品</w:t>
      </w:r>
      <w:r>
        <w:rPr>
          <w:rFonts w:hint="eastAsia" w:ascii="Times New Roman" w:hAnsi="Times New Roman" w:cs="Times New Roman"/>
          <w:szCs w:val="21"/>
        </w:rPr>
        <w:t>碳污</w:t>
      </w:r>
      <w:r>
        <w:rPr>
          <w:rFonts w:hint="eastAsia" w:ascii="Times New Roman" w:hAnsi="Times New Roman" w:eastAsia="宋体" w:cs="Times New Roman"/>
          <w:szCs w:val="21"/>
        </w:rPr>
        <w:t>协同</w:t>
      </w:r>
      <w:r>
        <w:rPr>
          <w:rFonts w:hint="eastAsia" w:ascii="Times New Roman" w:hAnsi="Times New Roman" w:cs="Times New Roman"/>
          <w:szCs w:val="21"/>
        </w:rPr>
        <w:t>度指标</w:t>
      </w:r>
      <w:r>
        <w:rPr>
          <w:rFonts w:hint="eastAsia" w:ascii="Times New Roman" w:hAnsi="Times New Roman" w:eastAsia="宋体" w:cs="Times New Roman"/>
          <w:szCs w:val="21"/>
        </w:rPr>
        <w:t>；</w:t>
      </w:r>
    </w:p>
    <w:p w14:paraId="3DE74898">
      <w:pPr>
        <w:adjustRightInd w:val="0"/>
        <w:spacing w:line="360" w:lineRule="exact"/>
        <w:ind w:firstLine="420"/>
        <w:rPr>
          <w:rFonts w:ascii="Times New Roman" w:hAnsi="Times New Roman" w:eastAsia="宋体" w:cs="Times New Roman"/>
          <w:szCs w:val="21"/>
        </w:rPr>
      </w:pPr>
      <w:r>
        <w:rPr>
          <w:rFonts w:hint="eastAsia" w:ascii="Times New Roman" w:hAnsi="Times New Roman" w:eastAsia="宋体" w:cs="Times New Roman"/>
          <w:szCs w:val="21"/>
        </w:rPr>
        <w:t>ΔE</w:t>
      </w:r>
      <w:r>
        <w:rPr>
          <w:rFonts w:hint="eastAsia" w:ascii="Times New Roman" w:hAnsi="Times New Roman" w:eastAsia="宋体" w:cs="Times New Roman"/>
          <w:szCs w:val="21"/>
          <w:vertAlign w:val="subscript"/>
        </w:rPr>
        <w:t>LAP</w:t>
      </w:r>
      <w:r>
        <w:rPr>
          <w:rFonts w:hint="eastAsia" w:ascii="Times New Roman" w:hAnsi="Times New Roman" w:eastAsia="宋体" w:cs="Times New Roman"/>
          <w:szCs w:val="21"/>
        </w:rPr>
        <w:t>：</w:t>
      </w:r>
      <w:r>
        <w:rPr>
          <w:rFonts w:hint="eastAsia" w:ascii="Times New Roman" w:hAnsi="Times New Roman" w:cs="Times New Roman"/>
          <w:szCs w:val="21"/>
        </w:rPr>
        <w:t>建设项目某产品</w:t>
      </w:r>
      <w:r>
        <w:rPr>
          <w:rFonts w:hint="eastAsia" w:ascii="Times New Roman" w:hAnsi="Times New Roman" w:eastAsia="宋体" w:cs="Times New Roman"/>
          <w:szCs w:val="21"/>
        </w:rPr>
        <w:t>污染物排放量</w:t>
      </w:r>
      <w:r>
        <w:rPr>
          <w:rFonts w:hint="eastAsia" w:ascii="Times New Roman" w:hAnsi="Times New Roman" w:cs="Times New Roman"/>
          <w:szCs w:val="21"/>
        </w:rPr>
        <w:t>与行业先进值的差值，单位为kg/t产品</w:t>
      </w:r>
      <w:r>
        <w:rPr>
          <w:rFonts w:hint="eastAsia" w:ascii="Times New Roman" w:hAnsi="Times New Roman" w:eastAsia="宋体" w:cs="Times New Roman"/>
          <w:szCs w:val="21"/>
        </w:rPr>
        <w:t>；</w:t>
      </w:r>
    </w:p>
    <w:p w14:paraId="7B832A61">
      <w:pPr>
        <w:adjustRightInd w:val="0"/>
        <w:spacing w:line="360" w:lineRule="exact"/>
        <w:ind w:firstLine="420"/>
        <w:rPr>
          <w:rFonts w:ascii="Times New Roman" w:hAnsi="Times New Roman" w:eastAsia="宋体" w:cs="Times New Roman"/>
          <w:szCs w:val="21"/>
        </w:rPr>
      </w:pPr>
      <w:r>
        <w:rPr>
          <w:rFonts w:hint="eastAsia" w:ascii="Times New Roman" w:hAnsi="Times New Roman" w:eastAsia="宋体" w:cs="Times New Roman"/>
          <w:szCs w:val="21"/>
        </w:rPr>
        <w:t>E</w:t>
      </w:r>
      <w:r>
        <w:rPr>
          <w:rFonts w:hint="eastAsia" w:ascii="Times New Roman" w:hAnsi="Times New Roman" w:eastAsia="宋体" w:cs="Times New Roman"/>
          <w:szCs w:val="21"/>
          <w:vertAlign w:val="subscript"/>
        </w:rPr>
        <w:t>LAP</w:t>
      </w:r>
      <w:r>
        <w:rPr>
          <w:rFonts w:hint="eastAsia" w:ascii="Times New Roman" w:hAnsi="Times New Roman" w:eastAsia="宋体" w:cs="Times New Roman"/>
          <w:szCs w:val="21"/>
        </w:rPr>
        <w:t>：</w:t>
      </w:r>
      <w:r>
        <w:rPr>
          <w:rFonts w:hint="eastAsia" w:ascii="Times New Roman" w:hAnsi="Times New Roman" w:cs="Times New Roman"/>
          <w:szCs w:val="21"/>
        </w:rPr>
        <w:t>建设项目某产品单位产品</w:t>
      </w:r>
      <w:r>
        <w:rPr>
          <w:rFonts w:hint="eastAsia" w:ascii="Times New Roman" w:hAnsi="Times New Roman" w:eastAsia="宋体" w:cs="Times New Roman"/>
          <w:szCs w:val="21"/>
        </w:rPr>
        <w:t>污染物排放量</w:t>
      </w:r>
      <w:r>
        <w:rPr>
          <w:rFonts w:hint="eastAsia" w:ascii="Times New Roman" w:hAnsi="Times New Roman" w:cs="Times New Roman"/>
          <w:szCs w:val="21"/>
        </w:rPr>
        <w:t>，单位为kg/t产品</w:t>
      </w:r>
      <w:r>
        <w:rPr>
          <w:rFonts w:hint="eastAsia" w:ascii="Times New Roman" w:hAnsi="Times New Roman" w:eastAsia="宋体" w:cs="Times New Roman"/>
          <w:szCs w:val="21"/>
        </w:rPr>
        <w:t>；</w:t>
      </w:r>
    </w:p>
    <w:p w14:paraId="7EDC9B24">
      <w:pPr>
        <w:adjustRightInd w:val="0"/>
        <w:spacing w:line="360" w:lineRule="exact"/>
        <w:ind w:firstLine="420"/>
        <w:rPr>
          <w:rFonts w:ascii="Times New Roman" w:hAnsi="Times New Roman" w:eastAsia="宋体" w:cs="Times New Roman"/>
          <w:szCs w:val="21"/>
        </w:rPr>
      </w:pPr>
      <w:r>
        <w:rPr>
          <w:rFonts w:hint="eastAsia" w:ascii="Times New Roman" w:hAnsi="Times New Roman" w:eastAsia="宋体" w:cs="Times New Roman"/>
          <w:szCs w:val="21"/>
        </w:rPr>
        <w:t>E</w:t>
      </w:r>
      <w:r>
        <w:rPr>
          <w:rFonts w:hint="eastAsia" w:ascii="Times New Roman" w:hAnsi="Times New Roman" w:cs="Times New Roman"/>
          <w:szCs w:val="21"/>
          <w:vertAlign w:val="subscript"/>
        </w:rPr>
        <w:t>行业</w:t>
      </w:r>
      <w:r>
        <w:rPr>
          <w:rFonts w:hint="eastAsia" w:ascii="Times New Roman" w:hAnsi="Times New Roman" w:eastAsia="宋体" w:cs="Times New Roman"/>
          <w:szCs w:val="21"/>
          <w:vertAlign w:val="subscript"/>
        </w:rPr>
        <w:t>LAP</w:t>
      </w:r>
      <w:r>
        <w:rPr>
          <w:rFonts w:hint="eastAsia" w:ascii="Times New Roman" w:hAnsi="Times New Roman" w:eastAsia="宋体" w:cs="Times New Roman"/>
          <w:szCs w:val="21"/>
        </w:rPr>
        <w:t>：现代煤化工</w:t>
      </w:r>
      <w:r>
        <w:rPr>
          <w:rFonts w:hint="eastAsia" w:ascii="Times New Roman" w:hAnsi="Times New Roman" w:cs="Times New Roman"/>
          <w:szCs w:val="21"/>
        </w:rPr>
        <w:t>某主要产品</w:t>
      </w:r>
      <w:r>
        <w:rPr>
          <w:rFonts w:hint="eastAsia" w:ascii="Times New Roman" w:hAnsi="Times New Roman" w:eastAsia="宋体" w:cs="Times New Roman"/>
          <w:szCs w:val="21"/>
        </w:rPr>
        <w:t>单位</w:t>
      </w:r>
      <w:r>
        <w:rPr>
          <w:rFonts w:hint="eastAsia" w:ascii="Times New Roman" w:hAnsi="Times New Roman" w:cs="Times New Roman"/>
          <w:szCs w:val="21"/>
        </w:rPr>
        <w:t>产品</w:t>
      </w:r>
      <w:r>
        <w:rPr>
          <w:rFonts w:hint="eastAsia" w:ascii="Times New Roman" w:hAnsi="Times New Roman" w:eastAsia="宋体" w:cs="Times New Roman"/>
          <w:szCs w:val="21"/>
        </w:rPr>
        <w:t>污染物排放</w:t>
      </w:r>
      <w:r>
        <w:rPr>
          <w:rFonts w:hint="eastAsia" w:ascii="Times New Roman" w:hAnsi="Times New Roman" w:cs="Times New Roman"/>
          <w:szCs w:val="21"/>
        </w:rPr>
        <w:t>先进</w:t>
      </w:r>
      <w:r>
        <w:rPr>
          <w:rFonts w:hint="eastAsia" w:ascii="Times New Roman" w:hAnsi="Times New Roman" w:eastAsia="宋体" w:cs="Times New Roman"/>
          <w:szCs w:val="21"/>
        </w:rPr>
        <w:t>值，</w:t>
      </w:r>
      <w:r>
        <w:rPr>
          <w:rFonts w:hint="eastAsia" w:ascii="Times New Roman" w:hAnsi="Times New Roman" w:cs="Times New Roman"/>
          <w:szCs w:val="21"/>
        </w:rPr>
        <w:t>单位为kg/t产品（以工序氮氧化物排放先进值计）；</w:t>
      </w:r>
    </w:p>
    <w:p w14:paraId="671ABD2A">
      <w:pPr>
        <w:adjustRightInd w:val="0"/>
        <w:spacing w:line="360" w:lineRule="exact"/>
        <w:ind w:firstLine="420"/>
        <w:rPr>
          <w:rFonts w:ascii="Times New Roman" w:hAnsi="Times New Roman" w:eastAsia="宋体" w:cs="Times New Roman"/>
          <w:szCs w:val="21"/>
        </w:rPr>
      </w:pPr>
      <w:r>
        <w:rPr>
          <w:rFonts w:hint="eastAsia" w:ascii="Times New Roman" w:hAnsi="Times New Roman" w:eastAsia="宋体" w:cs="Times New Roman"/>
          <w:szCs w:val="21"/>
        </w:rPr>
        <w:t>ΔE</w:t>
      </w:r>
      <w:r>
        <w:rPr>
          <w:rFonts w:hint="eastAsia" w:ascii="Times New Roman" w:hAnsi="Times New Roman" w:eastAsia="宋体" w:cs="Times New Roman"/>
          <w:szCs w:val="21"/>
          <w:vertAlign w:val="subscript"/>
        </w:rPr>
        <w:t>GHG</w:t>
      </w:r>
      <w:r>
        <w:rPr>
          <w:rFonts w:hint="eastAsia" w:ascii="Times New Roman" w:hAnsi="Times New Roman" w:eastAsia="宋体" w:cs="Times New Roman"/>
          <w:szCs w:val="21"/>
        </w:rPr>
        <w:t>：现代煤化工</w:t>
      </w:r>
      <w:r>
        <w:rPr>
          <w:rFonts w:hint="eastAsia" w:ascii="Times New Roman" w:hAnsi="Times New Roman" w:cs="Times New Roman"/>
          <w:szCs w:val="21"/>
        </w:rPr>
        <w:t>某主要产品单位产品温室气体</w:t>
      </w:r>
      <w:r>
        <w:rPr>
          <w:rFonts w:hint="eastAsia" w:ascii="Times New Roman" w:hAnsi="Times New Roman" w:eastAsia="宋体" w:cs="Times New Roman"/>
          <w:szCs w:val="21"/>
        </w:rPr>
        <w:t>排放量</w:t>
      </w:r>
      <w:r>
        <w:rPr>
          <w:rFonts w:hint="eastAsia" w:ascii="Times New Roman" w:hAnsi="Times New Roman" w:cs="Times New Roman"/>
          <w:szCs w:val="21"/>
        </w:rPr>
        <w:t>与行业先进值的差值，单位为</w:t>
      </w:r>
      <w:r>
        <w:rPr>
          <w:rFonts w:hint="eastAsia" w:ascii="Times New Roman" w:hAnsi="Times New Roman" w:eastAsia="宋体" w:cs="Times New Roman"/>
          <w:szCs w:val="21"/>
        </w:rPr>
        <w:t>t</w:t>
      </w:r>
      <w:r>
        <w:rPr>
          <w:rFonts w:hint="eastAsia" w:ascii="Times New Roman" w:hAnsi="Times New Roman" w:cs="Times New Roman"/>
          <w:szCs w:val="21"/>
        </w:rPr>
        <w:t>CO</w:t>
      </w:r>
      <w:r>
        <w:rPr>
          <w:rFonts w:hint="eastAsia" w:ascii="Times New Roman" w:hAnsi="Times New Roman" w:cs="Times New Roman"/>
          <w:szCs w:val="21"/>
          <w:vertAlign w:val="subscript"/>
        </w:rPr>
        <w:t>2</w:t>
      </w:r>
      <w:r>
        <w:rPr>
          <w:rFonts w:hint="eastAsia" w:ascii="Times New Roman" w:hAnsi="Times New Roman" w:cs="Times New Roman"/>
          <w:szCs w:val="21"/>
        </w:rPr>
        <w:t>/t产品</w:t>
      </w:r>
      <w:r>
        <w:rPr>
          <w:rFonts w:hint="eastAsia" w:ascii="Times New Roman" w:hAnsi="Times New Roman" w:eastAsia="宋体" w:cs="Times New Roman"/>
          <w:szCs w:val="21"/>
        </w:rPr>
        <w:t>；</w:t>
      </w:r>
    </w:p>
    <w:p w14:paraId="40D8DE09">
      <w:pPr>
        <w:adjustRightInd w:val="0"/>
        <w:spacing w:line="360" w:lineRule="exact"/>
        <w:ind w:firstLine="420"/>
        <w:rPr>
          <w:rFonts w:ascii="Times New Roman" w:hAnsi="Times New Roman" w:eastAsia="宋体" w:cs="Times New Roman"/>
          <w:szCs w:val="21"/>
        </w:rPr>
      </w:pPr>
      <w:r>
        <w:rPr>
          <w:rFonts w:hint="eastAsia" w:ascii="Times New Roman" w:hAnsi="Times New Roman" w:eastAsia="宋体" w:cs="Times New Roman"/>
          <w:szCs w:val="21"/>
        </w:rPr>
        <w:t>E</w:t>
      </w:r>
      <w:r>
        <w:rPr>
          <w:rFonts w:hint="eastAsia" w:ascii="Times New Roman" w:hAnsi="Times New Roman" w:eastAsia="宋体" w:cs="Times New Roman"/>
          <w:szCs w:val="21"/>
          <w:vertAlign w:val="subscript"/>
        </w:rPr>
        <w:t>GHG</w:t>
      </w:r>
      <w:r>
        <w:rPr>
          <w:rFonts w:hint="eastAsia" w:ascii="Times New Roman" w:hAnsi="Times New Roman" w:eastAsia="宋体" w:cs="Times New Roman"/>
          <w:szCs w:val="21"/>
        </w:rPr>
        <w:t>：某</w:t>
      </w:r>
      <w:r>
        <w:rPr>
          <w:rFonts w:hint="eastAsia" w:ascii="Times New Roman" w:hAnsi="Times New Roman" w:cs="Times New Roman"/>
          <w:szCs w:val="21"/>
        </w:rPr>
        <w:t>建设项目产品温室气体</w:t>
      </w:r>
      <w:r>
        <w:rPr>
          <w:rFonts w:hint="eastAsia" w:ascii="Times New Roman" w:hAnsi="Times New Roman" w:eastAsia="宋体" w:cs="Times New Roman"/>
          <w:szCs w:val="21"/>
        </w:rPr>
        <w:t>排放量</w:t>
      </w:r>
      <w:r>
        <w:rPr>
          <w:rFonts w:hint="eastAsia" w:ascii="Times New Roman" w:hAnsi="Times New Roman" w:cs="Times New Roman"/>
          <w:szCs w:val="21"/>
        </w:rPr>
        <w:t>，单位为</w:t>
      </w:r>
      <w:r>
        <w:rPr>
          <w:rFonts w:hint="eastAsia" w:ascii="Times New Roman" w:hAnsi="Times New Roman" w:eastAsia="宋体" w:cs="Times New Roman"/>
          <w:szCs w:val="21"/>
        </w:rPr>
        <w:t>t</w:t>
      </w:r>
      <w:r>
        <w:rPr>
          <w:rFonts w:hint="eastAsia" w:ascii="Times New Roman" w:hAnsi="Times New Roman" w:cs="Times New Roman"/>
          <w:szCs w:val="21"/>
        </w:rPr>
        <w:t>CO</w:t>
      </w:r>
      <w:r>
        <w:rPr>
          <w:rFonts w:hint="eastAsia" w:ascii="Times New Roman" w:hAnsi="Times New Roman" w:cs="Times New Roman"/>
          <w:szCs w:val="21"/>
          <w:vertAlign w:val="subscript"/>
        </w:rPr>
        <w:t>2</w:t>
      </w:r>
      <w:r>
        <w:rPr>
          <w:rFonts w:hint="eastAsia" w:ascii="Times New Roman" w:hAnsi="Times New Roman" w:cs="Times New Roman"/>
          <w:szCs w:val="21"/>
        </w:rPr>
        <w:t>/t产品</w:t>
      </w:r>
      <w:r>
        <w:rPr>
          <w:rFonts w:hint="eastAsia" w:ascii="Times New Roman" w:hAnsi="Times New Roman" w:eastAsia="宋体" w:cs="Times New Roman"/>
          <w:szCs w:val="21"/>
        </w:rPr>
        <w:t>；</w:t>
      </w:r>
    </w:p>
    <w:p w14:paraId="48322E9D">
      <w:pPr>
        <w:adjustRightInd w:val="0"/>
        <w:spacing w:line="360" w:lineRule="exact"/>
        <w:ind w:firstLine="420"/>
        <w:rPr>
          <w:rFonts w:ascii="Times New Roman" w:hAnsi="Times New Roman" w:eastAsia="宋体" w:cs="Times New Roman"/>
          <w:szCs w:val="21"/>
        </w:rPr>
      </w:pPr>
      <w:r>
        <w:rPr>
          <w:rFonts w:hint="eastAsia" w:ascii="Times New Roman" w:hAnsi="Times New Roman" w:eastAsia="宋体" w:cs="Times New Roman"/>
          <w:szCs w:val="21"/>
        </w:rPr>
        <w:t>E</w:t>
      </w:r>
      <w:r>
        <w:rPr>
          <w:rFonts w:hint="eastAsia" w:ascii="Times New Roman" w:hAnsi="Times New Roman" w:cs="Times New Roman"/>
          <w:szCs w:val="21"/>
          <w:vertAlign w:val="subscript"/>
        </w:rPr>
        <w:t>行业</w:t>
      </w:r>
      <w:r>
        <w:rPr>
          <w:rFonts w:hint="eastAsia" w:ascii="Times New Roman" w:hAnsi="Times New Roman" w:eastAsia="宋体" w:cs="Times New Roman"/>
          <w:szCs w:val="21"/>
          <w:vertAlign w:val="subscript"/>
        </w:rPr>
        <w:t>GHG</w:t>
      </w:r>
      <w:r>
        <w:rPr>
          <w:rFonts w:hint="eastAsia" w:ascii="Times New Roman" w:hAnsi="Times New Roman" w:eastAsia="宋体" w:cs="Times New Roman"/>
          <w:szCs w:val="21"/>
        </w:rPr>
        <w:t>：</w:t>
      </w:r>
      <w:r>
        <w:rPr>
          <w:rFonts w:hint="eastAsia" w:ascii="Times New Roman" w:hAnsi="Times New Roman" w:cs="Times New Roman"/>
          <w:szCs w:val="21"/>
        </w:rPr>
        <w:t>现代煤化工</w:t>
      </w:r>
      <w:r>
        <w:rPr>
          <w:rFonts w:hint="eastAsia" w:ascii="Times New Roman" w:hAnsi="Times New Roman" w:eastAsia="宋体" w:cs="Times New Roman"/>
          <w:szCs w:val="21"/>
        </w:rPr>
        <w:t>行业</w:t>
      </w:r>
      <w:r>
        <w:rPr>
          <w:rFonts w:hint="eastAsia" w:ascii="Times New Roman" w:hAnsi="Times New Roman" w:cs="Times New Roman"/>
          <w:szCs w:val="21"/>
        </w:rPr>
        <w:t>某主要产品</w:t>
      </w:r>
      <w:r>
        <w:rPr>
          <w:rFonts w:hint="eastAsia" w:ascii="Times New Roman" w:hAnsi="Times New Roman" w:eastAsia="宋体" w:cs="Times New Roman"/>
          <w:szCs w:val="21"/>
        </w:rPr>
        <w:t>单位</w:t>
      </w:r>
      <w:r>
        <w:rPr>
          <w:rFonts w:hint="eastAsia" w:ascii="Times New Roman" w:hAnsi="Times New Roman" w:cs="Times New Roman"/>
          <w:szCs w:val="21"/>
        </w:rPr>
        <w:t>产品温室气体</w:t>
      </w:r>
      <w:r>
        <w:rPr>
          <w:rFonts w:hint="eastAsia" w:ascii="Times New Roman" w:hAnsi="Times New Roman" w:eastAsia="宋体" w:cs="Times New Roman"/>
          <w:szCs w:val="21"/>
        </w:rPr>
        <w:t>排放</w:t>
      </w:r>
      <w:r>
        <w:rPr>
          <w:rFonts w:hint="eastAsia" w:ascii="Times New Roman" w:hAnsi="Times New Roman" w:cs="Times New Roman"/>
          <w:szCs w:val="21"/>
        </w:rPr>
        <w:t>先进</w:t>
      </w:r>
      <w:r>
        <w:rPr>
          <w:rFonts w:hint="eastAsia" w:ascii="Times New Roman" w:hAnsi="Times New Roman" w:eastAsia="宋体" w:cs="Times New Roman"/>
          <w:szCs w:val="21"/>
        </w:rPr>
        <w:t>值，</w:t>
      </w:r>
      <w:r>
        <w:rPr>
          <w:rFonts w:hint="eastAsia" w:ascii="Times New Roman" w:hAnsi="Times New Roman" w:cs="Times New Roman"/>
          <w:szCs w:val="21"/>
        </w:rPr>
        <w:t>单位为</w:t>
      </w:r>
      <w:r>
        <w:rPr>
          <w:rFonts w:hint="eastAsia" w:ascii="Times New Roman" w:hAnsi="Times New Roman" w:eastAsia="宋体" w:cs="Times New Roman"/>
          <w:szCs w:val="21"/>
        </w:rPr>
        <w:t>t</w:t>
      </w:r>
      <w:r>
        <w:rPr>
          <w:rFonts w:hint="eastAsia" w:ascii="Times New Roman" w:hAnsi="Times New Roman" w:cs="Times New Roman"/>
          <w:szCs w:val="21"/>
        </w:rPr>
        <w:t>CO</w:t>
      </w:r>
      <w:r>
        <w:rPr>
          <w:rFonts w:hint="eastAsia" w:ascii="Times New Roman" w:hAnsi="Times New Roman" w:cs="Times New Roman"/>
          <w:szCs w:val="21"/>
          <w:vertAlign w:val="subscript"/>
        </w:rPr>
        <w:t>2</w:t>
      </w:r>
      <w:r>
        <w:rPr>
          <w:rFonts w:hint="eastAsia" w:ascii="Times New Roman" w:hAnsi="Times New Roman" w:cs="Times New Roman"/>
          <w:szCs w:val="21"/>
        </w:rPr>
        <w:t>/t产品</w:t>
      </w:r>
      <w:r>
        <w:rPr>
          <w:rFonts w:hint="eastAsia" w:ascii="Times New Roman" w:hAnsi="Times New Roman" w:eastAsia="宋体" w:cs="Times New Roman"/>
          <w:szCs w:val="21"/>
        </w:rPr>
        <w:t>。</w:t>
      </w:r>
    </w:p>
    <w:p w14:paraId="42D1FC45">
      <w:pPr>
        <w:adjustRightInd w:val="0"/>
        <w:spacing w:line="360" w:lineRule="exact"/>
        <w:ind w:firstLine="420"/>
        <w:rPr>
          <w:rFonts w:ascii="Times New Roman" w:hAnsi="Times New Roman" w:cs="Times New Roman"/>
          <w:szCs w:val="21"/>
        </w:rPr>
      </w:pPr>
      <w:r>
        <w:rPr>
          <w:rFonts w:hint="eastAsia" w:ascii="Times New Roman" w:hAnsi="Times New Roman" w:eastAsia="宋体" w:cs="Times New Roman"/>
          <w:szCs w:val="21"/>
        </w:rPr>
        <w:t>S对应的协同</w:t>
      </w:r>
      <w:r>
        <w:rPr>
          <w:rFonts w:hint="eastAsia" w:ascii="Times New Roman" w:hAnsi="Times New Roman" w:cs="Times New Roman"/>
          <w:szCs w:val="21"/>
        </w:rPr>
        <w:t>度等级判定情况见</w:t>
      </w:r>
      <w:r>
        <w:rPr>
          <w:rFonts w:hint="eastAsia" w:ascii="Times New Roman" w:hAnsi="Times New Roman" w:cs="Times New Roman"/>
          <w:szCs w:val="21"/>
          <w:lang w:val="en-US" w:eastAsia="zh-CN"/>
        </w:rPr>
        <w:t>附录C</w:t>
      </w:r>
      <w:r>
        <w:rPr>
          <w:rFonts w:hint="eastAsia" w:ascii="Times New Roman" w:hAnsi="Times New Roman" w:cs="Times New Roman"/>
          <w:szCs w:val="21"/>
        </w:rPr>
        <w:t>。如碳污协同度特征需优化，调整污染物和温室气体排放减排措施，直至S达到可接受特征。</w:t>
      </w:r>
    </w:p>
    <w:p w14:paraId="1340C1ED">
      <w:pPr>
        <w:adjustRightInd w:val="0"/>
        <w:spacing w:line="360" w:lineRule="auto"/>
        <w:ind w:firstLine="420"/>
        <w:jc w:val="center"/>
        <w:rPr>
          <w:rFonts w:ascii="Times New Roman" w:hAnsi="Times New Roman" w:eastAsia="宋体" w:cs="Times New Roman"/>
          <w:szCs w:val="21"/>
        </w:rPr>
      </w:pPr>
      <w:r>
        <w:rPr>
          <w:rFonts w:ascii="Times New Roman" w:hAnsi="Times New Roman" w:eastAsia="宋体" w:cs="Times New Roman"/>
          <w:b/>
          <w:bCs/>
          <w:szCs w:val="21"/>
        </w:rPr>
        <w:t>表</w:t>
      </w:r>
      <w:r>
        <w:rPr>
          <w:rFonts w:hint="eastAsia" w:ascii="Times New Roman" w:hAnsi="Times New Roman" w:eastAsia="宋体" w:cs="Times New Roman"/>
          <w:b/>
          <w:bCs/>
          <w:szCs w:val="21"/>
          <w:lang w:val="en-US" w:eastAsia="zh-CN"/>
        </w:rPr>
        <w:t>1</w:t>
      </w:r>
      <w:r>
        <w:rPr>
          <w:rFonts w:ascii="Times New Roman" w:hAnsi="Times New Roman" w:eastAsia="宋体" w:cs="Times New Roman"/>
          <w:b/>
          <w:bCs/>
          <w:szCs w:val="21"/>
        </w:rPr>
        <w:t xml:space="preserve">  协同度等级判定一览表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77"/>
        <w:gridCol w:w="783"/>
        <w:gridCol w:w="1191"/>
        <w:gridCol w:w="4416"/>
      </w:tblGrid>
      <w:tr w14:paraId="1E17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vAlign w:val="center"/>
          </w:tcPr>
          <w:p w14:paraId="24AFDB3C">
            <w:pPr>
              <w:pStyle w:val="23"/>
              <w:rPr>
                <w:rFonts w:ascii="Times New Roman" w:hAnsi="Times New Roman" w:eastAsia="宋体" w:cs="Times New Roman"/>
                <w:sz w:val="20"/>
                <w:szCs w:val="20"/>
              </w:rPr>
            </w:pPr>
            <w:r>
              <w:rPr>
                <w:rFonts w:ascii="Times New Roman" w:hAnsi="Times New Roman" w:eastAsia="宋体" w:cs="Times New Roman"/>
                <w:sz w:val="20"/>
                <w:szCs w:val="20"/>
              </w:rPr>
              <w:t>协同状态</w:t>
            </w:r>
          </w:p>
        </w:tc>
        <w:tc>
          <w:tcPr>
            <w:tcW w:w="877" w:type="dxa"/>
            <w:vAlign w:val="center"/>
          </w:tcPr>
          <w:p w14:paraId="55CF9125">
            <w:pPr>
              <w:pStyle w:val="23"/>
              <w:rPr>
                <w:rFonts w:ascii="Times New Roman" w:hAnsi="Times New Roman" w:eastAsia="宋体" w:cs="Times New Roman"/>
                <w:sz w:val="20"/>
                <w:szCs w:val="20"/>
              </w:rPr>
            </w:pPr>
            <w:r>
              <w:rPr>
                <w:rFonts w:ascii="Times New Roman" w:hAnsi="Times New Roman" w:eastAsia="宋体" w:cs="Times New Roman"/>
                <w:sz w:val="20"/>
                <w:szCs w:val="20"/>
              </w:rPr>
              <w:t>ΔE</w:t>
            </w:r>
            <w:r>
              <w:rPr>
                <w:rFonts w:ascii="Times New Roman" w:hAnsi="Times New Roman" w:eastAsia="宋体" w:cs="Times New Roman"/>
                <w:sz w:val="20"/>
                <w:szCs w:val="20"/>
                <w:vertAlign w:val="subscript"/>
              </w:rPr>
              <w:t>LAP</w:t>
            </w:r>
          </w:p>
        </w:tc>
        <w:tc>
          <w:tcPr>
            <w:tcW w:w="783" w:type="dxa"/>
            <w:vAlign w:val="center"/>
          </w:tcPr>
          <w:p w14:paraId="1CEC212F">
            <w:pPr>
              <w:pStyle w:val="23"/>
              <w:rPr>
                <w:rFonts w:ascii="Times New Roman" w:hAnsi="Times New Roman" w:eastAsia="宋体" w:cs="Times New Roman"/>
                <w:sz w:val="20"/>
                <w:szCs w:val="20"/>
              </w:rPr>
            </w:pPr>
            <w:r>
              <w:rPr>
                <w:rFonts w:ascii="Times New Roman" w:hAnsi="Times New Roman" w:eastAsia="宋体" w:cs="Times New Roman"/>
                <w:sz w:val="20"/>
                <w:szCs w:val="20"/>
              </w:rPr>
              <w:t>ΔE</w:t>
            </w:r>
            <w:r>
              <w:rPr>
                <w:rFonts w:ascii="Times New Roman" w:hAnsi="Times New Roman" w:eastAsia="宋体" w:cs="Times New Roman"/>
                <w:sz w:val="20"/>
                <w:szCs w:val="20"/>
                <w:vertAlign w:val="subscript"/>
              </w:rPr>
              <w:t>GH</w:t>
            </w:r>
            <w:r>
              <w:rPr>
                <w:rFonts w:hint="eastAsia" w:ascii="Times New Roman" w:hAnsi="Times New Roman" w:eastAsia="宋体" w:cs="Times New Roman"/>
                <w:sz w:val="20"/>
                <w:szCs w:val="20"/>
                <w:vertAlign w:val="subscript"/>
              </w:rPr>
              <w:t>G</w:t>
            </w:r>
          </w:p>
        </w:tc>
        <w:tc>
          <w:tcPr>
            <w:tcW w:w="1191" w:type="dxa"/>
            <w:vAlign w:val="center"/>
          </w:tcPr>
          <w:p w14:paraId="310390D9">
            <w:pPr>
              <w:pStyle w:val="23"/>
              <w:rPr>
                <w:rFonts w:ascii="Times New Roman" w:hAnsi="Times New Roman" w:eastAsia="宋体" w:cs="Times New Roman"/>
                <w:sz w:val="20"/>
                <w:szCs w:val="20"/>
              </w:rPr>
            </w:pPr>
            <w:r>
              <w:rPr>
                <w:rFonts w:ascii="Times New Roman" w:hAnsi="Times New Roman" w:eastAsia="宋体" w:cs="Times New Roman"/>
                <w:sz w:val="20"/>
                <w:szCs w:val="20"/>
              </w:rPr>
              <w:t>S</w:t>
            </w:r>
          </w:p>
        </w:tc>
        <w:tc>
          <w:tcPr>
            <w:tcW w:w="4416" w:type="dxa"/>
            <w:vAlign w:val="center"/>
          </w:tcPr>
          <w:p w14:paraId="0394D264">
            <w:pPr>
              <w:pStyle w:val="23"/>
              <w:rPr>
                <w:rFonts w:ascii="Times New Roman" w:hAnsi="Times New Roman" w:eastAsia="宋体" w:cs="Times New Roman"/>
                <w:sz w:val="20"/>
                <w:szCs w:val="20"/>
              </w:rPr>
            </w:pPr>
            <w:r>
              <w:rPr>
                <w:rFonts w:ascii="Times New Roman" w:hAnsi="Times New Roman" w:eastAsia="宋体" w:cs="Times New Roman"/>
                <w:sz w:val="20"/>
                <w:szCs w:val="20"/>
              </w:rPr>
              <w:t>特征</w:t>
            </w:r>
          </w:p>
        </w:tc>
      </w:tr>
      <w:tr w14:paraId="13A6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5890FD6B">
            <w:pPr>
              <w:pStyle w:val="23"/>
              <w:rPr>
                <w:rFonts w:ascii="Times New Roman" w:hAnsi="Times New Roman" w:eastAsia="宋体" w:cs="Times New Roman"/>
                <w:sz w:val="20"/>
                <w:szCs w:val="20"/>
              </w:rPr>
            </w:pPr>
            <w:r>
              <w:rPr>
                <w:rFonts w:hint="eastAsia" w:ascii="Times New Roman" w:hAnsi="Times New Roman" w:eastAsia="宋体" w:cs="Times New Roman"/>
                <w:sz w:val="20"/>
                <w:szCs w:val="20"/>
              </w:rPr>
              <w:t>“双减”</w:t>
            </w:r>
          </w:p>
        </w:tc>
        <w:tc>
          <w:tcPr>
            <w:tcW w:w="877" w:type="dxa"/>
            <w:vAlign w:val="center"/>
          </w:tcPr>
          <w:p w14:paraId="1118F751">
            <w:pPr>
              <w:pStyle w:val="23"/>
              <w:rPr>
                <w:rFonts w:ascii="Times New Roman" w:hAnsi="Times New Roman" w:eastAsia="宋体" w:cs="Times New Roman"/>
                <w:sz w:val="20"/>
                <w:szCs w:val="20"/>
              </w:rPr>
            </w:pPr>
            <w:r>
              <w:rPr>
                <w:rFonts w:hint="eastAsia" w:ascii="Times New Roman" w:hAnsi="Times New Roman" w:eastAsia="宋体" w:cs="Times New Roman"/>
                <w:sz w:val="20"/>
                <w:szCs w:val="20"/>
                <w:lang w:eastAsia="zh-CN"/>
              </w:rPr>
              <w:t>&lt;</w:t>
            </w:r>
            <w:r>
              <w:rPr>
                <w:rFonts w:ascii="Times New Roman" w:hAnsi="Times New Roman" w:eastAsia="宋体" w:cs="Times New Roman"/>
                <w:sz w:val="20"/>
                <w:szCs w:val="20"/>
              </w:rPr>
              <w:t>0</w:t>
            </w:r>
          </w:p>
        </w:tc>
        <w:tc>
          <w:tcPr>
            <w:tcW w:w="783" w:type="dxa"/>
            <w:vAlign w:val="center"/>
          </w:tcPr>
          <w:p w14:paraId="58F024DA">
            <w:pPr>
              <w:pStyle w:val="23"/>
              <w:rPr>
                <w:rFonts w:ascii="Times New Roman" w:hAnsi="Times New Roman" w:eastAsia="宋体" w:cs="Times New Roman"/>
                <w:sz w:val="20"/>
                <w:szCs w:val="20"/>
              </w:rPr>
            </w:pPr>
            <w:r>
              <w:rPr>
                <w:rFonts w:hint="default" w:ascii="Times New Roman" w:hAnsi="Times New Roman" w:eastAsia="宋体" w:cs="Times New Roman"/>
                <w:sz w:val="20"/>
                <w:szCs w:val="20"/>
              </w:rPr>
              <w:t>&lt;</w:t>
            </w:r>
            <w:r>
              <w:rPr>
                <w:rFonts w:ascii="Times New Roman" w:hAnsi="Times New Roman" w:eastAsia="宋体" w:cs="Times New Roman"/>
                <w:sz w:val="20"/>
                <w:szCs w:val="20"/>
              </w:rPr>
              <w:t>0</w:t>
            </w:r>
          </w:p>
        </w:tc>
        <w:tc>
          <w:tcPr>
            <w:tcW w:w="1191" w:type="dxa"/>
            <w:vAlign w:val="center"/>
          </w:tcPr>
          <w:p w14:paraId="5D302129">
            <w:pPr>
              <w:pStyle w:val="23"/>
              <w:rPr>
                <w:rFonts w:ascii="Times New Roman" w:hAnsi="Times New Roman" w:eastAsia="宋体" w:cs="Times New Roman"/>
                <w:sz w:val="20"/>
                <w:szCs w:val="20"/>
              </w:rPr>
            </w:pPr>
            <w:r>
              <w:rPr>
                <w:rFonts w:hint="eastAsia" w:ascii="Times New Roman" w:hAnsi="Times New Roman" w:eastAsia="宋体" w:cs="Times New Roman"/>
                <w:sz w:val="20"/>
                <w:szCs w:val="20"/>
              </w:rPr>
              <w:t>/</w:t>
            </w:r>
          </w:p>
        </w:tc>
        <w:tc>
          <w:tcPr>
            <w:tcW w:w="4416" w:type="dxa"/>
            <w:vAlign w:val="center"/>
          </w:tcPr>
          <w:p w14:paraId="1776A764">
            <w:pPr>
              <w:pStyle w:val="23"/>
              <w:jc w:val="left"/>
              <w:rPr>
                <w:rFonts w:ascii="Times New Roman" w:hAnsi="Times New Roman" w:eastAsia="宋体" w:cs="Times New Roman"/>
                <w:sz w:val="20"/>
                <w:szCs w:val="20"/>
              </w:rPr>
            </w:pPr>
            <w:r>
              <w:rPr>
                <w:rFonts w:ascii="Times New Roman" w:hAnsi="Times New Roman" w:eastAsia="宋体" w:cs="Times New Roman"/>
                <w:sz w:val="20"/>
                <w:szCs w:val="20"/>
              </w:rPr>
              <w:t>污染物和</w:t>
            </w:r>
            <w:r>
              <w:rPr>
                <w:rFonts w:hint="eastAsia" w:ascii="Times New Roman" w:hAnsi="Times New Roman" w:eastAsia="宋体" w:cs="Times New Roman"/>
                <w:sz w:val="20"/>
                <w:szCs w:val="20"/>
              </w:rPr>
              <w:t>温室气体排放水平优于行业先进值，可接受</w:t>
            </w:r>
          </w:p>
        </w:tc>
      </w:tr>
      <w:tr w14:paraId="29FC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53F5105F">
            <w:pPr>
              <w:rPr>
                <w:rFonts w:ascii="Times New Roman" w:hAnsi="Times New Roman" w:eastAsia="宋体" w:cs="Times New Roman"/>
                <w:sz w:val="20"/>
                <w:szCs w:val="20"/>
              </w:rPr>
            </w:pPr>
            <w:r>
              <w:rPr>
                <w:rFonts w:hint="eastAsia" w:ascii="Times New Roman" w:hAnsi="Times New Roman" w:eastAsia="宋体" w:cs="Times New Roman"/>
                <w:sz w:val="20"/>
                <w:szCs w:val="20"/>
              </w:rPr>
              <w:t>“双</w:t>
            </w:r>
            <w:r>
              <w:rPr>
                <w:rFonts w:hint="eastAsia" w:ascii="Times New Roman" w:hAnsi="Times New Roman" w:cs="Times New Roman"/>
                <w:sz w:val="20"/>
                <w:szCs w:val="20"/>
              </w:rPr>
              <w:t>增</w:t>
            </w:r>
            <w:r>
              <w:rPr>
                <w:rFonts w:hint="eastAsia" w:ascii="Times New Roman" w:hAnsi="Times New Roman" w:eastAsia="宋体" w:cs="Times New Roman"/>
                <w:sz w:val="20"/>
                <w:szCs w:val="20"/>
              </w:rPr>
              <w:t>”</w:t>
            </w:r>
          </w:p>
        </w:tc>
        <w:tc>
          <w:tcPr>
            <w:tcW w:w="877" w:type="dxa"/>
            <w:vAlign w:val="center"/>
          </w:tcPr>
          <w:p w14:paraId="4EDCCA6B">
            <w:pPr>
              <w:pStyle w:val="23"/>
              <w:rPr>
                <w:rFonts w:ascii="Times New Roman" w:hAnsi="Times New Roman" w:eastAsia="宋体" w:cs="Times New Roman"/>
                <w:sz w:val="20"/>
                <w:szCs w:val="20"/>
              </w:rPr>
            </w:pPr>
            <w:r>
              <w:rPr>
                <w:rFonts w:hint="eastAsia" w:ascii="Times New Roman" w:hAnsi="Times New Roman" w:eastAsia="宋体" w:cs="Times New Roman"/>
                <w:sz w:val="20"/>
                <w:szCs w:val="20"/>
                <w:lang w:eastAsia="zh-CN"/>
              </w:rPr>
              <w:t>&gt;</w:t>
            </w:r>
            <w:r>
              <w:rPr>
                <w:rFonts w:ascii="Times New Roman" w:hAnsi="Times New Roman" w:eastAsia="宋体" w:cs="Times New Roman"/>
                <w:sz w:val="20"/>
                <w:szCs w:val="20"/>
              </w:rPr>
              <w:t>0</w:t>
            </w:r>
          </w:p>
        </w:tc>
        <w:tc>
          <w:tcPr>
            <w:tcW w:w="783" w:type="dxa"/>
            <w:vAlign w:val="center"/>
          </w:tcPr>
          <w:p w14:paraId="15786F99">
            <w:pPr>
              <w:pStyle w:val="23"/>
              <w:rPr>
                <w:rFonts w:ascii="Times New Roman" w:hAnsi="Times New Roman" w:eastAsia="宋体" w:cs="Times New Roman"/>
                <w:sz w:val="20"/>
                <w:szCs w:val="20"/>
              </w:rPr>
            </w:pPr>
            <w:r>
              <w:rPr>
                <w:rFonts w:hint="eastAsia" w:ascii="Times New Roman" w:hAnsi="Times New Roman" w:eastAsia="宋体" w:cs="Times New Roman"/>
                <w:sz w:val="20"/>
                <w:szCs w:val="20"/>
                <w:lang w:eastAsia="zh-CN"/>
              </w:rPr>
              <w:t>&gt;</w:t>
            </w:r>
            <w:r>
              <w:rPr>
                <w:rFonts w:ascii="Times New Roman" w:hAnsi="Times New Roman" w:eastAsia="宋体" w:cs="Times New Roman"/>
                <w:sz w:val="20"/>
                <w:szCs w:val="20"/>
              </w:rPr>
              <w:t>0</w:t>
            </w:r>
          </w:p>
        </w:tc>
        <w:tc>
          <w:tcPr>
            <w:tcW w:w="1191" w:type="dxa"/>
            <w:vAlign w:val="center"/>
          </w:tcPr>
          <w:p w14:paraId="23042B56">
            <w:pPr>
              <w:pStyle w:val="23"/>
              <w:rPr>
                <w:rFonts w:ascii="Times New Roman" w:hAnsi="Times New Roman" w:eastAsia="宋体" w:cs="Times New Roman"/>
                <w:sz w:val="20"/>
                <w:szCs w:val="20"/>
              </w:rPr>
            </w:pPr>
            <w:r>
              <w:rPr>
                <w:rFonts w:hint="eastAsia" w:ascii="Times New Roman" w:hAnsi="Times New Roman" w:eastAsia="宋体" w:cs="Times New Roman"/>
                <w:sz w:val="20"/>
                <w:szCs w:val="20"/>
              </w:rPr>
              <w:t>/</w:t>
            </w:r>
          </w:p>
        </w:tc>
        <w:tc>
          <w:tcPr>
            <w:tcW w:w="4416" w:type="dxa"/>
            <w:vAlign w:val="center"/>
          </w:tcPr>
          <w:p w14:paraId="607286D0">
            <w:pPr>
              <w:pStyle w:val="23"/>
              <w:jc w:val="left"/>
              <w:rPr>
                <w:rFonts w:ascii="Times New Roman" w:hAnsi="Times New Roman" w:eastAsia="宋体" w:cs="Times New Roman"/>
                <w:sz w:val="20"/>
                <w:szCs w:val="20"/>
              </w:rPr>
            </w:pPr>
            <w:r>
              <w:rPr>
                <w:rFonts w:ascii="Times New Roman" w:hAnsi="Times New Roman" w:eastAsia="宋体" w:cs="Times New Roman"/>
                <w:sz w:val="20"/>
                <w:szCs w:val="20"/>
              </w:rPr>
              <w:t>污染物和</w:t>
            </w:r>
            <w:r>
              <w:rPr>
                <w:rFonts w:hint="eastAsia" w:ascii="Times New Roman" w:hAnsi="Times New Roman" w:eastAsia="宋体" w:cs="Times New Roman"/>
                <w:sz w:val="20"/>
                <w:szCs w:val="20"/>
              </w:rPr>
              <w:t>温室气体排放水平高于行业先进值，需优化</w:t>
            </w:r>
          </w:p>
        </w:tc>
      </w:tr>
      <w:tr w14:paraId="426B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52879837">
            <w:pPr>
              <w:pStyle w:val="23"/>
              <w:rPr>
                <w:rFonts w:ascii="Times New Roman" w:hAnsi="Times New Roman" w:eastAsia="宋体" w:cs="Times New Roman"/>
                <w:sz w:val="20"/>
                <w:szCs w:val="20"/>
              </w:rPr>
            </w:pPr>
            <w:r>
              <w:rPr>
                <w:rFonts w:hint="eastAsia" w:ascii="Times New Roman" w:hAnsi="Times New Roman" w:eastAsia="宋体" w:cs="Times New Roman"/>
                <w:sz w:val="20"/>
                <w:szCs w:val="20"/>
              </w:rPr>
              <w:t>“一增一减”</w:t>
            </w:r>
          </w:p>
        </w:tc>
        <w:tc>
          <w:tcPr>
            <w:tcW w:w="877" w:type="dxa"/>
            <w:vAlign w:val="center"/>
          </w:tcPr>
          <w:p w14:paraId="60FE78AC">
            <w:pPr>
              <w:pStyle w:val="23"/>
              <w:rPr>
                <w:rFonts w:ascii="Times New Roman" w:hAnsi="Times New Roman" w:eastAsia="宋体" w:cs="Times New Roman"/>
                <w:sz w:val="20"/>
                <w:szCs w:val="20"/>
              </w:rPr>
            </w:pPr>
            <w:r>
              <w:rPr>
                <w:rFonts w:hint="eastAsia" w:ascii="Times New Roman" w:hAnsi="Times New Roman" w:eastAsia="宋体" w:cs="Times New Roman"/>
                <w:sz w:val="20"/>
                <w:szCs w:val="20"/>
                <w:lang w:eastAsia="zh-CN"/>
              </w:rPr>
              <w:t>&gt;</w:t>
            </w:r>
            <w:r>
              <w:rPr>
                <w:rFonts w:ascii="Times New Roman" w:hAnsi="Times New Roman" w:eastAsia="宋体" w:cs="Times New Roman"/>
                <w:sz w:val="20"/>
                <w:szCs w:val="20"/>
              </w:rPr>
              <w:t>0</w:t>
            </w:r>
          </w:p>
        </w:tc>
        <w:tc>
          <w:tcPr>
            <w:tcW w:w="783" w:type="dxa"/>
            <w:vAlign w:val="center"/>
          </w:tcPr>
          <w:p w14:paraId="6643F192">
            <w:pPr>
              <w:pStyle w:val="23"/>
              <w:rPr>
                <w:rFonts w:ascii="Times New Roman" w:hAnsi="Times New Roman" w:eastAsia="宋体" w:cs="Times New Roman"/>
                <w:sz w:val="20"/>
                <w:szCs w:val="20"/>
              </w:rPr>
            </w:pPr>
            <w:r>
              <w:rPr>
                <w:rFonts w:hint="default" w:ascii="Times New Roman" w:hAnsi="Times New Roman" w:eastAsia="宋体" w:cs="Times New Roman"/>
                <w:sz w:val="20"/>
                <w:szCs w:val="20"/>
              </w:rPr>
              <w:t>&lt;</w:t>
            </w:r>
            <w:r>
              <w:rPr>
                <w:rFonts w:ascii="Times New Roman" w:hAnsi="Times New Roman" w:eastAsia="宋体" w:cs="Times New Roman"/>
                <w:sz w:val="20"/>
                <w:szCs w:val="20"/>
              </w:rPr>
              <w:t>0</w:t>
            </w:r>
          </w:p>
        </w:tc>
        <w:tc>
          <w:tcPr>
            <w:tcW w:w="1191" w:type="dxa"/>
            <w:vAlign w:val="center"/>
          </w:tcPr>
          <w:p w14:paraId="2C417576">
            <w:pPr>
              <w:pStyle w:val="23"/>
              <w:rPr>
                <w:rFonts w:ascii="Times New Roman" w:hAnsi="Times New Roman" w:eastAsia="宋体" w:cs="Times New Roman"/>
                <w:sz w:val="20"/>
                <w:szCs w:val="20"/>
              </w:rPr>
            </w:pPr>
            <w:r>
              <w:rPr>
                <w:rFonts w:hint="eastAsia" w:ascii="Times New Roman" w:hAnsi="Times New Roman" w:eastAsia="宋体" w:cs="Times New Roman"/>
                <w:sz w:val="20"/>
                <w:szCs w:val="20"/>
                <w:lang w:eastAsia="zh-CN"/>
              </w:rPr>
              <w:t>(</w:t>
            </w:r>
            <w:r>
              <w:rPr>
                <w:rFonts w:ascii="Times New Roman" w:hAnsi="Times New Roman" w:eastAsia="宋体" w:cs="Times New Roman"/>
                <w:sz w:val="20"/>
                <w:szCs w:val="20"/>
              </w:rPr>
              <w:t>-</w:t>
            </w:r>
            <w:r>
              <w:rPr>
                <w:rFonts w:hint="eastAsia" w:ascii="Times New Roman" w:hAnsi="Times New Roman" w:eastAsia="宋体" w:cs="Times New Roman"/>
                <w:sz w:val="20"/>
                <w:szCs w:val="20"/>
              </w:rPr>
              <w:t>1</w:t>
            </w:r>
            <w:r>
              <w:rPr>
                <w:rFonts w:hint="eastAsia" w:ascii="Times New Roman" w:hAnsi="Times New Roman" w:eastAsia="宋体" w:cs="Times New Roman"/>
                <w:sz w:val="20"/>
                <w:szCs w:val="20"/>
                <w:lang w:eastAsia="zh-CN"/>
              </w:rPr>
              <w:t>,</w:t>
            </w:r>
            <w:r>
              <w:rPr>
                <w:rFonts w:ascii="Times New Roman" w:hAnsi="Times New Roman" w:eastAsia="宋体" w:cs="Times New Roman"/>
                <w:sz w:val="20"/>
                <w:szCs w:val="20"/>
              </w:rPr>
              <w:t>0</w:t>
            </w:r>
            <w:r>
              <w:rPr>
                <w:rFonts w:hint="eastAsia" w:ascii="Times New Roman" w:hAnsi="Times New Roman" w:eastAsia="宋体" w:cs="Times New Roman"/>
                <w:sz w:val="20"/>
                <w:szCs w:val="20"/>
                <w:lang w:eastAsia="zh-CN"/>
              </w:rPr>
              <w:t>)</w:t>
            </w:r>
          </w:p>
        </w:tc>
        <w:tc>
          <w:tcPr>
            <w:tcW w:w="4416" w:type="dxa"/>
            <w:vAlign w:val="center"/>
          </w:tcPr>
          <w:p w14:paraId="78C991C0">
            <w:pPr>
              <w:pStyle w:val="23"/>
              <w:jc w:val="left"/>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污染物</w:t>
            </w:r>
            <w:r>
              <w:rPr>
                <w:rFonts w:hint="eastAsia" w:ascii="Times New Roman" w:hAnsi="Times New Roman" w:eastAsia="宋体" w:cs="Times New Roman"/>
                <w:color w:val="000000" w:themeColor="text1"/>
                <w:sz w:val="20"/>
                <w:szCs w:val="20"/>
                <w14:textFill>
                  <w14:solidFill>
                    <w14:schemeClr w14:val="tx1"/>
                  </w14:solidFill>
                </w14:textFill>
              </w:rPr>
              <w:t>排放水平高于行业先进值</w:t>
            </w:r>
            <w:r>
              <w:rPr>
                <w:rFonts w:ascii="Times New Roman" w:hAnsi="Times New Roman" w:eastAsia="宋体" w:cs="Times New Roman"/>
                <w:color w:val="000000" w:themeColor="text1"/>
                <w:sz w:val="20"/>
                <w:szCs w:val="20"/>
                <w14:textFill>
                  <w14:solidFill>
                    <w14:schemeClr w14:val="tx1"/>
                  </w14:solidFill>
                </w14:textFill>
              </w:rPr>
              <w:t>，</w:t>
            </w:r>
            <w:r>
              <w:rPr>
                <w:rFonts w:hint="eastAsia" w:ascii="Times New Roman" w:hAnsi="Times New Roman" w:eastAsia="宋体" w:cs="Times New Roman"/>
                <w:sz w:val="20"/>
                <w:szCs w:val="20"/>
              </w:rPr>
              <w:t>温室气体</w:t>
            </w:r>
            <w:r>
              <w:rPr>
                <w:rFonts w:hint="eastAsia" w:ascii="Times New Roman" w:hAnsi="Times New Roman" w:eastAsia="宋体" w:cs="Times New Roman"/>
                <w:color w:val="000000" w:themeColor="text1"/>
                <w:sz w:val="20"/>
                <w:szCs w:val="20"/>
                <w14:textFill>
                  <w14:solidFill>
                    <w14:schemeClr w14:val="tx1"/>
                  </w14:solidFill>
                </w14:textFill>
              </w:rPr>
              <w:t>排放水平优于行业先进值，且污染物增幅小于碳减幅</w:t>
            </w:r>
            <w:r>
              <w:rPr>
                <w:rFonts w:hint="eastAsia" w:ascii="Times New Roman" w:hAnsi="Times New Roman" w:eastAsia="宋体" w:cs="Times New Roman"/>
                <w:sz w:val="20"/>
                <w:szCs w:val="20"/>
              </w:rPr>
              <w:t>，可接受</w:t>
            </w:r>
          </w:p>
        </w:tc>
      </w:tr>
      <w:tr w14:paraId="7EDF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29" w:type="dxa"/>
            <w:vMerge w:val="continue"/>
            <w:vAlign w:val="center"/>
          </w:tcPr>
          <w:p w14:paraId="23148F9E">
            <w:pPr>
              <w:pStyle w:val="23"/>
              <w:rPr>
                <w:rFonts w:ascii="Times New Roman" w:hAnsi="Times New Roman" w:eastAsia="宋体" w:cs="Times New Roman"/>
                <w:sz w:val="20"/>
                <w:szCs w:val="20"/>
              </w:rPr>
            </w:pPr>
          </w:p>
        </w:tc>
        <w:tc>
          <w:tcPr>
            <w:tcW w:w="877" w:type="dxa"/>
            <w:shd w:val="clear" w:color="auto" w:fill="auto"/>
            <w:vAlign w:val="center"/>
          </w:tcPr>
          <w:p w14:paraId="19518C13">
            <w:pPr>
              <w:pStyle w:val="23"/>
              <w:rPr>
                <w:rFonts w:ascii="Times New Roman" w:hAnsi="Times New Roman" w:eastAsia="宋体" w:cs="Times New Roman"/>
                <w:sz w:val="20"/>
                <w:szCs w:val="20"/>
              </w:rPr>
            </w:pPr>
            <w:r>
              <w:rPr>
                <w:rFonts w:hint="eastAsia" w:ascii="Times New Roman" w:hAnsi="Times New Roman" w:eastAsia="宋体" w:cs="Times New Roman"/>
                <w:sz w:val="20"/>
                <w:szCs w:val="20"/>
                <w:lang w:eastAsia="zh-CN"/>
              </w:rPr>
              <w:t>&gt;</w:t>
            </w:r>
            <w:r>
              <w:rPr>
                <w:rFonts w:ascii="Times New Roman" w:hAnsi="Times New Roman" w:eastAsia="宋体" w:cs="Times New Roman"/>
                <w:sz w:val="20"/>
                <w:szCs w:val="20"/>
              </w:rPr>
              <w:t>0</w:t>
            </w:r>
          </w:p>
        </w:tc>
        <w:tc>
          <w:tcPr>
            <w:tcW w:w="783" w:type="dxa"/>
            <w:shd w:val="clear" w:color="auto" w:fill="auto"/>
            <w:vAlign w:val="center"/>
          </w:tcPr>
          <w:p w14:paraId="16D2F54C">
            <w:pPr>
              <w:pStyle w:val="23"/>
              <w:rPr>
                <w:rFonts w:ascii="Times New Roman" w:hAnsi="Times New Roman" w:eastAsia="宋体" w:cs="Times New Roman"/>
                <w:sz w:val="20"/>
                <w:szCs w:val="20"/>
              </w:rPr>
            </w:pPr>
            <w:r>
              <w:rPr>
                <w:rFonts w:hint="default" w:ascii="Times New Roman" w:hAnsi="Times New Roman" w:eastAsia="宋体" w:cs="Times New Roman"/>
                <w:sz w:val="20"/>
                <w:szCs w:val="20"/>
              </w:rPr>
              <w:t>&lt;</w:t>
            </w:r>
            <w:r>
              <w:rPr>
                <w:rFonts w:ascii="Times New Roman" w:hAnsi="Times New Roman" w:eastAsia="宋体" w:cs="Times New Roman"/>
                <w:sz w:val="20"/>
                <w:szCs w:val="20"/>
              </w:rPr>
              <w:t>0</w:t>
            </w:r>
          </w:p>
        </w:tc>
        <w:tc>
          <w:tcPr>
            <w:tcW w:w="1191" w:type="dxa"/>
            <w:vAlign w:val="center"/>
          </w:tcPr>
          <w:p w14:paraId="24F5789F">
            <w:pPr>
              <w:pStyle w:val="23"/>
              <w:rPr>
                <w:rFonts w:ascii="Times New Roman" w:hAnsi="Times New Roman" w:eastAsia="宋体" w:cs="Times New Roman"/>
                <w:sz w:val="20"/>
                <w:szCs w:val="20"/>
              </w:rPr>
            </w:pPr>
            <w:r>
              <w:rPr>
                <w:rFonts w:hint="eastAsia" w:ascii="Times New Roman" w:hAnsi="Times New Roman" w:eastAsia="宋体" w:cs="Times New Roman"/>
                <w:sz w:val="20"/>
                <w:szCs w:val="20"/>
              </w:rPr>
              <w:t>（</w:t>
            </w:r>
            <w:r>
              <w:rPr>
                <w:rFonts w:ascii="Times New Roman" w:hAnsi="Times New Roman" w:eastAsia="宋体" w:cs="Times New Roman"/>
                <w:sz w:val="20"/>
                <w:szCs w:val="20"/>
              </w:rPr>
              <w:t>-∞，</w:t>
            </w:r>
            <w:r>
              <w:rPr>
                <w:rFonts w:hint="eastAsia" w:ascii="Times New Roman" w:hAnsi="Times New Roman" w:eastAsia="宋体" w:cs="Times New Roman"/>
                <w:sz w:val="20"/>
                <w:szCs w:val="20"/>
              </w:rPr>
              <w:t>-1]</w:t>
            </w:r>
          </w:p>
        </w:tc>
        <w:tc>
          <w:tcPr>
            <w:tcW w:w="4416" w:type="dxa"/>
            <w:vAlign w:val="center"/>
          </w:tcPr>
          <w:p w14:paraId="3A758B00">
            <w:pPr>
              <w:pStyle w:val="23"/>
              <w:jc w:val="left"/>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污染物</w:t>
            </w:r>
            <w:r>
              <w:rPr>
                <w:rFonts w:hint="eastAsia" w:ascii="Times New Roman" w:hAnsi="Times New Roman" w:eastAsia="宋体" w:cs="Times New Roman"/>
                <w:color w:val="000000" w:themeColor="text1"/>
                <w:sz w:val="20"/>
                <w:szCs w:val="20"/>
                <w14:textFill>
                  <w14:solidFill>
                    <w14:schemeClr w14:val="tx1"/>
                  </w14:solidFill>
                </w14:textFill>
              </w:rPr>
              <w:t>排放水平高于行业先进值</w:t>
            </w:r>
            <w:r>
              <w:rPr>
                <w:rFonts w:ascii="Times New Roman" w:hAnsi="Times New Roman" w:eastAsia="宋体" w:cs="Times New Roman"/>
                <w:color w:val="000000" w:themeColor="text1"/>
                <w:sz w:val="20"/>
                <w:szCs w:val="20"/>
                <w14:textFill>
                  <w14:solidFill>
                    <w14:schemeClr w14:val="tx1"/>
                  </w14:solidFill>
                </w14:textFill>
              </w:rPr>
              <w:t>，</w:t>
            </w:r>
            <w:r>
              <w:rPr>
                <w:rFonts w:hint="eastAsia" w:ascii="Times New Roman" w:hAnsi="Times New Roman" w:eastAsia="宋体" w:cs="Times New Roman"/>
                <w:sz w:val="20"/>
                <w:szCs w:val="20"/>
              </w:rPr>
              <w:t>温室气体</w:t>
            </w:r>
            <w:r>
              <w:rPr>
                <w:rFonts w:hint="eastAsia" w:ascii="Times New Roman" w:hAnsi="Times New Roman" w:eastAsia="宋体" w:cs="Times New Roman"/>
                <w:color w:val="000000" w:themeColor="text1"/>
                <w:sz w:val="20"/>
                <w:szCs w:val="20"/>
                <w14:textFill>
                  <w14:solidFill>
                    <w14:schemeClr w14:val="tx1"/>
                  </w14:solidFill>
                </w14:textFill>
              </w:rPr>
              <w:t>排放水平优于行业先进值，且污染物增幅大于碳减幅，需优化</w:t>
            </w:r>
          </w:p>
        </w:tc>
      </w:tr>
      <w:tr w14:paraId="5D77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3B1D25D2">
            <w:pPr>
              <w:pStyle w:val="23"/>
              <w:rPr>
                <w:rFonts w:ascii="Times New Roman" w:hAnsi="Times New Roman" w:eastAsia="宋体" w:cs="Times New Roman"/>
                <w:sz w:val="20"/>
                <w:szCs w:val="20"/>
              </w:rPr>
            </w:pPr>
          </w:p>
        </w:tc>
        <w:tc>
          <w:tcPr>
            <w:tcW w:w="877" w:type="dxa"/>
            <w:vAlign w:val="center"/>
          </w:tcPr>
          <w:p w14:paraId="1930B802">
            <w:pPr>
              <w:pStyle w:val="23"/>
              <w:rPr>
                <w:rFonts w:ascii="Times New Roman" w:hAnsi="Times New Roman" w:eastAsia="宋体" w:cs="Times New Roman"/>
                <w:sz w:val="20"/>
                <w:szCs w:val="20"/>
              </w:rPr>
            </w:pPr>
            <w:r>
              <w:rPr>
                <w:rFonts w:hint="default" w:ascii="Times New Roman" w:hAnsi="Times New Roman" w:eastAsia="宋体" w:cs="Times New Roman"/>
                <w:sz w:val="20"/>
                <w:szCs w:val="20"/>
              </w:rPr>
              <w:t>&lt;</w:t>
            </w:r>
            <w:r>
              <w:rPr>
                <w:rFonts w:ascii="Times New Roman" w:hAnsi="Times New Roman" w:eastAsia="宋体" w:cs="Times New Roman"/>
                <w:sz w:val="20"/>
                <w:szCs w:val="20"/>
              </w:rPr>
              <w:t>0</w:t>
            </w:r>
          </w:p>
        </w:tc>
        <w:tc>
          <w:tcPr>
            <w:tcW w:w="783" w:type="dxa"/>
            <w:vAlign w:val="center"/>
          </w:tcPr>
          <w:p w14:paraId="565A7D9A">
            <w:pPr>
              <w:pStyle w:val="23"/>
              <w:rPr>
                <w:rFonts w:ascii="Times New Roman" w:hAnsi="Times New Roman" w:eastAsia="宋体" w:cs="Times New Roman"/>
                <w:sz w:val="20"/>
                <w:szCs w:val="20"/>
              </w:rPr>
            </w:pPr>
            <w:r>
              <w:rPr>
                <w:rFonts w:hint="default" w:ascii="Times New Roman" w:hAnsi="Times New Roman" w:eastAsia="宋体" w:cs="Times New Roman"/>
                <w:sz w:val="20"/>
                <w:szCs w:val="20"/>
              </w:rPr>
              <w:t>&gt;</w:t>
            </w:r>
            <w:r>
              <w:rPr>
                <w:rFonts w:ascii="Times New Roman" w:hAnsi="Times New Roman" w:eastAsia="宋体" w:cs="Times New Roman"/>
                <w:sz w:val="20"/>
                <w:szCs w:val="20"/>
              </w:rPr>
              <w:t>0</w:t>
            </w:r>
          </w:p>
        </w:tc>
        <w:tc>
          <w:tcPr>
            <w:tcW w:w="1191" w:type="dxa"/>
            <w:vAlign w:val="center"/>
          </w:tcPr>
          <w:p w14:paraId="1F1A0743">
            <w:pPr>
              <w:pStyle w:val="23"/>
              <w:rPr>
                <w:rFonts w:ascii="Times New Roman" w:hAnsi="Times New Roman" w:eastAsia="宋体" w:cs="Times New Roman"/>
                <w:sz w:val="20"/>
                <w:szCs w:val="20"/>
              </w:rPr>
            </w:pPr>
            <w:r>
              <w:rPr>
                <w:rFonts w:ascii="Times New Roman" w:hAnsi="Times New Roman" w:eastAsia="宋体" w:cs="Times New Roman"/>
                <w:sz w:val="20"/>
                <w:szCs w:val="20"/>
              </w:rPr>
              <w:t>（-∞，</w:t>
            </w:r>
            <w:r>
              <w:rPr>
                <w:rFonts w:hint="eastAsia" w:ascii="Times New Roman" w:hAnsi="Times New Roman" w:eastAsia="宋体" w:cs="Times New Roman"/>
                <w:sz w:val="20"/>
                <w:szCs w:val="20"/>
              </w:rPr>
              <w:t>-1</w:t>
            </w:r>
            <w:r>
              <w:rPr>
                <w:rFonts w:ascii="Times New Roman" w:hAnsi="Times New Roman" w:eastAsia="宋体" w:cs="Times New Roman"/>
                <w:sz w:val="20"/>
                <w:szCs w:val="20"/>
              </w:rPr>
              <w:t>）</w:t>
            </w:r>
          </w:p>
        </w:tc>
        <w:tc>
          <w:tcPr>
            <w:tcW w:w="4416" w:type="dxa"/>
            <w:vAlign w:val="center"/>
          </w:tcPr>
          <w:p w14:paraId="0220CBC0">
            <w:pPr>
              <w:pStyle w:val="23"/>
              <w:jc w:val="left"/>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污染物</w:t>
            </w:r>
            <w:r>
              <w:rPr>
                <w:rFonts w:hint="eastAsia" w:ascii="Times New Roman" w:hAnsi="Times New Roman" w:eastAsia="宋体" w:cs="Times New Roman"/>
                <w:color w:val="000000" w:themeColor="text1"/>
                <w:sz w:val="20"/>
                <w:szCs w:val="20"/>
                <w14:textFill>
                  <w14:solidFill>
                    <w14:schemeClr w14:val="tx1"/>
                  </w14:solidFill>
                </w14:textFill>
              </w:rPr>
              <w:t>排放水平优于行业先进值</w:t>
            </w:r>
            <w:r>
              <w:rPr>
                <w:rFonts w:ascii="Times New Roman" w:hAnsi="Times New Roman" w:eastAsia="宋体" w:cs="Times New Roman"/>
                <w:color w:val="000000" w:themeColor="text1"/>
                <w:sz w:val="20"/>
                <w:szCs w:val="20"/>
                <w14:textFill>
                  <w14:solidFill>
                    <w14:schemeClr w14:val="tx1"/>
                  </w14:solidFill>
                </w14:textFill>
              </w:rPr>
              <w:t>，</w:t>
            </w:r>
            <w:r>
              <w:rPr>
                <w:rFonts w:hint="eastAsia" w:ascii="Times New Roman" w:hAnsi="Times New Roman" w:eastAsia="宋体" w:cs="Times New Roman"/>
                <w:sz w:val="20"/>
                <w:szCs w:val="20"/>
              </w:rPr>
              <w:t>温室气体</w:t>
            </w:r>
            <w:r>
              <w:rPr>
                <w:rFonts w:hint="eastAsia" w:ascii="Times New Roman" w:hAnsi="Times New Roman" w:eastAsia="宋体" w:cs="Times New Roman"/>
                <w:color w:val="000000" w:themeColor="text1"/>
                <w:sz w:val="20"/>
                <w:szCs w:val="20"/>
                <w14:textFill>
                  <w14:solidFill>
                    <w14:schemeClr w14:val="tx1"/>
                  </w14:solidFill>
                </w14:textFill>
              </w:rPr>
              <w:t>排放水平高于行业先进值，且污染物减幅大于碳增幅</w:t>
            </w:r>
            <w:r>
              <w:rPr>
                <w:rFonts w:hint="eastAsia" w:ascii="Times New Roman" w:hAnsi="Times New Roman" w:eastAsia="宋体" w:cs="Times New Roman"/>
                <w:sz w:val="20"/>
                <w:szCs w:val="20"/>
              </w:rPr>
              <w:t>，可接受</w:t>
            </w:r>
          </w:p>
        </w:tc>
      </w:tr>
      <w:tr w14:paraId="15AA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2F337E84">
            <w:pPr>
              <w:pStyle w:val="23"/>
              <w:rPr>
                <w:rFonts w:ascii="Times New Roman" w:hAnsi="Times New Roman" w:eastAsia="宋体" w:cs="Times New Roman"/>
                <w:sz w:val="20"/>
                <w:szCs w:val="20"/>
              </w:rPr>
            </w:pPr>
          </w:p>
        </w:tc>
        <w:tc>
          <w:tcPr>
            <w:tcW w:w="877" w:type="dxa"/>
            <w:shd w:val="clear" w:color="auto" w:fill="auto"/>
            <w:vAlign w:val="center"/>
          </w:tcPr>
          <w:p w14:paraId="5BE84AD3">
            <w:pPr>
              <w:pStyle w:val="23"/>
              <w:rPr>
                <w:rFonts w:ascii="Times New Roman" w:hAnsi="Times New Roman" w:eastAsia="宋体" w:cs="Times New Roman"/>
                <w:sz w:val="20"/>
                <w:szCs w:val="20"/>
              </w:rPr>
            </w:pPr>
            <w:r>
              <w:rPr>
                <w:rFonts w:hint="eastAsia" w:ascii="Times New Roman" w:hAnsi="Times New Roman" w:eastAsia="宋体" w:cs="Times New Roman"/>
                <w:sz w:val="20"/>
                <w:szCs w:val="20"/>
                <w:lang w:eastAsia="zh-CN"/>
              </w:rPr>
              <w:t>&lt;</w:t>
            </w:r>
            <w:r>
              <w:rPr>
                <w:rFonts w:ascii="Times New Roman" w:hAnsi="Times New Roman" w:eastAsia="宋体" w:cs="Times New Roman"/>
                <w:sz w:val="20"/>
                <w:szCs w:val="20"/>
              </w:rPr>
              <w:t>0</w:t>
            </w:r>
          </w:p>
        </w:tc>
        <w:tc>
          <w:tcPr>
            <w:tcW w:w="783" w:type="dxa"/>
            <w:shd w:val="clear" w:color="auto" w:fill="auto"/>
            <w:vAlign w:val="center"/>
          </w:tcPr>
          <w:p w14:paraId="5B3DF0F8">
            <w:pPr>
              <w:pStyle w:val="23"/>
              <w:rPr>
                <w:rFonts w:ascii="Times New Roman" w:hAnsi="Times New Roman" w:eastAsia="宋体" w:cs="Times New Roman"/>
                <w:sz w:val="20"/>
                <w:szCs w:val="20"/>
              </w:rPr>
            </w:pPr>
            <w:r>
              <w:rPr>
                <w:rFonts w:hint="default" w:ascii="Times New Roman" w:hAnsi="Times New Roman" w:eastAsia="宋体" w:cs="Times New Roman"/>
                <w:sz w:val="20"/>
                <w:szCs w:val="20"/>
              </w:rPr>
              <w:t>&gt;</w:t>
            </w:r>
            <w:r>
              <w:rPr>
                <w:rFonts w:ascii="Times New Roman" w:hAnsi="Times New Roman" w:eastAsia="宋体" w:cs="Times New Roman"/>
                <w:sz w:val="20"/>
                <w:szCs w:val="20"/>
              </w:rPr>
              <w:t>0</w:t>
            </w:r>
          </w:p>
        </w:tc>
        <w:tc>
          <w:tcPr>
            <w:tcW w:w="1191" w:type="dxa"/>
            <w:vAlign w:val="center"/>
          </w:tcPr>
          <w:p w14:paraId="267A1D69">
            <w:pPr>
              <w:pStyle w:val="23"/>
              <w:rPr>
                <w:rFonts w:ascii="Times New Roman" w:hAnsi="Times New Roman" w:eastAsia="宋体" w:cs="Times New Roman"/>
                <w:sz w:val="20"/>
                <w:szCs w:val="20"/>
              </w:rPr>
            </w:pPr>
            <w:r>
              <w:rPr>
                <w:rFonts w:hint="eastAsia" w:ascii="Times New Roman" w:hAnsi="Times New Roman" w:eastAsia="宋体" w:cs="Times New Roman"/>
                <w:sz w:val="20"/>
                <w:szCs w:val="20"/>
              </w:rPr>
              <w:t>[</w:t>
            </w:r>
            <w:r>
              <w:rPr>
                <w:rFonts w:ascii="Times New Roman" w:hAnsi="Times New Roman" w:eastAsia="宋体" w:cs="Times New Roman"/>
                <w:sz w:val="20"/>
                <w:szCs w:val="20"/>
              </w:rPr>
              <w:t>-</w:t>
            </w:r>
            <w:r>
              <w:rPr>
                <w:rFonts w:hint="eastAsia" w:ascii="Times New Roman" w:hAnsi="Times New Roman" w:eastAsia="宋体" w:cs="Times New Roman"/>
                <w:sz w:val="20"/>
                <w:szCs w:val="20"/>
              </w:rPr>
              <w:t>1</w:t>
            </w:r>
            <w:r>
              <w:rPr>
                <w:rFonts w:ascii="Times New Roman" w:hAnsi="Times New Roman" w:eastAsia="宋体" w:cs="Times New Roman"/>
                <w:sz w:val="20"/>
                <w:szCs w:val="20"/>
              </w:rPr>
              <w:t>，0）</w:t>
            </w:r>
          </w:p>
        </w:tc>
        <w:tc>
          <w:tcPr>
            <w:tcW w:w="4416" w:type="dxa"/>
            <w:vAlign w:val="center"/>
          </w:tcPr>
          <w:p w14:paraId="06EC5B83">
            <w:pPr>
              <w:pStyle w:val="23"/>
              <w:jc w:val="left"/>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污染物</w:t>
            </w:r>
            <w:r>
              <w:rPr>
                <w:rFonts w:hint="eastAsia" w:ascii="Times New Roman" w:hAnsi="Times New Roman" w:eastAsia="宋体" w:cs="Times New Roman"/>
                <w:color w:val="000000" w:themeColor="text1"/>
                <w:sz w:val="20"/>
                <w:szCs w:val="20"/>
                <w14:textFill>
                  <w14:solidFill>
                    <w14:schemeClr w14:val="tx1"/>
                  </w14:solidFill>
                </w14:textFill>
              </w:rPr>
              <w:t>排放水平优于行业先进值</w:t>
            </w:r>
            <w:r>
              <w:rPr>
                <w:rFonts w:ascii="Times New Roman" w:hAnsi="Times New Roman" w:eastAsia="宋体" w:cs="Times New Roman"/>
                <w:color w:val="000000" w:themeColor="text1"/>
                <w:sz w:val="20"/>
                <w:szCs w:val="20"/>
                <w14:textFill>
                  <w14:solidFill>
                    <w14:schemeClr w14:val="tx1"/>
                  </w14:solidFill>
                </w14:textFill>
              </w:rPr>
              <w:t>，</w:t>
            </w:r>
            <w:r>
              <w:rPr>
                <w:rFonts w:hint="eastAsia" w:ascii="Times New Roman" w:hAnsi="Times New Roman" w:eastAsia="宋体" w:cs="Times New Roman"/>
                <w:sz w:val="20"/>
                <w:szCs w:val="20"/>
              </w:rPr>
              <w:t>温室气体</w:t>
            </w:r>
            <w:r>
              <w:rPr>
                <w:rFonts w:hint="eastAsia" w:ascii="Times New Roman" w:hAnsi="Times New Roman" w:eastAsia="宋体" w:cs="Times New Roman"/>
                <w:color w:val="000000" w:themeColor="text1"/>
                <w:sz w:val="20"/>
                <w:szCs w:val="20"/>
                <w14:textFill>
                  <w14:solidFill>
                    <w14:schemeClr w14:val="tx1"/>
                  </w14:solidFill>
                </w14:textFill>
              </w:rPr>
              <w:t>排放水平高于行业先进值，且污染物减幅小于碳增幅，需优化</w:t>
            </w:r>
          </w:p>
        </w:tc>
      </w:tr>
    </w:tbl>
    <w:p w14:paraId="13157ABB">
      <w:pPr>
        <w:keepNext w:val="0"/>
        <w:keepLines w:val="0"/>
        <w:pageBreakBefore w:val="0"/>
        <w:widowControl/>
        <w:kinsoku/>
        <w:wordWrap/>
        <w:overflowPunct/>
        <w:topLinePunct w:val="0"/>
        <w:autoSpaceDE/>
        <w:autoSpaceDN/>
        <w:bidi w:val="0"/>
        <w:adjustRightInd w:val="0"/>
        <w:snapToGrid/>
        <w:spacing w:after="0" w:afterLines="-2147483648" w:line="360" w:lineRule="exact"/>
        <w:ind w:left="0" w:firstLine="420"/>
        <w:textAlignment w:val="auto"/>
        <w:outlineLvl w:val="9"/>
        <w:rPr>
          <w:rFonts w:hint="eastAsia" w:ascii="Times New Roman" w:hAnsi="Times New Roman" w:eastAsia="宋体" w:cs="Times New Roman"/>
          <w:b w:val="0"/>
          <w:bCs w:val="0"/>
          <w:kern w:val="2"/>
          <w:sz w:val="21"/>
          <w:szCs w:val="21"/>
          <w:lang w:eastAsia="zh" w:bidi="ar"/>
          <w:woUserID w:val="0"/>
        </w:rPr>
      </w:pPr>
      <w:r>
        <w:rPr>
          <w:rFonts w:hint="eastAsia" w:ascii="Times New Roman" w:hAnsi="Times New Roman" w:eastAsia="宋体" w:cs="Times New Roman"/>
          <w:b w:val="0"/>
          <w:bCs w:val="0"/>
          <w:kern w:val="2"/>
          <w:sz w:val="21"/>
          <w:szCs w:val="21"/>
          <w:lang w:val="en-US" w:eastAsia="zh" w:bidi="ar"/>
          <w:woUserID w:val="0"/>
        </w:rPr>
        <w:t>对于不满足减污降碳协同度要求的项目，</w:t>
      </w:r>
      <w:r>
        <w:rPr>
          <w:rFonts w:hint="eastAsia" w:ascii="Times New Roman" w:hAnsi="Times New Roman" w:eastAsia="宋体" w:cs="Times New Roman"/>
          <w:b w:val="0"/>
          <w:bCs w:val="0"/>
          <w:kern w:val="2"/>
          <w:sz w:val="21"/>
          <w:szCs w:val="21"/>
          <w:lang w:eastAsia="zh" w:bidi="ar"/>
          <w:woUserID w:val="0"/>
        </w:rPr>
        <w:t>应当提出优化调整措施</w:t>
      </w:r>
      <w:r>
        <w:rPr>
          <w:rFonts w:hint="eastAsia" w:ascii="Times New Roman" w:hAnsi="Times New Roman" w:eastAsia="宋体" w:cs="Times New Roman"/>
          <w:b w:val="0"/>
          <w:bCs w:val="0"/>
          <w:kern w:val="2"/>
          <w:sz w:val="21"/>
          <w:szCs w:val="21"/>
          <w:lang w:eastAsia="zh-CN" w:bidi="ar"/>
          <w:woUserID w:val="0"/>
        </w:rPr>
        <w:t>，</w:t>
      </w:r>
      <w:r>
        <w:rPr>
          <w:rFonts w:hint="eastAsia" w:ascii="Times New Roman" w:hAnsi="Times New Roman" w:eastAsia="宋体" w:cs="Times New Roman"/>
          <w:b w:val="0"/>
          <w:bCs w:val="0"/>
          <w:kern w:val="2"/>
          <w:sz w:val="21"/>
          <w:szCs w:val="21"/>
          <w:lang w:val="en-US" w:eastAsia="zh-CN" w:bidi="ar"/>
          <w:woUserID w:val="0"/>
        </w:rPr>
        <w:t>并</w:t>
      </w:r>
      <w:r>
        <w:rPr>
          <w:rFonts w:hint="eastAsia" w:ascii="Times New Roman" w:hAnsi="Times New Roman" w:eastAsia="宋体" w:cs="Times New Roman"/>
          <w:b w:val="0"/>
          <w:bCs w:val="0"/>
          <w:kern w:val="2"/>
          <w:sz w:val="21"/>
          <w:szCs w:val="21"/>
          <w:lang w:eastAsia="zh" w:bidi="ar"/>
          <w:woUserID w:val="0"/>
        </w:rPr>
        <w:t>对比分析优化后污染物和温室气体排放量变化情况。</w:t>
      </w:r>
    </w:p>
    <w:p w14:paraId="64EC6447">
      <w:pPr>
        <w:keepNext w:val="0"/>
        <w:keepLines w:val="0"/>
        <w:pageBreakBefore w:val="0"/>
        <w:widowControl/>
        <w:kinsoku/>
        <w:wordWrap/>
        <w:overflowPunct/>
        <w:topLinePunct w:val="0"/>
        <w:autoSpaceDE/>
        <w:autoSpaceDN/>
        <w:bidi w:val="0"/>
        <w:adjustRightInd w:val="0"/>
        <w:snapToGrid/>
        <w:spacing w:after="0" w:afterLines="-2147483648" w:line="360" w:lineRule="exact"/>
        <w:ind w:left="0" w:firstLine="420"/>
        <w:textAlignment w:val="auto"/>
        <w:outlineLvl w:val="9"/>
        <w:rPr>
          <w:rFonts w:hint="default" w:ascii="Times New Roman" w:hAnsi="Times New Roman" w:eastAsia="宋体" w:cs="Times New Roman"/>
          <w:spacing w:val="0"/>
          <w:sz w:val="21"/>
          <w:szCs w:val="21"/>
          <w:lang w:val="en-US" w:eastAsia="zh" w:bidi="ar"/>
        </w:rPr>
      </w:pPr>
    </w:p>
    <w:p w14:paraId="08116BE1">
      <w:pPr>
        <w:keepNext w:val="0"/>
        <w:keepLines w:val="0"/>
        <w:pageBreakBefore w:val="0"/>
        <w:widowControl w:val="0"/>
        <w:kinsoku/>
        <w:wordWrap/>
        <w:overflowPunct/>
        <w:topLinePunct w:val="0"/>
        <w:autoSpaceDE/>
        <w:autoSpaceDN/>
        <w:bidi w:val="0"/>
        <w:adjustRightInd/>
        <w:snapToGrid/>
        <w:spacing w:after="157" w:afterLines="50" w:line="240" w:lineRule="auto"/>
        <w:ind w:left="6"/>
        <w:textAlignment w:val="auto"/>
        <w:outlineLvl w:val="2"/>
        <w:rPr>
          <w:rFonts w:hint="eastAsia"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5.5 减污降碳协同控制措施可行性论证</w:t>
      </w:r>
    </w:p>
    <w:p w14:paraId="4C74738D">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p>
    <w:p w14:paraId="13366ADB">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5.5.1 协同减污降碳措施比选与可行性论证</w:t>
      </w:r>
    </w:p>
    <w:p w14:paraId="05290DCF">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从源头防控（工艺设计、设备选型、平面布置等）、过程控制、末端治理、回收利用等方面提出建设项目拟采取的温室气体控制技术措施和管理方案，并根据HJ 2.1关于污染治理措施方案选择的要求，开展基于协同减污降碳的废气、废水等污染防治与环境风险防控技术措施多方案比选工作，分析比选后采取温室气体控制措施的类型和工艺，并核算由此带来的污染物与温室气体排放变化情况，形成减污降碳协同措施清单，具体参照附录B。</w:t>
      </w:r>
    </w:p>
    <w:p w14:paraId="63EB7690">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5.5.2 碳污协同分析</w:t>
      </w:r>
    </w:p>
    <w:p w14:paraId="5C833BA4">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减污降碳协同性分析的主要目的在于推动建设项目在满足宏观控制要求的前提下，采用更为绿色低碳的主体工艺及污染防治装置、设施，评价技术路线见图3。按照附录D方法对项目开展碳污协同性分析，计算减污降碳协同度，开展基于碳污协同的废气、废水污染治理设施、固废处理设施等多方案比选。对于不满足减污降碳协同度要求的项目，应当提出优化调整措施。对比分析优化后拟采用的减污降碳措施及优化前后污染物和温室气体排放量的变化情况。</w:t>
      </w:r>
    </w:p>
    <w:p w14:paraId="7A9F5AF1">
      <w:pPr>
        <w:rPr>
          <w:rFonts w:hint="default"/>
          <w:lang w:val="en-US" w:eastAsia="zh-CN"/>
        </w:rPr>
      </w:pPr>
      <w:r>
        <w:rPr>
          <w:rFonts w:hint="default"/>
          <w:lang w:val="en-US" w:eastAsia="zh-CN"/>
        </w:rPr>
        <w:br w:type="page"/>
      </w:r>
    </w:p>
    <w:p w14:paraId="2A46A3F1">
      <w:pPr>
        <w:pStyle w:val="4"/>
        <w:spacing w:before="143" w:line="357" w:lineRule="auto"/>
        <w:ind w:firstLine="427"/>
        <w:jc w:val="both"/>
        <w:rPr>
          <w:rFonts w:hint="default"/>
          <w:lang w:val="en-US" w:eastAsia="zh-CN"/>
        </w:rPr>
      </w:pPr>
    </w:p>
    <w:p w14:paraId="200C1C03">
      <w:pPr>
        <w:pStyle w:val="4"/>
        <w:spacing w:before="143" w:line="357" w:lineRule="auto"/>
        <w:jc w:val="both"/>
        <w:rPr>
          <w:rFonts w:hint="default"/>
          <w:lang w:val="en-US" w:eastAsia="zh-CN"/>
        </w:rPr>
      </w:pPr>
    </w:p>
    <w:p w14:paraId="2C8D9933">
      <w:pPr>
        <w:pStyle w:val="4"/>
        <w:spacing w:before="143" w:line="357" w:lineRule="auto"/>
        <w:jc w:val="both"/>
        <w:rPr>
          <w:rFonts w:hint="default"/>
          <w:lang w:val="en-US" w:eastAsia="zh-CN"/>
        </w:rPr>
      </w:pPr>
    </w:p>
    <w:p w14:paraId="15AADA40">
      <w:pPr>
        <w:keepNext w:val="0"/>
        <w:keepLines w:val="0"/>
        <w:pageBreakBefore w:val="0"/>
        <w:widowControl w:val="0"/>
        <w:kinsoku/>
        <w:wordWrap/>
        <w:overflowPunct/>
        <w:topLinePunct w:val="0"/>
        <w:autoSpaceDE/>
        <w:autoSpaceDN/>
        <w:bidi w:val="0"/>
        <w:adjustRightInd/>
        <w:snapToGrid/>
        <w:spacing w:after="157" w:afterLines="50" w:line="240" w:lineRule="auto"/>
        <w:ind w:left="6"/>
        <w:textAlignment w:val="auto"/>
        <w:outlineLvl w:val="2"/>
        <w:rPr>
          <w:rFonts w:hint="eastAsia"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5.6 排放管理与监测计划</w:t>
      </w:r>
    </w:p>
    <w:p w14:paraId="6573EB78">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5.6.1 管理要求</w:t>
      </w:r>
    </w:p>
    <w:p w14:paraId="387A83FF">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编制建设项目温室气体排放清单，提出碳排放环境管理要求。新建项目应提出温室气体排放环境管理机构设施、人员配置、管理制度、管理台账记录要求；改扩建项目应分析依托现有环境管理机构及制度的可行性，提出完善碳排放环境管理要求。</w:t>
      </w:r>
    </w:p>
    <w:p w14:paraId="49715917">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default" w:ascii="Arial" w:hAnsi="Arial" w:cs="Arial"/>
          <w:lang w:val="en-US" w:eastAsia="zh-CN"/>
        </w:rPr>
        <w:t>企业应建立、实施并保持满足《测量管理体系 测量过程和测量设备的要求》</w:t>
      </w:r>
      <w:r>
        <w:rPr>
          <w:rFonts w:hint="eastAsia" w:ascii="Arial" w:hAnsi="Arial" w:cs="Arial"/>
          <w:lang w:val="en-US" w:eastAsia="zh-CN"/>
        </w:rPr>
        <w:t>（</w:t>
      </w:r>
      <w:r>
        <w:rPr>
          <w:rFonts w:hint="default" w:ascii="Arial" w:hAnsi="Arial" w:cs="Arial"/>
          <w:lang w:val="en-US" w:eastAsia="zh-CN"/>
        </w:rPr>
        <w:t>GB/T 19022</w:t>
      </w:r>
      <w:r>
        <w:rPr>
          <w:rFonts w:hint="eastAsia" w:ascii="Arial" w:hAnsi="Arial" w:cs="Arial"/>
          <w:lang w:val="en-US" w:eastAsia="zh-CN"/>
        </w:rPr>
        <w:t>）</w:t>
      </w:r>
      <w:r>
        <w:rPr>
          <w:rFonts w:hint="default" w:ascii="Arial" w:hAnsi="Arial" w:cs="Arial"/>
          <w:lang w:val="en-US" w:eastAsia="zh-CN"/>
        </w:rPr>
        <w:t>要求的测量管理体系，且通过测量管理体系第三方认证或等效评价。重点装置使用的原燃料量和产品产量采用皮带秤、磅秤、仓秤等进行计量，计量精度须按照相应标准执行。建立能源计量管理制度，能源计量器具配备率要求按照《用能单位能源计量器具配备和管理通则》（GB 17167）要求</w:t>
      </w:r>
      <w:r>
        <w:rPr>
          <w:rFonts w:hint="eastAsia" w:ascii="Arial" w:hAnsi="Arial" w:cs="Arial"/>
          <w:lang w:val="en-US" w:eastAsia="zh-CN"/>
        </w:rPr>
        <w:t>并参照</w:t>
      </w:r>
      <w:r>
        <w:rPr>
          <w:rFonts w:hint="default" w:ascii="Arial" w:hAnsi="Arial" w:cs="Arial"/>
          <w:lang w:val="en-US" w:eastAsia="zh-CN"/>
        </w:rPr>
        <w:t>《石油石化行业能源计量器具配备和管理要求》（GB/T 20901），计量器具准确度要求</w:t>
      </w:r>
      <w:r>
        <w:rPr>
          <w:rFonts w:hint="eastAsia" w:ascii="Arial" w:hAnsi="Arial" w:cs="Arial"/>
          <w:lang w:val="en-US" w:eastAsia="zh-CN"/>
        </w:rPr>
        <w:t>参照</w:t>
      </w:r>
      <w:r>
        <w:rPr>
          <w:rFonts w:hint="default" w:ascii="Arial" w:hAnsi="Arial" w:cs="Arial"/>
          <w:lang w:val="en-US" w:eastAsia="zh-CN"/>
        </w:rPr>
        <w:t>《石油石化行业能源计量器具配备和管理要求》（GB/T 20901）规定执行。</w:t>
      </w:r>
    </w:p>
    <w:p w14:paraId="40EFA187">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5.6.2 监测要求</w:t>
      </w:r>
    </w:p>
    <w:p w14:paraId="17D182A9">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提出建设项目温室气体排放监测、报告和核查工作计划以及建立温室气体排放量核算所需参数相关的监测和环境管理台账记录要求，并参照《关于做好2023—2025年部分重点行业温室气体排放报告与核查工作的通知》（环办气候函</w:t>
      </w:r>
      <w:r>
        <w:rPr>
          <w:rFonts w:hint="eastAsia" w:ascii="仿宋_GB2312" w:hAnsi="仿宋_GB2312" w:eastAsia="仿宋_GB2312" w:cs="仿宋_GB2312"/>
          <w:lang w:val="en-US" w:eastAsia="zh-CN"/>
        </w:rPr>
        <w:t>〔</w:t>
      </w:r>
      <w:r>
        <w:rPr>
          <w:rFonts w:hint="eastAsia" w:ascii="Arial" w:hAnsi="Arial" w:cs="Arial"/>
          <w:lang w:val="en-US" w:eastAsia="zh-CN"/>
        </w:rPr>
        <w:t>2023</w:t>
      </w:r>
      <w:r>
        <w:rPr>
          <w:rFonts w:hint="eastAsia" w:ascii="仿宋_GB2312" w:hAnsi="仿宋_GB2312" w:eastAsia="仿宋_GB2312" w:cs="仿宋_GB2312"/>
          <w:lang w:val="en-US" w:eastAsia="zh-CN"/>
        </w:rPr>
        <w:t>〕</w:t>
      </w:r>
      <w:r>
        <w:rPr>
          <w:rFonts w:hint="eastAsia" w:ascii="Arial" w:hAnsi="Arial" w:cs="Arial"/>
          <w:lang w:val="en-US" w:eastAsia="zh-CN"/>
        </w:rPr>
        <w:t>332号）等文件制定监测计划，明确监测内容、监测频次、监测方法、记录信息、保存年限等。</w:t>
      </w:r>
    </w:p>
    <w:p w14:paraId="71263506">
      <w:pPr>
        <w:widowControl/>
        <w:spacing w:after="157" w:afterLines="50"/>
        <w:ind w:firstLine="420" w:firstLineChars="200"/>
        <w:rPr>
          <w:rFonts w:hint="eastAsia"/>
          <w:lang w:val="en-US" w:eastAsia="zh-CN"/>
        </w:rPr>
      </w:pPr>
      <w:r>
        <w:rPr>
          <w:rFonts w:hint="default" w:ascii="Arial" w:hAnsi="Arial" w:cs="Arial"/>
          <w:lang w:val="en-US" w:eastAsia="zh-CN"/>
        </w:rPr>
        <w:t>待二氧化碳在线监测技术成熟后，鼓励企业根据建设项目碳排放节点识别结果对二氧化碳主要排放口制定监测计划，监测点位设置应符合HJ 819、HJ 8</w:t>
      </w:r>
      <w:r>
        <w:rPr>
          <w:rFonts w:hint="eastAsia" w:ascii="Arial" w:hAnsi="Arial" w:cs="Arial"/>
          <w:lang w:val="en-US" w:eastAsia="zh-CN"/>
        </w:rPr>
        <w:t>80</w:t>
      </w:r>
      <w:r>
        <w:rPr>
          <w:rFonts w:hint="default" w:ascii="Arial" w:hAnsi="Arial" w:cs="Arial"/>
          <w:lang w:val="en-US" w:eastAsia="zh-CN"/>
        </w:rPr>
        <w:t xml:space="preserve">、HJ </w:t>
      </w:r>
      <w:r>
        <w:rPr>
          <w:rFonts w:hint="eastAsia" w:ascii="Arial" w:hAnsi="Arial" w:cs="Arial"/>
          <w:lang w:val="en-US" w:eastAsia="zh-CN"/>
        </w:rPr>
        <w:t>947</w:t>
      </w:r>
      <w:r>
        <w:rPr>
          <w:rFonts w:hint="default" w:ascii="Arial" w:hAnsi="Arial" w:cs="Arial"/>
          <w:lang w:val="en-US" w:eastAsia="zh-CN"/>
        </w:rPr>
        <w:t>中污染源监测点位的相关要求。</w:t>
      </w:r>
    </w:p>
    <w:p w14:paraId="64B2ECCA">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5.6.3 验收要求</w:t>
      </w:r>
    </w:p>
    <w:p w14:paraId="5224DEDD">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建设项目减污降碳技术措施、跟踪监测计划等内容纳入项目竣工环境保护验收。</w:t>
      </w:r>
    </w:p>
    <w:p w14:paraId="4BF6C8A3">
      <w:pPr>
        <w:keepNext w:val="0"/>
        <w:keepLines w:val="0"/>
        <w:pageBreakBefore w:val="0"/>
        <w:widowControl w:val="0"/>
        <w:kinsoku/>
        <w:wordWrap/>
        <w:overflowPunct/>
        <w:topLinePunct w:val="0"/>
        <w:autoSpaceDE/>
        <w:autoSpaceDN/>
        <w:bidi w:val="0"/>
        <w:adjustRightInd/>
        <w:snapToGrid/>
        <w:spacing w:after="157" w:afterLines="50" w:line="240" w:lineRule="auto"/>
        <w:ind w:left="6"/>
        <w:textAlignment w:val="auto"/>
        <w:outlineLvl w:val="2"/>
        <w:rPr>
          <w:rFonts w:hint="eastAsia"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5.7 温室气体排放评价结论</w:t>
      </w:r>
    </w:p>
    <w:p w14:paraId="31F4DFA5">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概括总结建设项目实施的政策符合性、温室气体排放情况、减污降碳措施可行性及效果、温室气体排放水平、温室气体排放管理与监测计划等。</w:t>
      </w:r>
    </w:p>
    <w:p w14:paraId="1F7A4BD9">
      <w:pPr>
        <w:keepNext w:val="0"/>
        <w:keepLines w:val="0"/>
        <w:pageBreakBefore w:val="0"/>
        <w:widowControl/>
        <w:kinsoku/>
        <w:wordWrap/>
        <w:overflowPunct/>
        <w:topLinePunct w:val="0"/>
        <w:autoSpaceDE/>
        <w:autoSpaceDN/>
        <w:bidi w:val="0"/>
        <w:adjustRightInd/>
        <w:snapToGrid/>
        <w:spacing w:after="157" w:afterLines="50" w:line="240" w:lineRule="auto"/>
        <w:ind w:firstLine="420" w:firstLineChars="200"/>
        <w:textAlignment w:val="auto"/>
        <w:rPr>
          <w:rFonts w:hint="eastAsia" w:ascii="Arial" w:hAnsi="Arial" w:cs="Arial"/>
          <w:lang w:val="en-US" w:eastAsia="zh-CN"/>
        </w:rPr>
      </w:pPr>
      <w:r>
        <w:rPr>
          <w:rFonts w:hint="eastAsia" w:ascii="Arial" w:hAnsi="Arial" w:cs="Arial"/>
          <w:lang w:val="en-US" w:eastAsia="zh-CN"/>
        </w:rPr>
        <w:t>结合国家、区域和行业温室气体排放与控制相关行动方案、温室气体排放控制目标与技术要求等，给出建设项目的温室气体排放控制是否满足相关要求的结论。</w:t>
      </w:r>
    </w:p>
    <w:p w14:paraId="6AB818F6"/>
    <w:p w14:paraId="7EE57805">
      <w:pPr>
        <w:sectPr>
          <w:footerReference r:id="rId12" w:type="default"/>
          <w:pgSz w:w="11906" w:h="16838"/>
          <w:pgMar w:top="1440" w:right="1800" w:bottom="1440" w:left="1800" w:header="851" w:footer="992" w:gutter="0"/>
          <w:pgNumType w:fmt="decimal" w:start="1"/>
          <w:cols w:space="425" w:num="1"/>
          <w:docGrid w:type="lines" w:linePitch="312" w:charSpace="0"/>
        </w:sectPr>
      </w:pPr>
    </w:p>
    <w:p w14:paraId="4DA1D781"/>
    <w:p w14:paraId="11C160F4">
      <w:pPr>
        <w:pStyle w:val="21"/>
        <w:keepNext w:val="0"/>
        <w:keepLines w:val="0"/>
        <w:pageBreakBefore w:val="0"/>
        <w:widowControl/>
        <w:numPr>
          <w:ilvl w:val="0"/>
          <w:numId w:val="0"/>
        </w:numPr>
        <w:shd w:val="clear" w:color="FFFFFF" w:fill="FFFFFF"/>
        <w:tabs>
          <w:tab w:val="left" w:pos="6406"/>
        </w:tabs>
        <w:kinsoku/>
        <w:wordWrap/>
        <w:overflowPunct/>
        <w:topLinePunct w:val="0"/>
        <w:autoSpaceDE/>
        <w:autoSpaceDN/>
        <w:bidi w:val="0"/>
        <w:adjustRightInd/>
        <w:snapToGrid w:val="0"/>
        <w:spacing w:before="0" w:beforeLines="0" w:after="0" w:afterLines="0" w:line="312" w:lineRule="auto"/>
        <w:textAlignment w:val="auto"/>
        <w:rPr>
          <w:rFonts w:hint="eastAsia" w:ascii="黑体" w:hAnsi="Times New Roman" w:eastAsia="黑体" w:cs="Times New Roman"/>
          <w:spacing w:val="0"/>
          <w:sz w:val="21"/>
          <w:lang w:val="en-US" w:eastAsia="zh-CN" w:bidi="ar-SA"/>
        </w:rPr>
      </w:pPr>
      <w:bookmarkStart w:id="36" w:name="_Toc21102"/>
      <w:bookmarkStart w:id="37" w:name="_Toc5646"/>
      <w:bookmarkStart w:id="38" w:name="_Toc22721"/>
      <w:r>
        <w:rPr>
          <w:rFonts w:hint="eastAsia" w:ascii="黑体" w:hAnsi="Times New Roman" w:eastAsia="黑体" w:cs="Times New Roman"/>
          <w:spacing w:val="0"/>
          <w:sz w:val="21"/>
          <w:lang w:val="en-US" w:eastAsia="zh-CN" w:bidi="ar-SA"/>
        </w:rPr>
        <w:t>附录A</w:t>
      </w:r>
      <w:bookmarkEnd w:id="36"/>
      <w:bookmarkEnd w:id="37"/>
      <w:bookmarkEnd w:id="38"/>
      <w:r>
        <w:rPr>
          <w:rFonts w:hint="eastAsia" w:ascii="黑体" w:hAnsi="Times New Roman" w:eastAsia="黑体" w:cs="Times New Roman"/>
          <w:spacing w:val="0"/>
          <w:sz w:val="21"/>
          <w:lang w:val="en-US" w:eastAsia="zh-CN" w:bidi="ar-SA"/>
        </w:rPr>
        <w:t xml:space="preserve"> </w:t>
      </w:r>
    </w:p>
    <w:p w14:paraId="202C1C9C">
      <w:pPr>
        <w:pStyle w:val="21"/>
        <w:numPr>
          <w:ilvl w:val="0"/>
          <w:numId w:val="0"/>
        </w:numPr>
        <w:shd w:val="clear" w:color="FFFFFF" w:fill="auto"/>
        <w:tabs>
          <w:tab w:val="left" w:pos="6406"/>
        </w:tabs>
        <w:snapToGrid w:val="0"/>
        <w:spacing w:beforeLines="0" w:afterLines="0" w:line="312" w:lineRule="auto"/>
        <w:outlineLvl w:val="9"/>
      </w:pPr>
      <w:r>
        <w:rPr>
          <w:rFonts w:hint="eastAsia"/>
        </w:rPr>
        <w:t>（</w:t>
      </w:r>
      <w:r>
        <w:rPr>
          <w:rFonts w:hint="eastAsia"/>
          <w:lang w:val="en-US" w:eastAsia="zh-CN"/>
        </w:rPr>
        <w:t>资料</w:t>
      </w:r>
      <w:r>
        <w:rPr>
          <w:rFonts w:hint="eastAsia"/>
        </w:rPr>
        <w:t>性附录）</w:t>
      </w:r>
    </w:p>
    <w:p w14:paraId="072C61CE">
      <w:pPr>
        <w:pStyle w:val="21"/>
        <w:numPr>
          <w:ilvl w:val="0"/>
          <w:numId w:val="0"/>
        </w:numPr>
        <w:shd w:val="clear" w:color="auto" w:fill="auto"/>
        <w:tabs>
          <w:tab w:val="left" w:pos="6406"/>
        </w:tabs>
        <w:spacing w:beforeLines="0" w:afterLines="0" w:line="312" w:lineRule="auto"/>
        <w:outlineLvl w:val="9"/>
        <w:rPr>
          <w:rFonts w:ascii="Arial" w:hAnsi="Arial" w:cs="Arial"/>
        </w:rPr>
      </w:pPr>
      <w:r>
        <w:rPr>
          <w:rFonts w:hint="eastAsia" w:ascii="Arial" w:hAnsi="Arial" w:cs="Arial"/>
        </w:rPr>
        <w:t>现代煤化工</w:t>
      </w:r>
      <w:r>
        <w:rPr>
          <w:rFonts w:ascii="Arial" w:hAnsi="Arial" w:cs="Arial"/>
        </w:rPr>
        <w:t>行业建设项目各</w:t>
      </w:r>
      <w:r>
        <w:rPr>
          <w:rFonts w:hint="eastAsia" w:ascii="Arial" w:hAnsi="Arial" w:cs="Arial"/>
        </w:rPr>
        <w:t>生产装置</w:t>
      </w:r>
      <w:r>
        <w:rPr>
          <w:rFonts w:ascii="Arial" w:hAnsi="Arial" w:cs="Arial"/>
        </w:rPr>
        <w:t>温室气体排放节点识别</w:t>
      </w:r>
    </w:p>
    <w:tbl>
      <w:tblPr>
        <w:tblStyle w:val="10"/>
        <w:tblW w:w="4998" w:type="pct"/>
        <w:tblInd w:w="0" w:type="dxa"/>
        <w:tblLayout w:type="autofit"/>
        <w:tblCellMar>
          <w:top w:w="0" w:type="dxa"/>
          <w:left w:w="51" w:type="dxa"/>
          <w:bottom w:w="0" w:type="dxa"/>
          <w:right w:w="51" w:type="dxa"/>
        </w:tblCellMar>
      </w:tblPr>
      <w:tblGrid>
        <w:gridCol w:w="1192"/>
        <w:gridCol w:w="1860"/>
        <w:gridCol w:w="1260"/>
        <w:gridCol w:w="1419"/>
        <w:gridCol w:w="2674"/>
      </w:tblGrid>
      <w:tr w14:paraId="47FBBD6B">
        <w:tblPrEx>
          <w:tblCellMar>
            <w:top w:w="0" w:type="dxa"/>
            <w:left w:w="51" w:type="dxa"/>
            <w:bottom w:w="0" w:type="dxa"/>
            <w:right w:w="51" w:type="dxa"/>
          </w:tblCellMar>
        </w:tblPrEx>
        <w:trPr>
          <w:trHeight w:val="264" w:hRule="atLeast"/>
        </w:trPr>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F2C4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类型</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FF22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排放源</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568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碳排放主要节点</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737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碳素来源</w:t>
            </w:r>
          </w:p>
        </w:tc>
        <w:tc>
          <w:tcPr>
            <w:tcW w:w="1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1AC9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需明确参数</w:t>
            </w:r>
          </w:p>
        </w:tc>
      </w:tr>
      <w:tr w14:paraId="6BD3F70A">
        <w:tblPrEx>
          <w:tblCellMar>
            <w:top w:w="0" w:type="dxa"/>
            <w:left w:w="51" w:type="dxa"/>
            <w:bottom w:w="0" w:type="dxa"/>
            <w:right w:w="51" w:type="dxa"/>
          </w:tblCellMar>
        </w:tblPrEx>
        <w:trPr>
          <w:trHeight w:val="264" w:hRule="atLeast"/>
        </w:trPr>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9D1E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化石燃料燃烧</w:t>
            </w:r>
          </w:p>
        </w:tc>
        <w:tc>
          <w:tcPr>
            <w:tcW w:w="11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3A0B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煤气、天然气和弛放气等燃料燃烧排放</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CF5B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工艺加热炉</w:t>
            </w:r>
          </w:p>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5BA0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煤气、天然气和弛放气等燃料</w:t>
            </w:r>
          </w:p>
        </w:tc>
        <w:tc>
          <w:tcPr>
            <w:tcW w:w="1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7BA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燃料消耗量</w:t>
            </w:r>
          </w:p>
        </w:tc>
      </w:tr>
      <w:tr w14:paraId="431B0F34">
        <w:tblPrEx>
          <w:tblCellMar>
            <w:top w:w="0" w:type="dxa"/>
            <w:left w:w="51" w:type="dxa"/>
            <w:bottom w:w="0" w:type="dxa"/>
            <w:right w:w="51" w:type="dxa"/>
          </w:tblCellMar>
        </w:tblPrEx>
        <w:trPr>
          <w:trHeight w:val="264" w:hRule="atLeast"/>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D514F">
            <w:pPr>
              <w:jc w:val="left"/>
              <w:rPr>
                <w:rFonts w:ascii="宋体" w:hAnsi="宋体" w:eastAsia="宋体" w:cs="宋体"/>
                <w:color w:val="000000"/>
                <w:szCs w:val="21"/>
              </w:rPr>
            </w:pPr>
          </w:p>
        </w:tc>
        <w:tc>
          <w:tcPr>
            <w:tcW w:w="11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B3448">
            <w:pPr>
              <w:jc w:val="left"/>
              <w:rPr>
                <w:rFonts w:ascii="宋体" w:hAnsi="宋体" w:eastAsia="宋体" w:cs="宋体"/>
                <w:color w:val="000000"/>
                <w:szCs w:val="21"/>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A9902">
            <w:pPr>
              <w:jc w:val="left"/>
              <w:rPr>
                <w:rFonts w:ascii="宋体" w:hAnsi="宋体" w:eastAsia="宋体" w:cs="宋体"/>
                <w:color w:val="000000"/>
                <w:szCs w:val="21"/>
              </w:rPr>
            </w:pP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B5AC9">
            <w:pPr>
              <w:jc w:val="left"/>
              <w:rPr>
                <w:rFonts w:ascii="宋体" w:hAnsi="宋体" w:eastAsia="宋体" w:cs="宋体"/>
                <w:color w:val="000000"/>
                <w:szCs w:val="21"/>
              </w:rPr>
            </w:pPr>
          </w:p>
        </w:tc>
        <w:tc>
          <w:tcPr>
            <w:tcW w:w="1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FDA8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低位发热量或收到基元素碳含量</w:t>
            </w:r>
          </w:p>
        </w:tc>
      </w:tr>
      <w:tr w14:paraId="524F5B4E">
        <w:tblPrEx>
          <w:tblCellMar>
            <w:top w:w="0" w:type="dxa"/>
            <w:left w:w="51" w:type="dxa"/>
            <w:bottom w:w="0" w:type="dxa"/>
            <w:right w:w="51" w:type="dxa"/>
          </w:tblCellMar>
        </w:tblPrEx>
        <w:trPr>
          <w:trHeight w:val="264" w:hRule="atLeast"/>
        </w:trPr>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D072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火炬系统排放</w:t>
            </w:r>
          </w:p>
        </w:tc>
        <w:tc>
          <w:tcPr>
            <w:tcW w:w="11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53DA4">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正常工况火炬气燃烧排放，包括气化炉等的计划开停车</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4EE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火炬头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0F6E">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火炬气中的碳</w:t>
            </w:r>
          </w:p>
        </w:tc>
        <w:tc>
          <w:tcPr>
            <w:tcW w:w="1590" w:type="pct"/>
            <w:vMerge w:val="restart"/>
            <w:tcBorders>
              <w:top w:val="single" w:color="000000" w:sz="4" w:space="0"/>
              <w:left w:val="single" w:color="000000" w:sz="4" w:space="0"/>
              <w:right w:val="single" w:color="000000" w:sz="4" w:space="0"/>
            </w:tcBorders>
            <w:shd w:val="clear" w:color="auto" w:fill="auto"/>
            <w:vAlign w:val="center"/>
          </w:tcPr>
          <w:p w14:paraId="219C95FA">
            <w:pPr>
              <w:widowControl/>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原料煤使用量；</w:t>
            </w:r>
          </w:p>
          <w:p w14:paraId="0D722A69">
            <w:pPr>
              <w:widowControl/>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燃料气管网中除工艺副产气外，外购补充的天然气等燃料气使用量；</w:t>
            </w:r>
          </w:p>
          <w:p w14:paraId="67D6570B">
            <w:pPr>
              <w:widowControl/>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各类产品、副产品产量、产品规格、含碳量；</w:t>
            </w:r>
          </w:p>
          <w:p w14:paraId="2540F5B0">
            <w:pPr>
              <w:widowControl/>
              <w:jc w:val="left"/>
              <w:textAlignment w:val="auto"/>
              <w:rPr>
                <w:rFonts w:ascii="宋体" w:hAnsi="宋体" w:eastAsia="宋体" w:cs="宋体"/>
                <w:color w:val="000000"/>
                <w:szCs w:val="21"/>
              </w:rPr>
            </w:pPr>
            <w:r>
              <w:rPr>
                <w:rFonts w:hint="eastAsia" w:ascii="宋体" w:hAnsi="宋体" w:eastAsia="宋体" w:cs="宋体"/>
                <w:color w:val="000000"/>
                <w:kern w:val="0"/>
                <w:szCs w:val="21"/>
                <w:lang w:val="en-US" w:eastAsia="zh-CN"/>
              </w:rPr>
              <w:t>气化渣等固体废物产生量、外送处置量、含碳量；</w:t>
            </w:r>
          </w:p>
        </w:tc>
      </w:tr>
      <w:tr w14:paraId="76F1F542">
        <w:tblPrEx>
          <w:tblCellMar>
            <w:top w:w="0" w:type="dxa"/>
            <w:left w:w="51" w:type="dxa"/>
            <w:bottom w:w="0" w:type="dxa"/>
            <w:right w:w="51" w:type="dxa"/>
          </w:tblCellMar>
        </w:tblPrEx>
        <w:trPr>
          <w:trHeight w:val="264" w:hRule="atLeast"/>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34BD">
            <w:pPr>
              <w:jc w:val="left"/>
              <w:rPr>
                <w:rFonts w:ascii="宋体" w:hAnsi="宋体" w:eastAsia="宋体" w:cs="宋体"/>
                <w:color w:val="000000"/>
                <w:szCs w:val="21"/>
              </w:rPr>
            </w:pPr>
          </w:p>
        </w:tc>
        <w:tc>
          <w:tcPr>
            <w:tcW w:w="11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DB688">
            <w:pPr>
              <w:jc w:val="left"/>
              <w:rPr>
                <w:rFonts w:ascii="宋体" w:hAnsi="宋体" w:eastAsia="宋体" w:cs="宋体"/>
                <w:color w:val="000000"/>
                <w:szCs w:val="21"/>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1361F">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长明灯</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01BE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燃料气中的碳</w:t>
            </w:r>
          </w:p>
        </w:tc>
        <w:tc>
          <w:tcPr>
            <w:tcW w:w="1590" w:type="pct"/>
            <w:vMerge w:val="continue"/>
            <w:tcBorders>
              <w:left w:val="single" w:color="000000" w:sz="4" w:space="0"/>
              <w:right w:val="single" w:color="000000" w:sz="4" w:space="0"/>
            </w:tcBorders>
            <w:shd w:val="clear" w:color="auto" w:fill="auto"/>
            <w:vAlign w:val="center"/>
          </w:tcPr>
          <w:p w14:paraId="004F5B09">
            <w:pPr>
              <w:widowControl/>
              <w:jc w:val="left"/>
              <w:textAlignment w:val="center"/>
              <w:rPr>
                <w:rFonts w:ascii="宋体" w:hAnsi="宋体" w:eastAsia="宋体" w:cs="宋体"/>
                <w:color w:val="000000"/>
                <w:szCs w:val="21"/>
              </w:rPr>
            </w:pPr>
          </w:p>
        </w:tc>
      </w:tr>
      <w:tr w14:paraId="76B1CA1F">
        <w:tblPrEx>
          <w:tblCellMar>
            <w:top w:w="0" w:type="dxa"/>
            <w:left w:w="51" w:type="dxa"/>
            <w:bottom w:w="0" w:type="dxa"/>
            <w:right w:w="51" w:type="dxa"/>
          </w:tblCellMar>
        </w:tblPrEx>
        <w:trPr>
          <w:trHeight w:val="312" w:hRule="atLeast"/>
        </w:trPr>
        <w:tc>
          <w:tcPr>
            <w:tcW w:w="709" w:type="pct"/>
            <w:vMerge w:val="restart"/>
            <w:tcBorders>
              <w:top w:val="single" w:color="000000" w:sz="4" w:space="0"/>
              <w:left w:val="single" w:color="000000" w:sz="4" w:space="0"/>
              <w:right w:val="single" w:color="000000" w:sz="4" w:space="0"/>
            </w:tcBorders>
            <w:shd w:val="clear" w:color="auto" w:fill="auto"/>
            <w:vAlign w:val="center"/>
          </w:tcPr>
          <w:p w14:paraId="7B602EB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val="en-US" w:eastAsia="zh-CN"/>
              </w:rPr>
              <w:t>工艺</w:t>
            </w:r>
            <w:r>
              <w:rPr>
                <w:rFonts w:hint="eastAsia" w:ascii="宋体" w:hAnsi="宋体" w:eastAsia="宋体" w:cs="宋体"/>
                <w:color w:val="000000"/>
                <w:kern w:val="0"/>
                <w:szCs w:val="21"/>
              </w:rPr>
              <w:t>过程排放</w:t>
            </w:r>
          </w:p>
        </w:tc>
        <w:tc>
          <w:tcPr>
            <w:tcW w:w="11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E4C3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低温甲醇洗/酸性气脱除</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6DA24">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洗涤塔/氧化反应器</w:t>
            </w:r>
          </w:p>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3C04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合成气中的碳</w:t>
            </w:r>
          </w:p>
        </w:tc>
        <w:tc>
          <w:tcPr>
            <w:tcW w:w="1590" w:type="pct"/>
            <w:vMerge w:val="continue"/>
            <w:tcBorders>
              <w:left w:val="single" w:color="000000" w:sz="4" w:space="0"/>
              <w:right w:val="single" w:color="000000" w:sz="4" w:space="0"/>
            </w:tcBorders>
            <w:shd w:val="clear" w:color="auto" w:fill="auto"/>
            <w:vAlign w:val="center"/>
          </w:tcPr>
          <w:p w14:paraId="46B29EDE">
            <w:pPr>
              <w:widowControl/>
              <w:jc w:val="left"/>
              <w:textAlignment w:val="center"/>
              <w:rPr>
                <w:rFonts w:ascii="宋体" w:hAnsi="宋体" w:eastAsia="宋体" w:cs="宋体"/>
                <w:color w:val="000000"/>
                <w:szCs w:val="21"/>
              </w:rPr>
            </w:pPr>
          </w:p>
        </w:tc>
      </w:tr>
      <w:tr w14:paraId="079860D3">
        <w:tblPrEx>
          <w:tblCellMar>
            <w:top w:w="0" w:type="dxa"/>
            <w:left w:w="51" w:type="dxa"/>
            <w:bottom w:w="0" w:type="dxa"/>
            <w:right w:w="51" w:type="dxa"/>
          </w:tblCellMar>
        </w:tblPrEx>
        <w:trPr>
          <w:trHeight w:val="312" w:hRule="atLeast"/>
        </w:trPr>
        <w:tc>
          <w:tcPr>
            <w:tcW w:w="709" w:type="pct"/>
            <w:vMerge w:val="continue"/>
            <w:tcBorders>
              <w:left w:val="single" w:color="000000" w:sz="4" w:space="0"/>
              <w:right w:val="single" w:color="000000" w:sz="4" w:space="0"/>
            </w:tcBorders>
            <w:shd w:val="clear" w:color="auto" w:fill="auto"/>
            <w:vAlign w:val="center"/>
          </w:tcPr>
          <w:p w14:paraId="7C665C0C">
            <w:pPr>
              <w:jc w:val="center"/>
              <w:rPr>
                <w:rFonts w:ascii="宋体" w:hAnsi="宋体" w:eastAsia="宋体" w:cs="宋体"/>
                <w:color w:val="000000"/>
                <w:szCs w:val="21"/>
              </w:rPr>
            </w:pPr>
          </w:p>
        </w:tc>
        <w:tc>
          <w:tcPr>
            <w:tcW w:w="11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C237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甲醇制烯烃装置连续烧焦排放</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8ECB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催化剂再生烧焦</w:t>
            </w:r>
          </w:p>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8AD8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甲醇转化过程在催化剂上的焦炭</w:t>
            </w:r>
          </w:p>
        </w:tc>
        <w:tc>
          <w:tcPr>
            <w:tcW w:w="1590" w:type="pct"/>
            <w:vMerge w:val="continue"/>
            <w:tcBorders>
              <w:left w:val="single" w:color="000000" w:sz="4" w:space="0"/>
              <w:right w:val="single" w:color="000000" w:sz="4" w:space="0"/>
            </w:tcBorders>
            <w:shd w:val="clear" w:color="auto" w:fill="auto"/>
            <w:vAlign w:val="center"/>
          </w:tcPr>
          <w:p w14:paraId="2D1D4B4D">
            <w:pPr>
              <w:widowControl/>
              <w:jc w:val="left"/>
              <w:textAlignment w:val="center"/>
              <w:rPr>
                <w:rFonts w:ascii="宋体" w:hAnsi="宋体" w:eastAsia="宋体" w:cs="宋体"/>
                <w:color w:val="000000"/>
                <w:szCs w:val="21"/>
              </w:rPr>
            </w:pPr>
          </w:p>
        </w:tc>
      </w:tr>
      <w:tr w14:paraId="0AE19D56">
        <w:tblPrEx>
          <w:tblCellMar>
            <w:top w:w="0" w:type="dxa"/>
            <w:left w:w="51" w:type="dxa"/>
            <w:bottom w:w="0" w:type="dxa"/>
            <w:right w:w="51" w:type="dxa"/>
          </w:tblCellMar>
        </w:tblPrEx>
        <w:trPr>
          <w:trHeight w:val="312" w:hRule="atLeast"/>
        </w:trPr>
        <w:tc>
          <w:tcPr>
            <w:tcW w:w="709" w:type="pct"/>
            <w:vMerge w:val="continue"/>
            <w:tcBorders>
              <w:left w:val="single" w:color="000000" w:sz="4" w:space="0"/>
              <w:right w:val="single" w:color="000000" w:sz="4" w:space="0"/>
            </w:tcBorders>
            <w:shd w:val="clear" w:color="auto" w:fill="auto"/>
            <w:vAlign w:val="center"/>
          </w:tcPr>
          <w:p w14:paraId="4CC5118F">
            <w:pPr>
              <w:jc w:val="center"/>
              <w:rPr>
                <w:rFonts w:ascii="宋体" w:hAnsi="宋体" w:eastAsia="宋体" w:cs="宋体"/>
                <w:color w:val="000000"/>
                <w:szCs w:val="21"/>
              </w:rPr>
            </w:pPr>
          </w:p>
        </w:tc>
        <w:tc>
          <w:tcPr>
            <w:tcW w:w="11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D489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制氢装置脱碳过程</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C7E6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吸附分离</w:t>
            </w:r>
          </w:p>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FE71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原料中的碳</w:t>
            </w:r>
          </w:p>
        </w:tc>
        <w:tc>
          <w:tcPr>
            <w:tcW w:w="1590" w:type="pct"/>
            <w:vMerge w:val="continue"/>
            <w:tcBorders>
              <w:left w:val="single" w:color="000000" w:sz="4" w:space="0"/>
              <w:right w:val="single" w:color="000000" w:sz="4" w:space="0"/>
            </w:tcBorders>
            <w:shd w:val="clear" w:color="auto" w:fill="auto"/>
            <w:vAlign w:val="center"/>
          </w:tcPr>
          <w:p w14:paraId="67F81F9D">
            <w:pPr>
              <w:widowControl/>
              <w:jc w:val="left"/>
              <w:textAlignment w:val="center"/>
              <w:rPr>
                <w:rFonts w:ascii="宋体" w:hAnsi="宋体" w:eastAsia="宋体" w:cs="宋体"/>
                <w:color w:val="000000"/>
                <w:szCs w:val="21"/>
              </w:rPr>
            </w:pPr>
          </w:p>
        </w:tc>
      </w:tr>
      <w:tr w14:paraId="0FD70E2E">
        <w:tblPrEx>
          <w:tblCellMar>
            <w:top w:w="0" w:type="dxa"/>
            <w:left w:w="51" w:type="dxa"/>
            <w:bottom w:w="0" w:type="dxa"/>
            <w:right w:w="51" w:type="dxa"/>
          </w:tblCellMar>
        </w:tblPrEx>
        <w:trPr>
          <w:trHeight w:val="312" w:hRule="atLeast"/>
        </w:trPr>
        <w:tc>
          <w:tcPr>
            <w:tcW w:w="709" w:type="pct"/>
            <w:vMerge w:val="continue"/>
            <w:tcBorders>
              <w:left w:val="single" w:color="000000" w:sz="4" w:space="0"/>
              <w:right w:val="single" w:color="000000" w:sz="4" w:space="0"/>
            </w:tcBorders>
            <w:shd w:val="clear" w:color="auto" w:fill="auto"/>
            <w:vAlign w:val="center"/>
          </w:tcPr>
          <w:p w14:paraId="561F9C04">
            <w:pPr>
              <w:jc w:val="center"/>
              <w:rPr>
                <w:rFonts w:ascii="宋体" w:hAnsi="宋体" w:eastAsia="宋体" w:cs="宋体"/>
                <w:color w:val="000000"/>
                <w:szCs w:val="21"/>
              </w:rPr>
            </w:pPr>
          </w:p>
        </w:tc>
        <w:tc>
          <w:tcPr>
            <w:tcW w:w="11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5DD6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酸性气/尾气焚烧</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23B8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焚烧炉</w:t>
            </w:r>
          </w:p>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507C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酸性气中的碳</w:t>
            </w:r>
          </w:p>
        </w:tc>
        <w:tc>
          <w:tcPr>
            <w:tcW w:w="1590" w:type="pct"/>
            <w:vMerge w:val="continue"/>
            <w:tcBorders>
              <w:left w:val="single" w:color="000000" w:sz="4" w:space="0"/>
              <w:right w:val="single" w:color="000000" w:sz="4" w:space="0"/>
            </w:tcBorders>
            <w:shd w:val="clear" w:color="auto" w:fill="auto"/>
            <w:vAlign w:val="center"/>
          </w:tcPr>
          <w:p w14:paraId="3BCD986C">
            <w:pPr>
              <w:widowControl/>
              <w:jc w:val="left"/>
              <w:textAlignment w:val="center"/>
              <w:rPr>
                <w:rFonts w:ascii="宋体" w:hAnsi="宋体" w:eastAsia="宋体" w:cs="宋体"/>
                <w:color w:val="000000"/>
                <w:szCs w:val="21"/>
              </w:rPr>
            </w:pPr>
          </w:p>
        </w:tc>
      </w:tr>
      <w:tr w14:paraId="542E0BB1">
        <w:tblPrEx>
          <w:tblCellMar>
            <w:top w:w="0" w:type="dxa"/>
            <w:left w:w="51" w:type="dxa"/>
            <w:bottom w:w="0" w:type="dxa"/>
            <w:right w:w="51" w:type="dxa"/>
          </w:tblCellMar>
        </w:tblPrEx>
        <w:trPr>
          <w:trHeight w:val="528" w:hRule="atLeast"/>
        </w:trPr>
        <w:tc>
          <w:tcPr>
            <w:tcW w:w="709" w:type="pct"/>
            <w:vMerge w:val="continue"/>
            <w:tcBorders>
              <w:left w:val="single" w:color="000000" w:sz="4" w:space="0"/>
              <w:right w:val="single" w:color="000000" w:sz="4" w:space="0"/>
            </w:tcBorders>
            <w:shd w:val="clear" w:color="auto" w:fill="auto"/>
            <w:vAlign w:val="center"/>
          </w:tcPr>
          <w:p w14:paraId="58B5F42B">
            <w:pPr>
              <w:jc w:val="center"/>
              <w:rPr>
                <w:rFonts w:ascii="宋体" w:hAnsi="宋体" w:eastAsia="宋体" w:cs="宋体"/>
                <w:color w:val="000000"/>
                <w:szCs w:val="21"/>
              </w:rPr>
            </w:pPr>
          </w:p>
        </w:tc>
        <w:tc>
          <w:tcPr>
            <w:tcW w:w="11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E666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乙二醇、合成油生产等合成与精制的副反应</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62D4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氧化反应器</w:t>
            </w:r>
          </w:p>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62C8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原料中的碳</w:t>
            </w:r>
          </w:p>
        </w:tc>
        <w:tc>
          <w:tcPr>
            <w:tcW w:w="1590" w:type="pct"/>
            <w:vMerge w:val="continue"/>
            <w:tcBorders>
              <w:left w:val="single" w:color="000000" w:sz="4" w:space="0"/>
              <w:right w:val="single" w:color="000000" w:sz="4" w:space="0"/>
            </w:tcBorders>
            <w:shd w:val="clear" w:color="auto" w:fill="auto"/>
            <w:vAlign w:val="center"/>
          </w:tcPr>
          <w:p w14:paraId="3E55C339">
            <w:pPr>
              <w:widowControl/>
              <w:jc w:val="left"/>
              <w:textAlignment w:val="center"/>
              <w:rPr>
                <w:rFonts w:ascii="宋体" w:hAnsi="宋体" w:eastAsia="宋体" w:cs="宋体"/>
                <w:color w:val="000000"/>
                <w:szCs w:val="21"/>
              </w:rPr>
            </w:pPr>
          </w:p>
        </w:tc>
      </w:tr>
      <w:tr w14:paraId="79A28B8B">
        <w:tblPrEx>
          <w:tblCellMar>
            <w:top w:w="0" w:type="dxa"/>
            <w:left w:w="51" w:type="dxa"/>
            <w:bottom w:w="0" w:type="dxa"/>
            <w:right w:w="51" w:type="dxa"/>
          </w:tblCellMar>
        </w:tblPrEx>
        <w:trPr>
          <w:trHeight w:val="312" w:hRule="atLeast"/>
        </w:trPr>
        <w:tc>
          <w:tcPr>
            <w:tcW w:w="709" w:type="pct"/>
            <w:vMerge w:val="continue"/>
            <w:tcBorders>
              <w:left w:val="single" w:color="000000" w:sz="4" w:space="0"/>
              <w:right w:val="single" w:color="000000" w:sz="4" w:space="0"/>
            </w:tcBorders>
            <w:shd w:val="clear" w:color="auto" w:fill="auto"/>
            <w:vAlign w:val="center"/>
          </w:tcPr>
          <w:p w14:paraId="29A6A12A">
            <w:pPr>
              <w:jc w:val="center"/>
              <w:rPr>
                <w:rFonts w:ascii="宋体" w:hAnsi="宋体" w:eastAsia="宋体" w:cs="宋体"/>
                <w:color w:val="000000"/>
                <w:szCs w:val="21"/>
              </w:rPr>
            </w:pPr>
          </w:p>
        </w:tc>
        <w:tc>
          <w:tcPr>
            <w:tcW w:w="11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B6394">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其他产品生产装置原料氧化</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F2EB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氧化反应器</w:t>
            </w:r>
          </w:p>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FCFC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原料中的碳</w:t>
            </w:r>
          </w:p>
        </w:tc>
        <w:tc>
          <w:tcPr>
            <w:tcW w:w="1590" w:type="pct"/>
            <w:vMerge w:val="continue"/>
            <w:tcBorders>
              <w:left w:val="single" w:color="000000" w:sz="4" w:space="0"/>
              <w:right w:val="single" w:color="000000" w:sz="4" w:space="0"/>
            </w:tcBorders>
            <w:shd w:val="clear" w:color="auto" w:fill="auto"/>
            <w:vAlign w:val="center"/>
          </w:tcPr>
          <w:p w14:paraId="1E56992D">
            <w:pPr>
              <w:widowControl/>
              <w:jc w:val="left"/>
              <w:textAlignment w:val="center"/>
              <w:rPr>
                <w:rFonts w:ascii="宋体" w:hAnsi="宋体" w:eastAsia="宋体" w:cs="宋体"/>
                <w:color w:val="000000"/>
                <w:szCs w:val="21"/>
              </w:rPr>
            </w:pPr>
          </w:p>
        </w:tc>
      </w:tr>
      <w:tr w14:paraId="13FE19F7">
        <w:tblPrEx>
          <w:tblCellMar>
            <w:top w:w="0" w:type="dxa"/>
            <w:left w:w="51" w:type="dxa"/>
            <w:bottom w:w="0" w:type="dxa"/>
            <w:right w:w="51" w:type="dxa"/>
          </w:tblCellMar>
        </w:tblPrEx>
        <w:trPr>
          <w:trHeight w:val="312" w:hRule="atLeast"/>
        </w:trPr>
        <w:tc>
          <w:tcPr>
            <w:tcW w:w="709" w:type="pct"/>
            <w:vMerge w:val="continue"/>
            <w:tcBorders>
              <w:left w:val="single" w:color="000000" w:sz="4" w:space="0"/>
              <w:right w:val="single" w:color="000000" w:sz="4" w:space="0"/>
            </w:tcBorders>
            <w:shd w:val="clear" w:color="auto" w:fill="auto"/>
            <w:vAlign w:val="center"/>
          </w:tcPr>
          <w:p w14:paraId="017F0D3E">
            <w:pPr>
              <w:jc w:val="center"/>
              <w:rPr>
                <w:rFonts w:ascii="宋体" w:hAnsi="宋体" w:eastAsia="宋体" w:cs="宋体"/>
                <w:color w:val="000000"/>
                <w:szCs w:val="21"/>
              </w:rPr>
            </w:pPr>
          </w:p>
        </w:tc>
        <w:tc>
          <w:tcPr>
            <w:tcW w:w="11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F9DC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有机废气燃烧净化装置</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A0B84">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废气处理装置</w:t>
            </w:r>
          </w:p>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256B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有机气体中的碳</w:t>
            </w:r>
          </w:p>
        </w:tc>
        <w:tc>
          <w:tcPr>
            <w:tcW w:w="1590" w:type="pct"/>
            <w:vMerge w:val="continue"/>
            <w:tcBorders>
              <w:left w:val="single" w:color="000000" w:sz="4" w:space="0"/>
              <w:right w:val="single" w:color="000000" w:sz="4" w:space="0"/>
            </w:tcBorders>
            <w:shd w:val="clear" w:color="auto" w:fill="auto"/>
            <w:vAlign w:val="center"/>
          </w:tcPr>
          <w:p w14:paraId="76E23561">
            <w:pPr>
              <w:widowControl/>
              <w:jc w:val="left"/>
              <w:textAlignment w:val="center"/>
              <w:rPr>
                <w:rFonts w:ascii="宋体" w:hAnsi="宋体" w:eastAsia="宋体" w:cs="宋体"/>
                <w:color w:val="000000"/>
                <w:szCs w:val="21"/>
              </w:rPr>
            </w:pPr>
          </w:p>
        </w:tc>
      </w:tr>
      <w:tr w14:paraId="76F5BF2B">
        <w:tblPrEx>
          <w:tblCellMar>
            <w:top w:w="0" w:type="dxa"/>
            <w:left w:w="51" w:type="dxa"/>
            <w:bottom w:w="0" w:type="dxa"/>
            <w:right w:w="51" w:type="dxa"/>
          </w:tblCellMar>
        </w:tblPrEx>
        <w:trPr>
          <w:trHeight w:val="264" w:hRule="atLeast"/>
        </w:trPr>
        <w:tc>
          <w:tcPr>
            <w:tcW w:w="709" w:type="pct"/>
            <w:vMerge w:val="continue"/>
            <w:tcBorders>
              <w:left w:val="single" w:color="000000" w:sz="4" w:space="0"/>
              <w:right w:val="single" w:color="000000" w:sz="4" w:space="0"/>
            </w:tcBorders>
            <w:shd w:val="clear" w:color="auto" w:fill="auto"/>
            <w:vAlign w:val="center"/>
          </w:tcPr>
          <w:p w14:paraId="05CA9912">
            <w:pPr>
              <w:jc w:val="center"/>
              <w:rPr>
                <w:rFonts w:ascii="宋体" w:hAnsi="宋体" w:eastAsia="宋体" w:cs="宋体"/>
                <w:color w:val="000000"/>
                <w:szCs w:val="21"/>
              </w:rPr>
            </w:pPr>
          </w:p>
        </w:tc>
        <w:tc>
          <w:tcPr>
            <w:tcW w:w="11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8FA24">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脱硫过程碳酸盐分解产生的二氧化碳排放</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102C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脱硫反应器</w:t>
            </w:r>
          </w:p>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531D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碳酸盐中的碳</w:t>
            </w:r>
          </w:p>
        </w:tc>
        <w:tc>
          <w:tcPr>
            <w:tcW w:w="1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D430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碳酸盐消耗量</w:t>
            </w:r>
          </w:p>
        </w:tc>
      </w:tr>
      <w:tr w14:paraId="692136A2">
        <w:tblPrEx>
          <w:tblCellMar>
            <w:top w:w="0" w:type="dxa"/>
            <w:left w:w="51" w:type="dxa"/>
            <w:bottom w:w="0" w:type="dxa"/>
            <w:right w:w="51" w:type="dxa"/>
          </w:tblCellMar>
        </w:tblPrEx>
        <w:trPr>
          <w:trHeight w:val="264" w:hRule="atLeast"/>
        </w:trPr>
        <w:tc>
          <w:tcPr>
            <w:tcW w:w="709" w:type="pct"/>
            <w:vMerge w:val="continue"/>
            <w:tcBorders>
              <w:left w:val="single" w:color="000000" w:sz="4" w:space="0"/>
              <w:right w:val="single" w:color="000000" w:sz="4" w:space="0"/>
            </w:tcBorders>
            <w:shd w:val="clear" w:color="auto" w:fill="auto"/>
            <w:vAlign w:val="center"/>
          </w:tcPr>
          <w:p w14:paraId="75424EF0">
            <w:pPr>
              <w:jc w:val="center"/>
              <w:rPr>
                <w:rFonts w:ascii="宋体" w:hAnsi="宋体" w:eastAsia="宋体" w:cs="宋体"/>
                <w:color w:val="000000"/>
                <w:szCs w:val="21"/>
              </w:rPr>
            </w:pPr>
          </w:p>
        </w:tc>
        <w:tc>
          <w:tcPr>
            <w:tcW w:w="11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E04C1">
            <w:pPr>
              <w:jc w:val="left"/>
              <w:rPr>
                <w:rFonts w:ascii="宋体" w:hAnsi="宋体" w:eastAsia="宋体" w:cs="宋体"/>
                <w:color w:val="000000"/>
                <w:szCs w:val="21"/>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EA3AB">
            <w:pPr>
              <w:jc w:val="left"/>
              <w:rPr>
                <w:rFonts w:ascii="宋体" w:hAnsi="宋体" w:eastAsia="宋体" w:cs="宋体"/>
                <w:color w:val="000000"/>
                <w:szCs w:val="21"/>
              </w:rPr>
            </w:pP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E651E">
            <w:pPr>
              <w:jc w:val="left"/>
              <w:rPr>
                <w:rFonts w:ascii="宋体" w:hAnsi="宋体" w:eastAsia="宋体" w:cs="宋体"/>
                <w:color w:val="000000"/>
                <w:szCs w:val="21"/>
              </w:rPr>
            </w:pPr>
          </w:p>
        </w:tc>
        <w:tc>
          <w:tcPr>
            <w:tcW w:w="1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DF8B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碳酸盐组分含量</w:t>
            </w:r>
          </w:p>
        </w:tc>
      </w:tr>
      <w:tr w14:paraId="72E68547">
        <w:tblPrEx>
          <w:tblCellMar>
            <w:top w:w="0" w:type="dxa"/>
            <w:left w:w="51" w:type="dxa"/>
            <w:bottom w:w="0" w:type="dxa"/>
            <w:right w:w="51" w:type="dxa"/>
          </w:tblCellMar>
        </w:tblPrEx>
        <w:trPr>
          <w:trHeight w:val="264" w:hRule="atLeast"/>
        </w:trPr>
        <w:tc>
          <w:tcPr>
            <w:tcW w:w="709" w:type="pct"/>
            <w:vMerge w:val="continue"/>
            <w:tcBorders>
              <w:left w:val="single" w:color="000000" w:sz="4" w:space="0"/>
              <w:bottom w:val="single" w:color="000000" w:sz="4" w:space="0"/>
              <w:right w:val="single" w:color="000000" w:sz="4" w:space="0"/>
            </w:tcBorders>
            <w:shd w:val="clear" w:color="auto" w:fill="auto"/>
            <w:vAlign w:val="center"/>
          </w:tcPr>
          <w:p w14:paraId="47998A77">
            <w:pPr>
              <w:jc w:val="center"/>
              <w:rPr>
                <w:rFonts w:ascii="宋体" w:hAnsi="宋体" w:eastAsia="宋体" w:cs="宋体"/>
                <w:color w:val="000000"/>
                <w:szCs w:val="21"/>
              </w:rPr>
            </w:pP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C54E">
            <w:pPr>
              <w:jc w:val="left"/>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污水处理过程中产生的甲烷</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5A429">
            <w:pPr>
              <w:jc w:val="left"/>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厌氧反应工段</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03627">
            <w:pPr>
              <w:jc w:val="left"/>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厌氧生化反应产生的甲烷</w:t>
            </w:r>
          </w:p>
        </w:tc>
        <w:tc>
          <w:tcPr>
            <w:tcW w:w="1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6ADD1">
            <w:pPr>
              <w:widowControl/>
              <w:jc w:val="left"/>
              <w:textAlignment w:val="center"/>
              <w:rPr>
                <w:rFonts w:hint="eastAsia" w:ascii="宋体" w:hAnsi="宋体" w:eastAsia="宋体" w:cs="宋体"/>
                <w:color w:val="000000"/>
                <w:kern w:val="0"/>
                <w:szCs w:val="21"/>
              </w:rPr>
            </w:pPr>
            <w:r>
              <w:rPr>
                <w:rFonts w:hint="eastAsia" w:asciiTheme="minorEastAsia" w:hAnsiTheme="minorEastAsia" w:eastAsiaTheme="minorEastAsia" w:cstheme="minorEastAsia"/>
                <w:kern w:val="24"/>
                <w:szCs w:val="21"/>
              </w:rPr>
              <w:t>污水厌氧处理工段</w:t>
            </w:r>
            <w:r>
              <w:rPr>
                <w:rFonts w:hint="eastAsia" w:asciiTheme="minorEastAsia" w:hAnsiTheme="minorEastAsia" w:cstheme="minorEastAsia"/>
                <w:kern w:val="24"/>
                <w:szCs w:val="21"/>
                <w:lang w:val="en-US" w:eastAsia="zh-CN"/>
              </w:rPr>
              <w:t>处理能力，进水及出水</w:t>
            </w:r>
            <w:r>
              <w:rPr>
                <w:rFonts w:hint="eastAsia" w:asciiTheme="minorEastAsia" w:hAnsiTheme="minorEastAsia" w:eastAsiaTheme="minorEastAsia" w:cstheme="minorEastAsia"/>
                <w:kern w:val="24"/>
                <w:szCs w:val="21"/>
              </w:rPr>
              <w:t>COD</w:t>
            </w:r>
            <w:r>
              <w:rPr>
                <w:rFonts w:hint="eastAsia" w:asciiTheme="minorEastAsia" w:hAnsiTheme="minorEastAsia" w:cstheme="minorEastAsia"/>
                <w:kern w:val="24"/>
                <w:szCs w:val="21"/>
                <w:lang w:eastAsia="zh-CN"/>
              </w:rPr>
              <w:t>；</w:t>
            </w:r>
          </w:p>
        </w:tc>
      </w:tr>
      <w:tr w14:paraId="0236A9DD">
        <w:tblPrEx>
          <w:tblCellMar>
            <w:top w:w="0" w:type="dxa"/>
            <w:left w:w="51" w:type="dxa"/>
            <w:bottom w:w="0" w:type="dxa"/>
            <w:right w:w="51" w:type="dxa"/>
          </w:tblCellMar>
        </w:tblPrEx>
        <w:trPr>
          <w:trHeight w:val="264" w:hRule="atLeast"/>
        </w:trPr>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5E2E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购入和输出的电力及热力产生的排放</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96B4">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购入和输出的电力产生的排放</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A51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锅炉</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0269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化石燃料</w:t>
            </w:r>
          </w:p>
        </w:tc>
        <w:tc>
          <w:tcPr>
            <w:tcW w:w="1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F554F">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购入和输出电量</w:t>
            </w:r>
          </w:p>
        </w:tc>
      </w:tr>
      <w:tr w14:paraId="181235A4">
        <w:tblPrEx>
          <w:tblCellMar>
            <w:top w:w="0" w:type="dxa"/>
            <w:left w:w="51" w:type="dxa"/>
            <w:bottom w:w="0" w:type="dxa"/>
            <w:right w:w="51" w:type="dxa"/>
          </w:tblCellMar>
        </w:tblPrEx>
        <w:trPr>
          <w:trHeight w:val="264" w:hRule="atLeast"/>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79297">
            <w:pPr>
              <w:jc w:val="left"/>
              <w:rPr>
                <w:rFonts w:ascii="宋体" w:hAnsi="宋体" w:eastAsia="宋体" w:cs="宋体"/>
                <w:color w:val="000000"/>
                <w:szCs w:val="21"/>
              </w:rPr>
            </w:pPr>
          </w:p>
        </w:tc>
        <w:tc>
          <w:tcPr>
            <w:tcW w:w="11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A33A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购入和输出的热力产生的排放</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C426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锅炉</w:t>
            </w:r>
          </w:p>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0921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化石燃料</w:t>
            </w:r>
          </w:p>
        </w:tc>
        <w:tc>
          <w:tcPr>
            <w:tcW w:w="1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B88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购入和输出蒸汽量、蒸汽温度、蒸汽压力</w:t>
            </w:r>
          </w:p>
        </w:tc>
      </w:tr>
      <w:tr w14:paraId="31DBC447">
        <w:tblPrEx>
          <w:tblCellMar>
            <w:top w:w="0" w:type="dxa"/>
            <w:left w:w="51" w:type="dxa"/>
            <w:bottom w:w="0" w:type="dxa"/>
            <w:right w:w="51" w:type="dxa"/>
          </w:tblCellMar>
        </w:tblPrEx>
        <w:trPr>
          <w:trHeight w:val="264" w:hRule="atLeast"/>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0A861">
            <w:pPr>
              <w:jc w:val="left"/>
              <w:rPr>
                <w:rFonts w:ascii="宋体" w:hAnsi="宋体" w:eastAsia="宋体" w:cs="宋体"/>
                <w:color w:val="000000"/>
                <w:szCs w:val="21"/>
              </w:rPr>
            </w:pPr>
          </w:p>
        </w:tc>
        <w:tc>
          <w:tcPr>
            <w:tcW w:w="11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81D2E">
            <w:pPr>
              <w:jc w:val="left"/>
              <w:rPr>
                <w:rFonts w:ascii="宋体" w:hAnsi="宋体" w:eastAsia="宋体" w:cs="宋体"/>
                <w:color w:val="000000"/>
                <w:szCs w:val="21"/>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05BDD">
            <w:pPr>
              <w:jc w:val="left"/>
              <w:rPr>
                <w:rFonts w:ascii="宋体" w:hAnsi="宋体" w:eastAsia="宋体" w:cs="宋体"/>
                <w:color w:val="000000"/>
                <w:szCs w:val="21"/>
              </w:rPr>
            </w:pP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4673D">
            <w:pPr>
              <w:jc w:val="left"/>
              <w:rPr>
                <w:rFonts w:ascii="宋体" w:hAnsi="宋体" w:eastAsia="宋体" w:cs="宋体"/>
                <w:color w:val="000000"/>
                <w:szCs w:val="21"/>
              </w:rPr>
            </w:pPr>
          </w:p>
        </w:tc>
        <w:tc>
          <w:tcPr>
            <w:tcW w:w="1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582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购入和输出热水量、热水温度</w:t>
            </w:r>
          </w:p>
        </w:tc>
      </w:tr>
    </w:tbl>
    <w:p w14:paraId="0D9F6ECF">
      <w:pPr>
        <w:pStyle w:val="4"/>
        <w:spacing w:before="157" w:line="360" w:lineRule="auto"/>
        <w:ind w:left="6" w:right="213" w:firstLine="418"/>
        <w:rPr>
          <w:rFonts w:hint="eastAsia"/>
          <w:lang w:val="en-US" w:eastAsia="zh-CN"/>
        </w:rPr>
      </w:pPr>
    </w:p>
    <w:p w14:paraId="146C5F5F">
      <w:pPr>
        <w:pStyle w:val="4"/>
        <w:spacing w:before="157" w:line="360" w:lineRule="auto"/>
        <w:ind w:left="6" w:right="213" w:firstLine="418"/>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14:paraId="32617C81">
      <w:pPr>
        <w:pStyle w:val="21"/>
        <w:numPr>
          <w:ilvl w:val="0"/>
          <w:numId w:val="0"/>
        </w:numPr>
        <w:shd w:val="clear" w:color="FFFFFF" w:fill="auto"/>
        <w:tabs>
          <w:tab w:val="left" w:pos="6406"/>
        </w:tabs>
        <w:snapToGrid w:val="0"/>
        <w:spacing w:beforeLines="0" w:afterLines="0" w:line="312" w:lineRule="auto"/>
        <w:rPr>
          <w:rFonts w:hint="eastAsia" w:eastAsia="黑体"/>
          <w:lang w:eastAsia="zh-CN"/>
        </w:rPr>
      </w:pPr>
      <w:bookmarkStart w:id="39" w:name="_Toc14254"/>
      <w:bookmarkStart w:id="40" w:name="_Toc1928"/>
      <w:bookmarkStart w:id="41" w:name="_Toc7932"/>
      <w:r>
        <w:rPr>
          <w:rFonts w:hint="eastAsia"/>
        </w:rPr>
        <w:t>附录</w:t>
      </w:r>
      <w:r>
        <w:rPr>
          <w:rFonts w:hint="eastAsia"/>
          <w:b w:val="0"/>
          <w:bCs w:val="0"/>
          <w:lang w:eastAsia="zh-CN"/>
        </w:rPr>
        <w:t>B</w:t>
      </w:r>
      <w:bookmarkEnd w:id="39"/>
      <w:bookmarkEnd w:id="40"/>
    </w:p>
    <w:p w14:paraId="610A2752">
      <w:pPr>
        <w:spacing w:line="288" w:lineRule="auto"/>
        <w:jc w:val="center"/>
        <w:rPr>
          <w:rFonts w:ascii="Arial" w:hAnsi="Arial" w:eastAsia="黑体" w:cs="Arial"/>
          <w:szCs w:val="21"/>
        </w:rPr>
      </w:pPr>
      <w:r>
        <w:rPr>
          <w:rFonts w:hint="eastAsia" w:ascii="Arial" w:hAnsi="Arial" w:eastAsia="黑体" w:cs="Arial"/>
          <w:szCs w:val="21"/>
        </w:rPr>
        <w:t>（规范性附录）</w:t>
      </w:r>
    </w:p>
    <w:p w14:paraId="16BCF606">
      <w:pPr>
        <w:spacing w:line="288" w:lineRule="auto"/>
        <w:jc w:val="center"/>
        <w:rPr>
          <w:rFonts w:ascii="Arial" w:hAnsi="Arial" w:eastAsia="黑体" w:cs="Arial"/>
          <w:szCs w:val="21"/>
        </w:rPr>
      </w:pPr>
      <w:r>
        <w:rPr>
          <w:rFonts w:ascii="Arial" w:hAnsi="Arial" w:eastAsia="黑体" w:cs="Arial"/>
          <w:szCs w:val="21"/>
        </w:rPr>
        <w:t>碳排放量计算方法</w:t>
      </w:r>
    </w:p>
    <w:p w14:paraId="23867DF8">
      <w:pPr>
        <w:pStyle w:val="16"/>
        <w:spacing w:beforeLines="50"/>
        <w:outlineLvl w:val="1"/>
        <w:rPr>
          <w:rFonts w:ascii="黑体" w:hAnsi="黑体" w:eastAsia="黑体"/>
          <w:szCs w:val="21"/>
        </w:rPr>
      </w:pPr>
      <w:r>
        <w:rPr>
          <w:rFonts w:hint="eastAsia" w:ascii="黑体" w:hAnsi="黑体" w:eastAsia="黑体"/>
          <w:szCs w:val="21"/>
          <w:lang w:val="en-US" w:eastAsia="zh-CN"/>
        </w:rPr>
        <w:t>B</w:t>
      </w:r>
      <w:r>
        <w:rPr>
          <w:rFonts w:hint="eastAsia" w:ascii="黑体" w:hAnsi="黑体" w:eastAsia="黑体"/>
          <w:szCs w:val="21"/>
        </w:rPr>
        <w:t>.</w:t>
      </w:r>
      <w:r>
        <w:rPr>
          <w:rFonts w:ascii="黑体" w:hAnsi="黑体" w:eastAsia="黑体"/>
          <w:szCs w:val="21"/>
        </w:rPr>
        <w:t>1排放量计算</w:t>
      </w:r>
    </w:p>
    <w:p w14:paraId="74DFE739">
      <w:pPr>
        <w:pStyle w:val="16"/>
        <w:rPr>
          <w:rFonts w:hAnsi="宋体"/>
          <w:szCs w:val="21"/>
        </w:rPr>
      </w:pPr>
      <w:r>
        <w:rPr>
          <w:rFonts w:hint="eastAsia" w:hAnsi="宋体"/>
          <w:szCs w:val="21"/>
        </w:rPr>
        <w:t>煤制合成气和液体燃料</w:t>
      </w:r>
      <w:r>
        <w:rPr>
          <w:rFonts w:hAnsi="宋体"/>
          <w:szCs w:val="21"/>
        </w:rPr>
        <w:t>生产企业的温室气体排放为各个核算单元的化石燃料燃烧产生的二氧化碳排放、生产过程中的二氧化碳排放、购入电力、热力产生的二氧化碳排放之和，同时扣除回收且外供的二氧化碳的量（如果有），以及输出的电力、热力所对应的二氧化碳量（如果有）按式（</w:t>
      </w:r>
      <w:r>
        <w:rPr>
          <w:rFonts w:hint="eastAsia" w:hAnsi="宋体"/>
          <w:szCs w:val="21"/>
        </w:rPr>
        <w:t>B</w:t>
      </w:r>
      <w:r>
        <w:rPr>
          <w:rFonts w:hint="eastAsia" w:asciiTheme="minorEastAsia" w:hAnsiTheme="minorEastAsia" w:eastAsiaTheme="minorEastAsia" w:cstheme="minorEastAsia"/>
          <w:bCs/>
          <w:kern w:val="2"/>
          <w:szCs w:val="21"/>
        </w:rPr>
        <w:t>.1</w:t>
      </w:r>
      <w:r>
        <w:rPr>
          <w:rFonts w:hAnsi="宋体"/>
          <w:szCs w:val="21"/>
        </w:rPr>
        <w:t>）计算</w:t>
      </w:r>
      <w:r>
        <w:rPr>
          <w:rFonts w:hint="eastAsia" w:hAnsi="宋体"/>
          <w:szCs w:val="21"/>
        </w:rPr>
        <w:t>：</w:t>
      </w:r>
    </w:p>
    <w:p w14:paraId="1AF30C44">
      <w:pPr>
        <w:pStyle w:val="16"/>
        <w:jc w:val="right"/>
        <w:rPr>
          <w:rFonts w:hAnsi="宋体"/>
          <w:kern w:val="2"/>
          <w:position w:val="-18"/>
          <w:szCs w:val="21"/>
        </w:rPr>
      </w:pPr>
      <w:r>
        <w:rPr>
          <w:rFonts w:hAnsi="宋体"/>
          <w:position w:val="-16"/>
          <w:szCs w:val="21"/>
        </w:rPr>
        <w:object>
          <v:shape id="_x0000_i1028" o:spt="75" type="#_x0000_t75" style="height:22.6pt;width:342.2pt;" o:ole="t" filled="f" o:preferrelative="t" stroked="f" coordsize="21600,21600">
            <v:path/>
            <v:fill on="f" focussize="0,0"/>
            <v:stroke on="f"/>
            <v:imagedata r:id="rId21" o:title=""/>
            <o:lock v:ext="edit" aspectratio="t"/>
            <w10:wrap type="none"/>
            <w10:anchorlock/>
          </v:shape>
          <o:OLEObject Type="Embed" ProgID="Equation.DSMT4" ShapeID="_x0000_i1028" DrawAspect="Content" ObjectID="_1468075728" r:id="rId20">
            <o:LockedField>false</o:LockedField>
          </o:OLEObject>
        </w:object>
      </w:r>
      <w:r>
        <w:rPr>
          <w:rFonts w:hint="eastAsia" w:hAnsi="宋体"/>
          <w:kern w:val="2"/>
          <w:position w:val="-18"/>
          <w:szCs w:val="21"/>
        </w:rPr>
        <w:t xml:space="preserve">   </w:t>
      </w:r>
      <w:r>
        <w:rPr>
          <w:rFonts w:hint="eastAsia" w:hAnsi="宋体"/>
          <w:kern w:val="2"/>
          <w:position w:val="-18"/>
          <w:szCs w:val="21"/>
          <w:lang w:eastAsia="zh-CN"/>
        </w:rPr>
        <w:t>（</w:t>
      </w:r>
      <w:r>
        <w:rPr>
          <w:rFonts w:hint="eastAsia" w:eastAsia="宋体" w:cs="Times New Roman"/>
          <w:kern w:val="2"/>
          <w:position w:val="-18"/>
          <w:sz w:val="21"/>
          <w:szCs w:val="21"/>
          <w:lang w:val="en-US" w:eastAsia="zh-CN"/>
        </w:rPr>
        <w:t>B</w:t>
      </w:r>
      <w:r>
        <w:rPr>
          <w:rFonts w:hAnsi="宋体"/>
          <w:kern w:val="2"/>
          <w:position w:val="-18"/>
          <w:szCs w:val="21"/>
        </w:rPr>
        <w:t>.1</w:t>
      </w:r>
      <w:r>
        <w:rPr>
          <w:rFonts w:hint="eastAsia" w:hAnsi="宋体"/>
          <w:kern w:val="2"/>
          <w:position w:val="-18"/>
          <w:szCs w:val="21"/>
          <w:lang w:eastAsia="zh-CN"/>
        </w:rPr>
        <w:t>）</w:t>
      </w:r>
    </w:p>
    <w:p w14:paraId="55B46C19">
      <w:pPr>
        <w:pStyle w:val="16"/>
        <w:rPr>
          <w:rFonts w:hAnsi="宋体"/>
          <w:b/>
          <w:szCs w:val="21"/>
        </w:rPr>
      </w:pPr>
      <w:r>
        <w:rPr>
          <w:rFonts w:hAnsi="宋体"/>
          <w:szCs w:val="21"/>
        </w:rPr>
        <w:t>式中</w:t>
      </w:r>
      <w:r>
        <w:rPr>
          <w:rFonts w:hint="eastAsia" w:hAnsi="宋体"/>
          <w:szCs w:val="21"/>
        </w:rPr>
        <w:t>：</w:t>
      </w:r>
    </w:p>
    <w:p w14:paraId="24A5DD1E">
      <w:pPr>
        <w:pStyle w:val="16"/>
        <w:rPr>
          <w:rFonts w:hAnsi="宋体"/>
          <w:b/>
          <w:szCs w:val="21"/>
        </w:rPr>
      </w:pPr>
      <w:r>
        <w:rPr>
          <w:rFonts w:hAnsi="宋体"/>
          <w:i/>
          <w:iCs/>
          <w:szCs w:val="21"/>
        </w:rPr>
        <w:t>E</w:t>
      </w:r>
      <w:r>
        <w:rPr>
          <w:rFonts w:hAnsi="宋体"/>
          <w:szCs w:val="21"/>
        </w:rPr>
        <w:t>—报告主体的温室气体排放总量</w:t>
      </w:r>
      <w:r>
        <w:rPr>
          <w:rFonts w:hint="eastAsia" w:hAnsi="宋体"/>
          <w:szCs w:val="21"/>
        </w:rPr>
        <w:t>，</w:t>
      </w:r>
      <w:r>
        <w:rPr>
          <w:rFonts w:hAnsi="宋体"/>
          <w:szCs w:val="21"/>
        </w:rPr>
        <w:t>单位为吨二氧化碳 （tCO</w:t>
      </w:r>
      <w:r>
        <w:rPr>
          <w:rFonts w:hAnsi="宋体"/>
          <w:szCs w:val="21"/>
          <w:vertAlign w:val="subscript"/>
        </w:rPr>
        <w:t>2</w:t>
      </w:r>
      <w:r>
        <w:rPr>
          <w:rFonts w:hAnsi="宋体"/>
          <w:szCs w:val="21"/>
        </w:rPr>
        <w:t xml:space="preserve">）； </w:t>
      </w:r>
    </w:p>
    <w:p w14:paraId="205EBCBA">
      <w:pPr>
        <w:pStyle w:val="16"/>
        <w:rPr>
          <w:rFonts w:hAnsi="宋体"/>
          <w:b/>
          <w:szCs w:val="21"/>
        </w:rPr>
      </w:pPr>
      <w:r>
        <w:rPr>
          <w:rFonts w:hAnsi="宋体"/>
          <w:i/>
          <w:iCs/>
          <w:szCs w:val="21"/>
        </w:rPr>
        <w:t>E</w:t>
      </w:r>
      <w:r>
        <w:rPr>
          <w:rFonts w:hAnsi="宋体"/>
          <w:i/>
          <w:iCs/>
          <w:szCs w:val="21"/>
          <w:vertAlign w:val="subscript"/>
        </w:rPr>
        <w:t>燃烧，i</w:t>
      </w:r>
      <w:r>
        <w:rPr>
          <w:rFonts w:hAnsi="宋体"/>
          <w:szCs w:val="21"/>
        </w:rPr>
        <w:t>—核算单元i的燃料燃烧产生的二氧化碳排放量</w:t>
      </w:r>
      <w:r>
        <w:rPr>
          <w:rFonts w:hint="eastAsia" w:hAnsi="宋体"/>
          <w:szCs w:val="21"/>
        </w:rPr>
        <w:t>，</w:t>
      </w:r>
      <w:r>
        <w:rPr>
          <w:rFonts w:hAnsi="宋体"/>
          <w:szCs w:val="21"/>
        </w:rPr>
        <w:t>单位为吨二氧化碳 （tCO</w:t>
      </w:r>
      <w:r>
        <w:rPr>
          <w:rFonts w:hAnsi="宋体"/>
          <w:szCs w:val="21"/>
          <w:vertAlign w:val="subscript"/>
        </w:rPr>
        <w:t>2</w:t>
      </w:r>
      <w:r>
        <w:rPr>
          <w:rFonts w:hAnsi="宋体"/>
          <w:szCs w:val="21"/>
        </w:rPr>
        <w:t>）；</w:t>
      </w:r>
    </w:p>
    <w:p w14:paraId="0EAE2F12">
      <w:pPr>
        <w:pStyle w:val="16"/>
        <w:rPr>
          <w:rFonts w:hAnsi="宋体"/>
          <w:b/>
          <w:szCs w:val="21"/>
        </w:rPr>
      </w:pPr>
      <w:r>
        <w:rPr>
          <w:rFonts w:hAnsi="宋体"/>
          <w:i/>
          <w:iCs/>
          <w:szCs w:val="21"/>
        </w:rPr>
        <w:t>E</w:t>
      </w:r>
      <w:r>
        <w:rPr>
          <w:rFonts w:hAnsi="宋体"/>
          <w:i/>
          <w:iCs/>
          <w:szCs w:val="21"/>
          <w:vertAlign w:val="subscript"/>
        </w:rPr>
        <w:t>过程，i</w:t>
      </w:r>
      <w:r>
        <w:rPr>
          <w:rFonts w:hAnsi="宋体"/>
          <w:szCs w:val="21"/>
        </w:rPr>
        <w:t>—核算单元i的工业生产过程产生CO</w:t>
      </w:r>
      <w:r>
        <w:rPr>
          <w:rFonts w:hAnsi="宋体"/>
          <w:szCs w:val="21"/>
          <w:vertAlign w:val="subscript"/>
        </w:rPr>
        <w:t>2</w:t>
      </w:r>
      <w:r>
        <w:rPr>
          <w:rFonts w:hAnsi="宋体"/>
          <w:szCs w:val="21"/>
        </w:rPr>
        <w:t>的排放总量，单位为吨二氧化碳 （tCO</w:t>
      </w:r>
      <w:r>
        <w:rPr>
          <w:rFonts w:hAnsi="宋体"/>
          <w:szCs w:val="21"/>
          <w:vertAlign w:val="subscript"/>
        </w:rPr>
        <w:t>2</w:t>
      </w:r>
      <w:r>
        <w:rPr>
          <w:rFonts w:hAnsi="宋体"/>
          <w:szCs w:val="21"/>
        </w:rPr>
        <w:t>）</w:t>
      </w:r>
      <w:r>
        <w:rPr>
          <w:rFonts w:hint="eastAsia" w:hAnsi="宋体"/>
          <w:szCs w:val="21"/>
        </w:rPr>
        <w:t>；</w:t>
      </w:r>
    </w:p>
    <w:p w14:paraId="48D70F98">
      <w:pPr>
        <w:pStyle w:val="16"/>
        <w:rPr>
          <w:rFonts w:hAnsi="宋体"/>
          <w:b/>
          <w:szCs w:val="21"/>
        </w:rPr>
      </w:pPr>
      <w:r>
        <w:rPr>
          <w:rFonts w:hAnsi="宋体"/>
          <w:i/>
          <w:iCs/>
          <w:szCs w:val="21"/>
        </w:rPr>
        <w:t>E</w:t>
      </w:r>
      <w:r>
        <w:rPr>
          <w:rFonts w:hAnsi="宋体"/>
          <w:i/>
          <w:iCs/>
          <w:szCs w:val="21"/>
          <w:vertAlign w:val="subscript"/>
        </w:rPr>
        <w:t>购入电，i</w:t>
      </w:r>
      <w:r>
        <w:rPr>
          <w:rFonts w:hAnsi="宋体"/>
          <w:szCs w:val="21"/>
        </w:rPr>
        <w:t>—核算单元i的购入电力产生的二氧化碳排放</w:t>
      </w:r>
      <w:r>
        <w:rPr>
          <w:rFonts w:hint="eastAsia" w:hAnsi="宋体"/>
          <w:szCs w:val="21"/>
        </w:rPr>
        <w:t>，</w:t>
      </w:r>
      <w:r>
        <w:rPr>
          <w:rFonts w:hAnsi="宋体"/>
          <w:szCs w:val="21"/>
        </w:rPr>
        <w:t>单位为吨二氧化碳当量（tCO</w:t>
      </w:r>
      <w:r>
        <w:rPr>
          <w:rFonts w:hAnsi="宋体"/>
          <w:szCs w:val="21"/>
          <w:vertAlign w:val="subscript"/>
        </w:rPr>
        <w:t>2</w:t>
      </w:r>
      <w:r>
        <w:rPr>
          <w:rFonts w:hAnsi="宋体"/>
          <w:szCs w:val="21"/>
        </w:rPr>
        <w:t>）</w:t>
      </w:r>
      <w:r>
        <w:rPr>
          <w:rFonts w:hint="eastAsia" w:hAnsi="宋体"/>
          <w:szCs w:val="21"/>
        </w:rPr>
        <w:t>；</w:t>
      </w:r>
    </w:p>
    <w:p w14:paraId="12FFA375">
      <w:pPr>
        <w:pStyle w:val="16"/>
        <w:rPr>
          <w:rFonts w:hAnsi="宋体"/>
          <w:b/>
          <w:szCs w:val="21"/>
        </w:rPr>
      </w:pPr>
      <w:r>
        <w:rPr>
          <w:rFonts w:hAnsi="宋体"/>
          <w:i/>
          <w:iCs/>
          <w:szCs w:val="21"/>
        </w:rPr>
        <w:t>E</w:t>
      </w:r>
      <w:r>
        <w:rPr>
          <w:rFonts w:hAnsi="宋体"/>
          <w:i/>
          <w:iCs/>
          <w:szCs w:val="21"/>
          <w:vertAlign w:val="subscript"/>
        </w:rPr>
        <w:t>购入热，i</w:t>
      </w:r>
      <w:r>
        <w:rPr>
          <w:rFonts w:hint="eastAsia" w:hAnsi="宋体"/>
          <w:i/>
          <w:iCs/>
          <w:szCs w:val="21"/>
          <w:vertAlign w:val="subscript"/>
        </w:rPr>
        <w:t>－</w:t>
      </w:r>
      <w:r>
        <w:rPr>
          <w:rFonts w:hAnsi="宋体"/>
          <w:szCs w:val="21"/>
        </w:rPr>
        <w:t>核算单元i的购入热力产生的二氧化碳排放</w:t>
      </w:r>
      <w:r>
        <w:rPr>
          <w:rFonts w:hint="eastAsia" w:hAnsi="宋体"/>
          <w:szCs w:val="21"/>
        </w:rPr>
        <w:t>，</w:t>
      </w:r>
      <w:r>
        <w:rPr>
          <w:rFonts w:hAnsi="宋体"/>
          <w:szCs w:val="21"/>
        </w:rPr>
        <w:t>单位为吨二氧化碳 （tCO</w:t>
      </w:r>
      <w:r>
        <w:rPr>
          <w:rFonts w:hAnsi="宋体"/>
          <w:szCs w:val="21"/>
          <w:vertAlign w:val="subscript"/>
        </w:rPr>
        <w:t>2</w:t>
      </w:r>
      <w:r>
        <w:rPr>
          <w:rFonts w:hAnsi="宋体"/>
          <w:szCs w:val="21"/>
        </w:rPr>
        <w:t>）</w:t>
      </w:r>
      <w:r>
        <w:rPr>
          <w:rFonts w:hint="eastAsia" w:hAnsi="宋体"/>
          <w:szCs w:val="21"/>
        </w:rPr>
        <w:t>；</w:t>
      </w:r>
    </w:p>
    <w:p w14:paraId="2575A7B3">
      <w:pPr>
        <w:pStyle w:val="16"/>
        <w:rPr>
          <w:rFonts w:hAnsi="宋体"/>
          <w:b/>
          <w:szCs w:val="21"/>
        </w:rPr>
      </w:pPr>
      <w:r>
        <w:rPr>
          <w:rFonts w:hAnsi="宋体"/>
          <w:i/>
          <w:iCs/>
          <w:szCs w:val="21"/>
        </w:rPr>
        <w:t>R</w:t>
      </w:r>
      <w:r>
        <w:rPr>
          <w:rFonts w:hAnsi="宋体"/>
          <w:i/>
          <w:iCs/>
          <w:szCs w:val="21"/>
          <w:vertAlign w:val="subscript"/>
        </w:rPr>
        <w:t>CO2回收，i</w:t>
      </w:r>
      <w:r>
        <w:rPr>
          <w:rFonts w:hAnsi="宋体"/>
          <w:szCs w:val="21"/>
        </w:rPr>
        <w:t>—核算单元i回收且外供的二氧化碳量</w:t>
      </w:r>
      <w:r>
        <w:rPr>
          <w:rFonts w:hint="eastAsia" w:hAnsi="宋体"/>
          <w:szCs w:val="21"/>
        </w:rPr>
        <w:t>，</w:t>
      </w:r>
      <w:r>
        <w:rPr>
          <w:rFonts w:hAnsi="宋体"/>
          <w:szCs w:val="21"/>
        </w:rPr>
        <w:t>单位为吨二氧化碳 （tCO</w:t>
      </w:r>
      <w:r>
        <w:rPr>
          <w:rFonts w:hAnsi="宋体"/>
          <w:szCs w:val="21"/>
          <w:vertAlign w:val="subscript"/>
        </w:rPr>
        <w:t>2</w:t>
      </w:r>
      <w:r>
        <w:rPr>
          <w:rFonts w:hAnsi="宋体"/>
          <w:szCs w:val="21"/>
        </w:rPr>
        <w:t>）</w:t>
      </w:r>
      <w:r>
        <w:rPr>
          <w:rFonts w:hint="eastAsia" w:hAnsi="宋体"/>
          <w:szCs w:val="21"/>
        </w:rPr>
        <w:t>；</w:t>
      </w:r>
    </w:p>
    <w:p w14:paraId="378AE099">
      <w:pPr>
        <w:pStyle w:val="16"/>
        <w:rPr>
          <w:rFonts w:hAnsi="宋体"/>
          <w:b/>
          <w:szCs w:val="21"/>
        </w:rPr>
      </w:pPr>
      <w:r>
        <w:rPr>
          <w:rFonts w:hAnsi="宋体"/>
          <w:i/>
          <w:iCs/>
          <w:szCs w:val="21"/>
        </w:rPr>
        <w:t>E</w:t>
      </w:r>
      <w:r>
        <w:rPr>
          <w:rFonts w:hAnsi="宋体"/>
          <w:i/>
          <w:iCs/>
          <w:szCs w:val="21"/>
          <w:vertAlign w:val="subscript"/>
        </w:rPr>
        <w:t>输出电，i</w:t>
      </w:r>
      <w:r>
        <w:rPr>
          <w:rFonts w:hAnsi="宋体"/>
          <w:szCs w:val="21"/>
        </w:rPr>
        <w:t>—核算单元i的输出电力产生的二氧化碳排放</w:t>
      </w:r>
      <w:r>
        <w:rPr>
          <w:rFonts w:hint="eastAsia" w:hAnsi="宋体"/>
          <w:szCs w:val="21"/>
        </w:rPr>
        <w:t>，</w:t>
      </w:r>
      <w:r>
        <w:rPr>
          <w:rFonts w:hAnsi="宋体"/>
          <w:szCs w:val="21"/>
        </w:rPr>
        <w:t>单位为吨二氧化碳 （tCO</w:t>
      </w:r>
      <w:r>
        <w:rPr>
          <w:rFonts w:hAnsi="宋体"/>
          <w:szCs w:val="21"/>
          <w:vertAlign w:val="subscript"/>
        </w:rPr>
        <w:t>2</w:t>
      </w:r>
      <w:r>
        <w:rPr>
          <w:rFonts w:hAnsi="宋体"/>
          <w:szCs w:val="21"/>
        </w:rPr>
        <w:t>）</w:t>
      </w:r>
      <w:r>
        <w:rPr>
          <w:rFonts w:hint="eastAsia" w:hAnsi="宋体"/>
          <w:szCs w:val="21"/>
        </w:rPr>
        <w:t>；</w:t>
      </w:r>
    </w:p>
    <w:p w14:paraId="7B949B33">
      <w:pPr>
        <w:pStyle w:val="16"/>
        <w:rPr>
          <w:rFonts w:hAnsi="宋体"/>
          <w:b/>
          <w:szCs w:val="21"/>
        </w:rPr>
      </w:pPr>
      <w:r>
        <w:rPr>
          <w:rFonts w:hAnsi="宋体"/>
          <w:i/>
          <w:iCs/>
          <w:szCs w:val="21"/>
        </w:rPr>
        <w:t>E</w:t>
      </w:r>
      <w:r>
        <w:rPr>
          <w:rFonts w:hAnsi="宋体"/>
          <w:i/>
          <w:iCs/>
          <w:szCs w:val="21"/>
          <w:vertAlign w:val="subscript"/>
        </w:rPr>
        <w:t>输出热，i</w:t>
      </w:r>
      <w:r>
        <w:rPr>
          <w:rFonts w:hAnsi="宋体"/>
          <w:szCs w:val="21"/>
        </w:rPr>
        <w:t>—核算单元i的输出热力产生的二氧化碳排放</w:t>
      </w:r>
      <w:r>
        <w:rPr>
          <w:rFonts w:hint="eastAsia" w:hAnsi="宋体"/>
          <w:szCs w:val="21"/>
        </w:rPr>
        <w:t>，</w:t>
      </w:r>
      <w:r>
        <w:rPr>
          <w:rFonts w:hAnsi="宋体"/>
          <w:szCs w:val="21"/>
        </w:rPr>
        <w:t>单位为吨二氧化碳 （tCO</w:t>
      </w:r>
      <w:r>
        <w:rPr>
          <w:rFonts w:hAnsi="宋体"/>
          <w:szCs w:val="21"/>
          <w:vertAlign w:val="subscript"/>
        </w:rPr>
        <w:t>2</w:t>
      </w:r>
      <w:r>
        <w:rPr>
          <w:rFonts w:hAnsi="宋体"/>
          <w:szCs w:val="21"/>
        </w:rPr>
        <w:t>）</w:t>
      </w:r>
      <w:r>
        <w:rPr>
          <w:rFonts w:hint="eastAsia" w:hAnsi="宋体"/>
          <w:szCs w:val="21"/>
        </w:rPr>
        <w:t>；</w:t>
      </w:r>
    </w:p>
    <w:p w14:paraId="72ED882A">
      <w:pPr>
        <w:pStyle w:val="16"/>
        <w:rPr>
          <w:rFonts w:hAnsi="宋体"/>
          <w:szCs w:val="21"/>
        </w:rPr>
      </w:pPr>
      <w:r>
        <w:rPr>
          <w:rFonts w:hAnsi="宋体"/>
          <w:i/>
          <w:iCs/>
          <w:szCs w:val="21"/>
        </w:rPr>
        <w:t>i</w:t>
      </w:r>
      <w:r>
        <w:rPr>
          <w:rFonts w:hAnsi="宋体"/>
          <w:szCs w:val="21"/>
        </w:rPr>
        <w:t>—核算单元编号。</w:t>
      </w:r>
    </w:p>
    <w:p w14:paraId="79238211">
      <w:pPr>
        <w:pStyle w:val="16"/>
        <w:spacing w:beforeLines="50"/>
        <w:outlineLvl w:val="1"/>
        <w:rPr>
          <w:rFonts w:ascii="黑体" w:hAnsi="黑体" w:eastAsia="黑体"/>
          <w:szCs w:val="21"/>
        </w:rPr>
      </w:pPr>
      <w:r>
        <w:rPr>
          <w:rFonts w:hint="eastAsia" w:ascii="黑体" w:hAnsi="黑体" w:eastAsia="黑体"/>
          <w:szCs w:val="21"/>
          <w:lang w:val="en-US" w:eastAsia="zh-CN"/>
        </w:rPr>
        <w:t>B</w:t>
      </w:r>
      <w:r>
        <w:rPr>
          <w:rFonts w:hint="eastAsia" w:ascii="黑体" w:hAnsi="黑体" w:eastAsia="黑体"/>
          <w:szCs w:val="21"/>
        </w:rPr>
        <w:t>.2燃料燃烧排放</w:t>
      </w:r>
    </w:p>
    <w:p w14:paraId="66777489">
      <w:pPr>
        <w:pStyle w:val="16"/>
        <w:rPr>
          <w:rFonts w:hAnsi="宋体"/>
          <w:szCs w:val="21"/>
        </w:rPr>
      </w:pPr>
      <w:r>
        <w:rPr>
          <w:rFonts w:hint="default" w:ascii="Arial" w:hAnsi="Arial" w:cs="Arial"/>
          <w:sz w:val="21"/>
          <w:szCs w:val="21"/>
          <w:lang w:val="en-US" w:eastAsia="zh-CN"/>
        </w:rPr>
        <w:t>消耗</w:t>
      </w:r>
      <w:r>
        <w:rPr>
          <w:rFonts w:hint="default" w:ascii="Arial" w:hAnsi="Arial" w:eastAsia="宋体" w:cs="Arial"/>
          <w:sz w:val="21"/>
          <w:szCs w:val="21"/>
          <w:lang w:val="en-US" w:eastAsia="zh-CN"/>
        </w:rPr>
        <w:t>化石燃料产生的碳排放量</w:t>
      </w:r>
      <w:r>
        <w:rPr>
          <w:rFonts w:hint="default" w:ascii="Arial" w:hAnsi="Arial" w:cs="Arial"/>
          <w:sz w:val="21"/>
          <w:szCs w:val="21"/>
          <w:lang w:val="en-US" w:eastAsia="zh-CN"/>
        </w:rPr>
        <w:t>，</w:t>
      </w:r>
      <w:r>
        <w:rPr>
          <w:rFonts w:hint="default" w:ascii="Arial" w:hAnsi="Arial" w:eastAsia="宋体" w:cs="Arial"/>
          <w:sz w:val="21"/>
          <w:szCs w:val="21"/>
          <w:lang w:val="en-US" w:eastAsia="zh-CN"/>
        </w:rPr>
        <w:t>按照</w:t>
      </w:r>
      <w:r>
        <w:rPr>
          <w:rFonts w:hint="default" w:ascii="Arial" w:hAnsi="Arial" w:cs="Arial"/>
          <w:sz w:val="21"/>
          <w:szCs w:val="21"/>
          <w:lang w:val="en-US" w:eastAsia="zh-CN"/>
        </w:rPr>
        <w:t>每种化石</w:t>
      </w:r>
      <w:r>
        <w:rPr>
          <w:rFonts w:hint="default" w:ascii="Arial" w:hAnsi="Arial" w:eastAsia="宋体" w:cs="Arial"/>
          <w:sz w:val="21"/>
          <w:szCs w:val="21"/>
          <w:lang w:val="en-US" w:eastAsia="zh-CN"/>
        </w:rPr>
        <w:t>燃料</w:t>
      </w:r>
      <w:r>
        <w:rPr>
          <w:rFonts w:hint="default" w:ascii="Arial" w:hAnsi="Arial" w:cs="Arial"/>
          <w:sz w:val="21"/>
          <w:szCs w:val="21"/>
          <w:lang w:val="en-US" w:eastAsia="zh-CN"/>
        </w:rPr>
        <w:t>消耗</w:t>
      </w:r>
      <w:r>
        <w:rPr>
          <w:rFonts w:hint="default" w:ascii="Arial" w:hAnsi="Arial" w:eastAsia="宋体" w:cs="Arial"/>
          <w:sz w:val="21"/>
          <w:szCs w:val="21"/>
          <w:lang w:val="en-US" w:eastAsia="zh-CN"/>
        </w:rPr>
        <w:t>分别计算产生的碳排放量并加总，计算方法</w:t>
      </w:r>
      <w:r>
        <w:rPr>
          <w:rFonts w:hint="default" w:ascii="Arial" w:hAnsi="Arial" w:eastAsia="宋体" w:cs="Arial"/>
          <w:sz w:val="21"/>
          <w:szCs w:val="21"/>
        </w:rPr>
        <w:t>按</w:t>
      </w:r>
      <w:r>
        <w:rPr>
          <w:rFonts w:hint="default" w:ascii="Arial" w:hAnsi="Arial" w:cs="Arial"/>
          <w:sz w:val="21"/>
          <w:szCs w:val="21"/>
          <w:lang w:eastAsia="zh-CN"/>
        </w:rPr>
        <w:t>式</w:t>
      </w:r>
      <w:r>
        <w:rPr>
          <w:rFonts w:hint="default" w:ascii="Arial" w:hAnsi="Arial" w:eastAsia="宋体" w:cs="Arial"/>
          <w:sz w:val="21"/>
          <w:szCs w:val="21"/>
        </w:rPr>
        <w:t>（B</w:t>
      </w:r>
      <w:r>
        <w:rPr>
          <w:rFonts w:hint="eastAsia" w:ascii="Arial" w:hAnsi="Arial" w:cs="Arial"/>
          <w:sz w:val="21"/>
          <w:szCs w:val="21"/>
          <w:lang w:val="en-US" w:eastAsia="zh-CN"/>
        </w:rPr>
        <w:t>.2</w:t>
      </w:r>
      <w:r>
        <w:rPr>
          <w:rFonts w:hint="default" w:ascii="Arial" w:hAnsi="Arial" w:eastAsia="宋体" w:cs="Arial"/>
          <w:sz w:val="21"/>
          <w:szCs w:val="21"/>
        </w:rPr>
        <w:t>）计算</w:t>
      </w:r>
      <w:r>
        <w:rPr>
          <w:rFonts w:hint="eastAsia" w:hAnsi="宋体"/>
          <w:szCs w:val="21"/>
        </w:rPr>
        <w:t>，不包括</w:t>
      </w:r>
      <w:r>
        <w:rPr>
          <w:rFonts w:hAnsi="宋体"/>
          <w:szCs w:val="21"/>
        </w:rPr>
        <w:t>移动燃烧设备</w:t>
      </w:r>
      <w:r>
        <w:rPr>
          <w:rFonts w:hint="eastAsia" w:hAnsi="宋体"/>
          <w:szCs w:val="21"/>
        </w:rPr>
        <w:t>（</w:t>
      </w:r>
      <w:r>
        <w:rPr>
          <w:rFonts w:hAnsi="宋体"/>
          <w:szCs w:val="21"/>
        </w:rPr>
        <w:t>厂内机动车辆</w:t>
      </w:r>
      <w:r>
        <w:rPr>
          <w:rFonts w:hint="eastAsia" w:hAnsi="宋体"/>
          <w:szCs w:val="21"/>
        </w:rPr>
        <w:t>）</w:t>
      </w:r>
      <w:r>
        <w:rPr>
          <w:rFonts w:hAnsi="宋体"/>
          <w:szCs w:val="21"/>
        </w:rPr>
        <w:t>产生的二氧化碳排放。</w:t>
      </w:r>
      <w:r>
        <w:rPr>
          <w:rFonts w:hint="eastAsia" w:hAnsi="宋体"/>
          <w:szCs w:val="21"/>
        </w:rPr>
        <w:t>不包括</w:t>
      </w:r>
      <w:r>
        <w:rPr>
          <w:rFonts w:hAnsi="宋体"/>
          <w:szCs w:val="21"/>
        </w:rPr>
        <w:t>移动燃烧设备</w:t>
      </w:r>
      <w:r>
        <w:rPr>
          <w:rFonts w:hint="eastAsia" w:hAnsi="宋体"/>
          <w:szCs w:val="21"/>
        </w:rPr>
        <w:t>（</w:t>
      </w:r>
      <w:r>
        <w:rPr>
          <w:rFonts w:hAnsi="宋体"/>
          <w:szCs w:val="21"/>
        </w:rPr>
        <w:t>厂内机动车辆</w:t>
      </w:r>
      <w:r>
        <w:rPr>
          <w:rFonts w:hint="eastAsia" w:hAnsi="宋体"/>
          <w:szCs w:val="21"/>
        </w:rPr>
        <w:t>）</w:t>
      </w:r>
      <w:r>
        <w:rPr>
          <w:rFonts w:hAnsi="宋体"/>
          <w:szCs w:val="21"/>
        </w:rPr>
        <w:t>产生的二氧化碳排放。</w:t>
      </w:r>
    </w:p>
    <w:p w14:paraId="701E61F2">
      <w:pPr>
        <w:pStyle w:val="9"/>
        <w:spacing w:beforeAutospacing="0" w:afterAutospacing="0" w:line="240" w:lineRule="auto"/>
        <w:ind w:firstLine="0" w:firstLineChars="0"/>
        <w:jc w:val="right"/>
        <w:rPr>
          <w:rFonts w:eastAsia="宋体" w:cs="Times New Roman"/>
          <w:bCs/>
          <w:szCs w:val="21"/>
        </w:rPr>
      </w:pPr>
      <w:r>
        <w:rPr>
          <w:rFonts w:hint="default" w:ascii="Times New Roman" w:hAnsi="Times New Roman" w:eastAsia="宋体" w:cs="Times New Roman"/>
          <w:position w:val="-28"/>
          <w:sz w:val="21"/>
          <w:szCs w:val="21"/>
        </w:rPr>
        <w:object>
          <v:shape id="_x0000_i1029" o:spt="75" type="#_x0000_t75" style="height:33.8pt;width:250.85pt;" o:ole="t" filled="f" o:preferrelative="t" stroked="f" coordsize="21600,21600">
            <v:path/>
            <v:fill on="f" focussize="0,0"/>
            <v:stroke on="f"/>
            <v:imagedata r:id="rId23" o:title=""/>
            <o:lock v:ext="edit" aspectratio="t"/>
            <w10:wrap type="none"/>
            <w10:anchorlock/>
          </v:shape>
          <o:OLEObject Type="Embed" ProgID="Equation.KSEE3" ShapeID="_x0000_i1029" DrawAspect="Content" ObjectID="_1468075729" r:id="rId22">
            <o:LockedField>false</o:LockedField>
          </o:OLEObject>
        </w:object>
      </w:r>
      <w:r>
        <w:rPr>
          <w:rFonts w:hint="eastAsia" w:ascii="Times New Roman" w:hAnsi="Times New Roman" w:eastAsia="宋体" w:cs="Times New Roman"/>
          <w:position w:val="-28"/>
          <w:sz w:val="21"/>
          <w:szCs w:val="21"/>
          <w:lang w:val="en-US" w:eastAsia="zh-CN"/>
        </w:rPr>
        <w:t xml:space="preserve">            </w:t>
      </w:r>
      <w:r>
        <w:rPr>
          <w:rFonts w:eastAsia="宋体" w:cs="Times New Roman"/>
          <w:kern w:val="2"/>
          <w:position w:val="-18"/>
          <w:sz w:val="21"/>
          <w:szCs w:val="21"/>
        </w:rPr>
        <w:t>（</w:t>
      </w:r>
      <w:r>
        <w:rPr>
          <w:rFonts w:hint="eastAsia" w:eastAsia="宋体" w:cs="Times New Roman"/>
          <w:kern w:val="2"/>
          <w:position w:val="-18"/>
          <w:sz w:val="21"/>
          <w:szCs w:val="21"/>
          <w:lang w:val="en-US" w:eastAsia="zh-CN"/>
        </w:rPr>
        <w:t>B</w:t>
      </w:r>
      <w:r>
        <w:rPr>
          <w:rFonts w:eastAsia="宋体" w:cs="Times New Roman"/>
          <w:kern w:val="2"/>
          <w:position w:val="-18"/>
          <w:sz w:val="21"/>
          <w:szCs w:val="21"/>
        </w:rPr>
        <w:t>.2</w:t>
      </w:r>
      <w:r>
        <w:rPr>
          <w:rFonts w:hint="eastAsia" w:eastAsia="宋体" w:cs="Times New Roman"/>
          <w:kern w:val="2"/>
          <w:position w:val="-18"/>
          <w:sz w:val="21"/>
          <w:szCs w:val="21"/>
        </w:rPr>
        <w:t>）</w:t>
      </w:r>
    </w:p>
    <w:p w14:paraId="0F69CE9B">
      <w:pPr>
        <w:pStyle w:val="16"/>
        <w:rPr>
          <w:rFonts w:hAnsi="宋体"/>
          <w:b/>
          <w:szCs w:val="21"/>
        </w:rPr>
      </w:pPr>
      <w:r>
        <w:rPr>
          <w:rFonts w:hAnsi="宋体"/>
          <w:szCs w:val="21"/>
        </w:rPr>
        <w:t>式中</w:t>
      </w:r>
      <w:r>
        <w:rPr>
          <w:rFonts w:hint="eastAsia" w:hAnsi="宋体"/>
          <w:szCs w:val="21"/>
        </w:rPr>
        <w:t>：</w:t>
      </w:r>
    </w:p>
    <w:p w14:paraId="2695AA66">
      <w:pPr>
        <w:pStyle w:val="16"/>
        <w:rPr>
          <w:rFonts w:asciiTheme="minorEastAsia" w:hAnsiTheme="minorEastAsia" w:eastAsiaTheme="minorEastAsia" w:cstheme="minorEastAsia"/>
          <w:b/>
          <w:szCs w:val="21"/>
        </w:rPr>
      </w:pPr>
      <m:oMath>
        <m:sSub>
          <m:sSubPr>
            <m:ctrlPr>
              <w:rPr>
                <w:rFonts w:hint="eastAsia" w:ascii="Cambria Math" w:hAnsi="Cambria Math" w:eastAsiaTheme="minorEastAsia" w:cstheme="minorEastAsia"/>
                <w:i/>
                <w:kern w:val="24"/>
                <w:szCs w:val="21"/>
              </w:rPr>
            </m:ctrlPr>
          </m:sSubPr>
          <m:e>
            <m:r>
              <m:rPr/>
              <w:rPr>
                <w:rFonts w:hint="eastAsia" w:ascii="Cambria Math" w:hAnsi="Cambria Math" w:eastAsiaTheme="minorEastAsia" w:cstheme="minorEastAsia"/>
                <w:color w:val="000000" w:themeColor="text1"/>
                <w:kern w:val="24"/>
                <w:szCs w:val="21"/>
                <w14:textFill>
                  <w14:solidFill>
                    <w14:schemeClr w14:val="tx1"/>
                  </w14:solidFill>
                </w14:textFill>
              </w:rPr>
              <m:t>E</m:t>
            </m:r>
            <m:ctrlPr>
              <w:rPr>
                <w:rFonts w:hint="eastAsia" w:ascii="Cambria Math" w:hAnsi="Cambria Math" w:eastAsiaTheme="minorEastAsia" w:cstheme="minorEastAsia"/>
                <w:i/>
                <w:kern w:val="24"/>
                <w:szCs w:val="21"/>
              </w:rPr>
            </m:ctrlPr>
          </m:e>
          <m:sub>
            <m:r>
              <m:rPr/>
              <w:rPr>
                <w:rFonts w:hint="eastAsia" w:ascii="Cambria Math" w:hAnsi="Cambria Math" w:eastAsiaTheme="minorEastAsia" w:cstheme="minorEastAsia"/>
                <w:color w:val="000000" w:themeColor="text1"/>
                <w:kern w:val="24"/>
                <w:szCs w:val="21"/>
                <w14:textFill>
                  <w14:solidFill>
                    <w14:schemeClr w14:val="tx1"/>
                  </w14:solidFill>
                </w14:textFill>
              </w:rPr>
              <m:t>燃烧</m:t>
            </m:r>
            <m:ctrlPr>
              <w:rPr>
                <w:rFonts w:hint="eastAsia" w:ascii="Cambria Math" w:hAnsi="Cambria Math" w:eastAsiaTheme="minorEastAsia" w:cstheme="minorEastAsia"/>
                <w:i/>
                <w:kern w:val="24"/>
                <w:szCs w:val="21"/>
              </w:rPr>
            </m:ctrlPr>
          </m:sub>
        </m:sSub>
      </m:oMath>
      <w:r>
        <w:rPr>
          <w:rFonts w:hint="eastAsia" w:asciiTheme="minorEastAsia" w:hAnsiTheme="minorEastAsia" w:eastAsiaTheme="minorEastAsia" w:cstheme="minorEastAsia"/>
          <w:szCs w:val="21"/>
        </w:rPr>
        <w:t>—项目燃料燃烧产生的二氧化碳排放量，煤制合成气和液体燃料项目主要考虑燃煤动力锅炉，若项目采用其他外购燃料，也一并考虑，单位为吨二氧化碳（tCO</w:t>
      </w:r>
      <w:r>
        <w:rPr>
          <w:rFonts w:hint="eastAsia" w:asciiTheme="minorEastAsia" w:hAnsiTheme="minorEastAsia" w:eastAsiaTheme="minorEastAsia" w:cstheme="minorEastAsia"/>
          <w:szCs w:val="21"/>
          <w:vertAlign w:val="subscript"/>
        </w:rPr>
        <w:t>2</w:t>
      </w:r>
      <w:r>
        <w:rPr>
          <w:rFonts w:hint="eastAsia" w:asciiTheme="minorEastAsia" w:hAnsiTheme="minorEastAsia" w:eastAsiaTheme="minorEastAsia" w:cstheme="minorEastAsia"/>
          <w:szCs w:val="21"/>
        </w:rPr>
        <w:t>）；</w:t>
      </w:r>
    </w:p>
    <w:p w14:paraId="27647D1D">
      <w:pPr>
        <w:pStyle w:val="16"/>
        <w:rPr>
          <w:rFonts w:hint="eastAsia" w:hAnsi="Cambria Math" w:eastAsiaTheme="minorEastAsia" w:cstheme="minorEastAsia"/>
          <w:i w:val="0"/>
          <w:kern w:val="24"/>
          <w:szCs w:val="21"/>
        </w:rPr>
      </w:pPr>
      <w:r>
        <w:rPr>
          <w:rFonts w:hint="eastAsia" w:hAnsi="Cambria Math" w:eastAsiaTheme="minorEastAsia" w:cstheme="minorEastAsia"/>
          <w:i/>
          <w:iCs/>
          <w:kern w:val="24"/>
          <w:szCs w:val="21"/>
        </w:rPr>
        <w:t>AD</w:t>
      </w:r>
      <w:r>
        <w:rPr>
          <w:rFonts w:hint="eastAsia" w:hAnsi="Cambria Math" w:eastAsiaTheme="minorEastAsia" w:cstheme="minorEastAsia"/>
          <w:i/>
          <w:iCs/>
          <w:kern w:val="24"/>
          <w:szCs w:val="21"/>
          <w:vertAlign w:val="subscript"/>
        </w:rPr>
        <w:t>i</w:t>
      </w:r>
      <w:r>
        <w:rPr>
          <w:rFonts w:hint="eastAsia" w:hAnsi="Cambria Math" w:eastAsiaTheme="minorEastAsia" w:cstheme="minorEastAsia"/>
          <w:i w:val="0"/>
          <w:kern w:val="24"/>
          <w:szCs w:val="21"/>
        </w:rPr>
        <w:t>—第i种化石燃料的活动数据，单位为吉焦（GJ）；</w:t>
      </w:r>
    </w:p>
    <w:p w14:paraId="3866B5CA">
      <w:pPr>
        <w:pStyle w:val="16"/>
        <w:rPr>
          <w:rFonts w:hint="eastAsia" w:hAnsi="Cambria Math" w:eastAsiaTheme="minorEastAsia" w:cstheme="minorEastAsia"/>
          <w:i w:val="0"/>
          <w:kern w:val="24"/>
          <w:szCs w:val="21"/>
        </w:rPr>
      </w:pPr>
      <w:r>
        <w:rPr>
          <w:rFonts w:hint="eastAsia" w:hAnsi="Cambria Math" w:eastAsiaTheme="minorEastAsia" w:cstheme="minorEastAsia"/>
          <w:i/>
          <w:iCs/>
          <w:kern w:val="24"/>
          <w:szCs w:val="21"/>
        </w:rPr>
        <w:t>EF</w:t>
      </w:r>
      <w:r>
        <w:rPr>
          <w:rFonts w:hint="eastAsia" w:hAnsi="Cambria Math" w:eastAsiaTheme="minorEastAsia" w:cstheme="minorEastAsia"/>
          <w:i/>
          <w:iCs/>
          <w:kern w:val="24"/>
          <w:szCs w:val="21"/>
          <w:vertAlign w:val="subscript"/>
        </w:rPr>
        <w:t>i</w:t>
      </w:r>
      <w:r>
        <w:rPr>
          <w:rFonts w:hint="eastAsia" w:hAnsi="Cambria Math" w:eastAsiaTheme="minorEastAsia" w:cstheme="minorEastAsia"/>
          <w:i w:val="0"/>
          <w:kern w:val="24"/>
          <w:szCs w:val="21"/>
        </w:rPr>
        <w:t>—第i种化石燃料的二氧化碳排放因子，单位为吨碳/吉焦（tC/GJ）；</w:t>
      </w:r>
    </w:p>
    <w:p w14:paraId="4AD104C7">
      <w:pPr>
        <w:pStyle w:val="16"/>
        <w:rPr>
          <w:rFonts w:hint="eastAsia" w:hAnsi="Cambria Math" w:eastAsiaTheme="minorEastAsia" w:cstheme="minorEastAsia"/>
          <w:i w:val="0"/>
          <w:kern w:val="24"/>
          <w:szCs w:val="21"/>
        </w:rPr>
      </w:pPr>
      <w:r>
        <w:rPr>
          <w:rFonts w:hint="eastAsia" w:hAnsi="Cambria Math" w:eastAsiaTheme="minorEastAsia" w:cstheme="minorEastAsia"/>
          <w:i/>
          <w:iCs/>
          <w:kern w:val="24"/>
          <w:szCs w:val="21"/>
        </w:rPr>
        <w:t>CC</w:t>
      </w:r>
      <w:r>
        <w:rPr>
          <w:rFonts w:hint="eastAsia" w:hAnsi="Cambria Math" w:eastAsiaTheme="minorEastAsia" w:cstheme="minorEastAsia"/>
          <w:i/>
          <w:iCs/>
          <w:kern w:val="24"/>
          <w:szCs w:val="21"/>
          <w:vertAlign w:val="subscript"/>
        </w:rPr>
        <w:t>i</w:t>
      </w:r>
      <w:r>
        <w:rPr>
          <w:rFonts w:hint="eastAsia" w:hAnsi="Cambria Math" w:eastAsiaTheme="minorEastAsia" w:cstheme="minorEastAsia"/>
          <w:i w:val="0"/>
          <w:kern w:val="24"/>
          <w:szCs w:val="21"/>
        </w:rPr>
        <w:t>—第i种化石燃料的单位热值含碳量，单位为吨碳/吉焦（tC/GJ），现有工程单位热值含碳量优先采用燃料的实测数据进行计算，无实测数据的现有工程和拟建工程采用附录E取值；</w:t>
      </w:r>
    </w:p>
    <w:p w14:paraId="66E3C4E3">
      <w:pPr>
        <w:pStyle w:val="16"/>
        <w:rPr>
          <w:rFonts w:hint="eastAsia" w:hAnsi="Cambria Math" w:eastAsiaTheme="minorEastAsia" w:cstheme="minorEastAsia"/>
          <w:i w:val="0"/>
          <w:kern w:val="24"/>
          <w:szCs w:val="21"/>
        </w:rPr>
      </w:pPr>
      <w:r>
        <w:rPr>
          <w:rFonts w:hint="eastAsia" w:hAnsi="Cambria Math" w:eastAsiaTheme="minorEastAsia" w:cstheme="minorEastAsia"/>
          <w:i/>
          <w:iCs/>
          <w:kern w:val="24"/>
          <w:szCs w:val="21"/>
        </w:rPr>
        <w:t>OF</w:t>
      </w:r>
      <w:r>
        <w:rPr>
          <w:rFonts w:hint="eastAsia" w:hAnsi="Cambria Math" w:eastAsiaTheme="minorEastAsia" w:cstheme="minorEastAsia"/>
          <w:i/>
          <w:iCs/>
          <w:kern w:val="24"/>
          <w:szCs w:val="21"/>
          <w:vertAlign w:val="subscript"/>
        </w:rPr>
        <w:t>i</w:t>
      </w:r>
      <w:r>
        <w:rPr>
          <w:rFonts w:hint="eastAsia" w:hAnsi="Cambria Math" w:eastAsiaTheme="minorEastAsia" w:cstheme="minorEastAsia"/>
          <w:i w:val="0"/>
          <w:kern w:val="24"/>
          <w:szCs w:val="21"/>
        </w:rPr>
        <w:t>—第i种化石燃料的碳氧化率，以%表示，取值见附录</w:t>
      </w:r>
      <w:r>
        <w:rPr>
          <w:rFonts w:hint="eastAsia" w:hAnsi="Cambria Math" w:eastAsiaTheme="minorEastAsia" w:cstheme="minorEastAsia"/>
          <w:i w:val="0"/>
          <w:kern w:val="24"/>
          <w:szCs w:val="21"/>
          <w:lang w:val="en-US" w:eastAsia="zh-CN"/>
        </w:rPr>
        <w:t>F</w:t>
      </w:r>
      <w:r>
        <w:rPr>
          <w:rFonts w:hint="eastAsia" w:hAnsi="Cambria Math" w:eastAsiaTheme="minorEastAsia" w:cstheme="minorEastAsia"/>
          <w:i w:val="0"/>
          <w:kern w:val="24"/>
          <w:szCs w:val="21"/>
        </w:rPr>
        <w:t>。</w:t>
      </w:r>
    </w:p>
    <w:p w14:paraId="43C6200B">
      <w:pPr>
        <w:pStyle w:val="16"/>
        <w:spacing w:beforeLines="50"/>
        <w:rPr>
          <w:rFonts w:ascii="仿宋_GB2312" w:hAnsi="仿宋_GB2312" w:eastAsia="仿宋_GB2312" w:cs="仿宋_GB2312"/>
          <w:sz w:val="28"/>
          <w:szCs w:val="28"/>
        </w:rPr>
      </w:pPr>
      <w:r>
        <w:rPr>
          <w:rFonts w:hint="eastAsia" w:asciiTheme="minorEastAsia" w:hAnsiTheme="minorEastAsia" w:eastAsiaTheme="minorEastAsia" w:cstheme="minorEastAsia"/>
          <w:i/>
          <w:iCs/>
          <w:szCs w:val="21"/>
        </w:rPr>
        <w:t>44/12</w:t>
      </w:r>
      <w:r>
        <w:rPr>
          <w:rFonts w:hint="eastAsia" w:asciiTheme="minorEastAsia" w:hAnsiTheme="minorEastAsia" w:eastAsiaTheme="minorEastAsia" w:cstheme="minorEastAsia"/>
          <w:szCs w:val="21"/>
        </w:rPr>
        <w:t>—二氧化碳与碳的相对分子质量之比</w:t>
      </w:r>
    </w:p>
    <w:p w14:paraId="75BB2EF7">
      <w:pPr>
        <w:pStyle w:val="16"/>
        <w:spacing w:beforeLines="50"/>
        <w:outlineLvl w:val="1"/>
        <w:rPr>
          <w:rFonts w:ascii="黑体" w:hAnsi="黑体" w:eastAsia="黑体"/>
          <w:szCs w:val="21"/>
        </w:rPr>
      </w:pPr>
      <w:r>
        <w:rPr>
          <w:rFonts w:hint="eastAsia" w:ascii="黑体" w:hAnsi="黑体" w:eastAsia="黑体"/>
          <w:szCs w:val="21"/>
          <w:lang w:val="en-US" w:eastAsia="zh-CN"/>
        </w:rPr>
        <w:t>B</w:t>
      </w:r>
      <w:r>
        <w:rPr>
          <w:rFonts w:hint="eastAsia" w:ascii="黑体" w:hAnsi="黑体" w:eastAsia="黑体"/>
          <w:szCs w:val="21"/>
        </w:rPr>
        <w:t>.3过程排放</w:t>
      </w:r>
    </w:p>
    <w:p w14:paraId="7404918A">
      <w:pPr>
        <w:pStyle w:val="16"/>
        <w:rPr>
          <w:rFonts w:hAnsi="宋体"/>
          <w:szCs w:val="21"/>
        </w:rPr>
      </w:pPr>
      <w:r>
        <w:rPr>
          <w:rFonts w:hAnsi="宋体"/>
          <w:szCs w:val="21"/>
        </w:rPr>
        <w:t>过程排放</w:t>
      </w:r>
      <w:r>
        <w:rPr>
          <w:rFonts w:hint="eastAsia" w:hAnsi="宋体"/>
          <w:szCs w:val="21"/>
        </w:rPr>
        <w:t>包括煤化工生产过程</w:t>
      </w:r>
      <w:r>
        <w:rPr>
          <w:rFonts w:hAnsi="宋体"/>
          <w:szCs w:val="21"/>
        </w:rPr>
        <w:t>产生的二氧化碳排放以及碳酸盐使用过程（如石灰石、白云石等用作原材料、助熔剂或脱硫剂等）分解产生的二氧化碳排放。</w:t>
      </w:r>
    </w:p>
    <w:p w14:paraId="04AADFF0">
      <w:pPr>
        <w:pStyle w:val="16"/>
        <w:jc w:val="right"/>
        <w:rPr>
          <w:rFonts w:hAnsi="宋体"/>
          <w:kern w:val="2"/>
          <w:position w:val="-18"/>
          <w:szCs w:val="21"/>
        </w:rPr>
      </w:pPr>
      <w:r>
        <w:rPr>
          <w:rFonts w:hAnsi="宋体"/>
          <w:position w:val="-14"/>
          <w:szCs w:val="21"/>
        </w:rPr>
        <w:object>
          <v:shape id="_x0000_i1030" o:spt="75" type="#_x0000_t75" style="height:21pt;width:104.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hAnsi="宋体"/>
          <w:kern w:val="2"/>
          <w:position w:val="-18"/>
          <w:szCs w:val="21"/>
        </w:rPr>
        <w:t xml:space="preserve">                          (</w:t>
      </w:r>
      <w:r>
        <w:rPr>
          <w:rFonts w:hint="eastAsia" w:hAnsi="宋体"/>
          <w:kern w:val="2"/>
          <w:position w:val="-18"/>
          <w:szCs w:val="21"/>
          <w:lang w:val="en-US" w:eastAsia="zh-CN"/>
        </w:rPr>
        <w:t>B</w:t>
      </w:r>
      <w:r>
        <w:rPr>
          <w:rFonts w:hAnsi="宋体"/>
          <w:kern w:val="2"/>
          <w:position w:val="-18"/>
          <w:szCs w:val="21"/>
        </w:rPr>
        <w:t>.</w:t>
      </w:r>
      <w:r>
        <w:rPr>
          <w:rFonts w:hint="eastAsia" w:hAnsi="宋体"/>
          <w:kern w:val="2"/>
          <w:position w:val="-18"/>
          <w:szCs w:val="21"/>
        </w:rPr>
        <w:t>3)</w:t>
      </w:r>
    </w:p>
    <w:p w14:paraId="181BEDF8">
      <w:pPr>
        <w:pStyle w:val="16"/>
        <w:rPr>
          <w:rFonts w:hAnsi="宋体"/>
          <w:b/>
          <w:szCs w:val="21"/>
        </w:rPr>
      </w:pPr>
      <w:r>
        <w:rPr>
          <w:rFonts w:hAnsi="宋体"/>
          <w:szCs w:val="21"/>
        </w:rPr>
        <w:t>式中</w:t>
      </w:r>
      <w:r>
        <w:rPr>
          <w:rFonts w:hint="eastAsia" w:hAnsi="宋体"/>
          <w:szCs w:val="21"/>
        </w:rPr>
        <w:t>：</w:t>
      </w:r>
    </w:p>
    <w:p w14:paraId="39CD3B97">
      <w:pPr>
        <w:pStyle w:val="16"/>
        <w:rPr>
          <w:rFonts w:hAnsi="宋体"/>
          <w:b/>
          <w:szCs w:val="21"/>
        </w:rPr>
      </w:pPr>
      <w:r>
        <w:rPr>
          <w:rFonts w:hAnsi="宋体"/>
          <w:szCs w:val="21"/>
        </w:rPr>
        <w:t>E</w:t>
      </w:r>
      <w:r>
        <w:rPr>
          <w:rFonts w:hAnsi="宋体"/>
          <w:szCs w:val="21"/>
          <w:vertAlign w:val="subscript"/>
        </w:rPr>
        <w:t>过程，i</w:t>
      </w:r>
      <w:r>
        <w:rPr>
          <w:rFonts w:hAnsi="宋体"/>
          <w:szCs w:val="21"/>
        </w:rPr>
        <w:t>—核算期内核算单元i的工业生产过程产生的二氧化碳排放总量，单位为吨二氧化碳 （tCO</w:t>
      </w:r>
      <w:r>
        <w:rPr>
          <w:rFonts w:hAnsi="宋体"/>
          <w:szCs w:val="21"/>
          <w:vertAlign w:val="subscript"/>
        </w:rPr>
        <w:t>2</w:t>
      </w:r>
      <w:r>
        <w:rPr>
          <w:rFonts w:hAnsi="宋体"/>
          <w:szCs w:val="21"/>
        </w:rPr>
        <w:t>）</w:t>
      </w:r>
      <w:r>
        <w:rPr>
          <w:rFonts w:hint="eastAsia" w:hAnsi="宋体"/>
          <w:szCs w:val="21"/>
        </w:rPr>
        <w:t>；</w:t>
      </w:r>
    </w:p>
    <w:p w14:paraId="2E5FB3B9">
      <w:pPr>
        <w:pStyle w:val="16"/>
        <w:rPr>
          <w:rFonts w:hAnsi="宋体"/>
          <w:b/>
          <w:szCs w:val="21"/>
        </w:rPr>
      </w:pPr>
      <w:r>
        <w:rPr>
          <w:rFonts w:hAnsi="宋体"/>
          <w:i/>
          <w:iCs/>
          <w:szCs w:val="21"/>
        </w:rPr>
        <w:t>E</w:t>
      </w:r>
      <w:r>
        <w:rPr>
          <w:rFonts w:hAnsi="宋体"/>
          <w:i/>
          <w:iCs/>
          <w:szCs w:val="21"/>
          <w:vertAlign w:val="subscript"/>
        </w:rPr>
        <w:t>原料，i</w:t>
      </w:r>
      <w:r>
        <w:rPr>
          <w:rFonts w:hAnsi="宋体"/>
          <w:szCs w:val="21"/>
        </w:rPr>
        <w:t>—核算期内核算单元i的化石燃料和其他碳氢化合物用作原料产生的二氧化碳排放，单位为吨二氧化碳（tCO</w:t>
      </w:r>
      <w:r>
        <w:rPr>
          <w:rFonts w:hAnsi="宋体"/>
          <w:szCs w:val="21"/>
          <w:vertAlign w:val="subscript"/>
        </w:rPr>
        <w:t>2</w:t>
      </w:r>
      <w:r>
        <w:rPr>
          <w:rFonts w:hAnsi="宋体"/>
          <w:szCs w:val="21"/>
        </w:rPr>
        <w:t>）</w:t>
      </w:r>
      <w:r>
        <w:rPr>
          <w:rFonts w:hint="eastAsia" w:hAnsi="宋体"/>
          <w:szCs w:val="21"/>
        </w:rPr>
        <w:t>；</w:t>
      </w:r>
    </w:p>
    <w:p w14:paraId="36AEFC0C">
      <w:pPr>
        <w:pStyle w:val="16"/>
        <w:rPr>
          <w:rFonts w:hAnsi="宋体"/>
          <w:szCs w:val="21"/>
        </w:rPr>
      </w:pPr>
      <w:r>
        <w:rPr>
          <w:rFonts w:hAnsi="宋体"/>
          <w:i/>
          <w:iCs/>
          <w:szCs w:val="21"/>
        </w:rPr>
        <w:t>E</w:t>
      </w:r>
      <w:r>
        <w:rPr>
          <w:rFonts w:hAnsi="宋体"/>
          <w:i/>
          <w:iCs/>
          <w:szCs w:val="21"/>
          <w:vertAlign w:val="subscript"/>
        </w:rPr>
        <w:t>碳酸盐，i</w:t>
      </w:r>
      <w:r>
        <w:rPr>
          <w:rFonts w:hAnsi="宋体"/>
          <w:szCs w:val="21"/>
        </w:rPr>
        <w:t>—核算期内核算单元i的碳酸盐使用过</w:t>
      </w:r>
      <w:r>
        <w:rPr>
          <w:rFonts w:hint="eastAsia" w:hAnsi="宋体"/>
          <w:szCs w:val="21"/>
          <w:lang w:eastAsia="zh-CN"/>
        </w:rPr>
        <w:t>程中</w:t>
      </w:r>
      <w:r>
        <w:rPr>
          <w:rFonts w:hAnsi="宋体"/>
          <w:szCs w:val="21"/>
        </w:rPr>
        <w:t>产生的二氧化碳排放</w:t>
      </w:r>
      <w:r>
        <w:rPr>
          <w:rFonts w:hint="eastAsia" w:hAnsi="宋体"/>
          <w:szCs w:val="21"/>
        </w:rPr>
        <w:t>，</w:t>
      </w:r>
      <w:r>
        <w:rPr>
          <w:rFonts w:hAnsi="宋体"/>
          <w:szCs w:val="21"/>
        </w:rPr>
        <w:t>单位为吨二氧化碳（tCO</w:t>
      </w:r>
      <w:r>
        <w:rPr>
          <w:rFonts w:hAnsi="宋体"/>
          <w:szCs w:val="21"/>
          <w:vertAlign w:val="subscript"/>
        </w:rPr>
        <w:t>2</w:t>
      </w:r>
      <w:r>
        <w:rPr>
          <w:rFonts w:hAnsi="宋体"/>
          <w:szCs w:val="21"/>
        </w:rPr>
        <w:t>）</w:t>
      </w:r>
      <w:r>
        <w:rPr>
          <w:rFonts w:hint="eastAsia" w:hAnsi="宋体"/>
          <w:szCs w:val="21"/>
        </w:rPr>
        <w:t>；</w:t>
      </w:r>
    </w:p>
    <w:p w14:paraId="47D86D4D">
      <w:pPr>
        <w:pStyle w:val="16"/>
        <w:rPr>
          <w:rFonts w:hAnsi="宋体"/>
          <w:szCs w:val="21"/>
        </w:rPr>
      </w:pPr>
      <w:r>
        <w:rPr>
          <w:rFonts w:hint="eastAsia" w:ascii="黑体" w:hAnsi="黑体" w:eastAsia="黑体"/>
          <w:szCs w:val="21"/>
          <w:lang w:val="en-US" w:eastAsia="zh-CN"/>
        </w:rPr>
        <w:t>B</w:t>
      </w:r>
      <w:r>
        <w:rPr>
          <w:rFonts w:hint="eastAsia" w:ascii="黑体" w:hAnsi="黑体" w:eastAsia="黑体"/>
          <w:szCs w:val="21"/>
        </w:rPr>
        <w:t xml:space="preserve">.3.1 </w:t>
      </w:r>
      <w:r>
        <w:rPr>
          <w:rFonts w:hint="eastAsia" w:hAnsi="宋体"/>
          <w:szCs w:val="21"/>
        </w:rPr>
        <w:t>原料煤使用过程排放主要包括各低温甲醇洗尾气、催化剂烧焦尾气、裂解装置管炉烧焦排放等工艺过程排放，若煤制合成气和液体燃料项目加热炉燃料气为项目自身煤炭气化工段产生的合成气，则该部分碳排放计入原料煤使用过程排放。</w:t>
      </w:r>
    </w:p>
    <w:p w14:paraId="7F9E6133">
      <w:pPr>
        <w:pStyle w:val="16"/>
        <w:ind w:left="19" w:leftChars="9" w:firstLine="458" w:firstLineChars="191"/>
        <w:jc w:val="left"/>
        <w:rPr>
          <w:rFonts w:hAnsi="宋体"/>
          <w:kern w:val="2"/>
          <w:position w:val="-18"/>
          <w:szCs w:val="21"/>
        </w:rPr>
      </w:pPr>
      <m:oMathPara>
        <m:oMath>
          <m:sSub>
            <m:sSubPr>
              <m:ctrlPr>
                <w:rPr>
                  <w:rFonts w:ascii="Cambria Math" w:hAnsi="Cambria Math"/>
                  <w:i/>
                  <w:kern w:val="24"/>
                  <w:sz w:val="24"/>
                  <w:szCs w:val="24"/>
                </w:rPr>
              </m:ctrlPr>
            </m:sSubPr>
            <m:e>
              <m:r>
                <m:rPr/>
                <w:rPr>
                  <w:rFonts w:ascii="Cambria Math" w:hAnsi="Cambria Math" w:eastAsiaTheme="minorEastAsia"/>
                  <w:color w:val="000000" w:themeColor="text1"/>
                  <w:kern w:val="24"/>
                  <w:sz w:val="24"/>
                  <w:szCs w:val="24"/>
                  <w14:textFill>
                    <w14:solidFill>
                      <w14:schemeClr w14:val="tx1"/>
                    </w14:solidFill>
                  </w14:textFill>
                </w:rPr>
                <m:t>E</m:t>
              </m:r>
              <m:ctrlPr>
                <w:rPr>
                  <w:rFonts w:ascii="Cambria Math" w:hAnsi="Cambria Math"/>
                  <w:i/>
                  <w:kern w:val="24"/>
                  <w:sz w:val="24"/>
                  <w:szCs w:val="24"/>
                </w:rPr>
              </m:ctrlPr>
            </m:e>
            <m:sub>
              <m:r>
                <m:rPr/>
                <w:rPr>
                  <w:rFonts w:ascii="Cambria Math" w:hAnsi="Cambria Math" w:eastAsiaTheme="minorEastAsia"/>
                  <w:color w:val="000000" w:themeColor="text1"/>
                  <w:kern w:val="24"/>
                  <w:sz w:val="24"/>
                  <w:szCs w:val="24"/>
                  <w14:textFill>
                    <w14:solidFill>
                      <w14:schemeClr w14:val="tx1"/>
                    </w14:solidFill>
                  </w14:textFill>
                </w:rPr>
                <m:t>原料</m:t>
              </m:r>
              <m:ctrlPr>
                <w:rPr>
                  <w:rFonts w:ascii="Cambria Math" w:hAnsi="Cambria Math"/>
                  <w:i/>
                  <w:kern w:val="24"/>
                  <w:sz w:val="24"/>
                  <w:szCs w:val="24"/>
                </w:rPr>
              </m:ctrlPr>
            </m:sub>
          </m:sSub>
          <m:r>
            <m:rPr/>
            <w:rPr>
              <w:rFonts w:ascii="Cambria Math" w:hAnsi="Cambria Math" w:eastAsiaTheme="minorEastAsia"/>
              <w:color w:val="000000" w:themeColor="text1"/>
              <w:kern w:val="24"/>
              <w:sz w:val="24"/>
              <w:szCs w:val="24"/>
              <w14:textFill>
                <w14:solidFill>
                  <w14:schemeClr w14:val="tx1"/>
                </w14:solidFill>
              </w14:textFill>
            </w:rPr>
            <m:t>=</m:t>
          </m:r>
          <m:d>
            <m:dPr>
              <m:begChr m:val="["/>
              <m:endChr m:val="]"/>
              <m:ctrlPr>
                <w:rPr>
                  <w:rFonts w:ascii="Cambria Math" w:hAnsi="Cambria Math"/>
                  <w:i/>
                  <w:kern w:val="24"/>
                  <w:sz w:val="24"/>
                  <w:szCs w:val="24"/>
                </w:rPr>
              </m:ctrlPr>
            </m:dPr>
            <m:e>
              <m:nary>
                <m:naryPr>
                  <m:chr m:val="∑"/>
                  <m:limLoc m:val="subSup"/>
                  <m:supHide m:val="1"/>
                  <m:ctrlPr>
                    <w:rPr>
                      <w:rFonts w:ascii="Cambria Math" w:hAnsi="Cambria Math"/>
                      <w:i/>
                      <w:kern w:val="24"/>
                      <w:sz w:val="24"/>
                      <w:szCs w:val="24"/>
                    </w:rPr>
                  </m:ctrlPr>
                </m:naryPr>
                <m:sub>
                  <m:r>
                    <m:rPr/>
                    <w:rPr>
                      <w:rFonts w:ascii="Cambria Math" w:hAnsi="Cambria Math" w:eastAsiaTheme="minorEastAsia"/>
                      <w:color w:val="000000" w:themeColor="text1"/>
                      <w:kern w:val="24"/>
                      <w:sz w:val="24"/>
                      <w:szCs w:val="24"/>
                      <w14:textFill>
                        <w14:solidFill>
                          <w14:schemeClr w14:val="tx1"/>
                        </w14:solidFill>
                      </w14:textFill>
                    </w:rPr>
                    <m:t>r</m:t>
                  </m:r>
                  <m:ctrlPr>
                    <w:rPr>
                      <w:rFonts w:ascii="Cambria Math" w:hAnsi="Cambria Math"/>
                      <w:i/>
                      <w:kern w:val="24"/>
                      <w:sz w:val="24"/>
                      <w:szCs w:val="24"/>
                    </w:rPr>
                  </m:ctrlPr>
                </m:sub>
                <m:sup>
                  <m:ctrlPr>
                    <w:rPr>
                      <w:rFonts w:ascii="Cambria Math" w:hAnsi="Cambria Math"/>
                      <w:i/>
                      <w:kern w:val="24"/>
                      <w:sz w:val="24"/>
                      <w:szCs w:val="24"/>
                    </w:rPr>
                  </m:ctrlPr>
                </m:sup>
                <m:e>
                  <m:d>
                    <m:dPr>
                      <m:ctrlPr>
                        <w:rPr>
                          <w:rFonts w:ascii="Cambria Math" w:hAnsi="Cambria Math"/>
                          <w:i/>
                          <w:kern w:val="24"/>
                          <w:sz w:val="24"/>
                          <w:szCs w:val="24"/>
                        </w:rPr>
                      </m:ctrlPr>
                    </m:dPr>
                    <m:e>
                      <m:sSub>
                        <m:sSubPr>
                          <m:ctrlPr>
                            <w:rPr>
                              <w:rFonts w:ascii="Cambria Math" w:hAnsi="Cambria Math"/>
                              <w:i/>
                              <w:kern w:val="24"/>
                              <w:sz w:val="24"/>
                              <w:szCs w:val="24"/>
                            </w:rPr>
                          </m:ctrlPr>
                        </m:sSubPr>
                        <m:e>
                          <m:r>
                            <m:rPr/>
                            <w:rPr>
                              <w:rFonts w:ascii="Cambria Math" w:hAnsi="Cambria Math" w:eastAsiaTheme="minorEastAsia"/>
                              <w:color w:val="000000" w:themeColor="text1"/>
                              <w:kern w:val="24"/>
                              <w:sz w:val="24"/>
                              <w:szCs w:val="24"/>
                              <w14:textFill>
                                <w14:solidFill>
                                  <w14:schemeClr w14:val="tx1"/>
                                </w14:solidFill>
                              </w14:textFill>
                            </w:rPr>
                            <m:t>AD</m:t>
                          </m:r>
                          <m:ctrlPr>
                            <w:rPr>
                              <w:rFonts w:ascii="Cambria Math" w:hAnsi="Cambria Math"/>
                              <w:i/>
                              <w:kern w:val="24"/>
                              <w:sz w:val="24"/>
                              <w:szCs w:val="24"/>
                            </w:rPr>
                          </m:ctrlPr>
                        </m:e>
                        <m:sub>
                          <m:r>
                            <m:rPr/>
                            <w:rPr>
                              <w:rFonts w:ascii="Cambria Math" w:hAnsi="Cambria Math" w:eastAsiaTheme="minorEastAsia"/>
                              <w:color w:val="000000" w:themeColor="text1"/>
                              <w:kern w:val="24"/>
                              <w:sz w:val="24"/>
                              <w:szCs w:val="24"/>
                              <w14:textFill>
                                <w14:solidFill>
                                  <w14:schemeClr w14:val="tx1"/>
                                </w14:solidFill>
                              </w14:textFill>
                            </w:rPr>
                            <m:t>i,r</m:t>
                          </m:r>
                          <m:ctrlPr>
                            <w:rPr>
                              <w:rFonts w:ascii="Cambria Math" w:hAnsi="Cambria Math"/>
                              <w:i/>
                              <w:kern w:val="24"/>
                              <w:sz w:val="24"/>
                              <w:szCs w:val="24"/>
                            </w:rPr>
                          </m:ctrlPr>
                        </m:sub>
                      </m:sSub>
                      <m:r>
                        <m:rPr/>
                        <w:rPr>
                          <w:rFonts w:ascii="Cambria Math" w:hAnsi="Cambria Math" w:eastAsiaTheme="minorEastAsia"/>
                          <w:color w:val="000000" w:themeColor="text1"/>
                          <w:kern w:val="24"/>
                          <w:sz w:val="24"/>
                          <w:szCs w:val="24"/>
                          <w14:textFill>
                            <w14:solidFill>
                              <w14:schemeClr w14:val="tx1"/>
                            </w14:solidFill>
                          </w14:textFill>
                        </w:rPr>
                        <m:t>×</m:t>
                      </m:r>
                      <m:sSub>
                        <m:sSubPr>
                          <m:ctrlPr>
                            <w:rPr>
                              <w:rFonts w:ascii="Cambria Math" w:hAnsi="Cambria Math"/>
                              <w:i/>
                              <w:kern w:val="24"/>
                              <w:sz w:val="24"/>
                              <w:szCs w:val="24"/>
                            </w:rPr>
                          </m:ctrlPr>
                        </m:sSubPr>
                        <m:e>
                          <m:r>
                            <m:rPr/>
                            <w:rPr>
                              <w:rFonts w:ascii="Cambria Math" w:hAnsi="Cambria Math" w:eastAsiaTheme="minorEastAsia"/>
                              <w:color w:val="000000" w:themeColor="text1"/>
                              <w:kern w:val="24"/>
                              <w:sz w:val="24"/>
                              <w:szCs w:val="24"/>
                              <w14:textFill>
                                <w14:solidFill>
                                  <w14:schemeClr w14:val="tx1"/>
                                </w14:solidFill>
                              </w14:textFill>
                            </w:rPr>
                            <m:t>CC</m:t>
                          </m:r>
                          <m:ctrlPr>
                            <w:rPr>
                              <w:rFonts w:ascii="Cambria Math" w:hAnsi="Cambria Math"/>
                              <w:i/>
                              <w:kern w:val="24"/>
                              <w:sz w:val="24"/>
                              <w:szCs w:val="24"/>
                            </w:rPr>
                          </m:ctrlPr>
                        </m:e>
                        <m:sub>
                          <m:r>
                            <m:rPr/>
                            <w:rPr>
                              <w:rFonts w:ascii="Cambria Math" w:hAnsi="Cambria Math" w:eastAsiaTheme="minorEastAsia"/>
                              <w:color w:val="000000" w:themeColor="text1"/>
                              <w:kern w:val="24"/>
                              <w:sz w:val="24"/>
                              <w:szCs w:val="24"/>
                              <w14:textFill>
                                <w14:solidFill>
                                  <w14:schemeClr w14:val="tx1"/>
                                </w14:solidFill>
                              </w14:textFill>
                            </w:rPr>
                            <m:t>i,r</m:t>
                          </m:r>
                          <m:ctrlPr>
                            <w:rPr>
                              <w:rFonts w:ascii="Cambria Math" w:hAnsi="Cambria Math"/>
                              <w:i/>
                              <w:kern w:val="24"/>
                              <w:sz w:val="24"/>
                              <w:szCs w:val="24"/>
                            </w:rPr>
                          </m:ctrlPr>
                        </m:sub>
                      </m:sSub>
                      <m:ctrlPr>
                        <w:rPr>
                          <w:rFonts w:ascii="Cambria Math" w:hAnsi="Cambria Math"/>
                          <w:i/>
                          <w:kern w:val="24"/>
                          <w:sz w:val="24"/>
                          <w:szCs w:val="24"/>
                        </w:rPr>
                      </m:ctrlPr>
                    </m:e>
                  </m:d>
                  <m:r>
                    <m:rPr/>
                    <w:rPr>
                      <w:rFonts w:ascii="Cambria Math" w:hAnsi="Cambria Math" w:eastAsiaTheme="minorEastAsia"/>
                      <w:color w:val="000000" w:themeColor="text1"/>
                      <w:kern w:val="24"/>
                      <w:sz w:val="24"/>
                      <w:szCs w:val="24"/>
                      <w14:textFill>
                        <w14:solidFill>
                          <w14:schemeClr w14:val="tx1"/>
                        </w14:solidFill>
                      </w14:textFill>
                    </w:rPr>
                    <m:t>−</m:t>
                  </m:r>
                  <m:ctrlPr>
                    <w:rPr>
                      <w:rFonts w:ascii="Cambria Math" w:hAnsi="Cambria Math"/>
                      <w:i/>
                      <w:kern w:val="24"/>
                      <w:sz w:val="24"/>
                      <w:szCs w:val="24"/>
                    </w:rPr>
                  </m:ctrlPr>
                </m:e>
              </m:nary>
              <m:nary>
                <m:naryPr>
                  <m:chr m:val="∑"/>
                  <m:limLoc m:val="subSup"/>
                  <m:supHide m:val="1"/>
                  <m:ctrlPr>
                    <w:rPr>
                      <w:rFonts w:ascii="Cambria Math" w:hAnsi="Cambria Math"/>
                      <w:i/>
                      <w:kern w:val="24"/>
                      <w:sz w:val="24"/>
                      <w:szCs w:val="24"/>
                    </w:rPr>
                  </m:ctrlPr>
                </m:naryPr>
                <m:sub>
                  <m:r>
                    <m:rPr/>
                    <w:rPr>
                      <w:rFonts w:ascii="Cambria Math" w:hAnsi="Cambria Math" w:eastAsiaTheme="minorEastAsia"/>
                      <w:color w:val="000000" w:themeColor="text1"/>
                      <w:kern w:val="24"/>
                      <w:sz w:val="24"/>
                      <w:szCs w:val="24"/>
                      <w14:textFill>
                        <w14:solidFill>
                          <w14:schemeClr w14:val="tx1"/>
                        </w14:solidFill>
                      </w14:textFill>
                    </w:rPr>
                    <m:t>p</m:t>
                  </m:r>
                  <m:ctrlPr>
                    <w:rPr>
                      <w:rFonts w:ascii="Cambria Math" w:hAnsi="Cambria Math"/>
                      <w:i/>
                      <w:kern w:val="24"/>
                      <w:sz w:val="24"/>
                      <w:szCs w:val="24"/>
                    </w:rPr>
                  </m:ctrlPr>
                </m:sub>
                <m:sup>
                  <m:ctrlPr>
                    <w:rPr>
                      <w:rFonts w:ascii="Cambria Math" w:hAnsi="Cambria Math"/>
                      <w:i/>
                      <w:kern w:val="24"/>
                      <w:sz w:val="24"/>
                      <w:szCs w:val="24"/>
                    </w:rPr>
                  </m:ctrlPr>
                </m:sup>
                <m:e>
                  <m:d>
                    <m:dPr>
                      <m:ctrlPr>
                        <w:rPr>
                          <w:rFonts w:ascii="Cambria Math" w:hAnsi="Cambria Math"/>
                          <w:i/>
                          <w:kern w:val="24"/>
                          <w:sz w:val="24"/>
                          <w:szCs w:val="24"/>
                        </w:rPr>
                      </m:ctrlPr>
                    </m:dPr>
                    <m:e>
                      <m:sSub>
                        <m:sSubPr>
                          <m:ctrlPr>
                            <w:rPr>
                              <w:rFonts w:ascii="Cambria Math" w:hAnsi="Cambria Math"/>
                              <w:i/>
                              <w:kern w:val="24"/>
                              <w:sz w:val="24"/>
                              <w:szCs w:val="24"/>
                            </w:rPr>
                          </m:ctrlPr>
                        </m:sSubPr>
                        <m:e>
                          <m:r>
                            <m:rPr/>
                            <w:rPr>
                              <w:rFonts w:ascii="Cambria Math" w:hAnsi="Cambria Math" w:eastAsiaTheme="minorEastAsia"/>
                              <w:color w:val="000000" w:themeColor="text1"/>
                              <w:kern w:val="24"/>
                              <w:sz w:val="24"/>
                              <w:szCs w:val="24"/>
                              <w14:textFill>
                                <w14:solidFill>
                                  <w14:schemeClr w14:val="tx1"/>
                                </w14:solidFill>
                              </w14:textFill>
                            </w:rPr>
                            <m:t>AD</m:t>
                          </m:r>
                          <m:ctrlPr>
                            <w:rPr>
                              <w:rFonts w:ascii="Cambria Math" w:hAnsi="Cambria Math"/>
                              <w:i/>
                              <w:kern w:val="24"/>
                              <w:sz w:val="24"/>
                              <w:szCs w:val="24"/>
                            </w:rPr>
                          </m:ctrlPr>
                        </m:e>
                        <m:sub>
                          <m:r>
                            <m:rPr/>
                            <w:rPr>
                              <w:rFonts w:ascii="Cambria Math" w:hAnsi="Cambria Math" w:eastAsiaTheme="minorEastAsia"/>
                              <w:color w:val="000000" w:themeColor="text1"/>
                              <w:kern w:val="24"/>
                              <w:sz w:val="24"/>
                              <w:szCs w:val="24"/>
                              <w14:textFill>
                                <w14:solidFill>
                                  <w14:schemeClr w14:val="tx1"/>
                                </w14:solidFill>
                              </w14:textFill>
                            </w:rPr>
                            <m:t>i,p</m:t>
                          </m:r>
                          <m:ctrlPr>
                            <w:rPr>
                              <w:rFonts w:ascii="Cambria Math" w:hAnsi="Cambria Math"/>
                              <w:i/>
                              <w:kern w:val="24"/>
                              <w:sz w:val="24"/>
                              <w:szCs w:val="24"/>
                            </w:rPr>
                          </m:ctrlPr>
                        </m:sub>
                      </m:sSub>
                      <m:r>
                        <m:rPr/>
                        <w:rPr>
                          <w:rFonts w:ascii="Cambria Math" w:hAnsi="Cambria Math" w:eastAsiaTheme="minorEastAsia"/>
                          <w:color w:val="000000" w:themeColor="text1"/>
                          <w:kern w:val="24"/>
                          <w:sz w:val="24"/>
                          <w:szCs w:val="24"/>
                          <w14:textFill>
                            <w14:solidFill>
                              <w14:schemeClr w14:val="tx1"/>
                            </w14:solidFill>
                          </w14:textFill>
                        </w:rPr>
                        <m:t>×</m:t>
                      </m:r>
                      <m:sSub>
                        <m:sSubPr>
                          <m:ctrlPr>
                            <w:rPr>
                              <w:rFonts w:ascii="Cambria Math" w:hAnsi="Cambria Math"/>
                              <w:i/>
                              <w:kern w:val="24"/>
                              <w:sz w:val="24"/>
                              <w:szCs w:val="24"/>
                            </w:rPr>
                          </m:ctrlPr>
                        </m:sSubPr>
                        <m:e>
                          <m:r>
                            <m:rPr/>
                            <w:rPr>
                              <w:rFonts w:ascii="Cambria Math" w:hAnsi="Cambria Math" w:eastAsiaTheme="minorEastAsia"/>
                              <w:color w:val="000000" w:themeColor="text1"/>
                              <w:kern w:val="24"/>
                              <w:sz w:val="24"/>
                              <w:szCs w:val="24"/>
                              <w14:textFill>
                                <w14:solidFill>
                                  <w14:schemeClr w14:val="tx1"/>
                                </w14:solidFill>
                              </w14:textFill>
                            </w:rPr>
                            <m:t>CC</m:t>
                          </m:r>
                          <m:ctrlPr>
                            <w:rPr>
                              <w:rFonts w:ascii="Cambria Math" w:hAnsi="Cambria Math"/>
                              <w:i/>
                              <w:kern w:val="24"/>
                              <w:sz w:val="24"/>
                              <w:szCs w:val="24"/>
                            </w:rPr>
                          </m:ctrlPr>
                        </m:e>
                        <m:sub>
                          <m:r>
                            <m:rPr/>
                            <w:rPr>
                              <w:rFonts w:ascii="Cambria Math" w:hAnsi="Cambria Math" w:eastAsiaTheme="minorEastAsia"/>
                              <w:color w:val="000000" w:themeColor="text1"/>
                              <w:kern w:val="24"/>
                              <w:sz w:val="24"/>
                              <w:szCs w:val="24"/>
                              <w14:textFill>
                                <w14:solidFill>
                                  <w14:schemeClr w14:val="tx1"/>
                                </w14:solidFill>
                              </w14:textFill>
                            </w:rPr>
                            <m:t>i,p</m:t>
                          </m:r>
                          <m:ctrlPr>
                            <w:rPr>
                              <w:rFonts w:ascii="Cambria Math" w:hAnsi="Cambria Math"/>
                              <w:i/>
                              <w:kern w:val="24"/>
                              <w:sz w:val="24"/>
                              <w:szCs w:val="24"/>
                            </w:rPr>
                          </m:ctrlPr>
                        </m:sub>
                      </m:sSub>
                      <m:ctrlPr>
                        <w:rPr>
                          <w:rFonts w:ascii="Cambria Math" w:hAnsi="Cambria Math"/>
                          <w:i/>
                          <w:kern w:val="24"/>
                          <w:sz w:val="24"/>
                          <w:szCs w:val="24"/>
                        </w:rPr>
                      </m:ctrlPr>
                    </m:e>
                  </m:d>
                  <m:ctrlPr>
                    <w:rPr>
                      <w:rFonts w:ascii="Cambria Math" w:hAnsi="Cambria Math"/>
                      <w:i/>
                      <w:kern w:val="24"/>
                      <w:sz w:val="24"/>
                      <w:szCs w:val="24"/>
                    </w:rPr>
                  </m:ctrlPr>
                </m:e>
              </m:nary>
              <m:r>
                <m:rPr/>
                <w:rPr>
                  <w:rFonts w:ascii="Cambria Math" w:hAnsi="Cambria Math" w:eastAsiaTheme="minorEastAsia"/>
                  <w:color w:val="000000" w:themeColor="text1"/>
                  <w:kern w:val="24"/>
                  <w:sz w:val="24"/>
                  <w:szCs w:val="24"/>
                  <w14:textFill>
                    <w14:solidFill>
                      <w14:schemeClr w14:val="tx1"/>
                    </w14:solidFill>
                  </w14:textFill>
                </w:rPr>
                <m:t>−</m:t>
              </m:r>
              <m:nary>
                <m:naryPr>
                  <m:chr m:val="∑"/>
                  <m:limLoc m:val="subSup"/>
                  <m:supHide m:val="1"/>
                  <m:ctrlPr>
                    <w:rPr>
                      <w:rFonts w:ascii="Cambria Math" w:hAnsi="Cambria Math"/>
                      <w:i/>
                      <w:kern w:val="24"/>
                      <w:sz w:val="24"/>
                      <w:szCs w:val="24"/>
                    </w:rPr>
                  </m:ctrlPr>
                </m:naryPr>
                <m:sub>
                  <m:r>
                    <m:rPr/>
                    <w:rPr>
                      <w:rFonts w:ascii="Cambria Math" w:hAnsi="Cambria Math" w:eastAsiaTheme="minorEastAsia"/>
                      <w:color w:val="000000" w:themeColor="text1"/>
                      <w:kern w:val="24"/>
                      <w:sz w:val="24"/>
                      <w:szCs w:val="24"/>
                      <w14:textFill>
                        <w14:solidFill>
                          <w14:schemeClr w14:val="tx1"/>
                        </w14:solidFill>
                      </w14:textFill>
                    </w:rPr>
                    <m:t>ω</m:t>
                  </m:r>
                  <m:ctrlPr>
                    <w:rPr>
                      <w:rFonts w:ascii="Cambria Math" w:hAnsi="Cambria Math"/>
                      <w:i/>
                      <w:kern w:val="24"/>
                      <w:sz w:val="24"/>
                      <w:szCs w:val="24"/>
                    </w:rPr>
                  </m:ctrlPr>
                </m:sub>
                <m:sup>
                  <m:ctrlPr>
                    <w:rPr>
                      <w:rFonts w:ascii="Cambria Math" w:hAnsi="Cambria Math"/>
                      <w:i/>
                      <w:kern w:val="24"/>
                      <w:sz w:val="24"/>
                      <w:szCs w:val="24"/>
                    </w:rPr>
                  </m:ctrlPr>
                </m:sup>
                <m:e>
                  <m:d>
                    <m:dPr>
                      <m:ctrlPr>
                        <w:rPr>
                          <w:rFonts w:ascii="Cambria Math" w:hAnsi="Cambria Math"/>
                          <w:i/>
                          <w:kern w:val="24"/>
                          <w:sz w:val="24"/>
                          <w:szCs w:val="24"/>
                        </w:rPr>
                      </m:ctrlPr>
                    </m:dPr>
                    <m:e>
                      <m:sSub>
                        <m:sSubPr>
                          <m:ctrlPr>
                            <w:rPr>
                              <w:rFonts w:ascii="Cambria Math" w:hAnsi="Cambria Math"/>
                              <w:i/>
                              <w:kern w:val="24"/>
                              <w:sz w:val="24"/>
                              <w:szCs w:val="24"/>
                            </w:rPr>
                          </m:ctrlPr>
                        </m:sSubPr>
                        <m:e>
                          <m:r>
                            <m:rPr/>
                            <w:rPr>
                              <w:rFonts w:ascii="Cambria Math" w:hAnsi="Cambria Math" w:eastAsiaTheme="minorEastAsia"/>
                              <w:color w:val="000000" w:themeColor="text1"/>
                              <w:kern w:val="24"/>
                              <w:sz w:val="24"/>
                              <w:szCs w:val="24"/>
                              <w14:textFill>
                                <w14:solidFill>
                                  <w14:schemeClr w14:val="tx1"/>
                                </w14:solidFill>
                              </w14:textFill>
                            </w:rPr>
                            <m:t>AD</m:t>
                          </m:r>
                          <m:ctrlPr>
                            <w:rPr>
                              <w:rFonts w:ascii="Cambria Math" w:hAnsi="Cambria Math"/>
                              <w:i/>
                              <w:kern w:val="24"/>
                              <w:sz w:val="24"/>
                              <w:szCs w:val="24"/>
                            </w:rPr>
                          </m:ctrlPr>
                        </m:e>
                        <m:sub>
                          <m:r>
                            <m:rPr/>
                            <w:rPr>
                              <w:rFonts w:ascii="Cambria Math" w:hAnsi="Cambria Math" w:eastAsiaTheme="minorEastAsia"/>
                              <w:color w:val="000000" w:themeColor="text1"/>
                              <w:kern w:val="24"/>
                              <w:sz w:val="24"/>
                              <w:szCs w:val="24"/>
                              <w14:textFill>
                                <w14:solidFill>
                                  <w14:schemeClr w14:val="tx1"/>
                                </w14:solidFill>
                              </w14:textFill>
                            </w:rPr>
                            <m:t>i,ω</m:t>
                          </m:r>
                          <m:ctrlPr>
                            <w:rPr>
                              <w:rFonts w:ascii="Cambria Math" w:hAnsi="Cambria Math"/>
                              <w:i/>
                              <w:kern w:val="24"/>
                              <w:sz w:val="24"/>
                              <w:szCs w:val="24"/>
                            </w:rPr>
                          </m:ctrlPr>
                        </m:sub>
                      </m:sSub>
                      <m:r>
                        <m:rPr/>
                        <w:rPr>
                          <w:rFonts w:ascii="Cambria Math" w:hAnsi="Cambria Math" w:eastAsiaTheme="minorEastAsia"/>
                          <w:color w:val="000000" w:themeColor="text1"/>
                          <w:kern w:val="24"/>
                          <w:sz w:val="24"/>
                          <w:szCs w:val="24"/>
                          <w14:textFill>
                            <w14:solidFill>
                              <w14:schemeClr w14:val="tx1"/>
                            </w14:solidFill>
                          </w14:textFill>
                        </w:rPr>
                        <m:t>×</m:t>
                      </m:r>
                      <m:sSub>
                        <m:sSubPr>
                          <m:ctrlPr>
                            <w:rPr>
                              <w:rFonts w:ascii="Cambria Math" w:hAnsi="Cambria Math"/>
                              <w:i/>
                              <w:kern w:val="24"/>
                              <w:sz w:val="24"/>
                              <w:szCs w:val="24"/>
                            </w:rPr>
                          </m:ctrlPr>
                        </m:sSubPr>
                        <m:e>
                          <m:r>
                            <m:rPr/>
                            <w:rPr>
                              <w:rFonts w:ascii="Cambria Math" w:hAnsi="Cambria Math" w:eastAsiaTheme="minorEastAsia"/>
                              <w:color w:val="000000" w:themeColor="text1"/>
                              <w:kern w:val="24"/>
                              <w:sz w:val="24"/>
                              <w:szCs w:val="24"/>
                              <w14:textFill>
                                <w14:solidFill>
                                  <w14:schemeClr w14:val="tx1"/>
                                </w14:solidFill>
                              </w14:textFill>
                            </w:rPr>
                            <m:t>CC</m:t>
                          </m:r>
                          <m:ctrlPr>
                            <w:rPr>
                              <w:rFonts w:ascii="Cambria Math" w:hAnsi="Cambria Math"/>
                              <w:i/>
                              <w:kern w:val="24"/>
                              <w:sz w:val="24"/>
                              <w:szCs w:val="24"/>
                            </w:rPr>
                          </m:ctrlPr>
                        </m:e>
                        <m:sub>
                          <m:r>
                            <m:rPr/>
                            <w:rPr>
                              <w:rFonts w:ascii="Cambria Math" w:hAnsi="Cambria Math" w:eastAsiaTheme="minorEastAsia"/>
                              <w:color w:val="000000" w:themeColor="text1"/>
                              <w:kern w:val="24"/>
                              <w:sz w:val="24"/>
                              <w:szCs w:val="24"/>
                              <w14:textFill>
                                <w14:solidFill>
                                  <w14:schemeClr w14:val="tx1"/>
                                </w14:solidFill>
                              </w14:textFill>
                            </w:rPr>
                            <m:t>i,ω</m:t>
                          </m:r>
                          <m:ctrlPr>
                            <w:rPr>
                              <w:rFonts w:ascii="Cambria Math" w:hAnsi="Cambria Math"/>
                              <w:i/>
                              <w:kern w:val="24"/>
                              <w:sz w:val="24"/>
                              <w:szCs w:val="24"/>
                            </w:rPr>
                          </m:ctrlPr>
                        </m:sub>
                      </m:sSub>
                      <m:ctrlPr>
                        <w:rPr>
                          <w:rFonts w:ascii="Cambria Math" w:hAnsi="Cambria Math"/>
                          <w:i/>
                          <w:kern w:val="24"/>
                          <w:sz w:val="24"/>
                          <w:szCs w:val="24"/>
                        </w:rPr>
                      </m:ctrlPr>
                    </m:e>
                  </m:d>
                  <m:ctrlPr>
                    <w:rPr>
                      <w:rFonts w:ascii="Cambria Math" w:hAnsi="Cambria Math"/>
                      <w:i/>
                      <w:kern w:val="24"/>
                      <w:sz w:val="24"/>
                      <w:szCs w:val="24"/>
                    </w:rPr>
                  </m:ctrlPr>
                </m:e>
              </m:nary>
              <m:ctrlPr>
                <w:rPr>
                  <w:rFonts w:ascii="Cambria Math" w:hAnsi="Cambria Math"/>
                  <w:i/>
                  <w:kern w:val="24"/>
                  <w:sz w:val="24"/>
                  <w:szCs w:val="24"/>
                </w:rPr>
              </m:ctrlPr>
            </m:e>
          </m:d>
          <m:r>
            <m:rPr/>
            <w:rPr>
              <w:rFonts w:ascii="Cambria Math" w:hAnsi="Cambria Math" w:eastAsiaTheme="minorEastAsia"/>
              <w:color w:val="000000" w:themeColor="text1"/>
              <w:kern w:val="24"/>
              <w:sz w:val="24"/>
              <w:szCs w:val="24"/>
              <w14:textFill>
                <w14:solidFill>
                  <w14:schemeClr w14:val="tx1"/>
                </w14:solidFill>
              </w14:textFill>
            </w:rPr>
            <m:t>×</m:t>
          </m:r>
          <m:f>
            <m:fPr>
              <m:ctrlPr>
                <w:rPr>
                  <w:rFonts w:ascii="Cambria Math" w:hAnsi="Cambria Math"/>
                  <w:i/>
                  <w:kern w:val="24"/>
                  <w:sz w:val="24"/>
                  <w:szCs w:val="24"/>
                </w:rPr>
              </m:ctrlPr>
            </m:fPr>
            <m:num>
              <m:r>
                <m:rPr/>
                <w:rPr>
                  <w:rFonts w:ascii="Cambria Math" w:hAnsi="Cambria Math" w:eastAsiaTheme="minorEastAsia"/>
                  <w:color w:val="000000" w:themeColor="text1"/>
                  <w:kern w:val="24"/>
                  <w:sz w:val="24"/>
                  <w:szCs w:val="24"/>
                  <w14:textFill>
                    <w14:solidFill>
                      <w14:schemeClr w14:val="tx1"/>
                    </w14:solidFill>
                  </w14:textFill>
                </w:rPr>
                <m:t>44</m:t>
              </m:r>
              <m:ctrlPr>
                <w:rPr>
                  <w:rFonts w:ascii="Cambria Math" w:hAnsi="Cambria Math"/>
                  <w:i/>
                  <w:kern w:val="24"/>
                  <w:sz w:val="24"/>
                  <w:szCs w:val="24"/>
                </w:rPr>
              </m:ctrlPr>
            </m:num>
            <m:den>
              <m:r>
                <m:rPr/>
                <w:rPr>
                  <w:rFonts w:ascii="Cambria Math" w:hAnsi="Cambria Math" w:eastAsiaTheme="minorEastAsia"/>
                  <w:color w:val="000000" w:themeColor="text1"/>
                  <w:kern w:val="24"/>
                  <w:sz w:val="24"/>
                  <w:szCs w:val="24"/>
                  <w14:textFill>
                    <w14:solidFill>
                      <w14:schemeClr w14:val="tx1"/>
                    </w14:solidFill>
                  </w14:textFill>
                </w:rPr>
                <m:t>12</m:t>
              </m:r>
              <m:ctrlPr>
                <w:rPr>
                  <w:rFonts w:ascii="Cambria Math" w:hAnsi="Cambria Math"/>
                  <w:i/>
                  <w:kern w:val="24"/>
                  <w:sz w:val="24"/>
                  <w:szCs w:val="24"/>
                </w:rPr>
              </m:ctrlPr>
            </m:den>
          </m:f>
        </m:oMath>
      </m:oMathPara>
      <w:r>
        <w:rPr>
          <w:rFonts w:hAnsi="Cambria Math"/>
          <w:kern w:val="24"/>
          <w:sz w:val="24"/>
          <w:szCs w:val="24"/>
        </w:rPr>
        <w:br w:type="textWrapping"/>
      </w:r>
      <w:r>
        <w:rPr>
          <w:rFonts w:hint="eastAsia" w:hAnsi="宋体"/>
          <w:kern w:val="2"/>
          <w:position w:val="-18"/>
          <w:szCs w:val="21"/>
        </w:rPr>
        <w:t xml:space="preserve">                                                                         （</w:t>
      </w:r>
      <w:r>
        <w:rPr>
          <w:rFonts w:hint="eastAsia" w:eastAsia="宋体" w:cs="Times New Roman"/>
          <w:kern w:val="2"/>
          <w:position w:val="-18"/>
          <w:sz w:val="21"/>
          <w:szCs w:val="21"/>
          <w:lang w:val="en-US" w:eastAsia="zh-CN"/>
        </w:rPr>
        <w:t>B</w:t>
      </w:r>
      <w:r>
        <w:rPr>
          <w:rFonts w:hAnsi="宋体"/>
          <w:kern w:val="2"/>
          <w:position w:val="-18"/>
          <w:szCs w:val="21"/>
        </w:rPr>
        <w:t>.</w:t>
      </w:r>
      <w:r>
        <w:rPr>
          <w:rFonts w:hint="eastAsia" w:hAnsi="宋体"/>
          <w:kern w:val="2"/>
          <w:position w:val="-18"/>
          <w:szCs w:val="21"/>
        </w:rPr>
        <w:t>4</w:t>
      </w:r>
      <w:r>
        <w:rPr>
          <w:rFonts w:hAnsi="宋体"/>
          <w:kern w:val="2"/>
          <w:position w:val="-18"/>
          <w:szCs w:val="21"/>
        </w:rPr>
        <w:t>）</w:t>
      </w:r>
    </w:p>
    <w:p w14:paraId="34840C15">
      <w:pPr>
        <w:pStyle w:val="16"/>
        <w:rPr>
          <w:rFonts w:hAnsi="宋体"/>
          <w:b/>
          <w:szCs w:val="21"/>
        </w:rPr>
      </w:pPr>
      <w:r>
        <w:rPr>
          <w:rFonts w:hAnsi="宋体"/>
          <w:szCs w:val="21"/>
        </w:rPr>
        <w:t>式中</w:t>
      </w:r>
      <w:r>
        <w:rPr>
          <w:rFonts w:hint="eastAsia" w:hAnsi="宋体"/>
          <w:szCs w:val="21"/>
        </w:rPr>
        <w:t>：</w:t>
      </w:r>
    </w:p>
    <w:p w14:paraId="624DD919">
      <w:pPr>
        <w:pStyle w:val="16"/>
        <w:rPr>
          <w:rFonts w:asciiTheme="minorEastAsia" w:hAnsiTheme="minorEastAsia" w:eastAsiaTheme="minorEastAsia" w:cstheme="minorEastAsia"/>
          <w:szCs w:val="21"/>
        </w:rPr>
      </w:pPr>
      <m:oMath>
        <m:sSub>
          <m:sSubPr>
            <m:ctrlPr>
              <w:rPr>
                <w:rFonts w:hint="eastAsia" w:ascii="Cambria Math" w:hAnsi="Cambria Math" w:eastAsiaTheme="minorEastAsia" w:cstheme="minorEastAsia"/>
                <w:szCs w:val="21"/>
              </w:rPr>
            </m:ctrlPr>
          </m:sSubPr>
          <m:e>
            <m:r>
              <m:rPr>
                <m:sty m:val="p"/>
              </m:rPr>
              <w:rPr>
                <w:rFonts w:hint="eastAsia" w:ascii="Cambria Math" w:hAnsi="Cambria Math" w:eastAsiaTheme="minorEastAsia" w:cstheme="minorEastAsia"/>
                <w:szCs w:val="21"/>
              </w:rPr>
              <m:t>E</m:t>
            </m:r>
            <m:ctrlPr>
              <w:rPr>
                <w:rFonts w:hint="eastAsia" w:ascii="Cambria Math" w:hAnsi="Cambria Math" w:eastAsiaTheme="minorEastAsia" w:cstheme="minorEastAsia"/>
                <w:szCs w:val="21"/>
              </w:rPr>
            </m:ctrlPr>
          </m:e>
          <m:sub>
            <m:r>
              <m:rPr>
                <m:sty m:val="p"/>
              </m:rPr>
              <w:rPr>
                <w:rFonts w:hint="eastAsia" w:ascii="Cambria Math" w:hAnsi="Cambria Math" w:eastAsiaTheme="minorEastAsia" w:cstheme="minorEastAsia"/>
                <w:szCs w:val="21"/>
              </w:rPr>
              <m:t>原料</m:t>
            </m:r>
            <m:ctrlPr>
              <w:rPr>
                <w:rFonts w:hint="eastAsia" w:ascii="Cambria Math" w:hAnsi="Cambria Math" w:eastAsiaTheme="minorEastAsia" w:cstheme="minorEastAsia"/>
                <w:szCs w:val="21"/>
              </w:rPr>
            </m:ctrlPr>
          </m:sub>
        </m:sSub>
      </m:oMath>
      <w:r>
        <w:rPr>
          <w:rFonts w:hint="eastAsia" w:asciiTheme="minorEastAsia" w:hAnsiTheme="minorEastAsia" w:eastAsiaTheme="minorEastAsia" w:cstheme="minorEastAsia"/>
          <w:kern w:val="24"/>
          <w:szCs w:val="21"/>
        </w:rPr>
        <w:t>—</w:t>
      </w:r>
      <w:r>
        <w:rPr>
          <w:rFonts w:hint="eastAsia" w:asciiTheme="minorEastAsia" w:hAnsiTheme="minorEastAsia" w:eastAsiaTheme="minorEastAsia" w:cstheme="minorEastAsia"/>
          <w:szCs w:val="21"/>
        </w:rPr>
        <w:t>工艺过</w:t>
      </w:r>
      <w:r>
        <w:rPr>
          <w:rFonts w:hint="eastAsia" w:asciiTheme="minorEastAsia" w:hAnsiTheme="minorEastAsia" w:eastAsiaTheme="minorEastAsia" w:cstheme="minorEastAsia"/>
          <w:szCs w:val="21"/>
          <w:lang w:eastAsia="zh-CN"/>
        </w:rPr>
        <w:t>程中</w:t>
      </w:r>
      <w:r>
        <w:rPr>
          <w:rFonts w:hint="eastAsia" w:asciiTheme="minorEastAsia" w:hAnsiTheme="minorEastAsia" w:eastAsiaTheme="minorEastAsia" w:cstheme="minorEastAsia"/>
          <w:szCs w:val="21"/>
        </w:rPr>
        <w:t>产生的二氧化碳排放，单位为吨二氧化碳/年 （tCO</w:t>
      </w:r>
      <w:r>
        <w:rPr>
          <w:rFonts w:hint="eastAsia" w:asciiTheme="minorEastAsia" w:hAnsiTheme="minorEastAsia" w:eastAsiaTheme="minorEastAsia" w:cstheme="minorEastAsia"/>
          <w:szCs w:val="21"/>
          <w:vertAlign w:val="subscript"/>
        </w:rPr>
        <w:t>2</w:t>
      </w:r>
      <w:r>
        <w:rPr>
          <w:rFonts w:hint="eastAsia" w:asciiTheme="minorEastAsia" w:hAnsiTheme="minorEastAsia" w:eastAsiaTheme="minorEastAsia" w:cstheme="minorEastAsia"/>
          <w:szCs w:val="21"/>
        </w:rPr>
        <w:t>/a）；</w:t>
      </w:r>
    </w:p>
    <w:p w14:paraId="45D63922">
      <w:pPr>
        <w:pStyle w:val="16"/>
        <w:rPr>
          <w:rFonts w:asciiTheme="minorEastAsia" w:hAnsiTheme="minorEastAsia" w:eastAsiaTheme="minorEastAsia" w:cstheme="minorEastAsia"/>
          <w:szCs w:val="21"/>
        </w:rPr>
      </w:pPr>
      <m:oMath>
        <m:sSub>
          <m:sSubPr>
            <m:ctrlPr>
              <w:rPr>
                <w:rFonts w:hint="eastAsia" w:ascii="Cambria Math" w:hAnsi="Cambria Math" w:eastAsiaTheme="minorEastAsia" w:cstheme="minorEastAsia"/>
                <w:szCs w:val="21"/>
              </w:rPr>
            </m:ctrlPr>
          </m:sSubPr>
          <m:e>
            <m:r>
              <m:rPr>
                <m:sty m:val="p"/>
              </m:rPr>
              <w:rPr>
                <w:rFonts w:hint="eastAsia" w:ascii="Cambria Math" w:hAnsi="Cambria Math" w:eastAsiaTheme="minorEastAsia" w:cstheme="minorEastAsia"/>
                <w:szCs w:val="21"/>
              </w:rPr>
              <m:t>AD</m:t>
            </m:r>
            <m:ctrlPr>
              <w:rPr>
                <w:rFonts w:hint="eastAsia" w:ascii="Cambria Math" w:hAnsi="Cambria Math" w:eastAsiaTheme="minorEastAsia" w:cstheme="minorEastAsia"/>
                <w:szCs w:val="21"/>
              </w:rPr>
            </m:ctrlPr>
          </m:e>
          <m:sub>
            <m:r>
              <m:rPr>
                <m:sty m:val="p"/>
              </m:rPr>
              <w:rPr>
                <w:rFonts w:hint="eastAsia" w:ascii="Cambria Math" w:hAnsi="Cambria Math" w:eastAsiaTheme="minorEastAsia" w:cstheme="minorEastAsia"/>
                <w:szCs w:val="21"/>
              </w:rPr>
              <m:t>i,r</m:t>
            </m:r>
            <m:ctrlPr>
              <w:rPr>
                <w:rFonts w:hint="eastAsia" w:ascii="Cambria Math" w:hAnsi="Cambria Math" w:eastAsiaTheme="minorEastAsia" w:cstheme="minorEastAsia"/>
                <w:szCs w:val="21"/>
              </w:rPr>
            </m:ctrlPr>
          </m:sub>
        </m:sSub>
      </m:oMath>
      <w:r>
        <w:rPr>
          <w:rFonts w:hint="eastAsia" w:asciiTheme="minorEastAsia" w:hAnsiTheme="minorEastAsia" w:eastAsiaTheme="minorEastAsia" w:cstheme="minorEastAsia"/>
          <w:szCs w:val="21"/>
        </w:rPr>
        <w:t>—项目第i种含碳原料的投入量，煤制合成气和液体燃料项目若未使用合成气以外的燃料气或燃料油，则此处仅考虑原料煤输入，消费量与工程概况、工程分析保持一致，单位为吨/年；</w:t>
      </w:r>
    </w:p>
    <w:p w14:paraId="45892C11">
      <w:pPr>
        <w:pStyle w:val="16"/>
        <w:rPr>
          <w:rFonts w:asciiTheme="minorEastAsia" w:hAnsiTheme="minorEastAsia" w:eastAsiaTheme="minorEastAsia" w:cstheme="minorEastAsia"/>
          <w:kern w:val="24"/>
          <w:szCs w:val="21"/>
        </w:rPr>
      </w:pPr>
      <m:oMath>
        <m:sSub>
          <m:sSubPr>
            <m:ctrlPr>
              <w:rPr>
                <w:rFonts w:hint="eastAsia" w:ascii="Cambria Math" w:hAnsi="Cambria Math" w:eastAsiaTheme="minorEastAsia" w:cstheme="minorEastAsia"/>
                <w:i/>
                <w:kern w:val="24"/>
                <w:szCs w:val="21"/>
              </w:rPr>
            </m:ctrlPr>
          </m:sSubPr>
          <m:e>
            <m:r>
              <m:rPr/>
              <w:rPr>
                <w:rFonts w:hint="eastAsia" w:ascii="Cambria Math" w:hAnsi="Cambria Math" w:eastAsiaTheme="minorEastAsia" w:cstheme="minorEastAsia"/>
                <w:color w:val="000000" w:themeColor="text1"/>
                <w:kern w:val="24"/>
                <w:szCs w:val="21"/>
                <w14:textFill>
                  <w14:solidFill>
                    <w14:schemeClr w14:val="tx1"/>
                  </w14:solidFill>
                </w14:textFill>
              </w:rPr>
              <m:t>CC</m:t>
            </m:r>
            <m:ctrlPr>
              <w:rPr>
                <w:rFonts w:hint="eastAsia" w:ascii="Cambria Math" w:hAnsi="Cambria Math" w:eastAsiaTheme="minorEastAsia" w:cstheme="minorEastAsia"/>
                <w:i/>
                <w:kern w:val="24"/>
                <w:szCs w:val="21"/>
              </w:rPr>
            </m:ctrlPr>
          </m:e>
          <m:sub>
            <m:r>
              <m:rPr/>
              <w:rPr>
                <w:rFonts w:hint="eastAsia" w:ascii="Cambria Math" w:hAnsi="Cambria Math" w:eastAsiaTheme="minorEastAsia" w:cstheme="minorEastAsia"/>
                <w:color w:val="000000" w:themeColor="text1"/>
                <w:kern w:val="24"/>
                <w:szCs w:val="21"/>
                <w14:textFill>
                  <w14:solidFill>
                    <w14:schemeClr w14:val="tx1"/>
                  </w14:solidFill>
                </w14:textFill>
              </w:rPr>
              <m:t>i,r</m:t>
            </m:r>
            <m:ctrlPr>
              <w:rPr>
                <w:rFonts w:hint="eastAsia" w:ascii="Cambria Math" w:hAnsi="Cambria Math" w:eastAsiaTheme="minorEastAsia" w:cstheme="minorEastAsia"/>
                <w:i/>
                <w:kern w:val="24"/>
                <w:szCs w:val="21"/>
              </w:rPr>
            </m:ctrlPr>
          </m:sub>
        </m:sSub>
      </m:oMath>
      <w:r>
        <w:rPr>
          <w:rFonts w:hint="eastAsia" w:asciiTheme="minorEastAsia" w:hAnsiTheme="minorEastAsia" w:eastAsiaTheme="minorEastAsia" w:cstheme="minorEastAsia"/>
          <w:kern w:val="24"/>
          <w:szCs w:val="21"/>
        </w:rPr>
        <w:t>—</w:t>
      </w:r>
      <w:r>
        <w:rPr>
          <w:rFonts w:hint="eastAsia" w:asciiTheme="minorEastAsia" w:hAnsiTheme="minorEastAsia" w:eastAsiaTheme="minorEastAsia" w:cstheme="minorEastAsia"/>
          <w:szCs w:val="21"/>
        </w:rPr>
        <w:t>项目第i种含碳原料</w:t>
      </w:r>
      <w:r>
        <w:rPr>
          <w:rFonts w:hint="eastAsia" w:asciiTheme="minorEastAsia" w:hAnsiTheme="minorEastAsia" w:eastAsiaTheme="minorEastAsia" w:cstheme="minorEastAsia"/>
          <w:kern w:val="24"/>
          <w:szCs w:val="21"/>
        </w:rPr>
        <w:t>的含碳量，原料煤采用设计煤种数据，若有其他含碳原料，含碳量通过分子量进行计算；</w:t>
      </w:r>
    </w:p>
    <w:p w14:paraId="63435D71">
      <w:pPr>
        <w:pStyle w:val="16"/>
        <w:rPr>
          <w:rFonts w:asciiTheme="minorEastAsia" w:hAnsiTheme="minorEastAsia" w:eastAsiaTheme="minorEastAsia" w:cstheme="minorEastAsia"/>
          <w:kern w:val="24"/>
          <w:szCs w:val="21"/>
        </w:rPr>
      </w:pPr>
      <m:oMath>
        <m:sSub>
          <m:sSubPr>
            <m:ctrlPr>
              <w:rPr>
                <w:rFonts w:hint="eastAsia" w:ascii="Cambria Math" w:hAnsi="Cambria Math" w:eastAsiaTheme="minorEastAsia" w:cstheme="minorEastAsia"/>
                <w:i/>
                <w:kern w:val="24"/>
                <w:szCs w:val="21"/>
              </w:rPr>
            </m:ctrlPr>
          </m:sSubPr>
          <m:e>
            <m:r>
              <m:rPr/>
              <w:rPr>
                <w:rFonts w:hint="eastAsia" w:ascii="Cambria Math" w:hAnsi="Cambria Math" w:eastAsiaTheme="minorEastAsia" w:cstheme="minorEastAsia"/>
                <w:color w:val="000000" w:themeColor="text1"/>
                <w:kern w:val="24"/>
                <w:szCs w:val="21"/>
                <w14:textFill>
                  <w14:solidFill>
                    <w14:schemeClr w14:val="tx1"/>
                  </w14:solidFill>
                </w14:textFill>
              </w:rPr>
              <m:t>AD</m:t>
            </m:r>
            <m:ctrlPr>
              <w:rPr>
                <w:rFonts w:hint="eastAsia" w:ascii="Cambria Math" w:hAnsi="Cambria Math" w:eastAsiaTheme="minorEastAsia" w:cstheme="minorEastAsia"/>
                <w:i/>
                <w:kern w:val="24"/>
                <w:szCs w:val="21"/>
              </w:rPr>
            </m:ctrlPr>
          </m:e>
          <m:sub>
            <m:r>
              <m:rPr/>
              <w:rPr>
                <w:rFonts w:hint="eastAsia" w:ascii="Cambria Math" w:hAnsi="Cambria Math" w:eastAsiaTheme="minorEastAsia" w:cstheme="minorEastAsia"/>
                <w:color w:val="000000" w:themeColor="text1"/>
                <w:kern w:val="24"/>
                <w:szCs w:val="21"/>
                <w14:textFill>
                  <w14:solidFill>
                    <w14:schemeClr w14:val="tx1"/>
                  </w14:solidFill>
                </w14:textFill>
              </w:rPr>
              <m:t>i,p</m:t>
            </m:r>
            <m:ctrlPr>
              <w:rPr>
                <w:rFonts w:hint="eastAsia" w:ascii="Cambria Math" w:hAnsi="Cambria Math" w:eastAsiaTheme="minorEastAsia" w:cstheme="minorEastAsia"/>
                <w:i/>
                <w:kern w:val="24"/>
                <w:szCs w:val="21"/>
              </w:rPr>
            </m:ctrlPr>
          </m:sub>
        </m:sSub>
      </m:oMath>
      <w:r>
        <w:rPr>
          <w:rFonts w:hint="eastAsia" w:asciiTheme="minorEastAsia" w:hAnsiTheme="minorEastAsia" w:eastAsiaTheme="minorEastAsia" w:cstheme="minorEastAsia"/>
          <w:kern w:val="24"/>
          <w:szCs w:val="21"/>
        </w:rPr>
        <w:t>—第i种含碳产品的产量，与工程概况、工程分析保持一致；</w:t>
      </w:r>
    </w:p>
    <w:p w14:paraId="4C679C68">
      <w:pPr>
        <w:pStyle w:val="16"/>
        <w:rPr>
          <w:rFonts w:asciiTheme="minorEastAsia" w:hAnsiTheme="minorEastAsia" w:eastAsiaTheme="minorEastAsia" w:cstheme="minorEastAsia"/>
          <w:kern w:val="24"/>
          <w:szCs w:val="21"/>
        </w:rPr>
      </w:pPr>
      <m:oMath>
        <m:sSub>
          <m:sSubPr>
            <m:ctrlPr>
              <w:rPr>
                <w:rFonts w:hint="eastAsia" w:ascii="Cambria Math" w:hAnsi="Cambria Math" w:eastAsiaTheme="minorEastAsia" w:cstheme="minorEastAsia"/>
                <w:i/>
                <w:kern w:val="24"/>
                <w:szCs w:val="21"/>
              </w:rPr>
            </m:ctrlPr>
          </m:sSubPr>
          <m:e>
            <m:r>
              <m:rPr/>
              <w:rPr>
                <w:rFonts w:hint="eastAsia" w:ascii="Cambria Math" w:hAnsi="Cambria Math" w:eastAsiaTheme="minorEastAsia" w:cstheme="minorEastAsia"/>
                <w:color w:val="000000" w:themeColor="text1"/>
                <w:kern w:val="24"/>
                <w:szCs w:val="21"/>
                <w14:textFill>
                  <w14:solidFill>
                    <w14:schemeClr w14:val="tx1"/>
                  </w14:solidFill>
                </w14:textFill>
              </w:rPr>
              <m:t>CC</m:t>
            </m:r>
            <m:ctrlPr>
              <w:rPr>
                <w:rFonts w:hint="eastAsia" w:ascii="Cambria Math" w:hAnsi="Cambria Math" w:eastAsiaTheme="minorEastAsia" w:cstheme="minorEastAsia"/>
                <w:i/>
                <w:kern w:val="24"/>
                <w:szCs w:val="21"/>
              </w:rPr>
            </m:ctrlPr>
          </m:e>
          <m:sub>
            <m:r>
              <m:rPr/>
              <w:rPr>
                <w:rFonts w:hint="eastAsia" w:ascii="Cambria Math" w:hAnsi="Cambria Math" w:eastAsiaTheme="minorEastAsia" w:cstheme="minorEastAsia"/>
                <w:color w:val="000000" w:themeColor="text1"/>
                <w:kern w:val="24"/>
                <w:szCs w:val="21"/>
                <w14:textFill>
                  <w14:solidFill>
                    <w14:schemeClr w14:val="tx1"/>
                  </w14:solidFill>
                </w14:textFill>
              </w:rPr>
              <m:t>i,p</m:t>
            </m:r>
            <m:ctrlPr>
              <w:rPr>
                <w:rFonts w:hint="eastAsia" w:ascii="Cambria Math" w:hAnsi="Cambria Math" w:eastAsiaTheme="minorEastAsia" w:cstheme="minorEastAsia"/>
                <w:i/>
                <w:kern w:val="24"/>
                <w:szCs w:val="21"/>
              </w:rPr>
            </m:ctrlPr>
          </m:sub>
        </m:sSub>
      </m:oMath>
      <w:r>
        <w:rPr>
          <w:rFonts w:hint="eastAsia" w:asciiTheme="minorEastAsia" w:hAnsiTheme="minorEastAsia" w:eastAsiaTheme="minorEastAsia" w:cstheme="minorEastAsia"/>
          <w:kern w:val="24"/>
          <w:szCs w:val="21"/>
        </w:rPr>
        <w:t>—第i种含碳产品的含碳量，根据产品类型通过分子量计算；</w:t>
      </w:r>
    </w:p>
    <w:p w14:paraId="057ECBA0">
      <w:pPr>
        <w:pStyle w:val="16"/>
        <w:rPr>
          <w:rFonts w:asciiTheme="minorEastAsia" w:hAnsiTheme="minorEastAsia" w:eastAsiaTheme="minorEastAsia" w:cstheme="minorEastAsia"/>
          <w:kern w:val="24"/>
          <w:szCs w:val="21"/>
        </w:rPr>
      </w:pPr>
      <m:oMath>
        <m:sSub>
          <m:sSubPr>
            <m:ctrlPr>
              <w:rPr>
                <w:rFonts w:hint="eastAsia" w:ascii="Cambria Math" w:hAnsi="Cambria Math" w:eastAsiaTheme="minorEastAsia" w:cstheme="minorEastAsia"/>
                <w:i/>
                <w:kern w:val="24"/>
                <w:szCs w:val="21"/>
              </w:rPr>
            </m:ctrlPr>
          </m:sSubPr>
          <m:e>
            <m:r>
              <m:rPr/>
              <w:rPr>
                <w:rFonts w:hint="eastAsia" w:ascii="Cambria Math" w:hAnsi="Cambria Math" w:eastAsiaTheme="minorEastAsia" w:cstheme="minorEastAsia"/>
                <w:color w:val="000000" w:themeColor="text1"/>
                <w:kern w:val="24"/>
                <w:szCs w:val="21"/>
                <w14:textFill>
                  <w14:solidFill>
                    <w14:schemeClr w14:val="tx1"/>
                  </w14:solidFill>
                </w14:textFill>
              </w:rPr>
              <m:t>AD</m:t>
            </m:r>
            <m:ctrlPr>
              <w:rPr>
                <w:rFonts w:hint="eastAsia" w:ascii="Cambria Math" w:hAnsi="Cambria Math" w:eastAsiaTheme="minorEastAsia" w:cstheme="minorEastAsia"/>
                <w:i/>
                <w:kern w:val="24"/>
                <w:szCs w:val="21"/>
              </w:rPr>
            </m:ctrlPr>
          </m:e>
          <m:sub>
            <m:r>
              <m:rPr/>
              <w:rPr>
                <w:rFonts w:hint="eastAsia" w:ascii="Cambria Math" w:hAnsi="Cambria Math" w:eastAsiaTheme="minorEastAsia" w:cstheme="minorEastAsia"/>
                <w:color w:val="000000" w:themeColor="text1"/>
                <w:kern w:val="24"/>
                <w:szCs w:val="21"/>
                <w14:textFill>
                  <w14:solidFill>
                    <w14:schemeClr w14:val="tx1"/>
                  </w14:solidFill>
                </w14:textFill>
              </w:rPr>
              <m:t>i,ω</m:t>
            </m:r>
            <m:ctrlPr>
              <w:rPr>
                <w:rFonts w:hint="eastAsia" w:ascii="Cambria Math" w:hAnsi="Cambria Math" w:eastAsiaTheme="minorEastAsia" w:cstheme="minorEastAsia"/>
                <w:i/>
                <w:kern w:val="24"/>
                <w:szCs w:val="21"/>
              </w:rPr>
            </m:ctrlPr>
          </m:sub>
        </m:sSub>
      </m:oMath>
      <w:r>
        <w:rPr>
          <w:rFonts w:hint="eastAsia" w:asciiTheme="minorEastAsia" w:hAnsiTheme="minorEastAsia" w:eastAsiaTheme="minorEastAsia" w:cstheme="minorEastAsia"/>
          <w:kern w:val="24"/>
          <w:szCs w:val="21"/>
        </w:rPr>
        <w:t>—第i个核算单元的其他含碳输出物ω的输出量，主要考虑气化渣、低温甲醇洗尾气中的CO、废气（含火炬）中的有机气体，其中气化渣量采用设计数据并与煤质数据相匹配，低温甲醇洗尾气量、各工艺排放口废气量、CO及有机气体含量与工程分析中污染源强匹配；</w:t>
      </w:r>
    </w:p>
    <w:p w14:paraId="602524D4">
      <w:pPr>
        <w:pStyle w:val="16"/>
        <w:rPr>
          <w:rFonts w:asciiTheme="minorEastAsia" w:hAnsiTheme="minorEastAsia" w:eastAsiaTheme="minorEastAsia" w:cstheme="minorEastAsia"/>
          <w:kern w:val="24"/>
          <w:szCs w:val="21"/>
        </w:rPr>
      </w:pPr>
      <m:oMath>
        <m:sSub>
          <m:sSubPr>
            <m:ctrlPr>
              <w:rPr>
                <w:rFonts w:hint="eastAsia" w:ascii="Cambria Math" w:hAnsi="Cambria Math" w:eastAsiaTheme="minorEastAsia" w:cstheme="minorEastAsia"/>
                <w:i/>
                <w:kern w:val="24"/>
                <w:szCs w:val="21"/>
              </w:rPr>
            </m:ctrlPr>
          </m:sSubPr>
          <m:e>
            <m:r>
              <m:rPr/>
              <w:rPr>
                <w:rFonts w:hint="eastAsia" w:ascii="Cambria Math" w:hAnsi="Cambria Math" w:eastAsiaTheme="minorEastAsia" w:cstheme="minorEastAsia"/>
                <w:color w:val="000000" w:themeColor="text1"/>
                <w:kern w:val="24"/>
                <w:szCs w:val="21"/>
                <w14:textFill>
                  <w14:solidFill>
                    <w14:schemeClr w14:val="tx1"/>
                  </w14:solidFill>
                </w14:textFill>
              </w:rPr>
              <m:t>CC</m:t>
            </m:r>
            <m:ctrlPr>
              <w:rPr>
                <w:rFonts w:hint="eastAsia" w:ascii="Cambria Math" w:hAnsi="Cambria Math" w:eastAsiaTheme="minorEastAsia" w:cstheme="minorEastAsia"/>
                <w:i/>
                <w:kern w:val="24"/>
                <w:szCs w:val="21"/>
              </w:rPr>
            </m:ctrlPr>
          </m:e>
          <m:sub>
            <m:r>
              <m:rPr/>
              <w:rPr>
                <w:rFonts w:hint="eastAsia" w:ascii="Cambria Math" w:hAnsi="Cambria Math" w:eastAsiaTheme="minorEastAsia" w:cstheme="minorEastAsia"/>
                <w:color w:val="000000" w:themeColor="text1"/>
                <w:kern w:val="24"/>
                <w:szCs w:val="21"/>
                <w14:textFill>
                  <w14:solidFill>
                    <w14:schemeClr w14:val="tx1"/>
                  </w14:solidFill>
                </w14:textFill>
              </w:rPr>
              <m:t>i,ω</m:t>
            </m:r>
            <m:ctrlPr>
              <w:rPr>
                <w:rFonts w:hint="eastAsia" w:ascii="Cambria Math" w:hAnsi="Cambria Math" w:eastAsiaTheme="minorEastAsia" w:cstheme="minorEastAsia"/>
                <w:i/>
                <w:kern w:val="24"/>
                <w:szCs w:val="21"/>
              </w:rPr>
            </m:ctrlPr>
          </m:sub>
        </m:sSub>
      </m:oMath>
      <w:r>
        <w:rPr>
          <w:rFonts w:hint="eastAsia" w:asciiTheme="minorEastAsia" w:hAnsiTheme="minorEastAsia" w:eastAsiaTheme="minorEastAsia" w:cstheme="minorEastAsia"/>
          <w:kern w:val="24"/>
          <w:szCs w:val="21"/>
        </w:rPr>
        <w:t>—第i个核算单元的其他含碳输出物ω的含碳量，其中气化渣中含碳量可类比煤质相近、气化类型相同、气化参数相近的同类项目；CO、有机气体含碳量通过分子量近似计算；</w:t>
      </w:r>
    </w:p>
    <w:p w14:paraId="5E4A66A0">
      <w:pPr>
        <w:pStyle w:val="16"/>
        <w:rPr>
          <w:rFonts w:asciiTheme="minorEastAsia" w:hAnsiTheme="minorEastAsia" w:eastAsiaTheme="minorEastAsia" w:cstheme="minorEastAsia"/>
          <w:szCs w:val="21"/>
        </w:rPr>
      </w:pPr>
      <w:r>
        <w:rPr>
          <w:rFonts w:hint="eastAsia" w:asciiTheme="minorEastAsia" w:hAnsiTheme="minorEastAsia" w:eastAsiaTheme="minorEastAsia" w:cstheme="minorEastAsia"/>
          <w:i/>
          <w:iCs/>
          <w:szCs w:val="21"/>
        </w:rPr>
        <w:t>44/12</w:t>
      </w:r>
      <w:r>
        <w:rPr>
          <w:rFonts w:hint="eastAsia" w:asciiTheme="minorEastAsia" w:hAnsiTheme="minorEastAsia" w:eastAsiaTheme="minorEastAsia" w:cstheme="minorEastAsia"/>
          <w:szCs w:val="21"/>
        </w:rPr>
        <w:t>—二氧化碳与碳的相对分子质量之比；</w:t>
      </w:r>
    </w:p>
    <w:p w14:paraId="37A99617">
      <w:pPr>
        <w:pStyle w:val="16"/>
        <w:rPr>
          <w:rFonts w:asciiTheme="minorEastAsia" w:hAnsiTheme="minorEastAsia" w:eastAsiaTheme="minorEastAsia" w:cstheme="minorEastAsia"/>
          <w:szCs w:val="21"/>
        </w:rPr>
      </w:pPr>
    </w:p>
    <w:p w14:paraId="08CCA7BE">
      <w:pPr>
        <w:pStyle w:val="16"/>
        <w:rPr>
          <w:rFonts w:hAnsi="宋体"/>
          <w:szCs w:val="21"/>
        </w:rPr>
      </w:pPr>
      <w:r>
        <w:rPr>
          <w:rFonts w:hint="eastAsia" w:ascii="黑体" w:hAnsi="黑体" w:eastAsia="黑体"/>
          <w:szCs w:val="21"/>
          <w:lang w:val="en-US" w:eastAsia="zh-CN"/>
        </w:rPr>
        <w:t>B</w:t>
      </w:r>
      <w:r>
        <w:rPr>
          <w:rFonts w:hint="eastAsia" w:ascii="黑体" w:hAnsi="黑体" w:eastAsia="黑体"/>
          <w:szCs w:val="21"/>
        </w:rPr>
        <w:t xml:space="preserve">.3.2 </w:t>
      </w:r>
      <w:r>
        <w:rPr>
          <w:rFonts w:hint="eastAsia" w:hAnsi="宋体"/>
          <w:szCs w:val="21"/>
        </w:rPr>
        <w:t>以石灰石、大理石和电石渣等作为脱硫剂脱硫过程排放的二氧化碳</w:t>
      </w:r>
    </w:p>
    <w:p w14:paraId="73568039">
      <w:pPr>
        <w:pStyle w:val="16"/>
        <w:jc w:val="right"/>
        <w:rPr>
          <w:rFonts w:hAnsi="宋体"/>
          <w:position w:val="-18"/>
          <w:szCs w:val="21"/>
        </w:rPr>
      </w:pPr>
      <w:r>
        <w:rPr>
          <w:rFonts w:hAnsi="宋体"/>
          <w:position w:val="-18"/>
          <w:szCs w:val="21"/>
        </w:rPr>
        <w:object>
          <v:shape id="_x0000_i1031" o:spt="75" type="#_x0000_t75" style="height:22.5pt;width:156.5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hint="eastAsia" w:hAnsi="宋体"/>
          <w:position w:val="-18"/>
          <w:szCs w:val="21"/>
        </w:rPr>
        <w:tab/>
      </w:r>
      <w:r>
        <w:rPr>
          <w:rFonts w:hint="eastAsia" w:hAnsi="宋体"/>
          <w:position w:val="-18"/>
          <w:szCs w:val="21"/>
        </w:rPr>
        <w:t xml:space="preserve">                          (</w:t>
      </w:r>
      <w:r>
        <w:rPr>
          <w:rFonts w:hint="eastAsia" w:eastAsia="宋体" w:cs="Times New Roman"/>
          <w:kern w:val="2"/>
          <w:position w:val="-18"/>
          <w:sz w:val="21"/>
          <w:szCs w:val="21"/>
          <w:lang w:val="en-US" w:eastAsia="zh-CN"/>
        </w:rPr>
        <w:t>B</w:t>
      </w:r>
      <w:r>
        <w:rPr>
          <w:rFonts w:hAnsi="宋体"/>
          <w:position w:val="-18"/>
          <w:szCs w:val="21"/>
        </w:rPr>
        <w:t>.</w:t>
      </w:r>
      <w:r>
        <w:rPr>
          <w:rFonts w:hint="eastAsia" w:hAnsi="宋体"/>
          <w:position w:val="-18"/>
          <w:szCs w:val="21"/>
        </w:rPr>
        <w:t>5)</w:t>
      </w:r>
    </w:p>
    <w:p w14:paraId="2D0A8048">
      <w:pPr>
        <w:pStyle w:val="16"/>
        <w:rPr>
          <w:rFonts w:hAnsi="宋体"/>
          <w:b/>
          <w:szCs w:val="21"/>
        </w:rPr>
      </w:pPr>
      <w:r>
        <w:rPr>
          <w:rFonts w:hAnsi="宋体"/>
          <w:szCs w:val="21"/>
        </w:rPr>
        <w:t>式中</w:t>
      </w:r>
      <w:r>
        <w:rPr>
          <w:rFonts w:hint="eastAsia" w:hAnsi="宋体"/>
          <w:szCs w:val="21"/>
        </w:rPr>
        <w:t>：</w:t>
      </w:r>
    </w:p>
    <w:p w14:paraId="73AD6523">
      <w:pPr>
        <w:pStyle w:val="16"/>
        <w:rPr>
          <w:rFonts w:hAnsi="宋体"/>
          <w:b/>
          <w:szCs w:val="21"/>
        </w:rPr>
      </w:pPr>
      <w:r>
        <w:rPr>
          <w:rFonts w:hAnsi="宋体"/>
          <w:i/>
          <w:iCs/>
          <w:szCs w:val="21"/>
        </w:rPr>
        <w:t>E</w:t>
      </w:r>
      <w:r>
        <w:rPr>
          <w:rFonts w:hAnsi="宋体"/>
          <w:i/>
          <w:iCs/>
          <w:szCs w:val="21"/>
          <w:vertAlign w:val="subscript"/>
        </w:rPr>
        <w:t>CO2碳酸盐，i</w:t>
      </w:r>
      <w:r>
        <w:rPr>
          <w:rFonts w:hAnsi="宋体"/>
          <w:szCs w:val="21"/>
        </w:rPr>
        <w:t>—第i个核算单元的碳酸盐使用过程产生的二氧化碳排放量</w:t>
      </w:r>
      <w:r>
        <w:rPr>
          <w:rFonts w:hint="eastAsia" w:hAnsi="宋体"/>
          <w:szCs w:val="21"/>
        </w:rPr>
        <w:t>，</w:t>
      </w:r>
      <w:r>
        <w:rPr>
          <w:rFonts w:hAnsi="宋体"/>
          <w:szCs w:val="21"/>
        </w:rPr>
        <w:t>单位为吨二氧化碳（tCO</w:t>
      </w:r>
      <w:r>
        <w:rPr>
          <w:rFonts w:hAnsi="宋体"/>
          <w:szCs w:val="21"/>
          <w:vertAlign w:val="subscript"/>
        </w:rPr>
        <w:t>2</w:t>
      </w:r>
      <w:r>
        <w:rPr>
          <w:rFonts w:hAnsi="宋体"/>
          <w:szCs w:val="21"/>
        </w:rPr>
        <w:t>）</w:t>
      </w:r>
      <w:r>
        <w:rPr>
          <w:rFonts w:hint="eastAsia" w:hAnsi="宋体"/>
          <w:szCs w:val="21"/>
        </w:rPr>
        <w:t>；</w:t>
      </w:r>
    </w:p>
    <w:p w14:paraId="411DEF6A">
      <w:pPr>
        <w:pStyle w:val="16"/>
        <w:rPr>
          <w:rFonts w:hAnsi="宋体"/>
          <w:b/>
          <w:szCs w:val="21"/>
        </w:rPr>
      </w:pPr>
      <w:r>
        <w:rPr>
          <w:rFonts w:hAnsi="宋体"/>
          <w:i/>
          <w:iCs/>
          <w:szCs w:val="21"/>
        </w:rPr>
        <w:t>j</w:t>
      </w:r>
      <w:r>
        <w:rPr>
          <w:rFonts w:hAnsi="宋体"/>
          <w:szCs w:val="21"/>
        </w:rPr>
        <w:t>—单位碳酸盐的种类</w:t>
      </w:r>
      <w:r>
        <w:rPr>
          <w:rFonts w:hint="eastAsia" w:hAnsi="宋体"/>
          <w:szCs w:val="21"/>
        </w:rPr>
        <w:t>，</w:t>
      </w:r>
      <w:r>
        <w:rPr>
          <w:rFonts w:hAnsi="宋体"/>
          <w:szCs w:val="21"/>
        </w:rPr>
        <w:t>如果实际使用的是多种碳酸盐组成的混合物，应分别考虑每种</w:t>
      </w:r>
      <w:r>
        <w:rPr>
          <w:rFonts w:hint="eastAsia" w:hAnsi="宋体"/>
          <w:szCs w:val="21"/>
          <w:lang w:eastAsia="zh-CN"/>
        </w:rPr>
        <w:t>碳酸盐</w:t>
      </w:r>
      <w:r>
        <w:rPr>
          <w:rFonts w:hint="eastAsia" w:hAnsi="宋体"/>
          <w:szCs w:val="21"/>
        </w:rPr>
        <w:t>；</w:t>
      </w:r>
    </w:p>
    <w:p w14:paraId="6603D894">
      <w:pPr>
        <w:pStyle w:val="16"/>
        <w:rPr>
          <w:rFonts w:hAnsi="宋体"/>
          <w:b/>
          <w:szCs w:val="21"/>
        </w:rPr>
      </w:pPr>
      <w:r>
        <w:rPr>
          <w:rFonts w:hAnsi="宋体"/>
          <w:i/>
          <w:iCs/>
          <w:szCs w:val="21"/>
        </w:rPr>
        <w:t>AD</w:t>
      </w:r>
      <w:r>
        <w:rPr>
          <w:rFonts w:hAnsi="宋体"/>
          <w:i/>
          <w:iCs/>
          <w:szCs w:val="21"/>
          <w:vertAlign w:val="subscript"/>
        </w:rPr>
        <w:t>i，j</w:t>
      </w:r>
      <w:r>
        <w:rPr>
          <w:rFonts w:hAnsi="宋体"/>
          <w:szCs w:val="21"/>
        </w:rPr>
        <w:t>—第i个核算单元的碳酸盐j用于原料、助熔剂、脱硫剂等的总消费量，单位为吨（t）</w:t>
      </w:r>
      <w:r>
        <w:rPr>
          <w:rFonts w:hint="eastAsia" w:hAnsi="宋体"/>
          <w:szCs w:val="21"/>
        </w:rPr>
        <w:t>；</w:t>
      </w:r>
    </w:p>
    <w:p w14:paraId="11103857">
      <w:pPr>
        <w:pStyle w:val="16"/>
        <w:rPr>
          <w:rFonts w:hAnsi="宋体"/>
          <w:b/>
          <w:szCs w:val="21"/>
        </w:rPr>
      </w:pPr>
      <w:r>
        <w:rPr>
          <w:rFonts w:hAnsi="宋体"/>
          <w:i/>
          <w:iCs/>
          <w:szCs w:val="21"/>
        </w:rPr>
        <w:t>EF</w:t>
      </w:r>
      <w:r>
        <w:rPr>
          <w:rFonts w:hAnsi="宋体"/>
          <w:i/>
          <w:iCs/>
          <w:szCs w:val="21"/>
          <w:vertAlign w:val="subscript"/>
        </w:rPr>
        <w:t>i，j</w:t>
      </w:r>
      <w:r>
        <w:rPr>
          <w:rFonts w:hAnsi="宋体"/>
          <w:szCs w:val="21"/>
        </w:rPr>
        <w:t>—第i个核算单元的碳酸盐j的二氧化碳排放因子</w:t>
      </w:r>
      <w:r>
        <w:rPr>
          <w:rFonts w:hint="eastAsia" w:hAnsi="宋体"/>
          <w:szCs w:val="21"/>
        </w:rPr>
        <w:t>，</w:t>
      </w:r>
      <w:r>
        <w:rPr>
          <w:rFonts w:hAnsi="宋体"/>
          <w:szCs w:val="21"/>
        </w:rPr>
        <w:t>单位为吨二氧化碳每吨碳酸盐（tCO</w:t>
      </w:r>
      <w:r>
        <w:rPr>
          <w:rFonts w:hAnsi="宋体"/>
          <w:szCs w:val="21"/>
          <w:vertAlign w:val="subscript"/>
        </w:rPr>
        <w:t>2</w:t>
      </w:r>
      <w:r>
        <w:rPr>
          <w:rFonts w:hAnsi="宋体"/>
          <w:szCs w:val="21"/>
        </w:rPr>
        <w:t>/t碳酸盐）</w:t>
      </w:r>
      <w:r>
        <w:rPr>
          <w:rFonts w:hint="eastAsia" w:hAnsi="宋体"/>
          <w:szCs w:val="21"/>
        </w:rPr>
        <w:t>；</w:t>
      </w:r>
    </w:p>
    <w:p w14:paraId="1B816220">
      <w:pPr>
        <w:pStyle w:val="16"/>
        <w:rPr>
          <w:rFonts w:hAnsi="宋体"/>
          <w:szCs w:val="21"/>
        </w:rPr>
      </w:pPr>
      <w:r>
        <w:rPr>
          <w:rFonts w:hAnsi="宋体"/>
          <w:i/>
          <w:iCs/>
          <w:szCs w:val="21"/>
        </w:rPr>
        <w:t>PUR</w:t>
      </w:r>
      <w:r>
        <w:rPr>
          <w:rFonts w:hAnsi="宋体"/>
          <w:szCs w:val="21"/>
        </w:rPr>
        <w:t>—第i个核算单元的碳酸盐j以质量分数表示的纯度，以%表示。</w:t>
      </w:r>
    </w:p>
    <w:p w14:paraId="3EF44785">
      <w:pPr>
        <w:pStyle w:val="16"/>
        <w:spacing w:beforeLines="50"/>
        <w:outlineLvl w:val="1"/>
        <w:rPr>
          <w:rFonts w:ascii="黑体" w:hAnsi="黑体" w:eastAsia="黑体"/>
          <w:szCs w:val="21"/>
        </w:rPr>
      </w:pPr>
      <w:r>
        <w:rPr>
          <w:rFonts w:hint="eastAsia" w:ascii="黑体" w:hAnsi="黑体" w:eastAsia="黑体"/>
          <w:szCs w:val="21"/>
          <w:lang w:val="en-US" w:eastAsia="zh-CN"/>
        </w:rPr>
        <w:t>B</w:t>
      </w:r>
      <w:r>
        <w:rPr>
          <w:rFonts w:hint="eastAsia" w:ascii="黑体" w:hAnsi="黑体" w:eastAsia="黑体"/>
          <w:szCs w:val="21"/>
        </w:rPr>
        <w:t>.4二氧化碳回收利用量</w:t>
      </w:r>
    </w:p>
    <w:p w14:paraId="2C3EC19C">
      <w:pPr>
        <w:pStyle w:val="16"/>
        <w:rPr>
          <w:rFonts w:hAnsi="宋体"/>
          <w:szCs w:val="21"/>
        </w:rPr>
      </w:pPr>
      <w:r>
        <w:rPr>
          <w:rFonts w:hAnsi="宋体"/>
          <w:szCs w:val="21"/>
        </w:rPr>
        <w:t>主要指回收燃料燃烧或工业生产过</w:t>
      </w:r>
      <w:r>
        <w:rPr>
          <w:rFonts w:hint="eastAsia" w:hAnsi="宋体"/>
          <w:szCs w:val="21"/>
          <w:lang w:eastAsia="zh-CN"/>
        </w:rPr>
        <w:t>程中</w:t>
      </w:r>
      <w:r>
        <w:rPr>
          <w:rFonts w:hAnsi="宋体"/>
          <w:szCs w:val="21"/>
        </w:rPr>
        <w:t>产生的二氧化碳并作为产品外供给其他单位从而应予扣减的那部分二氧化碳，不包括企业现场回收自用的部分。</w:t>
      </w:r>
    </w:p>
    <w:p w14:paraId="238FECFD">
      <w:pPr>
        <w:pStyle w:val="18"/>
        <w:spacing w:beforeLines="0" w:line="240" w:lineRule="auto"/>
        <w:jc w:val="right"/>
        <w:rPr>
          <w:rFonts w:ascii="宋体" w:hAnsi="宋体" w:cs="Times New Roman"/>
          <w:szCs w:val="21"/>
        </w:rPr>
      </w:pPr>
      <w:r>
        <w:rPr>
          <w:rFonts w:ascii="宋体" w:hAnsi="宋体" w:cs="Times New Roman"/>
          <w:position w:val="-16"/>
          <w:szCs w:val="21"/>
        </w:rPr>
        <w:object>
          <v:shape id="_x0000_i1032" o:spt="75" type="#_x0000_t75" style="height:18.5pt;width:111pt;" o:ole="t" filled="f" o:preferrelative="t" stroked="f" coordsize="21600,21600">
            <v:path/>
            <v:fill on="f" focussize="0,0"/>
            <v:stroke on="f" joinstyle="miter"/>
            <v:imagedata r:id="rId29" o:title=""/>
            <o:lock v:ext="edit" aspectratio="t"/>
            <w10:wrap type="none"/>
            <w10:anchorlock/>
          </v:shape>
          <o:OLEObject Type="Embed" ProgID="Equation.DSMT4" ShapeID="_x0000_i1032" DrawAspect="Content" ObjectID="_1468075732" r:id="rId28">
            <o:LockedField>false</o:LockedField>
          </o:OLEObject>
        </w:object>
      </w:r>
      <w:r>
        <w:rPr>
          <w:rFonts w:hint="eastAsia" w:ascii="宋体" w:hAnsi="宋体" w:cs="Times New Roman"/>
          <w:position w:val="-16"/>
          <w:szCs w:val="21"/>
        </w:rPr>
        <w:tab/>
      </w:r>
      <w:r>
        <w:rPr>
          <w:rFonts w:hint="eastAsia" w:ascii="宋体" w:hAnsi="宋体" w:cs="Times New Roman"/>
          <w:position w:val="-16"/>
          <w:szCs w:val="21"/>
        </w:rPr>
        <w:tab/>
      </w:r>
      <w:r>
        <w:rPr>
          <w:rFonts w:hint="eastAsia" w:ascii="宋体" w:hAnsi="宋体" w:cs="Times New Roman"/>
          <w:position w:val="-16"/>
          <w:szCs w:val="21"/>
        </w:rPr>
        <w:tab/>
      </w:r>
      <w:r>
        <w:rPr>
          <w:rFonts w:hint="eastAsia" w:ascii="宋体" w:hAnsi="宋体" w:cs="Times New Roman"/>
          <w:position w:val="-16"/>
          <w:szCs w:val="21"/>
        </w:rPr>
        <w:tab/>
      </w:r>
      <w:r>
        <w:rPr>
          <w:rFonts w:hint="eastAsia" w:ascii="宋体" w:hAnsi="宋体" w:cs="Times New Roman"/>
          <w:position w:val="-16"/>
          <w:szCs w:val="21"/>
        </w:rPr>
        <w:tab/>
      </w:r>
      <w:r>
        <w:rPr>
          <w:rFonts w:hint="eastAsia" w:ascii="宋体" w:hAnsi="宋体" w:cs="Times New Roman"/>
          <w:position w:val="-16"/>
          <w:szCs w:val="21"/>
        </w:rPr>
        <w:tab/>
      </w:r>
      <w:r>
        <w:rPr>
          <w:rFonts w:hint="eastAsia" w:ascii="宋体" w:hAnsi="宋体" w:cs="Times New Roman"/>
          <w:b w:val="0"/>
          <w:position w:val="-18"/>
          <w:szCs w:val="21"/>
        </w:rPr>
        <w:tab/>
      </w:r>
      <w:r>
        <w:rPr>
          <w:rFonts w:hint="eastAsia" w:ascii="宋体" w:hAnsi="宋体" w:cs="Times New Roman"/>
          <w:b w:val="0"/>
          <w:position w:val="-18"/>
          <w:szCs w:val="21"/>
        </w:rPr>
        <w:t>(</w:t>
      </w:r>
      <w:r>
        <w:rPr>
          <w:rFonts w:hint="eastAsia" w:ascii="宋体" w:hAnsi="宋体" w:eastAsia="宋体" w:cs="Times New Roman"/>
          <w:b w:val="0"/>
          <w:kern w:val="2"/>
          <w:position w:val="-18"/>
          <w:sz w:val="21"/>
          <w:szCs w:val="21"/>
          <w:lang w:val="en-US" w:eastAsia="zh-CN"/>
        </w:rPr>
        <w:t>B</w:t>
      </w:r>
      <w:r>
        <w:rPr>
          <w:rFonts w:ascii="宋体" w:hAnsi="宋体" w:cs="Times New Roman"/>
          <w:b w:val="0"/>
          <w:position w:val="-18"/>
          <w:szCs w:val="21"/>
        </w:rPr>
        <w:t>.</w:t>
      </w:r>
      <w:r>
        <w:rPr>
          <w:rFonts w:hint="eastAsia" w:ascii="宋体" w:hAnsi="宋体" w:cs="Times New Roman"/>
          <w:b w:val="0"/>
          <w:position w:val="-18"/>
          <w:szCs w:val="21"/>
        </w:rPr>
        <w:t>6)</w:t>
      </w:r>
    </w:p>
    <w:p w14:paraId="275B25DE">
      <w:pPr>
        <w:pStyle w:val="16"/>
        <w:rPr>
          <w:rFonts w:hAnsi="宋体"/>
          <w:b/>
          <w:szCs w:val="21"/>
        </w:rPr>
      </w:pPr>
      <w:r>
        <w:rPr>
          <w:rFonts w:hAnsi="宋体"/>
          <w:szCs w:val="21"/>
        </w:rPr>
        <w:t>式中</w:t>
      </w:r>
      <w:r>
        <w:rPr>
          <w:rFonts w:hint="eastAsia" w:hAnsi="宋体"/>
          <w:szCs w:val="21"/>
        </w:rPr>
        <w:t>：</w:t>
      </w:r>
    </w:p>
    <w:p w14:paraId="6768D77F">
      <w:pPr>
        <w:pStyle w:val="16"/>
        <w:rPr>
          <w:rFonts w:hAnsi="宋体"/>
          <w:b/>
          <w:szCs w:val="21"/>
        </w:rPr>
      </w:pPr>
      <w:r>
        <w:rPr>
          <w:rFonts w:hAnsi="宋体"/>
          <w:i/>
          <w:iCs/>
          <w:szCs w:val="21"/>
        </w:rPr>
        <w:t>R</w:t>
      </w:r>
      <w:r>
        <w:rPr>
          <w:rFonts w:hAnsi="宋体"/>
          <w:i/>
          <w:iCs/>
          <w:szCs w:val="21"/>
          <w:vertAlign w:val="subscript"/>
        </w:rPr>
        <w:t>CO2回收，i</w:t>
      </w:r>
      <w:r>
        <w:rPr>
          <w:rFonts w:hAnsi="宋体"/>
          <w:szCs w:val="21"/>
        </w:rPr>
        <w:t>—第i个核算单元的二氧化碳回收利用量，单位为吨二氧化碳（tCO</w:t>
      </w:r>
      <w:r>
        <w:rPr>
          <w:rFonts w:hAnsi="宋体"/>
          <w:szCs w:val="21"/>
          <w:vertAlign w:val="subscript"/>
        </w:rPr>
        <w:t>2</w:t>
      </w:r>
      <w:r>
        <w:rPr>
          <w:rFonts w:hAnsi="宋体"/>
          <w:szCs w:val="21"/>
        </w:rPr>
        <w:t>）</w:t>
      </w:r>
      <w:r>
        <w:rPr>
          <w:rFonts w:hint="eastAsia" w:hAnsi="宋体"/>
          <w:szCs w:val="21"/>
        </w:rPr>
        <w:t>；</w:t>
      </w:r>
    </w:p>
    <w:p w14:paraId="194369C0">
      <w:pPr>
        <w:pStyle w:val="16"/>
        <w:rPr>
          <w:rFonts w:hint="eastAsia" w:hAnsi="宋体" w:eastAsia="宋体"/>
          <w:b/>
          <w:szCs w:val="21"/>
          <w:lang w:eastAsia="zh-CN"/>
        </w:rPr>
      </w:pPr>
      <w:r>
        <w:rPr>
          <w:rFonts w:hAnsi="宋体"/>
          <w:i/>
          <w:iCs/>
          <w:szCs w:val="21"/>
        </w:rPr>
        <w:t>Q</w:t>
      </w:r>
      <w:r>
        <w:rPr>
          <w:rFonts w:hAnsi="宋体"/>
          <w:i/>
          <w:iCs/>
          <w:szCs w:val="21"/>
          <w:vertAlign w:val="subscript"/>
        </w:rPr>
        <w:t>i</w:t>
      </w:r>
      <w:r>
        <w:rPr>
          <w:rFonts w:hAnsi="宋体"/>
          <w:szCs w:val="21"/>
        </w:rPr>
        <w:t>—第i个核算单元回收且外供的二氧化碳气体体积，单位为万标立方米（10</w:t>
      </w:r>
      <w:r>
        <w:rPr>
          <w:rFonts w:hAnsi="宋体"/>
          <w:szCs w:val="21"/>
          <w:vertAlign w:val="superscript"/>
        </w:rPr>
        <w:t>4</w:t>
      </w:r>
      <w:r>
        <w:rPr>
          <w:rFonts w:hAnsi="宋体"/>
          <w:szCs w:val="21"/>
        </w:rPr>
        <w:t>Nm³）</w:t>
      </w:r>
      <w:r>
        <w:rPr>
          <w:rFonts w:hint="eastAsia" w:hAnsi="宋体"/>
          <w:szCs w:val="21"/>
          <w:lang w:eastAsia="zh-CN"/>
        </w:rPr>
        <w:t>；</w:t>
      </w:r>
    </w:p>
    <w:p w14:paraId="06C67C62">
      <w:pPr>
        <w:pStyle w:val="16"/>
        <w:rPr>
          <w:rFonts w:hAnsi="宋体"/>
          <w:b/>
          <w:szCs w:val="21"/>
        </w:rPr>
      </w:pPr>
      <w:r>
        <w:rPr>
          <w:rFonts w:hAnsi="宋体"/>
          <w:i/>
          <w:iCs/>
          <w:szCs w:val="21"/>
        </w:rPr>
        <w:t>PUR</w:t>
      </w:r>
      <w:r>
        <w:rPr>
          <w:rFonts w:hAnsi="宋体"/>
          <w:i/>
          <w:iCs/>
          <w:szCs w:val="21"/>
          <w:vertAlign w:val="subscript"/>
        </w:rPr>
        <w:t>CO2，i</w:t>
      </w:r>
      <w:r>
        <w:rPr>
          <w:rFonts w:hAnsi="宋体"/>
          <w:szCs w:val="21"/>
        </w:rPr>
        <w:t>—第i个核算单元的二氧化碳外供气体的纯度（二氧化碳体积分数）</w:t>
      </w:r>
      <w:r>
        <w:rPr>
          <w:rFonts w:hint="eastAsia" w:hAnsi="宋体"/>
          <w:szCs w:val="21"/>
        </w:rPr>
        <w:t>，</w:t>
      </w:r>
      <w:r>
        <w:rPr>
          <w:rFonts w:hAnsi="宋体"/>
          <w:szCs w:val="21"/>
        </w:rPr>
        <w:t>以%表示</w:t>
      </w:r>
      <w:r>
        <w:rPr>
          <w:rFonts w:hint="eastAsia" w:hAnsi="宋体"/>
          <w:szCs w:val="21"/>
        </w:rPr>
        <w:t>；</w:t>
      </w:r>
    </w:p>
    <w:p w14:paraId="0DACF71E">
      <w:pPr>
        <w:pStyle w:val="16"/>
        <w:rPr>
          <w:rFonts w:hAnsi="宋体"/>
          <w:szCs w:val="21"/>
        </w:rPr>
      </w:pPr>
      <w:r>
        <w:rPr>
          <w:rFonts w:hAnsi="宋体"/>
          <w:i/>
          <w:iCs/>
          <w:szCs w:val="21"/>
        </w:rPr>
        <w:t>19.77</w:t>
      </w:r>
      <w:r>
        <w:rPr>
          <w:rFonts w:hAnsi="宋体"/>
          <w:szCs w:val="21"/>
        </w:rPr>
        <w:t>—标准状况下二氧化碳气体的密度</w:t>
      </w:r>
      <w:r>
        <w:rPr>
          <w:rFonts w:hint="eastAsia" w:hAnsi="宋体"/>
          <w:szCs w:val="21"/>
        </w:rPr>
        <w:t>，</w:t>
      </w:r>
      <w:r>
        <w:rPr>
          <w:rFonts w:hAnsi="宋体"/>
          <w:szCs w:val="21"/>
        </w:rPr>
        <w:t>单位为吨二氧化碳每万标立方米（tCO</w:t>
      </w:r>
      <w:r>
        <w:rPr>
          <w:rFonts w:hAnsi="宋体"/>
          <w:szCs w:val="21"/>
          <w:vertAlign w:val="subscript"/>
        </w:rPr>
        <w:t>2</w:t>
      </w:r>
      <w:r>
        <w:rPr>
          <w:rFonts w:hAnsi="宋体"/>
          <w:szCs w:val="21"/>
        </w:rPr>
        <w:t>/10</w:t>
      </w:r>
      <w:r>
        <w:rPr>
          <w:rFonts w:hAnsi="宋体"/>
          <w:szCs w:val="21"/>
          <w:vertAlign w:val="superscript"/>
        </w:rPr>
        <w:t>4</w:t>
      </w:r>
      <w:r>
        <w:rPr>
          <w:rFonts w:hAnsi="宋体"/>
          <w:szCs w:val="21"/>
        </w:rPr>
        <w:t>Nm</w:t>
      </w:r>
      <w:r>
        <w:rPr>
          <w:rFonts w:hAnsi="宋体"/>
          <w:szCs w:val="21"/>
          <w:vertAlign w:val="superscript"/>
        </w:rPr>
        <w:t>3</w:t>
      </w:r>
      <w:r>
        <w:rPr>
          <w:rFonts w:hAnsi="宋体"/>
          <w:szCs w:val="21"/>
        </w:rPr>
        <w:t>）。</w:t>
      </w:r>
    </w:p>
    <w:p w14:paraId="20DD8004">
      <w:pPr>
        <w:pStyle w:val="16"/>
        <w:rPr>
          <w:rFonts w:ascii="黑体" w:hAnsi="黑体" w:eastAsia="黑体"/>
          <w:szCs w:val="21"/>
        </w:rPr>
      </w:pPr>
      <w:r>
        <w:rPr>
          <w:rFonts w:ascii="黑体" w:hAnsi="黑体" w:eastAsia="黑体"/>
          <w:szCs w:val="21"/>
        </w:rPr>
        <w:t>数据的监测与获取优先序</w:t>
      </w:r>
    </w:p>
    <w:p w14:paraId="6BC26EBA">
      <w:pPr>
        <w:pStyle w:val="16"/>
        <w:rPr>
          <w:rFonts w:hAnsi="宋体"/>
          <w:szCs w:val="21"/>
        </w:rPr>
      </w:pPr>
      <w:r>
        <w:rPr>
          <w:rFonts w:hAnsi="宋体"/>
          <w:szCs w:val="21"/>
        </w:rPr>
        <w:t>a）直接计量的碳输出数据；</w:t>
      </w:r>
    </w:p>
    <w:p w14:paraId="6625E985">
      <w:pPr>
        <w:pStyle w:val="16"/>
        <w:rPr>
          <w:rFonts w:hAnsi="宋体"/>
          <w:szCs w:val="21"/>
        </w:rPr>
      </w:pPr>
      <w:r>
        <w:rPr>
          <w:rFonts w:hAnsi="宋体"/>
          <w:szCs w:val="21"/>
        </w:rPr>
        <w:t>b）结算凭证上的数据。</w:t>
      </w:r>
    </w:p>
    <w:p w14:paraId="67F6002F">
      <w:pPr>
        <w:pStyle w:val="16"/>
        <w:spacing w:beforeLines="50"/>
        <w:outlineLvl w:val="1"/>
        <w:rPr>
          <w:rFonts w:ascii="黑体" w:hAnsi="黑体" w:eastAsia="黑体"/>
          <w:szCs w:val="21"/>
        </w:rPr>
      </w:pPr>
      <w:r>
        <w:rPr>
          <w:rFonts w:hint="eastAsia" w:ascii="黑体" w:hAnsi="黑体" w:eastAsia="黑体"/>
          <w:szCs w:val="21"/>
          <w:lang w:val="en-US" w:eastAsia="zh-CN"/>
        </w:rPr>
        <w:t>B</w:t>
      </w:r>
      <w:r>
        <w:rPr>
          <w:rFonts w:hint="eastAsia" w:ascii="黑体" w:hAnsi="黑体" w:eastAsia="黑体"/>
          <w:szCs w:val="21"/>
        </w:rPr>
        <w:t>.5购入、输出的电力产生的排放</w:t>
      </w:r>
    </w:p>
    <w:p w14:paraId="475D1375">
      <w:pPr>
        <w:pStyle w:val="16"/>
        <w:rPr>
          <w:rFonts w:hAnsi="宋体"/>
          <w:szCs w:val="21"/>
        </w:rPr>
      </w:pPr>
      <w:r>
        <w:rPr>
          <w:rFonts w:hAnsi="宋体"/>
          <w:szCs w:val="21"/>
        </w:rPr>
        <w:t>化工生产企业消费的购入、输出电力所对应的二氧化碳排放。</w:t>
      </w:r>
    </w:p>
    <w:p w14:paraId="6A55733C">
      <w:pPr>
        <w:pStyle w:val="18"/>
        <w:spacing w:beforeLines="0" w:line="240" w:lineRule="auto"/>
        <w:jc w:val="right"/>
        <w:rPr>
          <w:rFonts w:ascii="宋体" w:hAnsi="宋体" w:cs="Times New Roman"/>
          <w:szCs w:val="21"/>
        </w:rPr>
      </w:pPr>
      <w:r>
        <w:rPr>
          <w:rFonts w:ascii="宋体" w:hAnsi="宋体" w:cs="Times New Roman"/>
          <w:position w:val="-14"/>
          <w:szCs w:val="21"/>
        </w:rPr>
        <w:object>
          <v:shape id="_x0000_i1033" o:spt="75" type="#_x0000_t75" style="height:16pt;width:77.5pt;" o:ole="t" filled="f" o:preferrelative="t" stroked="f" coordsize="21600,21600">
            <v:path/>
            <v:fill on="f" focussize="0,0"/>
            <v:stroke on="f" joinstyle="miter"/>
            <v:imagedata r:id="rId31" o:title=""/>
            <o:lock v:ext="edit" aspectratio="t"/>
            <w10:wrap type="none"/>
            <w10:anchorlock/>
          </v:shape>
          <o:OLEObject Type="Embed" ProgID="Equation.DSMT4" ShapeID="_x0000_i1033" DrawAspect="Content" ObjectID="_1468075733" r:id="rId30">
            <o:LockedField>false</o:LockedField>
          </o:OLEObject>
        </w:object>
      </w:r>
      <w:r>
        <w:rPr>
          <w:rFonts w:hint="eastAsia" w:ascii="宋体" w:hAnsi="宋体" w:cs="Times New Roman"/>
          <w:b w:val="0"/>
          <w:position w:val="-18"/>
          <w:szCs w:val="21"/>
        </w:rPr>
        <w:t xml:space="preserve">                              (</w:t>
      </w:r>
      <w:r>
        <w:rPr>
          <w:rFonts w:hint="eastAsia" w:ascii="宋体" w:hAnsi="宋体" w:eastAsia="宋体" w:cs="Times New Roman"/>
          <w:b w:val="0"/>
          <w:kern w:val="2"/>
          <w:position w:val="-18"/>
          <w:sz w:val="21"/>
          <w:szCs w:val="21"/>
          <w:lang w:val="en-US" w:eastAsia="zh-CN"/>
        </w:rPr>
        <w:t>B</w:t>
      </w:r>
      <w:r>
        <w:rPr>
          <w:rFonts w:ascii="宋体" w:hAnsi="宋体" w:cs="Times New Roman"/>
          <w:b w:val="0"/>
          <w:position w:val="-18"/>
          <w:szCs w:val="21"/>
        </w:rPr>
        <w:t>.</w:t>
      </w:r>
      <w:r>
        <w:rPr>
          <w:rFonts w:hint="eastAsia" w:ascii="宋体" w:hAnsi="宋体" w:cs="Times New Roman"/>
          <w:b w:val="0"/>
          <w:position w:val="-18"/>
          <w:szCs w:val="21"/>
        </w:rPr>
        <w:t>7)</w:t>
      </w:r>
    </w:p>
    <w:p w14:paraId="5812B540">
      <w:pPr>
        <w:pStyle w:val="16"/>
        <w:rPr>
          <w:rFonts w:hAnsi="宋体"/>
          <w:b/>
          <w:szCs w:val="21"/>
        </w:rPr>
      </w:pPr>
      <w:r>
        <w:rPr>
          <w:rFonts w:hAnsi="宋体"/>
          <w:szCs w:val="21"/>
        </w:rPr>
        <w:t>式中</w:t>
      </w:r>
      <w:r>
        <w:rPr>
          <w:rFonts w:hint="eastAsia" w:hAnsi="宋体"/>
          <w:szCs w:val="21"/>
        </w:rPr>
        <w:t>：</w:t>
      </w:r>
    </w:p>
    <w:p w14:paraId="6E850870">
      <w:pPr>
        <w:pStyle w:val="16"/>
        <w:rPr>
          <w:rFonts w:hAnsi="宋体"/>
          <w:b/>
          <w:szCs w:val="21"/>
        </w:rPr>
      </w:pPr>
      <w:r>
        <w:rPr>
          <w:rFonts w:hAnsi="宋体"/>
          <w:i/>
          <w:iCs/>
          <w:szCs w:val="21"/>
        </w:rPr>
        <w:t>E</w:t>
      </w:r>
      <w:r>
        <w:rPr>
          <w:rFonts w:hAnsi="宋体"/>
          <w:i/>
          <w:iCs/>
          <w:szCs w:val="21"/>
          <w:vertAlign w:val="subscript"/>
        </w:rPr>
        <w:t>购入电</w:t>
      </w:r>
      <w:r>
        <w:rPr>
          <w:rFonts w:hint="eastAsia" w:hAnsi="宋体"/>
          <w:i/>
          <w:iCs/>
          <w:szCs w:val="21"/>
          <w:vertAlign w:val="subscript"/>
        </w:rPr>
        <w:t>，</w:t>
      </w:r>
      <w:r>
        <w:rPr>
          <w:rFonts w:hAnsi="宋体"/>
          <w:i/>
          <w:iCs/>
          <w:szCs w:val="21"/>
          <w:vertAlign w:val="subscript"/>
        </w:rPr>
        <w:t>i</w:t>
      </w:r>
      <w:r>
        <w:rPr>
          <w:rFonts w:hAnsi="宋体"/>
          <w:szCs w:val="21"/>
        </w:rPr>
        <w:t>—核算单元i购入电力所产生的二氧化碳排放量</w:t>
      </w:r>
      <w:r>
        <w:rPr>
          <w:rFonts w:hint="eastAsia" w:hAnsi="宋体"/>
          <w:szCs w:val="21"/>
        </w:rPr>
        <w:t>，</w:t>
      </w:r>
      <w:r>
        <w:rPr>
          <w:rFonts w:hAnsi="宋体"/>
          <w:szCs w:val="21"/>
        </w:rPr>
        <w:t>单位为吨二氧化碳（tCO</w:t>
      </w:r>
      <w:r>
        <w:rPr>
          <w:rFonts w:ascii="Times New Roman"/>
          <w:szCs w:val="21"/>
        </w:rPr>
        <w:t>₂</w:t>
      </w:r>
      <w:r>
        <w:rPr>
          <w:rFonts w:hAnsi="宋体"/>
          <w:szCs w:val="21"/>
        </w:rPr>
        <w:t>）</w:t>
      </w:r>
      <w:r>
        <w:rPr>
          <w:rFonts w:hint="eastAsia" w:hAnsi="宋体"/>
          <w:szCs w:val="21"/>
        </w:rPr>
        <w:t>；</w:t>
      </w:r>
    </w:p>
    <w:p w14:paraId="78BAE315">
      <w:pPr>
        <w:pStyle w:val="16"/>
        <w:rPr>
          <w:rFonts w:hAnsi="宋体"/>
          <w:b/>
          <w:szCs w:val="21"/>
        </w:rPr>
      </w:pPr>
      <w:r>
        <w:rPr>
          <w:rFonts w:hAnsi="宋体"/>
          <w:i/>
          <w:iCs/>
          <w:szCs w:val="21"/>
        </w:rPr>
        <w:t>AD</w:t>
      </w:r>
      <w:r>
        <w:rPr>
          <w:rFonts w:hint="eastAsia" w:hAnsi="宋体"/>
          <w:i/>
          <w:iCs/>
          <w:szCs w:val="21"/>
        </w:rPr>
        <w:t>购入</w:t>
      </w:r>
      <w:r>
        <w:rPr>
          <w:rFonts w:hAnsi="宋体"/>
          <w:i/>
          <w:iCs/>
          <w:szCs w:val="21"/>
          <w:vertAlign w:val="subscript"/>
        </w:rPr>
        <w:t>电，i</w:t>
      </w:r>
      <w:r>
        <w:rPr>
          <w:rFonts w:hAnsi="宋体"/>
          <w:szCs w:val="21"/>
        </w:rPr>
        <w:t>—核算期内核算单元i购入电力，单位为兆瓦时（MWh）</w:t>
      </w:r>
      <w:r>
        <w:rPr>
          <w:rFonts w:hint="eastAsia" w:hAnsi="宋体"/>
          <w:szCs w:val="21"/>
        </w:rPr>
        <w:t>；</w:t>
      </w:r>
    </w:p>
    <w:p w14:paraId="04268DB9">
      <w:pPr>
        <w:pStyle w:val="16"/>
        <w:rPr>
          <w:rFonts w:hAnsi="宋体"/>
          <w:szCs w:val="21"/>
        </w:rPr>
      </w:pPr>
      <w:r>
        <w:rPr>
          <w:rFonts w:hAnsi="宋体"/>
          <w:i/>
          <w:iCs/>
          <w:szCs w:val="21"/>
        </w:rPr>
        <w:t>EF</w:t>
      </w:r>
      <w:r>
        <w:rPr>
          <w:rFonts w:hAnsi="宋体"/>
          <w:i/>
          <w:iCs/>
          <w:szCs w:val="21"/>
          <w:vertAlign w:val="subscript"/>
        </w:rPr>
        <w:t>电</w:t>
      </w:r>
      <w:r>
        <w:rPr>
          <w:rFonts w:hAnsi="宋体"/>
          <w:szCs w:val="21"/>
        </w:rPr>
        <w:t>—电网排放因子，单位为吨二氧化碳每兆瓦时（tCO</w:t>
      </w:r>
      <w:r>
        <w:rPr>
          <w:rFonts w:hAnsi="宋体"/>
          <w:szCs w:val="21"/>
          <w:vertAlign w:val="subscript"/>
        </w:rPr>
        <w:t>2</w:t>
      </w:r>
      <w:r>
        <w:rPr>
          <w:rFonts w:hAnsi="宋体"/>
          <w:szCs w:val="21"/>
        </w:rPr>
        <w:t>/MWh）。</w:t>
      </w:r>
    </w:p>
    <w:p w14:paraId="25149D10">
      <w:pPr>
        <w:pStyle w:val="16"/>
        <w:jc w:val="right"/>
        <w:rPr>
          <w:rFonts w:hAnsi="宋体"/>
          <w:kern w:val="2"/>
          <w:position w:val="-18"/>
          <w:szCs w:val="21"/>
        </w:rPr>
      </w:pPr>
      <w:r>
        <w:rPr>
          <w:rFonts w:hAnsi="宋体"/>
          <w:position w:val="-14"/>
          <w:szCs w:val="21"/>
        </w:rPr>
        <w:object>
          <v:shape id="_x0000_i1034" o:spt="75" type="#_x0000_t75" style="height:14.5pt;width:70pt;" o:ole="t" filled="f" o:preferrelative="t" stroked="f" coordsize="21600,21600">
            <v:path/>
            <v:fill on="f" focussize="0,0"/>
            <v:stroke on="f" joinstyle="miter"/>
            <v:imagedata r:id="rId33" o:title=""/>
            <o:lock v:ext="edit" aspectratio="t"/>
            <w10:wrap type="none"/>
            <w10:anchorlock/>
          </v:shape>
          <o:OLEObject Type="Embed" ProgID="Equation.DSMT4" ShapeID="_x0000_i1034" DrawAspect="Content" ObjectID="_1468075734" r:id="rId32">
            <o:LockedField>false</o:LockedField>
          </o:OLEObject>
        </w:object>
      </w:r>
      <w:r>
        <w:rPr>
          <w:rFonts w:hint="eastAsia" w:hAnsi="宋体"/>
          <w:kern w:val="2"/>
          <w:position w:val="-18"/>
          <w:szCs w:val="21"/>
        </w:rPr>
        <w:t>(</w:t>
      </w:r>
      <w:r>
        <w:rPr>
          <w:rFonts w:hint="eastAsia" w:eastAsia="宋体" w:cs="Times New Roman"/>
          <w:kern w:val="2"/>
          <w:position w:val="-18"/>
          <w:sz w:val="21"/>
          <w:szCs w:val="21"/>
          <w:lang w:val="en-US" w:eastAsia="zh-CN"/>
        </w:rPr>
        <w:t>B</w:t>
      </w:r>
      <w:r>
        <w:rPr>
          <w:rFonts w:hAnsi="宋体"/>
          <w:kern w:val="2"/>
          <w:position w:val="-18"/>
          <w:szCs w:val="21"/>
        </w:rPr>
        <w:t>.</w:t>
      </w:r>
      <w:r>
        <w:rPr>
          <w:rFonts w:hint="eastAsia" w:hAnsi="宋体"/>
          <w:kern w:val="2"/>
          <w:position w:val="-18"/>
          <w:szCs w:val="21"/>
        </w:rPr>
        <w:t>8)</w:t>
      </w:r>
    </w:p>
    <w:p w14:paraId="67710F29">
      <w:pPr>
        <w:pStyle w:val="16"/>
        <w:rPr>
          <w:rFonts w:hAnsi="宋体"/>
          <w:b/>
          <w:szCs w:val="21"/>
        </w:rPr>
      </w:pPr>
      <w:r>
        <w:rPr>
          <w:rFonts w:hAnsi="宋体"/>
          <w:szCs w:val="21"/>
        </w:rPr>
        <w:t>式中</w:t>
      </w:r>
      <w:r>
        <w:rPr>
          <w:rFonts w:hint="eastAsia" w:hAnsi="宋体"/>
          <w:szCs w:val="21"/>
        </w:rPr>
        <w:t>：</w:t>
      </w:r>
    </w:p>
    <w:p w14:paraId="34BD4AAC">
      <w:pPr>
        <w:pStyle w:val="16"/>
        <w:rPr>
          <w:rFonts w:hAnsi="宋体"/>
          <w:b/>
          <w:szCs w:val="21"/>
        </w:rPr>
      </w:pPr>
      <w:r>
        <w:rPr>
          <w:rFonts w:hAnsi="宋体"/>
          <w:i/>
          <w:iCs/>
          <w:szCs w:val="21"/>
        </w:rPr>
        <w:t>E</w:t>
      </w:r>
      <w:r>
        <w:rPr>
          <w:rFonts w:hAnsi="宋体"/>
          <w:i/>
          <w:iCs/>
          <w:szCs w:val="21"/>
          <w:vertAlign w:val="subscript"/>
        </w:rPr>
        <w:t>输出电</w:t>
      </w:r>
      <w:r>
        <w:rPr>
          <w:rFonts w:hint="eastAsia" w:hAnsi="宋体"/>
          <w:i/>
          <w:iCs/>
          <w:szCs w:val="21"/>
          <w:vertAlign w:val="subscript"/>
        </w:rPr>
        <w:t>，</w:t>
      </w:r>
      <w:r>
        <w:rPr>
          <w:rFonts w:hAnsi="宋体"/>
          <w:i/>
          <w:iCs/>
          <w:szCs w:val="21"/>
          <w:vertAlign w:val="subscript"/>
        </w:rPr>
        <w:t>i</w:t>
      </w:r>
      <w:r>
        <w:rPr>
          <w:rFonts w:hAnsi="宋体"/>
          <w:szCs w:val="21"/>
        </w:rPr>
        <w:t>—核算单元i输出电力所产生的二氧化碳排放量</w:t>
      </w:r>
      <w:r>
        <w:rPr>
          <w:rFonts w:hint="eastAsia" w:hAnsi="宋体"/>
          <w:szCs w:val="21"/>
        </w:rPr>
        <w:t>，</w:t>
      </w:r>
      <w:r>
        <w:rPr>
          <w:rFonts w:hAnsi="宋体"/>
          <w:szCs w:val="21"/>
        </w:rPr>
        <w:t>单位为吨二氧化碳（tCO</w:t>
      </w:r>
      <w:r>
        <w:rPr>
          <w:rFonts w:ascii="Times New Roman"/>
          <w:szCs w:val="21"/>
        </w:rPr>
        <w:t>₂</w:t>
      </w:r>
      <w:r>
        <w:rPr>
          <w:rFonts w:hAnsi="宋体"/>
          <w:szCs w:val="21"/>
        </w:rPr>
        <w:t>）</w:t>
      </w:r>
      <w:r>
        <w:rPr>
          <w:rFonts w:hint="eastAsia" w:hAnsi="宋体"/>
          <w:szCs w:val="21"/>
        </w:rPr>
        <w:t>；</w:t>
      </w:r>
    </w:p>
    <w:p w14:paraId="10EDA439">
      <w:pPr>
        <w:pStyle w:val="16"/>
        <w:rPr>
          <w:rFonts w:hAnsi="宋体"/>
          <w:b/>
          <w:szCs w:val="21"/>
        </w:rPr>
      </w:pPr>
      <w:r>
        <w:rPr>
          <w:rFonts w:hAnsi="宋体"/>
          <w:i/>
          <w:iCs/>
          <w:szCs w:val="21"/>
        </w:rPr>
        <w:t>AD</w:t>
      </w:r>
      <w:r>
        <w:rPr>
          <w:rFonts w:hAnsi="宋体"/>
          <w:i/>
          <w:iCs/>
          <w:szCs w:val="21"/>
          <w:vertAlign w:val="subscript"/>
        </w:rPr>
        <w:t>输出电，i</w:t>
      </w:r>
      <w:r>
        <w:rPr>
          <w:rFonts w:hAnsi="宋体"/>
          <w:szCs w:val="21"/>
        </w:rPr>
        <w:t>—核算期内核算单元i输出电力，单位为兆瓦时（MWh）</w:t>
      </w:r>
      <w:r>
        <w:rPr>
          <w:rFonts w:hint="eastAsia" w:hAnsi="宋体"/>
          <w:szCs w:val="21"/>
        </w:rPr>
        <w:t>；</w:t>
      </w:r>
    </w:p>
    <w:p w14:paraId="44B2A3B8">
      <w:pPr>
        <w:pStyle w:val="16"/>
        <w:rPr>
          <w:rFonts w:hAnsi="宋体"/>
          <w:szCs w:val="21"/>
        </w:rPr>
      </w:pPr>
      <w:r>
        <w:rPr>
          <w:rFonts w:hAnsi="宋体"/>
          <w:i/>
          <w:iCs/>
          <w:szCs w:val="21"/>
        </w:rPr>
        <w:t>EF</w:t>
      </w:r>
      <w:r>
        <w:rPr>
          <w:rFonts w:hAnsi="宋体"/>
          <w:i/>
          <w:iCs/>
          <w:szCs w:val="21"/>
          <w:vertAlign w:val="subscript"/>
        </w:rPr>
        <w:t>电</w:t>
      </w:r>
      <w:r>
        <w:rPr>
          <w:rFonts w:hAnsi="宋体"/>
          <w:szCs w:val="21"/>
        </w:rPr>
        <w:t>—电网排放因子，单位为吨二氧化碳每兆瓦时（tCO</w:t>
      </w:r>
      <w:r>
        <w:rPr>
          <w:rFonts w:hAnsi="宋体"/>
          <w:szCs w:val="21"/>
          <w:vertAlign w:val="subscript"/>
        </w:rPr>
        <w:t>2</w:t>
      </w:r>
      <w:r>
        <w:rPr>
          <w:rFonts w:hAnsi="宋体"/>
          <w:szCs w:val="21"/>
        </w:rPr>
        <w:t>/MWh）。</w:t>
      </w:r>
    </w:p>
    <w:p w14:paraId="73701E9A">
      <w:pPr>
        <w:pStyle w:val="16"/>
        <w:rPr>
          <w:rFonts w:hAnsi="宋体"/>
          <w:szCs w:val="21"/>
        </w:rPr>
      </w:pPr>
      <w:r>
        <w:rPr>
          <w:rFonts w:hAnsi="宋体"/>
          <w:szCs w:val="21"/>
        </w:rPr>
        <w:t>数据的监测与获取优先序</w:t>
      </w:r>
    </w:p>
    <w:p w14:paraId="6C8A833B">
      <w:pPr>
        <w:pStyle w:val="16"/>
        <w:rPr>
          <w:rFonts w:hAnsi="宋体"/>
          <w:szCs w:val="21"/>
        </w:rPr>
      </w:pPr>
      <w:r>
        <w:rPr>
          <w:rFonts w:hint="eastAsia" w:hAnsi="宋体"/>
          <w:szCs w:val="21"/>
          <w:lang w:eastAsia="zh-CN"/>
        </w:rPr>
        <w:t>1.</w:t>
      </w:r>
      <w:r>
        <w:rPr>
          <w:rFonts w:hAnsi="宋体"/>
          <w:szCs w:val="21"/>
        </w:rPr>
        <w:t>购入使用电力的活动数据按以下优先序获取：</w:t>
      </w:r>
    </w:p>
    <w:p w14:paraId="11C04FA5">
      <w:pPr>
        <w:pStyle w:val="16"/>
        <w:rPr>
          <w:rFonts w:hAnsi="宋体"/>
          <w:szCs w:val="21"/>
        </w:rPr>
      </w:pPr>
      <w:r>
        <w:rPr>
          <w:rFonts w:hAnsi="宋体"/>
          <w:szCs w:val="21"/>
        </w:rPr>
        <w:t>a）根据电表记录的读数统计；</w:t>
      </w:r>
    </w:p>
    <w:p w14:paraId="1E148A81">
      <w:pPr>
        <w:pStyle w:val="16"/>
        <w:rPr>
          <w:rFonts w:hAnsi="宋体"/>
          <w:szCs w:val="21"/>
        </w:rPr>
      </w:pPr>
      <w:r>
        <w:rPr>
          <w:rFonts w:hAnsi="宋体"/>
          <w:szCs w:val="21"/>
        </w:rPr>
        <w:t>b）供应商提供的电费结算凭证</w:t>
      </w:r>
      <w:r>
        <w:rPr>
          <w:rFonts w:hint="eastAsia" w:hAnsi="宋体"/>
          <w:szCs w:val="21"/>
        </w:rPr>
        <w:t>上</w:t>
      </w:r>
      <w:r>
        <w:rPr>
          <w:rFonts w:hAnsi="宋体"/>
          <w:szCs w:val="21"/>
        </w:rPr>
        <w:t>的数据</w:t>
      </w:r>
    </w:p>
    <w:p w14:paraId="599E6A2C">
      <w:pPr>
        <w:pStyle w:val="16"/>
        <w:rPr>
          <w:rFonts w:hAnsi="宋体"/>
          <w:szCs w:val="21"/>
        </w:rPr>
      </w:pPr>
      <w:r>
        <w:rPr>
          <w:rFonts w:hint="eastAsia" w:hAnsi="宋体"/>
          <w:szCs w:val="21"/>
          <w:lang w:eastAsia="zh-CN"/>
        </w:rPr>
        <w:t>2.</w:t>
      </w:r>
      <w:r>
        <w:rPr>
          <w:rFonts w:hAnsi="宋体"/>
          <w:szCs w:val="21"/>
        </w:rPr>
        <w:t>电网排放因子采用0.5703tCO</w:t>
      </w:r>
      <w:r>
        <w:rPr>
          <w:rFonts w:hAnsi="宋体"/>
          <w:szCs w:val="21"/>
          <w:vertAlign w:val="subscript"/>
        </w:rPr>
        <w:t>2</w:t>
      </w:r>
      <w:r>
        <w:rPr>
          <w:rFonts w:hAnsi="宋体"/>
          <w:szCs w:val="21"/>
        </w:rPr>
        <w:t>/MWh，并根据生态环境部发布的最新数值适时更新</w:t>
      </w:r>
      <w:r>
        <w:rPr>
          <w:rFonts w:hint="eastAsia" w:hAnsi="宋体"/>
          <w:szCs w:val="21"/>
        </w:rPr>
        <w:t>，可再生能源、余热发电排放因子为</w:t>
      </w:r>
      <w:r>
        <w:rPr>
          <w:rFonts w:hAnsi="宋体"/>
          <w:szCs w:val="21"/>
        </w:rPr>
        <w:t>0</w:t>
      </w:r>
      <w:r>
        <w:rPr>
          <w:rFonts w:hint="eastAsia" w:hAnsi="宋体"/>
          <w:szCs w:val="21"/>
        </w:rPr>
        <w:t>。</w:t>
      </w:r>
    </w:p>
    <w:p w14:paraId="2AD1BCA9">
      <w:pPr>
        <w:pStyle w:val="16"/>
        <w:spacing w:beforeLines="50"/>
        <w:outlineLvl w:val="1"/>
        <w:rPr>
          <w:rFonts w:ascii="黑体" w:hAnsi="黑体" w:eastAsia="黑体"/>
          <w:szCs w:val="21"/>
        </w:rPr>
      </w:pPr>
      <w:r>
        <w:rPr>
          <w:rFonts w:hint="eastAsia" w:ascii="黑体" w:hAnsi="黑体" w:eastAsia="黑体"/>
          <w:szCs w:val="21"/>
          <w:lang w:val="en-US" w:eastAsia="zh-CN"/>
        </w:rPr>
        <w:t>B</w:t>
      </w:r>
      <w:r>
        <w:rPr>
          <w:rFonts w:hint="eastAsia" w:ascii="黑体" w:hAnsi="黑体" w:eastAsia="黑体"/>
          <w:szCs w:val="21"/>
        </w:rPr>
        <w:t>.</w:t>
      </w:r>
      <w:r>
        <w:rPr>
          <w:rFonts w:ascii="黑体" w:hAnsi="黑体" w:eastAsia="黑体"/>
          <w:szCs w:val="21"/>
        </w:rPr>
        <w:t>6购入、输出的热力产生的排放</w:t>
      </w:r>
    </w:p>
    <w:p w14:paraId="31ECE3BF">
      <w:pPr>
        <w:pStyle w:val="16"/>
        <w:rPr>
          <w:rFonts w:hAnsi="宋体"/>
          <w:szCs w:val="21"/>
        </w:rPr>
      </w:pPr>
      <w:r>
        <w:rPr>
          <w:rFonts w:hAnsi="宋体"/>
          <w:szCs w:val="21"/>
        </w:rPr>
        <w:t>化工生产企业购入、输出的热力所对应的二氧化碳排放。</w:t>
      </w:r>
    </w:p>
    <w:p w14:paraId="2BD1C492">
      <w:pPr>
        <w:pStyle w:val="18"/>
        <w:spacing w:beforeLines="0" w:line="240" w:lineRule="auto"/>
        <w:jc w:val="right"/>
        <w:rPr>
          <w:rFonts w:ascii="宋体" w:hAnsi="宋体" w:cs="Times New Roman"/>
          <w:b w:val="0"/>
          <w:position w:val="-18"/>
          <w:szCs w:val="21"/>
        </w:rPr>
      </w:pPr>
      <w:r>
        <w:rPr>
          <w:rFonts w:ascii="宋体" w:hAnsi="宋体" w:cs="Times New Roman"/>
          <w:position w:val="-14"/>
          <w:szCs w:val="21"/>
        </w:rPr>
        <w:object>
          <v:shape id="_x0000_i1035" o:spt="75" type="#_x0000_t75" style="height:16pt;width:77.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ascii="宋体" w:hAnsi="宋体" w:cs="Times New Roman"/>
          <w:b w:val="0"/>
          <w:position w:val="-18"/>
          <w:szCs w:val="21"/>
        </w:rPr>
        <w:t xml:space="preserve">                             (B</w:t>
      </w:r>
      <w:r>
        <w:rPr>
          <w:rFonts w:ascii="宋体" w:hAnsi="宋体" w:cs="Times New Roman"/>
          <w:b w:val="0"/>
          <w:position w:val="-18"/>
          <w:szCs w:val="21"/>
        </w:rPr>
        <w:t>.</w:t>
      </w:r>
      <w:r>
        <w:rPr>
          <w:rFonts w:hint="eastAsia" w:ascii="宋体" w:hAnsi="宋体" w:cs="Times New Roman"/>
          <w:b w:val="0"/>
          <w:position w:val="-18"/>
          <w:szCs w:val="21"/>
        </w:rPr>
        <w:t>9)</w:t>
      </w:r>
    </w:p>
    <w:p w14:paraId="0FD0BF35">
      <w:pPr>
        <w:pStyle w:val="16"/>
        <w:rPr>
          <w:rFonts w:hAnsi="宋体"/>
          <w:b/>
          <w:szCs w:val="21"/>
        </w:rPr>
      </w:pPr>
      <w:r>
        <w:rPr>
          <w:rFonts w:hAnsi="宋体"/>
          <w:szCs w:val="21"/>
        </w:rPr>
        <w:t>式中</w:t>
      </w:r>
      <w:r>
        <w:rPr>
          <w:rFonts w:hint="eastAsia" w:hAnsi="宋体"/>
          <w:szCs w:val="21"/>
        </w:rPr>
        <w:t>：</w:t>
      </w:r>
    </w:p>
    <w:p w14:paraId="540498D9">
      <w:pPr>
        <w:pStyle w:val="16"/>
        <w:rPr>
          <w:rFonts w:hAnsi="宋体"/>
          <w:b/>
          <w:szCs w:val="21"/>
        </w:rPr>
      </w:pPr>
      <w:r>
        <w:rPr>
          <w:rFonts w:hAnsi="宋体"/>
          <w:i/>
          <w:iCs/>
          <w:szCs w:val="21"/>
        </w:rPr>
        <w:t>E</w:t>
      </w:r>
      <w:r>
        <w:rPr>
          <w:rFonts w:hAnsi="宋体"/>
          <w:i/>
          <w:iCs/>
          <w:szCs w:val="21"/>
          <w:vertAlign w:val="subscript"/>
        </w:rPr>
        <w:t>购入热，i</w:t>
      </w:r>
      <w:r>
        <w:rPr>
          <w:rFonts w:hAnsi="宋体"/>
          <w:szCs w:val="21"/>
        </w:rPr>
        <w:t>—核算单元i购入热力所产生的二氧化碳排放量</w:t>
      </w:r>
      <w:r>
        <w:rPr>
          <w:rFonts w:hint="eastAsia" w:hAnsi="宋体"/>
          <w:szCs w:val="21"/>
        </w:rPr>
        <w:t>，</w:t>
      </w:r>
      <w:r>
        <w:rPr>
          <w:rFonts w:hAnsi="宋体"/>
          <w:szCs w:val="21"/>
        </w:rPr>
        <w:t>单位为吨二氧化碳（tCO</w:t>
      </w:r>
      <w:r>
        <w:rPr>
          <w:rFonts w:hAnsi="宋体"/>
          <w:szCs w:val="21"/>
          <w:vertAlign w:val="subscript"/>
        </w:rPr>
        <w:t>2</w:t>
      </w:r>
      <w:r>
        <w:rPr>
          <w:rFonts w:hAnsi="宋体"/>
          <w:szCs w:val="21"/>
        </w:rPr>
        <w:t>）</w:t>
      </w:r>
      <w:r>
        <w:rPr>
          <w:rFonts w:hint="eastAsia" w:hAnsi="宋体"/>
          <w:szCs w:val="21"/>
        </w:rPr>
        <w:t>；</w:t>
      </w:r>
    </w:p>
    <w:p w14:paraId="38BB76CB">
      <w:pPr>
        <w:pStyle w:val="16"/>
        <w:rPr>
          <w:rFonts w:hAnsi="宋体"/>
          <w:b/>
          <w:szCs w:val="21"/>
        </w:rPr>
      </w:pPr>
      <w:r>
        <w:rPr>
          <w:rFonts w:hAnsi="宋体"/>
          <w:i/>
          <w:iCs/>
          <w:szCs w:val="21"/>
        </w:rPr>
        <w:t>AD</w:t>
      </w:r>
      <w:r>
        <w:rPr>
          <w:rFonts w:hAnsi="宋体"/>
          <w:i/>
          <w:iCs/>
          <w:szCs w:val="21"/>
          <w:vertAlign w:val="subscript"/>
        </w:rPr>
        <w:t>购入热，i</w:t>
      </w:r>
      <w:r>
        <w:rPr>
          <w:rFonts w:hAnsi="宋体"/>
          <w:szCs w:val="21"/>
        </w:rPr>
        <w:t>—核算期内核算单元i购入热力</w:t>
      </w:r>
      <w:r>
        <w:rPr>
          <w:rFonts w:hint="eastAsia" w:hAnsi="宋体"/>
          <w:szCs w:val="21"/>
        </w:rPr>
        <w:t>，</w:t>
      </w:r>
      <w:r>
        <w:rPr>
          <w:rFonts w:hAnsi="宋体"/>
          <w:szCs w:val="21"/>
        </w:rPr>
        <w:t>单位为吉焦（GJ）</w:t>
      </w:r>
      <w:r>
        <w:rPr>
          <w:rFonts w:hint="eastAsia" w:hAnsi="宋体"/>
          <w:szCs w:val="21"/>
        </w:rPr>
        <w:t>；</w:t>
      </w:r>
    </w:p>
    <w:p w14:paraId="1B403C9E">
      <w:pPr>
        <w:pStyle w:val="16"/>
        <w:rPr>
          <w:rFonts w:hAnsi="宋体"/>
          <w:szCs w:val="21"/>
        </w:rPr>
      </w:pPr>
      <w:r>
        <w:rPr>
          <w:rFonts w:hAnsi="宋体"/>
          <w:i/>
          <w:iCs/>
          <w:szCs w:val="21"/>
        </w:rPr>
        <w:t>EF</w:t>
      </w:r>
      <w:r>
        <w:rPr>
          <w:rFonts w:hAnsi="宋体"/>
          <w:i/>
          <w:iCs/>
          <w:szCs w:val="21"/>
          <w:vertAlign w:val="subscript"/>
        </w:rPr>
        <w:t>热</w:t>
      </w:r>
      <w:r>
        <w:rPr>
          <w:rFonts w:hAnsi="宋体"/>
          <w:szCs w:val="21"/>
        </w:rPr>
        <w:t>—热力消费的排放因子</w:t>
      </w:r>
      <w:r>
        <w:rPr>
          <w:rFonts w:hint="eastAsia" w:hAnsi="宋体"/>
          <w:szCs w:val="21"/>
        </w:rPr>
        <w:t>，</w:t>
      </w:r>
      <w:r>
        <w:rPr>
          <w:rFonts w:hAnsi="宋体"/>
          <w:szCs w:val="21"/>
        </w:rPr>
        <w:t>单位为吨二氧化碳每吉焦（tCO</w:t>
      </w:r>
      <w:r>
        <w:rPr>
          <w:rFonts w:hAnsi="宋体"/>
          <w:szCs w:val="21"/>
          <w:vertAlign w:val="subscript"/>
        </w:rPr>
        <w:t>2</w:t>
      </w:r>
      <w:r>
        <w:rPr>
          <w:rFonts w:hAnsi="宋体"/>
          <w:szCs w:val="21"/>
        </w:rPr>
        <w:t>/GJ）。热力消费的排放因子可取推荐值0.11tCO</w:t>
      </w:r>
      <w:r>
        <w:rPr>
          <w:rFonts w:hAnsi="宋体"/>
          <w:szCs w:val="21"/>
          <w:vertAlign w:val="subscript"/>
        </w:rPr>
        <w:t>2</w:t>
      </w:r>
      <w:r>
        <w:rPr>
          <w:rFonts w:hAnsi="宋体"/>
          <w:szCs w:val="21"/>
        </w:rPr>
        <w:t>/GJ，也可采用政府主管部门发布的官方数据。</w:t>
      </w:r>
    </w:p>
    <w:p w14:paraId="7430F895">
      <w:pPr>
        <w:pStyle w:val="16"/>
        <w:jc w:val="right"/>
        <w:rPr>
          <w:rFonts w:hAnsi="宋体"/>
          <w:kern w:val="2"/>
          <w:position w:val="-18"/>
          <w:szCs w:val="21"/>
        </w:rPr>
      </w:pPr>
      <w:r>
        <w:rPr>
          <w:rFonts w:hAnsi="宋体"/>
          <w:position w:val="-14"/>
          <w:szCs w:val="21"/>
        </w:rPr>
        <w:object>
          <v:shape id="_x0000_i1036" o:spt="75" type="#_x0000_t75" style="height:16pt;width:75pt;" o:ole="t" filled="f" o:preferrelative="t" stroked="f" coordsize="21600,21600">
            <v:path/>
            <v:fill on="f" focussize="0,0"/>
            <v:stroke on="f" joinstyle="miter"/>
            <v:imagedata r:id="rId37" o:title=""/>
            <o:lock v:ext="edit" aspectratio="t"/>
            <w10:wrap type="none"/>
            <w10:anchorlock/>
          </v:shape>
          <o:OLEObject Type="Embed" ProgID="Equation.DSMT4" ShapeID="_x0000_i1036" DrawAspect="Content" ObjectID="_1468075736" r:id="rId36">
            <o:LockedField>false</o:LockedField>
          </o:OLEObject>
        </w:object>
      </w:r>
      <w:r>
        <w:rPr>
          <w:rFonts w:hint="eastAsia" w:hAnsi="宋体"/>
          <w:kern w:val="2"/>
          <w:position w:val="-18"/>
          <w:szCs w:val="21"/>
        </w:rPr>
        <w:t xml:space="preserve">                             (</w:t>
      </w:r>
      <w:r>
        <w:rPr>
          <w:rFonts w:hint="eastAsia" w:eastAsia="宋体" w:cs="Times New Roman"/>
          <w:kern w:val="2"/>
          <w:position w:val="-18"/>
          <w:sz w:val="21"/>
          <w:szCs w:val="21"/>
          <w:lang w:val="en-US" w:eastAsia="zh-CN"/>
        </w:rPr>
        <w:t>B</w:t>
      </w:r>
      <w:r>
        <w:rPr>
          <w:rFonts w:hAnsi="宋体"/>
          <w:kern w:val="2"/>
          <w:position w:val="-18"/>
          <w:szCs w:val="21"/>
        </w:rPr>
        <w:t>.</w:t>
      </w:r>
      <w:r>
        <w:rPr>
          <w:rFonts w:hint="eastAsia" w:hAnsi="宋体"/>
          <w:kern w:val="2"/>
          <w:position w:val="-18"/>
          <w:szCs w:val="21"/>
        </w:rPr>
        <w:t>10)</w:t>
      </w:r>
    </w:p>
    <w:p w14:paraId="7DD23751">
      <w:pPr>
        <w:pStyle w:val="16"/>
        <w:rPr>
          <w:rFonts w:hAnsi="宋体"/>
          <w:b/>
          <w:szCs w:val="21"/>
        </w:rPr>
      </w:pPr>
      <w:r>
        <w:rPr>
          <w:rFonts w:hAnsi="宋体"/>
          <w:szCs w:val="21"/>
        </w:rPr>
        <w:t>式中</w:t>
      </w:r>
      <w:r>
        <w:rPr>
          <w:rFonts w:hint="eastAsia" w:hAnsi="宋体"/>
          <w:szCs w:val="21"/>
        </w:rPr>
        <w:t>：</w:t>
      </w:r>
    </w:p>
    <w:p w14:paraId="5EF170A1">
      <w:pPr>
        <w:pStyle w:val="16"/>
        <w:rPr>
          <w:rFonts w:hAnsi="宋体"/>
          <w:b/>
          <w:szCs w:val="21"/>
        </w:rPr>
      </w:pPr>
      <w:r>
        <w:rPr>
          <w:rFonts w:hAnsi="宋体"/>
          <w:i/>
          <w:iCs/>
          <w:szCs w:val="21"/>
        </w:rPr>
        <w:t>E</w:t>
      </w:r>
      <w:r>
        <w:rPr>
          <w:rFonts w:hAnsi="宋体"/>
          <w:i/>
          <w:iCs/>
          <w:szCs w:val="21"/>
          <w:vertAlign w:val="subscript"/>
        </w:rPr>
        <w:t>输出热，i</w:t>
      </w:r>
      <w:r>
        <w:rPr>
          <w:rFonts w:hAnsi="宋体"/>
          <w:szCs w:val="21"/>
        </w:rPr>
        <w:t>—核算单元i输出热力所产生的二氧化碳排放量</w:t>
      </w:r>
      <w:r>
        <w:rPr>
          <w:rFonts w:hint="eastAsia" w:hAnsi="宋体"/>
          <w:szCs w:val="21"/>
        </w:rPr>
        <w:t>，</w:t>
      </w:r>
      <w:r>
        <w:rPr>
          <w:rFonts w:hAnsi="宋体"/>
          <w:szCs w:val="21"/>
        </w:rPr>
        <w:t>单位为吨二氧化碳（tCO</w:t>
      </w:r>
      <w:r>
        <w:rPr>
          <w:rFonts w:hAnsi="宋体"/>
          <w:szCs w:val="21"/>
          <w:vertAlign w:val="subscript"/>
        </w:rPr>
        <w:t>2</w:t>
      </w:r>
      <w:r>
        <w:rPr>
          <w:rFonts w:hAnsi="宋体"/>
          <w:szCs w:val="21"/>
        </w:rPr>
        <w:t>）</w:t>
      </w:r>
      <w:r>
        <w:rPr>
          <w:rFonts w:hint="eastAsia" w:hAnsi="宋体"/>
          <w:szCs w:val="21"/>
        </w:rPr>
        <w:t>；</w:t>
      </w:r>
    </w:p>
    <w:p w14:paraId="7F5F99ED">
      <w:pPr>
        <w:pStyle w:val="16"/>
        <w:rPr>
          <w:rFonts w:hAnsi="宋体"/>
          <w:b/>
          <w:szCs w:val="21"/>
        </w:rPr>
      </w:pPr>
      <w:r>
        <w:rPr>
          <w:rFonts w:hAnsi="宋体"/>
          <w:i/>
          <w:iCs/>
          <w:szCs w:val="21"/>
        </w:rPr>
        <w:t>AD</w:t>
      </w:r>
      <w:r>
        <w:rPr>
          <w:rFonts w:hAnsi="宋体"/>
          <w:i/>
          <w:iCs/>
          <w:szCs w:val="21"/>
          <w:vertAlign w:val="subscript"/>
        </w:rPr>
        <w:t>输出热，i</w:t>
      </w:r>
      <w:r>
        <w:rPr>
          <w:rFonts w:hAnsi="宋体"/>
          <w:szCs w:val="21"/>
        </w:rPr>
        <w:t>—核算期内核算单元i输出热力</w:t>
      </w:r>
      <w:r>
        <w:rPr>
          <w:rFonts w:hint="eastAsia" w:hAnsi="宋体"/>
          <w:szCs w:val="21"/>
        </w:rPr>
        <w:t>，</w:t>
      </w:r>
      <w:r>
        <w:rPr>
          <w:rFonts w:hAnsi="宋体"/>
          <w:szCs w:val="21"/>
        </w:rPr>
        <w:t>单位为吉焦（GJ）</w:t>
      </w:r>
      <w:r>
        <w:rPr>
          <w:rFonts w:hint="eastAsia" w:hAnsi="宋体"/>
          <w:szCs w:val="21"/>
        </w:rPr>
        <w:t>；</w:t>
      </w:r>
    </w:p>
    <w:p w14:paraId="71834B10">
      <w:pPr>
        <w:pStyle w:val="16"/>
        <w:rPr>
          <w:rFonts w:hAnsi="宋体"/>
          <w:szCs w:val="21"/>
        </w:rPr>
      </w:pPr>
      <w:r>
        <w:rPr>
          <w:rFonts w:hAnsi="宋体"/>
          <w:i/>
          <w:iCs/>
          <w:szCs w:val="21"/>
        </w:rPr>
        <w:t>EF</w:t>
      </w:r>
      <w:r>
        <w:rPr>
          <w:rFonts w:hAnsi="宋体"/>
          <w:i/>
          <w:iCs/>
          <w:szCs w:val="21"/>
          <w:vertAlign w:val="subscript"/>
        </w:rPr>
        <w:t>热</w:t>
      </w:r>
      <w:r>
        <w:rPr>
          <w:rFonts w:hAnsi="宋体"/>
          <w:szCs w:val="21"/>
        </w:rPr>
        <w:t>—热力消费的排放因子</w:t>
      </w:r>
      <w:r>
        <w:rPr>
          <w:rFonts w:hint="eastAsia" w:hAnsi="宋体"/>
          <w:szCs w:val="21"/>
        </w:rPr>
        <w:t>，</w:t>
      </w:r>
      <w:r>
        <w:rPr>
          <w:rFonts w:hAnsi="宋体"/>
          <w:szCs w:val="21"/>
        </w:rPr>
        <w:t>单位为吨二氧化碳每吉焦（tCO</w:t>
      </w:r>
      <w:r>
        <w:rPr>
          <w:rFonts w:hAnsi="宋体"/>
          <w:szCs w:val="21"/>
          <w:vertAlign w:val="subscript"/>
        </w:rPr>
        <w:t>2</w:t>
      </w:r>
      <w:r>
        <w:rPr>
          <w:rFonts w:hAnsi="宋体"/>
          <w:szCs w:val="21"/>
        </w:rPr>
        <w:t>/GJ）。热力消费的排放因子可取推荐值0.11tCO</w:t>
      </w:r>
      <w:r>
        <w:rPr>
          <w:rFonts w:hAnsi="宋体"/>
          <w:szCs w:val="21"/>
          <w:vertAlign w:val="subscript"/>
        </w:rPr>
        <w:t>2</w:t>
      </w:r>
      <w:r>
        <w:rPr>
          <w:rFonts w:hAnsi="宋体"/>
          <w:szCs w:val="21"/>
        </w:rPr>
        <w:t>/GJ，也可采用政府主管部门发布的官方数据。</w:t>
      </w:r>
    </w:p>
    <w:p w14:paraId="4316F1AA">
      <w:pPr>
        <w:pStyle w:val="16"/>
        <w:spacing w:beforeLines="50"/>
        <w:outlineLvl w:val="1"/>
        <w:rPr>
          <w:rFonts w:ascii="黑体" w:hAnsi="黑体" w:eastAsia="黑体"/>
          <w:szCs w:val="21"/>
        </w:rPr>
      </w:pPr>
      <w:r>
        <w:rPr>
          <w:rFonts w:hint="eastAsia" w:ascii="黑体" w:hAnsi="黑体" w:eastAsia="黑体"/>
          <w:szCs w:val="21"/>
          <w:lang w:val="en-US" w:eastAsia="zh-CN"/>
        </w:rPr>
        <w:t>B</w:t>
      </w:r>
      <w:r>
        <w:rPr>
          <w:rFonts w:hint="eastAsia" w:ascii="黑体" w:hAnsi="黑体" w:eastAsia="黑体"/>
          <w:szCs w:val="21"/>
        </w:rPr>
        <w:t>.7 污水处理过程的甲烷排放</w:t>
      </w:r>
    </w:p>
    <w:p w14:paraId="56C87BCF">
      <w:pPr>
        <w:pStyle w:val="16"/>
        <w:rPr>
          <w:rFonts w:hAnsi="宋体"/>
          <w:szCs w:val="21"/>
        </w:rPr>
      </w:pPr>
      <w:r>
        <w:rPr>
          <w:rFonts w:hint="eastAsia" w:hAnsi="宋体"/>
          <w:szCs w:val="21"/>
        </w:rPr>
        <w:t>污水处理工段厌氧过程的甲烷排放采用系数法计算。单位COD转化产生甲烷系数引用《污水处理厂低碳运行评价技术规范》（T/CAEPI49—2022）</w:t>
      </w:r>
    </w:p>
    <w:p w14:paraId="1F433D64">
      <w:pPr>
        <w:pStyle w:val="9"/>
        <w:ind w:firstLine="480"/>
        <w:jc w:val="right"/>
        <w:rPr>
          <w:rFonts w:eastAsia="宋体" w:cs="Times New Roman"/>
          <w:kern w:val="2"/>
          <w:position w:val="-18"/>
          <w:sz w:val="21"/>
          <w:szCs w:val="21"/>
        </w:rPr>
      </w:pPr>
      <m:oMath>
        <m:sSub>
          <m:sSubPr>
            <m:ctrlPr>
              <w:rPr>
                <w:rFonts w:ascii="Cambria Math" w:hAnsi="Cambria Math"/>
                <w:i/>
                <w:kern w:val="24"/>
              </w:rPr>
            </m:ctrlPr>
          </m:sSubPr>
          <m:e>
            <m:r>
              <m:rPr/>
              <w:rPr>
                <w:rFonts w:ascii="Cambria Math" w:hAnsi="Cambria Math"/>
                <w:color w:val="000000" w:themeColor="text1"/>
                <w:kern w:val="24"/>
                <w14:textFill>
                  <w14:solidFill>
                    <w14:schemeClr w14:val="tx1"/>
                  </w14:solidFill>
                </w14:textFill>
              </w:rPr>
              <m:t>E</m:t>
            </m:r>
            <m:ctrlPr>
              <w:rPr>
                <w:rFonts w:ascii="Cambria Math" w:hAnsi="Cambria Math"/>
                <w:i/>
                <w:kern w:val="24"/>
              </w:rPr>
            </m:ctrlPr>
          </m:e>
          <m:sub>
            <m:sSub>
              <m:sSubPr>
                <m:ctrlPr>
                  <w:rPr>
                    <w:rFonts w:ascii="Cambria Math" w:hAnsi="Cambria Math"/>
                    <w:i/>
                    <w:kern w:val="24"/>
                  </w:rPr>
                </m:ctrlPr>
              </m:sSubPr>
              <m:e>
                <m:r>
                  <m:rPr/>
                  <w:rPr>
                    <w:rFonts w:ascii="Cambria Math" w:hAnsi="Cambria Math"/>
                    <w:color w:val="000000" w:themeColor="text1"/>
                    <w:kern w:val="24"/>
                    <w14:textFill>
                      <w14:solidFill>
                        <w14:schemeClr w14:val="tx1"/>
                      </w14:solidFill>
                    </w14:textFill>
                  </w:rPr>
                  <m:t>CH</m:t>
                </m:r>
                <m:ctrlPr>
                  <w:rPr>
                    <w:rFonts w:ascii="Cambria Math" w:hAnsi="Cambria Math"/>
                    <w:i/>
                    <w:kern w:val="24"/>
                  </w:rPr>
                </m:ctrlPr>
              </m:e>
              <m:sub>
                <m:r>
                  <m:rPr/>
                  <w:rPr>
                    <w:rFonts w:ascii="Cambria Math" w:hAnsi="Cambria Math"/>
                    <w:color w:val="000000" w:themeColor="text1"/>
                    <w:kern w:val="24"/>
                    <w14:textFill>
                      <w14:solidFill>
                        <w14:schemeClr w14:val="tx1"/>
                      </w14:solidFill>
                    </w14:textFill>
                  </w:rPr>
                  <m:t>4</m:t>
                </m:r>
                <m:ctrlPr>
                  <w:rPr>
                    <w:rFonts w:ascii="Cambria Math" w:hAnsi="Cambria Math"/>
                    <w:i/>
                    <w:kern w:val="24"/>
                  </w:rPr>
                </m:ctrlPr>
              </m:sub>
            </m:sSub>
            <m:ctrlPr>
              <w:rPr>
                <w:rFonts w:ascii="Cambria Math" w:hAnsi="Cambria Math"/>
                <w:i/>
                <w:kern w:val="24"/>
              </w:rPr>
            </m:ctrlPr>
          </m:sub>
        </m:sSub>
        <m:r>
          <m:rPr/>
          <w:rPr>
            <w:rFonts w:ascii="Cambria Math" w:hAnsi="Cambria Math"/>
            <w:color w:val="000000" w:themeColor="text1"/>
            <w:kern w:val="24"/>
            <w14:textFill>
              <w14:solidFill>
                <w14:schemeClr w14:val="tx1"/>
              </w14:solidFill>
            </w14:textFill>
          </w:rPr>
          <m:t>=</m:t>
        </m:r>
        <m:sSub>
          <m:sSubPr>
            <m:ctrlPr>
              <w:rPr>
                <w:rFonts w:ascii="Cambria Math" w:hAnsi="Cambria Math"/>
                <w:i/>
                <w:kern w:val="24"/>
              </w:rPr>
            </m:ctrlPr>
          </m:sSubPr>
          <m:e>
            <m:r>
              <m:rPr/>
              <w:rPr>
                <w:rFonts w:ascii="Cambria Math" w:hAnsi="Cambria Math"/>
                <w:color w:val="000000" w:themeColor="text1"/>
                <w:kern w:val="24"/>
                <w14:textFill>
                  <w14:solidFill>
                    <w14:schemeClr w14:val="tx1"/>
                  </w14:solidFill>
                </w14:textFill>
              </w:rPr>
              <m:t>A</m:t>
            </m:r>
            <m:ctrlPr>
              <w:rPr>
                <w:rFonts w:ascii="Cambria Math" w:hAnsi="Cambria Math"/>
                <w:i/>
                <w:kern w:val="24"/>
              </w:rPr>
            </m:ctrlPr>
          </m:e>
          <m:sub>
            <m:r>
              <m:rPr/>
              <w:rPr>
                <w:rFonts w:ascii="Cambria Math" w:hAnsi="Cambria Math"/>
                <w:color w:val="000000" w:themeColor="text1"/>
                <w:kern w:val="24"/>
                <w14:textFill>
                  <w14:solidFill>
                    <w14:schemeClr w14:val="tx1"/>
                  </w14:solidFill>
                </w14:textFill>
              </w:rPr>
              <m:t>COD</m:t>
            </m:r>
            <m:ctrlPr>
              <w:rPr>
                <w:rFonts w:ascii="Cambria Math" w:hAnsi="Cambria Math"/>
                <w:i/>
                <w:kern w:val="24"/>
              </w:rPr>
            </m:ctrlPr>
          </m:sub>
        </m:sSub>
        <m:r>
          <m:rPr/>
          <w:rPr>
            <w:rFonts w:ascii="Cambria Math" w:hAnsi="Cambria Math"/>
            <w:color w:val="000000" w:themeColor="text1"/>
            <w:kern w:val="24"/>
            <w14:textFill>
              <w14:solidFill>
                <w14:schemeClr w14:val="tx1"/>
              </w14:solidFill>
            </w14:textFill>
          </w:rPr>
          <m:t>×F×</m:t>
        </m:r>
        <m:d>
          <m:dPr>
            <m:ctrlPr>
              <w:rPr>
                <w:rFonts w:ascii="Cambria Math" w:hAnsi="Cambria Math"/>
                <w:i/>
                <w:kern w:val="24"/>
              </w:rPr>
            </m:ctrlPr>
          </m:dPr>
          <m:e>
            <m:r>
              <m:rPr/>
              <w:rPr>
                <w:rFonts w:ascii="Cambria Math" w:hAnsi="Cambria Math"/>
                <w:color w:val="000000" w:themeColor="text1"/>
                <w:kern w:val="24"/>
                <w14:textFill>
                  <w14:solidFill>
                    <w14:schemeClr w14:val="tx1"/>
                  </w14:solidFill>
                </w14:textFill>
              </w:rPr>
              <m:t>1−η</m:t>
            </m:r>
            <m:ctrlPr>
              <w:rPr>
                <w:rFonts w:ascii="Cambria Math" w:hAnsi="Cambria Math"/>
                <w:i/>
                <w:kern w:val="24"/>
              </w:rPr>
            </m:ctrlPr>
          </m:e>
        </m:d>
      </m:oMath>
      <w:r>
        <w:rPr>
          <w:rFonts w:hint="eastAsia" w:eastAsia="宋体" w:cs="Times New Roman"/>
          <w:kern w:val="2"/>
          <w:position w:val="-18"/>
          <w:sz w:val="21"/>
          <w:szCs w:val="21"/>
        </w:rPr>
        <w:t xml:space="preserve">                    (</w:t>
      </w:r>
      <w:r>
        <w:rPr>
          <w:rFonts w:hint="eastAsia" w:eastAsia="宋体" w:cs="Times New Roman"/>
          <w:kern w:val="2"/>
          <w:position w:val="-18"/>
          <w:sz w:val="21"/>
          <w:szCs w:val="21"/>
          <w:lang w:val="en-US" w:eastAsia="zh-CN"/>
        </w:rPr>
        <w:t>B</w:t>
      </w:r>
      <w:r>
        <w:rPr>
          <w:rFonts w:eastAsia="宋体" w:cs="Times New Roman"/>
          <w:kern w:val="2"/>
          <w:position w:val="-18"/>
          <w:sz w:val="21"/>
          <w:szCs w:val="21"/>
        </w:rPr>
        <w:t>.</w:t>
      </w:r>
      <w:r>
        <w:rPr>
          <w:rFonts w:hint="eastAsia" w:eastAsia="宋体" w:cs="Times New Roman"/>
          <w:kern w:val="2"/>
          <w:position w:val="-18"/>
          <w:sz w:val="21"/>
          <w:szCs w:val="21"/>
        </w:rPr>
        <w:t>11)</w:t>
      </w:r>
    </w:p>
    <w:p w14:paraId="149182B3">
      <w:pPr>
        <w:pStyle w:val="1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式中：</w:t>
      </w:r>
    </w:p>
    <w:p w14:paraId="703604F5">
      <w:pPr>
        <w:pStyle w:val="16"/>
        <w:rPr>
          <w:rFonts w:asciiTheme="minorEastAsia" w:hAnsiTheme="minorEastAsia" w:eastAsiaTheme="minorEastAsia" w:cstheme="minorEastAsia"/>
          <w:kern w:val="24"/>
          <w:szCs w:val="21"/>
        </w:rPr>
      </w:pPr>
      <m:oMath>
        <m:sSub>
          <m:sSubPr>
            <m:ctrlPr>
              <w:rPr>
                <w:rFonts w:hint="eastAsia" w:ascii="Cambria Math" w:hAnsi="Cambria Math" w:eastAsiaTheme="minorEastAsia" w:cstheme="minorEastAsia"/>
                <w:i/>
                <w:kern w:val="24"/>
                <w:szCs w:val="21"/>
              </w:rPr>
            </m:ctrlPr>
          </m:sSubPr>
          <m:e>
            <m:r>
              <m:rPr/>
              <w:rPr>
                <w:rFonts w:hint="eastAsia" w:ascii="Cambria Math" w:hAnsi="Cambria Math" w:eastAsiaTheme="minorEastAsia" w:cstheme="minorEastAsia"/>
                <w:color w:val="000000" w:themeColor="text1"/>
                <w:kern w:val="24"/>
                <w:szCs w:val="21"/>
                <w14:textFill>
                  <w14:solidFill>
                    <w14:schemeClr w14:val="tx1"/>
                  </w14:solidFill>
                </w14:textFill>
              </w:rPr>
              <m:t>E</m:t>
            </m:r>
            <m:ctrlPr>
              <w:rPr>
                <w:rFonts w:hint="eastAsia" w:ascii="Cambria Math" w:hAnsi="Cambria Math" w:eastAsiaTheme="minorEastAsia" w:cstheme="minorEastAsia"/>
                <w:i/>
                <w:kern w:val="24"/>
                <w:szCs w:val="21"/>
              </w:rPr>
            </m:ctrlPr>
          </m:e>
          <m:sub>
            <m:sSub>
              <m:sSubPr>
                <m:ctrlPr>
                  <w:rPr>
                    <w:rFonts w:hint="eastAsia" w:ascii="Cambria Math" w:hAnsi="Cambria Math" w:eastAsiaTheme="minorEastAsia" w:cstheme="minorEastAsia"/>
                    <w:i/>
                    <w:kern w:val="24"/>
                    <w:szCs w:val="21"/>
                  </w:rPr>
                </m:ctrlPr>
              </m:sSubPr>
              <m:e>
                <m:r>
                  <m:rPr/>
                  <w:rPr>
                    <w:rFonts w:hint="eastAsia" w:ascii="Cambria Math" w:hAnsi="Cambria Math" w:eastAsiaTheme="minorEastAsia" w:cstheme="minorEastAsia"/>
                    <w:color w:val="000000" w:themeColor="text1"/>
                    <w:kern w:val="24"/>
                    <w:szCs w:val="21"/>
                    <w14:textFill>
                      <w14:solidFill>
                        <w14:schemeClr w14:val="tx1"/>
                      </w14:solidFill>
                    </w14:textFill>
                  </w:rPr>
                  <m:t>CH</m:t>
                </m:r>
                <m:ctrlPr>
                  <w:rPr>
                    <w:rFonts w:hint="eastAsia" w:ascii="Cambria Math" w:hAnsi="Cambria Math" w:eastAsiaTheme="minorEastAsia" w:cstheme="minorEastAsia"/>
                    <w:i/>
                    <w:kern w:val="24"/>
                    <w:szCs w:val="21"/>
                  </w:rPr>
                </m:ctrlPr>
              </m:e>
              <m:sub>
                <m:r>
                  <m:rPr/>
                  <w:rPr>
                    <w:rFonts w:hint="eastAsia" w:ascii="Cambria Math" w:hAnsi="Cambria Math" w:eastAsiaTheme="minorEastAsia" w:cstheme="minorEastAsia"/>
                    <w:color w:val="000000" w:themeColor="text1"/>
                    <w:kern w:val="24"/>
                    <w:szCs w:val="21"/>
                    <w14:textFill>
                      <w14:solidFill>
                        <w14:schemeClr w14:val="tx1"/>
                      </w14:solidFill>
                    </w14:textFill>
                  </w:rPr>
                  <m:t>4</m:t>
                </m:r>
                <m:ctrlPr>
                  <w:rPr>
                    <w:rFonts w:hint="eastAsia" w:ascii="Cambria Math" w:hAnsi="Cambria Math" w:eastAsiaTheme="minorEastAsia" w:cstheme="minorEastAsia"/>
                    <w:i/>
                    <w:kern w:val="24"/>
                    <w:szCs w:val="21"/>
                  </w:rPr>
                </m:ctrlPr>
              </m:sub>
            </m:sSub>
            <m:ctrlPr>
              <w:rPr>
                <w:rFonts w:hint="eastAsia" w:ascii="Cambria Math" w:hAnsi="Cambria Math" w:eastAsiaTheme="minorEastAsia" w:cstheme="minorEastAsia"/>
                <w:i/>
                <w:kern w:val="24"/>
                <w:szCs w:val="21"/>
              </w:rPr>
            </m:ctrlPr>
          </m:sub>
        </m:sSub>
      </m:oMath>
      <w:r>
        <w:rPr>
          <w:rFonts w:hint="eastAsia" w:asciiTheme="minorEastAsia" w:hAnsiTheme="minorEastAsia" w:eastAsiaTheme="minorEastAsia" w:cstheme="minorEastAsia"/>
          <w:kern w:val="24"/>
          <w:szCs w:val="21"/>
        </w:rPr>
        <w:t>—污水厌氧处理过程产生的甲烷排放（kg）</w:t>
      </w:r>
    </w:p>
    <w:p w14:paraId="32378A22">
      <w:pPr>
        <w:pStyle w:val="16"/>
        <w:rPr>
          <w:rFonts w:asciiTheme="minorEastAsia" w:hAnsiTheme="minorEastAsia" w:eastAsiaTheme="minorEastAsia" w:cstheme="minorEastAsia"/>
          <w:kern w:val="24"/>
          <w:szCs w:val="21"/>
        </w:rPr>
      </w:pPr>
      <m:oMath>
        <m:sSub>
          <m:sSubPr>
            <m:ctrlPr>
              <w:rPr>
                <w:rFonts w:hint="eastAsia" w:ascii="Cambria Math" w:hAnsi="Cambria Math" w:eastAsiaTheme="minorEastAsia" w:cstheme="minorEastAsia"/>
                <w:i/>
                <w:kern w:val="24"/>
                <w:szCs w:val="21"/>
              </w:rPr>
            </m:ctrlPr>
          </m:sSubPr>
          <m:e>
            <m:r>
              <m:rPr/>
              <w:rPr>
                <w:rFonts w:hint="eastAsia" w:ascii="Cambria Math" w:hAnsi="Cambria Math" w:eastAsiaTheme="minorEastAsia" w:cstheme="minorEastAsia"/>
                <w:color w:val="000000" w:themeColor="text1"/>
                <w:kern w:val="24"/>
                <w:szCs w:val="21"/>
                <w14:textFill>
                  <w14:solidFill>
                    <w14:schemeClr w14:val="tx1"/>
                  </w14:solidFill>
                </w14:textFill>
              </w:rPr>
              <m:t>A</m:t>
            </m:r>
            <m:ctrlPr>
              <w:rPr>
                <w:rFonts w:hint="eastAsia" w:ascii="Cambria Math" w:hAnsi="Cambria Math" w:eastAsiaTheme="minorEastAsia" w:cstheme="minorEastAsia"/>
                <w:i/>
                <w:kern w:val="24"/>
                <w:szCs w:val="21"/>
              </w:rPr>
            </m:ctrlPr>
          </m:e>
          <m:sub>
            <m:r>
              <m:rPr/>
              <w:rPr>
                <w:rFonts w:hint="eastAsia" w:ascii="Cambria Math" w:hAnsi="Cambria Math" w:eastAsiaTheme="minorEastAsia" w:cstheme="minorEastAsia"/>
                <w:color w:val="000000" w:themeColor="text1"/>
                <w:kern w:val="24"/>
                <w:szCs w:val="21"/>
                <w14:textFill>
                  <w14:solidFill>
                    <w14:schemeClr w14:val="tx1"/>
                  </w14:solidFill>
                </w14:textFill>
              </w:rPr>
              <m:t>COD</m:t>
            </m:r>
            <m:ctrlPr>
              <w:rPr>
                <w:rFonts w:hint="eastAsia" w:ascii="Cambria Math" w:hAnsi="Cambria Math" w:eastAsiaTheme="minorEastAsia" w:cstheme="minorEastAsia"/>
                <w:i/>
                <w:kern w:val="24"/>
                <w:szCs w:val="21"/>
              </w:rPr>
            </m:ctrlPr>
          </m:sub>
        </m:sSub>
      </m:oMath>
      <w:r>
        <w:rPr>
          <w:rFonts w:hint="eastAsia" w:asciiTheme="minorEastAsia" w:hAnsiTheme="minorEastAsia" w:eastAsiaTheme="minorEastAsia" w:cstheme="minorEastAsia"/>
          <w:kern w:val="24"/>
          <w:szCs w:val="21"/>
        </w:rPr>
        <w:t>—污水厌氧处理工段COD转化量（kg），与工程分析匹配</w:t>
      </w:r>
    </w:p>
    <w:p w14:paraId="7CDFB388">
      <w:pPr>
        <w:pStyle w:val="16"/>
        <w:rPr>
          <w:rFonts w:asciiTheme="minorEastAsia" w:hAnsiTheme="minorEastAsia" w:eastAsiaTheme="minorEastAsia" w:cstheme="minorEastAsia"/>
          <w:color w:val="000000" w:themeColor="text1"/>
          <w:kern w:val="24"/>
          <w:szCs w:val="21"/>
          <w14:textFill>
            <w14:solidFill>
              <w14:schemeClr w14:val="tx1"/>
            </w14:solidFill>
          </w14:textFill>
        </w:rPr>
      </w:pPr>
      <m:oMath>
        <m:r>
          <m:rPr/>
          <w:rPr>
            <w:rFonts w:hint="eastAsia" w:ascii="Cambria Math" w:hAnsi="Cambria Math" w:eastAsiaTheme="minorEastAsia" w:cstheme="minorEastAsia"/>
            <w:color w:val="000000" w:themeColor="text1"/>
            <w:kern w:val="24"/>
            <w:szCs w:val="21"/>
            <w14:textFill>
              <w14:solidFill>
                <w14:schemeClr w14:val="tx1"/>
              </w14:solidFill>
            </w14:textFill>
          </w:rPr>
          <m:t>F</m:t>
        </m:r>
      </m:oMath>
      <w:r>
        <w:rPr>
          <w:rFonts w:hint="eastAsia" w:asciiTheme="minorEastAsia" w:hAnsiTheme="minorEastAsia" w:eastAsiaTheme="minorEastAsia" w:cstheme="minorEastAsia"/>
          <w:color w:val="000000" w:themeColor="text1"/>
          <w:kern w:val="24"/>
          <w:szCs w:val="21"/>
          <w14:textFill>
            <w14:solidFill>
              <w14:schemeClr w14:val="tx1"/>
            </w14:solidFill>
          </w14:textFill>
        </w:rPr>
        <w:t>—</w:t>
      </w:r>
      <w:r>
        <w:rPr>
          <w:rFonts w:hint="eastAsia" w:asciiTheme="minorEastAsia" w:hAnsiTheme="minorEastAsia" w:eastAsiaTheme="minorEastAsia" w:cstheme="minorEastAsia"/>
          <w:kern w:val="24"/>
          <w:szCs w:val="21"/>
        </w:rPr>
        <w:t>污水厌氧处理过程降解单位COD过程的甲烷产生系数，取值0.25kg/kg</w:t>
      </w:r>
    </w:p>
    <w:p w14:paraId="4F332532">
      <w:pPr>
        <w:pStyle w:val="16"/>
        <w:rPr>
          <w:rFonts w:asciiTheme="minorEastAsia" w:hAnsiTheme="minorEastAsia" w:eastAsiaTheme="minorEastAsia" w:cstheme="minorEastAsia"/>
          <w:szCs w:val="21"/>
        </w:rPr>
      </w:pPr>
      <m:oMath>
        <m:r>
          <m:rPr/>
          <w:rPr>
            <w:rFonts w:hint="eastAsia" w:ascii="Cambria Math" w:hAnsi="Cambria Math" w:eastAsiaTheme="minorEastAsia" w:cstheme="minorEastAsia"/>
            <w:color w:val="000000" w:themeColor="text1"/>
            <w:kern w:val="24"/>
            <w:szCs w:val="21"/>
            <w14:textFill>
              <w14:solidFill>
                <w14:schemeClr w14:val="tx1"/>
              </w14:solidFill>
            </w14:textFill>
          </w:rPr>
          <m:t>η</m:t>
        </m:r>
      </m:oMath>
      <w:r>
        <w:rPr>
          <w:rFonts w:hint="eastAsia" w:asciiTheme="minorEastAsia" w:hAnsiTheme="minorEastAsia" w:eastAsiaTheme="minorEastAsia" w:cstheme="minorEastAsia"/>
          <w:color w:val="000000" w:themeColor="text1"/>
          <w:kern w:val="24"/>
          <w:szCs w:val="21"/>
          <w14:textFill>
            <w14:solidFill>
              <w14:schemeClr w14:val="tx1"/>
            </w14:solidFill>
          </w14:textFill>
        </w:rPr>
        <w:t>—</w:t>
      </w:r>
      <w:r>
        <w:rPr>
          <w:rFonts w:hint="eastAsia" w:asciiTheme="minorEastAsia" w:hAnsiTheme="minorEastAsia" w:eastAsiaTheme="minorEastAsia" w:cstheme="minorEastAsia"/>
          <w:kern w:val="24"/>
          <w:szCs w:val="21"/>
        </w:rPr>
        <w:t>甲烷气体收集效率（%）</w:t>
      </w:r>
    </w:p>
    <w:p w14:paraId="606B0D84">
      <w:pPr>
        <w:pStyle w:val="4"/>
        <w:spacing w:before="157" w:line="360" w:lineRule="auto"/>
        <w:ind w:left="6" w:right="213" w:firstLine="418"/>
        <w:rPr>
          <w:lang w:eastAsia="zh-CN"/>
        </w:rPr>
      </w:pPr>
    </w:p>
    <w:p w14:paraId="37204434">
      <w:pPr>
        <w:pStyle w:val="4"/>
        <w:spacing w:before="157" w:line="360" w:lineRule="auto"/>
        <w:ind w:left="6" w:right="213" w:firstLine="418"/>
        <w:rPr>
          <w:lang w:eastAsia="zh-CN"/>
        </w:rPr>
        <w:sectPr>
          <w:pgSz w:w="11906" w:h="16838"/>
          <w:pgMar w:top="1440" w:right="1800" w:bottom="1440" w:left="1800" w:header="851" w:footer="992" w:gutter="0"/>
          <w:pgNumType w:fmt="decimal"/>
          <w:cols w:space="425" w:num="1"/>
          <w:docGrid w:type="lines" w:linePitch="312" w:charSpace="0"/>
        </w:sectPr>
      </w:pPr>
    </w:p>
    <w:p w14:paraId="2C8FF5C8">
      <w:pPr>
        <w:pStyle w:val="21"/>
        <w:numPr>
          <w:ilvl w:val="0"/>
          <w:numId w:val="0"/>
        </w:numPr>
        <w:shd w:val="clear" w:color="auto" w:fill="auto"/>
        <w:tabs>
          <w:tab w:val="left" w:pos="6406"/>
        </w:tabs>
        <w:spacing w:beforeLines="0" w:afterLines="0" w:line="312" w:lineRule="auto"/>
        <w:rPr>
          <w:rFonts w:hint="eastAsia" w:eastAsia="黑体"/>
          <w:lang w:eastAsia="zh-CN"/>
        </w:rPr>
      </w:pPr>
      <w:bookmarkStart w:id="42" w:name="_Toc22471"/>
      <w:bookmarkStart w:id="43" w:name="_Toc5355"/>
      <w:r>
        <w:rPr>
          <w:rFonts w:hint="eastAsia"/>
        </w:rPr>
        <w:t>附录</w:t>
      </w:r>
      <w:r>
        <w:rPr>
          <w:rFonts w:hint="eastAsia"/>
          <w:lang w:val="en-US" w:eastAsia="zh-CN"/>
        </w:rPr>
        <w:t>C</w:t>
      </w:r>
      <w:bookmarkEnd w:id="42"/>
      <w:bookmarkEnd w:id="43"/>
    </w:p>
    <w:p w14:paraId="3F5303E5">
      <w:pPr>
        <w:pStyle w:val="21"/>
        <w:numPr>
          <w:ilvl w:val="0"/>
          <w:numId w:val="0"/>
        </w:numPr>
        <w:shd w:val="clear" w:color="auto" w:fill="auto"/>
        <w:tabs>
          <w:tab w:val="left" w:pos="6406"/>
        </w:tabs>
        <w:spacing w:beforeLines="0" w:afterLines="0" w:line="312" w:lineRule="auto"/>
        <w:outlineLvl w:val="9"/>
      </w:pPr>
      <w:r>
        <w:rPr>
          <w:rFonts w:hint="eastAsia"/>
        </w:rPr>
        <w:t>（规范性附录）</w:t>
      </w:r>
      <w:r>
        <w:rPr>
          <w:rFonts w:hint="eastAsia"/>
        </w:rPr>
        <w:br w:type="textWrapping"/>
      </w:r>
      <w:r>
        <w:rPr>
          <w:rFonts w:hint="eastAsia"/>
        </w:rPr>
        <w:t>现代煤化工行业现代主要产品污染物和温室气体排放</w:t>
      </w:r>
      <w:r>
        <w:rPr>
          <w:rFonts w:hint="eastAsia"/>
          <w:lang w:val="en-US" w:eastAsia="zh-CN"/>
        </w:rPr>
        <w:t>水平</w:t>
      </w:r>
      <w:r>
        <w:rPr>
          <w:rFonts w:hint="eastAsia"/>
        </w:rPr>
        <w:t>参考值</w:t>
      </w:r>
    </w:p>
    <w:tbl>
      <w:tblPr>
        <w:tblStyle w:val="1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96"/>
        <w:gridCol w:w="3167"/>
        <w:gridCol w:w="3756"/>
      </w:tblGrid>
      <w:tr w14:paraId="3B7A6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blHeader/>
          <w:jc w:val="center"/>
        </w:trPr>
        <w:tc>
          <w:tcPr>
            <w:tcW w:w="937" w:type="pct"/>
            <w:vAlign w:val="center"/>
          </w:tcPr>
          <w:p w14:paraId="33AE77FD">
            <w:pPr>
              <w:pStyle w:val="9"/>
              <w:spacing w:line="240" w:lineRule="auto"/>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产品</w:t>
            </w:r>
            <w:r>
              <w:rPr>
                <w:rFonts w:hint="eastAsia" w:ascii="Times New Roman" w:hAnsi="Times New Roman" w:cs="Times New Roman"/>
                <w:b/>
                <w:bCs/>
                <w:sz w:val="21"/>
                <w:szCs w:val="21"/>
              </w:rPr>
              <w:t>类型</w:t>
            </w:r>
          </w:p>
        </w:tc>
        <w:tc>
          <w:tcPr>
            <w:tcW w:w="1859" w:type="pct"/>
            <w:vAlign w:val="center"/>
          </w:tcPr>
          <w:p w14:paraId="6241282A">
            <w:pPr>
              <w:pStyle w:val="9"/>
              <w:spacing w:line="140" w:lineRule="atLeast"/>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温室气体排放</w:t>
            </w:r>
            <w:r>
              <w:rPr>
                <w:rFonts w:hint="eastAsia" w:ascii="Times New Roman" w:hAnsi="Times New Roman" w:cs="Times New Roman"/>
                <w:b/>
                <w:bCs/>
                <w:sz w:val="21"/>
                <w:szCs w:val="21"/>
                <w:lang w:val="en-US" w:eastAsia="zh-CN"/>
              </w:rPr>
              <w:t>水平</w:t>
            </w:r>
            <w:r>
              <w:rPr>
                <w:rFonts w:hint="eastAsia" w:ascii="Times New Roman" w:hAnsi="Times New Roman" w:cs="Times New Roman"/>
                <w:b/>
                <w:bCs/>
                <w:sz w:val="21"/>
                <w:szCs w:val="21"/>
              </w:rPr>
              <w:t>先进</w:t>
            </w:r>
            <w:r>
              <w:rPr>
                <w:rFonts w:ascii="Times New Roman" w:hAnsi="Times New Roman" w:cs="Times New Roman"/>
                <w:b/>
                <w:bCs/>
                <w:sz w:val="21"/>
                <w:szCs w:val="21"/>
              </w:rPr>
              <w:t>值（tCO</w:t>
            </w:r>
            <w:r>
              <w:rPr>
                <w:rFonts w:ascii="Times New Roman" w:hAnsi="Times New Roman" w:cs="Times New Roman"/>
                <w:b/>
                <w:bCs/>
                <w:sz w:val="21"/>
                <w:szCs w:val="21"/>
                <w:vertAlign w:val="subscript"/>
              </w:rPr>
              <w:t>2</w:t>
            </w:r>
            <w:r>
              <w:rPr>
                <w:rFonts w:ascii="Times New Roman" w:hAnsi="Times New Roman" w:cs="Times New Roman"/>
                <w:b/>
                <w:bCs/>
                <w:sz w:val="21"/>
                <w:szCs w:val="21"/>
              </w:rPr>
              <w:t>/t产品）</w:t>
            </w:r>
          </w:p>
        </w:tc>
        <w:tc>
          <w:tcPr>
            <w:tcW w:w="2203" w:type="pct"/>
            <w:vAlign w:val="center"/>
          </w:tcPr>
          <w:p w14:paraId="009E3660">
            <w:pPr>
              <w:pStyle w:val="9"/>
              <w:spacing w:beforeAutospacing="0" w:afterAutospacing="0" w:line="240" w:lineRule="auto"/>
              <w:ind w:firstLine="0" w:firstLineChars="0"/>
              <w:jc w:val="center"/>
              <w:rPr>
                <w:rFonts w:ascii="Times New Roman" w:hAnsi="Times New Roman" w:cs="Times New Roman"/>
                <w:b/>
                <w:bCs/>
                <w:sz w:val="21"/>
                <w:szCs w:val="21"/>
              </w:rPr>
            </w:pPr>
            <w:r>
              <w:rPr>
                <w:rFonts w:hint="eastAsia" w:ascii="Times New Roman" w:hAnsi="Times New Roman" w:cs="Times New Roman"/>
                <w:b/>
                <w:bCs/>
                <w:sz w:val="21"/>
                <w:szCs w:val="21"/>
              </w:rPr>
              <w:t>氮氧化物</w:t>
            </w:r>
            <w:r>
              <w:rPr>
                <w:rFonts w:ascii="Times New Roman" w:hAnsi="Times New Roman" w:cs="Times New Roman"/>
                <w:b/>
                <w:bCs/>
                <w:sz w:val="21"/>
                <w:szCs w:val="21"/>
              </w:rPr>
              <w:t>排放</w:t>
            </w:r>
            <w:r>
              <w:rPr>
                <w:rFonts w:hint="eastAsia" w:ascii="Times New Roman" w:hAnsi="Times New Roman" w:cs="Times New Roman"/>
                <w:b/>
                <w:bCs/>
                <w:sz w:val="21"/>
                <w:szCs w:val="21"/>
                <w:lang w:val="en-US" w:eastAsia="zh-CN"/>
              </w:rPr>
              <w:t>水平</w:t>
            </w:r>
            <w:r>
              <w:rPr>
                <w:rFonts w:hint="eastAsia" w:ascii="Times New Roman" w:hAnsi="Times New Roman" w:cs="Times New Roman"/>
                <w:b/>
                <w:bCs/>
                <w:sz w:val="21"/>
                <w:szCs w:val="21"/>
              </w:rPr>
              <w:t>先进</w:t>
            </w:r>
            <w:r>
              <w:rPr>
                <w:rFonts w:ascii="Times New Roman" w:hAnsi="Times New Roman" w:cs="Times New Roman"/>
                <w:b/>
                <w:bCs/>
                <w:sz w:val="21"/>
                <w:szCs w:val="21"/>
              </w:rPr>
              <w:t>值</w:t>
            </w:r>
          </w:p>
          <w:p w14:paraId="1E1754E1">
            <w:pPr>
              <w:pStyle w:val="9"/>
              <w:spacing w:beforeAutospacing="0" w:afterAutospacing="0" w:line="240" w:lineRule="auto"/>
              <w:ind w:firstLine="0" w:firstLineChars="0"/>
              <w:jc w:val="center"/>
              <w:rPr>
                <w:rFonts w:ascii="Times New Roman" w:hAnsi="Times New Roman" w:eastAsia="宋体" w:cs="Times New Roman"/>
                <w:b/>
                <w:bCs/>
                <w:sz w:val="21"/>
                <w:szCs w:val="21"/>
              </w:rPr>
            </w:pPr>
            <w:r>
              <w:rPr>
                <w:rFonts w:ascii="Times New Roman" w:hAnsi="Times New Roman" w:cs="Times New Roman"/>
                <w:b/>
                <w:bCs/>
                <w:sz w:val="21"/>
                <w:szCs w:val="21"/>
              </w:rPr>
              <w:t>（</w:t>
            </w:r>
            <w:r>
              <w:rPr>
                <w:rFonts w:hint="eastAsia" w:ascii="Times New Roman" w:hAnsi="Times New Roman" w:cs="Times New Roman"/>
                <w:b/>
                <w:bCs/>
                <w:sz w:val="21"/>
                <w:szCs w:val="21"/>
              </w:rPr>
              <w:t>kg</w:t>
            </w:r>
            <w:r>
              <w:rPr>
                <w:rFonts w:ascii="Times New Roman" w:hAnsi="Times New Roman" w:cs="Times New Roman"/>
                <w:b/>
                <w:bCs/>
                <w:sz w:val="21"/>
                <w:szCs w:val="21"/>
              </w:rPr>
              <w:t>/t产品）</w:t>
            </w:r>
          </w:p>
        </w:tc>
      </w:tr>
      <w:tr w14:paraId="5AF69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937" w:type="pct"/>
            <w:vAlign w:val="center"/>
          </w:tcPr>
          <w:p w14:paraId="7DEE2ED9">
            <w:pPr>
              <w:pStyle w:val="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煤制甲醇</w:t>
            </w:r>
          </w:p>
        </w:tc>
        <w:tc>
          <w:tcPr>
            <w:tcW w:w="1859" w:type="pct"/>
            <w:vAlign w:val="center"/>
          </w:tcPr>
          <w:p w14:paraId="11BAD4D9">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2.31</w:t>
            </w:r>
          </w:p>
        </w:tc>
        <w:tc>
          <w:tcPr>
            <w:tcW w:w="2203" w:type="pct"/>
            <w:vAlign w:val="center"/>
          </w:tcPr>
          <w:p w14:paraId="1246E9D4">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0.095</w:t>
            </w:r>
          </w:p>
        </w:tc>
      </w:tr>
      <w:tr w14:paraId="56B0F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937" w:type="pct"/>
            <w:vAlign w:val="center"/>
          </w:tcPr>
          <w:p w14:paraId="0F07323F">
            <w:pPr>
              <w:pStyle w:val="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煤制烯烃</w:t>
            </w:r>
          </w:p>
        </w:tc>
        <w:tc>
          <w:tcPr>
            <w:tcW w:w="1859" w:type="pct"/>
            <w:vAlign w:val="center"/>
          </w:tcPr>
          <w:p w14:paraId="00AFABE2">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6.23</w:t>
            </w:r>
          </w:p>
        </w:tc>
        <w:tc>
          <w:tcPr>
            <w:tcW w:w="2203" w:type="pct"/>
            <w:vAlign w:val="center"/>
          </w:tcPr>
          <w:p w14:paraId="2F4C9C69">
            <w:pPr>
              <w:widowControl/>
              <w:jc w:val="center"/>
              <w:textAlignment w:val="center"/>
            </w:pPr>
            <w:r>
              <w:rPr>
                <w:rFonts w:hint="eastAsia" w:ascii="Times New Roman" w:hAnsi="Times New Roman" w:eastAsia="仿宋_GB2312" w:cs="Times New Roman"/>
                <w:szCs w:val="21"/>
              </w:rPr>
              <w:t>0.280</w:t>
            </w:r>
          </w:p>
        </w:tc>
      </w:tr>
      <w:tr w14:paraId="49310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937" w:type="pct"/>
            <w:vAlign w:val="center"/>
          </w:tcPr>
          <w:p w14:paraId="2BA053C8">
            <w:pPr>
              <w:pStyle w:val="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煤制天然气</w:t>
            </w:r>
          </w:p>
        </w:tc>
        <w:tc>
          <w:tcPr>
            <w:tcW w:w="1859" w:type="pct"/>
            <w:vAlign w:val="center"/>
          </w:tcPr>
          <w:p w14:paraId="5B551888">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3.</w:t>
            </w:r>
            <w:r>
              <w:rPr>
                <w:rFonts w:hint="eastAsia" w:ascii="Times New Roman" w:hAnsi="Times New Roman" w:eastAsia="仿宋_GB2312" w:cs="Times New Roman"/>
                <w:szCs w:val="21"/>
                <w:lang w:val="en-US" w:eastAsia="zh-CN"/>
              </w:rPr>
              <w:t>60</w:t>
            </w:r>
            <w:r>
              <w:rPr>
                <w:rFonts w:hint="eastAsia" w:ascii="Times New Roman" w:hAnsi="Times New Roman" w:eastAsia="仿宋_GB2312" w:cs="Times New Roman"/>
                <w:szCs w:val="21"/>
              </w:rPr>
              <w:t>（吨/千立方米）</w:t>
            </w:r>
          </w:p>
        </w:tc>
        <w:tc>
          <w:tcPr>
            <w:tcW w:w="2203" w:type="pct"/>
            <w:vAlign w:val="center"/>
          </w:tcPr>
          <w:p w14:paraId="175E7E81">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0.228（千克/千立方米）</w:t>
            </w:r>
          </w:p>
        </w:tc>
      </w:tr>
      <w:tr w14:paraId="22DD4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937" w:type="pct"/>
            <w:vAlign w:val="center"/>
          </w:tcPr>
          <w:p w14:paraId="61DE98C2">
            <w:pPr>
              <w:pStyle w:val="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煤直接液化</w:t>
            </w:r>
          </w:p>
        </w:tc>
        <w:tc>
          <w:tcPr>
            <w:tcW w:w="1859" w:type="pct"/>
            <w:vAlign w:val="center"/>
          </w:tcPr>
          <w:p w14:paraId="2545B4E0">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3.55</w:t>
            </w:r>
          </w:p>
        </w:tc>
        <w:tc>
          <w:tcPr>
            <w:tcW w:w="2203" w:type="pct"/>
            <w:vAlign w:val="center"/>
          </w:tcPr>
          <w:p w14:paraId="71919F69">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0.302</w:t>
            </w:r>
          </w:p>
        </w:tc>
      </w:tr>
      <w:tr w14:paraId="539EA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937" w:type="pct"/>
            <w:vAlign w:val="center"/>
          </w:tcPr>
          <w:p w14:paraId="5E94148A">
            <w:pPr>
              <w:pStyle w:val="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煤间接液化</w:t>
            </w:r>
          </w:p>
        </w:tc>
        <w:tc>
          <w:tcPr>
            <w:tcW w:w="1859" w:type="pct"/>
            <w:vAlign w:val="center"/>
          </w:tcPr>
          <w:p w14:paraId="554F0070">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4.25</w:t>
            </w:r>
          </w:p>
        </w:tc>
        <w:tc>
          <w:tcPr>
            <w:tcW w:w="2203" w:type="pct"/>
            <w:vAlign w:val="center"/>
          </w:tcPr>
          <w:p w14:paraId="6700EDE3">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0.370</w:t>
            </w:r>
          </w:p>
        </w:tc>
      </w:tr>
      <w:tr w14:paraId="01F85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937" w:type="pct"/>
            <w:vAlign w:val="center"/>
          </w:tcPr>
          <w:p w14:paraId="015D0DD4">
            <w:pPr>
              <w:pStyle w:val="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煤制乙二醇</w:t>
            </w:r>
          </w:p>
        </w:tc>
        <w:tc>
          <w:tcPr>
            <w:tcW w:w="1859" w:type="pct"/>
            <w:vAlign w:val="center"/>
          </w:tcPr>
          <w:p w14:paraId="69F542FF">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3.65</w:t>
            </w:r>
          </w:p>
        </w:tc>
        <w:tc>
          <w:tcPr>
            <w:tcW w:w="2203" w:type="pct"/>
            <w:vAlign w:val="center"/>
          </w:tcPr>
          <w:p w14:paraId="6A3D6D35">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0.130</w:t>
            </w:r>
          </w:p>
          <w:p w14:paraId="55EB11E2">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0.099（乙二醇合成装置废液外委处置）</w:t>
            </w:r>
          </w:p>
        </w:tc>
      </w:tr>
      <w:tr w14:paraId="4DBC0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5000" w:type="pct"/>
            <w:gridSpan w:val="3"/>
            <w:vAlign w:val="center"/>
          </w:tcPr>
          <w:p w14:paraId="330B4CEC">
            <w:pPr>
              <w:widowControl/>
              <w:jc w:val="center"/>
              <w:textAlignment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注：</w:t>
            </w:r>
          </w:p>
        </w:tc>
      </w:tr>
    </w:tbl>
    <w:p w14:paraId="46AC8B63">
      <w:pPr>
        <w:adjustRightInd w:val="0"/>
        <w:snapToGrid w:val="0"/>
        <w:ind w:firstLine="200" w:firstLineChars="100"/>
        <w:rPr>
          <w:rFonts w:ascii="Times New Roman" w:hAnsi="Times New Roman" w:eastAsia="宋体" w:cs="Times New Roman"/>
          <w:sz w:val="20"/>
        </w:rPr>
      </w:pPr>
    </w:p>
    <w:p w14:paraId="49FB454D">
      <w:pPr>
        <w:pStyle w:val="22"/>
        <w:ind w:firstLine="420"/>
        <w:rPr>
          <w:rFonts w:ascii="Times New Roman"/>
          <w:szCs w:val="21"/>
        </w:rPr>
      </w:pPr>
    </w:p>
    <w:p w14:paraId="70C15D8A">
      <w:pPr>
        <w:pStyle w:val="22"/>
        <w:ind w:firstLine="420"/>
      </w:pPr>
    </w:p>
    <w:p w14:paraId="1E4AA4C9">
      <w:pPr>
        <w:pStyle w:val="4"/>
        <w:spacing w:before="157" w:line="360" w:lineRule="auto"/>
        <w:ind w:left="6" w:right="213" w:firstLine="418"/>
        <w:rPr>
          <w:lang w:eastAsia="zh-CN"/>
        </w:rPr>
        <w:sectPr>
          <w:pgSz w:w="11906" w:h="16838"/>
          <w:pgMar w:top="1440" w:right="1800" w:bottom="1440" w:left="1800" w:header="851" w:footer="992" w:gutter="0"/>
          <w:pgNumType w:fmt="decimal"/>
          <w:cols w:space="425" w:num="1"/>
          <w:docGrid w:type="lines" w:linePitch="312" w:charSpace="0"/>
        </w:sectPr>
      </w:pPr>
    </w:p>
    <w:p w14:paraId="437E6B7B">
      <w:pPr>
        <w:pStyle w:val="21"/>
        <w:numPr>
          <w:ilvl w:val="0"/>
          <w:numId w:val="0"/>
        </w:numPr>
        <w:shd w:val="clear" w:color="auto" w:fill="auto"/>
        <w:tabs>
          <w:tab w:val="left" w:pos="6406"/>
        </w:tabs>
        <w:spacing w:beforeLines="0" w:afterLines="0" w:line="312" w:lineRule="auto"/>
        <w:rPr>
          <w:rFonts w:hint="eastAsia" w:eastAsia="黑体"/>
          <w:lang w:eastAsia="zh-CN"/>
        </w:rPr>
      </w:pPr>
      <w:bookmarkStart w:id="44" w:name="_Toc23936"/>
      <w:bookmarkStart w:id="45" w:name="_Toc584"/>
      <w:r>
        <w:rPr>
          <w:rFonts w:hint="eastAsia"/>
        </w:rPr>
        <w:t>附录</w:t>
      </w:r>
      <w:r>
        <w:rPr>
          <w:rFonts w:hint="eastAsia"/>
          <w:lang w:val="en-US" w:eastAsia="zh-CN"/>
        </w:rPr>
        <w:t>D</w:t>
      </w:r>
      <w:bookmarkEnd w:id="44"/>
      <w:bookmarkEnd w:id="45"/>
    </w:p>
    <w:p w14:paraId="08CF553A">
      <w:pPr>
        <w:pStyle w:val="21"/>
        <w:numPr>
          <w:ilvl w:val="0"/>
          <w:numId w:val="0"/>
        </w:numPr>
        <w:shd w:val="clear" w:color="auto" w:fill="auto"/>
        <w:tabs>
          <w:tab w:val="left" w:pos="6406"/>
        </w:tabs>
        <w:spacing w:beforeLines="0" w:afterLines="0" w:line="312" w:lineRule="auto"/>
        <w:outlineLvl w:val="9"/>
      </w:pPr>
      <w:r>
        <w:rPr>
          <w:rFonts w:hint="eastAsia"/>
        </w:rPr>
        <w:t>（</w:t>
      </w:r>
      <w:r>
        <w:rPr>
          <w:rFonts w:hint="eastAsia"/>
          <w:lang w:eastAsia="zh-CN"/>
        </w:rPr>
        <w:t>规范性附录</w:t>
      </w:r>
      <w:r>
        <w:rPr>
          <w:rFonts w:hint="eastAsia"/>
        </w:rPr>
        <w:t>）</w:t>
      </w:r>
      <w:r>
        <w:br w:type="textWrapping"/>
      </w:r>
      <w:r>
        <w:t>建设项目温室气体排放环境影响评价参考附表</w:t>
      </w:r>
      <w:r>
        <w:rPr>
          <w:rFonts w:hint="eastAsia"/>
        </w:rPr>
        <w:t>样式</w:t>
      </w:r>
    </w:p>
    <w:p w14:paraId="185B3135">
      <w:pPr>
        <w:jc w:val="center"/>
        <w:rPr>
          <w:rFonts w:ascii="Times New Roman" w:hAnsi="Times New Roman" w:eastAsia="宋体" w:cs="Times New Roman"/>
          <w:b/>
          <w:bCs/>
          <w:szCs w:val="21"/>
        </w:rPr>
      </w:pPr>
      <w:r>
        <w:rPr>
          <w:rFonts w:ascii="Times New Roman" w:hAnsi="Times New Roman" w:eastAsia="宋体" w:cs="Times New Roman"/>
          <w:b/>
          <w:bCs/>
          <w:szCs w:val="21"/>
        </w:rPr>
        <w:t>表</w:t>
      </w:r>
      <w:r>
        <w:rPr>
          <w:rFonts w:hint="eastAsia" w:ascii="Times New Roman" w:hAnsi="Times New Roman" w:eastAsia="宋体" w:cs="Times New Roman"/>
          <w:b/>
          <w:bCs/>
          <w:szCs w:val="21"/>
        </w:rPr>
        <w:t>E</w:t>
      </w:r>
      <w:r>
        <w:rPr>
          <w:rFonts w:hint="eastAsia" w:ascii="Times New Roman" w:hAnsi="Times New Roman" w:cs="Times New Roman"/>
          <w:b/>
          <w:bCs/>
          <w:szCs w:val="21"/>
        </w:rPr>
        <w:t>.</w:t>
      </w:r>
      <w:r>
        <w:rPr>
          <w:rFonts w:ascii="Times New Roman" w:hAnsi="Times New Roman" w:eastAsia="宋体" w:cs="Times New Roman"/>
          <w:b/>
          <w:bCs/>
          <w:szCs w:val="21"/>
        </w:rPr>
        <w:t>1  建设项目温室气体排放</w:t>
      </w:r>
      <w:r>
        <w:rPr>
          <w:rFonts w:hint="eastAsia" w:ascii="Times New Roman" w:hAnsi="Times New Roman" w:cs="Times New Roman"/>
          <w:b/>
          <w:bCs/>
          <w:szCs w:val="21"/>
        </w:rPr>
        <w:t>量“三本账”</w:t>
      </w:r>
    </w:p>
    <w:tbl>
      <w:tblPr>
        <w:tblStyle w:val="10"/>
        <w:tblW w:w="846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831"/>
        <w:gridCol w:w="1891"/>
        <w:gridCol w:w="987"/>
        <w:gridCol w:w="848"/>
        <w:gridCol w:w="1083"/>
        <w:gridCol w:w="1041"/>
        <w:gridCol w:w="950"/>
        <w:gridCol w:w="837"/>
      </w:tblGrid>
      <w:tr w14:paraId="4C42259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850" w:hRule="atLeast"/>
          <w:tblHeader/>
          <w:jc w:val="center"/>
        </w:trPr>
        <w:tc>
          <w:tcPr>
            <w:tcW w:w="2722" w:type="dxa"/>
            <w:gridSpan w:val="2"/>
            <w:tcBorders>
              <w:right w:val="single" w:color="auto" w:sz="4" w:space="0"/>
            </w:tcBorders>
            <w:vAlign w:val="center"/>
          </w:tcPr>
          <w:p w14:paraId="76E26FCE">
            <w:pPr>
              <w:adjustRightInd w:val="0"/>
              <w:snapToGrid w:val="0"/>
              <w:jc w:val="center"/>
              <w:rPr>
                <w:rFonts w:ascii="Times New Roman" w:hAnsi="Times New Roman" w:eastAsia="宋体" w:cs="Times New Roman"/>
                <w:szCs w:val="21"/>
              </w:rPr>
            </w:pPr>
          </w:p>
          <w:p w14:paraId="1FCFCC35">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指标名称</w:t>
            </w:r>
          </w:p>
        </w:tc>
        <w:tc>
          <w:tcPr>
            <w:tcW w:w="987" w:type="dxa"/>
            <w:tcBorders>
              <w:left w:val="single" w:color="auto" w:sz="4" w:space="0"/>
              <w:right w:val="single" w:color="auto" w:sz="4" w:space="0"/>
            </w:tcBorders>
            <w:vAlign w:val="center"/>
          </w:tcPr>
          <w:p w14:paraId="4AD0EAA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现有工程</w:t>
            </w:r>
            <w:r>
              <w:rPr>
                <w:rFonts w:ascii="Times New Roman" w:hAnsi="Times New Roman" w:eastAsia="宋体" w:cs="Times New Roman"/>
                <w:szCs w:val="21"/>
                <w:vertAlign w:val="superscript"/>
              </w:rPr>
              <w:t>a</w:t>
            </w:r>
          </w:p>
        </w:tc>
        <w:tc>
          <w:tcPr>
            <w:tcW w:w="848" w:type="dxa"/>
            <w:tcBorders>
              <w:left w:val="single" w:color="auto" w:sz="4" w:space="0"/>
            </w:tcBorders>
            <w:vAlign w:val="center"/>
          </w:tcPr>
          <w:p w14:paraId="63A4F64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在建工程</w:t>
            </w:r>
          </w:p>
        </w:tc>
        <w:tc>
          <w:tcPr>
            <w:tcW w:w="1083" w:type="dxa"/>
            <w:tcBorders>
              <w:left w:val="single" w:color="auto" w:sz="4" w:space="0"/>
            </w:tcBorders>
            <w:vAlign w:val="center"/>
          </w:tcPr>
          <w:p w14:paraId="3F02DD6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拟建工程（工序）</w:t>
            </w:r>
            <w:r>
              <w:rPr>
                <w:rFonts w:ascii="Times New Roman" w:hAnsi="Times New Roman" w:eastAsia="宋体" w:cs="Times New Roman"/>
                <w:szCs w:val="21"/>
                <w:vertAlign w:val="superscript"/>
              </w:rPr>
              <w:t>b</w:t>
            </w:r>
          </w:p>
        </w:tc>
        <w:tc>
          <w:tcPr>
            <w:tcW w:w="1041" w:type="dxa"/>
            <w:tcBorders>
              <w:left w:val="single" w:color="auto" w:sz="4" w:space="0"/>
            </w:tcBorders>
            <w:vAlign w:val="center"/>
          </w:tcPr>
          <w:p w14:paraId="6E65E75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“以新带老”削减量</w:t>
            </w:r>
            <w:r>
              <w:rPr>
                <w:rFonts w:ascii="Times New Roman" w:hAnsi="Times New Roman" w:eastAsia="宋体" w:cs="Times New Roman"/>
                <w:szCs w:val="21"/>
                <w:vertAlign w:val="superscript"/>
              </w:rPr>
              <w:t>c</w:t>
            </w:r>
          </w:p>
        </w:tc>
        <w:tc>
          <w:tcPr>
            <w:tcW w:w="950" w:type="dxa"/>
            <w:tcBorders>
              <w:left w:val="single" w:color="auto" w:sz="4" w:space="0"/>
            </w:tcBorders>
            <w:vAlign w:val="center"/>
          </w:tcPr>
          <w:p w14:paraId="4B52781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拟建工程实施后全厂</w:t>
            </w:r>
            <w:r>
              <w:rPr>
                <w:rFonts w:hint="eastAsia" w:ascii="Times New Roman" w:hAnsi="Times New Roman" w:cs="Times New Roman"/>
                <w:szCs w:val="21"/>
                <w:vertAlign w:val="superscript"/>
              </w:rPr>
              <w:t>d</w:t>
            </w:r>
          </w:p>
        </w:tc>
        <w:tc>
          <w:tcPr>
            <w:tcW w:w="837" w:type="dxa"/>
            <w:tcBorders>
              <w:left w:val="single" w:color="auto" w:sz="4" w:space="0"/>
            </w:tcBorders>
            <w:vAlign w:val="center"/>
          </w:tcPr>
          <w:p w14:paraId="1A7F125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全厂变化情况</w:t>
            </w:r>
          </w:p>
        </w:tc>
      </w:tr>
      <w:tr w14:paraId="70032B8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831" w:type="dxa"/>
            <w:vMerge w:val="restart"/>
            <w:tcBorders>
              <w:right w:val="single" w:color="auto" w:sz="4" w:space="0"/>
            </w:tcBorders>
            <w:vAlign w:val="center"/>
          </w:tcPr>
          <w:p w14:paraId="78E97F2F">
            <w:pPr>
              <w:adjustRightInd w:val="0"/>
              <w:snapToGrid w:val="0"/>
              <w:jc w:val="center"/>
              <w:rPr>
                <w:rFonts w:ascii="Times New Roman" w:hAnsi="Times New Roman" w:eastAsia="宋体" w:cs="Times New Roman"/>
                <w:szCs w:val="21"/>
              </w:rPr>
            </w:pPr>
            <w:r>
              <w:rPr>
                <w:rFonts w:hint="eastAsia" w:ascii="Times New Roman" w:hAnsi="Times New Roman" w:cs="Times New Roman"/>
                <w:szCs w:val="21"/>
              </w:rPr>
              <w:t>温室气体</w:t>
            </w:r>
            <w:r>
              <w:rPr>
                <w:rFonts w:ascii="Times New Roman" w:hAnsi="Times New Roman" w:eastAsia="宋体" w:cs="Times New Roman"/>
                <w:szCs w:val="21"/>
              </w:rPr>
              <w:t>排放量</w:t>
            </w:r>
          </w:p>
          <w:p w14:paraId="0389BE0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（tCO</w:t>
            </w:r>
            <w:r>
              <w:rPr>
                <w:rFonts w:ascii="Times New Roman" w:hAnsi="Times New Roman" w:eastAsia="宋体" w:cs="Times New Roman"/>
                <w:szCs w:val="21"/>
                <w:vertAlign w:val="subscript"/>
              </w:rPr>
              <w:t>2</w:t>
            </w:r>
            <w:r>
              <w:rPr>
                <w:rFonts w:ascii="Times New Roman" w:hAnsi="Times New Roman" w:eastAsia="宋体" w:cs="Times New Roman"/>
                <w:szCs w:val="21"/>
              </w:rPr>
              <w:t>）</w:t>
            </w:r>
          </w:p>
        </w:tc>
        <w:tc>
          <w:tcPr>
            <w:tcW w:w="1891" w:type="dxa"/>
            <w:tcBorders>
              <w:right w:val="single" w:color="auto" w:sz="4" w:space="0"/>
            </w:tcBorders>
            <w:vAlign w:val="center"/>
          </w:tcPr>
          <w:p w14:paraId="7A0E8ED5">
            <w:pPr>
              <w:adjustRightInd w:val="0"/>
              <w:snapToGrid w:val="0"/>
              <w:jc w:val="center"/>
              <w:rPr>
                <w:rFonts w:ascii="Times New Roman" w:hAnsi="Times New Roman" w:eastAsia="宋体" w:cs="Times New Roman"/>
                <w:szCs w:val="21"/>
              </w:rPr>
            </w:pPr>
            <w:r>
              <w:rPr>
                <w:rFonts w:hint="eastAsia" w:ascii="Times New Roman" w:hAnsi="Times New Roman" w:cs="Times New Roman"/>
                <w:szCs w:val="21"/>
              </w:rPr>
              <w:t>消耗化石燃料排放</w:t>
            </w:r>
          </w:p>
        </w:tc>
        <w:tc>
          <w:tcPr>
            <w:tcW w:w="987" w:type="dxa"/>
            <w:tcBorders>
              <w:left w:val="single" w:color="auto" w:sz="4" w:space="0"/>
              <w:right w:val="single" w:color="auto" w:sz="4" w:space="0"/>
            </w:tcBorders>
            <w:vAlign w:val="center"/>
          </w:tcPr>
          <w:p w14:paraId="09C26295">
            <w:pPr>
              <w:adjustRightInd w:val="0"/>
              <w:snapToGrid w:val="0"/>
              <w:jc w:val="center"/>
              <w:rPr>
                <w:rFonts w:ascii="Times New Roman" w:hAnsi="Times New Roman" w:eastAsia="宋体" w:cs="Times New Roman"/>
                <w:szCs w:val="21"/>
              </w:rPr>
            </w:pPr>
          </w:p>
        </w:tc>
        <w:tc>
          <w:tcPr>
            <w:tcW w:w="848" w:type="dxa"/>
            <w:tcBorders>
              <w:left w:val="single" w:color="auto" w:sz="4" w:space="0"/>
            </w:tcBorders>
            <w:vAlign w:val="center"/>
          </w:tcPr>
          <w:p w14:paraId="1ACAF945">
            <w:pPr>
              <w:adjustRightInd w:val="0"/>
              <w:snapToGrid w:val="0"/>
              <w:jc w:val="center"/>
              <w:rPr>
                <w:rFonts w:ascii="Times New Roman" w:hAnsi="Times New Roman" w:eastAsia="宋体" w:cs="Times New Roman"/>
                <w:szCs w:val="21"/>
              </w:rPr>
            </w:pPr>
          </w:p>
        </w:tc>
        <w:tc>
          <w:tcPr>
            <w:tcW w:w="1083" w:type="dxa"/>
            <w:tcBorders>
              <w:left w:val="single" w:color="auto" w:sz="4" w:space="0"/>
            </w:tcBorders>
            <w:vAlign w:val="center"/>
          </w:tcPr>
          <w:p w14:paraId="369D6C0C">
            <w:pPr>
              <w:adjustRightInd w:val="0"/>
              <w:snapToGrid w:val="0"/>
              <w:jc w:val="center"/>
              <w:rPr>
                <w:rFonts w:ascii="Times New Roman" w:hAnsi="Times New Roman" w:eastAsia="宋体" w:cs="Times New Roman"/>
                <w:szCs w:val="21"/>
              </w:rPr>
            </w:pPr>
          </w:p>
        </w:tc>
        <w:tc>
          <w:tcPr>
            <w:tcW w:w="1041" w:type="dxa"/>
            <w:tcBorders>
              <w:left w:val="single" w:color="auto" w:sz="4" w:space="0"/>
            </w:tcBorders>
            <w:vAlign w:val="center"/>
          </w:tcPr>
          <w:p w14:paraId="0A77BCFC">
            <w:pPr>
              <w:adjustRightInd w:val="0"/>
              <w:snapToGrid w:val="0"/>
              <w:jc w:val="center"/>
              <w:rPr>
                <w:rFonts w:ascii="Times New Roman" w:hAnsi="Times New Roman" w:eastAsia="宋体" w:cs="Times New Roman"/>
                <w:szCs w:val="21"/>
              </w:rPr>
            </w:pPr>
          </w:p>
        </w:tc>
        <w:tc>
          <w:tcPr>
            <w:tcW w:w="950" w:type="dxa"/>
            <w:tcBorders>
              <w:left w:val="single" w:color="auto" w:sz="4" w:space="0"/>
            </w:tcBorders>
            <w:vAlign w:val="center"/>
          </w:tcPr>
          <w:p w14:paraId="677162F7">
            <w:pPr>
              <w:adjustRightInd w:val="0"/>
              <w:snapToGrid w:val="0"/>
              <w:jc w:val="center"/>
              <w:rPr>
                <w:rFonts w:ascii="Times New Roman" w:hAnsi="Times New Roman" w:eastAsia="宋体" w:cs="Times New Roman"/>
                <w:szCs w:val="21"/>
              </w:rPr>
            </w:pPr>
          </w:p>
        </w:tc>
        <w:tc>
          <w:tcPr>
            <w:tcW w:w="837" w:type="dxa"/>
            <w:tcBorders>
              <w:left w:val="single" w:color="auto" w:sz="4" w:space="0"/>
            </w:tcBorders>
            <w:vAlign w:val="center"/>
          </w:tcPr>
          <w:p w14:paraId="3230B86F">
            <w:pPr>
              <w:adjustRightInd w:val="0"/>
              <w:snapToGrid w:val="0"/>
              <w:jc w:val="center"/>
              <w:rPr>
                <w:rFonts w:ascii="Times New Roman" w:hAnsi="Times New Roman" w:eastAsia="宋体" w:cs="Times New Roman"/>
                <w:szCs w:val="21"/>
              </w:rPr>
            </w:pPr>
          </w:p>
        </w:tc>
      </w:tr>
      <w:tr w14:paraId="4EA27D5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831" w:type="dxa"/>
            <w:vMerge w:val="continue"/>
            <w:tcBorders>
              <w:right w:val="single" w:color="auto" w:sz="4" w:space="0"/>
            </w:tcBorders>
            <w:vAlign w:val="center"/>
          </w:tcPr>
          <w:p w14:paraId="586A496C">
            <w:pPr>
              <w:adjustRightInd w:val="0"/>
              <w:snapToGrid w:val="0"/>
              <w:jc w:val="center"/>
              <w:rPr>
                <w:rFonts w:ascii="Times New Roman" w:hAnsi="Times New Roman" w:eastAsia="宋体" w:cs="Times New Roman"/>
                <w:szCs w:val="21"/>
              </w:rPr>
            </w:pPr>
          </w:p>
        </w:tc>
        <w:tc>
          <w:tcPr>
            <w:tcW w:w="1891" w:type="dxa"/>
            <w:tcBorders>
              <w:right w:val="single" w:color="auto" w:sz="4" w:space="0"/>
            </w:tcBorders>
            <w:vAlign w:val="center"/>
          </w:tcPr>
          <w:p w14:paraId="5C6DBEDD">
            <w:pPr>
              <w:adjustRightInd w:val="0"/>
              <w:snapToGrid w:val="0"/>
              <w:jc w:val="center"/>
              <w:rPr>
                <w:rFonts w:ascii="Times New Roman" w:hAnsi="Times New Roman" w:eastAsia="宋体" w:cs="Times New Roman"/>
                <w:szCs w:val="21"/>
              </w:rPr>
            </w:pPr>
            <w:r>
              <w:rPr>
                <w:rFonts w:hint="eastAsia" w:ascii="Times New Roman" w:hAnsi="Times New Roman" w:cs="Times New Roman"/>
                <w:szCs w:val="21"/>
              </w:rPr>
              <w:t>工业生产过程排放</w:t>
            </w:r>
          </w:p>
        </w:tc>
        <w:tc>
          <w:tcPr>
            <w:tcW w:w="987" w:type="dxa"/>
            <w:tcBorders>
              <w:left w:val="single" w:color="auto" w:sz="4" w:space="0"/>
              <w:right w:val="single" w:color="auto" w:sz="4" w:space="0"/>
            </w:tcBorders>
            <w:vAlign w:val="center"/>
          </w:tcPr>
          <w:p w14:paraId="72BB49D0">
            <w:pPr>
              <w:adjustRightInd w:val="0"/>
              <w:snapToGrid w:val="0"/>
              <w:jc w:val="center"/>
              <w:rPr>
                <w:rFonts w:ascii="Times New Roman" w:hAnsi="Times New Roman" w:eastAsia="宋体" w:cs="Times New Roman"/>
                <w:szCs w:val="21"/>
              </w:rPr>
            </w:pPr>
          </w:p>
        </w:tc>
        <w:tc>
          <w:tcPr>
            <w:tcW w:w="848" w:type="dxa"/>
            <w:tcBorders>
              <w:left w:val="single" w:color="auto" w:sz="4" w:space="0"/>
            </w:tcBorders>
            <w:vAlign w:val="center"/>
          </w:tcPr>
          <w:p w14:paraId="649075B7">
            <w:pPr>
              <w:adjustRightInd w:val="0"/>
              <w:snapToGrid w:val="0"/>
              <w:jc w:val="center"/>
              <w:rPr>
                <w:rFonts w:ascii="Times New Roman" w:hAnsi="Times New Roman" w:eastAsia="宋体" w:cs="Times New Roman"/>
                <w:szCs w:val="21"/>
              </w:rPr>
            </w:pPr>
          </w:p>
        </w:tc>
        <w:tc>
          <w:tcPr>
            <w:tcW w:w="1083" w:type="dxa"/>
            <w:tcBorders>
              <w:left w:val="single" w:color="auto" w:sz="4" w:space="0"/>
            </w:tcBorders>
            <w:vAlign w:val="center"/>
          </w:tcPr>
          <w:p w14:paraId="64E7E341">
            <w:pPr>
              <w:adjustRightInd w:val="0"/>
              <w:snapToGrid w:val="0"/>
              <w:jc w:val="center"/>
              <w:rPr>
                <w:rFonts w:ascii="Times New Roman" w:hAnsi="Times New Roman" w:eastAsia="宋体" w:cs="Times New Roman"/>
                <w:szCs w:val="21"/>
              </w:rPr>
            </w:pPr>
          </w:p>
        </w:tc>
        <w:tc>
          <w:tcPr>
            <w:tcW w:w="1041" w:type="dxa"/>
            <w:tcBorders>
              <w:left w:val="single" w:color="auto" w:sz="4" w:space="0"/>
            </w:tcBorders>
            <w:vAlign w:val="center"/>
          </w:tcPr>
          <w:p w14:paraId="040F3DCF">
            <w:pPr>
              <w:adjustRightInd w:val="0"/>
              <w:snapToGrid w:val="0"/>
              <w:jc w:val="center"/>
              <w:rPr>
                <w:rFonts w:ascii="Times New Roman" w:hAnsi="Times New Roman" w:eastAsia="宋体" w:cs="Times New Roman"/>
                <w:szCs w:val="21"/>
              </w:rPr>
            </w:pPr>
          </w:p>
        </w:tc>
        <w:tc>
          <w:tcPr>
            <w:tcW w:w="950" w:type="dxa"/>
            <w:tcBorders>
              <w:left w:val="single" w:color="auto" w:sz="4" w:space="0"/>
            </w:tcBorders>
            <w:vAlign w:val="center"/>
          </w:tcPr>
          <w:p w14:paraId="6BEAE5C3">
            <w:pPr>
              <w:adjustRightInd w:val="0"/>
              <w:snapToGrid w:val="0"/>
              <w:jc w:val="center"/>
              <w:rPr>
                <w:rFonts w:ascii="Times New Roman" w:hAnsi="Times New Roman" w:eastAsia="宋体" w:cs="Times New Roman"/>
                <w:szCs w:val="21"/>
              </w:rPr>
            </w:pPr>
          </w:p>
        </w:tc>
        <w:tc>
          <w:tcPr>
            <w:tcW w:w="837" w:type="dxa"/>
            <w:tcBorders>
              <w:left w:val="single" w:color="auto" w:sz="4" w:space="0"/>
            </w:tcBorders>
            <w:vAlign w:val="center"/>
          </w:tcPr>
          <w:p w14:paraId="07CCDD0A">
            <w:pPr>
              <w:adjustRightInd w:val="0"/>
              <w:snapToGrid w:val="0"/>
              <w:jc w:val="center"/>
              <w:rPr>
                <w:rFonts w:ascii="Times New Roman" w:hAnsi="Times New Roman" w:eastAsia="宋体" w:cs="Times New Roman"/>
                <w:szCs w:val="21"/>
              </w:rPr>
            </w:pPr>
          </w:p>
        </w:tc>
      </w:tr>
      <w:tr w14:paraId="3F5D037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831" w:type="dxa"/>
            <w:vMerge w:val="continue"/>
            <w:tcBorders>
              <w:right w:val="single" w:color="auto" w:sz="4" w:space="0"/>
            </w:tcBorders>
            <w:vAlign w:val="center"/>
          </w:tcPr>
          <w:p w14:paraId="3AC9D2BB">
            <w:pPr>
              <w:adjustRightInd w:val="0"/>
              <w:snapToGrid w:val="0"/>
              <w:jc w:val="center"/>
              <w:rPr>
                <w:rFonts w:ascii="Times New Roman" w:hAnsi="Times New Roman" w:eastAsia="宋体" w:cs="Times New Roman"/>
                <w:szCs w:val="21"/>
              </w:rPr>
            </w:pPr>
          </w:p>
        </w:tc>
        <w:tc>
          <w:tcPr>
            <w:tcW w:w="1891" w:type="dxa"/>
            <w:tcBorders>
              <w:right w:val="single" w:color="auto" w:sz="4" w:space="0"/>
            </w:tcBorders>
            <w:vAlign w:val="center"/>
          </w:tcPr>
          <w:p w14:paraId="252A87B7">
            <w:pPr>
              <w:adjustRightInd w:val="0"/>
              <w:snapToGrid w:val="0"/>
              <w:jc w:val="center"/>
              <w:rPr>
                <w:rFonts w:ascii="Times New Roman" w:hAnsi="Times New Roman" w:eastAsia="宋体" w:cs="Times New Roman"/>
                <w:szCs w:val="21"/>
              </w:rPr>
            </w:pPr>
            <w:r>
              <w:rPr>
                <w:rFonts w:hint="eastAsia" w:ascii="Times New Roman" w:hAnsi="Times New Roman" w:cs="Times New Roman"/>
                <w:szCs w:val="21"/>
              </w:rPr>
              <w:t>净输入电力和热力对应排放</w:t>
            </w:r>
          </w:p>
        </w:tc>
        <w:tc>
          <w:tcPr>
            <w:tcW w:w="987" w:type="dxa"/>
            <w:tcBorders>
              <w:left w:val="single" w:color="auto" w:sz="4" w:space="0"/>
              <w:right w:val="single" w:color="auto" w:sz="4" w:space="0"/>
            </w:tcBorders>
            <w:vAlign w:val="center"/>
          </w:tcPr>
          <w:p w14:paraId="6824AB26">
            <w:pPr>
              <w:adjustRightInd w:val="0"/>
              <w:snapToGrid w:val="0"/>
              <w:jc w:val="center"/>
              <w:rPr>
                <w:rFonts w:ascii="Times New Roman" w:hAnsi="Times New Roman" w:eastAsia="宋体" w:cs="Times New Roman"/>
                <w:szCs w:val="21"/>
              </w:rPr>
            </w:pPr>
          </w:p>
        </w:tc>
        <w:tc>
          <w:tcPr>
            <w:tcW w:w="848" w:type="dxa"/>
            <w:tcBorders>
              <w:left w:val="single" w:color="auto" w:sz="4" w:space="0"/>
            </w:tcBorders>
            <w:vAlign w:val="center"/>
          </w:tcPr>
          <w:p w14:paraId="3A3A9AA0">
            <w:pPr>
              <w:adjustRightInd w:val="0"/>
              <w:snapToGrid w:val="0"/>
              <w:jc w:val="center"/>
              <w:rPr>
                <w:rFonts w:ascii="Times New Roman" w:hAnsi="Times New Roman" w:eastAsia="宋体" w:cs="Times New Roman"/>
                <w:szCs w:val="21"/>
              </w:rPr>
            </w:pPr>
          </w:p>
        </w:tc>
        <w:tc>
          <w:tcPr>
            <w:tcW w:w="1083" w:type="dxa"/>
            <w:tcBorders>
              <w:left w:val="single" w:color="auto" w:sz="4" w:space="0"/>
            </w:tcBorders>
            <w:vAlign w:val="center"/>
          </w:tcPr>
          <w:p w14:paraId="7605D125">
            <w:pPr>
              <w:adjustRightInd w:val="0"/>
              <w:snapToGrid w:val="0"/>
              <w:jc w:val="center"/>
              <w:rPr>
                <w:rFonts w:ascii="Times New Roman" w:hAnsi="Times New Roman" w:eastAsia="宋体" w:cs="Times New Roman"/>
                <w:szCs w:val="21"/>
              </w:rPr>
            </w:pPr>
          </w:p>
        </w:tc>
        <w:tc>
          <w:tcPr>
            <w:tcW w:w="1041" w:type="dxa"/>
            <w:tcBorders>
              <w:left w:val="single" w:color="auto" w:sz="4" w:space="0"/>
            </w:tcBorders>
            <w:vAlign w:val="center"/>
          </w:tcPr>
          <w:p w14:paraId="13936956">
            <w:pPr>
              <w:adjustRightInd w:val="0"/>
              <w:snapToGrid w:val="0"/>
              <w:jc w:val="center"/>
              <w:rPr>
                <w:rFonts w:ascii="Times New Roman" w:hAnsi="Times New Roman" w:eastAsia="宋体" w:cs="Times New Roman"/>
                <w:szCs w:val="21"/>
              </w:rPr>
            </w:pPr>
          </w:p>
        </w:tc>
        <w:tc>
          <w:tcPr>
            <w:tcW w:w="950" w:type="dxa"/>
            <w:tcBorders>
              <w:left w:val="single" w:color="auto" w:sz="4" w:space="0"/>
            </w:tcBorders>
            <w:vAlign w:val="center"/>
          </w:tcPr>
          <w:p w14:paraId="7B82E01F">
            <w:pPr>
              <w:adjustRightInd w:val="0"/>
              <w:snapToGrid w:val="0"/>
              <w:jc w:val="center"/>
              <w:rPr>
                <w:rFonts w:ascii="Times New Roman" w:hAnsi="Times New Roman" w:eastAsia="宋体" w:cs="Times New Roman"/>
                <w:szCs w:val="21"/>
              </w:rPr>
            </w:pPr>
          </w:p>
        </w:tc>
        <w:tc>
          <w:tcPr>
            <w:tcW w:w="837" w:type="dxa"/>
            <w:tcBorders>
              <w:left w:val="single" w:color="auto" w:sz="4" w:space="0"/>
            </w:tcBorders>
            <w:vAlign w:val="center"/>
          </w:tcPr>
          <w:p w14:paraId="28EC3704">
            <w:pPr>
              <w:adjustRightInd w:val="0"/>
              <w:snapToGrid w:val="0"/>
              <w:jc w:val="center"/>
              <w:rPr>
                <w:rFonts w:ascii="Times New Roman" w:hAnsi="Times New Roman" w:eastAsia="宋体" w:cs="Times New Roman"/>
                <w:szCs w:val="21"/>
              </w:rPr>
            </w:pPr>
          </w:p>
        </w:tc>
      </w:tr>
      <w:tr w14:paraId="05704B1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831" w:type="dxa"/>
            <w:vMerge w:val="continue"/>
            <w:tcBorders>
              <w:right w:val="single" w:color="auto" w:sz="4" w:space="0"/>
            </w:tcBorders>
            <w:vAlign w:val="center"/>
          </w:tcPr>
          <w:p w14:paraId="64E38B90">
            <w:pPr>
              <w:adjustRightInd w:val="0"/>
              <w:snapToGrid w:val="0"/>
              <w:jc w:val="center"/>
              <w:rPr>
                <w:rFonts w:ascii="Times New Roman" w:hAnsi="Times New Roman" w:eastAsia="宋体" w:cs="Times New Roman"/>
                <w:szCs w:val="21"/>
              </w:rPr>
            </w:pPr>
          </w:p>
        </w:tc>
        <w:tc>
          <w:tcPr>
            <w:tcW w:w="1891" w:type="dxa"/>
            <w:tcBorders>
              <w:right w:val="single" w:color="auto" w:sz="4" w:space="0"/>
            </w:tcBorders>
            <w:vAlign w:val="center"/>
          </w:tcPr>
          <w:p w14:paraId="443F30ED">
            <w:pPr>
              <w:adjustRightInd w:val="0"/>
              <w:snapToGrid w:val="0"/>
              <w:jc w:val="center"/>
              <w:rPr>
                <w:rFonts w:ascii="Times New Roman" w:hAnsi="Times New Roman" w:eastAsia="宋体" w:cs="Times New Roman"/>
                <w:szCs w:val="21"/>
              </w:rPr>
            </w:pPr>
            <w:r>
              <w:rPr>
                <w:rFonts w:hint="eastAsia" w:ascii="Times New Roman" w:hAnsi="Times New Roman" w:cs="Times New Roman"/>
                <w:szCs w:val="21"/>
              </w:rPr>
              <w:t>含碳产品隐含排放</w:t>
            </w:r>
          </w:p>
        </w:tc>
        <w:tc>
          <w:tcPr>
            <w:tcW w:w="987" w:type="dxa"/>
            <w:tcBorders>
              <w:left w:val="single" w:color="auto" w:sz="4" w:space="0"/>
              <w:right w:val="single" w:color="auto" w:sz="4" w:space="0"/>
            </w:tcBorders>
            <w:vAlign w:val="center"/>
          </w:tcPr>
          <w:p w14:paraId="6B054A52">
            <w:pPr>
              <w:adjustRightInd w:val="0"/>
              <w:snapToGrid w:val="0"/>
              <w:jc w:val="center"/>
              <w:rPr>
                <w:rFonts w:ascii="Times New Roman" w:hAnsi="Times New Roman" w:eastAsia="宋体" w:cs="Times New Roman"/>
                <w:szCs w:val="21"/>
              </w:rPr>
            </w:pPr>
          </w:p>
        </w:tc>
        <w:tc>
          <w:tcPr>
            <w:tcW w:w="848" w:type="dxa"/>
            <w:tcBorders>
              <w:left w:val="single" w:color="auto" w:sz="4" w:space="0"/>
            </w:tcBorders>
            <w:vAlign w:val="center"/>
          </w:tcPr>
          <w:p w14:paraId="2AF8C7BF">
            <w:pPr>
              <w:adjustRightInd w:val="0"/>
              <w:snapToGrid w:val="0"/>
              <w:jc w:val="center"/>
              <w:rPr>
                <w:rFonts w:ascii="Times New Roman" w:hAnsi="Times New Roman" w:eastAsia="宋体" w:cs="Times New Roman"/>
                <w:szCs w:val="21"/>
              </w:rPr>
            </w:pPr>
          </w:p>
        </w:tc>
        <w:tc>
          <w:tcPr>
            <w:tcW w:w="1083" w:type="dxa"/>
            <w:tcBorders>
              <w:left w:val="single" w:color="auto" w:sz="4" w:space="0"/>
            </w:tcBorders>
            <w:vAlign w:val="center"/>
          </w:tcPr>
          <w:p w14:paraId="55A9E887">
            <w:pPr>
              <w:adjustRightInd w:val="0"/>
              <w:snapToGrid w:val="0"/>
              <w:jc w:val="center"/>
              <w:rPr>
                <w:rFonts w:ascii="Times New Roman" w:hAnsi="Times New Roman" w:eastAsia="宋体" w:cs="Times New Roman"/>
                <w:szCs w:val="21"/>
              </w:rPr>
            </w:pPr>
          </w:p>
        </w:tc>
        <w:tc>
          <w:tcPr>
            <w:tcW w:w="1041" w:type="dxa"/>
            <w:tcBorders>
              <w:left w:val="single" w:color="auto" w:sz="4" w:space="0"/>
            </w:tcBorders>
            <w:vAlign w:val="center"/>
          </w:tcPr>
          <w:p w14:paraId="02DFB7FF">
            <w:pPr>
              <w:adjustRightInd w:val="0"/>
              <w:snapToGrid w:val="0"/>
              <w:jc w:val="center"/>
              <w:rPr>
                <w:rFonts w:ascii="Times New Roman" w:hAnsi="Times New Roman" w:eastAsia="宋体" w:cs="Times New Roman"/>
                <w:szCs w:val="21"/>
              </w:rPr>
            </w:pPr>
          </w:p>
        </w:tc>
        <w:tc>
          <w:tcPr>
            <w:tcW w:w="950" w:type="dxa"/>
            <w:tcBorders>
              <w:left w:val="single" w:color="auto" w:sz="4" w:space="0"/>
            </w:tcBorders>
            <w:vAlign w:val="center"/>
          </w:tcPr>
          <w:p w14:paraId="3AF8771D">
            <w:pPr>
              <w:adjustRightInd w:val="0"/>
              <w:snapToGrid w:val="0"/>
              <w:jc w:val="center"/>
              <w:rPr>
                <w:rFonts w:ascii="Times New Roman" w:hAnsi="Times New Roman" w:eastAsia="宋体" w:cs="Times New Roman"/>
                <w:szCs w:val="21"/>
              </w:rPr>
            </w:pPr>
          </w:p>
        </w:tc>
        <w:tc>
          <w:tcPr>
            <w:tcW w:w="837" w:type="dxa"/>
            <w:tcBorders>
              <w:left w:val="single" w:color="auto" w:sz="4" w:space="0"/>
            </w:tcBorders>
            <w:vAlign w:val="center"/>
          </w:tcPr>
          <w:p w14:paraId="742117D3">
            <w:pPr>
              <w:adjustRightInd w:val="0"/>
              <w:snapToGrid w:val="0"/>
              <w:jc w:val="center"/>
              <w:rPr>
                <w:rFonts w:ascii="Times New Roman" w:hAnsi="Times New Roman" w:eastAsia="宋体" w:cs="Times New Roman"/>
                <w:szCs w:val="21"/>
              </w:rPr>
            </w:pPr>
          </w:p>
        </w:tc>
      </w:tr>
      <w:tr w14:paraId="43BF49D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831" w:type="dxa"/>
            <w:vMerge w:val="continue"/>
            <w:tcBorders>
              <w:right w:val="single" w:color="auto" w:sz="4" w:space="0"/>
            </w:tcBorders>
            <w:vAlign w:val="center"/>
          </w:tcPr>
          <w:p w14:paraId="1F255B80">
            <w:pPr>
              <w:adjustRightInd w:val="0"/>
              <w:snapToGrid w:val="0"/>
              <w:jc w:val="center"/>
              <w:rPr>
                <w:rFonts w:ascii="Times New Roman" w:hAnsi="Times New Roman" w:eastAsia="宋体" w:cs="Times New Roman"/>
                <w:szCs w:val="21"/>
              </w:rPr>
            </w:pPr>
          </w:p>
        </w:tc>
        <w:tc>
          <w:tcPr>
            <w:tcW w:w="1891" w:type="dxa"/>
            <w:tcBorders>
              <w:right w:val="single" w:color="auto" w:sz="4" w:space="0"/>
            </w:tcBorders>
            <w:vAlign w:val="center"/>
          </w:tcPr>
          <w:p w14:paraId="49AA4611">
            <w:pPr>
              <w:adjustRightInd w:val="0"/>
              <w:snapToGrid w:val="0"/>
              <w:jc w:val="center"/>
              <w:rPr>
                <w:rFonts w:ascii="Times New Roman" w:hAnsi="Times New Roman" w:cs="Times New Roman"/>
                <w:szCs w:val="21"/>
              </w:rPr>
            </w:pPr>
            <w:r>
              <w:rPr>
                <w:rFonts w:hint="eastAsia" w:ascii="Times New Roman" w:hAnsi="Times New Roman" w:cs="Times New Roman"/>
                <w:szCs w:val="21"/>
              </w:rPr>
              <w:t>温室气体捕集和利用装置收集回用</w:t>
            </w:r>
          </w:p>
        </w:tc>
        <w:tc>
          <w:tcPr>
            <w:tcW w:w="987" w:type="dxa"/>
            <w:tcBorders>
              <w:left w:val="single" w:color="auto" w:sz="4" w:space="0"/>
              <w:right w:val="single" w:color="auto" w:sz="4" w:space="0"/>
            </w:tcBorders>
            <w:vAlign w:val="center"/>
          </w:tcPr>
          <w:p w14:paraId="16CA23AD">
            <w:pPr>
              <w:adjustRightInd w:val="0"/>
              <w:snapToGrid w:val="0"/>
              <w:jc w:val="center"/>
              <w:rPr>
                <w:rFonts w:ascii="Times New Roman" w:hAnsi="Times New Roman" w:eastAsia="宋体" w:cs="Times New Roman"/>
                <w:szCs w:val="21"/>
              </w:rPr>
            </w:pPr>
          </w:p>
        </w:tc>
        <w:tc>
          <w:tcPr>
            <w:tcW w:w="848" w:type="dxa"/>
            <w:tcBorders>
              <w:left w:val="single" w:color="auto" w:sz="4" w:space="0"/>
            </w:tcBorders>
            <w:vAlign w:val="center"/>
          </w:tcPr>
          <w:p w14:paraId="37CE9FCC">
            <w:pPr>
              <w:adjustRightInd w:val="0"/>
              <w:snapToGrid w:val="0"/>
              <w:jc w:val="center"/>
              <w:rPr>
                <w:rFonts w:ascii="Times New Roman" w:hAnsi="Times New Roman" w:eastAsia="宋体" w:cs="Times New Roman"/>
                <w:szCs w:val="21"/>
              </w:rPr>
            </w:pPr>
          </w:p>
        </w:tc>
        <w:tc>
          <w:tcPr>
            <w:tcW w:w="1083" w:type="dxa"/>
            <w:tcBorders>
              <w:left w:val="single" w:color="auto" w:sz="4" w:space="0"/>
            </w:tcBorders>
            <w:vAlign w:val="center"/>
          </w:tcPr>
          <w:p w14:paraId="38578ABC">
            <w:pPr>
              <w:adjustRightInd w:val="0"/>
              <w:snapToGrid w:val="0"/>
              <w:jc w:val="center"/>
              <w:rPr>
                <w:rFonts w:ascii="Times New Roman" w:hAnsi="Times New Roman" w:eastAsia="宋体" w:cs="Times New Roman"/>
                <w:szCs w:val="21"/>
              </w:rPr>
            </w:pPr>
          </w:p>
        </w:tc>
        <w:tc>
          <w:tcPr>
            <w:tcW w:w="1041" w:type="dxa"/>
            <w:tcBorders>
              <w:left w:val="single" w:color="auto" w:sz="4" w:space="0"/>
            </w:tcBorders>
            <w:vAlign w:val="center"/>
          </w:tcPr>
          <w:p w14:paraId="14661C48">
            <w:pPr>
              <w:adjustRightInd w:val="0"/>
              <w:snapToGrid w:val="0"/>
              <w:jc w:val="center"/>
              <w:rPr>
                <w:rFonts w:ascii="Times New Roman" w:hAnsi="Times New Roman" w:eastAsia="宋体" w:cs="Times New Roman"/>
                <w:szCs w:val="21"/>
              </w:rPr>
            </w:pPr>
          </w:p>
        </w:tc>
        <w:tc>
          <w:tcPr>
            <w:tcW w:w="950" w:type="dxa"/>
            <w:tcBorders>
              <w:left w:val="single" w:color="auto" w:sz="4" w:space="0"/>
            </w:tcBorders>
            <w:vAlign w:val="center"/>
          </w:tcPr>
          <w:p w14:paraId="237B26B4">
            <w:pPr>
              <w:adjustRightInd w:val="0"/>
              <w:snapToGrid w:val="0"/>
              <w:jc w:val="center"/>
              <w:rPr>
                <w:rFonts w:ascii="Times New Roman" w:hAnsi="Times New Roman" w:eastAsia="宋体" w:cs="Times New Roman"/>
                <w:szCs w:val="21"/>
              </w:rPr>
            </w:pPr>
          </w:p>
        </w:tc>
        <w:tc>
          <w:tcPr>
            <w:tcW w:w="837" w:type="dxa"/>
            <w:tcBorders>
              <w:left w:val="single" w:color="auto" w:sz="4" w:space="0"/>
            </w:tcBorders>
            <w:vAlign w:val="center"/>
          </w:tcPr>
          <w:p w14:paraId="1F90C06B">
            <w:pPr>
              <w:adjustRightInd w:val="0"/>
              <w:snapToGrid w:val="0"/>
              <w:jc w:val="center"/>
              <w:rPr>
                <w:rFonts w:ascii="Times New Roman" w:hAnsi="Times New Roman" w:eastAsia="宋体" w:cs="Times New Roman"/>
                <w:szCs w:val="21"/>
              </w:rPr>
            </w:pPr>
          </w:p>
        </w:tc>
      </w:tr>
      <w:tr w14:paraId="4EABD42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PrEx>
        <w:trPr>
          <w:trHeight w:val="364" w:hRule="atLeast"/>
          <w:jc w:val="center"/>
        </w:trPr>
        <w:tc>
          <w:tcPr>
            <w:tcW w:w="831" w:type="dxa"/>
            <w:vMerge w:val="restart"/>
            <w:tcBorders>
              <w:right w:val="single" w:color="auto" w:sz="4" w:space="0"/>
            </w:tcBorders>
            <w:vAlign w:val="center"/>
          </w:tcPr>
          <w:p w14:paraId="66E5580A">
            <w:pPr>
              <w:adjustRightInd w:val="0"/>
              <w:snapToGrid w:val="0"/>
              <w:jc w:val="center"/>
              <w:rPr>
                <w:rFonts w:ascii="Times New Roman" w:hAnsi="Times New Roman" w:eastAsia="宋体" w:cs="Times New Roman"/>
                <w:szCs w:val="21"/>
              </w:rPr>
            </w:pPr>
            <w:r>
              <w:rPr>
                <w:rFonts w:hint="eastAsia" w:ascii="Times New Roman" w:hAnsi="Times New Roman" w:cs="Times New Roman"/>
                <w:szCs w:val="21"/>
              </w:rPr>
              <w:t>温室气体</w:t>
            </w:r>
            <w:r>
              <w:rPr>
                <w:rFonts w:ascii="Times New Roman" w:hAnsi="Times New Roman" w:eastAsia="宋体" w:cs="Times New Roman"/>
                <w:szCs w:val="21"/>
              </w:rPr>
              <w:t>排放</w:t>
            </w:r>
            <w:r>
              <w:rPr>
                <w:rFonts w:hint="eastAsia" w:ascii="Times New Roman" w:hAnsi="Times New Roman" w:eastAsia="宋体" w:cs="Times New Roman"/>
                <w:szCs w:val="21"/>
                <w:lang w:val="en-US" w:eastAsia="zh-CN"/>
              </w:rPr>
              <w:t>水平</w:t>
            </w:r>
            <w:r>
              <w:rPr>
                <w:rFonts w:ascii="Times New Roman" w:hAnsi="Times New Roman" w:eastAsia="宋体" w:cs="Times New Roman"/>
                <w:szCs w:val="21"/>
              </w:rPr>
              <w:t>（tCO</w:t>
            </w:r>
            <w:r>
              <w:rPr>
                <w:rFonts w:ascii="Times New Roman" w:hAnsi="Times New Roman" w:eastAsia="宋体" w:cs="Times New Roman"/>
                <w:szCs w:val="21"/>
                <w:vertAlign w:val="subscript"/>
              </w:rPr>
              <w:t>2</w:t>
            </w:r>
            <w:r>
              <w:rPr>
                <w:rFonts w:ascii="Times New Roman" w:hAnsi="Times New Roman" w:eastAsia="宋体" w:cs="Times New Roman"/>
                <w:szCs w:val="21"/>
              </w:rPr>
              <w:t>/t产品）</w:t>
            </w:r>
          </w:p>
        </w:tc>
        <w:tc>
          <w:tcPr>
            <w:tcW w:w="1891" w:type="dxa"/>
            <w:tcBorders>
              <w:right w:val="single" w:color="auto" w:sz="4" w:space="0"/>
            </w:tcBorders>
            <w:vAlign w:val="center"/>
          </w:tcPr>
          <w:p w14:paraId="5AE161C8">
            <w:pPr>
              <w:pStyle w:val="9"/>
              <w:spacing w:line="240" w:lineRule="auto"/>
              <w:ind w:firstLine="0" w:firstLineChars="0"/>
              <w:jc w:val="center"/>
              <w:rPr>
                <w:rFonts w:ascii="Times New Roman" w:hAnsi="Times New Roman" w:eastAsia="宋体" w:cs="Times New Roman"/>
                <w:sz w:val="21"/>
                <w:szCs w:val="21"/>
              </w:rPr>
            </w:pPr>
            <w:r>
              <w:rPr>
                <w:rFonts w:hint="eastAsia" w:ascii="Times New Roman" w:hAnsi="Times New Roman" w:cs="Times New Roman"/>
                <w:sz w:val="21"/>
                <w:szCs w:val="21"/>
              </w:rPr>
              <w:t>煤制甲醇</w:t>
            </w:r>
          </w:p>
        </w:tc>
        <w:tc>
          <w:tcPr>
            <w:tcW w:w="987" w:type="dxa"/>
            <w:tcBorders>
              <w:left w:val="single" w:color="auto" w:sz="4" w:space="0"/>
              <w:right w:val="single" w:color="auto" w:sz="4" w:space="0"/>
            </w:tcBorders>
            <w:vAlign w:val="center"/>
          </w:tcPr>
          <w:p w14:paraId="41B54C60">
            <w:pPr>
              <w:adjustRightInd w:val="0"/>
              <w:snapToGrid w:val="0"/>
              <w:jc w:val="center"/>
              <w:rPr>
                <w:rFonts w:ascii="Times New Roman" w:hAnsi="Times New Roman" w:eastAsia="宋体" w:cs="Times New Roman"/>
                <w:szCs w:val="21"/>
              </w:rPr>
            </w:pPr>
          </w:p>
        </w:tc>
        <w:tc>
          <w:tcPr>
            <w:tcW w:w="848" w:type="dxa"/>
            <w:tcBorders>
              <w:left w:val="single" w:color="auto" w:sz="4" w:space="0"/>
            </w:tcBorders>
            <w:vAlign w:val="center"/>
          </w:tcPr>
          <w:p w14:paraId="01090374">
            <w:pPr>
              <w:adjustRightInd w:val="0"/>
              <w:snapToGrid w:val="0"/>
              <w:jc w:val="center"/>
              <w:rPr>
                <w:rFonts w:ascii="Times New Roman" w:hAnsi="Times New Roman" w:eastAsia="宋体" w:cs="Times New Roman"/>
                <w:szCs w:val="21"/>
              </w:rPr>
            </w:pPr>
            <w:r>
              <w:rPr>
                <w:rFonts w:hint="eastAsia" w:ascii="Times New Roman" w:hAnsi="Times New Roman" w:cs="Times New Roman"/>
                <w:szCs w:val="21"/>
              </w:rPr>
              <w:t>-</w:t>
            </w:r>
          </w:p>
        </w:tc>
        <w:tc>
          <w:tcPr>
            <w:tcW w:w="1083" w:type="dxa"/>
            <w:tcBorders>
              <w:left w:val="single" w:color="auto" w:sz="4" w:space="0"/>
            </w:tcBorders>
            <w:vAlign w:val="center"/>
          </w:tcPr>
          <w:p w14:paraId="0CB32CB8">
            <w:pPr>
              <w:adjustRightInd w:val="0"/>
              <w:snapToGrid w:val="0"/>
              <w:jc w:val="center"/>
              <w:rPr>
                <w:rFonts w:ascii="Times New Roman" w:hAnsi="Times New Roman" w:eastAsia="宋体" w:cs="Times New Roman"/>
                <w:szCs w:val="21"/>
              </w:rPr>
            </w:pPr>
          </w:p>
        </w:tc>
        <w:tc>
          <w:tcPr>
            <w:tcW w:w="1041" w:type="dxa"/>
            <w:tcBorders>
              <w:left w:val="single" w:color="auto" w:sz="4" w:space="0"/>
            </w:tcBorders>
            <w:vAlign w:val="center"/>
          </w:tcPr>
          <w:p w14:paraId="44D5850F">
            <w:pPr>
              <w:adjustRightInd w:val="0"/>
              <w:snapToGrid w:val="0"/>
              <w:jc w:val="center"/>
              <w:rPr>
                <w:rFonts w:ascii="Times New Roman" w:hAnsi="Times New Roman" w:eastAsia="宋体" w:cs="Times New Roman"/>
                <w:szCs w:val="21"/>
              </w:rPr>
            </w:pPr>
            <w:r>
              <w:rPr>
                <w:rFonts w:hint="eastAsia" w:ascii="Times New Roman" w:hAnsi="Times New Roman" w:cs="Times New Roman"/>
                <w:szCs w:val="21"/>
              </w:rPr>
              <w:t>-</w:t>
            </w:r>
          </w:p>
        </w:tc>
        <w:tc>
          <w:tcPr>
            <w:tcW w:w="950" w:type="dxa"/>
            <w:tcBorders>
              <w:left w:val="single" w:color="auto" w:sz="4" w:space="0"/>
            </w:tcBorders>
            <w:vAlign w:val="center"/>
          </w:tcPr>
          <w:p w14:paraId="2601A862">
            <w:pPr>
              <w:adjustRightInd w:val="0"/>
              <w:snapToGrid w:val="0"/>
              <w:jc w:val="center"/>
              <w:rPr>
                <w:rFonts w:ascii="Times New Roman" w:hAnsi="Times New Roman" w:eastAsia="宋体" w:cs="Times New Roman"/>
                <w:szCs w:val="21"/>
              </w:rPr>
            </w:pPr>
          </w:p>
        </w:tc>
        <w:tc>
          <w:tcPr>
            <w:tcW w:w="837" w:type="dxa"/>
            <w:tcBorders>
              <w:left w:val="single" w:color="auto" w:sz="4" w:space="0"/>
            </w:tcBorders>
            <w:vAlign w:val="center"/>
          </w:tcPr>
          <w:p w14:paraId="5A0404DE">
            <w:pPr>
              <w:adjustRightInd w:val="0"/>
              <w:snapToGrid w:val="0"/>
              <w:jc w:val="center"/>
              <w:rPr>
                <w:rFonts w:ascii="Times New Roman" w:hAnsi="Times New Roman" w:eastAsia="宋体" w:cs="Times New Roman"/>
                <w:szCs w:val="21"/>
              </w:rPr>
            </w:pPr>
          </w:p>
        </w:tc>
      </w:tr>
      <w:tr w14:paraId="1D2D7DE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831" w:type="dxa"/>
            <w:vMerge w:val="continue"/>
            <w:tcBorders>
              <w:right w:val="single" w:color="auto" w:sz="4" w:space="0"/>
            </w:tcBorders>
            <w:vAlign w:val="center"/>
          </w:tcPr>
          <w:p w14:paraId="414B5FED">
            <w:pPr>
              <w:adjustRightInd w:val="0"/>
              <w:snapToGrid w:val="0"/>
              <w:jc w:val="center"/>
              <w:rPr>
                <w:rFonts w:ascii="Times New Roman" w:hAnsi="Times New Roman" w:eastAsia="宋体" w:cs="Times New Roman"/>
                <w:szCs w:val="21"/>
              </w:rPr>
            </w:pPr>
          </w:p>
        </w:tc>
        <w:tc>
          <w:tcPr>
            <w:tcW w:w="1891" w:type="dxa"/>
            <w:tcBorders>
              <w:right w:val="single" w:color="auto" w:sz="4" w:space="0"/>
            </w:tcBorders>
            <w:vAlign w:val="center"/>
          </w:tcPr>
          <w:p w14:paraId="3B51E503">
            <w:pPr>
              <w:pStyle w:val="9"/>
              <w:spacing w:line="240" w:lineRule="auto"/>
              <w:ind w:firstLine="0" w:firstLineChars="0"/>
              <w:jc w:val="center"/>
              <w:rPr>
                <w:rFonts w:ascii="Times New Roman" w:hAnsi="Times New Roman" w:eastAsia="宋体" w:cs="Times New Roman"/>
                <w:sz w:val="21"/>
                <w:szCs w:val="21"/>
              </w:rPr>
            </w:pPr>
            <w:r>
              <w:rPr>
                <w:rFonts w:hint="eastAsia" w:ascii="Times New Roman" w:hAnsi="Times New Roman" w:cs="Times New Roman"/>
                <w:sz w:val="21"/>
                <w:szCs w:val="21"/>
              </w:rPr>
              <w:t>煤制烯烃</w:t>
            </w:r>
          </w:p>
        </w:tc>
        <w:tc>
          <w:tcPr>
            <w:tcW w:w="987" w:type="dxa"/>
            <w:tcBorders>
              <w:left w:val="single" w:color="auto" w:sz="4" w:space="0"/>
              <w:right w:val="single" w:color="auto" w:sz="4" w:space="0"/>
            </w:tcBorders>
            <w:vAlign w:val="center"/>
          </w:tcPr>
          <w:p w14:paraId="70EF2E48">
            <w:pPr>
              <w:adjustRightInd w:val="0"/>
              <w:snapToGrid w:val="0"/>
              <w:jc w:val="center"/>
              <w:rPr>
                <w:rFonts w:ascii="Times New Roman" w:hAnsi="Times New Roman" w:eastAsia="宋体" w:cs="Times New Roman"/>
                <w:szCs w:val="21"/>
              </w:rPr>
            </w:pPr>
          </w:p>
        </w:tc>
        <w:tc>
          <w:tcPr>
            <w:tcW w:w="848" w:type="dxa"/>
            <w:tcBorders>
              <w:left w:val="single" w:color="auto" w:sz="4" w:space="0"/>
            </w:tcBorders>
            <w:vAlign w:val="center"/>
          </w:tcPr>
          <w:p w14:paraId="1330C3CF">
            <w:pPr>
              <w:adjustRightInd w:val="0"/>
              <w:snapToGrid w:val="0"/>
              <w:jc w:val="center"/>
              <w:rPr>
                <w:rFonts w:ascii="Times New Roman" w:hAnsi="Times New Roman" w:eastAsia="宋体" w:cs="Times New Roman"/>
                <w:szCs w:val="21"/>
              </w:rPr>
            </w:pPr>
            <w:r>
              <w:rPr>
                <w:rFonts w:hint="eastAsia" w:ascii="Times New Roman" w:hAnsi="Times New Roman" w:cs="Times New Roman"/>
                <w:szCs w:val="21"/>
              </w:rPr>
              <w:t>-</w:t>
            </w:r>
          </w:p>
        </w:tc>
        <w:tc>
          <w:tcPr>
            <w:tcW w:w="1083" w:type="dxa"/>
            <w:tcBorders>
              <w:left w:val="single" w:color="auto" w:sz="4" w:space="0"/>
            </w:tcBorders>
            <w:vAlign w:val="center"/>
          </w:tcPr>
          <w:p w14:paraId="050EF9E3">
            <w:pPr>
              <w:adjustRightInd w:val="0"/>
              <w:snapToGrid w:val="0"/>
              <w:jc w:val="center"/>
              <w:rPr>
                <w:rFonts w:ascii="Times New Roman" w:hAnsi="Times New Roman" w:eastAsia="宋体" w:cs="Times New Roman"/>
                <w:szCs w:val="21"/>
              </w:rPr>
            </w:pPr>
          </w:p>
        </w:tc>
        <w:tc>
          <w:tcPr>
            <w:tcW w:w="1041" w:type="dxa"/>
            <w:tcBorders>
              <w:left w:val="single" w:color="auto" w:sz="4" w:space="0"/>
            </w:tcBorders>
            <w:vAlign w:val="center"/>
          </w:tcPr>
          <w:p w14:paraId="109E5FD1">
            <w:pPr>
              <w:adjustRightInd w:val="0"/>
              <w:snapToGrid w:val="0"/>
              <w:jc w:val="center"/>
              <w:rPr>
                <w:rFonts w:ascii="Times New Roman" w:hAnsi="Times New Roman" w:eastAsia="宋体" w:cs="Times New Roman"/>
                <w:szCs w:val="21"/>
              </w:rPr>
            </w:pPr>
            <w:r>
              <w:rPr>
                <w:rFonts w:hint="eastAsia" w:ascii="Times New Roman" w:hAnsi="Times New Roman" w:cs="Times New Roman"/>
                <w:szCs w:val="21"/>
              </w:rPr>
              <w:t>-</w:t>
            </w:r>
          </w:p>
        </w:tc>
        <w:tc>
          <w:tcPr>
            <w:tcW w:w="950" w:type="dxa"/>
            <w:tcBorders>
              <w:left w:val="single" w:color="auto" w:sz="4" w:space="0"/>
            </w:tcBorders>
            <w:vAlign w:val="center"/>
          </w:tcPr>
          <w:p w14:paraId="05B440D4">
            <w:pPr>
              <w:adjustRightInd w:val="0"/>
              <w:snapToGrid w:val="0"/>
              <w:jc w:val="center"/>
              <w:rPr>
                <w:rFonts w:ascii="Times New Roman" w:hAnsi="Times New Roman" w:eastAsia="宋体" w:cs="Times New Roman"/>
                <w:szCs w:val="21"/>
              </w:rPr>
            </w:pPr>
          </w:p>
        </w:tc>
        <w:tc>
          <w:tcPr>
            <w:tcW w:w="837" w:type="dxa"/>
            <w:tcBorders>
              <w:left w:val="single" w:color="auto" w:sz="4" w:space="0"/>
            </w:tcBorders>
            <w:vAlign w:val="center"/>
          </w:tcPr>
          <w:p w14:paraId="4B1DA896">
            <w:pPr>
              <w:adjustRightInd w:val="0"/>
              <w:snapToGrid w:val="0"/>
              <w:jc w:val="center"/>
              <w:rPr>
                <w:rFonts w:ascii="Times New Roman" w:hAnsi="Times New Roman" w:eastAsia="宋体" w:cs="Times New Roman"/>
                <w:szCs w:val="21"/>
              </w:rPr>
            </w:pPr>
          </w:p>
        </w:tc>
      </w:tr>
      <w:tr w14:paraId="1277134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831" w:type="dxa"/>
            <w:vMerge w:val="continue"/>
            <w:tcBorders>
              <w:right w:val="single" w:color="auto" w:sz="4" w:space="0"/>
            </w:tcBorders>
            <w:vAlign w:val="center"/>
          </w:tcPr>
          <w:p w14:paraId="58E5FD09">
            <w:pPr>
              <w:adjustRightInd w:val="0"/>
              <w:snapToGrid w:val="0"/>
              <w:jc w:val="center"/>
              <w:rPr>
                <w:rFonts w:ascii="Times New Roman" w:hAnsi="Times New Roman" w:eastAsia="宋体" w:cs="Times New Roman"/>
                <w:szCs w:val="21"/>
              </w:rPr>
            </w:pPr>
          </w:p>
        </w:tc>
        <w:tc>
          <w:tcPr>
            <w:tcW w:w="1891" w:type="dxa"/>
            <w:tcBorders>
              <w:right w:val="single" w:color="auto" w:sz="4" w:space="0"/>
            </w:tcBorders>
            <w:vAlign w:val="center"/>
          </w:tcPr>
          <w:p w14:paraId="1AAA0D09">
            <w:pPr>
              <w:pStyle w:val="9"/>
              <w:spacing w:line="240" w:lineRule="auto"/>
              <w:ind w:firstLine="0" w:firstLineChars="0"/>
              <w:jc w:val="center"/>
              <w:rPr>
                <w:rFonts w:ascii="Times New Roman" w:hAnsi="Times New Roman" w:eastAsia="宋体" w:cs="Times New Roman"/>
                <w:sz w:val="21"/>
                <w:szCs w:val="21"/>
              </w:rPr>
            </w:pPr>
            <w:r>
              <w:rPr>
                <w:rFonts w:hint="eastAsia" w:ascii="Times New Roman" w:hAnsi="Times New Roman" w:cs="Times New Roman"/>
                <w:sz w:val="21"/>
                <w:szCs w:val="21"/>
              </w:rPr>
              <w:t>煤制天然气</w:t>
            </w:r>
          </w:p>
        </w:tc>
        <w:tc>
          <w:tcPr>
            <w:tcW w:w="987" w:type="dxa"/>
            <w:tcBorders>
              <w:left w:val="single" w:color="auto" w:sz="4" w:space="0"/>
              <w:right w:val="single" w:color="auto" w:sz="4" w:space="0"/>
            </w:tcBorders>
            <w:vAlign w:val="center"/>
          </w:tcPr>
          <w:p w14:paraId="507ADB1E">
            <w:pPr>
              <w:adjustRightInd w:val="0"/>
              <w:snapToGrid w:val="0"/>
              <w:jc w:val="center"/>
              <w:rPr>
                <w:rFonts w:ascii="Times New Roman" w:hAnsi="Times New Roman" w:eastAsia="宋体" w:cs="Times New Roman"/>
                <w:szCs w:val="21"/>
              </w:rPr>
            </w:pPr>
          </w:p>
        </w:tc>
        <w:tc>
          <w:tcPr>
            <w:tcW w:w="848" w:type="dxa"/>
            <w:tcBorders>
              <w:left w:val="single" w:color="auto" w:sz="4" w:space="0"/>
            </w:tcBorders>
            <w:vAlign w:val="center"/>
          </w:tcPr>
          <w:p w14:paraId="3A4A58E1">
            <w:pPr>
              <w:adjustRightInd w:val="0"/>
              <w:snapToGrid w:val="0"/>
              <w:jc w:val="center"/>
              <w:rPr>
                <w:rFonts w:ascii="Times New Roman" w:hAnsi="Times New Roman" w:eastAsia="宋体" w:cs="Times New Roman"/>
                <w:szCs w:val="21"/>
              </w:rPr>
            </w:pPr>
            <w:r>
              <w:rPr>
                <w:rFonts w:hint="eastAsia" w:ascii="Times New Roman" w:hAnsi="Times New Roman" w:cs="Times New Roman"/>
                <w:szCs w:val="21"/>
              </w:rPr>
              <w:t>-</w:t>
            </w:r>
          </w:p>
        </w:tc>
        <w:tc>
          <w:tcPr>
            <w:tcW w:w="1083" w:type="dxa"/>
            <w:tcBorders>
              <w:left w:val="single" w:color="auto" w:sz="4" w:space="0"/>
            </w:tcBorders>
            <w:vAlign w:val="center"/>
          </w:tcPr>
          <w:p w14:paraId="7EE2D6A8">
            <w:pPr>
              <w:adjustRightInd w:val="0"/>
              <w:snapToGrid w:val="0"/>
              <w:jc w:val="center"/>
              <w:rPr>
                <w:rFonts w:ascii="Times New Roman" w:hAnsi="Times New Roman" w:eastAsia="宋体" w:cs="Times New Roman"/>
                <w:szCs w:val="21"/>
              </w:rPr>
            </w:pPr>
          </w:p>
        </w:tc>
        <w:tc>
          <w:tcPr>
            <w:tcW w:w="1041" w:type="dxa"/>
            <w:tcBorders>
              <w:left w:val="single" w:color="auto" w:sz="4" w:space="0"/>
            </w:tcBorders>
            <w:vAlign w:val="center"/>
          </w:tcPr>
          <w:p w14:paraId="03499970">
            <w:pPr>
              <w:adjustRightInd w:val="0"/>
              <w:snapToGrid w:val="0"/>
              <w:jc w:val="center"/>
              <w:rPr>
                <w:rFonts w:ascii="Times New Roman" w:hAnsi="Times New Roman" w:eastAsia="宋体" w:cs="Times New Roman"/>
                <w:szCs w:val="21"/>
              </w:rPr>
            </w:pPr>
            <w:r>
              <w:rPr>
                <w:rFonts w:hint="eastAsia" w:ascii="Times New Roman" w:hAnsi="Times New Roman" w:cs="Times New Roman"/>
                <w:szCs w:val="21"/>
              </w:rPr>
              <w:t>-</w:t>
            </w:r>
          </w:p>
        </w:tc>
        <w:tc>
          <w:tcPr>
            <w:tcW w:w="950" w:type="dxa"/>
            <w:tcBorders>
              <w:left w:val="single" w:color="auto" w:sz="4" w:space="0"/>
            </w:tcBorders>
            <w:vAlign w:val="center"/>
          </w:tcPr>
          <w:p w14:paraId="41F3BA8A">
            <w:pPr>
              <w:adjustRightInd w:val="0"/>
              <w:snapToGrid w:val="0"/>
              <w:jc w:val="center"/>
              <w:rPr>
                <w:rFonts w:ascii="Times New Roman" w:hAnsi="Times New Roman" w:eastAsia="宋体" w:cs="Times New Roman"/>
                <w:szCs w:val="21"/>
              </w:rPr>
            </w:pPr>
          </w:p>
        </w:tc>
        <w:tc>
          <w:tcPr>
            <w:tcW w:w="837" w:type="dxa"/>
            <w:tcBorders>
              <w:left w:val="single" w:color="auto" w:sz="4" w:space="0"/>
            </w:tcBorders>
            <w:vAlign w:val="center"/>
          </w:tcPr>
          <w:p w14:paraId="64980A10">
            <w:pPr>
              <w:adjustRightInd w:val="0"/>
              <w:snapToGrid w:val="0"/>
              <w:jc w:val="center"/>
              <w:rPr>
                <w:rFonts w:ascii="Times New Roman" w:hAnsi="Times New Roman" w:eastAsia="宋体" w:cs="Times New Roman"/>
                <w:szCs w:val="21"/>
              </w:rPr>
            </w:pPr>
          </w:p>
        </w:tc>
      </w:tr>
      <w:tr w14:paraId="5A43EE3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831" w:type="dxa"/>
            <w:vMerge w:val="continue"/>
            <w:tcBorders>
              <w:right w:val="single" w:color="auto" w:sz="4" w:space="0"/>
            </w:tcBorders>
            <w:vAlign w:val="center"/>
          </w:tcPr>
          <w:p w14:paraId="67841CC7">
            <w:pPr>
              <w:adjustRightInd w:val="0"/>
              <w:snapToGrid w:val="0"/>
              <w:jc w:val="center"/>
              <w:rPr>
                <w:rFonts w:ascii="Times New Roman" w:hAnsi="Times New Roman" w:eastAsia="宋体" w:cs="Times New Roman"/>
                <w:szCs w:val="21"/>
              </w:rPr>
            </w:pPr>
          </w:p>
        </w:tc>
        <w:tc>
          <w:tcPr>
            <w:tcW w:w="1891" w:type="dxa"/>
            <w:tcBorders>
              <w:right w:val="single" w:color="auto" w:sz="4" w:space="0"/>
            </w:tcBorders>
            <w:vAlign w:val="center"/>
          </w:tcPr>
          <w:p w14:paraId="5CF9DD5E">
            <w:pPr>
              <w:pStyle w:val="9"/>
              <w:spacing w:line="240" w:lineRule="auto"/>
              <w:ind w:firstLine="0" w:firstLineChars="0"/>
              <w:jc w:val="center"/>
              <w:rPr>
                <w:rFonts w:ascii="Times New Roman" w:hAnsi="Times New Roman" w:eastAsia="宋体" w:cs="Times New Roman"/>
                <w:sz w:val="21"/>
                <w:szCs w:val="21"/>
              </w:rPr>
            </w:pPr>
            <w:r>
              <w:rPr>
                <w:rFonts w:hint="eastAsia" w:ascii="Times New Roman" w:hAnsi="Times New Roman" w:cs="Times New Roman"/>
                <w:sz w:val="21"/>
                <w:szCs w:val="21"/>
              </w:rPr>
              <w:t>煤直接液化</w:t>
            </w:r>
          </w:p>
        </w:tc>
        <w:tc>
          <w:tcPr>
            <w:tcW w:w="987" w:type="dxa"/>
            <w:tcBorders>
              <w:left w:val="single" w:color="auto" w:sz="4" w:space="0"/>
              <w:right w:val="single" w:color="auto" w:sz="4" w:space="0"/>
            </w:tcBorders>
            <w:vAlign w:val="center"/>
          </w:tcPr>
          <w:p w14:paraId="109E39AE">
            <w:pPr>
              <w:adjustRightInd w:val="0"/>
              <w:snapToGrid w:val="0"/>
              <w:jc w:val="center"/>
              <w:rPr>
                <w:rFonts w:ascii="Times New Roman" w:hAnsi="Times New Roman" w:eastAsia="宋体" w:cs="Times New Roman"/>
                <w:szCs w:val="21"/>
              </w:rPr>
            </w:pPr>
          </w:p>
        </w:tc>
        <w:tc>
          <w:tcPr>
            <w:tcW w:w="848" w:type="dxa"/>
            <w:tcBorders>
              <w:left w:val="single" w:color="auto" w:sz="4" w:space="0"/>
            </w:tcBorders>
            <w:vAlign w:val="center"/>
          </w:tcPr>
          <w:p w14:paraId="798E74C9">
            <w:pPr>
              <w:adjustRightInd w:val="0"/>
              <w:snapToGrid w:val="0"/>
              <w:jc w:val="center"/>
              <w:rPr>
                <w:rFonts w:ascii="Times New Roman" w:hAnsi="Times New Roman" w:eastAsia="宋体" w:cs="Times New Roman"/>
                <w:szCs w:val="21"/>
              </w:rPr>
            </w:pPr>
            <w:r>
              <w:rPr>
                <w:rFonts w:hint="eastAsia" w:ascii="Times New Roman" w:hAnsi="Times New Roman" w:cs="Times New Roman"/>
                <w:szCs w:val="21"/>
              </w:rPr>
              <w:t>-</w:t>
            </w:r>
          </w:p>
        </w:tc>
        <w:tc>
          <w:tcPr>
            <w:tcW w:w="1083" w:type="dxa"/>
            <w:tcBorders>
              <w:left w:val="single" w:color="auto" w:sz="4" w:space="0"/>
            </w:tcBorders>
            <w:vAlign w:val="center"/>
          </w:tcPr>
          <w:p w14:paraId="63D0E4A1">
            <w:pPr>
              <w:adjustRightInd w:val="0"/>
              <w:snapToGrid w:val="0"/>
              <w:jc w:val="center"/>
              <w:rPr>
                <w:rFonts w:ascii="Times New Roman" w:hAnsi="Times New Roman" w:eastAsia="宋体" w:cs="Times New Roman"/>
                <w:szCs w:val="21"/>
              </w:rPr>
            </w:pPr>
          </w:p>
        </w:tc>
        <w:tc>
          <w:tcPr>
            <w:tcW w:w="1041" w:type="dxa"/>
            <w:tcBorders>
              <w:left w:val="single" w:color="auto" w:sz="4" w:space="0"/>
            </w:tcBorders>
            <w:vAlign w:val="center"/>
          </w:tcPr>
          <w:p w14:paraId="1AED4FB3">
            <w:pPr>
              <w:adjustRightInd w:val="0"/>
              <w:snapToGrid w:val="0"/>
              <w:jc w:val="center"/>
              <w:rPr>
                <w:rFonts w:ascii="Times New Roman" w:hAnsi="Times New Roman" w:eastAsia="宋体" w:cs="Times New Roman"/>
                <w:szCs w:val="21"/>
              </w:rPr>
            </w:pPr>
            <w:r>
              <w:rPr>
                <w:rFonts w:hint="eastAsia" w:ascii="Times New Roman" w:hAnsi="Times New Roman" w:cs="Times New Roman"/>
                <w:szCs w:val="21"/>
              </w:rPr>
              <w:t>-</w:t>
            </w:r>
          </w:p>
        </w:tc>
        <w:tc>
          <w:tcPr>
            <w:tcW w:w="950" w:type="dxa"/>
            <w:tcBorders>
              <w:left w:val="single" w:color="auto" w:sz="4" w:space="0"/>
            </w:tcBorders>
            <w:vAlign w:val="center"/>
          </w:tcPr>
          <w:p w14:paraId="69BD3A26">
            <w:pPr>
              <w:adjustRightInd w:val="0"/>
              <w:snapToGrid w:val="0"/>
              <w:jc w:val="center"/>
              <w:rPr>
                <w:rFonts w:ascii="Times New Roman" w:hAnsi="Times New Roman" w:eastAsia="宋体" w:cs="Times New Roman"/>
                <w:szCs w:val="21"/>
              </w:rPr>
            </w:pPr>
          </w:p>
        </w:tc>
        <w:tc>
          <w:tcPr>
            <w:tcW w:w="837" w:type="dxa"/>
            <w:tcBorders>
              <w:left w:val="single" w:color="auto" w:sz="4" w:space="0"/>
            </w:tcBorders>
            <w:vAlign w:val="center"/>
          </w:tcPr>
          <w:p w14:paraId="4726EAA7">
            <w:pPr>
              <w:adjustRightInd w:val="0"/>
              <w:snapToGrid w:val="0"/>
              <w:jc w:val="center"/>
              <w:rPr>
                <w:rFonts w:ascii="Times New Roman" w:hAnsi="Times New Roman" w:eastAsia="宋体" w:cs="Times New Roman"/>
                <w:szCs w:val="21"/>
              </w:rPr>
            </w:pPr>
          </w:p>
        </w:tc>
      </w:tr>
      <w:tr w14:paraId="71968E6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831" w:type="dxa"/>
            <w:vMerge w:val="continue"/>
            <w:tcBorders>
              <w:right w:val="single" w:color="auto" w:sz="4" w:space="0"/>
            </w:tcBorders>
            <w:vAlign w:val="center"/>
          </w:tcPr>
          <w:p w14:paraId="05844430">
            <w:pPr>
              <w:adjustRightInd w:val="0"/>
              <w:snapToGrid w:val="0"/>
              <w:jc w:val="center"/>
              <w:rPr>
                <w:rFonts w:ascii="Times New Roman" w:hAnsi="Times New Roman" w:eastAsia="宋体" w:cs="Times New Roman"/>
                <w:szCs w:val="21"/>
              </w:rPr>
            </w:pPr>
          </w:p>
        </w:tc>
        <w:tc>
          <w:tcPr>
            <w:tcW w:w="1891" w:type="dxa"/>
            <w:tcBorders>
              <w:right w:val="single" w:color="auto" w:sz="4" w:space="0"/>
            </w:tcBorders>
            <w:vAlign w:val="center"/>
          </w:tcPr>
          <w:p w14:paraId="20EB30DC">
            <w:pPr>
              <w:pStyle w:val="9"/>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煤间接液化</w:t>
            </w:r>
          </w:p>
        </w:tc>
        <w:tc>
          <w:tcPr>
            <w:tcW w:w="987" w:type="dxa"/>
            <w:tcBorders>
              <w:left w:val="single" w:color="auto" w:sz="4" w:space="0"/>
              <w:right w:val="single" w:color="auto" w:sz="4" w:space="0"/>
            </w:tcBorders>
            <w:vAlign w:val="center"/>
          </w:tcPr>
          <w:p w14:paraId="7C05ED34">
            <w:pPr>
              <w:adjustRightInd w:val="0"/>
              <w:snapToGrid w:val="0"/>
              <w:jc w:val="center"/>
              <w:rPr>
                <w:rFonts w:ascii="Times New Roman" w:hAnsi="Times New Roman" w:eastAsia="宋体" w:cs="Times New Roman"/>
                <w:szCs w:val="21"/>
              </w:rPr>
            </w:pPr>
          </w:p>
        </w:tc>
        <w:tc>
          <w:tcPr>
            <w:tcW w:w="848" w:type="dxa"/>
            <w:tcBorders>
              <w:left w:val="single" w:color="auto" w:sz="4" w:space="0"/>
            </w:tcBorders>
            <w:vAlign w:val="center"/>
          </w:tcPr>
          <w:p w14:paraId="0953B1D7">
            <w:pPr>
              <w:adjustRightInd w:val="0"/>
              <w:snapToGrid w:val="0"/>
              <w:jc w:val="center"/>
              <w:rPr>
                <w:rFonts w:ascii="Times New Roman" w:hAnsi="Times New Roman" w:cs="Times New Roman"/>
                <w:szCs w:val="21"/>
              </w:rPr>
            </w:pPr>
          </w:p>
        </w:tc>
        <w:tc>
          <w:tcPr>
            <w:tcW w:w="1083" w:type="dxa"/>
            <w:tcBorders>
              <w:left w:val="single" w:color="auto" w:sz="4" w:space="0"/>
            </w:tcBorders>
            <w:vAlign w:val="center"/>
          </w:tcPr>
          <w:p w14:paraId="583370BD">
            <w:pPr>
              <w:adjustRightInd w:val="0"/>
              <w:snapToGrid w:val="0"/>
              <w:jc w:val="center"/>
              <w:rPr>
                <w:rFonts w:ascii="Times New Roman" w:hAnsi="Times New Roman" w:eastAsia="宋体" w:cs="Times New Roman"/>
                <w:szCs w:val="21"/>
              </w:rPr>
            </w:pPr>
          </w:p>
        </w:tc>
        <w:tc>
          <w:tcPr>
            <w:tcW w:w="1041" w:type="dxa"/>
            <w:tcBorders>
              <w:left w:val="single" w:color="auto" w:sz="4" w:space="0"/>
            </w:tcBorders>
            <w:vAlign w:val="center"/>
          </w:tcPr>
          <w:p w14:paraId="3922380A">
            <w:pPr>
              <w:adjustRightInd w:val="0"/>
              <w:snapToGrid w:val="0"/>
              <w:jc w:val="center"/>
              <w:rPr>
                <w:rFonts w:ascii="Times New Roman" w:hAnsi="Times New Roman" w:cs="Times New Roman"/>
                <w:szCs w:val="21"/>
              </w:rPr>
            </w:pPr>
          </w:p>
        </w:tc>
        <w:tc>
          <w:tcPr>
            <w:tcW w:w="950" w:type="dxa"/>
            <w:tcBorders>
              <w:left w:val="single" w:color="auto" w:sz="4" w:space="0"/>
            </w:tcBorders>
            <w:vAlign w:val="center"/>
          </w:tcPr>
          <w:p w14:paraId="7D963714">
            <w:pPr>
              <w:adjustRightInd w:val="0"/>
              <w:snapToGrid w:val="0"/>
              <w:jc w:val="center"/>
              <w:rPr>
                <w:rFonts w:ascii="Times New Roman" w:hAnsi="Times New Roman" w:eastAsia="宋体" w:cs="Times New Roman"/>
                <w:szCs w:val="21"/>
              </w:rPr>
            </w:pPr>
          </w:p>
        </w:tc>
        <w:tc>
          <w:tcPr>
            <w:tcW w:w="837" w:type="dxa"/>
            <w:tcBorders>
              <w:left w:val="single" w:color="auto" w:sz="4" w:space="0"/>
            </w:tcBorders>
            <w:vAlign w:val="center"/>
          </w:tcPr>
          <w:p w14:paraId="3B4E9101">
            <w:pPr>
              <w:adjustRightInd w:val="0"/>
              <w:snapToGrid w:val="0"/>
              <w:jc w:val="center"/>
              <w:rPr>
                <w:rFonts w:ascii="Times New Roman" w:hAnsi="Times New Roman" w:eastAsia="宋体" w:cs="Times New Roman"/>
                <w:szCs w:val="21"/>
              </w:rPr>
            </w:pPr>
          </w:p>
        </w:tc>
      </w:tr>
      <w:tr w14:paraId="0456A95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831" w:type="dxa"/>
            <w:vMerge w:val="continue"/>
            <w:tcBorders>
              <w:right w:val="single" w:color="auto" w:sz="4" w:space="0"/>
            </w:tcBorders>
            <w:vAlign w:val="center"/>
          </w:tcPr>
          <w:p w14:paraId="7012E2B5">
            <w:pPr>
              <w:adjustRightInd w:val="0"/>
              <w:snapToGrid w:val="0"/>
              <w:jc w:val="center"/>
              <w:rPr>
                <w:rFonts w:ascii="Times New Roman" w:hAnsi="Times New Roman" w:eastAsia="宋体" w:cs="Times New Roman"/>
                <w:szCs w:val="21"/>
              </w:rPr>
            </w:pPr>
          </w:p>
        </w:tc>
        <w:tc>
          <w:tcPr>
            <w:tcW w:w="1891" w:type="dxa"/>
            <w:tcBorders>
              <w:right w:val="single" w:color="auto" w:sz="4" w:space="0"/>
            </w:tcBorders>
            <w:vAlign w:val="center"/>
          </w:tcPr>
          <w:p w14:paraId="42F25097">
            <w:pPr>
              <w:pStyle w:val="9"/>
              <w:spacing w:line="240" w:lineRule="auto"/>
              <w:ind w:firstLine="0" w:firstLineChars="0"/>
              <w:jc w:val="center"/>
              <w:rPr>
                <w:rFonts w:ascii="Times New Roman" w:hAnsi="Times New Roman" w:eastAsia="宋体" w:cs="Times New Roman"/>
                <w:sz w:val="21"/>
                <w:szCs w:val="21"/>
              </w:rPr>
            </w:pPr>
            <w:r>
              <w:rPr>
                <w:rFonts w:hint="eastAsia" w:ascii="Times New Roman" w:hAnsi="Times New Roman" w:cs="Times New Roman"/>
                <w:sz w:val="21"/>
                <w:szCs w:val="21"/>
              </w:rPr>
              <w:t>煤制乙二醇</w:t>
            </w:r>
          </w:p>
        </w:tc>
        <w:tc>
          <w:tcPr>
            <w:tcW w:w="987" w:type="dxa"/>
            <w:tcBorders>
              <w:left w:val="single" w:color="auto" w:sz="4" w:space="0"/>
              <w:right w:val="single" w:color="auto" w:sz="4" w:space="0"/>
            </w:tcBorders>
            <w:vAlign w:val="center"/>
          </w:tcPr>
          <w:p w14:paraId="000B3079">
            <w:pPr>
              <w:adjustRightInd w:val="0"/>
              <w:snapToGrid w:val="0"/>
              <w:jc w:val="center"/>
              <w:rPr>
                <w:rFonts w:ascii="Times New Roman" w:hAnsi="Times New Roman" w:eastAsia="宋体" w:cs="Times New Roman"/>
                <w:szCs w:val="21"/>
              </w:rPr>
            </w:pPr>
          </w:p>
        </w:tc>
        <w:tc>
          <w:tcPr>
            <w:tcW w:w="848" w:type="dxa"/>
            <w:tcBorders>
              <w:left w:val="single" w:color="auto" w:sz="4" w:space="0"/>
            </w:tcBorders>
            <w:vAlign w:val="center"/>
          </w:tcPr>
          <w:p w14:paraId="2C62036C">
            <w:pPr>
              <w:adjustRightInd w:val="0"/>
              <w:snapToGrid w:val="0"/>
              <w:jc w:val="center"/>
              <w:rPr>
                <w:rFonts w:ascii="Times New Roman" w:hAnsi="Times New Roman" w:eastAsia="宋体" w:cs="Times New Roman"/>
                <w:szCs w:val="21"/>
              </w:rPr>
            </w:pPr>
            <w:r>
              <w:rPr>
                <w:rFonts w:hint="eastAsia" w:ascii="Times New Roman" w:hAnsi="Times New Roman" w:cs="Times New Roman"/>
                <w:szCs w:val="21"/>
              </w:rPr>
              <w:t>-</w:t>
            </w:r>
          </w:p>
        </w:tc>
        <w:tc>
          <w:tcPr>
            <w:tcW w:w="1083" w:type="dxa"/>
            <w:tcBorders>
              <w:left w:val="single" w:color="auto" w:sz="4" w:space="0"/>
            </w:tcBorders>
            <w:vAlign w:val="center"/>
          </w:tcPr>
          <w:p w14:paraId="40ACAD6B">
            <w:pPr>
              <w:adjustRightInd w:val="0"/>
              <w:snapToGrid w:val="0"/>
              <w:jc w:val="center"/>
              <w:rPr>
                <w:rFonts w:ascii="Times New Roman" w:hAnsi="Times New Roman" w:eastAsia="宋体" w:cs="Times New Roman"/>
                <w:szCs w:val="21"/>
              </w:rPr>
            </w:pPr>
          </w:p>
        </w:tc>
        <w:tc>
          <w:tcPr>
            <w:tcW w:w="1041" w:type="dxa"/>
            <w:tcBorders>
              <w:left w:val="single" w:color="auto" w:sz="4" w:space="0"/>
            </w:tcBorders>
            <w:vAlign w:val="center"/>
          </w:tcPr>
          <w:p w14:paraId="59DECF42">
            <w:pPr>
              <w:adjustRightInd w:val="0"/>
              <w:snapToGrid w:val="0"/>
              <w:jc w:val="center"/>
              <w:rPr>
                <w:rFonts w:ascii="Times New Roman" w:hAnsi="Times New Roman" w:eastAsia="宋体" w:cs="Times New Roman"/>
                <w:szCs w:val="21"/>
              </w:rPr>
            </w:pPr>
            <w:r>
              <w:rPr>
                <w:rFonts w:hint="eastAsia" w:ascii="Times New Roman" w:hAnsi="Times New Roman" w:cs="Times New Roman"/>
                <w:szCs w:val="21"/>
              </w:rPr>
              <w:t>-</w:t>
            </w:r>
          </w:p>
        </w:tc>
        <w:tc>
          <w:tcPr>
            <w:tcW w:w="950" w:type="dxa"/>
            <w:tcBorders>
              <w:left w:val="single" w:color="auto" w:sz="4" w:space="0"/>
            </w:tcBorders>
            <w:vAlign w:val="center"/>
          </w:tcPr>
          <w:p w14:paraId="33ED5F82">
            <w:pPr>
              <w:adjustRightInd w:val="0"/>
              <w:snapToGrid w:val="0"/>
              <w:jc w:val="center"/>
              <w:rPr>
                <w:rFonts w:ascii="Times New Roman" w:hAnsi="Times New Roman" w:eastAsia="宋体" w:cs="Times New Roman"/>
                <w:szCs w:val="21"/>
              </w:rPr>
            </w:pPr>
          </w:p>
        </w:tc>
        <w:tc>
          <w:tcPr>
            <w:tcW w:w="837" w:type="dxa"/>
            <w:tcBorders>
              <w:left w:val="single" w:color="auto" w:sz="4" w:space="0"/>
            </w:tcBorders>
            <w:vAlign w:val="center"/>
          </w:tcPr>
          <w:p w14:paraId="4F9797C1">
            <w:pPr>
              <w:adjustRightInd w:val="0"/>
              <w:snapToGrid w:val="0"/>
              <w:jc w:val="center"/>
              <w:rPr>
                <w:rFonts w:ascii="Times New Roman" w:hAnsi="Times New Roman" w:eastAsia="宋体" w:cs="Times New Roman"/>
                <w:szCs w:val="21"/>
              </w:rPr>
            </w:pPr>
          </w:p>
        </w:tc>
      </w:tr>
      <w:tr w14:paraId="0BFDD10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PrEx>
        <w:trPr>
          <w:trHeight w:val="330" w:hRule="atLeast"/>
          <w:jc w:val="center"/>
        </w:trPr>
        <w:tc>
          <w:tcPr>
            <w:tcW w:w="8468" w:type="dxa"/>
            <w:gridSpan w:val="8"/>
            <w:vAlign w:val="center"/>
          </w:tcPr>
          <w:p w14:paraId="0BEE5392">
            <w:pPr>
              <w:adjustRightInd w:val="0"/>
              <w:snapToGrid w:val="0"/>
              <w:ind w:firstLine="420" w:firstLineChars="200"/>
              <w:jc w:val="left"/>
              <w:rPr>
                <w:rFonts w:ascii="Times New Roman" w:hAnsi="Times New Roman" w:eastAsia="宋体" w:cs="Times New Roman"/>
                <w:szCs w:val="21"/>
              </w:rPr>
            </w:pPr>
            <w:r>
              <w:rPr>
                <w:rFonts w:ascii="Times New Roman" w:hAnsi="Times New Roman" w:eastAsia="宋体" w:cs="Times New Roman"/>
                <w:szCs w:val="21"/>
                <w:vertAlign w:val="superscript"/>
              </w:rPr>
              <w:t>a</w:t>
            </w:r>
            <w:r>
              <w:rPr>
                <w:rFonts w:hint="eastAsia" w:ascii="Times New Roman" w:hAnsi="Times New Roman" w:eastAsia="宋体" w:cs="Times New Roman"/>
                <w:szCs w:val="21"/>
                <w:vertAlign w:val="superscript"/>
                <w:lang w:eastAsia="zh-CN"/>
              </w:rPr>
              <w:t xml:space="preserve">. </w:t>
            </w:r>
            <w:r>
              <w:rPr>
                <w:rFonts w:ascii="Times New Roman" w:hAnsi="Times New Roman" w:eastAsia="宋体" w:cs="Times New Roman"/>
                <w:szCs w:val="21"/>
              </w:rPr>
              <w:t>拟实施建设项目为新建项目时，现有工程排放量均为零。</w:t>
            </w:r>
          </w:p>
          <w:p w14:paraId="0F789056">
            <w:pPr>
              <w:adjustRightInd w:val="0"/>
              <w:snapToGrid w:val="0"/>
              <w:ind w:firstLine="420" w:firstLineChars="200"/>
              <w:jc w:val="left"/>
              <w:rPr>
                <w:rFonts w:ascii="Times New Roman" w:hAnsi="Times New Roman" w:eastAsia="宋体" w:cs="Times New Roman"/>
                <w:szCs w:val="21"/>
              </w:rPr>
            </w:pPr>
            <w:r>
              <w:rPr>
                <w:rFonts w:ascii="Times New Roman" w:hAnsi="Times New Roman" w:eastAsia="宋体" w:cs="Times New Roman"/>
                <w:szCs w:val="21"/>
                <w:vertAlign w:val="superscript"/>
              </w:rPr>
              <w:t>b</w:t>
            </w:r>
            <w:r>
              <w:rPr>
                <w:rFonts w:hint="eastAsia" w:ascii="Times New Roman" w:hAnsi="Times New Roman" w:eastAsia="宋体" w:cs="Times New Roman"/>
                <w:szCs w:val="21"/>
                <w:vertAlign w:val="superscript"/>
                <w:lang w:eastAsia="zh-CN"/>
              </w:rPr>
              <w:t>. 拟</w:t>
            </w:r>
            <w:r>
              <w:rPr>
                <w:rFonts w:ascii="Times New Roman" w:hAnsi="Times New Roman" w:eastAsia="宋体" w:cs="Times New Roman"/>
                <w:szCs w:val="21"/>
              </w:rPr>
              <w:t>实施建设项目为改扩建及异地迁建项目时，填报项目实施前现有工程核算边界内评价基准年温室气体的排放量。</w:t>
            </w:r>
          </w:p>
          <w:p w14:paraId="5B592454">
            <w:pPr>
              <w:adjustRightInd w:val="0"/>
              <w:snapToGrid w:val="0"/>
              <w:ind w:firstLine="420" w:firstLineChars="200"/>
              <w:jc w:val="left"/>
              <w:rPr>
                <w:rFonts w:ascii="Times New Roman" w:hAnsi="Times New Roman" w:eastAsia="宋体" w:cs="Times New Roman"/>
                <w:szCs w:val="21"/>
              </w:rPr>
            </w:pPr>
            <w:r>
              <w:rPr>
                <w:rFonts w:ascii="Times New Roman" w:hAnsi="Times New Roman" w:eastAsia="宋体" w:cs="Times New Roman"/>
                <w:szCs w:val="21"/>
                <w:vertAlign w:val="superscript"/>
              </w:rPr>
              <w:t>c</w:t>
            </w:r>
            <w:r>
              <w:rPr>
                <w:rFonts w:hint="eastAsia" w:ascii="Times New Roman" w:hAnsi="Times New Roman" w:eastAsia="宋体" w:cs="Times New Roman"/>
                <w:szCs w:val="21"/>
                <w:vertAlign w:val="superscript"/>
                <w:lang w:eastAsia="zh-CN"/>
              </w:rPr>
              <w:t xml:space="preserve">. </w:t>
            </w:r>
            <w:r>
              <w:rPr>
                <w:rFonts w:ascii="Times New Roman" w:hAnsi="Times New Roman" w:eastAsia="宋体" w:cs="Times New Roman"/>
                <w:szCs w:val="21"/>
              </w:rPr>
              <w:t>改扩建及异地迁建项目实施后产生的“以新带老”削减量。拟实施项目为新建项目时，企业无现有</w:t>
            </w:r>
            <w:r>
              <w:rPr>
                <w:rFonts w:hint="eastAsia" w:ascii="Times New Roman" w:hAnsi="Times New Roman" w:cs="Times New Roman"/>
                <w:szCs w:val="21"/>
              </w:rPr>
              <w:t>工程</w:t>
            </w:r>
            <w:r>
              <w:rPr>
                <w:rFonts w:ascii="Times New Roman" w:hAnsi="Times New Roman" w:eastAsia="宋体" w:cs="Times New Roman"/>
                <w:szCs w:val="21"/>
              </w:rPr>
              <w:t xml:space="preserve">，“以新带老”排放量为零。 </w:t>
            </w:r>
          </w:p>
          <w:p w14:paraId="0FB95EA8">
            <w:pPr>
              <w:adjustRightInd w:val="0"/>
              <w:snapToGrid w:val="0"/>
              <w:ind w:firstLine="420" w:firstLineChars="200"/>
              <w:jc w:val="left"/>
              <w:rPr>
                <w:rFonts w:ascii="Times New Roman" w:hAnsi="Times New Roman" w:eastAsia="宋体" w:cs="Times New Roman"/>
                <w:szCs w:val="21"/>
              </w:rPr>
            </w:pPr>
            <w:r>
              <w:rPr>
                <w:rFonts w:hint="eastAsia" w:ascii="Times New Roman" w:hAnsi="Times New Roman" w:cs="Times New Roman"/>
                <w:szCs w:val="21"/>
                <w:vertAlign w:val="superscript"/>
              </w:rPr>
              <w:t>d</w:t>
            </w:r>
            <w:r>
              <w:rPr>
                <w:rFonts w:hint="eastAsia" w:ascii="Times New Roman" w:hAnsi="Times New Roman" w:cs="Times New Roman"/>
                <w:szCs w:val="21"/>
                <w:vertAlign w:val="superscript"/>
                <w:lang w:eastAsia="zh-CN"/>
              </w:rPr>
              <w:t xml:space="preserve">. </w:t>
            </w:r>
            <w:r>
              <w:rPr>
                <w:rFonts w:ascii="Times New Roman" w:hAnsi="Times New Roman" w:eastAsia="宋体" w:cs="Times New Roman"/>
                <w:szCs w:val="21"/>
              </w:rPr>
              <w:t>拟实施建设项目为改扩建及异地迁建项目时，</w:t>
            </w:r>
            <w:r>
              <w:rPr>
                <w:rFonts w:hint="eastAsia" w:ascii="Times New Roman" w:hAnsi="Times New Roman" w:cs="Times New Roman"/>
                <w:szCs w:val="21"/>
              </w:rPr>
              <w:t>拟建工程实施后全厂</w:t>
            </w:r>
            <w:r>
              <w:rPr>
                <w:rFonts w:ascii="Times New Roman" w:hAnsi="Times New Roman" w:eastAsia="宋体" w:cs="Times New Roman"/>
                <w:szCs w:val="21"/>
              </w:rPr>
              <w:t>温室气体排放量=企业现有工程排放量+在建工程排放量+拟建工程排放量-“以新带老”削减量。拟实施建设项目为新建项目时，仅核算拟建工程排放量。</w:t>
            </w:r>
          </w:p>
          <w:p w14:paraId="729989ED">
            <w:pPr>
              <w:adjustRightInd w:val="0"/>
              <w:snapToGrid w:val="0"/>
              <w:rPr>
                <w:rFonts w:ascii="Times New Roman" w:hAnsi="Times New Roman" w:eastAsia="宋体" w:cs="Times New Roman"/>
                <w:szCs w:val="21"/>
              </w:rPr>
            </w:pPr>
          </w:p>
        </w:tc>
      </w:tr>
    </w:tbl>
    <w:p w14:paraId="58830FFB">
      <w:pPr>
        <w:ind w:firstLine="422"/>
        <w:jc w:val="center"/>
        <w:rPr>
          <w:rFonts w:ascii="Times New Roman" w:hAnsi="Times New Roman" w:eastAsia="宋体" w:cs="Times New Roman"/>
          <w:b/>
          <w:bCs/>
          <w:szCs w:val="21"/>
        </w:rPr>
      </w:pPr>
    </w:p>
    <w:p w14:paraId="18CA50E8">
      <w:pPr>
        <w:ind w:firstLine="422"/>
        <w:jc w:val="center"/>
        <w:rPr>
          <w:rFonts w:ascii="Times New Roman" w:hAnsi="Times New Roman" w:eastAsia="宋体" w:cs="Times New Roman"/>
          <w:b/>
          <w:bCs/>
          <w:szCs w:val="21"/>
        </w:rPr>
        <w:sectPr>
          <w:pgSz w:w="11906" w:h="16838"/>
          <w:pgMar w:top="1440" w:right="1800" w:bottom="1440" w:left="1800" w:header="851" w:footer="992" w:gutter="0"/>
          <w:pgNumType w:fmt="decimal"/>
          <w:cols w:space="425" w:num="1"/>
          <w:docGrid w:type="lines" w:linePitch="312" w:charSpace="0"/>
        </w:sectPr>
      </w:pPr>
    </w:p>
    <w:p w14:paraId="5AB577D4">
      <w:pPr>
        <w:pStyle w:val="21"/>
        <w:numPr>
          <w:ilvl w:val="0"/>
          <w:numId w:val="0"/>
        </w:numPr>
        <w:shd w:val="clear" w:color="auto" w:fill="auto"/>
        <w:tabs>
          <w:tab w:val="left" w:pos="6406"/>
        </w:tabs>
        <w:spacing w:beforeLines="0" w:afterLines="0" w:line="312" w:lineRule="auto"/>
        <w:rPr>
          <w:rFonts w:hint="eastAsia" w:eastAsia="黑体"/>
          <w:lang w:eastAsia="zh-CN"/>
        </w:rPr>
      </w:pPr>
      <w:bookmarkStart w:id="46" w:name="_Toc4498"/>
      <w:bookmarkStart w:id="47" w:name="_Toc31602"/>
      <w:r>
        <w:rPr>
          <w:rFonts w:hint="eastAsia"/>
        </w:rPr>
        <w:t>附录</w:t>
      </w:r>
      <w:r>
        <w:rPr>
          <w:rFonts w:hint="eastAsia"/>
          <w:lang w:val="en-US" w:eastAsia="zh-CN"/>
        </w:rPr>
        <w:t>E</w:t>
      </w:r>
      <w:bookmarkEnd w:id="46"/>
      <w:bookmarkEnd w:id="47"/>
    </w:p>
    <w:p w14:paraId="076C0B61">
      <w:pPr>
        <w:ind w:firstLine="0"/>
        <w:jc w:val="center"/>
        <w:rPr>
          <w:rFonts w:hint="eastAsia"/>
        </w:rPr>
      </w:pPr>
      <w:r>
        <w:rPr>
          <w:rFonts w:hint="eastAsia"/>
        </w:rPr>
        <w:t>（资料性附录）</w:t>
      </w:r>
    </w:p>
    <w:p w14:paraId="553E0278">
      <w:pPr>
        <w:ind w:firstLine="0"/>
        <w:jc w:val="center"/>
        <w:rPr>
          <w:rFonts w:hint="eastAsia"/>
        </w:rPr>
      </w:pPr>
    </w:p>
    <w:p w14:paraId="5C37337F">
      <w:pPr>
        <w:ind w:firstLine="422"/>
        <w:jc w:val="center"/>
        <w:rPr>
          <w:rFonts w:ascii="Times New Roman" w:hAnsi="Times New Roman" w:eastAsia="宋体" w:cs="Times New Roman"/>
          <w:b/>
          <w:bCs/>
          <w:szCs w:val="21"/>
        </w:rPr>
      </w:pPr>
      <w:r>
        <w:rPr>
          <w:rFonts w:ascii="Times New Roman" w:hAnsi="Times New Roman" w:eastAsia="宋体" w:cs="Times New Roman"/>
          <w:b/>
          <w:bCs/>
          <w:szCs w:val="21"/>
        </w:rPr>
        <w:t>表</w:t>
      </w:r>
      <w:r>
        <w:rPr>
          <w:rFonts w:hint="eastAsia" w:ascii="Times New Roman" w:hAnsi="Times New Roman" w:eastAsia="宋体" w:cs="Times New Roman"/>
          <w:b/>
          <w:bCs/>
          <w:szCs w:val="21"/>
        </w:rPr>
        <w:t>E</w:t>
      </w:r>
      <w:r>
        <w:rPr>
          <w:rFonts w:hint="eastAsia" w:ascii="Times New Roman" w:hAnsi="Times New Roman" w:cs="Times New Roman"/>
          <w:b/>
          <w:bCs/>
          <w:szCs w:val="21"/>
        </w:rPr>
        <w:t>.</w:t>
      </w:r>
      <w:r>
        <w:rPr>
          <w:rFonts w:hint="eastAsia" w:ascii="Times New Roman" w:hAnsi="Times New Roman" w:eastAsia="宋体" w:cs="Times New Roman"/>
          <w:b/>
          <w:bCs/>
          <w:szCs w:val="21"/>
          <w:lang w:val="en-US" w:eastAsia="zh-CN"/>
        </w:rPr>
        <w:t>1</w:t>
      </w:r>
      <w:r>
        <w:rPr>
          <w:rFonts w:ascii="Times New Roman" w:hAnsi="Times New Roman" w:eastAsia="宋体" w:cs="Times New Roman"/>
          <w:b/>
          <w:bCs/>
          <w:szCs w:val="21"/>
        </w:rPr>
        <w:t xml:space="preserve">  </w:t>
      </w:r>
      <w:r>
        <w:rPr>
          <w:rFonts w:hint="eastAsia" w:ascii="Times New Roman" w:hAnsi="Times New Roman" w:cs="Times New Roman"/>
          <w:b/>
          <w:bCs/>
          <w:szCs w:val="21"/>
        </w:rPr>
        <w:t>减污</w:t>
      </w:r>
      <w:r>
        <w:rPr>
          <w:rFonts w:ascii="Times New Roman" w:hAnsi="Times New Roman" w:eastAsia="宋体" w:cs="Times New Roman"/>
          <w:b/>
          <w:bCs/>
          <w:szCs w:val="21"/>
        </w:rPr>
        <w:t>降碳</w:t>
      </w:r>
      <w:r>
        <w:rPr>
          <w:rFonts w:hint="eastAsia" w:ascii="Times New Roman" w:hAnsi="Times New Roman" w:cs="Times New Roman"/>
          <w:b/>
          <w:bCs/>
          <w:szCs w:val="21"/>
        </w:rPr>
        <w:t>协同</w:t>
      </w:r>
      <w:r>
        <w:rPr>
          <w:rFonts w:ascii="Times New Roman" w:hAnsi="Times New Roman" w:eastAsia="宋体" w:cs="Times New Roman"/>
          <w:b/>
          <w:bCs/>
          <w:szCs w:val="21"/>
        </w:rPr>
        <w:t>措施清单一览表</w:t>
      </w:r>
    </w:p>
    <w:tbl>
      <w:tblPr>
        <w:tblStyle w:val="11"/>
        <w:tblW w:w="80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80"/>
        <w:gridCol w:w="2080"/>
        <w:gridCol w:w="1960"/>
        <w:gridCol w:w="1988"/>
      </w:tblGrid>
      <w:tr w14:paraId="1CE37C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06" w:type="dxa"/>
            <w:vAlign w:val="center"/>
          </w:tcPr>
          <w:p w14:paraId="26949D01">
            <w:pPr>
              <w:jc w:val="center"/>
              <w:rPr>
                <w:rFonts w:ascii="Times New Roman" w:hAnsi="Times New Roman" w:eastAsia="宋体" w:cs="Times New Roman"/>
                <w:snapToGrid w:val="0"/>
                <w:color w:val="000000"/>
                <w:kern w:val="0"/>
                <w:szCs w:val="21"/>
              </w:rPr>
            </w:pPr>
            <w:r>
              <w:rPr>
                <w:rFonts w:ascii="Times New Roman" w:hAnsi="Times New Roman" w:eastAsia="宋体" w:cs="Times New Roman"/>
                <w:snapToGrid w:val="0"/>
                <w:color w:val="000000"/>
                <w:kern w:val="0"/>
                <w:szCs w:val="21"/>
              </w:rPr>
              <w:t>序号</w:t>
            </w:r>
          </w:p>
        </w:tc>
        <w:tc>
          <w:tcPr>
            <w:tcW w:w="1280" w:type="dxa"/>
            <w:vAlign w:val="center"/>
          </w:tcPr>
          <w:p w14:paraId="19358E96">
            <w:pPr>
              <w:jc w:val="center"/>
              <w:rPr>
                <w:rFonts w:ascii="Times New Roman" w:hAnsi="Times New Roman" w:eastAsia="宋体" w:cs="Times New Roman"/>
                <w:snapToGrid w:val="0"/>
                <w:color w:val="000000"/>
                <w:kern w:val="0"/>
                <w:szCs w:val="21"/>
              </w:rPr>
            </w:pPr>
            <w:r>
              <w:rPr>
                <w:rFonts w:ascii="Times New Roman" w:hAnsi="Times New Roman" w:eastAsia="宋体" w:cs="Times New Roman"/>
                <w:snapToGrid w:val="0"/>
                <w:color w:val="000000"/>
                <w:kern w:val="0"/>
                <w:szCs w:val="21"/>
              </w:rPr>
              <w:t>生产工序</w:t>
            </w:r>
          </w:p>
        </w:tc>
        <w:tc>
          <w:tcPr>
            <w:tcW w:w="2080" w:type="dxa"/>
            <w:vAlign w:val="center"/>
          </w:tcPr>
          <w:p w14:paraId="30253631">
            <w:pPr>
              <w:jc w:val="center"/>
              <w:rPr>
                <w:rFonts w:ascii="Times New Roman" w:hAnsi="Times New Roman" w:eastAsia="宋体" w:cs="Times New Roman"/>
                <w:snapToGrid w:val="0"/>
                <w:color w:val="000000"/>
                <w:kern w:val="0"/>
                <w:szCs w:val="21"/>
              </w:rPr>
            </w:pPr>
            <w:r>
              <w:rPr>
                <w:rFonts w:ascii="Times New Roman" w:hAnsi="Times New Roman" w:eastAsia="宋体" w:cs="Times New Roman"/>
                <w:snapToGrid w:val="0"/>
                <w:color w:val="000000"/>
                <w:kern w:val="0"/>
                <w:szCs w:val="21"/>
              </w:rPr>
              <w:t>二氧化碳排放节点</w:t>
            </w:r>
          </w:p>
        </w:tc>
        <w:tc>
          <w:tcPr>
            <w:tcW w:w="1960" w:type="dxa"/>
            <w:vAlign w:val="center"/>
          </w:tcPr>
          <w:p w14:paraId="1710C579">
            <w:pPr>
              <w:jc w:val="center"/>
              <w:rPr>
                <w:rFonts w:ascii="Times New Roman" w:hAnsi="Times New Roman" w:eastAsia="宋体" w:cs="Times New Roman"/>
                <w:snapToGrid w:val="0"/>
                <w:color w:val="000000"/>
                <w:kern w:val="0"/>
                <w:szCs w:val="21"/>
              </w:rPr>
            </w:pPr>
            <w:r>
              <w:rPr>
                <w:rFonts w:hint="eastAsia" w:ascii="Times New Roman" w:hAnsi="Times New Roman" w:cs="Times New Roman"/>
                <w:snapToGrid w:val="0"/>
                <w:color w:val="000000"/>
                <w:kern w:val="0"/>
                <w:szCs w:val="21"/>
              </w:rPr>
              <w:t>减污</w:t>
            </w:r>
            <w:r>
              <w:rPr>
                <w:rFonts w:ascii="Times New Roman" w:hAnsi="Times New Roman" w:eastAsia="宋体" w:cs="Times New Roman"/>
                <w:snapToGrid w:val="0"/>
                <w:color w:val="000000"/>
                <w:kern w:val="0"/>
                <w:szCs w:val="21"/>
              </w:rPr>
              <w:t>降碳</w:t>
            </w:r>
            <w:r>
              <w:rPr>
                <w:rFonts w:hint="eastAsia" w:ascii="Times New Roman" w:hAnsi="Times New Roman" w:cs="Times New Roman"/>
                <w:snapToGrid w:val="0"/>
                <w:color w:val="000000"/>
                <w:kern w:val="0"/>
                <w:szCs w:val="21"/>
              </w:rPr>
              <w:t>协同</w:t>
            </w:r>
            <w:r>
              <w:rPr>
                <w:rFonts w:ascii="Times New Roman" w:hAnsi="Times New Roman" w:eastAsia="宋体" w:cs="Times New Roman"/>
                <w:snapToGrid w:val="0"/>
                <w:color w:val="000000"/>
                <w:kern w:val="0"/>
                <w:szCs w:val="21"/>
              </w:rPr>
              <w:t>措施</w:t>
            </w:r>
          </w:p>
        </w:tc>
        <w:tc>
          <w:tcPr>
            <w:tcW w:w="1988" w:type="dxa"/>
            <w:vAlign w:val="center"/>
          </w:tcPr>
          <w:p w14:paraId="5D1B4CBE">
            <w:pPr>
              <w:jc w:val="center"/>
              <w:rPr>
                <w:rFonts w:ascii="Times New Roman" w:hAnsi="Times New Roman" w:eastAsia="宋体" w:cs="Times New Roman"/>
                <w:snapToGrid w:val="0"/>
                <w:color w:val="000000"/>
                <w:kern w:val="0"/>
                <w:szCs w:val="21"/>
              </w:rPr>
            </w:pPr>
            <w:r>
              <w:rPr>
                <w:rFonts w:ascii="Times New Roman" w:hAnsi="Times New Roman" w:eastAsia="宋体" w:cs="Times New Roman"/>
                <w:snapToGrid w:val="0"/>
                <w:color w:val="000000"/>
                <w:kern w:val="0"/>
                <w:szCs w:val="21"/>
              </w:rPr>
              <w:t>预期</w:t>
            </w:r>
            <w:r>
              <w:rPr>
                <w:rFonts w:hint="eastAsia" w:ascii="Times New Roman" w:hAnsi="Times New Roman" w:cs="Times New Roman"/>
                <w:snapToGrid w:val="0"/>
                <w:color w:val="000000"/>
                <w:kern w:val="0"/>
                <w:szCs w:val="21"/>
              </w:rPr>
              <w:t>减污</w:t>
            </w:r>
            <w:r>
              <w:rPr>
                <w:rFonts w:ascii="Times New Roman" w:hAnsi="Times New Roman" w:eastAsia="宋体" w:cs="Times New Roman"/>
                <w:snapToGrid w:val="0"/>
                <w:color w:val="000000"/>
                <w:kern w:val="0"/>
                <w:szCs w:val="21"/>
              </w:rPr>
              <w:t>降碳效果</w:t>
            </w:r>
          </w:p>
        </w:tc>
      </w:tr>
      <w:tr w14:paraId="16E451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06" w:type="dxa"/>
            <w:vAlign w:val="center"/>
          </w:tcPr>
          <w:p w14:paraId="1D684D78">
            <w:pPr>
              <w:jc w:val="center"/>
              <w:rPr>
                <w:rFonts w:ascii="Times New Roman" w:hAnsi="Times New Roman" w:eastAsia="宋体" w:cs="Times New Roman"/>
                <w:snapToGrid w:val="0"/>
                <w:color w:val="000000"/>
                <w:kern w:val="0"/>
                <w:szCs w:val="21"/>
              </w:rPr>
            </w:pPr>
          </w:p>
        </w:tc>
        <w:tc>
          <w:tcPr>
            <w:tcW w:w="1280" w:type="dxa"/>
            <w:vAlign w:val="center"/>
          </w:tcPr>
          <w:p w14:paraId="389DD23B">
            <w:pPr>
              <w:jc w:val="center"/>
              <w:rPr>
                <w:rFonts w:ascii="Times New Roman" w:hAnsi="Times New Roman" w:eastAsia="宋体" w:cs="Times New Roman"/>
                <w:snapToGrid w:val="0"/>
                <w:color w:val="000000"/>
                <w:kern w:val="0"/>
                <w:szCs w:val="21"/>
              </w:rPr>
            </w:pPr>
          </w:p>
        </w:tc>
        <w:tc>
          <w:tcPr>
            <w:tcW w:w="2080" w:type="dxa"/>
            <w:vAlign w:val="center"/>
          </w:tcPr>
          <w:p w14:paraId="1A2C8D74">
            <w:pPr>
              <w:jc w:val="center"/>
              <w:rPr>
                <w:rFonts w:ascii="Times New Roman" w:hAnsi="Times New Roman" w:eastAsia="宋体" w:cs="Times New Roman"/>
                <w:snapToGrid w:val="0"/>
                <w:color w:val="000000"/>
                <w:kern w:val="0"/>
                <w:szCs w:val="21"/>
              </w:rPr>
            </w:pPr>
          </w:p>
        </w:tc>
        <w:tc>
          <w:tcPr>
            <w:tcW w:w="1960" w:type="dxa"/>
            <w:vAlign w:val="center"/>
          </w:tcPr>
          <w:p w14:paraId="7AB8CD9D">
            <w:pPr>
              <w:jc w:val="center"/>
              <w:rPr>
                <w:rFonts w:ascii="Times New Roman" w:hAnsi="Times New Roman" w:eastAsia="宋体" w:cs="Times New Roman"/>
                <w:snapToGrid w:val="0"/>
                <w:color w:val="000000"/>
                <w:kern w:val="0"/>
                <w:szCs w:val="21"/>
              </w:rPr>
            </w:pPr>
          </w:p>
        </w:tc>
        <w:tc>
          <w:tcPr>
            <w:tcW w:w="1988" w:type="dxa"/>
            <w:vAlign w:val="center"/>
          </w:tcPr>
          <w:p w14:paraId="1ED9166E">
            <w:pPr>
              <w:jc w:val="center"/>
              <w:rPr>
                <w:rFonts w:ascii="Times New Roman" w:hAnsi="Times New Roman" w:eastAsia="宋体" w:cs="Times New Roman"/>
                <w:snapToGrid w:val="0"/>
                <w:color w:val="000000"/>
                <w:kern w:val="0"/>
                <w:szCs w:val="21"/>
              </w:rPr>
            </w:pPr>
          </w:p>
        </w:tc>
      </w:tr>
      <w:tr w14:paraId="77EB6B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06" w:type="dxa"/>
            <w:vAlign w:val="center"/>
          </w:tcPr>
          <w:p w14:paraId="6DDA3036">
            <w:pPr>
              <w:jc w:val="center"/>
              <w:rPr>
                <w:rFonts w:ascii="Times New Roman" w:hAnsi="Times New Roman" w:eastAsia="宋体" w:cs="Times New Roman"/>
                <w:snapToGrid w:val="0"/>
                <w:color w:val="000000"/>
                <w:kern w:val="0"/>
                <w:szCs w:val="21"/>
              </w:rPr>
            </w:pPr>
          </w:p>
        </w:tc>
        <w:tc>
          <w:tcPr>
            <w:tcW w:w="1280" w:type="dxa"/>
            <w:vAlign w:val="center"/>
          </w:tcPr>
          <w:p w14:paraId="261EA4DF">
            <w:pPr>
              <w:jc w:val="center"/>
              <w:rPr>
                <w:rFonts w:ascii="Times New Roman" w:hAnsi="Times New Roman" w:eastAsia="宋体" w:cs="Times New Roman"/>
                <w:snapToGrid w:val="0"/>
                <w:color w:val="000000"/>
                <w:kern w:val="0"/>
                <w:szCs w:val="21"/>
              </w:rPr>
            </w:pPr>
          </w:p>
        </w:tc>
        <w:tc>
          <w:tcPr>
            <w:tcW w:w="2080" w:type="dxa"/>
            <w:vAlign w:val="center"/>
          </w:tcPr>
          <w:p w14:paraId="5960757C">
            <w:pPr>
              <w:jc w:val="center"/>
              <w:rPr>
                <w:rFonts w:ascii="Times New Roman" w:hAnsi="Times New Roman" w:eastAsia="宋体" w:cs="Times New Roman"/>
                <w:snapToGrid w:val="0"/>
                <w:color w:val="000000"/>
                <w:kern w:val="0"/>
                <w:szCs w:val="21"/>
              </w:rPr>
            </w:pPr>
          </w:p>
        </w:tc>
        <w:tc>
          <w:tcPr>
            <w:tcW w:w="1960" w:type="dxa"/>
            <w:vAlign w:val="center"/>
          </w:tcPr>
          <w:p w14:paraId="5C82BD45">
            <w:pPr>
              <w:jc w:val="center"/>
              <w:rPr>
                <w:rFonts w:ascii="Times New Roman" w:hAnsi="Times New Roman" w:eastAsia="宋体" w:cs="Times New Roman"/>
                <w:snapToGrid w:val="0"/>
                <w:color w:val="000000"/>
                <w:kern w:val="0"/>
                <w:szCs w:val="21"/>
              </w:rPr>
            </w:pPr>
          </w:p>
        </w:tc>
        <w:tc>
          <w:tcPr>
            <w:tcW w:w="1988" w:type="dxa"/>
            <w:vAlign w:val="center"/>
          </w:tcPr>
          <w:p w14:paraId="3427F75F">
            <w:pPr>
              <w:jc w:val="center"/>
              <w:rPr>
                <w:rFonts w:ascii="Times New Roman" w:hAnsi="Times New Roman" w:eastAsia="宋体" w:cs="Times New Roman"/>
                <w:snapToGrid w:val="0"/>
                <w:color w:val="000000"/>
                <w:kern w:val="0"/>
                <w:szCs w:val="21"/>
              </w:rPr>
            </w:pPr>
          </w:p>
        </w:tc>
      </w:tr>
    </w:tbl>
    <w:p w14:paraId="7ADDBB63">
      <w:pPr>
        <w:rPr>
          <w:rFonts w:ascii="Times New Roman" w:hAnsi="Times New Roman" w:eastAsia="宋体" w:cs="Times New Roman"/>
        </w:rPr>
      </w:pPr>
    </w:p>
    <w:p w14:paraId="03547FFC">
      <w:pPr>
        <w:ind w:firstLine="422"/>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附</w:t>
      </w:r>
      <w:r>
        <w:rPr>
          <w:rFonts w:hint="default" w:ascii="Times New Roman" w:hAnsi="Times New Roman" w:eastAsia="宋体" w:cs="Times New Roman"/>
          <w:b/>
          <w:bCs/>
          <w:sz w:val="21"/>
          <w:szCs w:val="21"/>
        </w:rPr>
        <w:t>表</w:t>
      </w:r>
      <w:r>
        <w:rPr>
          <w:rFonts w:hint="eastAsia" w:ascii="Times New Roman" w:hAnsi="Times New Roman" w:eastAsia="宋体" w:cs="Times New Roman"/>
          <w:b/>
          <w:bCs/>
          <w:sz w:val="21"/>
          <w:szCs w:val="21"/>
          <w:lang w:val="en-US" w:eastAsia="zh-CN"/>
          <w:woUserID w:val="0"/>
        </w:rPr>
        <w:t>E</w:t>
      </w:r>
      <w:r>
        <w:rPr>
          <w:rFonts w:hint="default" w:ascii="Times New Roman" w:hAnsi="Times New Roman" w:eastAsia="宋体" w:cs="Times New Roman"/>
          <w:b/>
          <w:bCs/>
          <w:sz w:val="21"/>
          <w:szCs w:val="21"/>
          <w:lang w:eastAsia="zh"/>
          <w:woUserID w:val="0"/>
        </w:rPr>
        <w:t>.</w:t>
      </w:r>
      <w:r>
        <w:rPr>
          <w:rFonts w:hint="default" w:ascii="Times New Roman" w:hAnsi="Times New Roman" w:eastAsia="宋体" w:cs="Times New Roman"/>
          <w:b/>
          <w:bCs/>
          <w:sz w:val="21"/>
          <w:szCs w:val="21"/>
          <w:lang w:val="en-US" w:eastAsia="zh-CN"/>
        </w:rPr>
        <w:t xml:space="preserve">2  </w:t>
      </w:r>
      <w:r>
        <w:rPr>
          <w:rFonts w:hint="default" w:ascii="Times New Roman" w:hAnsi="Times New Roman" w:eastAsia="宋体" w:cs="Times New Roman"/>
          <w:b/>
          <w:bCs/>
          <w:sz w:val="21"/>
          <w:szCs w:val="21"/>
        </w:rPr>
        <w:t xml:space="preserve"> </w:t>
      </w:r>
      <w:r>
        <w:rPr>
          <w:rFonts w:hint="eastAsia" w:ascii="Times New Roman" w:hAnsi="Times New Roman" w:eastAsia="宋体" w:cs="Times New Roman"/>
          <w:b/>
          <w:bCs/>
          <w:sz w:val="21"/>
          <w:szCs w:val="21"/>
          <w:lang w:val="en-US" w:eastAsia="zh-CN"/>
        </w:rPr>
        <w:t>现代煤化工</w:t>
      </w:r>
      <w:r>
        <w:rPr>
          <w:rFonts w:hint="default" w:ascii="Times New Roman" w:hAnsi="Times New Roman" w:eastAsia="宋体" w:cs="Times New Roman"/>
          <w:b/>
          <w:bCs/>
          <w:sz w:val="21"/>
          <w:szCs w:val="21"/>
          <w:lang w:val="en-US" w:eastAsia="zh-CN"/>
        </w:rPr>
        <w:t>减污</w:t>
      </w:r>
      <w:r>
        <w:rPr>
          <w:rFonts w:hint="default" w:ascii="Times New Roman" w:hAnsi="Times New Roman" w:eastAsia="宋体" w:cs="Times New Roman"/>
          <w:b/>
          <w:bCs/>
          <w:sz w:val="21"/>
          <w:szCs w:val="21"/>
        </w:rPr>
        <w:t>降碳</w:t>
      </w:r>
      <w:r>
        <w:rPr>
          <w:rFonts w:hint="default" w:ascii="Times New Roman" w:hAnsi="Times New Roman" w:eastAsia="宋体" w:cs="Times New Roman"/>
          <w:b/>
          <w:bCs/>
          <w:sz w:val="21"/>
          <w:szCs w:val="21"/>
          <w:lang w:val="en-US" w:eastAsia="zh-CN"/>
        </w:rPr>
        <w:t>协同</w:t>
      </w:r>
      <w:r>
        <w:rPr>
          <w:rFonts w:hint="default" w:ascii="Times New Roman" w:hAnsi="Times New Roman" w:eastAsia="宋体" w:cs="Times New Roman"/>
          <w:b/>
          <w:bCs/>
          <w:sz w:val="21"/>
          <w:szCs w:val="21"/>
        </w:rPr>
        <w:t>措施</w:t>
      </w:r>
      <w:r>
        <w:rPr>
          <w:rFonts w:hint="default" w:ascii="Times New Roman" w:hAnsi="Times New Roman" w:eastAsia="宋体" w:cs="Times New Roman"/>
          <w:b/>
          <w:bCs/>
          <w:sz w:val="21"/>
          <w:szCs w:val="21"/>
          <w:lang w:val="en-US" w:eastAsia="zh-CN"/>
        </w:rPr>
        <w:t>技术参考表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146"/>
        <w:gridCol w:w="1509"/>
        <w:gridCol w:w="4922"/>
      </w:tblGrid>
      <w:tr w14:paraId="7AB7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7624E1FC">
            <w:pPr>
              <w:jc w:val="center"/>
              <w:rPr>
                <w:rFonts w:ascii="Times New Roman" w:hAnsi="Times New Roman" w:eastAsia="宋体" w:cs="Times New Roman"/>
                <w:snapToGrid w:val="0"/>
                <w:color w:val="000000"/>
                <w:kern w:val="0"/>
                <w:szCs w:val="21"/>
              </w:rPr>
            </w:pPr>
            <w:r>
              <w:rPr>
                <w:rFonts w:hint="default" w:ascii="Times New Roman" w:hAnsi="Times New Roman" w:eastAsia="宋体" w:cs="Times New Roman"/>
                <w:snapToGrid w:val="0"/>
                <w:color w:val="000000"/>
                <w:kern w:val="0"/>
                <w:szCs w:val="21"/>
              </w:rPr>
              <w:t>序号</w:t>
            </w:r>
          </w:p>
        </w:tc>
        <w:tc>
          <w:tcPr>
            <w:tcW w:w="1557" w:type="pct"/>
            <w:gridSpan w:val="2"/>
            <w:vAlign w:val="center"/>
          </w:tcPr>
          <w:p w14:paraId="4C9325FB">
            <w:pPr>
              <w:jc w:val="center"/>
              <w:rPr>
                <w:rFonts w:hint="default" w:ascii="Times New Roman" w:hAnsi="Times New Roman" w:eastAsia="宋体" w:cs="Times New Roman"/>
                <w:snapToGrid w:val="0"/>
                <w:color w:val="000000"/>
                <w:kern w:val="0"/>
                <w:szCs w:val="21"/>
              </w:rPr>
            </w:pPr>
            <w:r>
              <w:rPr>
                <w:rFonts w:hint="default" w:ascii="Times New Roman" w:hAnsi="Times New Roman" w:eastAsia="宋体" w:cs="Times New Roman"/>
                <w:snapToGrid w:val="0"/>
                <w:color w:val="000000"/>
                <w:kern w:val="0"/>
                <w:szCs w:val="21"/>
              </w:rPr>
              <w:t>阶段</w:t>
            </w:r>
          </w:p>
        </w:tc>
        <w:tc>
          <w:tcPr>
            <w:tcW w:w="2887" w:type="pct"/>
            <w:vAlign w:val="center"/>
          </w:tcPr>
          <w:p w14:paraId="3AC01008">
            <w:pPr>
              <w:jc w:val="center"/>
              <w:rPr>
                <w:rFonts w:ascii="Times New Roman" w:hAnsi="Times New Roman" w:eastAsia="宋体" w:cs="Times New Roman"/>
                <w:snapToGrid w:val="0"/>
                <w:color w:val="000000"/>
                <w:kern w:val="0"/>
                <w:szCs w:val="21"/>
              </w:rPr>
            </w:pPr>
            <w:r>
              <w:rPr>
                <w:rFonts w:hint="default" w:ascii="Times New Roman" w:hAnsi="Times New Roman" w:eastAsia="宋体" w:cs="Times New Roman"/>
                <w:snapToGrid w:val="0"/>
                <w:color w:val="000000"/>
                <w:kern w:val="0"/>
                <w:szCs w:val="21"/>
              </w:rPr>
              <w:t>具体内容</w:t>
            </w:r>
          </w:p>
        </w:tc>
      </w:tr>
      <w:tr w14:paraId="5D02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49910429">
            <w:pPr>
              <w:jc w:val="center"/>
              <w:rPr>
                <w:rFonts w:ascii="Times New Roman" w:hAnsi="Times New Roman" w:eastAsia="宋体" w:cs="Times New Roman"/>
                <w:snapToGrid w:val="0"/>
                <w:color w:val="000000"/>
                <w:kern w:val="0"/>
                <w:szCs w:val="21"/>
              </w:rPr>
            </w:pPr>
            <w:r>
              <w:rPr>
                <w:rFonts w:ascii="Times New Roman" w:hAnsi="Times New Roman" w:eastAsia="宋体" w:cs="Times New Roman"/>
                <w:snapToGrid w:val="0"/>
                <w:color w:val="000000"/>
                <w:kern w:val="0"/>
                <w:szCs w:val="21"/>
              </w:rPr>
              <w:t>1</w:t>
            </w:r>
          </w:p>
        </w:tc>
        <w:tc>
          <w:tcPr>
            <w:tcW w:w="672" w:type="pct"/>
            <w:vMerge w:val="restart"/>
            <w:vAlign w:val="center"/>
          </w:tcPr>
          <w:p w14:paraId="51AE4702">
            <w:pPr>
              <w:jc w:val="center"/>
              <w:rPr>
                <w:rFonts w:ascii="Times New Roman" w:hAnsi="Times New Roman" w:eastAsia="宋体" w:cs="Times New Roman"/>
                <w:snapToGrid w:val="0"/>
                <w:color w:val="000000"/>
                <w:kern w:val="0"/>
                <w:szCs w:val="21"/>
              </w:rPr>
            </w:pPr>
            <w:r>
              <w:rPr>
                <w:rFonts w:hint="default" w:ascii="Times New Roman" w:hAnsi="Times New Roman" w:eastAsia="宋体" w:cs="Times New Roman"/>
                <w:snapToGrid w:val="0"/>
                <w:color w:val="000000"/>
                <w:kern w:val="0"/>
                <w:szCs w:val="21"/>
              </w:rPr>
              <w:t>源头减碳</w:t>
            </w:r>
          </w:p>
        </w:tc>
        <w:tc>
          <w:tcPr>
            <w:tcW w:w="884" w:type="pct"/>
            <w:vAlign w:val="center"/>
          </w:tcPr>
          <w:p w14:paraId="5AFD0CCC">
            <w:pPr>
              <w:jc w:val="center"/>
              <w:rPr>
                <w:rFonts w:hint="default" w:ascii="Times New Roman" w:hAnsi="Times New Roman" w:eastAsia="宋体" w:cs="Times New Roman"/>
                <w:snapToGrid w:val="0"/>
                <w:color w:val="000000"/>
                <w:kern w:val="0"/>
                <w:szCs w:val="21"/>
              </w:rPr>
            </w:pPr>
            <w:r>
              <w:rPr>
                <w:rFonts w:hint="default" w:ascii="Times New Roman" w:hAnsi="Times New Roman" w:eastAsia="宋体" w:cs="Times New Roman"/>
                <w:snapToGrid w:val="0"/>
                <w:color w:val="000000"/>
                <w:kern w:val="0"/>
                <w:szCs w:val="21"/>
              </w:rPr>
              <w:t>设备升级</w:t>
            </w:r>
          </w:p>
        </w:tc>
        <w:tc>
          <w:tcPr>
            <w:tcW w:w="2887" w:type="pct"/>
            <w:vAlign w:val="center"/>
          </w:tcPr>
          <w:p w14:paraId="68F11F60">
            <w:pPr>
              <w:jc w:val="center"/>
              <w:rPr>
                <w:rFonts w:ascii="Times New Roman" w:hAnsi="Times New Roman" w:eastAsia="宋体" w:cs="Times New Roman"/>
                <w:snapToGrid w:val="0"/>
                <w:color w:val="000000"/>
                <w:kern w:val="0"/>
                <w:szCs w:val="21"/>
              </w:rPr>
            </w:pPr>
            <w:r>
              <w:rPr>
                <w:rFonts w:hint="default" w:ascii="Times New Roman" w:hAnsi="Times New Roman" w:eastAsia="宋体" w:cs="Times New Roman"/>
                <w:snapToGrid w:val="0"/>
                <w:color w:val="000000"/>
                <w:kern w:val="0"/>
                <w:szCs w:val="21"/>
              </w:rPr>
              <w:t>大型化/高效化气化炉（如半废锅、全废锅气化工艺）、空分、压缩机、机泵；淘汰高耗能老旧设备</w:t>
            </w:r>
          </w:p>
        </w:tc>
      </w:tr>
      <w:tr w14:paraId="15D7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09153E9A">
            <w:pPr>
              <w:jc w:val="center"/>
              <w:rPr>
                <w:rFonts w:ascii="Times New Roman" w:hAnsi="Times New Roman" w:eastAsia="宋体" w:cs="Times New Roman"/>
                <w:snapToGrid w:val="0"/>
                <w:color w:val="000000"/>
                <w:kern w:val="0"/>
                <w:szCs w:val="21"/>
              </w:rPr>
            </w:pPr>
            <w:r>
              <w:rPr>
                <w:rFonts w:ascii="Times New Roman" w:hAnsi="Times New Roman" w:eastAsia="宋体" w:cs="Times New Roman"/>
                <w:snapToGrid w:val="0"/>
                <w:color w:val="000000"/>
                <w:kern w:val="0"/>
                <w:szCs w:val="21"/>
              </w:rPr>
              <w:t>2</w:t>
            </w:r>
          </w:p>
        </w:tc>
        <w:tc>
          <w:tcPr>
            <w:tcW w:w="672" w:type="pct"/>
            <w:vMerge w:val="continue"/>
            <w:vAlign w:val="center"/>
          </w:tcPr>
          <w:p w14:paraId="5EE9410F">
            <w:pPr>
              <w:jc w:val="center"/>
              <w:rPr>
                <w:rFonts w:ascii="Times New Roman" w:hAnsi="Times New Roman" w:eastAsia="宋体" w:cs="Times New Roman"/>
                <w:snapToGrid w:val="0"/>
                <w:color w:val="000000"/>
                <w:kern w:val="0"/>
                <w:szCs w:val="21"/>
              </w:rPr>
            </w:pPr>
          </w:p>
        </w:tc>
        <w:tc>
          <w:tcPr>
            <w:tcW w:w="884" w:type="pct"/>
            <w:vAlign w:val="center"/>
          </w:tcPr>
          <w:p w14:paraId="5A0D7C1E">
            <w:pPr>
              <w:jc w:val="center"/>
              <w:rPr>
                <w:rFonts w:ascii="Times New Roman" w:hAnsi="Times New Roman" w:eastAsia="宋体" w:cs="Times New Roman"/>
                <w:snapToGrid w:val="0"/>
                <w:color w:val="000000"/>
                <w:kern w:val="0"/>
                <w:szCs w:val="21"/>
              </w:rPr>
            </w:pPr>
            <w:r>
              <w:rPr>
                <w:rFonts w:hint="default" w:ascii="Times New Roman" w:hAnsi="Times New Roman" w:eastAsia="宋体" w:cs="Times New Roman"/>
                <w:snapToGrid w:val="0"/>
                <w:color w:val="000000"/>
                <w:kern w:val="0"/>
                <w:szCs w:val="21"/>
              </w:rPr>
              <w:t>热集成优化</w:t>
            </w:r>
          </w:p>
        </w:tc>
        <w:tc>
          <w:tcPr>
            <w:tcW w:w="2887" w:type="pct"/>
            <w:vAlign w:val="center"/>
          </w:tcPr>
          <w:p w14:paraId="20563AE6">
            <w:pPr>
              <w:jc w:val="center"/>
              <w:rPr>
                <w:rFonts w:ascii="Times New Roman" w:hAnsi="Times New Roman" w:eastAsia="宋体" w:cs="Times New Roman"/>
                <w:snapToGrid w:val="0"/>
                <w:color w:val="000000"/>
                <w:kern w:val="0"/>
                <w:szCs w:val="21"/>
              </w:rPr>
            </w:pPr>
            <w:r>
              <w:rPr>
                <w:rFonts w:hint="default" w:ascii="Times New Roman" w:hAnsi="Times New Roman" w:eastAsia="宋体" w:cs="Times New Roman"/>
                <w:snapToGrid w:val="0"/>
                <w:color w:val="000000"/>
                <w:kern w:val="0"/>
                <w:szCs w:val="21"/>
              </w:rPr>
              <w:t>全流程能量匹配、余热余压回收、蒸汽系统梯级利用</w:t>
            </w:r>
          </w:p>
        </w:tc>
      </w:tr>
      <w:tr w14:paraId="238F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578664FC">
            <w:pPr>
              <w:jc w:val="center"/>
              <w:rPr>
                <w:rFonts w:ascii="Times New Roman" w:hAnsi="Times New Roman" w:eastAsia="宋体" w:cs="Times New Roman"/>
                <w:snapToGrid w:val="0"/>
                <w:color w:val="000000"/>
                <w:kern w:val="0"/>
                <w:szCs w:val="21"/>
              </w:rPr>
            </w:pPr>
            <w:r>
              <w:rPr>
                <w:rFonts w:ascii="Times New Roman" w:hAnsi="Times New Roman" w:eastAsia="宋体" w:cs="Times New Roman"/>
                <w:snapToGrid w:val="0"/>
                <w:color w:val="000000"/>
                <w:kern w:val="0"/>
                <w:szCs w:val="21"/>
              </w:rPr>
              <w:t>3</w:t>
            </w:r>
          </w:p>
        </w:tc>
        <w:tc>
          <w:tcPr>
            <w:tcW w:w="672" w:type="pct"/>
            <w:vMerge w:val="continue"/>
            <w:vAlign w:val="center"/>
          </w:tcPr>
          <w:p w14:paraId="74356578">
            <w:pPr>
              <w:jc w:val="center"/>
              <w:rPr>
                <w:rFonts w:ascii="Times New Roman" w:hAnsi="Times New Roman" w:eastAsia="宋体" w:cs="Times New Roman"/>
                <w:snapToGrid w:val="0"/>
                <w:color w:val="000000"/>
                <w:kern w:val="0"/>
                <w:szCs w:val="21"/>
              </w:rPr>
            </w:pPr>
          </w:p>
        </w:tc>
        <w:tc>
          <w:tcPr>
            <w:tcW w:w="884" w:type="pct"/>
            <w:vAlign w:val="center"/>
          </w:tcPr>
          <w:p w14:paraId="4D7E6094">
            <w:pPr>
              <w:jc w:val="center"/>
              <w:rPr>
                <w:rFonts w:ascii="Times New Roman" w:hAnsi="Times New Roman" w:eastAsia="宋体" w:cs="Times New Roman"/>
                <w:snapToGrid w:val="0"/>
                <w:color w:val="000000"/>
                <w:kern w:val="0"/>
                <w:szCs w:val="21"/>
              </w:rPr>
            </w:pPr>
            <w:r>
              <w:rPr>
                <w:rFonts w:hint="default" w:ascii="Times New Roman" w:hAnsi="Times New Roman" w:eastAsia="宋体" w:cs="Times New Roman"/>
                <w:snapToGrid w:val="0"/>
                <w:color w:val="000000"/>
                <w:kern w:val="0"/>
                <w:szCs w:val="21"/>
              </w:rPr>
              <w:t>工艺优化</w:t>
            </w:r>
            <w:r>
              <w:rPr>
                <w:rFonts w:ascii="Times New Roman" w:hAnsi="Times New Roman" w:eastAsia="宋体" w:cs="Times New Roman"/>
                <w:snapToGrid w:val="0"/>
                <w:color w:val="000000"/>
                <w:kern w:val="0"/>
                <w:szCs w:val="21"/>
              </w:rPr>
              <w:t xml:space="preserve"> </w:t>
            </w:r>
          </w:p>
        </w:tc>
        <w:tc>
          <w:tcPr>
            <w:tcW w:w="2887" w:type="pct"/>
            <w:vAlign w:val="center"/>
          </w:tcPr>
          <w:p w14:paraId="326A49AB">
            <w:pPr>
              <w:jc w:val="center"/>
              <w:rPr>
                <w:rFonts w:ascii="Times New Roman" w:hAnsi="Times New Roman" w:eastAsia="宋体" w:cs="Times New Roman"/>
                <w:snapToGrid w:val="0"/>
                <w:color w:val="000000"/>
                <w:kern w:val="0"/>
                <w:szCs w:val="21"/>
              </w:rPr>
            </w:pPr>
            <w:r>
              <w:rPr>
                <w:rFonts w:hint="default" w:ascii="Times New Roman" w:hAnsi="Times New Roman" w:eastAsia="宋体" w:cs="Times New Roman"/>
                <w:snapToGrid w:val="0"/>
                <w:color w:val="000000"/>
                <w:kern w:val="0"/>
                <w:szCs w:val="21"/>
              </w:rPr>
              <w:t>催化剂升级、反应条件优化、短流程替代长流程</w:t>
            </w:r>
          </w:p>
        </w:tc>
      </w:tr>
      <w:tr w14:paraId="5655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6B1F871C">
            <w:pPr>
              <w:jc w:val="center"/>
              <w:rPr>
                <w:rFonts w:ascii="Times New Roman" w:hAnsi="Times New Roman" w:eastAsia="宋体" w:cs="Times New Roman"/>
                <w:snapToGrid w:val="0"/>
                <w:color w:val="000000"/>
                <w:kern w:val="0"/>
                <w:szCs w:val="21"/>
              </w:rPr>
            </w:pPr>
            <w:r>
              <w:rPr>
                <w:rFonts w:ascii="Times New Roman" w:hAnsi="Times New Roman" w:eastAsia="宋体" w:cs="Times New Roman"/>
                <w:snapToGrid w:val="0"/>
                <w:color w:val="000000"/>
                <w:kern w:val="0"/>
                <w:szCs w:val="21"/>
              </w:rPr>
              <w:t>4</w:t>
            </w:r>
          </w:p>
        </w:tc>
        <w:tc>
          <w:tcPr>
            <w:tcW w:w="672" w:type="pct"/>
            <w:vMerge w:val="continue"/>
            <w:vAlign w:val="center"/>
          </w:tcPr>
          <w:p w14:paraId="1D5B1778">
            <w:pPr>
              <w:jc w:val="center"/>
              <w:rPr>
                <w:rFonts w:ascii="Times New Roman" w:hAnsi="Times New Roman" w:eastAsia="宋体" w:cs="Times New Roman"/>
                <w:snapToGrid w:val="0"/>
                <w:color w:val="000000"/>
                <w:kern w:val="0"/>
                <w:szCs w:val="21"/>
              </w:rPr>
            </w:pPr>
          </w:p>
        </w:tc>
        <w:tc>
          <w:tcPr>
            <w:tcW w:w="884" w:type="pct"/>
            <w:vAlign w:val="center"/>
          </w:tcPr>
          <w:p w14:paraId="31C2F9D4">
            <w:pPr>
              <w:jc w:val="center"/>
              <w:rPr>
                <w:rFonts w:hint="default" w:ascii="Times New Roman" w:hAnsi="Times New Roman" w:eastAsia="宋体" w:cs="Times New Roman"/>
                <w:snapToGrid w:val="0"/>
                <w:color w:val="000000"/>
                <w:kern w:val="0"/>
                <w:szCs w:val="21"/>
              </w:rPr>
            </w:pPr>
            <w:r>
              <w:rPr>
                <w:rFonts w:hint="default" w:ascii="Times New Roman" w:hAnsi="Times New Roman" w:eastAsia="宋体" w:cs="Times New Roman"/>
                <w:snapToGrid w:val="0"/>
                <w:color w:val="000000"/>
                <w:kern w:val="0"/>
                <w:szCs w:val="21"/>
              </w:rPr>
              <w:t>智能管控</w:t>
            </w:r>
          </w:p>
        </w:tc>
        <w:tc>
          <w:tcPr>
            <w:tcW w:w="2887" w:type="pct"/>
            <w:vAlign w:val="center"/>
          </w:tcPr>
          <w:p w14:paraId="59916282">
            <w:pPr>
              <w:jc w:val="center"/>
              <w:rPr>
                <w:rFonts w:hint="default" w:ascii="Times New Roman" w:hAnsi="Times New Roman" w:eastAsia="宋体" w:cs="Times New Roman"/>
                <w:snapToGrid w:val="0"/>
                <w:color w:val="000000"/>
                <w:kern w:val="0"/>
                <w:szCs w:val="21"/>
              </w:rPr>
            </w:pPr>
            <w:r>
              <w:rPr>
                <w:rFonts w:hint="default" w:ascii="Times New Roman" w:hAnsi="Times New Roman" w:eastAsia="宋体" w:cs="Times New Roman"/>
                <w:snapToGrid w:val="0"/>
                <w:color w:val="000000"/>
                <w:kern w:val="0"/>
                <w:szCs w:val="21"/>
              </w:rPr>
              <w:t>能源管理平台、先进过程控制（APC）、数字化运维。</w:t>
            </w:r>
          </w:p>
        </w:tc>
      </w:tr>
      <w:tr w14:paraId="7AF3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6416E41B">
            <w:pPr>
              <w:jc w:val="center"/>
              <w:rPr>
                <w:rFonts w:ascii="Times New Roman" w:hAnsi="Times New Roman" w:eastAsia="宋体" w:cs="Times New Roman"/>
                <w:snapToGrid w:val="0"/>
                <w:color w:val="000000"/>
                <w:kern w:val="0"/>
                <w:szCs w:val="21"/>
              </w:rPr>
            </w:pPr>
            <w:r>
              <w:rPr>
                <w:rFonts w:ascii="Times New Roman" w:hAnsi="Times New Roman" w:eastAsia="宋体" w:cs="Times New Roman"/>
                <w:snapToGrid w:val="0"/>
                <w:color w:val="000000"/>
                <w:kern w:val="0"/>
                <w:szCs w:val="21"/>
              </w:rPr>
              <w:t>5</w:t>
            </w:r>
          </w:p>
        </w:tc>
        <w:tc>
          <w:tcPr>
            <w:tcW w:w="672" w:type="pct"/>
            <w:vMerge w:val="continue"/>
            <w:vAlign w:val="center"/>
          </w:tcPr>
          <w:p w14:paraId="488045EE">
            <w:pPr>
              <w:jc w:val="center"/>
              <w:rPr>
                <w:rFonts w:ascii="Times New Roman" w:hAnsi="Times New Roman" w:eastAsia="宋体" w:cs="Times New Roman"/>
                <w:snapToGrid w:val="0"/>
                <w:color w:val="000000"/>
                <w:kern w:val="0"/>
                <w:szCs w:val="21"/>
              </w:rPr>
            </w:pPr>
          </w:p>
        </w:tc>
        <w:tc>
          <w:tcPr>
            <w:tcW w:w="884" w:type="pct"/>
            <w:vAlign w:val="center"/>
          </w:tcPr>
          <w:p w14:paraId="5FFE335F">
            <w:pPr>
              <w:jc w:val="center"/>
              <w:rPr>
                <w:rFonts w:hint="default" w:ascii="Times New Roman" w:hAnsi="Times New Roman" w:eastAsia="宋体" w:cs="Times New Roman"/>
                <w:snapToGrid w:val="0"/>
                <w:color w:val="000000"/>
                <w:kern w:val="0"/>
                <w:szCs w:val="21"/>
              </w:rPr>
            </w:pPr>
            <w:r>
              <w:rPr>
                <w:rFonts w:hint="default" w:ascii="Times New Roman" w:hAnsi="Times New Roman" w:eastAsia="宋体" w:cs="Times New Roman"/>
                <w:snapToGrid w:val="0"/>
                <w:color w:val="000000"/>
                <w:kern w:val="0"/>
                <w:szCs w:val="21"/>
              </w:rPr>
              <w:t>绿色能源</w:t>
            </w:r>
          </w:p>
        </w:tc>
        <w:tc>
          <w:tcPr>
            <w:tcW w:w="2887" w:type="pct"/>
            <w:vAlign w:val="center"/>
          </w:tcPr>
          <w:p w14:paraId="199E7CC3">
            <w:pPr>
              <w:jc w:val="center"/>
              <w:rPr>
                <w:rFonts w:hint="default" w:ascii="Times New Roman" w:hAnsi="Times New Roman" w:eastAsia="宋体" w:cs="Times New Roman"/>
                <w:snapToGrid w:val="0"/>
                <w:color w:val="000000"/>
                <w:kern w:val="0"/>
                <w:szCs w:val="21"/>
              </w:rPr>
            </w:pPr>
            <w:r>
              <w:rPr>
                <w:rFonts w:hint="default" w:ascii="Times New Roman" w:hAnsi="Times New Roman" w:eastAsia="宋体" w:cs="Times New Roman"/>
                <w:snapToGrid w:val="0"/>
                <w:color w:val="000000"/>
                <w:kern w:val="0"/>
                <w:szCs w:val="21"/>
              </w:rPr>
              <w:t>绿电替代火电、绿氢耦合（灰氢转绿氢）、低碳原料替代</w:t>
            </w:r>
          </w:p>
        </w:tc>
      </w:tr>
      <w:tr w14:paraId="1F9B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45E8B4CB">
            <w:pPr>
              <w:jc w:val="center"/>
              <w:rPr>
                <w:rFonts w:ascii="Times New Roman" w:hAnsi="Times New Roman" w:eastAsia="宋体" w:cs="Times New Roman"/>
                <w:snapToGrid w:val="0"/>
                <w:color w:val="000000"/>
                <w:kern w:val="0"/>
                <w:szCs w:val="21"/>
              </w:rPr>
            </w:pPr>
            <w:r>
              <w:rPr>
                <w:rFonts w:ascii="Times New Roman" w:hAnsi="Times New Roman" w:eastAsia="宋体" w:cs="Times New Roman"/>
                <w:snapToGrid w:val="0"/>
                <w:color w:val="000000"/>
                <w:kern w:val="0"/>
                <w:szCs w:val="21"/>
              </w:rPr>
              <w:t>6</w:t>
            </w:r>
          </w:p>
        </w:tc>
        <w:tc>
          <w:tcPr>
            <w:tcW w:w="1557" w:type="pct"/>
            <w:gridSpan w:val="2"/>
            <w:vAlign w:val="center"/>
          </w:tcPr>
          <w:p w14:paraId="6AA27903">
            <w:pPr>
              <w:jc w:val="center"/>
              <w:rPr>
                <w:rFonts w:hint="default" w:ascii="Times New Roman" w:hAnsi="Times New Roman" w:eastAsia="宋体" w:cs="Times New Roman"/>
                <w:snapToGrid w:val="0"/>
                <w:color w:val="000000"/>
                <w:kern w:val="0"/>
                <w:szCs w:val="21"/>
              </w:rPr>
            </w:pPr>
            <w:r>
              <w:rPr>
                <w:rFonts w:hint="default" w:ascii="Times New Roman" w:hAnsi="Times New Roman" w:eastAsia="宋体" w:cs="Times New Roman"/>
                <w:snapToGrid w:val="0"/>
                <w:color w:val="000000"/>
                <w:kern w:val="0"/>
                <w:szCs w:val="21"/>
              </w:rPr>
              <w:t>过程减碳</w:t>
            </w:r>
          </w:p>
        </w:tc>
        <w:tc>
          <w:tcPr>
            <w:tcW w:w="2887" w:type="pct"/>
            <w:vAlign w:val="center"/>
          </w:tcPr>
          <w:p w14:paraId="36B9EF46">
            <w:pPr>
              <w:jc w:val="center"/>
              <w:rPr>
                <w:rFonts w:hint="default" w:ascii="Times New Roman" w:hAnsi="Times New Roman" w:eastAsia="宋体" w:cs="Times New Roman"/>
                <w:snapToGrid w:val="0"/>
                <w:color w:val="000000"/>
                <w:kern w:val="0"/>
                <w:szCs w:val="21"/>
              </w:rPr>
            </w:pPr>
            <w:r>
              <w:rPr>
                <w:rFonts w:hint="default" w:ascii="Times New Roman" w:hAnsi="Times New Roman" w:eastAsia="宋体" w:cs="Times New Roman"/>
                <w:snapToGrid w:val="0"/>
                <w:color w:val="000000"/>
                <w:kern w:val="0"/>
                <w:szCs w:val="21"/>
              </w:rPr>
              <w:t>能效提升直接减碳；优化气化/转化工艺，减少反应碳排放；二氧化碳气返炉</w:t>
            </w:r>
          </w:p>
        </w:tc>
      </w:tr>
      <w:tr w14:paraId="0041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6056D3C1">
            <w:pPr>
              <w:jc w:val="center"/>
              <w:rPr>
                <w:rFonts w:ascii="Times New Roman" w:hAnsi="Times New Roman" w:eastAsia="宋体" w:cs="Times New Roman"/>
                <w:snapToGrid w:val="0"/>
                <w:color w:val="000000"/>
                <w:kern w:val="0"/>
                <w:szCs w:val="21"/>
              </w:rPr>
            </w:pPr>
            <w:r>
              <w:rPr>
                <w:rFonts w:ascii="Times New Roman" w:hAnsi="Times New Roman" w:eastAsia="宋体" w:cs="Times New Roman"/>
                <w:snapToGrid w:val="0"/>
                <w:color w:val="000000"/>
                <w:kern w:val="0"/>
                <w:szCs w:val="21"/>
              </w:rPr>
              <w:t>7</w:t>
            </w:r>
          </w:p>
        </w:tc>
        <w:tc>
          <w:tcPr>
            <w:tcW w:w="1557" w:type="pct"/>
            <w:gridSpan w:val="2"/>
            <w:vAlign w:val="center"/>
          </w:tcPr>
          <w:p w14:paraId="0952A8AB">
            <w:pPr>
              <w:jc w:val="center"/>
              <w:rPr>
                <w:rFonts w:hint="default" w:ascii="Times New Roman" w:hAnsi="Times New Roman" w:eastAsia="宋体" w:cs="Times New Roman"/>
                <w:snapToGrid w:val="0"/>
                <w:color w:val="000000"/>
                <w:kern w:val="0"/>
                <w:szCs w:val="21"/>
              </w:rPr>
            </w:pPr>
            <w:r>
              <w:rPr>
                <w:rFonts w:hint="default" w:ascii="Times New Roman" w:hAnsi="Times New Roman" w:eastAsia="宋体" w:cs="Times New Roman"/>
                <w:snapToGrid w:val="0"/>
                <w:color w:val="000000"/>
                <w:kern w:val="0"/>
                <w:szCs w:val="21"/>
              </w:rPr>
              <w:t>末端控碳</w:t>
            </w:r>
          </w:p>
        </w:tc>
        <w:tc>
          <w:tcPr>
            <w:tcW w:w="2887" w:type="pct"/>
            <w:vAlign w:val="center"/>
          </w:tcPr>
          <w:p w14:paraId="3F98E0CC">
            <w:pPr>
              <w:jc w:val="center"/>
              <w:rPr>
                <w:rFonts w:hint="default" w:ascii="Times New Roman" w:hAnsi="Times New Roman" w:eastAsia="宋体" w:cs="Times New Roman"/>
                <w:snapToGrid w:val="0"/>
                <w:color w:val="000000"/>
                <w:kern w:val="0"/>
                <w:szCs w:val="21"/>
              </w:rPr>
            </w:pPr>
            <w:r>
              <w:rPr>
                <w:rFonts w:ascii="Times New Roman" w:hAnsi="Times New Roman" w:eastAsia="宋体" w:cs="Times New Roman"/>
                <w:snapToGrid w:val="0"/>
                <w:color w:val="000000"/>
                <w:kern w:val="0"/>
                <w:szCs w:val="21"/>
              </w:rPr>
              <w:t>CCUS</w:t>
            </w:r>
            <w:r>
              <w:rPr>
                <w:rFonts w:hint="default" w:ascii="Times New Roman" w:hAnsi="Times New Roman" w:eastAsia="宋体" w:cs="Times New Roman"/>
                <w:snapToGrid w:val="0"/>
                <w:color w:val="000000"/>
                <w:kern w:val="0"/>
                <w:szCs w:val="21"/>
              </w:rPr>
              <w:t>（捕集</w:t>
            </w:r>
            <w:r>
              <w:rPr>
                <w:rFonts w:ascii="Times New Roman" w:hAnsi="Times New Roman" w:eastAsia="宋体" w:cs="Times New Roman"/>
                <w:snapToGrid w:val="0"/>
                <w:color w:val="000000"/>
                <w:kern w:val="0"/>
                <w:szCs w:val="21"/>
              </w:rPr>
              <w:t>/</w:t>
            </w:r>
            <w:r>
              <w:rPr>
                <w:rFonts w:hint="default" w:ascii="Times New Roman" w:hAnsi="Times New Roman" w:eastAsia="宋体" w:cs="Times New Roman"/>
                <w:snapToGrid w:val="0"/>
                <w:color w:val="000000"/>
                <w:kern w:val="0"/>
                <w:szCs w:val="21"/>
              </w:rPr>
              <w:t>封存</w:t>
            </w:r>
            <w:r>
              <w:rPr>
                <w:rFonts w:ascii="Times New Roman" w:hAnsi="Times New Roman" w:eastAsia="宋体" w:cs="Times New Roman"/>
                <w:snapToGrid w:val="0"/>
                <w:color w:val="000000"/>
                <w:kern w:val="0"/>
                <w:szCs w:val="21"/>
              </w:rPr>
              <w:t>/</w:t>
            </w:r>
            <w:r>
              <w:rPr>
                <w:rFonts w:hint="default" w:ascii="Times New Roman" w:hAnsi="Times New Roman" w:eastAsia="宋体" w:cs="Times New Roman"/>
                <w:snapToGrid w:val="0"/>
                <w:color w:val="000000"/>
                <w:kern w:val="0"/>
                <w:szCs w:val="21"/>
              </w:rPr>
              <w:t>利用），高浓度</w:t>
            </w:r>
            <w:r>
              <w:rPr>
                <w:rFonts w:ascii="Times New Roman" w:hAnsi="Times New Roman" w:eastAsia="宋体" w:cs="Times New Roman"/>
                <w:snapToGrid w:val="0"/>
                <w:color w:val="000000"/>
                <w:kern w:val="0"/>
                <w:szCs w:val="21"/>
              </w:rPr>
              <w:t>CO₂</w:t>
            </w:r>
            <w:r>
              <w:rPr>
                <w:rFonts w:hint="default" w:ascii="Times New Roman" w:hAnsi="Times New Roman" w:eastAsia="宋体" w:cs="Times New Roman"/>
                <w:snapToGrid w:val="0"/>
                <w:color w:val="000000"/>
                <w:kern w:val="0"/>
                <w:szCs w:val="21"/>
              </w:rPr>
              <w:t>低成本捕集，二氧化碳制甲醇</w:t>
            </w:r>
            <w:r>
              <w:rPr>
                <w:rFonts w:ascii="Times New Roman" w:hAnsi="Times New Roman" w:eastAsia="宋体" w:cs="Times New Roman"/>
                <w:snapToGrid w:val="0"/>
                <w:color w:val="000000"/>
                <w:kern w:val="0"/>
                <w:szCs w:val="21"/>
              </w:rPr>
              <w:t>/</w:t>
            </w:r>
            <w:r>
              <w:rPr>
                <w:rFonts w:hint="default" w:ascii="Times New Roman" w:hAnsi="Times New Roman" w:eastAsia="宋体" w:cs="Times New Roman"/>
                <w:snapToGrid w:val="0"/>
                <w:color w:val="000000"/>
                <w:kern w:val="0"/>
                <w:szCs w:val="21"/>
              </w:rPr>
              <w:t>可降解材料等；气化粗细渣综合利用</w:t>
            </w:r>
          </w:p>
        </w:tc>
      </w:tr>
    </w:tbl>
    <w:p w14:paraId="16FA8688">
      <w:pPr>
        <w:jc w:val="center"/>
        <w:rPr>
          <w:rFonts w:ascii="Times New Roman" w:hAnsi="Times New Roman" w:eastAsia="宋体" w:cs="Times New Roman"/>
          <w:snapToGrid w:val="0"/>
          <w:color w:val="000000"/>
          <w:kern w:val="0"/>
          <w:szCs w:val="21"/>
        </w:rPr>
      </w:pPr>
    </w:p>
    <w:p w14:paraId="65E92C80">
      <w:pPr>
        <w:rPr>
          <w:rFonts w:ascii="Times New Roman" w:hAnsi="Times New Roman" w:eastAsia="宋体" w:cs="Times New Roman"/>
        </w:rPr>
      </w:pPr>
      <w:r>
        <w:rPr>
          <w:rFonts w:ascii="Times New Roman" w:hAnsi="Times New Roman" w:eastAsia="宋体" w:cs="Times New Roman"/>
        </w:rPr>
        <w:br w:type="page"/>
      </w:r>
    </w:p>
    <w:p w14:paraId="3B5F3617">
      <w:pPr>
        <w:pStyle w:val="4"/>
        <w:spacing w:before="157" w:line="360" w:lineRule="auto"/>
        <w:ind w:left="6" w:right="213" w:firstLine="418"/>
        <w:rPr>
          <w:lang w:eastAsia="zh-CN"/>
        </w:rPr>
      </w:pPr>
    </w:p>
    <w:p w14:paraId="6BA328F1">
      <w:pPr>
        <w:pStyle w:val="21"/>
        <w:numPr>
          <w:ilvl w:val="0"/>
          <w:numId w:val="0"/>
        </w:numPr>
        <w:shd w:val="clear" w:color="auto" w:fill="auto"/>
        <w:tabs>
          <w:tab w:val="left" w:pos="6406"/>
        </w:tabs>
        <w:spacing w:beforeLines="0" w:afterLines="0" w:line="312" w:lineRule="auto"/>
      </w:pPr>
      <w:bookmarkStart w:id="48" w:name="_Toc12473"/>
      <w:bookmarkStart w:id="49" w:name="_Toc21956"/>
      <w:r>
        <w:rPr>
          <w:rFonts w:hint="eastAsia"/>
        </w:rPr>
        <w:t>附录F</w:t>
      </w:r>
      <w:bookmarkEnd w:id="48"/>
      <w:bookmarkEnd w:id="49"/>
    </w:p>
    <w:p w14:paraId="7D2F3A0D">
      <w:pPr>
        <w:pStyle w:val="21"/>
        <w:numPr>
          <w:ilvl w:val="0"/>
          <w:numId w:val="0"/>
        </w:numPr>
        <w:shd w:val="clear" w:color="auto" w:fill="auto"/>
        <w:tabs>
          <w:tab w:val="left" w:pos="6406"/>
        </w:tabs>
        <w:spacing w:beforeLines="0" w:afterLines="0" w:line="312" w:lineRule="auto"/>
        <w:outlineLvl w:val="9"/>
        <w:rPr>
          <w:rFonts w:ascii="Arial" w:hAnsi="Arial" w:cs="Arial"/>
        </w:rPr>
      </w:pPr>
      <w:r>
        <w:rPr>
          <w:rFonts w:ascii="Arial" w:hAnsi="Arial" w:cs="Arial"/>
        </w:rPr>
        <w:t>（资料性</w:t>
      </w:r>
      <w:r>
        <w:rPr>
          <w:rFonts w:hint="eastAsia" w:ascii="Arial" w:hAnsi="Arial" w:cs="Arial"/>
        </w:rPr>
        <w:t>附录</w:t>
      </w:r>
      <w:r>
        <w:rPr>
          <w:rFonts w:ascii="Arial" w:hAnsi="Arial" w:cs="Arial"/>
        </w:rPr>
        <w:t>）</w:t>
      </w:r>
      <w:r>
        <w:rPr>
          <w:rFonts w:ascii="Arial" w:hAnsi="Arial" w:cs="Arial"/>
        </w:rPr>
        <w:br w:type="textWrapping"/>
      </w:r>
      <w:r>
        <w:rPr>
          <w:rFonts w:hint="eastAsia" w:ascii="Arial" w:hAnsi="Arial" w:cs="Arial"/>
        </w:rPr>
        <w:t>常用燃料</w:t>
      </w:r>
      <w:r>
        <w:rPr>
          <w:rFonts w:ascii="Arial" w:hAnsi="Arial" w:cs="Arial"/>
        </w:rPr>
        <w:t>温室气体排放因子参考表</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724"/>
        <w:gridCol w:w="1269"/>
        <w:gridCol w:w="2248"/>
        <w:gridCol w:w="1479"/>
        <w:gridCol w:w="1095"/>
      </w:tblGrid>
      <w:tr w14:paraId="2B9790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4" w:hRule="atLeast"/>
          <w:tblHeader/>
          <w:jc w:val="center"/>
        </w:trPr>
        <w:tc>
          <w:tcPr>
            <w:tcW w:w="1424" w:type="pct"/>
            <w:gridSpan w:val="2"/>
            <w:tcBorders>
              <w:top w:val="single" w:color="auto" w:sz="8" w:space="0"/>
              <w:left w:val="single" w:color="auto" w:sz="8" w:space="0"/>
              <w:bottom w:val="single" w:color="auto" w:sz="4" w:space="0"/>
            </w:tcBorders>
            <w:shd w:val="clear" w:color="000000" w:fill="auto"/>
            <w:vAlign w:val="center"/>
          </w:tcPr>
          <w:p w14:paraId="617C86A7">
            <w:pPr>
              <w:pStyle w:val="23"/>
              <w:rPr>
                <w:rFonts w:ascii="Times New Roman" w:hAnsi="Times New Roman" w:eastAsia="宋体" w:cs="Times New Roman"/>
                <w:b/>
                <w:bCs/>
                <w:szCs w:val="21"/>
              </w:rPr>
            </w:pPr>
            <w:r>
              <w:rPr>
                <w:rFonts w:ascii="Times New Roman" w:hAnsi="Times New Roman" w:eastAsia="宋体" w:cs="Times New Roman"/>
                <w:b/>
                <w:bCs/>
                <w:szCs w:val="21"/>
              </w:rPr>
              <w:t>燃料品种</w:t>
            </w:r>
          </w:p>
        </w:tc>
        <w:tc>
          <w:tcPr>
            <w:tcW w:w="745" w:type="pct"/>
            <w:tcBorders>
              <w:top w:val="single" w:color="auto" w:sz="8" w:space="0"/>
              <w:bottom w:val="single" w:color="auto" w:sz="4" w:space="0"/>
            </w:tcBorders>
            <w:shd w:val="clear" w:color="000000" w:fill="auto"/>
            <w:vAlign w:val="center"/>
          </w:tcPr>
          <w:p w14:paraId="7BF9AE50">
            <w:pPr>
              <w:pStyle w:val="23"/>
              <w:rPr>
                <w:rFonts w:ascii="Times New Roman" w:hAnsi="Times New Roman" w:eastAsia="宋体" w:cs="Times New Roman"/>
                <w:b/>
                <w:bCs/>
                <w:szCs w:val="21"/>
              </w:rPr>
            </w:pPr>
            <w:r>
              <w:rPr>
                <w:rFonts w:ascii="Times New Roman" w:hAnsi="Times New Roman" w:eastAsia="宋体" w:cs="Times New Roman"/>
                <w:b/>
                <w:bCs/>
                <w:szCs w:val="21"/>
              </w:rPr>
              <w:t>计量单位</w:t>
            </w:r>
          </w:p>
        </w:tc>
        <w:tc>
          <w:tcPr>
            <w:tcW w:w="1320" w:type="pct"/>
            <w:tcBorders>
              <w:top w:val="single" w:color="auto" w:sz="8" w:space="0"/>
              <w:bottom w:val="single" w:color="auto" w:sz="4" w:space="0"/>
            </w:tcBorders>
            <w:shd w:val="clear" w:color="000000" w:fill="auto"/>
            <w:vAlign w:val="center"/>
          </w:tcPr>
          <w:p w14:paraId="0F597B1A">
            <w:pPr>
              <w:pStyle w:val="23"/>
              <w:rPr>
                <w:rFonts w:ascii="Times New Roman" w:hAnsi="Times New Roman" w:eastAsia="宋体" w:cs="Times New Roman"/>
                <w:b/>
                <w:bCs/>
                <w:szCs w:val="21"/>
              </w:rPr>
            </w:pPr>
            <w:r>
              <w:rPr>
                <w:rFonts w:ascii="Times New Roman" w:hAnsi="Times New Roman" w:eastAsia="宋体" w:cs="Times New Roman"/>
                <w:b/>
                <w:bCs/>
                <w:szCs w:val="21"/>
              </w:rPr>
              <w:t>低位发热量*</w:t>
            </w:r>
            <w:r>
              <w:rPr>
                <w:rFonts w:ascii="Times New Roman" w:hAnsi="Times New Roman" w:eastAsia="宋体" w:cs="Times New Roman"/>
                <w:b/>
                <w:bCs/>
                <w:szCs w:val="21"/>
                <w:vertAlign w:val="superscript"/>
              </w:rPr>
              <w:t>1</w:t>
            </w:r>
          </w:p>
          <w:p w14:paraId="04283314">
            <w:pPr>
              <w:pStyle w:val="23"/>
              <w:rPr>
                <w:rFonts w:ascii="Times New Roman" w:hAnsi="Times New Roman" w:eastAsia="宋体" w:cs="Times New Roman"/>
                <w:b/>
                <w:bCs/>
                <w:szCs w:val="21"/>
              </w:rPr>
            </w:pPr>
            <w:r>
              <w:rPr>
                <w:rFonts w:ascii="Times New Roman" w:hAnsi="Times New Roman" w:eastAsia="宋体" w:cs="Times New Roman"/>
                <w:b/>
                <w:bCs/>
                <w:szCs w:val="21"/>
              </w:rPr>
              <w:t>（GJ/t，GJ/10</w:t>
            </w:r>
            <w:r>
              <w:rPr>
                <w:rFonts w:ascii="Times New Roman" w:hAnsi="Times New Roman" w:eastAsia="宋体" w:cs="Times New Roman"/>
                <w:b/>
                <w:bCs/>
                <w:szCs w:val="21"/>
                <w:vertAlign w:val="superscript"/>
              </w:rPr>
              <w:t>4</w:t>
            </w:r>
            <w:r>
              <w:rPr>
                <w:rFonts w:ascii="Times New Roman" w:hAnsi="Times New Roman" w:eastAsia="宋体" w:cs="Times New Roman"/>
                <w:b/>
                <w:bCs/>
                <w:szCs w:val="21"/>
              </w:rPr>
              <w:t>Nm</w:t>
            </w:r>
            <w:r>
              <w:rPr>
                <w:rFonts w:ascii="Times New Roman" w:hAnsi="Times New Roman" w:eastAsia="宋体" w:cs="Times New Roman"/>
                <w:b/>
                <w:bCs/>
                <w:szCs w:val="21"/>
                <w:vertAlign w:val="superscript"/>
              </w:rPr>
              <w:t>3</w:t>
            </w:r>
            <w:r>
              <w:rPr>
                <w:rFonts w:ascii="Times New Roman" w:hAnsi="Times New Roman" w:eastAsia="宋体" w:cs="Times New Roman"/>
                <w:b/>
                <w:bCs/>
                <w:szCs w:val="21"/>
              </w:rPr>
              <w:t>）</w:t>
            </w:r>
          </w:p>
        </w:tc>
        <w:tc>
          <w:tcPr>
            <w:tcW w:w="868" w:type="pct"/>
            <w:tcBorders>
              <w:top w:val="single" w:color="auto" w:sz="8" w:space="0"/>
              <w:bottom w:val="single" w:color="auto" w:sz="4" w:space="0"/>
            </w:tcBorders>
            <w:shd w:val="clear" w:color="000000" w:fill="auto"/>
            <w:vAlign w:val="center"/>
          </w:tcPr>
          <w:p w14:paraId="4A56007E">
            <w:pPr>
              <w:pStyle w:val="23"/>
              <w:rPr>
                <w:rFonts w:ascii="Times New Roman" w:hAnsi="Times New Roman" w:eastAsia="宋体" w:cs="Times New Roman"/>
                <w:b/>
                <w:bCs/>
                <w:szCs w:val="21"/>
              </w:rPr>
            </w:pPr>
            <w:r>
              <w:rPr>
                <w:rFonts w:ascii="Times New Roman" w:hAnsi="Times New Roman" w:eastAsia="宋体" w:cs="Times New Roman"/>
                <w:b/>
                <w:bCs/>
                <w:szCs w:val="21"/>
              </w:rPr>
              <w:t>单位热值含碳量（tC/GJ）</w:t>
            </w:r>
          </w:p>
        </w:tc>
        <w:tc>
          <w:tcPr>
            <w:tcW w:w="641" w:type="pct"/>
            <w:tcBorders>
              <w:top w:val="single" w:color="auto" w:sz="8" w:space="0"/>
              <w:bottom w:val="single" w:color="auto" w:sz="4" w:space="0"/>
              <w:right w:val="single" w:color="auto" w:sz="8" w:space="0"/>
            </w:tcBorders>
            <w:shd w:val="clear" w:color="000000" w:fill="auto"/>
            <w:vAlign w:val="center"/>
          </w:tcPr>
          <w:p w14:paraId="5CC1397C">
            <w:pPr>
              <w:pStyle w:val="23"/>
              <w:rPr>
                <w:rFonts w:ascii="Times New Roman" w:hAnsi="Times New Roman" w:eastAsia="宋体" w:cs="Times New Roman"/>
                <w:b/>
                <w:bCs/>
                <w:szCs w:val="21"/>
              </w:rPr>
            </w:pPr>
            <w:r>
              <w:rPr>
                <w:rFonts w:ascii="Times New Roman" w:hAnsi="Times New Roman" w:eastAsia="宋体" w:cs="Times New Roman"/>
                <w:b/>
                <w:bCs/>
                <w:szCs w:val="21"/>
              </w:rPr>
              <w:t>燃料碳氧化率（</w:t>
            </w:r>
            <w:r>
              <w:rPr>
                <w:rFonts w:ascii="Times New Roman" w:hAnsi="Times New Roman" w:eastAsia="宋体" w:cs="Times New Roman"/>
                <w:szCs w:val="21"/>
              </w:rPr>
              <w:t>%</w:t>
            </w:r>
            <w:r>
              <w:rPr>
                <w:rFonts w:ascii="Times New Roman" w:hAnsi="Times New Roman" w:eastAsia="宋体" w:cs="Times New Roman"/>
                <w:b/>
                <w:bCs/>
                <w:szCs w:val="21"/>
              </w:rPr>
              <w:t>）</w:t>
            </w:r>
          </w:p>
        </w:tc>
      </w:tr>
      <w:tr w14:paraId="36950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12" w:type="pct"/>
            <w:vMerge w:val="restart"/>
            <w:tcBorders>
              <w:top w:val="single" w:color="auto" w:sz="4" w:space="0"/>
              <w:left w:val="single" w:color="auto" w:sz="8" w:space="0"/>
              <w:bottom w:val="single" w:color="auto" w:sz="4" w:space="0"/>
            </w:tcBorders>
            <w:vAlign w:val="center"/>
          </w:tcPr>
          <w:p w14:paraId="554D3B75">
            <w:pPr>
              <w:pStyle w:val="23"/>
              <w:rPr>
                <w:rFonts w:ascii="Times New Roman" w:hAnsi="Times New Roman" w:eastAsia="宋体" w:cs="Times New Roman"/>
                <w:szCs w:val="21"/>
              </w:rPr>
            </w:pPr>
            <w:r>
              <w:rPr>
                <w:rFonts w:ascii="Times New Roman" w:hAnsi="Times New Roman" w:eastAsia="宋体" w:cs="Times New Roman"/>
                <w:szCs w:val="21"/>
              </w:rPr>
              <w:t>固体燃料</w:t>
            </w:r>
          </w:p>
        </w:tc>
        <w:tc>
          <w:tcPr>
            <w:tcW w:w="1011" w:type="pct"/>
            <w:tcBorders>
              <w:top w:val="single" w:color="auto" w:sz="4" w:space="0"/>
              <w:bottom w:val="single" w:color="auto" w:sz="4" w:space="0"/>
            </w:tcBorders>
            <w:vAlign w:val="center"/>
          </w:tcPr>
          <w:p w14:paraId="449800FD">
            <w:pPr>
              <w:pStyle w:val="23"/>
              <w:rPr>
                <w:rFonts w:ascii="Times New Roman" w:hAnsi="Times New Roman" w:eastAsia="宋体" w:cs="Times New Roman"/>
                <w:szCs w:val="21"/>
              </w:rPr>
            </w:pPr>
            <w:r>
              <w:rPr>
                <w:rFonts w:ascii="Times New Roman" w:hAnsi="Times New Roman" w:eastAsia="宋体" w:cs="Times New Roman"/>
                <w:szCs w:val="21"/>
              </w:rPr>
              <w:t>无烟煤</w:t>
            </w:r>
          </w:p>
        </w:tc>
        <w:tc>
          <w:tcPr>
            <w:tcW w:w="745" w:type="pct"/>
            <w:tcBorders>
              <w:top w:val="single" w:color="auto" w:sz="4" w:space="0"/>
              <w:bottom w:val="single" w:color="auto" w:sz="4" w:space="0"/>
            </w:tcBorders>
            <w:vAlign w:val="center"/>
          </w:tcPr>
          <w:p w14:paraId="09D15802">
            <w:pPr>
              <w:pStyle w:val="23"/>
              <w:rPr>
                <w:rFonts w:ascii="Times New Roman" w:hAnsi="Times New Roman" w:eastAsia="宋体" w:cs="Times New Roman"/>
                <w:szCs w:val="21"/>
              </w:rPr>
            </w:pPr>
            <w:r>
              <w:rPr>
                <w:rFonts w:ascii="Times New Roman" w:hAnsi="Times New Roman" w:eastAsia="宋体" w:cs="Times New Roman"/>
                <w:szCs w:val="21"/>
              </w:rPr>
              <w:t>t</w:t>
            </w:r>
          </w:p>
        </w:tc>
        <w:tc>
          <w:tcPr>
            <w:tcW w:w="1320" w:type="pct"/>
            <w:tcBorders>
              <w:top w:val="single" w:color="auto" w:sz="4" w:space="0"/>
              <w:bottom w:val="single" w:color="auto" w:sz="4" w:space="0"/>
            </w:tcBorders>
            <w:vAlign w:val="center"/>
          </w:tcPr>
          <w:p w14:paraId="6D1B8A93">
            <w:pPr>
              <w:pStyle w:val="23"/>
              <w:rPr>
                <w:rFonts w:ascii="Times New Roman" w:hAnsi="Times New Roman" w:eastAsia="宋体" w:cs="Times New Roman"/>
                <w:szCs w:val="21"/>
              </w:rPr>
            </w:pPr>
            <w:r>
              <w:rPr>
                <w:rFonts w:ascii="Times New Roman" w:hAnsi="Times New Roman" w:eastAsia="宋体" w:cs="Times New Roman"/>
                <w:szCs w:val="21"/>
              </w:rPr>
              <w:t>25.024*</w:t>
            </w:r>
            <w:r>
              <w:rPr>
                <w:rFonts w:ascii="Times New Roman" w:hAnsi="Times New Roman" w:eastAsia="宋体" w:cs="Times New Roman"/>
                <w:szCs w:val="21"/>
                <w:vertAlign w:val="superscript"/>
              </w:rPr>
              <w:t>2</w:t>
            </w:r>
          </w:p>
        </w:tc>
        <w:tc>
          <w:tcPr>
            <w:tcW w:w="868" w:type="pct"/>
            <w:tcBorders>
              <w:top w:val="single" w:color="auto" w:sz="4" w:space="0"/>
              <w:bottom w:val="single" w:color="auto" w:sz="4" w:space="0"/>
            </w:tcBorders>
            <w:vAlign w:val="center"/>
          </w:tcPr>
          <w:p w14:paraId="5B13A093">
            <w:pPr>
              <w:pStyle w:val="23"/>
              <w:rPr>
                <w:rFonts w:ascii="Times New Roman" w:hAnsi="Times New Roman" w:eastAsia="宋体" w:cs="Times New Roman"/>
                <w:szCs w:val="21"/>
              </w:rPr>
            </w:pPr>
            <w:r>
              <w:rPr>
                <w:rFonts w:ascii="Times New Roman" w:hAnsi="Times New Roman" w:eastAsia="宋体" w:cs="Times New Roman"/>
                <w:szCs w:val="21"/>
              </w:rPr>
              <w:t>0.027</w:t>
            </w:r>
            <w:r>
              <w:rPr>
                <w:rFonts w:hint="eastAsia" w:ascii="Times New Roman" w:hAnsi="Times New Roman" w:eastAsia="宋体" w:cs="Times New Roman"/>
                <w:szCs w:val="21"/>
              </w:rPr>
              <w:t>5</w:t>
            </w:r>
            <w:r>
              <w:rPr>
                <w:rFonts w:ascii="Times New Roman" w:hAnsi="Times New Roman" w:eastAsia="宋体" w:cs="Times New Roman"/>
                <w:szCs w:val="21"/>
              </w:rPr>
              <w:t>*</w:t>
            </w:r>
            <w:r>
              <w:rPr>
                <w:rFonts w:ascii="Times New Roman" w:hAnsi="Times New Roman" w:eastAsia="宋体" w:cs="Times New Roman"/>
                <w:szCs w:val="21"/>
                <w:vertAlign w:val="superscript"/>
              </w:rPr>
              <w:t>3</w:t>
            </w:r>
          </w:p>
        </w:tc>
        <w:tc>
          <w:tcPr>
            <w:tcW w:w="641" w:type="pct"/>
            <w:vMerge w:val="restart"/>
            <w:tcBorders>
              <w:top w:val="single" w:color="auto" w:sz="4" w:space="0"/>
              <w:bottom w:val="single" w:color="auto" w:sz="4" w:space="0"/>
              <w:right w:val="single" w:color="auto" w:sz="8" w:space="0"/>
            </w:tcBorders>
            <w:vAlign w:val="center"/>
          </w:tcPr>
          <w:p w14:paraId="3D5DE1CF">
            <w:pPr>
              <w:pStyle w:val="23"/>
              <w:rPr>
                <w:rFonts w:ascii="Times New Roman" w:hAnsi="Times New Roman" w:eastAsia="宋体" w:cs="Times New Roman"/>
                <w:szCs w:val="21"/>
              </w:rPr>
            </w:pPr>
            <w:r>
              <w:rPr>
                <w:rFonts w:hint="eastAsia" w:ascii="Times New Roman" w:hAnsi="Times New Roman" w:eastAsia="宋体" w:cs="Times New Roman"/>
                <w:szCs w:val="21"/>
              </w:rPr>
              <w:t>99</w:t>
            </w:r>
          </w:p>
        </w:tc>
      </w:tr>
      <w:tr w14:paraId="601B9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5AB217C9">
            <w:pPr>
              <w:pStyle w:val="23"/>
              <w:rPr>
                <w:rFonts w:ascii="Times New Roman" w:hAnsi="Times New Roman" w:eastAsia="宋体" w:cs="Times New Roman"/>
                <w:szCs w:val="21"/>
              </w:rPr>
            </w:pPr>
          </w:p>
        </w:tc>
        <w:tc>
          <w:tcPr>
            <w:tcW w:w="1011" w:type="pct"/>
            <w:tcBorders>
              <w:top w:val="single" w:color="auto" w:sz="4" w:space="0"/>
              <w:bottom w:val="single" w:color="auto" w:sz="4" w:space="0"/>
            </w:tcBorders>
            <w:vAlign w:val="center"/>
          </w:tcPr>
          <w:p w14:paraId="6C1AF51C">
            <w:pPr>
              <w:pStyle w:val="23"/>
              <w:rPr>
                <w:rFonts w:ascii="Times New Roman" w:hAnsi="Times New Roman" w:eastAsia="宋体" w:cs="Times New Roman"/>
                <w:szCs w:val="21"/>
              </w:rPr>
            </w:pPr>
            <w:r>
              <w:rPr>
                <w:rFonts w:ascii="Times New Roman" w:hAnsi="Times New Roman" w:eastAsia="宋体" w:cs="Times New Roman"/>
                <w:szCs w:val="21"/>
              </w:rPr>
              <w:t>烟煤</w:t>
            </w:r>
          </w:p>
        </w:tc>
        <w:tc>
          <w:tcPr>
            <w:tcW w:w="745" w:type="pct"/>
            <w:tcBorders>
              <w:top w:val="single" w:color="auto" w:sz="4" w:space="0"/>
              <w:bottom w:val="single" w:color="auto" w:sz="4" w:space="0"/>
            </w:tcBorders>
            <w:vAlign w:val="center"/>
          </w:tcPr>
          <w:p w14:paraId="1E6A8AB0">
            <w:pPr>
              <w:pStyle w:val="23"/>
              <w:rPr>
                <w:rFonts w:ascii="Times New Roman" w:hAnsi="Times New Roman" w:eastAsia="宋体" w:cs="Times New Roman"/>
                <w:szCs w:val="21"/>
              </w:rPr>
            </w:pPr>
            <w:r>
              <w:rPr>
                <w:rFonts w:ascii="Times New Roman" w:hAnsi="Times New Roman" w:eastAsia="宋体" w:cs="Times New Roman"/>
                <w:szCs w:val="21"/>
              </w:rPr>
              <w:t>t</w:t>
            </w:r>
          </w:p>
        </w:tc>
        <w:tc>
          <w:tcPr>
            <w:tcW w:w="1320" w:type="pct"/>
            <w:tcBorders>
              <w:top w:val="single" w:color="auto" w:sz="4" w:space="0"/>
              <w:bottom w:val="single" w:color="auto" w:sz="4" w:space="0"/>
            </w:tcBorders>
            <w:vAlign w:val="center"/>
          </w:tcPr>
          <w:p w14:paraId="3DE862BA">
            <w:pPr>
              <w:pStyle w:val="23"/>
              <w:rPr>
                <w:rFonts w:ascii="Times New Roman" w:hAnsi="Times New Roman" w:eastAsia="宋体" w:cs="Times New Roman"/>
                <w:szCs w:val="21"/>
              </w:rPr>
            </w:pPr>
            <w:r>
              <w:rPr>
                <w:rFonts w:ascii="Times New Roman" w:hAnsi="Times New Roman" w:eastAsia="宋体" w:cs="Times New Roman"/>
                <w:szCs w:val="21"/>
              </w:rPr>
              <w:t>23.736*</w:t>
            </w:r>
            <w:r>
              <w:rPr>
                <w:rFonts w:ascii="Times New Roman" w:hAnsi="Times New Roman" w:eastAsia="宋体" w:cs="Times New Roman"/>
                <w:szCs w:val="21"/>
                <w:vertAlign w:val="superscript"/>
              </w:rPr>
              <w:t>2</w:t>
            </w:r>
          </w:p>
        </w:tc>
        <w:tc>
          <w:tcPr>
            <w:tcW w:w="868" w:type="pct"/>
            <w:tcBorders>
              <w:top w:val="single" w:color="auto" w:sz="4" w:space="0"/>
              <w:bottom w:val="single" w:color="auto" w:sz="4" w:space="0"/>
            </w:tcBorders>
            <w:vAlign w:val="center"/>
          </w:tcPr>
          <w:p w14:paraId="720756C5">
            <w:pPr>
              <w:pStyle w:val="23"/>
              <w:rPr>
                <w:rFonts w:ascii="Times New Roman" w:hAnsi="Times New Roman" w:eastAsia="宋体" w:cs="Times New Roman"/>
                <w:szCs w:val="21"/>
              </w:rPr>
            </w:pPr>
            <w:r>
              <w:rPr>
                <w:rFonts w:ascii="Times New Roman" w:hAnsi="Times New Roman" w:eastAsia="宋体" w:cs="Times New Roman"/>
                <w:szCs w:val="21"/>
              </w:rPr>
              <w:t>0.026</w:t>
            </w:r>
            <w:r>
              <w:rPr>
                <w:rFonts w:hint="eastAsia" w:ascii="Times New Roman" w:hAnsi="Times New Roman" w:eastAsia="宋体" w:cs="Times New Roman"/>
                <w:szCs w:val="21"/>
              </w:rPr>
              <w:t>7</w:t>
            </w:r>
            <w:r>
              <w:rPr>
                <w:rFonts w:ascii="Times New Roman" w:hAnsi="Times New Roman" w:eastAsia="宋体" w:cs="Times New Roman"/>
                <w:szCs w:val="21"/>
              </w:rPr>
              <w:t>*</w:t>
            </w:r>
            <w:r>
              <w:rPr>
                <w:rFonts w:ascii="Times New Roman" w:hAnsi="Times New Roman" w:eastAsia="宋体" w:cs="Times New Roman"/>
                <w:szCs w:val="21"/>
                <w:vertAlign w:val="superscript"/>
              </w:rPr>
              <w:t>3</w:t>
            </w:r>
          </w:p>
        </w:tc>
        <w:tc>
          <w:tcPr>
            <w:tcW w:w="641" w:type="pct"/>
            <w:vMerge w:val="continue"/>
            <w:tcBorders>
              <w:top w:val="single" w:color="auto" w:sz="4" w:space="0"/>
              <w:bottom w:val="single" w:color="auto" w:sz="4" w:space="0"/>
              <w:right w:val="single" w:color="auto" w:sz="8" w:space="0"/>
            </w:tcBorders>
            <w:vAlign w:val="center"/>
          </w:tcPr>
          <w:p w14:paraId="0F3C01AB">
            <w:pPr>
              <w:pStyle w:val="23"/>
              <w:rPr>
                <w:rFonts w:ascii="Times New Roman" w:hAnsi="Times New Roman" w:eastAsia="宋体" w:cs="Times New Roman"/>
                <w:szCs w:val="21"/>
              </w:rPr>
            </w:pPr>
          </w:p>
        </w:tc>
      </w:tr>
      <w:tr w14:paraId="7CFFC8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750E1C21">
            <w:pPr>
              <w:pStyle w:val="23"/>
              <w:rPr>
                <w:rFonts w:ascii="Times New Roman" w:hAnsi="Times New Roman" w:eastAsia="宋体" w:cs="Times New Roman"/>
                <w:szCs w:val="21"/>
              </w:rPr>
            </w:pPr>
          </w:p>
        </w:tc>
        <w:tc>
          <w:tcPr>
            <w:tcW w:w="1011" w:type="pct"/>
            <w:tcBorders>
              <w:top w:val="single" w:color="auto" w:sz="4" w:space="0"/>
              <w:bottom w:val="single" w:color="auto" w:sz="4" w:space="0"/>
            </w:tcBorders>
            <w:vAlign w:val="center"/>
          </w:tcPr>
          <w:p w14:paraId="7DC3D151">
            <w:pPr>
              <w:pStyle w:val="23"/>
              <w:rPr>
                <w:rFonts w:ascii="Times New Roman" w:hAnsi="Times New Roman" w:eastAsia="宋体" w:cs="Times New Roman"/>
                <w:szCs w:val="21"/>
              </w:rPr>
            </w:pPr>
            <w:r>
              <w:rPr>
                <w:rFonts w:ascii="Times New Roman" w:hAnsi="Times New Roman" w:eastAsia="宋体" w:cs="Times New Roman"/>
                <w:szCs w:val="21"/>
              </w:rPr>
              <w:t>褐煤</w:t>
            </w:r>
          </w:p>
        </w:tc>
        <w:tc>
          <w:tcPr>
            <w:tcW w:w="745" w:type="pct"/>
            <w:tcBorders>
              <w:top w:val="single" w:color="auto" w:sz="4" w:space="0"/>
              <w:bottom w:val="single" w:color="auto" w:sz="4" w:space="0"/>
            </w:tcBorders>
            <w:vAlign w:val="center"/>
          </w:tcPr>
          <w:p w14:paraId="0525F197">
            <w:pPr>
              <w:pStyle w:val="23"/>
              <w:rPr>
                <w:rFonts w:ascii="Times New Roman" w:hAnsi="Times New Roman" w:eastAsia="宋体" w:cs="Times New Roman"/>
                <w:szCs w:val="21"/>
              </w:rPr>
            </w:pPr>
            <w:r>
              <w:rPr>
                <w:rFonts w:ascii="Times New Roman" w:hAnsi="Times New Roman" w:eastAsia="宋体" w:cs="Times New Roman"/>
                <w:szCs w:val="21"/>
              </w:rPr>
              <w:t>t</w:t>
            </w:r>
          </w:p>
        </w:tc>
        <w:tc>
          <w:tcPr>
            <w:tcW w:w="1320" w:type="pct"/>
            <w:tcBorders>
              <w:top w:val="single" w:color="auto" w:sz="4" w:space="0"/>
              <w:bottom w:val="single" w:color="auto" w:sz="4" w:space="0"/>
            </w:tcBorders>
            <w:vAlign w:val="center"/>
          </w:tcPr>
          <w:p w14:paraId="072D386E">
            <w:pPr>
              <w:pStyle w:val="23"/>
              <w:rPr>
                <w:rFonts w:ascii="Times New Roman" w:hAnsi="Times New Roman" w:eastAsia="宋体" w:cs="Times New Roman"/>
                <w:szCs w:val="21"/>
              </w:rPr>
            </w:pPr>
            <w:r>
              <w:rPr>
                <w:rFonts w:ascii="Times New Roman" w:hAnsi="Times New Roman" w:eastAsia="宋体" w:cs="Times New Roman"/>
                <w:szCs w:val="21"/>
              </w:rPr>
              <w:t>15.250*</w:t>
            </w:r>
            <w:r>
              <w:rPr>
                <w:rFonts w:ascii="Times New Roman" w:hAnsi="Times New Roman" w:eastAsia="宋体" w:cs="Times New Roman"/>
                <w:szCs w:val="21"/>
                <w:vertAlign w:val="superscript"/>
              </w:rPr>
              <w:t>2</w:t>
            </w:r>
          </w:p>
        </w:tc>
        <w:tc>
          <w:tcPr>
            <w:tcW w:w="868" w:type="pct"/>
            <w:tcBorders>
              <w:top w:val="single" w:color="auto" w:sz="4" w:space="0"/>
              <w:bottom w:val="single" w:color="auto" w:sz="4" w:space="0"/>
            </w:tcBorders>
            <w:vAlign w:val="center"/>
          </w:tcPr>
          <w:p w14:paraId="0208F8E8">
            <w:pPr>
              <w:pStyle w:val="23"/>
              <w:rPr>
                <w:rFonts w:ascii="Times New Roman" w:hAnsi="Times New Roman" w:eastAsia="宋体" w:cs="Times New Roman"/>
                <w:szCs w:val="21"/>
              </w:rPr>
            </w:pPr>
            <w:r>
              <w:rPr>
                <w:rFonts w:ascii="Times New Roman" w:hAnsi="Times New Roman" w:eastAsia="宋体" w:cs="Times New Roman"/>
                <w:szCs w:val="21"/>
              </w:rPr>
              <w:t>0.027</w:t>
            </w:r>
            <w:r>
              <w:rPr>
                <w:rFonts w:hint="eastAsia" w:ascii="Times New Roman" w:hAnsi="Times New Roman" w:eastAsia="宋体" w:cs="Times New Roman"/>
                <w:szCs w:val="21"/>
              </w:rPr>
              <w:t>2</w:t>
            </w:r>
            <w:r>
              <w:rPr>
                <w:rFonts w:ascii="Times New Roman" w:hAnsi="Times New Roman" w:eastAsia="宋体" w:cs="Times New Roman"/>
                <w:szCs w:val="21"/>
              </w:rPr>
              <w:t>*</w:t>
            </w:r>
            <w:r>
              <w:rPr>
                <w:rFonts w:ascii="Times New Roman" w:hAnsi="Times New Roman" w:eastAsia="宋体" w:cs="Times New Roman"/>
                <w:szCs w:val="21"/>
                <w:vertAlign w:val="superscript"/>
              </w:rPr>
              <w:t>3</w:t>
            </w:r>
          </w:p>
        </w:tc>
        <w:tc>
          <w:tcPr>
            <w:tcW w:w="641" w:type="pct"/>
            <w:vMerge w:val="continue"/>
            <w:tcBorders>
              <w:top w:val="single" w:color="auto" w:sz="4" w:space="0"/>
              <w:bottom w:val="single" w:color="auto" w:sz="4" w:space="0"/>
              <w:right w:val="single" w:color="auto" w:sz="8" w:space="0"/>
            </w:tcBorders>
            <w:vAlign w:val="center"/>
          </w:tcPr>
          <w:p w14:paraId="4EBD7241">
            <w:pPr>
              <w:pStyle w:val="23"/>
              <w:rPr>
                <w:rFonts w:ascii="Times New Roman" w:hAnsi="Times New Roman" w:eastAsia="宋体" w:cs="Times New Roman"/>
                <w:szCs w:val="21"/>
              </w:rPr>
            </w:pPr>
          </w:p>
        </w:tc>
      </w:tr>
      <w:tr w14:paraId="60891D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188E423A">
            <w:pPr>
              <w:pStyle w:val="23"/>
              <w:rPr>
                <w:rFonts w:ascii="Times New Roman" w:hAnsi="Times New Roman" w:eastAsia="宋体" w:cs="Times New Roman"/>
                <w:szCs w:val="21"/>
              </w:rPr>
            </w:pPr>
          </w:p>
        </w:tc>
        <w:tc>
          <w:tcPr>
            <w:tcW w:w="1011" w:type="pct"/>
            <w:tcBorders>
              <w:top w:val="single" w:color="auto" w:sz="4" w:space="0"/>
              <w:bottom w:val="single" w:color="auto" w:sz="4" w:space="0"/>
            </w:tcBorders>
            <w:vAlign w:val="center"/>
          </w:tcPr>
          <w:p w14:paraId="61BB5A83">
            <w:pPr>
              <w:pStyle w:val="23"/>
              <w:rPr>
                <w:rFonts w:ascii="Times New Roman" w:hAnsi="Times New Roman" w:eastAsia="宋体" w:cs="Times New Roman"/>
                <w:szCs w:val="21"/>
              </w:rPr>
            </w:pPr>
            <w:r>
              <w:rPr>
                <w:rFonts w:ascii="Times New Roman" w:hAnsi="Times New Roman" w:eastAsia="宋体" w:cs="Times New Roman"/>
                <w:szCs w:val="21"/>
              </w:rPr>
              <w:t>其他洗煤</w:t>
            </w:r>
          </w:p>
        </w:tc>
        <w:tc>
          <w:tcPr>
            <w:tcW w:w="745" w:type="pct"/>
            <w:tcBorders>
              <w:top w:val="single" w:color="auto" w:sz="4" w:space="0"/>
              <w:bottom w:val="single" w:color="auto" w:sz="4" w:space="0"/>
            </w:tcBorders>
            <w:vAlign w:val="center"/>
          </w:tcPr>
          <w:p w14:paraId="5A3D16B4">
            <w:pPr>
              <w:pStyle w:val="23"/>
              <w:rPr>
                <w:rFonts w:ascii="Times New Roman" w:hAnsi="Times New Roman" w:eastAsia="宋体" w:cs="Times New Roman"/>
                <w:szCs w:val="21"/>
              </w:rPr>
            </w:pPr>
            <w:r>
              <w:rPr>
                <w:rFonts w:ascii="Times New Roman" w:hAnsi="Times New Roman" w:eastAsia="宋体" w:cs="Times New Roman"/>
                <w:szCs w:val="21"/>
              </w:rPr>
              <w:t>t</w:t>
            </w:r>
          </w:p>
        </w:tc>
        <w:tc>
          <w:tcPr>
            <w:tcW w:w="1320" w:type="pct"/>
            <w:tcBorders>
              <w:top w:val="single" w:color="auto" w:sz="4" w:space="0"/>
              <w:bottom w:val="single" w:color="auto" w:sz="4" w:space="0"/>
            </w:tcBorders>
            <w:vAlign w:val="center"/>
          </w:tcPr>
          <w:p w14:paraId="20479E01">
            <w:pPr>
              <w:pStyle w:val="23"/>
              <w:rPr>
                <w:rFonts w:ascii="Times New Roman" w:hAnsi="Times New Roman" w:eastAsia="宋体" w:cs="Times New Roman"/>
                <w:szCs w:val="21"/>
              </w:rPr>
            </w:pPr>
            <w:r>
              <w:rPr>
                <w:rFonts w:ascii="Times New Roman" w:hAnsi="Times New Roman" w:eastAsia="宋体" w:cs="Times New Roman"/>
                <w:szCs w:val="21"/>
              </w:rPr>
              <w:t>12.545*</w:t>
            </w:r>
            <w:r>
              <w:rPr>
                <w:rFonts w:ascii="Times New Roman" w:hAnsi="Times New Roman" w:eastAsia="宋体" w:cs="Times New Roman"/>
                <w:szCs w:val="21"/>
                <w:vertAlign w:val="superscript"/>
              </w:rPr>
              <w:t>6</w:t>
            </w:r>
          </w:p>
        </w:tc>
        <w:tc>
          <w:tcPr>
            <w:tcW w:w="868" w:type="pct"/>
            <w:tcBorders>
              <w:top w:val="single" w:color="auto" w:sz="4" w:space="0"/>
              <w:bottom w:val="single" w:color="auto" w:sz="4" w:space="0"/>
            </w:tcBorders>
            <w:vAlign w:val="center"/>
          </w:tcPr>
          <w:p w14:paraId="27DEEB2C">
            <w:pPr>
              <w:pStyle w:val="23"/>
              <w:rPr>
                <w:rFonts w:ascii="Times New Roman" w:hAnsi="Times New Roman" w:eastAsia="宋体" w:cs="Times New Roman"/>
                <w:szCs w:val="21"/>
              </w:rPr>
            </w:pPr>
            <w:r>
              <w:rPr>
                <w:rFonts w:ascii="Times New Roman" w:hAnsi="Times New Roman" w:eastAsia="宋体" w:cs="Times New Roman"/>
                <w:szCs w:val="21"/>
              </w:rPr>
              <w:t>0.0254*</w:t>
            </w:r>
            <w:r>
              <w:rPr>
                <w:rFonts w:ascii="Times New Roman" w:hAnsi="Times New Roman" w:eastAsia="宋体" w:cs="Times New Roman"/>
                <w:szCs w:val="21"/>
                <w:vertAlign w:val="superscript"/>
              </w:rPr>
              <w:t>3</w:t>
            </w:r>
          </w:p>
        </w:tc>
        <w:tc>
          <w:tcPr>
            <w:tcW w:w="641" w:type="pct"/>
            <w:vMerge w:val="continue"/>
            <w:tcBorders>
              <w:top w:val="single" w:color="auto" w:sz="4" w:space="0"/>
              <w:bottom w:val="single" w:color="auto" w:sz="4" w:space="0"/>
              <w:right w:val="single" w:color="auto" w:sz="8" w:space="0"/>
            </w:tcBorders>
            <w:vAlign w:val="center"/>
          </w:tcPr>
          <w:p w14:paraId="06FFDB6F">
            <w:pPr>
              <w:pStyle w:val="23"/>
              <w:rPr>
                <w:rFonts w:ascii="Times New Roman" w:hAnsi="Times New Roman" w:eastAsia="宋体" w:cs="Times New Roman"/>
                <w:szCs w:val="21"/>
              </w:rPr>
            </w:pPr>
          </w:p>
        </w:tc>
      </w:tr>
      <w:tr w14:paraId="0AA22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1F2C3E1D">
            <w:pPr>
              <w:pStyle w:val="23"/>
              <w:rPr>
                <w:rFonts w:ascii="Times New Roman" w:hAnsi="Times New Roman" w:eastAsia="宋体" w:cs="Times New Roman"/>
                <w:szCs w:val="21"/>
              </w:rPr>
            </w:pPr>
          </w:p>
        </w:tc>
        <w:tc>
          <w:tcPr>
            <w:tcW w:w="1011" w:type="pct"/>
            <w:tcBorders>
              <w:top w:val="single" w:color="auto" w:sz="4" w:space="0"/>
              <w:bottom w:val="single" w:color="auto" w:sz="4" w:space="0"/>
            </w:tcBorders>
            <w:vAlign w:val="center"/>
          </w:tcPr>
          <w:p w14:paraId="75B05AFA">
            <w:pPr>
              <w:pStyle w:val="23"/>
              <w:rPr>
                <w:rFonts w:ascii="Times New Roman" w:hAnsi="Times New Roman" w:eastAsia="宋体" w:cs="Times New Roman"/>
                <w:szCs w:val="21"/>
              </w:rPr>
            </w:pPr>
            <w:r>
              <w:rPr>
                <w:rFonts w:ascii="Times New Roman" w:hAnsi="Times New Roman" w:eastAsia="宋体" w:cs="Times New Roman"/>
                <w:szCs w:val="21"/>
              </w:rPr>
              <w:t>煤矸石</w:t>
            </w:r>
          </w:p>
        </w:tc>
        <w:tc>
          <w:tcPr>
            <w:tcW w:w="745" w:type="pct"/>
            <w:tcBorders>
              <w:top w:val="single" w:color="auto" w:sz="4" w:space="0"/>
              <w:bottom w:val="single" w:color="auto" w:sz="4" w:space="0"/>
            </w:tcBorders>
            <w:vAlign w:val="center"/>
          </w:tcPr>
          <w:p w14:paraId="5B25B588">
            <w:pPr>
              <w:pStyle w:val="23"/>
              <w:rPr>
                <w:rFonts w:ascii="Times New Roman" w:hAnsi="Times New Roman" w:eastAsia="宋体" w:cs="Times New Roman"/>
                <w:szCs w:val="21"/>
              </w:rPr>
            </w:pPr>
            <w:r>
              <w:rPr>
                <w:rFonts w:ascii="Times New Roman" w:hAnsi="Times New Roman" w:eastAsia="宋体" w:cs="Times New Roman"/>
                <w:szCs w:val="21"/>
              </w:rPr>
              <w:t>t</w:t>
            </w:r>
          </w:p>
        </w:tc>
        <w:tc>
          <w:tcPr>
            <w:tcW w:w="1320" w:type="pct"/>
            <w:tcBorders>
              <w:top w:val="single" w:color="auto" w:sz="4" w:space="0"/>
              <w:bottom w:val="single" w:color="auto" w:sz="4" w:space="0"/>
            </w:tcBorders>
            <w:vAlign w:val="center"/>
          </w:tcPr>
          <w:p w14:paraId="5EE69074">
            <w:pPr>
              <w:pStyle w:val="23"/>
              <w:rPr>
                <w:rFonts w:ascii="Times New Roman" w:hAnsi="Times New Roman" w:eastAsia="宋体" w:cs="Times New Roman"/>
                <w:szCs w:val="21"/>
              </w:rPr>
            </w:pPr>
            <w:r>
              <w:rPr>
                <w:rFonts w:ascii="Times New Roman" w:hAnsi="Times New Roman" w:eastAsia="宋体" w:cs="Times New Roman"/>
                <w:szCs w:val="21"/>
              </w:rPr>
              <w:t>8.374*</w:t>
            </w:r>
            <w:r>
              <w:rPr>
                <w:rFonts w:ascii="Times New Roman" w:hAnsi="Times New Roman" w:eastAsia="宋体" w:cs="Times New Roman"/>
                <w:szCs w:val="21"/>
                <w:vertAlign w:val="superscript"/>
              </w:rPr>
              <w:t>5</w:t>
            </w:r>
          </w:p>
        </w:tc>
        <w:tc>
          <w:tcPr>
            <w:tcW w:w="868" w:type="pct"/>
            <w:tcBorders>
              <w:top w:val="single" w:color="auto" w:sz="4" w:space="0"/>
              <w:bottom w:val="single" w:color="auto" w:sz="4" w:space="0"/>
            </w:tcBorders>
            <w:shd w:val="clear" w:color="auto" w:fill="auto"/>
            <w:vAlign w:val="center"/>
          </w:tcPr>
          <w:p w14:paraId="0275C177">
            <w:pPr>
              <w:pStyle w:val="23"/>
              <w:rPr>
                <w:rFonts w:ascii="Times New Roman" w:hAnsi="Times New Roman" w:eastAsia="宋体" w:cs="Times New Roman"/>
                <w:szCs w:val="21"/>
              </w:rPr>
            </w:pPr>
            <w:r>
              <w:rPr>
                <w:rFonts w:ascii="Times New Roman" w:hAnsi="Times New Roman" w:eastAsia="宋体" w:cs="Times New Roman"/>
                <w:szCs w:val="21"/>
              </w:rPr>
              <w:t>0.0</w:t>
            </w:r>
            <w:r>
              <w:rPr>
                <w:rFonts w:hint="eastAsia" w:ascii="Times New Roman" w:hAnsi="Times New Roman" w:eastAsia="宋体" w:cs="Times New Roman"/>
                <w:szCs w:val="21"/>
              </w:rPr>
              <w:t>316</w:t>
            </w:r>
            <w:r>
              <w:rPr>
                <w:rFonts w:ascii="Times New Roman" w:hAnsi="Times New Roman" w:eastAsia="宋体" w:cs="Times New Roman"/>
                <w:szCs w:val="21"/>
              </w:rPr>
              <w:t>*</w:t>
            </w:r>
            <w:r>
              <w:rPr>
                <w:rFonts w:ascii="Times New Roman" w:hAnsi="Times New Roman" w:eastAsia="宋体" w:cs="Times New Roman"/>
                <w:szCs w:val="21"/>
                <w:vertAlign w:val="superscript"/>
              </w:rPr>
              <w:t>3</w:t>
            </w:r>
          </w:p>
        </w:tc>
        <w:tc>
          <w:tcPr>
            <w:tcW w:w="641" w:type="pct"/>
            <w:vMerge w:val="continue"/>
            <w:tcBorders>
              <w:top w:val="single" w:color="auto" w:sz="4" w:space="0"/>
              <w:bottom w:val="single" w:color="auto" w:sz="4" w:space="0"/>
              <w:right w:val="single" w:color="auto" w:sz="8" w:space="0"/>
            </w:tcBorders>
            <w:vAlign w:val="center"/>
          </w:tcPr>
          <w:p w14:paraId="67350373">
            <w:pPr>
              <w:pStyle w:val="23"/>
              <w:rPr>
                <w:rFonts w:ascii="Times New Roman" w:hAnsi="Times New Roman" w:eastAsia="宋体" w:cs="Times New Roman"/>
                <w:szCs w:val="21"/>
              </w:rPr>
            </w:pPr>
          </w:p>
        </w:tc>
      </w:tr>
      <w:tr w14:paraId="0CE6B6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1683DAA6">
            <w:pPr>
              <w:pStyle w:val="23"/>
              <w:rPr>
                <w:rFonts w:ascii="Times New Roman" w:hAnsi="Times New Roman" w:eastAsia="宋体" w:cs="Times New Roman"/>
                <w:szCs w:val="21"/>
              </w:rPr>
            </w:pPr>
          </w:p>
        </w:tc>
        <w:tc>
          <w:tcPr>
            <w:tcW w:w="1011" w:type="pct"/>
            <w:tcBorders>
              <w:top w:val="single" w:color="auto" w:sz="4" w:space="0"/>
              <w:bottom w:val="single" w:color="auto" w:sz="4" w:space="0"/>
            </w:tcBorders>
            <w:vAlign w:val="center"/>
          </w:tcPr>
          <w:p w14:paraId="77FE4F0E">
            <w:pPr>
              <w:pStyle w:val="23"/>
              <w:rPr>
                <w:rFonts w:ascii="Times New Roman" w:hAnsi="Times New Roman" w:eastAsia="宋体" w:cs="Times New Roman"/>
                <w:szCs w:val="21"/>
              </w:rPr>
            </w:pPr>
            <w:r>
              <w:rPr>
                <w:rFonts w:ascii="Times New Roman" w:hAnsi="Times New Roman" w:eastAsia="宋体" w:cs="Times New Roman"/>
                <w:szCs w:val="21"/>
              </w:rPr>
              <w:t>石油焦</w:t>
            </w:r>
          </w:p>
        </w:tc>
        <w:tc>
          <w:tcPr>
            <w:tcW w:w="745" w:type="pct"/>
            <w:tcBorders>
              <w:top w:val="single" w:color="auto" w:sz="4" w:space="0"/>
              <w:bottom w:val="single" w:color="auto" w:sz="4" w:space="0"/>
            </w:tcBorders>
            <w:vAlign w:val="center"/>
          </w:tcPr>
          <w:p w14:paraId="7AB6F606">
            <w:pPr>
              <w:pStyle w:val="23"/>
              <w:rPr>
                <w:rFonts w:ascii="Times New Roman" w:hAnsi="Times New Roman" w:eastAsia="宋体" w:cs="Times New Roman"/>
                <w:szCs w:val="21"/>
              </w:rPr>
            </w:pPr>
            <w:r>
              <w:rPr>
                <w:rFonts w:ascii="Times New Roman" w:hAnsi="Times New Roman" w:eastAsia="宋体" w:cs="Times New Roman"/>
                <w:szCs w:val="21"/>
              </w:rPr>
              <w:t>t</w:t>
            </w:r>
          </w:p>
        </w:tc>
        <w:tc>
          <w:tcPr>
            <w:tcW w:w="1320" w:type="pct"/>
            <w:tcBorders>
              <w:top w:val="single" w:color="auto" w:sz="4" w:space="0"/>
              <w:bottom w:val="single" w:color="auto" w:sz="4" w:space="0"/>
            </w:tcBorders>
            <w:vAlign w:val="center"/>
          </w:tcPr>
          <w:p w14:paraId="76E0C0A4">
            <w:pPr>
              <w:pStyle w:val="23"/>
              <w:rPr>
                <w:rFonts w:ascii="Times New Roman" w:hAnsi="Times New Roman" w:eastAsia="宋体" w:cs="Times New Roman"/>
                <w:szCs w:val="21"/>
              </w:rPr>
            </w:pPr>
            <w:r>
              <w:rPr>
                <w:rFonts w:ascii="Times New Roman" w:hAnsi="Times New Roman" w:eastAsia="宋体" w:cs="Times New Roman"/>
                <w:szCs w:val="21"/>
              </w:rPr>
              <w:t>32.500</w:t>
            </w:r>
            <w:r>
              <w:rPr>
                <w:rFonts w:ascii="Times New Roman" w:hAnsi="Times New Roman" w:eastAsia="宋体" w:cs="Times New Roman"/>
                <w:szCs w:val="21"/>
                <w:vertAlign w:val="superscript"/>
              </w:rPr>
              <w:t>*4</w:t>
            </w:r>
          </w:p>
        </w:tc>
        <w:tc>
          <w:tcPr>
            <w:tcW w:w="868" w:type="pct"/>
            <w:tcBorders>
              <w:top w:val="single" w:color="auto" w:sz="4" w:space="0"/>
              <w:bottom w:val="single" w:color="auto" w:sz="4" w:space="0"/>
            </w:tcBorders>
            <w:vAlign w:val="center"/>
          </w:tcPr>
          <w:p w14:paraId="319320E1">
            <w:pPr>
              <w:pStyle w:val="23"/>
              <w:rPr>
                <w:rFonts w:ascii="Times New Roman" w:hAnsi="Times New Roman" w:eastAsia="宋体" w:cs="Times New Roman"/>
                <w:szCs w:val="21"/>
              </w:rPr>
            </w:pPr>
            <w:r>
              <w:rPr>
                <w:rFonts w:ascii="Times New Roman" w:hAnsi="Times New Roman" w:eastAsia="宋体" w:cs="Times New Roman"/>
                <w:szCs w:val="21"/>
              </w:rPr>
              <w:t>0.02</w:t>
            </w:r>
            <w:r>
              <w:rPr>
                <w:rFonts w:hint="eastAsia" w:ascii="Times New Roman" w:hAnsi="Times New Roman" w:eastAsia="宋体" w:cs="Times New Roman"/>
                <w:szCs w:val="21"/>
              </w:rPr>
              <w:t>66</w:t>
            </w:r>
            <w:r>
              <w:rPr>
                <w:rFonts w:ascii="Times New Roman" w:hAnsi="Times New Roman" w:eastAsia="宋体" w:cs="Times New Roman"/>
                <w:szCs w:val="21"/>
              </w:rPr>
              <w:t>*</w:t>
            </w:r>
            <w:r>
              <w:rPr>
                <w:rFonts w:ascii="Times New Roman" w:hAnsi="Times New Roman" w:eastAsia="宋体" w:cs="Times New Roman"/>
                <w:szCs w:val="21"/>
                <w:vertAlign w:val="superscript"/>
              </w:rPr>
              <w:t>3</w:t>
            </w:r>
          </w:p>
        </w:tc>
        <w:tc>
          <w:tcPr>
            <w:tcW w:w="641" w:type="pct"/>
            <w:vMerge w:val="continue"/>
            <w:tcBorders>
              <w:top w:val="single" w:color="auto" w:sz="4" w:space="0"/>
              <w:bottom w:val="single" w:color="auto" w:sz="4" w:space="0"/>
              <w:right w:val="single" w:color="auto" w:sz="8" w:space="0"/>
            </w:tcBorders>
            <w:vAlign w:val="center"/>
          </w:tcPr>
          <w:p w14:paraId="3FD41C7E">
            <w:pPr>
              <w:pStyle w:val="23"/>
              <w:rPr>
                <w:rFonts w:ascii="Times New Roman" w:hAnsi="Times New Roman" w:eastAsia="宋体" w:cs="Times New Roman"/>
                <w:szCs w:val="21"/>
              </w:rPr>
            </w:pPr>
          </w:p>
        </w:tc>
      </w:tr>
      <w:tr w14:paraId="12EB07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412" w:type="pct"/>
            <w:vMerge w:val="continue"/>
            <w:tcBorders>
              <w:top w:val="single" w:color="auto" w:sz="4" w:space="0"/>
              <w:left w:val="single" w:color="auto" w:sz="8" w:space="0"/>
              <w:bottom w:val="single" w:color="auto" w:sz="4" w:space="0"/>
            </w:tcBorders>
            <w:vAlign w:val="center"/>
          </w:tcPr>
          <w:p w14:paraId="35FAB8AE">
            <w:pPr>
              <w:pStyle w:val="23"/>
              <w:rPr>
                <w:rFonts w:ascii="Times New Roman" w:hAnsi="Times New Roman" w:eastAsia="宋体" w:cs="Times New Roman"/>
                <w:szCs w:val="21"/>
              </w:rPr>
            </w:pPr>
          </w:p>
        </w:tc>
        <w:tc>
          <w:tcPr>
            <w:tcW w:w="1011" w:type="pct"/>
            <w:tcBorders>
              <w:top w:val="single" w:color="auto" w:sz="4" w:space="0"/>
              <w:bottom w:val="single" w:color="auto" w:sz="4" w:space="0"/>
            </w:tcBorders>
            <w:shd w:val="clear" w:color="auto" w:fill="auto"/>
            <w:vAlign w:val="center"/>
          </w:tcPr>
          <w:p w14:paraId="15706F71">
            <w:pPr>
              <w:pStyle w:val="23"/>
              <w:rPr>
                <w:rFonts w:ascii="Times New Roman" w:hAnsi="Times New Roman" w:eastAsia="宋体" w:cs="Times New Roman"/>
                <w:szCs w:val="21"/>
              </w:rPr>
            </w:pPr>
            <w:r>
              <w:rPr>
                <w:rFonts w:ascii="Times New Roman" w:hAnsi="Times New Roman" w:eastAsia="宋体" w:cs="Times New Roman"/>
                <w:szCs w:val="21"/>
              </w:rPr>
              <w:t>其他煤制品</w:t>
            </w:r>
          </w:p>
        </w:tc>
        <w:tc>
          <w:tcPr>
            <w:tcW w:w="745" w:type="pct"/>
            <w:tcBorders>
              <w:top w:val="single" w:color="auto" w:sz="4" w:space="0"/>
              <w:bottom w:val="single" w:color="auto" w:sz="4" w:space="0"/>
            </w:tcBorders>
            <w:shd w:val="clear" w:color="auto" w:fill="auto"/>
            <w:vAlign w:val="center"/>
          </w:tcPr>
          <w:p w14:paraId="12DFC61A">
            <w:pPr>
              <w:pStyle w:val="23"/>
              <w:rPr>
                <w:rFonts w:ascii="Times New Roman" w:hAnsi="Times New Roman" w:eastAsia="宋体" w:cs="Times New Roman"/>
                <w:szCs w:val="21"/>
              </w:rPr>
            </w:pPr>
            <w:r>
              <w:rPr>
                <w:rFonts w:ascii="Times New Roman" w:hAnsi="Times New Roman" w:eastAsia="宋体" w:cs="Times New Roman"/>
                <w:szCs w:val="21"/>
              </w:rPr>
              <w:t>t</w:t>
            </w:r>
          </w:p>
        </w:tc>
        <w:tc>
          <w:tcPr>
            <w:tcW w:w="1320" w:type="pct"/>
            <w:tcBorders>
              <w:top w:val="single" w:color="auto" w:sz="4" w:space="0"/>
              <w:bottom w:val="single" w:color="auto" w:sz="4" w:space="0"/>
            </w:tcBorders>
            <w:shd w:val="clear" w:color="auto" w:fill="auto"/>
            <w:vAlign w:val="center"/>
          </w:tcPr>
          <w:p w14:paraId="20451C4E">
            <w:pPr>
              <w:pStyle w:val="23"/>
              <w:rPr>
                <w:rFonts w:ascii="Times New Roman" w:hAnsi="Times New Roman" w:eastAsia="宋体" w:cs="Times New Roman"/>
                <w:szCs w:val="21"/>
              </w:rPr>
            </w:pPr>
            <w:r>
              <w:rPr>
                <w:rFonts w:ascii="Times New Roman" w:hAnsi="Times New Roman" w:eastAsia="宋体" w:cs="Times New Roman"/>
                <w:szCs w:val="21"/>
              </w:rPr>
              <w:t>17.460*</w:t>
            </w:r>
            <w:r>
              <w:rPr>
                <w:rFonts w:ascii="Times New Roman" w:hAnsi="Times New Roman" w:eastAsia="宋体" w:cs="Times New Roman"/>
                <w:szCs w:val="21"/>
                <w:vertAlign w:val="superscript"/>
              </w:rPr>
              <w:t>2</w:t>
            </w:r>
          </w:p>
        </w:tc>
        <w:tc>
          <w:tcPr>
            <w:tcW w:w="868" w:type="pct"/>
            <w:tcBorders>
              <w:top w:val="single" w:color="auto" w:sz="4" w:space="0"/>
              <w:bottom w:val="single" w:color="auto" w:sz="4" w:space="0"/>
            </w:tcBorders>
            <w:shd w:val="clear" w:color="auto" w:fill="auto"/>
            <w:vAlign w:val="center"/>
          </w:tcPr>
          <w:p w14:paraId="738AB900">
            <w:pPr>
              <w:pStyle w:val="23"/>
              <w:rPr>
                <w:rFonts w:ascii="Times New Roman" w:hAnsi="Times New Roman" w:eastAsia="宋体" w:cs="Times New Roman"/>
                <w:szCs w:val="21"/>
              </w:rPr>
            </w:pPr>
            <w:r>
              <w:rPr>
                <w:rFonts w:ascii="Times New Roman" w:hAnsi="Times New Roman" w:eastAsia="宋体" w:cs="Times New Roman"/>
                <w:szCs w:val="21"/>
              </w:rPr>
              <w:t>0.02</w:t>
            </w:r>
            <w:r>
              <w:rPr>
                <w:rFonts w:hint="eastAsia" w:ascii="Times New Roman" w:hAnsi="Times New Roman" w:eastAsia="宋体" w:cs="Times New Roman"/>
                <w:szCs w:val="21"/>
              </w:rPr>
              <w:t>66</w:t>
            </w:r>
            <w:r>
              <w:rPr>
                <w:rFonts w:ascii="Times New Roman" w:hAnsi="Times New Roman" w:eastAsia="宋体" w:cs="Times New Roman"/>
                <w:szCs w:val="21"/>
              </w:rPr>
              <w:t>*</w:t>
            </w:r>
            <w:r>
              <w:rPr>
                <w:rFonts w:ascii="Times New Roman" w:hAnsi="Times New Roman" w:eastAsia="宋体" w:cs="Times New Roman"/>
                <w:szCs w:val="21"/>
                <w:vertAlign w:val="superscript"/>
              </w:rPr>
              <w:t>3</w:t>
            </w:r>
          </w:p>
        </w:tc>
        <w:tc>
          <w:tcPr>
            <w:tcW w:w="641" w:type="pct"/>
            <w:vMerge w:val="continue"/>
            <w:tcBorders>
              <w:top w:val="single" w:color="auto" w:sz="4" w:space="0"/>
              <w:bottom w:val="single" w:color="auto" w:sz="4" w:space="0"/>
              <w:right w:val="single" w:color="auto" w:sz="8" w:space="0"/>
            </w:tcBorders>
            <w:vAlign w:val="center"/>
          </w:tcPr>
          <w:p w14:paraId="0BEEC541">
            <w:pPr>
              <w:pStyle w:val="23"/>
              <w:rPr>
                <w:rFonts w:ascii="Times New Roman" w:hAnsi="Times New Roman" w:eastAsia="宋体" w:cs="Times New Roman"/>
                <w:szCs w:val="21"/>
              </w:rPr>
            </w:pPr>
          </w:p>
        </w:tc>
      </w:tr>
      <w:tr w14:paraId="31CE6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restart"/>
            <w:tcBorders>
              <w:top w:val="single" w:color="auto" w:sz="4" w:space="0"/>
              <w:left w:val="single" w:color="auto" w:sz="8" w:space="0"/>
              <w:bottom w:val="single" w:color="auto" w:sz="4" w:space="0"/>
            </w:tcBorders>
            <w:vAlign w:val="center"/>
          </w:tcPr>
          <w:p w14:paraId="08C2B5F7">
            <w:pPr>
              <w:pStyle w:val="23"/>
              <w:rPr>
                <w:rFonts w:ascii="Times New Roman" w:hAnsi="Times New Roman" w:eastAsia="宋体" w:cs="Times New Roman"/>
                <w:szCs w:val="21"/>
              </w:rPr>
            </w:pPr>
            <w:r>
              <w:rPr>
                <w:rFonts w:ascii="Times New Roman" w:hAnsi="Times New Roman" w:eastAsia="宋体" w:cs="Times New Roman"/>
                <w:szCs w:val="21"/>
              </w:rPr>
              <w:t>液体燃料</w:t>
            </w:r>
          </w:p>
        </w:tc>
        <w:tc>
          <w:tcPr>
            <w:tcW w:w="1011" w:type="pct"/>
            <w:tcBorders>
              <w:top w:val="single" w:color="auto" w:sz="4" w:space="0"/>
              <w:bottom w:val="single" w:color="auto" w:sz="4" w:space="0"/>
            </w:tcBorders>
            <w:vAlign w:val="center"/>
          </w:tcPr>
          <w:p w14:paraId="46B0C1F9">
            <w:pPr>
              <w:pStyle w:val="23"/>
              <w:rPr>
                <w:rFonts w:ascii="Times New Roman" w:hAnsi="Times New Roman" w:eastAsia="宋体" w:cs="Times New Roman"/>
                <w:szCs w:val="21"/>
              </w:rPr>
            </w:pPr>
            <w:r>
              <w:rPr>
                <w:rFonts w:ascii="Times New Roman" w:hAnsi="Times New Roman" w:eastAsia="宋体" w:cs="Times New Roman"/>
                <w:szCs w:val="21"/>
              </w:rPr>
              <w:t>原油</w:t>
            </w:r>
          </w:p>
        </w:tc>
        <w:tc>
          <w:tcPr>
            <w:tcW w:w="745" w:type="pct"/>
            <w:tcBorders>
              <w:top w:val="single" w:color="auto" w:sz="4" w:space="0"/>
              <w:bottom w:val="single" w:color="auto" w:sz="4" w:space="0"/>
            </w:tcBorders>
            <w:vAlign w:val="center"/>
          </w:tcPr>
          <w:p w14:paraId="2AA5B413">
            <w:pPr>
              <w:pStyle w:val="23"/>
              <w:rPr>
                <w:rFonts w:ascii="Times New Roman" w:hAnsi="Times New Roman" w:eastAsia="宋体" w:cs="Times New Roman"/>
                <w:szCs w:val="21"/>
              </w:rPr>
            </w:pPr>
            <w:r>
              <w:rPr>
                <w:rFonts w:ascii="Times New Roman" w:hAnsi="Times New Roman" w:eastAsia="宋体" w:cs="Times New Roman"/>
                <w:szCs w:val="21"/>
              </w:rPr>
              <w:t>t</w:t>
            </w:r>
          </w:p>
        </w:tc>
        <w:tc>
          <w:tcPr>
            <w:tcW w:w="1320" w:type="pct"/>
            <w:tcBorders>
              <w:top w:val="single" w:color="auto" w:sz="4" w:space="0"/>
              <w:bottom w:val="single" w:color="auto" w:sz="4" w:space="0"/>
            </w:tcBorders>
            <w:vAlign w:val="center"/>
          </w:tcPr>
          <w:p w14:paraId="0BB7C853">
            <w:pPr>
              <w:pStyle w:val="23"/>
              <w:rPr>
                <w:rFonts w:ascii="Times New Roman" w:hAnsi="Times New Roman" w:eastAsia="宋体" w:cs="Times New Roman"/>
                <w:szCs w:val="21"/>
              </w:rPr>
            </w:pPr>
            <w:r>
              <w:rPr>
                <w:rFonts w:ascii="Times New Roman" w:hAnsi="Times New Roman" w:eastAsia="宋体" w:cs="Times New Roman"/>
                <w:szCs w:val="21"/>
              </w:rPr>
              <w:t>41.816*</w:t>
            </w:r>
            <w:r>
              <w:rPr>
                <w:rFonts w:ascii="Times New Roman" w:hAnsi="Times New Roman" w:eastAsia="宋体" w:cs="Times New Roman"/>
                <w:szCs w:val="21"/>
                <w:vertAlign w:val="superscript"/>
              </w:rPr>
              <w:t>6</w:t>
            </w:r>
          </w:p>
        </w:tc>
        <w:tc>
          <w:tcPr>
            <w:tcW w:w="868" w:type="pct"/>
            <w:tcBorders>
              <w:top w:val="single" w:color="auto" w:sz="4" w:space="0"/>
              <w:bottom w:val="single" w:color="auto" w:sz="4" w:space="0"/>
            </w:tcBorders>
            <w:vAlign w:val="center"/>
          </w:tcPr>
          <w:p w14:paraId="6F7F6524">
            <w:pPr>
              <w:pStyle w:val="23"/>
              <w:rPr>
                <w:rFonts w:ascii="Times New Roman" w:hAnsi="Times New Roman" w:eastAsia="宋体" w:cs="Times New Roman"/>
                <w:szCs w:val="21"/>
              </w:rPr>
            </w:pPr>
            <w:r>
              <w:rPr>
                <w:rFonts w:ascii="Times New Roman" w:hAnsi="Times New Roman" w:eastAsia="宋体" w:cs="Times New Roman"/>
                <w:szCs w:val="21"/>
              </w:rPr>
              <w:t>0.02</w:t>
            </w:r>
            <w:r>
              <w:rPr>
                <w:rFonts w:hint="eastAsia" w:ascii="Times New Roman" w:hAnsi="Times New Roman" w:eastAsia="宋体" w:cs="Times New Roman"/>
                <w:szCs w:val="21"/>
              </w:rPr>
              <w:t>00</w:t>
            </w:r>
            <w:r>
              <w:rPr>
                <w:rFonts w:ascii="Times New Roman" w:hAnsi="Times New Roman" w:eastAsia="宋体" w:cs="Times New Roman"/>
                <w:szCs w:val="21"/>
              </w:rPr>
              <w:t>*</w:t>
            </w:r>
            <w:r>
              <w:rPr>
                <w:rFonts w:ascii="Times New Roman" w:hAnsi="Times New Roman" w:eastAsia="宋体" w:cs="Times New Roman"/>
                <w:szCs w:val="21"/>
                <w:vertAlign w:val="superscript"/>
              </w:rPr>
              <w:t>3</w:t>
            </w:r>
          </w:p>
        </w:tc>
        <w:tc>
          <w:tcPr>
            <w:tcW w:w="641" w:type="pct"/>
            <w:vMerge w:val="restart"/>
            <w:tcBorders>
              <w:top w:val="single" w:color="auto" w:sz="4" w:space="0"/>
              <w:bottom w:val="single" w:color="auto" w:sz="4" w:space="0"/>
              <w:right w:val="single" w:color="auto" w:sz="8" w:space="0"/>
            </w:tcBorders>
            <w:vAlign w:val="center"/>
          </w:tcPr>
          <w:p w14:paraId="10F583BA">
            <w:pPr>
              <w:pStyle w:val="23"/>
              <w:rPr>
                <w:rFonts w:ascii="Times New Roman" w:hAnsi="Times New Roman" w:eastAsia="宋体" w:cs="Times New Roman"/>
                <w:szCs w:val="21"/>
              </w:rPr>
            </w:pPr>
            <w:r>
              <w:rPr>
                <w:rFonts w:hint="eastAsia" w:ascii="Times New Roman" w:hAnsi="Times New Roman" w:eastAsia="宋体" w:cs="Times New Roman"/>
                <w:szCs w:val="21"/>
              </w:rPr>
              <w:t>100</w:t>
            </w:r>
            <w:r>
              <w:rPr>
                <w:rFonts w:ascii="Times New Roman" w:hAnsi="Times New Roman" w:eastAsia="宋体" w:cs="Times New Roman"/>
                <w:szCs w:val="21"/>
              </w:rPr>
              <w:t>*</w:t>
            </w:r>
            <w:r>
              <w:rPr>
                <w:rFonts w:ascii="Times New Roman" w:hAnsi="Times New Roman" w:eastAsia="宋体" w:cs="Times New Roman"/>
                <w:szCs w:val="21"/>
                <w:vertAlign w:val="superscript"/>
              </w:rPr>
              <w:t>3</w:t>
            </w:r>
          </w:p>
        </w:tc>
      </w:tr>
      <w:tr w14:paraId="2C0BE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3A85E442">
            <w:pPr>
              <w:pStyle w:val="23"/>
              <w:rPr>
                <w:rFonts w:ascii="Times New Roman" w:hAnsi="Times New Roman" w:eastAsia="宋体" w:cs="Times New Roman"/>
                <w:szCs w:val="21"/>
              </w:rPr>
            </w:pPr>
          </w:p>
        </w:tc>
        <w:tc>
          <w:tcPr>
            <w:tcW w:w="1011" w:type="pct"/>
            <w:tcBorders>
              <w:top w:val="single" w:color="auto" w:sz="4" w:space="0"/>
              <w:bottom w:val="single" w:color="auto" w:sz="4" w:space="0"/>
            </w:tcBorders>
            <w:vAlign w:val="center"/>
          </w:tcPr>
          <w:p w14:paraId="1EE70AC3">
            <w:pPr>
              <w:pStyle w:val="23"/>
              <w:rPr>
                <w:rFonts w:ascii="Times New Roman" w:hAnsi="Times New Roman" w:eastAsia="宋体" w:cs="Times New Roman"/>
                <w:szCs w:val="21"/>
              </w:rPr>
            </w:pPr>
            <w:r>
              <w:rPr>
                <w:rFonts w:ascii="Times New Roman" w:hAnsi="Times New Roman" w:eastAsia="宋体" w:cs="Times New Roman"/>
                <w:szCs w:val="21"/>
              </w:rPr>
              <w:t>燃料油</w:t>
            </w:r>
          </w:p>
        </w:tc>
        <w:tc>
          <w:tcPr>
            <w:tcW w:w="745" w:type="pct"/>
            <w:tcBorders>
              <w:top w:val="single" w:color="auto" w:sz="4" w:space="0"/>
              <w:bottom w:val="single" w:color="auto" w:sz="4" w:space="0"/>
            </w:tcBorders>
            <w:vAlign w:val="center"/>
          </w:tcPr>
          <w:p w14:paraId="06033D11">
            <w:pPr>
              <w:pStyle w:val="23"/>
              <w:rPr>
                <w:rFonts w:ascii="Times New Roman" w:hAnsi="Times New Roman" w:eastAsia="宋体" w:cs="Times New Roman"/>
                <w:szCs w:val="21"/>
              </w:rPr>
            </w:pPr>
            <w:r>
              <w:rPr>
                <w:rFonts w:ascii="Times New Roman" w:hAnsi="Times New Roman" w:eastAsia="宋体" w:cs="Times New Roman"/>
                <w:szCs w:val="21"/>
              </w:rPr>
              <w:t>t</w:t>
            </w:r>
          </w:p>
        </w:tc>
        <w:tc>
          <w:tcPr>
            <w:tcW w:w="1320" w:type="pct"/>
            <w:tcBorders>
              <w:top w:val="single" w:color="auto" w:sz="4" w:space="0"/>
              <w:bottom w:val="single" w:color="auto" w:sz="4" w:space="0"/>
            </w:tcBorders>
            <w:vAlign w:val="center"/>
          </w:tcPr>
          <w:p w14:paraId="2155E63A">
            <w:pPr>
              <w:pStyle w:val="23"/>
              <w:rPr>
                <w:rFonts w:ascii="Times New Roman" w:hAnsi="Times New Roman" w:eastAsia="宋体" w:cs="Times New Roman"/>
                <w:szCs w:val="21"/>
              </w:rPr>
            </w:pPr>
            <w:r>
              <w:rPr>
                <w:rFonts w:ascii="Times New Roman" w:hAnsi="Times New Roman" w:eastAsia="宋体" w:cs="Times New Roman"/>
                <w:szCs w:val="21"/>
              </w:rPr>
              <w:t>41.816*</w:t>
            </w:r>
            <w:r>
              <w:rPr>
                <w:rFonts w:ascii="Times New Roman" w:hAnsi="Times New Roman" w:eastAsia="宋体" w:cs="Times New Roman"/>
                <w:szCs w:val="21"/>
                <w:vertAlign w:val="superscript"/>
              </w:rPr>
              <w:t>6</w:t>
            </w:r>
          </w:p>
        </w:tc>
        <w:tc>
          <w:tcPr>
            <w:tcW w:w="868" w:type="pct"/>
            <w:tcBorders>
              <w:top w:val="single" w:color="auto" w:sz="4" w:space="0"/>
              <w:bottom w:val="single" w:color="auto" w:sz="4" w:space="0"/>
            </w:tcBorders>
            <w:vAlign w:val="center"/>
          </w:tcPr>
          <w:p w14:paraId="2DC2B010">
            <w:pPr>
              <w:pStyle w:val="23"/>
              <w:rPr>
                <w:rFonts w:ascii="Times New Roman" w:hAnsi="Times New Roman" w:eastAsia="宋体" w:cs="Times New Roman"/>
                <w:szCs w:val="21"/>
              </w:rPr>
            </w:pPr>
            <w:r>
              <w:rPr>
                <w:rFonts w:ascii="Times New Roman" w:hAnsi="Times New Roman" w:eastAsia="宋体" w:cs="Times New Roman"/>
                <w:szCs w:val="21"/>
              </w:rPr>
              <w:t>0.021</w:t>
            </w:r>
            <w:r>
              <w:rPr>
                <w:rFonts w:hint="eastAsia" w:ascii="Times New Roman" w:hAnsi="Times New Roman" w:eastAsia="宋体" w:cs="Times New Roman"/>
                <w:szCs w:val="21"/>
              </w:rPr>
              <w:t>2</w:t>
            </w:r>
            <w:r>
              <w:rPr>
                <w:rFonts w:ascii="Times New Roman" w:hAnsi="Times New Roman" w:eastAsia="宋体" w:cs="Times New Roman"/>
                <w:szCs w:val="21"/>
              </w:rPr>
              <w:t>*</w:t>
            </w:r>
            <w:r>
              <w:rPr>
                <w:rFonts w:ascii="Times New Roman" w:hAnsi="Times New Roman" w:eastAsia="宋体" w:cs="Times New Roman"/>
                <w:szCs w:val="21"/>
                <w:vertAlign w:val="superscript"/>
              </w:rPr>
              <w:t>3</w:t>
            </w:r>
          </w:p>
        </w:tc>
        <w:tc>
          <w:tcPr>
            <w:tcW w:w="641" w:type="pct"/>
            <w:vMerge w:val="continue"/>
            <w:tcBorders>
              <w:top w:val="single" w:color="auto" w:sz="4" w:space="0"/>
              <w:bottom w:val="single" w:color="auto" w:sz="4" w:space="0"/>
              <w:right w:val="single" w:color="auto" w:sz="8" w:space="0"/>
            </w:tcBorders>
            <w:vAlign w:val="center"/>
          </w:tcPr>
          <w:p w14:paraId="7C91FA6C">
            <w:pPr>
              <w:pStyle w:val="23"/>
              <w:rPr>
                <w:rFonts w:ascii="Times New Roman" w:hAnsi="Times New Roman" w:eastAsia="宋体" w:cs="Times New Roman"/>
                <w:szCs w:val="21"/>
              </w:rPr>
            </w:pPr>
          </w:p>
        </w:tc>
      </w:tr>
      <w:tr w14:paraId="00E68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0FA7EDE6">
            <w:pPr>
              <w:pStyle w:val="23"/>
              <w:rPr>
                <w:rFonts w:ascii="Times New Roman" w:hAnsi="Times New Roman" w:eastAsia="宋体" w:cs="Times New Roman"/>
                <w:szCs w:val="21"/>
              </w:rPr>
            </w:pPr>
          </w:p>
        </w:tc>
        <w:tc>
          <w:tcPr>
            <w:tcW w:w="1011" w:type="pct"/>
            <w:tcBorders>
              <w:top w:val="single" w:color="auto" w:sz="4" w:space="0"/>
              <w:bottom w:val="single" w:color="auto" w:sz="4" w:space="0"/>
            </w:tcBorders>
            <w:vAlign w:val="center"/>
          </w:tcPr>
          <w:p w14:paraId="31EE9B23">
            <w:pPr>
              <w:pStyle w:val="23"/>
              <w:rPr>
                <w:rFonts w:ascii="Times New Roman" w:hAnsi="Times New Roman" w:eastAsia="宋体" w:cs="Times New Roman"/>
                <w:szCs w:val="21"/>
              </w:rPr>
            </w:pPr>
            <w:r>
              <w:rPr>
                <w:rFonts w:ascii="Times New Roman" w:hAnsi="Times New Roman" w:eastAsia="宋体" w:cs="Times New Roman"/>
                <w:szCs w:val="21"/>
              </w:rPr>
              <w:t>汽油</w:t>
            </w:r>
          </w:p>
        </w:tc>
        <w:tc>
          <w:tcPr>
            <w:tcW w:w="745" w:type="pct"/>
            <w:tcBorders>
              <w:top w:val="single" w:color="auto" w:sz="4" w:space="0"/>
              <w:bottom w:val="single" w:color="auto" w:sz="4" w:space="0"/>
            </w:tcBorders>
            <w:vAlign w:val="center"/>
          </w:tcPr>
          <w:p w14:paraId="3200856B">
            <w:pPr>
              <w:pStyle w:val="23"/>
              <w:rPr>
                <w:rFonts w:ascii="Times New Roman" w:hAnsi="Times New Roman" w:eastAsia="宋体" w:cs="Times New Roman"/>
                <w:szCs w:val="21"/>
              </w:rPr>
            </w:pPr>
            <w:r>
              <w:rPr>
                <w:rFonts w:ascii="Times New Roman" w:hAnsi="Times New Roman" w:eastAsia="宋体" w:cs="Times New Roman"/>
                <w:szCs w:val="21"/>
              </w:rPr>
              <w:t>t</w:t>
            </w:r>
          </w:p>
        </w:tc>
        <w:tc>
          <w:tcPr>
            <w:tcW w:w="1320" w:type="pct"/>
            <w:tcBorders>
              <w:top w:val="single" w:color="auto" w:sz="4" w:space="0"/>
              <w:bottom w:val="single" w:color="auto" w:sz="4" w:space="0"/>
            </w:tcBorders>
            <w:vAlign w:val="center"/>
          </w:tcPr>
          <w:p w14:paraId="0A2D766A">
            <w:pPr>
              <w:pStyle w:val="23"/>
              <w:rPr>
                <w:rFonts w:ascii="Times New Roman" w:hAnsi="Times New Roman" w:eastAsia="宋体" w:cs="Times New Roman"/>
                <w:szCs w:val="21"/>
              </w:rPr>
            </w:pPr>
            <w:r>
              <w:rPr>
                <w:rFonts w:ascii="Times New Roman" w:hAnsi="Times New Roman" w:eastAsia="宋体" w:cs="Times New Roman"/>
                <w:szCs w:val="21"/>
              </w:rPr>
              <w:t>43.070*</w:t>
            </w:r>
            <w:r>
              <w:rPr>
                <w:rFonts w:ascii="Times New Roman" w:hAnsi="Times New Roman" w:eastAsia="宋体" w:cs="Times New Roman"/>
                <w:szCs w:val="21"/>
                <w:vertAlign w:val="superscript"/>
              </w:rPr>
              <w:t>6</w:t>
            </w:r>
          </w:p>
        </w:tc>
        <w:tc>
          <w:tcPr>
            <w:tcW w:w="868" w:type="pct"/>
            <w:tcBorders>
              <w:top w:val="single" w:color="auto" w:sz="4" w:space="0"/>
              <w:bottom w:val="single" w:color="auto" w:sz="4" w:space="0"/>
            </w:tcBorders>
            <w:vAlign w:val="center"/>
          </w:tcPr>
          <w:p w14:paraId="20F4D436">
            <w:pPr>
              <w:pStyle w:val="23"/>
              <w:rPr>
                <w:rFonts w:ascii="Times New Roman" w:hAnsi="Times New Roman" w:eastAsia="宋体" w:cs="Times New Roman"/>
                <w:szCs w:val="21"/>
              </w:rPr>
            </w:pPr>
            <w:r>
              <w:rPr>
                <w:rFonts w:ascii="Times New Roman" w:hAnsi="Times New Roman" w:eastAsia="宋体" w:cs="Times New Roman"/>
                <w:szCs w:val="21"/>
              </w:rPr>
              <w:t>0.0189*</w:t>
            </w:r>
            <w:r>
              <w:rPr>
                <w:rFonts w:ascii="Times New Roman" w:hAnsi="Times New Roman" w:eastAsia="宋体" w:cs="Times New Roman"/>
                <w:szCs w:val="21"/>
                <w:vertAlign w:val="superscript"/>
              </w:rPr>
              <w:t>3</w:t>
            </w:r>
          </w:p>
        </w:tc>
        <w:tc>
          <w:tcPr>
            <w:tcW w:w="641" w:type="pct"/>
            <w:vMerge w:val="continue"/>
            <w:tcBorders>
              <w:top w:val="single" w:color="auto" w:sz="4" w:space="0"/>
              <w:bottom w:val="single" w:color="auto" w:sz="4" w:space="0"/>
              <w:right w:val="single" w:color="auto" w:sz="8" w:space="0"/>
            </w:tcBorders>
            <w:vAlign w:val="center"/>
          </w:tcPr>
          <w:p w14:paraId="5A4490DE">
            <w:pPr>
              <w:pStyle w:val="23"/>
              <w:rPr>
                <w:rFonts w:ascii="Times New Roman" w:hAnsi="Times New Roman" w:eastAsia="宋体" w:cs="Times New Roman"/>
                <w:szCs w:val="21"/>
              </w:rPr>
            </w:pPr>
          </w:p>
        </w:tc>
      </w:tr>
      <w:tr w14:paraId="3D24A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49A0BFD7">
            <w:pPr>
              <w:pStyle w:val="23"/>
              <w:rPr>
                <w:rFonts w:ascii="Times New Roman" w:hAnsi="Times New Roman" w:eastAsia="宋体" w:cs="Times New Roman"/>
                <w:szCs w:val="21"/>
              </w:rPr>
            </w:pPr>
          </w:p>
        </w:tc>
        <w:tc>
          <w:tcPr>
            <w:tcW w:w="1011" w:type="pct"/>
            <w:tcBorders>
              <w:top w:val="single" w:color="auto" w:sz="4" w:space="0"/>
              <w:bottom w:val="single" w:color="auto" w:sz="4" w:space="0"/>
            </w:tcBorders>
            <w:vAlign w:val="center"/>
          </w:tcPr>
          <w:p w14:paraId="623EF836">
            <w:pPr>
              <w:pStyle w:val="23"/>
              <w:rPr>
                <w:rFonts w:ascii="Times New Roman" w:hAnsi="Times New Roman" w:eastAsia="宋体" w:cs="Times New Roman"/>
                <w:szCs w:val="21"/>
              </w:rPr>
            </w:pPr>
            <w:r>
              <w:rPr>
                <w:rFonts w:ascii="Times New Roman" w:hAnsi="Times New Roman" w:eastAsia="宋体" w:cs="Times New Roman"/>
                <w:szCs w:val="21"/>
              </w:rPr>
              <w:t>柴油</w:t>
            </w:r>
          </w:p>
        </w:tc>
        <w:tc>
          <w:tcPr>
            <w:tcW w:w="745" w:type="pct"/>
            <w:tcBorders>
              <w:top w:val="single" w:color="auto" w:sz="4" w:space="0"/>
              <w:bottom w:val="single" w:color="auto" w:sz="4" w:space="0"/>
            </w:tcBorders>
            <w:vAlign w:val="center"/>
          </w:tcPr>
          <w:p w14:paraId="6DD8AF3F">
            <w:pPr>
              <w:pStyle w:val="23"/>
              <w:rPr>
                <w:rFonts w:ascii="Times New Roman" w:hAnsi="Times New Roman" w:eastAsia="宋体" w:cs="Times New Roman"/>
                <w:szCs w:val="21"/>
              </w:rPr>
            </w:pPr>
            <w:r>
              <w:rPr>
                <w:rFonts w:ascii="Times New Roman" w:hAnsi="Times New Roman" w:eastAsia="宋体" w:cs="Times New Roman"/>
                <w:szCs w:val="21"/>
              </w:rPr>
              <w:t>t</w:t>
            </w:r>
          </w:p>
        </w:tc>
        <w:tc>
          <w:tcPr>
            <w:tcW w:w="1320" w:type="pct"/>
            <w:tcBorders>
              <w:top w:val="single" w:color="auto" w:sz="4" w:space="0"/>
              <w:bottom w:val="single" w:color="auto" w:sz="4" w:space="0"/>
            </w:tcBorders>
            <w:vAlign w:val="center"/>
          </w:tcPr>
          <w:p w14:paraId="13A207B4">
            <w:pPr>
              <w:pStyle w:val="23"/>
              <w:rPr>
                <w:rFonts w:ascii="Times New Roman" w:hAnsi="Times New Roman" w:eastAsia="宋体" w:cs="Times New Roman"/>
                <w:szCs w:val="21"/>
              </w:rPr>
            </w:pPr>
            <w:r>
              <w:rPr>
                <w:rFonts w:ascii="Times New Roman" w:hAnsi="Times New Roman" w:eastAsia="宋体" w:cs="Times New Roman"/>
                <w:szCs w:val="21"/>
              </w:rPr>
              <w:t>42.652*</w:t>
            </w:r>
            <w:r>
              <w:rPr>
                <w:rFonts w:ascii="Times New Roman" w:hAnsi="Times New Roman" w:eastAsia="宋体" w:cs="Times New Roman"/>
                <w:szCs w:val="21"/>
                <w:vertAlign w:val="superscript"/>
              </w:rPr>
              <w:t>6</w:t>
            </w:r>
          </w:p>
        </w:tc>
        <w:tc>
          <w:tcPr>
            <w:tcW w:w="868" w:type="pct"/>
            <w:tcBorders>
              <w:top w:val="single" w:color="auto" w:sz="4" w:space="0"/>
              <w:bottom w:val="single" w:color="auto" w:sz="4" w:space="0"/>
            </w:tcBorders>
            <w:vAlign w:val="center"/>
          </w:tcPr>
          <w:p w14:paraId="2AD1D487">
            <w:pPr>
              <w:pStyle w:val="23"/>
              <w:rPr>
                <w:rFonts w:ascii="Times New Roman" w:hAnsi="Times New Roman" w:eastAsia="宋体" w:cs="Times New Roman"/>
                <w:szCs w:val="21"/>
              </w:rPr>
            </w:pPr>
            <w:r>
              <w:rPr>
                <w:rFonts w:ascii="Times New Roman" w:hAnsi="Times New Roman" w:eastAsia="宋体" w:cs="Times New Roman"/>
                <w:szCs w:val="21"/>
              </w:rPr>
              <w:t>0.0202*</w:t>
            </w:r>
            <w:r>
              <w:rPr>
                <w:rFonts w:ascii="Times New Roman" w:hAnsi="Times New Roman" w:eastAsia="宋体" w:cs="Times New Roman"/>
                <w:szCs w:val="21"/>
                <w:vertAlign w:val="superscript"/>
              </w:rPr>
              <w:t>3</w:t>
            </w:r>
          </w:p>
        </w:tc>
        <w:tc>
          <w:tcPr>
            <w:tcW w:w="641" w:type="pct"/>
            <w:vMerge w:val="continue"/>
            <w:tcBorders>
              <w:top w:val="single" w:color="auto" w:sz="4" w:space="0"/>
              <w:bottom w:val="single" w:color="auto" w:sz="4" w:space="0"/>
              <w:right w:val="single" w:color="auto" w:sz="8" w:space="0"/>
            </w:tcBorders>
            <w:vAlign w:val="center"/>
          </w:tcPr>
          <w:p w14:paraId="3CBB730C">
            <w:pPr>
              <w:pStyle w:val="23"/>
              <w:rPr>
                <w:rFonts w:ascii="Times New Roman" w:hAnsi="Times New Roman" w:eastAsia="宋体" w:cs="Times New Roman"/>
                <w:szCs w:val="21"/>
              </w:rPr>
            </w:pPr>
          </w:p>
        </w:tc>
      </w:tr>
      <w:tr w14:paraId="7A8A9C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1E6008D0">
            <w:pPr>
              <w:pStyle w:val="23"/>
              <w:rPr>
                <w:rFonts w:ascii="Times New Roman" w:hAnsi="Times New Roman" w:eastAsia="宋体" w:cs="Times New Roman"/>
                <w:szCs w:val="21"/>
              </w:rPr>
            </w:pPr>
          </w:p>
        </w:tc>
        <w:tc>
          <w:tcPr>
            <w:tcW w:w="1011" w:type="pct"/>
            <w:tcBorders>
              <w:top w:val="single" w:color="auto" w:sz="4" w:space="0"/>
              <w:bottom w:val="single" w:color="auto" w:sz="4" w:space="0"/>
            </w:tcBorders>
            <w:vAlign w:val="center"/>
          </w:tcPr>
          <w:p w14:paraId="0F8CFD9B">
            <w:pPr>
              <w:pStyle w:val="23"/>
              <w:rPr>
                <w:rFonts w:ascii="Times New Roman" w:hAnsi="Times New Roman" w:eastAsia="宋体" w:cs="Times New Roman"/>
                <w:szCs w:val="21"/>
              </w:rPr>
            </w:pPr>
            <w:r>
              <w:rPr>
                <w:rFonts w:ascii="Times New Roman" w:hAnsi="Times New Roman" w:eastAsia="宋体" w:cs="Times New Roman"/>
                <w:szCs w:val="21"/>
              </w:rPr>
              <w:t>煤油</w:t>
            </w:r>
          </w:p>
        </w:tc>
        <w:tc>
          <w:tcPr>
            <w:tcW w:w="745" w:type="pct"/>
            <w:tcBorders>
              <w:top w:val="single" w:color="auto" w:sz="4" w:space="0"/>
              <w:bottom w:val="single" w:color="auto" w:sz="4" w:space="0"/>
            </w:tcBorders>
            <w:vAlign w:val="center"/>
          </w:tcPr>
          <w:p w14:paraId="5D1D531B">
            <w:pPr>
              <w:pStyle w:val="23"/>
              <w:rPr>
                <w:rFonts w:ascii="Times New Roman" w:hAnsi="Times New Roman" w:eastAsia="宋体" w:cs="Times New Roman"/>
                <w:szCs w:val="21"/>
              </w:rPr>
            </w:pPr>
            <w:r>
              <w:rPr>
                <w:rFonts w:ascii="Times New Roman" w:hAnsi="Times New Roman" w:eastAsia="宋体" w:cs="Times New Roman"/>
                <w:szCs w:val="21"/>
              </w:rPr>
              <w:t>t</w:t>
            </w:r>
          </w:p>
        </w:tc>
        <w:tc>
          <w:tcPr>
            <w:tcW w:w="1320" w:type="pct"/>
            <w:tcBorders>
              <w:top w:val="single" w:color="auto" w:sz="4" w:space="0"/>
              <w:bottom w:val="single" w:color="auto" w:sz="4" w:space="0"/>
            </w:tcBorders>
            <w:vAlign w:val="center"/>
          </w:tcPr>
          <w:p w14:paraId="1864C856">
            <w:pPr>
              <w:pStyle w:val="23"/>
              <w:rPr>
                <w:rFonts w:ascii="Times New Roman" w:hAnsi="Times New Roman" w:eastAsia="宋体" w:cs="Times New Roman"/>
                <w:szCs w:val="21"/>
              </w:rPr>
            </w:pPr>
            <w:r>
              <w:rPr>
                <w:rFonts w:ascii="Times New Roman" w:hAnsi="Times New Roman" w:eastAsia="宋体" w:cs="Times New Roman"/>
                <w:szCs w:val="21"/>
              </w:rPr>
              <w:t>43.070*</w:t>
            </w:r>
            <w:r>
              <w:rPr>
                <w:rFonts w:ascii="Times New Roman" w:hAnsi="Times New Roman" w:eastAsia="宋体" w:cs="Times New Roman"/>
                <w:szCs w:val="21"/>
                <w:vertAlign w:val="superscript"/>
              </w:rPr>
              <w:t>6</w:t>
            </w:r>
          </w:p>
        </w:tc>
        <w:tc>
          <w:tcPr>
            <w:tcW w:w="868" w:type="pct"/>
            <w:tcBorders>
              <w:top w:val="single" w:color="auto" w:sz="4" w:space="0"/>
              <w:bottom w:val="single" w:color="auto" w:sz="4" w:space="0"/>
            </w:tcBorders>
            <w:vAlign w:val="center"/>
          </w:tcPr>
          <w:p w14:paraId="70B30E60">
            <w:pPr>
              <w:pStyle w:val="23"/>
              <w:rPr>
                <w:rFonts w:ascii="Times New Roman" w:hAnsi="Times New Roman" w:eastAsia="宋体" w:cs="Times New Roman"/>
                <w:szCs w:val="21"/>
              </w:rPr>
            </w:pPr>
            <w:r>
              <w:rPr>
                <w:rFonts w:ascii="Times New Roman" w:hAnsi="Times New Roman" w:eastAsia="宋体" w:cs="Times New Roman"/>
                <w:szCs w:val="21"/>
              </w:rPr>
              <w:t>0.0196*</w:t>
            </w:r>
            <w:r>
              <w:rPr>
                <w:rFonts w:ascii="Times New Roman" w:hAnsi="Times New Roman" w:eastAsia="宋体" w:cs="Times New Roman"/>
                <w:szCs w:val="21"/>
                <w:vertAlign w:val="superscript"/>
              </w:rPr>
              <w:t>3</w:t>
            </w:r>
          </w:p>
        </w:tc>
        <w:tc>
          <w:tcPr>
            <w:tcW w:w="641" w:type="pct"/>
            <w:vMerge w:val="continue"/>
            <w:tcBorders>
              <w:top w:val="single" w:color="auto" w:sz="4" w:space="0"/>
              <w:bottom w:val="single" w:color="auto" w:sz="4" w:space="0"/>
              <w:right w:val="single" w:color="auto" w:sz="8" w:space="0"/>
            </w:tcBorders>
            <w:vAlign w:val="center"/>
          </w:tcPr>
          <w:p w14:paraId="6C2E369F">
            <w:pPr>
              <w:pStyle w:val="23"/>
              <w:rPr>
                <w:rFonts w:ascii="Times New Roman" w:hAnsi="Times New Roman" w:eastAsia="宋体" w:cs="Times New Roman"/>
                <w:szCs w:val="21"/>
              </w:rPr>
            </w:pPr>
          </w:p>
        </w:tc>
      </w:tr>
      <w:tr w14:paraId="74BE8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2E1DB43E">
            <w:pPr>
              <w:pStyle w:val="23"/>
              <w:rPr>
                <w:rFonts w:ascii="Times New Roman" w:hAnsi="Times New Roman" w:eastAsia="宋体" w:cs="Times New Roman"/>
                <w:szCs w:val="21"/>
              </w:rPr>
            </w:pPr>
          </w:p>
        </w:tc>
        <w:tc>
          <w:tcPr>
            <w:tcW w:w="1011" w:type="pct"/>
            <w:tcBorders>
              <w:top w:val="single" w:color="auto" w:sz="4" w:space="0"/>
              <w:bottom w:val="single" w:color="auto" w:sz="4" w:space="0"/>
            </w:tcBorders>
            <w:vAlign w:val="center"/>
          </w:tcPr>
          <w:p w14:paraId="4B149E22">
            <w:pPr>
              <w:pStyle w:val="23"/>
              <w:rPr>
                <w:rFonts w:ascii="Times New Roman" w:hAnsi="Times New Roman" w:eastAsia="宋体" w:cs="Times New Roman"/>
                <w:szCs w:val="21"/>
              </w:rPr>
            </w:pPr>
            <w:r>
              <w:rPr>
                <w:rFonts w:ascii="Times New Roman" w:hAnsi="Times New Roman" w:eastAsia="宋体" w:cs="Times New Roman"/>
                <w:szCs w:val="21"/>
              </w:rPr>
              <w:t>其他石油制品</w:t>
            </w:r>
          </w:p>
        </w:tc>
        <w:tc>
          <w:tcPr>
            <w:tcW w:w="745" w:type="pct"/>
            <w:tcBorders>
              <w:top w:val="single" w:color="auto" w:sz="4" w:space="0"/>
              <w:bottom w:val="single" w:color="auto" w:sz="4" w:space="0"/>
            </w:tcBorders>
            <w:vAlign w:val="center"/>
          </w:tcPr>
          <w:p w14:paraId="6F3386E2">
            <w:pPr>
              <w:pStyle w:val="23"/>
              <w:rPr>
                <w:rFonts w:ascii="Times New Roman" w:hAnsi="Times New Roman" w:eastAsia="宋体" w:cs="Times New Roman"/>
                <w:szCs w:val="21"/>
              </w:rPr>
            </w:pPr>
            <w:r>
              <w:rPr>
                <w:rFonts w:ascii="Times New Roman" w:hAnsi="Times New Roman" w:eastAsia="宋体" w:cs="Times New Roman"/>
                <w:szCs w:val="21"/>
              </w:rPr>
              <w:t>t</w:t>
            </w:r>
          </w:p>
        </w:tc>
        <w:tc>
          <w:tcPr>
            <w:tcW w:w="1320" w:type="pct"/>
            <w:tcBorders>
              <w:top w:val="single" w:color="auto" w:sz="4" w:space="0"/>
              <w:bottom w:val="single" w:color="auto" w:sz="4" w:space="0"/>
            </w:tcBorders>
            <w:vAlign w:val="center"/>
          </w:tcPr>
          <w:p w14:paraId="520BDBED">
            <w:pPr>
              <w:pStyle w:val="23"/>
              <w:rPr>
                <w:rFonts w:ascii="Times New Roman" w:hAnsi="Times New Roman" w:eastAsia="宋体" w:cs="Times New Roman"/>
                <w:szCs w:val="21"/>
              </w:rPr>
            </w:pPr>
            <w:r>
              <w:rPr>
                <w:rFonts w:ascii="Times New Roman" w:hAnsi="Times New Roman" w:eastAsia="宋体" w:cs="Times New Roman"/>
                <w:szCs w:val="21"/>
              </w:rPr>
              <w:t>41.031*</w:t>
            </w:r>
            <w:r>
              <w:rPr>
                <w:rFonts w:ascii="Times New Roman" w:hAnsi="Times New Roman" w:eastAsia="宋体" w:cs="Times New Roman"/>
                <w:szCs w:val="21"/>
                <w:vertAlign w:val="superscript"/>
              </w:rPr>
              <w:t>2</w:t>
            </w:r>
          </w:p>
        </w:tc>
        <w:tc>
          <w:tcPr>
            <w:tcW w:w="868" w:type="pct"/>
            <w:tcBorders>
              <w:top w:val="single" w:color="auto" w:sz="4" w:space="0"/>
              <w:bottom w:val="single" w:color="auto" w:sz="4" w:space="0"/>
            </w:tcBorders>
            <w:vAlign w:val="center"/>
          </w:tcPr>
          <w:p w14:paraId="0CA7732C">
            <w:pPr>
              <w:pStyle w:val="23"/>
              <w:rPr>
                <w:rFonts w:ascii="Times New Roman" w:hAnsi="Times New Roman" w:eastAsia="宋体" w:cs="Times New Roman"/>
                <w:szCs w:val="21"/>
              </w:rPr>
            </w:pPr>
            <w:r>
              <w:rPr>
                <w:rFonts w:ascii="Times New Roman" w:hAnsi="Times New Roman" w:eastAsia="宋体" w:cs="Times New Roman"/>
                <w:szCs w:val="21"/>
              </w:rPr>
              <w:t>0.0200*</w:t>
            </w:r>
            <w:r>
              <w:rPr>
                <w:rFonts w:ascii="Times New Roman" w:hAnsi="Times New Roman" w:eastAsia="宋体" w:cs="Times New Roman"/>
                <w:szCs w:val="21"/>
                <w:vertAlign w:val="superscript"/>
              </w:rPr>
              <w:t>3</w:t>
            </w:r>
          </w:p>
        </w:tc>
        <w:tc>
          <w:tcPr>
            <w:tcW w:w="641" w:type="pct"/>
            <w:vMerge w:val="continue"/>
            <w:tcBorders>
              <w:top w:val="single" w:color="auto" w:sz="4" w:space="0"/>
              <w:bottom w:val="single" w:color="auto" w:sz="4" w:space="0"/>
              <w:right w:val="single" w:color="auto" w:sz="8" w:space="0"/>
            </w:tcBorders>
            <w:vAlign w:val="center"/>
          </w:tcPr>
          <w:p w14:paraId="78B3ADFA">
            <w:pPr>
              <w:pStyle w:val="23"/>
              <w:rPr>
                <w:rFonts w:ascii="Times New Roman" w:hAnsi="Times New Roman" w:eastAsia="宋体" w:cs="Times New Roman"/>
                <w:szCs w:val="21"/>
              </w:rPr>
            </w:pPr>
          </w:p>
        </w:tc>
      </w:tr>
      <w:tr w14:paraId="0210B6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4645832D">
            <w:pPr>
              <w:pStyle w:val="23"/>
              <w:rPr>
                <w:rFonts w:ascii="Times New Roman" w:hAnsi="Times New Roman" w:eastAsia="宋体" w:cs="Times New Roman"/>
                <w:szCs w:val="21"/>
              </w:rPr>
            </w:pPr>
          </w:p>
        </w:tc>
        <w:tc>
          <w:tcPr>
            <w:tcW w:w="1011" w:type="pct"/>
            <w:tcBorders>
              <w:top w:val="single" w:color="auto" w:sz="4" w:space="0"/>
              <w:bottom w:val="single" w:color="auto" w:sz="4" w:space="0"/>
            </w:tcBorders>
            <w:vAlign w:val="center"/>
          </w:tcPr>
          <w:p w14:paraId="43A9C82C">
            <w:pPr>
              <w:pStyle w:val="23"/>
              <w:rPr>
                <w:rFonts w:ascii="Times New Roman" w:hAnsi="Times New Roman" w:eastAsia="宋体" w:cs="Times New Roman"/>
                <w:szCs w:val="21"/>
              </w:rPr>
            </w:pPr>
            <w:r>
              <w:rPr>
                <w:rFonts w:ascii="Times New Roman" w:hAnsi="Times New Roman" w:eastAsia="宋体" w:cs="Times New Roman"/>
                <w:szCs w:val="21"/>
              </w:rPr>
              <w:t>液化石油气</w:t>
            </w:r>
          </w:p>
        </w:tc>
        <w:tc>
          <w:tcPr>
            <w:tcW w:w="745" w:type="pct"/>
            <w:tcBorders>
              <w:top w:val="single" w:color="auto" w:sz="4" w:space="0"/>
              <w:bottom w:val="single" w:color="auto" w:sz="4" w:space="0"/>
            </w:tcBorders>
            <w:vAlign w:val="center"/>
          </w:tcPr>
          <w:p w14:paraId="65056D40">
            <w:pPr>
              <w:pStyle w:val="23"/>
              <w:rPr>
                <w:rFonts w:ascii="Times New Roman" w:hAnsi="Times New Roman" w:eastAsia="宋体" w:cs="Times New Roman"/>
                <w:szCs w:val="21"/>
              </w:rPr>
            </w:pPr>
            <w:r>
              <w:rPr>
                <w:rFonts w:ascii="Times New Roman" w:hAnsi="Times New Roman" w:eastAsia="宋体" w:cs="Times New Roman"/>
                <w:szCs w:val="21"/>
              </w:rPr>
              <w:t>t</w:t>
            </w:r>
          </w:p>
        </w:tc>
        <w:tc>
          <w:tcPr>
            <w:tcW w:w="1320" w:type="pct"/>
            <w:tcBorders>
              <w:top w:val="single" w:color="auto" w:sz="4" w:space="0"/>
              <w:bottom w:val="single" w:color="auto" w:sz="4" w:space="0"/>
            </w:tcBorders>
            <w:vAlign w:val="center"/>
          </w:tcPr>
          <w:p w14:paraId="7A0793F1">
            <w:pPr>
              <w:pStyle w:val="23"/>
              <w:rPr>
                <w:rFonts w:ascii="Times New Roman" w:hAnsi="Times New Roman" w:eastAsia="宋体" w:cs="Times New Roman"/>
                <w:szCs w:val="21"/>
              </w:rPr>
            </w:pPr>
            <w:r>
              <w:rPr>
                <w:rFonts w:ascii="Times New Roman" w:hAnsi="Times New Roman" w:eastAsia="宋体" w:cs="Times New Roman"/>
                <w:szCs w:val="21"/>
              </w:rPr>
              <w:t>50.179*</w:t>
            </w:r>
            <w:r>
              <w:rPr>
                <w:rFonts w:ascii="Times New Roman" w:hAnsi="Times New Roman" w:eastAsia="宋体" w:cs="Times New Roman"/>
                <w:szCs w:val="21"/>
                <w:vertAlign w:val="superscript"/>
              </w:rPr>
              <w:t>5</w:t>
            </w:r>
          </w:p>
        </w:tc>
        <w:tc>
          <w:tcPr>
            <w:tcW w:w="868" w:type="pct"/>
            <w:tcBorders>
              <w:top w:val="single" w:color="auto" w:sz="4" w:space="0"/>
              <w:bottom w:val="single" w:color="auto" w:sz="4" w:space="0"/>
            </w:tcBorders>
            <w:vAlign w:val="center"/>
          </w:tcPr>
          <w:p w14:paraId="19773B0D">
            <w:pPr>
              <w:pStyle w:val="23"/>
              <w:rPr>
                <w:rFonts w:ascii="Times New Roman" w:hAnsi="Times New Roman" w:eastAsia="宋体" w:cs="Times New Roman"/>
                <w:szCs w:val="21"/>
              </w:rPr>
            </w:pPr>
            <w:r>
              <w:rPr>
                <w:rFonts w:ascii="Times New Roman" w:hAnsi="Times New Roman" w:eastAsia="宋体" w:cs="Times New Roman"/>
                <w:szCs w:val="21"/>
              </w:rPr>
              <w:t>0.0172*</w:t>
            </w:r>
            <w:r>
              <w:rPr>
                <w:rFonts w:ascii="Times New Roman" w:hAnsi="Times New Roman" w:eastAsia="宋体" w:cs="Times New Roman"/>
                <w:szCs w:val="21"/>
                <w:vertAlign w:val="superscript"/>
              </w:rPr>
              <w:t>3</w:t>
            </w:r>
          </w:p>
        </w:tc>
        <w:tc>
          <w:tcPr>
            <w:tcW w:w="641" w:type="pct"/>
            <w:vMerge w:val="continue"/>
            <w:tcBorders>
              <w:top w:val="single" w:color="auto" w:sz="4" w:space="0"/>
              <w:bottom w:val="single" w:color="auto" w:sz="4" w:space="0"/>
              <w:right w:val="single" w:color="auto" w:sz="8" w:space="0"/>
            </w:tcBorders>
            <w:vAlign w:val="center"/>
          </w:tcPr>
          <w:p w14:paraId="2155C41E">
            <w:pPr>
              <w:pStyle w:val="23"/>
              <w:rPr>
                <w:rFonts w:ascii="Times New Roman" w:hAnsi="Times New Roman" w:eastAsia="宋体" w:cs="Times New Roman"/>
                <w:szCs w:val="21"/>
              </w:rPr>
            </w:pPr>
          </w:p>
        </w:tc>
      </w:tr>
      <w:tr w14:paraId="36F52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252AE987">
            <w:pPr>
              <w:pStyle w:val="23"/>
              <w:rPr>
                <w:rFonts w:ascii="Times New Roman" w:hAnsi="Times New Roman" w:eastAsia="宋体" w:cs="Times New Roman"/>
                <w:szCs w:val="21"/>
              </w:rPr>
            </w:pPr>
          </w:p>
        </w:tc>
        <w:tc>
          <w:tcPr>
            <w:tcW w:w="1011" w:type="pct"/>
            <w:tcBorders>
              <w:top w:val="single" w:color="auto" w:sz="4" w:space="0"/>
              <w:bottom w:val="single" w:color="auto" w:sz="4" w:space="0"/>
            </w:tcBorders>
            <w:vAlign w:val="center"/>
          </w:tcPr>
          <w:p w14:paraId="51A1C147">
            <w:pPr>
              <w:pStyle w:val="23"/>
              <w:rPr>
                <w:rFonts w:ascii="Times New Roman" w:hAnsi="Times New Roman" w:eastAsia="宋体" w:cs="Times New Roman"/>
                <w:szCs w:val="21"/>
              </w:rPr>
            </w:pPr>
            <w:r>
              <w:rPr>
                <w:rFonts w:ascii="Times New Roman" w:hAnsi="Times New Roman" w:eastAsia="宋体" w:cs="Times New Roman"/>
                <w:szCs w:val="21"/>
              </w:rPr>
              <w:t>液化天然气</w:t>
            </w:r>
          </w:p>
        </w:tc>
        <w:tc>
          <w:tcPr>
            <w:tcW w:w="745" w:type="pct"/>
            <w:tcBorders>
              <w:top w:val="single" w:color="auto" w:sz="4" w:space="0"/>
              <w:bottom w:val="single" w:color="auto" w:sz="4" w:space="0"/>
            </w:tcBorders>
            <w:vAlign w:val="center"/>
          </w:tcPr>
          <w:p w14:paraId="61DD2A47">
            <w:pPr>
              <w:pStyle w:val="23"/>
              <w:rPr>
                <w:rFonts w:ascii="Times New Roman" w:hAnsi="Times New Roman" w:eastAsia="宋体" w:cs="Times New Roman"/>
                <w:szCs w:val="21"/>
              </w:rPr>
            </w:pPr>
            <w:r>
              <w:rPr>
                <w:rFonts w:ascii="Times New Roman" w:hAnsi="Times New Roman" w:eastAsia="宋体" w:cs="Times New Roman"/>
                <w:szCs w:val="21"/>
              </w:rPr>
              <w:t>t</w:t>
            </w:r>
          </w:p>
        </w:tc>
        <w:tc>
          <w:tcPr>
            <w:tcW w:w="1320" w:type="pct"/>
            <w:tcBorders>
              <w:top w:val="single" w:color="auto" w:sz="4" w:space="0"/>
              <w:bottom w:val="single" w:color="auto" w:sz="4" w:space="0"/>
            </w:tcBorders>
            <w:vAlign w:val="center"/>
          </w:tcPr>
          <w:p w14:paraId="758DFA0F">
            <w:pPr>
              <w:pStyle w:val="23"/>
              <w:rPr>
                <w:rFonts w:ascii="Times New Roman" w:hAnsi="Times New Roman" w:eastAsia="宋体" w:cs="Times New Roman"/>
                <w:szCs w:val="21"/>
              </w:rPr>
            </w:pPr>
            <w:r>
              <w:rPr>
                <w:rFonts w:ascii="Times New Roman" w:hAnsi="Times New Roman" w:eastAsia="宋体" w:cs="Times New Roman"/>
                <w:szCs w:val="21"/>
              </w:rPr>
              <w:t>51.498*</w:t>
            </w:r>
            <w:r>
              <w:rPr>
                <w:rFonts w:ascii="Times New Roman" w:hAnsi="Times New Roman" w:eastAsia="宋体" w:cs="Times New Roman"/>
                <w:szCs w:val="21"/>
                <w:vertAlign w:val="superscript"/>
              </w:rPr>
              <w:t>6</w:t>
            </w:r>
          </w:p>
        </w:tc>
        <w:tc>
          <w:tcPr>
            <w:tcW w:w="868" w:type="pct"/>
            <w:tcBorders>
              <w:top w:val="single" w:color="auto" w:sz="4" w:space="0"/>
              <w:bottom w:val="single" w:color="auto" w:sz="4" w:space="0"/>
            </w:tcBorders>
            <w:vAlign w:val="center"/>
          </w:tcPr>
          <w:p w14:paraId="0D289694">
            <w:pPr>
              <w:pStyle w:val="23"/>
              <w:rPr>
                <w:rFonts w:ascii="Times New Roman" w:hAnsi="Times New Roman" w:eastAsia="宋体" w:cs="Times New Roman"/>
                <w:szCs w:val="21"/>
              </w:rPr>
            </w:pPr>
            <w:r>
              <w:rPr>
                <w:rFonts w:ascii="Times New Roman" w:hAnsi="Times New Roman" w:eastAsia="宋体" w:cs="Times New Roman"/>
                <w:szCs w:val="21"/>
              </w:rPr>
              <w:t>0.01</w:t>
            </w:r>
            <w:r>
              <w:rPr>
                <w:rFonts w:hint="eastAsia" w:ascii="Times New Roman" w:hAnsi="Times New Roman" w:eastAsia="宋体" w:cs="Times New Roman"/>
                <w:szCs w:val="21"/>
              </w:rPr>
              <w:t>53</w:t>
            </w:r>
            <w:r>
              <w:rPr>
                <w:rFonts w:ascii="Times New Roman" w:hAnsi="Times New Roman" w:eastAsia="宋体" w:cs="Times New Roman"/>
                <w:szCs w:val="21"/>
              </w:rPr>
              <w:t>*</w:t>
            </w:r>
            <w:r>
              <w:rPr>
                <w:rFonts w:ascii="Times New Roman" w:hAnsi="Times New Roman" w:eastAsia="宋体" w:cs="Times New Roman"/>
                <w:szCs w:val="21"/>
                <w:vertAlign w:val="superscript"/>
              </w:rPr>
              <w:t>3</w:t>
            </w:r>
          </w:p>
        </w:tc>
        <w:tc>
          <w:tcPr>
            <w:tcW w:w="641" w:type="pct"/>
            <w:vMerge w:val="continue"/>
            <w:tcBorders>
              <w:top w:val="single" w:color="auto" w:sz="4" w:space="0"/>
              <w:bottom w:val="single" w:color="auto" w:sz="4" w:space="0"/>
              <w:right w:val="single" w:color="auto" w:sz="8" w:space="0"/>
            </w:tcBorders>
            <w:vAlign w:val="center"/>
          </w:tcPr>
          <w:p w14:paraId="18918168">
            <w:pPr>
              <w:pStyle w:val="23"/>
              <w:rPr>
                <w:rFonts w:ascii="Times New Roman" w:hAnsi="Times New Roman" w:eastAsia="宋体" w:cs="Times New Roman"/>
                <w:szCs w:val="21"/>
              </w:rPr>
            </w:pPr>
          </w:p>
        </w:tc>
      </w:tr>
      <w:tr w14:paraId="705BE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412" w:type="pct"/>
            <w:vMerge w:val="restart"/>
            <w:tcBorders>
              <w:top w:val="single" w:color="auto" w:sz="4" w:space="0"/>
              <w:left w:val="single" w:color="auto" w:sz="8" w:space="0"/>
              <w:bottom w:val="single" w:color="auto" w:sz="4" w:space="0"/>
            </w:tcBorders>
            <w:vAlign w:val="center"/>
          </w:tcPr>
          <w:p w14:paraId="4C1FA76F">
            <w:pPr>
              <w:pStyle w:val="23"/>
              <w:rPr>
                <w:rFonts w:ascii="Times New Roman" w:hAnsi="Times New Roman" w:eastAsia="宋体" w:cs="Times New Roman"/>
                <w:szCs w:val="21"/>
              </w:rPr>
            </w:pPr>
            <w:r>
              <w:rPr>
                <w:rFonts w:ascii="Times New Roman" w:hAnsi="Times New Roman" w:eastAsia="宋体" w:cs="Times New Roman"/>
                <w:szCs w:val="21"/>
              </w:rPr>
              <w:t>气体燃料</w:t>
            </w:r>
          </w:p>
        </w:tc>
        <w:tc>
          <w:tcPr>
            <w:tcW w:w="1011" w:type="pct"/>
            <w:tcBorders>
              <w:top w:val="single" w:color="auto" w:sz="4" w:space="0"/>
              <w:bottom w:val="single" w:color="auto" w:sz="4" w:space="0"/>
            </w:tcBorders>
            <w:vAlign w:val="center"/>
          </w:tcPr>
          <w:p w14:paraId="3F2161A8">
            <w:pPr>
              <w:pStyle w:val="23"/>
              <w:rPr>
                <w:rFonts w:ascii="Times New Roman" w:hAnsi="Times New Roman" w:eastAsia="宋体" w:cs="Times New Roman"/>
                <w:szCs w:val="21"/>
              </w:rPr>
            </w:pPr>
            <w:r>
              <w:rPr>
                <w:rFonts w:ascii="Times New Roman" w:hAnsi="Times New Roman" w:eastAsia="宋体" w:cs="Times New Roman"/>
                <w:szCs w:val="21"/>
              </w:rPr>
              <w:t>天然气</w:t>
            </w:r>
          </w:p>
        </w:tc>
        <w:tc>
          <w:tcPr>
            <w:tcW w:w="745" w:type="pct"/>
            <w:tcBorders>
              <w:top w:val="single" w:color="auto" w:sz="4" w:space="0"/>
              <w:bottom w:val="single" w:color="auto" w:sz="4" w:space="0"/>
            </w:tcBorders>
            <w:vAlign w:val="center"/>
          </w:tcPr>
          <w:p w14:paraId="5579E6EA">
            <w:pPr>
              <w:pStyle w:val="23"/>
              <w:rPr>
                <w:rFonts w:ascii="Times New Roman" w:hAnsi="Times New Roman" w:eastAsia="宋体" w:cs="Times New Roman"/>
                <w:szCs w:val="21"/>
              </w:rPr>
            </w:pPr>
            <w:r>
              <w:rPr>
                <w:rFonts w:ascii="Times New Roman" w:hAnsi="Times New Roman" w:eastAsia="宋体" w:cs="Times New Roman"/>
                <w:szCs w:val="21"/>
              </w:rPr>
              <w:t>10</w:t>
            </w:r>
            <w:r>
              <w:rPr>
                <w:rFonts w:ascii="Times New Roman" w:hAnsi="Times New Roman" w:eastAsia="宋体" w:cs="Times New Roman"/>
                <w:szCs w:val="21"/>
                <w:vertAlign w:val="superscript"/>
              </w:rPr>
              <w:t>4</w:t>
            </w:r>
            <w:r>
              <w:rPr>
                <w:rFonts w:ascii="Times New Roman" w:hAnsi="Times New Roman" w:eastAsia="宋体" w:cs="Times New Roman"/>
                <w:szCs w:val="21"/>
              </w:rPr>
              <w:t>Nm</w:t>
            </w:r>
            <w:r>
              <w:rPr>
                <w:rFonts w:ascii="Times New Roman" w:hAnsi="Times New Roman" w:eastAsia="宋体" w:cs="Times New Roman"/>
                <w:szCs w:val="21"/>
                <w:vertAlign w:val="superscript"/>
              </w:rPr>
              <w:t>3</w:t>
            </w:r>
          </w:p>
        </w:tc>
        <w:tc>
          <w:tcPr>
            <w:tcW w:w="1320" w:type="pct"/>
            <w:tcBorders>
              <w:top w:val="single" w:color="auto" w:sz="4" w:space="0"/>
              <w:bottom w:val="single" w:color="auto" w:sz="4" w:space="0"/>
            </w:tcBorders>
            <w:vAlign w:val="center"/>
          </w:tcPr>
          <w:p w14:paraId="7C57096D">
            <w:pPr>
              <w:pStyle w:val="23"/>
              <w:rPr>
                <w:rFonts w:ascii="Times New Roman" w:hAnsi="Times New Roman" w:eastAsia="宋体" w:cs="Times New Roman"/>
                <w:szCs w:val="21"/>
              </w:rPr>
            </w:pPr>
            <w:r>
              <w:rPr>
                <w:rFonts w:ascii="Times New Roman" w:hAnsi="Times New Roman" w:eastAsia="宋体" w:cs="Times New Roman"/>
                <w:szCs w:val="21"/>
              </w:rPr>
              <w:t>389.310*</w:t>
            </w:r>
            <w:r>
              <w:rPr>
                <w:rFonts w:ascii="Times New Roman" w:hAnsi="Times New Roman" w:eastAsia="宋体" w:cs="Times New Roman"/>
                <w:szCs w:val="21"/>
                <w:vertAlign w:val="superscript"/>
              </w:rPr>
              <w:t>6</w:t>
            </w:r>
          </w:p>
        </w:tc>
        <w:tc>
          <w:tcPr>
            <w:tcW w:w="868" w:type="pct"/>
            <w:tcBorders>
              <w:top w:val="single" w:color="auto" w:sz="4" w:space="0"/>
              <w:bottom w:val="single" w:color="auto" w:sz="4" w:space="0"/>
            </w:tcBorders>
            <w:vAlign w:val="center"/>
          </w:tcPr>
          <w:p w14:paraId="21C79368">
            <w:pPr>
              <w:pStyle w:val="23"/>
              <w:rPr>
                <w:rFonts w:ascii="Times New Roman" w:hAnsi="Times New Roman" w:eastAsia="宋体" w:cs="Times New Roman"/>
                <w:szCs w:val="21"/>
              </w:rPr>
            </w:pPr>
            <w:r>
              <w:rPr>
                <w:rFonts w:ascii="Times New Roman" w:hAnsi="Times New Roman" w:eastAsia="宋体" w:cs="Times New Roman"/>
                <w:szCs w:val="21"/>
              </w:rPr>
              <w:t>0.0153*</w:t>
            </w:r>
            <w:r>
              <w:rPr>
                <w:rFonts w:ascii="Times New Roman" w:hAnsi="Times New Roman" w:eastAsia="宋体" w:cs="Times New Roman"/>
                <w:szCs w:val="21"/>
                <w:vertAlign w:val="superscript"/>
              </w:rPr>
              <w:t>3</w:t>
            </w:r>
          </w:p>
        </w:tc>
        <w:tc>
          <w:tcPr>
            <w:tcW w:w="641" w:type="pct"/>
            <w:vMerge w:val="restart"/>
            <w:tcBorders>
              <w:top w:val="single" w:color="auto" w:sz="4" w:space="0"/>
              <w:bottom w:val="single" w:color="auto" w:sz="4" w:space="0"/>
              <w:right w:val="single" w:color="auto" w:sz="8" w:space="0"/>
            </w:tcBorders>
            <w:vAlign w:val="center"/>
          </w:tcPr>
          <w:p w14:paraId="65C9C477">
            <w:pPr>
              <w:pStyle w:val="23"/>
              <w:rPr>
                <w:rFonts w:ascii="Times New Roman" w:hAnsi="Times New Roman" w:eastAsia="宋体" w:cs="Times New Roman"/>
                <w:szCs w:val="21"/>
              </w:rPr>
            </w:pPr>
            <w:r>
              <w:rPr>
                <w:rFonts w:hint="eastAsia" w:ascii="Times New Roman" w:hAnsi="Times New Roman" w:eastAsia="宋体" w:cs="Times New Roman"/>
                <w:szCs w:val="21"/>
              </w:rPr>
              <w:t>100</w:t>
            </w:r>
            <w:r>
              <w:rPr>
                <w:rFonts w:ascii="Times New Roman" w:hAnsi="Times New Roman" w:eastAsia="宋体" w:cs="Times New Roman"/>
                <w:szCs w:val="21"/>
              </w:rPr>
              <w:t>*</w:t>
            </w:r>
            <w:r>
              <w:rPr>
                <w:rFonts w:ascii="Times New Roman" w:hAnsi="Times New Roman" w:eastAsia="宋体" w:cs="Times New Roman"/>
                <w:szCs w:val="21"/>
                <w:vertAlign w:val="superscript"/>
              </w:rPr>
              <w:t>3</w:t>
            </w:r>
          </w:p>
        </w:tc>
      </w:tr>
      <w:tr w14:paraId="6C5C8C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3EC66D22">
            <w:pPr>
              <w:pStyle w:val="23"/>
              <w:rPr>
                <w:rFonts w:ascii="Times New Roman" w:hAnsi="Times New Roman" w:eastAsia="宋体" w:cs="Times New Roman"/>
                <w:szCs w:val="21"/>
              </w:rPr>
            </w:pPr>
          </w:p>
        </w:tc>
        <w:tc>
          <w:tcPr>
            <w:tcW w:w="1011" w:type="pct"/>
            <w:tcBorders>
              <w:top w:val="single" w:color="auto" w:sz="4" w:space="0"/>
              <w:bottom w:val="single" w:color="auto" w:sz="4" w:space="0"/>
            </w:tcBorders>
            <w:shd w:val="clear" w:color="auto" w:fill="auto"/>
            <w:vAlign w:val="center"/>
          </w:tcPr>
          <w:p w14:paraId="2DBDF2E6">
            <w:pPr>
              <w:pStyle w:val="23"/>
              <w:rPr>
                <w:rFonts w:ascii="Times New Roman" w:hAnsi="Times New Roman" w:eastAsia="宋体" w:cs="Times New Roman"/>
                <w:szCs w:val="21"/>
              </w:rPr>
            </w:pPr>
            <w:r>
              <w:rPr>
                <w:rFonts w:ascii="Times New Roman" w:hAnsi="Times New Roman" w:eastAsia="宋体" w:cs="Times New Roman"/>
                <w:szCs w:val="21"/>
              </w:rPr>
              <w:t>炼厂干气</w:t>
            </w:r>
          </w:p>
        </w:tc>
        <w:tc>
          <w:tcPr>
            <w:tcW w:w="745" w:type="pct"/>
            <w:tcBorders>
              <w:top w:val="single" w:color="auto" w:sz="4" w:space="0"/>
              <w:bottom w:val="single" w:color="auto" w:sz="4" w:space="0"/>
            </w:tcBorders>
            <w:shd w:val="clear" w:color="auto" w:fill="auto"/>
            <w:vAlign w:val="center"/>
          </w:tcPr>
          <w:p w14:paraId="4D542A93">
            <w:pPr>
              <w:pStyle w:val="23"/>
              <w:rPr>
                <w:rFonts w:ascii="Times New Roman" w:hAnsi="Times New Roman" w:eastAsia="宋体" w:cs="Times New Roman"/>
                <w:szCs w:val="21"/>
              </w:rPr>
            </w:pPr>
            <w:r>
              <w:rPr>
                <w:rFonts w:ascii="Times New Roman" w:hAnsi="Times New Roman" w:eastAsia="宋体" w:cs="Times New Roman"/>
                <w:szCs w:val="21"/>
              </w:rPr>
              <w:t>t</w:t>
            </w:r>
          </w:p>
        </w:tc>
        <w:tc>
          <w:tcPr>
            <w:tcW w:w="1320" w:type="pct"/>
            <w:tcBorders>
              <w:top w:val="single" w:color="auto" w:sz="4" w:space="0"/>
              <w:bottom w:val="single" w:color="auto" w:sz="4" w:space="0"/>
            </w:tcBorders>
            <w:shd w:val="clear" w:color="auto" w:fill="auto"/>
            <w:vAlign w:val="center"/>
          </w:tcPr>
          <w:p w14:paraId="15439662">
            <w:pPr>
              <w:pStyle w:val="23"/>
              <w:rPr>
                <w:rFonts w:ascii="Times New Roman" w:hAnsi="Times New Roman" w:eastAsia="宋体" w:cs="Times New Roman"/>
                <w:szCs w:val="21"/>
              </w:rPr>
            </w:pPr>
            <w:r>
              <w:rPr>
                <w:rFonts w:ascii="Times New Roman" w:hAnsi="Times New Roman" w:eastAsia="宋体" w:cs="Times New Roman"/>
                <w:szCs w:val="21"/>
              </w:rPr>
              <w:t>45.998*</w:t>
            </w:r>
            <w:r>
              <w:rPr>
                <w:rFonts w:ascii="Times New Roman" w:hAnsi="Times New Roman" w:eastAsia="宋体" w:cs="Times New Roman"/>
                <w:szCs w:val="21"/>
                <w:vertAlign w:val="superscript"/>
              </w:rPr>
              <w:t>6</w:t>
            </w:r>
          </w:p>
        </w:tc>
        <w:tc>
          <w:tcPr>
            <w:tcW w:w="868" w:type="pct"/>
            <w:tcBorders>
              <w:top w:val="single" w:color="auto" w:sz="4" w:space="0"/>
              <w:bottom w:val="single" w:color="auto" w:sz="4" w:space="0"/>
            </w:tcBorders>
            <w:shd w:val="clear" w:color="auto" w:fill="auto"/>
            <w:vAlign w:val="center"/>
          </w:tcPr>
          <w:p w14:paraId="6D8C4809">
            <w:pPr>
              <w:pStyle w:val="23"/>
              <w:rPr>
                <w:rFonts w:ascii="Times New Roman" w:hAnsi="Times New Roman" w:eastAsia="宋体" w:cs="Times New Roman"/>
                <w:szCs w:val="21"/>
              </w:rPr>
            </w:pPr>
            <w:r>
              <w:rPr>
                <w:rFonts w:ascii="Times New Roman" w:hAnsi="Times New Roman" w:eastAsia="宋体" w:cs="Times New Roman"/>
                <w:szCs w:val="21"/>
              </w:rPr>
              <w:t>0.01</w:t>
            </w:r>
            <w:r>
              <w:rPr>
                <w:rFonts w:hint="eastAsia" w:ascii="Times New Roman" w:hAnsi="Times New Roman" w:eastAsia="宋体" w:cs="Times New Roman"/>
                <w:szCs w:val="21"/>
              </w:rPr>
              <w:t>57</w:t>
            </w:r>
            <w:r>
              <w:rPr>
                <w:rFonts w:ascii="Times New Roman" w:hAnsi="Times New Roman" w:eastAsia="宋体" w:cs="Times New Roman"/>
                <w:szCs w:val="21"/>
              </w:rPr>
              <w:t>*</w:t>
            </w:r>
            <w:r>
              <w:rPr>
                <w:rFonts w:ascii="Times New Roman" w:hAnsi="Times New Roman" w:eastAsia="宋体" w:cs="Times New Roman"/>
                <w:szCs w:val="21"/>
                <w:vertAlign w:val="superscript"/>
              </w:rPr>
              <w:t>3</w:t>
            </w:r>
          </w:p>
        </w:tc>
        <w:tc>
          <w:tcPr>
            <w:tcW w:w="641" w:type="pct"/>
            <w:vMerge w:val="continue"/>
            <w:tcBorders>
              <w:top w:val="single" w:color="auto" w:sz="4" w:space="0"/>
              <w:bottom w:val="single" w:color="auto" w:sz="4" w:space="0"/>
              <w:right w:val="single" w:color="auto" w:sz="8" w:space="0"/>
            </w:tcBorders>
            <w:vAlign w:val="center"/>
          </w:tcPr>
          <w:p w14:paraId="2F6D13A2">
            <w:pPr>
              <w:pStyle w:val="23"/>
              <w:rPr>
                <w:rFonts w:ascii="Times New Roman" w:hAnsi="Times New Roman" w:eastAsia="宋体" w:cs="Times New Roman"/>
                <w:szCs w:val="21"/>
              </w:rPr>
            </w:pPr>
          </w:p>
        </w:tc>
      </w:tr>
      <w:tr w14:paraId="2FBEC0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000" w:type="pct"/>
            <w:gridSpan w:val="6"/>
            <w:tcBorders>
              <w:top w:val="single" w:color="auto" w:sz="4" w:space="0"/>
              <w:left w:val="single" w:color="auto" w:sz="8" w:space="0"/>
              <w:bottom w:val="single" w:color="auto" w:sz="8" w:space="0"/>
              <w:right w:val="single" w:color="auto" w:sz="8" w:space="0"/>
            </w:tcBorders>
            <w:vAlign w:val="center"/>
          </w:tcPr>
          <w:p w14:paraId="300F44AB">
            <w:pPr>
              <w:widowControl/>
              <w:adjustRightInd w:val="0"/>
              <w:snapToGrid w:val="0"/>
              <w:jc w:val="left"/>
              <w:rPr>
                <w:rFonts w:ascii="Times New Roman" w:hAnsi="Times New Roman" w:eastAsia="宋体" w:cs="Times New Roman"/>
                <w:szCs w:val="21"/>
              </w:rPr>
            </w:pPr>
            <w:r>
              <w:rPr>
                <w:rFonts w:ascii="Times New Roman" w:hAnsi="Times New Roman" w:cs="Times New Roman"/>
                <w:szCs w:val="21"/>
                <w:vertAlign w:val="superscript"/>
              </w:rPr>
              <w:t>*1</w:t>
            </w:r>
            <w:r>
              <w:rPr>
                <w:rFonts w:ascii="Times New Roman" w:hAnsi="Times New Roman" w:eastAsia="宋体" w:cs="Times New Roman"/>
                <w:szCs w:val="21"/>
              </w:rPr>
              <w:t>根据GB/T 3102.4国际蒸汽表卡换算，1千克标准煤</w:t>
            </w:r>
            <w:r>
              <w:rPr>
                <w:rFonts w:hint="eastAsia" w:ascii="Times New Roman" w:hAnsi="Times New Roman" w:eastAsia="宋体" w:cs="Times New Roman"/>
                <w:szCs w:val="21"/>
                <w:lang w:eastAsia="zh-CN"/>
              </w:rPr>
              <w:t>（</w:t>
            </w:r>
            <w:r>
              <w:rPr>
                <w:rFonts w:ascii="Times New Roman" w:hAnsi="Times New Roman" w:eastAsia="宋体" w:cs="Times New Roman"/>
                <w:szCs w:val="21"/>
              </w:rPr>
              <w:t>kgce</w:t>
            </w:r>
            <w:r>
              <w:rPr>
                <w:rFonts w:hint="eastAsia" w:ascii="Times New Roman" w:hAnsi="Times New Roman" w:eastAsia="宋体" w:cs="Times New Roman"/>
                <w:szCs w:val="21"/>
                <w:lang w:eastAsia="zh-CN"/>
              </w:rPr>
              <w:t>）</w:t>
            </w:r>
            <w:r>
              <w:rPr>
                <w:rFonts w:ascii="Times New Roman" w:hAnsi="Times New Roman" w:eastAsia="宋体" w:cs="Times New Roman"/>
                <w:szCs w:val="21"/>
              </w:rPr>
              <w:t>低位发热量为29307.6kJ，即7000kcal，本指南1kcal折算为4.1868kJ。</w:t>
            </w:r>
          </w:p>
          <w:p w14:paraId="31661C3D">
            <w:pPr>
              <w:widowControl/>
              <w:adjustRightInd w:val="0"/>
              <w:snapToGrid w:val="0"/>
              <w:jc w:val="left"/>
              <w:rPr>
                <w:rFonts w:ascii="Times New Roman" w:hAnsi="Times New Roman" w:eastAsia="宋体" w:cs="Times New Roman"/>
                <w:szCs w:val="21"/>
              </w:rPr>
            </w:pPr>
            <w:r>
              <w:rPr>
                <w:rFonts w:ascii="Times New Roman" w:hAnsi="Times New Roman" w:cs="Times New Roman"/>
                <w:szCs w:val="21"/>
                <w:vertAlign w:val="superscript"/>
              </w:rPr>
              <w:t>*</w:t>
            </w:r>
            <w:r>
              <w:rPr>
                <w:rFonts w:ascii="Times New Roman" w:hAnsi="Times New Roman" w:eastAsia="宋体" w:cs="Times New Roman"/>
                <w:szCs w:val="21"/>
                <w:vertAlign w:val="superscript"/>
              </w:rPr>
              <w:t>2</w:t>
            </w:r>
            <w:r>
              <w:rPr>
                <w:rFonts w:ascii="Times New Roman" w:hAnsi="Times New Roman" w:eastAsia="宋体" w:cs="Times New Roman"/>
                <w:szCs w:val="21"/>
              </w:rPr>
              <w:t>数据取值来源为《2005中国温室气体清单研究》。</w:t>
            </w:r>
          </w:p>
          <w:p w14:paraId="2DDD8D52">
            <w:pPr>
              <w:widowControl/>
              <w:adjustRightInd w:val="0"/>
              <w:snapToGrid w:val="0"/>
              <w:jc w:val="left"/>
              <w:rPr>
                <w:rFonts w:ascii="Times New Roman" w:hAnsi="Times New Roman" w:eastAsia="宋体" w:cs="Times New Roman"/>
                <w:szCs w:val="21"/>
              </w:rPr>
            </w:pPr>
            <w:r>
              <w:rPr>
                <w:rFonts w:ascii="Times New Roman" w:hAnsi="Times New Roman" w:cs="Times New Roman"/>
                <w:szCs w:val="21"/>
                <w:vertAlign w:val="superscript"/>
              </w:rPr>
              <w:t>*3</w:t>
            </w:r>
            <w:r>
              <w:rPr>
                <w:rFonts w:ascii="Times New Roman" w:hAnsi="Times New Roman" w:eastAsia="宋体" w:cs="Times New Roman"/>
                <w:szCs w:val="21"/>
              </w:rPr>
              <w:t>数据取值来源为《省级温室气体清单编制指南</w:t>
            </w:r>
            <w:r>
              <w:rPr>
                <w:rFonts w:hint="eastAsia" w:ascii="Times New Roman" w:hAnsi="Times New Roman" w:eastAsia="宋体" w:cs="Times New Roman"/>
                <w:szCs w:val="21"/>
                <w:lang w:eastAsia="zh-CN"/>
              </w:rPr>
              <w:t>（</w:t>
            </w:r>
            <w:r>
              <w:rPr>
                <w:rFonts w:ascii="Times New Roman" w:hAnsi="Times New Roman" w:eastAsia="宋体" w:cs="Times New Roman"/>
                <w:szCs w:val="21"/>
              </w:rPr>
              <w:t>试行</w:t>
            </w:r>
            <w:r>
              <w:rPr>
                <w:rFonts w:hint="eastAsia" w:ascii="Times New Roman" w:hAnsi="Times New Roman" w:eastAsia="宋体" w:cs="Times New Roman"/>
                <w:szCs w:val="21"/>
                <w:lang w:eastAsia="zh-CN"/>
              </w:rPr>
              <w:t>）</w:t>
            </w:r>
            <w:r>
              <w:rPr>
                <w:rFonts w:ascii="Times New Roman" w:hAnsi="Times New Roman" w:eastAsia="宋体" w:cs="Times New Roman"/>
                <w:szCs w:val="21"/>
              </w:rPr>
              <w:t>》</w:t>
            </w:r>
            <w:r>
              <w:rPr>
                <w:rFonts w:hint="eastAsia" w:ascii="Times New Roman" w:hAnsi="Times New Roman" w:cs="Times New Roman"/>
                <w:szCs w:val="21"/>
              </w:rPr>
              <w:t>（2025年版）</w:t>
            </w:r>
            <w:r>
              <w:rPr>
                <w:rFonts w:ascii="Times New Roman" w:hAnsi="Times New Roman" w:eastAsia="宋体" w:cs="Times New Roman"/>
                <w:szCs w:val="21"/>
              </w:rPr>
              <w:t>。</w:t>
            </w:r>
          </w:p>
          <w:p w14:paraId="4B3D1D1B">
            <w:pPr>
              <w:widowControl/>
              <w:adjustRightInd w:val="0"/>
              <w:snapToGrid w:val="0"/>
              <w:jc w:val="left"/>
              <w:rPr>
                <w:rFonts w:ascii="Times New Roman" w:hAnsi="Times New Roman" w:cs="Times New Roman"/>
                <w:szCs w:val="21"/>
              </w:rPr>
            </w:pPr>
            <w:r>
              <w:rPr>
                <w:rFonts w:ascii="Times New Roman" w:hAnsi="Times New Roman" w:cs="Times New Roman"/>
                <w:szCs w:val="21"/>
                <w:vertAlign w:val="superscript"/>
              </w:rPr>
              <w:t>*4</w:t>
            </w:r>
            <w:r>
              <w:rPr>
                <w:rFonts w:ascii="Times New Roman" w:hAnsi="Times New Roman" w:eastAsia="宋体" w:cs="Times New Roman"/>
                <w:szCs w:val="21"/>
              </w:rPr>
              <w:t>数据取值来源为《2006年IPCC国家温室气体清单指南》2019年修订版</w:t>
            </w:r>
            <w:r>
              <w:rPr>
                <w:rFonts w:ascii="Times New Roman" w:hAnsi="Times New Roman" w:cs="Times New Roman"/>
                <w:szCs w:val="21"/>
              </w:rPr>
              <w:t>。</w:t>
            </w:r>
          </w:p>
          <w:p w14:paraId="60A356DF">
            <w:pPr>
              <w:widowControl/>
              <w:adjustRightInd w:val="0"/>
              <w:snapToGrid w:val="0"/>
              <w:jc w:val="left"/>
              <w:rPr>
                <w:rFonts w:ascii="Times New Roman" w:hAnsi="Times New Roman" w:eastAsia="宋体" w:cs="Times New Roman"/>
                <w:szCs w:val="21"/>
              </w:rPr>
            </w:pPr>
            <w:r>
              <w:rPr>
                <w:rFonts w:ascii="Times New Roman" w:hAnsi="Times New Roman" w:cs="Times New Roman"/>
                <w:szCs w:val="21"/>
                <w:vertAlign w:val="superscript"/>
              </w:rPr>
              <w:t>*5</w:t>
            </w:r>
            <w:r>
              <w:rPr>
                <w:rFonts w:ascii="Times New Roman" w:hAnsi="Times New Roman" w:eastAsia="宋体" w:cs="Times New Roman"/>
                <w:szCs w:val="21"/>
              </w:rPr>
              <w:t>数据取值来源为GB/T 2589-2020《综合能耗计算通则》。</w:t>
            </w:r>
          </w:p>
          <w:p w14:paraId="48952A7E">
            <w:pPr>
              <w:widowControl/>
              <w:adjustRightInd w:val="0"/>
              <w:snapToGrid w:val="0"/>
              <w:jc w:val="left"/>
              <w:rPr>
                <w:rFonts w:ascii="Times New Roman" w:hAnsi="Times New Roman" w:eastAsia="宋体" w:cs="Times New Roman"/>
                <w:szCs w:val="21"/>
              </w:rPr>
            </w:pPr>
            <w:r>
              <w:rPr>
                <w:rFonts w:ascii="Times New Roman" w:hAnsi="Times New Roman" w:cs="Times New Roman"/>
                <w:szCs w:val="21"/>
                <w:vertAlign w:val="superscript"/>
              </w:rPr>
              <w:t>*6</w:t>
            </w:r>
            <w:r>
              <w:rPr>
                <w:rFonts w:ascii="Times New Roman" w:hAnsi="Times New Roman" w:eastAsia="宋体" w:cs="Times New Roman"/>
                <w:szCs w:val="21"/>
              </w:rPr>
              <w:t>数据取值来源为《中国能源统计年鉴2022》。</w:t>
            </w:r>
          </w:p>
        </w:tc>
      </w:tr>
    </w:tbl>
    <w:p w14:paraId="4012E017">
      <w:pPr>
        <w:jc w:val="left"/>
        <w:rPr>
          <w:rFonts w:ascii="Times New Roman" w:hAnsi="Times New Roman" w:eastAsia="宋体" w:cs="Times New Roman"/>
          <w:b/>
          <w:bCs/>
          <w:szCs w:val="21"/>
        </w:rPr>
      </w:pPr>
      <w:r>
        <w:rPr>
          <w:rFonts w:ascii="Times New Roman" w:hAnsi="Times New Roman" w:eastAsia="宋体" w:cs="Times New Roman"/>
          <w:b/>
          <w:bCs/>
          <w:szCs w:val="21"/>
        </w:rPr>
        <w:br w:type="page"/>
      </w:r>
    </w:p>
    <w:p w14:paraId="17E88F64">
      <w:pPr>
        <w:pStyle w:val="40"/>
        <w:shd w:val="clear" w:color="auto" w:fill="auto"/>
        <w:spacing w:before="124" w:after="156"/>
        <w:rPr>
          <w:rFonts w:ascii="Arial" w:hAnsi="Arial" w:cs="Arial"/>
        </w:rPr>
      </w:pPr>
      <w:bookmarkStart w:id="50" w:name="_Toc2672"/>
      <w:bookmarkStart w:id="51" w:name="_Toc20035"/>
      <w:r>
        <w:rPr>
          <w:rFonts w:ascii="Arial" w:hAnsi="Arial" w:cs="Arial"/>
          <w:spacing w:val="0"/>
        </w:rPr>
        <w:t>参考文</w:t>
      </w:r>
      <w:r>
        <w:rPr>
          <w:rFonts w:ascii="Arial" w:hAnsi="Arial" w:cs="Arial"/>
        </w:rPr>
        <w:t>献</w:t>
      </w:r>
      <w:bookmarkEnd w:id="50"/>
      <w:bookmarkEnd w:id="51"/>
    </w:p>
    <w:p w14:paraId="4A7BF768">
      <w:pPr>
        <w:pStyle w:val="22"/>
        <w:ind w:firstLine="420"/>
        <w:rPr>
          <w:rFonts w:ascii="Times New Roman"/>
        </w:rPr>
      </w:pPr>
      <w:r>
        <w:rPr>
          <w:rFonts w:ascii="Times New Roman"/>
        </w:rPr>
        <w:t>[1] 重点行业建设项目碳排放环境影响评价试点技术指南（试行）</w:t>
      </w:r>
    </w:p>
    <w:p w14:paraId="76345C95">
      <w:pPr>
        <w:pStyle w:val="22"/>
        <w:ind w:firstLine="420"/>
        <w:rPr>
          <w:rFonts w:ascii="Times New Roman"/>
        </w:rPr>
      </w:pPr>
      <w:r>
        <w:rPr>
          <w:rFonts w:ascii="Times New Roman"/>
        </w:rPr>
        <w:t>[2] 火电行业建设项目温室气体排放环境影响评价 技术指南（试行）</w:t>
      </w:r>
    </w:p>
    <w:p w14:paraId="25D0ABCF">
      <w:pPr>
        <w:pStyle w:val="22"/>
        <w:ind w:firstLine="420"/>
        <w:rPr>
          <w:rFonts w:ascii="Times New Roman"/>
        </w:rPr>
      </w:pPr>
      <w:r>
        <w:rPr>
          <w:rFonts w:ascii="Times New Roman"/>
        </w:rPr>
        <w:t>[3] 固定资产投资项目节能审查和碳排放评价技术指南</w:t>
      </w:r>
    </w:p>
    <w:p w14:paraId="4189C7F9">
      <w:pPr>
        <w:pStyle w:val="22"/>
        <w:ind w:firstLine="420"/>
        <w:jc w:val="left"/>
        <w:rPr>
          <w:rFonts w:ascii="Times New Roman"/>
        </w:rPr>
      </w:pPr>
      <w:r>
        <w:rPr>
          <w:rFonts w:ascii="Times New Roman"/>
        </w:rPr>
        <w:t xml:space="preserve">[4] </w:t>
      </w:r>
      <w:r>
        <w:rPr>
          <w:rFonts w:ascii="Arial" w:hAnsi="Arial" w:cs="Arial"/>
          <w:szCs w:val="21"/>
        </w:rPr>
        <w:t>GB/T 32151.</w:t>
      </w:r>
      <w:r>
        <w:rPr>
          <w:rFonts w:hint="eastAsia" w:ascii="Arial" w:hAnsi="Arial" w:cs="Arial"/>
          <w:szCs w:val="21"/>
        </w:rPr>
        <w:t>10</w:t>
      </w:r>
      <w:r>
        <w:rPr>
          <w:rFonts w:hint="eastAsia" w:ascii="Arial" w:hAnsi="Arial" w:cs="Arial"/>
          <w:szCs w:val="21"/>
          <w:lang w:eastAsia="zh-CN"/>
        </w:rPr>
        <w:t xml:space="preserve"> 温室</w:t>
      </w:r>
      <w:r>
        <w:rPr>
          <w:rFonts w:ascii="Arial" w:hAnsi="Arial" w:cs="Arial"/>
          <w:szCs w:val="21"/>
        </w:rPr>
        <w:t>气体排放核算与报告要求 第1</w:t>
      </w:r>
      <w:r>
        <w:rPr>
          <w:rFonts w:hint="eastAsia" w:ascii="Arial" w:hAnsi="Arial" w:cs="Arial"/>
          <w:szCs w:val="21"/>
        </w:rPr>
        <w:t>0</w:t>
      </w:r>
      <w:r>
        <w:rPr>
          <w:rFonts w:ascii="Arial" w:hAnsi="Arial" w:cs="Arial"/>
          <w:szCs w:val="21"/>
        </w:rPr>
        <w:t>部分：化工</w:t>
      </w:r>
      <w:r>
        <w:rPr>
          <w:rFonts w:hint="eastAsia" w:ascii="Arial" w:hAnsi="Arial" w:cs="Arial"/>
          <w:szCs w:val="21"/>
        </w:rPr>
        <w:t>生产</w:t>
      </w:r>
      <w:r>
        <w:rPr>
          <w:rFonts w:ascii="Arial" w:hAnsi="Arial" w:cs="Arial"/>
          <w:szCs w:val="21"/>
        </w:rPr>
        <w:t>企业</w:t>
      </w:r>
    </w:p>
    <w:p w14:paraId="1B47F975">
      <w:pPr>
        <w:pStyle w:val="22"/>
        <w:ind w:firstLine="420"/>
        <w:rPr>
          <w:rFonts w:ascii="Times New Roman"/>
        </w:rPr>
      </w:pPr>
      <w:r>
        <w:rPr>
          <w:rFonts w:ascii="Times New Roman"/>
        </w:rPr>
        <w:t xml:space="preserve">[5] </w:t>
      </w:r>
      <w:r>
        <w:rPr>
          <w:rFonts w:ascii="Arial" w:hAnsi="Arial" w:cs="Arial"/>
          <w:szCs w:val="21"/>
        </w:rPr>
        <w:t>省级温室气体清单编制指南</w:t>
      </w:r>
      <w:r>
        <w:rPr>
          <w:rFonts w:hint="eastAsia" w:ascii="Times New Roman"/>
          <w:szCs w:val="21"/>
        </w:rPr>
        <w:t>（2025年版）</w:t>
      </w:r>
    </w:p>
    <w:p w14:paraId="7E4844A0">
      <w:pPr>
        <w:pStyle w:val="22"/>
        <w:ind w:firstLine="420"/>
        <w:jc w:val="left"/>
        <w:rPr>
          <w:rFonts w:ascii="Times New Roman"/>
        </w:rPr>
      </w:pPr>
      <w:r>
        <w:rPr>
          <w:rFonts w:ascii="Times New Roman"/>
        </w:rPr>
        <w:t>[6] T/CSTM 00881—2026</w:t>
      </w:r>
      <w:r>
        <w:rPr>
          <w:rFonts w:hint="eastAsia" w:ascii="Times New Roman"/>
          <w:lang w:eastAsia="zh-CN"/>
        </w:rPr>
        <w:t xml:space="preserve"> 工业</w:t>
      </w:r>
      <w:r>
        <w:rPr>
          <w:rFonts w:ascii="Times New Roman"/>
        </w:rPr>
        <w:t>绿色低碳技术评价通则</w:t>
      </w:r>
    </w:p>
    <w:p w14:paraId="7C62FACB">
      <w:pPr>
        <w:pStyle w:val="22"/>
        <w:ind w:firstLine="420"/>
        <w:jc w:val="left"/>
        <w:rPr>
          <w:rFonts w:ascii="Times New Roman"/>
        </w:rPr>
      </w:pPr>
      <w:r>
        <w:rPr>
          <w:rFonts w:ascii="Times New Roman"/>
        </w:rPr>
        <w:t>[7] 工业企业污染治理设施污染物去除协同控制温室气体核算技术指南（试行）</w:t>
      </w:r>
    </w:p>
    <w:p w14:paraId="7A109A0C">
      <w:pPr>
        <w:pStyle w:val="22"/>
        <w:ind w:firstLine="420"/>
        <w:jc w:val="left"/>
        <w:rPr>
          <w:rFonts w:ascii="Times New Roman"/>
        </w:rPr>
      </w:pPr>
      <w:r>
        <w:rPr>
          <w:rFonts w:ascii="Times New Roman"/>
        </w:rPr>
        <w:t>[8]</w:t>
      </w:r>
      <w:r>
        <w:rPr>
          <w:rFonts w:hint="eastAsia" w:ascii="Times New Roman"/>
        </w:rPr>
        <w:t xml:space="preserve"> 现代煤化工行业碳排放基准（T/CCECTA 0104-2023）</w:t>
      </w:r>
    </w:p>
    <w:p w14:paraId="6D35682C">
      <w:pPr>
        <w:pStyle w:val="22"/>
        <w:ind w:firstLine="420"/>
        <w:jc w:val="left"/>
        <w:rPr>
          <w:rFonts w:ascii="Times New Roman"/>
        </w:rPr>
      </w:pPr>
    </w:p>
    <w:p w14:paraId="1A80F1D9">
      <w:pPr>
        <w:pStyle w:val="4"/>
        <w:spacing w:before="157" w:line="360" w:lineRule="auto"/>
        <w:ind w:right="213"/>
        <w:rPr>
          <w:lang w:eastAsia="zh-CN"/>
        </w:rPr>
      </w:pPr>
    </w:p>
    <w:bookmarkEnd w:id="41"/>
    <w:p w14:paraId="29C7ACA4">
      <w:pPr>
        <w:pStyle w:val="4"/>
        <w:spacing w:before="157" w:line="360" w:lineRule="auto"/>
        <w:ind w:right="213"/>
        <w:rPr>
          <w:rFonts w:hint="default"/>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imes New Roman PS MT">
    <w:altName w:val="Times New Roman"/>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904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C4EA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4C4EA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B914">
    <w:pPr>
      <w:pStyle w:val="5"/>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63E3C">
    <w:pPr>
      <w:pStyle w:val="5"/>
      <w:ind w:right="720"/>
      <w:jc w:val="both"/>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538593">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538593">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F4DAD">
    <w:pPr>
      <w:pStyle w:val="2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AB89F">
                          <w:pPr>
                            <w:pStyle w:val="25"/>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CAB89F">
                    <w:pPr>
                      <w:pStyle w:val="25"/>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E2EB2">
    <w:pPr>
      <w:spacing w:line="223" w:lineRule="auto"/>
      <w:ind w:left="45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0A0B2">
                          <w:pPr>
                            <w:pStyle w:val="5"/>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90A0B2">
                    <w:pPr>
                      <w:pStyle w:val="5"/>
                    </w:pPr>
                    <w:r>
                      <w:fldChar w:fldCharType="begin"/>
                    </w:r>
                    <w:r>
                      <w:instrText xml:space="preserve"> PAGE  \* MERGEFORMAT </w:instrText>
                    </w:r>
                    <w:r>
                      <w:fldChar w:fldCharType="separate"/>
                    </w:r>
                    <w:r>
                      <w:t>IV</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FFC2C">
    <w:pPr>
      <w:spacing w:line="223" w:lineRule="auto"/>
      <w:ind w:left="45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03D53">
                          <w:pPr>
                            <w:pStyle w:val="5"/>
                          </w:pPr>
                          <w:r>
                            <w:t xml:space="preserve">— </w:t>
                          </w:r>
                          <w:r>
                            <w:fldChar w:fldCharType="begin"/>
                          </w:r>
                          <w:r>
                            <w:instrText xml:space="preserve"> PAGE  \* MERGEFORMAT </w:instrText>
                          </w:r>
                          <w:r>
                            <w:fldChar w:fldCharType="separate"/>
                          </w:r>
                          <w:r>
                            <w:t>I</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C203D53">
                    <w:pPr>
                      <w:pStyle w:val="5"/>
                    </w:pPr>
                    <w:r>
                      <w:t xml:space="preserve">— </w:t>
                    </w:r>
                    <w:r>
                      <w:fldChar w:fldCharType="begin"/>
                    </w:r>
                    <w:r>
                      <w:instrText xml:space="preserve"> PAGE  \* MERGEFORMAT </w:instrText>
                    </w:r>
                    <w:r>
                      <w:fldChar w:fldCharType="separate"/>
                    </w:r>
                    <w:r>
                      <w:t>I</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A16DE">
    <w:pPr>
      <w:pStyle w:val="6"/>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7A2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D6A7E">
    <w:pPr>
      <w:pStyle w:val="6"/>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02E6E">
    <w:pPr>
      <w:pStyle w:val="24"/>
    </w:pPr>
    <w:r>
      <w:fldChar w:fldCharType="begin"/>
    </w:r>
    <w:r>
      <w:instrText xml:space="preserve"> STYLEREF  标准文件_文件编号  \* MERGEFORMAT </w:instrText>
    </w:r>
    <w:r>
      <w:fldChar w:fldCharType="separate"/>
    </w:r>
    <w:r>
      <w:t>T/CSES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D3FEA"/>
    <w:multiLevelType w:val="multilevel"/>
    <w:tmpl w:val="07ED3FEA"/>
    <w:lvl w:ilvl="0" w:tentative="0">
      <w:start w:val="1"/>
      <w:numFmt w:val="none"/>
      <w:pStyle w:val="19"/>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657D3FBC"/>
    <w:multiLevelType w:val="multilevel"/>
    <w:tmpl w:val="657D3FBC"/>
    <w:lvl w:ilvl="0" w:tentative="0">
      <w:start w:val="1"/>
      <w:numFmt w:val="upperLetter"/>
      <w:pStyle w:val="21"/>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2"/>
      <w:suff w:val="nothing"/>
      <w:lvlText w:val="%1%2　"/>
      <w:lvlJc w:val="left"/>
      <w:pPr>
        <w:ind w:left="0" w:firstLine="0"/>
      </w:pPr>
      <w:rPr>
        <w:rFonts w:hint="eastAsia" w:ascii="黑体" w:eastAsia="黑体"/>
        <w:b w:val="0"/>
        <w:i w:val="0"/>
        <w:sz w:val="21"/>
      </w:rPr>
    </w:lvl>
    <w:lvl w:ilvl="2" w:tentative="0">
      <w:start w:val="1"/>
      <w:numFmt w:val="decimal"/>
      <w:pStyle w:val="4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5317"/>
    <w:rsid w:val="041662CD"/>
    <w:rsid w:val="05A53D82"/>
    <w:rsid w:val="0A3F4C4A"/>
    <w:rsid w:val="0B954D0D"/>
    <w:rsid w:val="12EE4147"/>
    <w:rsid w:val="19700856"/>
    <w:rsid w:val="1B940A6F"/>
    <w:rsid w:val="1CAC013B"/>
    <w:rsid w:val="27C66671"/>
    <w:rsid w:val="281E576F"/>
    <w:rsid w:val="319D11A0"/>
    <w:rsid w:val="35B60279"/>
    <w:rsid w:val="394B1CE9"/>
    <w:rsid w:val="3AE93CD2"/>
    <w:rsid w:val="3CB15D77"/>
    <w:rsid w:val="3F573360"/>
    <w:rsid w:val="469B763C"/>
    <w:rsid w:val="477243BE"/>
    <w:rsid w:val="4DBF5384"/>
    <w:rsid w:val="4EE0386D"/>
    <w:rsid w:val="4F994CBA"/>
    <w:rsid w:val="55C917C0"/>
    <w:rsid w:val="59A073DE"/>
    <w:rsid w:val="5B99611C"/>
    <w:rsid w:val="5CD725C8"/>
    <w:rsid w:val="65D23AD5"/>
    <w:rsid w:val="69A572CD"/>
    <w:rsid w:val="6A820641"/>
    <w:rsid w:val="6BE419CF"/>
    <w:rsid w:val="6ECA5C9D"/>
    <w:rsid w:val="7383355C"/>
    <w:rsid w:val="799D1EB8"/>
    <w:rsid w:val="7B263697"/>
    <w:rsid w:val="7E310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35"/>
    <w:pPr>
      <w:spacing w:before="152" w:after="160"/>
    </w:pPr>
    <w:rPr>
      <w:rFonts w:ascii="Arial" w:hAnsi="Arial" w:eastAsia="黑体" w:cs="Arial"/>
      <w:sz w:val="20"/>
      <w:szCs w:val="20"/>
    </w:rPr>
  </w:style>
  <w:style w:type="paragraph" w:styleId="3">
    <w:name w:val="annotation text"/>
    <w:basedOn w:val="1"/>
    <w:qFormat/>
    <w:uiPriority w:val="0"/>
    <w:pPr>
      <w:jc w:val="left"/>
    </w:pPr>
  </w:style>
  <w:style w:type="paragraph" w:styleId="4">
    <w:name w:val="Body Text"/>
    <w:basedOn w:val="1"/>
    <w:next w:val="1"/>
    <w:semiHidden/>
    <w:qFormat/>
    <w:uiPriority w:val="0"/>
    <w:rPr>
      <w:rFonts w:ascii="宋体" w:hAnsi="宋体" w:eastAsia="宋体" w:cs="宋体"/>
      <w:sz w:val="21"/>
      <w:szCs w:val="21"/>
      <w:lang w:val="en-US" w:eastAsia="en-US" w:bidi="ar-SA"/>
    </w:rPr>
  </w:style>
  <w:style w:type="paragraph" w:styleId="5">
    <w:name w:val="footer"/>
    <w:basedOn w:val="1"/>
    <w:qFormat/>
    <w:uiPriority w:val="99"/>
    <w:pPr>
      <w:tabs>
        <w:tab w:val="center" w:pos="4153"/>
        <w:tab w:val="right" w:pos="8306"/>
      </w:tabs>
      <w:adjustRightInd/>
      <w:snapToGrid w:val="0"/>
      <w:spacing w:line="240" w:lineRule="auto"/>
      <w:jc w:val="right"/>
    </w:pPr>
    <w:rPr>
      <w:rFonts w:ascii="宋体"/>
      <w:sz w:val="18"/>
      <w:szCs w:val="18"/>
    </w:rPr>
  </w:style>
  <w:style w:type="paragraph" w:styleId="6">
    <w:name w:val="header"/>
    <w:basedOn w:val="1"/>
    <w:qFormat/>
    <w:uiPriority w:val="99"/>
    <w:pPr>
      <w:tabs>
        <w:tab w:val="center" w:pos="4153"/>
        <w:tab w:val="right" w:pos="8306"/>
      </w:tabs>
      <w:adjustRightInd/>
      <w:snapToGrid w:val="0"/>
      <w:jc w:val="center"/>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99"/>
    <w:pPr>
      <w:widowControl/>
      <w:spacing w:before="100" w:beforeAutospacing="1" w:after="100" w:afterAutospacing="1" w:line="360" w:lineRule="exact"/>
      <w:ind w:firstLine="200" w:firstLineChars="200"/>
      <w:jc w:val="left"/>
    </w:pPr>
    <w:rPr>
      <w:rFonts w:ascii="宋体" w:hAnsi="宋体"/>
      <w:kern w:val="0"/>
      <w:sz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16"/>
      <w:szCs w:val="16"/>
      <w:lang w:val="en-US" w:eastAsia="en-US" w:bidi="ar-SA"/>
    </w:rPr>
  </w:style>
  <w:style w:type="paragraph" w:customStyle="1" w:styleId="16">
    <w:name w:val="A-z正文"/>
    <w:basedOn w:val="17"/>
    <w:autoRedefine/>
    <w:qFormat/>
    <w:uiPriority w:val="0"/>
    <w:pPr>
      <w:tabs>
        <w:tab w:val="center" w:pos="4201"/>
        <w:tab w:val="right" w:leader="dot" w:pos="9298"/>
      </w:tabs>
      <w:ind w:firstLine="420"/>
    </w:pPr>
    <w:rPr>
      <w:szCs w:val="20"/>
    </w:rPr>
  </w:style>
  <w:style w:type="paragraph" w:customStyle="1" w:styleId="17">
    <w:name w:val="段"/>
    <w:autoRedefine/>
    <w:qFormat/>
    <w:uiPriority w:val="0"/>
    <w:pPr>
      <w:autoSpaceDE w:val="0"/>
      <w:autoSpaceDN w:val="0"/>
      <w:ind w:firstLine="200" w:firstLineChars="200"/>
      <w:jc w:val="both"/>
    </w:pPr>
    <w:rPr>
      <w:rFonts w:ascii="宋体" w:hAnsi="Times New Roman" w:eastAsia="宋体" w:cs="Times New Roman"/>
      <w:sz w:val="21"/>
      <w:szCs w:val="21"/>
      <w:lang w:val="en-US" w:eastAsia="zh-CN" w:bidi="ar-SA"/>
    </w:rPr>
  </w:style>
  <w:style w:type="paragraph" w:customStyle="1" w:styleId="18">
    <w:name w:val="A-题注-表"/>
    <w:basedOn w:val="2"/>
    <w:autoRedefine/>
    <w:qFormat/>
    <w:uiPriority w:val="0"/>
    <w:pPr>
      <w:spacing w:beforeLines="50" w:after="0" w:line="360" w:lineRule="auto"/>
      <w:jc w:val="center"/>
    </w:pPr>
    <w:rPr>
      <w:rFonts w:ascii="Times New Roman" w:hAnsi="Times New Roman" w:eastAsia="宋体"/>
      <w:b/>
      <w:sz w:val="21"/>
    </w:rPr>
  </w:style>
  <w:style w:type="paragraph" w:customStyle="1" w:styleId="19">
    <w:name w:val="标准文件_前言、引言标题"/>
    <w:next w:val="1"/>
    <w:qFormat/>
    <w:uiPriority w:val="0"/>
    <w:pPr>
      <w:numPr>
        <w:ilvl w:val="0"/>
        <w:numId w:val="1"/>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20">
    <w:name w:val="000正文样式"/>
    <w:basedOn w:val="1"/>
    <w:qFormat/>
    <w:uiPriority w:val="0"/>
    <w:pPr>
      <w:spacing w:line="620" w:lineRule="exact"/>
      <w:ind w:firstLine="640" w:firstLineChars="200"/>
    </w:pPr>
    <w:rPr>
      <w:rFonts w:ascii="仿宋_GB2312" w:hAnsi="宋体" w:eastAsia="仿宋_GB2312"/>
      <w:kern w:val="0"/>
      <w:sz w:val="32"/>
      <w:szCs w:val="32"/>
    </w:rPr>
  </w:style>
  <w:style w:type="paragraph" w:customStyle="1" w:styleId="21">
    <w:name w:val="标准文件_附录标识"/>
    <w:next w:val="22"/>
    <w:qFormat/>
    <w:uiPriority w:val="0"/>
    <w:pPr>
      <w:numPr>
        <w:ilvl w:val="0"/>
        <w:numId w:val="2"/>
      </w:numPr>
      <w:shd w:val="clear" w:color="FFFFFF" w:fill="FFFFFF"/>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2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
    <w:name w:val="列出段落1"/>
    <w:basedOn w:val="1"/>
    <w:qFormat/>
    <w:uiPriority w:val="34"/>
    <w:pPr>
      <w:spacing w:line="240" w:lineRule="auto"/>
      <w:jc w:val="center"/>
    </w:pPr>
    <w:rPr>
      <w:rFonts w:eastAsia="黑体"/>
    </w:rPr>
  </w:style>
  <w:style w:type="paragraph" w:customStyle="1" w:styleId="2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6">
    <w:name w:val="标准文件_页眉偶数页"/>
    <w:basedOn w:val="24"/>
    <w:next w:val="1"/>
    <w:qFormat/>
    <w:uiPriority w:val="0"/>
    <w:pPr>
      <w:jc w:val="left"/>
    </w:pPr>
  </w:style>
  <w:style w:type="paragraph" w:customStyle="1" w:styleId="27">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28">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29">
    <w:name w:val="标准文件_文件编号"/>
    <w:basedOn w:val="22"/>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30">
    <w:name w:val="标准文件_替换文件编号"/>
    <w:basedOn w:val="29"/>
    <w:qFormat/>
    <w:uiPriority w:val="0"/>
    <w:pPr>
      <w:spacing w:before="57"/>
    </w:pPr>
    <w:rPr>
      <w:sz w:val="21"/>
    </w:rPr>
  </w:style>
  <w:style w:type="paragraph" w:customStyle="1" w:styleId="31">
    <w:name w:val="标准文件_文件名称"/>
    <w:basedOn w:val="22"/>
    <w:next w:val="2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32">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33">
    <w:name w:val="其他发布日期"/>
    <w:basedOn w:val="34"/>
    <w:qFormat/>
    <w:uiPriority w:val="0"/>
    <w:pPr>
      <w:framePr w:w="3997" w:h="471" w:hRule="exact" w:hSpace="0" w:vSpace="181" w:wrap="around" w:vAnchor="page" w:hAnchor="page" w:x="1419" w:y="14097"/>
    </w:pPr>
  </w:style>
  <w:style w:type="paragraph" w:customStyle="1" w:styleId="3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5">
    <w:name w:val="其他实施日期"/>
    <w:basedOn w:val="36"/>
    <w:qFormat/>
    <w:uiPriority w:val="0"/>
    <w:pPr>
      <w:framePr w:w="3997" w:h="471" w:hRule="exact" w:vSpace="181" w:wrap="around" w:vAnchor="page" w:hAnchor="page" w:x="7089" w:y="14097"/>
    </w:pPr>
  </w:style>
  <w:style w:type="paragraph" w:customStyle="1" w:styleId="36">
    <w:name w:val="实施日期"/>
    <w:basedOn w:val="34"/>
    <w:qFormat/>
    <w:uiPriority w:val="0"/>
    <w:pPr>
      <w:framePr w:hSpace="0" w:wrap="around" w:xAlign="right"/>
      <w:jc w:val="right"/>
    </w:pPr>
  </w:style>
  <w:style w:type="paragraph" w:customStyle="1" w:styleId="37">
    <w:name w:val="其他发布部门"/>
    <w:basedOn w:val="38"/>
    <w:qFormat/>
    <w:uiPriority w:val="0"/>
    <w:pPr>
      <w:framePr w:wrap="around"/>
      <w:spacing w:line="0" w:lineRule="atLeast"/>
    </w:pPr>
    <w:rPr>
      <w:rFonts w:ascii="黑体" w:eastAsia="黑体"/>
      <w:b w:val="0"/>
    </w:rPr>
  </w:style>
  <w:style w:type="paragraph" w:customStyle="1" w:styleId="38">
    <w:name w:val="发布部门"/>
    <w:next w:val="2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character" w:customStyle="1" w:styleId="39">
    <w:name w:val="发布"/>
    <w:basedOn w:val="12"/>
    <w:qFormat/>
    <w:uiPriority w:val="0"/>
    <w:rPr>
      <w:rFonts w:ascii="黑体" w:eastAsia="黑体"/>
      <w:spacing w:val="85"/>
      <w:w w:val="100"/>
      <w:position w:val="3"/>
      <w:sz w:val="28"/>
      <w:szCs w:val="28"/>
    </w:rPr>
  </w:style>
  <w:style w:type="paragraph" w:customStyle="1" w:styleId="40">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41">
    <w:name w:val="标准文件_一级条标题"/>
    <w:basedOn w:val="42"/>
    <w:next w:val="22"/>
    <w:qFormat/>
    <w:uiPriority w:val="0"/>
    <w:pPr>
      <w:numPr>
        <w:ilvl w:val="2"/>
      </w:numPr>
      <w:spacing w:before="50" w:beforeLines="50" w:after="50" w:afterLines="50"/>
      <w:outlineLvl w:val="1"/>
    </w:pPr>
  </w:style>
  <w:style w:type="paragraph" w:customStyle="1" w:styleId="42">
    <w:name w:val="标准文件_章标题"/>
    <w:next w:val="22"/>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header" Target="head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2.wmf"/><Relationship Id="rId36" Type="http://schemas.openxmlformats.org/officeDocument/2006/relationships/oleObject" Target="embeddings/oleObject12.bin"/><Relationship Id="rId35" Type="http://schemas.openxmlformats.org/officeDocument/2006/relationships/image" Target="media/image11.wmf"/><Relationship Id="rId34" Type="http://schemas.openxmlformats.org/officeDocument/2006/relationships/oleObject" Target="embeddings/oleObject11.bin"/><Relationship Id="rId33" Type="http://schemas.openxmlformats.org/officeDocument/2006/relationships/image" Target="media/image10.wmf"/><Relationship Id="rId32" Type="http://schemas.openxmlformats.org/officeDocument/2006/relationships/oleObject" Target="embeddings/oleObject10.bin"/><Relationship Id="rId31" Type="http://schemas.openxmlformats.org/officeDocument/2006/relationships/image" Target="media/image9.wmf"/><Relationship Id="rId30" Type="http://schemas.openxmlformats.org/officeDocument/2006/relationships/oleObject" Target="embeddings/oleObject9.bin"/><Relationship Id="rId3" Type="http://schemas.openxmlformats.org/officeDocument/2006/relationships/header" Target="header1.xml"/><Relationship Id="rId29" Type="http://schemas.openxmlformats.org/officeDocument/2006/relationships/image" Target="media/image8.wmf"/><Relationship Id="rId28" Type="http://schemas.openxmlformats.org/officeDocument/2006/relationships/oleObject" Target="embeddings/oleObject8.bin"/><Relationship Id="rId27" Type="http://schemas.openxmlformats.org/officeDocument/2006/relationships/image" Target="media/image7.wmf"/><Relationship Id="rId26" Type="http://schemas.openxmlformats.org/officeDocument/2006/relationships/oleObject" Target="embeddings/oleObject7.bin"/><Relationship Id="rId25" Type="http://schemas.openxmlformats.org/officeDocument/2006/relationships/image" Target="media/image6.wmf"/><Relationship Id="rId24" Type="http://schemas.openxmlformats.org/officeDocument/2006/relationships/oleObject" Target="embeddings/oleObject6.bin"/><Relationship Id="rId23" Type="http://schemas.openxmlformats.org/officeDocument/2006/relationships/image" Target="media/image5.wmf"/><Relationship Id="rId22" Type="http://schemas.openxmlformats.org/officeDocument/2006/relationships/oleObject" Target="embeddings/oleObject5.bin"/><Relationship Id="rId21" Type="http://schemas.openxmlformats.org/officeDocument/2006/relationships/image" Target="media/image4.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oleObject" Target="embeddings/oleObject3.bin"/><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20065c2e-27d0-40fb-b5c6-086723bf7009</errorID>
      <errorWord> </errorWord>
      <group>L1_Word</group>
      <groupName>字词问题</groupName>
      <ability>L2_Typo</ability>
      <abilityName>字词错误</abilityName>
      <candidateList>
        <item>=</item>
      </candidateList>
      <explain/>
      <paraID>55697890</paraID>
      <start>21</start>
      <end>22</end>
      <status>ignored</status>
      <modifiedWord/>
      <trackRevisions>false</trackRevisions>
    </reviewItem>
    <reviewItem>
      <errorID>3ac6806b-6dc7-4241-b592-e7b099eb31ca</errorID>
      <errorWord>，</errorWord>
      <group>L1_Word</group>
      <groupName>字词问题</groupName>
      <ability>L2_Typo</ability>
      <abilityName>字词错误</abilityName>
      <candidateList>
        <item>，在</item>
      </candidateList>
      <explain/>
      <paraID>303D4CA2</paraID>
      <start>51</start>
      <end>52</end>
      <status>ignored</status>
      <modifiedWord/>
      <trackRevisions>false</trackRevisions>
    </reviewItem>
    <reviewItem>
      <errorID>3d980017-04b1-44e0-ba82-06886d7cb4b7</errorID>
      <errorWord>，</errorWord>
      <group>L1_Word</group>
      <groupName>字词问题</groupName>
      <ability>L2_Typo</ability>
      <abilityName>字词错误</abilityName>
      <candidateList>
        <item>，在</item>
      </candidateList>
      <explain/>
      <paraID>219ED082</paraID>
      <start>60</start>
      <end>61</end>
      <status>ignored</status>
      <modifiedWord/>
      <trackRevisions>false</trackRevisions>
    </reviewItem>
    <reviewItem>
      <errorID>3e30161f-5766-4eee-aecd-ae3940d7a69a</errorID>
      <errorWord>－</errorWord>
      <group>L1_Punc</group>
      <groupName>标点问题</groupName>
      <ability>L2_Punc_CN</ability>
      <abilityName>标点符号检查</abilityName>
      <candidateList>
        <item>～</item>
      </candidateList>
      <explain/>
      <paraID> 1B6009A</paraID>
      <start>133</start>
      <end>134</end>
      <status>modified</status>
      <modifiedWord>～</modifiedWord>
      <trackRevisions>true</trackRevisions>
    </reviewItem>
    <reviewItem>
      <errorID>d21227af-44a6-4a61-bdd8-626df66854ef</errorID>
      <errorWord>&gt;</errorWord>
      <group>L1_Punc</group>
      <groupName>标点问题</groupName>
      <ability>L2_Punc_CN</ability>
      <abilityName>标点符号检查</abilityName>
      <candidateList/>
      <explain/>
      <paraID>4EDCCA6B</paraID>
      <start>0</start>
      <end>1</end>
      <status>ignored</status>
      <modifiedWord/>
      <trackRevisions>false</trackRevisions>
    </reviewItem>
    <reviewItem>
      <errorID>c341da1a-645f-405e-bf69-e747a889bfce</errorID>
      <errorWord>&gt;</errorWord>
      <group>L1_Punc</group>
      <groupName>标点问题</groupName>
      <ability>L2_Punc_CN</ability>
      <abilityName>标点符号检查</abilityName>
      <candidateList/>
      <explain/>
      <paraID>60FE78AC</paraID>
      <start>0</start>
      <end>1</end>
      <status>ignored</status>
      <modifiedWord/>
      <trackRevisions>false</trackRevisions>
    </reviewItem>
    <reviewItem>
      <errorID>35737b3c-79f6-4dab-83e5-5000b96e9bc6</errorID>
      <errorWord>&gt;</errorWord>
      <group>L1_Punc</group>
      <groupName>标点问题</groupName>
      <ability>L2_Punc_CN</ability>
      <abilityName>标点符号检查</abilityName>
      <candidateList/>
      <explain/>
      <paraID>19518C13</paraID>
      <start>0</start>
      <end>1</end>
      <status>ignored</status>
      <modifiedWord/>
      <trackRevisions>false</trackRevisions>
    </reviewItem>
    <reviewItem>
      <errorID>dc7db97b-39b9-4183-bf37-8b6d4537b293</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24F5789F</paraID>
      <start>6</start>
      <end>7</end>
      <status>ignored</status>
      <modifiedWord/>
      <trackRevisions>false</trackRevisions>
    </reviewItem>
    <reviewItem>
      <errorID>a54255e0-c6fb-434d-b3db-f49c8dbc0c5e</errorID>
      <errorWord>（</errorWord>
      <group>L1_Punc</group>
      <groupName>标点问题</groupName>
      <ability>L2_Punc_CN</ability>
      <abilityName>标点符号检查</abilityName>
      <candidateList/>
      <explain>同一形式括号套用。</explain>
      <paraID>1F1A0743</paraID>
      <start>0</start>
      <end>1</end>
      <status>ignored</status>
      <modifiedWord/>
      <trackRevisions>false</trackRevisions>
    </reviewItem>
    <reviewItem>
      <errorID>ae4d520e-e833-4433-8891-a6f2da9231ee</errorID>
      <errorWord>-</errorWord>
      <group>L1_Format</group>
      <groupName>格式问题</groupName>
      <ability>L2_HalfPunc_CN</ability>
      <abilityName>全半角检查</abilityName>
      <candidateList>
        <item>－</item>
      </candidateList>
      <explain>文本全半角错误。</explain>
      <paraID>1F1A0743</paraID>
      <start>1</start>
      <end>2</end>
      <status>unmodified</status>
      <modifiedWord/>
      <trackRevisions>false</trackRevisions>
    </reviewItem>
    <reviewItem>
      <errorID>1342d82d-5844-469b-85bd-9bfba8ef5fa0</errorID>
      <errorWord>，</errorWord>
      <group>L1_Format</group>
      <groupName>格式问题</groupName>
      <ability>L2_HalfPunc_CN</ability>
      <abilityName>全半角检查</abilityName>
      <candidateList>
        <item>,</item>
      </candidateList>
      <explain>文本全半角错误。</explain>
      <paraID>1F1A0743</paraID>
      <start>3</start>
      <end>4</end>
      <status>unmodified</status>
      <modifiedWord/>
      <trackRevisions>false</trackRevisions>
    </reviewItem>
    <reviewItem>
      <errorID>06afc0bf-1914-430f-a5bc-a60fca937ebb</errorID>
      <errorWord>）</errorWord>
      <group>L1_Punc</group>
      <groupName>标点问题</groupName>
      <ability>L2_Punc_CN</ability>
      <abilityName>标点符号检查</abilityName>
      <candidateList/>
      <explain>同一形式括号套用。</explain>
      <paraID>1F1A0743</paraID>
      <start>6</start>
      <end>7</end>
      <status>ignored</status>
      <modifiedWord/>
      <trackRevisions>false</trackRevisions>
    </reviewItem>
    <reviewItem>
      <errorID>f26ef8b7-5d43-476e-b5a1-654fa7c6f026</errorID>
      <errorWord>论证</errorWord>
      <group>L1_Punc</group>
      <groupName>标点问题</groupName>
      <ability>L2_Punc_CN</ability>
      <abilityName>标点符号检查</abilityName>
      <candidateList>
        <item>论证。</item>
      </candidateList>
      <explain/>
      <paraID>13366ADB</paraID>
      <start>25</start>
      <end>27</end>
      <status>unmodified</status>
      <modifiedWord/>
      <trackRevisions>false</trackRevisions>
    </reviewItem>
    <reviewItem>
      <errorID>7b7dcc5c-8167-47a1-aba3-d0edd720afc6</errorID>
      <errorWord>分析</errorWord>
      <group>L1_Punc</group>
      <groupName>标点问题</groupName>
      <ability>L2_Punc_CN</ability>
      <abilityName>标点符号检查</abilityName>
      <candidateList>
        <item>分析。</item>
      </candidateList>
      <explain/>
      <paraID>63EB7690</paraID>
      <start>15</start>
      <end>17</end>
      <status>unmodified</status>
      <modifiedWord/>
      <trackRevisions>false</trackRevisions>
    </reviewItem>
    <reviewItem>
      <errorID>774753de-d312-49fc-b3d0-86fb02c63563</errorID>
      <errorWord>5.6</errorWord>
      <group>L1_Format</group>
      <groupName>格式问题</groupName>
      <ability>L2_Ordinal</ability>
      <abilityName>序号格式</abilityName>
      <candidateList>
        <item>5.5</item>
      </candidateList>
      <explain>标题顺序错误，请检查标题顺序是否合理。</explain>
      <paraID>15AADA40</paraID>
      <start>0</start>
      <end>3</end>
      <status>unmodified</status>
      <modifiedWord/>
      <trackRevisions>false</trackRevisions>
    </reviewItem>
    <reviewItem>
      <errorID>e10e511f-b238-4805-aca0-40a5c5730aaf</errorID>
      <errorWord>计划</errorWord>
      <group>L1_Punc</group>
      <groupName>标点问题</groupName>
      <ability>L2_Punc_CN</ability>
      <abilityName>标点符号检查</abilityName>
      <candidateList>
        <item>计划。</item>
      </candidateList>
      <explain/>
      <paraID>15AADA40</paraID>
      <start>14</start>
      <end>16</end>
      <status>unmodified</status>
      <modifiedWord/>
      <trackRevisions>false</trackRevisions>
    </reviewItem>
    <reviewItem>
      <errorID>47c9af6d-eed5-4061-9823-c8ea106dc85e</errorID>
      <errorWord>5.7</errorWord>
      <group>L1_Format</group>
      <groupName>格式问题</groupName>
      <ability>L2_Ordinal</ability>
      <abilityName>序号格式</abilityName>
      <candidateList>
        <item>5.6</item>
      </candidateList>
      <explain>标题顺序错误，请检查标题顺序是否合理。</explain>
      <paraID>4BF6C8A3</paraID>
      <start>0</start>
      <end>3</end>
      <status>ignored</status>
      <modifiedWord/>
      <trackRevisions>false</trackRevisions>
    </reviewItem>
    <reviewItem>
      <errorID>be6731ea-6898-47d0-ae96-5abb3ae2e951</errorID>
      <errorWord>（</errorWord>
      <group>L1_Format</group>
      <groupName>格式问题</groupName>
      <ability>L2_HalfPunc_CN</ability>
      <abilityName>全半角检查</abilityName>
      <candidateList>
        <item>(</item>
      </candidateList>
      <explain>文本全半角错误。</explain>
      <paraID>701E61F2</paraID>
      <start>38</start>
      <end>39</end>
      <status>ignored</status>
      <modifiedWord/>
      <trackRevisions>false</trackRevisions>
    </reviewItem>
    <reviewItem>
      <errorID>98b7c9da-f84f-4da9-9192-6aa0ca1e97ce</errorID>
      <errorWord>）</errorWord>
      <group>L1_Format</group>
      <groupName>格式问题</groupName>
      <ability>L2_HalfPunc_CN</ability>
      <abilityName>全半角检查</abilityName>
      <candidateList>
        <item>)</item>
      </candidateList>
      <explain>文本全半角错误。</explain>
      <paraID>701E61F2</paraID>
      <start>42</start>
      <end>43</end>
      <status>ignored</status>
      <modifiedWord/>
      <trackRevisions>false</trackRevisions>
    </reviewItem>
    <reviewItem>
      <errorID>301301b8-79e3-4e28-b26a-18d233b3e09c</errorID>
      <errorWord>输入</errorWord>
      <group>L1_Word</group>
      <groupName>字词问题</groupName>
      <ability>L2_Typo</ability>
      <abilityName>字词错误</abilityName>
      <candidateList>
        <item>的输入</item>
      </candidateList>
      <explain/>
      <paraID>45D63922</paraID>
      <start>62</start>
      <end>64</end>
      <status>ignored</status>
      <modifiedWord/>
      <trackRevisions>false</trackRevisions>
    </reviewItem>
    <reviewItem>
      <errorID>129d590e-2fc5-4361-b783-991f074cd13d</errorID>
      <errorWord>,</errorWord>
      <group>L1_Punc</group>
      <groupName>标点问题</groupName>
      <ability>L2_Punc_CN</ability>
      <abilityName>标点符号检查</abilityName>
      <candidateList/>
      <explain/>
      <paraID>45892C11</paraID>
      <start>8</start>
      <end>9</end>
      <status>ignored</status>
      <modifiedWord/>
      <trackRevisions>false</trackRevisions>
    </reviewItem>
    <reviewItem>
      <errorID>37537f03-a22b-45e1-ba32-ace0579592aa</errorID>
      <errorWord>分子量进行</errorWord>
      <group>L1_Grammar</group>
      <groupName>语法问题</groupName>
      <ability>L2_Grammar</ability>
      <abilityName>语法错误</abilityName>
      <candidateList>
        <item>分子量</item>
      </candidateList>
      <explain/>
      <paraID>45892C11</paraID>
      <start>53</start>
      <end>58</end>
      <status>ignored</status>
      <modifiedWord/>
      <trackRevisions>false</trackRevisions>
    </reviewItem>
    <reviewItem>
      <errorID>578ce395-3a59-4f40-96f7-8bb02dcab84c</errorID>
      <errorWord>,</errorWord>
      <group>L1_Punc</group>
      <groupName>标点问题</groupName>
      <ability>L2_Punc_CN</ability>
      <abilityName>标点符号检查</abilityName>
      <candidateList/>
      <explain/>
      <paraID>63435D71</paraID>
      <start>8</start>
      <end>9</end>
      <status>ignored</status>
      <modifiedWord/>
      <trackRevisions>false</trackRevisions>
    </reviewItem>
    <reviewItem>
      <errorID>b27464a9-dc1c-4fa2-97c9-a874f9040b96</errorID>
      <errorWord>与</errorWord>
      <group>L1_Word</group>
      <groupName>字词问题</groupName>
      <ability>L2_Typo</ability>
      <abilityName>字词错误</abilityName>
      <candidateList>
        <item>其与</item>
      </candidateList>
      <explain/>
      <paraID>63435D71</paraID>
      <start>24</start>
      <end>25</end>
      <status>ignored</status>
      <modifiedWord/>
      <trackRevisions>false</trackRevisions>
    </reviewItem>
    <reviewItem>
      <errorID>243eaea9-d454-4e2d-9727-29e7b991d55b</errorID>
      <errorWord>,</errorWord>
      <group>L1_Punc</group>
      <groupName>标点问题</groupName>
      <ability>L2_Punc_CN</ability>
      <abilityName>标点符号检查</abilityName>
      <candidateList/>
      <explain/>
      <paraID>4C679C68</paraID>
      <start>8</start>
      <end>9</end>
      <status>ignored</status>
      <modifiedWord/>
      <trackRevisions>false</trackRevisions>
    </reviewItem>
    <reviewItem>
      <errorID>d528f395-36f7-47dc-8532-1c46eb9890d1</errorID>
      <errorWord>根据</errorWord>
      <group>L1_Word</group>
      <groupName>字词问题</groupName>
      <ability>L2_Typo</ability>
      <abilityName>字词错误</abilityName>
      <candidateList>
        <item>其根据</item>
      </candidateList>
      <explain/>
      <paraID>4C679C68</paraID>
      <start>25</start>
      <end>27</end>
      <status>ignored</status>
      <modifiedWord/>
      <trackRevisions>false</trackRevisions>
    </reviewItem>
    <reviewItem>
      <errorID>8a98d1b7-c2ef-4011-8520-5b26351982ab</errorID>
      <errorWord>,</errorWord>
      <group>L1_Punc</group>
      <groupName>标点问题</groupName>
      <ability>L2_Punc_CN</ability>
      <abilityName>标点符号检查</abilityName>
      <candidateList/>
      <explain/>
      <paraID> 57ECBA0</paraID>
      <start>8</start>
      <end>9</end>
      <status>ignored</status>
      <modifiedWord/>
      <trackRevisions>false</trackRevisions>
    </reviewItem>
    <reviewItem>
      <errorID>83e5a8ef-b497-4d7c-8f05-a34494764a1c</errorID>
      <errorWord>与</errorWord>
      <group>L1_Word</group>
      <groupName>字词问题</groupName>
      <ability>L2_Typo</ability>
      <abilityName>字词错误</abilityName>
      <candidateList>
        <item>应与</item>
      </candidateList>
      <explain/>
      <paraID> 57ECBA0</paraID>
      <start>118</start>
      <end>119</end>
      <status>ignored</status>
      <modifiedWord/>
      <trackRevisions>false</trackRevisions>
    </reviewItem>
    <reviewItem>
      <errorID>aba7ec48-99a4-4543-a784-7800d0d249fb</errorID>
      <errorWord>,</errorWord>
      <group>L1_Punc</group>
      <groupName>标点问题</groupName>
      <ability>L2_Punc_CN</ability>
      <abilityName>标点符号检查</abilityName>
      <candidateList/>
      <explain/>
      <paraID>602524D4</paraID>
      <start>8</start>
      <end>9</end>
      <status>ignored</status>
      <modifiedWord/>
      <trackRevisions>false</trackRevisions>
    </reviewItem>
    <reviewItem>
      <errorID>7ef57e16-3bf0-49e0-b42e-a27064d608b3</errorID>
      <errorWord>含碳量</errorWord>
      <group>L1_Word</group>
      <groupName>字词问题</groupName>
      <ability>L2_Typo</ability>
      <abilityName>字词错误</abilityName>
      <candidateList>
        <item>的含碳量</item>
      </candidateList>
      <explain/>
      <paraID>602524D4</paraID>
      <start>77</start>
      <end>80</end>
      <status>ignored</status>
      <modifiedWord/>
      <trackRevisions>false</trackRevisions>
    </reviewItem>
    <reviewItem>
      <errorID>5e354602-85de-4774-b8c1-c7aaaab11c9f</errorID>
      <errorWord>；</errorWord>
      <group>L1_Punc</group>
      <groupName>标点问题</groupName>
      <ability>L2_Punc_CN</ability>
      <abilityName>标点符号检查</abilityName>
      <candidateList>
        <item>。</item>
      </candidateList>
      <explain/>
      <paraID>6768D77F</paraID>
      <start>41</start>
      <end>42</end>
      <status>ignored</status>
      <modifiedWord/>
      <trackRevisions>false</trackRevisions>
    </reviewItem>
    <reviewItem>
      <errorID>c7d8aa45-6eff-47aa-b166-67bfb873e935</errorID>
      <errorWord>；</errorWord>
      <group>L1_Punc</group>
      <groupName>标点问题</groupName>
      <ability>L2_Punc_CN</ability>
      <abilityName>标点符号检查</abilityName>
      <candidateList>
        <item>。</item>
      </candidateList>
      <explain/>
      <paraID>6E850870</paraID>
      <start>42</start>
      <end>43</end>
      <status>ignored</status>
      <modifiedWord/>
      <trackRevisions>false</trackRevisions>
    </reviewItem>
    <reviewItem>
      <errorID>097112fe-d487-463b-8a8d-38f7e47205f3</errorID>
      <errorWord>；</errorWord>
      <group>L1_Punc</group>
      <groupName>标点问题</groupName>
      <ability>L2_Punc_CN</ability>
      <abilityName>标点符号检查</abilityName>
      <candidateList>
        <item>。</item>
      </candidateList>
      <explain/>
      <paraID>78BAE315</paraID>
      <start>33</start>
      <end>34</end>
      <status>ignored</status>
      <modifiedWord/>
      <trackRevisions>false</trackRevisions>
    </reviewItem>
    <reviewItem>
      <errorID>79a2535c-0fff-4990-8130-a28a33bbae5d</errorID>
      <errorWord>；</errorWord>
      <group>L1_Punc</group>
      <groupName>标点问题</groupName>
      <ability>L2_Punc_CN</ability>
      <abilityName>标点符号检查</abilityName>
      <candidateList>
        <item>。</item>
      </candidateList>
      <explain/>
      <paraID>34BD4AAC</paraID>
      <start>42</start>
      <end>43</end>
      <status>ignored</status>
      <modifiedWord/>
      <trackRevisions>false</trackRevisions>
    </reviewItem>
    <reviewItem>
      <errorID>1a2809e9-aa85-422b-ae0f-9ecea0b3b252</errorID>
      <errorWord>；</errorWord>
      <group>L1_Punc</group>
      <groupName>标点问题</groupName>
      <ability>L2_Punc_CN</ability>
      <abilityName>标点符号检查</abilityName>
      <candidateList>
        <item>。</item>
      </candidateList>
      <explain/>
      <paraID>38BB76CB</paraID>
      <start>31</start>
      <end>32</end>
      <status>ignored</status>
      <modifiedWord/>
      <trackRevisions>false</trackRevisions>
    </reviewItem>
    <reviewItem>
      <errorID>1f4266ab-14ae-4f14-86f6-ffa630a2d3a3</errorID>
      <errorWord>；</errorWord>
      <group>L1_Punc</group>
      <groupName>标点问题</groupName>
      <ability>L2_Punc_CN</ability>
      <abilityName>标点符号检查</abilityName>
      <candidateList>
        <item>。</item>
      </candidateList>
      <explain/>
      <paraID>7F5F99ED</paraID>
      <start>31</start>
      <end>32</end>
      <status>ignored</status>
      <modifiedWord/>
      <trackRevisions>false</trackRevisions>
    </reviewItem>
    <reviewItem>
      <errorID>43dfce39-3a6f-4fa1-8480-f5eae655aba2</errorID>
      <errorWord>（</errorWord>
      <group>L1_Format</group>
      <groupName>格式问题</groupName>
      <ability>L2_HalfPunc_CN</ability>
      <abilityName>全半角检查</abilityName>
      <candidateList>
        <item>(</item>
      </candidateList>
      <explain>文本全半角错误。</explain>
      <paraID> 389BE02</paraID>
      <start>0</start>
      <end>1</end>
      <status>ignored</status>
      <modifiedWord/>
      <trackRevisions>false</trackRevisions>
    </reviewItem>
    <reviewItem>
      <errorID>7c4828ca-3c81-450d-acab-6626a93990c7</errorID>
      <errorWord>）</errorWord>
      <group>L1_Format</group>
      <groupName>格式问题</groupName>
      <ability>L2_HalfPunc_CN</ability>
      <abilityName>全半角检查</abilityName>
      <candidateList>
        <item>)</item>
      </candidateList>
      <explain>文本全半角错误。</explain>
      <paraID> 389BE02</paraID>
      <start>5</start>
      <end>6</end>
      <status>ignored</status>
      <modifiedWord/>
      <trackRevisions>false</trackRevisions>
    </reviewItem>
    <reviewItem>
      <errorID>3a67384a-e208-4bd6-a98b-022c8d109b0a</errorID>
      <errorWord>（</errorWord>
      <group>L1_Format</group>
      <groupName>格式问题</groupName>
      <ability>L2_HalfPunc_CN</ability>
      <abilityName>全半角检查</abilityName>
      <candidateList>
        <item>(</item>
      </candidateList>
      <explain>文本全半角错误。</explain>
      <paraID> 4283314</paraID>
      <start>0</start>
      <end>1</end>
      <status>ignored</status>
      <modifiedWord/>
      <trackRevisions>false</trackRevisions>
    </reviewItem>
    <reviewItem>
      <errorID>c528cb85-437c-48e7-8793-749c2d26c2d1</errorID>
      <errorWord>，</errorWord>
      <group>L1_Format</group>
      <groupName>格式问题</groupName>
      <ability>L2_HalfPunc_CN</ability>
      <abilityName>全半角检查</abilityName>
      <candidateList>
        <item>, </item>
      </candidateList>
      <explain>文本全半角错误。</explain>
      <paraID> 4283314</paraID>
      <start>5</start>
      <end>6</end>
      <status>ignored</status>
      <modifiedWord/>
      <trackRevisions>false</trackRevisions>
    </reviewItem>
    <reviewItem>
      <errorID>df5f0efd-a832-4533-95b6-991dd3b335ae</errorID>
      <errorWord>）</errorWord>
      <group>L1_Format</group>
      <groupName>格式问题</groupName>
      <ability>L2_HalfPunc_CN</ability>
      <abilityName>全半角检查</abilityName>
      <candidateList>
        <item>)</item>
      </candidateList>
      <explain>文本全半角错误。</explain>
      <paraID> 4283314</paraID>
      <start>15</start>
      <end>16</end>
      <status>ignored</status>
      <modifiedWord/>
      <trackRevisions>false</trackRevisions>
    </reviewItem>
    <reviewItem>
      <errorID>a0860f01-c627-423b-a056-101aebb1aa00</errorID>
      <errorWord>*</errorWord>
      <group>L1_Punc</group>
      <groupName>标点问题</groupName>
      <ability>L2_Punc_CN</ability>
      <abilityName>标点符号检查</abilityName>
      <candidateList/>
      <explain/>
      <paraID>300F44AB</paraID>
      <start>0</start>
      <end>1</end>
      <status>ignored</status>
      <modifiedWord/>
      <trackRevisions>false</trackRevisions>
    </reviewItem>
    <reviewItem>
      <errorID>b1de6594-2357-4454-b6e7-1a12aa1c47dd</errorID>
      <errorWord>*</errorWord>
      <group>L1_Punc</group>
      <groupName>标点问题</groupName>
      <ability>L2_Punc_CN</ability>
      <abilityName>标点符号检查</abilityName>
      <candidateList/>
      <explain/>
      <paraID>31661C3D</paraID>
      <start>0</start>
      <end>1</end>
      <status>ignored</status>
      <modifiedWord/>
      <trackRevisions>false</trackRevisions>
    </reviewItem>
    <reviewItem>
      <errorID>1c9fe736-e8b1-46ab-840d-e431ac80c65c</errorID>
      <errorWord>*</errorWord>
      <group>L1_Punc</group>
      <groupName>标点问题</groupName>
      <ability>L2_Punc_CN</ability>
      <abilityName>标点符号检查</abilityName>
      <candidateList/>
      <explain/>
      <paraID>2DDD8D52</paraID>
      <start>0</start>
      <end>1</end>
      <status>ignored</status>
      <modifiedWord/>
      <trackRevisions>false</trackRevisions>
    </reviewItem>
    <reviewItem>
      <errorID>0f8e6fd9-e15d-4c78-be46-e30b87aca5f9</errorID>
      <errorWord>*</errorWord>
      <group>L1_Punc</group>
      <groupName>标点问题</groupName>
      <ability>L2_Punc_CN</ability>
      <abilityName>标点符号检查</abilityName>
      <candidateList/>
      <explain/>
      <paraID>4B3D1D1B</paraID>
      <start>0</start>
      <end>1</end>
      <status>ignored</status>
      <modifiedWord/>
      <trackRevisions>false</trackRevisions>
    </reviewItem>
    <reviewItem>
      <errorID>f0823f93-feba-47de-8bfd-6a3b4ddf7fbf</errorID>
      <errorWord>*</errorWord>
      <group>L1_Punc</group>
      <groupName>标点问题</groupName>
      <ability>L2_Punc_CN</ability>
      <abilityName>标点符号检查</abilityName>
      <candidateList/>
      <explain/>
      <paraID>60A356DF</paraID>
      <start>0</start>
      <end>1</end>
      <status>ignored</status>
      <modifiedWord/>
      <trackRevisions>false</trackRevisions>
    </reviewItem>
    <reviewItem>
      <errorID>9543fd97-33c7-429a-a1fc-d68d07914d45</errorID>
      <errorWord>*</errorWord>
      <group>L1_Punc</group>
      <groupName>标点问题</groupName>
      <ability>L2_Punc_CN</ability>
      <abilityName>标点符号检查</abilityName>
      <candidateList/>
      <explain/>
      <paraID>48952A7E</paraID>
      <start>0</start>
      <end>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614501-370b-43ef-9bf1-9b01d0593b79}">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5280</Words>
  <Characters>5952</Characters>
  <Lines>0</Lines>
  <Paragraphs>0</Paragraphs>
  <TotalTime>0</TotalTime>
  <ScaleCrop>false</ScaleCrop>
  <LinksUpToDate>false</LinksUpToDate>
  <CharactersWithSpaces>6169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2026-02-28T00:45:00Z</dcterms:created>
  <dc:creator>86136</dc:creator>
  <cp:lastModifiedBy>孔文</cp:lastModifiedBy>
  <dcterms:modified xsi:type="dcterms:W3CDTF">2026-06-08T08:21:48Z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eyJoZGlkIjoiYzJiMjBlODM3ZGM3OGFmYmNjMGM0YjEzOGY4NTU0OTIiLCJ1c2VySWQiOiIzOTg5MzkyMTYifQ==</vt:lpwstr>
  </property>
  <property fmtid="{D5CDD505-2E9C-101B-9397-08002B2CF9AE}" pid="4" name="ICV">
    <vt:lpwstr>58EFC63CDC704BCCA08252BC7EE80FAB_13</vt:lpwstr>
  </property>
</Properties>
</file>