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9379" w:type="dxa"/>
        <w:tblInd w:w="0" w:type="dxa"/>
        <w:tblLayout w:type="fixed"/>
        <w:tblCellMar>
          <w:top w:w="0" w:type="dxa"/>
          <w:left w:w="0" w:type="dxa"/>
          <w:bottom w:w="0" w:type="dxa"/>
          <w:right w:w="0" w:type="dxa"/>
        </w:tblCellMar>
      </w:tblPr>
      <w:tblGrid>
        <w:gridCol w:w="509"/>
        <w:gridCol w:w="8870"/>
      </w:tblGrid>
      <w:tr w14:paraId="217FD895">
        <w:tblPrEx>
          <w:tblCellMar>
            <w:top w:w="0" w:type="dxa"/>
            <w:left w:w="0" w:type="dxa"/>
            <w:bottom w:w="0" w:type="dxa"/>
            <w:right w:w="0" w:type="dxa"/>
          </w:tblCellMar>
        </w:tblPrEx>
        <w:trPr>
          <w:trHeight w:val="194" w:hRule="atLeast"/>
        </w:trPr>
        <w:tc>
          <w:tcPr>
            <w:tcW w:w="509" w:type="dxa"/>
          </w:tcPr>
          <w:p w14:paraId="0AC03277">
            <w:pPr>
              <w:pStyle w:val="8"/>
              <w:framePr w:w="9447" w:h="1272" w:hRule="exact" w:wrap="notBeside" w:vAnchor="page" w:hAnchor="page" w:x="1372" w:y="568"/>
              <w:tabs>
                <w:tab w:val="clear" w:pos="4153"/>
                <w:tab w:val="clear" w:pos="8306"/>
              </w:tabs>
              <w:jc w:val="left"/>
              <w:rPr>
                <w:rFonts w:eastAsia="黑体"/>
                <w:sz w:val="21"/>
                <w:szCs w:val="21"/>
              </w:rPr>
            </w:pPr>
            <w:r>
              <w:rPr>
                <w:rFonts w:eastAsia="黑体"/>
                <w:sz w:val="21"/>
                <w:szCs w:val="21"/>
              </w:rPr>
              <w:t xml:space="preserve">ICS  </w:t>
            </w:r>
          </w:p>
        </w:tc>
        <w:tc>
          <w:tcPr>
            <w:tcW w:w="8870" w:type="dxa"/>
          </w:tcPr>
          <w:p w14:paraId="0A5CB45C">
            <w:pPr>
              <w:pStyle w:val="8"/>
              <w:framePr w:w="9447" w:h="1272" w:hRule="exact" w:wrap="notBeside" w:vAnchor="page" w:hAnchor="page" w:x="1372" w:y="568"/>
              <w:tabs>
                <w:tab w:val="clear" w:pos="4153"/>
                <w:tab w:val="clear" w:pos="8306"/>
              </w:tabs>
              <w:jc w:val="both"/>
              <w:rPr>
                <w:rFonts w:eastAsia="黑体"/>
                <w:sz w:val="21"/>
                <w:szCs w:val="21"/>
              </w:rPr>
            </w:pPr>
            <w:r>
              <w:rPr>
                <w:rFonts w:hint="eastAsia" w:eastAsia="黑体"/>
                <w:sz w:val="21"/>
                <w:szCs w:val="21"/>
              </w:rPr>
              <w:t>13.020.10</w:t>
            </w:r>
          </w:p>
        </w:tc>
      </w:tr>
      <w:tr w14:paraId="27E50F52">
        <w:tblPrEx>
          <w:tblCellMar>
            <w:top w:w="0" w:type="dxa"/>
            <w:left w:w="0" w:type="dxa"/>
            <w:bottom w:w="0" w:type="dxa"/>
            <w:right w:w="0" w:type="dxa"/>
          </w:tblCellMar>
        </w:tblPrEx>
        <w:trPr>
          <w:trHeight w:val="277" w:hRule="atLeast"/>
        </w:trPr>
        <w:tc>
          <w:tcPr>
            <w:tcW w:w="509" w:type="dxa"/>
            <w:vMerge w:val="restart"/>
          </w:tcPr>
          <w:p w14:paraId="492A5FDF">
            <w:pPr>
              <w:framePr w:w="9447" w:h="1272" w:hRule="exact" w:wrap="notBeside" w:vAnchor="page" w:hAnchor="page" w:x="1372" w:y="568"/>
            </w:pPr>
            <w:r>
              <w:rPr>
                <w:rFonts w:eastAsia="黑体"/>
                <w:szCs w:val="21"/>
              </w:rPr>
              <w:t>CSS</w:t>
            </w:r>
          </w:p>
        </w:tc>
        <w:tc>
          <w:tcPr>
            <w:tcW w:w="8870" w:type="dxa"/>
          </w:tcPr>
          <w:p w14:paraId="2D3A1284">
            <w:pPr>
              <w:pStyle w:val="9"/>
              <w:framePr w:w="9447" w:h="1272" w:hRule="exact" w:wrap="notBeside" w:vAnchor="page" w:hAnchor="page" w:x="1372" w:y="568"/>
              <w:rPr>
                <w:rFonts w:ascii="Times New Roman" w:eastAsia="黑体"/>
                <w:szCs w:val="21"/>
              </w:rPr>
            </w:pPr>
            <w:r>
              <w:rPr>
                <w:rFonts w:hint="eastAsia" w:ascii="Times New Roman" w:eastAsia="黑体"/>
                <w:szCs w:val="21"/>
              </w:rPr>
              <w:t>Z 00</w:t>
            </w:r>
          </w:p>
        </w:tc>
      </w:tr>
      <w:tr w14:paraId="2CF41EF9">
        <w:tblPrEx>
          <w:tblCellMar>
            <w:top w:w="0" w:type="dxa"/>
            <w:left w:w="0" w:type="dxa"/>
            <w:bottom w:w="0" w:type="dxa"/>
            <w:right w:w="0" w:type="dxa"/>
          </w:tblCellMar>
        </w:tblPrEx>
        <w:trPr>
          <w:trHeight w:val="651" w:hRule="atLeast"/>
        </w:trPr>
        <w:tc>
          <w:tcPr>
            <w:tcW w:w="509" w:type="dxa"/>
            <w:vMerge w:val="continue"/>
          </w:tcPr>
          <w:p w14:paraId="7E77CC98">
            <w:pPr>
              <w:pStyle w:val="8"/>
              <w:framePr w:w="9447" w:h="1272" w:hRule="exact" w:wrap="notBeside" w:vAnchor="page" w:hAnchor="page" w:x="1372" w:y="568"/>
              <w:tabs>
                <w:tab w:val="clear" w:pos="4153"/>
                <w:tab w:val="clear" w:pos="8306"/>
              </w:tabs>
              <w:spacing w:before="40"/>
              <w:jc w:val="left"/>
              <w:rPr>
                <w:rFonts w:eastAsia="黑体"/>
                <w:sz w:val="21"/>
                <w:szCs w:val="21"/>
              </w:rPr>
            </w:pPr>
            <w:bookmarkStart w:id="0" w:name="_Hlk26473981"/>
          </w:p>
        </w:tc>
        <w:tc>
          <w:tcPr>
            <w:tcW w:w="8870" w:type="dxa"/>
          </w:tcPr>
          <w:p w14:paraId="29843C93">
            <w:pPr>
              <w:pStyle w:val="9"/>
              <w:framePr w:w="9447" w:h="1272" w:hRule="exact" w:wrap="notBeside" w:vAnchor="page" w:hAnchor="page" w:x="1372" w:y="568"/>
              <w:rPr>
                <w:rFonts w:ascii="Times New Roman"/>
              </w:rPr>
            </w:pPr>
          </w:p>
        </w:tc>
      </w:tr>
    </w:tbl>
    <w:p w14:paraId="19898D90">
      <w:pPr>
        <w:pStyle w:val="25"/>
        <w:framePr w:wrap="around"/>
        <w:rPr>
          <w:rFonts w:ascii="Times New Roman" w:eastAsia="黑体"/>
          <w:b w:val="0"/>
          <w:bCs w:val="0"/>
          <w:w w:val="100"/>
          <w:sz w:val="48"/>
          <w:szCs w:val="48"/>
        </w:rPr>
      </w:pPr>
      <w:r>
        <w:rPr>
          <w:rFonts w:ascii="Times New Roman" w:eastAsia="黑体"/>
          <w:b w:val="0"/>
          <w:w w:val="100"/>
          <w:sz w:val="48"/>
        </w:rPr>
        <w:t>团体</w:t>
      </w:r>
      <w:r>
        <w:rPr>
          <w:rFonts w:ascii="Times New Roman" w:eastAsia="黑体"/>
          <w:b w:val="0"/>
          <w:bCs w:val="0"/>
          <w:w w:val="100"/>
          <w:sz w:val="48"/>
          <w:szCs w:val="48"/>
        </w:rPr>
        <w:t>标准</w:t>
      </w:r>
    </w:p>
    <w:bookmarkEnd w:id="0"/>
    <w:p w14:paraId="4D089FCF">
      <w:pPr>
        <w:pStyle w:val="26"/>
        <w:rPr>
          <w:rFonts w:ascii="Times New Roman"/>
        </w:rPr>
      </w:pPr>
      <w:r>
        <w:rPr>
          <w:rFonts w:ascii="Times New Roman"/>
        </w:rPr>
        <w:t>T/</w:t>
      </w:r>
      <w:r>
        <w:rPr>
          <w:rFonts w:ascii="Times New Roman"/>
        </w:rPr>
        <w:fldChar w:fldCharType="begin">
          <w:ffData>
            <w:name w:val="文字1"/>
            <w:enabled/>
            <w:calcOnExit w:val="0"/>
            <w:textInput>
              <w:default w:val="CSES"/>
            </w:textInput>
          </w:ffData>
        </w:fldChar>
      </w:r>
      <w:bookmarkStart w:id="1" w:name="文字1"/>
      <w:r>
        <w:rPr>
          <w:rFonts w:ascii="Times New Roman"/>
        </w:rPr>
        <w:instrText xml:space="preserve"> FORMTEXT </w:instrText>
      </w:r>
      <w:r>
        <w:rPr>
          <w:rFonts w:ascii="Times New Roman"/>
        </w:rPr>
        <w:fldChar w:fldCharType="separate"/>
      </w:r>
      <w:r>
        <w:rPr>
          <w:rFonts w:ascii="Times New Roman"/>
        </w:rPr>
        <w:t>CSES</w:t>
      </w:r>
      <w:r>
        <w:rPr>
          <w:rFonts w:ascii="Times New Roman"/>
        </w:rPr>
        <w:fldChar w:fldCharType="end"/>
      </w:r>
      <w:bookmarkEnd w:id="1"/>
      <w:r>
        <w:rPr>
          <w:rFonts w:ascii="Times New Roman"/>
        </w:rPr>
        <w:t xml:space="preserve"> </w:t>
      </w:r>
      <w:r>
        <w:rPr>
          <w:rFonts w:ascii="Times New Roman"/>
        </w:rPr>
        <w:fldChar w:fldCharType="begin">
          <w:ffData>
            <w:name w:val="NSTD_CODE_F"/>
            <w:enabled/>
            <w:calcOnExit w:val="0"/>
            <w:textInput>
              <w:default w:val="XXXX"/>
            </w:textInput>
          </w:ffData>
        </w:fldChar>
      </w:r>
      <w:bookmarkStart w:id="2" w:name="NSTD_CODE_F"/>
      <w:r>
        <w:rPr>
          <w:rFonts w:ascii="Times New Roman"/>
        </w:rPr>
        <w:instrText xml:space="preserve"> FORMTEXT </w:instrText>
      </w:r>
      <w:r>
        <w:rPr>
          <w:rFonts w:ascii="Times New Roman"/>
        </w:rPr>
        <w:fldChar w:fldCharType="separate"/>
      </w:r>
      <w:r>
        <w:rPr>
          <w:rFonts w:ascii="Times New Roman"/>
        </w:rPr>
        <w:t>XXXX</w:t>
      </w:r>
      <w:r>
        <w:rPr>
          <w:rFonts w:ascii="Times New Roman"/>
        </w:rPr>
        <w:fldChar w:fldCharType="end"/>
      </w:r>
      <w:bookmarkEnd w:id="2"/>
      <w:r>
        <w:rPr>
          <w:rFonts w:ascii="Times New Roman"/>
        </w:rPr>
        <w:t>—</w:t>
      </w:r>
      <w:r>
        <w:rPr>
          <w:rFonts w:ascii="Times New Roman"/>
        </w:rPr>
        <w:fldChar w:fldCharType="begin">
          <w:ffData>
            <w:name w:val="NSTD_CODE_B"/>
            <w:enabled/>
            <w:calcOnExit w:val="0"/>
            <w:textInput>
              <w:default w:val="XXXX"/>
            </w:textInput>
          </w:ffData>
        </w:fldChar>
      </w:r>
      <w:bookmarkStart w:id="3" w:name="NSTD_CODE_B"/>
      <w:r>
        <w:rPr>
          <w:rFonts w:ascii="Times New Roman"/>
        </w:rPr>
        <w:instrText xml:space="preserve"> FORMTEXT </w:instrText>
      </w:r>
      <w:r>
        <w:rPr>
          <w:rFonts w:ascii="Times New Roman"/>
        </w:rPr>
        <w:fldChar w:fldCharType="separate"/>
      </w:r>
      <w:r>
        <w:rPr>
          <w:rFonts w:ascii="Times New Roman"/>
        </w:rPr>
        <w:t>XXXX</w:t>
      </w:r>
      <w:r>
        <w:rPr>
          <w:rFonts w:ascii="Times New Roman"/>
        </w:rPr>
        <w:fldChar w:fldCharType="end"/>
      </w:r>
      <w:bookmarkEnd w:id="3"/>
    </w:p>
    <w:p w14:paraId="5EE7A183">
      <w:pPr>
        <w:pStyle w:val="28"/>
        <w:rPr>
          <w:rFonts w:ascii="Times New Roman"/>
        </w:rPr>
      </w:pPr>
    </w:p>
    <w:p w14:paraId="772C0C35">
      <w:pPr>
        <w:rPr>
          <w:rFonts w:eastAsia="黑体"/>
          <w:kern w:val="0"/>
          <w:sz w:val="10"/>
          <w:szCs w:val="10"/>
        </w:rPr>
      </w:pPr>
      <w:r>
        <w:rPr>
          <w:rFonts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4445" r="4445"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6FDD437D">
      <w:pPr>
        <w:pStyle w:val="25"/>
        <w:framePr w:w="9639" w:h="6976" w:hRule="exact" w:hSpace="0" w:vSpace="0" w:wrap="around" w:hAnchor="page" w:y="6408"/>
        <w:jc w:val="center"/>
        <w:rPr>
          <w:rFonts w:ascii="Times New Roman" w:eastAsia="黑体"/>
          <w:b w:val="0"/>
          <w:bCs w:val="0"/>
          <w:w w:val="100"/>
        </w:rPr>
      </w:pPr>
    </w:p>
    <w:p w14:paraId="16730487">
      <w:pPr>
        <w:pStyle w:val="29"/>
        <w:framePr w:h="6974" w:hRule="exact" w:wrap="around" w:x="1419" w:anchorLock="1"/>
        <w:rPr>
          <w:rFonts w:ascii="Times New Roman" w:hAnsi="Times New Roman"/>
        </w:rPr>
      </w:pPr>
      <w:bookmarkStart w:id="4" w:name="CSTD_NAME"/>
      <w:r>
        <w:rPr>
          <w:rFonts w:ascii="Times New Roman" w:hAnsi="Times New Roman"/>
        </w:rPr>
        <w:t>黄河流域湖库氮磷阈值制定技术指南</w:t>
      </w:r>
      <w:r>
        <w:rPr>
          <w:rFonts w:ascii="Times New Roman" w:hAnsi="Times New Roman"/>
        </w:rPr>
        <w:fldChar w:fldCharType="begin">
          <w:ffData>
            <w:name w:val="CSTD_NAME"/>
            <w:enabled/>
            <w:calcOnExit w:val="0"/>
            <w:textInput/>
          </w:ffData>
        </w:fldChar>
      </w:r>
      <w:r>
        <w:rPr>
          <w:rFonts w:ascii="Times New Roman" w:hAnsi="Times New Roman"/>
        </w:rPr>
        <w:instrText xml:space="preserve">FORMTEXT</w:instrText>
      </w:r>
      <w:r>
        <w:rPr>
          <w:rFonts w:ascii="Times New Roman" w:hAnsi="Times New Roman"/>
        </w:rPr>
        <w:fldChar w:fldCharType="separate"/>
      </w:r>
      <w:r>
        <w:rPr>
          <w:rFonts w:ascii="Times New Roman" w:hAnsi="Times New Roman"/>
        </w:rPr>
        <w:fldChar w:fldCharType="end"/>
      </w:r>
      <w:bookmarkEnd w:id="4"/>
    </w:p>
    <w:p w14:paraId="55817B18">
      <w:pPr>
        <w:framePr w:w="9639" w:h="6974" w:hRule="exact" w:wrap="around" w:vAnchor="page" w:hAnchor="page" w:x="1419" w:y="6408" w:anchorLock="1"/>
        <w:ind w:left="-1418"/>
      </w:pPr>
    </w:p>
    <w:p w14:paraId="635C2F91">
      <w:pPr>
        <w:pStyle w:val="30"/>
        <w:framePr w:w="9639" w:h="6974" w:hRule="exact" w:wrap="around" w:vAnchor="page" w:hAnchor="page" w:x="1419" w:y="6408" w:anchorLock="1"/>
        <w:textAlignment w:val="bottom"/>
        <w:rPr>
          <w:rFonts w:eastAsia="黑体"/>
          <w:szCs w:val="28"/>
        </w:rPr>
      </w:pPr>
      <w:bookmarkStart w:id="5" w:name="ESTD_NAME"/>
      <w:r>
        <w:rPr>
          <w:rFonts w:eastAsia="黑体"/>
          <w:szCs w:val="28"/>
        </w:rPr>
        <w:t>Technical</w:t>
      </w:r>
      <w:r>
        <w:rPr>
          <w:rFonts w:hint="eastAsia" w:eastAsia="黑体"/>
          <w:szCs w:val="28"/>
        </w:rPr>
        <w:t xml:space="preserve"> g</w:t>
      </w:r>
      <w:r>
        <w:rPr>
          <w:rFonts w:eastAsia="黑体"/>
          <w:szCs w:val="28"/>
        </w:rPr>
        <w:t xml:space="preserve">uidelines for </w:t>
      </w:r>
      <w:r>
        <w:rPr>
          <w:rFonts w:hint="eastAsia" w:eastAsia="黑体"/>
          <w:szCs w:val="28"/>
        </w:rPr>
        <w:t>d</w:t>
      </w:r>
      <w:r>
        <w:rPr>
          <w:rFonts w:eastAsia="黑体"/>
          <w:szCs w:val="28"/>
        </w:rPr>
        <w:t xml:space="preserve">etermining </w:t>
      </w:r>
      <w:r>
        <w:rPr>
          <w:rFonts w:hint="eastAsia" w:eastAsia="黑体"/>
          <w:szCs w:val="28"/>
        </w:rPr>
        <w:t>n</w:t>
      </w:r>
      <w:r>
        <w:rPr>
          <w:rFonts w:eastAsia="黑体"/>
          <w:szCs w:val="28"/>
        </w:rPr>
        <w:t xml:space="preserve">itrogen and </w:t>
      </w:r>
      <w:r>
        <w:rPr>
          <w:rFonts w:hint="eastAsia" w:eastAsia="黑体"/>
          <w:szCs w:val="28"/>
        </w:rPr>
        <w:t>p</w:t>
      </w:r>
      <w:r>
        <w:rPr>
          <w:rFonts w:eastAsia="黑体"/>
          <w:szCs w:val="28"/>
        </w:rPr>
        <w:t xml:space="preserve">hosphorus </w:t>
      </w:r>
      <w:r>
        <w:rPr>
          <w:rFonts w:hint="eastAsia" w:eastAsia="黑体"/>
          <w:szCs w:val="28"/>
        </w:rPr>
        <w:t>t</w:t>
      </w:r>
      <w:r>
        <w:rPr>
          <w:rFonts w:eastAsia="黑体"/>
          <w:szCs w:val="28"/>
        </w:rPr>
        <w:t xml:space="preserve">hresholds for </w:t>
      </w:r>
      <w:r>
        <w:rPr>
          <w:rFonts w:hint="eastAsia" w:eastAsia="黑体"/>
          <w:szCs w:val="28"/>
        </w:rPr>
        <w:t>l</w:t>
      </w:r>
      <w:r>
        <w:rPr>
          <w:rFonts w:eastAsia="黑体"/>
          <w:szCs w:val="28"/>
        </w:rPr>
        <w:t xml:space="preserve">akes and </w:t>
      </w:r>
      <w:r>
        <w:rPr>
          <w:rFonts w:hint="eastAsia" w:eastAsia="黑体"/>
          <w:szCs w:val="28"/>
        </w:rPr>
        <w:t>r</w:t>
      </w:r>
      <w:r>
        <w:rPr>
          <w:rFonts w:eastAsia="黑体"/>
          <w:szCs w:val="28"/>
        </w:rPr>
        <w:t xml:space="preserve">eservoirs in the Yellow River Basin </w:t>
      </w:r>
      <w:r>
        <w:rPr>
          <w:rFonts w:eastAsia="黑体"/>
          <w:szCs w:val="28"/>
        </w:rPr>
        <w:fldChar w:fldCharType="begin">
          <w:ffData>
            <w:name w:val="ESTD_NAME"/>
            <w:enabled/>
            <w:calcOnExit w:val="0"/>
            <w:textInput/>
          </w:ffData>
        </w:fldChar>
      </w:r>
      <w:r>
        <w:rPr>
          <w:rFonts w:eastAsia="黑体"/>
          <w:szCs w:val="28"/>
        </w:rPr>
        <w:instrText xml:space="preserve">FORMTEXT</w:instrText>
      </w:r>
      <w:r>
        <w:rPr>
          <w:rFonts w:eastAsia="黑体"/>
          <w:szCs w:val="28"/>
        </w:rPr>
        <w:fldChar w:fldCharType="separate"/>
      </w:r>
      <w:r>
        <w:rPr>
          <w:rFonts w:eastAsia="黑体"/>
          <w:szCs w:val="28"/>
        </w:rPr>
        <w:fldChar w:fldCharType="end"/>
      </w:r>
      <w:bookmarkEnd w:id="5"/>
    </w:p>
    <w:p w14:paraId="6299C46F">
      <w:pPr>
        <w:framePr w:w="9639" w:h="6974" w:hRule="exact" w:wrap="around" w:vAnchor="page" w:hAnchor="page" w:x="1419" w:y="6408" w:anchorLock="1"/>
        <w:spacing w:line="760" w:lineRule="exact"/>
        <w:ind w:left="-1418"/>
      </w:pPr>
    </w:p>
    <w:p w14:paraId="4011D2B5">
      <w:pPr>
        <w:pStyle w:val="30"/>
        <w:framePr w:w="9639" w:h="6974" w:hRule="exact" w:wrap="around" w:vAnchor="page" w:hAnchor="page" w:x="1419" w:y="6408" w:anchorLock="1"/>
        <w:textAlignment w:val="bottom"/>
        <w:rPr>
          <w:rFonts w:eastAsia="黑体"/>
          <w:szCs w:val="28"/>
        </w:rPr>
      </w:pPr>
    </w:p>
    <w:p w14:paraId="06CD3150">
      <w:pPr>
        <w:pStyle w:val="30"/>
        <w:framePr w:w="9639" w:h="6974" w:hRule="exact" w:wrap="around" w:vAnchor="page" w:hAnchor="page" w:x="1419" w:y="6408" w:anchorLock="1"/>
        <w:spacing w:before="440" w:after="160"/>
        <w:textAlignment w:val="bottom"/>
        <w:rPr>
          <w:sz w:val="24"/>
          <w:szCs w:val="28"/>
        </w:rPr>
      </w:pPr>
      <w:r>
        <w:rPr>
          <w:rFonts w:hint="eastAsia"/>
          <w:sz w:val="24"/>
          <w:szCs w:val="28"/>
        </w:rPr>
        <w:t>（征求意见稿）</w:t>
      </w:r>
    </w:p>
    <w:p w14:paraId="08E98F73">
      <w:pPr>
        <w:pStyle w:val="30"/>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6"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6"/>
    </w:p>
    <w:p w14:paraId="0330E9E6">
      <w:pPr>
        <w:pStyle w:val="30"/>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7" w:name="下拉2"/>
      <w:r>
        <w:rPr>
          <w:b/>
          <w:sz w:val="21"/>
          <w:szCs w:val="28"/>
        </w:rPr>
        <w:instrText xml:space="preserve"> FORMDROPDOWN </w:instrText>
      </w:r>
      <w:r>
        <w:rPr>
          <w:b/>
          <w:sz w:val="21"/>
          <w:szCs w:val="28"/>
        </w:rPr>
        <w:fldChar w:fldCharType="separate"/>
      </w:r>
      <w:r>
        <w:rPr>
          <w:b/>
          <w:sz w:val="21"/>
          <w:szCs w:val="28"/>
        </w:rPr>
        <w:fldChar w:fldCharType="end"/>
      </w:r>
      <w:bookmarkEnd w:id="7"/>
    </w:p>
    <w:p w14:paraId="0689DC19">
      <w:pPr>
        <w:pStyle w:val="31"/>
        <w:framePr w:wrap="around" w:y="14176"/>
      </w:pPr>
      <w:r>
        <w:fldChar w:fldCharType="begin">
          <w:ffData>
            <w:name w:val="PLSH_DATE_Y"/>
            <w:enabled/>
            <w:calcOnExit w:val="0"/>
            <w:textInput>
              <w:default w:val="XXXX"/>
              <w:maxLength w:val="4"/>
            </w:textInput>
          </w:ffData>
        </w:fldChar>
      </w:r>
      <w:bookmarkStart w:id="8" w:name="PLSH_DATE_Y"/>
      <w:r>
        <w:instrText xml:space="preserve"> FORMTEXT </w:instrText>
      </w:r>
      <w:r>
        <w:fldChar w:fldCharType="separate"/>
      </w:r>
      <w:r>
        <w:t>XXXX</w:t>
      </w:r>
      <w:r>
        <w:fldChar w:fldCharType="end"/>
      </w:r>
      <w:bookmarkEnd w:id="8"/>
      <w:r>
        <w:t xml:space="preserve"> - </w:t>
      </w:r>
      <w:r>
        <w:fldChar w:fldCharType="begin">
          <w:ffData>
            <w:name w:val="PLSH_DATE_M"/>
            <w:enabled/>
            <w:calcOnExit w:val="0"/>
            <w:textInput>
              <w:default w:val="XX"/>
              <w:maxLength w:val="2"/>
            </w:textInput>
          </w:ffData>
        </w:fldChar>
      </w:r>
      <w:bookmarkStart w:id="9" w:name="PLSH_DATE_M"/>
      <w:r>
        <w:instrText xml:space="preserve"> FORMTEXT </w:instrText>
      </w:r>
      <w:r>
        <w:fldChar w:fldCharType="separate"/>
      </w:r>
      <w:r>
        <w:t>XX</w:t>
      </w:r>
      <w:r>
        <w:fldChar w:fldCharType="end"/>
      </w:r>
      <w:bookmarkEnd w:id="9"/>
      <w:r>
        <w:t xml:space="preserve"> - </w:t>
      </w:r>
      <w:r>
        <w:fldChar w:fldCharType="begin">
          <w:ffData>
            <w:name w:val="PLSH_DATE_D"/>
            <w:enabled/>
            <w:calcOnExit w:val="0"/>
            <w:textInput>
              <w:default w:val="XX"/>
              <w:maxLength w:val="2"/>
            </w:textInput>
          </w:ffData>
        </w:fldChar>
      </w:r>
      <w:bookmarkStart w:id="10" w:name="PLSH_DATE_D"/>
      <w:r>
        <w:instrText xml:space="preserve"> FORMTEXT </w:instrText>
      </w:r>
      <w:r>
        <w:fldChar w:fldCharType="separate"/>
      </w:r>
      <w:r>
        <w:t>XX</w:t>
      </w:r>
      <w:r>
        <w:fldChar w:fldCharType="end"/>
      </w:r>
      <w:bookmarkEnd w:id="10"/>
      <w:r>
        <w:t>发布</w:t>
      </w:r>
    </w:p>
    <w:p w14:paraId="71CD5FC2">
      <w:pPr>
        <w:pStyle w:val="33"/>
        <w:framePr w:wrap="around" w:y="14176"/>
      </w:pPr>
      <w:r>
        <w:fldChar w:fldCharType="begin">
          <w:ffData>
            <w:name w:val="CROT_DATE_Y"/>
            <w:enabled/>
            <w:calcOnExit w:val="0"/>
            <w:textInput>
              <w:default w:val="XXXX"/>
              <w:maxLength w:val="4"/>
            </w:textInput>
          </w:ffData>
        </w:fldChar>
      </w:r>
      <w:bookmarkStart w:id="11" w:name="CROT_DATE_Y"/>
      <w:r>
        <w:instrText xml:space="preserve"> FORMTEXT </w:instrText>
      </w:r>
      <w:r>
        <w:fldChar w:fldCharType="separate"/>
      </w:r>
      <w:r>
        <w:t>XXXX</w:t>
      </w:r>
      <w:r>
        <w:fldChar w:fldCharType="end"/>
      </w:r>
      <w:bookmarkEnd w:id="11"/>
      <w:r>
        <w:t xml:space="preserve"> - </w:t>
      </w:r>
      <w:r>
        <w:fldChar w:fldCharType="begin">
          <w:ffData>
            <w:name w:val="CROT_DATE_M"/>
            <w:enabled/>
            <w:calcOnExit w:val="0"/>
            <w:textInput>
              <w:default w:val="XX"/>
              <w:maxLength w:val="2"/>
            </w:textInput>
          </w:ffData>
        </w:fldChar>
      </w:r>
      <w:bookmarkStart w:id="12" w:name="CROT_DATE_M"/>
      <w:r>
        <w:instrText xml:space="preserve"> FORMTEXT </w:instrText>
      </w:r>
      <w:r>
        <w:fldChar w:fldCharType="separate"/>
      </w:r>
      <w:r>
        <w:t>XX</w:t>
      </w:r>
      <w:r>
        <w:fldChar w:fldCharType="end"/>
      </w:r>
      <w:bookmarkEnd w:id="12"/>
      <w:r>
        <w:t xml:space="preserve"> - </w:t>
      </w:r>
      <w:r>
        <w:fldChar w:fldCharType="begin">
          <w:ffData>
            <w:name w:val="CROT_DATE_D"/>
            <w:enabled/>
            <w:calcOnExit w:val="0"/>
            <w:textInput>
              <w:default w:val="XX"/>
              <w:maxLength w:val="2"/>
            </w:textInput>
          </w:ffData>
        </w:fldChar>
      </w:r>
      <w:bookmarkStart w:id="13" w:name="CROT_DATE_D"/>
      <w:r>
        <w:instrText xml:space="preserve"> FORMTEXT </w:instrText>
      </w:r>
      <w:r>
        <w:fldChar w:fldCharType="separate"/>
      </w:r>
      <w:r>
        <w:t>XX</w:t>
      </w:r>
      <w:r>
        <w:fldChar w:fldCharType="end"/>
      </w:r>
      <w:bookmarkEnd w:id="13"/>
      <w:r>
        <w:t>实施</w:t>
      </w:r>
    </w:p>
    <w:p w14:paraId="6EDF7A8B">
      <w:pPr>
        <w:pStyle w:val="35"/>
        <w:framePr w:h="584" w:hRule="exact" w:hSpace="181" w:vSpace="181" w:wrap="around" w:y="14800"/>
        <w:rPr>
          <w:rFonts w:ascii="Times New Roman"/>
        </w:rPr>
      </w:pPr>
      <w:r>
        <w:rPr>
          <w:rFonts w:ascii="Times New Roman"/>
          <w:w w:val="100"/>
          <w:sz w:val="28"/>
        </w:rPr>
        <w:fldChar w:fldCharType="begin">
          <w:ffData>
            <w:name w:val="fm"/>
            <w:enabled/>
            <w:calcOnExit w:val="0"/>
            <w:textInput>
              <w:default w:val="中国环境科学学会"/>
            </w:textInput>
          </w:ffData>
        </w:fldChar>
      </w:r>
      <w:bookmarkStart w:id="14" w:name="fm"/>
      <w:r>
        <w:rPr>
          <w:rFonts w:ascii="Times New Roman"/>
          <w:w w:val="100"/>
          <w:sz w:val="28"/>
        </w:rPr>
        <w:instrText xml:space="preserve"> FORMTEXT </w:instrText>
      </w:r>
      <w:r>
        <w:rPr>
          <w:rFonts w:ascii="Times New Roman"/>
          <w:w w:val="100"/>
          <w:sz w:val="28"/>
        </w:rPr>
        <w:fldChar w:fldCharType="separate"/>
      </w:r>
      <w:r>
        <w:rPr>
          <w:rFonts w:ascii="Times New Roman"/>
          <w:w w:val="100"/>
          <w:sz w:val="28"/>
        </w:rPr>
        <w:t>中国环境科学学会</w:t>
      </w:r>
      <w:r>
        <w:rPr>
          <w:rFonts w:ascii="Times New Roman"/>
          <w:w w:val="100"/>
          <w:sz w:val="28"/>
        </w:rPr>
        <w:fldChar w:fldCharType="end"/>
      </w:r>
      <w:bookmarkEnd w:id="14"/>
      <w:r>
        <w:rPr>
          <w:rFonts w:ascii="Times New Roman"/>
          <w:w w:val="100"/>
          <w:sz w:val="28"/>
        </w:rPr>
        <w:t>  </w:t>
      </w:r>
      <w:r>
        <w:rPr>
          <w:rStyle w:val="37"/>
          <w:rFonts w:ascii="Times New Roman"/>
          <w:position w:val="0"/>
        </w:rPr>
        <w:t>发</w:t>
      </w:r>
      <w:r>
        <w:rPr>
          <w:rStyle w:val="37"/>
          <w:rFonts w:ascii="Times New Roman"/>
          <w:spacing w:val="0"/>
          <w:position w:val="0"/>
        </w:rPr>
        <w:t>布</w:t>
      </w:r>
    </w:p>
    <w:p w14:paraId="273BD91A">
      <w:pPr>
        <w:rPr>
          <w:sz w:val="28"/>
          <w:szCs w:val="28"/>
        </w:rPr>
        <w:sectPr>
          <w:headerReference r:id="rId4" w:type="first"/>
          <w:footerReference r:id="rId6" w:type="first"/>
          <w:headerReference r:id="rId3" w:type="default"/>
          <w:footerReference r:id="rId5" w:type="even"/>
          <w:pgSz w:w="11906" w:h="16838"/>
          <w:pgMar w:top="567" w:right="1134" w:bottom="1134" w:left="1134" w:header="1418" w:footer="1134" w:gutter="284"/>
          <w:cols w:space="425" w:num="1"/>
          <w:titlePg/>
          <w:docGrid w:linePitch="312" w:charSpace="0"/>
        </w:sectPr>
      </w:pPr>
      <w:r>
        <w:rPr>
          <w:sz w:val="28"/>
          <w:szCs w:val="28"/>
        </w:rPr>
        <mc:AlternateContent>
          <mc:Choice Requires="wps">
            <w:drawing>
              <wp:anchor distT="0" distB="0" distL="114300" distR="114300" simplePos="0" relativeHeight="251659264" behindDoc="0" locked="1" layoutInCell="1" allowOverlap="1">
                <wp:simplePos x="0" y="0"/>
                <wp:positionH relativeFrom="page">
                  <wp:posOffset>899795</wp:posOffset>
                </wp:positionH>
                <wp:positionV relativeFrom="page">
                  <wp:posOffset>9253220</wp:posOffset>
                </wp:positionV>
                <wp:extent cx="6120130" cy="0"/>
                <wp:effectExtent l="0" t="4445" r="4445"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59264;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6D585D9C">
      <w:pPr>
        <w:pStyle w:val="38"/>
        <w:spacing w:after="360"/>
        <w:rPr>
          <w:rFonts w:ascii="Times New Roman"/>
        </w:rPr>
      </w:pPr>
      <w:bookmarkStart w:id="15" w:name="BookMark1"/>
      <w:r>
        <w:rPr>
          <w:rFonts w:ascii="Times New Roman"/>
          <w:spacing w:val="320"/>
        </w:rPr>
        <w:t>目</w:t>
      </w:r>
      <w:r>
        <w:rPr>
          <w:rFonts w:ascii="Times New Roman"/>
        </w:rPr>
        <w:t>次</w:t>
      </w:r>
    </w:p>
    <w:p w14:paraId="59243387">
      <w:pPr>
        <w:pStyle w:val="9"/>
        <w:tabs>
          <w:tab w:val="right" w:leader="dot" w:pos="9344"/>
        </w:tabs>
        <w:spacing w:line="336" w:lineRule="auto"/>
        <w:rPr>
          <w:rFonts w:ascii="Times New Roman"/>
          <w:sz w:val="22"/>
        </w:rPr>
      </w:pPr>
      <w:r>
        <w:rPr>
          <w:rFonts w:ascii="Times New Roman"/>
        </w:rPr>
        <w:fldChar w:fldCharType="begin"/>
      </w:r>
      <w:r>
        <w:rPr>
          <w:rFonts w:ascii="Times New Roman"/>
        </w:rPr>
        <w:instrText xml:space="preserve"> TOC \o "1-1" \h \t "标准文件_一级条标题,2,标准文件_附录一级条标题,2," </w:instrText>
      </w:r>
      <w:r>
        <w:rPr>
          <w:rFonts w:ascii="Times New Roman"/>
        </w:rPr>
        <w:fldChar w:fldCharType="separate"/>
      </w:r>
      <w:r>
        <w:fldChar w:fldCharType="begin"/>
      </w:r>
      <w:r>
        <w:instrText xml:space="preserve"> HYPERLINK \l "_Toc232496897" </w:instrText>
      </w:r>
      <w:r>
        <w:fldChar w:fldCharType="separate"/>
      </w:r>
      <w:r>
        <w:rPr>
          <w:rStyle w:val="16"/>
          <w:rFonts w:ascii="Times New Roman"/>
          <w:spacing w:val="320"/>
        </w:rPr>
        <w:t>前</w:t>
      </w:r>
      <w:r>
        <w:rPr>
          <w:rStyle w:val="16"/>
          <w:rFonts w:ascii="Times New Roman"/>
        </w:rPr>
        <w:t>言</w:t>
      </w:r>
      <w:r>
        <w:rPr>
          <w:rFonts w:ascii="Times New Roman"/>
        </w:rPr>
        <w:tab/>
      </w:r>
      <w:r>
        <w:rPr>
          <w:rFonts w:ascii="Times New Roman"/>
        </w:rPr>
        <w:fldChar w:fldCharType="begin"/>
      </w:r>
      <w:r>
        <w:rPr>
          <w:rFonts w:ascii="Times New Roman"/>
        </w:rPr>
        <w:instrText xml:space="preserve"> PAGEREF _Toc232496897 \h </w:instrText>
      </w:r>
      <w:r>
        <w:rPr>
          <w:rFonts w:ascii="Times New Roman"/>
        </w:rPr>
        <w:fldChar w:fldCharType="separate"/>
      </w:r>
      <w:r>
        <w:rPr>
          <w:rFonts w:ascii="Times New Roman"/>
        </w:rPr>
        <w:t>III</w:t>
      </w:r>
      <w:r>
        <w:rPr>
          <w:rFonts w:ascii="Times New Roman"/>
        </w:rPr>
        <w:fldChar w:fldCharType="end"/>
      </w:r>
      <w:r>
        <w:rPr>
          <w:rFonts w:ascii="Times New Roman"/>
        </w:rPr>
        <w:fldChar w:fldCharType="end"/>
      </w:r>
    </w:p>
    <w:p w14:paraId="5CD9A279">
      <w:pPr>
        <w:pStyle w:val="9"/>
        <w:tabs>
          <w:tab w:val="right" w:leader="dot" w:pos="9344"/>
        </w:tabs>
        <w:spacing w:line="336" w:lineRule="auto"/>
        <w:rPr>
          <w:rFonts w:ascii="Times New Roman"/>
          <w:sz w:val="22"/>
        </w:rPr>
      </w:pPr>
      <w:r>
        <w:fldChar w:fldCharType="begin"/>
      </w:r>
      <w:r>
        <w:instrText xml:space="preserve"> HYPERLINK \l "_Toc232496898" </w:instrText>
      </w:r>
      <w:r>
        <w:fldChar w:fldCharType="separate"/>
      </w:r>
      <w:r>
        <w:rPr>
          <w:rStyle w:val="16"/>
          <w:rFonts w:ascii="Times New Roman"/>
        </w:rPr>
        <w:t>1 范围</w:t>
      </w:r>
      <w:r>
        <w:rPr>
          <w:rFonts w:ascii="Times New Roman"/>
        </w:rPr>
        <w:tab/>
      </w:r>
      <w:r>
        <w:rPr>
          <w:rFonts w:ascii="Times New Roman"/>
        </w:rPr>
        <w:fldChar w:fldCharType="begin"/>
      </w:r>
      <w:r>
        <w:rPr>
          <w:rFonts w:ascii="Times New Roman"/>
        </w:rPr>
        <w:instrText xml:space="preserve"> PAGEREF _Toc232496898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243AF365">
      <w:pPr>
        <w:pStyle w:val="9"/>
        <w:tabs>
          <w:tab w:val="right" w:leader="dot" w:pos="9344"/>
        </w:tabs>
        <w:spacing w:line="336" w:lineRule="auto"/>
        <w:rPr>
          <w:rFonts w:ascii="Times New Roman"/>
          <w:sz w:val="22"/>
        </w:rPr>
      </w:pPr>
      <w:r>
        <w:fldChar w:fldCharType="begin"/>
      </w:r>
      <w:r>
        <w:instrText xml:space="preserve"> HYPERLINK \l "_Toc232496899" </w:instrText>
      </w:r>
      <w:r>
        <w:fldChar w:fldCharType="separate"/>
      </w:r>
      <w:r>
        <w:rPr>
          <w:rStyle w:val="16"/>
          <w:rFonts w:ascii="Times New Roman"/>
        </w:rPr>
        <w:t>2 规范性引用文件</w:t>
      </w:r>
      <w:r>
        <w:rPr>
          <w:rFonts w:ascii="Times New Roman"/>
        </w:rPr>
        <w:tab/>
      </w:r>
      <w:r>
        <w:rPr>
          <w:rFonts w:ascii="Times New Roman"/>
        </w:rPr>
        <w:fldChar w:fldCharType="begin"/>
      </w:r>
      <w:r>
        <w:rPr>
          <w:rFonts w:ascii="Times New Roman"/>
        </w:rPr>
        <w:instrText xml:space="preserve"> PAGEREF _Toc232496899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049831B4">
      <w:pPr>
        <w:pStyle w:val="9"/>
        <w:tabs>
          <w:tab w:val="right" w:leader="dot" w:pos="9344"/>
        </w:tabs>
        <w:spacing w:line="336" w:lineRule="auto"/>
        <w:rPr>
          <w:rFonts w:ascii="Times New Roman"/>
          <w:sz w:val="22"/>
        </w:rPr>
      </w:pPr>
      <w:r>
        <w:fldChar w:fldCharType="begin"/>
      </w:r>
      <w:r>
        <w:instrText xml:space="preserve"> HYPERLINK \l "_Toc232496900" </w:instrText>
      </w:r>
      <w:r>
        <w:fldChar w:fldCharType="separate"/>
      </w:r>
      <w:r>
        <w:rPr>
          <w:rStyle w:val="16"/>
          <w:rFonts w:ascii="Times New Roman"/>
        </w:rPr>
        <w:t>3 术语和定义</w:t>
      </w:r>
      <w:r>
        <w:rPr>
          <w:rFonts w:ascii="Times New Roman"/>
        </w:rPr>
        <w:tab/>
      </w:r>
      <w:r>
        <w:rPr>
          <w:rFonts w:ascii="Times New Roman"/>
        </w:rPr>
        <w:fldChar w:fldCharType="begin"/>
      </w:r>
      <w:r>
        <w:rPr>
          <w:rFonts w:ascii="Times New Roman"/>
        </w:rPr>
        <w:instrText xml:space="preserve"> PAGEREF _Toc232496900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5DB768DB">
      <w:pPr>
        <w:pStyle w:val="11"/>
        <w:spacing w:line="336" w:lineRule="auto"/>
        <w:rPr>
          <w:rFonts w:ascii="Times New Roman"/>
          <w:sz w:val="22"/>
        </w:rPr>
      </w:pPr>
      <w:r>
        <w:fldChar w:fldCharType="begin"/>
      </w:r>
      <w:r>
        <w:instrText xml:space="preserve"> HYPERLINK \l "_Toc232496901" </w:instrText>
      </w:r>
      <w:r>
        <w:fldChar w:fldCharType="separate"/>
      </w:r>
      <w:r>
        <w:rPr>
          <w:rStyle w:val="16"/>
          <w:rFonts w:ascii="Times New Roman"/>
        </w:rPr>
        <w:t xml:space="preserve">3.1 氮磷阈值  </w:t>
      </w:r>
      <w:r>
        <w:rPr>
          <w:rFonts w:ascii="Times New Roman"/>
        </w:rPr>
        <w:tab/>
      </w:r>
      <w:r>
        <w:rPr>
          <w:rFonts w:ascii="Times New Roman"/>
        </w:rPr>
        <w:fldChar w:fldCharType="begin"/>
      </w:r>
      <w:r>
        <w:rPr>
          <w:rFonts w:ascii="Times New Roman"/>
        </w:rPr>
        <w:instrText xml:space="preserve"> PAGEREF _Toc232496901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603E88AD">
      <w:pPr>
        <w:pStyle w:val="11"/>
        <w:spacing w:line="336" w:lineRule="auto"/>
        <w:rPr>
          <w:rFonts w:ascii="Times New Roman"/>
          <w:sz w:val="22"/>
        </w:rPr>
      </w:pPr>
      <w:r>
        <w:fldChar w:fldCharType="begin"/>
      </w:r>
      <w:r>
        <w:instrText xml:space="preserve"> HYPERLINK \l "_Toc232496902" </w:instrText>
      </w:r>
      <w:r>
        <w:fldChar w:fldCharType="separate"/>
      </w:r>
      <w:r>
        <w:rPr>
          <w:rStyle w:val="16"/>
          <w:rFonts w:ascii="Times New Roman"/>
        </w:rPr>
        <w:t>3.2 高浊度水体</w:t>
      </w:r>
      <w:r>
        <w:rPr>
          <w:rFonts w:ascii="Times New Roman"/>
        </w:rPr>
        <w:tab/>
      </w:r>
      <w:r>
        <w:rPr>
          <w:rFonts w:ascii="Times New Roman"/>
        </w:rPr>
        <w:fldChar w:fldCharType="begin"/>
      </w:r>
      <w:r>
        <w:rPr>
          <w:rFonts w:ascii="Times New Roman"/>
        </w:rPr>
        <w:instrText xml:space="preserve"> PAGEREF _Toc232496902 \h </w:instrText>
      </w:r>
      <w:r>
        <w:rPr>
          <w:rFonts w:ascii="Times New Roman"/>
        </w:rPr>
        <w:fldChar w:fldCharType="separate"/>
      </w:r>
      <w:r>
        <w:rPr>
          <w:rFonts w:ascii="Times New Roman"/>
        </w:rPr>
        <w:t>1</w:t>
      </w:r>
      <w:r>
        <w:rPr>
          <w:rFonts w:ascii="Times New Roman"/>
        </w:rPr>
        <w:fldChar w:fldCharType="end"/>
      </w:r>
      <w:r>
        <w:rPr>
          <w:rFonts w:ascii="Times New Roman"/>
        </w:rPr>
        <w:fldChar w:fldCharType="end"/>
      </w:r>
    </w:p>
    <w:p w14:paraId="5A0E3CFF">
      <w:pPr>
        <w:pStyle w:val="9"/>
        <w:tabs>
          <w:tab w:val="right" w:leader="dot" w:pos="9344"/>
        </w:tabs>
        <w:spacing w:line="336" w:lineRule="auto"/>
        <w:rPr>
          <w:rFonts w:ascii="Times New Roman"/>
          <w:sz w:val="22"/>
        </w:rPr>
      </w:pPr>
      <w:r>
        <w:fldChar w:fldCharType="begin"/>
      </w:r>
      <w:r>
        <w:instrText xml:space="preserve"> HYPERLINK \l "_Toc232496903" </w:instrText>
      </w:r>
      <w:r>
        <w:fldChar w:fldCharType="separate"/>
      </w:r>
      <w:r>
        <w:rPr>
          <w:rStyle w:val="16"/>
          <w:rFonts w:ascii="Times New Roman"/>
        </w:rPr>
        <w:t>4 阈值制定技术流程</w:t>
      </w:r>
      <w:r>
        <w:rPr>
          <w:rFonts w:ascii="Times New Roman"/>
        </w:rPr>
        <w:tab/>
      </w:r>
      <w:r>
        <w:rPr>
          <w:rFonts w:ascii="Times New Roman"/>
        </w:rPr>
        <w:fldChar w:fldCharType="begin"/>
      </w:r>
      <w:r>
        <w:rPr>
          <w:rFonts w:ascii="Times New Roman"/>
        </w:rPr>
        <w:instrText xml:space="preserve"> PAGEREF _Toc232496903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6F46EEE8">
      <w:pPr>
        <w:pStyle w:val="9"/>
        <w:tabs>
          <w:tab w:val="right" w:leader="dot" w:pos="9344"/>
        </w:tabs>
        <w:spacing w:line="336" w:lineRule="auto"/>
        <w:rPr>
          <w:rFonts w:ascii="Times New Roman"/>
          <w:sz w:val="22"/>
        </w:rPr>
      </w:pPr>
      <w:r>
        <w:fldChar w:fldCharType="begin"/>
      </w:r>
      <w:r>
        <w:instrText xml:space="preserve"> HYPERLINK \l "_Toc232496904" </w:instrText>
      </w:r>
      <w:r>
        <w:fldChar w:fldCharType="separate"/>
      </w:r>
      <w:r>
        <w:rPr>
          <w:rStyle w:val="16"/>
          <w:rFonts w:ascii="Times New Roman"/>
        </w:rPr>
        <w:t>5 数据收集与要求</w:t>
      </w:r>
      <w:r>
        <w:rPr>
          <w:rFonts w:ascii="Times New Roman"/>
        </w:rPr>
        <w:tab/>
      </w:r>
      <w:r>
        <w:rPr>
          <w:rFonts w:ascii="Times New Roman"/>
        </w:rPr>
        <w:fldChar w:fldCharType="begin"/>
      </w:r>
      <w:r>
        <w:rPr>
          <w:rFonts w:ascii="Times New Roman"/>
        </w:rPr>
        <w:instrText xml:space="preserve"> PAGEREF _Toc232496904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0F48262E">
      <w:pPr>
        <w:pStyle w:val="11"/>
        <w:spacing w:line="336" w:lineRule="auto"/>
        <w:rPr>
          <w:rFonts w:ascii="Times New Roman"/>
          <w:sz w:val="22"/>
        </w:rPr>
      </w:pPr>
      <w:r>
        <w:fldChar w:fldCharType="begin"/>
      </w:r>
      <w:r>
        <w:instrText xml:space="preserve"> HYPERLINK \l "_Toc232496905" </w:instrText>
      </w:r>
      <w:r>
        <w:fldChar w:fldCharType="separate"/>
      </w:r>
      <w:r>
        <w:rPr>
          <w:rStyle w:val="16"/>
          <w:rFonts w:ascii="Times New Roman"/>
        </w:rPr>
        <w:t>5.1 数据来源</w:t>
      </w:r>
      <w:r>
        <w:rPr>
          <w:rFonts w:ascii="Times New Roman"/>
        </w:rPr>
        <w:tab/>
      </w:r>
      <w:r>
        <w:rPr>
          <w:rFonts w:ascii="Times New Roman"/>
        </w:rPr>
        <w:fldChar w:fldCharType="begin"/>
      </w:r>
      <w:r>
        <w:rPr>
          <w:rFonts w:ascii="Times New Roman"/>
        </w:rPr>
        <w:instrText xml:space="preserve"> PAGEREF _Toc232496905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5DED7BC4">
      <w:pPr>
        <w:pStyle w:val="11"/>
        <w:spacing w:line="336" w:lineRule="auto"/>
        <w:rPr>
          <w:rFonts w:ascii="Times New Roman"/>
          <w:sz w:val="22"/>
        </w:rPr>
      </w:pPr>
      <w:r>
        <w:fldChar w:fldCharType="begin"/>
      </w:r>
      <w:r>
        <w:instrText xml:space="preserve"> HYPERLINK \l "_Toc232496906" </w:instrText>
      </w:r>
      <w:r>
        <w:fldChar w:fldCharType="separate"/>
      </w:r>
      <w:r>
        <w:rPr>
          <w:rStyle w:val="16"/>
          <w:rFonts w:ascii="Times New Roman"/>
        </w:rPr>
        <w:t>5.2 数据收集内容</w:t>
      </w:r>
      <w:r>
        <w:rPr>
          <w:rFonts w:ascii="Times New Roman"/>
        </w:rPr>
        <w:tab/>
      </w:r>
      <w:r>
        <w:rPr>
          <w:rFonts w:ascii="Times New Roman"/>
        </w:rPr>
        <w:fldChar w:fldCharType="begin"/>
      </w:r>
      <w:r>
        <w:rPr>
          <w:rFonts w:ascii="Times New Roman"/>
        </w:rPr>
        <w:instrText xml:space="preserve"> PAGEREF _Toc232496906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7AB1EBDC">
      <w:pPr>
        <w:pStyle w:val="11"/>
        <w:spacing w:line="336" w:lineRule="auto"/>
        <w:rPr>
          <w:rFonts w:ascii="Times New Roman"/>
          <w:sz w:val="22"/>
        </w:rPr>
      </w:pPr>
      <w:r>
        <w:fldChar w:fldCharType="begin"/>
      </w:r>
      <w:r>
        <w:instrText xml:space="preserve"> HYPERLINK \l "_Toc232496907" </w:instrText>
      </w:r>
      <w:r>
        <w:fldChar w:fldCharType="separate"/>
      </w:r>
      <w:r>
        <w:rPr>
          <w:rStyle w:val="16"/>
          <w:rFonts w:ascii="Times New Roman"/>
        </w:rPr>
        <w:t>5.3 数据筛选原则</w:t>
      </w:r>
      <w:r>
        <w:rPr>
          <w:rFonts w:ascii="Times New Roman"/>
        </w:rPr>
        <w:tab/>
      </w:r>
      <w:r>
        <w:rPr>
          <w:rFonts w:ascii="Times New Roman"/>
        </w:rPr>
        <w:fldChar w:fldCharType="begin"/>
      </w:r>
      <w:r>
        <w:rPr>
          <w:rFonts w:ascii="Times New Roman"/>
        </w:rPr>
        <w:instrText xml:space="preserve"> PAGEREF _Toc232496907 \h </w:instrText>
      </w:r>
      <w:r>
        <w:rPr>
          <w:rFonts w:ascii="Times New Roman"/>
        </w:rPr>
        <w:fldChar w:fldCharType="separate"/>
      </w:r>
      <w:r>
        <w:rPr>
          <w:rFonts w:ascii="Times New Roman"/>
        </w:rPr>
        <w:t>2</w:t>
      </w:r>
      <w:r>
        <w:rPr>
          <w:rFonts w:ascii="Times New Roman"/>
        </w:rPr>
        <w:fldChar w:fldCharType="end"/>
      </w:r>
      <w:r>
        <w:rPr>
          <w:rFonts w:ascii="Times New Roman"/>
        </w:rPr>
        <w:fldChar w:fldCharType="end"/>
      </w:r>
    </w:p>
    <w:p w14:paraId="16B25913">
      <w:pPr>
        <w:pStyle w:val="11"/>
        <w:spacing w:line="336" w:lineRule="auto"/>
        <w:rPr>
          <w:rFonts w:ascii="Times New Roman"/>
          <w:sz w:val="22"/>
        </w:rPr>
      </w:pPr>
      <w:r>
        <w:fldChar w:fldCharType="begin"/>
      </w:r>
      <w:r>
        <w:instrText xml:space="preserve"> HYPERLINK \l "_Toc232496908" </w:instrText>
      </w:r>
      <w:r>
        <w:fldChar w:fldCharType="separate"/>
      </w:r>
      <w:r>
        <w:rPr>
          <w:rStyle w:val="16"/>
          <w:rFonts w:ascii="Times New Roman"/>
        </w:rPr>
        <w:t>5.4 数据质量要求</w:t>
      </w:r>
      <w:r>
        <w:rPr>
          <w:rFonts w:ascii="Times New Roman"/>
        </w:rPr>
        <w:tab/>
      </w:r>
      <w:r>
        <w:rPr>
          <w:rFonts w:ascii="Times New Roman"/>
        </w:rPr>
        <w:fldChar w:fldCharType="begin"/>
      </w:r>
      <w:r>
        <w:rPr>
          <w:rFonts w:ascii="Times New Roman"/>
        </w:rPr>
        <w:instrText xml:space="preserve"> PAGEREF _Toc232496908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530FF502">
      <w:pPr>
        <w:pStyle w:val="11"/>
        <w:spacing w:line="336" w:lineRule="auto"/>
        <w:rPr>
          <w:rFonts w:ascii="Times New Roman"/>
          <w:sz w:val="22"/>
        </w:rPr>
      </w:pPr>
      <w:r>
        <w:fldChar w:fldCharType="begin"/>
      </w:r>
      <w:r>
        <w:instrText xml:space="preserve"> HYPERLINK \l "_Toc232496909" </w:instrText>
      </w:r>
      <w:r>
        <w:fldChar w:fldCharType="separate"/>
      </w:r>
      <w:r>
        <w:rPr>
          <w:rStyle w:val="16"/>
          <w:rFonts w:ascii="Times New Roman"/>
        </w:rPr>
        <w:t>5.5 湖泊和水库数据收集要点</w:t>
      </w:r>
      <w:r>
        <w:rPr>
          <w:rFonts w:ascii="Times New Roman"/>
        </w:rPr>
        <w:tab/>
      </w:r>
      <w:r>
        <w:rPr>
          <w:rFonts w:ascii="Times New Roman"/>
        </w:rPr>
        <w:fldChar w:fldCharType="begin"/>
      </w:r>
      <w:r>
        <w:rPr>
          <w:rFonts w:ascii="Times New Roman"/>
        </w:rPr>
        <w:instrText xml:space="preserve"> PAGEREF _Toc232496909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26373607">
      <w:pPr>
        <w:pStyle w:val="9"/>
        <w:tabs>
          <w:tab w:val="right" w:leader="dot" w:pos="9344"/>
        </w:tabs>
        <w:spacing w:line="336" w:lineRule="auto"/>
        <w:rPr>
          <w:rFonts w:ascii="Times New Roman"/>
          <w:sz w:val="22"/>
        </w:rPr>
      </w:pPr>
      <w:r>
        <w:fldChar w:fldCharType="begin"/>
      </w:r>
      <w:r>
        <w:instrText xml:space="preserve"> HYPERLINK \l "_Toc232496910" </w:instrText>
      </w:r>
      <w:r>
        <w:fldChar w:fldCharType="separate"/>
      </w:r>
      <w:r>
        <w:rPr>
          <w:rStyle w:val="16"/>
          <w:rFonts w:ascii="Times New Roman"/>
        </w:rPr>
        <w:t>6 候选指标及筛选</w:t>
      </w:r>
      <w:r>
        <w:rPr>
          <w:rFonts w:ascii="Times New Roman"/>
        </w:rPr>
        <w:tab/>
      </w:r>
      <w:r>
        <w:rPr>
          <w:rFonts w:ascii="Times New Roman"/>
        </w:rPr>
        <w:fldChar w:fldCharType="begin"/>
      </w:r>
      <w:r>
        <w:rPr>
          <w:rFonts w:ascii="Times New Roman"/>
        </w:rPr>
        <w:instrText xml:space="preserve"> PAGEREF _Toc232496910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2F207E64">
      <w:pPr>
        <w:pStyle w:val="11"/>
        <w:spacing w:line="336" w:lineRule="auto"/>
        <w:rPr>
          <w:rFonts w:ascii="Times New Roman"/>
          <w:sz w:val="22"/>
        </w:rPr>
      </w:pPr>
      <w:r>
        <w:fldChar w:fldCharType="begin"/>
      </w:r>
      <w:r>
        <w:instrText xml:space="preserve"> HYPERLINK \l "_Toc232496911" </w:instrText>
      </w:r>
      <w:r>
        <w:fldChar w:fldCharType="separate"/>
      </w:r>
      <w:r>
        <w:rPr>
          <w:rStyle w:val="16"/>
          <w:rFonts w:ascii="Times New Roman"/>
        </w:rPr>
        <w:t>6.1 候选指标库</w:t>
      </w:r>
      <w:r>
        <w:rPr>
          <w:rFonts w:ascii="Times New Roman"/>
        </w:rPr>
        <w:tab/>
      </w:r>
      <w:r>
        <w:rPr>
          <w:rFonts w:ascii="Times New Roman"/>
        </w:rPr>
        <w:fldChar w:fldCharType="begin"/>
      </w:r>
      <w:r>
        <w:rPr>
          <w:rFonts w:ascii="Times New Roman"/>
        </w:rPr>
        <w:instrText xml:space="preserve"> PAGEREF _Toc232496911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0C9D7F9F">
      <w:pPr>
        <w:pStyle w:val="11"/>
        <w:spacing w:line="336" w:lineRule="auto"/>
        <w:rPr>
          <w:rFonts w:ascii="Times New Roman"/>
          <w:sz w:val="22"/>
        </w:rPr>
      </w:pPr>
      <w:r>
        <w:fldChar w:fldCharType="begin"/>
      </w:r>
      <w:r>
        <w:instrText xml:space="preserve"> HYPERLINK \l "_Toc232496912" </w:instrText>
      </w:r>
      <w:r>
        <w:fldChar w:fldCharType="separate"/>
      </w:r>
      <w:r>
        <w:rPr>
          <w:rStyle w:val="16"/>
          <w:rFonts w:ascii="Times New Roman"/>
        </w:rPr>
        <w:t>6.2 响应指标筛选流程与方法</w:t>
      </w:r>
      <w:r>
        <w:rPr>
          <w:rFonts w:ascii="Times New Roman"/>
        </w:rPr>
        <w:tab/>
      </w:r>
      <w:r>
        <w:rPr>
          <w:rFonts w:ascii="Times New Roman"/>
        </w:rPr>
        <w:fldChar w:fldCharType="begin"/>
      </w:r>
      <w:r>
        <w:rPr>
          <w:rFonts w:ascii="Times New Roman"/>
        </w:rPr>
        <w:instrText xml:space="preserve"> PAGEREF _Toc232496912 \h </w:instrText>
      </w:r>
      <w:r>
        <w:rPr>
          <w:rFonts w:ascii="Times New Roman"/>
        </w:rPr>
        <w:fldChar w:fldCharType="separate"/>
      </w:r>
      <w:r>
        <w:rPr>
          <w:rFonts w:ascii="Times New Roman"/>
        </w:rPr>
        <w:t>3</w:t>
      </w:r>
      <w:r>
        <w:rPr>
          <w:rFonts w:ascii="Times New Roman"/>
        </w:rPr>
        <w:fldChar w:fldCharType="end"/>
      </w:r>
      <w:r>
        <w:rPr>
          <w:rFonts w:ascii="Times New Roman"/>
        </w:rPr>
        <w:fldChar w:fldCharType="end"/>
      </w:r>
    </w:p>
    <w:p w14:paraId="1135C092">
      <w:pPr>
        <w:pStyle w:val="9"/>
        <w:tabs>
          <w:tab w:val="right" w:leader="dot" w:pos="9344"/>
        </w:tabs>
        <w:spacing w:line="336" w:lineRule="auto"/>
        <w:rPr>
          <w:rFonts w:ascii="Times New Roman"/>
          <w:sz w:val="22"/>
        </w:rPr>
      </w:pPr>
      <w:r>
        <w:fldChar w:fldCharType="begin"/>
      </w:r>
      <w:r>
        <w:instrText xml:space="preserve"> HYPERLINK \l "_Toc232496913" </w:instrText>
      </w:r>
      <w:r>
        <w:fldChar w:fldCharType="separate"/>
      </w:r>
      <w:r>
        <w:rPr>
          <w:rStyle w:val="16"/>
          <w:rFonts w:ascii="Times New Roman"/>
        </w:rPr>
        <w:t>7 阈值推导</w:t>
      </w:r>
      <w:r>
        <w:rPr>
          <w:rFonts w:ascii="Times New Roman"/>
        </w:rPr>
        <w:tab/>
      </w:r>
      <w:r>
        <w:rPr>
          <w:rFonts w:ascii="Times New Roman"/>
        </w:rPr>
        <w:fldChar w:fldCharType="begin"/>
      </w:r>
      <w:r>
        <w:rPr>
          <w:rFonts w:ascii="Times New Roman"/>
        </w:rPr>
        <w:instrText xml:space="preserve"> PAGEREF _Toc232496913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5629514B">
      <w:pPr>
        <w:pStyle w:val="11"/>
        <w:spacing w:line="336" w:lineRule="auto"/>
        <w:rPr>
          <w:rFonts w:ascii="Times New Roman"/>
          <w:sz w:val="22"/>
        </w:rPr>
      </w:pPr>
      <w:r>
        <w:fldChar w:fldCharType="begin"/>
      </w:r>
      <w:r>
        <w:instrText xml:space="preserve"> HYPERLINK \l "_Toc232496914" </w:instrText>
      </w:r>
      <w:r>
        <w:fldChar w:fldCharType="separate"/>
      </w:r>
      <w:r>
        <w:rPr>
          <w:rStyle w:val="16"/>
          <w:rFonts w:ascii="Times New Roman"/>
        </w:rPr>
        <w:t>7.1 湖库分类</w:t>
      </w:r>
      <w:r>
        <w:rPr>
          <w:rFonts w:ascii="Times New Roman"/>
        </w:rPr>
        <w:tab/>
      </w:r>
      <w:r>
        <w:rPr>
          <w:rFonts w:ascii="Times New Roman"/>
        </w:rPr>
        <w:fldChar w:fldCharType="begin"/>
      </w:r>
      <w:r>
        <w:rPr>
          <w:rFonts w:ascii="Times New Roman"/>
        </w:rPr>
        <w:instrText xml:space="preserve"> PAGEREF _Toc232496914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0A208331">
      <w:pPr>
        <w:pStyle w:val="11"/>
        <w:spacing w:line="336" w:lineRule="auto"/>
        <w:rPr>
          <w:rFonts w:ascii="Times New Roman"/>
          <w:sz w:val="22"/>
        </w:rPr>
      </w:pPr>
      <w:r>
        <w:fldChar w:fldCharType="begin"/>
      </w:r>
      <w:r>
        <w:instrText xml:space="preserve"> HYPERLINK \l "_Toc232496915" </w:instrText>
      </w:r>
      <w:r>
        <w:fldChar w:fldCharType="separate"/>
      </w:r>
      <w:r>
        <w:rPr>
          <w:rStyle w:val="16"/>
          <w:rFonts w:ascii="Times New Roman"/>
        </w:rPr>
        <w:t>7.2 阈值制定方法选择</w:t>
      </w:r>
      <w:r>
        <w:rPr>
          <w:rFonts w:ascii="Times New Roman"/>
        </w:rPr>
        <w:tab/>
      </w:r>
      <w:r>
        <w:rPr>
          <w:rFonts w:ascii="Times New Roman"/>
        </w:rPr>
        <w:fldChar w:fldCharType="begin"/>
      </w:r>
      <w:r>
        <w:rPr>
          <w:rFonts w:ascii="Times New Roman"/>
        </w:rPr>
        <w:instrText xml:space="preserve"> PAGEREF _Toc232496915 \h </w:instrText>
      </w:r>
      <w:r>
        <w:rPr>
          <w:rFonts w:ascii="Times New Roman"/>
        </w:rPr>
        <w:fldChar w:fldCharType="separate"/>
      </w:r>
      <w:r>
        <w:rPr>
          <w:rFonts w:ascii="Times New Roman"/>
        </w:rPr>
        <w:t>5</w:t>
      </w:r>
      <w:r>
        <w:rPr>
          <w:rFonts w:ascii="Times New Roman"/>
        </w:rPr>
        <w:fldChar w:fldCharType="end"/>
      </w:r>
      <w:r>
        <w:rPr>
          <w:rFonts w:ascii="Times New Roman"/>
        </w:rPr>
        <w:fldChar w:fldCharType="end"/>
      </w:r>
    </w:p>
    <w:p w14:paraId="1C559338">
      <w:pPr>
        <w:pStyle w:val="11"/>
        <w:spacing w:line="336" w:lineRule="auto"/>
        <w:rPr>
          <w:rFonts w:ascii="Times New Roman"/>
          <w:sz w:val="22"/>
        </w:rPr>
      </w:pPr>
      <w:r>
        <w:fldChar w:fldCharType="begin"/>
      </w:r>
      <w:r>
        <w:instrText xml:space="preserve"> HYPERLINK \l "_Toc232496916" </w:instrText>
      </w:r>
      <w:r>
        <w:fldChar w:fldCharType="separate"/>
      </w:r>
      <w:r>
        <w:rPr>
          <w:rStyle w:val="16"/>
          <w:rFonts w:ascii="Times New Roman"/>
        </w:rPr>
        <w:t>7.3 氮磷阈值计算方法</w:t>
      </w:r>
      <w:r>
        <w:rPr>
          <w:rFonts w:ascii="Times New Roman"/>
        </w:rPr>
        <w:tab/>
      </w:r>
      <w:r>
        <w:rPr>
          <w:rFonts w:ascii="Times New Roman"/>
        </w:rPr>
        <w:fldChar w:fldCharType="begin"/>
      </w:r>
      <w:r>
        <w:rPr>
          <w:rFonts w:ascii="Times New Roman"/>
        </w:rPr>
        <w:instrText xml:space="preserve"> PAGEREF _Toc232496916 \h </w:instrText>
      </w:r>
      <w:r>
        <w:rPr>
          <w:rFonts w:ascii="Times New Roman"/>
        </w:rPr>
        <w:fldChar w:fldCharType="separate"/>
      </w:r>
      <w:r>
        <w:rPr>
          <w:rFonts w:ascii="Times New Roman"/>
        </w:rPr>
        <w:t>6</w:t>
      </w:r>
      <w:r>
        <w:rPr>
          <w:rFonts w:ascii="Times New Roman"/>
        </w:rPr>
        <w:fldChar w:fldCharType="end"/>
      </w:r>
      <w:r>
        <w:rPr>
          <w:rFonts w:ascii="Times New Roman"/>
        </w:rPr>
        <w:fldChar w:fldCharType="end"/>
      </w:r>
    </w:p>
    <w:p w14:paraId="19FD8976">
      <w:pPr>
        <w:pStyle w:val="9"/>
        <w:tabs>
          <w:tab w:val="right" w:leader="dot" w:pos="9344"/>
        </w:tabs>
        <w:spacing w:line="336" w:lineRule="auto"/>
        <w:rPr>
          <w:rFonts w:ascii="Times New Roman"/>
          <w:sz w:val="22"/>
        </w:rPr>
      </w:pPr>
      <w:r>
        <w:fldChar w:fldCharType="begin"/>
      </w:r>
      <w:r>
        <w:instrText xml:space="preserve"> HYPERLINK \l "_Toc232496917" </w:instrText>
      </w:r>
      <w:r>
        <w:fldChar w:fldCharType="separate"/>
      </w:r>
      <w:r>
        <w:rPr>
          <w:rStyle w:val="16"/>
          <w:rFonts w:ascii="Times New Roman"/>
        </w:rPr>
        <w:t>8 阈值验证与审核</w:t>
      </w:r>
      <w:r>
        <w:rPr>
          <w:rFonts w:ascii="Times New Roman"/>
        </w:rPr>
        <w:tab/>
      </w:r>
      <w:r>
        <w:rPr>
          <w:rFonts w:ascii="Times New Roman"/>
        </w:rPr>
        <w:fldChar w:fldCharType="begin"/>
      </w:r>
      <w:r>
        <w:rPr>
          <w:rFonts w:ascii="Times New Roman"/>
        </w:rPr>
        <w:instrText xml:space="preserve"> PAGEREF _Toc232496917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2E8F3D99">
      <w:pPr>
        <w:pStyle w:val="11"/>
        <w:spacing w:line="336" w:lineRule="auto"/>
        <w:rPr>
          <w:rFonts w:ascii="Times New Roman"/>
          <w:sz w:val="22"/>
        </w:rPr>
      </w:pPr>
      <w:r>
        <w:fldChar w:fldCharType="begin"/>
      </w:r>
      <w:r>
        <w:instrText xml:space="preserve"> HYPERLINK \l "_Toc232496918" </w:instrText>
      </w:r>
      <w:r>
        <w:fldChar w:fldCharType="separate"/>
      </w:r>
      <w:r>
        <w:rPr>
          <w:rStyle w:val="16"/>
          <w:rFonts w:ascii="Times New Roman"/>
        </w:rPr>
        <w:t>8.1 阈值验证</w:t>
      </w:r>
      <w:r>
        <w:rPr>
          <w:rFonts w:ascii="Times New Roman"/>
        </w:rPr>
        <w:tab/>
      </w:r>
      <w:r>
        <w:rPr>
          <w:rFonts w:ascii="Times New Roman"/>
        </w:rPr>
        <w:fldChar w:fldCharType="begin"/>
      </w:r>
      <w:r>
        <w:rPr>
          <w:rFonts w:ascii="Times New Roman"/>
        </w:rPr>
        <w:instrText xml:space="preserve"> PAGEREF _Toc232496918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483AE63B">
      <w:pPr>
        <w:pStyle w:val="11"/>
        <w:spacing w:line="336" w:lineRule="auto"/>
        <w:rPr>
          <w:rFonts w:ascii="Times New Roman"/>
          <w:sz w:val="22"/>
        </w:rPr>
      </w:pPr>
      <w:r>
        <w:fldChar w:fldCharType="begin"/>
      </w:r>
      <w:r>
        <w:instrText xml:space="preserve"> HYPERLINK \l "_Toc232496919" </w:instrText>
      </w:r>
      <w:r>
        <w:fldChar w:fldCharType="separate"/>
      </w:r>
      <w:r>
        <w:rPr>
          <w:rStyle w:val="16"/>
          <w:rFonts w:ascii="Times New Roman"/>
        </w:rPr>
        <w:t>8.2 技术审核</w:t>
      </w:r>
      <w:r>
        <w:rPr>
          <w:rFonts w:ascii="Times New Roman"/>
        </w:rPr>
        <w:tab/>
      </w:r>
      <w:r>
        <w:rPr>
          <w:rFonts w:ascii="Times New Roman"/>
        </w:rPr>
        <w:fldChar w:fldCharType="begin"/>
      </w:r>
      <w:r>
        <w:rPr>
          <w:rFonts w:ascii="Times New Roman"/>
        </w:rPr>
        <w:instrText xml:space="preserve"> PAGEREF _Toc232496919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169F427F">
      <w:pPr>
        <w:pStyle w:val="9"/>
        <w:tabs>
          <w:tab w:val="right" w:leader="dot" w:pos="9344"/>
        </w:tabs>
        <w:spacing w:line="336" w:lineRule="auto"/>
        <w:rPr>
          <w:rFonts w:ascii="Times New Roman"/>
          <w:sz w:val="22"/>
        </w:rPr>
      </w:pPr>
      <w:r>
        <w:fldChar w:fldCharType="begin"/>
      </w:r>
      <w:r>
        <w:instrText xml:space="preserve"> HYPERLINK \l "_Toc232496920" </w:instrText>
      </w:r>
      <w:r>
        <w:fldChar w:fldCharType="separate"/>
      </w:r>
      <w:r>
        <w:rPr>
          <w:rStyle w:val="16"/>
          <w:rFonts w:ascii="Times New Roman"/>
        </w:rPr>
        <w:t>9 阈值表征与应用</w:t>
      </w:r>
      <w:r>
        <w:rPr>
          <w:rFonts w:ascii="Times New Roman"/>
        </w:rPr>
        <w:tab/>
      </w:r>
      <w:r>
        <w:rPr>
          <w:rFonts w:ascii="Times New Roman"/>
        </w:rPr>
        <w:fldChar w:fldCharType="begin"/>
      </w:r>
      <w:r>
        <w:rPr>
          <w:rFonts w:ascii="Times New Roman"/>
        </w:rPr>
        <w:instrText xml:space="preserve"> PAGEREF _Toc232496920 \h </w:instrText>
      </w:r>
      <w:r>
        <w:rPr>
          <w:rFonts w:ascii="Times New Roman"/>
        </w:rPr>
        <w:fldChar w:fldCharType="separate"/>
      </w:r>
      <w:r>
        <w:rPr>
          <w:rFonts w:ascii="Times New Roman"/>
        </w:rPr>
        <w:t>9</w:t>
      </w:r>
      <w:r>
        <w:rPr>
          <w:rFonts w:ascii="Times New Roman"/>
        </w:rPr>
        <w:fldChar w:fldCharType="end"/>
      </w:r>
      <w:r>
        <w:rPr>
          <w:rFonts w:ascii="Times New Roman"/>
        </w:rPr>
        <w:fldChar w:fldCharType="end"/>
      </w:r>
    </w:p>
    <w:p w14:paraId="76C6CC8A">
      <w:pPr>
        <w:pStyle w:val="11"/>
        <w:spacing w:line="336" w:lineRule="auto"/>
        <w:rPr>
          <w:rFonts w:ascii="Times New Roman"/>
          <w:sz w:val="22"/>
        </w:rPr>
      </w:pPr>
      <w:r>
        <w:fldChar w:fldCharType="begin"/>
      </w:r>
      <w:r>
        <w:instrText xml:space="preserve"> HYPERLINK \l "_Toc232496921" </w:instrText>
      </w:r>
      <w:r>
        <w:fldChar w:fldCharType="separate"/>
      </w:r>
      <w:r>
        <w:rPr>
          <w:rStyle w:val="16"/>
          <w:rFonts w:ascii="Times New Roman"/>
        </w:rPr>
        <w:t>9.1 阈值表征</w:t>
      </w:r>
      <w:r>
        <w:rPr>
          <w:rFonts w:ascii="Times New Roman"/>
        </w:rPr>
        <w:tab/>
      </w:r>
      <w:r>
        <w:rPr>
          <w:rFonts w:ascii="Times New Roman"/>
        </w:rPr>
        <w:fldChar w:fldCharType="begin"/>
      </w:r>
      <w:r>
        <w:rPr>
          <w:rFonts w:ascii="Times New Roman"/>
        </w:rPr>
        <w:instrText xml:space="preserve"> PAGEREF _Toc232496921 \h </w:instrText>
      </w:r>
      <w:r>
        <w:rPr>
          <w:rFonts w:ascii="Times New Roman"/>
        </w:rPr>
        <w:fldChar w:fldCharType="separate"/>
      </w:r>
      <w:r>
        <w:rPr>
          <w:rFonts w:ascii="Times New Roman"/>
        </w:rPr>
        <w:t>10</w:t>
      </w:r>
      <w:r>
        <w:rPr>
          <w:rFonts w:ascii="Times New Roman"/>
        </w:rPr>
        <w:fldChar w:fldCharType="end"/>
      </w:r>
      <w:r>
        <w:rPr>
          <w:rFonts w:ascii="Times New Roman"/>
        </w:rPr>
        <w:fldChar w:fldCharType="end"/>
      </w:r>
    </w:p>
    <w:p w14:paraId="43A1B222">
      <w:pPr>
        <w:pStyle w:val="11"/>
        <w:spacing w:line="336" w:lineRule="auto"/>
        <w:rPr>
          <w:rFonts w:ascii="Times New Roman"/>
          <w:sz w:val="22"/>
        </w:rPr>
      </w:pPr>
      <w:r>
        <w:fldChar w:fldCharType="begin"/>
      </w:r>
      <w:r>
        <w:instrText xml:space="preserve"> HYPERLINK \l "_Toc232496922" </w:instrText>
      </w:r>
      <w:r>
        <w:fldChar w:fldCharType="separate"/>
      </w:r>
      <w:r>
        <w:rPr>
          <w:rStyle w:val="16"/>
          <w:rFonts w:ascii="Times New Roman"/>
        </w:rPr>
        <w:t>9.2 在水环境标准与管理中的应用</w:t>
      </w:r>
      <w:r>
        <w:rPr>
          <w:rFonts w:ascii="Times New Roman"/>
        </w:rPr>
        <w:tab/>
      </w:r>
      <w:r>
        <w:rPr>
          <w:rFonts w:ascii="Times New Roman"/>
        </w:rPr>
        <w:fldChar w:fldCharType="begin"/>
      </w:r>
      <w:r>
        <w:rPr>
          <w:rFonts w:ascii="Times New Roman"/>
        </w:rPr>
        <w:instrText xml:space="preserve"> PAGEREF _Toc232496922 \h </w:instrText>
      </w:r>
      <w:r>
        <w:rPr>
          <w:rFonts w:ascii="Times New Roman"/>
        </w:rPr>
        <w:fldChar w:fldCharType="separate"/>
      </w:r>
      <w:r>
        <w:rPr>
          <w:rFonts w:ascii="Times New Roman"/>
        </w:rPr>
        <w:t>10</w:t>
      </w:r>
      <w:r>
        <w:rPr>
          <w:rFonts w:ascii="Times New Roman"/>
        </w:rPr>
        <w:fldChar w:fldCharType="end"/>
      </w:r>
      <w:r>
        <w:rPr>
          <w:rFonts w:ascii="Times New Roman"/>
        </w:rPr>
        <w:fldChar w:fldCharType="end"/>
      </w:r>
    </w:p>
    <w:p w14:paraId="2D3BA0B0">
      <w:pPr>
        <w:pStyle w:val="11"/>
        <w:spacing w:line="336" w:lineRule="auto"/>
        <w:rPr>
          <w:rFonts w:ascii="Times New Roman"/>
          <w:sz w:val="22"/>
        </w:rPr>
      </w:pPr>
      <w:r>
        <w:fldChar w:fldCharType="begin"/>
      </w:r>
      <w:r>
        <w:instrText xml:space="preserve"> HYPERLINK \l "_Toc232496923" </w:instrText>
      </w:r>
      <w:r>
        <w:fldChar w:fldCharType="separate"/>
      </w:r>
      <w:r>
        <w:rPr>
          <w:rStyle w:val="16"/>
          <w:rFonts w:ascii="Times New Roman"/>
        </w:rPr>
        <w:t>9.3 在流域治理技术选择中的指引</w:t>
      </w:r>
      <w:r>
        <w:rPr>
          <w:rFonts w:ascii="Times New Roman"/>
        </w:rPr>
        <w:tab/>
      </w:r>
      <w:r>
        <w:rPr>
          <w:rFonts w:ascii="Times New Roman"/>
        </w:rPr>
        <w:fldChar w:fldCharType="begin"/>
      </w:r>
      <w:r>
        <w:rPr>
          <w:rFonts w:ascii="Times New Roman"/>
        </w:rPr>
        <w:instrText xml:space="preserve"> PAGEREF _Toc232496923 \h </w:instrText>
      </w:r>
      <w:r>
        <w:rPr>
          <w:rFonts w:ascii="Times New Roman"/>
        </w:rPr>
        <w:fldChar w:fldCharType="separate"/>
      </w:r>
      <w:r>
        <w:rPr>
          <w:rFonts w:ascii="Times New Roman"/>
        </w:rPr>
        <w:t>10</w:t>
      </w:r>
      <w:r>
        <w:rPr>
          <w:rFonts w:ascii="Times New Roman"/>
        </w:rPr>
        <w:fldChar w:fldCharType="end"/>
      </w:r>
      <w:r>
        <w:rPr>
          <w:rFonts w:ascii="Times New Roman"/>
        </w:rPr>
        <w:fldChar w:fldCharType="end"/>
      </w:r>
    </w:p>
    <w:p w14:paraId="0FDF224D">
      <w:pPr>
        <w:pStyle w:val="9"/>
        <w:tabs>
          <w:tab w:val="right" w:leader="dot" w:pos="9344"/>
        </w:tabs>
        <w:spacing w:line="336" w:lineRule="auto"/>
        <w:rPr>
          <w:rFonts w:ascii="Times New Roman"/>
          <w:sz w:val="22"/>
        </w:rPr>
      </w:pPr>
      <w:r>
        <w:fldChar w:fldCharType="begin"/>
      </w:r>
      <w:r>
        <w:instrText xml:space="preserve"> HYPERLINK \l "_Toc232496924" </w:instrText>
      </w:r>
      <w:r>
        <w:fldChar w:fldCharType="separate"/>
      </w:r>
      <w:r>
        <w:rPr>
          <w:rStyle w:val="16"/>
          <w:rFonts w:ascii="Times New Roman"/>
          <w:spacing w:val="100"/>
        </w:rPr>
        <w:t>附录A</w:t>
      </w:r>
      <w:r>
        <w:rPr>
          <w:rStyle w:val="16"/>
          <w:rFonts w:ascii="Times New Roman"/>
        </w:rPr>
        <w:t xml:space="preserve"> （规范性） 黄河流域湖库陆域生态系统健康评估简化方法</w:t>
      </w:r>
      <w:r>
        <w:rPr>
          <w:rFonts w:ascii="Times New Roman"/>
        </w:rPr>
        <w:tab/>
      </w:r>
      <w:r>
        <w:rPr>
          <w:rFonts w:ascii="Times New Roman"/>
        </w:rPr>
        <w:fldChar w:fldCharType="begin"/>
      </w:r>
      <w:r>
        <w:rPr>
          <w:rFonts w:ascii="Times New Roman"/>
        </w:rPr>
        <w:instrText xml:space="preserve"> PAGEREF _Toc232496924 \h </w:instrText>
      </w:r>
      <w:r>
        <w:rPr>
          <w:rFonts w:ascii="Times New Roman"/>
        </w:rPr>
        <w:fldChar w:fldCharType="separate"/>
      </w:r>
      <w:r>
        <w:rPr>
          <w:rFonts w:ascii="Times New Roman"/>
        </w:rPr>
        <w:t>11</w:t>
      </w:r>
      <w:r>
        <w:rPr>
          <w:rFonts w:ascii="Times New Roman"/>
        </w:rPr>
        <w:fldChar w:fldCharType="end"/>
      </w:r>
      <w:r>
        <w:rPr>
          <w:rFonts w:ascii="Times New Roman"/>
        </w:rPr>
        <w:fldChar w:fldCharType="end"/>
      </w:r>
    </w:p>
    <w:p w14:paraId="7E33A3CF">
      <w:pPr>
        <w:pStyle w:val="9"/>
        <w:tabs>
          <w:tab w:val="right" w:leader="dot" w:pos="9344"/>
        </w:tabs>
        <w:spacing w:line="336" w:lineRule="auto"/>
        <w:rPr>
          <w:rFonts w:ascii="Times New Roman"/>
          <w:sz w:val="22"/>
        </w:rPr>
      </w:pPr>
      <w:r>
        <w:fldChar w:fldCharType="begin"/>
      </w:r>
      <w:r>
        <w:instrText xml:space="preserve"> HYPERLINK \l "_Toc232496930" </w:instrText>
      </w:r>
      <w:r>
        <w:fldChar w:fldCharType="separate"/>
      </w:r>
      <w:r>
        <w:rPr>
          <w:rStyle w:val="16"/>
          <w:rFonts w:ascii="Times New Roman"/>
          <w:spacing w:val="100"/>
        </w:rPr>
        <w:t>附录B</w:t>
      </w:r>
      <w:r>
        <w:rPr>
          <w:rStyle w:val="16"/>
          <w:rFonts w:ascii="Times New Roman"/>
        </w:rPr>
        <w:t xml:space="preserve"> （规范性） 高浊度水体数据预处理与浊度校正方法</w:t>
      </w:r>
      <w:r>
        <w:rPr>
          <w:rFonts w:ascii="Times New Roman"/>
        </w:rPr>
        <w:tab/>
      </w:r>
      <w:r>
        <w:rPr>
          <w:rFonts w:ascii="Times New Roman"/>
        </w:rPr>
        <w:fldChar w:fldCharType="begin"/>
      </w:r>
      <w:r>
        <w:rPr>
          <w:rFonts w:ascii="Times New Roman"/>
        </w:rPr>
        <w:instrText xml:space="preserve"> PAGEREF _Toc232496930 \h </w:instrText>
      </w:r>
      <w:r>
        <w:rPr>
          <w:rFonts w:ascii="Times New Roman"/>
        </w:rPr>
        <w:fldChar w:fldCharType="separate"/>
      </w:r>
      <w:r>
        <w:rPr>
          <w:rFonts w:ascii="Times New Roman"/>
        </w:rPr>
        <w:t>13</w:t>
      </w:r>
      <w:r>
        <w:rPr>
          <w:rFonts w:ascii="Times New Roman"/>
        </w:rPr>
        <w:fldChar w:fldCharType="end"/>
      </w:r>
      <w:r>
        <w:rPr>
          <w:rFonts w:ascii="Times New Roman"/>
        </w:rPr>
        <w:fldChar w:fldCharType="end"/>
      </w:r>
    </w:p>
    <w:p w14:paraId="17ACD334">
      <w:pPr>
        <w:pStyle w:val="9"/>
        <w:tabs>
          <w:tab w:val="right" w:leader="dot" w:pos="9344"/>
        </w:tabs>
        <w:spacing w:line="336" w:lineRule="auto"/>
        <w:rPr>
          <w:rFonts w:ascii="Times New Roman"/>
          <w:sz w:val="22"/>
        </w:rPr>
      </w:pPr>
      <w:r>
        <w:fldChar w:fldCharType="begin"/>
      </w:r>
      <w:r>
        <w:instrText xml:space="preserve"> HYPERLINK \l "_Toc232496936" </w:instrText>
      </w:r>
      <w:r>
        <w:fldChar w:fldCharType="separate"/>
      </w:r>
      <w:r>
        <w:rPr>
          <w:rStyle w:val="16"/>
          <w:rFonts w:ascii="Times New Roman"/>
          <w:spacing w:val="100"/>
        </w:rPr>
        <w:t>附录C</w:t>
      </w:r>
      <w:r>
        <w:rPr>
          <w:rStyle w:val="16"/>
          <w:rFonts w:ascii="Times New Roman"/>
        </w:rPr>
        <w:t xml:space="preserve"> （资料性） 黄河流域区域湖库氮磷阈值制定工作辅助指南</w:t>
      </w:r>
      <w:r>
        <w:rPr>
          <w:rFonts w:ascii="Times New Roman"/>
        </w:rPr>
        <w:tab/>
      </w:r>
      <w:r>
        <w:rPr>
          <w:rFonts w:ascii="Times New Roman"/>
        </w:rPr>
        <w:fldChar w:fldCharType="begin"/>
      </w:r>
      <w:r>
        <w:rPr>
          <w:rFonts w:ascii="Times New Roman"/>
        </w:rPr>
        <w:instrText xml:space="preserve"> PAGEREF _Toc232496936 \h </w:instrText>
      </w:r>
      <w:r>
        <w:rPr>
          <w:rFonts w:ascii="Times New Roman"/>
        </w:rPr>
        <w:fldChar w:fldCharType="separate"/>
      </w:r>
      <w:r>
        <w:rPr>
          <w:rFonts w:ascii="Times New Roman"/>
        </w:rPr>
        <w:t>15</w:t>
      </w:r>
      <w:r>
        <w:rPr>
          <w:rFonts w:ascii="Times New Roman"/>
        </w:rPr>
        <w:fldChar w:fldCharType="end"/>
      </w:r>
      <w:r>
        <w:rPr>
          <w:rFonts w:ascii="Times New Roman"/>
        </w:rPr>
        <w:fldChar w:fldCharType="end"/>
      </w:r>
    </w:p>
    <w:p w14:paraId="08BA34E2">
      <w:pPr>
        <w:pStyle w:val="9"/>
        <w:tabs>
          <w:tab w:val="right" w:leader="dot" w:pos="9344"/>
        </w:tabs>
        <w:spacing w:line="336" w:lineRule="auto"/>
        <w:rPr>
          <w:rFonts w:ascii="Calibri" w:hAnsi="Calibri"/>
          <w:sz w:val="22"/>
        </w:rPr>
      </w:pPr>
      <w:r>
        <w:fldChar w:fldCharType="begin"/>
      </w:r>
      <w:r>
        <w:instrText xml:space="preserve"> HYPERLINK \l "_Toc232496943" </w:instrText>
      </w:r>
      <w:r>
        <w:fldChar w:fldCharType="separate"/>
      </w:r>
      <w:r>
        <w:rPr>
          <w:rStyle w:val="16"/>
          <w:rFonts w:ascii="Times New Roman"/>
          <w:spacing w:val="105"/>
        </w:rPr>
        <w:t>参考文</w:t>
      </w:r>
      <w:r>
        <w:rPr>
          <w:rStyle w:val="16"/>
          <w:rFonts w:ascii="Times New Roman"/>
        </w:rPr>
        <w:t>献</w:t>
      </w:r>
      <w:r>
        <w:rPr>
          <w:rFonts w:ascii="Times New Roman"/>
        </w:rPr>
        <w:tab/>
      </w:r>
      <w:r>
        <w:rPr>
          <w:rFonts w:ascii="Times New Roman"/>
        </w:rPr>
        <w:fldChar w:fldCharType="begin"/>
      </w:r>
      <w:r>
        <w:rPr>
          <w:rFonts w:ascii="Times New Roman"/>
        </w:rPr>
        <w:instrText xml:space="preserve"> PAGEREF _Toc232496943 \h </w:instrText>
      </w:r>
      <w:r>
        <w:rPr>
          <w:rFonts w:ascii="Times New Roman"/>
        </w:rPr>
        <w:fldChar w:fldCharType="separate"/>
      </w:r>
      <w:r>
        <w:rPr>
          <w:rFonts w:ascii="Times New Roman"/>
        </w:rPr>
        <w:t>18</w:t>
      </w:r>
      <w:r>
        <w:rPr>
          <w:rFonts w:ascii="Times New Roman"/>
        </w:rPr>
        <w:fldChar w:fldCharType="end"/>
      </w:r>
      <w:r>
        <w:rPr>
          <w:rFonts w:ascii="Times New Roman"/>
        </w:rPr>
        <w:fldChar w:fldCharType="end"/>
      </w:r>
    </w:p>
    <w:p w14:paraId="29B57351">
      <w:pPr>
        <w:pStyle w:val="38"/>
        <w:spacing w:after="360"/>
        <w:rPr>
          <w:rFonts w:ascii="Times New Roman" w:eastAsia="宋体"/>
        </w:rPr>
        <w:sectPr>
          <w:headerReference r:id="rId7" w:type="default"/>
          <w:footerReference r:id="rId9" w:type="default"/>
          <w:headerReference r:id="rId8" w:type="even"/>
          <w:footerReference r:id="rId10" w:type="even"/>
          <w:pgSz w:w="11906" w:h="16838"/>
          <w:pgMar w:top="2410" w:right="1134" w:bottom="1134" w:left="1134" w:header="1418" w:footer="1134" w:gutter="284"/>
          <w:pgNumType w:fmt="upperRoman" w:start="1"/>
          <w:cols w:space="425" w:num="1"/>
          <w:formProt w:val="0"/>
          <w:docGrid w:linePitch="312" w:charSpace="0"/>
        </w:sectPr>
      </w:pPr>
      <w:r>
        <w:rPr>
          <w:rFonts w:ascii="Times New Roman" w:eastAsia="宋体"/>
        </w:rPr>
        <w:fldChar w:fldCharType="end"/>
      </w:r>
    </w:p>
    <w:bookmarkEnd w:id="15"/>
    <w:p w14:paraId="4C854FF2">
      <w:pPr>
        <w:pStyle w:val="39"/>
        <w:spacing w:after="360"/>
        <w:rPr>
          <w:rFonts w:ascii="Times New Roman"/>
        </w:rPr>
      </w:pPr>
      <w:bookmarkStart w:id="16" w:name="_Toc232496897"/>
      <w:bookmarkStart w:id="17" w:name="BookMark2"/>
      <w:r>
        <w:rPr>
          <w:rFonts w:ascii="Times New Roman"/>
          <w:spacing w:val="320"/>
        </w:rPr>
        <w:t>前</w:t>
      </w:r>
      <w:r>
        <w:rPr>
          <w:rFonts w:ascii="Times New Roman"/>
        </w:rPr>
        <w:t>言</w:t>
      </w:r>
      <w:bookmarkEnd w:id="16"/>
    </w:p>
    <w:p w14:paraId="3158C37E">
      <w:pPr>
        <w:pStyle w:val="27"/>
        <w:ind w:firstLine="420"/>
        <w:rPr>
          <w:rFonts w:ascii="Times New Roman"/>
        </w:rPr>
      </w:pPr>
      <w:r>
        <w:rPr>
          <w:rFonts w:ascii="Times New Roman"/>
        </w:rPr>
        <w:t>本文件按照GB/T 1.1—2020《标准化工作导则  第1部分：标准化文件的结构和起草规则》的规定起草。</w:t>
      </w:r>
    </w:p>
    <w:p w14:paraId="355084AD">
      <w:pPr>
        <w:pStyle w:val="27"/>
        <w:ind w:firstLine="420"/>
        <w:rPr>
          <w:rFonts w:ascii="Times New Roman"/>
        </w:rPr>
      </w:pPr>
      <w:r>
        <w:rPr>
          <w:rFonts w:ascii="Times New Roman"/>
        </w:rPr>
        <w:t>请注意本文件的某些内容可能涉及专利。本文件的发布机构不承担识别专利的责任。</w:t>
      </w:r>
    </w:p>
    <w:p w14:paraId="6CFEBAC2">
      <w:pPr>
        <w:pStyle w:val="27"/>
        <w:ind w:firstLine="420"/>
        <w:rPr>
          <w:rFonts w:ascii="Times New Roman"/>
        </w:rPr>
      </w:pPr>
      <w:r>
        <w:rPr>
          <w:rFonts w:ascii="Times New Roman"/>
        </w:rPr>
        <w:t>本文件由北京师范大学提出。</w:t>
      </w:r>
    </w:p>
    <w:p w14:paraId="034FA37C">
      <w:pPr>
        <w:pStyle w:val="27"/>
        <w:ind w:firstLine="420"/>
        <w:rPr>
          <w:rFonts w:ascii="Times New Roman"/>
        </w:rPr>
      </w:pPr>
      <w:r>
        <w:rPr>
          <w:rFonts w:ascii="Times New Roman"/>
        </w:rPr>
        <w:t>本文件由中国环境科学学会归口。</w:t>
      </w:r>
    </w:p>
    <w:p w14:paraId="213F7B07">
      <w:pPr>
        <w:pStyle w:val="27"/>
        <w:ind w:firstLine="420"/>
        <w:rPr>
          <w:rFonts w:ascii="Times New Roman"/>
        </w:rPr>
      </w:pPr>
      <w:r>
        <w:rPr>
          <w:rFonts w:ascii="Times New Roman"/>
        </w:rPr>
        <w:t>本文件起草单位：北京师范大学、厦门大学</w:t>
      </w:r>
      <w:r>
        <w:rPr>
          <w:rFonts w:hint="eastAsia" w:ascii="Times New Roman"/>
        </w:rPr>
        <w:t>、</w:t>
      </w:r>
      <w:r>
        <w:rPr>
          <w:rFonts w:ascii="Times New Roman"/>
        </w:rPr>
        <w:t>北京大学、中国环境科学研究院。</w:t>
      </w:r>
    </w:p>
    <w:p w14:paraId="1B5F911E">
      <w:pPr>
        <w:pStyle w:val="27"/>
        <w:ind w:firstLine="420"/>
        <w:rPr>
          <w:rFonts w:ascii="Times New Roman"/>
        </w:rPr>
      </w:pPr>
      <w:r>
        <w:rPr>
          <w:rFonts w:ascii="Times New Roman"/>
        </w:rPr>
        <w:t>本文件主要起草人：张含笑、梁中耀、李东锋、霍守亮、张亚捷、张靖天、马春子、翁南燕、</w:t>
      </w:r>
      <w:r>
        <w:rPr>
          <w:rFonts w:hint="eastAsia" w:ascii="Times New Roman"/>
        </w:rPr>
        <w:t>肖喆、王婧</w:t>
      </w:r>
      <w:r>
        <w:rPr>
          <w:rFonts w:ascii="Times New Roman"/>
        </w:rPr>
        <w:t>。</w:t>
      </w:r>
    </w:p>
    <w:p w14:paraId="14F30A2F">
      <w:pPr>
        <w:pStyle w:val="27"/>
        <w:ind w:firstLine="0" w:firstLineChars="0"/>
        <w:rPr>
          <w:rFonts w:ascii="Times New Roman"/>
        </w:rPr>
        <w:sectPr>
          <w:headerReference r:id="rId11" w:type="default"/>
          <w:footerReference r:id="rId13" w:type="default"/>
          <w:headerReference r:id="rId12" w:type="even"/>
          <w:footerReference r:id="rId14" w:type="even"/>
          <w:pgSz w:w="11906" w:h="16838"/>
          <w:pgMar w:top="2410" w:right="1134" w:bottom="1134" w:left="1134" w:header="1418" w:footer="1134" w:gutter="284"/>
          <w:pgNumType w:fmt="upperRoman"/>
          <w:cols w:space="425" w:num="1"/>
          <w:formProt w:val="0"/>
          <w:docGrid w:linePitch="312" w:charSpace="0"/>
        </w:sectPr>
      </w:pPr>
    </w:p>
    <w:bookmarkEnd w:id="17"/>
    <w:p w14:paraId="526DF251">
      <w:pPr>
        <w:spacing w:line="20" w:lineRule="exact"/>
        <w:jc w:val="center"/>
        <w:rPr>
          <w:rFonts w:eastAsia="黑体"/>
          <w:sz w:val="32"/>
          <w:szCs w:val="32"/>
        </w:rPr>
      </w:pPr>
      <w:bookmarkStart w:id="18" w:name="BookMark4"/>
    </w:p>
    <w:p w14:paraId="5EF5E29E">
      <w:pPr>
        <w:pStyle w:val="40"/>
        <w:spacing w:after="528" w:afterLines="220"/>
        <w:rPr>
          <w:rFonts w:ascii="Times New Roman" w:hAnsi="Times New Roman"/>
        </w:rPr>
      </w:pPr>
      <w:bookmarkStart w:id="19" w:name="NEW_STAND_NAME"/>
      <w:r>
        <w:rPr>
          <w:rFonts w:ascii="Times New Roman" w:hAnsi="Times New Roman"/>
        </w:rPr>
        <w:t>黄河流域湖库氮磷阈值制定技术指南</w:t>
      </w:r>
    </w:p>
    <w:bookmarkEnd w:id="19"/>
    <w:p w14:paraId="1A03B565">
      <w:pPr>
        <w:pStyle w:val="41"/>
        <w:spacing w:before="240" w:after="240"/>
        <w:rPr>
          <w:rFonts w:ascii="Times New Roman"/>
        </w:rPr>
      </w:pPr>
      <w:bookmarkStart w:id="20" w:name="_Toc77262523"/>
      <w:bookmarkStart w:id="21" w:name="_Toc232496898"/>
      <w:bookmarkStart w:id="22" w:name="_Toc24884218"/>
      <w:bookmarkStart w:id="23" w:name="_Toc17233325"/>
      <w:bookmarkStart w:id="24" w:name="_Toc24884211"/>
      <w:bookmarkStart w:id="25" w:name="_Toc26986530"/>
      <w:bookmarkStart w:id="26" w:name="_Toc26648465"/>
      <w:bookmarkStart w:id="27" w:name="_Toc17233333"/>
      <w:bookmarkStart w:id="28" w:name="_Toc26986771"/>
      <w:bookmarkStart w:id="29" w:name="_Toc26718930"/>
      <w:r>
        <w:rPr>
          <w:rFonts w:ascii="Times New Roman"/>
        </w:rPr>
        <w:t>范围</w:t>
      </w:r>
      <w:bookmarkEnd w:id="20"/>
      <w:bookmarkEnd w:id="21"/>
      <w:bookmarkEnd w:id="22"/>
      <w:bookmarkEnd w:id="23"/>
      <w:bookmarkEnd w:id="24"/>
      <w:bookmarkEnd w:id="25"/>
      <w:bookmarkEnd w:id="26"/>
      <w:bookmarkEnd w:id="27"/>
      <w:bookmarkEnd w:id="28"/>
      <w:bookmarkEnd w:id="29"/>
    </w:p>
    <w:p w14:paraId="14FE9DA9">
      <w:pPr>
        <w:pStyle w:val="27"/>
        <w:ind w:firstLine="420"/>
        <w:rPr>
          <w:rFonts w:ascii="Times New Roman"/>
        </w:rPr>
      </w:pPr>
      <w:bookmarkStart w:id="30" w:name="_Toc24884219"/>
      <w:bookmarkStart w:id="31" w:name="_Toc24884212"/>
      <w:bookmarkStart w:id="32" w:name="_Toc17233334"/>
      <w:bookmarkStart w:id="33" w:name="_Toc17233326"/>
      <w:bookmarkStart w:id="34" w:name="_Toc26648466"/>
      <w:r>
        <w:rPr>
          <w:rFonts w:ascii="Times New Roman"/>
        </w:rPr>
        <w:t>本文件规定了黄河流域内区域湖泊、水库氮磷阈值制定的技术流程、数据收集与要求、候选指标及筛选、阈值制定方法选择、阈值推导、阈值验证与审核、阈值表征与应用。</w:t>
      </w:r>
    </w:p>
    <w:p w14:paraId="015ADEEC">
      <w:pPr>
        <w:pStyle w:val="27"/>
        <w:ind w:firstLine="420"/>
        <w:rPr>
          <w:rFonts w:ascii="Times New Roman"/>
        </w:rPr>
      </w:pPr>
      <w:r>
        <w:rPr>
          <w:rFonts w:ascii="Times New Roman"/>
        </w:rPr>
        <w:t>本文件适用于黄河流域内区域湖库氮磷阈值的制定工作。单个湖泊或水库的</w:t>
      </w:r>
      <w:r>
        <w:rPr>
          <w:rFonts w:hint="eastAsia" w:ascii="Times New Roman"/>
        </w:rPr>
        <w:t>氮磷</w:t>
      </w:r>
      <w:r>
        <w:rPr>
          <w:rFonts w:ascii="Times New Roman"/>
        </w:rPr>
        <w:t>阈值制定可参照执行。</w:t>
      </w:r>
    </w:p>
    <w:p w14:paraId="4E38735B">
      <w:pPr>
        <w:pStyle w:val="41"/>
        <w:spacing w:before="240" w:after="240"/>
        <w:rPr>
          <w:rFonts w:ascii="Times New Roman"/>
        </w:rPr>
      </w:pPr>
      <w:bookmarkStart w:id="35" w:name="_Toc26986772"/>
      <w:bookmarkStart w:id="36" w:name="_Toc26986531"/>
      <w:bookmarkStart w:id="37" w:name="_Toc77262524"/>
      <w:bookmarkStart w:id="38" w:name="_Toc232496899"/>
      <w:bookmarkStart w:id="39" w:name="_Toc26718931"/>
      <w:r>
        <w:rPr>
          <w:rFonts w:ascii="Times New Roman"/>
        </w:rPr>
        <w:t>规范性引用文件</w:t>
      </w:r>
      <w:bookmarkEnd w:id="30"/>
      <w:bookmarkEnd w:id="31"/>
      <w:bookmarkEnd w:id="32"/>
      <w:bookmarkEnd w:id="33"/>
      <w:bookmarkEnd w:id="34"/>
      <w:bookmarkEnd w:id="35"/>
      <w:bookmarkEnd w:id="36"/>
      <w:bookmarkEnd w:id="37"/>
      <w:bookmarkEnd w:id="38"/>
      <w:bookmarkEnd w:id="39"/>
    </w:p>
    <w:p w14:paraId="66AE5055">
      <w:pPr>
        <w:pStyle w:val="27"/>
        <w:ind w:firstLine="420"/>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073C4E6D">
      <w:pPr>
        <w:pStyle w:val="27"/>
        <w:ind w:firstLine="420"/>
        <w:rPr>
          <w:rFonts w:ascii="Times New Roman"/>
        </w:rPr>
      </w:pPr>
      <w:r>
        <w:rPr>
          <w:rFonts w:ascii="Times New Roman"/>
        </w:rPr>
        <w:t>GB 11893 水质 总磷的测定 钼酸铵分光光度法</w:t>
      </w:r>
    </w:p>
    <w:p w14:paraId="71836FB5">
      <w:pPr>
        <w:pStyle w:val="27"/>
        <w:ind w:firstLine="420"/>
        <w:rPr>
          <w:rFonts w:ascii="Times New Roman"/>
        </w:rPr>
      </w:pPr>
      <w:r>
        <w:rPr>
          <w:rFonts w:ascii="Times New Roman"/>
        </w:rPr>
        <w:t>GB 13200 水质 浊度的测定</w:t>
      </w:r>
    </w:p>
    <w:p w14:paraId="00355FD3">
      <w:pPr>
        <w:pStyle w:val="27"/>
        <w:ind w:firstLine="420"/>
        <w:rPr>
          <w:rFonts w:ascii="Times New Roman"/>
        </w:rPr>
      </w:pPr>
      <w:r>
        <w:rPr>
          <w:rFonts w:hint="eastAsia" w:ascii="Times New Roman"/>
        </w:rPr>
        <w:t xml:space="preserve">HJ 1296  </w:t>
      </w:r>
      <w:r>
        <w:rPr>
          <w:rFonts w:ascii="Times New Roman"/>
        </w:rPr>
        <w:t>水生态监测技术指南 湖泊和水库水生生物监测与评价 (试行)</w:t>
      </w:r>
    </w:p>
    <w:p w14:paraId="6F4EF493">
      <w:pPr>
        <w:pStyle w:val="27"/>
        <w:ind w:firstLine="420"/>
        <w:rPr>
          <w:rFonts w:ascii="Times New Roman"/>
        </w:rPr>
      </w:pPr>
      <w:r>
        <w:rPr>
          <w:rFonts w:ascii="Times New Roman"/>
        </w:rPr>
        <w:t>HJ 199 水质 总氮的测定 气相分子吸收光谱法</w:t>
      </w:r>
    </w:p>
    <w:p w14:paraId="43098F5B">
      <w:pPr>
        <w:pStyle w:val="27"/>
        <w:ind w:firstLine="420"/>
        <w:rPr>
          <w:rFonts w:ascii="Times New Roman"/>
        </w:rPr>
      </w:pPr>
      <w:r>
        <w:rPr>
          <w:rFonts w:ascii="Times New Roman"/>
        </w:rPr>
        <w:t>HJ 636 水质 总氮的测定 碱性过硫酸钾消解紫外分光光度法</w:t>
      </w:r>
    </w:p>
    <w:p w14:paraId="60CD7BE2">
      <w:pPr>
        <w:pStyle w:val="27"/>
        <w:ind w:firstLine="420"/>
        <w:rPr>
          <w:rFonts w:ascii="Times New Roman"/>
        </w:rPr>
      </w:pPr>
      <w:r>
        <w:rPr>
          <w:rFonts w:ascii="Times New Roman"/>
        </w:rPr>
        <w:t>HJ 667 水质 总氮的测定 连续流动-盐酸萘乙二胺分光光度法</w:t>
      </w:r>
    </w:p>
    <w:p w14:paraId="46168789">
      <w:pPr>
        <w:pStyle w:val="27"/>
        <w:ind w:firstLine="420"/>
        <w:rPr>
          <w:rFonts w:ascii="Times New Roman"/>
        </w:rPr>
      </w:pPr>
      <w:r>
        <w:rPr>
          <w:rFonts w:ascii="Times New Roman"/>
        </w:rPr>
        <w:t>HJ 668 水质 总氮的测定 流动注射-盐酸萘乙二胺分光光度法</w:t>
      </w:r>
    </w:p>
    <w:p w14:paraId="695A64F7">
      <w:pPr>
        <w:pStyle w:val="27"/>
        <w:ind w:firstLine="420"/>
        <w:rPr>
          <w:rFonts w:ascii="Times New Roman"/>
        </w:rPr>
      </w:pPr>
      <w:r>
        <w:rPr>
          <w:rFonts w:ascii="Times New Roman"/>
        </w:rPr>
        <w:t>HJ 670 水质 磷酸盐和总磷的测定 连续流动-钼酸铵分光光度法</w:t>
      </w:r>
    </w:p>
    <w:p w14:paraId="4BE03B89">
      <w:pPr>
        <w:pStyle w:val="27"/>
        <w:ind w:firstLine="420"/>
        <w:rPr>
          <w:rFonts w:ascii="Times New Roman"/>
        </w:rPr>
      </w:pPr>
      <w:r>
        <w:rPr>
          <w:rFonts w:ascii="Times New Roman"/>
        </w:rPr>
        <w:t>HJ 671 水质 总磷的测定 流动注射-钼酸铵分光光度法</w:t>
      </w:r>
    </w:p>
    <w:p w14:paraId="7458CE82">
      <w:pPr>
        <w:pStyle w:val="27"/>
        <w:ind w:firstLine="420"/>
        <w:rPr>
          <w:rFonts w:ascii="Times New Roman"/>
        </w:rPr>
      </w:pPr>
      <w:r>
        <w:rPr>
          <w:rFonts w:ascii="Times New Roman"/>
        </w:rPr>
        <w:t>HJ 838 湖泊营养物基准制定技术指南</w:t>
      </w:r>
    </w:p>
    <w:p w14:paraId="0DF745F8">
      <w:pPr>
        <w:pStyle w:val="27"/>
        <w:ind w:firstLine="420"/>
        <w:rPr>
          <w:rFonts w:ascii="Times New Roman"/>
        </w:rPr>
      </w:pPr>
      <w:r>
        <w:rPr>
          <w:rFonts w:ascii="Times New Roman"/>
        </w:rPr>
        <w:t>HJ 897 水质 叶绿素a的测定 分光光度法</w:t>
      </w:r>
    </w:p>
    <w:p w14:paraId="6243EE91">
      <w:pPr>
        <w:pStyle w:val="27"/>
        <w:ind w:firstLine="420"/>
        <w:rPr>
          <w:rFonts w:ascii="Times New Roman"/>
        </w:rPr>
      </w:pPr>
      <w:r>
        <w:rPr>
          <w:rFonts w:ascii="Times New Roman"/>
        </w:rPr>
        <w:t>HJ 91.2 地表水环境质量监测技术规范</w:t>
      </w:r>
    </w:p>
    <w:p w14:paraId="632428B6">
      <w:pPr>
        <w:pStyle w:val="27"/>
        <w:ind w:firstLine="420"/>
        <w:rPr>
          <w:rFonts w:ascii="Times New Roman"/>
        </w:rPr>
      </w:pPr>
      <w:r>
        <w:rPr>
          <w:rFonts w:ascii="Times New Roman"/>
        </w:rPr>
        <w:t>SL 339 水库水文泥沙观测规范</w:t>
      </w:r>
    </w:p>
    <w:p w14:paraId="7D3AA781">
      <w:pPr>
        <w:pStyle w:val="27"/>
        <w:ind w:firstLine="420"/>
        <w:rPr>
          <w:rFonts w:ascii="Times New Roman"/>
        </w:rPr>
      </w:pPr>
      <w:r>
        <w:rPr>
          <w:rFonts w:ascii="Times New Roman"/>
        </w:rPr>
        <w:t xml:space="preserve">SL 42 </w:t>
      </w:r>
      <w:r>
        <w:rPr>
          <w:rFonts w:hint="eastAsia" w:ascii="Times New Roman"/>
        </w:rPr>
        <w:t xml:space="preserve"> </w:t>
      </w:r>
      <w:r>
        <w:rPr>
          <w:rFonts w:ascii="Times New Roman"/>
        </w:rPr>
        <w:t>河流泥沙颗粒分析规程</w:t>
      </w:r>
    </w:p>
    <w:p w14:paraId="4E38F473">
      <w:pPr>
        <w:pStyle w:val="27"/>
        <w:ind w:firstLine="420"/>
        <w:rPr>
          <w:rFonts w:ascii="Times New Roman"/>
        </w:rPr>
      </w:pPr>
      <w:r>
        <w:rPr>
          <w:rFonts w:ascii="Times New Roman"/>
        </w:rPr>
        <w:t xml:space="preserve">SL 87 </w:t>
      </w:r>
      <w:r>
        <w:rPr>
          <w:rFonts w:hint="eastAsia" w:ascii="Times New Roman"/>
        </w:rPr>
        <w:t xml:space="preserve"> </w:t>
      </w:r>
      <w:r>
        <w:rPr>
          <w:rFonts w:ascii="Times New Roman"/>
        </w:rPr>
        <w:t>透明度的测定</w:t>
      </w:r>
    </w:p>
    <w:p w14:paraId="7A06D1E4">
      <w:pPr>
        <w:pStyle w:val="27"/>
        <w:ind w:firstLine="420"/>
        <w:rPr>
          <w:rFonts w:ascii="Times New Roman"/>
        </w:rPr>
      </w:pPr>
      <w:r>
        <w:rPr>
          <w:rFonts w:ascii="Times New Roman"/>
        </w:rPr>
        <w:t xml:space="preserve">SL 88 </w:t>
      </w:r>
      <w:r>
        <w:rPr>
          <w:rFonts w:hint="eastAsia" w:ascii="Times New Roman"/>
        </w:rPr>
        <w:t xml:space="preserve"> </w:t>
      </w:r>
      <w:r>
        <w:rPr>
          <w:rFonts w:ascii="Times New Roman"/>
        </w:rPr>
        <w:t>水质 叶绿素的测定 分光光度法</w:t>
      </w:r>
    </w:p>
    <w:p w14:paraId="5EAE40C0">
      <w:pPr>
        <w:pStyle w:val="41"/>
        <w:spacing w:before="240" w:after="240"/>
        <w:rPr>
          <w:rFonts w:ascii="Times New Roman"/>
        </w:rPr>
      </w:pPr>
      <w:bookmarkStart w:id="40" w:name="_Toc232413546"/>
      <w:bookmarkEnd w:id="40"/>
      <w:bookmarkStart w:id="41" w:name="_Toc232413548"/>
      <w:bookmarkEnd w:id="41"/>
      <w:bookmarkStart w:id="42" w:name="_Toc232413538"/>
      <w:bookmarkEnd w:id="42"/>
      <w:bookmarkStart w:id="43" w:name="_Toc232413537"/>
      <w:bookmarkEnd w:id="43"/>
      <w:bookmarkStart w:id="44" w:name="_Toc232413539"/>
      <w:bookmarkEnd w:id="44"/>
      <w:bookmarkStart w:id="45" w:name="_Toc232413541"/>
      <w:bookmarkEnd w:id="45"/>
      <w:bookmarkStart w:id="46" w:name="_Toc232413535"/>
      <w:bookmarkEnd w:id="46"/>
      <w:bookmarkStart w:id="47" w:name="_Toc232413545"/>
      <w:bookmarkEnd w:id="47"/>
      <w:bookmarkStart w:id="48" w:name="_Toc232413542"/>
      <w:bookmarkEnd w:id="48"/>
      <w:bookmarkStart w:id="49" w:name="_Toc232413547"/>
      <w:bookmarkEnd w:id="49"/>
      <w:bookmarkStart w:id="50" w:name="_Toc232413534"/>
      <w:bookmarkEnd w:id="50"/>
      <w:bookmarkStart w:id="51" w:name="_Toc232413550"/>
      <w:bookmarkEnd w:id="51"/>
      <w:bookmarkStart w:id="52" w:name="_Toc232413544"/>
      <w:bookmarkEnd w:id="52"/>
      <w:bookmarkStart w:id="53" w:name="_Toc232413536"/>
      <w:bookmarkEnd w:id="53"/>
      <w:bookmarkStart w:id="54" w:name="_Toc232413543"/>
      <w:bookmarkEnd w:id="54"/>
      <w:bookmarkStart w:id="55" w:name="_Toc232413533"/>
      <w:bookmarkEnd w:id="55"/>
      <w:bookmarkStart w:id="56" w:name="_Toc232413549"/>
      <w:bookmarkEnd w:id="56"/>
      <w:bookmarkStart w:id="57" w:name="_Toc232413540"/>
      <w:bookmarkEnd w:id="57"/>
      <w:bookmarkStart w:id="58" w:name="_Toc232413532"/>
      <w:bookmarkEnd w:id="58"/>
      <w:bookmarkStart w:id="59" w:name="_Toc232496900"/>
      <w:bookmarkStart w:id="60" w:name="_Toc77262525"/>
      <w:r>
        <w:rPr>
          <w:rFonts w:ascii="Times New Roman"/>
          <w:szCs w:val="21"/>
        </w:rPr>
        <w:t>术语和定义</w:t>
      </w:r>
      <w:bookmarkEnd w:id="59"/>
      <w:bookmarkEnd w:id="60"/>
    </w:p>
    <w:p w14:paraId="27F52359">
      <w:pPr>
        <w:pStyle w:val="27"/>
        <w:ind w:firstLine="420"/>
      </w:pPr>
      <w:bookmarkStart w:id="61" w:name="_Toc26986532"/>
      <w:bookmarkEnd w:id="61"/>
      <w:r>
        <w:rPr>
          <w:rFonts w:ascii="Times New Roman"/>
        </w:rPr>
        <w:t>下列术语和定义适用于本文件。</w:t>
      </w:r>
      <w:bookmarkStart w:id="62" w:name="_Toc218519960"/>
      <w:bookmarkEnd w:id="62"/>
    </w:p>
    <w:p w14:paraId="7681088E">
      <w:pPr>
        <w:pStyle w:val="42"/>
        <w:spacing w:before="120" w:after="120"/>
        <w:rPr>
          <w:rFonts w:ascii="Times New Roman"/>
        </w:rPr>
      </w:pPr>
      <w:bookmarkStart w:id="63" w:name="_Toc232413555"/>
      <w:bookmarkEnd w:id="63"/>
      <w:bookmarkStart w:id="64" w:name="_Toc232413552"/>
      <w:bookmarkEnd w:id="64"/>
      <w:bookmarkStart w:id="65" w:name="_Toc232413554"/>
      <w:bookmarkEnd w:id="65"/>
      <w:bookmarkStart w:id="66" w:name="_Toc218519961"/>
      <w:bookmarkEnd w:id="66"/>
      <w:bookmarkStart w:id="67" w:name="_Toc232413553"/>
      <w:bookmarkEnd w:id="67"/>
      <w:bookmarkStart w:id="68" w:name="_Toc232496901"/>
      <w:bookmarkStart w:id="69" w:name="_Hlk215754797"/>
      <w:r>
        <w:rPr>
          <w:rFonts w:hint="eastAsia" w:ascii="Times New Roman"/>
        </w:rPr>
        <w:t>氮磷阈值</w:t>
      </w:r>
      <w:r>
        <w:rPr>
          <w:rFonts w:ascii="Times New Roman"/>
        </w:rPr>
        <w:t xml:space="preserve">  nitrogen and phosphorus ecological threshold</w:t>
      </w:r>
      <w:bookmarkEnd w:id="68"/>
    </w:p>
    <w:p w14:paraId="4F3219FC">
      <w:pPr>
        <w:pStyle w:val="27"/>
        <w:ind w:firstLine="420"/>
        <w:rPr>
          <w:rFonts w:ascii="Times New Roman"/>
        </w:rPr>
      </w:pPr>
      <w:r>
        <w:rPr>
          <w:rFonts w:ascii="Times New Roman"/>
        </w:rPr>
        <w:t>在特定水文和生态条件下，为防止水体富营养化或生态状态发生非期望转变，所设定的总氮、总磷浓度限值或范围。</w:t>
      </w:r>
    </w:p>
    <w:p w14:paraId="222D075C">
      <w:pPr>
        <w:pStyle w:val="27"/>
        <w:ind w:firstLine="420"/>
        <w:rPr>
          <w:rFonts w:ascii="Times New Roman"/>
        </w:rPr>
      </w:pPr>
      <w:r>
        <w:rPr>
          <w:rFonts w:ascii="Times New Roman"/>
        </w:rPr>
        <w:t xml:space="preserve"> [来源：HJ 838—2017</w:t>
      </w:r>
      <w:r>
        <w:rPr>
          <w:rFonts w:hint="eastAsia" w:ascii="Times New Roman"/>
        </w:rPr>
        <w:t xml:space="preserve"> 3.2节</w:t>
      </w:r>
      <w:r>
        <w:rPr>
          <w:rFonts w:ascii="Times New Roman"/>
        </w:rPr>
        <w:t>,有修改]</w:t>
      </w:r>
    </w:p>
    <w:bookmarkEnd w:id="69"/>
    <w:p w14:paraId="55A47C59">
      <w:pPr>
        <w:pStyle w:val="42"/>
        <w:spacing w:before="120" w:after="120"/>
        <w:rPr>
          <w:rFonts w:ascii="Times New Roman"/>
        </w:rPr>
      </w:pPr>
      <w:bookmarkStart w:id="70" w:name="_Toc232413562"/>
      <w:bookmarkEnd w:id="70"/>
      <w:bookmarkStart w:id="71" w:name="_Toc232413561"/>
      <w:bookmarkEnd w:id="71"/>
      <w:bookmarkStart w:id="72" w:name="_Toc232413560"/>
      <w:bookmarkEnd w:id="72"/>
      <w:bookmarkStart w:id="73" w:name="_Toc218519963"/>
      <w:bookmarkEnd w:id="73"/>
      <w:bookmarkStart w:id="74" w:name="_Toc232413559"/>
      <w:bookmarkEnd w:id="74"/>
      <w:bookmarkStart w:id="75" w:name="_Toc232413565"/>
      <w:bookmarkEnd w:id="75"/>
      <w:bookmarkStart w:id="76" w:name="_Toc232413557"/>
      <w:bookmarkEnd w:id="76"/>
      <w:bookmarkStart w:id="77" w:name="_Toc218519962"/>
      <w:bookmarkEnd w:id="77"/>
      <w:bookmarkStart w:id="78" w:name="_Toc232413558"/>
      <w:bookmarkEnd w:id="78"/>
      <w:bookmarkStart w:id="79" w:name="_Toc232413564"/>
      <w:bookmarkEnd w:id="79"/>
      <w:bookmarkStart w:id="80" w:name="_Toc232413563"/>
      <w:bookmarkEnd w:id="80"/>
      <w:bookmarkStart w:id="81" w:name="_Toc218519964"/>
      <w:bookmarkEnd w:id="81"/>
      <w:bookmarkStart w:id="82" w:name="_Toc232496902"/>
      <w:r>
        <w:rPr>
          <w:rFonts w:hint="eastAsia" w:ascii="Times New Roman"/>
        </w:rPr>
        <w:t>高浊度水体</w:t>
      </w:r>
      <w:r>
        <w:rPr>
          <w:rFonts w:ascii="Times New Roman"/>
        </w:rPr>
        <w:t xml:space="preserve"> high-turbidity water body</w:t>
      </w:r>
      <w:bookmarkEnd w:id="82"/>
    </w:p>
    <w:p w14:paraId="7F5FB0B2">
      <w:pPr>
        <w:pStyle w:val="27"/>
        <w:ind w:firstLine="420"/>
        <w:rPr>
          <w:rFonts w:ascii="Times New Roman"/>
        </w:rPr>
      </w:pPr>
      <w:r>
        <w:rPr>
          <w:rFonts w:ascii="Times New Roman"/>
        </w:rPr>
        <w:t>指由悬浮泥沙等非藻类颗粒物主导、浊度长期维持于较高水平，并对</w:t>
      </w:r>
      <w:r>
        <w:rPr>
          <w:rFonts w:hint="eastAsia" w:ascii="Times New Roman"/>
        </w:rPr>
        <w:t>氮磷营养物</w:t>
      </w:r>
      <w:r>
        <w:rPr>
          <w:rFonts w:ascii="Times New Roman"/>
        </w:rPr>
        <w:t>-藻类响应关系产生显著光限制作用的水体。基于黄河流域湖库压力-响应模型统计分析，本文件将连续3年及以上的多年平均浊度 ≥ 50 NTU 作为其操作定义。</w:t>
      </w:r>
    </w:p>
    <w:p w14:paraId="31C8A4AB">
      <w:pPr>
        <w:pStyle w:val="27"/>
        <w:ind w:firstLine="420"/>
        <w:rPr>
          <w:rFonts w:ascii="Times New Roman"/>
        </w:rPr>
      </w:pPr>
      <w:r>
        <w:rPr>
          <w:rFonts w:ascii="Times New Roman"/>
        </w:rPr>
        <w:t>注：本定义旨在界定对</w:t>
      </w:r>
      <w:r>
        <w:rPr>
          <w:rFonts w:hint="eastAsia" w:ascii="Times New Roman"/>
        </w:rPr>
        <w:t>氮磷营养物</w:t>
      </w:r>
      <w:r>
        <w:rPr>
          <w:rFonts w:ascii="Times New Roman"/>
        </w:rPr>
        <w:t>生态效应产生干扰的浊度条件，主要适用于由非藻类浊度主导的水体。应用时需结合水质数据予以判别。</w:t>
      </w:r>
    </w:p>
    <w:p w14:paraId="333CCF8B">
      <w:pPr>
        <w:pStyle w:val="41"/>
        <w:spacing w:before="240" w:after="240"/>
        <w:rPr>
          <w:rFonts w:ascii="Times New Roman"/>
        </w:rPr>
      </w:pPr>
      <w:bookmarkStart w:id="83" w:name="_Toc232496903"/>
      <w:r>
        <w:rPr>
          <w:rFonts w:ascii="Times New Roman"/>
        </w:rPr>
        <w:t>阈值制定技术流程</w:t>
      </w:r>
      <w:bookmarkEnd w:id="83"/>
    </w:p>
    <w:p w14:paraId="69267F9F">
      <w:pPr>
        <w:pStyle w:val="27"/>
        <w:ind w:firstLine="420"/>
        <w:rPr>
          <w:rFonts w:ascii="Times New Roman"/>
        </w:rPr>
      </w:pPr>
      <w:r>
        <w:rPr>
          <w:rFonts w:ascii="Times New Roman"/>
        </w:rPr>
        <w:t>黄河流域湖库氮磷阈值制定</w:t>
      </w:r>
      <w:r>
        <w:rPr>
          <w:rFonts w:hint="eastAsia" w:ascii="Times New Roman"/>
        </w:rPr>
        <w:t>按照图1技术流程</w:t>
      </w:r>
      <w:r>
        <w:rPr>
          <w:rFonts w:ascii="Times New Roman"/>
        </w:rPr>
        <w:t>。</w:t>
      </w:r>
    </w:p>
    <w:p w14:paraId="0AECD0A4">
      <w:pPr>
        <w:pStyle w:val="27"/>
        <w:ind w:firstLine="0" w:firstLineChars="0"/>
        <w:jc w:val="center"/>
        <w:rPr>
          <w:rFonts w:ascii="Times New Roman"/>
        </w:rPr>
      </w:pPr>
      <w:r>
        <w:rPr>
          <w:rFonts w:ascii="Times New Roman"/>
        </w:rPr>
        <w:drawing>
          <wp:inline distT="0" distB="0" distL="114300" distR="114300">
            <wp:extent cx="3436620" cy="1963420"/>
            <wp:effectExtent l="0" t="0" r="190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2"/>
                    <a:stretch>
                      <a:fillRect/>
                    </a:stretch>
                  </pic:blipFill>
                  <pic:spPr>
                    <a:xfrm>
                      <a:off x="0" y="0"/>
                      <a:ext cx="3436620" cy="1963420"/>
                    </a:xfrm>
                    <a:prstGeom prst="rect">
                      <a:avLst/>
                    </a:prstGeom>
                    <a:noFill/>
                    <a:ln>
                      <a:noFill/>
                    </a:ln>
                  </pic:spPr>
                </pic:pic>
              </a:graphicData>
            </a:graphic>
          </wp:inline>
        </w:drawing>
      </w:r>
    </w:p>
    <w:p w14:paraId="2C79FC21">
      <w:pPr>
        <w:pStyle w:val="27"/>
        <w:overflowPunct w:val="0"/>
        <w:spacing w:before="120" w:after="120"/>
        <w:ind w:firstLine="0" w:firstLineChars="0"/>
        <w:jc w:val="center"/>
        <w:rPr>
          <w:rFonts w:ascii="Times New Roman" w:eastAsia="黑体"/>
        </w:rPr>
      </w:pPr>
      <w:r>
        <w:rPr>
          <w:rFonts w:ascii="Times New Roman" w:eastAsia="黑体"/>
        </w:rPr>
        <w:t>图1  黄河流域湖库氮磷阈值制定技术流程</w:t>
      </w:r>
    </w:p>
    <w:p w14:paraId="41FBDE5B">
      <w:pPr>
        <w:pStyle w:val="41"/>
        <w:spacing w:before="240" w:after="240"/>
        <w:rPr>
          <w:rFonts w:ascii="Times New Roman"/>
        </w:rPr>
      </w:pPr>
      <w:bookmarkStart w:id="84" w:name="_Toc232496904"/>
      <w:r>
        <w:rPr>
          <w:rFonts w:ascii="Times New Roman"/>
        </w:rPr>
        <w:t>数据收集与要求</w:t>
      </w:r>
      <w:bookmarkEnd w:id="84"/>
    </w:p>
    <w:p w14:paraId="768E224C">
      <w:pPr>
        <w:pStyle w:val="42"/>
        <w:spacing w:before="120" w:after="120"/>
        <w:rPr>
          <w:rFonts w:ascii="Times New Roman"/>
        </w:rPr>
      </w:pPr>
      <w:bookmarkStart w:id="85" w:name="_Toc232496905"/>
      <w:r>
        <w:rPr>
          <w:rFonts w:ascii="Times New Roman"/>
        </w:rPr>
        <w:t>数据来源</w:t>
      </w:r>
      <w:bookmarkEnd w:id="85"/>
    </w:p>
    <w:p w14:paraId="5405BFF7">
      <w:pPr>
        <w:pStyle w:val="27"/>
        <w:ind w:firstLine="420"/>
        <w:rPr>
          <w:rFonts w:ascii="Times New Roman"/>
        </w:rPr>
      </w:pPr>
      <w:r>
        <w:rPr>
          <w:rFonts w:ascii="Times New Roman"/>
        </w:rPr>
        <w:t>数据来源应遵循《地表水环境质量监测技术规范》（HJ 91.2）</w:t>
      </w:r>
      <w:r>
        <w:rPr>
          <w:rFonts w:hint="eastAsia" w:ascii="Times New Roman"/>
        </w:rPr>
        <w:t>、《水库水文泥沙观测规范》（SL 339）、</w:t>
      </w:r>
      <w:r>
        <w:rPr>
          <w:rFonts w:ascii="Times New Roman"/>
        </w:rPr>
        <w:t>《水生态监测技术指南 湖泊和水库水生生物监测与评价 (试行)》</w:t>
      </w:r>
      <w:r>
        <w:rPr>
          <w:rFonts w:hint="eastAsia" w:ascii="Times New Roman"/>
        </w:rPr>
        <w:t>（HJ 1296）</w:t>
      </w:r>
      <w:r>
        <w:rPr>
          <w:rFonts w:ascii="Times New Roman"/>
        </w:rPr>
        <w:t>的相关规定，以国家和地方环境监测网络的规范监测数据为主，科研机构按标准方法采集的数据为辅。对于其他来源数据（如公开发表文献），应核查其采样、测量和分析方法是否符合相应国家标准或行业标准的要求。</w:t>
      </w:r>
    </w:p>
    <w:p w14:paraId="30DE0637">
      <w:pPr>
        <w:pStyle w:val="42"/>
        <w:spacing w:before="120" w:after="120"/>
      </w:pPr>
      <w:bookmarkStart w:id="86" w:name="_Toc232496906"/>
      <w:r>
        <w:t>数据收集内容</w:t>
      </w:r>
      <w:bookmarkEnd w:id="86"/>
    </w:p>
    <w:p w14:paraId="2354DAC9">
      <w:pPr>
        <w:pStyle w:val="27"/>
        <w:ind w:firstLine="420"/>
        <w:rPr>
          <w:rFonts w:ascii="Times New Roman"/>
        </w:rPr>
      </w:pPr>
      <w:r>
        <w:rPr>
          <w:rFonts w:hint="eastAsia" w:ascii="Times New Roman"/>
        </w:rPr>
        <w:t>用于氮磷阈值制定的数据应包括以下类别：</w:t>
      </w:r>
    </w:p>
    <w:p w14:paraId="095A20F9">
      <w:pPr>
        <w:pStyle w:val="27"/>
        <w:ind w:firstLine="420"/>
        <w:rPr>
          <w:rFonts w:ascii="Times New Roman"/>
        </w:rPr>
      </w:pPr>
      <w:r>
        <w:rPr>
          <w:rFonts w:hint="eastAsia" w:ascii="Times New Roman"/>
        </w:rPr>
        <w:t>a) 水质数据</w:t>
      </w:r>
    </w:p>
    <w:p w14:paraId="291A060B">
      <w:pPr>
        <w:pStyle w:val="27"/>
        <w:ind w:firstLine="420"/>
        <w:rPr>
          <w:rFonts w:ascii="Times New Roman"/>
        </w:rPr>
      </w:pPr>
      <w:r>
        <w:rPr>
          <w:rFonts w:hint="eastAsia" w:ascii="Times New Roman"/>
        </w:rPr>
        <w:t>至少包含总氮（TN）、总磷（TP）、叶绿素a（Chl-a）、透明度（SD）和浊度。各指标的监测方法应符合5.4的规定。</w:t>
      </w:r>
    </w:p>
    <w:p w14:paraId="66669721">
      <w:pPr>
        <w:pStyle w:val="27"/>
        <w:ind w:firstLine="420"/>
        <w:rPr>
          <w:rFonts w:ascii="Times New Roman"/>
        </w:rPr>
      </w:pPr>
      <w:r>
        <w:rPr>
          <w:rFonts w:hint="eastAsia" w:ascii="Times New Roman"/>
        </w:rPr>
        <w:t>b) 水文数据</w:t>
      </w:r>
    </w:p>
    <w:p w14:paraId="661CB306">
      <w:pPr>
        <w:pStyle w:val="27"/>
        <w:ind w:firstLine="420"/>
        <w:rPr>
          <w:rFonts w:ascii="Times New Roman"/>
        </w:rPr>
      </w:pPr>
      <w:r>
        <w:rPr>
          <w:rFonts w:hint="eastAsia" w:ascii="Times New Roman"/>
        </w:rPr>
        <w:t>包括流量、水位、水力停留时间（水库）、换水周期（湖泊）、水温分层特征等。</w:t>
      </w:r>
    </w:p>
    <w:p w14:paraId="760CE357">
      <w:pPr>
        <w:pStyle w:val="27"/>
        <w:ind w:firstLine="420"/>
        <w:rPr>
          <w:rFonts w:ascii="Times New Roman"/>
        </w:rPr>
      </w:pPr>
      <w:r>
        <w:rPr>
          <w:rFonts w:hint="eastAsia" w:ascii="Times New Roman"/>
        </w:rPr>
        <w:t>c) 形态与功能数据</w:t>
      </w:r>
    </w:p>
    <w:p w14:paraId="5E7EDB78">
      <w:pPr>
        <w:pStyle w:val="27"/>
        <w:ind w:firstLine="420"/>
        <w:rPr>
          <w:rFonts w:ascii="Times New Roman"/>
        </w:rPr>
      </w:pPr>
      <w:r>
        <w:rPr>
          <w:rFonts w:hint="eastAsia" w:ascii="Times New Roman"/>
        </w:rPr>
        <w:t>水库需收集坝底高程、正常蓄水位、死水位、水位-面积曲线、水位-库容曲线；湖泊需收集形态演变历史数据。同时需明确湖库的主导水体功能（如饮用水源、灌溉、生态保育等）。</w:t>
      </w:r>
    </w:p>
    <w:p w14:paraId="43B67358">
      <w:pPr>
        <w:pStyle w:val="27"/>
        <w:ind w:firstLine="420"/>
        <w:rPr>
          <w:rFonts w:ascii="Times New Roman"/>
        </w:rPr>
      </w:pPr>
      <w:r>
        <w:rPr>
          <w:rFonts w:hint="eastAsia" w:ascii="Times New Roman"/>
        </w:rPr>
        <w:t>d) 流域特征数据</w:t>
      </w:r>
    </w:p>
    <w:p w14:paraId="2ED4E466">
      <w:pPr>
        <w:pStyle w:val="27"/>
        <w:ind w:firstLine="420"/>
        <w:rPr>
          <w:rFonts w:ascii="Times New Roman"/>
        </w:rPr>
      </w:pPr>
      <w:r>
        <w:rPr>
          <w:rFonts w:hint="eastAsia" w:ascii="Times New Roman"/>
        </w:rPr>
        <w:t>包括湖库集水区内的土地利用类型、土壤侵蚀强度、植被覆盖度等，用于附录A的陆域生态系统健康评估。</w:t>
      </w:r>
    </w:p>
    <w:p w14:paraId="7098727B">
      <w:pPr>
        <w:pStyle w:val="42"/>
        <w:spacing w:before="120" w:after="120"/>
        <w:rPr>
          <w:rFonts w:ascii="Times New Roman"/>
        </w:rPr>
      </w:pPr>
      <w:bookmarkStart w:id="87" w:name="_Toc232496907"/>
      <w:r>
        <w:rPr>
          <w:rFonts w:ascii="Times New Roman"/>
        </w:rPr>
        <w:t>数据筛选原则</w:t>
      </w:r>
      <w:bookmarkEnd w:id="87"/>
    </w:p>
    <w:p w14:paraId="19BA18AA">
      <w:pPr>
        <w:pStyle w:val="27"/>
        <w:ind w:firstLine="420"/>
        <w:rPr>
          <w:rFonts w:ascii="Times New Roman"/>
        </w:rPr>
      </w:pPr>
      <w:r>
        <w:rPr>
          <w:rFonts w:hint="eastAsia" w:ascii="Times New Roman"/>
        </w:rPr>
        <w:t>a) 指标完整性</w:t>
      </w:r>
    </w:p>
    <w:p w14:paraId="22AA92A2">
      <w:pPr>
        <w:pStyle w:val="27"/>
        <w:ind w:firstLine="420"/>
        <w:rPr>
          <w:rFonts w:ascii="Times New Roman"/>
        </w:rPr>
      </w:pPr>
      <w:r>
        <w:rPr>
          <w:rFonts w:hint="eastAsia" w:ascii="Times New Roman"/>
        </w:rPr>
        <w:t>监测数据应至少包含TN、TP、Chl-a和SD四项必选指标。浊度为高浊度湖库（见7.1.2）的必选指标。</w:t>
      </w:r>
    </w:p>
    <w:p w14:paraId="0B321B79">
      <w:pPr>
        <w:pStyle w:val="27"/>
        <w:ind w:firstLine="420"/>
        <w:rPr>
          <w:rFonts w:ascii="Times New Roman"/>
        </w:rPr>
      </w:pPr>
      <w:r>
        <w:rPr>
          <w:rFonts w:hint="eastAsia" w:ascii="Times New Roman"/>
        </w:rPr>
        <w:t>b) 时空代表性</w:t>
      </w:r>
    </w:p>
    <w:p w14:paraId="751E348A">
      <w:pPr>
        <w:pStyle w:val="27"/>
        <w:ind w:firstLine="420"/>
        <w:rPr>
          <w:rFonts w:ascii="Times New Roman"/>
        </w:rPr>
      </w:pPr>
      <w:r>
        <w:rPr>
          <w:rFonts w:hint="eastAsia" w:ascii="Times New Roman"/>
        </w:rPr>
        <w:t>时间代表性：应包含丰水期、平水期和枯水期的监测数据。对于季节性波动显著的水体，应保证每个水文期均有代表性数据。</w:t>
      </w:r>
    </w:p>
    <w:p w14:paraId="7FDDC619">
      <w:pPr>
        <w:pStyle w:val="27"/>
        <w:ind w:firstLine="420"/>
        <w:rPr>
          <w:rFonts w:ascii="Times New Roman"/>
        </w:rPr>
      </w:pPr>
      <w:r>
        <w:rPr>
          <w:rFonts w:hint="eastAsia" w:ascii="Times New Roman"/>
        </w:rPr>
        <w:t>空间代表性：监测点位布设应遵循HJ 91.2中关于湖泊、水库监测断面和点位布设的原则，覆盖湖库的主要功能区、入库区、湖心区和出库区等关键区域。</w:t>
      </w:r>
    </w:p>
    <w:p w14:paraId="7A059B86">
      <w:pPr>
        <w:pStyle w:val="27"/>
        <w:ind w:firstLine="420"/>
        <w:rPr>
          <w:rFonts w:ascii="Times New Roman"/>
        </w:rPr>
      </w:pPr>
      <w:r>
        <w:rPr>
          <w:rFonts w:hint="eastAsia" w:ascii="Times New Roman"/>
        </w:rPr>
        <w:t>c) 数据系列长度</w:t>
      </w:r>
    </w:p>
    <w:p w14:paraId="748537EB">
      <w:pPr>
        <w:pStyle w:val="27"/>
        <w:ind w:firstLine="420"/>
        <w:rPr>
          <w:rFonts w:ascii="Times New Roman"/>
        </w:rPr>
      </w:pPr>
      <w:r>
        <w:rPr>
          <w:rFonts w:hint="eastAsia" w:ascii="Times New Roman"/>
        </w:rPr>
        <w:t>应采用过去10年内至少连续3个自然年的监测数据。对于数据系列不足3年的湖库，应按照HJ 838的要求开展补充监测。</w:t>
      </w:r>
    </w:p>
    <w:p w14:paraId="35BF19A0">
      <w:pPr>
        <w:pStyle w:val="27"/>
        <w:ind w:firstLine="420"/>
        <w:rPr>
          <w:rFonts w:ascii="Times New Roman"/>
        </w:rPr>
      </w:pPr>
      <w:r>
        <w:rPr>
          <w:rFonts w:hint="eastAsia" w:ascii="Times New Roman"/>
        </w:rPr>
        <w:t>d) 数据一致性</w:t>
      </w:r>
    </w:p>
    <w:p w14:paraId="4F30B7BF">
      <w:pPr>
        <w:pStyle w:val="27"/>
        <w:ind w:firstLine="420"/>
        <w:rPr>
          <w:rFonts w:ascii="Times New Roman"/>
        </w:rPr>
      </w:pPr>
      <w:r>
        <w:rPr>
          <w:rFonts w:hint="eastAsia" w:ascii="Times New Roman"/>
        </w:rPr>
        <w:t>同一区域或同一湖库的监测数据应保证监测方法、分析实验室和质量控制程序的一致性。</w:t>
      </w:r>
    </w:p>
    <w:p w14:paraId="49308C11">
      <w:pPr>
        <w:pStyle w:val="42"/>
        <w:spacing w:before="120" w:after="120"/>
        <w:rPr>
          <w:rFonts w:ascii="Times New Roman"/>
        </w:rPr>
      </w:pPr>
      <w:bookmarkStart w:id="88" w:name="_Toc232496908"/>
      <w:r>
        <w:rPr>
          <w:rFonts w:ascii="Times New Roman"/>
        </w:rPr>
        <w:t>数据质量要求</w:t>
      </w:r>
      <w:bookmarkEnd w:id="88"/>
    </w:p>
    <w:p w14:paraId="55F4C5A8">
      <w:pPr>
        <w:pStyle w:val="27"/>
        <w:ind w:firstLine="420"/>
        <w:rPr>
          <w:rFonts w:ascii="Times New Roman"/>
        </w:rPr>
      </w:pPr>
      <w:r>
        <w:rPr>
          <w:rFonts w:hint="eastAsia" w:ascii="Times New Roman"/>
        </w:rPr>
        <w:t>a) 监测站点：具有明确的站点信息，包括经纬度等地理位置参考信息。</w:t>
      </w:r>
    </w:p>
    <w:p w14:paraId="259068D1">
      <w:pPr>
        <w:pStyle w:val="27"/>
        <w:ind w:firstLine="420"/>
        <w:rPr>
          <w:rFonts w:ascii="Times New Roman"/>
        </w:rPr>
      </w:pPr>
      <w:r>
        <w:rPr>
          <w:rFonts w:hint="eastAsia" w:ascii="Times New Roman"/>
        </w:rPr>
        <w:t>b) 监测指标与分析方法：对同一监测指标应采用统一的标准分析方法。若采用某一种标准方法获取的监测数据太少，可使用其他标准方法得到的数据。</w:t>
      </w:r>
    </w:p>
    <w:p w14:paraId="360499F6">
      <w:pPr>
        <w:pStyle w:val="27"/>
        <w:ind w:firstLine="420"/>
        <w:rPr>
          <w:rFonts w:ascii="Times New Roman"/>
        </w:rPr>
      </w:pPr>
      <w:r>
        <w:rPr>
          <w:rFonts w:hint="eastAsia" w:ascii="Times New Roman"/>
        </w:rPr>
        <w:t>c) 实验室质量控制：符合实验室质量控制要求的监测数据可全部采用。</w:t>
      </w:r>
    </w:p>
    <w:p w14:paraId="16C2F17E">
      <w:pPr>
        <w:pStyle w:val="27"/>
        <w:ind w:firstLine="420"/>
        <w:rPr>
          <w:rFonts w:ascii="Times New Roman"/>
        </w:rPr>
      </w:pPr>
      <w:r>
        <w:rPr>
          <w:rFonts w:hint="eastAsia" w:ascii="Times New Roman"/>
        </w:rPr>
        <w:t>d) 监测频次：一般情况下，应在一个自然年内进行逐月监测；或至少在一个自然年内的春季、夏季、秋季各监测一次。</w:t>
      </w:r>
    </w:p>
    <w:p w14:paraId="18D2FAAC">
      <w:pPr>
        <w:pStyle w:val="42"/>
        <w:numPr>
          <w:ilvl w:val="0"/>
          <w:numId w:val="0"/>
        </w:numPr>
        <w:spacing w:before="120" w:after="120"/>
        <w:rPr>
          <w:rFonts w:ascii="Times New Roman"/>
        </w:rPr>
      </w:pPr>
      <w:bookmarkStart w:id="89" w:name="_Toc232496909"/>
      <w:r>
        <w:rPr>
          <w:rFonts w:ascii="Times New Roman"/>
        </w:rPr>
        <w:t>5.</w:t>
      </w:r>
      <w:r>
        <w:rPr>
          <w:rFonts w:hint="eastAsia" w:ascii="Times New Roman"/>
        </w:rPr>
        <w:t>5</w:t>
      </w:r>
      <w:r>
        <w:rPr>
          <w:rFonts w:ascii="Times New Roman"/>
        </w:rPr>
        <w:t xml:space="preserve"> 湖泊和水库数据</w:t>
      </w:r>
      <w:r>
        <w:rPr>
          <w:rFonts w:hint="eastAsia" w:ascii="Times New Roman"/>
        </w:rPr>
        <w:t>收集要点</w:t>
      </w:r>
      <w:bookmarkEnd w:id="89"/>
    </w:p>
    <w:p w14:paraId="095B7563">
      <w:pPr>
        <w:pStyle w:val="27"/>
        <w:ind w:firstLine="420"/>
        <w:rPr>
          <w:rFonts w:ascii="Times New Roman"/>
        </w:rPr>
      </w:pPr>
      <w:r>
        <w:rPr>
          <w:rFonts w:hint="eastAsia" w:ascii="Times New Roman"/>
        </w:rPr>
        <w:t>在应用本指南时，湖泊与水库遵循统一的技术框架，但数据收集应关注以下要点：</w:t>
      </w:r>
    </w:p>
    <w:p w14:paraId="360B870C">
      <w:pPr>
        <w:pStyle w:val="27"/>
        <w:ind w:firstLine="420"/>
        <w:rPr>
          <w:rFonts w:ascii="Times New Roman"/>
        </w:rPr>
      </w:pPr>
      <w:r>
        <w:rPr>
          <w:rFonts w:hint="eastAsia" w:ascii="Times New Roman"/>
        </w:rPr>
        <w:t>a) 水文特征：水库应重点关注水力停留时间、泄流方式、水温分层及调度规律（如汛期排沙）对氮磷输移、转化与赋存形态的影响。湖泊则应更多关注风浪扰动、换水周期等。</w:t>
      </w:r>
    </w:p>
    <w:p w14:paraId="46C2C333">
      <w:pPr>
        <w:pStyle w:val="27"/>
        <w:ind w:firstLine="420"/>
        <w:rPr>
          <w:rFonts w:ascii="Times New Roman"/>
        </w:rPr>
      </w:pPr>
      <w:r>
        <w:rPr>
          <w:rFonts w:hint="eastAsia" w:ascii="Times New Roman"/>
        </w:rPr>
        <w:t>b) 泥沙与浊度：水库，特别是承担调水调沙任务的水库，其入库泥沙输移、坝前沉降与再悬浮过程复杂，浊度时空异质性极强。相关监测数据（如垂向浊度剖面）需专门设计，并在数据预处理时考虑其特殊性。</w:t>
      </w:r>
    </w:p>
    <w:p w14:paraId="7E9FA431">
      <w:pPr>
        <w:pStyle w:val="27"/>
        <w:ind w:firstLine="420"/>
        <w:rPr>
          <w:rFonts w:ascii="Times New Roman"/>
        </w:rPr>
      </w:pPr>
      <w:r>
        <w:rPr>
          <w:rFonts w:hint="eastAsia" w:ascii="Times New Roman"/>
        </w:rPr>
        <w:t>c) 形态与功能数据：水库需收集坝底高程、正常蓄水位、死水位、水位-面积曲线、水位-库容曲线；湖泊需收集形态演变历史数据。两者均需明确主导水体功能。</w:t>
      </w:r>
    </w:p>
    <w:p w14:paraId="625374D4">
      <w:pPr>
        <w:pStyle w:val="41"/>
        <w:spacing w:before="240" w:after="240"/>
        <w:rPr>
          <w:rFonts w:ascii="Times New Roman"/>
        </w:rPr>
      </w:pPr>
      <w:bookmarkStart w:id="90" w:name="_Toc232496910"/>
      <w:r>
        <w:rPr>
          <w:rFonts w:ascii="Times New Roman"/>
        </w:rPr>
        <w:t>候选指标及筛选</w:t>
      </w:r>
      <w:bookmarkEnd w:id="90"/>
    </w:p>
    <w:p w14:paraId="24E503BB">
      <w:pPr>
        <w:pStyle w:val="42"/>
        <w:numPr>
          <w:ilvl w:val="0"/>
          <w:numId w:val="0"/>
        </w:numPr>
        <w:spacing w:before="120" w:after="120"/>
        <w:rPr>
          <w:rFonts w:ascii="Times New Roman"/>
        </w:rPr>
      </w:pPr>
      <w:bookmarkStart w:id="91" w:name="_Toc232496911"/>
      <w:r>
        <w:rPr>
          <w:rFonts w:ascii="Times New Roman"/>
        </w:rPr>
        <w:t>6.1 候选指标库</w:t>
      </w:r>
      <w:bookmarkEnd w:id="91"/>
    </w:p>
    <w:p w14:paraId="4C921BBF">
      <w:pPr>
        <w:pStyle w:val="27"/>
        <w:ind w:firstLine="420"/>
        <w:rPr>
          <w:rFonts w:ascii="Times New Roman"/>
        </w:rPr>
      </w:pPr>
      <w:r>
        <w:rPr>
          <w:rFonts w:ascii="Times New Roman"/>
        </w:rPr>
        <w:t>建立包含营养物指标、生物学指标、</w:t>
      </w:r>
      <w:r>
        <w:rPr>
          <w:rFonts w:hint="eastAsia" w:ascii="Times New Roman"/>
        </w:rPr>
        <w:t>辅助</w:t>
      </w:r>
      <w:r>
        <w:rPr>
          <w:rFonts w:ascii="Times New Roman"/>
        </w:rPr>
        <w:t>指标的候选指标库。</w:t>
      </w:r>
    </w:p>
    <w:p w14:paraId="1C3F5292">
      <w:pPr>
        <w:pStyle w:val="43"/>
        <w:spacing w:before="120" w:after="120"/>
        <w:rPr>
          <w:rFonts w:ascii="Times New Roman"/>
        </w:rPr>
      </w:pPr>
      <w:r>
        <w:rPr>
          <w:rFonts w:ascii="Times New Roman"/>
        </w:rPr>
        <w:t>营养物指标</w:t>
      </w:r>
    </w:p>
    <w:p w14:paraId="444F645C">
      <w:pPr>
        <w:pStyle w:val="27"/>
        <w:ind w:firstLine="420"/>
        <w:rPr>
          <w:rFonts w:ascii="Times New Roman"/>
        </w:rPr>
      </w:pPr>
      <w:r>
        <w:rPr>
          <w:rFonts w:ascii="Times New Roman"/>
        </w:rPr>
        <w:t>a) 总磷（TP）：单位为μg/L或mg/L</w:t>
      </w:r>
      <w:r>
        <w:rPr>
          <w:rFonts w:hint="eastAsia" w:ascii="Times New Roman"/>
        </w:rPr>
        <w:t>，</w:t>
      </w:r>
      <w:r>
        <w:rPr>
          <w:rFonts w:ascii="Times New Roman"/>
        </w:rPr>
        <w:t xml:space="preserve">作为主要的压力指标，用于后续与响应指标建立关系。 </w:t>
      </w:r>
    </w:p>
    <w:p w14:paraId="459DA3FE">
      <w:pPr>
        <w:pStyle w:val="27"/>
        <w:ind w:firstLine="420"/>
        <w:rPr>
          <w:rFonts w:ascii="Times New Roman"/>
        </w:rPr>
      </w:pPr>
      <w:r>
        <w:rPr>
          <w:rFonts w:ascii="Times New Roman"/>
        </w:rPr>
        <w:t>b) 总氮（TN）：单位为μg/L或mg/L</w:t>
      </w:r>
      <w:r>
        <w:rPr>
          <w:rFonts w:hint="eastAsia" w:ascii="Times New Roman"/>
        </w:rPr>
        <w:t>，</w:t>
      </w:r>
      <w:r>
        <w:rPr>
          <w:rFonts w:ascii="Times New Roman"/>
        </w:rPr>
        <w:t>作为主要的压力指标，用于后续与响应指标建立关系。</w:t>
      </w:r>
    </w:p>
    <w:p w14:paraId="4BA9333F">
      <w:pPr>
        <w:pStyle w:val="43"/>
        <w:spacing w:before="120" w:after="120"/>
        <w:rPr>
          <w:rFonts w:ascii="Times New Roman"/>
        </w:rPr>
      </w:pPr>
      <w:r>
        <w:rPr>
          <w:rFonts w:ascii="Times New Roman"/>
        </w:rPr>
        <w:t>生物学指标</w:t>
      </w:r>
    </w:p>
    <w:p w14:paraId="351FC7E9">
      <w:pPr>
        <w:pStyle w:val="27"/>
        <w:ind w:firstLine="420"/>
        <w:rPr>
          <w:rFonts w:ascii="Times New Roman"/>
        </w:rPr>
      </w:pPr>
      <w:r>
        <w:rPr>
          <w:rFonts w:ascii="Times New Roman"/>
        </w:rPr>
        <w:t>a) 叶绿素a（Chl-a）：反映浮游植物总生物量，是富营养化的核心响应指标，但在高浊度水体中可能受光限制，单位为μg/L或mg/L。</w:t>
      </w:r>
    </w:p>
    <w:p w14:paraId="1F450F30">
      <w:pPr>
        <w:pStyle w:val="27"/>
        <w:ind w:firstLine="420"/>
        <w:rPr>
          <w:rFonts w:ascii="Times New Roman"/>
        </w:rPr>
      </w:pPr>
      <w:r>
        <w:rPr>
          <w:rFonts w:ascii="Times New Roman"/>
        </w:rPr>
        <w:t>b) 透明度（SD）：映水体光学性质，在清水水体中与藻类生物量相关，但在高浊度水体中主要受非藻类浊度影响，单位为cm。</w:t>
      </w:r>
    </w:p>
    <w:p w14:paraId="37645A3D">
      <w:pPr>
        <w:pStyle w:val="27"/>
        <w:ind w:firstLine="420"/>
        <w:rPr>
          <w:rFonts w:ascii="Times New Roman"/>
        </w:rPr>
      </w:pPr>
      <w:r>
        <w:rPr>
          <w:rFonts w:ascii="Times New Roman"/>
        </w:rPr>
        <w:t>c) 藻类群落结构：如蓝藻比例、藻类细胞总数。可反映藻类水华风险。</w:t>
      </w:r>
    </w:p>
    <w:p w14:paraId="1FE699AC">
      <w:pPr>
        <w:pStyle w:val="27"/>
        <w:ind w:firstLine="420"/>
        <w:rPr>
          <w:rFonts w:ascii="Times New Roman"/>
        </w:rPr>
      </w:pPr>
      <w:r>
        <w:rPr>
          <w:rFonts w:ascii="Times New Roman"/>
        </w:rPr>
        <w:t>d) 大型水生植物覆盖度/生物量：适用于浅水湖库，可指示稳态转换。</w:t>
      </w:r>
    </w:p>
    <w:p w14:paraId="23ED7975">
      <w:pPr>
        <w:pStyle w:val="27"/>
        <w:ind w:firstLine="420"/>
        <w:rPr>
          <w:rFonts w:ascii="Times New Roman"/>
        </w:rPr>
      </w:pPr>
      <w:r>
        <w:rPr>
          <w:rFonts w:ascii="Times New Roman"/>
        </w:rPr>
        <w:t>注：应根据水体特征，从上述候选指标中筛选出1-2个最合适的核心响应指标。</w:t>
      </w:r>
    </w:p>
    <w:p w14:paraId="68594F40">
      <w:pPr>
        <w:pStyle w:val="43"/>
        <w:spacing w:before="120" w:after="120"/>
        <w:rPr>
          <w:rFonts w:ascii="Times New Roman"/>
        </w:rPr>
      </w:pPr>
      <w:r>
        <w:rPr>
          <w:rFonts w:ascii="Times New Roman"/>
        </w:rPr>
        <w:t>辅助指标</w:t>
      </w:r>
    </w:p>
    <w:p w14:paraId="0156B525">
      <w:pPr>
        <w:pStyle w:val="27"/>
        <w:ind w:firstLine="420"/>
        <w:rPr>
          <w:rFonts w:ascii="Times New Roman"/>
        </w:rPr>
      </w:pPr>
      <w:r>
        <w:rPr>
          <w:rFonts w:ascii="Times New Roman"/>
        </w:rPr>
        <w:t>a) 浊度（Turbidity）：对于黄河流域湖库为必选指标，用于校正Chl-a和SD，或作为模型协变量。</w:t>
      </w:r>
    </w:p>
    <w:p w14:paraId="3E9A8FFF">
      <w:pPr>
        <w:pStyle w:val="27"/>
        <w:ind w:firstLine="420"/>
        <w:rPr>
          <w:rFonts w:ascii="Times New Roman"/>
        </w:rPr>
      </w:pPr>
      <w:r>
        <w:rPr>
          <w:rFonts w:ascii="Times New Roman"/>
        </w:rPr>
        <w:t>b) 水温（WT）、pH值、溶解氧（DO）、电导率（</w:t>
      </w:r>
      <w:r>
        <w:rPr>
          <w:rFonts w:hint="eastAsia" w:ascii="Times New Roman"/>
        </w:rPr>
        <w:t>EC</w:t>
      </w:r>
      <w:r>
        <w:rPr>
          <w:rFonts w:ascii="Times New Roman"/>
        </w:rPr>
        <w:t>）。</w:t>
      </w:r>
    </w:p>
    <w:p w14:paraId="08141C27">
      <w:pPr>
        <w:pStyle w:val="27"/>
        <w:ind w:firstLine="420"/>
        <w:rPr>
          <w:rFonts w:ascii="Times New Roman"/>
        </w:rPr>
      </w:pPr>
      <w:r>
        <w:rPr>
          <w:rFonts w:ascii="Times New Roman"/>
        </w:rPr>
        <w:t>c) 土地利用类型、土壤侵蚀强度、湖库面积、平均水深、水力停留时间等。</w:t>
      </w:r>
    </w:p>
    <w:p w14:paraId="149B8BEF">
      <w:pPr>
        <w:pStyle w:val="42"/>
        <w:spacing w:before="120" w:after="120"/>
        <w:rPr>
          <w:rFonts w:ascii="Times New Roman"/>
        </w:rPr>
      </w:pPr>
      <w:bookmarkStart w:id="92" w:name="_Toc232496912"/>
      <w:r>
        <w:rPr>
          <w:rFonts w:ascii="Times New Roman"/>
        </w:rPr>
        <w:t>响应指标筛选流程与方法</w:t>
      </w:r>
      <w:bookmarkEnd w:id="92"/>
    </w:p>
    <w:p w14:paraId="0333CBD2">
      <w:pPr>
        <w:pStyle w:val="43"/>
        <w:spacing w:before="120" w:after="120"/>
        <w:rPr>
          <w:rFonts w:ascii="Times New Roman"/>
        </w:rPr>
      </w:pPr>
      <w:r>
        <w:rPr>
          <w:rFonts w:ascii="Times New Roman"/>
        </w:rPr>
        <w:t>目标</w:t>
      </w:r>
    </w:p>
    <w:p w14:paraId="67A7F74C">
      <w:pPr>
        <w:pStyle w:val="27"/>
        <w:ind w:firstLine="420"/>
        <w:rPr>
          <w:rFonts w:ascii="Times New Roman"/>
        </w:rPr>
      </w:pPr>
      <w:r>
        <w:rPr>
          <w:rFonts w:ascii="Times New Roman"/>
        </w:rPr>
        <w:t>从候选的生物学指标中，筛选出与营养物（TN、TP）统计关系最显著、生态意义最明确的指标，作为推导氮磷阈值的核心响应指标。响应指标筛选流程具体见图2。</w:t>
      </w:r>
    </w:p>
    <w:p w14:paraId="201F449B">
      <w:pPr>
        <w:pStyle w:val="27"/>
        <w:ind w:firstLine="420"/>
        <w:rPr>
          <w:rFonts w:ascii="Times New Roman"/>
        </w:rPr>
      </w:pPr>
      <w:r>
        <w:rPr>
          <w:rFonts w:ascii="Times New Roman"/>
        </w:rPr>
        <w:drawing>
          <wp:inline distT="0" distB="0" distL="114300" distR="114300">
            <wp:extent cx="4862195" cy="4039235"/>
            <wp:effectExtent l="0" t="0" r="508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3"/>
                    <a:stretch>
                      <a:fillRect/>
                    </a:stretch>
                  </pic:blipFill>
                  <pic:spPr>
                    <a:xfrm>
                      <a:off x="0" y="0"/>
                      <a:ext cx="4862195" cy="4039235"/>
                    </a:xfrm>
                    <a:prstGeom prst="rect">
                      <a:avLst/>
                    </a:prstGeom>
                    <a:noFill/>
                    <a:ln>
                      <a:noFill/>
                    </a:ln>
                  </pic:spPr>
                </pic:pic>
              </a:graphicData>
            </a:graphic>
          </wp:inline>
        </w:drawing>
      </w:r>
    </w:p>
    <w:p w14:paraId="574373A2">
      <w:pPr>
        <w:pStyle w:val="27"/>
        <w:overflowPunct w:val="0"/>
        <w:spacing w:before="120" w:after="120"/>
        <w:ind w:firstLine="0" w:firstLineChars="0"/>
        <w:jc w:val="center"/>
        <w:rPr>
          <w:rFonts w:ascii="Times New Roman" w:eastAsia="黑体"/>
        </w:rPr>
      </w:pPr>
      <w:r>
        <w:rPr>
          <w:rFonts w:ascii="Times New Roman" w:eastAsia="黑体"/>
        </w:rPr>
        <w:t>图2  响应指标筛选流程</w:t>
      </w:r>
    </w:p>
    <w:p w14:paraId="3EF73688">
      <w:pPr>
        <w:pStyle w:val="43"/>
        <w:spacing w:before="120" w:after="120"/>
        <w:rPr>
          <w:rFonts w:ascii="Times New Roman"/>
        </w:rPr>
      </w:pPr>
      <w:r>
        <w:rPr>
          <w:rFonts w:ascii="Times New Roman"/>
        </w:rPr>
        <w:t>筛选步骤</w:t>
      </w:r>
    </w:p>
    <w:p w14:paraId="3E212CCE">
      <w:pPr>
        <w:pStyle w:val="27"/>
        <w:ind w:firstLine="420"/>
        <w:rPr>
          <w:rFonts w:ascii="Times New Roman"/>
        </w:rPr>
      </w:pPr>
      <w:r>
        <w:rPr>
          <w:rFonts w:ascii="Times New Roman"/>
        </w:rPr>
        <w:t>a) 数据准备：准备区域内湖库同步监测的TN、TP、Chl-a、SD、浊度及其他候选指标数据集。</w:t>
      </w:r>
    </w:p>
    <w:p w14:paraId="19C0B248">
      <w:pPr>
        <w:pStyle w:val="27"/>
        <w:ind w:firstLine="420"/>
        <w:rPr>
          <w:rFonts w:ascii="Times New Roman"/>
        </w:rPr>
      </w:pPr>
      <w:r>
        <w:rPr>
          <w:rFonts w:ascii="Times New Roman"/>
        </w:rPr>
        <w:t>b) 关系诊断：</w:t>
      </w:r>
    </w:p>
    <w:p w14:paraId="108426A9">
      <w:pPr>
        <w:pStyle w:val="27"/>
        <w:ind w:firstLine="630" w:firstLineChars="300"/>
        <w:rPr>
          <w:rFonts w:ascii="Times New Roman"/>
        </w:rPr>
      </w:pPr>
      <w:r>
        <w:rPr>
          <w:rFonts w:ascii="Times New Roman"/>
        </w:rPr>
        <w:t>1) 分别绘制TN-Chl-a、TP-Chl-a、TN-SD、TP-SD的散点图。</w:t>
      </w:r>
    </w:p>
    <w:p w14:paraId="38CBE535">
      <w:pPr>
        <w:pStyle w:val="27"/>
        <w:ind w:firstLine="630" w:firstLineChars="300"/>
        <w:rPr>
          <w:rFonts w:ascii="Times New Roman"/>
        </w:rPr>
      </w:pPr>
      <w:r>
        <w:rPr>
          <w:rFonts w:ascii="Times New Roman"/>
        </w:rPr>
        <w:t>2) 计算Pearson或Spearman相关系数矩阵。</w:t>
      </w:r>
    </w:p>
    <w:p w14:paraId="0124E47F">
      <w:pPr>
        <w:pStyle w:val="27"/>
        <w:ind w:firstLine="630" w:firstLineChars="300"/>
        <w:rPr>
          <w:rFonts w:ascii="Times New Roman"/>
        </w:rPr>
      </w:pPr>
      <w:r>
        <w:rPr>
          <w:rFonts w:ascii="Times New Roman"/>
        </w:rPr>
        <w:t>3) 对于高浊度水体，</w:t>
      </w:r>
      <w:r>
        <w:rPr>
          <w:rFonts w:hint="eastAsia" w:ascii="Times New Roman"/>
        </w:rPr>
        <w:t>应</w:t>
      </w:r>
      <w:r>
        <w:rPr>
          <w:rFonts w:ascii="Times New Roman"/>
        </w:rPr>
        <w:t>绘制Chl-a-浊度、SD-浊度关系图，以判断Chl-a是否受光抑制、SD是否主要受浊度控制。</w:t>
      </w:r>
    </w:p>
    <w:p w14:paraId="7F5E7F20">
      <w:pPr>
        <w:pStyle w:val="27"/>
        <w:ind w:firstLine="420"/>
        <w:rPr>
          <w:rFonts w:ascii="Times New Roman"/>
        </w:rPr>
      </w:pPr>
      <w:r>
        <w:rPr>
          <w:rFonts w:ascii="Times New Roman"/>
        </w:rPr>
        <w:t>c) 主导因素分析：</w:t>
      </w:r>
    </w:p>
    <w:p w14:paraId="6144779F">
      <w:pPr>
        <w:pStyle w:val="27"/>
        <w:ind w:firstLine="630" w:firstLineChars="300"/>
        <w:rPr>
          <w:rFonts w:ascii="Times New Roman"/>
        </w:rPr>
      </w:pPr>
      <w:r>
        <w:rPr>
          <w:rFonts w:ascii="Times New Roman"/>
        </w:rPr>
        <w:t>1) 针对SD：以SD为因变量，浊度和Chl-a为自变量进行多元线性回归，计算各自变量的偏决定系数。若浊度的偏决定系数贡献率大于70%，且Chl-a的偏决定系数不显著（p ≥ 0.05），则表明SD变异主要受浊度控制，不宜作为该水体营养盐的核心响应指标。</w:t>
      </w:r>
    </w:p>
    <w:p w14:paraId="19BA43BD">
      <w:pPr>
        <w:pStyle w:val="27"/>
        <w:ind w:firstLine="630" w:firstLineChars="300"/>
        <w:rPr>
          <w:rFonts w:ascii="Times New Roman"/>
        </w:rPr>
      </w:pPr>
      <w:r>
        <w:rPr>
          <w:rFonts w:ascii="Times New Roman"/>
        </w:rPr>
        <w:t>2) 针对Chl-a：绘制Chl-a与浊度的散点图，计算Pearson或Spearman相关系数，并进行显著性检验（p &lt; 0.05）。若存在显著负相关，表明藻类生长受到光限制，在建立Chl-a与TN、TP的压力-响应模型时，必须将浊度作为核心协变量纳入。</w:t>
      </w:r>
    </w:p>
    <w:p w14:paraId="19C57125">
      <w:pPr>
        <w:pStyle w:val="27"/>
        <w:ind w:firstLine="420"/>
        <w:rPr>
          <w:rFonts w:ascii="Times New Roman"/>
        </w:rPr>
      </w:pPr>
      <w:r>
        <w:rPr>
          <w:rFonts w:ascii="Times New Roman"/>
        </w:rPr>
        <w:t>d) 综合筛选决策：</w:t>
      </w:r>
    </w:p>
    <w:p w14:paraId="469256DB">
      <w:pPr>
        <w:pStyle w:val="27"/>
        <w:ind w:firstLine="630" w:firstLineChars="300"/>
        <w:rPr>
          <w:rFonts w:ascii="Times New Roman"/>
        </w:rPr>
      </w:pPr>
      <w:r>
        <w:rPr>
          <w:rFonts w:ascii="Times New Roman"/>
        </w:rPr>
        <w:t>1) 首选方案：若Chl-a与TN、TP存在显著正相关（p&lt;0.05），且浊度的影响可通过模型校正，则选择Chl-a作为核心响应指标。</w:t>
      </w:r>
    </w:p>
    <w:p w14:paraId="771AF529">
      <w:pPr>
        <w:pStyle w:val="27"/>
        <w:ind w:firstLine="630" w:firstLineChars="300"/>
        <w:rPr>
          <w:rFonts w:ascii="Times New Roman"/>
        </w:rPr>
      </w:pPr>
      <w:r>
        <w:rPr>
          <w:rFonts w:ascii="Times New Roman"/>
        </w:rPr>
        <w:t>2) 备选方案：若Chl-a与TN</w:t>
      </w:r>
      <w:r>
        <w:rPr>
          <w:rFonts w:hint="eastAsia" w:ascii="Times New Roman"/>
        </w:rPr>
        <w:t>、</w:t>
      </w:r>
      <w:r>
        <w:rPr>
          <w:rFonts w:ascii="Times New Roman"/>
        </w:rPr>
        <w:t>TP关系不显著（可能因高浊度光限制或监测数据质量），而SD与TN/TP在低浊度子数据集中表现出显著关系，则可考虑将SD作为辅助或特定条件下的响应指标，但必须严格限定其适用条件（如“仅适用于浊度&lt;</w:t>
      </w:r>
      <w:r>
        <w:rPr>
          <w:rFonts w:hint="eastAsia" w:ascii="Times New Roman"/>
        </w:rPr>
        <w:t>15</w:t>
      </w:r>
      <w:r>
        <w:rPr>
          <w:rFonts w:ascii="Times New Roman"/>
        </w:rPr>
        <w:t xml:space="preserve"> NTU的湖区”）。</w:t>
      </w:r>
    </w:p>
    <w:p w14:paraId="603C0B6C">
      <w:pPr>
        <w:pStyle w:val="27"/>
        <w:ind w:firstLine="630" w:firstLineChars="300"/>
        <w:rPr>
          <w:rFonts w:ascii="Times New Roman"/>
        </w:rPr>
      </w:pPr>
      <w:r>
        <w:rPr>
          <w:rFonts w:ascii="Times New Roman"/>
        </w:rPr>
        <w:t>3) 多指标应用：在数据充足时，可考虑构建多变量响应指标（如基于Chl-a和藻类群落指数的综合指标），但需提供明确的生态学解释。</w:t>
      </w:r>
    </w:p>
    <w:p w14:paraId="2731F13A">
      <w:pPr>
        <w:pStyle w:val="27"/>
        <w:ind w:firstLine="420"/>
        <w:rPr>
          <w:rFonts w:ascii="Times New Roman"/>
        </w:rPr>
      </w:pPr>
      <w:r>
        <w:rPr>
          <w:rFonts w:ascii="Times New Roman"/>
        </w:rPr>
        <w:t>e) 筛选结果记录：在技术报告中必须详细记录响应指标筛选的过程、分析结果和最终选择的核心响应指标及其理由。</w:t>
      </w:r>
    </w:p>
    <w:p w14:paraId="30469BF9">
      <w:pPr>
        <w:pStyle w:val="41"/>
        <w:spacing w:before="240" w:after="240"/>
        <w:rPr>
          <w:rFonts w:ascii="Times New Roman"/>
        </w:rPr>
      </w:pPr>
      <w:bookmarkStart w:id="93" w:name="_Toc232496913"/>
      <w:r>
        <w:rPr>
          <w:rFonts w:hint="eastAsia" w:ascii="Times New Roman"/>
        </w:rPr>
        <w:t>阈值推导</w:t>
      </w:r>
      <w:bookmarkEnd w:id="93"/>
    </w:p>
    <w:p w14:paraId="6D302B26">
      <w:pPr>
        <w:pStyle w:val="42"/>
        <w:spacing w:before="120" w:after="120"/>
      </w:pPr>
      <w:bookmarkStart w:id="94" w:name="_Toc232496914"/>
      <w:r>
        <w:rPr>
          <w:rFonts w:hint="eastAsia"/>
        </w:rPr>
        <w:t>湖库分类</w:t>
      </w:r>
      <w:bookmarkEnd w:id="94"/>
    </w:p>
    <w:p w14:paraId="39502E10">
      <w:pPr>
        <w:pStyle w:val="27"/>
        <w:ind w:firstLine="420"/>
      </w:pPr>
      <w:r>
        <w:t>为实施差异化阈值制定，从以下</w:t>
      </w:r>
      <w:r>
        <w:rPr>
          <w:rFonts w:hint="eastAsia"/>
        </w:rPr>
        <w:t>三</w:t>
      </w:r>
      <w:r>
        <w:t>个维度对湖库进行分类</w:t>
      </w:r>
      <w:r>
        <w:rPr>
          <w:rFonts w:hint="eastAsia"/>
        </w:rPr>
        <w:t>。</w:t>
      </w:r>
    </w:p>
    <w:p w14:paraId="1FDA6871">
      <w:pPr>
        <w:pStyle w:val="43"/>
        <w:spacing w:before="120" w:after="120"/>
      </w:pPr>
      <w:r>
        <w:t>按人为扰动程度</w:t>
      </w:r>
    </w:p>
    <w:p w14:paraId="32983819">
      <w:pPr>
        <w:pStyle w:val="27"/>
        <w:ind w:firstLine="420"/>
        <w:rPr>
          <w:rFonts w:ascii="Times New Roman"/>
        </w:rPr>
      </w:pPr>
      <w:r>
        <w:rPr>
          <w:rFonts w:hint="eastAsia" w:ascii="Times New Roman"/>
        </w:rPr>
        <w:t>采用附录A方法，将湖库划分为：</w:t>
      </w:r>
    </w:p>
    <w:p w14:paraId="49AEDEE3">
      <w:pPr>
        <w:pStyle w:val="27"/>
        <w:ind w:firstLine="420"/>
        <w:rPr>
          <w:rFonts w:ascii="Times New Roman"/>
        </w:rPr>
      </w:pPr>
      <w:r>
        <w:rPr>
          <w:rFonts w:hint="eastAsia" w:ascii="Times New Roman"/>
        </w:rPr>
        <w:t>a) 受人为扰动较小湖库：陆域生态系统健康指数（LHI）等级为“优秀”或“良好”；</w:t>
      </w:r>
    </w:p>
    <w:p w14:paraId="63C12C52">
      <w:pPr>
        <w:pStyle w:val="27"/>
        <w:ind w:firstLine="420"/>
        <w:rPr>
          <w:rFonts w:ascii="Times New Roman"/>
        </w:rPr>
      </w:pPr>
      <w:r>
        <w:rPr>
          <w:rFonts w:hint="eastAsia" w:ascii="Times New Roman"/>
        </w:rPr>
        <w:t>b) 受人为扰动较大湖库：LHI等级为“一般”、“较差”或“差”。</w:t>
      </w:r>
    </w:p>
    <w:p w14:paraId="428F34B6">
      <w:pPr>
        <w:pStyle w:val="43"/>
        <w:spacing w:before="120" w:after="120"/>
      </w:pPr>
      <w:r>
        <w:t>按水文泥沙特征</w:t>
      </w:r>
    </w:p>
    <w:p w14:paraId="12B74A0B">
      <w:pPr>
        <w:pStyle w:val="27"/>
        <w:ind w:firstLine="420"/>
        <w:rPr>
          <w:rFonts w:ascii="Times New Roman"/>
        </w:rPr>
      </w:pPr>
      <w:r>
        <w:rPr>
          <w:rFonts w:hint="eastAsia" w:ascii="Times New Roman"/>
        </w:rPr>
        <w:t>以连续3年及以上的多年平均浊度为依据：</w:t>
      </w:r>
    </w:p>
    <w:p w14:paraId="49BA66C4">
      <w:pPr>
        <w:pStyle w:val="27"/>
        <w:ind w:firstLine="420"/>
        <w:rPr>
          <w:rFonts w:ascii="Times New Roman"/>
        </w:rPr>
      </w:pPr>
      <w:r>
        <w:rPr>
          <w:rFonts w:hint="eastAsia" w:ascii="Times New Roman"/>
        </w:rPr>
        <w:t>a) 高浊度湖库：≥ 50 NTU；</w:t>
      </w:r>
    </w:p>
    <w:p w14:paraId="5AF5E679">
      <w:pPr>
        <w:pStyle w:val="27"/>
        <w:ind w:firstLine="420"/>
        <w:rPr>
          <w:rFonts w:ascii="Times New Roman"/>
        </w:rPr>
      </w:pPr>
      <w:r>
        <w:rPr>
          <w:rFonts w:hint="eastAsia" w:ascii="Times New Roman"/>
        </w:rPr>
        <w:t>b) 中浊度湖库：15 NTU ~ 50 NTU；</w:t>
      </w:r>
    </w:p>
    <w:p w14:paraId="092EF041">
      <w:pPr>
        <w:pStyle w:val="27"/>
        <w:ind w:firstLine="420"/>
        <w:rPr>
          <w:rFonts w:ascii="Times New Roman"/>
        </w:rPr>
      </w:pPr>
      <w:r>
        <w:rPr>
          <w:rFonts w:hint="eastAsia" w:ascii="Times New Roman"/>
        </w:rPr>
        <w:t>c) 低浊度湖库：≤ 15 NTU。</w:t>
      </w:r>
    </w:p>
    <w:p w14:paraId="52B09929">
      <w:pPr>
        <w:pStyle w:val="43"/>
        <w:spacing w:before="120" w:after="120"/>
      </w:pPr>
      <w:r>
        <w:t>按水体功能</w:t>
      </w:r>
    </w:p>
    <w:p w14:paraId="624A8096">
      <w:pPr>
        <w:pStyle w:val="27"/>
        <w:ind w:firstLine="420"/>
        <w:rPr>
          <w:rFonts w:ascii="Times New Roman"/>
        </w:rPr>
      </w:pPr>
      <w:r>
        <w:rPr>
          <w:rFonts w:hint="eastAsia" w:ascii="Times New Roman"/>
        </w:rPr>
        <w:t>包括</w:t>
      </w:r>
      <w:r>
        <w:rPr>
          <w:rFonts w:ascii="Times New Roman"/>
        </w:rPr>
        <w:t>饮用水水源地、重要生态保护区、渔业水体、景观娱乐水体、农业灌溉水体等。</w:t>
      </w:r>
    </w:p>
    <w:p w14:paraId="267E9CB3">
      <w:pPr>
        <w:pStyle w:val="42"/>
        <w:spacing w:before="120" w:after="120"/>
      </w:pPr>
      <w:bookmarkStart w:id="95" w:name="_Toc232496915"/>
      <w:r>
        <w:t>阈值制定方法选择</w:t>
      </w:r>
      <w:bookmarkEnd w:id="95"/>
    </w:p>
    <w:p w14:paraId="06594515">
      <w:pPr>
        <w:pStyle w:val="43"/>
        <w:spacing w:before="120" w:after="120"/>
      </w:pPr>
      <w:r>
        <w:t>方法分类与适用条件</w:t>
      </w:r>
    </w:p>
    <w:p w14:paraId="33E4BAC9">
      <w:pPr>
        <w:pStyle w:val="27"/>
        <w:ind w:firstLine="420"/>
        <w:rPr>
          <w:rFonts w:ascii="Times New Roman"/>
        </w:rPr>
      </w:pPr>
      <w:r>
        <w:rPr>
          <w:rFonts w:hint="eastAsia" w:ascii="Times New Roman"/>
        </w:rPr>
        <w:t>本指南提供以下三类方法，其适用条件如下：</w:t>
      </w:r>
    </w:p>
    <w:p w14:paraId="3A4BA512">
      <w:pPr>
        <w:pStyle w:val="27"/>
        <w:ind w:firstLine="420"/>
        <w:rPr>
          <w:rFonts w:ascii="Times New Roman"/>
        </w:rPr>
      </w:pPr>
      <w:r>
        <w:rPr>
          <w:rFonts w:hint="eastAsia" w:ascii="Times New Roman"/>
        </w:rPr>
        <w:t>a) 统计分析法（7.3.1）：适用于受人为扰动较小的湖库，或数据充分但无法建立可靠压力-响应模型的湖库。具体包括：</w:t>
      </w:r>
    </w:p>
    <w:p w14:paraId="789C19F3">
      <w:pPr>
        <w:pStyle w:val="27"/>
        <w:ind w:firstLine="420"/>
        <w:rPr>
          <w:rFonts w:ascii="Times New Roman"/>
        </w:rPr>
      </w:pPr>
      <w:r>
        <w:rPr>
          <w:rFonts w:hint="eastAsia" w:ascii="Times New Roman"/>
        </w:rPr>
        <w:t>参照湖库法：存在明确可用的参照湖库（≥3个）时优先选用；</w:t>
      </w:r>
    </w:p>
    <w:p w14:paraId="6832AD2F">
      <w:pPr>
        <w:pStyle w:val="27"/>
        <w:ind w:firstLine="420"/>
        <w:rPr>
          <w:rFonts w:ascii="Times New Roman"/>
        </w:rPr>
      </w:pPr>
      <w:r>
        <w:rPr>
          <w:rFonts w:hint="eastAsia" w:ascii="Times New Roman"/>
        </w:rPr>
        <w:t>群体分布法：无合适参照湖库，但有区域内足够数量的湖库数据时选用；</w:t>
      </w:r>
    </w:p>
    <w:p w14:paraId="34B2C9ED">
      <w:pPr>
        <w:pStyle w:val="27"/>
        <w:ind w:firstLine="420"/>
        <w:rPr>
          <w:rFonts w:ascii="Times New Roman"/>
        </w:rPr>
      </w:pPr>
      <w:r>
        <w:rPr>
          <w:rFonts w:hint="eastAsia" w:ascii="Times New Roman"/>
        </w:rPr>
        <w:t>三分法：作为群体分布法的简化替代，适用于快速评估或数据质量一般的情形。</w:t>
      </w:r>
    </w:p>
    <w:p w14:paraId="7F1065F6">
      <w:pPr>
        <w:pStyle w:val="27"/>
        <w:ind w:firstLine="420"/>
        <w:rPr>
          <w:rFonts w:ascii="Times New Roman"/>
        </w:rPr>
      </w:pPr>
      <w:r>
        <w:rPr>
          <w:rFonts w:hint="eastAsia" w:ascii="Times New Roman"/>
        </w:rPr>
        <w:t>b) 压力-响应模型法（7.3.2）：适用于受人为扰动较大、数据量充足、可建立营养盐与生态响应定量关系的湖库。高浊度湖库必须采用本法，并强制纳入浊度变量。</w:t>
      </w:r>
    </w:p>
    <w:p w14:paraId="76EE5166">
      <w:pPr>
        <w:pStyle w:val="27"/>
        <w:ind w:firstLine="420"/>
        <w:rPr>
          <w:rFonts w:ascii="Times New Roman"/>
        </w:rPr>
      </w:pPr>
      <w:r>
        <w:rPr>
          <w:rFonts w:hint="eastAsia" w:ascii="Times New Roman"/>
        </w:rPr>
        <w:t>c) 支持方法（7.3.3）：包括模型推断法和古湖沼学法，用于验证或缺乏监测数据时估算自然本底。</w:t>
      </w:r>
    </w:p>
    <w:p w14:paraId="14AAE11B">
      <w:pPr>
        <w:pStyle w:val="43"/>
        <w:spacing w:before="120" w:after="120"/>
      </w:pPr>
      <w:bookmarkStart w:id="96" w:name="OLE_LINK1"/>
      <w:r>
        <w:rPr>
          <w:rFonts w:hint="eastAsia"/>
        </w:rPr>
        <w:t>方法选择</w:t>
      </w:r>
      <w:r>
        <w:t>原则</w:t>
      </w:r>
      <w:bookmarkEnd w:id="96"/>
    </w:p>
    <w:p w14:paraId="60D3FABB">
      <w:pPr>
        <w:pStyle w:val="27"/>
        <w:ind w:firstLine="420"/>
        <w:rPr>
          <w:rFonts w:ascii="Times New Roman"/>
        </w:rPr>
      </w:pPr>
      <w:r>
        <w:rPr>
          <w:rFonts w:hint="eastAsia" w:ascii="Times New Roman"/>
        </w:rPr>
        <w:t>a) 受人为扰动较小湖库：优先采用统计分析法，可根据数据条件选用参照湖库法、群体分布法或三分法。</w:t>
      </w:r>
    </w:p>
    <w:p w14:paraId="19468643">
      <w:pPr>
        <w:pStyle w:val="27"/>
        <w:ind w:firstLine="420"/>
        <w:rPr>
          <w:rFonts w:ascii="Times New Roman"/>
        </w:rPr>
      </w:pPr>
      <w:r>
        <w:rPr>
          <w:rFonts w:hint="eastAsia" w:ascii="Times New Roman"/>
        </w:rPr>
        <w:t>b) 受人为扰动较大湖库：应采用压力-响应模型法。若数据不足，可先用统计分析法获得参考值，待数据积累后再用模型法修正。</w:t>
      </w:r>
    </w:p>
    <w:p w14:paraId="3A676D72">
      <w:pPr>
        <w:pStyle w:val="27"/>
        <w:ind w:firstLine="420"/>
        <w:rPr>
          <w:rFonts w:ascii="Times New Roman"/>
        </w:rPr>
      </w:pPr>
      <w:r>
        <w:rPr>
          <w:rFonts w:hint="eastAsia" w:ascii="Times New Roman"/>
        </w:rPr>
        <w:t>c) 高浊度湖库：无论扰动程度如何，压力-响应模型必须将浊度作为核心自变量，阈值输出需关联浊度条件。</w:t>
      </w:r>
    </w:p>
    <w:p w14:paraId="23A5411D">
      <w:pPr>
        <w:pStyle w:val="27"/>
        <w:ind w:firstLine="420"/>
        <w:rPr>
          <w:rFonts w:ascii="Times New Roman"/>
        </w:rPr>
      </w:pPr>
      <w:r>
        <w:rPr>
          <w:rFonts w:hint="eastAsia" w:ascii="Times New Roman"/>
        </w:rPr>
        <w:t>d) 饮用水水源地：在上述方法基础上，应采用更严格的分位数（如参照群体分布的上10%分位数）或健康风险评价模型。</w:t>
      </w:r>
    </w:p>
    <w:p w14:paraId="5DA22514">
      <w:pPr>
        <w:pStyle w:val="43"/>
        <w:spacing w:before="120" w:after="120"/>
      </w:pPr>
      <w:r>
        <w:rPr>
          <w:rFonts w:hint="eastAsia"/>
        </w:rPr>
        <w:t>区域主导特征与方法推荐</w:t>
      </w:r>
    </w:p>
    <w:p w14:paraId="7A16AF88">
      <w:pPr>
        <w:pStyle w:val="27"/>
        <w:ind w:firstLine="420"/>
        <w:rPr>
          <w:rFonts w:ascii="Times New Roman"/>
        </w:rPr>
      </w:pPr>
      <w:r>
        <w:rPr>
          <w:rFonts w:ascii="Times New Roman"/>
        </w:rPr>
        <w:t>根据目标区域内湖库的主导特征，按表1选择推荐方法组合。</w:t>
      </w:r>
    </w:p>
    <w:p w14:paraId="61799C09">
      <w:pPr>
        <w:pStyle w:val="27"/>
        <w:overflowPunct w:val="0"/>
        <w:spacing w:before="120" w:after="120"/>
        <w:ind w:firstLine="0" w:firstLineChars="0"/>
        <w:jc w:val="center"/>
        <w:rPr>
          <w:rFonts w:ascii="Times New Roman" w:eastAsia="黑体"/>
        </w:rPr>
      </w:pPr>
      <w:r>
        <w:rPr>
          <w:rFonts w:ascii="Times New Roman" w:eastAsia="黑体"/>
        </w:rPr>
        <w:t>表1</w:t>
      </w:r>
      <w:r>
        <w:rPr>
          <w:rFonts w:hint="eastAsia" w:ascii="Times New Roman" w:eastAsia="黑体"/>
        </w:rPr>
        <w:t xml:space="preserve"> </w:t>
      </w:r>
      <w:r>
        <w:rPr>
          <w:rFonts w:ascii="Times New Roman" w:eastAsia="黑体"/>
        </w:rPr>
        <w:t>黄河流域区域湖库主导特征与推荐方法</w:t>
      </w:r>
    </w:p>
    <w:tbl>
      <w:tblPr>
        <w:tblStyle w:val="12"/>
        <w:tblW w:w="5000" w:type="pct"/>
        <w:tblInd w:w="0" w:type="dxa"/>
        <w:shd w:val="clear" w:color="auto" w:fill="FFFFFF"/>
        <w:tblLayout w:type="autofit"/>
        <w:tblCellMar>
          <w:top w:w="15" w:type="dxa"/>
          <w:left w:w="15" w:type="dxa"/>
          <w:bottom w:w="15" w:type="dxa"/>
          <w:right w:w="15" w:type="dxa"/>
        </w:tblCellMar>
      </w:tblPr>
      <w:tblGrid>
        <w:gridCol w:w="863"/>
        <w:gridCol w:w="979"/>
        <w:gridCol w:w="1274"/>
        <w:gridCol w:w="3599"/>
        <w:gridCol w:w="2879"/>
      </w:tblGrid>
      <w:tr w14:paraId="3A781C72">
        <w:tblPrEx>
          <w:shd w:val="clear" w:color="auto" w:fill="FFFFFF"/>
          <w:tblCellMar>
            <w:top w:w="15" w:type="dxa"/>
            <w:left w:w="15" w:type="dxa"/>
            <w:bottom w:w="15" w:type="dxa"/>
            <w:right w:w="15" w:type="dxa"/>
          </w:tblCellMar>
        </w:tblPrEx>
        <w:trPr>
          <w:trHeight w:val="680" w:hRule="exact"/>
          <w:tblHeader/>
        </w:trPr>
        <w:tc>
          <w:tcPr>
            <w:tcW w:w="450" w:type="pct"/>
            <w:tcBorders>
              <w:top w:val="single" w:color="auto" w:sz="12" w:space="0"/>
              <w:bottom w:val="single" w:color="auto" w:sz="6" w:space="0"/>
            </w:tcBorders>
            <w:shd w:val="clear" w:color="auto" w:fill="FFFFFF"/>
            <w:tcMar>
              <w:top w:w="150" w:type="dxa"/>
              <w:left w:w="0" w:type="dxa"/>
              <w:bottom w:w="150" w:type="dxa"/>
              <w:right w:w="240" w:type="dxa"/>
            </w:tcMar>
            <w:vAlign w:val="center"/>
          </w:tcPr>
          <w:p w14:paraId="790DED23">
            <w:pPr>
              <w:widowControl/>
              <w:adjustRightInd w:val="0"/>
              <w:snapToGrid w:val="0"/>
              <w:jc w:val="center"/>
              <w:rPr>
                <w:color w:val="0F1115"/>
                <w:kern w:val="0"/>
                <w:szCs w:val="21"/>
              </w:rPr>
            </w:pPr>
            <w:r>
              <w:rPr>
                <w:color w:val="0F1115"/>
                <w:kern w:val="0"/>
                <w:szCs w:val="21"/>
              </w:rPr>
              <w:t>人为扰动</w:t>
            </w:r>
          </w:p>
        </w:tc>
        <w:tc>
          <w:tcPr>
            <w:tcW w:w="510" w:type="pct"/>
            <w:tcBorders>
              <w:top w:val="single" w:color="auto" w:sz="12" w:space="0"/>
              <w:bottom w:val="single" w:color="auto" w:sz="6" w:space="0"/>
            </w:tcBorders>
            <w:shd w:val="clear" w:color="auto" w:fill="FFFFFF"/>
            <w:tcMar>
              <w:top w:w="150" w:type="dxa"/>
              <w:left w:w="240" w:type="dxa"/>
              <w:bottom w:w="150" w:type="dxa"/>
              <w:right w:w="240" w:type="dxa"/>
            </w:tcMar>
            <w:vAlign w:val="center"/>
          </w:tcPr>
          <w:p w14:paraId="264F57B2">
            <w:pPr>
              <w:widowControl/>
              <w:adjustRightInd w:val="0"/>
              <w:snapToGrid w:val="0"/>
              <w:jc w:val="center"/>
              <w:rPr>
                <w:color w:val="0F1115"/>
                <w:kern w:val="0"/>
                <w:szCs w:val="21"/>
              </w:rPr>
            </w:pPr>
            <w:r>
              <w:rPr>
                <w:color w:val="0F1115"/>
                <w:kern w:val="0"/>
                <w:szCs w:val="21"/>
              </w:rPr>
              <w:t>浊度</w:t>
            </w:r>
          </w:p>
        </w:tc>
        <w:tc>
          <w:tcPr>
            <w:tcW w:w="664" w:type="pct"/>
            <w:tcBorders>
              <w:top w:val="single" w:color="auto" w:sz="12" w:space="0"/>
              <w:bottom w:val="single" w:color="auto" w:sz="6" w:space="0"/>
            </w:tcBorders>
            <w:shd w:val="clear" w:color="auto" w:fill="FFFFFF"/>
            <w:tcMar>
              <w:top w:w="150" w:type="dxa"/>
              <w:left w:w="240" w:type="dxa"/>
              <w:bottom w:w="150" w:type="dxa"/>
              <w:right w:w="240" w:type="dxa"/>
            </w:tcMar>
            <w:vAlign w:val="center"/>
          </w:tcPr>
          <w:p w14:paraId="4CE4046E">
            <w:pPr>
              <w:widowControl/>
              <w:adjustRightInd w:val="0"/>
              <w:snapToGrid w:val="0"/>
              <w:jc w:val="center"/>
              <w:rPr>
                <w:color w:val="0F1115"/>
                <w:kern w:val="0"/>
                <w:szCs w:val="21"/>
              </w:rPr>
            </w:pPr>
            <w:r>
              <w:rPr>
                <w:color w:val="0F1115"/>
                <w:kern w:val="0"/>
                <w:szCs w:val="21"/>
              </w:rPr>
              <w:t>水体功能</w:t>
            </w:r>
          </w:p>
        </w:tc>
        <w:tc>
          <w:tcPr>
            <w:tcW w:w="1875" w:type="pct"/>
            <w:tcBorders>
              <w:top w:val="single" w:color="auto" w:sz="12" w:space="0"/>
              <w:bottom w:val="single" w:color="auto" w:sz="6" w:space="0"/>
            </w:tcBorders>
            <w:shd w:val="clear" w:color="auto" w:fill="FFFFFF"/>
            <w:tcMar>
              <w:top w:w="150" w:type="dxa"/>
              <w:left w:w="240" w:type="dxa"/>
              <w:bottom w:w="150" w:type="dxa"/>
              <w:right w:w="240" w:type="dxa"/>
            </w:tcMar>
            <w:vAlign w:val="center"/>
          </w:tcPr>
          <w:p w14:paraId="628AD5B6">
            <w:pPr>
              <w:widowControl/>
              <w:adjustRightInd w:val="0"/>
              <w:snapToGrid w:val="0"/>
              <w:jc w:val="center"/>
              <w:rPr>
                <w:color w:val="0F1115"/>
                <w:kern w:val="0"/>
                <w:szCs w:val="21"/>
              </w:rPr>
            </w:pPr>
            <w:r>
              <w:rPr>
                <w:color w:val="0F1115"/>
                <w:kern w:val="0"/>
                <w:szCs w:val="21"/>
              </w:rPr>
              <w:t>推荐方法（首选 / 备选）</w:t>
            </w:r>
          </w:p>
        </w:tc>
        <w:tc>
          <w:tcPr>
            <w:tcW w:w="1500" w:type="pct"/>
            <w:tcBorders>
              <w:top w:val="single" w:color="auto" w:sz="12" w:space="0"/>
              <w:bottom w:val="single" w:color="auto" w:sz="6" w:space="0"/>
            </w:tcBorders>
            <w:shd w:val="clear" w:color="auto" w:fill="FFFFFF"/>
            <w:tcMar>
              <w:top w:w="150" w:type="dxa"/>
              <w:left w:w="240" w:type="dxa"/>
              <w:bottom w:w="150" w:type="dxa"/>
              <w:right w:w="240" w:type="dxa"/>
            </w:tcMar>
            <w:vAlign w:val="center"/>
          </w:tcPr>
          <w:p w14:paraId="03359A96">
            <w:pPr>
              <w:widowControl/>
              <w:adjustRightInd w:val="0"/>
              <w:snapToGrid w:val="0"/>
              <w:jc w:val="center"/>
              <w:rPr>
                <w:color w:val="0F1115"/>
                <w:kern w:val="0"/>
                <w:szCs w:val="21"/>
              </w:rPr>
            </w:pPr>
            <w:r>
              <w:rPr>
                <w:color w:val="0F1115"/>
                <w:kern w:val="0"/>
                <w:szCs w:val="21"/>
              </w:rPr>
              <w:t>关键要求</w:t>
            </w:r>
          </w:p>
        </w:tc>
      </w:tr>
      <w:tr w14:paraId="1172A6A4">
        <w:tblPrEx>
          <w:tblCellMar>
            <w:top w:w="15" w:type="dxa"/>
            <w:left w:w="15" w:type="dxa"/>
            <w:bottom w:w="15" w:type="dxa"/>
            <w:right w:w="15" w:type="dxa"/>
          </w:tblCellMar>
        </w:tblPrEx>
        <w:trPr>
          <w:trHeight w:val="680" w:hRule="exact"/>
        </w:trPr>
        <w:tc>
          <w:tcPr>
            <w:tcW w:w="450" w:type="pct"/>
            <w:tcBorders>
              <w:top w:val="single" w:color="auto" w:sz="6" w:space="0"/>
            </w:tcBorders>
            <w:shd w:val="clear" w:color="auto" w:fill="FFFFFF"/>
            <w:tcMar>
              <w:top w:w="150" w:type="dxa"/>
              <w:left w:w="0" w:type="dxa"/>
              <w:bottom w:w="150" w:type="dxa"/>
              <w:right w:w="240" w:type="dxa"/>
            </w:tcMar>
            <w:vAlign w:val="center"/>
          </w:tcPr>
          <w:p w14:paraId="2CE824D9">
            <w:pPr>
              <w:widowControl/>
              <w:adjustRightInd w:val="0"/>
              <w:snapToGrid w:val="0"/>
              <w:jc w:val="center"/>
              <w:rPr>
                <w:color w:val="0F1115"/>
                <w:kern w:val="0"/>
                <w:szCs w:val="21"/>
              </w:rPr>
            </w:pPr>
            <w:r>
              <w:rPr>
                <w:color w:val="0F1115"/>
                <w:kern w:val="0"/>
                <w:szCs w:val="21"/>
              </w:rPr>
              <w:t>小</w:t>
            </w:r>
          </w:p>
        </w:tc>
        <w:tc>
          <w:tcPr>
            <w:tcW w:w="510" w:type="pct"/>
            <w:tcBorders>
              <w:top w:val="single" w:color="auto" w:sz="6" w:space="0"/>
            </w:tcBorders>
            <w:shd w:val="clear" w:color="auto" w:fill="FFFFFF"/>
            <w:tcMar>
              <w:top w:w="150" w:type="dxa"/>
              <w:left w:w="240" w:type="dxa"/>
              <w:bottom w:w="150" w:type="dxa"/>
              <w:right w:w="240" w:type="dxa"/>
            </w:tcMar>
            <w:vAlign w:val="center"/>
          </w:tcPr>
          <w:p w14:paraId="60DA64BC">
            <w:pPr>
              <w:widowControl/>
              <w:adjustRightInd w:val="0"/>
              <w:snapToGrid w:val="0"/>
              <w:jc w:val="center"/>
              <w:rPr>
                <w:color w:val="0F1115"/>
                <w:kern w:val="0"/>
                <w:szCs w:val="21"/>
              </w:rPr>
            </w:pPr>
            <w:r>
              <w:rPr>
                <w:color w:val="0F1115"/>
                <w:kern w:val="0"/>
                <w:szCs w:val="21"/>
              </w:rPr>
              <w:t>任意</w:t>
            </w:r>
          </w:p>
        </w:tc>
        <w:tc>
          <w:tcPr>
            <w:tcW w:w="664" w:type="pct"/>
            <w:tcBorders>
              <w:top w:val="single" w:color="auto" w:sz="6" w:space="0"/>
            </w:tcBorders>
            <w:shd w:val="clear" w:color="auto" w:fill="FFFFFF"/>
            <w:tcMar>
              <w:top w:w="150" w:type="dxa"/>
              <w:left w:w="240" w:type="dxa"/>
              <w:bottom w:w="150" w:type="dxa"/>
              <w:right w:w="240" w:type="dxa"/>
            </w:tcMar>
            <w:vAlign w:val="center"/>
          </w:tcPr>
          <w:p w14:paraId="35575A36">
            <w:pPr>
              <w:widowControl/>
              <w:adjustRightInd w:val="0"/>
              <w:snapToGrid w:val="0"/>
              <w:jc w:val="center"/>
              <w:rPr>
                <w:color w:val="0F1115"/>
                <w:kern w:val="0"/>
                <w:szCs w:val="21"/>
              </w:rPr>
            </w:pPr>
            <w:r>
              <w:rPr>
                <w:color w:val="0F1115"/>
                <w:kern w:val="0"/>
                <w:szCs w:val="21"/>
              </w:rPr>
              <w:t>任意</w:t>
            </w:r>
          </w:p>
        </w:tc>
        <w:tc>
          <w:tcPr>
            <w:tcW w:w="1875" w:type="pct"/>
            <w:tcBorders>
              <w:top w:val="single" w:color="auto" w:sz="6" w:space="0"/>
            </w:tcBorders>
            <w:shd w:val="clear" w:color="auto" w:fill="FFFFFF"/>
            <w:tcMar>
              <w:top w:w="150" w:type="dxa"/>
              <w:left w:w="240" w:type="dxa"/>
              <w:bottom w:w="150" w:type="dxa"/>
              <w:right w:w="240" w:type="dxa"/>
            </w:tcMar>
            <w:vAlign w:val="center"/>
          </w:tcPr>
          <w:p w14:paraId="732CA241">
            <w:pPr>
              <w:widowControl/>
              <w:adjustRightInd w:val="0"/>
              <w:snapToGrid w:val="0"/>
              <w:jc w:val="center"/>
              <w:rPr>
                <w:color w:val="0F1115"/>
                <w:kern w:val="0"/>
                <w:szCs w:val="21"/>
              </w:rPr>
            </w:pPr>
            <w:r>
              <w:rPr>
                <w:color w:val="0F1115"/>
                <w:kern w:val="0"/>
                <w:szCs w:val="21"/>
              </w:rPr>
              <w:t>参照湖库法 / 群体分布法、三分法</w:t>
            </w:r>
          </w:p>
        </w:tc>
        <w:tc>
          <w:tcPr>
            <w:tcW w:w="1500" w:type="pct"/>
            <w:tcBorders>
              <w:top w:val="single" w:color="auto" w:sz="6" w:space="0"/>
            </w:tcBorders>
            <w:shd w:val="clear" w:color="auto" w:fill="FFFFFF"/>
            <w:tcMar>
              <w:top w:w="150" w:type="dxa"/>
              <w:left w:w="240" w:type="dxa"/>
              <w:bottom w:w="150" w:type="dxa"/>
              <w:right w:w="0" w:type="dxa"/>
            </w:tcMar>
            <w:vAlign w:val="center"/>
          </w:tcPr>
          <w:p w14:paraId="12599340">
            <w:pPr>
              <w:widowControl/>
              <w:adjustRightInd w:val="0"/>
              <w:snapToGrid w:val="0"/>
              <w:jc w:val="center"/>
              <w:rPr>
                <w:color w:val="0F1115"/>
                <w:kern w:val="0"/>
                <w:szCs w:val="21"/>
              </w:rPr>
            </w:pPr>
            <w:r>
              <w:rPr>
                <w:color w:val="0F1115"/>
                <w:kern w:val="0"/>
                <w:szCs w:val="21"/>
              </w:rPr>
              <w:t>参照湖库≥3个；或群体数据≥10个湖库</w:t>
            </w:r>
          </w:p>
        </w:tc>
      </w:tr>
      <w:tr w14:paraId="795CBCC0">
        <w:tblPrEx>
          <w:tblCellMar>
            <w:top w:w="15" w:type="dxa"/>
            <w:left w:w="15" w:type="dxa"/>
            <w:bottom w:w="15" w:type="dxa"/>
            <w:right w:w="15" w:type="dxa"/>
          </w:tblCellMar>
        </w:tblPrEx>
        <w:trPr>
          <w:trHeight w:val="680" w:hRule="exact"/>
        </w:trPr>
        <w:tc>
          <w:tcPr>
            <w:tcW w:w="450" w:type="pct"/>
            <w:shd w:val="clear" w:color="auto" w:fill="FFFFFF"/>
            <w:tcMar>
              <w:top w:w="150" w:type="dxa"/>
              <w:left w:w="0" w:type="dxa"/>
              <w:bottom w:w="150" w:type="dxa"/>
              <w:right w:w="240" w:type="dxa"/>
            </w:tcMar>
            <w:vAlign w:val="center"/>
          </w:tcPr>
          <w:p w14:paraId="766F9161">
            <w:pPr>
              <w:widowControl/>
              <w:adjustRightInd w:val="0"/>
              <w:snapToGrid w:val="0"/>
              <w:jc w:val="center"/>
              <w:rPr>
                <w:color w:val="0F1115"/>
                <w:kern w:val="0"/>
                <w:szCs w:val="21"/>
              </w:rPr>
            </w:pPr>
            <w:r>
              <w:rPr>
                <w:color w:val="0F1115"/>
                <w:kern w:val="0"/>
                <w:szCs w:val="21"/>
              </w:rPr>
              <w:t>大</w:t>
            </w:r>
          </w:p>
        </w:tc>
        <w:tc>
          <w:tcPr>
            <w:tcW w:w="510" w:type="pct"/>
            <w:shd w:val="clear" w:color="auto" w:fill="FFFFFF"/>
            <w:tcMar>
              <w:top w:w="150" w:type="dxa"/>
              <w:left w:w="240" w:type="dxa"/>
              <w:bottom w:w="150" w:type="dxa"/>
              <w:right w:w="240" w:type="dxa"/>
            </w:tcMar>
            <w:vAlign w:val="center"/>
          </w:tcPr>
          <w:p w14:paraId="31293219">
            <w:pPr>
              <w:widowControl/>
              <w:adjustRightInd w:val="0"/>
              <w:snapToGrid w:val="0"/>
              <w:jc w:val="center"/>
              <w:rPr>
                <w:color w:val="0F1115"/>
                <w:kern w:val="0"/>
                <w:szCs w:val="21"/>
              </w:rPr>
            </w:pPr>
            <w:r>
              <w:rPr>
                <w:color w:val="0F1115"/>
                <w:kern w:val="0"/>
                <w:szCs w:val="21"/>
              </w:rPr>
              <w:t>低/中</w:t>
            </w:r>
          </w:p>
        </w:tc>
        <w:tc>
          <w:tcPr>
            <w:tcW w:w="664" w:type="pct"/>
            <w:shd w:val="clear" w:color="auto" w:fill="FFFFFF"/>
            <w:tcMar>
              <w:top w:w="150" w:type="dxa"/>
              <w:left w:w="240" w:type="dxa"/>
              <w:bottom w:w="150" w:type="dxa"/>
              <w:right w:w="240" w:type="dxa"/>
            </w:tcMar>
            <w:vAlign w:val="center"/>
          </w:tcPr>
          <w:p w14:paraId="1473A64D">
            <w:pPr>
              <w:widowControl/>
              <w:adjustRightInd w:val="0"/>
              <w:snapToGrid w:val="0"/>
              <w:jc w:val="center"/>
              <w:rPr>
                <w:color w:val="0F1115"/>
                <w:kern w:val="0"/>
                <w:szCs w:val="21"/>
              </w:rPr>
            </w:pPr>
            <w:r>
              <w:rPr>
                <w:color w:val="0F1115"/>
                <w:kern w:val="0"/>
                <w:szCs w:val="21"/>
              </w:rPr>
              <w:t>一般</w:t>
            </w:r>
          </w:p>
        </w:tc>
        <w:tc>
          <w:tcPr>
            <w:tcW w:w="1875" w:type="pct"/>
            <w:shd w:val="clear" w:color="auto" w:fill="FFFFFF"/>
            <w:tcMar>
              <w:top w:w="150" w:type="dxa"/>
              <w:left w:w="240" w:type="dxa"/>
              <w:bottom w:w="150" w:type="dxa"/>
              <w:right w:w="240" w:type="dxa"/>
            </w:tcMar>
            <w:vAlign w:val="center"/>
          </w:tcPr>
          <w:p w14:paraId="33BF9ACF">
            <w:pPr>
              <w:widowControl/>
              <w:adjustRightInd w:val="0"/>
              <w:snapToGrid w:val="0"/>
              <w:jc w:val="center"/>
              <w:rPr>
                <w:color w:val="0F1115"/>
                <w:kern w:val="0"/>
                <w:szCs w:val="21"/>
              </w:rPr>
            </w:pPr>
            <w:r>
              <w:rPr>
                <w:color w:val="0F1115"/>
                <w:kern w:val="0"/>
                <w:szCs w:val="21"/>
              </w:rPr>
              <w:t>压力-响应模型（线性/非线性） / 群体分布法</w:t>
            </w:r>
          </w:p>
        </w:tc>
        <w:tc>
          <w:tcPr>
            <w:tcW w:w="1500" w:type="pct"/>
            <w:shd w:val="clear" w:color="auto" w:fill="FFFFFF"/>
            <w:tcMar>
              <w:top w:w="150" w:type="dxa"/>
              <w:left w:w="240" w:type="dxa"/>
              <w:bottom w:w="150" w:type="dxa"/>
              <w:right w:w="0" w:type="dxa"/>
            </w:tcMar>
            <w:vAlign w:val="center"/>
          </w:tcPr>
          <w:p w14:paraId="58A2D1F0">
            <w:pPr>
              <w:widowControl/>
              <w:adjustRightInd w:val="0"/>
              <w:snapToGrid w:val="0"/>
              <w:jc w:val="center"/>
              <w:rPr>
                <w:color w:val="0F1115"/>
                <w:kern w:val="0"/>
                <w:szCs w:val="21"/>
              </w:rPr>
            </w:pPr>
            <w:r>
              <w:rPr>
                <w:color w:val="0F1115"/>
                <w:kern w:val="0"/>
                <w:szCs w:val="21"/>
              </w:rPr>
              <w:t>验证模型假设；若模型不佳可暂用统计法</w:t>
            </w:r>
          </w:p>
        </w:tc>
      </w:tr>
      <w:tr w14:paraId="0B76ABF4">
        <w:tblPrEx>
          <w:tblCellMar>
            <w:top w:w="15" w:type="dxa"/>
            <w:left w:w="15" w:type="dxa"/>
            <w:bottom w:w="15" w:type="dxa"/>
            <w:right w:w="15" w:type="dxa"/>
          </w:tblCellMar>
        </w:tblPrEx>
        <w:trPr>
          <w:trHeight w:val="680" w:hRule="exact"/>
        </w:trPr>
        <w:tc>
          <w:tcPr>
            <w:tcW w:w="450" w:type="pct"/>
            <w:shd w:val="clear" w:color="auto" w:fill="FFFFFF"/>
            <w:tcMar>
              <w:top w:w="150" w:type="dxa"/>
              <w:left w:w="0" w:type="dxa"/>
              <w:bottom w:w="150" w:type="dxa"/>
              <w:right w:w="240" w:type="dxa"/>
            </w:tcMar>
            <w:vAlign w:val="center"/>
          </w:tcPr>
          <w:p w14:paraId="75C20669">
            <w:pPr>
              <w:widowControl/>
              <w:adjustRightInd w:val="0"/>
              <w:snapToGrid w:val="0"/>
              <w:jc w:val="center"/>
              <w:rPr>
                <w:color w:val="0F1115"/>
                <w:kern w:val="0"/>
                <w:szCs w:val="21"/>
              </w:rPr>
            </w:pPr>
            <w:r>
              <w:rPr>
                <w:color w:val="0F1115"/>
                <w:kern w:val="0"/>
                <w:szCs w:val="21"/>
              </w:rPr>
              <w:t>大</w:t>
            </w:r>
          </w:p>
        </w:tc>
        <w:tc>
          <w:tcPr>
            <w:tcW w:w="510" w:type="pct"/>
            <w:shd w:val="clear" w:color="auto" w:fill="FFFFFF"/>
            <w:tcMar>
              <w:top w:w="150" w:type="dxa"/>
              <w:left w:w="240" w:type="dxa"/>
              <w:bottom w:w="150" w:type="dxa"/>
              <w:right w:w="240" w:type="dxa"/>
            </w:tcMar>
            <w:vAlign w:val="center"/>
          </w:tcPr>
          <w:p w14:paraId="2F7CE34E">
            <w:pPr>
              <w:widowControl/>
              <w:adjustRightInd w:val="0"/>
              <w:snapToGrid w:val="0"/>
              <w:jc w:val="center"/>
              <w:rPr>
                <w:color w:val="0F1115"/>
                <w:kern w:val="0"/>
                <w:szCs w:val="21"/>
              </w:rPr>
            </w:pPr>
            <w:r>
              <w:rPr>
                <w:color w:val="0F1115"/>
                <w:kern w:val="0"/>
                <w:szCs w:val="21"/>
              </w:rPr>
              <w:t>高</w:t>
            </w:r>
          </w:p>
        </w:tc>
        <w:tc>
          <w:tcPr>
            <w:tcW w:w="664" w:type="pct"/>
            <w:shd w:val="clear" w:color="auto" w:fill="FFFFFF"/>
            <w:tcMar>
              <w:top w:w="150" w:type="dxa"/>
              <w:left w:w="240" w:type="dxa"/>
              <w:bottom w:w="150" w:type="dxa"/>
              <w:right w:w="240" w:type="dxa"/>
            </w:tcMar>
            <w:vAlign w:val="center"/>
          </w:tcPr>
          <w:p w14:paraId="6528F63C">
            <w:pPr>
              <w:widowControl/>
              <w:adjustRightInd w:val="0"/>
              <w:snapToGrid w:val="0"/>
              <w:jc w:val="center"/>
              <w:rPr>
                <w:color w:val="0F1115"/>
                <w:kern w:val="0"/>
                <w:szCs w:val="21"/>
              </w:rPr>
            </w:pPr>
            <w:r>
              <w:rPr>
                <w:color w:val="0F1115"/>
                <w:kern w:val="0"/>
                <w:szCs w:val="21"/>
              </w:rPr>
              <w:t>一般</w:t>
            </w:r>
          </w:p>
        </w:tc>
        <w:tc>
          <w:tcPr>
            <w:tcW w:w="1875" w:type="pct"/>
            <w:shd w:val="clear" w:color="auto" w:fill="FFFFFF"/>
            <w:tcMar>
              <w:top w:w="150" w:type="dxa"/>
              <w:left w:w="240" w:type="dxa"/>
              <w:bottom w:w="150" w:type="dxa"/>
              <w:right w:w="240" w:type="dxa"/>
            </w:tcMar>
            <w:vAlign w:val="center"/>
          </w:tcPr>
          <w:p w14:paraId="6F7B3FE6">
            <w:pPr>
              <w:widowControl/>
              <w:adjustRightInd w:val="0"/>
              <w:snapToGrid w:val="0"/>
              <w:jc w:val="center"/>
              <w:rPr>
                <w:color w:val="0F1115"/>
                <w:kern w:val="0"/>
                <w:szCs w:val="21"/>
              </w:rPr>
            </w:pPr>
            <w:r>
              <w:rPr>
                <w:color w:val="0F1115"/>
                <w:kern w:val="0"/>
                <w:szCs w:val="21"/>
              </w:rPr>
              <w:t>压力-响应模型（强制纳入浊度） / 区域贝叶斯模型</w:t>
            </w:r>
          </w:p>
        </w:tc>
        <w:tc>
          <w:tcPr>
            <w:tcW w:w="1500" w:type="pct"/>
            <w:shd w:val="clear" w:color="auto" w:fill="FFFFFF"/>
            <w:tcMar>
              <w:top w:w="150" w:type="dxa"/>
              <w:left w:w="240" w:type="dxa"/>
              <w:bottom w:w="150" w:type="dxa"/>
              <w:right w:w="0" w:type="dxa"/>
            </w:tcMar>
            <w:vAlign w:val="center"/>
          </w:tcPr>
          <w:p w14:paraId="664F4E2B">
            <w:pPr>
              <w:widowControl/>
              <w:adjustRightInd w:val="0"/>
              <w:snapToGrid w:val="0"/>
              <w:jc w:val="center"/>
              <w:rPr>
                <w:color w:val="0F1115"/>
                <w:kern w:val="0"/>
                <w:szCs w:val="21"/>
              </w:rPr>
            </w:pPr>
            <w:r>
              <w:rPr>
                <w:color w:val="0F1115"/>
                <w:kern w:val="0"/>
                <w:szCs w:val="21"/>
              </w:rPr>
              <w:t>阈值必须关联浊度条件</w:t>
            </w:r>
          </w:p>
        </w:tc>
      </w:tr>
      <w:tr w14:paraId="673FC264">
        <w:tblPrEx>
          <w:tblCellMar>
            <w:top w:w="15" w:type="dxa"/>
            <w:left w:w="15" w:type="dxa"/>
            <w:bottom w:w="15" w:type="dxa"/>
            <w:right w:w="15" w:type="dxa"/>
          </w:tblCellMar>
        </w:tblPrEx>
        <w:trPr>
          <w:trHeight w:val="680" w:hRule="exact"/>
        </w:trPr>
        <w:tc>
          <w:tcPr>
            <w:tcW w:w="450" w:type="pct"/>
            <w:shd w:val="clear" w:color="auto" w:fill="FFFFFF"/>
            <w:tcMar>
              <w:top w:w="150" w:type="dxa"/>
              <w:left w:w="0" w:type="dxa"/>
              <w:bottom w:w="150" w:type="dxa"/>
              <w:right w:w="240" w:type="dxa"/>
            </w:tcMar>
            <w:vAlign w:val="center"/>
          </w:tcPr>
          <w:p w14:paraId="62AF6B6E">
            <w:pPr>
              <w:widowControl/>
              <w:adjustRightInd w:val="0"/>
              <w:snapToGrid w:val="0"/>
              <w:jc w:val="center"/>
              <w:rPr>
                <w:color w:val="0F1115"/>
                <w:kern w:val="0"/>
                <w:szCs w:val="21"/>
              </w:rPr>
            </w:pPr>
            <w:r>
              <w:rPr>
                <w:color w:val="0F1115"/>
                <w:kern w:val="0"/>
                <w:szCs w:val="21"/>
              </w:rPr>
              <w:t>任意</w:t>
            </w:r>
          </w:p>
        </w:tc>
        <w:tc>
          <w:tcPr>
            <w:tcW w:w="510" w:type="pct"/>
            <w:shd w:val="clear" w:color="auto" w:fill="FFFFFF"/>
            <w:tcMar>
              <w:top w:w="150" w:type="dxa"/>
              <w:left w:w="240" w:type="dxa"/>
              <w:bottom w:w="150" w:type="dxa"/>
              <w:right w:w="240" w:type="dxa"/>
            </w:tcMar>
            <w:vAlign w:val="center"/>
          </w:tcPr>
          <w:p w14:paraId="7EB95936">
            <w:pPr>
              <w:widowControl/>
              <w:adjustRightInd w:val="0"/>
              <w:snapToGrid w:val="0"/>
              <w:jc w:val="center"/>
              <w:rPr>
                <w:color w:val="0F1115"/>
                <w:kern w:val="0"/>
                <w:szCs w:val="21"/>
              </w:rPr>
            </w:pPr>
            <w:r>
              <w:rPr>
                <w:color w:val="0F1115"/>
                <w:kern w:val="0"/>
                <w:szCs w:val="21"/>
              </w:rPr>
              <w:t>任意</w:t>
            </w:r>
          </w:p>
        </w:tc>
        <w:tc>
          <w:tcPr>
            <w:tcW w:w="664" w:type="pct"/>
            <w:shd w:val="clear" w:color="auto" w:fill="FFFFFF"/>
            <w:tcMar>
              <w:top w:w="150" w:type="dxa"/>
              <w:left w:w="240" w:type="dxa"/>
              <w:bottom w:w="150" w:type="dxa"/>
              <w:right w:w="240" w:type="dxa"/>
            </w:tcMar>
            <w:vAlign w:val="center"/>
          </w:tcPr>
          <w:p w14:paraId="27A06F4B">
            <w:pPr>
              <w:widowControl/>
              <w:adjustRightInd w:val="0"/>
              <w:snapToGrid w:val="0"/>
              <w:jc w:val="center"/>
              <w:rPr>
                <w:color w:val="0F1115"/>
                <w:kern w:val="0"/>
                <w:szCs w:val="21"/>
              </w:rPr>
            </w:pPr>
            <w:r>
              <w:rPr>
                <w:color w:val="0F1115"/>
                <w:kern w:val="0"/>
                <w:szCs w:val="21"/>
              </w:rPr>
              <w:t>饮用水源</w:t>
            </w:r>
          </w:p>
        </w:tc>
        <w:tc>
          <w:tcPr>
            <w:tcW w:w="1875" w:type="pct"/>
            <w:shd w:val="clear" w:color="auto" w:fill="FFFFFF"/>
            <w:tcMar>
              <w:top w:w="150" w:type="dxa"/>
              <w:left w:w="240" w:type="dxa"/>
              <w:bottom w:w="150" w:type="dxa"/>
              <w:right w:w="240" w:type="dxa"/>
            </w:tcMar>
            <w:vAlign w:val="center"/>
          </w:tcPr>
          <w:p w14:paraId="50DA61B1">
            <w:pPr>
              <w:widowControl/>
              <w:adjustRightInd w:val="0"/>
              <w:snapToGrid w:val="0"/>
              <w:jc w:val="center"/>
              <w:rPr>
                <w:color w:val="0F1115"/>
                <w:kern w:val="0"/>
                <w:szCs w:val="21"/>
              </w:rPr>
            </w:pPr>
            <w:r>
              <w:rPr>
                <w:color w:val="0F1115"/>
                <w:kern w:val="0"/>
                <w:szCs w:val="21"/>
              </w:rPr>
              <w:t>最严格分位数法 / 压力-响应模型</w:t>
            </w:r>
          </w:p>
        </w:tc>
        <w:tc>
          <w:tcPr>
            <w:tcW w:w="1500" w:type="pct"/>
            <w:shd w:val="clear" w:color="auto" w:fill="FFFFFF"/>
            <w:tcMar>
              <w:top w:w="150" w:type="dxa"/>
              <w:left w:w="240" w:type="dxa"/>
              <w:bottom w:w="150" w:type="dxa"/>
              <w:right w:w="0" w:type="dxa"/>
            </w:tcMar>
            <w:vAlign w:val="center"/>
          </w:tcPr>
          <w:p w14:paraId="64E2AE26">
            <w:pPr>
              <w:widowControl/>
              <w:adjustRightInd w:val="0"/>
              <w:snapToGrid w:val="0"/>
              <w:jc w:val="center"/>
              <w:rPr>
                <w:color w:val="0F1115"/>
                <w:kern w:val="0"/>
                <w:szCs w:val="21"/>
              </w:rPr>
            </w:pPr>
            <w:r>
              <w:rPr>
                <w:color w:val="0F1115"/>
                <w:kern w:val="0"/>
                <w:szCs w:val="21"/>
              </w:rPr>
              <w:t>参照群体分布上10%分位数或更严</w:t>
            </w:r>
          </w:p>
        </w:tc>
      </w:tr>
      <w:tr w14:paraId="507856AF">
        <w:tblPrEx>
          <w:tblCellMar>
            <w:top w:w="15" w:type="dxa"/>
            <w:left w:w="15" w:type="dxa"/>
            <w:bottom w:w="15" w:type="dxa"/>
            <w:right w:w="15" w:type="dxa"/>
          </w:tblCellMar>
        </w:tblPrEx>
        <w:trPr>
          <w:trHeight w:val="680" w:hRule="exact"/>
        </w:trPr>
        <w:tc>
          <w:tcPr>
            <w:tcW w:w="450" w:type="pct"/>
            <w:tcBorders>
              <w:bottom w:val="single" w:color="auto" w:sz="12" w:space="0"/>
            </w:tcBorders>
            <w:shd w:val="clear" w:color="auto" w:fill="FFFFFF"/>
            <w:tcMar>
              <w:top w:w="150" w:type="dxa"/>
              <w:left w:w="0" w:type="dxa"/>
              <w:bottom w:w="150" w:type="dxa"/>
              <w:right w:w="240" w:type="dxa"/>
            </w:tcMar>
            <w:vAlign w:val="center"/>
          </w:tcPr>
          <w:p w14:paraId="14116753">
            <w:pPr>
              <w:widowControl/>
              <w:adjustRightInd w:val="0"/>
              <w:snapToGrid w:val="0"/>
              <w:jc w:val="center"/>
              <w:rPr>
                <w:color w:val="0F1115"/>
                <w:kern w:val="0"/>
                <w:szCs w:val="21"/>
              </w:rPr>
            </w:pPr>
            <w:r>
              <w:rPr>
                <w:color w:val="0F1115"/>
                <w:kern w:val="0"/>
                <w:szCs w:val="21"/>
              </w:rPr>
              <w:t>大</w:t>
            </w:r>
          </w:p>
        </w:tc>
        <w:tc>
          <w:tcPr>
            <w:tcW w:w="510" w:type="pct"/>
            <w:tcBorders>
              <w:bottom w:val="single" w:color="auto" w:sz="12" w:space="0"/>
            </w:tcBorders>
            <w:shd w:val="clear" w:color="auto" w:fill="FFFFFF"/>
            <w:tcMar>
              <w:top w:w="150" w:type="dxa"/>
              <w:left w:w="240" w:type="dxa"/>
              <w:bottom w:w="150" w:type="dxa"/>
              <w:right w:w="240" w:type="dxa"/>
            </w:tcMar>
            <w:vAlign w:val="center"/>
          </w:tcPr>
          <w:p w14:paraId="7AB58B54">
            <w:pPr>
              <w:widowControl/>
              <w:adjustRightInd w:val="0"/>
              <w:snapToGrid w:val="0"/>
              <w:jc w:val="center"/>
              <w:rPr>
                <w:color w:val="0F1115"/>
                <w:kern w:val="0"/>
                <w:szCs w:val="21"/>
              </w:rPr>
            </w:pPr>
            <w:r>
              <w:rPr>
                <w:color w:val="0F1115"/>
                <w:kern w:val="0"/>
                <w:szCs w:val="21"/>
              </w:rPr>
              <w:t>任意</w:t>
            </w:r>
          </w:p>
        </w:tc>
        <w:tc>
          <w:tcPr>
            <w:tcW w:w="664" w:type="pct"/>
            <w:tcBorders>
              <w:bottom w:val="single" w:color="auto" w:sz="12" w:space="0"/>
            </w:tcBorders>
            <w:shd w:val="clear" w:color="auto" w:fill="FFFFFF"/>
            <w:tcMar>
              <w:top w:w="150" w:type="dxa"/>
              <w:left w:w="240" w:type="dxa"/>
              <w:bottom w:w="150" w:type="dxa"/>
              <w:right w:w="240" w:type="dxa"/>
            </w:tcMar>
            <w:vAlign w:val="center"/>
          </w:tcPr>
          <w:p w14:paraId="21AF0DDA">
            <w:pPr>
              <w:widowControl/>
              <w:adjustRightInd w:val="0"/>
              <w:snapToGrid w:val="0"/>
              <w:jc w:val="center"/>
              <w:rPr>
                <w:color w:val="0F1115"/>
                <w:kern w:val="0"/>
                <w:szCs w:val="21"/>
              </w:rPr>
            </w:pPr>
            <w:r>
              <w:rPr>
                <w:color w:val="0F1115"/>
                <w:kern w:val="0"/>
                <w:szCs w:val="21"/>
              </w:rPr>
              <w:t>全流域基准</w:t>
            </w:r>
          </w:p>
        </w:tc>
        <w:tc>
          <w:tcPr>
            <w:tcW w:w="1875" w:type="pct"/>
            <w:tcBorders>
              <w:bottom w:val="single" w:color="auto" w:sz="12" w:space="0"/>
            </w:tcBorders>
            <w:shd w:val="clear" w:color="auto" w:fill="FFFFFF"/>
            <w:tcMar>
              <w:top w:w="150" w:type="dxa"/>
              <w:left w:w="240" w:type="dxa"/>
              <w:bottom w:w="150" w:type="dxa"/>
              <w:right w:w="240" w:type="dxa"/>
            </w:tcMar>
            <w:vAlign w:val="center"/>
          </w:tcPr>
          <w:p w14:paraId="53B3333E">
            <w:pPr>
              <w:widowControl/>
              <w:adjustRightInd w:val="0"/>
              <w:snapToGrid w:val="0"/>
              <w:jc w:val="center"/>
              <w:rPr>
                <w:color w:val="0F1115"/>
                <w:kern w:val="0"/>
                <w:szCs w:val="21"/>
              </w:rPr>
            </w:pPr>
            <w:r>
              <w:rPr>
                <w:color w:val="0F1115"/>
                <w:kern w:val="0"/>
                <w:szCs w:val="21"/>
              </w:rPr>
              <w:t>区域贝叶斯层次模型 / 多方法集成</w:t>
            </w:r>
          </w:p>
        </w:tc>
        <w:tc>
          <w:tcPr>
            <w:tcW w:w="1500" w:type="pct"/>
            <w:tcBorders>
              <w:bottom w:val="single" w:color="auto" w:sz="12" w:space="0"/>
            </w:tcBorders>
            <w:shd w:val="clear" w:color="auto" w:fill="FFFFFF"/>
            <w:tcMar>
              <w:top w:w="150" w:type="dxa"/>
              <w:left w:w="240" w:type="dxa"/>
              <w:bottom w:w="150" w:type="dxa"/>
              <w:right w:w="0" w:type="dxa"/>
            </w:tcMar>
            <w:vAlign w:val="center"/>
          </w:tcPr>
          <w:p w14:paraId="1CC1C391">
            <w:pPr>
              <w:widowControl/>
              <w:adjustRightInd w:val="0"/>
              <w:snapToGrid w:val="0"/>
              <w:jc w:val="center"/>
              <w:rPr>
                <w:color w:val="0F1115"/>
                <w:kern w:val="0"/>
                <w:szCs w:val="21"/>
              </w:rPr>
            </w:pPr>
            <w:r>
              <w:rPr>
                <w:color w:val="0F1115"/>
                <w:kern w:val="0"/>
                <w:szCs w:val="21"/>
              </w:rPr>
              <w:t>结果以概率分布呈现</w:t>
            </w:r>
          </w:p>
        </w:tc>
      </w:tr>
    </w:tbl>
    <w:p w14:paraId="427B8CFC">
      <w:pPr>
        <w:pStyle w:val="27"/>
        <w:ind w:firstLine="420"/>
        <w:rPr>
          <w:rFonts w:ascii="Times New Roman"/>
        </w:rPr>
      </w:pPr>
      <w:r>
        <w:rPr>
          <w:rFonts w:ascii="Times New Roman"/>
        </w:rPr>
        <w:t>注：表中“一般”指非饮用水源的其他功能。单个湖库可参照执行。方法选择的详细实施要点、质量控制检查及常见问题见附录C。</w:t>
      </w:r>
    </w:p>
    <w:p w14:paraId="735EBCB6">
      <w:pPr>
        <w:pStyle w:val="42"/>
        <w:spacing w:before="120" w:after="120"/>
      </w:pPr>
      <w:bookmarkStart w:id="97" w:name="_Toc232413580"/>
      <w:bookmarkEnd w:id="97"/>
      <w:bookmarkStart w:id="98" w:name="_Toc232496916"/>
      <w:r>
        <w:rPr>
          <w:rFonts w:hint="eastAsia"/>
        </w:rPr>
        <w:t>氮磷阈值计算方法</w:t>
      </w:r>
      <w:bookmarkEnd w:id="98"/>
    </w:p>
    <w:p w14:paraId="4149EF58">
      <w:pPr>
        <w:pStyle w:val="43"/>
        <w:spacing w:before="120" w:after="120"/>
      </w:pPr>
      <w:r>
        <w:t>统计分析法</w:t>
      </w:r>
    </w:p>
    <w:p w14:paraId="1728865C">
      <w:pPr>
        <w:pStyle w:val="44"/>
        <w:spacing w:before="120" w:after="120"/>
        <w:rPr>
          <w:rFonts w:ascii="Times New Roman"/>
        </w:rPr>
      </w:pPr>
      <w:r>
        <w:t>参照湖库法</w:t>
      </w:r>
    </w:p>
    <w:p w14:paraId="3A3A3A76">
      <w:pPr>
        <w:pStyle w:val="27"/>
        <w:ind w:firstLine="420"/>
        <w:rPr>
          <w:rFonts w:ascii="Times New Roman"/>
        </w:rPr>
      </w:pPr>
      <w:r>
        <w:rPr>
          <w:rFonts w:hint="eastAsia" w:ascii="Times New Roman"/>
        </w:rPr>
        <w:t>a) 数据准备：汇集候选参照湖库的TN、TP、Chl-a、SD等同步数据，</w:t>
      </w:r>
      <w:r>
        <w:rPr>
          <w:rFonts w:ascii="Times New Roman"/>
        </w:rPr>
        <w:t>参照湖库筛选标准见HJ 838附录B</w:t>
      </w:r>
      <w:r>
        <w:rPr>
          <w:rFonts w:hint="eastAsia" w:ascii="Times New Roman"/>
        </w:rPr>
        <w:t>；</w:t>
      </w:r>
    </w:p>
    <w:p w14:paraId="74CE47E5">
      <w:pPr>
        <w:pStyle w:val="27"/>
        <w:ind w:firstLine="420"/>
        <w:rPr>
          <w:rFonts w:ascii="Times New Roman"/>
        </w:rPr>
      </w:pPr>
      <w:r>
        <w:rPr>
          <w:rFonts w:hint="eastAsia" w:ascii="Times New Roman"/>
        </w:rPr>
        <w:t>b) 预处理：</w:t>
      </w:r>
      <w:r>
        <w:rPr>
          <w:rFonts w:ascii="Times New Roman"/>
        </w:rPr>
        <w:t>对数据进行正态性检验</w:t>
      </w:r>
      <w:r>
        <w:rPr>
          <w:rFonts w:hint="eastAsia" w:ascii="Times New Roman"/>
        </w:rPr>
        <w:t>；</w:t>
      </w:r>
      <w:r>
        <w:rPr>
          <w:rFonts w:ascii="Times New Roman"/>
        </w:rPr>
        <w:t>若不符合正态分布，进行对数转换（以10为底）</w:t>
      </w:r>
      <w:r>
        <w:rPr>
          <w:rFonts w:hint="eastAsia" w:ascii="Times New Roman"/>
        </w:rPr>
        <w:t>；</w:t>
      </w:r>
      <w:r>
        <w:rPr>
          <w:rFonts w:ascii="Times New Roman"/>
        </w:rPr>
        <w:t>对高浊度湖库数据，按附录B进行浊度校正或分组</w:t>
      </w:r>
      <w:r>
        <w:rPr>
          <w:rFonts w:hint="eastAsia" w:ascii="Times New Roman"/>
        </w:rPr>
        <w:t>；</w:t>
      </w:r>
    </w:p>
    <w:p w14:paraId="76915007">
      <w:pPr>
        <w:pStyle w:val="27"/>
        <w:ind w:firstLine="420"/>
        <w:rPr>
          <w:rFonts w:ascii="Times New Roman"/>
        </w:rPr>
      </w:pPr>
      <w:r>
        <w:rPr>
          <w:rFonts w:hint="eastAsia" w:ascii="Times New Roman"/>
        </w:rPr>
        <w:t>c) 频数分布：将TN、TP、Chl-a浓度从低到高排序，绘制频数分布图；</w:t>
      </w:r>
    </w:p>
    <w:p w14:paraId="137BD100">
      <w:pPr>
        <w:pStyle w:val="27"/>
        <w:ind w:firstLine="420"/>
        <w:rPr>
          <w:rFonts w:ascii="Times New Roman"/>
        </w:rPr>
      </w:pPr>
      <w:r>
        <w:rPr>
          <w:rFonts w:hint="eastAsia" w:ascii="Times New Roman"/>
        </w:rPr>
        <w:t>d) 阈值计算：取TN、TP、Chl-a的上25%分位数，SD的下25%分位数；</w:t>
      </w:r>
    </w:p>
    <w:p w14:paraId="61566ABA">
      <w:pPr>
        <w:pStyle w:val="27"/>
        <w:ind w:firstLine="420"/>
        <w:rPr>
          <w:rFonts w:ascii="Times New Roman"/>
        </w:rPr>
      </w:pPr>
      <w:r>
        <w:rPr>
          <w:rFonts w:hint="eastAsia" w:ascii="Times New Roman"/>
        </w:rPr>
        <w:t>e) 结果复核：候选阈值应在参照湖库历史数据（≥3年）的25%~75%分位数范围内。</w:t>
      </w:r>
    </w:p>
    <w:p w14:paraId="59258DD2">
      <w:pPr>
        <w:pStyle w:val="44"/>
        <w:spacing w:before="120" w:after="120"/>
        <w:rPr>
          <w:rFonts w:ascii="Times New Roman"/>
        </w:rPr>
      </w:pPr>
      <w:r>
        <w:t>湖库群体分布法</w:t>
      </w:r>
    </w:p>
    <w:p w14:paraId="08447F28">
      <w:pPr>
        <w:pStyle w:val="27"/>
        <w:ind w:firstLine="420"/>
        <w:rPr>
          <w:rFonts w:ascii="Times New Roman"/>
        </w:rPr>
      </w:pPr>
      <w:r>
        <w:rPr>
          <w:rFonts w:hint="eastAsia" w:ascii="Times New Roman"/>
        </w:rPr>
        <w:t>a) 数据准备：汇集区域内所有湖库数据（排除严重受损水体）；</w:t>
      </w:r>
    </w:p>
    <w:p w14:paraId="0A01E60E">
      <w:pPr>
        <w:pStyle w:val="27"/>
        <w:ind w:firstLine="420"/>
        <w:rPr>
          <w:rFonts w:ascii="Times New Roman"/>
        </w:rPr>
      </w:pPr>
      <w:r>
        <w:rPr>
          <w:rFonts w:hint="eastAsia" w:ascii="Times New Roman"/>
        </w:rPr>
        <w:t>b) 预处理：同7.3.1.1</w:t>
      </w:r>
      <w:r>
        <w:rPr>
          <w:rFonts w:ascii="Times New Roman"/>
        </w:rPr>
        <w:t xml:space="preserve"> b)</w:t>
      </w:r>
      <w:r>
        <w:rPr>
          <w:rFonts w:hint="eastAsia" w:ascii="Times New Roman"/>
        </w:rPr>
        <w:t>；</w:t>
      </w:r>
    </w:p>
    <w:p w14:paraId="7DB45C61">
      <w:pPr>
        <w:pStyle w:val="27"/>
        <w:ind w:firstLine="420"/>
        <w:rPr>
          <w:rFonts w:ascii="Times New Roman"/>
        </w:rPr>
      </w:pPr>
      <w:r>
        <w:rPr>
          <w:rFonts w:hint="eastAsia" w:ascii="Times New Roman"/>
        </w:rPr>
        <w:t>c) 频数分布：同7.3.1.1</w:t>
      </w:r>
      <w:r>
        <w:rPr>
          <w:rFonts w:ascii="Times New Roman"/>
        </w:rPr>
        <w:t xml:space="preserve"> </w:t>
      </w:r>
      <w:r>
        <w:rPr>
          <w:rFonts w:hint="eastAsia" w:ascii="Times New Roman"/>
        </w:rPr>
        <w:t>c</w:t>
      </w:r>
      <w:r>
        <w:rPr>
          <w:rFonts w:ascii="Times New Roman"/>
        </w:rPr>
        <w:t>)</w:t>
      </w:r>
      <w:r>
        <w:rPr>
          <w:rFonts w:hint="eastAsia" w:ascii="Times New Roman"/>
        </w:rPr>
        <w:t>；</w:t>
      </w:r>
    </w:p>
    <w:p w14:paraId="06EBD999">
      <w:pPr>
        <w:pStyle w:val="27"/>
        <w:ind w:firstLine="420"/>
        <w:rPr>
          <w:rFonts w:ascii="Times New Roman"/>
        </w:rPr>
      </w:pPr>
      <w:r>
        <w:rPr>
          <w:rFonts w:hint="eastAsia" w:ascii="Times New Roman"/>
        </w:rPr>
        <w:t>d) 阈值计算：取TN、TP、Chl-a的下25%分位数，SD的上25%分位数；</w:t>
      </w:r>
    </w:p>
    <w:p w14:paraId="7322DF6B">
      <w:pPr>
        <w:pStyle w:val="27"/>
        <w:ind w:firstLine="420"/>
        <w:rPr>
          <w:rFonts w:ascii="Times New Roman"/>
        </w:rPr>
      </w:pPr>
      <w:r>
        <w:rPr>
          <w:rFonts w:hint="eastAsia" w:ascii="Times New Roman"/>
        </w:rPr>
        <w:t>e) 结果复核：候选阈值应在区域内水质最优10%湖库数据的10%~50%分位数范围内。</w:t>
      </w:r>
    </w:p>
    <w:p w14:paraId="5B18D765">
      <w:pPr>
        <w:pStyle w:val="44"/>
        <w:spacing w:before="120" w:after="120"/>
      </w:pPr>
      <w:r>
        <w:t>三分法</w:t>
      </w:r>
    </w:p>
    <w:p w14:paraId="1D95E1C3">
      <w:pPr>
        <w:pStyle w:val="27"/>
        <w:ind w:firstLine="420"/>
        <w:rPr>
          <w:rFonts w:ascii="Times New Roman"/>
        </w:rPr>
      </w:pPr>
      <w:r>
        <w:rPr>
          <w:rFonts w:hint="eastAsia" w:ascii="Times New Roman"/>
        </w:rPr>
        <w:t>a) 数据排序：TN、TP、Chl-a浓度从低到高，SD从高到低；</w:t>
      </w:r>
    </w:p>
    <w:p w14:paraId="760918DC">
      <w:pPr>
        <w:pStyle w:val="27"/>
        <w:ind w:firstLine="420"/>
        <w:rPr>
          <w:rFonts w:ascii="Times New Roman"/>
        </w:rPr>
      </w:pPr>
      <w:r>
        <w:rPr>
          <w:rFonts w:hint="eastAsia" w:ascii="Times New Roman"/>
        </w:rPr>
        <w:t>b) 数据筛选：取最优的1/3数据子集；</w:t>
      </w:r>
    </w:p>
    <w:p w14:paraId="15E15672">
      <w:pPr>
        <w:pStyle w:val="27"/>
        <w:ind w:firstLine="420"/>
        <w:rPr>
          <w:rFonts w:ascii="Times New Roman"/>
        </w:rPr>
      </w:pPr>
      <w:r>
        <w:rPr>
          <w:rFonts w:hint="eastAsia" w:ascii="Times New Roman"/>
        </w:rPr>
        <w:t>c) 阈值计算：取子集中各指标的中位数；</w:t>
      </w:r>
    </w:p>
    <w:p w14:paraId="20218C62">
      <w:pPr>
        <w:pStyle w:val="27"/>
        <w:ind w:firstLine="420"/>
        <w:rPr>
          <w:rFonts w:ascii="Times New Roman"/>
        </w:rPr>
      </w:pPr>
      <w:r>
        <w:rPr>
          <w:rFonts w:hint="eastAsia" w:ascii="Times New Roman"/>
        </w:rPr>
        <w:t>d) 结果复核：候选阈值应在最优15%湖库数据的20%~60%分位数范围内。</w:t>
      </w:r>
    </w:p>
    <w:p w14:paraId="3074405C">
      <w:pPr>
        <w:pStyle w:val="43"/>
        <w:spacing w:before="120" w:after="120"/>
      </w:pPr>
      <w:r>
        <w:t>压力-响应模型法</w:t>
      </w:r>
    </w:p>
    <w:p w14:paraId="76D5DD7D">
      <w:pPr>
        <w:pStyle w:val="44"/>
        <w:spacing w:before="120" w:after="120"/>
      </w:pPr>
      <w:r>
        <w:t>通用流程</w:t>
      </w:r>
    </w:p>
    <w:p w14:paraId="2196396E">
      <w:pPr>
        <w:pStyle w:val="27"/>
        <w:ind w:firstLine="420"/>
        <w:rPr>
          <w:rFonts w:ascii="Times New Roman"/>
        </w:rPr>
      </w:pPr>
      <w:r>
        <w:rPr>
          <w:rFonts w:ascii="Times New Roman"/>
        </w:rPr>
        <w:t>压力-响应模型法通过建立</w:t>
      </w:r>
      <w:r>
        <w:rPr>
          <w:rFonts w:hint="eastAsia" w:ascii="Times New Roman"/>
        </w:rPr>
        <w:t>氮磷营养物</w:t>
      </w:r>
      <w:r>
        <w:rPr>
          <w:rFonts w:ascii="Times New Roman"/>
        </w:rPr>
        <w:t>（压力）与生态响应指标（如Chl-a）之间的定量数学模型来推导阈值,通用流程见图3。</w:t>
      </w:r>
    </w:p>
    <w:p w14:paraId="329FB354">
      <w:pPr>
        <w:pStyle w:val="27"/>
        <w:ind w:firstLine="420"/>
        <w:jc w:val="center"/>
        <w:rPr>
          <w:rFonts w:ascii="Times New Roman"/>
        </w:rPr>
      </w:pPr>
      <w:r>
        <w:rPr>
          <w:rFonts w:ascii="Times New Roman"/>
        </w:rPr>
        <w:drawing>
          <wp:inline distT="0" distB="0" distL="114300" distR="114300">
            <wp:extent cx="3046730" cy="3522980"/>
            <wp:effectExtent l="0" t="0" r="127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4"/>
                    <a:stretch>
                      <a:fillRect/>
                    </a:stretch>
                  </pic:blipFill>
                  <pic:spPr>
                    <a:xfrm>
                      <a:off x="0" y="0"/>
                      <a:ext cx="3046730" cy="3522980"/>
                    </a:xfrm>
                    <a:prstGeom prst="rect">
                      <a:avLst/>
                    </a:prstGeom>
                    <a:noFill/>
                    <a:ln>
                      <a:noFill/>
                    </a:ln>
                  </pic:spPr>
                </pic:pic>
              </a:graphicData>
            </a:graphic>
          </wp:inline>
        </w:drawing>
      </w:r>
    </w:p>
    <w:p w14:paraId="089A3C1F">
      <w:pPr>
        <w:pStyle w:val="27"/>
        <w:overflowPunct w:val="0"/>
        <w:spacing w:before="120" w:after="120"/>
        <w:ind w:firstLine="0" w:firstLineChars="0"/>
        <w:jc w:val="center"/>
        <w:rPr>
          <w:rFonts w:ascii="Times New Roman" w:eastAsia="黑体"/>
        </w:rPr>
      </w:pPr>
      <w:r>
        <w:rPr>
          <w:rFonts w:ascii="Times New Roman" w:eastAsia="黑体"/>
        </w:rPr>
        <w:t>图3  压力-响应模型法通用流程</w:t>
      </w:r>
    </w:p>
    <w:p w14:paraId="183D8AA1">
      <w:pPr>
        <w:pStyle w:val="27"/>
        <w:ind w:firstLine="420"/>
        <w:rPr>
          <w:rFonts w:ascii="Times New Roman"/>
        </w:rPr>
      </w:pPr>
      <w:r>
        <w:rPr>
          <w:rFonts w:ascii="Times New Roman"/>
        </w:rPr>
        <w:t>a) 数据准备与关系诊断：准备TN、TP、Chl-a、浊度等变量的同步监测数据集。绘制TN-Chl-a和TP-Chl-a散点图，计算Pearson或Spearman相关系数，初步判断关系趋势。</w:t>
      </w:r>
    </w:p>
    <w:p w14:paraId="7958C2F9">
      <w:pPr>
        <w:pStyle w:val="27"/>
        <w:ind w:firstLine="420"/>
        <w:rPr>
          <w:rFonts w:ascii="Times New Roman"/>
        </w:rPr>
      </w:pPr>
      <w:r>
        <w:rPr>
          <w:rFonts w:ascii="Times New Roman"/>
        </w:rPr>
        <w:t>b) 建模与验证</w:t>
      </w:r>
    </w:p>
    <w:p w14:paraId="5D3CCA95">
      <w:pPr>
        <w:pStyle w:val="27"/>
        <w:ind w:firstLine="630" w:firstLineChars="300"/>
        <w:rPr>
          <w:rFonts w:ascii="Times New Roman"/>
        </w:rPr>
      </w:pPr>
      <w:r>
        <w:rPr>
          <w:rFonts w:ascii="Times New Roman"/>
        </w:rPr>
        <w:t>1）线性关系：若散点图呈线性趋势，且数据经检验基本满足线性回归假设（线性、独立性、正态性、同方差性），则建立多元线性回归模型：Chl-a = β₀ + β₁×TN + β₂×TP + β₃×浊度 + ... + ε。</w:t>
      </w:r>
    </w:p>
    <w:p w14:paraId="7962ABE3">
      <w:pPr>
        <w:pStyle w:val="27"/>
        <w:ind w:firstLine="630" w:firstLineChars="300"/>
        <w:rPr>
          <w:rFonts w:ascii="Times New Roman"/>
        </w:rPr>
      </w:pPr>
      <w:r>
        <w:rPr>
          <w:rFonts w:ascii="Times New Roman"/>
        </w:rPr>
        <w:t>2）非线性关系：选用非线性模型或非参数方法。</w:t>
      </w:r>
      <w:r>
        <w:rPr>
          <w:rFonts w:hint="eastAsia" w:ascii="Times New Roman"/>
        </w:rPr>
        <w:t>应</w:t>
      </w:r>
      <w:r>
        <w:rPr>
          <w:rFonts w:ascii="Times New Roman"/>
        </w:rPr>
        <w:t>使用分类回归树（CART）或拐点分析法（见HJ 838附录C）。对于高浊度水体，</w:t>
      </w:r>
      <w:r>
        <w:rPr>
          <w:rFonts w:hint="eastAsia" w:ascii="Times New Roman"/>
        </w:rPr>
        <w:t>应</w:t>
      </w:r>
      <w:r>
        <w:rPr>
          <w:rFonts w:ascii="Times New Roman"/>
        </w:rPr>
        <w:t>采用分位数回归（如90%分位数），以关注</w:t>
      </w:r>
      <w:r>
        <w:rPr>
          <w:rFonts w:hint="eastAsia" w:ascii="Times New Roman"/>
        </w:rPr>
        <w:t>氮磷营养物</w:t>
      </w:r>
      <w:r>
        <w:rPr>
          <w:rFonts w:ascii="Times New Roman"/>
        </w:rPr>
        <w:t>影响的上限。</w:t>
      </w:r>
    </w:p>
    <w:p w14:paraId="425BE269">
      <w:pPr>
        <w:pStyle w:val="27"/>
        <w:ind w:firstLine="630" w:firstLineChars="300"/>
        <w:rPr>
          <w:rFonts w:ascii="Times New Roman"/>
        </w:rPr>
      </w:pPr>
      <w:r>
        <w:rPr>
          <w:rFonts w:ascii="Times New Roman"/>
        </w:rPr>
        <w:t>3）模型验证与优化：将数据集随机分为训练集（如70%）和验证集（如30%）。用训练集建立模型，用验证集计算预测误差（如均方根误差RMSE）。模型表现判断标准：</w:t>
      </w:r>
    </w:p>
    <w:p w14:paraId="3DDFA8AE">
      <w:pPr>
        <w:pStyle w:val="27"/>
        <w:ind w:firstLine="619" w:firstLineChars="295"/>
        <w:rPr>
          <w:rFonts w:ascii="Times New Roman"/>
        </w:rPr>
      </w:pPr>
      <w:r>
        <w:rPr>
          <w:rFonts w:ascii="Times New Roman"/>
        </w:rPr>
        <w:t>可接受：R² ≥ 0.3，且验证集RMSE与训练集RMSE的比值 ≤ 1.3；</w:t>
      </w:r>
    </w:p>
    <w:p w14:paraId="4ABBE8A1">
      <w:pPr>
        <w:pStyle w:val="27"/>
        <w:ind w:firstLine="619" w:firstLineChars="295"/>
        <w:rPr>
          <w:rFonts w:ascii="Times New Roman"/>
        </w:rPr>
      </w:pPr>
      <w:r>
        <w:rPr>
          <w:rFonts w:ascii="Times New Roman"/>
        </w:rPr>
        <w:t>良好：R² ≥ 0.5，且验证集RMSE与训练集RMSE的比值 ≤ 1.2；</w:t>
      </w:r>
    </w:p>
    <w:p w14:paraId="729557C8">
      <w:pPr>
        <w:pStyle w:val="27"/>
        <w:ind w:firstLine="630" w:firstLineChars="300"/>
        <w:rPr>
          <w:rFonts w:ascii="Times New Roman"/>
        </w:rPr>
      </w:pPr>
      <w:r>
        <w:rPr>
          <w:rFonts w:ascii="Times New Roman"/>
        </w:rPr>
        <w:t>若模型表现低于可接受标准，需考虑增加变量（如水温、季节因子）、转换数据或尝试其他模型形式。</w:t>
      </w:r>
    </w:p>
    <w:p w14:paraId="7BABD586">
      <w:pPr>
        <w:pStyle w:val="27"/>
        <w:ind w:firstLine="420"/>
        <w:rPr>
          <w:rFonts w:ascii="Times New Roman"/>
        </w:rPr>
      </w:pPr>
      <w:r>
        <w:rPr>
          <w:rFonts w:ascii="Times New Roman"/>
        </w:rPr>
        <w:t>c) 阈值推导</w:t>
      </w:r>
    </w:p>
    <w:p w14:paraId="42363B53">
      <w:pPr>
        <w:pStyle w:val="27"/>
        <w:ind w:firstLine="630" w:firstLineChars="300"/>
        <w:rPr>
          <w:rFonts w:ascii="Times New Roman"/>
        </w:rPr>
      </w:pPr>
      <w:r>
        <w:rPr>
          <w:rFonts w:ascii="Times New Roman"/>
        </w:rPr>
        <w:t>1）基于线性/非线性回归模型：根据湖库功能设定Chl-a管理目标值（C_target）。将C_target代入已验证的模型方程，同时指定一个具有代表性的浊度背景值（如该湖库非汛期连续3年平均浊度），反解出对应的TN和TP浓度，即为候选阈值。应报告不同浊度水平下的阈值曲线或曲面。</w:t>
      </w:r>
    </w:p>
    <w:p w14:paraId="41BA3EA8">
      <w:pPr>
        <w:pStyle w:val="27"/>
        <w:ind w:firstLine="630" w:firstLineChars="300"/>
        <w:rPr>
          <w:rFonts w:ascii="Times New Roman"/>
        </w:rPr>
      </w:pPr>
      <w:r>
        <w:rPr>
          <w:rFonts w:ascii="Times New Roman"/>
        </w:rPr>
        <w:t>2）基于分类回归树模型：从最终生成的回归树中，识别出导致Chl-a发生显著跃升（如进入高藻类生物量状态，通常以Chl-a &gt; 10 μg/L为阈值）的关键节点。该节点对应的TN或TP分割值即为候选阈值。</w:t>
      </w:r>
    </w:p>
    <w:p w14:paraId="72E94BD8">
      <w:pPr>
        <w:pStyle w:val="27"/>
        <w:ind w:firstLine="630" w:firstLineChars="300"/>
        <w:rPr>
          <w:rFonts w:ascii="Times New Roman"/>
        </w:rPr>
      </w:pPr>
      <w:r>
        <w:rPr>
          <w:rFonts w:ascii="Times New Roman"/>
        </w:rPr>
        <w:t>3）基于拐点分析法：识别压力-响应关系曲线上的统计拐点，该拐点对应的</w:t>
      </w:r>
      <w:r>
        <w:rPr>
          <w:rFonts w:hint="eastAsia" w:ascii="Times New Roman"/>
        </w:rPr>
        <w:t>营养物</w:t>
      </w:r>
      <w:r>
        <w:rPr>
          <w:rFonts w:ascii="Times New Roman"/>
        </w:rPr>
        <w:t>浓度即为候选阈值。</w:t>
      </w:r>
    </w:p>
    <w:p w14:paraId="4F09D8A7">
      <w:pPr>
        <w:pStyle w:val="44"/>
        <w:spacing w:before="120" w:after="120"/>
      </w:pPr>
      <w:r>
        <w:t>针对高浊度湖库的建模流程</w:t>
      </w:r>
    </w:p>
    <w:p w14:paraId="52C3AB13">
      <w:pPr>
        <w:pStyle w:val="27"/>
        <w:ind w:firstLine="420"/>
        <w:rPr>
          <w:rFonts w:ascii="Times New Roman"/>
        </w:rPr>
      </w:pPr>
      <w:r>
        <w:rPr>
          <w:rFonts w:ascii="Times New Roman"/>
        </w:rPr>
        <w:t>a) 强制纳入浊度变量：无论选择何种模型，必须将浊度作为核心自变量纳入。初始模型形式应为：响应变量 = f(TN, TP, 浊度)。</w:t>
      </w:r>
    </w:p>
    <w:p w14:paraId="4AA0825E">
      <w:pPr>
        <w:pStyle w:val="27"/>
        <w:ind w:firstLine="420"/>
        <w:rPr>
          <w:rFonts w:ascii="Times New Roman"/>
        </w:rPr>
      </w:pPr>
      <w:r>
        <w:rPr>
          <w:rFonts w:ascii="Times New Roman"/>
        </w:rPr>
        <w:t>b) 数据分层：建议将数据按浊度水平预先分层（如：</w:t>
      </w:r>
      <w:r>
        <w:rPr>
          <w:rFonts w:hint="eastAsia" w:ascii="Times New Roman"/>
        </w:rPr>
        <w:t>≤ 15</w:t>
      </w:r>
      <w:r>
        <w:rPr>
          <w:rFonts w:ascii="Times New Roman"/>
        </w:rPr>
        <w:t xml:space="preserve"> NTU，</w:t>
      </w:r>
      <w:r>
        <w:rPr>
          <w:rFonts w:hint="eastAsia" w:ascii="Times New Roman"/>
        </w:rPr>
        <w:t>15</w:t>
      </w:r>
      <w:r>
        <w:rPr>
          <w:rFonts w:ascii="Times New Roman"/>
        </w:rPr>
        <w:t>-50 NTU，≥</w:t>
      </w:r>
      <w:r>
        <w:rPr>
          <w:rFonts w:hint="eastAsia" w:ascii="Times New Roman"/>
        </w:rPr>
        <w:t xml:space="preserve"> </w:t>
      </w:r>
      <w:r>
        <w:rPr>
          <w:rFonts w:ascii="Times New Roman"/>
        </w:rPr>
        <w:t>50 NTU），分别检查各层内TN</w:t>
      </w:r>
      <w:r>
        <w:rPr>
          <w:rFonts w:hint="eastAsia" w:ascii="Times New Roman"/>
        </w:rPr>
        <w:t>、</w:t>
      </w:r>
      <w:r>
        <w:rPr>
          <w:rFonts w:ascii="Times New Roman"/>
        </w:rPr>
        <w:t>TP与Chl-a的关系。若关系模式差异显著（如相关系数差异 &gt; 0.3），应考虑分层建模。</w:t>
      </w:r>
    </w:p>
    <w:p w14:paraId="0747F9AD">
      <w:pPr>
        <w:pStyle w:val="27"/>
        <w:ind w:firstLine="420"/>
        <w:rPr>
          <w:rFonts w:ascii="Times New Roman"/>
        </w:rPr>
      </w:pPr>
      <w:r>
        <w:rPr>
          <w:rFonts w:ascii="Times New Roman"/>
        </w:rPr>
        <w:t>c) 交互项考虑：在模型中检验“TN×浊度”或“TP×浊度”交互项是否显著（p &lt; 0.05），以量化浊度对</w:t>
      </w:r>
      <w:r>
        <w:rPr>
          <w:rFonts w:hint="eastAsia" w:ascii="Times New Roman"/>
        </w:rPr>
        <w:t>营养物</w:t>
      </w:r>
      <w:r>
        <w:rPr>
          <w:rFonts w:ascii="Times New Roman"/>
        </w:rPr>
        <w:t>效应的影响程度。</w:t>
      </w:r>
    </w:p>
    <w:p w14:paraId="45EA78AC">
      <w:pPr>
        <w:pStyle w:val="27"/>
        <w:ind w:firstLine="420"/>
        <w:rPr>
          <w:rFonts w:ascii="Times New Roman"/>
        </w:rPr>
      </w:pPr>
      <w:r>
        <w:rPr>
          <w:rFonts w:ascii="Times New Roman"/>
        </w:rPr>
        <w:t>d) 阈值输出格式：推导出的阈值必须关联具体的浊度条件。输出形式</w:t>
      </w:r>
      <w:r>
        <w:rPr>
          <w:rFonts w:hint="eastAsia" w:ascii="Times New Roman"/>
        </w:rPr>
        <w:t>应</w:t>
      </w:r>
      <w:r>
        <w:rPr>
          <w:rFonts w:ascii="Times New Roman"/>
        </w:rPr>
        <w:t>为：“当湖体浊度为X NTU时，为维持Chl-a ≤ Y μg/L，TP应 ≤ Z mg/L，TN应 ≤ W mg/L。”</w:t>
      </w:r>
    </w:p>
    <w:p w14:paraId="4B6A1AEA">
      <w:pPr>
        <w:pStyle w:val="44"/>
        <w:spacing w:before="120" w:after="120"/>
      </w:pPr>
      <w:r>
        <w:t>区域贝叶斯层次模型流程</w:t>
      </w:r>
    </w:p>
    <w:p w14:paraId="44A37629">
      <w:pPr>
        <w:pStyle w:val="27"/>
        <w:ind w:firstLine="420"/>
        <w:rPr>
          <w:rFonts w:ascii="Times New Roman"/>
        </w:rPr>
      </w:pPr>
      <w:r>
        <w:rPr>
          <w:rFonts w:ascii="Times New Roman"/>
        </w:rPr>
        <w:t>a) 数据准备：收集流域内多个湖库的监测数据，形成面板数据。每个湖库应有多个时间点的TN、TP、Chl-a、浊度等记录，数据系列长度不少于连续3年。</w:t>
      </w:r>
    </w:p>
    <w:p w14:paraId="0CEDFEAF">
      <w:pPr>
        <w:pStyle w:val="27"/>
        <w:ind w:firstLine="420"/>
        <w:rPr>
          <w:rFonts w:ascii="Times New Roman"/>
        </w:rPr>
      </w:pPr>
      <w:r>
        <w:rPr>
          <w:rFonts w:ascii="Times New Roman"/>
        </w:rPr>
        <w:t>b) 模型设定：构建如下层次模型：</w:t>
      </w:r>
    </w:p>
    <w:p w14:paraId="04D20DB0">
      <w:pPr>
        <w:pStyle w:val="27"/>
        <w:ind w:firstLine="420"/>
        <w:rPr>
          <w:rFonts w:ascii="Times New Roman"/>
        </w:rPr>
      </w:pPr>
      <w:r>
        <w:rPr>
          <w:rFonts w:ascii="Times New Roman"/>
        </w:rPr>
        <w:t>第一层（样本层）：</w:t>
      </w:r>
    </w:p>
    <w:p w14:paraId="598FE82B">
      <w:pPr>
        <w:pStyle w:val="27"/>
        <w:ind w:firstLine="420"/>
        <w:rPr>
          <w:rFonts w:ascii="Times New Roman"/>
        </w:rPr>
      </w:pPr>
      <w:r>
        <w:rPr>
          <w:rFonts w:ascii="Times New Roman"/>
        </w:rPr>
        <w:t>对于第</w:t>
      </w:r>
      <w:r>
        <w:rPr>
          <w:rFonts w:hint="eastAsia" w:ascii="Times New Roman"/>
        </w:rPr>
        <w:t xml:space="preserve"> </w:t>
      </w:r>
      <w:r>
        <w:rPr>
          <w:rFonts w:ascii="Times New Roman"/>
          <w:i/>
          <w:iCs/>
        </w:rPr>
        <w:t>i</w:t>
      </w:r>
      <w:r>
        <w:rPr>
          <w:rFonts w:hint="eastAsia" w:ascii="Times New Roman"/>
          <w:i/>
          <w:iCs/>
        </w:rPr>
        <w:t xml:space="preserve"> </w:t>
      </w:r>
      <w:r>
        <w:rPr>
          <w:rFonts w:ascii="Times New Roman"/>
        </w:rPr>
        <w:t>个湖库的第</w:t>
      </w:r>
      <w:r>
        <w:rPr>
          <w:rFonts w:hint="eastAsia" w:ascii="Times New Roman"/>
        </w:rPr>
        <w:t xml:space="preserve"> </w:t>
      </w:r>
      <w:r>
        <w:rPr>
          <w:rFonts w:ascii="Times New Roman"/>
          <w:i/>
          <w:iCs/>
        </w:rPr>
        <w:t>j</w:t>
      </w:r>
      <w:r>
        <w:rPr>
          <w:rFonts w:hint="eastAsia" w:ascii="Times New Roman"/>
          <w:i/>
          <w:iCs/>
        </w:rPr>
        <w:t xml:space="preserve"> </w:t>
      </w:r>
      <w:r>
        <w:rPr>
          <w:rFonts w:ascii="Times New Roman"/>
        </w:rPr>
        <w:t>个观测样本，假设</w:t>
      </w:r>
      <w:r>
        <w:rPr>
          <w:rFonts w:hint="eastAsia" w:ascii="Times New Roman"/>
        </w:rPr>
        <w:t>Chl-</w:t>
      </w:r>
      <w:r>
        <w:rPr>
          <w:rFonts w:ascii="Times New Roman"/>
        </w:rPr>
        <w:t>a浓度服从正态分布：</w:t>
      </w:r>
    </w:p>
    <w:p w14:paraId="39CC7E0C">
      <w:pPr>
        <w:pStyle w:val="27"/>
        <w:ind w:firstLine="420"/>
        <w:jc w:val="right"/>
        <w:rPr>
          <w:rFonts w:ascii="Times New Roman"/>
        </w:rPr>
      </w:pPr>
      <m:oMath>
        <m:r>
          <m:rPr>
            <m:sty m:val="p"/>
          </m:rPr>
          <w:rPr>
            <w:rFonts w:hint="default" w:ascii="Cambria Math"/>
            <w:lang w:val="en-US" w:eastAsia="zh-CN"/>
          </w:rPr>
          <m:t>C</m:t>
        </m:r>
        <m:r>
          <m:rPr>
            <m:sty m:val="p"/>
          </m:rPr>
          <w:rPr>
            <w:rFonts w:hint="eastAsia" w:ascii="Cambria Math"/>
            <w:lang w:val="en-US" w:eastAsia="zh-CN"/>
          </w:rPr>
          <m:t>h</m:t>
        </m:r>
        <m:r>
          <m:rPr>
            <m:sty m:val="p"/>
          </m:rPr>
          <w:rPr>
            <w:rFonts w:hint="default" w:ascii="Cambria Math"/>
            <w:lang w:val="en-US" w:eastAsia="zh-CN"/>
          </w:rPr>
          <m:t>l−</m:t>
        </m:r>
        <m:sSub>
          <m:sSubPr>
            <m:ctrlPr>
              <m:rPr/>
              <w:rPr>
                <w:rFonts w:hint="default" w:ascii="Cambria Math"/>
                <w:i w:val="0"/>
                <w:lang w:val="en-US" w:eastAsia="zh-CN"/>
              </w:rPr>
            </m:ctrlPr>
          </m:sSubPr>
          <m:e>
            <m:r>
              <m:rPr>
                <m:sty m:val="p"/>
              </m:rPr>
              <w:rPr>
                <w:rFonts w:hint="default" w:ascii="Cambria Math"/>
                <w:lang w:val="en-US" w:eastAsia="zh-CN"/>
              </w:rPr>
              <m:t>a</m:t>
            </m:r>
            <m:ctrlPr>
              <m:rPr/>
              <w:rPr>
                <w:rFonts w:hint="default" w:ascii="Cambria Math"/>
                <w:i w:val="0"/>
                <w:lang w:val="en-US" w:eastAsia="zh-CN"/>
              </w:rPr>
            </m:ctrlPr>
          </m:e>
          <m:sub>
            <m:r>
              <m:rPr>
                <m:sty m:val="p"/>
              </m:rPr>
              <w:rPr>
                <w:rFonts w:hint="default" w:ascii="Cambria Math"/>
                <w:lang w:val="en-US" w:eastAsia="zh-CN"/>
              </w:rPr>
              <m:t>ij</m:t>
            </m:r>
            <m:ctrlPr>
              <m:rPr/>
              <w:rPr>
                <w:rFonts w:hint="default" w:ascii="Cambria Math"/>
                <w:i w:val="0"/>
                <w:lang w:val="en-US" w:eastAsia="zh-CN"/>
              </w:rPr>
            </m:ctrlPr>
          </m:sub>
        </m:sSub>
        <m:r>
          <m:rPr>
            <m:sty m:val="p"/>
          </m:rPr>
          <w:rPr>
            <w:rFonts w:hint="default" w:ascii="Cambria Math"/>
            <w:lang w:val="en-US" w:eastAsia="zh-CN"/>
          </w:rPr>
          <m:t>~N(</m:t>
        </m:r>
        <m:sSub>
          <m:sSubPr>
            <m:ctrlPr>
              <m:rPr/>
              <w:rPr>
                <w:rFonts w:hint="default" w:ascii="Cambria Math" w:hAnsi="Cambria Math"/>
                <w:lang w:val="en-US" w:eastAsia="zh-CN"/>
              </w:rPr>
            </m:ctrlPr>
          </m:sSubPr>
          <m:e>
            <m:r>
              <m:rPr>
                <m:sty m:val="p"/>
              </m:rPr>
              <w:rPr>
                <w:rFonts w:ascii="Cambria Math" w:hAnsi="Cambria Math"/>
                <w:lang w:val="en-US"/>
              </w:rPr>
              <m:t>μ</m:t>
            </m:r>
            <m:ctrlPr>
              <m:rPr/>
              <w:rPr>
                <w:rFonts w:hint="default" w:ascii="Cambria Math"/>
                <w:i w:val="0"/>
                <w:lang w:val="en-US" w:eastAsia="zh-CN"/>
              </w:rPr>
            </m:ctrlPr>
          </m:e>
          <m:sub>
            <m:r>
              <m:rPr>
                <m:sty m:val="p"/>
              </m:rPr>
              <w:rPr>
                <w:rFonts w:hint="default" w:ascii="Cambria Math"/>
                <w:lang w:val="en-US" w:eastAsia="zh-CN"/>
              </w:rPr>
              <m:t>ij</m:t>
            </m:r>
            <m:ctrlPr>
              <m:rPr/>
              <w:rPr>
                <w:rFonts w:hint="default" w:ascii="Cambria Math"/>
                <w:i w:val="0"/>
                <w:lang w:val="en-US" w:eastAsia="zh-CN"/>
              </w:rPr>
            </m:ctrlPr>
          </m:sub>
        </m:sSub>
        <m:r>
          <m:rPr>
            <m:sty m:val="p"/>
          </m:rPr>
          <w:rPr>
            <w:rFonts w:hint="eastAsia" w:ascii="Cambria Math" w:hAnsi="Cambria Math" w:cs="Cambria Math"/>
          </w:rPr>
          <m:t xml:space="preserve"> </m:t>
        </m:r>
        <m:r>
          <m:rPr>
            <m:sty m:val="p"/>
          </m:rPr>
          <w:rPr>
            <w:rFonts w:hint="default" w:ascii="Cambria Math" w:hAnsi="Cambria Math" w:cs="Cambria Math"/>
            <w:lang w:val="en-US" w:eastAsia="zh-CN"/>
          </w:rPr>
          <m:t>,</m:t>
        </m:r>
        <m:sSup>
          <m:sSupPr>
            <m:ctrlPr>
              <m:rPr/>
              <w:rPr>
                <w:rFonts w:hint="default" w:ascii="Cambria Math" w:hAnsi="Cambria Math" w:cs="Cambria Math"/>
                <w:lang w:val="en-US" w:eastAsia="zh-CN"/>
              </w:rPr>
            </m:ctrlPr>
          </m:sSupPr>
          <m:e>
            <m:r>
              <m:rPr>
                <m:sty m:val="p"/>
              </m:rPr>
              <w:rPr>
                <w:rFonts w:ascii="Cambria Math" w:hAnsi="Cambria Math" w:cs="Cambria Math"/>
                <w:lang w:val="en-US"/>
              </w:rPr>
              <m:t>δ</m:t>
            </m:r>
            <m:ctrlPr>
              <m:rPr/>
              <w:rPr>
                <w:rFonts w:hint="default" w:ascii="Cambria Math" w:hAnsi="Cambria Math" w:cs="Cambria Math"/>
                <w:lang w:val="en-US" w:eastAsia="zh-CN"/>
              </w:rPr>
            </m:ctrlPr>
          </m:e>
          <m:sup>
            <m:r>
              <m:rPr>
                <m:sty m:val="p"/>
              </m:rPr>
              <w:rPr>
                <w:rFonts w:hint="default" w:ascii="Cambria Math" w:hAnsi="Cambria Math" w:cs="Cambria Math"/>
                <w:lang w:val="en-US" w:eastAsia="zh-CN"/>
              </w:rPr>
              <m:t>2</m:t>
            </m:r>
            <m:ctrlPr>
              <m:rPr/>
              <w:rPr>
                <w:rFonts w:hint="default" w:ascii="Cambria Math" w:hAnsi="Cambria Math" w:cs="Cambria Math"/>
                <w:lang w:val="en-US" w:eastAsia="zh-CN"/>
              </w:rPr>
            </m:ctrlPr>
          </m:sup>
        </m:sSup>
        <m:r>
          <m:rPr>
            <m:sty m:val="p"/>
          </m:rPr>
          <w:rPr>
            <w:rFonts w:hint="default" w:ascii="Cambria Math" w:hAnsi="Cambria Math" w:cs="Cambria Math"/>
            <w:lang w:val="en-US" w:eastAsia="zh-CN"/>
          </w:rPr>
          <m:t>)</m:t>
        </m:r>
      </m:oMath>
      <w:r>
        <w:rPr>
          <w:rFonts w:hint="eastAsia" w:ascii="Times New Roman"/>
        </w:rPr>
        <w:t xml:space="preserve">                                   (1)</w:t>
      </w:r>
    </w:p>
    <w:p w14:paraId="709ED569">
      <w:pPr>
        <w:pStyle w:val="27"/>
        <w:ind w:firstLine="0" w:firstLineChars="0"/>
        <w:rPr>
          <w:rFonts w:ascii="Times New Roman"/>
        </w:rPr>
      </w:pPr>
      <w:r>
        <w:rPr>
          <w:rFonts w:hint="eastAsia" w:ascii="Times New Roman"/>
        </w:rPr>
        <w:t>式</w:t>
      </w:r>
      <w:r>
        <w:rPr>
          <w:rFonts w:ascii="Times New Roman"/>
        </w:rPr>
        <w:t>中，均值模型为：</w:t>
      </w:r>
    </w:p>
    <w:p w14:paraId="34CF3B91">
      <w:pPr>
        <w:pStyle w:val="27"/>
        <w:ind w:firstLine="420"/>
        <w:jc w:val="right"/>
        <w:rPr>
          <w:rFonts w:ascii="Times New Roman"/>
        </w:rPr>
      </w:pPr>
      <m:oMath>
        <m:sSub>
          <m:sSubPr>
            <m:ctrlPr>
              <w:rPr>
                <w:rFonts w:ascii="Cambria Math" w:hAnsi="Cambria Math"/>
                <w:i/>
              </w:rPr>
            </m:ctrlPr>
          </m:sSubPr>
          <m:e>
            <m:r>
              <m:rPr/>
              <w:rPr>
                <w:rFonts w:ascii="Cambria Math" w:hAnsi="Cambria Math"/>
              </w:rPr>
              <m:t>μ</m:t>
            </m:r>
            <m:ctrlPr>
              <w:rPr>
                <w:rFonts w:ascii="Cambria Math" w:hAnsi="Cambria Math"/>
                <w:i/>
              </w:rPr>
            </m:ctrlPr>
          </m:e>
          <m:sub>
            <m:r>
              <m:rPr/>
              <w:rPr>
                <w:rFonts w:hint="default" w:ascii="Cambria Math" w:hAnsi="Cambria Math"/>
                <w:lang w:val="en-US" w:eastAsia="zh-CN"/>
              </w:rPr>
              <m:t>ij</m:t>
            </m:r>
            <m:ctrlPr>
              <w:rPr>
                <w:rFonts w:ascii="Cambria Math" w:hAnsi="Cambria Math"/>
                <w:i/>
              </w:rPr>
            </m:ctrlPr>
          </m:sub>
        </m:sSub>
        <m:r>
          <m:rPr/>
          <w:rPr>
            <w:rFonts w:hint="default" w:ascii="Cambria Math" w:hAnsi="Cambria Math"/>
            <w:lang w:val="en-US" w:eastAsia="zh-CN"/>
          </w:rPr>
          <m:t>=</m:t>
        </m:r>
        <m:sSub>
          <m:sSubPr>
            <m:ctrlPr>
              <m:rPr/>
              <w:rPr>
                <w:rFonts w:hint="default" w:ascii="Cambria Math" w:hAnsi="Cambria Math"/>
                <w:i/>
                <w:lang w:val="en-US" w:eastAsia="zh-CN"/>
              </w:rPr>
            </m:ctrlPr>
          </m:sSubPr>
          <m:e>
            <m:r>
              <m:rPr/>
              <w:rPr>
                <w:rFonts w:ascii="Cambria Math" w:hAnsi="Cambria Math"/>
                <w:lang w:val="en-US"/>
              </w:rPr>
              <m:t>α</m:t>
            </m:r>
            <m:ctrlPr>
              <m:rPr/>
              <w:rPr>
                <w:rFonts w:hint="default" w:ascii="Cambria Math" w:hAnsi="Cambria Math"/>
                <w:i/>
                <w:lang w:val="en-US" w:eastAsia="zh-CN"/>
              </w:rPr>
            </m:ctrlPr>
          </m:e>
          <m:sub>
            <m:r>
              <m:rPr/>
              <w:rPr>
                <w:rFonts w:hint="default" w:ascii="Cambria Math" w:hAnsi="Cambria Math"/>
                <w:lang w:val="en-US" w:eastAsia="zh-CN"/>
              </w:rPr>
              <m:t>i</m:t>
            </m:r>
            <m:ctrlPr>
              <m:rPr/>
              <w:rPr>
                <w:rFonts w:hint="default" w:ascii="Cambria Math" w:hAnsi="Cambria Math"/>
                <w:i/>
                <w:lang w:val="en-US" w:eastAsia="zh-CN"/>
              </w:rPr>
            </m:ctrlPr>
          </m:sub>
        </m:sSub>
        <m:r>
          <m:rPr/>
          <w:rPr>
            <w:rFonts w:hint="default" w:ascii="Cambria Math" w:hAnsi="Cambria Math"/>
            <w:lang w:val="en-US" w:eastAsia="zh-CN"/>
          </w:rPr>
          <m:t>+</m:t>
        </m:r>
        <m:sSub>
          <m:sSubPr>
            <m:ctrlPr>
              <m:rPr/>
              <w:rPr>
                <w:rFonts w:hint="default" w:ascii="Cambria Math" w:hAnsi="Cambria Math"/>
                <w:i/>
                <w:lang w:val="en-US" w:eastAsia="zh-CN"/>
              </w:rPr>
            </m:ctrlPr>
          </m:sSubPr>
          <m:e>
            <m:r>
              <m:rPr/>
              <w:rPr>
                <w:rFonts w:ascii="Cambria Math" w:hAnsi="Cambria Math"/>
                <w:lang w:val="en-US"/>
              </w:rPr>
              <m:t>β</m:t>
            </m:r>
            <m:ctrlPr>
              <m:rPr/>
              <w:rPr>
                <w:rFonts w:hint="default" w:ascii="Cambria Math" w:hAnsi="Cambria Math"/>
                <w:i/>
                <w:lang w:val="en-US" w:eastAsia="zh-CN"/>
              </w:rPr>
            </m:ctrlPr>
          </m:e>
          <m:sub>
            <m:r>
              <m:rPr/>
              <w:rPr>
                <w:rFonts w:hint="default" w:ascii="Cambria Math" w:hAnsi="Cambria Math"/>
                <w:lang w:val="en-US" w:eastAsia="zh-CN"/>
              </w:rPr>
              <m:t>1i</m:t>
            </m:r>
            <m:ctrlPr>
              <m:rPr/>
              <w:rPr>
                <w:rFonts w:hint="default" w:ascii="Cambria Math" w:hAnsi="Cambria Math"/>
                <w:i/>
                <w:lang w:val="en-US" w:eastAsia="zh-CN"/>
              </w:rPr>
            </m:ctrlPr>
          </m:sub>
        </m:sSub>
        <m:r>
          <m:rPr/>
          <w:rPr>
            <w:rFonts w:hint="default" w:ascii="Cambria Math" w:hAnsi="Cambria Math" w:cs="Cambria Math"/>
            <w:lang w:val="en-US" w:eastAsia="zh-CN"/>
          </w:rPr>
          <m:t>∙</m:t>
        </m:r>
        <m:r>
          <m:rPr/>
          <w:rPr>
            <w:rFonts w:hint="default" w:ascii="Cambria Math" w:hAnsi="Cambria Math"/>
            <w:lang w:val="en-US" w:eastAsia="zh-CN"/>
          </w:rPr>
          <m:t>T</m:t>
        </m:r>
        <m:sSub>
          <m:sSubPr>
            <m:ctrlPr>
              <m:rPr/>
              <w:rPr>
                <w:rFonts w:hint="default" w:ascii="Cambria Math" w:hAnsi="Cambria Math"/>
                <w:i/>
                <w:lang w:val="en-US" w:eastAsia="zh-CN"/>
              </w:rPr>
            </m:ctrlPr>
          </m:sSubPr>
          <m:e>
            <m:r>
              <m:rPr/>
              <w:rPr>
                <w:rFonts w:hint="default" w:ascii="Cambria Math" w:hAnsi="Cambria Math"/>
                <w:lang w:val="en-US" w:eastAsia="zh-CN"/>
              </w:rPr>
              <m:t>N</m:t>
            </m:r>
            <m:ctrlPr>
              <m:rPr/>
              <w:rPr>
                <w:rFonts w:hint="default" w:ascii="Cambria Math" w:hAnsi="Cambria Math"/>
                <w:i/>
                <w:lang w:val="en-US" w:eastAsia="zh-CN"/>
              </w:rPr>
            </m:ctrlPr>
          </m:e>
          <m:sub>
            <m:r>
              <m:rPr/>
              <w:rPr>
                <w:rFonts w:hint="default" w:ascii="Cambria Math" w:hAnsi="Cambria Math"/>
                <w:lang w:val="en-US" w:eastAsia="zh-CN"/>
              </w:rPr>
              <m:t>ij</m:t>
            </m:r>
            <m:ctrlPr>
              <m:rPr/>
              <w:rPr>
                <w:rFonts w:hint="default" w:ascii="Cambria Math" w:hAnsi="Cambria Math"/>
                <w:i/>
                <w:lang w:val="en-US" w:eastAsia="zh-CN"/>
              </w:rPr>
            </m:ctrlPr>
          </m:sub>
        </m:sSub>
        <m:r>
          <m:rPr/>
          <w:rPr>
            <w:rFonts w:hint="default" w:ascii="Cambria Math" w:hAnsi="Cambria Math"/>
            <w:lang w:val="en-US" w:eastAsia="zh-CN"/>
          </w:rPr>
          <m:t>+</m:t>
        </m:r>
        <m:sSub>
          <m:sSubPr>
            <m:ctrlPr>
              <w:rPr>
                <w:rFonts w:hint="default" w:ascii="Cambria Math" w:hAnsi="Cambria Math"/>
                <w:i/>
                <w:lang w:val="en-US" w:eastAsia="zh-CN"/>
              </w:rPr>
            </m:ctrlPr>
          </m:sSubPr>
          <m:e>
            <m:r>
              <m:rPr/>
              <w:rPr>
                <w:rFonts w:ascii="Cambria Math" w:hAnsi="Cambria Math"/>
                <w:lang w:val="en-US"/>
              </w:rPr>
              <m:t>β</m:t>
            </m:r>
            <m:ctrlPr>
              <w:rPr>
                <w:rFonts w:hint="default" w:ascii="Cambria Math" w:hAnsi="Cambria Math"/>
                <w:i/>
                <w:lang w:val="en-US" w:eastAsia="zh-CN"/>
              </w:rPr>
            </m:ctrlPr>
          </m:e>
          <m:sub>
            <m:r>
              <m:rPr/>
              <w:rPr>
                <w:rFonts w:hint="default" w:ascii="Cambria Math" w:hAnsi="Cambria Math"/>
                <w:lang w:val="en-US" w:eastAsia="zh-CN"/>
              </w:rPr>
              <m:t>2i</m:t>
            </m:r>
            <m:ctrlPr>
              <w:rPr>
                <w:rFonts w:hint="default" w:ascii="Cambria Math" w:hAnsi="Cambria Math"/>
                <w:i/>
                <w:lang w:val="en-US" w:eastAsia="zh-CN"/>
              </w:rPr>
            </m:ctrlPr>
          </m:sub>
        </m:sSub>
        <m:r>
          <m:rPr/>
          <w:rPr>
            <w:rFonts w:hint="default" w:ascii="Cambria Math" w:hAnsi="Cambria Math" w:cs="Cambria Math"/>
            <w:lang w:val="en-US" w:eastAsia="zh-CN"/>
          </w:rPr>
          <m:t>∙</m:t>
        </m:r>
        <m:r>
          <m:rPr/>
          <w:rPr>
            <w:rFonts w:hint="default" w:ascii="Cambria Math" w:hAnsi="Cambria Math"/>
            <w:lang w:val="en-US" w:eastAsia="zh-CN"/>
          </w:rPr>
          <m:t>T</m:t>
        </m:r>
        <m:sSub>
          <m:sSubPr>
            <m:ctrlPr>
              <w:rPr>
                <w:rFonts w:hint="default" w:ascii="Cambria Math" w:hAnsi="Cambria Math"/>
                <w:i/>
                <w:lang w:val="en-US" w:eastAsia="zh-CN"/>
              </w:rPr>
            </m:ctrlPr>
          </m:sSubPr>
          <m:e>
            <m:r>
              <m:rPr/>
              <w:rPr>
                <w:rFonts w:hint="default" w:ascii="Cambria Math" w:hAnsi="Cambria Math"/>
                <w:lang w:val="en-US" w:eastAsia="zh-CN"/>
              </w:rPr>
              <m:t>P</m:t>
            </m:r>
            <m:ctrlPr>
              <w:rPr>
                <w:rFonts w:hint="default" w:ascii="Cambria Math" w:hAnsi="Cambria Math"/>
                <w:i/>
                <w:lang w:val="en-US" w:eastAsia="zh-CN"/>
              </w:rPr>
            </m:ctrlPr>
          </m:e>
          <m:sub>
            <m:r>
              <m:rPr/>
              <w:rPr>
                <w:rFonts w:hint="default" w:ascii="Cambria Math" w:hAnsi="Cambria Math"/>
                <w:lang w:val="en-US" w:eastAsia="zh-CN"/>
              </w:rPr>
              <m:t>ij</m:t>
            </m:r>
            <m:ctrlPr>
              <w:rPr>
                <w:rFonts w:hint="default" w:ascii="Cambria Math" w:hAnsi="Cambria Math"/>
                <w:i/>
                <w:lang w:val="en-US" w:eastAsia="zh-CN"/>
              </w:rPr>
            </m:ctrlPr>
          </m:sub>
        </m:sSub>
        <m:r>
          <m:rPr/>
          <w:rPr>
            <w:rFonts w:hint="default" w:ascii="Cambria Math" w:hAnsi="Cambria Math"/>
            <w:lang w:val="en-US" w:eastAsia="zh-CN"/>
          </w:rPr>
          <m:t>+</m:t>
        </m:r>
        <m:sSub>
          <m:sSubPr>
            <m:ctrlPr>
              <w:rPr>
                <w:rFonts w:hint="default" w:ascii="Cambria Math" w:hAnsi="Cambria Math"/>
                <w:i/>
                <w:lang w:val="en-US" w:eastAsia="zh-CN"/>
              </w:rPr>
            </m:ctrlPr>
          </m:sSubPr>
          <m:e>
            <m:r>
              <m:rPr/>
              <w:rPr>
                <w:rFonts w:ascii="Cambria Math" w:hAnsi="Cambria Math"/>
                <w:lang w:val="en-US"/>
              </w:rPr>
              <m:t>β</m:t>
            </m:r>
            <m:ctrlPr>
              <w:rPr>
                <w:rFonts w:hint="default" w:ascii="Cambria Math" w:hAnsi="Cambria Math"/>
                <w:i/>
                <w:lang w:val="en-US" w:eastAsia="zh-CN"/>
              </w:rPr>
            </m:ctrlPr>
          </m:e>
          <m:sub>
            <m:r>
              <m:rPr/>
              <w:rPr>
                <w:rFonts w:hint="default" w:ascii="Cambria Math" w:hAnsi="Cambria Math"/>
                <w:lang w:val="en-US" w:eastAsia="zh-CN"/>
              </w:rPr>
              <m:t>3</m:t>
            </m:r>
            <m:ctrlPr>
              <w:rPr>
                <w:rFonts w:hint="default" w:ascii="Cambria Math" w:hAnsi="Cambria Math"/>
                <w:i/>
                <w:lang w:val="en-US" w:eastAsia="zh-CN"/>
              </w:rPr>
            </m:ctrlPr>
          </m:sub>
        </m:sSub>
        <m:r>
          <m:rPr/>
          <w:rPr>
            <w:rFonts w:hint="default" w:ascii="Cambria Math" w:hAnsi="Cambria Math" w:cs="Cambria Math"/>
            <w:lang w:val="en-US" w:eastAsia="zh-CN"/>
          </w:rPr>
          <m:t>∙</m:t>
        </m:r>
        <m:r>
          <m:rPr/>
          <w:rPr>
            <w:rFonts w:hint="default" w:ascii="Cambria Math" w:hAnsi="Cambria Math"/>
            <w:lang w:val="en-US" w:eastAsia="zh-CN"/>
          </w:rPr>
          <m:t>T</m:t>
        </m:r>
        <m:sSub>
          <m:sSubPr>
            <m:ctrlPr>
              <w:rPr>
                <w:rFonts w:hint="default" w:ascii="Cambria Math" w:hAnsi="Cambria Math"/>
                <w:i/>
                <w:lang w:val="en-US" w:eastAsia="zh-CN"/>
              </w:rPr>
            </m:ctrlPr>
          </m:sSubPr>
          <m:e>
            <m:r>
              <m:rPr/>
              <w:rPr>
                <w:rFonts w:hint="default" w:ascii="Cambria Math" w:hAnsi="Cambria Math"/>
                <w:lang w:val="en-US" w:eastAsia="zh-CN"/>
              </w:rPr>
              <m:t>urbidity</m:t>
            </m:r>
            <m:ctrlPr>
              <w:rPr>
                <w:rFonts w:hint="default" w:ascii="Cambria Math" w:hAnsi="Cambria Math"/>
                <w:i/>
                <w:lang w:val="en-US" w:eastAsia="zh-CN"/>
              </w:rPr>
            </m:ctrlPr>
          </m:e>
          <m:sub>
            <m:r>
              <m:rPr/>
              <w:rPr>
                <w:rFonts w:hint="default" w:ascii="Cambria Math" w:hAnsi="Cambria Math"/>
                <w:lang w:val="en-US" w:eastAsia="zh-CN"/>
              </w:rPr>
              <m:t>ij</m:t>
            </m:r>
            <m:ctrlPr>
              <w:rPr>
                <w:rFonts w:hint="default" w:ascii="Cambria Math" w:hAnsi="Cambria Math"/>
                <w:i/>
                <w:lang w:val="en-US" w:eastAsia="zh-CN"/>
              </w:rPr>
            </m:ctrlPr>
          </m:sub>
        </m:sSub>
      </m:oMath>
      <w:r>
        <w:rPr>
          <w:rFonts w:hint="eastAsia" w:ascii="Times New Roman"/>
        </w:rPr>
        <w:t xml:space="preserve">                            (2)</w:t>
      </w:r>
    </w:p>
    <w:p w14:paraId="64BC1A95">
      <w:pPr>
        <w:pStyle w:val="27"/>
        <w:ind w:firstLine="0" w:firstLineChars="0"/>
        <w:rPr>
          <w:rFonts w:ascii="Times New Roman"/>
        </w:rPr>
      </w:pPr>
      <w:r>
        <w:rPr>
          <w:rFonts w:hint="eastAsia" w:ascii="Times New Roman"/>
        </w:rPr>
        <w:t>式</w:t>
      </w:r>
      <w:r>
        <w:rPr>
          <w:rFonts w:ascii="Times New Roman"/>
        </w:rPr>
        <w:t>中，</w:t>
      </w:r>
      <w:r>
        <w:rPr>
          <w:rFonts w:ascii="Times New Roman"/>
          <w:i/>
          <w:iCs/>
        </w:rPr>
        <w:t>α</w:t>
      </w:r>
      <w:r>
        <w:rPr>
          <w:rFonts w:ascii="Times New Roman"/>
          <w:i/>
          <w:iCs/>
          <w:vertAlign w:val="subscript"/>
        </w:rPr>
        <w:t>i</w:t>
      </w:r>
      <w:r>
        <w:rPr>
          <w:rFonts w:hint="eastAsia" w:ascii="Times New Roman"/>
          <w:i/>
          <w:iCs/>
        </w:rPr>
        <w:t xml:space="preserve"> </w:t>
      </w:r>
      <w:r>
        <w:rPr>
          <w:rFonts w:ascii="Times New Roman"/>
        </w:rPr>
        <w:t>为湖库</w:t>
      </w:r>
      <w:r>
        <w:rPr>
          <w:rFonts w:hint="eastAsia" w:ascii="Times New Roman"/>
        </w:rPr>
        <w:t xml:space="preserve"> </w:t>
      </w:r>
      <w:r>
        <w:rPr>
          <w:rFonts w:ascii="Times New Roman"/>
          <w:i/>
          <w:iCs/>
        </w:rPr>
        <w:t xml:space="preserve">i </w:t>
      </w:r>
      <w:r>
        <w:rPr>
          <w:rFonts w:ascii="Times New Roman"/>
        </w:rPr>
        <w:t>的截距项，反映第</w:t>
      </w:r>
      <w:r>
        <w:rPr>
          <w:rFonts w:hint="eastAsia" w:ascii="Times New Roman"/>
        </w:rPr>
        <w:t xml:space="preserve"> </w:t>
      </w:r>
      <w:r>
        <w:rPr>
          <w:rFonts w:ascii="Times New Roman"/>
          <w:i/>
          <w:iCs/>
        </w:rPr>
        <w:t>i</w:t>
      </w:r>
      <w:r>
        <w:rPr>
          <w:rFonts w:hint="eastAsia" w:ascii="Times New Roman"/>
          <w:i/>
          <w:iCs/>
        </w:rPr>
        <w:t xml:space="preserve"> </w:t>
      </w:r>
      <w:r>
        <w:rPr>
          <w:rFonts w:ascii="Times New Roman"/>
        </w:rPr>
        <w:t>个湖库在</w:t>
      </w:r>
      <w:r>
        <w:rPr>
          <w:rFonts w:hint="eastAsia" w:ascii="Times New Roman"/>
        </w:rPr>
        <w:t>营养物</w:t>
      </w:r>
      <w:r>
        <w:rPr>
          <w:rFonts w:ascii="Times New Roman"/>
        </w:rPr>
        <w:t>和浊度为零时的基线Chl-a水平，通过模型从数据中估计；</w:t>
      </w:r>
      <w:r>
        <w:rPr>
          <w:rFonts w:ascii="Times New Roman"/>
          <w:i/>
          <w:iCs/>
        </w:rPr>
        <w:t>β</w:t>
      </w:r>
      <w:r>
        <w:rPr>
          <w:rFonts w:ascii="Times New Roman"/>
          <w:vertAlign w:val="subscript"/>
        </w:rPr>
        <w:t>1</w:t>
      </w:r>
      <w:r>
        <w:rPr>
          <w:rFonts w:ascii="Times New Roman"/>
          <w:i/>
          <w:iCs/>
          <w:vertAlign w:val="subscript"/>
        </w:rPr>
        <w:t>i</w:t>
      </w:r>
      <w:r>
        <w:rPr>
          <w:rFonts w:hint="eastAsia" w:ascii="Times New Roman"/>
          <w:i/>
          <w:iCs/>
        </w:rPr>
        <w:t xml:space="preserve"> </w:t>
      </w:r>
      <w:r>
        <w:rPr>
          <w:rFonts w:ascii="Times New Roman"/>
        </w:rPr>
        <w:t>和</w:t>
      </w:r>
      <w:r>
        <w:rPr>
          <w:rFonts w:hint="eastAsia" w:ascii="Times New Roman"/>
        </w:rPr>
        <w:t xml:space="preserve"> </w:t>
      </w:r>
      <w:r>
        <w:rPr>
          <w:rFonts w:ascii="Times New Roman"/>
          <w:i/>
          <w:iCs/>
        </w:rPr>
        <w:t>β</w:t>
      </w:r>
      <w:r>
        <w:rPr>
          <w:rFonts w:ascii="Times New Roman"/>
          <w:vertAlign w:val="subscript"/>
        </w:rPr>
        <w:t>2</w:t>
      </w:r>
      <w:r>
        <w:rPr>
          <w:rFonts w:ascii="Times New Roman"/>
          <w:i/>
          <w:iCs/>
          <w:vertAlign w:val="subscript"/>
        </w:rPr>
        <w:t>i</w:t>
      </w:r>
      <w:r>
        <w:rPr>
          <w:rFonts w:ascii="Times New Roman"/>
        </w:rPr>
        <w:t xml:space="preserve"> 分别为TN和TP的湖库特异性系数，反映第</w:t>
      </w:r>
      <w:r>
        <w:rPr>
          <w:rFonts w:hint="eastAsia" w:ascii="Times New Roman"/>
        </w:rPr>
        <w:t xml:space="preserve"> </w:t>
      </w:r>
      <w:r>
        <w:rPr>
          <w:rFonts w:ascii="Times New Roman"/>
          <w:i/>
          <w:iCs/>
        </w:rPr>
        <w:t>i</w:t>
      </w:r>
      <w:r>
        <w:rPr>
          <w:rFonts w:hint="eastAsia" w:ascii="Times New Roman"/>
        </w:rPr>
        <w:t xml:space="preserve"> </w:t>
      </w:r>
      <w:r>
        <w:rPr>
          <w:rFonts w:ascii="Times New Roman"/>
        </w:rPr>
        <w:t>个湖库中TN和TP对Chl-a的边际效应，通过模型从数据中估计；</w:t>
      </w:r>
      <w:r>
        <w:rPr>
          <w:rFonts w:ascii="Times New Roman"/>
          <w:i/>
          <w:iCs/>
        </w:rPr>
        <w:t>β</w:t>
      </w:r>
      <w:r>
        <w:rPr>
          <w:rFonts w:ascii="Times New Roman"/>
          <w:vertAlign w:val="subscript"/>
        </w:rPr>
        <w:t>3</w:t>
      </w:r>
      <w:r>
        <w:rPr>
          <w:rFonts w:ascii="Times New Roman"/>
        </w:rPr>
        <w:t xml:space="preserve"> 为浊度的固定效应系数，假设在不同湖库间恒定，反映浊度对Chl-a的总体影响，通过模型从数据中估计；</w:t>
      </w:r>
      <w:r>
        <w:rPr>
          <w:rFonts w:ascii="Times New Roman"/>
          <w:i/>
          <w:iCs/>
        </w:rPr>
        <w:t>σ</w:t>
      </w:r>
      <w:r>
        <w:rPr>
          <w:rFonts w:ascii="Times New Roman"/>
          <w:vertAlign w:val="superscript"/>
        </w:rPr>
        <w:t>2</w:t>
      </w:r>
      <w:r>
        <w:rPr>
          <w:rFonts w:hint="eastAsia" w:ascii="Times New Roman"/>
        </w:rPr>
        <w:t xml:space="preserve"> </w:t>
      </w:r>
      <w:r>
        <w:rPr>
          <w:rFonts w:ascii="Times New Roman"/>
        </w:rPr>
        <w:t>为样本层方差，反映同一湖库内观测值的随机波动。</w:t>
      </w:r>
    </w:p>
    <w:p w14:paraId="6BC7C28F">
      <w:pPr>
        <w:pStyle w:val="27"/>
        <w:ind w:firstLine="420"/>
        <w:rPr>
          <w:rFonts w:ascii="Times New Roman"/>
        </w:rPr>
      </w:pPr>
      <w:r>
        <w:rPr>
          <w:rFonts w:ascii="Times New Roman"/>
        </w:rPr>
        <w:t>第二层（湖库层）：</w:t>
      </w:r>
    </w:p>
    <w:p w14:paraId="4ACDAC4C">
      <w:pPr>
        <w:pStyle w:val="27"/>
        <w:ind w:firstLine="420"/>
        <w:rPr>
          <w:rFonts w:ascii="Times New Roman"/>
        </w:rPr>
      </w:pPr>
      <w:r>
        <w:rPr>
          <w:rFonts w:ascii="Times New Roman"/>
        </w:rPr>
        <w:t>对湖库水平的参数设定随机效应，假设其服从正态分布：</w:t>
      </w:r>
    </w:p>
    <w:p w14:paraId="1041C857">
      <w:pPr>
        <w:pStyle w:val="27"/>
        <w:ind w:firstLine="420"/>
        <w:jc w:val="right"/>
        <w:rPr>
          <w:rFonts w:ascii="Times New Roman"/>
        </w:rPr>
      </w:pPr>
      <w:r>
        <w:rPr>
          <w:rFonts w:ascii="Times New Roman"/>
        </w:rPr>
        <w:t xml:space="preserve"> </w:t>
      </w:r>
      <m:oMath>
        <m:sSub>
          <m:sSubPr>
            <m:ctrlPr>
              <w:rPr>
                <w:rFonts w:ascii="Cambria Math" w:hAnsi="Cambria Math"/>
                <w:i/>
              </w:rPr>
            </m:ctrlPr>
          </m:sSubPr>
          <m:e>
            <m:r>
              <m:rPr/>
              <w:rPr>
                <w:rFonts w:ascii="Cambria Math" w:hAnsi="Cambria Math"/>
              </w:rPr>
              <m:t>α</m:t>
            </m:r>
            <m:ctrlPr>
              <w:rPr>
                <w:rFonts w:ascii="Cambria Math" w:hAnsi="Cambria Math"/>
                <w:i/>
              </w:rPr>
            </m:ctrlPr>
          </m:e>
          <m:sub>
            <m:r>
              <m:rPr/>
              <w:rPr>
                <w:rFonts w:hint="default" w:ascii="Cambria Math" w:hAnsi="Cambria Math"/>
                <w:lang w:val="en-US" w:eastAsia="zh-CN"/>
              </w:rPr>
              <m:t>i</m:t>
            </m:r>
            <m:ctrlPr>
              <w:rPr>
                <w:rFonts w:ascii="Cambria Math" w:hAnsi="Cambria Math"/>
                <w:i/>
              </w:rPr>
            </m:ctrlPr>
          </m:sub>
        </m:sSub>
        <m:r>
          <m:rPr/>
          <w:rPr>
            <w:rFonts w:hint="default" w:ascii="Cambria Math" w:hAnsi="Cambria Math"/>
            <w:lang w:val="en-US" w:eastAsia="zh-CN"/>
          </w:rPr>
          <m:t>~N(</m:t>
        </m:r>
        <m:sSub>
          <m:sSubPr>
            <m:ctrlPr>
              <m:rPr/>
              <w:rPr>
                <w:rFonts w:hint="default" w:ascii="Cambria Math" w:hAnsi="Cambria Math"/>
                <w:i/>
                <w:lang w:val="en-US" w:eastAsia="zh-CN"/>
              </w:rPr>
            </m:ctrlPr>
          </m:sSubPr>
          <m:e>
            <m:r>
              <m:rPr/>
              <w:rPr>
                <w:rFonts w:ascii="Cambria Math" w:hAnsi="Cambria Math"/>
                <w:lang w:val="en-US"/>
              </w:rPr>
              <m:t>μ</m:t>
            </m:r>
            <m:ctrlPr>
              <m:rPr/>
              <w:rPr>
                <w:rFonts w:hint="default" w:ascii="Cambria Math" w:hAnsi="Cambria Math"/>
                <w:i/>
                <w:lang w:val="en-US" w:eastAsia="zh-CN"/>
              </w:rPr>
            </m:ctrlPr>
          </m:e>
          <m:sub>
            <m:r>
              <m:rPr/>
              <w:rPr>
                <w:rFonts w:ascii="Cambria Math" w:hAnsi="Cambria Math"/>
                <w:lang w:val="en-US"/>
              </w:rPr>
              <m:t>α</m:t>
            </m:r>
            <m:ctrlPr>
              <m:rPr/>
              <w:rPr>
                <w:rFonts w:hint="default" w:ascii="Cambria Math" w:hAnsi="Cambria Math"/>
                <w:i/>
                <w:lang w:val="en-US" w:eastAsia="zh-CN"/>
              </w:rPr>
            </m:ctrlPr>
          </m:sub>
        </m:sSub>
        <m:r>
          <m:rPr/>
          <w:rPr>
            <w:rFonts w:hint="default" w:ascii="Cambria Math" w:hAnsi="Cambria Math"/>
            <w:lang w:val="en-US" w:eastAsia="zh-CN"/>
          </w:rPr>
          <m:t xml:space="preserve">, </m:t>
        </m:r>
        <m:sSubSup>
          <m:sSubSupPr>
            <m:ctrlPr>
              <m:rPr/>
              <w:rPr>
                <w:rFonts w:hint="default" w:ascii="Cambria Math" w:hAnsi="Cambria Math"/>
                <w:i/>
                <w:lang w:val="en-US" w:eastAsia="zh-CN"/>
              </w:rPr>
            </m:ctrlPr>
          </m:sSubSupPr>
          <m:e>
            <m:r>
              <m:rPr/>
              <w:rPr>
                <w:rFonts w:ascii="Cambria Math" w:hAnsi="Cambria Math"/>
                <w:lang w:val="en-US"/>
              </w:rPr>
              <m:t>τ</m:t>
            </m:r>
            <m:ctrlPr>
              <m:rPr/>
              <w:rPr>
                <w:rFonts w:hint="default" w:ascii="Cambria Math" w:hAnsi="Cambria Math"/>
                <w:i/>
                <w:lang w:val="en-US" w:eastAsia="zh-CN"/>
              </w:rPr>
            </m:ctrlPr>
          </m:e>
          <m:sub>
            <m:r>
              <m:rPr/>
              <w:rPr>
                <w:rFonts w:ascii="Cambria Math" w:hAnsi="Cambria Math"/>
                <w:lang w:val="en-US"/>
              </w:rPr>
              <m:t>α</m:t>
            </m:r>
            <m:ctrlPr>
              <m:rPr/>
              <w:rPr>
                <w:rFonts w:hint="default" w:ascii="Cambria Math" w:hAnsi="Cambria Math"/>
                <w:i/>
                <w:lang w:val="en-US" w:eastAsia="zh-CN"/>
              </w:rPr>
            </m:ctrlPr>
          </m:sub>
          <m:sup>
            <m:r>
              <m:rPr/>
              <w:rPr>
                <w:rFonts w:hint="default" w:ascii="Cambria Math" w:hAnsi="Cambria Math"/>
                <w:lang w:val="en-US" w:eastAsia="zh-CN"/>
              </w:rPr>
              <m:t>2</m:t>
            </m:r>
            <m:ctrlPr>
              <m:rPr/>
              <w:rPr>
                <w:rFonts w:hint="default" w:ascii="Cambria Math" w:hAnsi="Cambria Math"/>
                <w:i/>
                <w:lang w:val="en-US" w:eastAsia="zh-CN"/>
              </w:rPr>
            </m:ctrlPr>
          </m:sup>
        </m:sSubSup>
        <m:r>
          <m:rPr/>
          <w:rPr>
            <w:rFonts w:hint="default" w:ascii="Cambria Math" w:hAnsi="Cambria Math"/>
            <w:lang w:val="en-US" w:eastAsia="zh-CN"/>
          </w:rPr>
          <m:t>)</m:t>
        </m:r>
      </m:oMath>
      <w:r>
        <w:rPr>
          <w:rFonts w:hint="eastAsia" w:ascii="Times New Roman"/>
        </w:rPr>
        <w:t xml:space="preserve">                                   (3)</w:t>
      </w:r>
    </w:p>
    <w:p w14:paraId="1A284BF0">
      <w:pPr>
        <w:pStyle w:val="27"/>
        <w:ind w:firstLine="420"/>
        <w:jc w:val="right"/>
        <w:rPr>
          <w:rFonts w:ascii="Times New Roman"/>
        </w:rPr>
      </w:pPr>
      <m:oMath>
        <m:sSub>
          <m:sSubPr>
            <m:ctrlPr>
              <w:rPr>
                <w:rFonts w:ascii="Cambria Math" w:hAnsi="Cambria Math"/>
                <w:i/>
              </w:rPr>
            </m:ctrlPr>
          </m:sSubPr>
          <m:e>
            <m:r>
              <m:rPr/>
              <w:rPr>
                <w:rFonts w:ascii="Cambria Math" w:hAnsi="Cambria Math"/>
              </w:rPr>
              <m:t>β</m:t>
            </m:r>
            <m:ctrlPr>
              <w:rPr>
                <w:rFonts w:ascii="Cambria Math" w:hAnsi="Cambria Math"/>
                <w:i/>
              </w:rPr>
            </m:ctrlPr>
          </m:e>
          <m:sub>
            <m:r>
              <m:rPr/>
              <w:rPr>
                <w:rFonts w:hint="default" w:ascii="Cambria Math" w:hAnsi="Cambria Math"/>
                <w:lang w:val="en-US" w:eastAsia="zh-CN"/>
              </w:rPr>
              <m:t>1i</m:t>
            </m:r>
            <m:ctrlPr>
              <w:rPr>
                <w:rFonts w:ascii="Cambria Math" w:hAnsi="Cambria Math"/>
                <w:i/>
              </w:rPr>
            </m:ctrlPr>
          </m:sub>
        </m:sSub>
        <m:r>
          <m:rPr/>
          <w:rPr>
            <w:rFonts w:hint="default" w:ascii="Cambria Math" w:hAnsi="Cambria Math"/>
            <w:lang w:val="en-US" w:eastAsia="zh-CN"/>
          </w:rPr>
          <m:t>~N(</m:t>
        </m:r>
        <m:sSub>
          <m:sSubPr>
            <m:ctrlPr>
              <w:rPr>
                <w:rFonts w:hint="default" w:ascii="Cambria Math" w:hAnsi="Cambria Math"/>
                <w:i/>
                <w:lang w:val="en-US" w:eastAsia="zh-CN"/>
              </w:rPr>
            </m:ctrlPr>
          </m:sSubPr>
          <m:e>
            <m:r>
              <m:rPr/>
              <w:rPr>
                <w:rFonts w:ascii="Cambria Math" w:hAnsi="Cambria Math"/>
                <w:lang w:val="en-US"/>
              </w:rPr>
              <m:t>μ</m:t>
            </m:r>
            <m:ctrlPr>
              <w:rPr>
                <w:rFonts w:hint="default" w:ascii="Cambria Math" w:hAnsi="Cambria Math"/>
                <w:i/>
                <w:lang w:val="en-US" w:eastAsia="zh-CN"/>
              </w:rPr>
            </m:ctrlPr>
          </m:e>
          <m:sub>
            <m:r>
              <m:rPr/>
              <w:rPr>
                <w:rFonts w:ascii="Cambria Math" w:hAnsi="Cambria Math"/>
                <w:lang w:val="en-US"/>
              </w:rPr>
              <m:t>β</m:t>
            </m:r>
            <m:r>
              <m:rPr/>
              <w:rPr>
                <w:rFonts w:hint="default" w:ascii="Cambria Math" w:hAnsi="Cambria Math"/>
                <w:lang w:val="en-US" w:eastAsia="zh-CN"/>
              </w:rPr>
              <m:t>1</m:t>
            </m:r>
            <m:ctrlPr>
              <w:rPr>
                <w:rFonts w:hint="default" w:ascii="Cambria Math" w:hAnsi="Cambria Math"/>
                <w:i/>
                <w:lang w:val="en-US" w:eastAsia="zh-CN"/>
              </w:rPr>
            </m:ctrlPr>
          </m:sub>
        </m:sSub>
        <m:r>
          <m:rPr/>
          <w:rPr>
            <w:rFonts w:hint="default" w:ascii="Cambria Math" w:hAnsi="Cambria Math"/>
            <w:lang w:val="en-US" w:eastAsia="zh-CN"/>
          </w:rPr>
          <m:t xml:space="preserve">, </m:t>
        </m:r>
        <m:sSubSup>
          <m:sSubSupPr>
            <m:ctrlPr>
              <w:rPr>
                <w:rFonts w:hint="default" w:ascii="Cambria Math" w:hAnsi="Cambria Math"/>
                <w:i/>
                <w:lang w:val="en-US" w:eastAsia="zh-CN"/>
              </w:rPr>
            </m:ctrlPr>
          </m:sSubSupPr>
          <m:e>
            <m:r>
              <m:rPr/>
              <w:rPr>
                <w:rFonts w:ascii="Cambria Math" w:hAnsi="Cambria Math"/>
                <w:lang w:val="en-US"/>
              </w:rPr>
              <m:t>τ</m:t>
            </m:r>
            <m:ctrlPr>
              <w:rPr>
                <w:rFonts w:hint="default" w:ascii="Cambria Math" w:hAnsi="Cambria Math"/>
                <w:i/>
                <w:lang w:val="en-US" w:eastAsia="zh-CN"/>
              </w:rPr>
            </m:ctrlPr>
          </m:e>
          <m:sub>
            <m:r>
              <m:rPr/>
              <w:rPr>
                <w:rFonts w:ascii="Cambria Math" w:hAnsi="Cambria Math"/>
                <w:lang w:val="en-US"/>
              </w:rPr>
              <m:t>β</m:t>
            </m:r>
            <m:r>
              <m:rPr/>
              <w:rPr>
                <w:rFonts w:hint="default" w:ascii="Cambria Math" w:hAnsi="Cambria Math"/>
                <w:lang w:val="en-US" w:eastAsia="zh-CN"/>
              </w:rPr>
              <m:t>1</m:t>
            </m:r>
            <m:ctrlPr>
              <w:rPr>
                <w:rFonts w:hint="default" w:ascii="Cambria Math" w:hAnsi="Cambria Math"/>
                <w:i/>
                <w:lang w:val="en-US" w:eastAsia="zh-CN"/>
              </w:rPr>
            </m:ctrlPr>
          </m:sub>
          <m:sup>
            <m:r>
              <m:rPr/>
              <w:rPr>
                <w:rFonts w:hint="default" w:ascii="Cambria Math" w:hAnsi="Cambria Math"/>
                <w:lang w:val="en-US" w:eastAsia="zh-CN"/>
              </w:rPr>
              <m:t>2</m:t>
            </m:r>
            <m:ctrlPr>
              <w:rPr>
                <w:rFonts w:hint="default" w:ascii="Cambria Math" w:hAnsi="Cambria Math"/>
                <w:i/>
                <w:lang w:val="en-US" w:eastAsia="zh-CN"/>
              </w:rPr>
            </m:ctrlPr>
          </m:sup>
        </m:sSubSup>
        <m:r>
          <m:rPr/>
          <w:rPr>
            <w:rFonts w:hint="default" w:ascii="Cambria Math" w:hAnsi="Cambria Math"/>
            <w:lang w:val="en-US" w:eastAsia="zh-CN"/>
          </w:rPr>
          <m:t>)</m:t>
        </m:r>
      </m:oMath>
      <w:r>
        <w:rPr>
          <w:rFonts w:hint="eastAsia" w:ascii="Times New Roman"/>
        </w:rPr>
        <w:t xml:space="preserve">                                  </w:t>
      </w:r>
      <w:r>
        <w:rPr>
          <w:rFonts w:ascii="Times New Roman"/>
        </w:rPr>
        <w:t xml:space="preserve"> </w:t>
      </w:r>
      <w:r>
        <w:rPr>
          <w:rFonts w:hint="eastAsia" w:ascii="Times New Roman"/>
        </w:rPr>
        <w:t>(4)</w:t>
      </w:r>
    </w:p>
    <w:p w14:paraId="3F5F49BB">
      <w:pPr>
        <w:pStyle w:val="27"/>
        <w:ind w:firstLine="420"/>
        <w:jc w:val="right"/>
        <w:rPr>
          <w:rFonts w:ascii="Times New Roman"/>
        </w:rPr>
      </w:pPr>
      <w:r>
        <w:rPr>
          <w:rFonts w:hint="eastAsia" w:hAnsi="Cambria Math"/>
          <w:i w:val="0"/>
          <w:lang w:val="en-US" w:eastAsia="zh-CN"/>
        </w:rPr>
        <w:t xml:space="preserve">                               </w:t>
      </w:r>
      <m:oMath>
        <m:sSub>
          <m:sSubPr>
            <m:ctrlPr>
              <w:rPr>
                <w:rFonts w:ascii="Cambria Math" w:hAnsi="Cambria Math"/>
                <w:i/>
              </w:rPr>
            </m:ctrlPr>
          </m:sSubPr>
          <m:e>
            <m:r>
              <m:rPr/>
              <w:rPr>
                <w:rFonts w:ascii="Cambria Math" w:hAnsi="Cambria Math"/>
              </w:rPr>
              <m:t>β</m:t>
            </m:r>
            <m:ctrlPr>
              <w:rPr>
                <w:rFonts w:ascii="Cambria Math" w:hAnsi="Cambria Math"/>
                <w:i/>
              </w:rPr>
            </m:ctrlPr>
          </m:e>
          <m:sub>
            <m:r>
              <m:rPr/>
              <w:rPr>
                <w:rFonts w:hint="default" w:ascii="Cambria Math" w:hAnsi="Cambria Math"/>
                <w:lang w:val="en-US" w:eastAsia="zh-CN"/>
              </w:rPr>
              <m:t>2i</m:t>
            </m:r>
            <m:ctrlPr>
              <w:rPr>
                <w:rFonts w:ascii="Cambria Math" w:hAnsi="Cambria Math"/>
                <w:i/>
              </w:rPr>
            </m:ctrlPr>
          </m:sub>
        </m:sSub>
        <m:r>
          <m:rPr/>
          <w:rPr>
            <w:rFonts w:hint="default" w:ascii="Cambria Math" w:hAnsi="Cambria Math"/>
            <w:lang w:val="en-US" w:eastAsia="zh-CN"/>
          </w:rPr>
          <m:t>~N(</m:t>
        </m:r>
        <m:sSub>
          <m:sSubPr>
            <m:ctrlPr>
              <w:rPr>
                <w:rFonts w:hint="default" w:ascii="Cambria Math" w:hAnsi="Cambria Math"/>
                <w:i/>
                <w:lang w:val="en-US" w:eastAsia="zh-CN"/>
              </w:rPr>
            </m:ctrlPr>
          </m:sSubPr>
          <m:e>
            <m:r>
              <m:rPr/>
              <w:rPr>
                <w:rFonts w:ascii="Cambria Math" w:hAnsi="Cambria Math"/>
                <w:lang w:val="en-US"/>
              </w:rPr>
              <m:t>μ</m:t>
            </m:r>
            <m:ctrlPr>
              <w:rPr>
                <w:rFonts w:hint="default" w:ascii="Cambria Math" w:hAnsi="Cambria Math"/>
                <w:i/>
                <w:lang w:val="en-US" w:eastAsia="zh-CN"/>
              </w:rPr>
            </m:ctrlPr>
          </m:e>
          <m:sub>
            <m:r>
              <m:rPr/>
              <w:rPr>
                <w:rFonts w:ascii="Cambria Math" w:hAnsi="Cambria Math"/>
                <w:lang w:val="en-US"/>
              </w:rPr>
              <m:t>β</m:t>
            </m:r>
            <m:r>
              <m:rPr/>
              <w:rPr>
                <w:rFonts w:hint="default" w:ascii="Cambria Math" w:hAnsi="Cambria Math"/>
                <w:lang w:val="en-US" w:eastAsia="zh-CN"/>
              </w:rPr>
              <m:t>2</m:t>
            </m:r>
            <m:ctrlPr>
              <w:rPr>
                <w:rFonts w:hint="default" w:ascii="Cambria Math" w:hAnsi="Cambria Math"/>
                <w:i/>
                <w:lang w:val="en-US" w:eastAsia="zh-CN"/>
              </w:rPr>
            </m:ctrlPr>
          </m:sub>
        </m:sSub>
        <m:r>
          <m:rPr/>
          <w:rPr>
            <w:rFonts w:hint="default" w:ascii="Cambria Math" w:hAnsi="Cambria Math"/>
            <w:lang w:val="en-US" w:eastAsia="zh-CN"/>
          </w:rPr>
          <m:t xml:space="preserve">, </m:t>
        </m:r>
        <m:sSubSup>
          <m:sSubSupPr>
            <m:ctrlPr>
              <w:rPr>
                <w:rFonts w:hint="default" w:ascii="Cambria Math" w:hAnsi="Cambria Math"/>
                <w:i/>
                <w:lang w:val="en-US" w:eastAsia="zh-CN"/>
              </w:rPr>
            </m:ctrlPr>
          </m:sSubSupPr>
          <m:e>
            <m:r>
              <m:rPr/>
              <w:rPr>
                <w:rFonts w:ascii="Cambria Math" w:hAnsi="Cambria Math"/>
                <w:lang w:val="en-US"/>
              </w:rPr>
              <m:t>τ</m:t>
            </m:r>
            <m:ctrlPr>
              <w:rPr>
                <w:rFonts w:hint="default" w:ascii="Cambria Math" w:hAnsi="Cambria Math"/>
                <w:i/>
                <w:lang w:val="en-US" w:eastAsia="zh-CN"/>
              </w:rPr>
            </m:ctrlPr>
          </m:e>
          <m:sub>
            <m:r>
              <m:rPr/>
              <w:rPr>
                <w:rFonts w:ascii="Cambria Math" w:hAnsi="Cambria Math"/>
                <w:lang w:val="en-US"/>
              </w:rPr>
              <m:t>β</m:t>
            </m:r>
            <w:bookmarkStart w:id="209" w:name="_GoBack"/>
            <w:bookmarkEnd w:id="209"/>
            <m:r>
              <m:rPr/>
              <w:rPr>
                <w:rFonts w:hint="default" w:ascii="Cambria Math" w:hAnsi="Cambria Math"/>
                <w:lang w:val="en-US" w:eastAsia="zh-CN"/>
              </w:rPr>
              <m:t>2</m:t>
            </m:r>
            <m:ctrlPr>
              <w:rPr>
                <w:rFonts w:hint="default" w:ascii="Cambria Math" w:hAnsi="Cambria Math"/>
                <w:i/>
                <w:lang w:val="en-US" w:eastAsia="zh-CN"/>
              </w:rPr>
            </m:ctrlPr>
          </m:sub>
          <m:sup>
            <m:r>
              <m:rPr/>
              <w:rPr>
                <w:rFonts w:hint="default" w:ascii="Cambria Math" w:hAnsi="Cambria Math"/>
                <w:lang w:val="en-US" w:eastAsia="zh-CN"/>
              </w:rPr>
              <m:t>2</m:t>
            </m:r>
            <m:ctrlPr>
              <w:rPr>
                <w:rFonts w:hint="default" w:ascii="Cambria Math" w:hAnsi="Cambria Math"/>
                <w:i/>
                <w:lang w:val="en-US" w:eastAsia="zh-CN"/>
              </w:rPr>
            </m:ctrlPr>
          </m:sup>
        </m:sSubSup>
        <m:r>
          <m:rPr/>
          <w:rPr>
            <w:rFonts w:hint="default" w:ascii="Cambria Math" w:hAnsi="Cambria Math"/>
            <w:lang w:val="en-US" w:eastAsia="zh-CN"/>
          </w:rPr>
          <m:t>)</m:t>
        </m:r>
      </m:oMath>
      <w:r>
        <w:rPr>
          <w:rFonts w:hint="eastAsia" w:ascii="Times New Roman"/>
        </w:rPr>
        <w:t xml:space="preserve">                    </w:t>
      </w:r>
      <w:r>
        <w:rPr>
          <w:rFonts w:hint="eastAsia" w:ascii="Times New Roman"/>
          <w:lang w:val="en-US" w:eastAsia="zh-CN"/>
        </w:rPr>
        <w:t xml:space="preserve">     </w:t>
      </w:r>
      <w:r>
        <w:rPr>
          <w:rFonts w:hint="eastAsia" w:ascii="Times New Roman"/>
        </w:rPr>
        <w:t xml:space="preserve">          (5)</w:t>
      </w:r>
    </w:p>
    <w:p w14:paraId="45D13DF6">
      <w:pPr>
        <w:pStyle w:val="27"/>
        <w:ind w:firstLine="0" w:firstLineChars="0"/>
        <w:rPr>
          <w:rFonts w:ascii="Times New Roman"/>
        </w:rPr>
      </w:pPr>
      <w:r>
        <w:rPr>
          <w:rFonts w:hint="eastAsia" w:ascii="Times New Roman"/>
        </w:rPr>
        <w:t>式</w:t>
      </w:r>
      <w:r>
        <w:rPr>
          <w:rFonts w:ascii="Times New Roman"/>
        </w:rPr>
        <w:t>中，</w:t>
      </w:r>
      <w:r>
        <w:rPr>
          <w:rFonts w:ascii="Times New Roman"/>
          <w:i/>
          <w:iCs/>
        </w:rPr>
        <w:t>μ</w:t>
      </w:r>
      <w:r>
        <w:rPr>
          <w:rFonts w:ascii="Times New Roman"/>
          <w:i/>
          <w:iCs/>
          <w:vertAlign w:val="subscript"/>
        </w:rPr>
        <w:t>α</w:t>
      </w:r>
      <w:r>
        <w:rPr>
          <w:rFonts w:ascii="Times New Roman"/>
        </w:rPr>
        <w:t>、</w:t>
      </w:r>
      <w:r>
        <w:rPr>
          <w:rFonts w:ascii="Times New Roman"/>
          <w:i/>
          <w:iCs/>
        </w:rPr>
        <w:t>μ</w:t>
      </w:r>
      <w:r>
        <w:rPr>
          <w:rFonts w:ascii="Times New Roman"/>
          <w:i/>
          <w:iCs/>
          <w:vertAlign w:val="subscript"/>
        </w:rPr>
        <w:t>β</w:t>
      </w:r>
      <w:r>
        <w:rPr>
          <w:rFonts w:ascii="Times New Roman"/>
          <w:vertAlign w:val="subscript"/>
        </w:rPr>
        <w:t>1</w:t>
      </w:r>
      <w:r>
        <w:rPr>
          <w:rFonts w:ascii="Times New Roman"/>
        </w:rPr>
        <w:t>、</w:t>
      </w:r>
      <w:r>
        <w:rPr>
          <w:rFonts w:ascii="Times New Roman"/>
          <w:i/>
          <w:iCs/>
        </w:rPr>
        <w:t>μ</w:t>
      </w:r>
      <w:r>
        <w:rPr>
          <w:rFonts w:ascii="Times New Roman"/>
          <w:i/>
          <w:iCs/>
          <w:vertAlign w:val="subscript"/>
        </w:rPr>
        <w:t>β</w:t>
      </w:r>
      <w:r>
        <w:rPr>
          <w:rFonts w:ascii="Times New Roman"/>
          <w:vertAlign w:val="subscript"/>
        </w:rPr>
        <w:t>2</w:t>
      </w:r>
      <w:r>
        <w:rPr>
          <w:rFonts w:ascii="Times New Roman"/>
        </w:rPr>
        <w:t>为区域总体均值，反映黄河流域湖库的平均响应水平，从所有湖库的数据中综合估计；</w:t>
      </w:r>
      <w:r>
        <w:rPr>
          <w:rFonts w:ascii="Times New Roman"/>
          <w:i/>
          <w:iCs/>
        </w:rPr>
        <w:t>τ</w:t>
      </w:r>
      <w:r>
        <w:rPr>
          <w:rFonts w:ascii="Times New Roman"/>
          <w:i/>
          <w:iCs/>
          <w:vertAlign w:val="subscript"/>
        </w:rPr>
        <w:t>α</w:t>
      </w:r>
      <w:r>
        <w:rPr>
          <w:rFonts w:ascii="Times New Roman"/>
          <w:vertAlign w:val="superscript"/>
        </w:rPr>
        <w:t>2</w:t>
      </w:r>
      <w:r>
        <w:rPr>
          <w:rFonts w:ascii="Times New Roman"/>
        </w:rPr>
        <w:t>、</w:t>
      </w:r>
      <w:r>
        <w:rPr>
          <w:rFonts w:ascii="Times New Roman"/>
          <w:i/>
          <w:iCs/>
        </w:rPr>
        <w:t>τ</w:t>
      </w:r>
      <w:r>
        <w:rPr>
          <w:rFonts w:ascii="Times New Roman"/>
          <w:i/>
          <w:iCs/>
          <w:vertAlign w:val="subscript"/>
        </w:rPr>
        <w:t>β</w:t>
      </w:r>
      <w:r>
        <w:rPr>
          <w:rFonts w:ascii="Times New Roman"/>
          <w:vertAlign w:val="subscript"/>
        </w:rPr>
        <w:t>1</w:t>
      </w:r>
      <w:r>
        <w:rPr>
          <w:rFonts w:ascii="Times New Roman"/>
          <w:vertAlign w:val="superscript"/>
        </w:rPr>
        <w:t>2</w:t>
      </w:r>
      <w:r>
        <w:rPr>
          <w:rFonts w:ascii="Times New Roman"/>
        </w:rPr>
        <w:t>、</w:t>
      </w:r>
      <w:r>
        <w:rPr>
          <w:rFonts w:ascii="Times New Roman"/>
          <w:i/>
          <w:iCs/>
        </w:rPr>
        <w:t>τ</w:t>
      </w:r>
      <w:r>
        <w:rPr>
          <w:rFonts w:ascii="Times New Roman"/>
          <w:i/>
          <w:iCs/>
          <w:vertAlign w:val="subscript"/>
        </w:rPr>
        <w:t>β</w:t>
      </w:r>
      <w:r>
        <w:rPr>
          <w:rFonts w:ascii="Times New Roman"/>
          <w:vertAlign w:val="subscript"/>
        </w:rPr>
        <w:t>2</w:t>
      </w:r>
      <w:r>
        <w:rPr>
          <w:rFonts w:ascii="Times New Roman"/>
          <w:vertAlign w:val="superscript"/>
        </w:rPr>
        <w:t>2</w:t>
      </w:r>
      <w:r>
        <w:rPr>
          <w:rFonts w:ascii="Times New Roman"/>
        </w:rPr>
        <w:t xml:space="preserve"> 为对应的组间方差，反映不同湖库间响应关系的异质性程度，从湖库间的差异中估计。</w:t>
      </w:r>
    </w:p>
    <w:p w14:paraId="3DB4343E">
      <w:pPr>
        <w:pStyle w:val="27"/>
        <w:ind w:firstLine="420"/>
        <w:rPr>
          <w:rFonts w:ascii="Times New Roman"/>
        </w:rPr>
      </w:pPr>
      <w:r>
        <w:rPr>
          <w:rFonts w:ascii="Times New Roman"/>
        </w:rPr>
        <w:t>第三层（超先验层）：</w:t>
      </w:r>
    </w:p>
    <w:p w14:paraId="301A3E46">
      <w:pPr>
        <w:pStyle w:val="27"/>
        <w:ind w:firstLine="420"/>
        <w:rPr>
          <w:rFonts w:ascii="Times New Roman"/>
        </w:rPr>
      </w:pPr>
      <w:r>
        <w:rPr>
          <w:rFonts w:ascii="Times New Roman"/>
        </w:rPr>
        <w:t>为所有超参数设置弱信息先验，以保证后验推断主要受数据驱动：</w:t>
      </w:r>
    </w:p>
    <w:p w14:paraId="4169D093">
      <w:pPr>
        <w:pStyle w:val="27"/>
        <w:ind w:firstLine="420"/>
        <w:jc w:val="right"/>
        <w:rPr>
          <w:rFonts w:ascii="Times New Roman"/>
        </w:rPr>
      </w:pPr>
      <w:r>
        <w:rPr>
          <w:rFonts w:hint="eastAsia" w:ascii="Times New Roman"/>
          <w:vertAlign w:val="subscript"/>
        </w:rPr>
        <w:t xml:space="preserve"> </w:t>
      </w:r>
      <m:oMath>
        <m:sSub>
          <m:sSubPr>
            <m:ctrlPr>
              <w:rPr>
                <w:rFonts w:ascii="Cambria Math" w:hAnsi="Cambria Math"/>
                <w:i/>
              </w:rPr>
            </m:ctrlPr>
          </m:sSubPr>
          <m:e>
            <m:r>
              <m:rPr/>
              <w:rPr>
                <w:rFonts w:ascii="Cambria Math" w:hAnsi="Cambria Math"/>
              </w:rPr>
              <m:t>μ</m:t>
            </m:r>
            <m:ctrlPr>
              <w:rPr>
                <w:rFonts w:ascii="Cambria Math" w:hAnsi="Cambria Math"/>
                <w:i/>
              </w:rPr>
            </m:ctrlPr>
          </m:e>
          <m:sub>
            <m:r>
              <m:rPr/>
              <w:rPr>
                <w:rFonts w:ascii="Cambria Math" w:hAnsi="Cambria Math"/>
              </w:rPr>
              <m:t>α</m:t>
            </m:r>
            <m:ctrlPr>
              <w:rPr>
                <w:rFonts w:ascii="Cambria Math" w:hAnsi="Cambria Math"/>
                <w:i/>
              </w:rPr>
            </m:ctrlPr>
          </m:sub>
        </m:sSub>
        <m:r>
          <m:rPr/>
          <w:rPr>
            <w:rFonts w:hint="default" w:ascii="Cambria Math" w:hAnsi="Cambria Math"/>
            <w:lang w:val="en-US" w:eastAsia="zh-CN"/>
          </w:rPr>
          <m:t xml:space="preserve">, </m:t>
        </m:r>
        <m:sSub>
          <m:sSubPr>
            <m:ctrlPr>
              <w:rPr>
                <w:rFonts w:ascii="Cambria Math" w:hAnsi="Cambria Math"/>
                <w:i/>
              </w:rPr>
            </m:ctrlPr>
          </m:sSubPr>
          <m:e>
            <m:r>
              <m:rPr/>
              <w:rPr>
                <w:rFonts w:ascii="Cambria Math" w:hAnsi="Cambria Math"/>
              </w:rPr>
              <m:t>μ</m:t>
            </m:r>
            <m:ctrlPr>
              <w:rPr>
                <w:rFonts w:ascii="Cambria Math" w:hAnsi="Cambria Math"/>
                <w:i/>
              </w:rPr>
            </m:ctrlPr>
          </m:e>
          <m:sub>
            <m:r>
              <m:rPr/>
              <w:rPr>
                <w:rFonts w:ascii="Cambria Math" w:hAnsi="Cambria Math"/>
              </w:rPr>
              <m:t>β</m:t>
            </m:r>
            <m:r>
              <m:rPr/>
              <w:rPr>
                <w:rFonts w:hint="default" w:ascii="Cambria Math" w:hAnsi="Cambria Math"/>
                <w:lang w:val="en-US" w:eastAsia="zh-CN"/>
              </w:rPr>
              <m:t>1</m:t>
            </m:r>
            <m:ctrlPr>
              <w:rPr>
                <w:rFonts w:ascii="Cambria Math" w:hAnsi="Cambria Math"/>
                <w:i/>
              </w:rPr>
            </m:ctrlPr>
          </m:sub>
        </m:sSub>
        <m:r>
          <m:rPr/>
          <w:rPr>
            <w:rFonts w:hint="default" w:ascii="Cambria Math" w:hAnsi="Cambria Math"/>
            <w:lang w:val="en-US" w:eastAsia="zh-CN"/>
          </w:rPr>
          <m:t xml:space="preserve">, </m:t>
        </m:r>
        <m:sSub>
          <m:sSubPr>
            <m:ctrlPr>
              <w:rPr>
                <w:rFonts w:ascii="Cambria Math" w:hAnsi="Cambria Math"/>
                <w:i/>
              </w:rPr>
            </m:ctrlPr>
          </m:sSubPr>
          <m:e>
            <m:r>
              <m:rPr/>
              <w:rPr>
                <w:rFonts w:ascii="Cambria Math" w:hAnsi="Cambria Math"/>
              </w:rPr>
              <m:t>μ</m:t>
            </m:r>
            <m:ctrlPr>
              <w:rPr>
                <w:rFonts w:ascii="Cambria Math" w:hAnsi="Cambria Math"/>
                <w:i/>
              </w:rPr>
            </m:ctrlPr>
          </m:e>
          <m:sub>
            <m:r>
              <m:rPr/>
              <w:rPr>
                <w:rFonts w:ascii="Cambria Math" w:hAnsi="Cambria Math"/>
              </w:rPr>
              <m:t>β</m:t>
            </m:r>
            <m:r>
              <m:rPr/>
              <w:rPr>
                <w:rFonts w:hint="default" w:ascii="Cambria Math" w:hAnsi="Cambria Math"/>
                <w:lang w:val="en-US" w:eastAsia="zh-CN"/>
              </w:rPr>
              <m:t>2</m:t>
            </m:r>
            <m:ctrlPr>
              <w:rPr>
                <w:rFonts w:ascii="Cambria Math" w:hAnsi="Cambria Math"/>
                <w:i/>
              </w:rPr>
            </m:ctrlPr>
          </m:sub>
        </m:sSub>
        <m:r>
          <m:rPr/>
          <w:rPr>
            <w:rFonts w:hint="default" w:ascii="Cambria Math" w:hAnsi="Cambria Math"/>
            <w:lang w:val="en-US" w:eastAsia="zh-CN"/>
          </w:rPr>
          <m:t>~N(0,</m:t>
        </m:r>
        <m:sSup>
          <m:sSupPr>
            <m:ctrlPr>
              <m:rPr/>
              <w:rPr>
                <w:rFonts w:hint="default" w:ascii="Cambria Math" w:hAnsi="Cambria Math"/>
                <w:i/>
                <w:lang w:val="en-US" w:eastAsia="zh-CN"/>
              </w:rPr>
            </m:ctrlPr>
          </m:sSupPr>
          <m:e>
            <m:r>
              <m:rPr/>
              <w:rPr>
                <w:rFonts w:hint="default" w:ascii="Cambria Math" w:hAnsi="Cambria Math"/>
                <w:lang w:val="en-US" w:eastAsia="zh-CN"/>
              </w:rPr>
              <m:t>100</m:t>
            </m:r>
            <m:ctrlPr>
              <m:rPr/>
              <w:rPr>
                <w:rFonts w:hint="default" w:ascii="Cambria Math" w:hAnsi="Cambria Math"/>
                <w:i/>
                <w:lang w:val="en-US" w:eastAsia="zh-CN"/>
              </w:rPr>
            </m:ctrlPr>
          </m:e>
          <m:sup>
            <m:r>
              <m:rPr/>
              <w:rPr>
                <w:rFonts w:hint="default" w:ascii="Cambria Math" w:hAnsi="Cambria Math"/>
                <w:lang w:val="en-US" w:eastAsia="zh-CN"/>
              </w:rPr>
              <m:t>2</m:t>
            </m:r>
            <m:ctrlPr>
              <m:rPr/>
              <w:rPr>
                <w:rFonts w:hint="default" w:ascii="Cambria Math" w:hAnsi="Cambria Math"/>
                <w:i/>
                <w:lang w:val="en-US" w:eastAsia="zh-CN"/>
              </w:rPr>
            </m:ctrlPr>
          </m:sup>
        </m:sSup>
        <m:r>
          <m:rPr/>
          <w:rPr>
            <w:rFonts w:hint="default" w:ascii="Cambria Math" w:hAnsi="Cambria Math"/>
            <w:lang w:val="en-US" w:eastAsia="zh-CN"/>
          </w:rPr>
          <m:t xml:space="preserve"> )</m:t>
        </m:r>
      </m:oMath>
      <w:r>
        <w:rPr>
          <w:rFonts w:hint="eastAsia" w:ascii="Times New Roman"/>
        </w:rPr>
        <w:t xml:space="preserve">                                (6)</w:t>
      </w:r>
    </w:p>
    <w:p w14:paraId="3EAE8606">
      <w:pPr>
        <w:pStyle w:val="27"/>
        <w:ind w:firstLine="420"/>
        <w:jc w:val="right"/>
        <w:rPr>
          <w:rFonts w:ascii="Times New Roman"/>
        </w:rPr>
      </w:pPr>
      <w:r>
        <w:rPr>
          <w:rFonts w:hint="eastAsia" w:ascii="Times New Roman"/>
        </w:rPr>
        <w:t xml:space="preserve"> </w:t>
      </w:r>
      <m:oMath>
        <m:r>
          <m:rPr>
            <m:sty m:val="p"/>
          </m:rPr>
          <w:rPr>
            <w:rFonts w:ascii="Cambria Math" w:hAnsi="Cambria Math"/>
          </w:rPr>
          <m:t>σ</m:t>
        </m:r>
        <m:r>
          <m:rPr>
            <m:sty m:val="p"/>
          </m:rPr>
          <w:rPr>
            <w:rFonts w:hint="default" w:ascii="Cambria Math" w:hAnsi="Cambria Math"/>
            <w:lang w:val="en-US" w:eastAsia="zh-CN"/>
          </w:rPr>
          <m:t xml:space="preserve">, </m:t>
        </m:r>
        <m:sSub>
          <m:sSubPr>
            <m:ctrlPr>
              <m:rPr/>
              <w:rPr>
                <w:rFonts w:hint="default" w:ascii="Cambria Math" w:hAnsi="Cambria Math"/>
                <w:lang w:val="en-US" w:eastAsia="zh-CN"/>
              </w:rPr>
            </m:ctrlPr>
          </m:sSubPr>
          <m:e>
            <m:r>
              <m:rPr>
                <m:sty m:val="p"/>
              </m:rPr>
              <w:rPr>
                <w:rFonts w:ascii="Cambria Math" w:hAnsi="Cambria Math"/>
                <w:lang w:val="en-US"/>
              </w:rPr>
              <m:t>τ</m:t>
            </m:r>
            <m:ctrlPr>
              <m:rPr/>
              <w:rPr>
                <w:rFonts w:hint="default" w:ascii="Cambria Math" w:hAnsi="Cambria Math"/>
                <w:lang w:val="en-US" w:eastAsia="zh-CN"/>
              </w:rPr>
            </m:ctrlPr>
          </m:e>
          <m:sub>
            <m:r>
              <m:rPr>
                <m:sty m:val="p"/>
              </m:rPr>
              <w:rPr>
                <w:rFonts w:ascii="Cambria Math" w:hAnsi="Cambria Math"/>
                <w:lang w:val="en-US"/>
              </w:rPr>
              <m:t>α</m:t>
            </m:r>
            <m:ctrlPr>
              <m:rPr/>
              <w:rPr>
                <w:rFonts w:hint="default" w:ascii="Cambria Math" w:hAnsi="Cambria Math"/>
                <w:lang w:val="en-US" w:eastAsia="zh-CN"/>
              </w:rPr>
            </m:ctrlPr>
          </m:sub>
        </m:sSub>
        <m:r>
          <m:rPr>
            <m:sty m:val="p"/>
          </m:rPr>
          <w:rPr>
            <w:rFonts w:hint="default" w:ascii="Cambria Math" w:hAnsi="Cambria Math"/>
            <w:lang w:val="en-US" w:eastAsia="zh-CN"/>
          </w:rPr>
          <m:t xml:space="preserve">, </m:t>
        </m:r>
        <m:sSub>
          <m:sSubPr>
            <m:ctrlPr>
              <w:rPr>
                <w:rFonts w:hint="default" w:ascii="Cambria Math" w:hAnsi="Cambria Math"/>
                <w:lang w:val="en-US" w:eastAsia="zh-CN"/>
              </w:rPr>
            </m:ctrlPr>
          </m:sSubPr>
          <m:e>
            <m:r>
              <m:rPr>
                <m:sty m:val="p"/>
              </m:rPr>
              <w:rPr>
                <w:rFonts w:ascii="Cambria Math" w:hAnsi="Cambria Math"/>
                <w:lang w:val="en-US"/>
              </w:rPr>
              <m:t>τ</m:t>
            </m:r>
            <m:ctrlPr>
              <w:rPr>
                <w:rFonts w:hint="default" w:ascii="Cambria Math" w:hAnsi="Cambria Math"/>
                <w:lang w:val="en-US" w:eastAsia="zh-CN"/>
              </w:rPr>
            </m:ctrlPr>
          </m:e>
          <m:sub>
            <m:r>
              <m:rPr>
                <m:sty m:val="p"/>
              </m:rPr>
              <w:rPr>
                <w:rFonts w:ascii="Cambria Math" w:hAnsi="Cambria Math"/>
                <w:lang w:val="en-US"/>
              </w:rPr>
              <m:t>β</m:t>
            </m:r>
            <m:r>
              <m:rPr>
                <m:sty m:val="p"/>
              </m:rPr>
              <w:rPr>
                <w:rFonts w:hint="default" w:ascii="Cambria Math" w:hAnsi="Cambria Math"/>
                <w:lang w:val="en-US" w:eastAsia="zh-CN"/>
              </w:rPr>
              <m:t>1</m:t>
            </m:r>
            <m:ctrlPr>
              <w:rPr>
                <w:rFonts w:hint="default" w:ascii="Cambria Math" w:hAnsi="Cambria Math"/>
                <w:lang w:val="en-US" w:eastAsia="zh-CN"/>
              </w:rPr>
            </m:ctrlPr>
          </m:sub>
        </m:sSub>
        <m:r>
          <m:rPr>
            <m:sty m:val="p"/>
          </m:rPr>
          <w:rPr>
            <w:rFonts w:hint="default" w:ascii="Cambria Math" w:hAnsi="Cambria Math"/>
            <w:lang w:val="en-US" w:eastAsia="zh-CN"/>
          </w:rPr>
          <m:t xml:space="preserve">, </m:t>
        </m:r>
        <m:sSub>
          <m:sSubPr>
            <m:ctrlPr>
              <w:rPr>
                <w:rFonts w:hint="default" w:ascii="Cambria Math" w:hAnsi="Cambria Math"/>
                <w:lang w:val="en-US" w:eastAsia="zh-CN"/>
              </w:rPr>
            </m:ctrlPr>
          </m:sSubPr>
          <m:e>
            <m:r>
              <m:rPr>
                <m:sty m:val="p"/>
              </m:rPr>
              <w:rPr>
                <w:rFonts w:ascii="Cambria Math" w:hAnsi="Cambria Math"/>
                <w:lang w:val="en-US"/>
              </w:rPr>
              <m:t>τ</m:t>
            </m:r>
            <m:ctrlPr>
              <w:rPr>
                <w:rFonts w:hint="default" w:ascii="Cambria Math" w:hAnsi="Cambria Math"/>
                <w:lang w:val="en-US" w:eastAsia="zh-CN"/>
              </w:rPr>
            </m:ctrlPr>
          </m:e>
          <m:sub>
            <m:r>
              <m:rPr>
                <m:sty m:val="p"/>
              </m:rPr>
              <w:rPr>
                <w:rFonts w:ascii="Cambria Math" w:hAnsi="Cambria Math"/>
                <w:lang w:val="en-US"/>
              </w:rPr>
              <m:t>β</m:t>
            </m:r>
            <m:r>
              <m:rPr>
                <m:sty m:val="p"/>
              </m:rPr>
              <w:rPr>
                <w:rFonts w:hint="default" w:ascii="Cambria Math" w:hAnsi="Cambria Math"/>
                <w:lang w:val="en-US" w:eastAsia="zh-CN"/>
              </w:rPr>
              <m:t>2</m:t>
            </m:r>
            <m:ctrlPr>
              <w:rPr>
                <w:rFonts w:hint="default" w:ascii="Cambria Math" w:hAnsi="Cambria Math"/>
                <w:lang w:val="en-US" w:eastAsia="zh-CN"/>
              </w:rPr>
            </m:ctrlPr>
          </m:sub>
        </m:sSub>
        <m:r>
          <m:rPr>
            <m:sty m:val="p"/>
          </m:rPr>
          <w:rPr>
            <w:rFonts w:hint="default" w:ascii="Cambria Math" w:hAnsi="Cambria Math"/>
            <w:lang w:val="en-US" w:eastAsia="zh-CN"/>
          </w:rPr>
          <m:t>~Half−Cauchy(0, 5)</m:t>
        </m:r>
      </m:oMath>
      <w:r>
        <w:rPr>
          <w:rFonts w:hint="eastAsia" w:ascii="Times New Roman"/>
        </w:rPr>
        <w:t xml:space="preserve">                          (7)</w:t>
      </w:r>
    </w:p>
    <w:p w14:paraId="2020BBA4">
      <w:pPr>
        <w:pStyle w:val="27"/>
        <w:ind w:firstLine="0" w:firstLineChars="0"/>
        <w:jc w:val="left"/>
        <w:rPr>
          <w:rFonts w:ascii="Times New Roman"/>
        </w:rPr>
      </w:pPr>
      <w:r>
        <w:rPr>
          <w:rFonts w:hint="eastAsia" w:ascii="Times New Roman"/>
        </w:rPr>
        <w:t>式</w:t>
      </w:r>
      <w:r>
        <w:rPr>
          <w:rFonts w:ascii="Times New Roman"/>
        </w:rPr>
        <w:t>中，正态分布N(0, 100²)：均值为0，方差很大（100²），表示对参数取值无强烈先验偏好，让数据主导推断；Half-Cauchy(0, 5)：适用于标准差参数，在0附近有较高概率，但允许较大的值，避免对异质性程度的过度约束。</w:t>
      </w:r>
    </w:p>
    <w:p w14:paraId="58373E12">
      <w:pPr>
        <w:pStyle w:val="27"/>
        <w:ind w:firstLine="420"/>
        <w:rPr>
          <w:rFonts w:ascii="Times New Roman"/>
        </w:rPr>
      </w:pPr>
      <w:r>
        <w:rPr>
          <w:rFonts w:ascii="Times New Roman"/>
        </w:rPr>
        <w:t>c) 模型求解：使用马尔可夫链蒙特卡洛（MCMC）方法进行贝叶斯推断，获得所有参数的后验分布。求解要求：</w:t>
      </w:r>
    </w:p>
    <w:p w14:paraId="0D52BD8B">
      <w:pPr>
        <w:pStyle w:val="27"/>
        <w:ind w:firstLine="420"/>
        <w:rPr>
          <w:rFonts w:ascii="Times New Roman"/>
        </w:rPr>
      </w:pPr>
      <w:r>
        <w:rPr>
          <w:rFonts w:ascii="Times New Roman"/>
        </w:rPr>
        <w:t>1）至少运行4条独立MCMC链；</w:t>
      </w:r>
    </w:p>
    <w:p w14:paraId="7E233B0D">
      <w:pPr>
        <w:pStyle w:val="27"/>
        <w:ind w:firstLine="420"/>
        <w:rPr>
          <w:rFonts w:ascii="Times New Roman"/>
        </w:rPr>
      </w:pPr>
      <w:r>
        <w:rPr>
          <w:rFonts w:ascii="Times New Roman"/>
        </w:rPr>
        <w:t>2）每条链迭代次数不少于10000次，前5000次作为预烧期（burn-in）舍弃；</w:t>
      </w:r>
    </w:p>
    <w:p w14:paraId="7B0EE053">
      <w:pPr>
        <w:pStyle w:val="27"/>
        <w:ind w:firstLine="420"/>
        <w:rPr>
          <w:rFonts w:ascii="Times New Roman"/>
        </w:rPr>
      </w:pPr>
      <w:r>
        <w:rPr>
          <w:rFonts w:ascii="Times New Roman"/>
        </w:rPr>
        <w:t>3）收敛诊断：Gelman-Rubin统计量 &lt; 1.1。</w:t>
      </w:r>
    </w:p>
    <w:p w14:paraId="3BD0BD43">
      <w:pPr>
        <w:pStyle w:val="27"/>
        <w:ind w:firstLine="420"/>
        <w:rPr>
          <w:rFonts w:ascii="Times New Roman"/>
        </w:rPr>
      </w:pPr>
      <w:r>
        <w:rPr>
          <w:rFonts w:ascii="Times New Roman"/>
        </w:rPr>
        <w:t>d) 阈值提取：从后验分布中，获取区域整体上TN、TP的边际效应分布。根据管理目标，如保护80%的湖库，从TN、TP后验预测分布中提取</w:t>
      </w:r>
      <w:r>
        <w:rPr>
          <w:rFonts w:hint="eastAsia" w:ascii="Times New Roman"/>
        </w:rPr>
        <w:t>上</w:t>
      </w:r>
      <w:r>
        <w:rPr>
          <w:rFonts w:ascii="Times New Roman"/>
        </w:rPr>
        <w:t>侧第20百分位数作为保护性阈值，并提供其95%后验预测区间。</w:t>
      </w:r>
    </w:p>
    <w:p w14:paraId="7827619D">
      <w:pPr>
        <w:pStyle w:val="43"/>
        <w:spacing w:before="120" w:after="120"/>
      </w:pPr>
      <w:r>
        <w:t>支持方法</w:t>
      </w:r>
    </w:p>
    <w:p w14:paraId="26338F47">
      <w:pPr>
        <w:pStyle w:val="44"/>
        <w:spacing w:before="120" w:after="120"/>
      </w:pPr>
      <w:r>
        <w:t>模型推断法流程</w:t>
      </w:r>
    </w:p>
    <w:p w14:paraId="2629A238">
      <w:pPr>
        <w:pStyle w:val="27"/>
        <w:ind w:firstLine="420"/>
        <w:rPr>
          <w:rFonts w:ascii="Times New Roman"/>
        </w:rPr>
      </w:pPr>
      <w:r>
        <w:rPr>
          <w:rFonts w:ascii="Times New Roman"/>
        </w:rPr>
        <w:t>a) 模型选择与数据准备：应选择能够模拟流域水文过程、泥沙输移、营养盐迁移转化过程的分布式或半分布式水文水质模型，如SWAT、HSPF等。数据收集要求见第5章。</w:t>
      </w:r>
    </w:p>
    <w:p w14:paraId="65EDC41C">
      <w:pPr>
        <w:pStyle w:val="27"/>
        <w:ind w:firstLine="420"/>
        <w:rPr>
          <w:rFonts w:ascii="Times New Roman"/>
        </w:rPr>
      </w:pPr>
      <w:r>
        <w:rPr>
          <w:rFonts w:ascii="Times New Roman"/>
        </w:rPr>
        <w:t>b) 模型构建、率定与验证：基于收集的数据构建模型，采用流域出口或湖库入库的流量、泥沙、TN、TP观测数据进行率定与验证。率定期与验证期应至少各包含3个完整水文年，模型性能评价指标应满足：NSE ≥ 0.5，RE ≤ ±30%，R² ≥ 0.6。</w:t>
      </w:r>
    </w:p>
    <w:p w14:paraId="414C4194">
      <w:pPr>
        <w:pStyle w:val="27"/>
        <w:ind w:firstLine="420"/>
        <w:rPr>
          <w:rFonts w:ascii="Times New Roman"/>
        </w:rPr>
      </w:pPr>
      <w:r>
        <w:rPr>
          <w:rFonts w:ascii="Times New Roman"/>
        </w:rPr>
        <w:t>c) 情景模拟与自然背景浓度提取：在已验证的模型基础上，将所有点源、非点源人为污染负荷输入设为0，运行模型模拟长期（建议 ≥ 20年）水文与水质过程，提取湖库出口或湖体TN、TP浓度的长期平均值作为自然背景参考浓度。</w:t>
      </w:r>
    </w:p>
    <w:p w14:paraId="3722FE3E">
      <w:pPr>
        <w:pStyle w:val="27"/>
        <w:ind w:firstLine="420"/>
        <w:rPr>
          <w:rFonts w:ascii="Times New Roman"/>
        </w:rPr>
      </w:pPr>
      <w:r>
        <w:rPr>
          <w:rFonts w:ascii="Times New Roman"/>
        </w:rPr>
        <w:t>d) 结果分析与阈值参考：模型推断得到的自然背景浓度可作为该湖库氮磷阈值的理论上限参考值，并应与其他方法结果相互校验。</w:t>
      </w:r>
    </w:p>
    <w:p w14:paraId="6476D0FB">
      <w:pPr>
        <w:pStyle w:val="27"/>
        <w:ind w:firstLine="420"/>
        <w:rPr>
          <w:rFonts w:ascii="Times New Roman"/>
        </w:rPr>
      </w:pPr>
      <w:r>
        <w:rPr>
          <w:rFonts w:ascii="Times New Roman"/>
        </w:rPr>
        <w:t>e) 不确定性说明：应在技术报告中明确模型结构、输入数据、情景假设等方面的不确定性来源。</w:t>
      </w:r>
    </w:p>
    <w:p w14:paraId="519C2D34">
      <w:pPr>
        <w:pStyle w:val="44"/>
        <w:spacing w:before="120" w:after="120"/>
      </w:pPr>
      <w:r>
        <w:t>古湖沼学法流程</w:t>
      </w:r>
    </w:p>
    <w:p w14:paraId="13870F03">
      <w:pPr>
        <w:pStyle w:val="27"/>
        <w:ind w:firstLine="420"/>
        <w:rPr>
          <w:rFonts w:ascii="Times New Roman"/>
        </w:rPr>
      </w:pPr>
      <w:r>
        <w:rPr>
          <w:rFonts w:ascii="Times New Roman"/>
        </w:rPr>
        <w:t>参照HJ 838附录D执行，用于缺乏监测数据的湖库或验证长期阈值。</w:t>
      </w:r>
    </w:p>
    <w:p w14:paraId="42F61E3C">
      <w:pPr>
        <w:pStyle w:val="41"/>
        <w:spacing w:before="240" w:after="240"/>
        <w:rPr>
          <w:rFonts w:ascii="Times New Roman"/>
        </w:rPr>
      </w:pPr>
      <w:bookmarkStart w:id="99" w:name="_Toc232496917"/>
      <w:r>
        <w:rPr>
          <w:rFonts w:ascii="Times New Roman"/>
        </w:rPr>
        <w:t>阈值验证与审核</w:t>
      </w:r>
      <w:bookmarkEnd w:id="99"/>
    </w:p>
    <w:p w14:paraId="76F2BF6E">
      <w:pPr>
        <w:pStyle w:val="42"/>
        <w:spacing w:before="120" w:after="120"/>
        <w:rPr>
          <w:rFonts w:ascii="Times New Roman"/>
        </w:rPr>
      </w:pPr>
      <w:bookmarkStart w:id="100" w:name="_Toc232496918"/>
      <w:r>
        <w:rPr>
          <w:rFonts w:ascii="Times New Roman"/>
        </w:rPr>
        <w:t>阈值验证</w:t>
      </w:r>
      <w:bookmarkEnd w:id="100"/>
    </w:p>
    <w:p w14:paraId="47C69AFD">
      <w:pPr>
        <w:pStyle w:val="27"/>
        <w:ind w:firstLine="420"/>
      </w:pPr>
      <w:r>
        <w:t>根据阈值推导所采用的方法类型，选择相应的验证方式。</w:t>
      </w:r>
    </w:p>
    <w:p w14:paraId="144C37F2">
      <w:pPr>
        <w:pStyle w:val="43"/>
        <w:spacing w:before="120" w:after="120"/>
        <w:rPr>
          <w:rFonts w:ascii="Times New Roman"/>
        </w:rPr>
      </w:pPr>
      <w:r>
        <w:rPr>
          <w:rFonts w:ascii="Times New Roman"/>
        </w:rPr>
        <w:t>统计分析法验证</w:t>
      </w:r>
    </w:p>
    <w:p w14:paraId="029319B9">
      <w:pPr>
        <w:pStyle w:val="27"/>
        <w:ind w:firstLine="420"/>
        <w:rPr>
          <w:rFonts w:ascii="Times New Roman"/>
        </w:rPr>
      </w:pPr>
      <w:r>
        <w:rPr>
          <w:rFonts w:ascii="Times New Roman"/>
        </w:rPr>
        <w:t>对于采用参照湖库法、群体分布法或三分法推导的阈值，以结果复核作为主要验证手段（见</w:t>
      </w:r>
      <w:r>
        <w:rPr>
          <w:rFonts w:hint="eastAsia" w:ascii="Times New Roman"/>
        </w:rPr>
        <w:t>7</w:t>
      </w:r>
      <w:r>
        <w:rPr>
          <w:rFonts w:ascii="Times New Roman"/>
        </w:rPr>
        <w:t>.3.1各方法e款），不再单独进行交叉验证或自助法。复核标准已在各方法中明确规定。</w:t>
      </w:r>
    </w:p>
    <w:p w14:paraId="72A3B661">
      <w:pPr>
        <w:pStyle w:val="43"/>
        <w:spacing w:before="120" w:after="120"/>
        <w:rPr>
          <w:rFonts w:ascii="Times New Roman"/>
        </w:rPr>
      </w:pPr>
      <w:r>
        <w:rPr>
          <w:rFonts w:ascii="Times New Roman"/>
        </w:rPr>
        <w:t>压力-响应模型法验证</w:t>
      </w:r>
    </w:p>
    <w:p w14:paraId="29780AF5">
      <w:pPr>
        <w:pStyle w:val="27"/>
        <w:ind w:firstLine="420"/>
        <w:rPr>
          <w:rFonts w:ascii="Times New Roman"/>
        </w:rPr>
      </w:pPr>
      <w:r>
        <w:rPr>
          <w:rFonts w:hint="eastAsia" w:ascii="Times New Roman"/>
        </w:rPr>
        <w:t>对于采用压力-响应模型法（包括线性模型、非线性模型、区域贝叶斯模型）推导的阈值，应进行内部验证和外部验证。</w:t>
      </w:r>
    </w:p>
    <w:p w14:paraId="797E792D">
      <w:pPr>
        <w:pStyle w:val="27"/>
        <w:ind w:firstLine="420"/>
        <w:rPr>
          <w:rFonts w:ascii="Times New Roman"/>
        </w:rPr>
      </w:pPr>
      <w:r>
        <w:rPr>
          <w:rFonts w:ascii="Times New Roman"/>
        </w:rPr>
        <w:t>a)</w:t>
      </w:r>
      <w:r>
        <w:rPr>
          <w:rFonts w:hint="eastAsia" w:ascii="Times New Roman"/>
        </w:rPr>
        <w:t xml:space="preserve"> 内部验证（必选）：采用交叉验证（k折交叉验证，推荐k=5或10）或自助法（Bootstrap，推荐B=1000）评估模型的稳健性和预测误差。可接受标准：验证集RMSE与训练集RMSE比值 ≤ 1.3。</w:t>
      </w:r>
    </w:p>
    <w:p w14:paraId="30E7A6AD">
      <w:pPr>
        <w:pStyle w:val="27"/>
        <w:ind w:firstLine="420"/>
        <w:rPr>
          <w:rFonts w:ascii="Times New Roman"/>
        </w:rPr>
      </w:pPr>
      <w:r>
        <w:rPr>
          <w:rFonts w:ascii="Times New Roman"/>
        </w:rPr>
        <w:t>b)</w:t>
      </w:r>
      <w:r>
        <w:rPr>
          <w:rFonts w:hint="eastAsia" w:ascii="Times New Roman"/>
        </w:rPr>
        <w:t xml:space="preserve"> 外部验证（可选，有条件时执行）：使用未参与建模的独立数据集（如后续年份的监测数据、其他同期未使用数据）检验阈值对实际状态的判别能力。</w:t>
      </w:r>
    </w:p>
    <w:p w14:paraId="4B36DE23">
      <w:pPr>
        <w:pStyle w:val="43"/>
        <w:spacing w:before="120" w:after="120"/>
      </w:pPr>
      <w:r>
        <w:t>支持方法验证</w:t>
      </w:r>
    </w:p>
    <w:p w14:paraId="72D5BF61">
      <w:pPr>
        <w:pStyle w:val="27"/>
        <w:ind w:firstLine="199" w:firstLineChars="95"/>
        <w:rPr>
          <w:rFonts w:ascii="Times New Roman"/>
        </w:rPr>
      </w:pPr>
      <w:r>
        <w:rPr>
          <w:rFonts w:hint="eastAsia" w:ascii="Times New Roman"/>
        </w:rPr>
        <w:t>模型推断法：以模型率定与验证阶段的标准作为验证依据。</w:t>
      </w:r>
    </w:p>
    <w:p w14:paraId="5DC1AAFC">
      <w:pPr>
        <w:pStyle w:val="27"/>
        <w:ind w:firstLine="199" w:firstLineChars="95"/>
        <w:rPr>
          <w:rFonts w:ascii="Times New Roman"/>
        </w:rPr>
      </w:pPr>
      <w:r>
        <w:rPr>
          <w:rFonts w:hint="eastAsia" w:ascii="Times New Roman"/>
        </w:rPr>
        <w:t>古湖沼学法：参照HJ 838附录D的相关要求。</w:t>
      </w:r>
    </w:p>
    <w:p w14:paraId="0B4192E3">
      <w:pPr>
        <w:pStyle w:val="42"/>
        <w:spacing w:before="120" w:after="120"/>
        <w:rPr>
          <w:rFonts w:ascii="Times New Roman"/>
        </w:rPr>
      </w:pPr>
      <w:bookmarkStart w:id="101" w:name="_Toc232413585"/>
      <w:bookmarkEnd w:id="101"/>
      <w:bookmarkStart w:id="102" w:name="_Toc232413584"/>
      <w:bookmarkEnd w:id="102"/>
      <w:bookmarkStart w:id="103" w:name="_Toc232413586"/>
      <w:bookmarkEnd w:id="103"/>
      <w:bookmarkStart w:id="104" w:name="_Toc232496919"/>
      <w:r>
        <w:rPr>
          <w:rFonts w:ascii="Times New Roman"/>
        </w:rPr>
        <w:t>技术审核</w:t>
      </w:r>
      <w:bookmarkEnd w:id="104"/>
    </w:p>
    <w:p w14:paraId="52C65130">
      <w:pPr>
        <w:pStyle w:val="43"/>
        <w:spacing w:before="120" w:after="120"/>
        <w:rPr>
          <w:rFonts w:ascii="Times New Roman"/>
        </w:rPr>
      </w:pPr>
      <w:r>
        <w:rPr>
          <w:rFonts w:ascii="Times New Roman"/>
        </w:rPr>
        <w:t>技术自审</w:t>
      </w:r>
    </w:p>
    <w:p w14:paraId="6DACC23D">
      <w:pPr>
        <w:pStyle w:val="27"/>
        <w:ind w:firstLine="420"/>
        <w:rPr>
          <w:rFonts w:ascii="Times New Roman"/>
        </w:rPr>
      </w:pPr>
      <w:r>
        <w:rPr>
          <w:rFonts w:ascii="Times New Roman"/>
        </w:rPr>
        <w:t>阈值推导团队需对数据质量、方法适用性、计算过程、异常值处理等进行全面自查，并形成书面说明。可参照附录C中的质量控制检查表（表C.</w:t>
      </w:r>
      <w:r>
        <w:rPr>
          <w:rFonts w:hint="eastAsia" w:ascii="Times New Roman"/>
        </w:rPr>
        <w:t>1</w:t>
      </w:r>
      <w:r>
        <w:rPr>
          <w:rFonts w:ascii="Times New Roman"/>
        </w:rPr>
        <w:t>）。</w:t>
      </w:r>
    </w:p>
    <w:p w14:paraId="2AB87681">
      <w:pPr>
        <w:pStyle w:val="43"/>
        <w:spacing w:before="120" w:after="120"/>
        <w:rPr>
          <w:rFonts w:ascii="Times New Roman"/>
        </w:rPr>
      </w:pPr>
      <w:r>
        <w:rPr>
          <w:rFonts w:ascii="Times New Roman"/>
        </w:rPr>
        <w:t>专家评审</w:t>
      </w:r>
    </w:p>
    <w:p w14:paraId="345E9064">
      <w:pPr>
        <w:pStyle w:val="27"/>
        <w:ind w:firstLine="420"/>
        <w:rPr>
          <w:rFonts w:ascii="Times New Roman"/>
        </w:rPr>
      </w:pPr>
      <w:r>
        <w:rPr>
          <w:rFonts w:ascii="Times New Roman"/>
        </w:rPr>
        <w:t>组织领域内专家对阈值推导的全过程及结果进行评审。</w:t>
      </w:r>
    </w:p>
    <w:p w14:paraId="21BABB05">
      <w:pPr>
        <w:pStyle w:val="41"/>
        <w:spacing w:before="240" w:after="240"/>
        <w:rPr>
          <w:rFonts w:ascii="Times New Roman"/>
        </w:rPr>
      </w:pPr>
      <w:bookmarkStart w:id="105" w:name="_Toc232496920"/>
      <w:r>
        <w:rPr>
          <w:rFonts w:ascii="Times New Roman"/>
        </w:rPr>
        <w:t>阈值表征与应用</w:t>
      </w:r>
      <w:bookmarkEnd w:id="105"/>
    </w:p>
    <w:p w14:paraId="13A57F71">
      <w:pPr>
        <w:pStyle w:val="42"/>
        <w:spacing w:before="120" w:after="120"/>
        <w:rPr>
          <w:rFonts w:ascii="Times New Roman"/>
        </w:rPr>
      </w:pPr>
      <w:bookmarkStart w:id="106" w:name="_Toc232496921"/>
      <w:r>
        <w:rPr>
          <w:rFonts w:ascii="Times New Roman"/>
        </w:rPr>
        <w:t>阈值表征</w:t>
      </w:r>
      <w:bookmarkEnd w:id="106"/>
    </w:p>
    <w:p w14:paraId="522CF122">
      <w:pPr>
        <w:pStyle w:val="27"/>
        <w:ind w:firstLine="420"/>
        <w:rPr>
          <w:rFonts w:ascii="Times New Roman"/>
        </w:rPr>
      </w:pPr>
      <w:r>
        <w:rPr>
          <w:rFonts w:ascii="Times New Roman"/>
        </w:rPr>
        <w:t>阈值结果应以清晰的方式表征，包括：</w:t>
      </w:r>
    </w:p>
    <w:p w14:paraId="1FA98AB9">
      <w:pPr>
        <w:pStyle w:val="27"/>
        <w:ind w:firstLine="420"/>
        <w:rPr>
          <w:rFonts w:ascii="Times New Roman"/>
        </w:rPr>
      </w:pPr>
      <w:r>
        <w:rPr>
          <w:rFonts w:ascii="Times New Roman"/>
        </w:rPr>
        <w:t>a) 阈值形式：明确为单一限值、浓度范围或概率分布。</w:t>
      </w:r>
    </w:p>
    <w:p w14:paraId="7595C47A">
      <w:pPr>
        <w:pStyle w:val="27"/>
        <w:ind w:firstLine="420"/>
        <w:rPr>
          <w:rFonts w:ascii="Times New Roman"/>
        </w:rPr>
      </w:pPr>
      <w:r>
        <w:rPr>
          <w:rFonts w:ascii="Times New Roman"/>
        </w:rPr>
        <w:t>b) 适用条件：必须详细说明该阈值成立的前提条件，特别是浊度条件。例如：“本TP阈值（0.05 mg/L）适用于湖体夏季平均浊度低于40 NTU、水深大于2米的湖区。浊度条件基于连续3年监测数据确定。”</w:t>
      </w:r>
    </w:p>
    <w:p w14:paraId="3898E7F3">
      <w:pPr>
        <w:pStyle w:val="27"/>
        <w:ind w:firstLine="420"/>
        <w:rPr>
          <w:rFonts w:ascii="Times New Roman"/>
        </w:rPr>
      </w:pPr>
      <w:r>
        <w:rPr>
          <w:rFonts w:ascii="Times New Roman"/>
        </w:rPr>
        <w:t>c) 时空范围：明确阈值适用的湖库名称、湖区及推荐使用的季节。</w:t>
      </w:r>
    </w:p>
    <w:p w14:paraId="1ADA67A8">
      <w:pPr>
        <w:pStyle w:val="27"/>
        <w:ind w:firstLine="420"/>
        <w:rPr>
          <w:rFonts w:ascii="Times New Roman"/>
        </w:rPr>
      </w:pPr>
      <w:r>
        <w:rPr>
          <w:rFonts w:ascii="Times New Roman"/>
        </w:rPr>
        <w:t>d) 可视化表达：对于通过包含浊度变量的模型推导出的阈值，建议以“在给定Chl-a目标下，TN、TP允许浓度与浊度的关系曲面或等高线图”等形式呈现。</w:t>
      </w:r>
    </w:p>
    <w:p w14:paraId="372825A5">
      <w:pPr>
        <w:pStyle w:val="42"/>
        <w:spacing w:before="120" w:after="120"/>
        <w:rPr>
          <w:rFonts w:ascii="Times New Roman"/>
        </w:rPr>
      </w:pPr>
      <w:bookmarkStart w:id="107" w:name="_Toc232496922"/>
      <w:r>
        <w:rPr>
          <w:rFonts w:ascii="Times New Roman"/>
        </w:rPr>
        <w:t>在水环境标准与管理中的应用</w:t>
      </w:r>
      <w:bookmarkEnd w:id="107"/>
    </w:p>
    <w:p w14:paraId="1A390CF3">
      <w:pPr>
        <w:pStyle w:val="27"/>
        <w:ind w:firstLine="420"/>
        <w:rPr>
          <w:rFonts w:ascii="Times New Roman"/>
        </w:rPr>
      </w:pPr>
      <w:r>
        <w:rPr>
          <w:rFonts w:ascii="Times New Roman"/>
        </w:rPr>
        <w:t>a) 作为标准制定的科学依据：本指南推导的氮磷生态阈值，可作为制定或修订黄河流域地方性湖库水质标准、排放标准中</w:t>
      </w:r>
      <w:r>
        <w:rPr>
          <w:rFonts w:hint="eastAsia" w:ascii="Times New Roman"/>
        </w:rPr>
        <w:t>氮磷</w:t>
      </w:r>
      <w:r>
        <w:rPr>
          <w:rFonts w:ascii="Times New Roman"/>
        </w:rPr>
        <w:t>营养物限值的核心科学依据。</w:t>
      </w:r>
    </w:p>
    <w:p w14:paraId="19B2903C">
      <w:pPr>
        <w:pStyle w:val="27"/>
        <w:ind w:firstLine="420"/>
        <w:rPr>
          <w:rFonts w:ascii="Times New Roman"/>
        </w:rPr>
      </w:pPr>
      <w:r>
        <w:rPr>
          <w:rFonts w:ascii="Times New Roman"/>
        </w:rPr>
        <w:t>b) 支撑水质目标管理：在流域水污染防治规划、湖库生态环境保护方案中，应将阈值作为确定水质改善目标、评估达标状况的基准。</w:t>
      </w:r>
    </w:p>
    <w:p w14:paraId="1D5CB99C">
      <w:pPr>
        <w:pStyle w:val="27"/>
        <w:ind w:firstLine="420"/>
        <w:rPr>
          <w:rFonts w:ascii="Times New Roman"/>
        </w:rPr>
      </w:pPr>
      <w:r>
        <w:rPr>
          <w:rFonts w:ascii="Times New Roman"/>
        </w:rPr>
        <w:t>c) 指导生态保护与修复：在湖库生态修复工程中，应以阈值作为设计目标和工程成效的评估标准。</w:t>
      </w:r>
    </w:p>
    <w:p w14:paraId="09496147">
      <w:pPr>
        <w:pStyle w:val="42"/>
        <w:spacing w:before="120" w:after="120"/>
        <w:rPr>
          <w:rFonts w:ascii="Times New Roman"/>
        </w:rPr>
      </w:pPr>
      <w:bookmarkStart w:id="108" w:name="_Toc232496923"/>
      <w:r>
        <w:rPr>
          <w:rFonts w:ascii="Times New Roman"/>
        </w:rPr>
        <w:t>在流域治理技术选择中的指引</w:t>
      </w:r>
      <w:bookmarkEnd w:id="108"/>
    </w:p>
    <w:p w14:paraId="10AC61F3">
      <w:pPr>
        <w:pStyle w:val="27"/>
        <w:ind w:firstLine="420"/>
        <w:rPr>
          <w:rFonts w:ascii="Times New Roman"/>
        </w:rPr>
      </w:pPr>
      <w:r>
        <w:rPr>
          <w:rFonts w:ascii="Times New Roman"/>
        </w:rPr>
        <w:t>基于湖库当前</w:t>
      </w:r>
      <w:r>
        <w:rPr>
          <w:rFonts w:hint="eastAsia" w:ascii="Times New Roman"/>
        </w:rPr>
        <w:t>氮磷</w:t>
      </w:r>
      <w:r>
        <w:rPr>
          <w:rFonts w:ascii="Times New Roman"/>
        </w:rPr>
        <w:t>营养物浓度与阈值的差距，推荐差异化的治理策略与技术：</w:t>
      </w:r>
    </w:p>
    <w:p w14:paraId="4D12AFA3">
      <w:pPr>
        <w:pStyle w:val="27"/>
        <w:ind w:firstLine="420"/>
        <w:rPr>
          <w:rFonts w:ascii="Times New Roman"/>
        </w:rPr>
      </w:pPr>
      <w:r>
        <w:rPr>
          <w:rFonts w:hint="eastAsia" w:ascii="Times New Roman"/>
        </w:rPr>
        <w:t>a) 预防性保护：适用于现状浓度低于阈值的情形。以流域生态保护为主，控制开发强度，维护自然植被，防治水土流失。</w:t>
      </w:r>
    </w:p>
    <w:p w14:paraId="5F0AE7E1">
      <w:pPr>
        <w:pStyle w:val="27"/>
        <w:ind w:firstLine="420"/>
        <w:rPr>
          <w:rFonts w:ascii="Times New Roman"/>
        </w:rPr>
      </w:pPr>
      <w:r>
        <w:rPr>
          <w:rFonts w:hint="eastAsia" w:ascii="Times New Roman"/>
        </w:rPr>
        <w:t>b) 控制性治理：适用于现状浓度接近或略超阈值的情形。实施外源控制、内源调控和生态修复，包括升级污水处理、生态拦截农田面源、生态调度、环保疏浚、恢复湖滨带、构建人工湿地等。</w:t>
      </w:r>
    </w:p>
    <w:p w14:paraId="6AFB7C6F">
      <w:pPr>
        <w:pStyle w:val="27"/>
        <w:ind w:firstLine="420"/>
        <w:rPr>
          <w:rFonts w:ascii="Times New Roman"/>
        </w:rPr>
      </w:pPr>
      <w:r>
        <w:rPr>
          <w:rFonts w:hint="eastAsia" w:ascii="Times New Roman"/>
        </w:rPr>
        <w:t>c) 综合性治理：适用于现状浓度远高于阈值且富营养化严重的情形。实施流域系统性治理，强力削减外源负荷。对于高浊度水体，坚持泥沙控制与营养盐控制并重，优先开展上游及小流域水土保持工程。</w:t>
      </w:r>
    </w:p>
    <w:p w14:paraId="403EFA58">
      <w:pPr>
        <w:pStyle w:val="27"/>
        <w:ind w:firstLine="420"/>
        <w:rPr>
          <w:rFonts w:ascii="Times New Roman"/>
        </w:rPr>
      </w:pPr>
      <w:r>
        <w:rPr>
          <w:rFonts w:hint="eastAsia" w:ascii="Times New Roman"/>
        </w:rPr>
        <w:t>d) 针对水库的特别提示：应结合水库调度规程，优化生态泄流方式，利用蓄清排浑等调度手段协同调控泥沙与营养盐输出。</w:t>
      </w:r>
    </w:p>
    <w:p w14:paraId="43C6AFCE">
      <w:pPr>
        <w:pStyle w:val="27"/>
        <w:ind w:firstLine="420"/>
        <w:rPr>
          <w:rFonts w:ascii="Times New Roman"/>
        </w:rPr>
      </w:pPr>
    </w:p>
    <w:p w14:paraId="1E5B93FF">
      <w:pPr>
        <w:pStyle w:val="27"/>
        <w:ind w:firstLine="420"/>
        <w:rPr>
          <w:rFonts w:ascii="Times New Roman"/>
        </w:rPr>
        <w:sectPr>
          <w:headerReference r:id="rId15" w:type="default"/>
          <w:footerReference r:id="rId17" w:type="default"/>
          <w:headerReference r:id="rId16" w:type="even"/>
          <w:footerReference r:id="rId18" w:type="even"/>
          <w:pgSz w:w="11906" w:h="16838"/>
          <w:pgMar w:top="2410" w:right="1134" w:bottom="1134" w:left="1134" w:header="1418" w:footer="1134" w:gutter="284"/>
          <w:pgNumType w:start="1"/>
          <w:cols w:space="425" w:num="1"/>
          <w:formProt w:val="0"/>
          <w:docGrid w:linePitch="312" w:charSpace="0"/>
        </w:sectPr>
      </w:pPr>
    </w:p>
    <w:bookmarkEnd w:id="18"/>
    <w:p w14:paraId="504C14D0">
      <w:pPr>
        <w:pStyle w:val="47"/>
        <w:rPr>
          <w:rFonts w:ascii="Times New Roman" w:hAnsi="Times New Roman"/>
          <w:vanish w:val="0"/>
        </w:rPr>
      </w:pPr>
      <w:bookmarkStart w:id="109" w:name="BookMark5"/>
    </w:p>
    <w:p w14:paraId="11C74F66">
      <w:pPr>
        <w:pStyle w:val="48"/>
        <w:rPr>
          <w:rFonts w:ascii="Times New Roman"/>
          <w:vanish w:val="0"/>
        </w:rPr>
      </w:pPr>
    </w:p>
    <w:p w14:paraId="263DBBBF">
      <w:pPr>
        <w:pStyle w:val="49"/>
        <w:spacing w:before="60" w:after="120"/>
        <w:ind w:left="0"/>
        <w:rPr>
          <w:rFonts w:ascii="Times New Roman"/>
        </w:rPr>
      </w:pPr>
      <w:r>
        <w:rPr>
          <w:rFonts w:ascii="Times New Roman"/>
        </w:rPr>
        <w:br w:type="textWrapping"/>
      </w:r>
      <w:bookmarkStart w:id="110" w:name="_Toc232496924"/>
      <w:r>
        <w:rPr>
          <w:rFonts w:ascii="Times New Roman"/>
        </w:rPr>
        <w:t>（</w:t>
      </w:r>
      <w:r>
        <w:rPr>
          <w:rFonts w:hint="eastAsia" w:ascii="Times New Roman"/>
        </w:rPr>
        <w:t>规范</w:t>
      </w:r>
      <w:r>
        <w:rPr>
          <w:rFonts w:ascii="Times New Roman"/>
        </w:rPr>
        <w:t>性）</w:t>
      </w:r>
      <w:r>
        <w:rPr>
          <w:rFonts w:ascii="Times New Roman"/>
        </w:rPr>
        <w:br w:type="textWrapping"/>
      </w:r>
      <w:r>
        <w:rPr>
          <w:rFonts w:ascii="Times New Roman"/>
        </w:rPr>
        <w:t>黄河流域湖库陆域生态系统健康评估简化方法</w:t>
      </w:r>
      <w:bookmarkEnd w:id="110"/>
    </w:p>
    <w:p w14:paraId="29585100">
      <w:pPr>
        <w:pStyle w:val="50"/>
        <w:spacing w:before="120" w:after="120"/>
        <w:rPr>
          <w:rFonts w:ascii="Times New Roman"/>
        </w:rPr>
      </w:pPr>
      <w:bookmarkStart w:id="111" w:name="_Toc232413593"/>
      <w:bookmarkStart w:id="112" w:name="_Toc218519995"/>
      <w:bookmarkStart w:id="113" w:name="_Toc232496925"/>
      <w:bookmarkStart w:id="114" w:name="_Toc232425104"/>
      <w:r>
        <w:rPr>
          <w:rFonts w:ascii="Times New Roman"/>
        </w:rPr>
        <w:t>目的与适用范围</w:t>
      </w:r>
      <w:bookmarkEnd w:id="111"/>
      <w:bookmarkEnd w:id="112"/>
      <w:bookmarkEnd w:id="113"/>
      <w:bookmarkEnd w:id="114"/>
    </w:p>
    <w:p w14:paraId="1CE5B64E">
      <w:pPr>
        <w:pStyle w:val="27"/>
        <w:ind w:firstLine="420"/>
        <w:rPr>
          <w:rFonts w:ascii="Times New Roman"/>
        </w:rPr>
      </w:pPr>
      <w:r>
        <w:rPr>
          <w:rFonts w:ascii="Times New Roman"/>
        </w:rPr>
        <w:t>本附录规定了适用于黄河流域湖库陆域生态系统健康评估的简化指标体系与计算方法，用于快速诊断湖库集水区受人为扰动的程度，为湖库分类（见本标准第</w:t>
      </w:r>
      <w:r>
        <w:rPr>
          <w:rFonts w:hint="eastAsia" w:ascii="Times New Roman"/>
        </w:rPr>
        <w:t>7.1</w:t>
      </w:r>
      <w:r>
        <w:rPr>
          <w:rFonts w:ascii="Times New Roman"/>
        </w:rPr>
        <w:t>条）及阈值制定方法选择提供依据。</w:t>
      </w:r>
    </w:p>
    <w:p w14:paraId="3C2832D5">
      <w:pPr>
        <w:pStyle w:val="27"/>
        <w:ind w:firstLine="420"/>
        <w:rPr>
          <w:rFonts w:ascii="Times New Roman"/>
        </w:rPr>
      </w:pPr>
      <w:r>
        <w:rPr>
          <w:rFonts w:ascii="Times New Roman"/>
        </w:rPr>
        <w:t>本方法适用于黄河流域内湖泊、水库的集水区范围，尤其适用于数据可获性有限的区域性快速评估。</w:t>
      </w:r>
    </w:p>
    <w:p w14:paraId="6D32FA4E">
      <w:pPr>
        <w:pStyle w:val="50"/>
        <w:spacing w:before="120" w:after="120"/>
        <w:rPr>
          <w:rFonts w:ascii="Times New Roman"/>
        </w:rPr>
      </w:pPr>
      <w:bookmarkStart w:id="115" w:name="_Toc232425105"/>
      <w:bookmarkStart w:id="116" w:name="_Toc232496926"/>
      <w:bookmarkStart w:id="117" w:name="_Toc218519996"/>
      <w:bookmarkStart w:id="118" w:name="_Toc232413594"/>
      <w:r>
        <w:rPr>
          <w:rFonts w:ascii="Times New Roman"/>
        </w:rPr>
        <w:t>评估指标体系与权重</w:t>
      </w:r>
      <w:bookmarkEnd w:id="115"/>
      <w:bookmarkEnd w:id="116"/>
      <w:bookmarkEnd w:id="117"/>
      <w:bookmarkEnd w:id="118"/>
    </w:p>
    <w:p w14:paraId="7C0E228E">
      <w:pPr>
        <w:pStyle w:val="27"/>
        <w:ind w:firstLine="420"/>
        <w:rPr>
          <w:rFonts w:ascii="Times New Roman"/>
        </w:rPr>
      </w:pPr>
      <w:r>
        <w:rPr>
          <w:rFonts w:ascii="Times New Roman"/>
        </w:rPr>
        <w:t>评估指标应能反映陆域生态系统的格局、功能与压力。简化方法选取6项核心指标，其权重采用专家咨询与层次分析法确定，见表A.1。</w:t>
      </w:r>
    </w:p>
    <w:p w14:paraId="277C5D81">
      <w:pPr>
        <w:pStyle w:val="27"/>
        <w:overflowPunct w:val="0"/>
        <w:spacing w:before="120" w:after="120"/>
        <w:ind w:firstLine="0" w:firstLineChars="0"/>
        <w:jc w:val="center"/>
        <w:rPr>
          <w:rFonts w:ascii="Times New Roman" w:eastAsia="黑体"/>
        </w:rPr>
      </w:pPr>
      <w:r>
        <w:rPr>
          <w:rFonts w:ascii="Times New Roman" w:eastAsia="黑体"/>
        </w:rPr>
        <w:t>表A.1 陆域生态系统健康评估简化指标及权重</w:t>
      </w:r>
    </w:p>
    <w:tbl>
      <w:tblPr>
        <w:tblStyle w:val="12"/>
        <w:tblW w:w="0" w:type="auto"/>
        <w:jc w:val="center"/>
        <w:tblLayout w:type="autofit"/>
        <w:tblCellMar>
          <w:top w:w="0" w:type="dxa"/>
          <w:left w:w="108" w:type="dxa"/>
          <w:bottom w:w="0" w:type="dxa"/>
          <w:right w:w="108" w:type="dxa"/>
        </w:tblCellMar>
      </w:tblPr>
      <w:tblGrid>
        <w:gridCol w:w="1046"/>
        <w:gridCol w:w="1875"/>
        <w:gridCol w:w="631"/>
        <w:gridCol w:w="631"/>
        <w:gridCol w:w="5387"/>
      </w:tblGrid>
      <w:tr w14:paraId="27FDDA53">
        <w:tblPrEx>
          <w:tblCellMar>
            <w:top w:w="0" w:type="dxa"/>
            <w:left w:w="108" w:type="dxa"/>
            <w:bottom w:w="0" w:type="dxa"/>
            <w:right w:w="108" w:type="dxa"/>
          </w:tblCellMar>
        </w:tblPrEx>
        <w:trPr>
          <w:trHeight w:val="278" w:hRule="atLeast"/>
          <w:jc w:val="center"/>
        </w:trPr>
        <w:tc>
          <w:tcPr>
            <w:tcW w:w="0" w:type="auto"/>
            <w:tcBorders>
              <w:top w:val="single" w:color="auto" w:sz="12" w:space="0"/>
              <w:bottom w:val="single" w:color="auto" w:sz="12" w:space="0"/>
            </w:tcBorders>
            <w:noWrap/>
          </w:tcPr>
          <w:p w14:paraId="660E746E">
            <w:pPr>
              <w:pStyle w:val="27"/>
              <w:ind w:firstLine="0" w:firstLineChars="0"/>
              <w:rPr>
                <w:rFonts w:ascii="Times New Roman"/>
              </w:rPr>
            </w:pPr>
            <w:r>
              <w:rPr>
                <w:rFonts w:ascii="Times New Roman"/>
              </w:rPr>
              <w:t>指标类型</w:t>
            </w:r>
          </w:p>
        </w:tc>
        <w:tc>
          <w:tcPr>
            <w:tcW w:w="0" w:type="auto"/>
            <w:tcBorders>
              <w:top w:val="single" w:color="auto" w:sz="12" w:space="0"/>
              <w:bottom w:val="single" w:color="auto" w:sz="12" w:space="0"/>
            </w:tcBorders>
            <w:noWrap/>
          </w:tcPr>
          <w:p w14:paraId="53959BF7">
            <w:pPr>
              <w:pStyle w:val="27"/>
              <w:ind w:firstLine="0" w:firstLineChars="0"/>
              <w:rPr>
                <w:rFonts w:ascii="Times New Roman"/>
              </w:rPr>
            </w:pPr>
            <w:r>
              <w:rPr>
                <w:rFonts w:ascii="Times New Roman"/>
              </w:rPr>
              <w:t>评估指标</w:t>
            </w:r>
          </w:p>
        </w:tc>
        <w:tc>
          <w:tcPr>
            <w:tcW w:w="0" w:type="auto"/>
            <w:tcBorders>
              <w:top w:val="single" w:color="auto" w:sz="12" w:space="0"/>
              <w:bottom w:val="single" w:color="auto" w:sz="12" w:space="0"/>
            </w:tcBorders>
            <w:noWrap/>
          </w:tcPr>
          <w:p w14:paraId="2D8D442C">
            <w:pPr>
              <w:pStyle w:val="27"/>
              <w:ind w:firstLine="0" w:firstLineChars="0"/>
              <w:rPr>
                <w:rFonts w:ascii="Times New Roman"/>
              </w:rPr>
            </w:pPr>
            <w:r>
              <w:rPr>
                <w:rFonts w:ascii="Times New Roman"/>
              </w:rPr>
              <w:t>单位</w:t>
            </w:r>
          </w:p>
        </w:tc>
        <w:tc>
          <w:tcPr>
            <w:tcW w:w="0" w:type="auto"/>
            <w:tcBorders>
              <w:top w:val="single" w:color="auto" w:sz="12" w:space="0"/>
              <w:bottom w:val="single" w:color="auto" w:sz="12" w:space="0"/>
            </w:tcBorders>
            <w:noWrap/>
          </w:tcPr>
          <w:p w14:paraId="1F7D25FA">
            <w:pPr>
              <w:pStyle w:val="27"/>
              <w:ind w:firstLine="0" w:firstLineChars="0"/>
              <w:rPr>
                <w:rFonts w:ascii="Times New Roman"/>
              </w:rPr>
            </w:pPr>
            <w:r>
              <w:rPr>
                <w:rFonts w:ascii="Times New Roman"/>
              </w:rPr>
              <w:t>权重</w:t>
            </w:r>
          </w:p>
        </w:tc>
        <w:tc>
          <w:tcPr>
            <w:tcW w:w="0" w:type="auto"/>
            <w:tcBorders>
              <w:top w:val="single" w:color="auto" w:sz="12" w:space="0"/>
              <w:bottom w:val="single" w:color="auto" w:sz="12" w:space="0"/>
            </w:tcBorders>
            <w:noWrap/>
          </w:tcPr>
          <w:p w14:paraId="1F26A111">
            <w:pPr>
              <w:pStyle w:val="27"/>
              <w:ind w:firstLine="0" w:firstLineChars="0"/>
              <w:rPr>
                <w:rFonts w:ascii="Times New Roman"/>
              </w:rPr>
            </w:pPr>
            <w:r>
              <w:rPr>
                <w:rFonts w:ascii="Times New Roman"/>
              </w:rPr>
              <w:t>指标解释与计算方法</w:t>
            </w:r>
          </w:p>
        </w:tc>
      </w:tr>
      <w:tr w14:paraId="37BE61B8">
        <w:tblPrEx>
          <w:tblCellMar>
            <w:top w:w="0" w:type="dxa"/>
            <w:left w:w="108" w:type="dxa"/>
            <w:bottom w:w="0" w:type="dxa"/>
            <w:right w:w="108" w:type="dxa"/>
          </w:tblCellMar>
        </w:tblPrEx>
        <w:trPr>
          <w:trHeight w:val="278" w:hRule="atLeast"/>
          <w:jc w:val="center"/>
        </w:trPr>
        <w:tc>
          <w:tcPr>
            <w:tcW w:w="0" w:type="auto"/>
            <w:tcBorders>
              <w:top w:val="single" w:color="auto" w:sz="12" w:space="0"/>
              <w:bottom w:val="single" w:color="auto" w:sz="6" w:space="0"/>
            </w:tcBorders>
            <w:noWrap/>
          </w:tcPr>
          <w:p w14:paraId="50AD7120">
            <w:pPr>
              <w:pStyle w:val="27"/>
              <w:ind w:firstLine="0" w:firstLineChars="0"/>
              <w:rPr>
                <w:rFonts w:ascii="Times New Roman"/>
              </w:rPr>
            </w:pPr>
            <w:r>
              <w:rPr>
                <w:rFonts w:ascii="Times New Roman"/>
              </w:rPr>
              <w:t>生态格局</w:t>
            </w:r>
          </w:p>
        </w:tc>
        <w:tc>
          <w:tcPr>
            <w:tcW w:w="0" w:type="auto"/>
            <w:tcBorders>
              <w:top w:val="single" w:color="auto" w:sz="12" w:space="0"/>
              <w:bottom w:val="single" w:color="auto" w:sz="6" w:space="0"/>
            </w:tcBorders>
            <w:noWrap/>
          </w:tcPr>
          <w:p w14:paraId="28D9C3B3">
            <w:pPr>
              <w:pStyle w:val="27"/>
              <w:ind w:firstLine="0" w:firstLineChars="0"/>
              <w:rPr>
                <w:rFonts w:ascii="Times New Roman"/>
              </w:rPr>
            </w:pPr>
            <w:r>
              <w:rPr>
                <w:rFonts w:ascii="Times New Roman"/>
              </w:rPr>
              <w:t>森林覆盖率</w:t>
            </w:r>
          </w:p>
        </w:tc>
        <w:tc>
          <w:tcPr>
            <w:tcW w:w="0" w:type="auto"/>
            <w:tcBorders>
              <w:top w:val="single" w:color="auto" w:sz="12" w:space="0"/>
              <w:bottom w:val="single" w:color="auto" w:sz="6" w:space="0"/>
            </w:tcBorders>
            <w:noWrap/>
          </w:tcPr>
          <w:p w14:paraId="45357328">
            <w:pPr>
              <w:pStyle w:val="27"/>
              <w:ind w:firstLine="0" w:firstLineChars="0"/>
              <w:rPr>
                <w:rFonts w:ascii="Times New Roman"/>
              </w:rPr>
            </w:pPr>
            <w:r>
              <w:rPr>
                <w:rFonts w:ascii="Times New Roman"/>
              </w:rPr>
              <w:t>%</w:t>
            </w:r>
          </w:p>
        </w:tc>
        <w:tc>
          <w:tcPr>
            <w:tcW w:w="0" w:type="auto"/>
            <w:tcBorders>
              <w:top w:val="single" w:color="auto" w:sz="12" w:space="0"/>
              <w:bottom w:val="single" w:color="auto" w:sz="6" w:space="0"/>
            </w:tcBorders>
            <w:noWrap/>
          </w:tcPr>
          <w:p w14:paraId="2E8FAA29">
            <w:pPr>
              <w:pStyle w:val="27"/>
              <w:ind w:firstLine="0" w:firstLineChars="0"/>
              <w:rPr>
                <w:rFonts w:ascii="Times New Roman"/>
              </w:rPr>
            </w:pPr>
            <w:r>
              <w:rPr>
                <w:rFonts w:ascii="Times New Roman"/>
              </w:rPr>
              <w:t>0.25</w:t>
            </w:r>
          </w:p>
        </w:tc>
        <w:tc>
          <w:tcPr>
            <w:tcW w:w="0" w:type="auto"/>
            <w:tcBorders>
              <w:top w:val="single" w:color="auto" w:sz="12" w:space="0"/>
              <w:bottom w:val="single" w:color="auto" w:sz="6" w:space="0"/>
            </w:tcBorders>
            <w:noWrap/>
          </w:tcPr>
          <w:p w14:paraId="587FBE8F">
            <w:pPr>
              <w:pStyle w:val="27"/>
              <w:ind w:firstLine="0" w:firstLineChars="0"/>
              <w:rPr>
                <w:rFonts w:ascii="Times New Roman"/>
              </w:rPr>
            </w:pPr>
            <w:r>
              <w:rPr>
                <w:rFonts w:ascii="Times New Roman"/>
              </w:rPr>
              <w:t>林地面积 / 陆域总面积 × 100%</w:t>
            </w:r>
          </w:p>
        </w:tc>
      </w:tr>
      <w:tr w14:paraId="021E6A10">
        <w:tblPrEx>
          <w:tblCellMar>
            <w:top w:w="0" w:type="dxa"/>
            <w:left w:w="108" w:type="dxa"/>
            <w:bottom w:w="0" w:type="dxa"/>
            <w:right w:w="108" w:type="dxa"/>
          </w:tblCellMar>
        </w:tblPrEx>
        <w:trPr>
          <w:trHeight w:val="278" w:hRule="atLeast"/>
          <w:jc w:val="center"/>
        </w:trPr>
        <w:tc>
          <w:tcPr>
            <w:tcW w:w="0" w:type="auto"/>
            <w:vMerge w:val="restart"/>
            <w:tcBorders>
              <w:top w:val="single" w:color="auto" w:sz="6" w:space="0"/>
            </w:tcBorders>
            <w:noWrap/>
          </w:tcPr>
          <w:p w14:paraId="1DB7ADA8">
            <w:pPr>
              <w:pStyle w:val="27"/>
              <w:ind w:firstLine="0" w:firstLineChars="0"/>
              <w:rPr>
                <w:rFonts w:ascii="Times New Roman"/>
              </w:rPr>
            </w:pPr>
            <w:r>
              <w:rPr>
                <w:rFonts w:ascii="Times New Roman"/>
              </w:rPr>
              <w:t>生态功能</w:t>
            </w:r>
          </w:p>
        </w:tc>
        <w:tc>
          <w:tcPr>
            <w:tcW w:w="0" w:type="auto"/>
            <w:tcBorders>
              <w:top w:val="single" w:color="auto" w:sz="6" w:space="0"/>
              <w:bottom w:val="single" w:color="auto" w:sz="6" w:space="0"/>
            </w:tcBorders>
            <w:noWrap/>
          </w:tcPr>
          <w:p w14:paraId="2A8DC965">
            <w:pPr>
              <w:pStyle w:val="27"/>
              <w:ind w:firstLine="0" w:firstLineChars="0"/>
              <w:rPr>
                <w:rFonts w:ascii="Times New Roman"/>
              </w:rPr>
            </w:pPr>
            <w:r>
              <w:rPr>
                <w:rFonts w:ascii="Times New Roman"/>
              </w:rPr>
              <w:t>植被覆盖度</w:t>
            </w:r>
          </w:p>
        </w:tc>
        <w:tc>
          <w:tcPr>
            <w:tcW w:w="0" w:type="auto"/>
            <w:tcBorders>
              <w:top w:val="single" w:color="auto" w:sz="6" w:space="0"/>
              <w:bottom w:val="single" w:color="auto" w:sz="6" w:space="0"/>
            </w:tcBorders>
            <w:noWrap/>
          </w:tcPr>
          <w:p w14:paraId="1C73E67C">
            <w:pPr>
              <w:pStyle w:val="27"/>
              <w:ind w:firstLine="0" w:firstLineChars="0"/>
              <w:rPr>
                <w:rFonts w:ascii="Times New Roman"/>
              </w:rPr>
            </w:pPr>
            <w:r>
              <w:rPr>
                <w:rFonts w:ascii="Times New Roman"/>
              </w:rPr>
              <w:t>%</w:t>
            </w:r>
          </w:p>
        </w:tc>
        <w:tc>
          <w:tcPr>
            <w:tcW w:w="0" w:type="auto"/>
            <w:tcBorders>
              <w:top w:val="single" w:color="auto" w:sz="6" w:space="0"/>
              <w:bottom w:val="single" w:color="auto" w:sz="6" w:space="0"/>
            </w:tcBorders>
            <w:noWrap/>
          </w:tcPr>
          <w:p w14:paraId="255DDEC4">
            <w:pPr>
              <w:pStyle w:val="27"/>
              <w:ind w:firstLine="0" w:firstLineChars="0"/>
              <w:rPr>
                <w:rFonts w:ascii="Times New Roman"/>
              </w:rPr>
            </w:pPr>
            <w:r>
              <w:rPr>
                <w:rFonts w:ascii="Times New Roman"/>
              </w:rPr>
              <w:t>0.15</w:t>
            </w:r>
          </w:p>
        </w:tc>
        <w:tc>
          <w:tcPr>
            <w:tcW w:w="0" w:type="auto"/>
            <w:tcBorders>
              <w:top w:val="single" w:color="auto" w:sz="6" w:space="0"/>
              <w:bottom w:val="single" w:color="auto" w:sz="6" w:space="0"/>
            </w:tcBorders>
            <w:noWrap/>
          </w:tcPr>
          <w:p w14:paraId="1D37D621">
            <w:pPr>
              <w:pStyle w:val="27"/>
              <w:ind w:firstLine="0" w:firstLineChars="0"/>
              <w:rPr>
                <w:rFonts w:ascii="Times New Roman"/>
              </w:rPr>
            </w:pPr>
            <w:r>
              <w:rPr>
                <w:rFonts w:ascii="Times New Roman"/>
              </w:rPr>
              <w:t>(林地面积 + 草地面积) / 陆域总面积 × 100%</w:t>
            </w:r>
          </w:p>
        </w:tc>
      </w:tr>
      <w:tr w14:paraId="5614AAB5">
        <w:tblPrEx>
          <w:tblCellMar>
            <w:top w:w="0" w:type="dxa"/>
            <w:left w:w="108" w:type="dxa"/>
            <w:bottom w:w="0" w:type="dxa"/>
            <w:right w:w="108" w:type="dxa"/>
          </w:tblCellMar>
        </w:tblPrEx>
        <w:trPr>
          <w:trHeight w:val="278" w:hRule="atLeast"/>
          <w:jc w:val="center"/>
        </w:trPr>
        <w:tc>
          <w:tcPr>
            <w:tcW w:w="0" w:type="auto"/>
            <w:vMerge w:val="continue"/>
            <w:tcBorders>
              <w:bottom w:val="single" w:color="auto" w:sz="6" w:space="0"/>
            </w:tcBorders>
          </w:tcPr>
          <w:p w14:paraId="63D79285">
            <w:pPr>
              <w:pStyle w:val="27"/>
              <w:ind w:firstLine="0" w:firstLineChars="0"/>
              <w:rPr>
                <w:rFonts w:ascii="Times New Roman"/>
              </w:rPr>
            </w:pPr>
          </w:p>
        </w:tc>
        <w:tc>
          <w:tcPr>
            <w:tcW w:w="0" w:type="auto"/>
            <w:tcBorders>
              <w:top w:val="single" w:color="auto" w:sz="6" w:space="0"/>
              <w:bottom w:val="single" w:color="auto" w:sz="6" w:space="0"/>
            </w:tcBorders>
            <w:noWrap/>
          </w:tcPr>
          <w:p w14:paraId="601CE6B0">
            <w:pPr>
              <w:pStyle w:val="27"/>
              <w:ind w:firstLine="0" w:firstLineChars="0"/>
              <w:rPr>
                <w:rFonts w:ascii="Times New Roman"/>
              </w:rPr>
            </w:pPr>
            <w:r>
              <w:rPr>
                <w:rFonts w:ascii="Times New Roman"/>
              </w:rPr>
              <w:t>植被类型</w:t>
            </w:r>
          </w:p>
        </w:tc>
        <w:tc>
          <w:tcPr>
            <w:tcW w:w="0" w:type="auto"/>
            <w:tcBorders>
              <w:top w:val="single" w:color="auto" w:sz="6" w:space="0"/>
              <w:bottom w:val="single" w:color="auto" w:sz="6" w:space="0"/>
            </w:tcBorders>
            <w:noWrap/>
          </w:tcPr>
          <w:p w14:paraId="4FCACDC5">
            <w:pPr>
              <w:pStyle w:val="27"/>
              <w:ind w:firstLine="0" w:firstLineChars="0"/>
              <w:rPr>
                <w:rFonts w:ascii="Times New Roman"/>
              </w:rPr>
            </w:pPr>
            <w:r>
              <w:rPr>
                <w:rFonts w:ascii="Times New Roman"/>
              </w:rPr>
              <w:t>-</w:t>
            </w:r>
          </w:p>
        </w:tc>
        <w:tc>
          <w:tcPr>
            <w:tcW w:w="0" w:type="auto"/>
            <w:tcBorders>
              <w:top w:val="single" w:color="auto" w:sz="6" w:space="0"/>
              <w:bottom w:val="single" w:color="auto" w:sz="6" w:space="0"/>
            </w:tcBorders>
            <w:noWrap/>
          </w:tcPr>
          <w:p w14:paraId="3244E49F">
            <w:pPr>
              <w:pStyle w:val="27"/>
              <w:ind w:firstLine="0" w:firstLineChars="0"/>
              <w:rPr>
                <w:rFonts w:ascii="Times New Roman"/>
              </w:rPr>
            </w:pPr>
            <w:r>
              <w:rPr>
                <w:rFonts w:ascii="Times New Roman"/>
              </w:rPr>
              <w:t>0.1</w:t>
            </w:r>
          </w:p>
        </w:tc>
        <w:tc>
          <w:tcPr>
            <w:tcW w:w="0" w:type="auto"/>
            <w:tcBorders>
              <w:top w:val="single" w:color="auto" w:sz="6" w:space="0"/>
              <w:bottom w:val="single" w:color="auto" w:sz="6" w:space="0"/>
            </w:tcBorders>
            <w:noWrap/>
          </w:tcPr>
          <w:p w14:paraId="18036A60">
            <w:pPr>
              <w:pStyle w:val="27"/>
              <w:ind w:firstLine="0" w:firstLineChars="0"/>
              <w:rPr>
                <w:rFonts w:ascii="Times New Roman"/>
              </w:rPr>
            </w:pPr>
            <w:r>
              <w:rPr>
                <w:rFonts w:ascii="Times New Roman"/>
              </w:rPr>
              <w:t>依据植被类型赋值加权平均（赋值见表A.2）</w:t>
            </w:r>
          </w:p>
        </w:tc>
      </w:tr>
      <w:tr w14:paraId="7FD58F47">
        <w:tblPrEx>
          <w:tblCellMar>
            <w:top w:w="0" w:type="dxa"/>
            <w:left w:w="108" w:type="dxa"/>
            <w:bottom w:w="0" w:type="dxa"/>
            <w:right w:w="108" w:type="dxa"/>
          </w:tblCellMar>
        </w:tblPrEx>
        <w:trPr>
          <w:trHeight w:val="278" w:hRule="atLeast"/>
          <w:jc w:val="center"/>
        </w:trPr>
        <w:tc>
          <w:tcPr>
            <w:tcW w:w="0" w:type="auto"/>
            <w:vMerge w:val="restart"/>
            <w:tcBorders>
              <w:top w:val="single" w:color="auto" w:sz="6" w:space="0"/>
            </w:tcBorders>
            <w:noWrap/>
          </w:tcPr>
          <w:p w14:paraId="71E5C6AE">
            <w:pPr>
              <w:pStyle w:val="27"/>
              <w:ind w:firstLine="0" w:firstLineChars="0"/>
              <w:rPr>
                <w:rFonts w:ascii="Times New Roman"/>
              </w:rPr>
            </w:pPr>
            <w:r>
              <w:rPr>
                <w:rFonts w:ascii="Times New Roman"/>
              </w:rPr>
              <w:t>生态压力</w:t>
            </w:r>
          </w:p>
        </w:tc>
        <w:tc>
          <w:tcPr>
            <w:tcW w:w="0" w:type="auto"/>
            <w:tcBorders>
              <w:top w:val="single" w:color="auto" w:sz="6" w:space="0"/>
              <w:bottom w:val="single" w:color="auto" w:sz="6" w:space="0"/>
            </w:tcBorders>
            <w:noWrap/>
          </w:tcPr>
          <w:p w14:paraId="1703F4C1">
            <w:pPr>
              <w:pStyle w:val="27"/>
              <w:ind w:firstLine="0" w:firstLineChars="0"/>
              <w:rPr>
                <w:rFonts w:ascii="Times New Roman"/>
              </w:rPr>
            </w:pPr>
            <w:r>
              <w:rPr>
                <w:rFonts w:ascii="Times New Roman"/>
              </w:rPr>
              <w:t>农田比例</w:t>
            </w:r>
          </w:p>
        </w:tc>
        <w:tc>
          <w:tcPr>
            <w:tcW w:w="0" w:type="auto"/>
            <w:tcBorders>
              <w:top w:val="single" w:color="auto" w:sz="6" w:space="0"/>
              <w:bottom w:val="single" w:color="auto" w:sz="6" w:space="0"/>
            </w:tcBorders>
            <w:noWrap/>
          </w:tcPr>
          <w:p w14:paraId="0DD14730">
            <w:pPr>
              <w:pStyle w:val="27"/>
              <w:ind w:firstLine="0" w:firstLineChars="0"/>
              <w:rPr>
                <w:rFonts w:ascii="Times New Roman"/>
              </w:rPr>
            </w:pPr>
            <w:r>
              <w:rPr>
                <w:rFonts w:ascii="Times New Roman"/>
              </w:rPr>
              <w:t>%</w:t>
            </w:r>
          </w:p>
        </w:tc>
        <w:tc>
          <w:tcPr>
            <w:tcW w:w="0" w:type="auto"/>
            <w:tcBorders>
              <w:top w:val="single" w:color="auto" w:sz="6" w:space="0"/>
              <w:bottom w:val="single" w:color="auto" w:sz="6" w:space="0"/>
            </w:tcBorders>
            <w:noWrap/>
          </w:tcPr>
          <w:p w14:paraId="30A4C352">
            <w:pPr>
              <w:pStyle w:val="27"/>
              <w:ind w:firstLine="0" w:firstLineChars="0"/>
              <w:rPr>
                <w:rFonts w:ascii="Times New Roman"/>
              </w:rPr>
            </w:pPr>
            <w:r>
              <w:rPr>
                <w:rFonts w:ascii="Times New Roman"/>
              </w:rPr>
              <w:t>0.2</w:t>
            </w:r>
          </w:p>
        </w:tc>
        <w:tc>
          <w:tcPr>
            <w:tcW w:w="0" w:type="auto"/>
            <w:tcBorders>
              <w:top w:val="single" w:color="auto" w:sz="6" w:space="0"/>
              <w:bottom w:val="single" w:color="auto" w:sz="6" w:space="0"/>
            </w:tcBorders>
            <w:noWrap/>
          </w:tcPr>
          <w:p w14:paraId="3BE5F42F">
            <w:pPr>
              <w:pStyle w:val="27"/>
              <w:ind w:firstLine="0" w:firstLineChars="0"/>
              <w:rPr>
                <w:rFonts w:ascii="Times New Roman"/>
              </w:rPr>
            </w:pPr>
            <w:r>
              <w:rPr>
                <w:rFonts w:ascii="Times New Roman"/>
              </w:rPr>
              <w:t>耕地面积 / 陆域总面积 × 100%</w:t>
            </w:r>
          </w:p>
        </w:tc>
      </w:tr>
      <w:tr w14:paraId="25022B99">
        <w:tblPrEx>
          <w:tblCellMar>
            <w:top w:w="0" w:type="dxa"/>
            <w:left w:w="108" w:type="dxa"/>
            <w:bottom w:w="0" w:type="dxa"/>
            <w:right w:w="108" w:type="dxa"/>
          </w:tblCellMar>
        </w:tblPrEx>
        <w:trPr>
          <w:trHeight w:val="278" w:hRule="atLeast"/>
          <w:jc w:val="center"/>
        </w:trPr>
        <w:tc>
          <w:tcPr>
            <w:tcW w:w="0" w:type="auto"/>
            <w:vMerge w:val="continue"/>
          </w:tcPr>
          <w:p w14:paraId="3EE69FB0">
            <w:pPr>
              <w:pStyle w:val="27"/>
              <w:ind w:firstLine="0" w:firstLineChars="0"/>
              <w:rPr>
                <w:rFonts w:ascii="Times New Roman"/>
              </w:rPr>
            </w:pPr>
          </w:p>
        </w:tc>
        <w:tc>
          <w:tcPr>
            <w:tcW w:w="0" w:type="auto"/>
            <w:tcBorders>
              <w:top w:val="single" w:color="auto" w:sz="6" w:space="0"/>
              <w:bottom w:val="single" w:color="auto" w:sz="6" w:space="0"/>
            </w:tcBorders>
            <w:noWrap/>
          </w:tcPr>
          <w:p w14:paraId="3088F762">
            <w:pPr>
              <w:pStyle w:val="27"/>
              <w:ind w:firstLine="0" w:firstLineChars="0"/>
              <w:rPr>
                <w:rFonts w:ascii="Times New Roman"/>
              </w:rPr>
            </w:pPr>
            <w:r>
              <w:rPr>
                <w:rFonts w:ascii="Times New Roman"/>
              </w:rPr>
              <w:t>建设用地比例</w:t>
            </w:r>
          </w:p>
        </w:tc>
        <w:tc>
          <w:tcPr>
            <w:tcW w:w="0" w:type="auto"/>
            <w:tcBorders>
              <w:top w:val="single" w:color="auto" w:sz="6" w:space="0"/>
              <w:bottom w:val="single" w:color="auto" w:sz="6" w:space="0"/>
            </w:tcBorders>
            <w:noWrap/>
          </w:tcPr>
          <w:p w14:paraId="11873948">
            <w:pPr>
              <w:pStyle w:val="27"/>
              <w:ind w:firstLine="0" w:firstLineChars="0"/>
              <w:rPr>
                <w:rFonts w:ascii="Times New Roman"/>
              </w:rPr>
            </w:pPr>
            <w:r>
              <w:rPr>
                <w:rFonts w:ascii="Times New Roman"/>
              </w:rPr>
              <w:t>%</w:t>
            </w:r>
          </w:p>
        </w:tc>
        <w:tc>
          <w:tcPr>
            <w:tcW w:w="0" w:type="auto"/>
            <w:tcBorders>
              <w:top w:val="single" w:color="auto" w:sz="6" w:space="0"/>
              <w:bottom w:val="single" w:color="auto" w:sz="6" w:space="0"/>
            </w:tcBorders>
            <w:noWrap/>
          </w:tcPr>
          <w:p w14:paraId="0BAD27FF">
            <w:pPr>
              <w:pStyle w:val="27"/>
              <w:ind w:firstLine="0" w:firstLineChars="0"/>
              <w:rPr>
                <w:rFonts w:ascii="Times New Roman"/>
              </w:rPr>
            </w:pPr>
            <w:r>
              <w:rPr>
                <w:rFonts w:ascii="Times New Roman"/>
              </w:rPr>
              <w:t>0.2</w:t>
            </w:r>
          </w:p>
        </w:tc>
        <w:tc>
          <w:tcPr>
            <w:tcW w:w="0" w:type="auto"/>
            <w:tcBorders>
              <w:top w:val="single" w:color="auto" w:sz="6" w:space="0"/>
              <w:bottom w:val="single" w:color="auto" w:sz="6" w:space="0"/>
            </w:tcBorders>
            <w:noWrap/>
          </w:tcPr>
          <w:p w14:paraId="0CE414E4">
            <w:pPr>
              <w:pStyle w:val="27"/>
              <w:ind w:firstLine="0" w:firstLineChars="0"/>
              <w:rPr>
                <w:rFonts w:ascii="Times New Roman"/>
              </w:rPr>
            </w:pPr>
            <w:r>
              <w:rPr>
                <w:rFonts w:ascii="Times New Roman"/>
              </w:rPr>
              <w:t>城镇、工矿、交通等建设用地面积 / 陆域总面积 × 100%</w:t>
            </w:r>
          </w:p>
        </w:tc>
      </w:tr>
      <w:tr w14:paraId="1FA2BC30">
        <w:tblPrEx>
          <w:tblCellMar>
            <w:top w:w="0" w:type="dxa"/>
            <w:left w:w="108" w:type="dxa"/>
            <w:bottom w:w="0" w:type="dxa"/>
            <w:right w:w="108" w:type="dxa"/>
          </w:tblCellMar>
        </w:tblPrEx>
        <w:trPr>
          <w:trHeight w:val="278" w:hRule="atLeast"/>
          <w:jc w:val="center"/>
        </w:trPr>
        <w:tc>
          <w:tcPr>
            <w:tcW w:w="0" w:type="auto"/>
            <w:vMerge w:val="continue"/>
            <w:tcBorders>
              <w:bottom w:val="single" w:color="auto" w:sz="12" w:space="0"/>
            </w:tcBorders>
          </w:tcPr>
          <w:p w14:paraId="5F4F4BF8">
            <w:pPr>
              <w:pStyle w:val="27"/>
              <w:ind w:firstLine="0" w:firstLineChars="0"/>
              <w:rPr>
                <w:rFonts w:ascii="Times New Roman"/>
              </w:rPr>
            </w:pPr>
          </w:p>
        </w:tc>
        <w:tc>
          <w:tcPr>
            <w:tcW w:w="0" w:type="auto"/>
            <w:tcBorders>
              <w:top w:val="single" w:color="auto" w:sz="6" w:space="0"/>
              <w:bottom w:val="single" w:color="auto" w:sz="12" w:space="0"/>
            </w:tcBorders>
            <w:noWrap/>
          </w:tcPr>
          <w:p w14:paraId="00225C90">
            <w:pPr>
              <w:pStyle w:val="27"/>
              <w:ind w:firstLine="0" w:firstLineChars="0"/>
              <w:rPr>
                <w:rFonts w:ascii="Times New Roman"/>
              </w:rPr>
            </w:pPr>
            <w:r>
              <w:rPr>
                <w:rFonts w:ascii="Times New Roman"/>
              </w:rPr>
              <w:t>土壤侵蚀强度指数</w:t>
            </w:r>
          </w:p>
        </w:tc>
        <w:tc>
          <w:tcPr>
            <w:tcW w:w="0" w:type="auto"/>
            <w:tcBorders>
              <w:top w:val="single" w:color="auto" w:sz="6" w:space="0"/>
              <w:bottom w:val="single" w:color="auto" w:sz="12" w:space="0"/>
            </w:tcBorders>
            <w:noWrap/>
          </w:tcPr>
          <w:p w14:paraId="4145B044">
            <w:pPr>
              <w:pStyle w:val="27"/>
              <w:ind w:firstLine="0" w:firstLineChars="0"/>
              <w:rPr>
                <w:rFonts w:ascii="Times New Roman"/>
              </w:rPr>
            </w:pPr>
            <w:r>
              <w:rPr>
                <w:rFonts w:ascii="Times New Roman"/>
              </w:rPr>
              <w:t>-</w:t>
            </w:r>
          </w:p>
        </w:tc>
        <w:tc>
          <w:tcPr>
            <w:tcW w:w="0" w:type="auto"/>
            <w:tcBorders>
              <w:top w:val="single" w:color="auto" w:sz="6" w:space="0"/>
              <w:bottom w:val="single" w:color="auto" w:sz="12" w:space="0"/>
            </w:tcBorders>
            <w:noWrap/>
          </w:tcPr>
          <w:p w14:paraId="29880423">
            <w:pPr>
              <w:pStyle w:val="27"/>
              <w:ind w:firstLine="0" w:firstLineChars="0"/>
              <w:rPr>
                <w:rFonts w:ascii="Times New Roman"/>
              </w:rPr>
            </w:pPr>
            <w:r>
              <w:rPr>
                <w:rFonts w:ascii="Times New Roman"/>
              </w:rPr>
              <w:t>0.1</w:t>
            </w:r>
          </w:p>
        </w:tc>
        <w:tc>
          <w:tcPr>
            <w:tcW w:w="0" w:type="auto"/>
            <w:tcBorders>
              <w:top w:val="single" w:color="auto" w:sz="6" w:space="0"/>
              <w:bottom w:val="single" w:color="auto" w:sz="12" w:space="0"/>
            </w:tcBorders>
            <w:noWrap/>
          </w:tcPr>
          <w:p w14:paraId="62137600">
            <w:pPr>
              <w:pStyle w:val="27"/>
              <w:ind w:firstLine="0" w:firstLineChars="0"/>
              <w:rPr>
                <w:rFonts w:ascii="Times New Roman"/>
              </w:rPr>
            </w:pPr>
            <w:r>
              <w:rPr>
                <w:rFonts w:ascii="Times New Roman"/>
              </w:rPr>
              <w:t>依据土壤侵蚀模数分级赋值（赋值见表A.3）</w:t>
            </w:r>
          </w:p>
        </w:tc>
      </w:tr>
    </w:tbl>
    <w:p w14:paraId="69FC954B">
      <w:pPr>
        <w:pStyle w:val="27"/>
        <w:ind w:firstLine="420"/>
        <w:rPr>
          <w:rFonts w:ascii="Times New Roman"/>
        </w:rPr>
      </w:pPr>
    </w:p>
    <w:p w14:paraId="38F2701C">
      <w:pPr>
        <w:pStyle w:val="27"/>
        <w:overflowPunct w:val="0"/>
        <w:spacing w:before="120" w:after="120"/>
        <w:ind w:firstLine="0" w:firstLineChars="0"/>
        <w:jc w:val="center"/>
        <w:rPr>
          <w:rFonts w:ascii="Times New Roman" w:eastAsia="黑体"/>
        </w:rPr>
      </w:pPr>
      <w:r>
        <w:rPr>
          <w:rFonts w:ascii="Times New Roman" w:eastAsia="黑体"/>
        </w:rPr>
        <w:t>表A.2 水源涵养功能指数植被类型赋值表</w:t>
      </w:r>
    </w:p>
    <w:tbl>
      <w:tblPr>
        <w:tblStyle w:val="12"/>
        <w:tblW w:w="5000" w:type="pct"/>
        <w:tblInd w:w="0" w:type="dxa"/>
        <w:tblLayout w:type="autofit"/>
        <w:tblCellMar>
          <w:top w:w="0" w:type="dxa"/>
          <w:left w:w="108" w:type="dxa"/>
          <w:bottom w:w="0" w:type="dxa"/>
          <w:right w:w="108" w:type="dxa"/>
        </w:tblCellMar>
      </w:tblPr>
      <w:tblGrid>
        <w:gridCol w:w="1979"/>
        <w:gridCol w:w="1979"/>
        <w:gridCol w:w="5612"/>
      </w:tblGrid>
      <w:tr w14:paraId="1A7F7D02">
        <w:tblPrEx>
          <w:tblCellMar>
            <w:top w:w="0" w:type="dxa"/>
            <w:left w:w="108" w:type="dxa"/>
            <w:bottom w:w="0" w:type="dxa"/>
            <w:right w:w="108" w:type="dxa"/>
          </w:tblCellMar>
        </w:tblPrEx>
        <w:trPr>
          <w:trHeight w:val="278" w:hRule="atLeast"/>
        </w:trPr>
        <w:tc>
          <w:tcPr>
            <w:tcW w:w="1034" w:type="pct"/>
            <w:tcBorders>
              <w:top w:val="single" w:color="auto" w:sz="12" w:space="0"/>
              <w:bottom w:val="single" w:color="auto" w:sz="12" w:space="0"/>
            </w:tcBorders>
            <w:noWrap/>
          </w:tcPr>
          <w:p w14:paraId="52786511">
            <w:pPr>
              <w:pStyle w:val="27"/>
              <w:ind w:firstLine="0" w:firstLineChars="0"/>
              <w:rPr>
                <w:rFonts w:ascii="Times New Roman"/>
              </w:rPr>
            </w:pPr>
            <w:r>
              <w:rPr>
                <w:rFonts w:ascii="Times New Roman"/>
              </w:rPr>
              <w:t>植被类型</w:t>
            </w:r>
          </w:p>
        </w:tc>
        <w:tc>
          <w:tcPr>
            <w:tcW w:w="1034" w:type="pct"/>
            <w:tcBorders>
              <w:top w:val="single" w:color="auto" w:sz="12" w:space="0"/>
              <w:bottom w:val="single" w:color="auto" w:sz="12" w:space="0"/>
            </w:tcBorders>
            <w:noWrap/>
          </w:tcPr>
          <w:p w14:paraId="6FCA0ED8">
            <w:pPr>
              <w:pStyle w:val="27"/>
              <w:ind w:firstLine="0" w:firstLineChars="0"/>
              <w:rPr>
                <w:rFonts w:ascii="Times New Roman"/>
              </w:rPr>
            </w:pPr>
            <w:r>
              <w:rPr>
                <w:rFonts w:ascii="Times New Roman"/>
              </w:rPr>
              <w:t>赋值</w:t>
            </w:r>
          </w:p>
        </w:tc>
        <w:tc>
          <w:tcPr>
            <w:tcW w:w="2932" w:type="pct"/>
            <w:tcBorders>
              <w:top w:val="single" w:color="auto" w:sz="12" w:space="0"/>
              <w:bottom w:val="single" w:color="auto" w:sz="12" w:space="0"/>
            </w:tcBorders>
            <w:noWrap/>
          </w:tcPr>
          <w:p w14:paraId="35A87439">
            <w:pPr>
              <w:pStyle w:val="27"/>
              <w:ind w:firstLine="0" w:firstLineChars="0"/>
              <w:rPr>
                <w:rFonts w:ascii="Times New Roman"/>
              </w:rPr>
            </w:pPr>
            <w:r>
              <w:rPr>
                <w:rFonts w:ascii="Times New Roman"/>
              </w:rPr>
              <w:t>说明</w:t>
            </w:r>
          </w:p>
        </w:tc>
      </w:tr>
      <w:tr w14:paraId="0D218E2C">
        <w:tblPrEx>
          <w:tblCellMar>
            <w:top w:w="0" w:type="dxa"/>
            <w:left w:w="108" w:type="dxa"/>
            <w:bottom w:w="0" w:type="dxa"/>
            <w:right w:w="108" w:type="dxa"/>
          </w:tblCellMar>
        </w:tblPrEx>
        <w:trPr>
          <w:trHeight w:val="278" w:hRule="atLeast"/>
        </w:trPr>
        <w:tc>
          <w:tcPr>
            <w:tcW w:w="1034" w:type="pct"/>
            <w:tcBorders>
              <w:top w:val="single" w:color="auto" w:sz="12" w:space="0"/>
              <w:bottom w:val="single" w:color="auto" w:sz="6" w:space="0"/>
            </w:tcBorders>
            <w:noWrap/>
          </w:tcPr>
          <w:p w14:paraId="27EB8873">
            <w:pPr>
              <w:pStyle w:val="27"/>
              <w:ind w:firstLine="0" w:firstLineChars="0"/>
              <w:rPr>
                <w:rFonts w:ascii="Times New Roman"/>
              </w:rPr>
            </w:pPr>
            <w:r>
              <w:rPr>
                <w:rFonts w:ascii="Times New Roman"/>
              </w:rPr>
              <w:t>林地</w:t>
            </w:r>
          </w:p>
        </w:tc>
        <w:tc>
          <w:tcPr>
            <w:tcW w:w="1034" w:type="pct"/>
            <w:tcBorders>
              <w:top w:val="single" w:color="auto" w:sz="12" w:space="0"/>
              <w:bottom w:val="single" w:color="auto" w:sz="6" w:space="0"/>
            </w:tcBorders>
            <w:noWrap/>
          </w:tcPr>
          <w:p w14:paraId="11DE6BA3">
            <w:pPr>
              <w:pStyle w:val="27"/>
              <w:ind w:firstLine="0" w:firstLineChars="0"/>
              <w:rPr>
                <w:rFonts w:ascii="Times New Roman"/>
              </w:rPr>
            </w:pPr>
            <w:r>
              <w:rPr>
                <w:rFonts w:ascii="Times New Roman"/>
              </w:rPr>
              <w:t>90</w:t>
            </w:r>
          </w:p>
        </w:tc>
        <w:tc>
          <w:tcPr>
            <w:tcW w:w="2932" w:type="pct"/>
            <w:tcBorders>
              <w:top w:val="single" w:color="auto" w:sz="12" w:space="0"/>
              <w:bottom w:val="single" w:color="auto" w:sz="6" w:space="0"/>
            </w:tcBorders>
            <w:noWrap/>
          </w:tcPr>
          <w:p w14:paraId="1CD4071C">
            <w:pPr>
              <w:pStyle w:val="27"/>
              <w:ind w:firstLine="0" w:firstLineChars="0"/>
              <w:rPr>
                <w:rFonts w:ascii="Times New Roman"/>
              </w:rPr>
            </w:pPr>
            <w:r>
              <w:rPr>
                <w:rFonts w:ascii="Times New Roman"/>
              </w:rPr>
              <w:t>包括乔木林、灌木林</w:t>
            </w:r>
          </w:p>
        </w:tc>
      </w:tr>
      <w:tr w14:paraId="783F879A">
        <w:tblPrEx>
          <w:tblCellMar>
            <w:top w:w="0" w:type="dxa"/>
            <w:left w:w="108" w:type="dxa"/>
            <w:bottom w:w="0" w:type="dxa"/>
            <w:right w:w="108" w:type="dxa"/>
          </w:tblCellMar>
        </w:tblPrEx>
        <w:trPr>
          <w:trHeight w:val="278" w:hRule="atLeast"/>
        </w:trPr>
        <w:tc>
          <w:tcPr>
            <w:tcW w:w="1034" w:type="pct"/>
            <w:tcBorders>
              <w:top w:val="single" w:color="auto" w:sz="6" w:space="0"/>
              <w:bottom w:val="single" w:color="auto" w:sz="6" w:space="0"/>
            </w:tcBorders>
            <w:noWrap/>
          </w:tcPr>
          <w:p w14:paraId="5B57EF05">
            <w:pPr>
              <w:pStyle w:val="27"/>
              <w:ind w:firstLine="0" w:firstLineChars="0"/>
              <w:rPr>
                <w:rFonts w:ascii="Times New Roman"/>
              </w:rPr>
            </w:pPr>
            <w:r>
              <w:rPr>
                <w:rFonts w:ascii="Times New Roman"/>
              </w:rPr>
              <w:t>草地</w:t>
            </w:r>
          </w:p>
        </w:tc>
        <w:tc>
          <w:tcPr>
            <w:tcW w:w="1034" w:type="pct"/>
            <w:tcBorders>
              <w:top w:val="single" w:color="auto" w:sz="6" w:space="0"/>
              <w:bottom w:val="single" w:color="auto" w:sz="6" w:space="0"/>
            </w:tcBorders>
            <w:noWrap/>
          </w:tcPr>
          <w:p w14:paraId="57798621">
            <w:pPr>
              <w:pStyle w:val="27"/>
              <w:ind w:firstLine="0" w:firstLineChars="0"/>
              <w:rPr>
                <w:rFonts w:ascii="Times New Roman"/>
              </w:rPr>
            </w:pPr>
            <w:r>
              <w:rPr>
                <w:rFonts w:ascii="Times New Roman"/>
              </w:rPr>
              <w:t>70</w:t>
            </w:r>
          </w:p>
        </w:tc>
        <w:tc>
          <w:tcPr>
            <w:tcW w:w="2932" w:type="pct"/>
            <w:tcBorders>
              <w:top w:val="single" w:color="auto" w:sz="6" w:space="0"/>
              <w:bottom w:val="single" w:color="auto" w:sz="6" w:space="0"/>
            </w:tcBorders>
            <w:noWrap/>
          </w:tcPr>
          <w:p w14:paraId="6C1B8EBB">
            <w:pPr>
              <w:pStyle w:val="27"/>
              <w:ind w:firstLine="0" w:firstLineChars="0"/>
              <w:rPr>
                <w:rFonts w:ascii="Times New Roman"/>
              </w:rPr>
            </w:pPr>
            <w:r>
              <w:rPr>
                <w:rFonts w:ascii="Times New Roman"/>
              </w:rPr>
              <w:t>包括高、中、低覆盖度草地</w:t>
            </w:r>
          </w:p>
        </w:tc>
      </w:tr>
      <w:tr w14:paraId="1B611343">
        <w:tblPrEx>
          <w:tblCellMar>
            <w:top w:w="0" w:type="dxa"/>
            <w:left w:w="108" w:type="dxa"/>
            <w:bottom w:w="0" w:type="dxa"/>
            <w:right w:w="108" w:type="dxa"/>
          </w:tblCellMar>
        </w:tblPrEx>
        <w:trPr>
          <w:trHeight w:val="278" w:hRule="atLeast"/>
        </w:trPr>
        <w:tc>
          <w:tcPr>
            <w:tcW w:w="1034" w:type="pct"/>
            <w:tcBorders>
              <w:top w:val="single" w:color="auto" w:sz="6" w:space="0"/>
              <w:bottom w:val="single" w:color="auto" w:sz="6" w:space="0"/>
            </w:tcBorders>
            <w:noWrap/>
          </w:tcPr>
          <w:p w14:paraId="38421FE6">
            <w:pPr>
              <w:pStyle w:val="27"/>
              <w:ind w:firstLine="0" w:firstLineChars="0"/>
              <w:rPr>
                <w:rFonts w:ascii="Times New Roman"/>
              </w:rPr>
            </w:pPr>
            <w:r>
              <w:rPr>
                <w:rFonts w:ascii="Times New Roman"/>
              </w:rPr>
              <w:t>湿地</w:t>
            </w:r>
          </w:p>
        </w:tc>
        <w:tc>
          <w:tcPr>
            <w:tcW w:w="1034" w:type="pct"/>
            <w:tcBorders>
              <w:top w:val="single" w:color="auto" w:sz="6" w:space="0"/>
              <w:bottom w:val="single" w:color="auto" w:sz="6" w:space="0"/>
            </w:tcBorders>
            <w:noWrap/>
          </w:tcPr>
          <w:p w14:paraId="5BCE8542">
            <w:pPr>
              <w:pStyle w:val="27"/>
              <w:ind w:firstLine="0" w:firstLineChars="0"/>
              <w:rPr>
                <w:rFonts w:ascii="Times New Roman"/>
              </w:rPr>
            </w:pPr>
            <w:r>
              <w:rPr>
                <w:rFonts w:ascii="Times New Roman"/>
              </w:rPr>
              <w:t>80</w:t>
            </w:r>
          </w:p>
        </w:tc>
        <w:tc>
          <w:tcPr>
            <w:tcW w:w="2932" w:type="pct"/>
            <w:tcBorders>
              <w:top w:val="single" w:color="auto" w:sz="6" w:space="0"/>
              <w:bottom w:val="single" w:color="auto" w:sz="6" w:space="0"/>
            </w:tcBorders>
            <w:noWrap/>
          </w:tcPr>
          <w:p w14:paraId="1CDB127D">
            <w:pPr>
              <w:pStyle w:val="27"/>
              <w:ind w:firstLine="0" w:firstLineChars="0"/>
              <w:rPr>
                <w:rFonts w:ascii="Times New Roman"/>
              </w:rPr>
            </w:pPr>
            <w:r>
              <w:rPr>
                <w:rFonts w:ascii="Times New Roman"/>
              </w:rPr>
              <w:t>包括沼泽、滩涂等</w:t>
            </w:r>
          </w:p>
        </w:tc>
      </w:tr>
      <w:tr w14:paraId="71ADD6C7">
        <w:tblPrEx>
          <w:tblCellMar>
            <w:top w:w="0" w:type="dxa"/>
            <w:left w:w="108" w:type="dxa"/>
            <w:bottom w:w="0" w:type="dxa"/>
            <w:right w:w="108" w:type="dxa"/>
          </w:tblCellMar>
        </w:tblPrEx>
        <w:trPr>
          <w:trHeight w:val="278" w:hRule="atLeast"/>
        </w:trPr>
        <w:tc>
          <w:tcPr>
            <w:tcW w:w="1034" w:type="pct"/>
            <w:tcBorders>
              <w:top w:val="single" w:color="auto" w:sz="6" w:space="0"/>
              <w:bottom w:val="single" w:color="auto" w:sz="6" w:space="0"/>
            </w:tcBorders>
            <w:noWrap/>
          </w:tcPr>
          <w:p w14:paraId="762CC09C">
            <w:pPr>
              <w:pStyle w:val="27"/>
              <w:ind w:firstLine="0" w:firstLineChars="0"/>
              <w:rPr>
                <w:rFonts w:ascii="Times New Roman"/>
              </w:rPr>
            </w:pPr>
            <w:r>
              <w:rPr>
                <w:rFonts w:ascii="Times New Roman"/>
              </w:rPr>
              <w:t>耕地</w:t>
            </w:r>
          </w:p>
        </w:tc>
        <w:tc>
          <w:tcPr>
            <w:tcW w:w="1034" w:type="pct"/>
            <w:tcBorders>
              <w:top w:val="single" w:color="auto" w:sz="6" w:space="0"/>
              <w:bottom w:val="single" w:color="auto" w:sz="6" w:space="0"/>
            </w:tcBorders>
            <w:noWrap/>
          </w:tcPr>
          <w:p w14:paraId="2DE6279F">
            <w:pPr>
              <w:pStyle w:val="27"/>
              <w:ind w:firstLine="0" w:firstLineChars="0"/>
              <w:rPr>
                <w:rFonts w:ascii="Times New Roman"/>
              </w:rPr>
            </w:pPr>
            <w:r>
              <w:rPr>
                <w:rFonts w:ascii="Times New Roman"/>
              </w:rPr>
              <w:t>40</w:t>
            </w:r>
          </w:p>
        </w:tc>
        <w:tc>
          <w:tcPr>
            <w:tcW w:w="2932" w:type="pct"/>
            <w:tcBorders>
              <w:top w:val="single" w:color="auto" w:sz="6" w:space="0"/>
              <w:bottom w:val="single" w:color="auto" w:sz="6" w:space="0"/>
            </w:tcBorders>
            <w:noWrap/>
          </w:tcPr>
          <w:p w14:paraId="718AB77B">
            <w:pPr>
              <w:pStyle w:val="27"/>
              <w:ind w:firstLine="0" w:firstLineChars="0"/>
              <w:rPr>
                <w:rFonts w:ascii="Times New Roman"/>
              </w:rPr>
            </w:pPr>
            <w:r>
              <w:rPr>
                <w:rFonts w:ascii="Times New Roman"/>
              </w:rPr>
              <w:t>包括水田、旱地</w:t>
            </w:r>
          </w:p>
        </w:tc>
      </w:tr>
      <w:tr w14:paraId="325A78D2">
        <w:tblPrEx>
          <w:tblCellMar>
            <w:top w:w="0" w:type="dxa"/>
            <w:left w:w="108" w:type="dxa"/>
            <w:bottom w:w="0" w:type="dxa"/>
            <w:right w:w="108" w:type="dxa"/>
          </w:tblCellMar>
        </w:tblPrEx>
        <w:trPr>
          <w:trHeight w:val="278" w:hRule="atLeast"/>
        </w:trPr>
        <w:tc>
          <w:tcPr>
            <w:tcW w:w="1034" w:type="pct"/>
            <w:tcBorders>
              <w:top w:val="single" w:color="auto" w:sz="6" w:space="0"/>
              <w:bottom w:val="single" w:color="auto" w:sz="6" w:space="0"/>
            </w:tcBorders>
            <w:noWrap/>
          </w:tcPr>
          <w:p w14:paraId="35157C1E">
            <w:pPr>
              <w:pStyle w:val="27"/>
              <w:ind w:firstLine="0" w:firstLineChars="0"/>
              <w:rPr>
                <w:rFonts w:ascii="Times New Roman"/>
              </w:rPr>
            </w:pPr>
            <w:r>
              <w:rPr>
                <w:rFonts w:ascii="Times New Roman"/>
              </w:rPr>
              <w:t>建设用地</w:t>
            </w:r>
          </w:p>
        </w:tc>
        <w:tc>
          <w:tcPr>
            <w:tcW w:w="1034" w:type="pct"/>
            <w:tcBorders>
              <w:top w:val="single" w:color="auto" w:sz="6" w:space="0"/>
              <w:bottom w:val="single" w:color="auto" w:sz="6" w:space="0"/>
            </w:tcBorders>
            <w:noWrap/>
          </w:tcPr>
          <w:p w14:paraId="14474D10">
            <w:pPr>
              <w:pStyle w:val="27"/>
              <w:ind w:firstLine="0" w:firstLineChars="0"/>
              <w:rPr>
                <w:rFonts w:ascii="Times New Roman"/>
              </w:rPr>
            </w:pPr>
            <w:r>
              <w:rPr>
                <w:rFonts w:ascii="Times New Roman"/>
              </w:rPr>
              <w:t>10</w:t>
            </w:r>
          </w:p>
        </w:tc>
        <w:tc>
          <w:tcPr>
            <w:tcW w:w="2932" w:type="pct"/>
            <w:tcBorders>
              <w:top w:val="single" w:color="auto" w:sz="6" w:space="0"/>
              <w:bottom w:val="single" w:color="auto" w:sz="6" w:space="0"/>
            </w:tcBorders>
            <w:noWrap/>
          </w:tcPr>
          <w:p w14:paraId="0E642134">
            <w:pPr>
              <w:pStyle w:val="27"/>
              <w:ind w:firstLine="0" w:firstLineChars="0"/>
              <w:rPr>
                <w:rFonts w:ascii="Times New Roman"/>
              </w:rPr>
            </w:pPr>
            <w:r>
              <w:rPr>
                <w:rFonts w:ascii="Times New Roman"/>
              </w:rPr>
              <w:t>城镇、村庄、工矿、交通用地</w:t>
            </w:r>
          </w:p>
        </w:tc>
      </w:tr>
      <w:tr w14:paraId="2D393DE5">
        <w:tblPrEx>
          <w:tblCellMar>
            <w:top w:w="0" w:type="dxa"/>
            <w:left w:w="108" w:type="dxa"/>
            <w:bottom w:w="0" w:type="dxa"/>
            <w:right w:w="108" w:type="dxa"/>
          </w:tblCellMar>
        </w:tblPrEx>
        <w:trPr>
          <w:trHeight w:val="278" w:hRule="atLeast"/>
        </w:trPr>
        <w:tc>
          <w:tcPr>
            <w:tcW w:w="1034" w:type="pct"/>
            <w:tcBorders>
              <w:top w:val="single" w:color="auto" w:sz="6" w:space="0"/>
              <w:bottom w:val="single" w:color="auto" w:sz="12" w:space="0"/>
            </w:tcBorders>
            <w:noWrap/>
          </w:tcPr>
          <w:p w14:paraId="53D9DB37">
            <w:pPr>
              <w:pStyle w:val="27"/>
              <w:ind w:firstLine="0" w:firstLineChars="0"/>
              <w:rPr>
                <w:rFonts w:ascii="Times New Roman"/>
              </w:rPr>
            </w:pPr>
            <w:r>
              <w:rPr>
                <w:rFonts w:ascii="Times New Roman"/>
              </w:rPr>
              <w:t>未利用地</w:t>
            </w:r>
          </w:p>
        </w:tc>
        <w:tc>
          <w:tcPr>
            <w:tcW w:w="1034" w:type="pct"/>
            <w:tcBorders>
              <w:top w:val="single" w:color="auto" w:sz="6" w:space="0"/>
              <w:bottom w:val="single" w:color="auto" w:sz="12" w:space="0"/>
            </w:tcBorders>
            <w:noWrap/>
          </w:tcPr>
          <w:p w14:paraId="67BBBF65">
            <w:pPr>
              <w:pStyle w:val="27"/>
              <w:ind w:firstLine="0" w:firstLineChars="0"/>
              <w:rPr>
                <w:rFonts w:ascii="Times New Roman"/>
              </w:rPr>
            </w:pPr>
            <w:r>
              <w:rPr>
                <w:rFonts w:ascii="Times New Roman"/>
              </w:rPr>
              <w:t>20</w:t>
            </w:r>
          </w:p>
        </w:tc>
        <w:tc>
          <w:tcPr>
            <w:tcW w:w="2932" w:type="pct"/>
            <w:tcBorders>
              <w:top w:val="single" w:color="auto" w:sz="6" w:space="0"/>
              <w:bottom w:val="single" w:color="auto" w:sz="12" w:space="0"/>
            </w:tcBorders>
            <w:noWrap/>
          </w:tcPr>
          <w:p w14:paraId="28AA6D8B">
            <w:pPr>
              <w:pStyle w:val="27"/>
              <w:ind w:firstLine="0" w:firstLineChars="0"/>
              <w:rPr>
                <w:rFonts w:ascii="Times New Roman"/>
              </w:rPr>
            </w:pPr>
            <w:r>
              <w:rPr>
                <w:rFonts w:ascii="Times New Roman"/>
              </w:rPr>
              <w:t>沙地、戈壁、盐碱地等</w:t>
            </w:r>
          </w:p>
        </w:tc>
      </w:tr>
    </w:tbl>
    <w:p w14:paraId="2389A30F">
      <w:pPr>
        <w:pStyle w:val="27"/>
        <w:ind w:firstLine="420"/>
        <w:rPr>
          <w:rFonts w:ascii="Times New Roman"/>
        </w:rPr>
      </w:pPr>
      <w:r>
        <w:rPr>
          <w:rFonts w:ascii="Times New Roman"/>
        </w:rPr>
        <w:t>注：本表列出的土地利用类型为国家标准《土地利用现状分类》（GB/T 21010-2017）中一级类的代表性类别，其中“建设用地”为商服用地、工矿仓储用地、住宅用地、公共管理与公共服务用地、交通运输用地等类的合并，“湿地”为第三次全国国土调查新增一级类。</w:t>
      </w:r>
    </w:p>
    <w:p w14:paraId="6923D891">
      <w:pPr>
        <w:pStyle w:val="27"/>
        <w:overflowPunct w:val="0"/>
        <w:spacing w:before="120" w:after="120"/>
        <w:ind w:firstLine="0" w:firstLineChars="0"/>
        <w:jc w:val="center"/>
        <w:rPr>
          <w:rFonts w:ascii="Times New Roman" w:eastAsia="黑体"/>
        </w:rPr>
      </w:pPr>
      <w:r>
        <w:rPr>
          <w:rFonts w:ascii="Times New Roman" w:eastAsia="黑体"/>
        </w:rPr>
        <w:t>表A.3 土壤侵蚀强度指数赋值表</w:t>
      </w:r>
    </w:p>
    <w:tbl>
      <w:tblPr>
        <w:tblStyle w:val="12"/>
        <w:tblW w:w="5000" w:type="pct"/>
        <w:tblInd w:w="0" w:type="dxa"/>
        <w:tblLayout w:type="autofit"/>
        <w:tblCellMar>
          <w:top w:w="0" w:type="dxa"/>
          <w:left w:w="108" w:type="dxa"/>
          <w:bottom w:w="0" w:type="dxa"/>
          <w:right w:w="108" w:type="dxa"/>
        </w:tblCellMar>
      </w:tblPr>
      <w:tblGrid>
        <w:gridCol w:w="5489"/>
        <w:gridCol w:w="2852"/>
        <w:gridCol w:w="1229"/>
      </w:tblGrid>
      <w:tr w14:paraId="2EB5581E">
        <w:tblPrEx>
          <w:tblCellMar>
            <w:top w:w="0" w:type="dxa"/>
            <w:left w:w="108" w:type="dxa"/>
            <w:bottom w:w="0" w:type="dxa"/>
            <w:right w:w="108" w:type="dxa"/>
          </w:tblCellMar>
        </w:tblPrEx>
        <w:trPr>
          <w:trHeight w:val="278" w:hRule="atLeast"/>
        </w:trPr>
        <w:tc>
          <w:tcPr>
            <w:tcW w:w="2868" w:type="pct"/>
            <w:tcBorders>
              <w:top w:val="single" w:color="auto" w:sz="12" w:space="0"/>
              <w:bottom w:val="single" w:color="auto" w:sz="12" w:space="0"/>
            </w:tcBorders>
            <w:noWrap/>
          </w:tcPr>
          <w:p w14:paraId="360B16D5">
            <w:pPr>
              <w:pStyle w:val="27"/>
              <w:ind w:firstLine="0" w:firstLineChars="0"/>
              <w:rPr>
                <w:rFonts w:ascii="Times New Roman"/>
              </w:rPr>
            </w:pPr>
            <w:r>
              <w:rPr>
                <w:rFonts w:ascii="Times New Roman"/>
              </w:rPr>
              <w:t>土壤侵蚀模数 [t/(km²·a)]</w:t>
            </w:r>
          </w:p>
        </w:tc>
        <w:tc>
          <w:tcPr>
            <w:tcW w:w="1490" w:type="pct"/>
            <w:tcBorders>
              <w:top w:val="single" w:color="auto" w:sz="12" w:space="0"/>
              <w:bottom w:val="single" w:color="auto" w:sz="12" w:space="0"/>
            </w:tcBorders>
            <w:noWrap/>
          </w:tcPr>
          <w:p w14:paraId="6277B295">
            <w:pPr>
              <w:pStyle w:val="27"/>
              <w:ind w:firstLine="0" w:firstLineChars="0"/>
              <w:rPr>
                <w:rFonts w:ascii="Times New Roman"/>
              </w:rPr>
            </w:pPr>
            <w:r>
              <w:rPr>
                <w:rFonts w:ascii="Times New Roman"/>
              </w:rPr>
              <w:t>侵蚀强度等级</w:t>
            </w:r>
          </w:p>
        </w:tc>
        <w:tc>
          <w:tcPr>
            <w:tcW w:w="642" w:type="pct"/>
            <w:tcBorders>
              <w:top w:val="single" w:color="auto" w:sz="12" w:space="0"/>
              <w:bottom w:val="single" w:color="auto" w:sz="12" w:space="0"/>
            </w:tcBorders>
            <w:noWrap/>
          </w:tcPr>
          <w:p w14:paraId="250AE9BA">
            <w:pPr>
              <w:pStyle w:val="27"/>
              <w:ind w:firstLine="0" w:firstLineChars="0"/>
              <w:rPr>
                <w:rFonts w:ascii="Times New Roman"/>
              </w:rPr>
            </w:pPr>
            <w:r>
              <w:rPr>
                <w:rFonts w:ascii="Times New Roman"/>
              </w:rPr>
              <w:t>赋值</w:t>
            </w:r>
          </w:p>
        </w:tc>
      </w:tr>
      <w:tr w14:paraId="683ED64B">
        <w:tblPrEx>
          <w:tblCellMar>
            <w:top w:w="0" w:type="dxa"/>
            <w:left w:w="108" w:type="dxa"/>
            <w:bottom w:w="0" w:type="dxa"/>
            <w:right w:w="108" w:type="dxa"/>
          </w:tblCellMar>
        </w:tblPrEx>
        <w:trPr>
          <w:trHeight w:val="278" w:hRule="atLeast"/>
        </w:trPr>
        <w:tc>
          <w:tcPr>
            <w:tcW w:w="2868" w:type="pct"/>
            <w:tcBorders>
              <w:top w:val="single" w:color="auto" w:sz="12" w:space="0"/>
              <w:bottom w:val="single" w:color="auto" w:sz="6" w:space="0"/>
            </w:tcBorders>
            <w:noWrap/>
          </w:tcPr>
          <w:p w14:paraId="7E023EAD">
            <w:pPr>
              <w:pStyle w:val="27"/>
              <w:ind w:firstLine="0" w:firstLineChars="0"/>
              <w:rPr>
                <w:rFonts w:ascii="Times New Roman"/>
              </w:rPr>
            </w:pPr>
            <w:r>
              <w:rPr>
                <w:rFonts w:ascii="Times New Roman"/>
              </w:rPr>
              <w:t>&lt; 1000</w:t>
            </w:r>
          </w:p>
        </w:tc>
        <w:tc>
          <w:tcPr>
            <w:tcW w:w="1490" w:type="pct"/>
            <w:tcBorders>
              <w:top w:val="single" w:color="auto" w:sz="12" w:space="0"/>
              <w:bottom w:val="single" w:color="auto" w:sz="6" w:space="0"/>
            </w:tcBorders>
            <w:noWrap/>
          </w:tcPr>
          <w:p w14:paraId="372B7380">
            <w:pPr>
              <w:pStyle w:val="27"/>
              <w:ind w:firstLine="0" w:firstLineChars="0"/>
              <w:rPr>
                <w:rFonts w:ascii="Times New Roman"/>
              </w:rPr>
            </w:pPr>
            <w:r>
              <w:rPr>
                <w:rFonts w:ascii="Times New Roman"/>
              </w:rPr>
              <w:t>微度</w:t>
            </w:r>
          </w:p>
        </w:tc>
        <w:tc>
          <w:tcPr>
            <w:tcW w:w="642" w:type="pct"/>
            <w:tcBorders>
              <w:top w:val="single" w:color="auto" w:sz="12" w:space="0"/>
              <w:bottom w:val="single" w:color="auto" w:sz="6" w:space="0"/>
            </w:tcBorders>
            <w:noWrap/>
          </w:tcPr>
          <w:p w14:paraId="18FACAB2">
            <w:pPr>
              <w:pStyle w:val="27"/>
              <w:ind w:firstLine="0" w:firstLineChars="0"/>
              <w:rPr>
                <w:rFonts w:ascii="Times New Roman"/>
              </w:rPr>
            </w:pPr>
            <w:r>
              <w:rPr>
                <w:rFonts w:ascii="Times New Roman"/>
              </w:rPr>
              <w:t>90</w:t>
            </w:r>
          </w:p>
        </w:tc>
      </w:tr>
      <w:tr w14:paraId="292F986D">
        <w:tblPrEx>
          <w:tblCellMar>
            <w:top w:w="0" w:type="dxa"/>
            <w:left w:w="108" w:type="dxa"/>
            <w:bottom w:w="0" w:type="dxa"/>
            <w:right w:w="108" w:type="dxa"/>
          </w:tblCellMar>
        </w:tblPrEx>
        <w:trPr>
          <w:trHeight w:val="278" w:hRule="atLeast"/>
        </w:trPr>
        <w:tc>
          <w:tcPr>
            <w:tcW w:w="2868" w:type="pct"/>
            <w:tcBorders>
              <w:top w:val="single" w:color="auto" w:sz="6" w:space="0"/>
              <w:bottom w:val="single" w:color="auto" w:sz="6" w:space="0"/>
            </w:tcBorders>
            <w:noWrap/>
          </w:tcPr>
          <w:p w14:paraId="4DAFEDF6">
            <w:pPr>
              <w:pStyle w:val="27"/>
              <w:ind w:firstLine="0" w:firstLineChars="0"/>
              <w:rPr>
                <w:rFonts w:ascii="Times New Roman"/>
              </w:rPr>
            </w:pPr>
            <w:r>
              <w:rPr>
                <w:rFonts w:ascii="Times New Roman"/>
              </w:rPr>
              <w:t>1000 ~ 2500</w:t>
            </w:r>
          </w:p>
        </w:tc>
        <w:tc>
          <w:tcPr>
            <w:tcW w:w="1490" w:type="pct"/>
            <w:tcBorders>
              <w:top w:val="single" w:color="auto" w:sz="6" w:space="0"/>
              <w:bottom w:val="single" w:color="auto" w:sz="6" w:space="0"/>
            </w:tcBorders>
            <w:noWrap/>
          </w:tcPr>
          <w:p w14:paraId="7148D3BA">
            <w:pPr>
              <w:pStyle w:val="27"/>
              <w:ind w:firstLine="0" w:firstLineChars="0"/>
              <w:rPr>
                <w:rFonts w:ascii="Times New Roman"/>
              </w:rPr>
            </w:pPr>
            <w:r>
              <w:rPr>
                <w:rFonts w:ascii="Times New Roman"/>
              </w:rPr>
              <w:t>轻度</w:t>
            </w:r>
          </w:p>
        </w:tc>
        <w:tc>
          <w:tcPr>
            <w:tcW w:w="642" w:type="pct"/>
            <w:tcBorders>
              <w:top w:val="single" w:color="auto" w:sz="6" w:space="0"/>
              <w:bottom w:val="single" w:color="auto" w:sz="6" w:space="0"/>
            </w:tcBorders>
            <w:noWrap/>
          </w:tcPr>
          <w:p w14:paraId="11EF6CDA">
            <w:pPr>
              <w:pStyle w:val="27"/>
              <w:ind w:firstLine="0" w:firstLineChars="0"/>
              <w:rPr>
                <w:rFonts w:ascii="Times New Roman"/>
              </w:rPr>
            </w:pPr>
            <w:r>
              <w:rPr>
                <w:rFonts w:ascii="Times New Roman"/>
              </w:rPr>
              <w:t>70</w:t>
            </w:r>
          </w:p>
        </w:tc>
      </w:tr>
      <w:tr w14:paraId="6C138C0C">
        <w:tblPrEx>
          <w:tblCellMar>
            <w:top w:w="0" w:type="dxa"/>
            <w:left w:w="108" w:type="dxa"/>
            <w:bottom w:w="0" w:type="dxa"/>
            <w:right w:w="108" w:type="dxa"/>
          </w:tblCellMar>
        </w:tblPrEx>
        <w:trPr>
          <w:trHeight w:val="278" w:hRule="atLeast"/>
        </w:trPr>
        <w:tc>
          <w:tcPr>
            <w:tcW w:w="2868" w:type="pct"/>
            <w:tcBorders>
              <w:top w:val="single" w:color="auto" w:sz="6" w:space="0"/>
              <w:bottom w:val="single" w:color="auto" w:sz="6" w:space="0"/>
            </w:tcBorders>
            <w:noWrap/>
          </w:tcPr>
          <w:p w14:paraId="21F74E0A">
            <w:pPr>
              <w:pStyle w:val="27"/>
              <w:ind w:firstLine="0" w:firstLineChars="0"/>
              <w:rPr>
                <w:rFonts w:ascii="Times New Roman"/>
              </w:rPr>
            </w:pPr>
            <w:r>
              <w:rPr>
                <w:rFonts w:ascii="Times New Roman"/>
              </w:rPr>
              <w:t>2500 ~ 5000</w:t>
            </w:r>
          </w:p>
        </w:tc>
        <w:tc>
          <w:tcPr>
            <w:tcW w:w="1490" w:type="pct"/>
            <w:tcBorders>
              <w:top w:val="single" w:color="auto" w:sz="6" w:space="0"/>
              <w:bottom w:val="single" w:color="auto" w:sz="6" w:space="0"/>
            </w:tcBorders>
            <w:noWrap/>
          </w:tcPr>
          <w:p w14:paraId="27799134">
            <w:pPr>
              <w:pStyle w:val="27"/>
              <w:ind w:firstLine="0" w:firstLineChars="0"/>
              <w:rPr>
                <w:rFonts w:ascii="Times New Roman"/>
              </w:rPr>
            </w:pPr>
            <w:r>
              <w:rPr>
                <w:rFonts w:ascii="Times New Roman"/>
              </w:rPr>
              <w:t>中度</w:t>
            </w:r>
          </w:p>
        </w:tc>
        <w:tc>
          <w:tcPr>
            <w:tcW w:w="642" w:type="pct"/>
            <w:tcBorders>
              <w:top w:val="single" w:color="auto" w:sz="6" w:space="0"/>
              <w:bottom w:val="single" w:color="auto" w:sz="6" w:space="0"/>
            </w:tcBorders>
            <w:noWrap/>
          </w:tcPr>
          <w:p w14:paraId="7DC43AE0">
            <w:pPr>
              <w:pStyle w:val="27"/>
              <w:ind w:firstLine="0" w:firstLineChars="0"/>
              <w:rPr>
                <w:rFonts w:ascii="Times New Roman"/>
              </w:rPr>
            </w:pPr>
            <w:r>
              <w:rPr>
                <w:rFonts w:ascii="Times New Roman"/>
              </w:rPr>
              <w:t>50</w:t>
            </w:r>
          </w:p>
        </w:tc>
      </w:tr>
      <w:tr w14:paraId="2FF7F6C2">
        <w:tblPrEx>
          <w:tblCellMar>
            <w:top w:w="0" w:type="dxa"/>
            <w:left w:w="108" w:type="dxa"/>
            <w:bottom w:w="0" w:type="dxa"/>
            <w:right w:w="108" w:type="dxa"/>
          </w:tblCellMar>
        </w:tblPrEx>
        <w:trPr>
          <w:trHeight w:val="278" w:hRule="atLeast"/>
        </w:trPr>
        <w:tc>
          <w:tcPr>
            <w:tcW w:w="2868" w:type="pct"/>
            <w:tcBorders>
              <w:top w:val="single" w:color="auto" w:sz="6" w:space="0"/>
              <w:bottom w:val="single" w:color="auto" w:sz="6" w:space="0"/>
            </w:tcBorders>
            <w:noWrap/>
          </w:tcPr>
          <w:p w14:paraId="44F09F1F">
            <w:pPr>
              <w:pStyle w:val="27"/>
              <w:ind w:firstLine="0" w:firstLineChars="0"/>
              <w:rPr>
                <w:rFonts w:ascii="Times New Roman"/>
              </w:rPr>
            </w:pPr>
            <w:r>
              <w:rPr>
                <w:rFonts w:ascii="Times New Roman"/>
              </w:rPr>
              <w:t>5000 ~ 8000</w:t>
            </w:r>
          </w:p>
        </w:tc>
        <w:tc>
          <w:tcPr>
            <w:tcW w:w="1490" w:type="pct"/>
            <w:tcBorders>
              <w:top w:val="single" w:color="auto" w:sz="6" w:space="0"/>
              <w:bottom w:val="single" w:color="auto" w:sz="6" w:space="0"/>
            </w:tcBorders>
            <w:noWrap/>
          </w:tcPr>
          <w:p w14:paraId="5E153E5A">
            <w:pPr>
              <w:pStyle w:val="27"/>
              <w:ind w:firstLine="0" w:firstLineChars="0"/>
              <w:rPr>
                <w:rFonts w:ascii="Times New Roman"/>
              </w:rPr>
            </w:pPr>
            <w:r>
              <w:rPr>
                <w:rFonts w:ascii="Times New Roman"/>
              </w:rPr>
              <w:t>强烈</w:t>
            </w:r>
          </w:p>
        </w:tc>
        <w:tc>
          <w:tcPr>
            <w:tcW w:w="642" w:type="pct"/>
            <w:tcBorders>
              <w:top w:val="single" w:color="auto" w:sz="6" w:space="0"/>
              <w:bottom w:val="single" w:color="auto" w:sz="6" w:space="0"/>
            </w:tcBorders>
            <w:noWrap/>
          </w:tcPr>
          <w:p w14:paraId="7005F795">
            <w:pPr>
              <w:pStyle w:val="27"/>
              <w:ind w:firstLine="0" w:firstLineChars="0"/>
              <w:rPr>
                <w:rFonts w:ascii="Times New Roman"/>
              </w:rPr>
            </w:pPr>
            <w:r>
              <w:rPr>
                <w:rFonts w:ascii="Times New Roman"/>
              </w:rPr>
              <w:t>30</w:t>
            </w:r>
          </w:p>
        </w:tc>
      </w:tr>
      <w:tr w14:paraId="2A5C6557">
        <w:tblPrEx>
          <w:tblCellMar>
            <w:top w:w="0" w:type="dxa"/>
            <w:left w:w="108" w:type="dxa"/>
            <w:bottom w:w="0" w:type="dxa"/>
            <w:right w:w="108" w:type="dxa"/>
          </w:tblCellMar>
        </w:tblPrEx>
        <w:trPr>
          <w:trHeight w:val="278" w:hRule="atLeast"/>
        </w:trPr>
        <w:tc>
          <w:tcPr>
            <w:tcW w:w="2868" w:type="pct"/>
            <w:tcBorders>
              <w:top w:val="single" w:color="auto" w:sz="6" w:space="0"/>
              <w:bottom w:val="single" w:color="auto" w:sz="6" w:space="0"/>
            </w:tcBorders>
            <w:noWrap/>
          </w:tcPr>
          <w:p w14:paraId="56C22C0B">
            <w:pPr>
              <w:pStyle w:val="27"/>
              <w:ind w:firstLine="0" w:firstLineChars="0"/>
              <w:rPr>
                <w:rFonts w:ascii="Times New Roman"/>
              </w:rPr>
            </w:pPr>
            <w:r>
              <w:rPr>
                <w:rFonts w:ascii="Times New Roman"/>
              </w:rPr>
              <w:t>8000 ~ 15000</w:t>
            </w:r>
          </w:p>
        </w:tc>
        <w:tc>
          <w:tcPr>
            <w:tcW w:w="1490" w:type="pct"/>
            <w:tcBorders>
              <w:top w:val="single" w:color="auto" w:sz="6" w:space="0"/>
              <w:bottom w:val="single" w:color="auto" w:sz="6" w:space="0"/>
            </w:tcBorders>
            <w:noWrap/>
          </w:tcPr>
          <w:p w14:paraId="72208B58">
            <w:pPr>
              <w:pStyle w:val="27"/>
              <w:ind w:firstLine="0" w:firstLineChars="0"/>
              <w:rPr>
                <w:rFonts w:ascii="Times New Roman"/>
              </w:rPr>
            </w:pPr>
            <w:r>
              <w:rPr>
                <w:rFonts w:ascii="Times New Roman"/>
              </w:rPr>
              <w:t>极强烈</w:t>
            </w:r>
          </w:p>
        </w:tc>
        <w:tc>
          <w:tcPr>
            <w:tcW w:w="642" w:type="pct"/>
            <w:tcBorders>
              <w:top w:val="single" w:color="auto" w:sz="6" w:space="0"/>
              <w:bottom w:val="single" w:color="auto" w:sz="6" w:space="0"/>
            </w:tcBorders>
            <w:noWrap/>
          </w:tcPr>
          <w:p w14:paraId="658E97A4">
            <w:pPr>
              <w:pStyle w:val="27"/>
              <w:ind w:firstLine="0" w:firstLineChars="0"/>
              <w:rPr>
                <w:rFonts w:ascii="Times New Roman"/>
              </w:rPr>
            </w:pPr>
            <w:r>
              <w:rPr>
                <w:rFonts w:ascii="Times New Roman"/>
              </w:rPr>
              <w:t>10</w:t>
            </w:r>
          </w:p>
        </w:tc>
      </w:tr>
      <w:tr w14:paraId="2033377D">
        <w:tblPrEx>
          <w:tblCellMar>
            <w:top w:w="0" w:type="dxa"/>
            <w:left w:w="108" w:type="dxa"/>
            <w:bottom w:w="0" w:type="dxa"/>
            <w:right w:w="108" w:type="dxa"/>
          </w:tblCellMar>
        </w:tblPrEx>
        <w:trPr>
          <w:trHeight w:val="278" w:hRule="atLeast"/>
        </w:trPr>
        <w:tc>
          <w:tcPr>
            <w:tcW w:w="2868" w:type="pct"/>
            <w:tcBorders>
              <w:top w:val="single" w:color="auto" w:sz="6" w:space="0"/>
              <w:bottom w:val="single" w:color="auto" w:sz="12" w:space="0"/>
            </w:tcBorders>
            <w:noWrap/>
          </w:tcPr>
          <w:p w14:paraId="35A890A0">
            <w:pPr>
              <w:pStyle w:val="27"/>
              <w:ind w:firstLine="0" w:firstLineChars="0"/>
              <w:rPr>
                <w:rFonts w:ascii="Times New Roman"/>
              </w:rPr>
            </w:pPr>
            <w:r>
              <w:rPr>
                <w:rFonts w:ascii="Times New Roman"/>
              </w:rPr>
              <w:t>≥ 15000</w:t>
            </w:r>
          </w:p>
        </w:tc>
        <w:tc>
          <w:tcPr>
            <w:tcW w:w="1490" w:type="pct"/>
            <w:tcBorders>
              <w:top w:val="single" w:color="auto" w:sz="6" w:space="0"/>
              <w:bottom w:val="single" w:color="auto" w:sz="12" w:space="0"/>
            </w:tcBorders>
            <w:noWrap/>
          </w:tcPr>
          <w:p w14:paraId="1EC111AF">
            <w:pPr>
              <w:pStyle w:val="27"/>
              <w:ind w:firstLine="0" w:firstLineChars="0"/>
              <w:rPr>
                <w:rFonts w:ascii="Times New Roman"/>
              </w:rPr>
            </w:pPr>
            <w:r>
              <w:rPr>
                <w:rFonts w:ascii="Times New Roman"/>
              </w:rPr>
              <w:t>剧烈</w:t>
            </w:r>
          </w:p>
        </w:tc>
        <w:tc>
          <w:tcPr>
            <w:tcW w:w="642" w:type="pct"/>
            <w:tcBorders>
              <w:top w:val="single" w:color="auto" w:sz="6" w:space="0"/>
              <w:bottom w:val="single" w:color="auto" w:sz="12" w:space="0"/>
            </w:tcBorders>
            <w:noWrap/>
          </w:tcPr>
          <w:p w14:paraId="6FD02BF5">
            <w:pPr>
              <w:pStyle w:val="27"/>
              <w:ind w:firstLine="0" w:firstLineChars="0"/>
              <w:rPr>
                <w:rFonts w:ascii="Times New Roman"/>
              </w:rPr>
            </w:pPr>
            <w:r>
              <w:rPr>
                <w:rFonts w:ascii="Times New Roman"/>
              </w:rPr>
              <w:t>0</w:t>
            </w:r>
          </w:p>
        </w:tc>
      </w:tr>
    </w:tbl>
    <w:p w14:paraId="00BC6765">
      <w:pPr>
        <w:pStyle w:val="50"/>
        <w:spacing w:before="120" w:after="120"/>
        <w:rPr>
          <w:rFonts w:ascii="Times New Roman"/>
        </w:rPr>
      </w:pPr>
      <w:bookmarkStart w:id="119" w:name="_Toc232413595"/>
      <w:bookmarkStart w:id="120" w:name="_Toc232425106"/>
      <w:bookmarkStart w:id="121" w:name="_Toc218519997"/>
      <w:bookmarkStart w:id="122" w:name="_Toc232496927"/>
      <w:r>
        <w:rPr>
          <w:rFonts w:ascii="Times New Roman"/>
        </w:rPr>
        <w:t>数据来源与处理</w:t>
      </w:r>
      <w:bookmarkEnd w:id="119"/>
      <w:bookmarkEnd w:id="120"/>
      <w:bookmarkEnd w:id="121"/>
      <w:bookmarkEnd w:id="122"/>
    </w:p>
    <w:p w14:paraId="1A8A24B2">
      <w:pPr>
        <w:pStyle w:val="27"/>
        <w:ind w:firstLine="420"/>
        <w:rPr>
          <w:rFonts w:ascii="Times New Roman"/>
        </w:rPr>
      </w:pPr>
      <w:r>
        <w:rPr>
          <w:rFonts w:ascii="Times New Roman"/>
        </w:rPr>
        <w:t>a)数据来源：</w:t>
      </w:r>
    </w:p>
    <w:p w14:paraId="7F513EC1">
      <w:pPr>
        <w:pStyle w:val="27"/>
        <w:ind w:firstLine="630" w:firstLineChars="300"/>
        <w:rPr>
          <w:rFonts w:ascii="Times New Roman"/>
        </w:rPr>
      </w:pPr>
      <w:r>
        <w:rPr>
          <w:rFonts w:ascii="Times New Roman"/>
        </w:rPr>
        <w:t>1)土地利用数据：优先采用国家发布的土地利用遥感解译数据（如CLCD、Globeland30），时效性应在5年以内。</w:t>
      </w:r>
    </w:p>
    <w:p w14:paraId="67BFEA2A">
      <w:pPr>
        <w:pStyle w:val="27"/>
        <w:ind w:firstLine="630" w:firstLineChars="300"/>
        <w:rPr>
          <w:rFonts w:ascii="Times New Roman"/>
        </w:rPr>
      </w:pPr>
      <w:r>
        <w:rPr>
          <w:rFonts w:ascii="Times New Roman"/>
        </w:rPr>
        <w:t>2)土壤侵蚀数据：采用资源环境科学与数据平台（</w:t>
      </w:r>
      <w:r>
        <w:fldChar w:fldCharType="begin"/>
      </w:r>
      <w:r>
        <w:instrText xml:space="preserve"> HYPERLINK "https://www.resdc.cn/）或" </w:instrText>
      </w:r>
      <w:r>
        <w:fldChar w:fldCharType="separate"/>
      </w:r>
      <w:r>
        <w:rPr>
          <w:rStyle w:val="16"/>
          <w:rFonts w:ascii="Times New Roman"/>
        </w:rPr>
        <w:t>https://www.resdc.cn/）或</w:t>
      </w:r>
      <w:r>
        <w:rPr>
          <w:rStyle w:val="16"/>
          <w:rFonts w:ascii="Times New Roman"/>
        </w:rPr>
        <w:fldChar w:fldCharType="end"/>
      </w:r>
      <w:r>
        <w:rPr>
          <w:rFonts w:ascii="Times New Roman"/>
        </w:rPr>
        <w:t xml:space="preserve"> 国家地球系统科学数据中心（http://loess.geodata.cn/）的土壤侵蚀遥感调查数据，或基于通用土壤流失方程（USLE/RUSLE）模拟获取。</w:t>
      </w:r>
    </w:p>
    <w:p w14:paraId="08CD83E4">
      <w:pPr>
        <w:pStyle w:val="27"/>
        <w:ind w:firstLine="630" w:firstLineChars="300"/>
        <w:rPr>
          <w:rFonts w:ascii="Times New Roman"/>
        </w:rPr>
      </w:pPr>
      <w:r>
        <w:rPr>
          <w:rFonts w:ascii="Times New Roman"/>
        </w:rPr>
        <w:t>3)流域边界：基于30m分辨率DEM（如ASTER GDEM）利用GIS水文分析工具提取。</w:t>
      </w:r>
    </w:p>
    <w:p w14:paraId="4DBEDEAF">
      <w:pPr>
        <w:pStyle w:val="27"/>
        <w:ind w:firstLine="420"/>
        <w:rPr>
          <w:rFonts w:ascii="Times New Roman"/>
        </w:rPr>
      </w:pPr>
      <w:r>
        <w:rPr>
          <w:rFonts w:ascii="Times New Roman"/>
        </w:rPr>
        <w:t>b)数据处理：所有空间数据统一采用CGCS2000坐标系。指标计算在GIS平台中通过空间叠置与统计完成。</w:t>
      </w:r>
    </w:p>
    <w:p w14:paraId="2E71B884">
      <w:pPr>
        <w:pStyle w:val="50"/>
        <w:spacing w:before="120" w:after="120"/>
        <w:rPr>
          <w:rFonts w:ascii="Times New Roman"/>
        </w:rPr>
      </w:pPr>
      <w:bookmarkStart w:id="123" w:name="_Toc232425107"/>
      <w:bookmarkStart w:id="124" w:name="_Toc232496928"/>
      <w:bookmarkStart w:id="125" w:name="_Toc218519998"/>
      <w:bookmarkStart w:id="126" w:name="_Toc232413596"/>
      <w:r>
        <w:rPr>
          <w:rFonts w:ascii="Times New Roman"/>
        </w:rPr>
        <w:t>评估计算</w:t>
      </w:r>
      <w:bookmarkEnd w:id="123"/>
      <w:bookmarkEnd w:id="124"/>
      <w:bookmarkEnd w:id="125"/>
      <w:bookmarkEnd w:id="126"/>
    </w:p>
    <w:p w14:paraId="5BC06ABB">
      <w:pPr>
        <w:pStyle w:val="27"/>
        <w:ind w:firstLine="420"/>
        <w:rPr>
          <w:rFonts w:ascii="Times New Roman"/>
        </w:rPr>
      </w:pPr>
      <w:r>
        <w:rPr>
          <w:rFonts w:ascii="Times New Roman"/>
        </w:rPr>
        <w:t>a)指标归一化：</w:t>
      </w:r>
    </w:p>
    <w:p w14:paraId="7DDCC6FA">
      <w:pPr>
        <w:pStyle w:val="27"/>
        <w:ind w:firstLine="420"/>
        <w:rPr>
          <w:rFonts w:ascii="Times New Roman"/>
        </w:rPr>
      </w:pPr>
      <w:r>
        <w:rPr>
          <w:rFonts w:ascii="Times New Roman"/>
        </w:rPr>
        <w:t>除水源涵养功能指数和土壤侵蚀强度指数已赋分外，其余百分比指标需按下式归一化至0-100分：</w:t>
      </w:r>
    </w:p>
    <w:p w14:paraId="7D51D861">
      <w:pPr>
        <w:pStyle w:val="27"/>
        <w:keepNext w:val="0"/>
        <w:keepLines w:val="0"/>
        <w:pageBreakBefore w:val="0"/>
        <w:widowControl/>
        <w:kinsoku/>
        <w:wordWrap/>
        <w:overflowPunct/>
        <w:topLinePunct w:val="0"/>
        <w:autoSpaceDE w:val="0"/>
        <w:autoSpaceDN w:val="0"/>
        <w:bidi w:val="0"/>
        <w:adjustRightInd w:val="0"/>
        <w:snapToGrid w:val="0"/>
        <w:ind w:firstLine="400"/>
        <w:jc w:val="right"/>
        <w:textAlignment w:val="auto"/>
        <w:rPr>
          <w:rFonts w:hint="default" w:ascii="Times New Roman" w:eastAsia="宋体"/>
          <w:lang w:val="en-US" w:eastAsia="zh-CN"/>
        </w:rPr>
      </w:pPr>
      <m:oMath>
        <m:sSubSup>
          <m:sSubSupPr>
            <m:ctrlPr>
              <w:rPr>
                <w:rFonts w:hint="default" w:ascii="Cambria Math" w:hAnsi="Cambria Math"/>
                <w:sz w:val="20"/>
              </w:rPr>
            </m:ctrlPr>
          </m:sSubSupPr>
          <m:e>
            <m:r>
              <m:rPr/>
              <w:rPr>
                <w:rFonts w:hint="default" w:ascii="Cambria Math" w:hAnsi="Cambria Math"/>
                <w:sz w:val="20"/>
              </w:rPr>
              <m:t>X</m:t>
            </m:r>
            <m:ctrlPr>
              <w:rPr>
                <w:rFonts w:ascii="Cambria Math" w:hAnsi="Cambria Math"/>
                <w:sz w:val="20"/>
              </w:rPr>
            </m:ctrlPr>
          </m:e>
          <m:sub>
            <m:r>
              <m:rPr/>
              <w:rPr>
                <w:rFonts w:hint="default" w:ascii="Cambria Math" w:hAnsi="Cambria Math"/>
                <w:sz w:val="20"/>
              </w:rPr>
              <m:t>i</m:t>
            </m:r>
            <m:ctrlPr>
              <w:rPr>
                <w:rFonts w:ascii="Cambria Math" w:hAnsi="Cambria Math"/>
                <w:sz w:val="20"/>
              </w:rPr>
            </m:ctrlPr>
          </m:sub>
          <m:sup>
            <m:r>
              <m:rPr/>
              <w:rPr>
                <w:rFonts w:hint="default" w:ascii="Cambria Math" w:hAnsi="Cambria Math"/>
                <w:sz w:val="20"/>
              </w:rPr>
              <m:t>'</m:t>
            </m:r>
            <m:ctrlPr>
              <w:rPr>
                <w:rFonts w:ascii="Cambria Math" w:hAnsi="Cambria Math"/>
                <w:sz w:val="20"/>
              </w:rPr>
            </m:ctrlPr>
          </m:sup>
        </m:sSubSup>
        <m:r>
          <m:rPr/>
          <w:rPr>
            <w:rFonts w:hint="default" w:ascii="Cambria Math" w:hAnsi="Cambria Math"/>
            <w:sz w:val="20"/>
          </w:rPr>
          <m:t>=</m:t>
        </m:r>
        <m:f>
          <m:fPr>
            <m:ctrlPr>
              <w:rPr>
                <w:rFonts w:hint="default" w:ascii="Cambria Math" w:hAnsi="Cambria Math"/>
                <w:i/>
                <w:sz w:val="20"/>
              </w:rPr>
            </m:ctrlPr>
          </m:fPr>
          <m:num>
            <m:sSub>
              <m:sSubPr>
                <m:ctrlPr>
                  <w:rPr>
                    <w:rFonts w:hint="default" w:ascii="Cambria Math" w:hAnsi="Cambria Math"/>
                    <w:sz w:val="20"/>
                  </w:rPr>
                </m:ctrlPr>
              </m:sSubPr>
              <m:e>
                <m:r>
                  <m:rPr/>
                  <w:rPr>
                    <w:rFonts w:hint="default" w:ascii="Cambria Math" w:hAnsi="Cambria Math"/>
                    <w:sz w:val="20"/>
                  </w:rPr>
                  <m:t>X</m:t>
                </m:r>
                <m:ctrlPr>
                  <w:rPr>
                    <w:rFonts w:ascii="Cambria Math" w:hAnsi="Cambria Math"/>
                    <w:sz w:val="20"/>
                  </w:rPr>
                </m:ctrlPr>
              </m:e>
              <m:sub>
                <m:r>
                  <m:rPr/>
                  <w:rPr>
                    <w:rFonts w:hint="default" w:ascii="Cambria Math" w:hAnsi="Cambria Math"/>
                    <w:sz w:val="20"/>
                  </w:rPr>
                  <m:t>i</m:t>
                </m:r>
                <m:ctrlPr>
                  <w:rPr>
                    <w:rFonts w:ascii="Cambria Math" w:hAnsi="Cambria Math"/>
                    <w:sz w:val="20"/>
                  </w:rPr>
                </m:ctrlPr>
              </m:sub>
            </m:sSub>
            <m:ctrlPr>
              <w:rPr>
                <w:rFonts w:hint="default" w:ascii="Cambria Math" w:hAnsi="Cambria Math"/>
                <w:sz w:val="20"/>
              </w:rPr>
            </m:ctrlPr>
          </m:num>
          <m:den>
            <m:sSub>
              <m:sSubPr>
                <m:ctrlPr>
                  <w:rPr>
                    <w:rFonts w:hint="default" w:ascii="Cambria Math" w:hAnsi="Cambria Math"/>
                    <w:sz w:val="20"/>
                  </w:rPr>
                </m:ctrlPr>
              </m:sSubPr>
              <m:e>
                <m:r>
                  <m:rPr/>
                  <w:rPr>
                    <w:rFonts w:hint="default" w:ascii="Cambria Math" w:hAnsi="Cambria Math"/>
                    <w:sz w:val="20"/>
                  </w:rPr>
                  <m:t>X</m:t>
                </m:r>
                <m:ctrlPr>
                  <w:rPr>
                    <w:rFonts w:ascii="Cambria Math" w:hAnsi="Cambria Math"/>
                    <w:sz w:val="20"/>
                  </w:rPr>
                </m:ctrlPr>
              </m:e>
              <m:sub>
                <m:r>
                  <m:rPr/>
                  <w:rPr>
                    <w:rFonts w:hint="default" w:ascii="Cambria Math" w:hAnsi="Cambria Math"/>
                    <w:sz w:val="20"/>
                  </w:rPr>
                  <m:t>i,max</m:t>
                </m:r>
                <m:ctrlPr>
                  <w:rPr>
                    <w:rFonts w:ascii="Cambria Math" w:hAnsi="Cambria Math"/>
                    <w:sz w:val="20"/>
                  </w:rPr>
                </m:ctrlPr>
              </m:sub>
            </m:sSub>
            <m:ctrlPr>
              <w:rPr>
                <w:rFonts w:hint="default" w:ascii="Cambria Math" w:hAnsi="Cambria Math"/>
                <w:sz w:val="20"/>
              </w:rPr>
            </m:ctrlPr>
          </m:den>
        </m:f>
        <m:r>
          <m:rPr/>
          <w:rPr>
            <w:rFonts w:hint="default" w:ascii="Cambria Math" w:hAnsi="Cambria Math"/>
            <w:sz w:val="20"/>
          </w:rPr>
          <m:t>×100</m:t>
        </m:r>
      </m:oMath>
      <w:r>
        <m:rPr/>
        <w:rPr>
          <w:rFonts w:hint="eastAsia" w:hAnsi="Cambria Math"/>
          <w:i w:val="0"/>
          <w:sz w:val="20"/>
          <w:lang w:val="en-US" w:eastAsia="zh-CN"/>
        </w:rPr>
        <w:t xml:space="preserve">                               （1）</w:t>
      </w:r>
    </w:p>
    <w:p w14:paraId="62291C86">
      <w:pPr>
        <w:pStyle w:val="27"/>
        <w:ind w:firstLine="420"/>
        <w:rPr>
          <w:rFonts w:ascii="Times New Roman"/>
        </w:rPr>
      </w:pPr>
      <w:r>
        <w:rPr>
          <w:rFonts w:ascii="Times New Roman"/>
        </w:rPr>
        <w:t>式中，</w:t>
      </w:r>
      <w:r>
        <w:rPr>
          <w:rFonts w:ascii="Times New Roman"/>
          <w:i/>
          <w:iCs/>
        </w:rPr>
        <w:t>X</w:t>
      </w:r>
      <w:r>
        <w:rPr>
          <w:rFonts w:ascii="Times New Roman"/>
          <w:i/>
          <w:iCs/>
          <w:vertAlign w:val="subscript"/>
        </w:rPr>
        <w:t>i</w:t>
      </w:r>
      <w:r>
        <w:rPr>
          <w:rFonts w:ascii="Times New Roman"/>
        </w:rPr>
        <w:t>为指标原始值，</w:t>
      </w:r>
      <w:r>
        <w:rPr>
          <w:rFonts w:ascii="Times New Roman"/>
          <w:i/>
          <w:iCs/>
        </w:rPr>
        <w:t>X</w:t>
      </w:r>
      <w:r>
        <w:rPr>
          <w:rFonts w:ascii="Times New Roman"/>
          <w:i/>
          <w:iCs/>
          <w:vertAlign w:val="subscript"/>
        </w:rPr>
        <w:t>i,max</w:t>
      </w:r>
      <w:r>
        <w:rPr>
          <w:rFonts w:ascii="Times New Roman"/>
        </w:rPr>
        <w:t>为该指标在黄河流域湖库中的理论最大值或经验上限（建议值：森林覆盖率80%，植被覆盖度90%，农田比例60%，建设用地比例40%）。</w:t>
      </w:r>
    </w:p>
    <w:p w14:paraId="7867FBE7">
      <w:pPr>
        <w:pStyle w:val="27"/>
        <w:ind w:firstLine="420"/>
        <w:rPr>
          <w:rFonts w:ascii="Times New Roman"/>
        </w:rPr>
      </w:pPr>
      <w:r>
        <w:rPr>
          <w:rFonts w:ascii="Times New Roman"/>
        </w:rPr>
        <w:t>b) 综合健康指数计算：</w:t>
      </w:r>
    </w:p>
    <w:p w14:paraId="231ED737">
      <w:pPr>
        <w:pStyle w:val="27"/>
        <w:ind w:firstLine="420"/>
        <w:rPr>
          <w:rFonts w:ascii="Times New Roman"/>
        </w:rPr>
      </w:pPr>
      <w:r>
        <w:rPr>
          <w:rFonts w:ascii="Times New Roman"/>
        </w:rPr>
        <w:t>陆域生态系统健康指数（Landscape Health Index, LHI）按下式计算：</w:t>
      </w:r>
    </w:p>
    <w:p w14:paraId="4AB991F4">
      <w:pPr>
        <w:pStyle w:val="27"/>
        <w:ind w:firstLine="420"/>
        <w:jc w:val="right"/>
        <w:rPr>
          <w:rFonts w:hint="eastAsia" w:ascii="Times New Roman" w:eastAsia="宋体"/>
          <w:lang w:val="en-US" w:eastAsia="zh-CN"/>
        </w:rPr>
      </w:pPr>
      <m:oMath>
        <m:r>
          <m:rPr/>
          <w:rPr>
            <w:rFonts w:hint="default" w:ascii="Cambria Math" w:hAnsi="Cambria Math"/>
            <w:sz w:val="21"/>
          </w:rPr>
          <m:t>LHI=</m:t>
        </m:r>
        <m:nary>
          <m:naryPr>
            <m:chr m:val="∑"/>
            <m:limLoc m:val="subSup"/>
            <m:ctrlPr>
              <w:rPr>
                <w:rFonts w:hint="default" w:ascii="Cambria Math" w:hAnsi="Cambria Math"/>
                <w:i/>
                <w:sz w:val="21"/>
              </w:rPr>
            </m:ctrlPr>
          </m:naryPr>
          <m:sub>
            <m:r>
              <m:rPr/>
              <w:rPr>
                <w:rFonts w:hint="default" w:ascii="Cambria Math" w:hAnsi="Cambria Math"/>
                <w:sz w:val="21"/>
              </w:rPr>
              <m:t>i=1</m:t>
            </m:r>
            <m:ctrlPr>
              <w:rPr>
                <w:rFonts w:ascii="Cambria Math" w:hAnsi="Cambria Math"/>
                <w:sz w:val="21"/>
              </w:rPr>
            </m:ctrlPr>
          </m:sub>
          <m:sup>
            <m:r>
              <m:rPr/>
              <w:rPr>
                <w:rFonts w:hint="default" w:ascii="Cambria Math" w:hAnsi="Cambria Math"/>
                <w:sz w:val="21"/>
              </w:rPr>
              <m:t>6</m:t>
            </m:r>
            <m:ctrlPr>
              <w:rPr>
                <w:rFonts w:ascii="Cambria Math" w:hAnsi="Cambria Math"/>
                <w:sz w:val="21"/>
              </w:rPr>
            </m:ctrlPr>
          </m:sup>
          <m:e>
            <m:r>
              <m:rPr/>
              <w:rPr>
                <w:rFonts w:hint="default" w:ascii="Cambria Math" w:hAnsi="Cambria Math"/>
                <w:sz w:val="21"/>
              </w:rPr>
              <m:t>(</m:t>
            </m:r>
            <m:sSub>
              <m:sSubPr>
                <m:ctrlPr>
                  <w:rPr>
                    <w:rFonts w:hint="default" w:ascii="Cambria Math" w:hAnsi="Cambria Math"/>
                    <w:sz w:val="21"/>
                  </w:rPr>
                </m:ctrlPr>
              </m:sSubPr>
              <m:e>
                <m:r>
                  <m:rPr/>
                  <w:rPr>
                    <w:rFonts w:hint="default" w:ascii="Cambria Math" w:hAnsi="Cambria Math"/>
                    <w:sz w:val="21"/>
                  </w:rPr>
                  <m:t>W</m:t>
                </m:r>
                <m:ctrlPr>
                  <w:rPr>
                    <w:rFonts w:ascii="Cambria Math" w:hAnsi="Cambria Math"/>
                    <w:sz w:val="21"/>
                  </w:rPr>
                </m:ctrlPr>
              </m:e>
              <m:sub>
                <m:r>
                  <m:rPr/>
                  <w:rPr>
                    <w:rFonts w:hint="default" w:ascii="Cambria Math" w:hAnsi="Cambria Math"/>
                    <w:sz w:val="21"/>
                  </w:rPr>
                  <m:t>i</m:t>
                </m:r>
                <m:ctrlPr>
                  <w:rPr>
                    <w:rFonts w:ascii="Cambria Math" w:hAnsi="Cambria Math"/>
                    <w:sz w:val="21"/>
                  </w:rPr>
                </m:ctrlPr>
              </m:sub>
            </m:sSub>
            <m:ctrlPr>
              <w:rPr>
                <w:rFonts w:hint="default" w:ascii="Cambria Math" w:hAnsi="Cambria Math"/>
                <w:sz w:val="21"/>
              </w:rPr>
            </m:ctrlPr>
          </m:e>
        </m:nary>
        <m:r>
          <m:rPr/>
          <w:rPr>
            <w:rFonts w:hint="default" w:ascii="Cambria Math" w:hAnsi="Cambria Math"/>
            <w:sz w:val="21"/>
          </w:rPr>
          <m:t>×</m:t>
        </m:r>
        <m:sSub>
          <m:sSubPr>
            <m:ctrlPr>
              <w:rPr>
                <w:rFonts w:hint="default" w:ascii="Cambria Math" w:hAnsi="Cambria Math"/>
                <w:sz w:val="21"/>
              </w:rPr>
            </m:ctrlPr>
          </m:sSubPr>
          <m:e>
            <m:r>
              <m:rPr/>
              <w:rPr>
                <w:rFonts w:hint="default" w:ascii="Cambria Math" w:hAnsi="Cambria Math"/>
                <w:sz w:val="21"/>
              </w:rPr>
              <m:t>S</m:t>
            </m:r>
            <m:ctrlPr>
              <w:rPr>
                <w:rFonts w:hint="default" w:ascii="Cambria Math" w:hAnsi="Cambria Math"/>
                <w:sz w:val="21"/>
              </w:rPr>
            </m:ctrlPr>
          </m:e>
          <m:sub>
            <m:r>
              <m:rPr/>
              <w:rPr>
                <w:rFonts w:hint="default" w:ascii="Cambria Math" w:hAnsi="Cambria Math"/>
                <w:sz w:val="21"/>
              </w:rPr>
              <m:t>i</m:t>
            </m:r>
            <m:ctrlPr>
              <w:rPr>
                <w:rFonts w:hint="default" w:ascii="Cambria Math" w:hAnsi="Cambria Math"/>
                <w:sz w:val="21"/>
              </w:rPr>
            </m:ctrlPr>
          </m:sub>
        </m:sSub>
        <m:r>
          <m:rPr/>
          <w:rPr>
            <w:rFonts w:hint="default" w:ascii="Cambria Math" w:hAnsi="Cambria Math"/>
            <w:sz w:val="21"/>
          </w:rPr>
          <m:t>)</m:t>
        </m:r>
      </m:oMath>
      <w:r>
        <m:rPr/>
        <w:rPr>
          <w:rFonts w:hint="eastAsia" w:hAnsi="Cambria Math"/>
          <w:i w:val="0"/>
          <w:sz w:val="21"/>
          <w:lang w:val="en-US" w:eastAsia="zh-CN"/>
        </w:rPr>
        <w:t xml:space="preserve">                            </w:t>
      </w:r>
      <w:r>
        <m:rPr/>
        <w:rPr>
          <w:rFonts w:hint="eastAsia" w:hAnsi="Cambria Math"/>
          <w:i w:val="0"/>
          <w:sz w:val="21"/>
          <w:lang w:eastAsia="zh-CN"/>
        </w:rPr>
        <w:t>（</w:t>
      </w:r>
      <w:r>
        <m:rPr/>
        <w:rPr>
          <w:rFonts w:hint="eastAsia" w:hAnsi="Cambria Math"/>
          <w:i w:val="0"/>
          <w:sz w:val="21"/>
          <w:lang w:val="en-US" w:eastAsia="zh-CN"/>
        </w:rPr>
        <w:t>2</w:t>
      </w:r>
      <w:r>
        <m:rPr/>
        <w:rPr>
          <w:rFonts w:hint="eastAsia" w:hAnsi="Cambria Math"/>
          <w:i w:val="0"/>
          <w:sz w:val="21"/>
          <w:lang w:eastAsia="zh-CN"/>
        </w:rPr>
        <w:t>）</w:t>
      </w:r>
    </w:p>
    <w:p w14:paraId="71F431E3">
      <w:pPr>
        <w:pStyle w:val="27"/>
        <w:ind w:firstLine="420"/>
        <w:rPr>
          <w:rFonts w:ascii="Times New Roman"/>
        </w:rPr>
      </w:pPr>
      <w:r>
        <w:rPr>
          <w:rFonts w:ascii="Times New Roman"/>
        </w:rPr>
        <w:t>式中,</w:t>
      </w:r>
      <w:r>
        <w:rPr>
          <w:rFonts w:ascii="Times New Roman"/>
          <w:i/>
          <w:iCs/>
        </w:rPr>
        <w:t>W</w:t>
      </w:r>
      <w:r>
        <w:rPr>
          <w:rFonts w:ascii="Times New Roman"/>
          <w:i/>
          <w:iCs/>
          <w:vertAlign w:val="subscript"/>
        </w:rPr>
        <w:t>i</w:t>
      </w:r>
      <w:r>
        <w:rPr>
          <w:rFonts w:ascii="Times New Roman"/>
        </w:rPr>
        <w:t>为第</w:t>
      </w:r>
      <w:r>
        <w:rPr>
          <w:rFonts w:ascii="Times New Roman"/>
          <w:i/>
          <w:iCs/>
        </w:rPr>
        <w:t>i</w:t>
      </w:r>
      <w:r>
        <w:rPr>
          <w:rFonts w:ascii="Times New Roman"/>
        </w:rPr>
        <w:t>项指标的权重，</w:t>
      </w:r>
      <w:r>
        <w:rPr>
          <w:rFonts w:ascii="Times New Roman"/>
          <w:i/>
          <w:iCs/>
        </w:rPr>
        <w:t>S</w:t>
      </w:r>
      <w:r>
        <w:rPr>
          <w:rFonts w:ascii="Times New Roman"/>
          <w:i/>
          <w:iCs/>
          <w:vertAlign w:val="subscript"/>
        </w:rPr>
        <w:t>i</w:t>
      </w:r>
      <w:r>
        <w:rPr>
          <w:rFonts w:ascii="Times New Roman"/>
        </w:rPr>
        <w:t>为第</w:t>
      </w:r>
      <w:r>
        <w:rPr>
          <w:rFonts w:ascii="Times New Roman"/>
          <w:i/>
          <w:iCs/>
        </w:rPr>
        <w:t>i</w:t>
      </w:r>
      <w:r>
        <w:rPr>
          <w:rFonts w:ascii="Times New Roman"/>
        </w:rPr>
        <w:t>项指标归一化或赋值后的得分。</w:t>
      </w:r>
    </w:p>
    <w:p w14:paraId="59DE1C84">
      <w:pPr>
        <w:pStyle w:val="27"/>
        <w:ind w:firstLine="420"/>
        <w:rPr>
          <w:rFonts w:ascii="Times New Roman"/>
        </w:rPr>
      </w:pPr>
      <w:r>
        <w:rPr>
          <w:rFonts w:ascii="Times New Roman"/>
        </w:rPr>
        <w:t>c)健康等级划分</w:t>
      </w:r>
    </w:p>
    <w:p w14:paraId="07F54CA7">
      <w:pPr>
        <w:pStyle w:val="27"/>
        <w:ind w:firstLine="420"/>
        <w:rPr>
          <w:rFonts w:ascii="Times New Roman"/>
        </w:rPr>
      </w:pPr>
      <w:r>
        <w:rPr>
          <w:rFonts w:ascii="Times New Roman"/>
        </w:rPr>
        <w:t>根据LHI分值，将陆域生态系统健康状态划分为5个等级，见表A.4。将“优秀”和“良好”等级对应的湖库归类为“受人为扰动较小湖库”，其余等级归类为“受人为扰动较大湖库”。</w:t>
      </w:r>
    </w:p>
    <w:p w14:paraId="4BC48EF1">
      <w:pPr>
        <w:pStyle w:val="27"/>
        <w:overflowPunct w:val="0"/>
        <w:spacing w:before="120" w:after="120"/>
        <w:ind w:firstLine="0" w:firstLineChars="0"/>
        <w:jc w:val="center"/>
        <w:rPr>
          <w:rFonts w:ascii="Times New Roman" w:eastAsia="黑体"/>
        </w:rPr>
      </w:pPr>
      <w:r>
        <w:rPr>
          <w:rFonts w:ascii="Times New Roman" w:eastAsia="黑体"/>
        </w:rPr>
        <w:t>表A.4 陆域生态系统健康等级划分标准</w:t>
      </w:r>
    </w:p>
    <w:tbl>
      <w:tblPr>
        <w:tblStyle w:val="12"/>
        <w:tblW w:w="5000" w:type="pct"/>
        <w:tblInd w:w="0" w:type="dxa"/>
        <w:tblLayout w:type="autofit"/>
        <w:tblCellMar>
          <w:top w:w="0" w:type="dxa"/>
          <w:left w:w="108" w:type="dxa"/>
          <w:bottom w:w="0" w:type="dxa"/>
          <w:right w:w="108" w:type="dxa"/>
        </w:tblCellMar>
      </w:tblPr>
      <w:tblGrid>
        <w:gridCol w:w="1003"/>
        <w:gridCol w:w="1448"/>
        <w:gridCol w:w="1789"/>
        <w:gridCol w:w="5330"/>
      </w:tblGrid>
      <w:tr w14:paraId="629F1385">
        <w:tblPrEx>
          <w:tblCellMar>
            <w:top w:w="0" w:type="dxa"/>
            <w:left w:w="108" w:type="dxa"/>
            <w:bottom w:w="0" w:type="dxa"/>
            <w:right w:w="108" w:type="dxa"/>
          </w:tblCellMar>
        </w:tblPrEx>
        <w:trPr>
          <w:trHeight w:val="278" w:hRule="atLeast"/>
        </w:trPr>
        <w:tc>
          <w:tcPr>
            <w:tcW w:w="508" w:type="pct"/>
            <w:tcBorders>
              <w:top w:val="single" w:color="auto" w:sz="12" w:space="0"/>
              <w:bottom w:val="single" w:color="auto" w:sz="12" w:space="0"/>
            </w:tcBorders>
            <w:noWrap/>
          </w:tcPr>
          <w:p w14:paraId="6C1A7E17">
            <w:pPr>
              <w:pStyle w:val="27"/>
              <w:ind w:firstLine="0" w:firstLineChars="0"/>
              <w:rPr>
                <w:rFonts w:ascii="Times New Roman"/>
              </w:rPr>
            </w:pPr>
            <w:r>
              <w:rPr>
                <w:rFonts w:ascii="Times New Roman"/>
              </w:rPr>
              <w:t>健康等级</w:t>
            </w:r>
          </w:p>
        </w:tc>
        <w:tc>
          <w:tcPr>
            <w:tcW w:w="904" w:type="pct"/>
            <w:tcBorders>
              <w:top w:val="single" w:color="auto" w:sz="12" w:space="0"/>
              <w:bottom w:val="single" w:color="auto" w:sz="12" w:space="0"/>
            </w:tcBorders>
            <w:noWrap/>
          </w:tcPr>
          <w:p w14:paraId="4F642168">
            <w:pPr>
              <w:pStyle w:val="27"/>
              <w:ind w:firstLine="0" w:firstLineChars="0"/>
              <w:rPr>
                <w:rFonts w:ascii="Times New Roman"/>
              </w:rPr>
            </w:pPr>
            <w:r>
              <w:rPr>
                <w:rFonts w:ascii="Times New Roman"/>
              </w:rPr>
              <w:t>LHI分值范围</w:t>
            </w:r>
          </w:p>
        </w:tc>
        <w:tc>
          <w:tcPr>
            <w:tcW w:w="904" w:type="pct"/>
            <w:tcBorders>
              <w:top w:val="single" w:color="auto" w:sz="12" w:space="0"/>
              <w:bottom w:val="single" w:color="auto" w:sz="12" w:space="0"/>
            </w:tcBorders>
            <w:noWrap/>
          </w:tcPr>
          <w:p w14:paraId="4F625FBB">
            <w:pPr>
              <w:pStyle w:val="27"/>
              <w:ind w:firstLine="0" w:firstLineChars="0"/>
              <w:rPr>
                <w:rFonts w:ascii="Times New Roman"/>
              </w:rPr>
            </w:pPr>
            <w:r>
              <w:rPr>
                <w:rFonts w:ascii="Times New Roman"/>
              </w:rPr>
              <w:t>人为扰动程度归类</w:t>
            </w:r>
          </w:p>
        </w:tc>
        <w:tc>
          <w:tcPr>
            <w:tcW w:w="2684" w:type="pct"/>
            <w:tcBorders>
              <w:top w:val="single" w:color="auto" w:sz="12" w:space="0"/>
              <w:bottom w:val="single" w:color="auto" w:sz="12" w:space="0"/>
            </w:tcBorders>
            <w:noWrap/>
          </w:tcPr>
          <w:p w14:paraId="0BFF77AE">
            <w:pPr>
              <w:pStyle w:val="27"/>
              <w:ind w:firstLine="0" w:firstLineChars="0"/>
              <w:rPr>
                <w:rFonts w:ascii="Times New Roman"/>
              </w:rPr>
            </w:pPr>
            <w:r>
              <w:rPr>
                <w:rFonts w:ascii="Times New Roman"/>
              </w:rPr>
              <w:t>状态描述</w:t>
            </w:r>
          </w:p>
        </w:tc>
      </w:tr>
      <w:tr w14:paraId="147FF8AE">
        <w:tblPrEx>
          <w:tblCellMar>
            <w:top w:w="0" w:type="dxa"/>
            <w:left w:w="108" w:type="dxa"/>
            <w:bottom w:w="0" w:type="dxa"/>
            <w:right w:w="108" w:type="dxa"/>
          </w:tblCellMar>
        </w:tblPrEx>
        <w:trPr>
          <w:trHeight w:val="278" w:hRule="atLeast"/>
        </w:trPr>
        <w:tc>
          <w:tcPr>
            <w:tcW w:w="508" w:type="pct"/>
            <w:tcBorders>
              <w:top w:val="single" w:color="auto" w:sz="12" w:space="0"/>
              <w:bottom w:val="single" w:color="auto" w:sz="6" w:space="0"/>
            </w:tcBorders>
            <w:noWrap/>
          </w:tcPr>
          <w:p w14:paraId="0BBCAFD5">
            <w:pPr>
              <w:pStyle w:val="27"/>
              <w:ind w:firstLine="0" w:firstLineChars="0"/>
              <w:rPr>
                <w:rFonts w:ascii="Times New Roman"/>
              </w:rPr>
            </w:pPr>
            <w:r>
              <w:rPr>
                <w:rFonts w:ascii="Times New Roman"/>
              </w:rPr>
              <w:t>优秀</w:t>
            </w:r>
          </w:p>
        </w:tc>
        <w:tc>
          <w:tcPr>
            <w:tcW w:w="904" w:type="pct"/>
            <w:tcBorders>
              <w:top w:val="single" w:color="auto" w:sz="12" w:space="0"/>
              <w:bottom w:val="single" w:color="auto" w:sz="6" w:space="0"/>
            </w:tcBorders>
            <w:noWrap/>
          </w:tcPr>
          <w:p w14:paraId="60B2420A">
            <w:pPr>
              <w:pStyle w:val="27"/>
              <w:ind w:firstLine="0" w:firstLineChars="0"/>
              <w:rPr>
                <w:rFonts w:ascii="Times New Roman"/>
              </w:rPr>
            </w:pPr>
            <w:r>
              <w:rPr>
                <w:rFonts w:ascii="Times New Roman"/>
              </w:rPr>
              <w:t>80 ≤ LHI ≤ 100</w:t>
            </w:r>
          </w:p>
        </w:tc>
        <w:tc>
          <w:tcPr>
            <w:tcW w:w="904" w:type="pct"/>
            <w:tcBorders>
              <w:top w:val="single" w:color="auto" w:sz="12" w:space="0"/>
              <w:bottom w:val="single" w:color="auto" w:sz="6" w:space="0"/>
            </w:tcBorders>
            <w:noWrap/>
          </w:tcPr>
          <w:p w14:paraId="319C544C">
            <w:pPr>
              <w:pStyle w:val="27"/>
              <w:ind w:firstLine="0" w:firstLineChars="0"/>
              <w:rPr>
                <w:rFonts w:ascii="Times New Roman"/>
              </w:rPr>
            </w:pPr>
            <w:r>
              <w:rPr>
                <w:rFonts w:ascii="Times New Roman"/>
              </w:rPr>
              <w:t>受人为扰动较小</w:t>
            </w:r>
          </w:p>
        </w:tc>
        <w:tc>
          <w:tcPr>
            <w:tcW w:w="2684" w:type="pct"/>
            <w:tcBorders>
              <w:top w:val="single" w:color="auto" w:sz="12" w:space="0"/>
              <w:bottom w:val="single" w:color="auto" w:sz="6" w:space="0"/>
            </w:tcBorders>
            <w:noWrap/>
          </w:tcPr>
          <w:p w14:paraId="555AB935">
            <w:pPr>
              <w:pStyle w:val="27"/>
              <w:ind w:firstLine="0" w:firstLineChars="0"/>
              <w:rPr>
                <w:rFonts w:ascii="Times New Roman"/>
              </w:rPr>
            </w:pPr>
            <w:r>
              <w:rPr>
                <w:rFonts w:ascii="Times New Roman"/>
              </w:rPr>
              <w:t>生态系统结构完整，功能完善，受人为干扰极轻。</w:t>
            </w:r>
          </w:p>
        </w:tc>
      </w:tr>
      <w:tr w14:paraId="00B1CB7D">
        <w:tblPrEx>
          <w:tblCellMar>
            <w:top w:w="0" w:type="dxa"/>
            <w:left w:w="108" w:type="dxa"/>
            <w:bottom w:w="0" w:type="dxa"/>
            <w:right w:w="108" w:type="dxa"/>
          </w:tblCellMar>
        </w:tblPrEx>
        <w:trPr>
          <w:trHeight w:val="278" w:hRule="atLeast"/>
        </w:trPr>
        <w:tc>
          <w:tcPr>
            <w:tcW w:w="508" w:type="pct"/>
            <w:tcBorders>
              <w:top w:val="single" w:color="auto" w:sz="6" w:space="0"/>
              <w:bottom w:val="single" w:color="auto" w:sz="6" w:space="0"/>
            </w:tcBorders>
            <w:noWrap/>
          </w:tcPr>
          <w:p w14:paraId="0C73D733">
            <w:pPr>
              <w:pStyle w:val="27"/>
              <w:ind w:firstLine="0" w:firstLineChars="0"/>
              <w:rPr>
                <w:rFonts w:ascii="Times New Roman"/>
              </w:rPr>
            </w:pPr>
            <w:r>
              <w:rPr>
                <w:rFonts w:ascii="Times New Roman"/>
              </w:rPr>
              <w:t>良好</w:t>
            </w:r>
          </w:p>
        </w:tc>
        <w:tc>
          <w:tcPr>
            <w:tcW w:w="904" w:type="pct"/>
            <w:tcBorders>
              <w:top w:val="single" w:color="auto" w:sz="6" w:space="0"/>
              <w:bottom w:val="single" w:color="auto" w:sz="6" w:space="0"/>
            </w:tcBorders>
            <w:noWrap/>
          </w:tcPr>
          <w:p w14:paraId="5313648B">
            <w:pPr>
              <w:pStyle w:val="27"/>
              <w:ind w:firstLine="0" w:firstLineChars="0"/>
              <w:rPr>
                <w:rFonts w:ascii="Times New Roman"/>
              </w:rPr>
            </w:pPr>
            <w:r>
              <w:rPr>
                <w:rFonts w:ascii="Times New Roman"/>
              </w:rPr>
              <w:t>60 ≤ LHI &lt; 80</w:t>
            </w:r>
          </w:p>
        </w:tc>
        <w:tc>
          <w:tcPr>
            <w:tcW w:w="904" w:type="pct"/>
            <w:tcBorders>
              <w:top w:val="single" w:color="auto" w:sz="6" w:space="0"/>
              <w:bottom w:val="single" w:color="auto" w:sz="6" w:space="0"/>
            </w:tcBorders>
            <w:noWrap/>
          </w:tcPr>
          <w:p w14:paraId="2A04F7FF">
            <w:pPr>
              <w:pStyle w:val="27"/>
              <w:ind w:firstLine="0" w:firstLineChars="0"/>
              <w:rPr>
                <w:rFonts w:ascii="Times New Roman"/>
              </w:rPr>
            </w:pPr>
            <w:r>
              <w:rPr>
                <w:rFonts w:ascii="Times New Roman"/>
              </w:rPr>
              <w:t>受人为扰动较小</w:t>
            </w:r>
          </w:p>
        </w:tc>
        <w:tc>
          <w:tcPr>
            <w:tcW w:w="2684" w:type="pct"/>
            <w:tcBorders>
              <w:top w:val="single" w:color="auto" w:sz="6" w:space="0"/>
              <w:bottom w:val="single" w:color="auto" w:sz="6" w:space="0"/>
            </w:tcBorders>
            <w:noWrap/>
          </w:tcPr>
          <w:p w14:paraId="1BAAC0C3">
            <w:pPr>
              <w:pStyle w:val="27"/>
              <w:ind w:firstLine="0" w:firstLineChars="0"/>
              <w:rPr>
                <w:rFonts w:ascii="Times New Roman"/>
              </w:rPr>
            </w:pPr>
            <w:r>
              <w:rPr>
                <w:rFonts w:ascii="Times New Roman"/>
              </w:rPr>
              <w:t>生态系统结构较完整，功能良好，受人为干扰较轻。</w:t>
            </w:r>
          </w:p>
        </w:tc>
      </w:tr>
      <w:tr w14:paraId="3AB3FA58">
        <w:tblPrEx>
          <w:tblCellMar>
            <w:top w:w="0" w:type="dxa"/>
            <w:left w:w="108" w:type="dxa"/>
            <w:bottom w:w="0" w:type="dxa"/>
            <w:right w:w="108" w:type="dxa"/>
          </w:tblCellMar>
        </w:tblPrEx>
        <w:trPr>
          <w:trHeight w:val="278" w:hRule="atLeast"/>
        </w:trPr>
        <w:tc>
          <w:tcPr>
            <w:tcW w:w="508" w:type="pct"/>
            <w:tcBorders>
              <w:top w:val="single" w:color="auto" w:sz="6" w:space="0"/>
              <w:bottom w:val="single" w:color="auto" w:sz="6" w:space="0"/>
            </w:tcBorders>
            <w:noWrap/>
          </w:tcPr>
          <w:p w14:paraId="3FD83B4C">
            <w:pPr>
              <w:pStyle w:val="27"/>
              <w:ind w:firstLine="0" w:firstLineChars="0"/>
              <w:rPr>
                <w:rFonts w:ascii="Times New Roman"/>
              </w:rPr>
            </w:pPr>
            <w:r>
              <w:rPr>
                <w:rFonts w:ascii="Times New Roman"/>
              </w:rPr>
              <w:t>一般</w:t>
            </w:r>
          </w:p>
        </w:tc>
        <w:tc>
          <w:tcPr>
            <w:tcW w:w="904" w:type="pct"/>
            <w:tcBorders>
              <w:top w:val="single" w:color="auto" w:sz="6" w:space="0"/>
              <w:bottom w:val="single" w:color="auto" w:sz="6" w:space="0"/>
            </w:tcBorders>
            <w:noWrap/>
          </w:tcPr>
          <w:p w14:paraId="6567B7FD">
            <w:pPr>
              <w:pStyle w:val="27"/>
              <w:ind w:firstLine="0" w:firstLineChars="0"/>
              <w:rPr>
                <w:rFonts w:ascii="Times New Roman"/>
              </w:rPr>
            </w:pPr>
            <w:r>
              <w:rPr>
                <w:rFonts w:ascii="Times New Roman"/>
              </w:rPr>
              <w:t>40 ≤ LHI &lt; 60</w:t>
            </w:r>
          </w:p>
        </w:tc>
        <w:tc>
          <w:tcPr>
            <w:tcW w:w="904" w:type="pct"/>
            <w:tcBorders>
              <w:top w:val="single" w:color="auto" w:sz="6" w:space="0"/>
              <w:bottom w:val="single" w:color="auto" w:sz="6" w:space="0"/>
            </w:tcBorders>
            <w:noWrap/>
          </w:tcPr>
          <w:p w14:paraId="570A40FF">
            <w:pPr>
              <w:pStyle w:val="27"/>
              <w:ind w:firstLine="0" w:firstLineChars="0"/>
              <w:rPr>
                <w:rFonts w:ascii="Times New Roman"/>
              </w:rPr>
            </w:pPr>
            <w:r>
              <w:rPr>
                <w:rFonts w:ascii="Times New Roman"/>
              </w:rPr>
              <w:t>受人为扰动较大</w:t>
            </w:r>
          </w:p>
        </w:tc>
        <w:tc>
          <w:tcPr>
            <w:tcW w:w="2684" w:type="pct"/>
            <w:tcBorders>
              <w:top w:val="single" w:color="auto" w:sz="6" w:space="0"/>
              <w:bottom w:val="single" w:color="auto" w:sz="6" w:space="0"/>
            </w:tcBorders>
            <w:noWrap/>
          </w:tcPr>
          <w:p w14:paraId="3F6C598B">
            <w:pPr>
              <w:pStyle w:val="27"/>
              <w:ind w:firstLine="0" w:firstLineChars="0"/>
              <w:rPr>
                <w:rFonts w:ascii="Times New Roman"/>
              </w:rPr>
            </w:pPr>
            <w:r>
              <w:rPr>
                <w:rFonts w:ascii="Times New Roman"/>
              </w:rPr>
              <w:t>生态系统结构发生变化，功能有所退化，受明显人为干扰。</w:t>
            </w:r>
          </w:p>
        </w:tc>
      </w:tr>
      <w:tr w14:paraId="12FAD6DA">
        <w:tblPrEx>
          <w:tblCellMar>
            <w:top w:w="0" w:type="dxa"/>
            <w:left w:w="108" w:type="dxa"/>
            <w:bottom w:w="0" w:type="dxa"/>
            <w:right w:w="108" w:type="dxa"/>
          </w:tblCellMar>
        </w:tblPrEx>
        <w:trPr>
          <w:trHeight w:val="278" w:hRule="atLeast"/>
        </w:trPr>
        <w:tc>
          <w:tcPr>
            <w:tcW w:w="508" w:type="pct"/>
            <w:tcBorders>
              <w:top w:val="single" w:color="auto" w:sz="6" w:space="0"/>
              <w:bottom w:val="single" w:color="auto" w:sz="6" w:space="0"/>
            </w:tcBorders>
            <w:noWrap/>
          </w:tcPr>
          <w:p w14:paraId="2597DB6F">
            <w:pPr>
              <w:pStyle w:val="27"/>
              <w:ind w:firstLine="0" w:firstLineChars="0"/>
              <w:rPr>
                <w:rFonts w:ascii="Times New Roman"/>
              </w:rPr>
            </w:pPr>
            <w:r>
              <w:rPr>
                <w:rFonts w:ascii="Times New Roman"/>
              </w:rPr>
              <w:t>较差</w:t>
            </w:r>
          </w:p>
        </w:tc>
        <w:tc>
          <w:tcPr>
            <w:tcW w:w="904" w:type="pct"/>
            <w:tcBorders>
              <w:top w:val="single" w:color="auto" w:sz="6" w:space="0"/>
              <w:bottom w:val="single" w:color="auto" w:sz="6" w:space="0"/>
            </w:tcBorders>
            <w:noWrap/>
          </w:tcPr>
          <w:p w14:paraId="4DCA0684">
            <w:pPr>
              <w:pStyle w:val="27"/>
              <w:ind w:firstLine="0" w:firstLineChars="0"/>
              <w:rPr>
                <w:rFonts w:ascii="Times New Roman"/>
              </w:rPr>
            </w:pPr>
            <w:r>
              <w:rPr>
                <w:rFonts w:ascii="Times New Roman"/>
              </w:rPr>
              <w:t>20 ≤ LHI &lt; 40</w:t>
            </w:r>
          </w:p>
        </w:tc>
        <w:tc>
          <w:tcPr>
            <w:tcW w:w="904" w:type="pct"/>
            <w:tcBorders>
              <w:top w:val="single" w:color="auto" w:sz="6" w:space="0"/>
              <w:bottom w:val="single" w:color="auto" w:sz="6" w:space="0"/>
            </w:tcBorders>
            <w:noWrap/>
          </w:tcPr>
          <w:p w14:paraId="5A68E3F2">
            <w:pPr>
              <w:pStyle w:val="27"/>
              <w:ind w:firstLine="0" w:firstLineChars="0"/>
              <w:rPr>
                <w:rFonts w:ascii="Times New Roman"/>
              </w:rPr>
            </w:pPr>
            <w:r>
              <w:rPr>
                <w:rFonts w:ascii="Times New Roman"/>
              </w:rPr>
              <w:t>受人为扰动较大</w:t>
            </w:r>
          </w:p>
        </w:tc>
        <w:tc>
          <w:tcPr>
            <w:tcW w:w="2684" w:type="pct"/>
            <w:tcBorders>
              <w:top w:val="single" w:color="auto" w:sz="6" w:space="0"/>
              <w:bottom w:val="single" w:color="auto" w:sz="6" w:space="0"/>
            </w:tcBorders>
            <w:noWrap/>
          </w:tcPr>
          <w:p w14:paraId="04FDADA2">
            <w:pPr>
              <w:pStyle w:val="27"/>
              <w:ind w:firstLine="0" w:firstLineChars="0"/>
              <w:rPr>
                <w:rFonts w:ascii="Times New Roman"/>
              </w:rPr>
            </w:pPr>
            <w:r>
              <w:rPr>
                <w:rFonts w:ascii="Times New Roman"/>
              </w:rPr>
              <w:t>生态系统结构破坏较大，功能退化严重，受强烈人为干扰。</w:t>
            </w:r>
          </w:p>
        </w:tc>
      </w:tr>
      <w:tr w14:paraId="64A4723E">
        <w:tblPrEx>
          <w:tblCellMar>
            <w:top w:w="0" w:type="dxa"/>
            <w:left w:w="108" w:type="dxa"/>
            <w:bottom w:w="0" w:type="dxa"/>
            <w:right w:w="108" w:type="dxa"/>
          </w:tblCellMar>
        </w:tblPrEx>
        <w:trPr>
          <w:trHeight w:val="278" w:hRule="atLeast"/>
        </w:trPr>
        <w:tc>
          <w:tcPr>
            <w:tcW w:w="508" w:type="pct"/>
            <w:tcBorders>
              <w:top w:val="single" w:color="auto" w:sz="6" w:space="0"/>
              <w:bottom w:val="single" w:color="auto" w:sz="12" w:space="0"/>
            </w:tcBorders>
            <w:noWrap/>
          </w:tcPr>
          <w:p w14:paraId="3C11291C">
            <w:pPr>
              <w:pStyle w:val="27"/>
              <w:ind w:firstLine="0" w:firstLineChars="0"/>
              <w:rPr>
                <w:rFonts w:ascii="Times New Roman"/>
              </w:rPr>
            </w:pPr>
            <w:r>
              <w:rPr>
                <w:rFonts w:ascii="Times New Roman"/>
              </w:rPr>
              <w:t>差</w:t>
            </w:r>
          </w:p>
        </w:tc>
        <w:tc>
          <w:tcPr>
            <w:tcW w:w="904" w:type="pct"/>
            <w:tcBorders>
              <w:top w:val="single" w:color="auto" w:sz="6" w:space="0"/>
              <w:bottom w:val="single" w:color="auto" w:sz="12" w:space="0"/>
            </w:tcBorders>
            <w:noWrap/>
          </w:tcPr>
          <w:p w14:paraId="7962EEAF">
            <w:pPr>
              <w:pStyle w:val="27"/>
              <w:ind w:firstLine="0" w:firstLineChars="0"/>
              <w:rPr>
                <w:rFonts w:ascii="Times New Roman"/>
              </w:rPr>
            </w:pPr>
            <w:r>
              <w:rPr>
                <w:rFonts w:ascii="Times New Roman"/>
              </w:rPr>
              <w:t>0 ≤ LHI &lt; 20</w:t>
            </w:r>
          </w:p>
        </w:tc>
        <w:tc>
          <w:tcPr>
            <w:tcW w:w="904" w:type="pct"/>
            <w:tcBorders>
              <w:top w:val="single" w:color="auto" w:sz="6" w:space="0"/>
              <w:bottom w:val="single" w:color="auto" w:sz="12" w:space="0"/>
            </w:tcBorders>
            <w:noWrap/>
          </w:tcPr>
          <w:p w14:paraId="636BB5C5">
            <w:pPr>
              <w:pStyle w:val="27"/>
              <w:ind w:firstLine="0" w:firstLineChars="0"/>
              <w:rPr>
                <w:rFonts w:ascii="Times New Roman"/>
              </w:rPr>
            </w:pPr>
            <w:r>
              <w:rPr>
                <w:rFonts w:ascii="Times New Roman"/>
              </w:rPr>
              <w:t>受人为扰动较大</w:t>
            </w:r>
          </w:p>
        </w:tc>
        <w:tc>
          <w:tcPr>
            <w:tcW w:w="2684" w:type="pct"/>
            <w:tcBorders>
              <w:top w:val="single" w:color="auto" w:sz="6" w:space="0"/>
              <w:bottom w:val="single" w:color="auto" w:sz="12" w:space="0"/>
            </w:tcBorders>
            <w:noWrap/>
          </w:tcPr>
          <w:p w14:paraId="36292CB2">
            <w:pPr>
              <w:pStyle w:val="27"/>
              <w:ind w:firstLine="0" w:firstLineChars="0"/>
              <w:rPr>
                <w:rFonts w:ascii="Times New Roman"/>
              </w:rPr>
            </w:pPr>
            <w:r>
              <w:rPr>
                <w:rFonts w:ascii="Times New Roman"/>
              </w:rPr>
              <w:t>生态系统结构严重破坏，功能基本丧失，受剧烈人为干扰。</w:t>
            </w:r>
          </w:p>
        </w:tc>
      </w:tr>
    </w:tbl>
    <w:p w14:paraId="1DA7BA4C">
      <w:pPr>
        <w:pStyle w:val="50"/>
        <w:spacing w:before="120" w:after="120"/>
        <w:rPr>
          <w:rFonts w:ascii="Times New Roman"/>
        </w:rPr>
      </w:pPr>
      <w:bookmarkStart w:id="127" w:name="_Toc232425108"/>
      <w:bookmarkStart w:id="128" w:name="_Toc232413597"/>
      <w:bookmarkStart w:id="129" w:name="_Toc232496929"/>
      <w:bookmarkStart w:id="130" w:name="_Toc218519999"/>
      <w:r>
        <w:rPr>
          <w:rFonts w:ascii="Times New Roman"/>
        </w:rPr>
        <w:t>应用结果与注意事项</w:t>
      </w:r>
      <w:bookmarkEnd w:id="127"/>
      <w:bookmarkEnd w:id="128"/>
      <w:bookmarkEnd w:id="129"/>
      <w:bookmarkEnd w:id="130"/>
    </w:p>
    <w:p w14:paraId="611B54BF">
      <w:pPr>
        <w:pStyle w:val="27"/>
        <w:ind w:firstLine="420"/>
        <w:rPr>
          <w:rFonts w:ascii="Times New Roman"/>
        </w:rPr>
      </w:pPr>
      <w:r>
        <w:rPr>
          <w:rFonts w:ascii="Times New Roman"/>
        </w:rPr>
        <w:t>a）应用：本附录评估结果直接用于本标准第</w:t>
      </w:r>
      <w:r>
        <w:rPr>
          <w:rFonts w:hint="eastAsia" w:ascii="Times New Roman"/>
        </w:rPr>
        <w:t>7.1</w:t>
      </w:r>
      <w:r>
        <w:rPr>
          <w:rFonts w:ascii="Times New Roman"/>
        </w:rPr>
        <w:t>条的湖库分类，是选择统计分析法或压力-响应模型法的首要依据。</w:t>
      </w:r>
    </w:p>
    <w:p w14:paraId="389B2B7C">
      <w:pPr>
        <w:pStyle w:val="27"/>
        <w:ind w:firstLine="420"/>
        <w:rPr>
          <w:rFonts w:ascii="Times New Roman"/>
        </w:rPr>
      </w:pPr>
      <w:r>
        <w:rPr>
          <w:rFonts w:ascii="Times New Roman"/>
        </w:rPr>
        <w:t>b)局限性说明：本简化方法侧重于景观尺度的压力评估，未涉及污染物输送过程等细节。对于边界争议或具有特殊生态功能的湖库，应结合实地调查进行综合研判。</w:t>
      </w:r>
    </w:p>
    <w:p w14:paraId="59AFFB09">
      <w:pPr>
        <w:pStyle w:val="27"/>
        <w:ind w:firstLine="420"/>
        <w:rPr>
          <w:rFonts w:ascii="Times New Roman"/>
        </w:rPr>
      </w:pPr>
      <w:r>
        <w:rPr>
          <w:rFonts w:ascii="Times New Roman"/>
        </w:rPr>
        <w:t>c)动态更新：建议每5年对评估数据进行更新，以反映土地利用变化对湖库扰动状态的动态影响。</w:t>
      </w:r>
    </w:p>
    <w:p w14:paraId="4A921547">
      <w:pPr>
        <w:pStyle w:val="27"/>
        <w:ind w:firstLine="0" w:firstLineChars="0"/>
        <w:rPr>
          <w:rFonts w:ascii="Times New Roman"/>
        </w:rPr>
        <w:sectPr>
          <w:headerReference r:id="rId19" w:type="default"/>
          <w:footerReference r:id="rId21" w:type="default"/>
          <w:headerReference r:id="rId20" w:type="even"/>
          <w:footerReference r:id="rId22" w:type="even"/>
          <w:pgSz w:w="11906" w:h="16838"/>
          <w:pgMar w:top="2410" w:right="1134" w:bottom="1134" w:left="1134" w:header="1418" w:footer="1134" w:gutter="284"/>
          <w:cols w:space="425" w:num="1"/>
          <w:formProt w:val="0"/>
          <w:docGrid w:linePitch="312" w:charSpace="0"/>
        </w:sectPr>
      </w:pPr>
    </w:p>
    <w:p w14:paraId="00EBEFD1">
      <w:pPr>
        <w:pStyle w:val="47"/>
        <w:rPr>
          <w:rFonts w:ascii="Times New Roman" w:hAnsi="Times New Roman"/>
          <w:vanish w:val="0"/>
        </w:rPr>
      </w:pPr>
    </w:p>
    <w:p w14:paraId="765BC571">
      <w:pPr>
        <w:pStyle w:val="48"/>
        <w:rPr>
          <w:rFonts w:ascii="Times New Roman"/>
          <w:vanish w:val="0"/>
        </w:rPr>
      </w:pPr>
    </w:p>
    <w:p w14:paraId="39B279D0">
      <w:pPr>
        <w:pStyle w:val="49"/>
        <w:spacing w:before="60" w:after="120"/>
        <w:ind w:left="0"/>
        <w:rPr>
          <w:rFonts w:ascii="Times New Roman"/>
        </w:rPr>
      </w:pPr>
      <w:r>
        <w:rPr>
          <w:rFonts w:ascii="Times New Roman"/>
        </w:rPr>
        <w:br w:type="textWrapping"/>
      </w:r>
      <w:bookmarkStart w:id="131" w:name="_Toc232496930"/>
      <w:r>
        <w:rPr>
          <w:rFonts w:ascii="Times New Roman"/>
        </w:rPr>
        <w:t>（</w:t>
      </w:r>
      <w:r>
        <w:rPr>
          <w:rFonts w:hint="eastAsia" w:ascii="Times New Roman"/>
        </w:rPr>
        <w:t>规范</w:t>
      </w:r>
      <w:r>
        <w:rPr>
          <w:rFonts w:ascii="Times New Roman"/>
        </w:rPr>
        <w:t>性）</w:t>
      </w:r>
      <w:r>
        <w:rPr>
          <w:rFonts w:ascii="Times New Roman"/>
        </w:rPr>
        <w:br w:type="textWrapping"/>
      </w:r>
      <w:r>
        <w:rPr>
          <w:rFonts w:ascii="Times New Roman"/>
        </w:rPr>
        <w:t>高浊度水体数据预处理与浊度校正方法</w:t>
      </w:r>
      <w:bookmarkEnd w:id="131"/>
    </w:p>
    <w:p w14:paraId="0EF7E606">
      <w:pPr>
        <w:pStyle w:val="50"/>
        <w:spacing w:before="120" w:after="120"/>
        <w:rPr>
          <w:rFonts w:ascii="Times New Roman"/>
        </w:rPr>
      </w:pPr>
      <w:bookmarkStart w:id="132" w:name="_Toc232425110"/>
      <w:bookmarkStart w:id="133" w:name="_Toc218520001"/>
      <w:bookmarkStart w:id="134" w:name="_Toc232413599"/>
      <w:bookmarkStart w:id="135" w:name="_Toc232496931"/>
      <w:r>
        <w:rPr>
          <w:rFonts w:ascii="Times New Roman"/>
        </w:rPr>
        <w:t>目的与适用范围</w:t>
      </w:r>
      <w:bookmarkEnd w:id="132"/>
      <w:bookmarkEnd w:id="133"/>
      <w:bookmarkEnd w:id="134"/>
      <w:bookmarkEnd w:id="135"/>
    </w:p>
    <w:p w14:paraId="179FEBCA">
      <w:pPr>
        <w:pStyle w:val="27"/>
        <w:ind w:firstLine="420"/>
        <w:rPr>
          <w:rFonts w:ascii="Times New Roman"/>
        </w:rPr>
      </w:pPr>
      <w:r>
        <w:rPr>
          <w:rFonts w:ascii="Times New Roman"/>
        </w:rPr>
        <w:t>本附录规定了针对黄河流域高浊度湖库水质数据，特别是营养物与响应指标数据，进行预处理与浊度校正的技术方法。旨在消除或量化高浊度对关键水质指标（尤其是透明度、叶绿素a）测定值的影响，为后续科学构建压力-响应关系及准确推导氮磷阈值提供可靠的数据基础。</w:t>
      </w:r>
    </w:p>
    <w:p w14:paraId="57403644">
      <w:pPr>
        <w:pStyle w:val="27"/>
        <w:ind w:firstLine="420"/>
        <w:rPr>
          <w:rFonts w:ascii="Times New Roman"/>
        </w:rPr>
      </w:pPr>
      <w:r>
        <w:rPr>
          <w:rFonts w:ascii="Times New Roman"/>
        </w:rPr>
        <w:t>本方法适用于悬浮物浓度高、浊度大（通常指多年平均浊度 ≥ 50 NTU）的湖泊与水库。</w:t>
      </w:r>
    </w:p>
    <w:p w14:paraId="556EB07C">
      <w:pPr>
        <w:pStyle w:val="50"/>
        <w:spacing w:before="120" w:after="120"/>
        <w:rPr>
          <w:rFonts w:ascii="Times New Roman"/>
        </w:rPr>
      </w:pPr>
      <w:bookmarkStart w:id="136" w:name="_Toc218520002"/>
      <w:bookmarkStart w:id="137" w:name="_Toc232413600"/>
      <w:bookmarkStart w:id="138" w:name="_Toc232425111"/>
      <w:bookmarkStart w:id="139" w:name="_Toc232496932"/>
      <w:r>
        <w:rPr>
          <w:rFonts w:ascii="Times New Roman"/>
        </w:rPr>
        <w:t>问题识别</w:t>
      </w:r>
      <w:bookmarkEnd w:id="136"/>
      <w:bookmarkEnd w:id="137"/>
      <w:bookmarkEnd w:id="138"/>
      <w:bookmarkEnd w:id="139"/>
    </w:p>
    <w:p w14:paraId="12756076">
      <w:pPr>
        <w:pStyle w:val="27"/>
        <w:ind w:firstLine="420"/>
        <w:rPr>
          <w:rFonts w:ascii="Times New Roman"/>
        </w:rPr>
      </w:pPr>
      <w:r>
        <w:rPr>
          <w:rFonts w:ascii="Times New Roman"/>
        </w:rPr>
        <w:t>高浊度水体中，悬浮泥沙颗粒会导致：</w:t>
      </w:r>
    </w:p>
    <w:p w14:paraId="253FBC0D">
      <w:pPr>
        <w:pStyle w:val="27"/>
        <w:ind w:firstLine="420"/>
        <w:rPr>
          <w:rFonts w:ascii="Times New Roman"/>
        </w:rPr>
      </w:pPr>
      <w:r>
        <w:rPr>
          <w:rFonts w:ascii="Times New Roman"/>
        </w:rPr>
        <w:t>a)透明度（SD）显著降低：泥沙的光学遮蔽效应远大于浮游植物。</w:t>
      </w:r>
    </w:p>
    <w:p w14:paraId="2E7C6DB5">
      <w:pPr>
        <w:pStyle w:val="27"/>
        <w:ind w:firstLine="420"/>
        <w:rPr>
          <w:rFonts w:ascii="Times New Roman"/>
        </w:rPr>
      </w:pPr>
      <w:r>
        <w:rPr>
          <w:rFonts w:ascii="Times New Roman"/>
        </w:rPr>
        <w:t>b)叶绿素a（Chl-a）测定值偏高：使用分光光度法测定叶绿素a时，水样中的泥沙等悬浮颗粒会散射光线，导致吸光度测量值偏高，若不进行浊度校正（例如扣除750nm处的吸光度），会使叶绿素a测定结果偏高。</w:t>
      </w:r>
    </w:p>
    <w:p w14:paraId="00183945">
      <w:pPr>
        <w:pStyle w:val="27"/>
        <w:ind w:firstLine="420"/>
        <w:rPr>
          <w:rFonts w:ascii="Times New Roman"/>
        </w:rPr>
      </w:pPr>
      <w:r>
        <w:rPr>
          <w:rFonts w:ascii="Times New Roman"/>
        </w:rPr>
        <w:t>c)营养物-藻类响应关系被掩蔽：高浊度水体中，光照限制抑制藻类生长，导致相同营养盐（TN、TP）水平下观测的叶绿素a浓度低于清水条件，从而低估实际富营养化风险。</w:t>
      </w:r>
    </w:p>
    <w:p w14:paraId="3C02596C">
      <w:pPr>
        <w:pStyle w:val="50"/>
        <w:spacing w:before="120" w:after="120"/>
        <w:rPr>
          <w:rFonts w:ascii="Times New Roman"/>
        </w:rPr>
      </w:pPr>
      <w:bookmarkStart w:id="140" w:name="_Toc232496933"/>
      <w:bookmarkStart w:id="141" w:name="_Toc232413601"/>
      <w:bookmarkStart w:id="142" w:name="_Toc232425112"/>
      <w:bookmarkStart w:id="143" w:name="_Toc218520003"/>
      <w:r>
        <w:rPr>
          <w:rFonts w:ascii="Times New Roman"/>
        </w:rPr>
        <w:t>数据预处理流程</w:t>
      </w:r>
      <w:bookmarkEnd w:id="140"/>
      <w:bookmarkEnd w:id="141"/>
      <w:bookmarkEnd w:id="142"/>
      <w:bookmarkEnd w:id="143"/>
    </w:p>
    <w:p w14:paraId="4E638B3D">
      <w:pPr>
        <w:pStyle w:val="43"/>
        <w:numPr>
          <w:ilvl w:val="0"/>
          <w:numId w:val="0"/>
        </w:numPr>
        <w:spacing w:before="120" w:after="120"/>
        <w:outlineLvl w:val="3"/>
        <w:rPr>
          <w:rFonts w:ascii="Times New Roman"/>
        </w:rPr>
      </w:pPr>
      <w:r>
        <w:rPr>
          <w:rFonts w:ascii="Times New Roman"/>
        </w:rPr>
        <w:t>B.3.1 数据清洗与审查</w:t>
      </w:r>
    </w:p>
    <w:p w14:paraId="502ECD62">
      <w:pPr>
        <w:pStyle w:val="27"/>
        <w:ind w:firstLine="420"/>
        <w:rPr>
          <w:rFonts w:ascii="Times New Roman"/>
        </w:rPr>
      </w:pPr>
      <w:r>
        <w:rPr>
          <w:rFonts w:ascii="Times New Roman"/>
        </w:rPr>
        <w:t>a)异常值识别：结合水文气象记录（如暴雨、泄洪、风浪事件），审查浊度、悬浮物浓度（SS）的极端高值。对于由短期强扰动事件引起、不代表常态水质的极高值，应予标注或谨慎使用，避免对长期关系分析产生过度影响。</w:t>
      </w:r>
    </w:p>
    <w:p w14:paraId="7E7B6701">
      <w:pPr>
        <w:pStyle w:val="27"/>
        <w:ind w:firstLine="420"/>
        <w:rPr>
          <w:rFonts w:ascii="Times New Roman"/>
        </w:rPr>
      </w:pPr>
      <w:r>
        <w:rPr>
          <w:rFonts w:ascii="Times New Roman"/>
        </w:rPr>
        <w:t>b)数据匹配性：确保TN、TP、Chl-a、浊度（或SS）、透明度等关键指标为同一时间、同一样点采集的同步数据。</w:t>
      </w:r>
    </w:p>
    <w:p w14:paraId="15D07619">
      <w:pPr>
        <w:pStyle w:val="27"/>
        <w:ind w:firstLine="420"/>
        <w:rPr>
          <w:rFonts w:ascii="Times New Roman"/>
        </w:rPr>
      </w:pPr>
      <w:r>
        <w:rPr>
          <w:rFonts w:ascii="Times New Roman"/>
        </w:rPr>
        <w:t>c)缺失值处理：少量随机缺失数据可采用插值法（如时间序列插值、空间克里金插值）补充。若关键指标（如浊度）大量缺失，则该样本不建议用于构建定量压力-响应模型。</w:t>
      </w:r>
    </w:p>
    <w:p w14:paraId="363F89F3">
      <w:pPr>
        <w:pStyle w:val="43"/>
        <w:numPr>
          <w:ilvl w:val="0"/>
          <w:numId w:val="0"/>
        </w:numPr>
        <w:spacing w:before="120" w:after="120"/>
        <w:outlineLvl w:val="3"/>
        <w:rPr>
          <w:rFonts w:ascii="Times New Roman"/>
        </w:rPr>
      </w:pPr>
      <w:r>
        <w:rPr>
          <w:rFonts w:ascii="Times New Roman"/>
        </w:rPr>
        <w:t>B.3.2 透明度指标的校正或代替适用</w:t>
      </w:r>
    </w:p>
    <w:p w14:paraId="156B5A61">
      <w:pPr>
        <w:pStyle w:val="27"/>
        <w:ind w:firstLine="420"/>
        <w:rPr>
          <w:rFonts w:ascii="Times New Roman"/>
        </w:rPr>
      </w:pPr>
      <w:r>
        <w:rPr>
          <w:rFonts w:ascii="Times New Roman"/>
        </w:rPr>
        <w:t>在高浊度水体中，塞氏盘透明度主要反映浊度而非藻类生物量，其与Chl-a的经典关系失效。</w:t>
      </w:r>
    </w:p>
    <w:p w14:paraId="0DAF0301">
      <w:pPr>
        <w:pStyle w:val="27"/>
        <w:ind w:firstLine="420"/>
        <w:rPr>
          <w:rFonts w:ascii="Times New Roman"/>
        </w:rPr>
      </w:pPr>
      <w:r>
        <w:rPr>
          <w:rFonts w:ascii="Times New Roman"/>
        </w:rPr>
        <w:t>校正使用：可采用经验公式建立SD与浊度的定量关系，例如：</w:t>
      </w:r>
    </w:p>
    <w:p w14:paraId="44BE110E">
      <w:pPr>
        <w:pStyle w:val="27"/>
        <w:ind w:firstLine="420"/>
        <w:jc w:val="right"/>
        <w:rPr>
          <w:rFonts w:hint="default" w:hAnsi="Cambria Math" w:eastAsia="宋体"/>
          <w:i w:val="0"/>
          <w:sz w:val="21"/>
          <w:lang w:val="en-US" w:eastAsia="zh-CN"/>
        </w:rPr>
      </w:pPr>
      <w:r>
        <w:rPr>
          <w:rFonts w:hint="eastAsia" w:ascii="Times New Roman"/>
          <w:position w:val="-30"/>
        </w:rPr>
        <w:t xml:space="preserve"> </w:t>
      </w:r>
      <m:oMath>
        <m:r>
          <m:rPr/>
          <w:rPr>
            <w:rFonts w:hint="default" w:ascii="Cambria Math" w:hAnsi="Cambria Math"/>
            <w:sz w:val="21"/>
          </w:rPr>
          <m:t>SD=</m:t>
        </m:r>
        <m:f>
          <m:fPr>
            <m:ctrlPr>
              <w:rPr>
                <w:rFonts w:hint="default" w:ascii="Cambria Math" w:hAnsi="Cambria Math"/>
                <w:i/>
                <w:sz w:val="21"/>
              </w:rPr>
            </m:ctrlPr>
          </m:fPr>
          <m:num>
            <m:r>
              <m:rPr/>
              <w:rPr>
                <w:rFonts w:hint="default" w:ascii="Cambria Math" w:hAnsi="Cambria Math"/>
                <w:sz w:val="21"/>
              </w:rPr>
              <m:t>A</m:t>
            </m:r>
            <m:ctrlPr>
              <w:rPr>
                <w:rFonts w:ascii="Cambria Math" w:hAnsi="Cambria Math"/>
                <w:sz w:val="21"/>
              </w:rPr>
            </m:ctrlPr>
          </m:num>
          <m:den>
            <m:r>
              <m:rPr/>
              <w:rPr>
                <w:rFonts w:hint="default" w:ascii="Cambria Math" w:hAnsi="Cambria Math"/>
                <w:sz w:val="21"/>
              </w:rPr>
              <m:t>Turbidity</m:t>
            </m:r>
            <m:ctrlPr>
              <w:rPr>
                <w:rFonts w:ascii="Cambria Math" w:hAnsi="Cambria Math"/>
                <w:sz w:val="21"/>
              </w:rPr>
            </m:ctrlPr>
          </m:den>
        </m:f>
        <m:r>
          <m:rPr/>
          <w:rPr>
            <w:rFonts w:hint="default" w:ascii="Cambria Math" w:hAnsi="Cambria Math"/>
            <w:sz w:val="21"/>
          </w:rPr>
          <m:t>+B</m:t>
        </m:r>
      </m:oMath>
      <w:r>
        <m:rPr/>
        <w:rPr>
          <w:rFonts w:hint="eastAsia" w:hAnsi="Cambria Math"/>
          <w:i w:val="0"/>
          <w:sz w:val="21"/>
          <w:lang w:val="en-US" w:eastAsia="zh-CN"/>
        </w:rPr>
        <w:t xml:space="preserve">                                （1）</w:t>
      </w:r>
    </w:p>
    <w:p w14:paraId="369FB9F9">
      <w:pPr>
        <w:pStyle w:val="27"/>
        <w:ind w:firstLine="420"/>
        <w:rPr>
          <w:rFonts w:ascii="Times New Roman"/>
        </w:rPr>
      </w:pPr>
      <w:r>
        <w:rPr>
          <w:rFonts w:ascii="Times New Roman"/>
        </w:rPr>
        <w:t>通过本地数据拟合参数A和B。经此转换，可将SD数据转换为“理论等效浊度”进行分析，但不再直接用于评价藻类生物量。</w:t>
      </w:r>
    </w:p>
    <w:p w14:paraId="4D2C85EE">
      <w:pPr>
        <w:pStyle w:val="27"/>
        <w:ind w:firstLine="420"/>
        <w:rPr>
          <w:rFonts w:ascii="Times New Roman"/>
        </w:rPr>
      </w:pPr>
      <w:r>
        <w:rPr>
          <w:rFonts w:ascii="Times New Roman"/>
        </w:rPr>
        <w:t>替代指标：在建立以Chl-a为核心响应指标的压力-响应模型时，建议不使用SD，或仅将其作为反映水体光学背景的协变量。</w:t>
      </w:r>
    </w:p>
    <w:p w14:paraId="2D058FBE">
      <w:pPr>
        <w:pStyle w:val="43"/>
        <w:numPr>
          <w:ilvl w:val="0"/>
          <w:numId w:val="0"/>
        </w:numPr>
        <w:spacing w:before="120" w:after="120"/>
        <w:outlineLvl w:val="3"/>
        <w:rPr>
          <w:rFonts w:ascii="Times New Roman"/>
        </w:rPr>
      </w:pPr>
      <w:r>
        <w:rPr>
          <w:rFonts w:ascii="Times New Roman"/>
        </w:rPr>
        <w:t>B.3.3 数据集分组建议</w:t>
      </w:r>
    </w:p>
    <w:p w14:paraId="6BEEF703">
      <w:pPr>
        <w:pStyle w:val="27"/>
        <w:ind w:firstLine="420"/>
        <w:rPr>
          <w:rFonts w:ascii="Times New Roman"/>
        </w:rPr>
      </w:pPr>
      <w:r>
        <w:rPr>
          <w:rFonts w:ascii="Times New Roman"/>
        </w:rPr>
        <w:t>为便于分析，可将预处理后的数据按浊度水平进行分组：</w:t>
      </w:r>
    </w:p>
    <w:p w14:paraId="543D3D3A">
      <w:pPr>
        <w:pStyle w:val="27"/>
        <w:ind w:firstLine="420"/>
        <w:rPr>
          <w:rFonts w:ascii="Times New Roman"/>
        </w:rPr>
      </w:pPr>
      <w:r>
        <w:rPr>
          <w:rFonts w:ascii="Times New Roman"/>
        </w:rPr>
        <w:t xml:space="preserve">a)低浊度组：Turbidity </w:t>
      </w:r>
      <w:r>
        <w:rPr>
          <w:rFonts w:hint="eastAsia" w:ascii="Times New Roman"/>
        </w:rPr>
        <w:t>≤</w:t>
      </w:r>
      <w:r>
        <w:rPr>
          <w:rFonts w:ascii="Times New Roman"/>
        </w:rPr>
        <w:t xml:space="preserve"> </w:t>
      </w:r>
      <w:r>
        <w:rPr>
          <w:rFonts w:hint="eastAsia" w:ascii="Times New Roman"/>
        </w:rPr>
        <w:t>15</w:t>
      </w:r>
      <w:r>
        <w:rPr>
          <w:rFonts w:ascii="Times New Roman"/>
        </w:rPr>
        <w:t xml:space="preserve"> NTU</w:t>
      </w:r>
    </w:p>
    <w:p w14:paraId="00E4CB99">
      <w:pPr>
        <w:pStyle w:val="27"/>
        <w:ind w:firstLine="420"/>
        <w:rPr>
          <w:rFonts w:ascii="Times New Roman"/>
        </w:rPr>
      </w:pPr>
      <w:r>
        <w:rPr>
          <w:rFonts w:ascii="Times New Roman"/>
        </w:rPr>
        <w:t>b)中浊度组：</w:t>
      </w:r>
      <w:r>
        <w:rPr>
          <w:rFonts w:hint="eastAsia" w:ascii="Times New Roman"/>
        </w:rPr>
        <w:t>15</w:t>
      </w:r>
      <w:r>
        <w:rPr>
          <w:rFonts w:ascii="Times New Roman"/>
        </w:rPr>
        <w:t xml:space="preserve"> </w:t>
      </w:r>
      <w:r>
        <w:rPr>
          <w:rFonts w:hint="eastAsia" w:ascii="Times New Roman"/>
        </w:rPr>
        <w:t>＜</w:t>
      </w:r>
      <w:r>
        <w:rPr>
          <w:rFonts w:ascii="Times New Roman"/>
        </w:rPr>
        <w:t xml:space="preserve"> Turbidity &lt; 50 NTU</w:t>
      </w:r>
    </w:p>
    <w:p w14:paraId="64635AD0">
      <w:pPr>
        <w:pStyle w:val="27"/>
        <w:ind w:firstLine="420"/>
        <w:rPr>
          <w:rFonts w:ascii="Times New Roman"/>
        </w:rPr>
      </w:pPr>
      <w:r>
        <w:rPr>
          <w:rFonts w:ascii="Times New Roman"/>
        </w:rPr>
        <w:t>c)高浊度组：Turbidity ≥ 50 NTU</w:t>
      </w:r>
    </w:p>
    <w:p w14:paraId="432F1749">
      <w:pPr>
        <w:pStyle w:val="27"/>
        <w:ind w:firstLine="420"/>
        <w:rPr>
          <w:rFonts w:ascii="Times New Roman"/>
        </w:rPr>
      </w:pPr>
      <w:r>
        <w:rPr>
          <w:rFonts w:ascii="Times New Roman"/>
        </w:rPr>
        <w:t>注：浊度分组阈值基于黄河流域湖库压力-响应模型统计分析确定。 在建模时，可考虑分层建模或引入“浊度组”作为分类变量。</w:t>
      </w:r>
    </w:p>
    <w:bookmarkEnd w:id="109"/>
    <w:p w14:paraId="50669190">
      <w:pPr>
        <w:pStyle w:val="50"/>
        <w:spacing w:before="120" w:after="120"/>
        <w:rPr>
          <w:rFonts w:ascii="Times New Roman"/>
        </w:rPr>
      </w:pPr>
      <w:bookmarkStart w:id="144" w:name="_Toc232413602"/>
      <w:bookmarkStart w:id="145" w:name="_Toc232496934"/>
      <w:bookmarkStart w:id="146" w:name="_Toc232425113"/>
      <w:bookmarkStart w:id="147" w:name="_Toc218520004"/>
      <w:bookmarkStart w:id="148" w:name="BookMark6"/>
      <w:r>
        <w:rPr>
          <w:rFonts w:ascii="Times New Roman"/>
        </w:rPr>
        <w:t>压力-响应建模中的浊度变量处理规范</w:t>
      </w:r>
      <w:bookmarkEnd w:id="144"/>
      <w:bookmarkEnd w:id="145"/>
      <w:bookmarkEnd w:id="146"/>
      <w:bookmarkEnd w:id="147"/>
    </w:p>
    <w:p w14:paraId="41B8D60A">
      <w:pPr>
        <w:pStyle w:val="43"/>
        <w:numPr>
          <w:ilvl w:val="0"/>
          <w:numId w:val="0"/>
        </w:numPr>
        <w:spacing w:before="120" w:after="120"/>
        <w:outlineLvl w:val="3"/>
        <w:rPr>
          <w:rFonts w:ascii="Times New Roman"/>
        </w:rPr>
      </w:pPr>
      <w:r>
        <w:rPr>
          <w:rFonts w:ascii="Times New Roman"/>
        </w:rPr>
        <w:t>B.4.1 浊度作为必需的解释变量</w:t>
      </w:r>
    </w:p>
    <w:p w14:paraId="2D02EFB9">
      <w:pPr>
        <w:pStyle w:val="27"/>
        <w:ind w:firstLine="420"/>
        <w:rPr>
          <w:rFonts w:ascii="Times New Roman"/>
          <w:position w:val="-6"/>
        </w:rPr>
      </w:pPr>
      <w:r>
        <w:rPr>
          <w:rFonts w:ascii="Times New Roman"/>
        </w:rPr>
        <w:t>在任何形式的压力-响应模型中，必须将浊度（或悬浮物浓度SS）作为关键解释变量纳入。模型的基本形式应体现：</w:t>
      </w:r>
    </w:p>
    <w:p w14:paraId="1BAACEE4">
      <w:pPr>
        <w:pStyle w:val="27"/>
        <w:ind w:firstLine="420"/>
        <w:jc w:val="center"/>
        <w:rPr>
          <w:rFonts w:hint="default" w:ascii="Times New Roman"/>
          <w:position w:val="-6"/>
          <w:lang w:val="en-US"/>
        </w:rPr>
      </w:pPr>
      <m:oMathPara>
        <m:oMath>
          <m:r>
            <m:rPr/>
            <w:rPr>
              <w:rFonts w:hint="eastAsia" w:ascii="Cambria Math" w:hAnsi="Cambria Math" w:cs="Times New Roman"/>
              <w:position w:val="-6"/>
              <w:sz w:val="21"/>
              <w:lang w:val="en-US" w:eastAsia="zh-CN" w:bidi="ar-SA"/>
            </w:rPr>
            <m:t>响应变量（</m:t>
          </m:r>
          <m:r>
            <m:rPr/>
            <w:rPr>
              <w:rFonts w:hint="default" w:ascii="Cambria Math" w:hAnsi="Cambria Math" w:cs="Times New Roman"/>
              <w:position w:val="-6"/>
              <w:sz w:val="21"/>
              <w:lang w:val="en-US" w:eastAsia="zh-CN" w:bidi="ar-SA"/>
            </w:rPr>
            <m:t>e.g., Chl−a</m:t>
          </m:r>
          <m:r>
            <m:rPr/>
            <w:rPr>
              <w:rFonts w:hint="eastAsia" w:ascii="Cambria Math" w:hAnsi="Cambria Math" w:cs="Times New Roman"/>
              <w:position w:val="-6"/>
              <w:sz w:val="21"/>
              <w:lang w:val="en-US" w:eastAsia="zh-CN" w:bidi="ar-SA"/>
            </w:rPr>
            <m:t>）</m:t>
          </m:r>
          <m:r>
            <m:rPr/>
            <w:rPr>
              <w:rFonts w:hint="default" w:ascii="Cambria Math" w:hAnsi="Cambria Math" w:cs="Times New Roman"/>
              <w:position w:val="-6"/>
              <w:sz w:val="21"/>
              <w:lang w:val="en-US" w:eastAsia="zh-CN" w:bidi="ar-SA"/>
            </w:rPr>
            <m:t>=f</m:t>
          </m:r>
          <m:r>
            <m:rPr/>
            <w:rPr>
              <w:rFonts w:hint="eastAsia" w:ascii="Cambria Math" w:hAnsi="Cambria Math" w:cs="Times New Roman"/>
              <w:position w:val="-6"/>
              <w:sz w:val="21"/>
              <w:lang w:val="en-US" w:eastAsia="zh-CN" w:bidi="ar-SA"/>
            </w:rPr>
            <m:t>（</m:t>
          </m:r>
          <m:r>
            <m:rPr/>
            <w:rPr>
              <w:rFonts w:hint="default" w:ascii="Cambria Math" w:hAnsi="Cambria Math" w:cs="Times New Roman"/>
              <w:position w:val="-6"/>
              <w:sz w:val="21"/>
              <w:lang w:val="en-US" w:eastAsia="zh-CN" w:bidi="ar-SA"/>
            </w:rPr>
            <m:t xml:space="preserve">TN, TP, Turbidity, </m:t>
          </m:r>
          <m:r>
            <m:rPr/>
            <w:rPr>
              <w:rFonts w:hint="eastAsia" w:ascii="Cambria Math" w:hAnsi="Cambria Math" w:cs="Times New Roman"/>
              <w:position w:val="-6"/>
              <w:sz w:val="21"/>
              <w:lang w:val="en-US" w:eastAsia="zh-CN" w:bidi="ar-SA"/>
            </w:rPr>
            <m:t>其他环境因子）</m:t>
          </m:r>
        </m:oMath>
      </m:oMathPara>
    </w:p>
    <w:p w14:paraId="3335FB65">
      <w:pPr>
        <w:pStyle w:val="43"/>
        <w:numPr>
          <w:ilvl w:val="0"/>
          <w:numId w:val="0"/>
        </w:numPr>
        <w:spacing w:before="120" w:after="120"/>
        <w:outlineLvl w:val="3"/>
        <w:rPr>
          <w:rFonts w:ascii="Times New Roman"/>
        </w:rPr>
      </w:pPr>
      <w:r>
        <w:rPr>
          <w:rFonts w:ascii="Times New Roman"/>
        </w:rPr>
        <w:t>B.4.2 模型形式选择建议</w:t>
      </w:r>
    </w:p>
    <w:p w14:paraId="6032984D">
      <w:pPr>
        <w:pStyle w:val="27"/>
        <w:ind w:firstLine="420"/>
        <w:rPr>
          <w:rFonts w:ascii="Times New Roman"/>
        </w:rPr>
      </w:pPr>
      <w:r>
        <w:rPr>
          <w:rFonts w:ascii="Times New Roman"/>
        </w:rPr>
        <w:t>a)线性模型：在纳入浊度变量后，可尝试建立多元线性回归模型。需检验多重共线性（如TN、TP与浊度间的相关性）。</w:t>
      </w:r>
    </w:p>
    <w:p w14:paraId="5CF8BD3B">
      <w:pPr>
        <w:pStyle w:val="27"/>
        <w:ind w:firstLine="420"/>
        <w:rPr>
          <w:rFonts w:ascii="Times New Roman"/>
        </w:rPr>
      </w:pPr>
      <w:r>
        <w:rPr>
          <w:rFonts w:ascii="Times New Roman"/>
        </w:rPr>
        <w:t>b)非线性/非参数模型（推荐）：</w:t>
      </w:r>
    </w:p>
    <w:p w14:paraId="531C1E2F">
      <w:pPr>
        <w:pStyle w:val="27"/>
        <w:ind w:firstLine="420"/>
        <w:rPr>
          <w:rFonts w:ascii="Times New Roman"/>
        </w:rPr>
      </w:pPr>
      <w:r>
        <w:rPr>
          <w:rFonts w:ascii="Times New Roman"/>
        </w:rPr>
        <w:t>分类回归树：将浊度作为与TN、TP同等重要的候选预测变量，允许模型自动识别浊度在划分数据组中的关键作用。</w:t>
      </w:r>
    </w:p>
    <w:p w14:paraId="4A6445B7">
      <w:pPr>
        <w:pStyle w:val="27"/>
        <w:ind w:firstLine="420"/>
        <w:rPr>
          <w:rFonts w:ascii="Times New Roman"/>
        </w:rPr>
      </w:pPr>
      <w:r>
        <w:rPr>
          <w:rFonts w:ascii="Times New Roman"/>
        </w:rPr>
        <w:t>广义加性模型：可灵活处理浊度与响应变量之间的非线性关系。</w:t>
      </w:r>
    </w:p>
    <w:p w14:paraId="4E232205">
      <w:pPr>
        <w:pStyle w:val="27"/>
        <w:ind w:firstLine="420"/>
        <w:rPr>
          <w:rFonts w:ascii="Times New Roman"/>
        </w:rPr>
      </w:pPr>
      <w:r>
        <w:rPr>
          <w:rFonts w:ascii="Times New Roman"/>
        </w:rPr>
        <w:t>分位数回归：特别适用于探究在不同浊度水平下，营养物对藻类生物量的影响上限（如90%分位数）。</w:t>
      </w:r>
    </w:p>
    <w:p w14:paraId="6A06D008">
      <w:pPr>
        <w:pStyle w:val="43"/>
        <w:numPr>
          <w:ilvl w:val="0"/>
          <w:numId w:val="0"/>
        </w:numPr>
        <w:spacing w:before="120" w:after="120"/>
        <w:outlineLvl w:val="3"/>
        <w:rPr>
          <w:rFonts w:ascii="Times New Roman"/>
        </w:rPr>
      </w:pPr>
      <w:r>
        <w:rPr>
          <w:rFonts w:ascii="Times New Roman"/>
        </w:rPr>
        <w:t>B.4.3 模型解释与阈值提取</w:t>
      </w:r>
    </w:p>
    <w:p w14:paraId="343AABD2">
      <w:pPr>
        <w:pStyle w:val="27"/>
        <w:ind w:firstLine="420"/>
        <w:rPr>
          <w:rFonts w:ascii="Times New Roman"/>
        </w:rPr>
      </w:pPr>
      <w:r>
        <w:rPr>
          <w:rFonts w:ascii="Times New Roman"/>
        </w:rPr>
        <w:t>a)解释模型时，必须明确阐述浊度变量的系数及其生态学含义（如抑制效应）。</w:t>
      </w:r>
    </w:p>
    <w:p w14:paraId="0C02CC23">
      <w:pPr>
        <w:pStyle w:val="27"/>
        <w:ind w:firstLine="420"/>
        <w:rPr>
          <w:rFonts w:ascii="Times New Roman"/>
        </w:rPr>
      </w:pPr>
      <w:r>
        <w:rPr>
          <w:rFonts w:ascii="Times New Roman"/>
        </w:rPr>
        <w:t>b)提取氮磷阈值时，必须固定浊度条件。例如：“当湖体夏季平均浊度为50 NTU时，为维持Chl-a ≤ 10 μg/L，TP阈值应为X mg/L”。</w:t>
      </w:r>
    </w:p>
    <w:p w14:paraId="782135F0">
      <w:pPr>
        <w:pStyle w:val="50"/>
        <w:spacing w:before="120" w:after="120"/>
        <w:rPr>
          <w:rFonts w:ascii="Times New Roman"/>
        </w:rPr>
      </w:pPr>
      <w:bookmarkStart w:id="149" w:name="_Toc232413603"/>
      <w:bookmarkStart w:id="150" w:name="_Toc218520005"/>
      <w:bookmarkStart w:id="151" w:name="_Toc232496935"/>
      <w:bookmarkStart w:id="152" w:name="_Toc232425114"/>
      <w:r>
        <w:rPr>
          <w:rFonts w:ascii="Times New Roman"/>
        </w:rPr>
        <w:t>质量保证与注意事项</w:t>
      </w:r>
      <w:bookmarkEnd w:id="149"/>
      <w:bookmarkEnd w:id="150"/>
      <w:bookmarkEnd w:id="151"/>
      <w:bookmarkEnd w:id="152"/>
    </w:p>
    <w:p w14:paraId="579A5D72">
      <w:pPr>
        <w:pStyle w:val="27"/>
        <w:ind w:firstLine="420"/>
        <w:rPr>
          <w:rFonts w:ascii="Times New Roman"/>
        </w:rPr>
      </w:pPr>
      <w:r>
        <w:rPr>
          <w:rFonts w:ascii="Times New Roman"/>
        </w:rPr>
        <w:t>a)监测要求：对高浊度水体的监测，应保证浊度仪器的定期校准，并与悬浮物浓度（重量法）进行比对，建立本地化的转换关系。</w:t>
      </w:r>
    </w:p>
    <w:p w14:paraId="0B998144">
      <w:pPr>
        <w:pStyle w:val="27"/>
        <w:ind w:firstLine="420"/>
        <w:rPr>
          <w:rFonts w:ascii="Times New Roman"/>
        </w:rPr>
      </w:pPr>
      <w:r>
        <w:rPr>
          <w:rFonts w:ascii="Times New Roman"/>
        </w:rPr>
        <w:t>b)方法局限性：本校正方法主要针对光学干扰。高浊度水体中营养物的生物可利用性、吸附-解吸过程更为复杂，本附录未予涉及，在解释阈值时需加以考虑。</w:t>
      </w:r>
    </w:p>
    <w:p w14:paraId="0955B87D">
      <w:pPr>
        <w:pStyle w:val="27"/>
        <w:ind w:firstLine="420"/>
        <w:rPr>
          <w:rFonts w:ascii="Times New Roman"/>
        </w:rPr>
      </w:pPr>
      <w:r>
        <w:rPr>
          <w:rFonts w:ascii="Times New Roman"/>
        </w:rPr>
        <w:t>c)动态性：湖库浊度具有显著的时空异质性（如汛期与非汛期）。阈值制定应充分考虑这种动态性，可分期（如汛期、非汛期）制定或给出动态阈值范围。</w:t>
      </w:r>
    </w:p>
    <w:p w14:paraId="38933940">
      <w:pPr>
        <w:pStyle w:val="27"/>
        <w:ind w:firstLine="420"/>
        <w:rPr>
          <w:rFonts w:ascii="Times New Roman"/>
        </w:rPr>
      </w:pPr>
      <w:r>
        <w:rPr>
          <w:rFonts w:ascii="Times New Roman"/>
        </w:rPr>
        <w:t>d)阈值表征：在报告氮磷阈值时，应明确对应的浊度条件。建议采用如下表述格式：</w:t>
      </w:r>
    </w:p>
    <w:p w14:paraId="691A8400">
      <w:pPr>
        <w:pStyle w:val="27"/>
        <w:ind w:firstLine="420"/>
        <w:rPr>
          <w:rFonts w:ascii="Times New Roman"/>
        </w:rPr>
      </w:pPr>
      <w:r>
        <w:rPr>
          <w:rFonts w:ascii="Times New Roman"/>
        </w:rPr>
        <w:t>"当湖体浊度为X NTU时，为维持Chl-a浓度≤Y μg/L，TP浓度应≤Z mg/L，同时TN浓度应≤W mg/L"</w:t>
      </w:r>
    </w:p>
    <w:p w14:paraId="3946F122">
      <w:pPr>
        <w:pStyle w:val="27"/>
        <w:ind w:firstLine="420"/>
        <w:rPr>
          <w:rFonts w:ascii="Times New Roman"/>
        </w:rPr>
      </w:pPr>
      <w:r>
        <w:rPr>
          <w:rFonts w:ascii="Times New Roman"/>
        </w:rPr>
        <w:t>e)图形辅助：在技术报告中，可通过绘制不同浊度水平下的TN-TP阈值关系图来直观展示浊度对阈值的影响。该图应显示在相同Chl-a约束条件下，随着浊度降低，TN和TP的允许浓度范围通常变宽，反映出浊度对藻类生长的抑制作用减弱。</w:t>
      </w:r>
    </w:p>
    <w:p w14:paraId="735AEB3B">
      <w:pPr>
        <w:pStyle w:val="27"/>
        <w:ind w:firstLine="420"/>
        <w:rPr>
          <w:rFonts w:ascii="Times New Roman"/>
        </w:rPr>
      </w:pPr>
    </w:p>
    <w:p w14:paraId="0ACCF71B">
      <w:pPr>
        <w:pStyle w:val="27"/>
        <w:ind w:firstLine="0" w:firstLineChars="0"/>
        <w:rPr>
          <w:rFonts w:ascii="Times New Roman"/>
        </w:rPr>
      </w:pPr>
      <w:r>
        <w:rPr>
          <w:rFonts w:ascii="Times New Roman"/>
        </w:rPr>
        <w:br w:type="page"/>
      </w:r>
    </w:p>
    <w:p w14:paraId="6B6DF7AC">
      <w:pPr>
        <w:pStyle w:val="49"/>
        <w:spacing w:before="60" w:after="120"/>
        <w:ind w:left="0"/>
        <w:rPr>
          <w:rFonts w:ascii="Times New Roman"/>
        </w:rPr>
      </w:pPr>
      <w:r>
        <w:rPr>
          <w:rFonts w:ascii="Times New Roman"/>
        </w:rPr>
        <w:br w:type="textWrapping"/>
      </w:r>
      <w:bookmarkStart w:id="153" w:name="_Toc232496936"/>
      <w:r>
        <w:rPr>
          <w:rFonts w:ascii="Times New Roman"/>
        </w:rPr>
        <w:t>（资料性）</w:t>
      </w:r>
      <w:r>
        <w:rPr>
          <w:rFonts w:ascii="Times New Roman"/>
        </w:rPr>
        <w:br w:type="textWrapping"/>
      </w:r>
      <w:r>
        <w:rPr>
          <w:rFonts w:ascii="Times New Roman"/>
        </w:rPr>
        <w:t>黄河流域区域湖库氮磷阈值制定工作辅助指南</w:t>
      </w:r>
      <w:bookmarkEnd w:id="153"/>
    </w:p>
    <w:p w14:paraId="02D78B10">
      <w:pPr>
        <w:pStyle w:val="50"/>
        <w:spacing w:before="120" w:after="120"/>
        <w:rPr>
          <w:rFonts w:ascii="Times New Roman"/>
        </w:rPr>
      </w:pPr>
      <w:bookmarkStart w:id="154" w:name="_Toc232413605"/>
      <w:bookmarkStart w:id="155" w:name="_Toc232496937"/>
      <w:bookmarkStart w:id="156" w:name="_Toc232425116"/>
      <w:r>
        <w:rPr>
          <w:rFonts w:ascii="Times New Roman"/>
        </w:rPr>
        <w:t>方法选择决策图</w:t>
      </w:r>
      <w:bookmarkEnd w:id="154"/>
      <w:bookmarkEnd w:id="155"/>
      <w:bookmarkEnd w:id="156"/>
    </w:p>
    <w:p w14:paraId="35364308">
      <w:pPr>
        <w:pStyle w:val="27"/>
        <w:ind w:firstLine="420"/>
        <w:rPr>
          <w:rFonts w:ascii="Times New Roman"/>
        </w:rPr>
      </w:pPr>
      <w:r>
        <w:rPr>
          <w:rFonts w:ascii="Times New Roman"/>
        </w:rPr>
        <w:t>为便于快速选择方法，图C.1给出了阈值制定方法的决策流程。该图与正文表1逻辑一致，可作为现场工作的可视化辅助工具。</w:t>
      </w:r>
    </w:p>
    <w:p w14:paraId="794167EF">
      <w:pPr>
        <w:pStyle w:val="27"/>
        <w:ind w:firstLine="420"/>
        <w:jc w:val="center"/>
        <w:rPr>
          <w:rFonts w:ascii="Times New Roman"/>
        </w:rPr>
      </w:pPr>
      <w:r>
        <w:rPr>
          <w:rFonts w:ascii="Times New Roman"/>
        </w:rPr>
        <w:drawing>
          <wp:inline distT="0" distB="0" distL="114300" distR="114300">
            <wp:extent cx="4125595" cy="4260215"/>
            <wp:effectExtent l="0" t="0" r="8255"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35"/>
                    <a:stretch>
                      <a:fillRect/>
                    </a:stretch>
                  </pic:blipFill>
                  <pic:spPr>
                    <a:xfrm>
                      <a:off x="0" y="0"/>
                      <a:ext cx="4125595" cy="4260215"/>
                    </a:xfrm>
                    <a:prstGeom prst="rect">
                      <a:avLst/>
                    </a:prstGeom>
                    <a:noFill/>
                    <a:ln>
                      <a:noFill/>
                    </a:ln>
                  </pic:spPr>
                </pic:pic>
              </a:graphicData>
            </a:graphic>
          </wp:inline>
        </w:drawing>
      </w:r>
    </w:p>
    <w:p w14:paraId="1393C8BA">
      <w:pPr>
        <w:pStyle w:val="27"/>
        <w:overflowPunct w:val="0"/>
        <w:spacing w:before="120" w:after="120"/>
        <w:ind w:firstLine="0" w:firstLineChars="0"/>
        <w:jc w:val="center"/>
        <w:rPr>
          <w:rFonts w:ascii="Times New Roman" w:eastAsia="黑体"/>
        </w:rPr>
      </w:pPr>
      <w:r>
        <w:rPr>
          <w:rFonts w:ascii="Times New Roman" w:eastAsia="黑体"/>
        </w:rPr>
        <w:t>图C.1 阈值制定方法选择决策树</w:t>
      </w:r>
    </w:p>
    <w:p w14:paraId="1A2F7B6F">
      <w:pPr>
        <w:pStyle w:val="50"/>
        <w:spacing w:before="120" w:after="120"/>
        <w:rPr>
          <w:rFonts w:ascii="Times New Roman"/>
        </w:rPr>
      </w:pPr>
      <w:bookmarkStart w:id="157" w:name="_Toc232496938"/>
      <w:bookmarkStart w:id="158" w:name="_Toc232425117"/>
      <w:bookmarkStart w:id="159" w:name="_Toc232413606"/>
      <w:r>
        <w:rPr>
          <w:rFonts w:ascii="Times New Roman"/>
        </w:rPr>
        <w:t>统计分析方法的选择建议</w:t>
      </w:r>
      <w:bookmarkEnd w:id="157"/>
      <w:bookmarkEnd w:id="158"/>
      <w:bookmarkEnd w:id="159"/>
    </w:p>
    <w:p w14:paraId="618ECD02">
      <w:pPr>
        <w:pStyle w:val="27"/>
        <w:ind w:firstLine="420"/>
        <w:rPr>
          <w:rFonts w:ascii="Times New Roman"/>
        </w:rPr>
      </w:pPr>
      <w:r>
        <w:rPr>
          <w:rFonts w:ascii="Times New Roman"/>
        </w:rPr>
        <w:t>当区域内存在符合HJ 838附录B标准的参照湖库（≥3个）时，优先选用参照湖库法，因为它直接基于未受干扰的状态，生态意义明确。若无合适的参照湖库，但有足够的湖库群体数据（通常≥10个），可选用群体分布法或三分法。群体分布法相对三分法更稳健，三分法更简单但易受异常值影响。建议在数据条件允许时，至少使用两种方法相互校验。</w:t>
      </w:r>
    </w:p>
    <w:p w14:paraId="1252C2B5">
      <w:pPr>
        <w:pStyle w:val="50"/>
        <w:spacing w:before="120" w:after="120"/>
        <w:rPr>
          <w:rFonts w:ascii="Times New Roman"/>
        </w:rPr>
      </w:pPr>
      <w:bookmarkStart w:id="160" w:name="_Toc232413613"/>
      <w:bookmarkEnd w:id="160"/>
      <w:bookmarkStart w:id="161" w:name="_Toc232413614"/>
      <w:bookmarkEnd w:id="161"/>
      <w:bookmarkStart w:id="162" w:name="_Toc232413616"/>
      <w:bookmarkEnd w:id="162"/>
      <w:bookmarkStart w:id="163" w:name="_Toc232413608"/>
      <w:bookmarkEnd w:id="163"/>
      <w:bookmarkStart w:id="164" w:name="_Toc232413607"/>
      <w:bookmarkEnd w:id="164"/>
      <w:bookmarkStart w:id="165" w:name="_Toc232413610"/>
      <w:bookmarkEnd w:id="165"/>
      <w:bookmarkStart w:id="166" w:name="_Toc232413609"/>
      <w:bookmarkEnd w:id="166"/>
      <w:bookmarkStart w:id="167" w:name="_Toc232413617"/>
      <w:bookmarkEnd w:id="167"/>
      <w:bookmarkStart w:id="168" w:name="_Toc232413611"/>
      <w:bookmarkEnd w:id="168"/>
      <w:bookmarkStart w:id="169" w:name="_Toc232413615"/>
      <w:bookmarkEnd w:id="169"/>
      <w:bookmarkStart w:id="170" w:name="_Toc232413612"/>
      <w:bookmarkEnd w:id="170"/>
      <w:bookmarkStart w:id="171" w:name="_Toc232425118"/>
      <w:bookmarkStart w:id="172" w:name="_Toc232496939"/>
      <w:bookmarkStart w:id="173" w:name="_Toc232413618"/>
      <w:r>
        <w:rPr>
          <w:rFonts w:ascii="Times New Roman"/>
        </w:rPr>
        <w:t>实施要点</w:t>
      </w:r>
      <w:bookmarkEnd w:id="171"/>
      <w:bookmarkEnd w:id="172"/>
      <w:bookmarkEnd w:id="173"/>
    </w:p>
    <w:p w14:paraId="61E80C3D">
      <w:pPr>
        <w:pStyle w:val="27"/>
        <w:ind w:firstLine="420"/>
        <w:rPr>
          <w:rFonts w:ascii="Times New Roman"/>
        </w:rPr>
      </w:pPr>
      <w:r>
        <w:rPr>
          <w:rFonts w:hint="eastAsia" w:ascii="Times New Roman"/>
        </w:rPr>
        <w:t>a) 数据整合：建立区域统一的水质、水文、流域特征数据库；</w:t>
      </w:r>
    </w:p>
    <w:p w14:paraId="5D82F8DD">
      <w:pPr>
        <w:pStyle w:val="27"/>
        <w:ind w:firstLine="420"/>
        <w:rPr>
          <w:rFonts w:ascii="Times New Roman"/>
        </w:rPr>
      </w:pPr>
      <w:r>
        <w:rPr>
          <w:rFonts w:hint="eastAsia" w:ascii="Times New Roman"/>
        </w:rPr>
        <w:t>b) 分层抽样：湖库数量多时可分层随机抽样选取代表性湖库；</w:t>
      </w:r>
    </w:p>
    <w:p w14:paraId="74FCB0B7">
      <w:pPr>
        <w:pStyle w:val="27"/>
        <w:ind w:firstLine="420"/>
        <w:rPr>
          <w:rFonts w:ascii="Times New Roman"/>
        </w:rPr>
      </w:pPr>
      <w:r>
        <w:rPr>
          <w:rFonts w:hint="eastAsia" w:ascii="Times New Roman"/>
        </w:rPr>
        <w:t>c) 方法集成：重要区域建议2~3种方法独立推导后加权综合；</w:t>
      </w:r>
    </w:p>
    <w:p w14:paraId="2CE1C930">
      <w:pPr>
        <w:pStyle w:val="27"/>
        <w:ind w:firstLine="420"/>
        <w:rPr>
          <w:rFonts w:ascii="Times New Roman"/>
        </w:rPr>
      </w:pPr>
      <w:r>
        <w:rPr>
          <w:rFonts w:hint="eastAsia" w:ascii="Times New Roman"/>
        </w:rPr>
        <w:t>d) 阈值表述：以范围或概率形式给出，明确适用湖库类型、季节及浊度条件；</w:t>
      </w:r>
    </w:p>
    <w:p w14:paraId="1D92AF4B">
      <w:pPr>
        <w:pStyle w:val="27"/>
        <w:ind w:firstLine="420"/>
        <w:rPr>
          <w:rFonts w:ascii="Times New Roman"/>
        </w:rPr>
      </w:pPr>
      <w:r>
        <w:rPr>
          <w:rFonts w:hint="eastAsia" w:ascii="Times New Roman"/>
        </w:rPr>
        <w:t>e) 验证重点：空间代表性、管理一致性、专家共识验证。</w:t>
      </w:r>
    </w:p>
    <w:p w14:paraId="3C00238B">
      <w:pPr>
        <w:pStyle w:val="50"/>
        <w:spacing w:before="120" w:after="120"/>
        <w:rPr>
          <w:rFonts w:ascii="Times New Roman"/>
        </w:rPr>
      </w:pPr>
      <w:bookmarkStart w:id="174" w:name="_Toc232413709"/>
      <w:bookmarkEnd w:id="174"/>
      <w:bookmarkStart w:id="175" w:name="_Toc232413710"/>
      <w:bookmarkEnd w:id="175"/>
      <w:bookmarkStart w:id="176" w:name="_Toc232413712"/>
      <w:bookmarkEnd w:id="176"/>
      <w:bookmarkStart w:id="177" w:name="_Toc232413708"/>
      <w:bookmarkEnd w:id="177"/>
      <w:bookmarkStart w:id="178" w:name="_Toc232413706"/>
      <w:bookmarkEnd w:id="178"/>
      <w:bookmarkStart w:id="179" w:name="_Toc232413701"/>
      <w:bookmarkEnd w:id="179"/>
      <w:bookmarkStart w:id="180" w:name="_Toc232413705"/>
      <w:bookmarkEnd w:id="180"/>
      <w:bookmarkStart w:id="181" w:name="_Toc232413670"/>
      <w:bookmarkEnd w:id="181"/>
      <w:bookmarkStart w:id="182" w:name="_Toc232413702"/>
      <w:bookmarkEnd w:id="182"/>
      <w:bookmarkStart w:id="183" w:name="_Toc232413669"/>
      <w:bookmarkEnd w:id="183"/>
      <w:bookmarkStart w:id="184" w:name="_Toc232413667"/>
      <w:bookmarkEnd w:id="184"/>
      <w:bookmarkStart w:id="185" w:name="_Toc232413714"/>
      <w:bookmarkEnd w:id="185"/>
      <w:bookmarkStart w:id="186" w:name="_Toc232413713"/>
      <w:bookmarkEnd w:id="186"/>
      <w:bookmarkStart w:id="187" w:name="_Toc232413621"/>
      <w:bookmarkEnd w:id="187"/>
      <w:bookmarkStart w:id="188" w:name="_Toc232413704"/>
      <w:bookmarkEnd w:id="188"/>
      <w:bookmarkStart w:id="189" w:name="_Toc232413619"/>
      <w:bookmarkEnd w:id="189"/>
      <w:bookmarkStart w:id="190" w:name="_Toc232413707"/>
      <w:bookmarkEnd w:id="190"/>
      <w:bookmarkStart w:id="191" w:name="_Toc232413703"/>
      <w:bookmarkEnd w:id="191"/>
      <w:bookmarkStart w:id="192" w:name="_Toc232413711"/>
      <w:bookmarkEnd w:id="192"/>
      <w:bookmarkStart w:id="193" w:name="_Toc232413668"/>
      <w:bookmarkEnd w:id="193"/>
      <w:bookmarkStart w:id="194" w:name="_Toc232413620"/>
      <w:bookmarkEnd w:id="194"/>
      <w:bookmarkStart w:id="195" w:name="_Toc218520012"/>
      <w:bookmarkStart w:id="196" w:name="_Toc232425119"/>
      <w:bookmarkStart w:id="197" w:name="_Toc232496940"/>
      <w:bookmarkStart w:id="198" w:name="_Toc232413715"/>
      <w:r>
        <w:rPr>
          <w:rFonts w:ascii="Times New Roman"/>
        </w:rPr>
        <w:t>质量控制检查表</w:t>
      </w:r>
      <w:bookmarkEnd w:id="195"/>
      <w:bookmarkEnd w:id="196"/>
      <w:bookmarkEnd w:id="197"/>
      <w:bookmarkEnd w:id="198"/>
    </w:p>
    <w:p w14:paraId="106DD7BD">
      <w:pPr>
        <w:pStyle w:val="27"/>
        <w:overflowPunct w:val="0"/>
        <w:spacing w:before="120" w:after="120"/>
        <w:ind w:firstLine="0" w:firstLineChars="0"/>
        <w:jc w:val="center"/>
        <w:rPr>
          <w:rFonts w:ascii="Times New Roman" w:eastAsia="黑体"/>
        </w:rPr>
      </w:pPr>
      <w:r>
        <w:rPr>
          <w:rFonts w:ascii="Times New Roman" w:eastAsia="黑体"/>
        </w:rPr>
        <w:t>表C.</w:t>
      </w:r>
      <w:r>
        <w:rPr>
          <w:rFonts w:hint="eastAsia" w:ascii="Times New Roman" w:eastAsia="黑体"/>
        </w:rPr>
        <w:t>1</w:t>
      </w:r>
      <w:r>
        <w:rPr>
          <w:rFonts w:ascii="Times New Roman" w:eastAsia="黑体"/>
        </w:rPr>
        <w:t xml:space="preserve"> 阈值制定工作质量控制检查表</w:t>
      </w:r>
    </w:p>
    <w:tbl>
      <w:tblPr>
        <w:tblStyle w:val="12"/>
        <w:tblW w:w="5000" w:type="pct"/>
        <w:tblInd w:w="0" w:type="dxa"/>
        <w:tblLayout w:type="autofit"/>
        <w:tblCellMar>
          <w:top w:w="0" w:type="dxa"/>
          <w:left w:w="108" w:type="dxa"/>
          <w:bottom w:w="0" w:type="dxa"/>
          <w:right w:w="108" w:type="dxa"/>
        </w:tblCellMar>
      </w:tblPr>
      <w:tblGrid>
        <w:gridCol w:w="1554"/>
        <w:gridCol w:w="2199"/>
        <w:gridCol w:w="2844"/>
        <w:gridCol w:w="2973"/>
      </w:tblGrid>
      <w:tr w14:paraId="53A58B17">
        <w:tblPrEx>
          <w:tblCellMar>
            <w:top w:w="0" w:type="dxa"/>
            <w:left w:w="108" w:type="dxa"/>
            <w:bottom w:w="0" w:type="dxa"/>
            <w:right w:w="108" w:type="dxa"/>
          </w:tblCellMar>
        </w:tblPrEx>
        <w:trPr>
          <w:trHeight w:val="278" w:hRule="atLeast"/>
        </w:trPr>
        <w:tc>
          <w:tcPr>
            <w:tcW w:w="812" w:type="pct"/>
            <w:tcBorders>
              <w:top w:val="single" w:color="auto" w:sz="12" w:space="0"/>
              <w:bottom w:val="single" w:color="auto" w:sz="6" w:space="0"/>
            </w:tcBorders>
            <w:noWrap/>
          </w:tcPr>
          <w:p w14:paraId="4DFFE566">
            <w:pPr>
              <w:pStyle w:val="27"/>
              <w:ind w:firstLine="0" w:firstLineChars="0"/>
              <w:rPr>
                <w:rFonts w:ascii="Times New Roman"/>
              </w:rPr>
            </w:pPr>
            <w:r>
              <w:rPr>
                <w:rFonts w:ascii="Times New Roman"/>
              </w:rPr>
              <w:t>检查项目</w:t>
            </w:r>
          </w:p>
        </w:tc>
        <w:tc>
          <w:tcPr>
            <w:tcW w:w="1149" w:type="pct"/>
            <w:tcBorders>
              <w:top w:val="single" w:color="auto" w:sz="12" w:space="0"/>
              <w:bottom w:val="single" w:color="auto" w:sz="6" w:space="0"/>
            </w:tcBorders>
            <w:noWrap/>
          </w:tcPr>
          <w:p w14:paraId="6D10498D">
            <w:pPr>
              <w:pStyle w:val="27"/>
              <w:ind w:firstLine="0" w:firstLineChars="0"/>
              <w:rPr>
                <w:rFonts w:ascii="Times New Roman"/>
              </w:rPr>
            </w:pPr>
            <w:r>
              <w:rPr>
                <w:rFonts w:ascii="Times New Roman"/>
              </w:rPr>
              <w:t>检查要点</w:t>
            </w:r>
          </w:p>
        </w:tc>
        <w:tc>
          <w:tcPr>
            <w:tcW w:w="1486" w:type="pct"/>
            <w:tcBorders>
              <w:top w:val="single" w:color="auto" w:sz="12" w:space="0"/>
              <w:bottom w:val="single" w:color="auto" w:sz="6" w:space="0"/>
            </w:tcBorders>
            <w:noWrap/>
          </w:tcPr>
          <w:p w14:paraId="24E29BB6">
            <w:pPr>
              <w:pStyle w:val="27"/>
              <w:ind w:firstLine="0" w:firstLineChars="0"/>
              <w:rPr>
                <w:rFonts w:ascii="Times New Roman"/>
              </w:rPr>
            </w:pPr>
            <w:r>
              <w:rPr>
                <w:rFonts w:ascii="Times New Roman"/>
              </w:rPr>
              <w:t>合格标准</w:t>
            </w:r>
          </w:p>
        </w:tc>
        <w:tc>
          <w:tcPr>
            <w:tcW w:w="1553" w:type="pct"/>
            <w:tcBorders>
              <w:top w:val="single" w:color="auto" w:sz="12" w:space="0"/>
              <w:bottom w:val="single" w:color="auto" w:sz="6" w:space="0"/>
            </w:tcBorders>
            <w:noWrap/>
          </w:tcPr>
          <w:p w14:paraId="247C67C4">
            <w:pPr>
              <w:pStyle w:val="27"/>
              <w:ind w:firstLine="0" w:firstLineChars="0"/>
              <w:rPr>
                <w:rFonts w:ascii="Times New Roman"/>
              </w:rPr>
            </w:pPr>
            <w:r>
              <w:rPr>
                <w:rFonts w:ascii="Times New Roman"/>
              </w:rPr>
              <w:t>检查结果</w:t>
            </w:r>
          </w:p>
        </w:tc>
      </w:tr>
      <w:tr w14:paraId="0FA4BF38">
        <w:tblPrEx>
          <w:tblCellMar>
            <w:top w:w="0" w:type="dxa"/>
            <w:left w:w="108" w:type="dxa"/>
            <w:bottom w:w="0" w:type="dxa"/>
            <w:right w:w="108" w:type="dxa"/>
          </w:tblCellMar>
        </w:tblPrEx>
        <w:trPr>
          <w:trHeight w:val="278" w:hRule="atLeast"/>
        </w:trPr>
        <w:tc>
          <w:tcPr>
            <w:tcW w:w="812" w:type="pct"/>
            <w:tcBorders>
              <w:top w:val="single" w:color="auto" w:sz="12" w:space="0"/>
            </w:tcBorders>
            <w:noWrap/>
          </w:tcPr>
          <w:p w14:paraId="10D5D6BD">
            <w:pPr>
              <w:pStyle w:val="27"/>
              <w:ind w:firstLine="0" w:firstLineChars="0"/>
              <w:rPr>
                <w:rFonts w:ascii="Times New Roman"/>
              </w:rPr>
            </w:pPr>
            <w:r>
              <w:rPr>
                <w:rFonts w:ascii="Times New Roman"/>
              </w:rPr>
              <w:t>数据质量</w:t>
            </w:r>
          </w:p>
        </w:tc>
        <w:tc>
          <w:tcPr>
            <w:tcW w:w="1149" w:type="pct"/>
            <w:tcBorders>
              <w:top w:val="single" w:color="auto" w:sz="6" w:space="0"/>
            </w:tcBorders>
            <w:noWrap/>
          </w:tcPr>
          <w:p w14:paraId="769BBAEB">
            <w:pPr>
              <w:pStyle w:val="27"/>
              <w:ind w:firstLine="0" w:firstLineChars="0"/>
              <w:rPr>
                <w:rFonts w:ascii="Times New Roman"/>
              </w:rPr>
            </w:pPr>
            <w:r>
              <w:rPr>
                <w:rFonts w:ascii="Times New Roman"/>
              </w:rPr>
              <w:t>1. 数据完整性</w:t>
            </w:r>
          </w:p>
        </w:tc>
        <w:tc>
          <w:tcPr>
            <w:tcW w:w="1486" w:type="pct"/>
            <w:tcBorders>
              <w:top w:val="single" w:color="auto" w:sz="6" w:space="0"/>
            </w:tcBorders>
            <w:noWrap/>
          </w:tcPr>
          <w:p w14:paraId="4F5EB44B">
            <w:pPr>
              <w:pStyle w:val="27"/>
              <w:ind w:firstLine="0" w:firstLineChars="0"/>
              <w:rPr>
                <w:rFonts w:ascii="Times New Roman"/>
              </w:rPr>
            </w:pPr>
            <w:r>
              <w:rPr>
                <w:rFonts w:ascii="Times New Roman"/>
              </w:rPr>
              <w:t>关键变量缺失率&lt;20%</w:t>
            </w:r>
          </w:p>
        </w:tc>
        <w:tc>
          <w:tcPr>
            <w:tcW w:w="1553" w:type="pct"/>
            <w:tcBorders>
              <w:top w:val="single" w:color="auto" w:sz="6" w:space="0"/>
            </w:tcBorders>
            <w:noWrap/>
          </w:tcPr>
          <w:p w14:paraId="7F3782E0">
            <w:pPr>
              <w:pStyle w:val="27"/>
              <w:ind w:firstLine="0" w:firstLineChars="0"/>
              <w:rPr>
                <w:rFonts w:ascii="Times New Roman"/>
              </w:rPr>
            </w:pPr>
            <w:r>
              <w:rPr>
                <w:rFonts w:ascii="Times New Roman"/>
              </w:rPr>
              <w:t xml:space="preserve">□合格 </w:t>
            </w:r>
            <w:r>
              <w:rPr>
                <w:rFonts w:hint="eastAsia" w:ascii="Times New Roman"/>
              </w:rPr>
              <w:t xml:space="preserve">  </w:t>
            </w:r>
            <w:r>
              <w:rPr>
                <w:rFonts w:ascii="Times New Roman"/>
              </w:rPr>
              <w:t>□需改进</w:t>
            </w:r>
          </w:p>
        </w:tc>
      </w:tr>
      <w:tr w14:paraId="34608C11">
        <w:tblPrEx>
          <w:tblCellMar>
            <w:top w:w="0" w:type="dxa"/>
            <w:left w:w="108" w:type="dxa"/>
            <w:bottom w:w="0" w:type="dxa"/>
            <w:right w:w="108" w:type="dxa"/>
          </w:tblCellMar>
        </w:tblPrEx>
        <w:trPr>
          <w:trHeight w:val="278" w:hRule="atLeast"/>
        </w:trPr>
        <w:tc>
          <w:tcPr>
            <w:tcW w:w="812" w:type="pct"/>
            <w:noWrap/>
          </w:tcPr>
          <w:p w14:paraId="3E4873ED">
            <w:pPr>
              <w:pStyle w:val="27"/>
              <w:ind w:firstLine="0" w:firstLineChars="0"/>
              <w:rPr>
                <w:rFonts w:ascii="Times New Roman"/>
              </w:rPr>
            </w:pPr>
          </w:p>
        </w:tc>
        <w:tc>
          <w:tcPr>
            <w:tcW w:w="1149" w:type="pct"/>
            <w:tcBorders>
              <w:top w:val="single" w:color="auto" w:sz="6" w:space="0"/>
              <w:bottom w:val="single" w:color="auto" w:sz="6" w:space="0"/>
            </w:tcBorders>
            <w:noWrap/>
          </w:tcPr>
          <w:p w14:paraId="7C9427DB">
            <w:pPr>
              <w:pStyle w:val="27"/>
              <w:ind w:firstLine="0" w:firstLineChars="0"/>
              <w:rPr>
                <w:rFonts w:ascii="Times New Roman"/>
              </w:rPr>
            </w:pPr>
            <w:r>
              <w:rPr>
                <w:rFonts w:ascii="Times New Roman"/>
              </w:rPr>
              <w:t>2. 监测方法</w:t>
            </w:r>
          </w:p>
        </w:tc>
        <w:tc>
          <w:tcPr>
            <w:tcW w:w="1486" w:type="pct"/>
            <w:tcBorders>
              <w:top w:val="single" w:color="auto" w:sz="6" w:space="0"/>
              <w:bottom w:val="single" w:color="auto" w:sz="6" w:space="0"/>
            </w:tcBorders>
            <w:noWrap/>
          </w:tcPr>
          <w:p w14:paraId="5AC9F7D0">
            <w:pPr>
              <w:pStyle w:val="27"/>
              <w:ind w:firstLine="0" w:firstLineChars="0"/>
              <w:rPr>
                <w:rFonts w:ascii="Times New Roman"/>
              </w:rPr>
            </w:pPr>
            <w:r>
              <w:rPr>
                <w:rFonts w:ascii="Times New Roman"/>
              </w:rPr>
              <w:t>符合国标/行标</w:t>
            </w:r>
          </w:p>
        </w:tc>
        <w:tc>
          <w:tcPr>
            <w:tcW w:w="1553" w:type="pct"/>
            <w:tcBorders>
              <w:top w:val="single" w:color="auto" w:sz="6" w:space="0"/>
              <w:bottom w:val="single" w:color="auto" w:sz="6" w:space="0"/>
            </w:tcBorders>
            <w:noWrap/>
          </w:tcPr>
          <w:p w14:paraId="1134DF20">
            <w:pPr>
              <w:pStyle w:val="27"/>
              <w:ind w:firstLine="0" w:firstLineChars="0"/>
              <w:rPr>
                <w:rFonts w:ascii="Times New Roman"/>
              </w:rPr>
            </w:pPr>
            <w:r>
              <w:rPr>
                <w:rFonts w:ascii="Times New Roman"/>
              </w:rPr>
              <w:t xml:space="preserve">□合格 </w:t>
            </w:r>
            <w:r>
              <w:rPr>
                <w:rFonts w:hint="eastAsia" w:ascii="Times New Roman"/>
              </w:rPr>
              <w:t xml:space="preserve">  </w:t>
            </w:r>
            <w:r>
              <w:rPr>
                <w:rFonts w:ascii="Times New Roman"/>
              </w:rPr>
              <w:t>□需说明</w:t>
            </w:r>
          </w:p>
        </w:tc>
      </w:tr>
      <w:tr w14:paraId="3B991590">
        <w:tblPrEx>
          <w:tblCellMar>
            <w:top w:w="0" w:type="dxa"/>
            <w:left w:w="108" w:type="dxa"/>
            <w:bottom w:w="0" w:type="dxa"/>
            <w:right w:w="108" w:type="dxa"/>
          </w:tblCellMar>
        </w:tblPrEx>
        <w:trPr>
          <w:trHeight w:val="278" w:hRule="atLeast"/>
        </w:trPr>
        <w:tc>
          <w:tcPr>
            <w:tcW w:w="812" w:type="pct"/>
            <w:tcBorders>
              <w:bottom w:val="single" w:color="auto" w:sz="6" w:space="0"/>
            </w:tcBorders>
            <w:noWrap/>
          </w:tcPr>
          <w:p w14:paraId="76EA3FEA">
            <w:pPr>
              <w:pStyle w:val="27"/>
              <w:ind w:firstLine="0" w:firstLineChars="0"/>
              <w:rPr>
                <w:rFonts w:ascii="Times New Roman"/>
              </w:rPr>
            </w:pPr>
          </w:p>
        </w:tc>
        <w:tc>
          <w:tcPr>
            <w:tcW w:w="1149" w:type="pct"/>
            <w:tcBorders>
              <w:top w:val="single" w:color="auto" w:sz="6" w:space="0"/>
              <w:bottom w:val="single" w:color="auto" w:sz="6" w:space="0"/>
            </w:tcBorders>
            <w:noWrap/>
          </w:tcPr>
          <w:p w14:paraId="13A2E8C0">
            <w:pPr>
              <w:pStyle w:val="27"/>
              <w:ind w:firstLine="0" w:firstLineChars="0"/>
              <w:rPr>
                <w:rFonts w:ascii="Times New Roman"/>
              </w:rPr>
            </w:pPr>
            <w:r>
              <w:rPr>
                <w:rFonts w:ascii="Times New Roman"/>
              </w:rPr>
              <w:t>3. 时空代表性</w:t>
            </w:r>
          </w:p>
        </w:tc>
        <w:tc>
          <w:tcPr>
            <w:tcW w:w="1486" w:type="pct"/>
            <w:tcBorders>
              <w:top w:val="single" w:color="auto" w:sz="6" w:space="0"/>
              <w:bottom w:val="single" w:color="auto" w:sz="6" w:space="0"/>
            </w:tcBorders>
            <w:noWrap/>
          </w:tcPr>
          <w:p w14:paraId="6BC7C139">
            <w:pPr>
              <w:pStyle w:val="27"/>
              <w:ind w:firstLine="0" w:firstLineChars="0"/>
              <w:rPr>
                <w:rFonts w:ascii="Times New Roman"/>
              </w:rPr>
            </w:pPr>
            <w:r>
              <w:rPr>
                <w:rFonts w:ascii="Times New Roman"/>
              </w:rPr>
              <w:t>覆盖不同季节和湖域</w:t>
            </w:r>
          </w:p>
        </w:tc>
        <w:tc>
          <w:tcPr>
            <w:tcW w:w="1553" w:type="pct"/>
            <w:tcBorders>
              <w:top w:val="single" w:color="auto" w:sz="6" w:space="0"/>
              <w:bottom w:val="single" w:color="auto" w:sz="6" w:space="0"/>
            </w:tcBorders>
            <w:noWrap/>
          </w:tcPr>
          <w:p w14:paraId="694C9FBD">
            <w:pPr>
              <w:pStyle w:val="27"/>
              <w:ind w:firstLine="0" w:firstLineChars="0"/>
              <w:rPr>
                <w:rFonts w:ascii="Times New Roman"/>
              </w:rPr>
            </w:pPr>
            <w:r>
              <w:rPr>
                <w:rFonts w:ascii="Times New Roman"/>
              </w:rPr>
              <w:t xml:space="preserve">□合格 </w:t>
            </w:r>
            <w:r>
              <w:rPr>
                <w:rFonts w:hint="eastAsia" w:ascii="Times New Roman"/>
              </w:rPr>
              <w:t xml:space="preserve">  </w:t>
            </w:r>
            <w:r>
              <w:rPr>
                <w:rFonts w:ascii="Times New Roman"/>
              </w:rPr>
              <w:t>□不足</w:t>
            </w:r>
          </w:p>
        </w:tc>
      </w:tr>
      <w:tr w14:paraId="3C06DCDE">
        <w:tblPrEx>
          <w:tblCellMar>
            <w:top w:w="0" w:type="dxa"/>
            <w:left w:w="108" w:type="dxa"/>
            <w:bottom w:w="0" w:type="dxa"/>
            <w:right w:w="108" w:type="dxa"/>
          </w:tblCellMar>
        </w:tblPrEx>
        <w:trPr>
          <w:trHeight w:val="278" w:hRule="atLeast"/>
        </w:trPr>
        <w:tc>
          <w:tcPr>
            <w:tcW w:w="812" w:type="pct"/>
            <w:tcBorders>
              <w:top w:val="single" w:color="auto" w:sz="6" w:space="0"/>
            </w:tcBorders>
            <w:noWrap/>
          </w:tcPr>
          <w:p w14:paraId="7ADD1179">
            <w:pPr>
              <w:pStyle w:val="27"/>
              <w:ind w:firstLine="0" w:firstLineChars="0"/>
              <w:rPr>
                <w:rFonts w:ascii="Times New Roman"/>
              </w:rPr>
            </w:pPr>
            <w:r>
              <w:rPr>
                <w:rFonts w:ascii="Times New Roman"/>
              </w:rPr>
              <w:t>方法适用性</w:t>
            </w:r>
          </w:p>
        </w:tc>
        <w:tc>
          <w:tcPr>
            <w:tcW w:w="1149" w:type="pct"/>
            <w:tcBorders>
              <w:top w:val="single" w:color="auto" w:sz="6" w:space="0"/>
              <w:bottom w:val="single" w:color="auto" w:sz="6" w:space="0"/>
            </w:tcBorders>
            <w:noWrap/>
          </w:tcPr>
          <w:p w14:paraId="0DF438D6">
            <w:pPr>
              <w:pStyle w:val="27"/>
              <w:ind w:firstLine="0" w:firstLineChars="0"/>
              <w:rPr>
                <w:rFonts w:ascii="Times New Roman"/>
              </w:rPr>
            </w:pPr>
            <w:r>
              <w:rPr>
                <w:rFonts w:ascii="Times New Roman"/>
              </w:rPr>
              <w:t>4. 方法选择依据</w:t>
            </w:r>
          </w:p>
        </w:tc>
        <w:tc>
          <w:tcPr>
            <w:tcW w:w="1486" w:type="pct"/>
            <w:tcBorders>
              <w:top w:val="single" w:color="auto" w:sz="6" w:space="0"/>
              <w:bottom w:val="single" w:color="auto" w:sz="6" w:space="0"/>
            </w:tcBorders>
            <w:noWrap/>
          </w:tcPr>
          <w:p w14:paraId="6D35102E">
            <w:pPr>
              <w:pStyle w:val="27"/>
              <w:ind w:firstLine="0" w:firstLineChars="0"/>
              <w:rPr>
                <w:rFonts w:ascii="Times New Roman"/>
              </w:rPr>
            </w:pPr>
            <w:r>
              <w:rPr>
                <w:rFonts w:ascii="Times New Roman"/>
              </w:rPr>
              <w:t>符合本速查表推荐</w:t>
            </w:r>
          </w:p>
        </w:tc>
        <w:tc>
          <w:tcPr>
            <w:tcW w:w="1553" w:type="pct"/>
            <w:tcBorders>
              <w:top w:val="single" w:color="auto" w:sz="6" w:space="0"/>
              <w:bottom w:val="single" w:color="auto" w:sz="6" w:space="0"/>
            </w:tcBorders>
            <w:noWrap/>
          </w:tcPr>
          <w:p w14:paraId="27BA9585">
            <w:pPr>
              <w:pStyle w:val="27"/>
              <w:ind w:firstLine="0" w:firstLineChars="0"/>
              <w:rPr>
                <w:rFonts w:ascii="Times New Roman"/>
              </w:rPr>
            </w:pPr>
            <w:r>
              <w:rPr>
                <w:rFonts w:ascii="Times New Roman"/>
              </w:rPr>
              <w:t xml:space="preserve">□符合 </w:t>
            </w:r>
            <w:r>
              <w:rPr>
                <w:rFonts w:hint="eastAsia" w:ascii="Times New Roman"/>
              </w:rPr>
              <w:t xml:space="preserve">  </w:t>
            </w:r>
            <w:r>
              <w:rPr>
                <w:rFonts w:ascii="Times New Roman"/>
              </w:rPr>
              <w:t>□偏离需说明</w:t>
            </w:r>
          </w:p>
        </w:tc>
      </w:tr>
      <w:tr w14:paraId="30EEBC46">
        <w:tblPrEx>
          <w:tblCellMar>
            <w:top w:w="0" w:type="dxa"/>
            <w:left w:w="108" w:type="dxa"/>
            <w:bottom w:w="0" w:type="dxa"/>
            <w:right w:w="108" w:type="dxa"/>
          </w:tblCellMar>
        </w:tblPrEx>
        <w:trPr>
          <w:trHeight w:val="278" w:hRule="atLeast"/>
        </w:trPr>
        <w:tc>
          <w:tcPr>
            <w:tcW w:w="812" w:type="pct"/>
            <w:noWrap/>
          </w:tcPr>
          <w:p w14:paraId="6E540A69">
            <w:pPr>
              <w:pStyle w:val="27"/>
              <w:ind w:firstLine="0" w:firstLineChars="0"/>
              <w:rPr>
                <w:rFonts w:ascii="Times New Roman"/>
              </w:rPr>
            </w:pPr>
          </w:p>
        </w:tc>
        <w:tc>
          <w:tcPr>
            <w:tcW w:w="1149" w:type="pct"/>
            <w:tcBorders>
              <w:top w:val="single" w:color="auto" w:sz="6" w:space="0"/>
              <w:bottom w:val="single" w:color="auto" w:sz="6" w:space="0"/>
            </w:tcBorders>
            <w:noWrap/>
          </w:tcPr>
          <w:p w14:paraId="29204F37">
            <w:pPr>
              <w:pStyle w:val="27"/>
              <w:ind w:firstLine="0" w:firstLineChars="0"/>
              <w:rPr>
                <w:rFonts w:ascii="Times New Roman"/>
              </w:rPr>
            </w:pPr>
            <w:r>
              <w:rPr>
                <w:rFonts w:ascii="Times New Roman"/>
              </w:rPr>
              <w:t>5. 假设检验</w:t>
            </w:r>
          </w:p>
        </w:tc>
        <w:tc>
          <w:tcPr>
            <w:tcW w:w="1486" w:type="pct"/>
            <w:tcBorders>
              <w:top w:val="single" w:color="auto" w:sz="6" w:space="0"/>
              <w:bottom w:val="single" w:color="auto" w:sz="6" w:space="0"/>
            </w:tcBorders>
            <w:noWrap/>
          </w:tcPr>
          <w:p w14:paraId="578BA834">
            <w:pPr>
              <w:pStyle w:val="27"/>
              <w:ind w:firstLine="0" w:firstLineChars="0"/>
              <w:rPr>
                <w:rFonts w:ascii="Times New Roman"/>
              </w:rPr>
            </w:pPr>
            <w:r>
              <w:rPr>
                <w:rFonts w:ascii="Times New Roman"/>
              </w:rPr>
              <w:t>验证模型假设是否成立</w:t>
            </w:r>
          </w:p>
        </w:tc>
        <w:tc>
          <w:tcPr>
            <w:tcW w:w="1553" w:type="pct"/>
            <w:tcBorders>
              <w:top w:val="single" w:color="auto" w:sz="6" w:space="0"/>
              <w:bottom w:val="single" w:color="auto" w:sz="6" w:space="0"/>
            </w:tcBorders>
            <w:noWrap/>
          </w:tcPr>
          <w:p w14:paraId="23C0A7B6">
            <w:pPr>
              <w:pStyle w:val="27"/>
              <w:ind w:firstLine="0" w:firstLineChars="0"/>
              <w:rPr>
                <w:rFonts w:ascii="Times New Roman"/>
              </w:rPr>
            </w:pPr>
            <w:r>
              <w:rPr>
                <w:rFonts w:ascii="Times New Roman"/>
              </w:rPr>
              <w:t>□已验证 □未验证</w:t>
            </w:r>
          </w:p>
        </w:tc>
      </w:tr>
      <w:tr w14:paraId="40B48C29">
        <w:tblPrEx>
          <w:tblCellMar>
            <w:top w:w="0" w:type="dxa"/>
            <w:left w:w="108" w:type="dxa"/>
            <w:bottom w:w="0" w:type="dxa"/>
            <w:right w:w="108" w:type="dxa"/>
          </w:tblCellMar>
        </w:tblPrEx>
        <w:trPr>
          <w:trHeight w:val="278" w:hRule="atLeast"/>
        </w:trPr>
        <w:tc>
          <w:tcPr>
            <w:tcW w:w="812" w:type="pct"/>
            <w:tcBorders>
              <w:bottom w:val="single" w:color="auto" w:sz="6" w:space="0"/>
            </w:tcBorders>
            <w:noWrap/>
          </w:tcPr>
          <w:p w14:paraId="51B98406">
            <w:pPr>
              <w:pStyle w:val="27"/>
              <w:ind w:firstLine="0" w:firstLineChars="0"/>
              <w:rPr>
                <w:rFonts w:ascii="Times New Roman"/>
              </w:rPr>
            </w:pPr>
          </w:p>
        </w:tc>
        <w:tc>
          <w:tcPr>
            <w:tcW w:w="1149" w:type="pct"/>
            <w:tcBorders>
              <w:top w:val="single" w:color="auto" w:sz="6" w:space="0"/>
              <w:bottom w:val="single" w:color="auto" w:sz="6" w:space="0"/>
            </w:tcBorders>
            <w:noWrap/>
          </w:tcPr>
          <w:p w14:paraId="550AB5AB">
            <w:pPr>
              <w:pStyle w:val="27"/>
              <w:ind w:firstLine="0" w:firstLineChars="0"/>
              <w:rPr>
                <w:rFonts w:ascii="Times New Roman"/>
              </w:rPr>
            </w:pPr>
            <w:r>
              <w:rPr>
                <w:rFonts w:ascii="Times New Roman"/>
              </w:rPr>
              <w:t>6. 黄河流域特性</w:t>
            </w:r>
          </w:p>
        </w:tc>
        <w:tc>
          <w:tcPr>
            <w:tcW w:w="1486" w:type="pct"/>
            <w:tcBorders>
              <w:top w:val="single" w:color="auto" w:sz="6" w:space="0"/>
              <w:bottom w:val="single" w:color="auto" w:sz="6" w:space="0"/>
            </w:tcBorders>
            <w:noWrap/>
          </w:tcPr>
          <w:p w14:paraId="16E832A5">
            <w:pPr>
              <w:pStyle w:val="27"/>
              <w:ind w:firstLine="0" w:firstLineChars="0"/>
              <w:rPr>
                <w:rFonts w:ascii="Times New Roman"/>
              </w:rPr>
            </w:pPr>
            <w:r>
              <w:rPr>
                <w:rFonts w:ascii="Times New Roman"/>
              </w:rPr>
              <w:t>考虑浊度、水文特征</w:t>
            </w:r>
          </w:p>
        </w:tc>
        <w:tc>
          <w:tcPr>
            <w:tcW w:w="1553" w:type="pct"/>
            <w:tcBorders>
              <w:top w:val="single" w:color="auto" w:sz="6" w:space="0"/>
              <w:bottom w:val="single" w:color="auto" w:sz="6" w:space="0"/>
            </w:tcBorders>
            <w:noWrap/>
          </w:tcPr>
          <w:p w14:paraId="64EBAF64">
            <w:pPr>
              <w:pStyle w:val="27"/>
              <w:ind w:firstLine="0" w:firstLineChars="0"/>
              <w:rPr>
                <w:rFonts w:ascii="Times New Roman"/>
              </w:rPr>
            </w:pPr>
            <w:r>
              <w:rPr>
                <w:rFonts w:ascii="Times New Roman"/>
              </w:rPr>
              <w:t>□已考虑 □未充分考虑</w:t>
            </w:r>
          </w:p>
        </w:tc>
      </w:tr>
      <w:tr w14:paraId="3A62F31F">
        <w:tblPrEx>
          <w:tblCellMar>
            <w:top w:w="0" w:type="dxa"/>
            <w:left w:w="108" w:type="dxa"/>
            <w:bottom w:w="0" w:type="dxa"/>
            <w:right w:w="108" w:type="dxa"/>
          </w:tblCellMar>
        </w:tblPrEx>
        <w:trPr>
          <w:trHeight w:val="278" w:hRule="atLeast"/>
        </w:trPr>
        <w:tc>
          <w:tcPr>
            <w:tcW w:w="812" w:type="pct"/>
            <w:tcBorders>
              <w:top w:val="single" w:color="auto" w:sz="6" w:space="0"/>
            </w:tcBorders>
            <w:noWrap/>
          </w:tcPr>
          <w:p w14:paraId="6971CBE5">
            <w:pPr>
              <w:pStyle w:val="27"/>
              <w:ind w:firstLine="0" w:firstLineChars="0"/>
              <w:rPr>
                <w:rFonts w:ascii="Times New Roman"/>
              </w:rPr>
            </w:pPr>
            <w:r>
              <w:rPr>
                <w:rFonts w:ascii="Times New Roman"/>
              </w:rPr>
              <w:t>模型质量</w:t>
            </w:r>
          </w:p>
        </w:tc>
        <w:tc>
          <w:tcPr>
            <w:tcW w:w="1149" w:type="pct"/>
            <w:tcBorders>
              <w:top w:val="single" w:color="auto" w:sz="6" w:space="0"/>
              <w:bottom w:val="single" w:color="auto" w:sz="6" w:space="0"/>
            </w:tcBorders>
            <w:noWrap/>
          </w:tcPr>
          <w:p w14:paraId="4DA80993">
            <w:pPr>
              <w:pStyle w:val="27"/>
              <w:ind w:firstLine="0" w:firstLineChars="0"/>
              <w:rPr>
                <w:rFonts w:ascii="Times New Roman"/>
              </w:rPr>
            </w:pPr>
            <w:r>
              <w:rPr>
                <w:rFonts w:ascii="Times New Roman"/>
              </w:rPr>
              <w:t>7. 模型诊断</w:t>
            </w:r>
          </w:p>
        </w:tc>
        <w:tc>
          <w:tcPr>
            <w:tcW w:w="1486" w:type="pct"/>
            <w:tcBorders>
              <w:top w:val="single" w:color="auto" w:sz="6" w:space="0"/>
              <w:bottom w:val="single" w:color="auto" w:sz="6" w:space="0"/>
            </w:tcBorders>
            <w:noWrap/>
          </w:tcPr>
          <w:p w14:paraId="42843022">
            <w:pPr>
              <w:pStyle w:val="27"/>
              <w:ind w:firstLine="0" w:firstLineChars="0"/>
              <w:rPr>
                <w:rFonts w:ascii="Times New Roman"/>
              </w:rPr>
            </w:pPr>
            <w:r>
              <w:rPr>
                <w:rFonts w:ascii="Times New Roman"/>
              </w:rPr>
              <w:t>残差分析、拟合优度</w:t>
            </w:r>
          </w:p>
        </w:tc>
        <w:tc>
          <w:tcPr>
            <w:tcW w:w="1553" w:type="pct"/>
            <w:tcBorders>
              <w:top w:val="single" w:color="auto" w:sz="6" w:space="0"/>
              <w:bottom w:val="single" w:color="auto" w:sz="6" w:space="0"/>
            </w:tcBorders>
            <w:noWrap/>
          </w:tcPr>
          <w:p w14:paraId="6437591F">
            <w:pPr>
              <w:pStyle w:val="27"/>
              <w:ind w:firstLine="0" w:firstLineChars="0"/>
              <w:rPr>
                <w:rFonts w:ascii="Times New Roman"/>
              </w:rPr>
            </w:pPr>
            <w:r>
              <w:rPr>
                <w:rFonts w:ascii="Times New Roman"/>
              </w:rPr>
              <w:t xml:space="preserve">□通过 </w:t>
            </w:r>
            <w:r>
              <w:rPr>
                <w:rFonts w:hint="eastAsia" w:ascii="Times New Roman"/>
              </w:rPr>
              <w:t xml:space="preserve">  </w:t>
            </w:r>
            <w:r>
              <w:rPr>
                <w:rFonts w:ascii="Times New Roman"/>
              </w:rPr>
              <w:t>□存在问题</w:t>
            </w:r>
          </w:p>
        </w:tc>
      </w:tr>
      <w:tr w14:paraId="5961688E">
        <w:tblPrEx>
          <w:tblCellMar>
            <w:top w:w="0" w:type="dxa"/>
            <w:left w:w="108" w:type="dxa"/>
            <w:bottom w:w="0" w:type="dxa"/>
            <w:right w:w="108" w:type="dxa"/>
          </w:tblCellMar>
        </w:tblPrEx>
        <w:trPr>
          <w:trHeight w:val="278" w:hRule="atLeast"/>
        </w:trPr>
        <w:tc>
          <w:tcPr>
            <w:tcW w:w="812" w:type="pct"/>
            <w:noWrap/>
          </w:tcPr>
          <w:p w14:paraId="0115C595">
            <w:pPr>
              <w:pStyle w:val="27"/>
              <w:ind w:firstLine="0" w:firstLineChars="0"/>
              <w:rPr>
                <w:rFonts w:ascii="Times New Roman"/>
              </w:rPr>
            </w:pPr>
          </w:p>
        </w:tc>
        <w:tc>
          <w:tcPr>
            <w:tcW w:w="1149" w:type="pct"/>
            <w:tcBorders>
              <w:top w:val="single" w:color="auto" w:sz="6" w:space="0"/>
              <w:bottom w:val="single" w:color="auto" w:sz="6" w:space="0"/>
            </w:tcBorders>
            <w:noWrap/>
          </w:tcPr>
          <w:p w14:paraId="3B498606">
            <w:pPr>
              <w:pStyle w:val="27"/>
              <w:ind w:firstLine="0" w:firstLineChars="0"/>
              <w:rPr>
                <w:rFonts w:ascii="Times New Roman"/>
              </w:rPr>
            </w:pPr>
            <w:r>
              <w:rPr>
                <w:rFonts w:ascii="Times New Roman"/>
              </w:rPr>
              <w:t>8. 不确定性量化</w:t>
            </w:r>
          </w:p>
        </w:tc>
        <w:tc>
          <w:tcPr>
            <w:tcW w:w="1486" w:type="pct"/>
            <w:tcBorders>
              <w:top w:val="single" w:color="auto" w:sz="6" w:space="0"/>
              <w:bottom w:val="single" w:color="auto" w:sz="6" w:space="0"/>
            </w:tcBorders>
            <w:noWrap/>
          </w:tcPr>
          <w:p w14:paraId="0EA7640F">
            <w:pPr>
              <w:pStyle w:val="27"/>
              <w:ind w:firstLine="0" w:firstLineChars="0"/>
              <w:rPr>
                <w:rFonts w:ascii="Times New Roman"/>
              </w:rPr>
            </w:pPr>
            <w:r>
              <w:rPr>
                <w:rFonts w:ascii="Times New Roman"/>
              </w:rPr>
              <w:t>提供置信区间/概率</w:t>
            </w:r>
          </w:p>
        </w:tc>
        <w:tc>
          <w:tcPr>
            <w:tcW w:w="1553" w:type="pct"/>
            <w:tcBorders>
              <w:top w:val="single" w:color="auto" w:sz="6" w:space="0"/>
              <w:bottom w:val="single" w:color="auto" w:sz="6" w:space="0"/>
            </w:tcBorders>
            <w:noWrap/>
          </w:tcPr>
          <w:p w14:paraId="46B64427">
            <w:pPr>
              <w:pStyle w:val="27"/>
              <w:ind w:firstLine="0" w:firstLineChars="0"/>
              <w:rPr>
                <w:rFonts w:ascii="Times New Roman"/>
              </w:rPr>
            </w:pPr>
            <w:r>
              <w:rPr>
                <w:rFonts w:ascii="Times New Roman"/>
              </w:rPr>
              <w:t>□已提供 □未提供</w:t>
            </w:r>
          </w:p>
        </w:tc>
      </w:tr>
      <w:tr w14:paraId="1861BFAE">
        <w:tblPrEx>
          <w:tblCellMar>
            <w:top w:w="0" w:type="dxa"/>
            <w:left w:w="108" w:type="dxa"/>
            <w:bottom w:w="0" w:type="dxa"/>
            <w:right w:w="108" w:type="dxa"/>
          </w:tblCellMar>
        </w:tblPrEx>
        <w:trPr>
          <w:trHeight w:val="278" w:hRule="atLeast"/>
        </w:trPr>
        <w:tc>
          <w:tcPr>
            <w:tcW w:w="812" w:type="pct"/>
            <w:tcBorders>
              <w:bottom w:val="single" w:color="auto" w:sz="6" w:space="0"/>
            </w:tcBorders>
            <w:noWrap/>
          </w:tcPr>
          <w:p w14:paraId="08F4E801">
            <w:pPr>
              <w:pStyle w:val="27"/>
              <w:ind w:firstLine="0" w:firstLineChars="0"/>
              <w:rPr>
                <w:rFonts w:ascii="Times New Roman"/>
              </w:rPr>
            </w:pPr>
          </w:p>
        </w:tc>
        <w:tc>
          <w:tcPr>
            <w:tcW w:w="1149" w:type="pct"/>
            <w:tcBorders>
              <w:top w:val="single" w:color="auto" w:sz="6" w:space="0"/>
              <w:bottom w:val="single" w:color="auto" w:sz="6" w:space="0"/>
            </w:tcBorders>
            <w:noWrap/>
          </w:tcPr>
          <w:p w14:paraId="36752EBA">
            <w:pPr>
              <w:pStyle w:val="27"/>
              <w:ind w:firstLine="0" w:firstLineChars="0"/>
              <w:rPr>
                <w:rFonts w:ascii="Times New Roman"/>
              </w:rPr>
            </w:pPr>
            <w:r>
              <w:rPr>
                <w:rFonts w:ascii="Times New Roman"/>
              </w:rPr>
              <w:t>9. 敏感性分析</w:t>
            </w:r>
          </w:p>
        </w:tc>
        <w:tc>
          <w:tcPr>
            <w:tcW w:w="1486" w:type="pct"/>
            <w:tcBorders>
              <w:top w:val="single" w:color="auto" w:sz="6" w:space="0"/>
              <w:bottom w:val="single" w:color="auto" w:sz="6" w:space="0"/>
            </w:tcBorders>
            <w:noWrap/>
          </w:tcPr>
          <w:p w14:paraId="488E7088">
            <w:pPr>
              <w:pStyle w:val="27"/>
              <w:ind w:firstLine="0" w:firstLineChars="0"/>
              <w:rPr>
                <w:rFonts w:ascii="Times New Roman"/>
              </w:rPr>
            </w:pPr>
            <w:r>
              <w:rPr>
                <w:rFonts w:ascii="Times New Roman"/>
              </w:rPr>
              <w:t>测试关键假设影响</w:t>
            </w:r>
          </w:p>
        </w:tc>
        <w:tc>
          <w:tcPr>
            <w:tcW w:w="1553" w:type="pct"/>
            <w:tcBorders>
              <w:top w:val="single" w:color="auto" w:sz="6" w:space="0"/>
              <w:bottom w:val="single" w:color="auto" w:sz="6" w:space="0"/>
            </w:tcBorders>
            <w:noWrap/>
          </w:tcPr>
          <w:p w14:paraId="1B7FFEE1">
            <w:pPr>
              <w:pStyle w:val="27"/>
              <w:ind w:firstLine="0" w:firstLineChars="0"/>
              <w:rPr>
                <w:rFonts w:ascii="Times New Roman"/>
              </w:rPr>
            </w:pPr>
            <w:r>
              <w:rPr>
                <w:rFonts w:ascii="Times New Roman"/>
              </w:rPr>
              <w:t>□已分析 □未分析</w:t>
            </w:r>
          </w:p>
        </w:tc>
      </w:tr>
      <w:tr w14:paraId="09F8ADA7">
        <w:tblPrEx>
          <w:tblCellMar>
            <w:top w:w="0" w:type="dxa"/>
            <w:left w:w="108" w:type="dxa"/>
            <w:bottom w:w="0" w:type="dxa"/>
            <w:right w:w="108" w:type="dxa"/>
          </w:tblCellMar>
        </w:tblPrEx>
        <w:trPr>
          <w:trHeight w:val="278" w:hRule="atLeast"/>
        </w:trPr>
        <w:tc>
          <w:tcPr>
            <w:tcW w:w="812" w:type="pct"/>
            <w:tcBorders>
              <w:top w:val="single" w:color="auto" w:sz="6" w:space="0"/>
            </w:tcBorders>
            <w:noWrap/>
          </w:tcPr>
          <w:p w14:paraId="790323B0">
            <w:pPr>
              <w:pStyle w:val="27"/>
              <w:ind w:firstLine="0" w:firstLineChars="0"/>
              <w:rPr>
                <w:rFonts w:ascii="Times New Roman"/>
              </w:rPr>
            </w:pPr>
            <w:r>
              <w:rPr>
                <w:rFonts w:ascii="Times New Roman"/>
              </w:rPr>
              <w:t>结果合理性</w:t>
            </w:r>
          </w:p>
        </w:tc>
        <w:tc>
          <w:tcPr>
            <w:tcW w:w="1149" w:type="pct"/>
            <w:tcBorders>
              <w:top w:val="single" w:color="auto" w:sz="6" w:space="0"/>
              <w:bottom w:val="single" w:color="auto" w:sz="6" w:space="0"/>
            </w:tcBorders>
            <w:noWrap/>
          </w:tcPr>
          <w:p w14:paraId="087D20F6">
            <w:pPr>
              <w:pStyle w:val="27"/>
              <w:ind w:firstLine="0" w:firstLineChars="0"/>
              <w:rPr>
                <w:rFonts w:ascii="Times New Roman"/>
              </w:rPr>
            </w:pPr>
            <w:r>
              <w:rPr>
                <w:rFonts w:ascii="Times New Roman"/>
              </w:rPr>
              <w:t>10. 生态合理性</w:t>
            </w:r>
          </w:p>
        </w:tc>
        <w:tc>
          <w:tcPr>
            <w:tcW w:w="1486" w:type="pct"/>
            <w:tcBorders>
              <w:top w:val="single" w:color="auto" w:sz="6" w:space="0"/>
              <w:bottom w:val="single" w:color="auto" w:sz="6" w:space="0"/>
            </w:tcBorders>
            <w:noWrap/>
          </w:tcPr>
          <w:p w14:paraId="436620F5">
            <w:pPr>
              <w:pStyle w:val="27"/>
              <w:ind w:firstLine="0" w:firstLineChars="0"/>
              <w:rPr>
                <w:rFonts w:ascii="Times New Roman"/>
              </w:rPr>
            </w:pPr>
            <w:r>
              <w:rPr>
                <w:rFonts w:ascii="Times New Roman"/>
              </w:rPr>
              <w:t>符合生态学认知</w:t>
            </w:r>
          </w:p>
        </w:tc>
        <w:tc>
          <w:tcPr>
            <w:tcW w:w="1553" w:type="pct"/>
            <w:tcBorders>
              <w:top w:val="single" w:color="auto" w:sz="6" w:space="0"/>
              <w:bottom w:val="single" w:color="auto" w:sz="6" w:space="0"/>
            </w:tcBorders>
            <w:noWrap/>
          </w:tcPr>
          <w:p w14:paraId="400B3B8F">
            <w:pPr>
              <w:pStyle w:val="27"/>
              <w:ind w:firstLine="0" w:firstLineChars="0"/>
              <w:rPr>
                <w:rFonts w:ascii="Times New Roman"/>
              </w:rPr>
            </w:pPr>
            <w:r>
              <w:rPr>
                <w:rFonts w:ascii="Times New Roman"/>
              </w:rPr>
              <w:t xml:space="preserve">□合理 </w:t>
            </w:r>
            <w:r>
              <w:rPr>
                <w:rFonts w:hint="eastAsia" w:ascii="Times New Roman"/>
              </w:rPr>
              <w:t xml:space="preserve">  </w:t>
            </w:r>
            <w:r>
              <w:rPr>
                <w:rFonts w:ascii="Times New Roman"/>
              </w:rPr>
              <w:t>□需解释</w:t>
            </w:r>
          </w:p>
        </w:tc>
      </w:tr>
      <w:tr w14:paraId="4569A36D">
        <w:tblPrEx>
          <w:tblCellMar>
            <w:top w:w="0" w:type="dxa"/>
            <w:left w:w="108" w:type="dxa"/>
            <w:bottom w:w="0" w:type="dxa"/>
            <w:right w:w="108" w:type="dxa"/>
          </w:tblCellMar>
        </w:tblPrEx>
        <w:trPr>
          <w:trHeight w:val="278" w:hRule="atLeast"/>
        </w:trPr>
        <w:tc>
          <w:tcPr>
            <w:tcW w:w="812" w:type="pct"/>
            <w:noWrap/>
          </w:tcPr>
          <w:p w14:paraId="242A84D6">
            <w:pPr>
              <w:pStyle w:val="27"/>
              <w:ind w:firstLine="0" w:firstLineChars="0"/>
              <w:rPr>
                <w:rFonts w:ascii="Times New Roman"/>
              </w:rPr>
            </w:pPr>
          </w:p>
        </w:tc>
        <w:tc>
          <w:tcPr>
            <w:tcW w:w="1149" w:type="pct"/>
            <w:tcBorders>
              <w:top w:val="single" w:color="auto" w:sz="6" w:space="0"/>
              <w:bottom w:val="single" w:color="auto" w:sz="6" w:space="0"/>
            </w:tcBorders>
            <w:noWrap/>
          </w:tcPr>
          <w:p w14:paraId="0E36BCD1">
            <w:pPr>
              <w:pStyle w:val="27"/>
              <w:ind w:firstLine="0" w:firstLineChars="0"/>
              <w:rPr>
                <w:rFonts w:ascii="Times New Roman"/>
              </w:rPr>
            </w:pPr>
            <w:r>
              <w:rPr>
                <w:rFonts w:ascii="Times New Roman"/>
              </w:rPr>
              <w:t>11. 管理可行性</w:t>
            </w:r>
          </w:p>
        </w:tc>
        <w:tc>
          <w:tcPr>
            <w:tcW w:w="1486" w:type="pct"/>
            <w:tcBorders>
              <w:top w:val="single" w:color="auto" w:sz="6" w:space="0"/>
              <w:bottom w:val="single" w:color="auto" w:sz="6" w:space="0"/>
            </w:tcBorders>
            <w:noWrap/>
          </w:tcPr>
          <w:p w14:paraId="64F664CE">
            <w:pPr>
              <w:pStyle w:val="27"/>
              <w:ind w:firstLine="0" w:firstLineChars="0"/>
              <w:rPr>
                <w:rFonts w:ascii="Times New Roman"/>
              </w:rPr>
            </w:pPr>
            <w:r>
              <w:rPr>
                <w:rFonts w:ascii="Times New Roman"/>
              </w:rPr>
              <w:t>技术经济上可行</w:t>
            </w:r>
          </w:p>
        </w:tc>
        <w:tc>
          <w:tcPr>
            <w:tcW w:w="1553" w:type="pct"/>
            <w:tcBorders>
              <w:top w:val="single" w:color="auto" w:sz="6" w:space="0"/>
              <w:bottom w:val="single" w:color="auto" w:sz="6" w:space="0"/>
            </w:tcBorders>
            <w:noWrap/>
          </w:tcPr>
          <w:p w14:paraId="5B862C98">
            <w:pPr>
              <w:pStyle w:val="27"/>
              <w:ind w:firstLine="0" w:firstLineChars="0"/>
              <w:rPr>
                <w:rFonts w:ascii="Times New Roman"/>
              </w:rPr>
            </w:pPr>
            <w:r>
              <w:rPr>
                <w:rFonts w:ascii="Times New Roman"/>
              </w:rPr>
              <w:t xml:space="preserve">□可行 </w:t>
            </w:r>
            <w:r>
              <w:rPr>
                <w:rFonts w:hint="eastAsia" w:ascii="Times New Roman"/>
              </w:rPr>
              <w:t xml:space="preserve">  </w:t>
            </w:r>
            <w:r>
              <w:rPr>
                <w:rFonts w:ascii="Times New Roman"/>
              </w:rPr>
              <w:t>□需调整</w:t>
            </w:r>
          </w:p>
        </w:tc>
      </w:tr>
      <w:tr w14:paraId="4A57633A">
        <w:tblPrEx>
          <w:tblCellMar>
            <w:top w:w="0" w:type="dxa"/>
            <w:left w:w="108" w:type="dxa"/>
            <w:bottom w:w="0" w:type="dxa"/>
            <w:right w:w="108" w:type="dxa"/>
          </w:tblCellMar>
        </w:tblPrEx>
        <w:trPr>
          <w:trHeight w:val="278" w:hRule="atLeast"/>
        </w:trPr>
        <w:tc>
          <w:tcPr>
            <w:tcW w:w="812" w:type="pct"/>
            <w:tcBorders>
              <w:bottom w:val="single" w:color="auto" w:sz="6" w:space="0"/>
            </w:tcBorders>
            <w:noWrap/>
          </w:tcPr>
          <w:p w14:paraId="00AF6F22">
            <w:pPr>
              <w:pStyle w:val="27"/>
              <w:ind w:firstLine="0" w:firstLineChars="0"/>
              <w:rPr>
                <w:rFonts w:ascii="Times New Roman"/>
              </w:rPr>
            </w:pPr>
          </w:p>
        </w:tc>
        <w:tc>
          <w:tcPr>
            <w:tcW w:w="1149" w:type="pct"/>
            <w:tcBorders>
              <w:top w:val="single" w:color="auto" w:sz="6" w:space="0"/>
              <w:bottom w:val="single" w:color="auto" w:sz="6" w:space="0"/>
            </w:tcBorders>
            <w:noWrap/>
          </w:tcPr>
          <w:p w14:paraId="6547195B">
            <w:pPr>
              <w:pStyle w:val="27"/>
              <w:ind w:firstLine="0" w:firstLineChars="0"/>
              <w:rPr>
                <w:rFonts w:ascii="Times New Roman"/>
              </w:rPr>
            </w:pPr>
            <w:r>
              <w:rPr>
                <w:rFonts w:ascii="Times New Roman"/>
              </w:rPr>
              <w:t>12. 与标准协调</w:t>
            </w:r>
          </w:p>
        </w:tc>
        <w:tc>
          <w:tcPr>
            <w:tcW w:w="1486" w:type="pct"/>
            <w:tcBorders>
              <w:top w:val="single" w:color="auto" w:sz="6" w:space="0"/>
              <w:bottom w:val="single" w:color="auto" w:sz="6" w:space="0"/>
            </w:tcBorders>
            <w:noWrap/>
          </w:tcPr>
          <w:p w14:paraId="73A4A620">
            <w:pPr>
              <w:pStyle w:val="27"/>
              <w:ind w:firstLine="0" w:firstLineChars="0"/>
              <w:rPr>
                <w:rFonts w:ascii="Times New Roman"/>
              </w:rPr>
            </w:pPr>
            <w:r>
              <w:rPr>
                <w:rFonts w:ascii="Times New Roman"/>
              </w:rPr>
              <w:t>与相关标准无冲突</w:t>
            </w:r>
          </w:p>
        </w:tc>
        <w:tc>
          <w:tcPr>
            <w:tcW w:w="1553" w:type="pct"/>
            <w:tcBorders>
              <w:top w:val="single" w:color="auto" w:sz="6" w:space="0"/>
              <w:bottom w:val="single" w:color="auto" w:sz="6" w:space="0"/>
            </w:tcBorders>
            <w:noWrap/>
          </w:tcPr>
          <w:p w14:paraId="0E861EC7">
            <w:pPr>
              <w:pStyle w:val="27"/>
              <w:ind w:firstLine="0" w:firstLineChars="0"/>
              <w:rPr>
                <w:rFonts w:ascii="Times New Roman"/>
              </w:rPr>
            </w:pPr>
            <w:r>
              <w:rPr>
                <w:rFonts w:ascii="Times New Roman"/>
              </w:rPr>
              <w:t xml:space="preserve">□协调 </w:t>
            </w:r>
            <w:r>
              <w:rPr>
                <w:rFonts w:hint="eastAsia" w:ascii="Times New Roman"/>
              </w:rPr>
              <w:t xml:space="preserve">  </w:t>
            </w:r>
            <w:r>
              <w:rPr>
                <w:rFonts w:ascii="Times New Roman"/>
              </w:rPr>
              <w:t>□需协调</w:t>
            </w:r>
          </w:p>
        </w:tc>
      </w:tr>
      <w:tr w14:paraId="6ACB9B0C">
        <w:tblPrEx>
          <w:tblCellMar>
            <w:top w:w="0" w:type="dxa"/>
            <w:left w:w="108" w:type="dxa"/>
            <w:bottom w:w="0" w:type="dxa"/>
            <w:right w:w="108" w:type="dxa"/>
          </w:tblCellMar>
        </w:tblPrEx>
        <w:trPr>
          <w:trHeight w:val="278" w:hRule="atLeast"/>
        </w:trPr>
        <w:tc>
          <w:tcPr>
            <w:tcW w:w="812" w:type="pct"/>
            <w:tcBorders>
              <w:top w:val="single" w:color="auto" w:sz="6" w:space="0"/>
            </w:tcBorders>
            <w:noWrap/>
          </w:tcPr>
          <w:p w14:paraId="158684FC">
            <w:pPr>
              <w:pStyle w:val="27"/>
              <w:ind w:firstLine="0" w:firstLineChars="0"/>
              <w:rPr>
                <w:rFonts w:ascii="Times New Roman"/>
              </w:rPr>
            </w:pPr>
            <w:r>
              <w:rPr>
                <w:rFonts w:ascii="Times New Roman"/>
              </w:rPr>
              <w:t>文档完整性</w:t>
            </w:r>
          </w:p>
        </w:tc>
        <w:tc>
          <w:tcPr>
            <w:tcW w:w="1149" w:type="pct"/>
            <w:tcBorders>
              <w:top w:val="single" w:color="auto" w:sz="6" w:space="0"/>
              <w:bottom w:val="single" w:color="auto" w:sz="6" w:space="0"/>
            </w:tcBorders>
            <w:noWrap/>
          </w:tcPr>
          <w:p w14:paraId="64A87403">
            <w:pPr>
              <w:pStyle w:val="27"/>
              <w:ind w:firstLine="0" w:firstLineChars="0"/>
              <w:rPr>
                <w:rFonts w:ascii="Times New Roman"/>
              </w:rPr>
            </w:pPr>
            <w:r>
              <w:rPr>
                <w:rFonts w:ascii="Times New Roman"/>
              </w:rPr>
              <w:t>13. 技术报告</w:t>
            </w:r>
          </w:p>
        </w:tc>
        <w:tc>
          <w:tcPr>
            <w:tcW w:w="1486" w:type="pct"/>
            <w:tcBorders>
              <w:top w:val="single" w:color="auto" w:sz="6" w:space="0"/>
              <w:bottom w:val="single" w:color="auto" w:sz="6" w:space="0"/>
            </w:tcBorders>
            <w:noWrap/>
          </w:tcPr>
          <w:p w14:paraId="2D778755">
            <w:pPr>
              <w:pStyle w:val="27"/>
              <w:ind w:firstLine="0" w:firstLineChars="0"/>
              <w:rPr>
                <w:rFonts w:ascii="Times New Roman"/>
              </w:rPr>
            </w:pPr>
            <w:r>
              <w:rPr>
                <w:rFonts w:ascii="Times New Roman"/>
              </w:rPr>
              <w:t>方法、数据、结果完整</w:t>
            </w:r>
          </w:p>
        </w:tc>
        <w:tc>
          <w:tcPr>
            <w:tcW w:w="1553" w:type="pct"/>
            <w:tcBorders>
              <w:top w:val="single" w:color="auto" w:sz="6" w:space="0"/>
              <w:bottom w:val="single" w:color="auto" w:sz="6" w:space="0"/>
            </w:tcBorders>
            <w:noWrap/>
          </w:tcPr>
          <w:p w14:paraId="5D8FA576">
            <w:pPr>
              <w:pStyle w:val="27"/>
              <w:ind w:firstLine="0" w:firstLineChars="0"/>
              <w:rPr>
                <w:rFonts w:ascii="Times New Roman"/>
              </w:rPr>
            </w:pPr>
            <w:r>
              <w:rPr>
                <w:rFonts w:ascii="Times New Roman"/>
              </w:rPr>
              <w:t xml:space="preserve">□完整 </w:t>
            </w:r>
            <w:r>
              <w:rPr>
                <w:rFonts w:hint="eastAsia" w:ascii="Times New Roman"/>
              </w:rPr>
              <w:t xml:space="preserve">  </w:t>
            </w:r>
            <w:r>
              <w:rPr>
                <w:rFonts w:ascii="Times New Roman"/>
              </w:rPr>
              <w:t>□缺项</w:t>
            </w:r>
          </w:p>
        </w:tc>
      </w:tr>
      <w:tr w14:paraId="3436EAF5">
        <w:tblPrEx>
          <w:tblCellMar>
            <w:top w:w="0" w:type="dxa"/>
            <w:left w:w="108" w:type="dxa"/>
            <w:bottom w:w="0" w:type="dxa"/>
            <w:right w:w="108" w:type="dxa"/>
          </w:tblCellMar>
        </w:tblPrEx>
        <w:trPr>
          <w:trHeight w:val="278" w:hRule="atLeast"/>
        </w:trPr>
        <w:tc>
          <w:tcPr>
            <w:tcW w:w="812" w:type="pct"/>
            <w:noWrap/>
          </w:tcPr>
          <w:p w14:paraId="20080CE1">
            <w:pPr>
              <w:pStyle w:val="27"/>
              <w:ind w:firstLine="0" w:firstLineChars="0"/>
              <w:rPr>
                <w:rFonts w:ascii="Times New Roman"/>
              </w:rPr>
            </w:pPr>
          </w:p>
        </w:tc>
        <w:tc>
          <w:tcPr>
            <w:tcW w:w="1149" w:type="pct"/>
            <w:tcBorders>
              <w:top w:val="single" w:color="auto" w:sz="6" w:space="0"/>
              <w:bottom w:val="single" w:color="auto" w:sz="6" w:space="0"/>
            </w:tcBorders>
            <w:noWrap/>
          </w:tcPr>
          <w:p w14:paraId="6FE2CE68">
            <w:pPr>
              <w:pStyle w:val="27"/>
              <w:ind w:firstLine="0" w:firstLineChars="0"/>
              <w:rPr>
                <w:rFonts w:ascii="Times New Roman"/>
              </w:rPr>
            </w:pPr>
            <w:r>
              <w:rPr>
                <w:rFonts w:ascii="Times New Roman"/>
              </w:rPr>
              <w:t>14. 原始数据</w:t>
            </w:r>
          </w:p>
        </w:tc>
        <w:tc>
          <w:tcPr>
            <w:tcW w:w="1486" w:type="pct"/>
            <w:tcBorders>
              <w:top w:val="single" w:color="auto" w:sz="6" w:space="0"/>
              <w:bottom w:val="single" w:color="auto" w:sz="6" w:space="0"/>
            </w:tcBorders>
            <w:noWrap/>
          </w:tcPr>
          <w:p w14:paraId="6B154E3C">
            <w:pPr>
              <w:pStyle w:val="27"/>
              <w:ind w:firstLine="0" w:firstLineChars="0"/>
              <w:rPr>
                <w:rFonts w:ascii="Times New Roman"/>
              </w:rPr>
            </w:pPr>
            <w:r>
              <w:rPr>
                <w:rFonts w:ascii="Times New Roman"/>
              </w:rPr>
              <w:t>可追溯、可复核</w:t>
            </w:r>
          </w:p>
        </w:tc>
        <w:tc>
          <w:tcPr>
            <w:tcW w:w="1553" w:type="pct"/>
            <w:tcBorders>
              <w:top w:val="single" w:color="auto" w:sz="6" w:space="0"/>
              <w:bottom w:val="single" w:color="auto" w:sz="6" w:space="0"/>
            </w:tcBorders>
            <w:noWrap/>
          </w:tcPr>
          <w:p w14:paraId="2B6747B6">
            <w:pPr>
              <w:pStyle w:val="27"/>
              <w:ind w:firstLine="0" w:firstLineChars="0"/>
              <w:rPr>
                <w:rFonts w:ascii="Times New Roman"/>
              </w:rPr>
            </w:pPr>
            <w:r>
              <w:rPr>
                <w:rFonts w:ascii="Times New Roman"/>
              </w:rPr>
              <w:t>□可追溯 □需完善</w:t>
            </w:r>
          </w:p>
        </w:tc>
      </w:tr>
      <w:tr w14:paraId="704565D2">
        <w:tblPrEx>
          <w:tblCellMar>
            <w:top w:w="0" w:type="dxa"/>
            <w:left w:w="108" w:type="dxa"/>
            <w:bottom w:w="0" w:type="dxa"/>
            <w:right w:w="108" w:type="dxa"/>
          </w:tblCellMar>
        </w:tblPrEx>
        <w:trPr>
          <w:trHeight w:val="278" w:hRule="atLeast"/>
        </w:trPr>
        <w:tc>
          <w:tcPr>
            <w:tcW w:w="812" w:type="pct"/>
            <w:tcBorders>
              <w:bottom w:val="single" w:color="auto" w:sz="6" w:space="0"/>
            </w:tcBorders>
            <w:noWrap/>
          </w:tcPr>
          <w:p w14:paraId="39E08AAD">
            <w:pPr>
              <w:pStyle w:val="27"/>
              <w:ind w:firstLine="0" w:firstLineChars="0"/>
              <w:rPr>
                <w:rFonts w:ascii="Times New Roman"/>
              </w:rPr>
            </w:pPr>
          </w:p>
        </w:tc>
        <w:tc>
          <w:tcPr>
            <w:tcW w:w="1149" w:type="pct"/>
            <w:tcBorders>
              <w:top w:val="single" w:color="auto" w:sz="6" w:space="0"/>
              <w:bottom w:val="single" w:color="auto" w:sz="6" w:space="0"/>
            </w:tcBorders>
            <w:noWrap/>
          </w:tcPr>
          <w:p w14:paraId="7634E83C">
            <w:pPr>
              <w:pStyle w:val="27"/>
              <w:ind w:firstLine="0" w:firstLineChars="0"/>
              <w:rPr>
                <w:rFonts w:ascii="Times New Roman"/>
              </w:rPr>
            </w:pPr>
            <w:r>
              <w:rPr>
                <w:rFonts w:ascii="Times New Roman"/>
              </w:rPr>
              <w:t>15. 代码/脚本</w:t>
            </w:r>
          </w:p>
        </w:tc>
        <w:tc>
          <w:tcPr>
            <w:tcW w:w="1486" w:type="pct"/>
            <w:tcBorders>
              <w:top w:val="single" w:color="auto" w:sz="6" w:space="0"/>
              <w:bottom w:val="single" w:color="auto" w:sz="6" w:space="0"/>
            </w:tcBorders>
            <w:noWrap/>
          </w:tcPr>
          <w:p w14:paraId="66BE3A62">
            <w:pPr>
              <w:pStyle w:val="27"/>
              <w:ind w:firstLine="0" w:firstLineChars="0"/>
              <w:rPr>
                <w:rFonts w:ascii="Times New Roman"/>
              </w:rPr>
            </w:pPr>
            <w:r>
              <w:rPr>
                <w:rFonts w:ascii="Times New Roman"/>
              </w:rPr>
              <w:t>可重复计算</w:t>
            </w:r>
          </w:p>
        </w:tc>
        <w:tc>
          <w:tcPr>
            <w:tcW w:w="1553" w:type="pct"/>
            <w:tcBorders>
              <w:top w:val="single" w:color="auto" w:sz="6" w:space="0"/>
              <w:bottom w:val="single" w:color="auto" w:sz="6" w:space="0"/>
            </w:tcBorders>
            <w:noWrap/>
          </w:tcPr>
          <w:p w14:paraId="2AD2B3B8">
            <w:pPr>
              <w:pStyle w:val="27"/>
              <w:ind w:firstLine="0" w:firstLineChars="0"/>
              <w:rPr>
                <w:rFonts w:ascii="Times New Roman"/>
              </w:rPr>
            </w:pPr>
            <w:r>
              <w:rPr>
                <w:rFonts w:ascii="Times New Roman"/>
              </w:rPr>
              <w:t>□可重复 □未提供</w:t>
            </w:r>
          </w:p>
        </w:tc>
      </w:tr>
      <w:tr w14:paraId="4C730E94">
        <w:tblPrEx>
          <w:tblCellMar>
            <w:top w:w="0" w:type="dxa"/>
            <w:left w:w="108" w:type="dxa"/>
            <w:bottom w:w="0" w:type="dxa"/>
            <w:right w:w="108" w:type="dxa"/>
          </w:tblCellMar>
        </w:tblPrEx>
        <w:trPr>
          <w:trHeight w:val="278" w:hRule="atLeast"/>
        </w:trPr>
        <w:tc>
          <w:tcPr>
            <w:tcW w:w="5000" w:type="pct"/>
            <w:gridSpan w:val="4"/>
            <w:tcBorders>
              <w:top w:val="single" w:color="auto" w:sz="6" w:space="0"/>
              <w:bottom w:val="single" w:color="auto" w:sz="12" w:space="0"/>
            </w:tcBorders>
            <w:noWrap/>
          </w:tcPr>
          <w:p w14:paraId="31600A2C">
            <w:pPr>
              <w:pStyle w:val="27"/>
              <w:ind w:firstLine="0" w:firstLineChars="0"/>
              <w:rPr>
                <w:rFonts w:ascii="Times New Roman"/>
              </w:rPr>
            </w:pPr>
            <w:r>
              <w:rPr>
                <w:rFonts w:ascii="Times New Roman"/>
              </w:rPr>
              <w:t>总体评价：□通过 □有条件通过 □不通过</w:t>
            </w:r>
          </w:p>
        </w:tc>
      </w:tr>
    </w:tbl>
    <w:p w14:paraId="616B1188">
      <w:pPr>
        <w:pStyle w:val="50"/>
        <w:spacing w:before="120" w:after="120"/>
        <w:rPr>
          <w:rFonts w:ascii="Times New Roman"/>
        </w:rPr>
      </w:pPr>
      <w:bookmarkStart w:id="199" w:name="_Toc218520013"/>
      <w:bookmarkStart w:id="200" w:name="_Toc232496941"/>
      <w:bookmarkStart w:id="201" w:name="_Toc232413716"/>
      <w:bookmarkStart w:id="202" w:name="_Toc232425120"/>
      <w:r>
        <w:rPr>
          <w:rFonts w:ascii="Times New Roman"/>
        </w:rPr>
        <w:t>常见问题与解决建议</w:t>
      </w:r>
      <w:bookmarkEnd w:id="199"/>
      <w:bookmarkEnd w:id="200"/>
      <w:bookmarkEnd w:id="201"/>
      <w:bookmarkEnd w:id="202"/>
    </w:p>
    <w:p w14:paraId="6D0C0691">
      <w:pPr>
        <w:pStyle w:val="27"/>
        <w:overflowPunct w:val="0"/>
        <w:spacing w:before="120" w:after="120"/>
        <w:ind w:firstLine="0" w:firstLineChars="0"/>
        <w:jc w:val="center"/>
        <w:rPr>
          <w:rFonts w:ascii="Times New Roman" w:eastAsia="黑体"/>
        </w:rPr>
      </w:pPr>
      <w:r>
        <w:rPr>
          <w:rFonts w:ascii="Times New Roman" w:eastAsia="黑体"/>
        </w:rPr>
        <w:t>表C.</w:t>
      </w:r>
      <w:r>
        <w:rPr>
          <w:rFonts w:hint="eastAsia" w:ascii="Times New Roman" w:eastAsia="黑体"/>
        </w:rPr>
        <w:t>2</w:t>
      </w:r>
      <w:r>
        <w:rPr>
          <w:rFonts w:ascii="Times New Roman" w:eastAsia="黑体"/>
        </w:rPr>
        <w:t xml:space="preserve"> 阈值制定常见问题与解决建议</w:t>
      </w:r>
    </w:p>
    <w:tbl>
      <w:tblPr>
        <w:tblStyle w:val="12"/>
        <w:tblW w:w="5000" w:type="pct"/>
        <w:tblInd w:w="0" w:type="dxa"/>
        <w:tblLayout w:type="autofit"/>
        <w:tblCellMar>
          <w:top w:w="0" w:type="dxa"/>
          <w:left w:w="108" w:type="dxa"/>
          <w:bottom w:w="0" w:type="dxa"/>
          <w:right w:w="108" w:type="dxa"/>
        </w:tblCellMar>
      </w:tblPr>
      <w:tblGrid>
        <w:gridCol w:w="1198"/>
        <w:gridCol w:w="2023"/>
        <w:gridCol w:w="2854"/>
        <w:gridCol w:w="3495"/>
      </w:tblGrid>
      <w:tr w14:paraId="51EF6151">
        <w:tblPrEx>
          <w:tblCellMar>
            <w:top w:w="0" w:type="dxa"/>
            <w:left w:w="108" w:type="dxa"/>
            <w:bottom w:w="0" w:type="dxa"/>
            <w:right w:w="108" w:type="dxa"/>
          </w:tblCellMar>
        </w:tblPrEx>
        <w:trPr>
          <w:trHeight w:val="278" w:hRule="atLeast"/>
        </w:trPr>
        <w:tc>
          <w:tcPr>
            <w:tcW w:w="626" w:type="pct"/>
            <w:tcBorders>
              <w:top w:val="single" w:color="auto" w:sz="12" w:space="0"/>
              <w:bottom w:val="single" w:color="auto" w:sz="12" w:space="0"/>
            </w:tcBorders>
          </w:tcPr>
          <w:p w14:paraId="36A64B52">
            <w:pPr>
              <w:pStyle w:val="27"/>
              <w:ind w:firstLine="0" w:firstLineChars="0"/>
              <w:rPr>
                <w:rFonts w:ascii="Times New Roman"/>
              </w:rPr>
            </w:pPr>
            <w:r>
              <w:rPr>
                <w:rFonts w:ascii="Times New Roman"/>
              </w:rPr>
              <w:t>问题类型</w:t>
            </w:r>
          </w:p>
        </w:tc>
        <w:tc>
          <w:tcPr>
            <w:tcW w:w="1057" w:type="pct"/>
            <w:tcBorders>
              <w:top w:val="single" w:color="auto" w:sz="12" w:space="0"/>
              <w:bottom w:val="single" w:color="auto" w:sz="12" w:space="0"/>
            </w:tcBorders>
          </w:tcPr>
          <w:p w14:paraId="24A45704">
            <w:pPr>
              <w:pStyle w:val="27"/>
              <w:ind w:firstLine="0" w:firstLineChars="0"/>
              <w:rPr>
                <w:rFonts w:ascii="Times New Roman"/>
              </w:rPr>
            </w:pPr>
            <w:r>
              <w:rPr>
                <w:rFonts w:ascii="Times New Roman"/>
              </w:rPr>
              <w:t>具体表现</w:t>
            </w:r>
          </w:p>
        </w:tc>
        <w:tc>
          <w:tcPr>
            <w:tcW w:w="1491" w:type="pct"/>
            <w:tcBorders>
              <w:top w:val="single" w:color="auto" w:sz="12" w:space="0"/>
              <w:bottom w:val="single" w:color="auto" w:sz="12" w:space="0"/>
            </w:tcBorders>
          </w:tcPr>
          <w:p w14:paraId="4FAB0034">
            <w:pPr>
              <w:pStyle w:val="27"/>
              <w:ind w:firstLine="0" w:firstLineChars="0"/>
              <w:rPr>
                <w:rFonts w:ascii="Times New Roman"/>
              </w:rPr>
            </w:pPr>
            <w:r>
              <w:rPr>
                <w:rFonts w:ascii="Times New Roman"/>
              </w:rPr>
              <w:t>可能原因</w:t>
            </w:r>
          </w:p>
        </w:tc>
        <w:tc>
          <w:tcPr>
            <w:tcW w:w="1826" w:type="pct"/>
            <w:tcBorders>
              <w:top w:val="single" w:color="auto" w:sz="12" w:space="0"/>
              <w:bottom w:val="single" w:color="auto" w:sz="12" w:space="0"/>
            </w:tcBorders>
          </w:tcPr>
          <w:p w14:paraId="6E33BD3B">
            <w:pPr>
              <w:pStyle w:val="27"/>
              <w:ind w:firstLine="0" w:firstLineChars="0"/>
              <w:rPr>
                <w:rFonts w:ascii="Times New Roman"/>
              </w:rPr>
            </w:pPr>
            <w:r>
              <w:rPr>
                <w:rFonts w:ascii="Times New Roman"/>
              </w:rPr>
              <w:t>解决建议</w:t>
            </w:r>
          </w:p>
        </w:tc>
      </w:tr>
      <w:tr w14:paraId="3BFF5862">
        <w:tblPrEx>
          <w:tblCellMar>
            <w:top w:w="0" w:type="dxa"/>
            <w:left w:w="108" w:type="dxa"/>
            <w:bottom w:w="0" w:type="dxa"/>
            <w:right w:w="108" w:type="dxa"/>
          </w:tblCellMar>
        </w:tblPrEx>
        <w:trPr>
          <w:trHeight w:val="278" w:hRule="atLeast"/>
        </w:trPr>
        <w:tc>
          <w:tcPr>
            <w:tcW w:w="626" w:type="pct"/>
            <w:vMerge w:val="restart"/>
            <w:tcBorders>
              <w:top w:val="single" w:color="auto" w:sz="12" w:space="0"/>
            </w:tcBorders>
          </w:tcPr>
          <w:p w14:paraId="67753505">
            <w:pPr>
              <w:pStyle w:val="27"/>
              <w:ind w:firstLine="0" w:firstLineChars="0"/>
              <w:rPr>
                <w:rFonts w:ascii="Times New Roman"/>
                <w:b/>
                <w:bCs/>
              </w:rPr>
            </w:pPr>
            <w:r>
              <w:rPr>
                <w:rFonts w:ascii="Times New Roman"/>
                <w:b/>
                <w:bCs/>
              </w:rPr>
              <w:t>数据问题</w:t>
            </w:r>
          </w:p>
        </w:tc>
        <w:tc>
          <w:tcPr>
            <w:tcW w:w="1057" w:type="pct"/>
            <w:vMerge w:val="restart"/>
            <w:tcBorders>
              <w:top w:val="single" w:color="auto" w:sz="12" w:space="0"/>
            </w:tcBorders>
          </w:tcPr>
          <w:p w14:paraId="167FDD6E">
            <w:pPr>
              <w:pStyle w:val="27"/>
              <w:ind w:firstLine="0" w:firstLineChars="0"/>
              <w:rPr>
                <w:rFonts w:ascii="Times New Roman"/>
              </w:rPr>
            </w:pPr>
            <w:r>
              <w:rPr>
                <w:rFonts w:ascii="Times New Roman"/>
              </w:rPr>
              <w:t>1. 数据量不足</w:t>
            </w:r>
          </w:p>
        </w:tc>
        <w:tc>
          <w:tcPr>
            <w:tcW w:w="1491" w:type="pct"/>
            <w:vMerge w:val="restart"/>
            <w:tcBorders>
              <w:top w:val="single" w:color="auto" w:sz="12" w:space="0"/>
            </w:tcBorders>
          </w:tcPr>
          <w:p w14:paraId="425E8BEB">
            <w:pPr>
              <w:pStyle w:val="27"/>
              <w:ind w:firstLine="0" w:firstLineChars="0"/>
              <w:rPr>
                <w:rFonts w:ascii="Times New Roman"/>
              </w:rPr>
            </w:pPr>
            <w:r>
              <w:rPr>
                <w:rFonts w:ascii="Times New Roman"/>
              </w:rPr>
              <w:t>监测频次低、时间短</w:t>
            </w:r>
          </w:p>
        </w:tc>
        <w:tc>
          <w:tcPr>
            <w:tcW w:w="1826" w:type="pct"/>
            <w:tcBorders>
              <w:top w:val="single" w:color="auto" w:sz="12" w:space="0"/>
            </w:tcBorders>
          </w:tcPr>
          <w:p w14:paraId="402A90BC">
            <w:pPr>
              <w:pStyle w:val="27"/>
              <w:ind w:firstLine="0" w:firstLineChars="0"/>
              <w:rPr>
                <w:rFonts w:ascii="Times New Roman"/>
              </w:rPr>
            </w:pPr>
            <w:r>
              <w:rPr>
                <w:rFonts w:ascii="Cambria Math" w:hAnsi="Cambria Math" w:cs="Cambria Math"/>
              </w:rPr>
              <w:t>①</w:t>
            </w:r>
            <w:r>
              <w:rPr>
                <w:rFonts w:ascii="Times New Roman"/>
              </w:rPr>
              <w:t xml:space="preserve"> 补充监测</w:t>
            </w:r>
          </w:p>
        </w:tc>
      </w:tr>
      <w:tr w14:paraId="56C63E9A">
        <w:tblPrEx>
          <w:tblCellMar>
            <w:top w:w="0" w:type="dxa"/>
            <w:left w:w="108" w:type="dxa"/>
            <w:bottom w:w="0" w:type="dxa"/>
            <w:right w:w="108" w:type="dxa"/>
          </w:tblCellMar>
        </w:tblPrEx>
        <w:trPr>
          <w:trHeight w:val="345" w:hRule="atLeast"/>
        </w:trPr>
        <w:tc>
          <w:tcPr>
            <w:tcW w:w="626" w:type="pct"/>
            <w:vMerge w:val="continue"/>
          </w:tcPr>
          <w:p w14:paraId="4DEE8A82">
            <w:pPr>
              <w:pStyle w:val="27"/>
              <w:ind w:firstLine="0" w:firstLineChars="0"/>
              <w:rPr>
                <w:rFonts w:ascii="Times New Roman"/>
                <w:b/>
                <w:bCs/>
              </w:rPr>
            </w:pPr>
          </w:p>
        </w:tc>
        <w:tc>
          <w:tcPr>
            <w:tcW w:w="1057" w:type="pct"/>
            <w:vMerge w:val="continue"/>
          </w:tcPr>
          <w:p w14:paraId="53446E13">
            <w:pPr>
              <w:pStyle w:val="27"/>
              <w:ind w:firstLine="0" w:firstLineChars="0"/>
              <w:rPr>
                <w:rFonts w:ascii="Times New Roman"/>
              </w:rPr>
            </w:pPr>
          </w:p>
        </w:tc>
        <w:tc>
          <w:tcPr>
            <w:tcW w:w="1491" w:type="pct"/>
            <w:vMerge w:val="continue"/>
          </w:tcPr>
          <w:p w14:paraId="033FA85F">
            <w:pPr>
              <w:pStyle w:val="27"/>
              <w:ind w:firstLine="0" w:firstLineChars="0"/>
              <w:rPr>
                <w:rFonts w:ascii="Times New Roman"/>
              </w:rPr>
            </w:pPr>
          </w:p>
        </w:tc>
        <w:tc>
          <w:tcPr>
            <w:tcW w:w="1826" w:type="pct"/>
          </w:tcPr>
          <w:p w14:paraId="3C2AF358">
            <w:pPr>
              <w:pStyle w:val="27"/>
              <w:ind w:firstLine="0" w:firstLineChars="0"/>
              <w:rPr>
                <w:rFonts w:ascii="Times New Roman"/>
              </w:rPr>
            </w:pPr>
            <w:r>
              <w:rPr>
                <w:rFonts w:ascii="Cambria Math" w:hAnsi="Cambria Math" w:cs="Cambria Math"/>
              </w:rPr>
              <w:t>②</w:t>
            </w:r>
            <w:r>
              <w:rPr>
                <w:rFonts w:ascii="Times New Roman"/>
              </w:rPr>
              <w:t xml:space="preserve"> 使用区域综合法</w:t>
            </w:r>
          </w:p>
        </w:tc>
      </w:tr>
      <w:tr w14:paraId="0BCF8CA9">
        <w:tblPrEx>
          <w:tblCellMar>
            <w:top w:w="0" w:type="dxa"/>
            <w:left w:w="108" w:type="dxa"/>
            <w:bottom w:w="0" w:type="dxa"/>
            <w:right w:w="108" w:type="dxa"/>
          </w:tblCellMar>
        </w:tblPrEx>
        <w:trPr>
          <w:trHeight w:val="278" w:hRule="atLeast"/>
        </w:trPr>
        <w:tc>
          <w:tcPr>
            <w:tcW w:w="626" w:type="pct"/>
            <w:vMerge w:val="continue"/>
          </w:tcPr>
          <w:p w14:paraId="0E5C7D4E">
            <w:pPr>
              <w:pStyle w:val="27"/>
              <w:ind w:firstLine="0" w:firstLineChars="0"/>
              <w:rPr>
                <w:rFonts w:ascii="Times New Roman"/>
                <w:b/>
                <w:bCs/>
              </w:rPr>
            </w:pPr>
          </w:p>
        </w:tc>
        <w:tc>
          <w:tcPr>
            <w:tcW w:w="1057" w:type="pct"/>
            <w:vMerge w:val="continue"/>
            <w:tcBorders>
              <w:bottom w:val="single" w:color="auto" w:sz="6" w:space="0"/>
            </w:tcBorders>
          </w:tcPr>
          <w:p w14:paraId="0D3FC745">
            <w:pPr>
              <w:pStyle w:val="27"/>
              <w:ind w:firstLine="0" w:firstLineChars="0"/>
              <w:rPr>
                <w:rFonts w:ascii="Times New Roman"/>
              </w:rPr>
            </w:pPr>
          </w:p>
        </w:tc>
        <w:tc>
          <w:tcPr>
            <w:tcW w:w="1491" w:type="pct"/>
            <w:vMerge w:val="continue"/>
            <w:tcBorders>
              <w:bottom w:val="single" w:color="auto" w:sz="6" w:space="0"/>
            </w:tcBorders>
          </w:tcPr>
          <w:p w14:paraId="62CC62CD">
            <w:pPr>
              <w:pStyle w:val="27"/>
              <w:ind w:firstLine="0" w:firstLineChars="0"/>
              <w:rPr>
                <w:rFonts w:ascii="Times New Roman"/>
              </w:rPr>
            </w:pPr>
          </w:p>
        </w:tc>
        <w:tc>
          <w:tcPr>
            <w:tcW w:w="1826" w:type="pct"/>
            <w:tcBorders>
              <w:bottom w:val="single" w:color="auto" w:sz="6" w:space="0"/>
            </w:tcBorders>
          </w:tcPr>
          <w:p w14:paraId="55F75047">
            <w:pPr>
              <w:pStyle w:val="27"/>
              <w:ind w:firstLine="0" w:firstLineChars="0"/>
              <w:rPr>
                <w:rFonts w:ascii="Times New Roman"/>
              </w:rPr>
            </w:pPr>
            <w:r>
              <w:rPr>
                <w:rFonts w:ascii="Cambria Math" w:hAnsi="Cambria Math" w:cs="Cambria Math"/>
              </w:rPr>
              <w:t>③</w:t>
            </w:r>
            <w:r>
              <w:rPr>
                <w:rFonts w:ascii="Times New Roman"/>
              </w:rPr>
              <w:t xml:space="preserve"> 专家经验补充</w:t>
            </w:r>
          </w:p>
        </w:tc>
      </w:tr>
      <w:tr w14:paraId="716FA632">
        <w:tblPrEx>
          <w:tblCellMar>
            <w:top w:w="0" w:type="dxa"/>
            <w:left w:w="108" w:type="dxa"/>
            <w:bottom w:w="0" w:type="dxa"/>
            <w:right w:w="108" w:type="dxa"/>
          </w:tblCellMar>
        </w:tblPrEx>
        <w:trPr>
          <w:trHeight w:val="278" w:hRule="atLeast"/>
        </w:trPr>
        <w:tc>
          <w:tcPr>
            <w:tcW w:w="626" w:type="pct"/>
            <w:vMerge w:val="restart"/>
          </w:tcPr>
          <w:p w14:paraId="3453F335">
            <w:pPr>
              <w:pStyle w:val="27"/>
              <w:ind w:firstLine="0" w:firstLineChars="0"/>
              <w:rPr>
                <w:rFonts w:ascii="Times New Roman"/>
              </w:rPr>
            </w:pPr>
            <w:r>
              <w:rPr>
                <w:rFonts w:ascii="Times New Roman"/>
              </w:rPr>
              <w:t>　</w:t>
            </w:r>
          </w:p>
        </w:tc>
        <w:tc>
          <w:tcPr>
            <w:tcW w:w="1057" w:type="pct"/>
            <w:vMerge w:val="restart"/>
            <w:tcBorders>
              <w:top w:val="single" w:color="auto" w:sz="6" w:space="0"/>
            </w:tcBorders>
          </w:tcPr>
          <w:p w14:paraId="13A5FA7E">
            <w:pPr>
              <w:pStyle w:val="27"/>
              <w:ind w:firstLine="0" w:firstLineChars="0"/>
              <w:rPr>
                <w:rFonts w:ascii="Times New Roman"/>
              </w:rPr>
            </w:pPr>
            <w:r>
              <w:rPr>
                <w:rFonts w:ascii="Times New Roman"/>
              </w:rPr>
              <w:t>2. 变量缺失</w:t>
            </w:r>
          </w:p>
        </w:tc>
        <w:tc>
          <w:tcPr>
            <w:tcW w:w="1491" w:type="pct"/>
            <w:vMerge w:val="restart"/>
            <w:tcBorders>
              <w:top w:val="single" w:color="auto" w:sz="6" w:space="0"/>
            </w:tcBorders>
          </w:tcPr>
          <w:p w14:paraId="61877D20">
            <w:pPr>
              <w:pStyle w:val="27"/>
              <w:ind w:firstLine="0" w:firstLineChars="0"/>
              <w:rPr>
                <w:rFonts w:ascii="Times New Roman"/>
              </w:rPr>
            </w:pPr>
            <w:r>
              <w:rPr>
                <w:rFonts w:ascii="Times New Roman"/>
              </w:rPr>
              <w:t>关键变量（如浊度）未测</w:t>
            </w:r>
          </w:p>
        </w:tc>
        <w:tc>
          <w:tcPr>
            <w:tcW w:w="1826" w:type="pct"/>
            <w:tcBorders>
              <w:top w:val="single" w:color="auto" w:sz="6" w:space="0"/>
            </w:tcBorders>
          </w:tcPr>
          <w:p w14:paraId="25D82E29">
            <w:pPr>
              <w:pStyle w:val="27"/>
              <w:ind w:firstLine="0" w:firstLineChars="0"/>
              <w:rPr>
                <w:rFonts w:ascii="Times New Roman"/>
              </w:rPr>
            </w:pPr>
            <w:r>
              <w:rPr>
                <w:rFonts w:ascii="Cambria Math" w:hAnsi="Cambria Math" w:cs="Cambria Math"/>
              </w:rPr>
              <w:t>①</w:t>
            </w:r>
            <w:r>
              <w:rPr>
                <w:rFonts w:ascii="Times New Roman"/>
              </w:rPr>
              <w:t xml:space="preserve"> 使用替代指标</w:t>
            </w:r>
          </w:p>
        </w:tc>
      </w:tr>
      <w:tr w14:paraId="20C9A334">
        <w:tblPrEx>
          <w:tblCellMar>
            <w:top w:w="0" w:type="dxa"/>
            <w:left w:w="108" w:type="dxa"/>
            <w:bottom w:w="0" w:type="dxa"/>
            <w:right w:w="108" w:type="dxa"/>
          </w:tblCellMar>
        </w:tblPrEx>
        <w:trPr>
          <w:trHeight w:val="345" w:hRule="atLeast"/>
        </w:trPr>
        <w:tc>
          <w:tcPr>
            <w:tcW w:w="626" w:type="pct"/>
            <w:vMerge w:val="continue"/>
          </w:tcPr>
          <w:p w14:paraId="6347BB0E">
            <w:pPr>
              <w:pStyle w:val="27"/>
              <w:ind w:firstLine="0" w:firstLineChars="0"/>
              <w:rPr>
                <w:rFonts w:ascii="Times New Roman"/>
              </w:rPr>
            </w:pPr>
          </w:p>
        </w:tc>
        <w:tc>
          <w:tcPr>
            <w:tcW w:w="1057" w:type="pct"/>
            <w:vMerge w:val="continue"/>
          </w:tcPr>
          <w:p w14:paraId="51E001B2">
            <w:pPr>
              <w:pStyle w:val="27"/>
              <w:ind w:firstLine="0" w:firstLineChars="0"/>
              <w:rPr>
                <w:rFonts w:ascii="Times New Roman"/>
              </w:rPr>
            </w:pPr>
          </w:p>
        </w:tc>
        <w:tc>
          <w:tcPr>
            <w:tcW w:w="1491" w:type="pct"/>
            <w:vMerge w:val="continue"/>
          </w:tcPr>
          <w:p w14:paraId="19ADDBF0">
            <w:pPr>
              <w:pStyle w:val="27"/>
              <w:ind w:firstLine="0" w:firstLineChars="0"/>
              <w:rPr>
                <w:rFonts w:ascii="Times New Roman"/>
              </w:rPr>
            </w:pPr>
          </w:p>
        </w:tc>
        <w:tc>
          <w:tcPr>
            <w:tcW w:w="1826" w:type="pct"/>
          </w:tcPr>
          <w:p w14:paraId="3DDB4A99">
            <w:pPr>
              <w:pStyle w:val="27"/>
              <w:ind w:firstLine="0" w:firstLineChars="0"/>
              <w:rPr>
                <w:rFonts w:ascii="Times New Roman"/>
              </w:rPr>
            </w:pPr>
            <w:r>
              <w:rPr>
                <w:rFonts w:ascii="Cambria Math" w:hAnsi="Cambria Math" w:cs="Cambria Math"/>
              </w:rPr>
              <w:t>②</w:t>
            </w:r>
            <w:r>
              <w:rPr>
                <w:rFonts w:ascii="Times New Roman"/>
              </w:rPr>
              <w:t xml:space="preserve"> 建立经验关系估算</w:t>
            </w:r>
          </w:p>
        </w:tc>
      </w:tr>
      <w:tr w14:paraId="47464089">
        <w:tblPrEx>
          <w:tblCellMar>
            <w:top w:w="0" w:type="dxa"/>
            <w:left w:w="108" w:type="dxa"/>
            <w:bottom w:w="0" w:type="dxa"/>
            <w:right w:w="108" w:type="dxa"/>
          </w:tblCellMar>
        </w:tblPrEx>
        <w:trPr>
          <w:trHeight w:val="278" w:hRule="atLeast"/>
        </w:trPr>
        <w:tc>
          <w:tcPr>
            <w:tcW w:w="626" w:type="pct"/>
            <w:vMerge w:val="continue"/>
          </w:tcPr>
          <w:p w14:paraId="7286D0A3">
            <w:pPr>
              <w:pStyle w:val="27"/>
              <w:ind w:firstLine="0" w:firstLineChars="0"/>
              <w:rPr>
                <w:rFonts w:ascii="Times New Roman"/>
              </w:rPr>
            </w:pPr>
          </w:p>
        </w:tc>
        <w:tc>
          <w:tcPr>
            <w:tcW w:w="1057" w:type="pct"/>
            <w:vMerge w:val="continue"/>
            <w:tcBorders>
              <w:bottom w:val="single" w:color="auto" w:sz="6" w:space="0"/>
            </w:tcBorders>
          </w:tcPr>
          <w:p w14:paraId="38FEF9BF">
            <w:pPr>
              <w:pStyle w:val="27"/>
              <w:ind w:firstLine="0" w:firstLineChars="0"/>
              <w:rPr>
                <w:rFonts w:ascii="Times New Roman"/>
              </w:rPr>
            </w:pPr>
          </w:p>
        </w:tc>
        <w:tc>
          <w:tcPr>
            <w:tcW w:w="1491" w:type="pct"/>
            <w:vMerge w:val="continue"/>
            <w:tcBorders>
              <w:bottom w:val="single" w:color="auto" w:sz="6" w:space="0"/>
            </w:tcBorders>
          </w:tcPr>
          <w:p w14:paraId="28BFEA08">
            <w:pPr>
              <w:pStyle w:val="27"/>
              <w:ind w:firstLine="0" w:firstLineChars="0"/>
              <w:rPr>
                <w:rFonts w:ascii="Times New Roman"/>
              </w:rPr>
            </w:pPr>
          </w:p>
        </w:tc>
        <w:tc>
          <w:tcPr>
            <w:tcW w:w="1826" w:type="pct"/>
            <w:tcBorders>
              <w:bottom w:val="single" w:color="auto" w:sz="6" w:space="0"/>
            </w:tcBorders>
          </w:tcPr>
          <w:p w14:paraId="6581FFFC">
            <w:pPr>
              <w:pStyle w:val="27"/>
              <w:ind w:firstLine="0" w:firstLineChars="0"/>
              <w:rPr>
                <w:rFonts w:ascii="Times New Roman"/>
              </w:rPr>
            </w:pPr>
            <w:r>
              <w:rPr>
                <w:rFonts w:ascii="Cambria Math" w:hAnsi="Cambria Math" w:cs="Cambria Math"/>
              </w:rPr>
              <w:t>③</w:t>
            </w:r>
            <w:r>
              <w:rPr>
                <w:rFonts w:ascii="Times New Roman"/>
              </w:rPr>
              <w:t xml:space="preserve"> 说明局限性</w:t>
            </w:r>
          </w:p>
        </w:tc>
      </w:tr>
      <w:tr w14:paraId="560E143B">
        <w:tblPrEx>
          <w:tblCellMar>
            <w:top w:w="0" w:type="dxa"/>
            <w:left w:w="108" w:type="dxa"/>
            <w:bottom w:w="0" w:type="dxa"/>
            <w:right w:w="108" w:type="dxa"/>
          </w:tblCellMar>
        </w:tblPrEx>
        <w:trPr>
          <w:trHeight w:val="278" w:hRule="atLeast"/>
        </w:trPr>
        <w:tc>
          <w:tcPr>
            <w:tcW w:w="626" w:type="pct"/>
            <w:vMerge w:val="restart"/>
          </w:tcPr>
          <w:p w14:paraId="6D26A760">
            <w:pPr>
              <w:pStyle w:val="27"/>
              <w:ind w:firstLine="0" w:firstLineChars="0"/>
              <w:rPr>
                <w:rFonts w:ascii="Times New Roman"/>
              </w:rPr>
            </w:pPr>
            <w:r>
              <w:rPr>
                <w:rFonts w:ascii="Times New Roman"/>
              </w:rPr>
              <w:t>　</w:t>
            </w:r>
          </w:p>
        </w:tc>
        <w:tc>
          <w:tcPr>
            <w:tcW w:w="1057" w:type="pct"/>
            <w:vMerge w:val="restart"/>
            <w:tcBorders>
              <w:top w:val="single" w:color="auto" w:sz="6" w:space="0"/>
            </w:tcBorders>
          </w:tcPr>
          <w:p w14:paraId="7EF00562">
            <w:pPr>
              <w:pStyle w:val="27"/>
              <w:ind w:firstLine="0" w:firstLineChars="0"/>
              <w:rPr>
                <w:rFonts w:ascii="Times New Roman"/>
              </w:rPr>
            </w:pPr>
            <w:r>
              <w:rPr>
                <w:rFonts w:ascii="Times New Roman"/>
              </w:rPr>
              <w:t>3. 异常值多</w:t>
            </w:r>
          </w:p>
        </w:tc>
        <w:tc>
          <w:tcPr>
            <w:tcW w:w="1491" w:type="pct"/>
            <w:vMerge w:val="restart"/>
            <w:tcBorders>
              <w:top w:val="single" w:color="auto" w:sz="6" w:space="0"/>
            </w:tcBorders>
          </w:tcPr>
          <w:p w14:paraId="590B7603">
            <w:pPr>
              <w:pStyle w:val="27"/>
              <w:ind w:firstLine="0" w:firstLineChars="0"/>
              <w:rPr>
                <w:rFonts w:ascii="Times New Roman"/>
              </w:rPr>
            </w:pPr>
            <w:r>
              <w:rPr>
                <w:rFonts w:ascii="Times New Roman"/>
              </w:rPr>
              <w:t>监测误差或极端事件</w:t>
            </w:r>
          </w:p>
        </w:tc>
        <w:tc>
          <w:tcPr>
            <w:tcW w:w="1826" w:type="pct"/>
            <w:tcBorders>
              <w:top w:val="single" w:color="auto" w:sz="6" w:space="0"/>
            </w:tcBorders>
          </w:tcPr>
          <w:p w14:paraId="27BB4335">
            <w:pPr>
              <w:pStyle w:val="27"/>
              <w:ind w:firstLine="0" w:firstLineChars="0"/>
              <w:rPr>
                <w:rFonts w:ascii="Times New Roman"/>
              </w:rPr>
            </w:pPr>
            <w:r>
              <w:rPr>
                <w:rFonts w:ascii="Cambria Math" w:hAnsi="Cambria Math" w:cs="Cambria Math"/>
              </w:rPr>
              <w:t>①</w:t>
            </w:r>
            <w:r>
              <w:rPr>
                <w:rFonts w:ascii="Times New Roman"/>
              </w:rPr>
              <w:t xml:space="preserve"> 数据清洗</w:t>
            </w:r>
          </w:p>
        </w:tc>
      </w:tr>
      <w:tr w14:paraId="5BE4CB88">
        <w:tblPrEx>
          <w:tblCellMar>
            <w:top w:w="0" w:type="dxa"/>
            <w:left w:w="108" w:type="dxa"/>
            <w:bottom w:w="0" w:type="dxa"/>
            <w:right w:w="108" w:type="dxa"/>
          </w:tblCellMar>
        </w:tblPrEx>
        <w:trPr>
          <w:trHeight w:val="345" w:hRule="atLeast"/>
        </w:trPr>
        <w:tc>
          <w:tcPr>
            <w:tcW w:w="626" w:type="pct"/>
            <w:vMerge w:val="continue"/>
          </w:tcPr>
          <w:p w14:paraId="752AFC50">
            <w:pPr>
              <w:pStyle w:val="27"/>
              <w:ind w:firstLine="0" w:firstLineChars="0"/>
              <w:rPr>
                <w:rFonts w:ascii="Times New Roman"/>
              </w:rPr>
            </w:pPr>
          </w:p>
        </w:tc>
        <w:tc>
          <w:tcPr>
            <w:tcW w:w="1057" w:type="pct"/>
            <w:vMerge w:val="continue"/>
          </w:tcPr>
          <w:p w14:paraId="0D1E83F3">
            <w:pPr>
              <w:pStyle w:val="27"/>
              <w:ind w:firstLine="0" w:firstLineChars="0"/>
              <w:rPr>
                <w:rFonts w:ascii="Times New Roman"/>
              </w:rPr>
            </w:pPr>
          </w:p>
        </w:tc>
        <w:tc>
          <w:tcPr>
            <w:tcW w:w="1491" w:type="pct"/>
            <w:vMerge w:val="continue"/>
          </w:tcPr>
          <w:p w14:paraId="66B8B08E">
            <w:pPr>
              <w:pStyle w:val="27"/>
              <w:ind w:firstLine="0" w:firstLineChars="0"/>
              <w:rPr>
                <w:rFonts w:ascii="Times New Roman"/>
              </w:rPr>
            </w:pPr>
          </w:p>
        </w:tc>
        <w:tc>
          <w:tcPr>
            <w:tcW w:w="1826" w:type="pct"/>
          </w:tcPr>
          <w:p w14:paraId="565A2907">
            <w:pPr>
              <w:pStyle w:val="27"/>
              <w:ind w:firstLine="0" w:firstLineChars="0"/>
              <w:rPr>
                <w:rFonts w:ascii="Times New Roman"/>
              </w:rPr>
            </w:pPr>
            <w:r>
              <w:rPr>
                <w:rFonts w:ascii="Cambria Math" w:hAnsi="Cambria Math" w:cs="Cambria Math"/>
              </w:rPr>
              <w:t>②</w:t>
            </w:r>
            <w:r>
              <w:rPr>
                <w:rFonts w:ascii="Times New Roman"/>
              </w:rPr>
              <w:t xml:space="preserve"> 使用稳健统计方法</w:t>
            </w:r>
          </w:p>
        </w:tc>
      </w:tr>
      <w:tr w14:paraId="133A064F">
        <w:tblPrEx>
          <w:tblCellMar>
            <w:top w:w="0" w:type="dxa"/>
            <w:left w:w="108" w:type="dxa"/>
            <w:bottom w:w="0" w:type="dxa"/>
            <w:right w:w="108" w:type="dxa"/>
          </w:tblCellMar>
        </w:tblPrEx>
        <w:trPr>
          <w:trHeight w:val="278" w:hRule="atLeast"/>
        </w:trPr>
        <w:tc>
          <w:tcPr>
            <w:tcW w:w="626" w:type="pct"/>
            <w:vMerge w:val="continue"/>
            <w:tcBorders>
              <w:bottom w:val="single" w:color="auto" w:sz="6" w:space="0"/>
            </w:tcBorders>
          </w:tcPr>
          <w:p w14:paraId="73610003">
            <w:pPr>
              <w:pStyle w:val="27"/>
              <w:ind w:firstLine="0" w:firstLineChars="0"/>
              <w:rPr>
                <w:rFonts w:ascii="Times New Roman"/>
              </w:rPr>
            </w:pPr>
          </w:p>
        </w:tc>
        <w:tc>
          <w:tcPr>
            <w:tcW w:w="1057" w:type="pct"/>
            <w:vMerge w:val="continue"/>
            <w:tcBorders>
              <w:bottom w:val="single" w:color="auto" w:sz="6" w:space="0"/>
            </w:tcBorders>
          </w:tcPr>
          <w:p w14:paraId="6B4A6A99">
            <w:pPr>
              <w:pStyle w:val="27"/>
              <w:ind w:firstLine="0" w:firstLineChars="0"/>
              <w:rPr>
                <w:rFonts w:ascii="Times New Roman"/>
              </w:rPr>
            </w:pPr>
          </w:p>
        </w:tc>
        <w:tc>
          <w:tcPr>
            <w:tcW w:w="1491" w:type="pct"/>
            <w:vMerge w:val="continue"/>
            <w:tcBorders>
              <w:bottom w:val="single" w:color="auto" w:sz="6" w:space="0"/>
            </w:tcBorders>
          </w:tcPr>
          <w:p w14:paraId="20E864FF">
            <w:pPr>
              <w:pStyle w:val="27"/>
              <w:ind w:firstLine="0" w:firstLineChars="0"/>
              <w:rPr>
                <w:rFonts w:ascii="Times New Roman"/>
              </w:rPr>
            </w:pPr>
          </w:p>
        </w:tc>
        <w:tc>
          <w:tcPr>
            <w:tcW w:w="1826" w:type="pct"/>
            <w:tcBorders>
              <w:bottom w:val="single" w:color="auto" w:sz="6" w:space="0"/>
            </w:tcBorders>
          </w:tcPr>
          <w:p w14:paraId="0E775664">
            <w:pPr>
              <w:pStyle w:val="27"/>
              <w:ind w:firstLine="0" w:firstLineChars="0"/>
              <w:rPr>
                <w:rFonts w:ascii="Times New Roman"/>
              </w:rPr>
            </w:pPr>
            <w:r>
              <w:rPr>
                <w:rFonts w:ascii="Cambria Math" w:hAnsi="Cambria Math" w:cs="Cambria Math"/>
              </w:rPr>
              <w:t>③</w:t>
            </w:r>
            <w:r>
              <w:rPr>
                <w:rFonts w:ascii="Times New Roman"/>
              </w:rPr>
              <w:t xml:space="preserve"> 分情境分析</w:t>
            </w:r>
          </w:p>
        </w:tc>
      </w:tr>
      <w:tr w14:paraId="1F43E697">
        <w:tblPrEx>
          <w:tblCellMar>
            <w:top w:w="0" w:type="dxa"/>
            <w:left w:w="108" w:type="dxa"/>
            <w:bottom w:w="0" w:type="dxa"/>
            <w:right w:w="108" w:type="dxa"/>
          </w:tblCellMar>
        </w:tblPrEx>
        <w:trPr>
          <w:trHeight w:val="278" w:hRule="atLeast"/>
        </w:trPr>
        <w:tc>
          <w:tcPr>
            <w:tcW w:w="626" w:type="pct"/>
            <w:vMerge w:val="restart"/>
            <w:tcBorders>
              <w:top w:val="single" w:color="auto" w:sz="6" w:space="0"/>
            </w:tcBorders>
          </w:tcPr>
          <w:p w14:paraId="3410BF38">
            <w:pPr>
              <w:pStyle w:val="27"/>
              <w:ind w:firstLine="0" w:firstLineChars="0"/>
              <w:rPr>
                <w:rFonts w:ascii="Times New Roman"/>
                <w:b/>
                <w:bCs/>
              </w:rPr>
            </w:pPr>
            <w:r>
              <w:rPr>
                <w:rFonts w:ascii="Times New Roman"/>
                <w:b/>
                <w:bCs/>
              </w:rPr>
              <w:t>方法问题</w:t>
            </w:r>
          </w:p>
        </w:tc>
        <w:tc>
          <w:tcPr>
            <w:tcW w:w="1057" w:type="pct"/>
            <w:vMerge w:val="restart"/>
            <w:tcBorders>
              <w:top w:val="single" w:color="auto" w:sz="6" w:space="0"/>
            </w:tcBorders>
          </w:tcPr>
          <w:p w14:paraId="01849BDE">
            <w:pPr>
              <w:pStyle w:val="27"/>
              <w:ind w:firstLine="0" w:firstLineChars="0"/>
              <w:rPr>
                <w:rFonts w:ascii="Times New Roman"/>
              </w:rPr>
            </w:pPr>
            <w:r>
              <w:rPr>
                <w:rFonts w:ascii="Times New Roman"/>
              </w:rPr>
              <w:t>4. 无显著关系</w:t>
            </w:r>
          </w:p>
        </w:tc>
        <w:tc>
          <w:tcPr>
            <w:tcW w:w="1491" w:type="pct"/>
            <w:vMerge w:val="restart"/>
            <w:tcBorders>
              <w:top w:val="single" w:color="auto" w:sz="6" w:space="0"/>
            </w:tcBorders>
          </w:tcPr>
          <w:p w14:paraId="575C42ED">
            <w:pPr>
              <w:pStyle w:val="27"/>
              <w:ind w:firstLine="0" w:firstLineChars="0"/>
              <w:rPr>
                <w:rFonts w:ascii="Times New Roman"/>
              </w:rPr>
            </w:pPr>
            <w:r>
              <w:rPr>
                <w:rFonts w:ascii="Times New Roman"/>
              </w:rPr>
              <w:t>TN/TP与Chla相关性弱</w:t>
            </w:r>
          </w:p>
        </w:tc>
        <w:tc>
          <w:tcPr>
            <w:tcW w:w="1826" w:type="pct"/>
            <w:tcBorders>
              <w:top w:val="single" w:color="auto" w:sz="6" w:space="0"/>
            </w:tcBorders>
          </w:tcPr>
          <w:p w14:paraId="09806F8B">
            <w:pPr>
              <w:pStyle w:val="27"/>
              <w:ind w:firstLine="0" w:firstLineChars="0"/>
              <w:rPr>
                <w:rFonts w:ascii="Times New Roman"/>
              </w:rPr>
            </w:pPr>
            <w:r>
              <w:rPr>
                <w:rFonts w:ascii="Cambria Math" w:hAnsi="Cambria Math" w:cs="Cambria Math"/>
              </w:rPr>
              <w:t>①</w:t>
            </w:r>
            <w:r>
              <w:rPr>
                <w:rFonts w:ascii="Times New Roman"/>
              </w:rPr>
              <w:t xml:space="preserve"> 检查数据质量</w:t>
            </w:r>
          </w:p>
        </w:tc>
      </w:tr>
      <w:tr w14:paraId="0827EBE6">
        <w:tblPrEx>
          <w:tblCellMar>
            <w:top w:w="0" w:type="dxa"/>
            <w:left w:w="108" w:type="dxa"/>
            <w:bottom w:w="0" w:type="dxa"/>
            <w:right w:w="108" w:type="dxa"/>
          </w:tblCellMar>
        </w:tblPrEx>
        <w:trPr>
          <w:trHeight w:val="278" w:hRule="atLeast"/>
        </w:trPr>
        <w:tc>
          <w:tcPr>
            <w:tcW w:w="626" w:type="pct"/>
            <w:vMerge w:val="continue"/>
          </w:tcPr>
          <w:p w14:paraId="0AF1E016">
            <w:pPr>
              <w:pStyle w:val="27"/>
              <w:ind w:firstLine="0" w:firstLineChars="0"/>
              <w:rPr>
                <w:rFonts w:ascii="Times New Roman"/>
                <w:b/>
                <w:bCs/>
              </w:rPr>
            </w:pPr>
          </w:p>
        </w:tc>
        <w:tc>
          <w:tcPr>
            <w:tcW w:w="1057" w:type="pct"/>
            <w:vMerge w:val="continue"/>
          </w:tcPr>
          <w:p w14:paraId="7C2E6C6D">
            <w:pPr>
              <w:pStyle w:val="27"/>
              <w:ind w:firstLine="0" w:firstLineChars="0"/>
              <w:rPr>
                <w:rFonts w:ascii="Times New Roman"/>
              </w:rPr>
            </w:pPr>
          </w:p>
        </w:tc>
        <w:tc>
          <w:tcPr>
            <w:tcW w:w="1491" w:type="pct"/>
            <w:vMerge w:val="continue"/>
          </w:tcPr>
          <w:p w14:paraId="1C0299E5">
            <w:pPr>
              <w:pStyle w:val="27"/>
              <w:ind w:firstLine="0" w:firstLineChars="0"/>
              <w:rPr>
                <w:rFonts w:ascii="Times New Roman"/>
              </w:rPr>
            </w:pPr>
          </w:p>
        </w:tc>
        <w:tc>
          <w:tcPr>
            <w:tcW w:w="1826" w:type="pct"/>
          </w:tcPr>
          <w:p w14:paraId="2AD6A941">
            <w:pPr>
              <w:pStyle w:val="27"/>
              <w:ind w:firstLine="0" w:firstLineChars="0"/>
              <w:rPr>
                <w:rFonts w:ascii="Times New Roman"/>
              </w:rPr>
            </w:pPr>
            <w:r>
              <w:rPr>
                <w:rFonts w:ascii="Cambria Math" w:hAnsi="Cambria Math" w:cs="Cambria Math"/>
              </w:rPr>
              <w:t>②</w:t>
            </w:r>
            <w:r>
              <w:rPr>
                <w:rFonts w:ascii="Times New Roman"/>
              </w:rPr>
              <w:t xml:space="preserve"> 考虑滞后效应</w:t>
            </w:r>
          </w:p>
        </w:tc>
      </w:tr>
      <w:tr w14:paraId="52561A12">
        <w:tblPrEx>
          <w:tblCellMar>
            <w:top w:w="0" w:type="dxa"/>
            <w:left w:w="108" w:type="dxa"/>
            <w:bottom w:w="0" w:type="dxa"/>
            <w:right w:w="108" w:type="dxa"/>
          </w:tblCellMar>
        </w:tblPrEx>
        <w:trPr>
          <w:trHeight w:val="345" w:hRule="atLeast"/>
        </w:trPr>
        <w:tc>
          <w:tcPr>
            <w:tcW w:w="626" w:type="pct"/>
            <w:vMerge w:val="continue"/>
          </w:tcPr>
          <w:p w14:paraId="7E917C64">
            <w:pPr>
              <w:pStyle w:val="27"/>
              <w:ind w:firstLine="0" w:firstLineChars="0"/>
              <w:rPr>
                <w:rFonts w:ascii="Times New Roman"/>
                <w:b/>
                <w:bCs/>
              </w:rPr>
            </w:pPr>
          </w:p>
        </w:tc>
        <w:tc>
          <w:tcPr>
            <w:tcW w:w="1057" w:type="pct"/>
            <w:vMerge w:val="continue"/>
            <w:tcBorders>
              <w:bottom w:val="single" w:color="auto" w:sz="6" w:space="0"/>
            </w:tcBorders>
          </w:tcPr>
          <w:p w14:paraId="2E5DFE1E">
            <w:pPr>
              <w:pStyle w:val="27"/>
              <w:ind w:firstLine="0" w:firstLineChars="0"/>
              <w:rPr>
                <w:rFonts w:ascii="Times New Roman"/>
              </w:rPr>
            </w:pPr>
          </w:p>
        </w:tc>
        <w:tc>
          <w:tcPr>
            <w:tcW w:w="1491" w:type="pct"/>
            <w:vMerge w:val="continue"/>
            <w:tcBorders>
              <w:bottom w:val="single" w:color="auto" w:sz="6" w:space="0"/>
            </w:tcBorders>
          </w:tcPr>
          <w:p w14:paraId="66EA8D0D">
            <w:pPr>
              <w:pStyle w:val="27"/>
              <w:ind w:firstLine="0" w:firstLineChars="0"/>
              <w:rPr>
                <w:rFonts w:ascii="Times New Roman"/>
              </w:rPr>
            </w:pPr>
          </w:p>
        </w:tc>
        <w:tc>
          <w:tcPr>
            <w:tcW w:w="1826" w:type="pct"/>
            <w:tcBorders>
              <w:bottom w:val="single" w:color="auto" w:sz="6" w:space="0"/>
            </w:tcBorders>
          </w:tcPr>
          <w:p w14:paraId="4F3228DA">
            <w:pPr>
              <w:pStyle w:val="27"/>
              <w:ind w:firstLine="0" w:firstLineChars="0"/>
              <w:rPr>
                <w:rFonts w:ascii="Times New Roman"/>
              </w:rPr>
            </w:pPr>
            <w:r>
              <w:rPr>
                <w:rFonts w:ascii="Cambria Math" w:hAnsi="Cambria Math" w:cs="Cambria Math"/>
              </w:rPr>
              <w:t>③</w:t>
            </w:r>
            <w:r>
              <w:rPr>
                <w:rFonts w:ascii="Times New Roman"/>
              </w:rPr>
              <w:t xml:space="preserve"> 使用多指标综合评价</w:t>
            </w:r>
          </w:p>
        </w:tc>
      </w:tr>
      <w:tr w14:paraId="23381C0F">
        <w:tblPrEx>
          <w:tblCellMar>
            <w:top w:w="0" w:type="dxa"/>
            <w:left w:w="108" w:type="dxa"/>
            <w:bottom w:w="0" w:type="dxa"/>
            <w:right w:w="108" w:type="dxa"/>
          </w:tblCellMar>
        </w:tblPrEx>
        <w:trPr>
          <w:trHeight w:val="278" w:hRule="atLeast"/>
        </w:trPr>
        <w:tc>
          <w:tcPr>
            <w:tcW w:w="626" w:type="pct"/>
            <w:vMerge w:val="restart"/>
          </w:tcPr>
          <w:p w14:paraId="4C330D70">
            <w:pPr>
              <w:pStyle w:val="27"/>
              <w:ind w:firstLine="0" w:firstLineChars="0"/>
              <w:rPr>
                <w:rFonts w:ascii="Times New Roman"/>
              </w:rPr>
            </w:pPr>
            <w:r>
              <w:rPr>
                <w:rFonts w:ascii="Times New Roman"/>
              </w:rPr>
              <w:t>　</w:t>
            </w:r>
          </w:p>
        </w:tc>
        <w:tc>
          <w:tcPr>
            <w:tcW w:w="1057" w:type="pct"/>
            <w:vMerge w:val="restart"/>
            <w:tcBorders>
              <w:top w:val="single" w:color="auto" w:sz="6" w:space="0"/>
            </w:tcBorders>
          </w:tcPr>
          <w:p w14:paraId="5D9766EA">
            <w:pPr>
              <w:pStyle w:val="27"/>
              <w:ind w:firstLine="0" w:firstLineChars="0"/>
              <w:rPr>
                <w:rFonts w:ascii="Times New Roman"/>
              </w:rPr>
            </w:pPr>
            <w:r>
              <w:rPr>
                <w:rFonts w:ascii="Times New Roman"/>
              </w:rPr>
              <w:t>5. 模型拟合差</w:t>
            </w:r>
          </w:p>
        </w:tc>
        <w:tc>
          <w:tcPr>
            <w:tcW w:w="1491" w:type="pct"/>
            <w:vMerge w:val="restart"/>
            <w:tcBorders>
              <w:top w:val="single" w:color="auto" w:sz="6" w:space="0"/>
            </w:tcBorders>
          </w:tcPr>
          <w:p w14:paraId="1454080F">
            <w:pPr>
              <w:pStyle w:val="27"/>
              <w:ind w:firstLine="0" w:firstLineChars="0"/>
              <w:rPr>
                <w:rFonts w:ascii="Times New Roman"/>
              </w:rPr>
            </w:pPr>
            <w:r>
              <w:rPr>
                <w:rFonts w:ascii="Times New Roman"/>
              </w:rPr>
              <w:t>R²低，预测误差大</w:t>
            </w:r>
          </w:p>
        </w:tc>
        <w:tc>
          <w:tcPr>
            <w:tcW w:w="1826" w:type="pct"/>
            <w:tcBorders>
              <w:top w:val="single" w:color="auto" w:sz="6" w:space="0"/>
            </w:tcBorders>
          </w:tcPr>
          <w:p w14:paraId="76C5F43F">
            <w:pPr>
              <w:pStyle w:val="27"/>
              <w:ind w:firstLine="0" w:firstLineChars="0"/>
              <w:rPr>
                <w:rFonts w:ascii="Times New Roman"/>
              </w:rPr>
            </w:pPr>
            <w:r>
              <w:rPr>
                <w:rFonts w:ascii="Cambria Math" w:hAnsi="Cambria Math" w:cs="Cambria Math"/>
              </w:rPr>
              <w:t>①</w:t>
            </w:r>
            <w:r>
              <w:rPr>
                <w:rFonts w:ascii="Times New Roman"/>
              </w:rPr>
              <w:t xml:space="preserve"> 增加解释变量</w:t>
            </w:r>
          </w:p>
        </w:tc>
      </w:tr>
      <w:tr w14:paraId="218CAD99">
        <w:tblPrEx>
          <w:tblCellMar>
            <w:top w:w="0" w:type="dxa"/>
            <w:left w:w="108" w:type="dxa"/>
            <w:bottom w:w="0" w:type="dxa"/>
            <w:right w:w="108" w:type="dxa"/>
          </w:tblCellMar>
        </w:tblPrEx>
        <w:trPr>
          <w:trHeight w:val="345" w:hRule="atLeast"/>
        </w:trPr>
        <w:tc>
          <w:tcPr>
            <w:tcW w:w="626" w:type="pct"/>
            <w:vMerge w:val="continue"/>
          </w:tcPr>
          <w:p w14:paraId="3A993900">
            <w:pPr>
              <w:pStyle w:val="27"/>
              <w:ind w:firstLine="0" w:firstLineChars="0"/>
              <w:rPr>
                <w:rFonts w:ascii="Times New Roman"/>
              </w:rPr>
            </w:pPr>
          </w:p>
        </w:tc>
        <w:tc>
          <w:tcPr>
            <w:tcW w:w="1057" w:type="pct"/>
            <w:vMerge w:val="continue"/>
          </w:tcPr>
          <w:p w14:paraId="232C8EC4">
            <w:pPr>
              <w:pStyle w:val="27"/>
              <w:ind w:firstLine="0" w:firstLineChars="0"/>
              <w:rPr>
                <w:rFonts w:ascii="Times New Roman"/>
              </w:rPr>
            </w:pPr>
          </w:p>
        </w:tc>
        <w:tc>
          <w:tcPr>
            <w:tcW w:w="1491" w:type="pct"/>
            <w:vMerge w:val="continue"/>
          </w:tcPr>
          <w:p w14:paraId="7F6DBFE7">
            <w:pPr>
              <w:pStyle w:val="27"/>
              <w:ind w:firstLine="0" w:firstLineChars="0"/>
              <w:rPr>
                <w:rFonts w:ascii="Times New Roman"/>
              </w:rPr>
            </w:pPr>
          </w:p>
        </w:tc>
        <w:tc>
          <w:tcPr>
            <w:tcW w:w="1826" w:type="pct"/>
          </w:tcPr>
          <w:p w14:paraId="306804CB">
            <w:pPr>
              <w:pStyle w:val="27"/>
              <w:ind w:firstLine="0" w:firstLineChars="0"/>
              <w:rPr>
                <w:rFonts w:ascii="Times New Roman"/>
              </w:rPr>
            </w:pPr>
            <w:r>
              <w:rPr>
                <w:rFonts w:ascii="Cambria Math" w:hAnsi="Cambria Math" w:cs="Cambria Math"/>
              </w:rPr>
              <w:t>②</w:t>
            </w:r>
            <w:r>
              <w:rPr>
                <w:rFonts w:ascii="Times New Roman"/>
              </w:rPr>
              <w:t xml:space="preserve"> 使用非线性模型</w:t>
            </w:r>
          </w:p>
        </w:tc>
      </w:tr>
      <w:tr w14:paraId="3EF81BD7">
        <w:tblPrEx>
          <w:tblCellMar>
            <w:top w:w="0" w:type="dxa"/>
            <w:left w:w="108" w:type="dxa"/>
            <w:bottom w:w="0" w:type="dxa"/>
            <w:right w:w="108" w:type="dxa"/>
          </w:tblCellMar>
        </w:tblPrEx>
        <w:trPr>
          <w:trHeight w:val="278" w:hRule="atLeast"/>
        </w:trPr>
        <w:tc>
          <w:tcPr>
            <w:tcW w:w="626" w:type="pct"/>
            <w:vMerge w:val="continue"/>
          </w:tcPr>
          <w:p w14:paraId="2CEC95DC">
            <w:pPr>
              <w:pStyle w:val="27"/>
              <w:ind w:firstLine="0" w:firstLineChars="0"/>
              <w:rPr>
                <w:rFonts w:ascii="Times New Roman"/>
              </w:rPr>
            </w:pPr>
          </w:p>
        </w:tc>
        <w:tc>
          <w:tcPr>
            <w:tcW w:w="1057" w:type="pct"/>
            <w:vMerge w:val="continue"/>
            <w:tcBorders>
              <w:bottom w:val="single" w:color="auto" w:sz="6" w:space="0"/>
            </w:tcBorders>
          </w:tcPr>
          <w:p w14:paraId="0B3DD325">
            <w:pPr>
              <w:pStyle w:val="27"/>
              <w:ind w:firstLine="0" w:firstLineChars="0"/>
              <w:rPr>
                <w:rFonts w:ascii="Times New Roman"/>
              </w:rPr>
            </w:pPr>
          </w:p>
        </w:tc>
        <w:tc>
          <w:tcPr>
            <w:tcW w:w="1491" w:type="pct"/>
            <w:vMerge w:val="continue"/>
            <w:tcBorders>
              <w:bottom w:val="single" w:color="auto" w:sz="6" w:space="0"/>
            </w:tcBorders>
          </w:tcPr>
          <w:p w14:paraId="5DD9EB16">
            <w:pPr>
              <w:pStyle w:val="27"/>
              <w:ind w:firstLine="0" w:firstLineChars="0"/>
              <w:rPr>
                <w:rFonts w:ascii="Times New Roman"/>
              </w:rPr>
            </w:pPr>
          </w:p>
        </w:tc>
        <w:tc>
          <w:tcPr>
            <w:tcW w:w="1826" w:type="pct"/>
            <w:tcBorders>
              <w:bottom w:val="single" w:color="auto" w:sz="6" w:space="0"/>
            </w:tcBorders>
          </w:tcPr>
          <w:p w14:paraId="0C1C911F">
            <w:pPr>
              <w:pStyle w:val="27"/>
              <w:ind w:firstLine="0" w:firstLineChars="0"/>
              <w:rPr>
                <w:rFonts w:ascii="Times New Roman"/>
              </w:rPr>
            </w:pPr>
            <w:r>
              <w:rPr>
                <w:rFonts w:ascii="Cambria Math" w:hAnsi="Cambria Math" w:cs="Cambria Math"/>
              </w:rPr>
              <w:t>③</w:t>
            </w:r>
            <w:r>
              <w:rPr>
                <w:rFonts w:ascii="Times New Roman"/>
              </w:rPr>
              <w:t xml:space="preserve"> 考虑交互作用</w:t>
            </w:r>
          </w:p>
        </w:tc>
      </w:tr>
      <w:tr w14:paraId="1E800A40">
        <w:tblPrEx>
          <w:tblCellMar>
            <w:top w:w="0" w:type="dxa"/>
            <w:left w:w="108" w:type="dxa"/>
            <w:bottom w:w="0" w:type="dxa"/>
            <w:right w:w="108" w:type="dxa"/>
          </w:tblCellMar>
        </w:tblPrEx>
        <w:trPr>
          <w:trHeight w:val="278" w:hRule="atLeast"/>
        </w:trPr>
        <w:tc>
          <w:tcPr>
            <w:tcW w:w="626" w:type="pct"/>
            <w:vMerge w:val="restart"/>
          </w:tcPr>
          <w:p w14:paraId="4F50EF2E">
            <w:pPr>
              <w:pStyle w:val="27"/>
              <w:ind w:firstLine="0" w:firstLineChars="0"/>
              <w:rPr>
                <w:rFonts w:ascii="Times New Roman"/>
              </w:rPr>
            </w:pPr>
            <w:r>
              <w:rPr>
                <w:rFonts w:ascii="Times New Roman"/>
              </w:rPr>
              <w:t>　</w:t>
            </w:r>
          </w:p>
        </w:tc>
        <w:tc>
          <w:tcPr>
            <w:tcW w:w="1057" w:type="pct"/>
            <w:vMerge w:val="restart"/>
            <w:tcBorders>
              <w:top w:val="single" w:color="auto" w:sz="6" w:space="0"/>
            </w:tcBorders>
          </w:tcPr>
          <w:p w14:paraId="6EF49D03">
            <w:pPr>
              <w:pStyle w:val="27"/>
              <w:ind w:firstLine="0" w:firstLineChars="0"/>
              <w:rPr>
                <w:rFonts w:ascii="Times New Roman"/>
              </w:rPr>
            </w:pPr>
            <w:r>
              <w:rPr>
                <w:rFonts w:ascii="Times New Roman"/>
              </w:rPr>
              <w:t>6. 结果不合理</w:t>
            </w:r>
          </w:p>
        </w:tc>
        <w:tc>
          <w:tcPr>
            <w:tcW w:w="1491" w:type="pct"/>
            <w:vMerge w:val="restart"/>
            <w:tcBorders>
              <w:top w:val="single" w:color="auto" w:sz="6" w:space="0"/>
            </w:tcBorders>
          </w:tcPr>
          <w:p w14:paraId="39386C1C">
            <w:pPr>
              <w:pStyle w:val="27"/>
              <w:ind w:firstLine="0" w:firstLineChars="0"/>
              <w:rPr>
                <w:rFonts w:ascii="Times New Roman"/>
              </w:rPr>
            </w:pPr>
            <w:r>
              <w:rPr>
                <w:rFonts w:ascii="Times New Roman"/>
              </w:rPr>
              <w:t>阈值超出常识范围</w:t>
            </w:r>
          </w:p>
        </w:tc>
        <w:tc>
          <w:tcPr>
            <w:tcW w:w="1826" w:type="pct"/>
            <w:tcBorders>
              <w:top w:val="single" w:color="auto" w:sz="6" w:space="0"/>
            </w:tcBorders>
          </w:tcPr>
          <w:p w14:paraId="449836ED">
            <w:pPr>
              <w:pStyle w:val="27"/>
              <w:ind w:firstLine="0" w:firstLineChars="0"/>
              <w:rPr>
                <w:rFonts w:ascii="Times New Roman"/>
              </w:rPr>
            </w:pPr>
            <w:r>
              <w:rPr>
                <w:rFonts w:ascii="Cambria Math" w:hAnsi="Cambria Math" w:cs="Cambria Math"/>
              </w:rPr>
              <w:t>①</w:t>
            </w:r>
            <w:r>
              <w:rPr>
                <w:rFonts w:ascii="Times New Roman"/>
              </w:rPr>
              <w:t xml:space="preserve"> 检查数据单位</w:t>
            </w:r>
          </w:p>
        </w:tc>
      </w:tr>
      <w:tr w14:paraId="48485D52">
        <w:tblPrEx>
          <w:tblCellMar>
            <w:top w:w="0" w:type="dxa"/>
            <w:left w:w="108" w:type="dxa"/>
            <w:bottom w:w="0" w:type="dxa"/>
            <w:right w:w="108" w:type="dxa"/>
          </w:tblCellMar>
        </w:tblPrEx>
        <w:trPr>
          <w:trHeight w:val="278" w:hRule="atLeast"/>
        </w:trPr>
        <w:tc>
          <w:tcPr>
            <w:tcW w:w="626" w:type="pct"/>
            <w:vMerge w:val="continue"/>
          </w:tcPr>
          <w:p w14:paraId="3115FF29">
            <w:pPr>
              <w:pStyle w:val="27"/>
              <w:ind w:firstLine="0" w:firstLineChars="0"/>
              <w:rPr>
                <w:rFonts w:ascii="Times New Roman"/>
              </w:rPr>
            </w:pPr>
          </w:p>
        </w:tc>
        <w:tc>
          <w:tcPr>
            <w:tcW w:w="1057" w:type="pct"/>
            <w:vMerge w:val="continue"/>
          </w:tcPr>
          <w:p w14:paraId="33EA8D6E">
            <w:pPr>
              <w:pStyle w:val="27"/>
              <w:ind w:firstLine="0" w:firstLineChars="0"/>
              <w:rPr>
                <w:rFonts w:ascii="Times New Roman"/>
              </w:rPr>
            </w:pPr>
          </w:p>
        </w:tc>
        <w:tc>
          <w:tcPr>
            <w:tcW w:w="1491" w:type="pct"/>
            <w:vMerge w:val="continue"/>
          </w:tcPr>
          <w:p w14:paraId="48407E04">
            <w:pPr>
              <w:pStyle w:val="27"/>
              <w:ind w:firstLine="0" w:firstLineChars="0"/>
              <w:rPr>
                <w:rFonts w:ascii="Times New Roman"/>
              </w:rPr>
            </w:pPr>
          </w:p>
        </w:tc>
        <w:tc>
          <w:tcPr>
            <w:tcW w:w="1826" w:type="pct"/>
          </w:tcPr>
          <w:p w14:paraId="6D2F3D1C">
            <w:pPr>
              <w:pStyle w:val="27"/>
              <w:ind w:firstLine="0" w:firstLineChars="0"/>
              <w:rPr>
                <w:rFonts w:ascii="Times New Roman"/>
              </w:rPr>
            </w:pPr>
            <w:r>
              <w:rPr>
                <w:rFonts w:ascii="Cambria Math" w:hAnsi="Cambria Math" w:cs="Cambria Math"/>
              </w:rPr>
              <w:t>②</w:t>
            </w:r>
            <w:r>
              <w:rPr>
                <w:rFonts w:ascii="Times New Roman"/>
              </w:rPr>
              <w:t xml:space="preserve"> 验证模型假设</w:t>
            </w:r>
          </w:p>
        </w:tc>
      </w:tr>
      <w:tr w14:paraId="47B6AFD1">
        <w:tblPrEx>
          <w:tblCellMar>
            <w:top w:w="0" w:type="dxa"/>
            <w:left w:w="108" w:type="dxa"/>
            <w:bottom w:w="0" w:type="dxa"/>
            <w:right w:w="108" w:type="dxa"/>
          </w:tblCellMar>
        </w:tblPrEx>
        <w:trPr>
          <w:trHeight w:val="278" w:hRule="atLeast"/>
        </w:trPr>
        <w:tc>
          <w:tcPr>
            <w:tcW w:w="626" w:type="pct"/>
            <w:vMerge w:val="continue"/>
            <w:tcBorders>
              <w:bottom w:val="single" w:color="auto" w:sz="6" w:space="0"/>
            </w:tcBorders>
          </w:tcPr>
          <w:p w14:paraId="1B310043">
            <w:pPr>
              <w:pStyle w:val="27"/>
              <w:ind w:firstLine="0" w:firstLineChars="0"/>
              <w:rPr>
                <w:rFonts w:ascii="Times New Roman"/>
              </w:rPr>
            </w:pPr>
          </w:p>
        </w:tc>
        <w:tc>
          <w:tcPr>
            <w:tcW w:w="1057" w:type="pct"/>
            <w:vMerge w:val="continue"/>
            <w:tcBorders>
              <w:bottom w:val="single" w:color="auto" w:sz="6" w:space="0"/>
            </w:tcBorders>
          </w:tcPr>
          <w:p w14:paraId="41E3CC47">
            <w:pPr>
              <w:pStyle w:val="27"/>
              <w:ind w:firstLine="0" w:firstLineChars="0"/>
              <w:rPr>
                <w:rFonts w:ascii="Times New Roman"/>
              </w:rPr>
            </w:pPr>
          </w:p>
        </w:tc>
        <w:tc>
          <w:tcPr>
            <w:tcW w:w="1491" w:type="pct"/>
            <w:vMerge w:val="continue"/>
            <w:tcBorders>
              <w:bottom w:val="single" w:color="auto" w:sz="6" w:space="0"/>
            </w:tcBorders>
          </w:tcPr>
          <w:p w14:paraId="5B2093A3">
            <w:pPr>
              <w:pStyle w:val="27"/>
              <w:ind w:firstLine="0" w:firstLineChars="0"/>
              <w:rPr>
                <w:rFonts w:ascii="Times New Roman"/>
              </w:rPr>
            </w:pPr>
          </w:p>
        </w:tc>
        <w:tc>
          <w:tcPr>
            <w:tcW w:w="1826" w:type="pct"/>
            <w:tcBorders>
              <w:bottom w:val="single" w:color="auto" w:sz="6" w:space="0"/>
            </w:tcBorders>
          </w:tcPr>
          <w:p w14:paraId="0BCCB7DF">
            <w:pPr>
              <w:pStyle w:val="27"/>
              <w:ind w:firstLine="0" w:firstLineChars="0"/>
              <w:rPr>
                <w:rFonts w:ascii="Times New Roman"/>
              </w:rPr>
            </w:pPr>
            <w:r>
              <w:rPr>
                <w:rFonts w:ascii="Cambria Math" w:hAnsi="Cambria Math" w:cs="Cambria Math"/>
              </w:rPr>
              <w:t>③</w:t>
            </w:r>
            <w:r>
              <w:rPr>
                <w:rFonts w:ascii="Times New Roman"/>
              </w:rPr>
              <w:t xml:space="preserve"> 对比文献值</w:t>
            </w:r>
          </w:p>
        </w:tc>
      </w:tr>
      <w:tr w14:paraId="311FBBD9">
        <w:tblPrEx>
          <w:tblCellMar>
            <w:top w:w="0" w:type="dxa"/>
            <w:left w:w="108" w:type="dxa"/>
            <w:bottom w:w="0" w:type="dxa"/>
            <w:right w:w="108" w:type="dxa"/>
          </w:tblCellMar>
        </w:tblPrEx>
        <w:trPr>
          <w:trHeight w:val="278" w:hRule="atLeast"/>
        </w:trPr>
        <w:tc>
          <w:tcPr>
            <w:tcW w:w="626" w:type="pct"/>
            <w:vMerge w:val="restart"/>
            <w:tcBorders>
              <w:top w:val="single" w:color="auto" w:sz="6" w:space="0"/>
            </w:tcBorders>
          </w:tcPr>
          <w:p w14:paraId="4683BB8B">
            <w:pPr>
              <w:pStyle w:val="27"/>
              <w:ind w:firstLine="0" w:firstLineChars="0"/>
              <w:rPr>
                <w:rFonts w:ascii="Times New Roman"/>
                <w:b/>
                <w:bCs/>
              </w:rPr>
            </w:pPr>
            <w:r>
              <w:rPr>
                <w:rFonts w:ascii="Times New Roman"/>
                <w:b/>
                <w:bCs/>
              </w:rPr>
              <w:t>应用问题</w:t>
            </w:r>
          </w:p>
        </w:tc>
        <w:tc>
          <w:tcPr>
            <w:tcW w:w="1057" w:type="pct"/>
            <w:vMerge w:val="restart"/>
            <w:tcBorders>
              <w:top w:val="single" w:color="auto" w:sz="6" w:space="0"/>
            </w:tcBorders>
          </w:tcPr>
          <w:p w14:paraId="46BE9C70">
            <w:pPr>
              <w:pStyle w:val="27"/>
              <w:ind w:firstLine="0" w:firstLineChars="0"/>
              <w:rPr>
                <w:rFonts w:ascii="Times New Roman"/>
              </w:rPr>
            </w:pPr>
            <w:r>
              <w:rPr>
                <w:rFonts w:ascii="Times New Roman"/>
              </w:rPr>
              <w:t>7. 阈值过严</w:t>
            </w:r>
          </w:p>
        </w:tc>
        <w:tc>
          <w:tcPr>
            <w:tcW w:w="1491" w:type="pct"/>
            <w:vMerge w:val="restart"/>
            <w:tcBorders>
              <w:top w:val="single" w:color="auto" w:sz="6" w:space="0"/>
            </w:tcBorders>
          </w:tcPr>
          <w:p w14:paraId="19843F78">
            <w:pPr>
              <w:pStyle w:val="27"/>
              <w:ind w:firstLine="0" w:firstLineChars="0"/>
              <w:rPr>
                <w:rFonts w:ascii="Times New Roman"/>
              </w:rPr>
            </w:pPr>
            <w:r>
              <w:rPr>
                <w:rFonts w:ascii="Times New Roman"/>
              </w:rPr>
              <w:t>技术经济不可行</w:t>
            </w:r>
          </w:p>
        </w:tc>
        <w:tc>
          <w:tcPr>
            <w:tcW w:w="1826" w:type="pct"/>
            <w:tcBorders>
              <w:top w:val="single" w:color="auto" w:sz="6" w:space="0"/>
            </w:tcBorders>
          </w:tcPr>
          <w:p w14:paraId="01839CB7">
            <w:pPr>
              <w:pStyle w:val="27"/>
              <w:ind w:firstLine="0" w:firstLineChars="0"/>
              <w:rPr>
                <w:rFonts w:ascii="Times New Roman"/>
              </w:rPr>
            </w:pPr>
            <w:r>
              <w:rPr>
                <w:rFonts w:ascii="Cambria Math" w:hAnsi="Cambria Math" w:cs="Cambria Math"/>
              </w:rPr>
              <w:t>①</w:t>
            </w:r>
            <w:r>
              <w:rPr>
                <w:rFonts w:ascii="Times New Roman"/>
              </w:rPr>
              <w:t xml:space="preserve"> 分阶段实施</w:t>
            </w:r>
          </w:p>
        </w:tc>
      </w:tr>
      <w:tr w14:paraId="737B0925">
        <w:tblPrEx>
          <w:tblCellMar>
            <w:top w:w="0" w:type="dxa"/>
            <w:left w:w="108" w:type="dxa"/>
            <w:bottom w:w="0" w:type="dxa"/>
            <w:right w:w="108" w:type="dxa"/>
          </w:tblCellMar>
        </w:tblPrEx>
        <w:trPr>
          <w:trHeight w:val="345" w:hRule="atLeast"/>
        </w:trPr>
        <w:tc>
          <w:tcPr>
            <w:tcW w:w="626" w:type="pct"/>
            <w:vMerge w:val="continue"/>
          </w:tcPr>
          <w:p w14:paraId="2976437C">
            <w:pPr>
              <w:pStyle w:val="27"/>
              <w:ind w:firstLine="0" w:firstLineChars="0"/>
              <w:rPr>
                <w:rFonts w:ascii="Times New Roman"/>
                <w:b/>
                <w:bCs/>
              </w:rPr>
            </w:pPr>
          </w:p>
        </w:tc>
        <w:tc>
          <w:tcPr>
            <w:tcW w:w="1057" w:type="pct"/>
            <w:vMerge w:val="continue"/>
          </w:tcPr>
          <w:p w14:paraId="3907AE3F">
            <w:pPr>
              <w:pStyle w:val="27"/>
              <w:ind w:firstLine="0" w:firstLineChars="0"/>
              <w:rPr>
                <w:rFonts w:ascii="Times New Roman"/>
              </w:rPr>
            </w:pPr>
          </w:p>
        </w:tc>
        <w:tc>
          <w:tcPr>
            <w:tcW w:w="1491" w:type="pct"/>
            <w:vMerge w:val="continue"/>
          </w:tcPr>
          <w:p w14:paraId="76B47FF0">
            <w:pPr>
              <w:pStyle w:val="27"/>
              <w:ind w:firstLine="0" w:firstLineChars="0"/>
              <w:rPr>
                <w:rFonts w:ascii="Times New Roman"/>
              </w:rPr>
            </w:pPr>
          </w:p>
        </w:tc>
        <w:tc>
          <w:tcPr>
            <w:tcW w:w="1826" w:type="pct"/>
          </w:tcPr>
          <w:p w14:paraId="059D02A4">
            <w:pPr>
              <w:pStyle w:val="27"/>
              <w:ind w:firstLine="0" w:firstLineChars="0"/>
              <w:rPr>
                <w:rFonts w:ascii="Times New Roman"/>
              </w:rPr>
            </w:pPr>
            <w:r>
              <w:rPr>
                <w:rFonts w:ascii="Cambria Math" w:hAnsi="Cambria Math" w:cs="Cambria Math"/>
              </w:rPr>
              <w:t>②</w:t>
            </w:r>
            <w:r>
              <w:rPr>
                <w:rFonts w:ascii="Times New Roman"/>
              </w:rPr>
              <w:t xml:space="preserve"> 优化方法（如调整分位数）</w:t>
            </w:r>
          </w:p>
        </w:tc>
      </w:tr>
      <w:tr w14:paraId="72431144">
        <w:tblPrEx>
          <w:tblCellMar>
            <w:top w:w="0" w:type="dxa"/>
            <w:left w:w="108" w:type="dxa"/>
            <w:bottom w:w="0" w:type="dxa"/>
            <w:right w:w="108" w:type="dxa"/>
          </w:tblCellMar>
        </w:tblPrEx>
        <w:trPr>
          <w:trHeight w:val="278" w:hRule="atLeast"/>
        </w:trPr>
        <w:tc>
          <w:tcPr>
            <w:tcW w:w="626" w:type="pct"/>
            <w:vMerge w:val="continue"/>
          </w:tcPr>
          <w:p w14:paraId="521AB9CA">
            <w:pPr>
              <w:pStyle w:val="27"/>
              <w:ind w:firstLine="0" w:firstLineChars="0"/>
              <w:rPr>
                <w:rFonts w:ascii="Times New Roman"/>
                <w:b/>
                <w:bCs/>
              </w:rPr>
            </w:pPr>
          </w:p>
        </w:tc>
        <w:tc>
          <w:tcPr>
            <w:tcW w:w="1057" w:type="pct"/>
            <w:vMerge w:val="continue"/>
            <w:tcBorders>
              <w:bottom w:val="single" w:color="auto" w:sz="6" w:space="0"/>
            </w:tcBorders>
          </w:tcPr>
          <w:p w14:paraId="66566335">
            <w:pPr>
              <w:pStyle w:val="27"/>
              <w:ind w:firstLine="0" w:firstLineChars="0"/>
              <w:rPr>
                <w:rFonts w:ascii="Times New Roman"/>
              </w:rPr>
            </w:pPr>
          </w:p>
        </w:tc>
        <w:tc>
          <w:tcPr>
            <w:tcW w:w="1491" w:type="pct"/>
            <w:vMerge w:val="continue"/>
            <w:tcBorders>
              <w:bottom w:val="single" w:color="auto" w:sz="6" w:space="0"/>
            </w:tcBorders>
          </w:tcPr>
          <w:p w14:paraId="1B28C684">
            <w:pPr>
              <w:pStyle w:val="27"/>
              <w:ind w:firstLine="0" w:firstLineChars="0"/>
              <w:rPr>
                <w:rFonts w:ascii="Times New Roman"/>
              </w:rPr>
            </w:pPr>
          </w:p>
        </w:tc>
        <w:tc>
          <w:tcPr>
            <w:tcW w:w="1826" w:type="pct"/>
            <w:tcBorders>
              <w:bottom w:val="single" w:color="auto" w:sz="6" w:space="0"/>
            </w:tcBorders>
          </w:tcPr>
          <w:p w14:paraId="06547CC4">
            <w:pPr>
              <w:pStyle w:val="27"/>
              <w:ind w:firstLine="0" w:firstLineChars="0"/>
              <w:rPr>
                <w:rFonts w:ascii="Times New Roman"/>
              </w:rPr>
            </w:pPr>
            <w:r>
              <w:rPr>
                <w:rFonts w:ascii="Cambria Math" w:hAnsi="Cambria Math" w:cs="Cambria Math"/>
              </w:rPr>
              <w:t>③</w:t>
            </w:r>
            <w:r>
              <w:rPr>
                <w:rFonts w:ascii="Times New Roman"/>
              </w:rPr>
              <w:t xml:space="preserve"> 配套管理措施</w:t>
            </w:r>
          </w:p>
        </w:tc>
      </w:tr>
      <w:tr w14:paraId="5C16AC0A">
        <w:tblPrEx>
          <w:tblCellMar>
            <w:top w:w="0" w:type="dxa"/>
            <w:left w:w="108" w:type="dxa"/>
            <w:bottom w:w="0" w:type="dxa"/>
            <w:right w:w="108" w:type="dxa"/>
          </w:tblCellMar>
        </w:tblPrEx>
        <w:trPr>
          <w:trHeight w:val="345" w:hRule="atLeast"/>
        </w:trPr>
        <w:tc>
          <w:tcPr>
            <w:tcW w:w="626" w:type="pct"/>
            <w:vMerge w:val="restart"/>
          </w:tcPr>
          <w:p w14:paraId="11FA4209">
            <w:pPr>
              <w:pStyle w:val="27"/>
              <w:ind w:firstLine="0" w:firstLineChars="0"/>
              <w:rPr>
                <w:rFonts w:ascii="Times New Roman"/>
              </w:rPr>
            </w:pPr>
            <w:r>
              <w:rPr>
                <w:rFonts w:ascii="Times New Roman"/>
              </w:rPr>
              <w:t>　</w:t>
            </w:r>
          </w:p>
        </w:tc>
        <w:tc>
          <w:tcPr>
            <w:tcW w:w="1057" w:type="pct"/>
            <w:vMerge w:val="restart"/>
            <w:tcBorders>
              <w:top w:val="single" w:color="auto" w:sz="6" w:space="0"/>
            </w:tcBorders>
          </w:tcPr>
          <w:p w14:paraId="48C40F23">
            <w:pPr>
              <w:pStyle w:val="27"/>
              <w:ind w:firstLine="0" w:firstLineChars="0"/>
              <w:rPr>
                <w:rFonts w:ascii="Times New Roman"/>
              </w:rPr>
            </w:pPr>
            <w:r>
              <w:rPr>
                <w:rFonts w:ascii="Times New Roman"/>
              </w:rPr>
              <w:t>8. 阈值过宽</w:t>
            </w:r>
          </w:p>
        </w:tc>
        <w:tc>
          <w:tcPr>
            <w:tcW w:w="1491" w:type="pct"/>
            <w:vMerge w:val="restart"/>
            <w:tcBorders>
              <w:top w:val="single" w:color="auto" w:sz="6" w:space="0"/>
            </w:tcBorders>
          </w:tcPr>
          <w:p w14:paraId="24859093">
            <w:pPr>
              <w:pStyle w:val="27"/>
              <w:ind w:firstLine="0" w:firstLineChars="0"/>
              <w:rPr>
                <w:rFonts w:ascii="Times New Roman"/>
              </w:rPr>
            </w:pPr>
            <w:r>
              <w:rPr>
                <w:rFonts w:ascii="Times New Roman"/>
              </w:rPr>
              <w:t>达不到保护目标</w:t>
            </w:r>
          </w:p>
        </w:tc>
        <w:tc>
          <w:tcPr>
            <w:tcW w:w="1826" w:type="pct"/>
            <w:tcBorders>
              <w:top w:val="single" w:color="auto" w:sz="6" w:space="0"/>
            </w:tcBorders>
          </w:tcPr>
          <w:p w14:paraId="33082F98">
            <w:pPr>
              <w:pStyle w:val="27"/>
              <w:ind w:firstLine="0" w:firstLineChars="0"/>
              <w:rPr>
                <w:rFonts w:ascii="Times New Roman"/>
              </w:rPr>
            </w:pPr>
            <w:r>
              <w:rPr>
                <w:rFonts w:ascii="Cambria Math" w:hAnsi="Cambria Math" w:cs="Cambria Math"/>
              </w:rPr>
              <w:t>①</w:t>
            </w:r>
            <w:r>
              <w:rPr>
                <w:rFonts w:ascii="Times New Roman"/>
              </w:rPr>
              <w:t xml:space="preserve"> 采用更严格方法</w:t>
            </w:r>
          </w:p>
        </w:tc>
      </w:tr>
      <w:tr w14:paraId="159F678F">
        <w:tblPrEx>
          <w:tblCellMar>
            <w:top w:w="0" w:type="dxa"/>
            <w:left w:w="108" w:type="dxa"/>
            <w:bottom w:w="0" w:type="dxa"/>
            <w:right w:w="108" w:type="dxa"/>
          </w:tblCellMar>
        </w:tblPrEx>
        <w:trPr>
          <w:trHeight w:val="278" w:hRule="atLeast"/>
        </w:trPr>
        <w:tc>
          <w:tcPr>
            <w:tcW w:w="626" w:type="pct"/>
            <w:vMerge w:val="continue"/>
          </w:tcPr>
          <w:p w14:paraId="6CD2E2F5">
            <w:pPr>
              <w:pStyle w:val="27"/>
              <w:ind w:firstLine="0" w:firstLineChars="0"/>
              <w:rPr>
                <w:rFonts w:ascii="Times New Roman"/>
              </w:rPr>
            </w:pPr>
          </w:p>
        </w:tc>
        <w:tc>
          <w:tcPr>
            <w:tcW w:w="1057" w:type="pct"/>
            <w:vMerge w:val="continue"/>
            <w:tcBorders>
              <w:bottom w:val="single" w:color="auto" w:sz="6" w:space="0"/>
            </w:tcBorders>
          </w:tcPr>
          <w:p w14:paraId="7159BD59">
            <w:pPr>
              <w:pStyle w:val="27"/>
              <w:ind w:firstLine="0" w:firstLineChars="0"/>
              <w:rPr>
                <w:rFonts w:ascii="Times New Roman"/>
              </w:rPr>
            </w:pPr>
          </w:p>
        </w:tc>
        <w:tc>
          <w:tcPr>
            <w:tcW w:w="1491" w:type="pct"/>
            <w:vMerge w:val="continue"/>
            <w:tcBorders>
              <w:bottom w:val="single" w:color="auto" w:sz="6" w:space="0"/>
            </w:tcBorders>
          </w:tcPr>
          <w:p w14:paraId="1AC1F259">
            <w:pPr>
              <w:pStyle w:val="27"/>
              <w:ind w:firstLine="0" w:firstLineChars="0"/>
              <w:rPr>
                <w:rFonts w:ascii="Times New Roman"/>
              </w:rPr>
            </w:pPr>
          </w:p>
        </w:tc>
        <w:tc>
          <w:tcPr>
            <w:tcW w:w="1826" w:type="pct"/>
          </w:tcPr>
          <w:p w14:paraId="1D7B1348">
            <w:pPr>
              <w:pStyle w:val="27"/>
              <w:ind w:firstLine="0" w:firstLineChars="0"/>
              <w:rPr>
                <w:rFonts w:ascii="Times New Roman"/>
              </w:rPr>
            </w:pPr>
            <w:r>
              <w:rPr>
                <w:rFonts w:ascii="Cambria Math" w:hAnsi="Cambria Math" w:cs="Cambria Math"/>
              </w:rPr>
              <w:t>②</w:t>
            </w:r>
            <w:r>
              <w:rPr>
                <w:rFonts w:ascii="Times New Roman"/>
              </w:rPr>
              <w:t xml:space="preserve"> 提高保护目标</w:t>
            </w:r>
          </w:p>
        </w:tc>
      </w:tr>
      <w:tr w14:paraId="7F834854">
        <w:tblPrEx>
          <w:tblCellMar>
            <w:top w:w="0" w:type="dxa"/>
            <w:left w:w="108" w:type="dxa"/>
            <w:bottom w:w="0" w:type="dxa"/>
            <w:right w:w="108" w:type="dxa"/>
          </w:tblCellMar>
        </w:tblPrEx>
        <w:trPr>
          <w:trHeight w:val="278" w:hRule="atLeast"/>
        </w:trPr>
        <w:tc>
          <w:tcPr>
            <w:tcW w:w="626" w:type="pct"/>
            <w:vMerge w:val="continue"/>
          </w:tcPr>
          <w:p w14:paraId="1F54877B">
            <w:pPr>
              <w:pStyle w:val="27"/>
              <w:ind w:firstLine="0" w:firstLineChars="0"/>
              <w:rPr>
                <w:rFonts w:ascii="Times New Roman"/>
              </w:rPr>
            </w:pPr>
          </w:p>
        </w:tc>
        <w:tc>
          <w:tcPr>
            <w:tcW w:w="1057" w:type="pct"/>
            <w:vMerge w:val="continue"/>
            <w:tcBorders>
              <w:top w:val="single" w:color="auto" w:sz="6" w:space="0"/>
            </w:tcBorders>
          </w:tcPr>
          <w:p w14:paraId="08DE4BCF">
            <w:pPr>
              <w:pStyle w:val="27"/>
              <w:ind w:firstLine="0" w:firstLineChars="0"/>
              <w:rPr>
                <w:rFonts w:ascii="Times New Roman"/>
              </w:rPr>
            </w:pPr>
          </w:p>
        </w:tc>
        <w:tc>
          <w:tcPr>
            <w:tcW w:w="1491" w:type="pct"/>
            <w:vMerge w:val="continue"/>
            <w:tcBorders>
              <w:top w:val="single" w:color="auto" w:sz="6" w:space="0"/>
            </w:tcBorders>
          </w:tcPr>
          <w:p w14:paraId="530EFAAC">
            <w:pPr>
              <w:pStyle w:val="27"/>
              <w:ind w:firstLine="0" w:firstLineChars="0"/>
              <w:rPr>
                <w:rFonts w:ascii="Times New Roman"/>
              </w:rPr>
            </w:pPr>
          </w:p>
        </w:tc>
        <w:tc>
          <w:tcPr>
            <w:tcW w:w="1826" w:type="pct"/>
          </w:tcPr>
          <w:p w14:paraId="00B3745A">
            <w:pPr>
              <w:pStyle w:val="27"/>
              <w:ind w:firstLine="0" w:firstLineChars="0"/>
              <w:rPr>
                <w:rFonts w:ascii="Times New Roman"/>
              </w:rPr>
            </w:pPr>
            <w:r>
              <w:rPr>
                <w:rFonts w:ascii="Cambria Math" w:hAnsi="Cambria Math" w:cs="Cambria Math"/>
              </w:rPr>
              <w:t>③</w:t>
            </w:r>
            <w:r>
              <w:rPr>
                <w:rFonts w:ascii="Times New Roman"/>
              </w:rPr>
              <w:t xml:space="preserve"> 加强源头控制</w:t>
            </w:r>
          </w:p>
        </w:tc>
      </w:tr>
      <w:tr w14:paraId="0A743CC1">
        <w:tblPrEx>
          <w:tblCellMar>
            <w:top w:w="0" w:type="dxa"/>
            <w:left w:w="108" w:type="dxa"/>
            <w:bottom w:w="0" w:type="dxa"/>
            <w:right w:w="108" w:type="dxa"/>
          </w:tblCellMar>
        </w:tblPrEx>
        <w:trPr>
          <w:trHeight w:val="278" w:hRule="atLeast"/>
        </w:trPr>
        <w:tc>
          <w:tcPr>
            <w:tcW w:w="626" w:type="pct"/>
            <w:vMerge w:val="restart"/>
          </w:tcPr>
          <w:p w14:paraId="6A7AC217">
            <w:pPr>
              <w:pStyle w:val="27"/>
              <w:ind w:firstLine="0" w:firstLineChars="0"/>
              <w:rPr>
                <w:rFonts w:ascii="Times New Roman"/>
              </w:rPr>
            </w:pPr>
            <w:r>
              <w:rPr>
                <w:rFonts w:ascii="Times New Roman"/>
              </w:rPr>
              <w:t>　</w:t>
            </w:r>
          </w:p>
        </w:tc>
        <w:tc>
          <w:tcPr>
            <w:tcW w:w="1057" w:type="pct"/>
            <w:vMerge w:val="restart"/>
            <w:tcBorders>
              <w:top w:val="single" w:color="auto" w:sz="6" w:space="0"/>
            </w:tcBorders>
          </w:tcPr>
          <w:p w14:paraId="0274D03D">
            <w:pPr>
              <w:pStyle w:val="27"/>
              <w:ind w:firstLine="0" w:firstLineChars="0"/>
              <w:rPr>
                <w:rFonts w:ascii="Times New Roman"/>
              </w:rPr>
            </w:pPr>
            <w:r>
              <w:rPr>
                <w:rFonts w:ascii="Times New Roman"/>
              </w:rPr>
              <w:t>9. 季节性差异大</w:t>
            </w:r>
          </w:p>
        </w:tc>
        <w:tc>
          <w:tcPr>
            <w:tcW w:w="1491" w:type="pct"/>
            <w:vMerge w:val="restart"/>
            <w:tcBorders>
              <w:top w:val="single" w:color="auto" w:sz="6" w:space="0"/>
            </w:tcBorders>
          </w:tcPr>
          <w:p w14:paraId="56656C81">
            <w:pPr>
              <w:pStyle w:val="27"/>
              <w:ind w:firstLine="0" w:firstLineChars="0"/>
              <w:rPr>
                <w:rFonts w:ascii="Times New Roman"/>
              </w:rPr>
            </w:pPr>
            <w:r>
              <w:rPr>
                <w:rFonts w:ascii="Times New Roman"/>
              </w:rPr>
              <w:t>不同季节阈值不同</w:t>
            </w:r>
          </w:p>
        </w:tc>
        <w:tc>
          <w:tcPr>
            <w:tcW w:w="1826" w:type="pct"/>
            <w:tcBorders>
              <w:top w:val="single" w:color="auto" w:sz="6" w:space="0"/>
            </w:tcBorders>
          </w:tcPr>
          <w:p w14:paraId="0C00817D">
            <w:pPr>
              <w:pStyle w:val="27"/>
              <w:ind w:firstLine="0" w:firstLineChars="0"/>
              <w:rPr>
                <w:rFonts w:ascii="Times New Roman"/>
              </w:rPr>
            </w:pPr>
            <w:r>
              <w:rPr>
                <w:rFonts w:ascii="Cambria Math" w:hAnsi="Cambria Math" w:cs="Cambria Math"/>
              </w:rPr>
              <w:t>①</w:t>
            </w:r>
            <w:r>
              <w:rPr>
                <w:rFonts w:ascii="Times New Roman"/>
              </w:rPr>
              <w:t xml:space="preserve"> 分期制定阈值</w:t>
            </w:r>
          </w:p>
        </w:tc>
      </w:tr>
      <w:tr w14:paraId="095FDEE0">
        <w:tblPrEx>
          <w:tblCellMar>
            <w:top w:w="0" w:type="dxa"/>
            <w:left w:w="108" w:type="dxa"/>
            <w:bottom w:w="0" w:type="dxa"/>
            <w:right w:w="108" w:type="dxa"/>
          </w:tblCellMar>
        </w:tblPrEx>
        <w:trPr>
          <w:trHeight w:val="278" w:hRule="atLeast"/>
        </w:trPr>
        <w:tc>
          <w:tcPr>
            <w:tcW w:w="626" w:type="pct"/>
            <w:vMerge w:val="continue"/>
          </w:tcPr>
          <w:p w14:paraId="284B6F43">
            <w:pPr>
              <w:pStyle w:val="27"/>
              <w:ind w:firstLine="0" w:firstLineChars="0"/>
              <w:rPr>
                <w:rFonts w:ascii="Times New Roman"/>
              </w:rPr>
            </w:pPr>
          </w:p>
        </w:tc>
        <w:tc>
          <w:tcPr>
            <w:tcW w:w="1057" w:type="pct"/>
            <w:vMerge w:val="continue"/>
          </w:tcPr>
          <w:p w14:paraId="70F82B30">
            <w:pPr>
              <w:pStyle w:val="27"/>
              <w:ind w:firstLine="0" w:firstLineChars="0"/>
              <w:rPr>
                <w:rFonts w:ascii="Times New Roman"/>
              </w:rPr>
            </w:pPr>
          </w:p>
        </w:tc>
        <w:tc>
          <w:tcPr>
            <w:tcW w:w="1491" w:type="pct"/>
            <w:vMerge w:val="continue"/>
          </w:tcPr>
          <w:p w14:paraId="7B9DC612">
            <w:pPr>
              <w:pStyle w:val="27"/>
              <w:ind w:firstLine="0" w:firstLineChars="0"/>
              <w:rPr>
                <w:rFonts w:ascii="Times New Roman"/>
              </w:rPr>
            </w:pPr>
          </w:p>
        </w:tc>
        <w:tc>
          <w:tcPr>
            <w:tcW w:w="1826" w:type="pct"/>
          </w:tcPr>
          <w:p w14:paraId="6EC4A7A2">
            <w:pPr>
              <w:pStyle w:val="27"/>
              <w:ind w:firstLine="0" w:firstLineChars="0"/>
              <w:rPr>
                <w:rFonts w:ascii="Times New Roman"/>
              </w:rPr>
            </w:pPr>
            <w:r>
              <w:rPr>
                <w:rFonts w:ascii="Cambria Math" w:hAnsi="Cambria Math" w:cs="Cambria Math"/>
              </w:rPr>
              <w:t>②</w:t>
            </w:r>
            <w:r>
              <w:rPr>
                <w:rFonts w:ascii="Times New Roman"/>
              </w:rPr>
              <w:t xml:space="preserve"> 采用动态阈值</w:t>
            </w:r>
          </w:p>
        </w:tc>
      </w:tr>
      <w:tr w14:paraId="34D34349">
        <w:tblPrEx>
          <w:tblCellMar>
            <w:top w:w="0" w:type="dxa"/>
            <w:left w:w="108" w:type="dxa"/>
            <w:bottom w:w="0" w:type="dxa"/>
            <w:right w:w="108" w:type="dxa"/>
          </w:tblCellMar>
        </w:tblPrEx>
        <w:trPr>
          <w:trHeight w:val="345" w:hRule="atLeast"/>
        </w:trPr>
        <w:tc>
          <w:tcPr>
            <w:tcW w:w="626" w:type="pct"/>
            <w:vMerge w:val="continue"/>
            <w:tcBorders>
              <w:bottom w:val="single" w:color="auto" w:sz="12" w:space="0"/>
            </w:tcBorders>
          </w:tcPr>
          <w:p w14:paraId="3DF5F5F1">
            <w:pPr>
              <w:pStyle w:val="27"/>
              <w:ind w:firstLine="0" w:firstLineChars="0"/>
              <w:rPr>
                <w:rFonts w:ascii="Times New Roman"/>
              </w:rPr>
            </w:pPr>
          </w:p>
        </w:tc>
        <w:tc>
          <w:tcPr>
            <w:tcW w:w="1057" w:type="pct"/>
            <w:vMerge w:val="continue"/>
            <w:tcBorders>
              <w:bottom w:val="single" w:color="auto" w:sz="12" w:space="0"/>
            </w:tcBorders>
          </w:tcPr>
          <w:p w14:paraId="1FE8EBBB">
            <w:pPr>
              <w:pStyle w:val="27"/>
              <w:ind w:firstLine="0" w:firstLineChars="0"/>
              <w:rPr>
                <w:rFonts w:ascii="Times New Roman"/>
              </w:rPr>
            </w:pPr>
          </w:p>
        </w:tc>
        <w:tc>
          <w:tcPr>
            <w:tcW w:w="1491" w:type="pct"/>
            <w:vMerge w:val="continue"/>
            <w:tcBorders>
              <w:bottom w:val="single" w:color="auto" w:sz="12" w:space="0"/>
            </w:tcBorders>
          </w:tcPr>
          <w:p w14:paraId="45A81BDB">
            <w:pPr>
              <w:pStyle w:val="27"/>
              <w:ind w:firstLine="0" w:firstLineChars="0"/>
              <w:rPr>
                <w:rFonts w:ascii="Times New Roman"/>
              </w:rPr>
            </w:pPr>
          </w:p>
        </w:tc>
        <w:tc>
          <w:tcPr>
            <w:tcW w:w="1826" w:type="pct"/>
            <w:tcBorders>
              <w:bottom w:val="single" w:color="auto" w:sz="12" w:space="0"/>
            </w:tcBorders>
          </w:tcPr>
          <w:p w14:paraId="5D417FDE">
            <w:pPr>
              <w:pStyle w:val="27"/>
              <w:ind w:firstLine="0" w:firstLineChars="0"/>
              <w:rPr>
                <w:rFonts w:ascii="Times New Roman"/>
              </w:rPr>
            </w:pPr>
            <w:r>
              <w:rPr>
                <w:rFonts w:ascii="Cambria Math" w:hAnsi="Cambria Math" w:cs="Cambria Math"/>
              </w:rPr>
              <w:t>③</w:t>
            </w:r>
            <w:r>
              <w:rPr>
                <w:rFonts w:ascii="Times New Roman"/>
              </w:rPr>
              <w:t xml:space="preserve"> 以最不利季节为准</w:t>
            </w:r>
          </w:p>
        </w:tc>
      </w:tr>
    </w:tbl>
    <w:p w14:paraId="43DD41CD">
      <w:pPr>
        <w:pStyle w:val="50"/>
        <w:spacing w:before="120" w:after="120"/>
        <w:rPr>
          <w:rFonts w:ascii="Times New Roman"/>
        </w:rPr>
      </w:pPr>
      <w:bookmarkStart w:id="203" w:name="_Toc232496942"/>
      <w:bookmarkStart w:id="204" w:name="_Toc218520014"/>
      <w:bookmarkStart w:id="205" w:name="_Toc232425121"/>
      <w:bookmarkStart w:id="206" w:name="_Toc232413717"/>
      <w:r>
        <w:rPr>
          <w:rFonts w:ascii="Times New Roman"/>
        </w:rPr>
        <w:t>更新与维护</w:t>
      </w:r>
      <w:bookmarkEnd w:id="203"/>
      <w:bookmarkEnd w:id="204"/>
      <w:bookmarkEnd w:id="205"/>
      <w:bookmarkEnd w:id="206"/>
    </w:p>
    <w:p w14:paraId="7A5C3ED8">
      <w:pPr>
        <w:pStyle w:val="27"/>
        <w:ind w:firstLine="420"/>
        <w:rPr>
          <w:rFonts w:ascii="Times New Roman"/>
        </w:rPr>
      </w:pPr>
      <w:r>
        <w:rPr>
          <w:rFonts w:ascii="Times New Roman"/>
        </w:rPr>
        <w:t>a)定期更新：每3-5年根据新的科研成果和管理需求更新本速查表；</w:t>
      </w:r>
    </w:p>
    <w:p w14:paraId="21925138">
      <w:pPr>
        <w:pStyle w:val="27"/>
        <w:ind w:firstLine="420"/>
        <w:rPr>
          <w:rFonts w:ascii="Times New Roman"/>
        </w:rPr>
      </w:pPr>
      <w:r>
        <w:rPr>
          <w:rFonts w:ascii="Times New Roman"/>
        </w:rPr>
        <w:t>b)案例积累：收集黄河流域典型湖库的阈值制定案例，完善方法库；</w:t>
      </w:r>
    </w:p>
    <w:p w14:paraId="690FE2DB">
      <w:pPr>
        <w:pStyle w:val="27"/>
        <w:ind w:firstLine="420"/>
        <w:rPr>
          <w:rFonts w:ascii="Times New Roman"/>
        </w:rPr>
      </w:pPr>
      <w:r>
        <w:rPr>
          <w:rFonts w:ascii="Times New Roman"/>
        </w:rPr>
        <w:t>c)区域校准：针对不同生态分区（如河源区、黄土高原区、平原区）建立区域校准系数；</w:t>
      </w:r>
    </w:p>
    <w:p w14:paraId="00DDEC26">
      <w:pPr>
        <w:pStyle w:val="27"/>
        <w:ind w:firstLine="420"/>
        <w:rPr>
          <w:rFonts w:ascii="Times New Roman"/>
        </w:rPr>
      </w:pPr>
      <w:r>
        <w:rPr>
          <w:rFonts w:ascii="Times New Roman"/>
        </w:rPr>
        <w:t>d)数字化工具：开发配套的阈值制定辅助决策系统或计算工具。</w:t>
      </w:r>
    </w:p>
    <w:p w14:paraId="602799E6">
      <w:pPr>
        <w:pStyle w:val="27"/>
        <w:ind w:firstLine="420"/>
        <w:rPr>
          <w:rFonts w:ascii="Times New Roman"/>
        </w:rPr>
      </w:pPr>
    </w:p>
    <w:p w14:paraId="517D74AB">
      <w:pPr>
        <w:pStyle w:val="27"/>
        <w:ind w:firstLine="420"/>
        <w:rPr>
          <w:rFonts w:ascii="Times New Roman"/>
        </w:rPr>
      </w:pPr>
    </w:p>
    <w:p w14:paraId="0BC88B5D">
      <w:pPr>
        <w:pStyle w:val="27"/>
        <w:ind w:firstLine="420"/>
        <w:rPr>
          <w:rFonts w:ascii="Times New Roman"/>
        </w:rPr>
      </w:pPr>
    </w:p>
    <w:p w14:paraId="72830C93">
      <w:pPr>
        <w:pStyle w:val="27"/>
        <w:overflowPunct w:val="0"/>
        <w:spacing w:before="120" w:after="120"/>
        <w:ind w:firstLine="0" w:firstLineChars="0"/>
        <w:jc w:val="center"/>
        <w:rPr>
          <w:rFonts w:ascii="Times New Roman"/>
        </w:rPr>
        <w:sectPr>
          <w:headerReference r:id="rId23" w:type="default"/>
          <w:footerReference r:id="rId25" w:type="default"/>
          <w:headerReference r:id="rId24" w:type="even"/>
          <w:footerReference r:id="rId26" w:type="even"/>
          <w:pgSz w:w="11906" w:h="16838"/>
          <w:pgMar w:top="2410" w:right="1134" w:bottom="1134" w:left="1134" w:header="1418" w:footer="1134" w:gutter="284"/>
          <w:cols w:space="425" w:num="1"/>
          <w:formProt w:val="0"/>
          <w:docGrid w:linePitch="312" w:charSpace="0"/>
        </w:sectPr>
      </w:pPr>
    </w:p>
    <w:p w14:paraId="02F5024C">
      <w:pPr>
        <w:pStyle w:val="51"/>
        <w:spacing w:before="96" w:after="120"/>
        <w:rPr>
          <w:rFonts w:ascii="Times New Roman"/>
        </w:rPr>
      </w:pPr>
      <w:bookmarkStart w:id="207" w:name="_Toc232496943"/>
      <w:r>
        <w:rPr>
          <w:rFonts w:ascii="Times New Roman"/>
          <w:spacing w:val="105"/>
        </w:rPr>
        <w:t>参考文</w:t>
      </w:r>
      <w:r>
        <w:rPr>
          <w:rFonts w:ascii="Times New Roman"/>
        </w:rPr>
        <w:t>献</w:t>
      </w:r>
      <w:bookmarkEnd w:id="207"/>
    </w:p>
    <w:p w14:paraId="0C65C5C6">
      <w:pPr>
        <w:pStyle w:val="27"/>
        <w:ind w:firstLine="420"/>
        <w:rPr>
          <w:rFonts w:ascii="Times New Roman"/>
        </w:rPr>
      </w:pPr>
      <w:r>
        <w:rPr>
          <w:rFonts w:ascii="Times New Roman"/>
        </w:rPr>
        <w:t>[1]  HJ 838-2017 《湖泊营养物基准制定技术指南》</w:t>
      </w:r>
    </w:p>
    <w:p w14:paraId="11CC0F78">
      <w:pPr>
        <w:pStyle w:val="27"/>
        <w:ind w:firstLine="420"/>
        <w:rPr>
          <w:rFonts w:ascii="Times New Roman"/>
        </w:rPr>
      </w:pPr>
      <w:r>
        <w:rPr>
          <w:rFonts w:ascii="Times New Roman"/>
        </w:rPr>
        <w:t>[2] US Environmental Protection Agency. National Strategy for the Development of Regional Nutrient Criteria[R]. Washington DC: US Environmental Protection Agency, Office of Water, 1998.</w:t>
      </w:r>
    </w:p>
    <w:p w14:paraId="3760FE32">
      <w:pPr>
        <w:pStyle w:val="27"/>
        <w:ind w:firstLine="420"/>
        <w:rPr>
          <w:rFonts w:ascii="Times New Roman"/>
        </w:rPr>
      </w:pPr>
      <w:r>
        <w:rPr>
          <w:rFonts w:ascii="Times New Roman"/>
        </w:rPr>
        <w:t>[3] US Environmental Protection Agency. Nutrient Criteria Technical Guidance Manual.Lakes and Reservoirs[R]. Washington DC: US Environmental Protection Agency, Office of Water, 2000.</w:t>
      </w:r>
    </w:p>
    <w:p w14:paraId="0E144EB3">
      <w:pPr>
        <w:pStyle w:val="27"/>
        <w:ind w:firstLine="420"/>
        <w:rPr>
          <w:rFonts w:ascii="Times New Roman"/>
        </w:rPr>
      </w:pPr>
      <w:r>
        <w:rPr>
          <w:rFonts w:ascii="Times New Roman"/>
        </w:rPr>
        <w:t xml:space="preserve">[4] </w:t>
      </w:r>
      <w:bookmarkEnd w:id="148"/>
      <w:r>
        <w:rPr>
          <w:rFonts w:ascii="Times New Roman"/>
        </w:rPr>
        <w:t>European Union. Directive 2000/60/EC of the European Parliament and of the Council of 23 October 2000 establishing a framework for Community action in the field of water policy [R]. Official Journal of the European Communities, L 327, 22.12.2000, pp. 1–73.</w:t>
      </w:r>
    </w:p>
    <w:p w14:paraId="63656363">
      <w:pPr>
        <w:pStyle w:val="27"/>
        <w:ind w:firstLine="420"/>
        <w:rPr>
          <w:rFonts w:ascii="Times New Roman"/>
        </w:rPr>
      </w:pPr>
    </w:p>
    <w:p w14:paraId="6A258686">
      <w:pPr>
        <w:pStyle w:val="27"/>
        <w:ind w:firstLine="420"/>
        <w:rPr>
          <w:rFonts w:ascii="Times New Roman"/>
        </w:rPr>
      </w:pPr>
    </w:p>
    <w:p w14:paraId="3C1BEE30">
      <w:pPr>
        <w:pStyle w:val="27"/>
        <w:ind w:firstLine="0" w:firstLineChars="0"/>
        <w:jc w:val="center"/>
        <w:rPr>
          <w:rFonts w:ascii="Times New Roman"/>
        </w:rPr>
      </w:pPr>
      <w:bookmarkStart w:id="208" w:name="BookMark8"/>
      <w:r>
        <w:rPr>
          <w:rFonts w:ascii="Times New Roman"/>
        </w:rPr>
        <w:drawing>
          <wp:inline distT="0" distB="0" distL="114300" distR="114300">
            <wp:extent cx="1490980" cy="320675"/>
            <wp:effectExtent l="0" t="0" r="4445" b="3175"/>
            <wp:docPr id="10" name="图片 9"/>
            <wp:cNvGraphicFramePr/>
            <a:graphic xmlns:a="http://schemas.openxmlformats.org/drawingml/2006/main">
              <a:graphicData uri="http://schemas.openxmlformats.org/drawingml/2006/picture">
                <pic:pic xmlns:pic="http://schemas.openxmlformats.org/drawingml/2006/picture">
                  <pic:nvPicPr>
                    <pic:cNvPr id="10" name="图片 9"/>
                    <pic:cNvPicPr/>
                  </pic:nvPicPr>
                  <pic:blipFill>
                    <a:blip r:embed="rId36"/>
                    <a:stretch>
                      <a:fillRect/>
                    </a:stretch>
                  </pic:blipFill>
                  <pic:spPr>
                    <a:xfrm>
                      <a:off x="0" y="0"/>
                      <a:ext cx="1490980" cy="320675"/>
                    </a:xfrm>
                    <a:prstGeom prst="rect">
                      <a:avLst/>
                    </a:prstGeom>
                    <a:noFill/>
                    <a:ln>
                      <a:noFill/>
                    </a:ln>
                  </pic:spPr>
                </pic:pic>
              </a:graphicData>
            </a:graphic>
          </wp:inline>
        </w:drawing>
      </w:r>
      <w:bookmarkEnd w:id="208"/>
    </w:p>
    <w:p w14:paraId="6C1432D5">
      <w:pPr>
        <w:widowControl/>
        <w:spacing w:line="380" w:lineRule="exact"/>
        <w:rPr>
          <w:szCs w:val="21"/>
        </w:rPr>
      </w:pPr>
    </w:p>
    <w:sectPr>
      <w:headerReference r:id="rId27" w:type="default"/>
      <w:footerReference r:id="rId29" w:type="default"/>
      <w:headerReference r:id="rId28" w:type="even"/>
      <w:footerReference r:id="rId30" w:type="even"/>
      <w:pgSz w:w="11906" w:h="16838"/>
      <w:pgMar w:top="2410" w:right="1134" w:bottom="1134" w:left="1134" w:header="1418" w:footer="1134" w:gutter="284"/>
      <w:cols w:space="425" w:num="1"/>
      <w:formProt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DB914">
    <w:pPr>
      <w:pStyle w:val="7"/>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8A5E2">
    <w:pPr>
      <w:pStyle w:val="55"/>
    </w:pPr>
    <w:r>
      <w:fldChar w:fldCharType="begin"/>
    </w:r>
    <w:r>
      <w:instrText xml:space="preserve"> PAGE   \* MERGEFORMAT \* MERGEFORMAT </w:instrText>
    </w:r>
    <w:r>
      <w:fldChar w:fldCharType="separate"/>
    </w:r>
    <w:r>
      <w:t>3</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045EB">
    <w:pPr>
      <w:pStyle w:val="54"/>
    </w:pPr>
    <w:r>
      <w:fldChar w:fldCharType="begin"/>
    </w:r>
    <w:r>
      <w:instrText xml:space="preserve">PAGE   \* MERGEFORMAT</w:instrText>
    </w:r>
    <w:r>
      <w:fldChar w:fldCharType="separate"/>
    </w:r>
    <w:r>
      <w:rPr>
        <w:lang w:val="zh-CN"/>
      </w:rPr>
      <w:t>1</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28D00">
    <w:pPr>
      <w:pStyle w:val="55"/>
    </w:pPr>
    <w:r>
      <w:fldChar w:fldCharType="begin"/>
    </w:r>
    <w:r>
      <w:instrText xml:space="preserve"> PAGE   \* MERGEFORMAT \* MERGEFORMAT </w:instrText>
    </w:r>
    <w:r>
      <w:fldChar w:fldCharType="separate"/>
    </w:r>
    <w:r>
      <w:t>4</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194C8">
    <w:pPr>
      <w:pStyle w:val="54"/>
    </w:pPr>
    <w:r>
      <w:fldChar w:fldCharType="begin"/>
    </w:r>
    <w:r>
      <w:instrText xml:space="preserve">PAGE   \* MERGEFORMAT</w:instrText>
    </w:r>
    <w:r>
      <w:fldChar w:fldCharType="separate"/>
    </w:r>
    <w:r>
      <w:rPr>
        <w:lang w:val="zh-CN"/>
      </w:rPr>
      <w:t>5</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E2555">
    <w:pPr>
      <w:pStyle w:val="55"/>
    </w:pPr>
    <w:r>
      <w:fldChar w:fldCharType="begin"/>
    </w:r>
    <w:r>
      <w:instrText xml:space="preserve"> PAGE   \* MERGEFORMAT \* MERGEFORMAT </w:instrText>
    </w:r>
    <w:r>
      <w:fldChar w:fldCharType="separate"/>
    </w:r>
    <w: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63E3C">
    <w:pPr>
      <w:pStyle w:val="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49E93">
    <w:pPr>
      <w:pStyle w:val="54"/>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65DE8">
    <w:pPr>
      <w:pStyle w:val="55"/>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F4DAD">
    <w:pPr>
      <w:pStyle w:val="54"/>
    </w:pPr>
    <w:r>
      <w:fldChar w:fldCharType="begin"/>
    </w:r>
    <w:r>
      <w:instrText xml:space="preserve">PAGE   \* MERGEFORMAT</w:instrText>
    </w:r>
    <w:r>
      <w:fldChar w:fldCharType="separate"/>
    </w:r>
    <w:r>
      <w:rPr>
        <w:lang w:val="zh-CN"/>
      </w:rP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6EFC0">
    <w:pPr>
      <w:pStyle w:val="55"/>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54F889">
    <w:pPr>
      <w:pStyle w:val="54"/>
    </w:pPr>
    <w:r>
      <w:fldChar w:fldCharType="begin"/>
    </w:r>
    <w:r>
      <w:instrText xml:space="preserve">PAGE   \* MERGEFORMAT</w:instrText>
    </w:r>
    <w:r>
      <w:fldChar w:fldCharType="separate"/>
    </w:r>
    <w:r>
      <w:rPr>
        <w:lang w:val="zh-CN"/>
      </w:rP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5C2E2">
    <w:pPr>
      <w:pStyle w:val="55"/>
    </w:pPr>
    <w:r>
      <w:fldChar w:fldCharType="begin"/>
    </w:r>
    <w:r>
      <w:instrText xml:space="preserve"> PAGE   \* MERGEFORMAT \* MERGEFORMAT </w:instrText>
    </w:r>
    <w:r>
      <w:fldChar w:fldCharType="separate"/>
    </w:r>
    <w:r>
      <w:t>2</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2D673">
    <w:pPr>
      <w:pStyle w:val="54"/>
    </w:pPr>
    <w:r>
      <w:fldChar w:fldCharType="begin"/>
    </w:r>
    <w:r>
      <w:instrText xml:space="preserve">PAGE   \* MERGEFORMAT</w:instrText>
    </w:r>
    <w:r>
      <w:fldChar w:fldCharType="separate"/>
    </w:r>
    <w:r>
      <w:rPr>
        <w:lang w:val="zh-CN"/>
      </w:rP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A16DE">
    <w:pPr>
      <w:pStyle w:val="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A59F6">
    <w:pPr>
      <w:pStyle w:val="53"/>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42190">
    <w:pPr>
      <w:pStyle w:val="52"/>
      <w:jc w:val="left"/>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07271">
    <w:pPr>
      <w:pStyle w:val="53"/>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3F7E6">
    <w:pPr>
      <w:pStyle w:val="52"/>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570BF">
    <w:pPr>
      <w:pStyle w:val="53"/>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D6A7E">
    <w:pPr>
      <w:pStyle w:val="8"/>
      <w:pBdr>
        <w:bottom w:val="none" w:color="auto" w:sz="0" w:space="1"/>
      </w:pBdr>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4B2FB">
    <w:pPr>
      <w:pStyle w:val="52"/>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FE990">
    <w:pPr>
      <w:pStyle w:val="53"/>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802E6E">
    <w:pPr>
      <w:pStyle w:val="52"/>
      <w:jc w:val="left"/>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2740D">
    <w:pPr>
      <w:pStyle w:val="53"/>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C938D">
    <w:pPr>
      <w:pStyle w:val="52"/>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E33ED">
    <w:pPr>
      <w:pStyle w:val="53"/>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8C153">
    <w:pPr>
      <w:pStyle w:val="52"/>
      <w:rPr>
        <w:rFonts w:hint="eastAsia"/>
      </w:rPr>
    </w:pPr>
    <w:r>
      <w:fldChar w:fldCharType="begin"/>
    </w:r>
    <w:r>
      <w:instrText xml:space="preserve"> STYLEREF  标准文件_文件编号  \* MERGEFORMAT </w:instrText>
    </w:r>
    <w:r>
      <w:fldChar w:fldCharType="separate"/>
    </w:r>
    <w:r>
      <w:t>T/CSES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ED3FEA"/>
    <w:multiLevelType w:val="multilevel"/>
    <w:tmpl w:val="07ED3FEA"/>
    <w:lvl w:ilvl="0" w:tentative="0">
      <w:start w:val="1"/>
      <w:numFmt w:val="none"/>
      <w:pStyle w:val="39"/>
      <w:lvlText w:val="%1"/>
      <w:lvlJc w:val="left"/>
      <w:pPr>
        <w:ind w:left="425" w:hanging="425"/>
      </w:pPr>
      <w:rPr>
        <w:rFonts w:hint="eastAsia"/>
      </w:rPr>
    </w:lvl>
    <w:lvl w:ilvl="1" w:tentative="0">
      <w:start w:val="1"/>
      <w:numFmt w:val="decimal"/>
      <w:suff w:val="nothing"/>
      <w:lvlText w:val="%10.%2 "/>
      <w:lvlJc w:val="left"/>
      <w:pPr>
        <w:ind w:left="0" w:firstLine="0"/>
      </w:pPr>
      <w:rPr>
        <w:rFonts w:hint="eastAsia" w:ascii="黑体" w:hAnsi="Calibri" w:eastAsia="黑体"/>
        <w:b w:val="0"/>
        <w:i w:val="0"/>
        <w:sz w:val="21"/>
      </w:rPr>
    </w:lvl>
    <w:lvl w:ilvl="2" w:tentative="0">
      <w:start w:val="1"/>
      <w:numFmt w:val="decimal"/>
      <w:suff w:val="nothing"/>
      <w:lvlText w:val="%10.%2.%3 "/>
      <w:lvlJc w:val="left"/>
      <w:pPr>
        <w:ind w:left="0" w:firstLine="0"/>
      </w:pPr>
      <w:rPr>
        <w:rFonts w:hint="eastAsia" w:ascii="黑体" w:hAnsi="Calibri" w:eastAsia="黑体"/>
        <w:b w:val="0"/>
        <w:i w:val="0"/>
        <w:sz w:val="21"/>
      </w:rPr>
    </w:lvl>
    <w:lvl w:ilvl="3" w:tentative="0">
      <w:start w:val="1"/>
      <w:numFmt w:val="decimal"/>
      <w:suff w:val="nothing"/>
      <w:lvlText w:val="%10.%2.%3.%4 "/>
      <w:lvlJc w:val="left"/>
      <w:pPr>
        <w:ind w:left="0" w:firstLine="0"/>
      </w:pPr>
      <w:rPr>
        <w:rFonts w:hint="eastAsia" w:ascii="黑体" w:hAnsi="Calibri" w:eastAsia="黑体"/>
        <w:b w:val="0"/>
        <w:i w:val="0"/>
        <w:sz w:val="21"/>
      </w:rPr>
    </w:lvl>
    <w:lvl w:ilvl="4" w:tentative="0">
      <w:start w:val="1"/>
      <w:numFmt w:val="decimal"/>
      <w:suff w:val="nothing"/>
      <w:lvlText w:val="%10.%2.%3.%4.%5 "/>
      <w:lvlJc w:val="left"/>
      <w:pPr>
        <w:ind w:left="0" w:firstLine="0"/>
      </w:pPr>
      <w:rPr>
        <w:rFonts w:hint="eastAsia" w:ascii="黑体" w:hAnsi="Calibri" w:eastAsia="黑体"/>
        <w:b w:val="0"/>
        <w:i w:val="0"/>
        <w:sz w:val="21"/>
      </w:rPr>
    </w:lvl>
    <w:lvl w:ilvl="5" w:tentative="0">
      <w:start w:val="1"/>
      <w:numFmt w:val="decimal"/>
      <w:suff w:val="nothing"/>
      <w:lvlText w:val="%10.%2.%3.%4.%5.%6 "/>
      <w:lvlJc w:val="left"/>
      <w:pPr>
        <w:ind w:left="0" w:firstLine="0"/>
      </w:pPr>
      <w:rPr>
        <w:rFonts w:hint="eastAsia" w:ascii="黑体" w:hAnsi="Calibri"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
    <w:nsid w:val="44C50F90"/>
    <w:multiLevelType w:val="multilevel"/>
    <w:tmpl w:val="44C50F90"/>
    <w:lvl w:ilvl="0" w:tentative="0">
      <w:start w:val="1"/>
      <w:numFmt w:val="lowerLetter"/>
      <w:pStyle w:val="45"/>
      <w:lvlText w:val="%1)"/>
      <w:lvlJc w:val="left"/>
      <w:pPr>
        <w:tabs>
          <w:tab w:val="left" w:pos="851"/>
        </w:tabs>
        <w:ind w:left="851" w:hanging="426"/>
      </w:pPr>
      <w:rPr>
        <w:rFonts w:hint="eastAsia" w:ascii="宋体" w:hAnsi="Times New Roman" w:eastAsia="宋体"/>
        <w:sz w:val="21"/>
      </w:rPr>
    </w:lvl>
    <w:lvl w:ilvl="1" w:tentative="0">
      <w:start w:val="1"/>
      <w:numFmt w:val="decimal"/>
      <w:pStyle w:val="46"/>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48802D1C"/>
    <w:multiLevelType w:val="multilevel"/>
    <w:tmpl w:val="48802D1C"/>
    <w:lvl w:ilvl="0" w:tentative="0">
      <w:start w:val="1"/>
      <w:numFmt w:val="upperLetter"/>
      <w:pStyle w:val="47"/>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5603797C"/>
    <w:multiLevelType w:val="multilevel"/>
    <w:tmpl w:val="5603797C"/>
    <w:lvl w:ilvl="0" w:tentative="0">
      <w:start w:val="1"/>
      <w:numFmt w:val="upperLetter"/>
      <w:pStyle w:val="48"/>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657D3FBC"/>
    <w:multiLevelType w:val="multilevel"/>
    <w:tmpl w:val="657D3FBC"/>
    <w:lvl w:ilvl="0" w:tentative="0">
      <w:start w:val="1"/>
      <w:numFmt w:val="upperLetter"/>
      <w:pStyle w:val="49"/>
      <w:suff w:val="nothing"/>
      <w:lvlText w:val="附录%1"/>
      <w:lvlJc w:val="left"/>
      <w:pPr>
        <w:ind w:left="5670" w:firstLine="0"/>
      </w:pPr>
      <w:rPr>
        <w:rFonts w:hint="eastAsia"/>
        <w:spacing w:val="100"/>
      </w:rPr>
    </w:lvl>
    <w:lvl w:ilvl="1" w:tentative="0">
      <w:start w:val="1"/>
      <w:numFmt w:val="decimal"/>
      <w:pStyle w:val="50"/>
      <w:suff w:val="nothing"/>
      <w:lvlText w:val="%1.%2　"/>
      <w:lvlJc w:val="left"/>
      <w:pPr>
        <w:ind w:left="3402"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1"/>
      <w:suff w:val="nothing"/>
      <w:lvlText w:val="%1%2　"/>
      <w:lvlJc w:val="left"/>
      <w:pPr>
        <w:ind w:left="0" w:firstLine="0"/>
      </w:pPr>
      <w:rPr>
        <w:rFonts w:hint="eastAsia" w:ascii="黑体" w:eastAsia="黑体"/>
        <w:b w:val="0"/>
        <w:i w:val="0"/>
        <w:sz w:val="21"/>
      </w:rPr>
    </w:lvl>
    <w:lvl w:ilvl="2" w:tentative="0">
      <w:start w:val="1"/>
      <w:numFmt w:val="decimal"/>
      <w:pStyle w:val="42"/>
      <w:suff w:val="nothing"/>
      <w:lvlText w:val="%1%2.%3　"/>
      <w:lvlJc w:val="left"/>
      <w:pPr>
        <w:ind w:left="1559"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43"/>
      <w:suff w:val="nothing"/>
      <w:lvlText w:val="%1%2.%3.%4　"/>
      <w:lvlJc w:val="left"/>
      <w:pPr>
        <w:ind w:left="1276" w:firstLine="0"/>
      </w:pPr>
      <w:rPr>
        <w:rFonts w:hint="eastAsia" w:ascii="黑体" w:eastAsia="黑体"/>
        <w:b w:val="0"/>
        <w:i w:val="0"/>
        <w:sz w:val="21"/>
      </w:rPr>
    </w:lvl>
    <w:lvl w:ilvl="4" w:tentative="0">
      <w:start w:val="1"/>
      <w:numFmt w:val="decimal"/>
      <w:pStyle w:val="44"/>
      <w:suff w:val="nothing"/>
      <w:lvlText w:val="%1%2.%3.%4.%5　"/>
      <w:lvlJc w:val="left"/>
      <w:pPr>
        <w:ind w:left="1559"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YTE1NmZlM2NmYmIzMTA3Y2Q5NDNhMGNkZTFhMzgifQ=="/>
  </w:docVars>
  <w:rsids>
    <w:rsidRoot w:val="003A16B9"/>
    <w:rsid w:val="000026B9"/>
    <w:rsid w:val="000030F5"/>
    <w:rsid w:val="0001418A"/>
    <w:rsid w:val="00017EE7"/>
    <w:rsid w:val="0002049D"/>
    <w:rsid w:val="000223EA"/>
    <w:rsid w:val="00022543"/>
    <w:rsid w:val="00023DD3"/>
    <w:rsid w:val="00034B15"/>
    <w:rsid w:val="00045B39"/>
    <w:rsid w:val="00046A9A"/>
    <w:rsid w:val="00046C9D"/>
    <w:rsid w:val="000575C9"/>
    <w:rsid w:val="00064832"/>
    <w:rsid w:val="00066A23"/>
    <w:rsid w:val="00066CDF"/>
    <w:rsid w:val="00077868"/>
    <w:rsid w:val="00085284"/>
    <w:rsid w:val="00086477"/>
    <w:rsid w:val="00094BD9"/>
    <w:rsid w:val="00095FA0"/>
    <w:rsid w:val="00097E8E"/>
    <w:rsid w:val="000A20E8"/>
    <w:rsid w:val="000B200F"/>
    <w:rsid w:val="000C11EC"/>
    <w:rsid w:val="000D2939"/>
    <w:rsid w:val="000D4F49"/>
    <w:rsid w:val="000D6412"/>
    <w:rsid w:val="000E07C6"/>
    <w:rsid w:val="000E4766"/>
    <w:rsid w:val="000E62E5"/>
    <w:rsid w:val="000F0E8C"/>
    <w:rsid w:val="000F72E3"/>
    <w:rsid w:val="001055C2"/>
    <w:rsid w:val="00110C26"/>
    <w:rsid w:val="00120052"/>
    <w:rsid w:val="00123A5C"/>
    <w:rsid w:val="00123BA2"/>
    <w:rsid w:val="00125BA0"/>
    <w:rsid w:val="00135480"/>
    <w:rsid w:val="00142662"/>
    <w:rsid w:val="00143113"/>
    <w:rsid w:val="00150760"/>
    <w:rsid w:val="00151D94"/>
    <w:rsid w:val="00157824"/>
    <w:rsid w:val="00166D42"/>
    <w:rsid w:val="00171DA8"/>
    <w:rsid w:val="00174D3C"/>
    <w:rsid w:val="001777FB"/>
    <w:rsid w:val="00185391"/>
    <w:rsid w:val="00196275"/>
    <w:rsid w:val="001A3600"/>
    <w:rsid w:val="001B3652"/>
    <w:rsid w:val="001C7424"/>
    <w:rsid w:val="001D17F0"/>
    <w:rsid w:val="001D2732"/>
    <w:rsid w:val="001D49AD"/>
    <w:rsid w:val="001E072C"/>
    <w:rsid w:val="001E0932"/>
    <w:rsid w:val="001E1388"/>
    <w:rsid w:val="001E5DC9"/>
    <w:rsid w:val="001E6C5E"/>
    <w:rsid w:val="001F04A8"/>
    <w:rsid w:val="001F446F"/>
    <w:rsid w:val="002003E6"/>
    <w:rsid w:val="00203B19"/>
    <w:rsid w:val="00204426"/>
    <w:rsid w:val="002120F0"/>
    <w:rsid w:val="00213156"/>
    <w:rsid w:val="002166FA"/>
    <w:rsid w:val="00233F5B"/>
    <w:rsid w:val="002342F8"/>
    <w:rsid w:val="002344F0"/>
    <w:rsid w:val="002347DD"/>
    <w:rsid w:val="002417F3"/>
    <w:rsid w:val="002421FB"/>
    <w:rsid w:val="002455D0"/>
    <w:rsid w:val="002508A9"/>
    <w:rsid w:val="00251AC5"/>
    <w:rsid w:val="002524C4"/>
    <w:rsid w:val="002526F1"/>
    <w:rsid w:val="002552C1"/>
    <w:rsid w:val="002647CF"/>
    <w:rsid w:val="00273DB1"/>
    <w:rsid w:val="00280CAD"/>
    <w:rsid w:val="00283DA7"/>
    <w:rsid w:val="00285DEA"/>
    <w:rsid w:val="002A114B"/>
    <w:rsid w:val="002A5EEC"/>
    <w:rsid w:val="002A6BF1"/>
    <w:rsid w:val="002B36C4"/>
    <w:rsid w:val="002B6D71"/>
    <w:rsid w:val="002B7A50"/>
    <w:rsid w:val="002C2FA1"/>
    <w:rsid w:val="002C35B2"/>
    <w:rsid w:val="002C41F3"/>
    <w:rsid w:val="002D05F7"/>
    <w:rsid w:val="002D5B59"/>
    <w:rsid w:val="002E04A1"/>
    <w:rsid w:val="002E410B"/>
    <w:rsid w:val="002E562B"/>
    <w:rsid w:val="002E643D"/>
    <w:rsid w:val="002F2486"/>
    <w:rsid w:val="002F2575"/>
    <w:rsid w:val="002F2FA5"/>
    <w:rsid w:val="002F7F32"/>
    <w:rsid w:val="003038A8"/>
    <w:rsid w:val="0030627A"/>
    <w:rsid w:val="003072EF"/>
    <w:rsid w:val="00322819"/>
    <w:rsid w:val="00322992"/>
    <w:rsid w:val="00323DB7"/>
    <w:rsid w:val="00327E59"/>
    <w:rsid w:val="00333B04"/>
    <w:rsid w:val="00336598"/>
    <w:rsid w:val="00343843"/>
    <w:rsid w:val="0034497A"/>
    <w:rsid w:val="0034591E"/>
    <w:rsid w:val="00345F4B"/>
    <w:rsid w:val="003464A3"/>
    <w:rsid w:val="0035373B"/>
    <w:rsid w:val="00354B2C"/>
    <w:rsid w:val="00356F00"/>
    <w:rsid w:val="00357132"/>
    <w:rsid w:val="00372D79"/>
    <w:rsid w:val="00374865"/>
    <w:rsid w:val="00377A55"/>
    <w:rsid w:val="003837E1"/>
    <w:rsid w:val="00384EF5"/>
    <w:rsid w:val="00393073"/>
    <w:rsid w:val="003A16B9"/>
    <w:rsid w:val="003A27A1"/>
    <w:rsid w:val="003A41B5"/>
    <w:rsid w:val="003A4CA8"/>
    <w:rsid w:val="003A781C"/>
    <w:rsid w:val="003B172B"/>
    <w:rsid w:val="003B2A86"/>
    <w:rsid w:val="003B3297"/>
    <w:rsid w:val="003B506A"/>
    <w:rsid w:val="003B50F3"/>
    <w:rsid w:val="003B75E6"/>
    <w:rsid w:val="003C072E"/>
    <w:rsid w:val="003C1D2A"/>
    <w:rsid w:val="003C3D95"/>
    <w:rsid w:val="003C5698"/>
    <w:rsid w:val="003C5CB7"/>
    <w:rsid w:val="003D20BE"/>
    <w:rsid w:val="003D30B8"/>
    <w:rsid w:val="003D4172"/>
    <w:rsid w:val="003E56F0"/>
    <w:rsid w:val="003E7968"/>
    <w:rsid w:val="003F3364"/>
    <w:rsid w:val="003F6207"/>
    <w:rsid w:val="00411EE2"/>
    <w:rsid w:val="004172A0"/>
    <w:rsid w:val="00421309"/>
    <w:rsid w:val="00421576"/>
    <w:rsid w:val="00424B48"/>
    <w:rsid w:val="0043316A"/>
    <w:rsid w:val="00433902"/>
    <w:rsid w:val="00434EBE"/>
    <w:rsid w:val="0043685F"/>
    <w:rsid w:val="0044003F"/>
    <w:rsid w:val="0044010C"/>
    <w:rsid w:val="004444BA"/>
    <w:rsid w:val="00447812"/>
    <w:rsid w:val="00451A1C"/>
    <w:rsid w:val="00454042"/>
    <w:rsid w:val="00454154"/>
    <w:rsid w:val="00462180"/>
    <w:rsid w:val="004679D5"/>
    <w:rsid w:val="00472223"/>
    <w:rsid w:val="004860FF"/>
    <w:rsid w:val="00491160"/>
    <w:rsid w:val="00493223"/>
    <w:rsid w:val="004936D9"/>
    <w:rsid w:val="004A1685"/>
    <w:rsid w:val="004A1DA3"/>
    <w:rsid w:val="004A5F25"/>
    <w:rsid w:val="004A7873"/>
    <w:rsid w:val="004B4E48"/>
    <w:rsid w:val="004B787D"/>
    <w:rsid w:val="004C1BDA"/>
    <w:rsid w:val="004C59EB"/>
    <w:rsid w:val="004D39BA"/>
    <w:rsid w:val="004D631B"/>
    <w:rsid w:val="004E01FB"/>
    <w:rsid w:val="004E455A"/>
    <w:rsid w:val="004E4FE2"/>
    <w:rsid w:val="004F3306"/>
    <w:rsid w:val="00503EEF"/>
    <w:rsid w:val="00512BCD"/>
    <w:rsid w:val="00513B31"/>
    <w:rsid w:val="0051729F"/>
    <w:rsid w:val="00523521"/>
    <w:rsid w:val="005236F1"/>
    <w:rsid w:val="00527D14"/>
    <w:rsid w:val="00532595"/>
    <w:rsid w:val="00532ABC"/>
    <w:rsid w:val="00537026"/>
    <w:rsid w:val="00540C01"/>
    <w:rsid w:val="00543D39"/>
    <w:rsid w:val="00551442"/>
    <w:rsid w:val="00555C1F"/>
    <w:rsid w:val="005661FA"/>
    <w:rsid w:val="005815F7"/>
    <w:rsid w:val="00582D86"/>
    <w:rsid w:val="00582F8E"/>
    <w:rsid w:val="0059405E"/>
    <w:rsid w:val="005A32C0"/>
    <w:rsid w:val="005A3E71"/>
    <w:rsid w:val="005A62F9"/>
    <w:rsid w:val="005B36AE"/>
    <w:rsid w:val="005B4F21"/>
    <w:rsid w:val="005C3C31"/>
    <w:rsid w:val="005C6869"/>
    <w:rsid w:val="005D004E"/>
    <w:rsid w:val="005D232C"/>
    <w:rsid w:val="005E3FD4"/>
    <w:rsid w:val="005E5CA0"/>
    <w:rsid w:val="005F4480"/>
    <w:rsid w:val="005F5AB2"/>
    <w:rsid w:val="00602AF8"/>
    <w:rsid w:val="00603D6B"/>
    <w:rsid w:val="00605591"/>
    <w:rsid w:val="006060CD"/>
    <w:rsid w:val="0061002A"/>
    <w:rsid w:val="0061401F"/>
    <w:rsid w:val="0062618C"/>
    <w:rsid w:val="0062624C"/>
    <w:rsid w:val="00642F3C"/>
    <w:rsid w:val="00644A9E"/>
    <w:rsid w:val="006462CE"/>
    <w:rsid w:val="00653F92"/>
    <w:rsid w:val="006705A0"/>
    <w:rsid w:val="00676982"/>
    <w:rsid w:val="00681686"/>
    <w:rsid w:val="00684F14"/>
    <w:rsid w:val="0068514F"/>
    <w:rsid w:val="00685B4B"/>
    <w:rsid w:val="00694AAA"/>
    <w:rsid w:val="006A7B50"/>
    <w:rsid w:val="006B2D58"/>
    <w:rsid w:val="006B5135"/>
    <w:rsid w:val="006C55F4"/>
    <w:rsid w:val="006E7918"/>
    <w:rsid w:val="006F069B"/>
    <w:rsid w:val="006F17D2"/>
    <w:rsid w:val="006F6FD1"/>
    <w:rsid w:val="00706E60"/>
    <w:rsid w:val="007138FD"/>
    <w:rsid w:val="00713D9E"/>
    <w:rsid w:val="00713F7C"/>
    <w:rsid w:val="00715095"/>
    <w:rsid w:val="00716D51"/>
    <w:rsid w:val="00722BB4"/>
    <w:rsid w:val="00724B18"/>
    <w:rsid w:val="00727A2D"/>
    <w:rsid w:val="00747833"/>
    <w:rsid w:val="00752D27"/>
    <w:rsid w:val="007557B8"/>
    <w:rsid w:val="00756BD7"/>
    <w:rsid w:val="007618C7"/>
    <w:rsid w:val="00763270"/>
    <w:rsid w:val="00764A1C"/>
    <w:rsid w:val="00764C09"/>
    <w:rsid w:val="00791EAF"/>
    <w:rsid w:val="00793194"/>
    <w:rsid w:val="007A0A08"/>
    <w:rsid w:val="007C2FA8"/>
    <w:rsid w:val="007C4A7E"/>
    <w:rsid w:val="007D0F49"/>
    <w:rsid w:val="007D419C"/>
    <w:rsid w:val="007D5DB1"/>
    <w:rsid w:val="007E245C"/>
    <w:rsid w:val="007E254B"/>
    <w:rsid w:val="007E7575"/>
    <w:rsid w:val="007F171C"/>
    <w:rsid w:val="007F2EAA"/>
    <w:rsid w:val="007F6810"/>
    <w:rsid w:val="00800F10"/>
    <w:rsid w:val="008019A4"/>
    <w:rsid w:val="008024FB"/>
    <w:rsid w:val="008040C4"/>
    <w:rsid w:val="008118B1"/>
    <w:rsid w:val="00811BC1"/>
    <w:rsid w:val="00815390"/>
    <w:rsid w:val="0081783B"/>
    <w:rsid w:val="00817D4F"/>
    <w:rsid w:val="0082566F"/>
    <w:rsid w:val="00826F84"/>
    <w:rsid w:val="00831EA8"/>
    <w:rsid w:val="00833208"/>
    <w:rsid w:val="00841418"/>
    <w:rsid w:val="008456DE"/>
    <w:rsid w:val="008472C3"/>
    <w:rsid w:val="008518B5"/>
    <w:rsid w:val="0085236E"/>
    <w:rsid w:val="00856E68"/>
    <w:rsid w:val="00861B4E"/>
    <w:rsid w:val="00862391"/>
    <w:rsid w:val="008670F0"/>
    <w:rsid w:val="008700BC"/>
    <w:rsid w:val="00873293"/>
    <w:rsid w:val="00875E1B"/>
    <w:rsid w:val="00880D39"/>
    <w:rsid w:val="00881CCA"/>
    <w:rsid w:val="008919C5"/>
    <w:rsid w:val="00892311"/>
    <w:rsid w:val="00897846"/>
    <w:rsid w:val="008A1592"/>
    <w:rsid w:val="008A23FD"/>
    <w:rsid w:val="008A5566"/>
    <w:rsid w:val="008B1336"/>
    <w:rsid w:val="008B23B4"/>
    <w:rsid w:val="008B28B8"/>
    <w:rsid w:val="008B51DB"/>
    <w:rsid w:val="008C0F3B"/>
    <w:rsid w:val="008D2FBC"/>
    <w:rsid w:val="008E3BE2"/>
    <w:rsid w:val="00910968"/>
    <w:rsid w:val="00913400"/>
    <w:rsid w:val="00916739"/>
    <w:rsid w:val="0091740B"/>
    <w:rsid w:val="009238A9"/>
    <w:rsid w:val="0092636A"/>
    <w:rsid w:val="00927A87"/>
    <w:rsid w:val="00927B58"/>
    <w:rsid w:val="0093424A"/>
    <w:rsid w:val="00934A94"/>
    <w:rsid w:val="00936A39"/>
    <w:rsid w:val="00951590"/>
    <w:rsid w:val="00957921"/>
    <w:rsid w:val="00957E40"/>
    <w:rsid w:val="009621F2"/>
    <w:rsid w:val="009624E6"/>
    <w:rsid w:val="0097633E"/>
    <w:rsid w:val="00976747"/>
    <w:rsid w:val="009858D2"/>
    <w:rsid w:val="00986641"/>
    <w:rsid w:val="00992D2A"/>
    <w:rsid w:val="009944CF"/>
    <w:rsid w:val="00995F92"/>
    <w:rsid w:val="00996CBA"/>
    <w:rsid w:val="009972EC"/>
    <w:rsid w:val="009A03CC"/>
    <w:rsid w:val="009A17AC"/>
    <w:rsid w:val="009A325C"/>
    <w:rsid w:val="009C1549"/>
    <w:rsid w:val="009C168D"/>
    <w:rsid w:val="009D02F9"/>
    <w:rsid w:val="009D6B2A"/>
    <w:rsid w:val="009E0027"/>
    <w:rsid w:val="009E06CA"/>
    <w:rsid w:val="009E13B2"/>
    <w:rsid w:val="009F191D"/>
    <w:rsid w:val="009F3D0F"/>
    <w:rsid w:val="009F4F2F"/>
    <w:rsid w:val="00A02115"/>
    <w:rsid w:val="00A05BDE"/>
    <w:rsid w:val="00A06D37"/>
    <w:rsid w:val="00A15B5E"/>
    <w:rsid w:val="00A16109"/>
    <w:rsid w:val="00A23115"/>
    <w:rsid w:val="00A24C20"/>
    <w:rsid w:val="00A30678"/>
    <w:rsid w:val="00A33271"/>
    <w:rsid w:val="00A343A5"/>
    <w:rsid w:val="00A36AC7"/>
    <w:rsid w:val="00A3781D"/>
    <w:rsid w:val="00A44A7A"/>
    <w:rsid w:val="00A44B33"/>
    <w:rsid w:val="00A54161"/>
    <w:rsid w:val="00A5566C"/>
    <w:rsid w:val="00A5742C"/>
    <w:rsid w:val="00A67EF9"/>
    <w:rsid w:val="00A739F5"/>
    <w:rsid w:val="00A802FD"/>
    <w:rsid w:val="00A85E01"/>
    <w:rsid w:val="00A86253"/>
    <w:rsid w:val="00A9409A"/>
    <w:rsid w:val="00AA181E"/>
    <w:rsid w:val="00AA2916"/>
    <w:rsid w:val="00AA3FF5"/>
    <w:rsid w:val="00AA6779"/>
    <w:rsid w:val="00AB185E"/>
    <w:rsid w:val="00AC541E"/>
    <w:rsid w:val="00AD185F"/>
    <w:rsid w:val="00AD30DF"/>
    <w:rsid w:val="00AD4A95"/>
    <w:rsid w:val="00AD6B89"/>
    <w:rsid w:val="00AD7602"/>
    <w:rsid w:val="00AF18F4"/>
    <w:rsid w:val="00AF1EED"/>
    <w:rsid w:val="00AF222A"/>
    <w:rsid w:val="00AF5BB3"/>
    <w:rsid w:val="00B010F2"/>
    <w:rsid w:val="00B045F4"/>
    <w:rsid w:val="00B05D56"/>
    <w:rsid w:val="00B0609D"/>
    <w:rsid w:val="00B06514"/>
    <w:rsid w:val="00B06914"/>
    <w:rsid w:val="00B06CBA"/>
    <w:rsid w:val="00B10B95"/>
    <w:rsid w:val="00B116D0"/>
    <w:rsid w:val="00B17BF3"/>
    <w:rsid w:val="00B2156A"/>
    <w:rsid w:val="00B2361A"/>
    <w:rsid w:val="00B31AA3"/>
    <w:rsid w:val="00B3207B"/>
    <w:rsid w:val="00B3738F"/>
    <w:rsid w:val="00B41F1C"/>
    <w:rsid w:val="00B42D51"/>
    <w:rsid w:val="00B443BD"/>
    <w:rsid w:val="00B44759"/>
    <w:rsid w:val="00B53D25"/>
    <w:rsid w:val="00B56346"/>
    <w:rsid w:val="00B66DBC"/>
    <w:rsid w:val="00B71B66"/>
    <w:rsid w:val="00B7303C"/>
    <w:rsid w:val="00B7687E"/>
    <w:rsid w:val="00B81B6B"/>
    <w:rsid w:val="00B84A9F"/>
    <w:rsid w:val="00B8670E"/>
    <w:rsid w:val="00B93558"/>
    <w:rsid w:val="00B93595"/>
    <w:rsid w:val="00B9453A"/>
    <w:rsid w:val="00B95935"/>
    <w:rsid w:val="00B9679D"/>
    <w:rsid w:val="00BA233E"/>
    <w:rsid w:val="00BA35E3"/>
    <w:rsid w:val="00BA5E55"/>
    <w:rsid w:val="00BB07FF"/>
    <w:rsid w:val="00BB1E8F"/>
    <w:rsid w:val="00BB2405"/>
    <w:rsid w:val="00BB556B"/>
    <w:rsid w:val="00BB5CF9"/>
    <w:rsid w:val="00BC0469"/>
    <w:rsid w:val="00BC1188"/>
    <w:rsid w:val="00BC30EE"/>
    <w:rsid w:val="00BC3EED"/>
    <w:rsid w:val="00BC6152"/>
    <w:rsid w:val="00BD0582"/>
    <w:rsid w:val="00BD29EF"/>
    <w:rsid w:val="00BD42BF"/>
    <w:rsid w:val="00BD44ED"/>
    <w:rsid w:val="00BD76B3"/>
    <w:rsid w:val="00BE1AA7"/>
    <w:rsid w:val="00BE3A7E"/>
    <w:rsid w:val="00BF1A00"/>
    <w:rsid w:val="00BF447A"/>
    <w:rsid w:val="00C007D5"/>
    <w:rsid w:val="00C00F50"/>
    <w:rsid w:val="00C050E5"/>
    <w:rsid w:val="00C056DB"/>
    <w:rsid w:val="00C07743"/>
    <w:rsid w:val="00C07DD9"/>
    <w:rsid w:val="00C138B7"/>
    <w:rsid w:val="00C13CF9"/>
    <w:rsid w:val="00C1767E"/>
    <w:rsid w:val="00C251D9"/>
    <w:rsid w:val="00C308FF"/>
    <w:rsid w:val="00C427B8"/>
    <w:rsid w:val="00C42F31"/>
    <w:rsid w:val="00C4588A"/>
    <w:rsid w:val="00C52512"/>
    <w:rsid w:val="00C6383E"/>
    <w:rsid w:val="00C679F4"/>
    <w:rsid w:val="00C714AA"/>
    <w:rsid w:val="00C84605"/>
    <w:rsid w:val="00C9389B"/>
    <w:rsid w:val="00C93C19"/>
    <w:rsid w:val="00C9567F"/>
    <w:rsid w:val="00C96BFF"/>
    <w:rsid w:val="00CA7732"/>
    <w:rsid w:val="00CB6390"/>
    <w:rsid w:val="00CB6DAF"/>
    <w:rsid w:val="00CB7D28"/>
    <w:rsid w:val="00CC1F86"/>
    <w:rsid w:val="00CD636D"/>
    <w:rsid w:val="00CE2858"/>
    <w:rsid w:val="00CE444F"/>
    <w:rsid w:val="00CF0623"/>
    <w:rsid w:val="00CF279F"/>
    <w:rsid w:val="00CF30D6"/>
    <w:rsid w:val="00CF49B0"/>
    <w:rsid w:val="00CF58D8"/>
    <w:rsid w:val="00D02481"/>
    <w:rsid w:val="00D02A61"/>
    <w:rsid w:val="00D05584"/>
    <w:rsid w:val="00D11ED8"/>
    <w:rsid w:val="00D14DC0"/>
    <w:rsid w:val="00D24AD9"/>
    <w:rsid w:val="00D24D47"/>
    <w:rsid w:val="00D31914"/>
    <w:rsid w:val="00D3339A"/>
    <w:rsid w:val="00D335CE"/>
    <w:rsid w:val="00D35B84"/>
    <w:rsid w:val="00D35E87"/>
    <w:rsid w:val="00D36351"/>
    <w:rsid w:val="00D406F0"/>
    <w:rsid w:val="00D41F18"/>
    <w:rsid w:val="00D5066C"/>
    <w:rsid w:val="00D52E70"/>
    <w:rsid w:val="00D552D7"/>
    <w:rsid w:val="00D6270B"/>
    <w:rsid w:val="00D64F6D"/>
    <w:rsid w:val="00D66D5A"/>
    <w:rsid w:val="00D84580"/>
    <w:rsid w:val="00D84AD7"/>
    <w:rsid w:val="00D9039D"/>
    <w:rsid w:val="00D9149B"/>
    <w:rsid w:val="00D91727"/>
    <w:rsid w:val="00D94990"/>
    <w:rsid w:val="00D96AFD"/>
    <w:rsid w:val="00DA0308"/>
    <w:rsid w:val="00DA4E73"/>
    <w:rsid w:val="00DC0E4D"/>
    <w:rsid w:val="00DC3DCE"/>
    <w:rsid w:val="00DC793A"/>
    <w:rsid w:val="00DD2BAA"/>
    <w:rsid w:val="00DD34D3"/>
    <w:rsid w:val="00DD496A"/>
    <w:rsid w:val="00DE0A71"/>
    <w:rsid w:val="00DF2A16"/>
    <w:rsid w:val="00DF71E5"/>
    <w:rsid w:val="00E0113A"/>
    <w:rsid w:val="00E034C3"/>
    <w:rsid w:val="00E03B9F"/>
    <w:rsid w:val="00E04500"/>
    <w:rsid w:val="00E06E47"/>
    <w:rsid w:val="00E100D7"/>
    <w:rsid w:val="00E110D3"/>
    <w:rsid w:val="00E11CC1"/>
    <w:rsid w:val="00E137E1"/>
    <w:rsid w:val="00E14D97"/>
    <w:rsid w:val="00E16D29"/>
    <w:rsid w:val="00E21A5E"/>
    <w:rsid w:val="00E21E72"/>
    <w:rsid w:val="00E23976"/>
    <w:rsid w:val="00E31330"/>
    <w:rsid w:val="00E330BB"/>
    <w:rsid w:val="00E435CE"/>
    <w:rsid w:val="00E4542C"/>
    <w:rsid w:val="00E51D03"/>
    <w:rsid w:val="00E6286F"/>
    <w:rsid w:val="00E67D19"/>
    <w:rsid w:val="00E71C3C"/>
    <w:rsid w:val="00E7368A"/>
    <w:rsid w:val="00E95BD3"/>
    <w:rsid w:val="00E965F8"/>
    <w:rsid w:val="00E966CD"/>
    <w:rsid w:val="00E976D6"/>
    <w:rsid w:val="00EA4DF1"/>
    <w:rsid w:val="00EA58A5"/>
    <w:rsid w:val="00EA67A3"/>
    <w:rsid w:val="00EB7FEA"/>
    <w:rsid w:val="00EC3464"/>
    <w:rsid w:val="00EC414A"/>
    <w:rsid w:val="00EC45C4"/>
    <w:rsid w:val="00EC4A1A"/>
    <w:rsid w:val="00EC6B08"/>
    <w:rsid w:val="00ED673F"/>
    <w:rsid w:val="00EE4FAA"/>
    <w:rsid w:val="00EF4636"/>
    <w:rsid w:val="00EF5A97"/>
    <w:rsid w:val="00EF7DA0"/>
    <w:rsid w:val="00F07E99"/>
    <w:rsid w:val="00F12530"/>
    <w:rsid w:val="00F139D7"/>
    <w:rsid w:val="00F170C6"/>
    <w:rsid w:val="00F21C0D"/>
    <w:rsid w:val="00F2397E"/>
    <w:rsid w:val="00F32FC7"/>
    <w:rsid w:val="00F37839"/>
    <w:rsid w:val="00F41726"/>
    <w:rsid w:val="00F42DE7"/>
    <w:rsid w:val="00F446D2"/>
    <w:rsid w:val="00F44DF5"/>
    <w:rsid w:val="00F460FF"/>
    <w:rsid w:val="00F51945"/>
    <w:rsid w:val="00F6458C"/>
    <w:rsid w:val="00F6494A"/>
    <w:rsid w:val="00F8327C"/>
    <w:rsid w:val="00F86F6E"/>
    <w:rsid w:val="00F872EE"/>
    <w:rsid w:val="00F91FB6"/>
    <w:rsid w:val="00F97295"/>
    <w:rsid w:val="00FA6F64"/>
    <w:rsid w:val="00FB0178"/>
    <w:rsid w:val="00FB0F7B"/>
    <w:rsid w:val="00FB3D07"/>
    <w:rsid w:val="00FB5689"/>
    <w:rsid w:val="00FC1535"/>
    <w:rsid w:val="00FC26F1"/>
    <w:rsid w:val="00FC2FA5"/>
    <w:rsid w:val="00FC40EC"/>
    <w:rsid w:val="00FC417D"/>
    <w:rsid w:val="00FD043E"/>
    <w:rsid w:val="00FD57B2"/>
    <w:rsid w:val="00FD63AD"/>
    <w:rsid w:val="00FE1AF9"/>
    <w:rsid w:val="00FE3DBB"/>
    <w:rsid w:val="00FE4CF1"/>
    <w:rsid w:val="00FE4DB5"/>
    <w:rsid w:val="00FE6AE6"/>
    <w:rsid w:val="00FE7929"/>
    <w:rsid w:val="00FF543D"/>
    <w:rsid w:val="03603A91"/>
    <w:rsid w:val="05D71EE1"/>
    <w:rsid w:val="0BDB13BB"/>
    <w:rsid w:val="0D332FB3"/>
    <w:rsid w:val="0D4F2043"/>
    <w:rsid w:val="0FBC2D1E"/>
    <w:rsid w:val="10183FC4"/>
    <w:rsid w:val="10993662"/>
    <w:rsid w:val="158A4569"/>
    <w:rsid w:val="1C9E2F2B"/>
    <w:rsid w:val="25616E98"/>
    <w:rsid w:val="26AC26D3"/>
    <w:rsid w:val="2E701B9F"/>
    <w:rsid w:val="331429F5"/>
    <w:rsid w:val="36C85EC2"/>
    <w:rsid w:val="48E21116"/>
    <w:rsid w:val="4BFCC419"/>
    <w:rsid w:val="4E6C5868"/>
    <w:rsid w:val="4EC76DE4"/>
    <w:rsid w:val="542D49AA"/>
    <w:rsid w:val="5A5F2AC3"/>
    <w:rsid w:val="5C1F1E23"/>
    <w:rsid w:val="5E7506C5"/>
    <w:rsid w:val="5F9B7E31"/>
    <w:rsid w:val="615F6567"/>
    <w:rsid w:val="62247B9C"/>
    <w:rsid w:val="6D4B73BB"/>
    <w:rsid w:val="70BE53AC"/>
    <w:rsid w:val="758D0E71"/>
    <w:rsid w:val="78B04D36"/>
    <w:rsid w:val="7C105077"/>
    <w:rsid w:val="BECA6D96"/>
    <w:rsid w:val="F61BFC71"/>
  </w:rsids>
  <m:mathPr>
    <m:mathFont m:val="Cambria Math"/>
    <m:brkBin m:val="before"/>
    <m:brkBinSub m:val="--"/>
    <m:smallFrac m:val="0"/>
    <m:dispDef/>
    <m:lMargin m:val="0"/>
    <m:rMargin m:val="0"/>
    <m:defJc m:val="centerGroup"/>
    <m:wrapIndent m:val="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61"/>
    <w:unhideWhenUsed/>
    <w:qFormat/>
    <w:uiPriority w:val="0"/>
    <w:pPr>
      <w:keepNext/>
      <w:keepLines/>
      <w:spacing w:before="260" w:after="260" w:line="416" w:lineRule="auto"/>
      <w:outlineLvl w:val="1"/>
    </w:pPr>
    <w:rPr>
      <w:rFonts w:ascii="Cambria" w:hAnsi="Cambria"/>
      <w:b/>
      <w:bCs/>
      <w:sz w:val="32"/>
      <w:szCs w:val="32"/>
    </w:rPr>
  </w:style>
  <w:style w:type="paragraph" w:styleId="3">
    <w:name w:val="heading 3"/>
    <w:basedOn w:val="1"/>
    <w:link w:val="60"/>
    <w:qFormat/>
    <w:uiPriority w:val="9"/>
    <w:pPr>
      <w:widowControl/>
      <w:spacing w:before="100" w:beforeAutospacing="1" w:after="100" w:afterAutospacing="1"/>
      <w:jc w:val="left"/>
      <w:outlineLvl w:val="2"/>
    </w:pPr>
    <w:rPr>
      <w:rFonts w:ascii="宋体" w:hAnsi="宋体" w:cs="宋体"/>
      <w:b/>
      <w:bCs/>
      <w:kern w:val="0"/>
      <w:sz w:val="27"/>
      <w:szCs w:val="27"/>
    </w:rPr>
  </w:style>
  <w:style w:type="paragraph" w:styleId="4">
    <w:name w:val="heading 4"/>
    <w:basedOn w:val="1"/>
    <w:next w:val="1"/>
    <w:link w:val="64"/>
    <w:semiHidden/>
    <w:unhideWhenUsed/>
    <w:qFormat/>
    <w:uiPriority w:val="0"/>
    <w:pPr>
      <w:keepNext/>
      <w:keepLines/>
      <w:spacing w:before="280" w:after="290" w:line="376" w:lineRule="auto"/>
      <w:outlineLvl w:val="3"/>
    </w:pPr>
    <w:rPr>
      <w:rFonts w:ascii="Cambria" w:hAnsi="Cambria"/>
      <w:b/>
      <w:bCs/>
      <w:sz w:val="28"/>
      <w:szCs w:val="28"/>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alloon Text"/>
    <w:basedOn w:val="1"/>
    <w:link w:val="23"/>
    <w:qFormat/>
    <w:uiPriority w:val="99"/>
    <w:rPr>
      <w:sz w:val="18"/>
      <w:szCs w:val="18"/>
    </w:rPr>
  </w:style>
  <w:style w:type="paragraph" w:styleId="7">
    <w:name w:val="footer"/>
    <w:basedOn w:val="1"/>
    <w:link w:val="21"/>
    <w:qFormat/>
    <w:uiPriority w:val="99"/>
    <w:pPr>
      <w:tabs>
        <w:tab w:val="center" w:pos="4153"/>
        <w:tab w:val="right" w:pos="8306"/>
      </w:tabs>
      <w:snapToGrid w:val="0"/>
      <w:jc w:val="left"/>
    </w:pPr>
    <w:rPr>
      <w:sz w:val="18"/>
      <w:szCs w:val="20"/>
    </w:rPr>
  </w:style>
  <w:style w:type="paragraph" w:styleId="8">
    <w:name w:val="header"/>
    <w:basedOn w:val="1"/>
    <w:link w:val="20"/>
    <w:qFormat/>
    <w:uiPriority w:val="99"/>
    <w:pPr>
      <w:pBdr>
        <w:bottom w:val="single" w:color="auto" w:sz="6" w:space="1"/>
      </w:pBdr>
      <w:tabs>
        <w:tab w:val="center" w:pos="4153"/>
        <w:tab w:val="right" w:pos="8306"/>
      </w:tabs>
      <w:snapToGrid w:val="0"/>
      <w:jc w:val="center"/>
    </w:pPr>
    <w:rPr>
      <w:sz w:val="18"/>
      <w:szCs w:val="20"/>
    </w:rPr>
  </w:style>
  <w:style w:type="paragraph" w:styleId="9">
    <w:name w:val="toc 1"/>
    <w:basedOn w:val="1"/>
    <w:next w:val="1"/>
    <w:unhideWhenUsed/>
    <w:qFormat/>
    <w:uiPriority w:val="39"/>
    <w:rPr>
      <w:rFonts w:ascii="宋体"/>
    </w:rPr>
  </w:style>
  <w:style w:type="paragraph" w:styleId="10">
    <w:name w:val="Body Text Indent 3"/>
    <w:basedOn w:val="1"/>
    <w:link w:val="22"/>
    <w:qFormat/>
    <w:uiPriority w:val="99"/>
    <w:pPr>
      <w:widowControl/>
      <w:adjustRightInd w:val="0"/>
      <w:snapToGrid w:val="0"/>
      <w:spacing w:line="360" w:lineRule="auto"/>
      <w:ind w:firstLine="555"/>
      <w:jc w:val="left"/>
    </w:pPr>
    <w:rPr>
      <w:sz w:val="28"/>
      <w:szCs w:val="27"/>
    </w:rPr>
  </w:style>
  <w:style w:type="paragraph" w:styleId="11">
    <w:name w:val="toc 2"/>
    <w:basedOn w:val="1"/>
    <w:next w:val="1"/>
    <w:unhideWhenUsed/>
    <w:qFormat/>
    <w:uiPriority w:val="39"/>
    <w:pPr>
      <w:tabs>
        <w:tab w:val="right" w:leader="dot" w:pos="9344"/>
      </w:tabs>
      <w:spacing w:line="300" w:lineRule="exact"/>
      <w:ind w:left="210"/>
    </w:pPr>
    <w:rPr>
      <w:rFonts w:ascii="宋体"/>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Hyperlink"/>
    <w:qFormat/>
    <w:uiPriority w:val="99"/>
    <w:rPr>
      <w:rFonts w:ascii="宋体" w:hAnsi="Times New Roman" w:eastAsia="宋体"/>
      <w:color w:val="auto"/>
      <w:spacing w:val="0"/>
      <w:w w:val="100"/>
      <w:position w:val="0"/>
      <w:sz w:val="21"/>
      <w:u w:val="none"/>
      <w:vertAlign w:val="baseline"/>
    </w:rPr>
  </w:style>
  <w:style w:type="character" w:styleId="17">
    <w:name w:val="annotation reference"/>
    <w:semiHidden/>
    <w:unhideWhenUsed/>
    <w:qFormat/>
    <w:uiPriority w:val="99"/>
    <w:rPr>
      <w:sz w:val="21"/>
      <w:szCs w:val="21"/>
    </w:rPr>
  </w:style>
  <w:style w:type="character" w:customStyle="1" w:styleId="18">
    <w:name w:val="Footer Char"/>
    <w:qFormat/>
    <w:uiPriority w:val="99"/>
    <w:rPr>
      <w:kern w:val="2"/>
      <w:sz w:val="18"/>
    </w:rPr>
  </w:style>
  <w:style w:type="character" w:customStyle="1" w:styleId="19">
    <w:name w:val="Header Char"/>
    <w:qFormat/>
    <w:uiPriority w:val="99"/>
    <w:rPr>
      <w:kern w:val="2"/>
      <w:sz w:val="18"/>
    </w:rPr>
  </w:style>
  <w:style w:type="character" w:customStyle="1" w:styleId="20">
    <w:name w:val="页眉 字符"/>
    <w:link w:val="8"/>
    <w:semiHidden/>
    <w:qFormat/>
    <w:uiPriority w:val="99"/>
    <w:rPr>
      <w:rFonts w:cs="Times New Roman"/>
      <w:sz w:val="18"/>
      <w:szCs w:val="18"/>
    </w:rPr>
  </w:style>
  <w:style w:type="character" w:customStyle="1" w:styleId="21">
    <w:name w:val="页脚 字符"/>
    <w:link w:val="7"/>
    <w:semiHidden/>
    <w:qFormat/>
    <w:uiPriority w:val="99"/>
    <w:rPr>
      <w:rFonts w:cs="Times New Roman"/>
      <w:sz w:val="18"/>
      <w:szCs w:val="18"/>
    </w:rPr>
  </w:style>
  <w:style w:type="character" w:customStyle="1" w:styleId="22">
    <w:name w:val="正文文本缩进 3 字符"/>
    <w:link w:val="10"/>
    <w:semiHidden/>
    <w:qFormat/>
    <w:uiPriority w:val="99"/>
    <w:rPr>
      <w:rFonts w:cs="Times New Roman"/>
      <w:sz w:val="16"/>
      <w:szCs w:val="16"/>
    </w:rPr>
  </w:style>
  <w:style w:type="character" w:customStyle="1" w:styleId="23">
    <w:name w:val="批注框文本 字符"/>
    <w:link w:val="6"/>
    <w:qFormat/>
    <w:uiPriority w:val="99"/>
    <w:rPr>
      <w:rFonts w:cs="Times New Roman"/>
      <w:kern w:val="2"/>
      <w:sz w:val="18"/>
      <w:szCs w:val="18"/>
    </w:rPr>
  </w:style>
  <w:style w:type="paragraph" w:customStyle="1" w:styleId="24">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25">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26">
    <w:name w:val="标准文件_文件编号"/>
    <w:basedOn w:val="27"/>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27">
    <w:name w:val="标准文件_段"/>
    <w:link w:val="59"/>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8">
    <w:name w:val="标准文件_替换文件编号"/>
    <w:basedOn w:val="26"/>
    <w:qFormat/>
    <w:uiPriority w:val="0"/>
    <w:pPr>
      <w:spacing w:before="57"/>
    </w:pPr>
    <w:rPr>
      <w:sz w:val="21"/>
    </w:rPr>
  </w:style>
  <w:style w:type="paragraph" w:customStyle="1" w:styleId="29">
    <w:name w:val="标准文件_文件名称"/>
    <w:basedOn w:val="27"/>
    <w:next w:val="27"/>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30">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31">
    <w:name w:val="其他发布日期"/>
    <w:basedOn w:val="32"/>
    <w:qFormat/>
    <w:uiPriority w:val="0"/>
    <w:pPr>
      <w:framePr w:w="3997" w:h="471" w:hRule="exact" w:hSpace="0" w:vSpace="181" w:wrap="around" w:vAnchor="page" w:hAnchor="page" w:x="1419" w:y="14097"/>
    </w:pPr>
  </w:style>
  <w:style w:type="paragraph" w:customStyle="1" w:styleId="3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33">
    <w:name w:val="其他实施日期"/>
    <w:basedOn w:val="34"/>
    <w:qFormat/>
    <w:uiPriority w:val="0"/>
    <w:pPr>
      <w:framePr w:w="3997" w:h="471" w:hRule="exact" w:vSpace="181" w:wrap="around" w:vAnchor="page" w:hAnchor="page" w:x="7089" w:y="14097"/>
    </w:pPr>
  </w:style>
  <w:style w:type="paragraph" w:customStyle="1" w:styleId="34">
    <w:name w:val="实施日期"/>
    <w:basedOn w:val="32"/>
    <w:qFormat/>
    <w:uiPriority w:val="0"/>
    <w:pPr>
      <w:framePr w:hSpace="0" w:wrap="around" w:xAlign="right"/>
      <w:jc w:val="right"/>
    </w:pPr>
  </w:style>
  <w:style w:type="paragraph" w:customStyle="1" w:styleId="35">
    <w:name w:val="其他发布部门"/>
    <w:basedOn w:val="36"/>
    <w:qFormat/>
    <w:uiPriority w:val="0"/>
    <w:pPr>
      <w:framePr w:wrap="around"/>
      <w:spacing w:line="0" w:lineRule="atLeast"/>
    </w:pPr>
    <w:rPr>
      <w:rFonts w:ascii="黑体" w:eastAsia="黑体"/>
      <w:b w:val="0"/>
    </w:rPr>
  </w:style>
  <w:style w:type="paragraph" w:customStyle="1" w:styleId="36">
    <w:name w:val="发布部门"/>
    <w:next w:val="27"/>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character" w:customStyle="1" w:styleId="37">
    <w:name w:val="发布"/>
    <w:qFormat/>
    <w:uiPriority w:val="0"/>
    <w:rPr>
      <w:rFonts w:ascii="黑体" w:eastAsia="黑体"/>
      <w:spacing w:val="85"/>
      <w:w w:val="100"/>
      <w:position w:val="3"/>
      <w:sz w:val="28"/>
      <w:szCs w:val="28"/>
    </w:rPr>
  </w:style>
  <w:style w:type="paragraph" w:customStyle="1" w:styleId="38">
    <w:name w:val="标准文件_目录标题"/>
    <w:basedOn w:val="1"/>
    <w:qFormat/>
    <w:uiPriority w:val="0"/>
    <w:pPr>
      <w:spacing w:after="150" w:afterLines="150"/>
      <w:jc w:val="center"/>
    </w:pPr>
    <w:rPr>
      <w:rFonts w:ascii="黑体" w:eastAsia="黑体"/>
      <w:sz w:val="32"/>
    </w:rPr>
  </w:style>
  <w:style w:type="paragraph" w:customStyle="1" w:styleId="39">
    <w:name w:val="标准文件_前言、引言标题"/>
    <w:next w:val="1"/>
    <w:qFormat/>
    <w:uiPriority w:val="0"/>
    <w:pPr>
      <w:numPr>
        <w:ilvl w:val="0"/>
        <w:numId w:val="1"/>
      </w:numPr>
      <w:shd w:val="clear" w:color="FFFFFF" w:fill="FFFFFF"/>
      <w:spacing w:after="150" w:afterLines="150"/>
      <w:ind w:left="0" w:firstLine="0"/>
      <w:jc w:val="center"/>
      <w:outlineLvl w:val="0"/>
    </w:pPr>
    <w:rPr>
      <w:rFonts w:ascii="黑体" w:hAnsi="Times New Roman" w:eastAsia="黑体" w:cs="Times New Roman"/>
      <w:sz w:val="32"/>
      <w:lang w:val="en-US" w:eastAsia="zh-CN" w:bidi="ar-SA"/>
    </w:rPr>
  </w:style>
  <w:style w:type="paragraph" w:customStyle="1" w:styleId="40">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41">
    <w:name w:val="标准文件_章标题"/>
    <w:next w:val="27"/>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2">
    <w:name w:val="标准文件_一级条标题"/>
    <w:basedOn w:val="41"/>
    <w:next w:val="27"/>
    <w:qFormat/>
    <w:uiPriority w:val="0"/>
    <w:pPr>
      <w:numPr>
        <w:ilvl w:val="2"/>
      </w:numPr>
      <w:adjustRightInd w:val="0"/>
      <w:spacing w:before="50" w:beforeLines="50" w:after="50" w:afterLines="50"/>
      <w:ind w:left="0"/>
      <w:outlineLvl w:val="1"/>
    </w:pPr>
  </w:style>
  <w:style w:type="paragraph" w:customStyle="1" w:styleId="43">
    <w:name w:val="标准文件_二级条标题"/>
    <w:next w:val="27"/>
    <w:qFormat/>
    <w:uiPriority w:val="0"/>
    <w:pPr>
      <w:widowControl w:val="0"/>
      <w:numPr>
        <w:ilvl w:val="3"/>
        <w:numId w:val="2"/>
      </w:numPr>
      <w:spacing w:before="50" w:beforeLines="50" w:after="50" w:afterLines="50"/>
      <w:ind w:left="0"/>
      <w:jc w:val="both"/>
      <w:outlineLvl w:val="2"/>
    </w:pPr>
    <w:rPr>
      <w:rFonts w:ascii="黑体" w:hAnsi="Times New Roman" w:eastAsia="黑体" w:cs="Times New Roman"/>
      <w:sz w:val="21"/>
      <w:lang w:val="en-US" w:eastAsia="zh-CN" w:bidi="ar-SA"/>
    </w:rPr>
  </w:style>
  <w:style w:type="paragraph" w:customStyle="1" w:styleId="44">
    <w:name w:val="标准文件_三级条标题"/>
    <w:basedOn w:val="43"/>
    <w:next w:val="27"/>
    <w:qFormat/>
    <w:uiPriority w:val="0"/>
    <w:pPr>
      <w:widowControl/>
      <w:numPr>
        <w:ilvl w:val="4"/>
      </w:numPr>
      <w:ind w:left="0"/>
      <w:outlineLvl w:val="3"/>
    </w:pPr>
  </w:style>
  <w:style w:type="paragraph" w:customStyle="1" w:styleId="45">
    <w:name w:val="标准文件_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46">
    <w:name w:val="标准文件_数字编号列项（二级）"/>
    <w:qFormat/>
    <w:uiPriority w:val="0"/>
    <w:pPr>
      <w:numPr>
        <w:ilvl w:val="1"/>
        <w:numId w:val="3"/>
      </w:numPr>
      <w:jc w:val="both"/>
    </w:pPr>
    <w:rPr>
      <w:rFonts w:ascii="宋体" w:hAnsi="Times New Roman" w:eastAsia="宋体" w:cs="Times New Roman"/>
      <w:sz w:val="21"/>
      <w:lang w:val="en-US" w:eastAsia="zh-CN" w:bidi="ar-SA"/>
    </w:rPr>
  </w:style>
  <w:style w:type="paragraph" w:customStyle="1" w:styleId="47">
    <w:name w:val="标准文件_附录图标号"/>
    <w:basedOn w:val="27"/>
    <w:next w:val="27"/>
    <w:qFormat/>
    <w:uiPriority w:val="0"/>
    <w:pPr>
      <w:numPr>
        <w:ilvl w:val="0"/>
        <w:numId w:val="4"/>
      </w:numPr>
      <w:spacing w:line="14" w:lineRule="exact"/>
      <w:ind w:firstLine="0" w:firstLineChars="0"/>
      <w:jc w:val="center"/>
    </w:pPr>
    <w:rPr>
      <w:rFonts w:ascii="黑体" w:hAnsi="黑体" w:eastAsia="黑体"/>
      <w:vanish/>
      <w:sz w:val="2"/>
      <w:szCs w:val="21"/>
    </w:rPr>
  </w:style>
  <w:style w:type="paragraph" w:customStyle="1" w:styleId="48">
    <w:name w:val="标准文件_附录表标号"/>
    <w:basedOn w:val="27"/>
    <w:next w:val="27"/>
    <w:qFormat/>
    <w:uiPriority w:val="0"/>
    <w:pPr>
      <w:numPr>
        <w:ilvl w:val="0"/>
        <w:numId w:val="5"/>
      </w:numPr>
      <w:spacing w:line="14" w:lineRule="exact"/>
      <w:ind w:firstLine="0" w:firstLineChars="0"/>
      <w:jc w:val="center"/>
    </w:pPr>
    <w:rPr>
      <w:rFonts w:eastAsia="黑体"/>
      <w:vanish/>
      <w:sz w:val="2"/>
    </w:rPr>
  </w:style>
  <w:style w:type="paragraph" w:customStyle="1" w:styleId="49">
    <w:name w:val="标准文件_附录标识"/>
    <w:next w:val="27"/>
    <w:qFormat/>
    <w:uiPriority w:val="0"/>
    <w:pPr>
      <w:numPr>
        <w:ilvl w:val="0"/>
        <w:numId w:val="6"/>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50">
    <w:name w:val="标准文件_附录一级条标题"/>
    <w:next w:val="27"/>
    <w:qFormat/>
    <w:uiPriority w:val="0"/>
    <w:pPr>
      <w:widowControl w:val="0"/>
      <w:numPr>
        <w:ilvl w:val="1"/>
        <w:numId w:val="6"/>
      </w:numPr>
      <w:spacing w:before="50" w:beforeLines="50" w:after="50" w:afterLines="50"/>
      <w:ind w:left="0"/>
      <w:jc w:val="both"/>
      <w:outlineLvl w:val="2"/>
    </w:pPr>
    <w:rPr>
      <w:rFonts w:ascii="黑体" w:hAnsi="Times New Roman" w:eastAsia="黑体" w:cs="Times New Roman"/>
      <w:kern w:val="21"/>
      <w:sz w:val="21"/>
      <w:lang w:val="en-US" w:eastAsia="zh-CN" w:bidi="ar-SA"/>
    </w:rPr>
  </w:style>
  <w:style w:type="paragraph" w:customStyle="1" w:styleId="51">
    <w:name w:val="标准文件_参考文献标题"/>
    <w:basedOn w:val="1"/>
    <w:next w:val="1"/>
    <w:qFormat/>
    <w:uiPriority w:val="0"/>
    <w:pPr>
      <w:widowControl/>
      <w:shd w:val="clear" w:color="FFFFFF" w:fill="FFFFFF"/>
      <w:spacing w:before="40" w:beforeLines="40" w:after="50" w:afterLines="50"/>
      <w:jc w:val="center"/>
      <w:outlineLvl w:val="0"/>
    </w:pPr>
    <w:rPr>
      <w:rFonts w:ascii="黑体" w:eastAsia="黑体"/>
      <w:kern w:val="0"/>
    </w:rPr>
  </w:style>
  <w:style w:type="paragraph" w:customStyle="1" w:styleId="52">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53">
    <w:name w:val="标准文件_页眉偶数页"/>
    <w:basedOn w:val="52"/>
    <w:next w:val="1"/>
    <w:qFormat/>
    <w:uiPriority w:val="0"/>
    <w:pPr>
      <w:jc w:val="left"/>
    </w:p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6">
    <w:name w:val="标准文件_四级条标题"/>
    <w:next w:val="27"/>
    <w:qFormat/>
    <w:uiPriority w:val="0"/>
    <w:pPr>
      <w:widowControl w:val="0"/>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57">
    <w:name w:val="标准文件_五级条标题"/>
    <w:next w:val="27"/>
    <w:qFormat/>
    <w:uiPriority w:val="0"/>
    <w:pPr>
      <w:widowControl w:val="0"/>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58">
    <w:name w:val="前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character" w:customStyle="1" w:styleId="59">
    <w:name w:val="标准文件_段 Char"/>
    <w:link w:val="27"/>
    <w:qFormat/>
    <w:uiPriority w:val="0"/>
    <w:rPr>
      <w:rFonts w:ascii="宋体"/>
      <w:sz w:val="21"/>
    </w:rPr>
  </w:style>
  <w:style w:type="character" w:customStyle="1" w:styleId="60">
    <w:name w:val="标题 3 字符"/>
    <w:link w:val="3"/>
    <w:qFormat/>
    <w:uiPriority w:val="9"/>
    <w:rPr>
      <w:rFonts w:ascii="宋体" w:hAnsi="宋体" w:cs="宋体"/>
      <w:b/>
      <w:bCs/>
      <w:sz w:val="27"/>
      <w:szCs w:val="27"/>
    </w:rPr>
  </w:style>
  <w:style w:type="character" w:customStyle="1" w:styleId="61">
    <w:name w:val="标题 2 字符"/>
    <w:link w:val="2"/>
    <w:qFormat/>
    <w:uiPriority w:val="0"/>
    <w:rPr>
      <w:rFonts w:ascii="Cambria" w:hAnsi="Cambria" w:eastAsia="宋体" w:cs="Times New Roman"/>
      <w:b/>
      <w:bCs/>
      <w:kern w:val="2"/>
      <w:sz w:val="32"/>
      <w:szCs w:val="32"/>
    </w:rPr>
  </w:style>
  <w:style w:type="character" w:customStyle="1" w:styleId="62">
    <w:name w:val="未处理的提及1"/>
    <w:semiHidden/>
    <w:unhideWhenUsed/>
    <w:qFormat/>
    <w:uiPriority w:val="99"/>
    <w:rPr>
      <w:color w:val="605E5C"/>
      <w:shd w:val="clear" w:color="auto" w:fill="E1DFDD"/>
    </w:rPr>
  </w:style>
  <w:style w:type="paragraph" w:customStyle="1" w:styleId="63">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4">
    <w:name w:val="标题 4 字符"/>
    <w:link w:val="4"/>
    <w:semiHidden/>
    <w:qFormat/>
    <w:uiPriority w:val="0"/>
    <w:rPr>
      <w:rFonts w:ascii="Cambria" w:hAnsi="Cambria" w:eastAsia="宋体" w:cs="Times New Roman"/>
      <w:b/>
      <w:bCs/>
      <w:kern w:val="2"/>
      <w:sz w:val="28"/>
      <w:szCs w:val="28"/>
    </w:rPr>
  </w:style>
  <w:style w:type="table" w:customStyle="1" w:styleId="65">
    <w:name w:val="清单表 6 彩色1"/>
    <w:basedOn w:val="12"/>
    <w:qFormat/>
    <w:uiPriority w:val="51"/>
    <w:rPr>
      <w:color w:val="000000"/>
    </w:rPr>
    <w:tblPr>
      <w:tblBorders>
        <w:top w:val="single" w:color="000000" w:sz="4" w:space="0"/>
        <w:bottom w:val="single" w:color="000000" w:sz="4" w:space="0"/>
      </w:tblBorders>
    </w:tblPr>
    <w:tblStylePr w:type="firstRow">
      <w:rPr>
        <w:b/>
        <w:bCs/>
      </w:rPr>
      <w:tcPr>
        <w:tcBorders>
          <w:bottom w:val="single" w:color="000000" w:sz="4" w:space="0"/>
        </w:tcBorders>
      </w:tcPr>
    </w:tblStylePr>
    <w:tblStylePr w:type="lastRow">
      <w:rPr>
        <w:b/>
        <w:bCs/>
      </w:rPr>
      <w:tcPr>
        <w:tcBorders>
          <w:top w:val="double" w:color="000000" w:sz="4" w:space="0"/>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0" Type="http://schemas.openxmlformats.org/officeDocument/2006/relationships/fontTable" Target="fontTable.xml"/><Relationship Id="rId4" Type="http://schemas.openxmlformats.org/officeDocument/2006/relationships/header" Target="header2.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5.jpeg"/><Relationship Id="rId35" Type="http://schemas.openxmlformats.org/officeDocument/2006/relationships/image" Target="media/image4.png"/><Relationship Id="rId34" Type="http://schemas.openxmlformats.org/officeDocument/2006/relationships/image" Target="media/image3.png"/><Relationship Id="rId33" Type="http://schemas.openxmlformats.org/officeDocument/2006/relationships/image" Target="media/image2.png"/><Relationship Id="rId32" Type="http://schemas.openxmlformats.org/officeDocument/2006/relationships/image" Target="media/image1.png"/><Relationship Id="rId31" Type="http://schemas.openxmlformats.org/officeDocument/2006/relationships/theme" Target="theme/theme1.xml"/><Relationship Id="rId30" Type="http://schemas.openxmlformats.org/officeDocument/2006/relationships/footer" Target="footer14.xml"/><Relationship Id="rId3" Type="http://schemas.openxmlformats.org/officeDocument/2006/relationships/header" Target="header1.xml"/><Relationship Id="rId29" Type="http://schemas.openxmlformats.org/officeDocument/2006/relationships/footer" Target="footer13.xml"/><Relationship Id="rId28" Type="http://schemas.openxmlformats.org/officeDocument/2006/relationships/header" Target="header14.xml"/><Relationship Id="rId27" Type="http://schemas.openxmlformats.org/officeDocument/2006/relationships/header" Target="header13.xml"/><Relationship Id="rId26" Type="http://schemas.openxmlformats.org/officeDocument/2006/relationships/footer" Target="footer12.xml"/><Relationship Id="rId25" Type="http://schemas.openxmlformats.org/officeDocument/2006/relationships/footer" Target="footer11.xml"/><Relationship Id="rId24" Type="http://schemas.openxmlformats.org/officeDocument/2006/relationships/header" Target="header12.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26C9E6-1FBB-4736-91E8-4ECAFC8AA8E1}">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1312</Words>
  <Characters>1614</Characters>
  <Lines>139</Lines>
  <Paragraphs>39</Paragraphs>
  <TotalTime>9</TotalTime>
  <ScaleCrop>false</ScaleCrop>
  <LinksUpToDate>false</LinksUpToDate>
  <CharactersWithSpaces>1784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2017-08-14T18:37:00Z</dcterms:created>
  <dc:creator>ma</dc:creator>
  <cp:lastModifiedBy>张含笑</cp:lastModifiedBy>
  <cp:lastPrinted>2026-06-11T06:23:00Z</cp:lastPrinted>
  <dcterms:modified xsi:type="dcterms:W3CDTF">2026-07-07T01:56:03Z</dcterms:modified>
  <cp:revision>232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224D5047F34748D2B94D0A6F49F56E4C_13</vt:lpwstr>
  </property>
  <property fmtid="{D5CDD505-2E9C-101B-9397-08002B2CF9AE}" pid="4" name="KSOTemplateDocerSaveRecord">
    <vt:lpwstr>eyJoZGlkIjoiMzEzOGEwNzRlN2E2OTg2NTM3MGUwYjk0ZjgxMjU4ODQiLCJ1c2VySWQiOiIxNzg5MDkzNzAwIn0=</vt:lpwstr>
  </property>
</Properties>
</file>