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DA6CE">
      <w:pPr>
        <w:widowControl/>
        <w:kinsoku w:val="0"/>
        <w:autoSpaceDE w:val="0"/>
        <w:autoSpaceDN w:val="0"/>
        <w:adjustRightInd w:val="0"/>
        <w:snapToGrid w:val="0"/>
        <w:spacing w:line="360" w:lineRule="auto"/>
        <w:jc w:val="center"/>
        <w:textAlignment w:val="baseline"/>
        <w:rPr>
          <w:rFonts w:hint="eastAsia" w:ascii="黑体" w:hAnsi="黑体" w:eastAsia="黑体" w:cs="黑体"/>
          <w:snapToGrid w:val="0"/>
          <w:color w:val="000000"/>
          <w:spacing w:val="53"/>
          <w:kern w:val="0"/>
          <w:sz w:val="43"/>
          <w:szCs w:val="43"/>
        </w:rPr>
      </w:pPr>
      <w:bookmarkStart w:id="0" w:name="_Toc12887"/>
    </w:p>
    <w:p w14:paraId="68A50DB7">
      <w:pPr>
        <w:widowControl/>
        <w:kinsoku w:val="0"/>
        <w:autoSpaceDE w:val="0"/>
        <w:autoSpaceDN w:val="0"/>
        <w:adjustRightInd w:val="0"/>
        <w:snapToGrid w:val="0"/>
        <w:spacing w:line="360" w:lineRule="auto"/>
        <w:jc w:val="center"/>
        <w:textAlignment w:val="baseline"/>
        <w:rPr>
          <w:rFonts w:hint="eastAsia" w:ascii="黑体" w:hAnsi="黑体" w:eastAsia="黑体" w:cs="黑体"/>
          <w:snapToGrid w:val="0"/>
          <w:color w:val="000000"/>
          <w:spacing w:val="53"/>
          <w:kern w:val="0"/>
          <w:sz w:val="43"/>
          <w:szCs w:val="43"/>
        </w:rPr>
      </w:pPr>
    </w:p>
    <w:p w14:paraId="1F0C2071">
      <w:pPr>
        <w:widowControl/>
        <w:kinsoku w:val="0"/>
        <w:autoSpaceDE w:val="0"/>
        <w:autoSpaceDN w:val="0"/>
        <w:adjustRightInd w:val="0"/>
        <w:snapToGrid w:val="0"/>
        <w:spacing w:line="360" w:lineRule="auto"/>
        <w:jc w:val="center"/>
        <w:textAlignment w:val="baseline"/>
        <w:rPr>
          <w:rFonts w:hint="eastAsia" w:ascii="黑体" w:hAnsi="黑体" w:eastAsia="黑体" w:cs="黑体"/>
          <w:snapToGrid w:val="0"/>
          <w:color w:val="000000"/>
          <w:spacing w:val="53"/>
          <w:kern w:val="0"/>
          <w:sz w:val="43"/>
          <w:szCs w:val="43"/>
        </w:rPr>
      </w:pPr>
    </w:p>
    <w:p w14:paraId="2F45454D">
      <w:pPr>
        <w:widowControl/>
        <w:kinsoku w:val="0"/>
        <w:autoSpaceDE w:val="0"/>
        <w:autoSpaceDN w:val="0"/>
        <w:adjustRightInd w:val="0"/>
        <w:snapToGrid w:val="0"/>
        <w:spacing w:line="360" w:lineRule="auto"/>
        <w:jc w:val="center"/>
        <w:textAlignment w:val="baseline"/>
        <w:rPr>
          <w:rFonts w:hint="eastAsia" w:ascii="黑体" w:hAnsi="黑体" w:eastAsia="黑体" w:cs="黑体"/>
          <w:snapToGrid w:val="0"/>
          <w:color w:val="000000"/>
          <w:spacing w:val="53"/>
          <w:kern w:val="0"/>
          <w:sz w:val="43"/>
          <w:szCs w:val="43"/>
        </w:rPr>
      </w:pPr>
    </w:p>
    <w:p w14:paraId="0F8061EF">
      <w:pPr>
        <w:widowControl/>
        <w:kinsoku w:val="0"/>
        <w:autoSpaceDE w:val="0"/>
        <w:autoSpaceDN w:val="0"/>
        <w:adjustRightInd w:val="0"/>
        <w:snapToGrid w:val="0"/>
        <w:spacing w:line="360" w:lineRule="auto"/>
        <w:jc w:val="center"/>
        <w:textAlignment w:val="baseline"/>
        <w:rPr>
          <w:rFonts w:hint="eastAsia" w:ascii="黑体" w:hAnsi="黑体" w:eastAsia="黑体" w:cs="黑体"/>
          <w:snapToGrid w:val="0"/>
          <w:color w:val="000000"/>
          <w:spacing w:val="53"/>
          <w:kern w:val="0"/>
          <w:sz w:val="43"/>
          <w:szCs w:val="43"/>
        </w:rPr>
      </w:pPr>
    </w:p>
    <w:bookmarkEnd w:id="0"/>
    <w:p w14:paraId="29DD148E">
      <w:pPr>
        <w:widowControl/>
        <w:kinsoku w:val="0"/>
        <w:autoSpaceDE w:val="0"/>
        <w:autoSpaceDN w:val="0"/>
        <w:adjustRightInd w:val="0"/>
        <w:snapToGrid w:val="0"/>
        <w:spacing w:line="360" w:lineRule="auto"/>
        <w:jc w:val="center"/>
        <w:textAlignment w:val="baseline"/>
        <w:rPr>
          <w:rFonts w:hint="eastAsia" w:ascii="方正小标宋简体" w:hAnsi="方正小标宋简体" w:eastAsia="方正小标宋简体" w:cs="黑体"/>
          <w:snapToGrid w:val="0"/>
          <w:color w:val="000000"/>
          <w:spacing w:val="53"/>
          <w:kern w:val="0"/>
          <w:sz w:val="43"/>
          <w:szCs w:val="43"/>
        </w:rPr>
      </w:pPr>
      <w:r>
        <w:rPr>
          <w:rFonts w:ascii="方正小标宋简体" w:hAnsi="方正小标宋简体" w:eastAsia="方正小标宋简体" w:cs="黑体"/>
          <w:snapToGrid w:val="0"/>
          <w:color w:val="000000"/>
          <w:spacing w:val="53"/>
          <w:kern w:val="0"/>
          <w:sz w:val="43"/>
          <w:szCs w:val="43"/>
        </w:rPr>
        <w:t>黄河流域湖库氮磷阈值制定</w:t>
      </w:r>
    </w:p>
    <w:p w14:paraId="1D494DF2">
      <w:pPr>
        <w:widowControl/>
        <w:kinsoku w:val="0"/>
        <w:autoSpaceDE w:val="0"/>
        <w:autoSpaceDN w:val="0"/>
        <w:adjustRightInd w:val="0"/>
        <w:snapToGrid w:val="0"/>
        <w:spacing w:line="360" w:lineRule="auto"/>
        <w:jc w:val="center"/>
        <w:textAlignment w:val="baseline"/>
        <w:rPr>
          <w:rFonts w:hint="eastAsia" w:ascii="楷体_GB2312" w:hAnsi="方正小标宋简体" w:eastAsia="楷体_GB2312" w:cs="黑体"/>
          <w:snapToGrid w:val="0"/>
          <w:color w:val="000000"/>
          <w:spacing w:val="53"/>
          <w:kern w:val="0"/>
          <w:sz w:val="43"/>
          <w:szCs w:val="43"/>
        </w:rPr>
      </w:pPr>
      <w:r>
        <w:rPr>
          <w:rFonts w:ascii="方正小标宋简体" w:hAnsi="方正小标宋简体" w:eastAsia="方正小标宋简体" w:cs="黑体"/>
          <w:snapToGrid w:val="0"/>
          <w:color w:val="000000"/>
          <w:spacing w:val="53"/>
          <w:kern w:val="0"/>
          <w:sz w:val="43"/>
          <w:szCs w:val="43"/>
        </w:rPr>
        <w:t>技术指南</w:t>
      </w:r>
      <w:r>
        <w:rPr>
          <w:rFonts w:ascii="方正小标宋简体" w:hAnsi="方正小标宋简体" w:eastAsia="方正小标宋简体" w:cs="黑体"/>
          <w:snapToGrid w:val="0"/>
          <w:color w:val="000000"/>
          <w:spacing w:val="53"/>
          <w:kern w:val="0"/>
          <w:sz w:val="43"/>
          <w:szCs w:val="43"/>
        </w:rPr>
        <w:br w:type="textWrapping"/>
      </w:r>
      <w:r>
        <w:rPr>
          <w:rFonts w:hint="eastAsia" w:ascii="楷体_GB2312" w:hAnsi="方正小标宋简体" w:eastAsia="楷体_GB2312" w:cs="黑体"/>
          <w:snapToGrid w:val="0"/>
          <w:color w:val="000000"/>
          <w:spacing w:val="53"/>
          <w:kern w:val="0"/>
          <w:sz w:val="43"/>
          <w:szCs w:val="43"/>
        </w:rPr>
        <w:t>（征求意见稿）</w:t>
      </w:r>
    </w:p>
    <w:p w14:paraId="4B39C1D3">
      <w:pPr>
        <w:widowControl/>
        <w:kinsoku w:val="0"/>
        <w:autoSpaceDE w:val="0"/>
        <w:autoSpaceDN w:val="0"/>
        <w:adjustRightInd w:val="0"/>
        <w:snapToGrid w:val="0"/>
        <w:spacing w:line="360" w:lineRule="auto"/>
        <w:jc w:val="center"/>
        <w:textAlignment w:val="baseline"/>
        <w:rPr>
          <w:rFonts w:hint="eastAsia" w:ascii="方正小标宋简体" w:hAnsi="方正小标宋简体" w:eastAsia="方正小标宋简体" w:cs="黑体"/>
          <w:snapToGrid w:val="0"/>
          <w:color w:val="000000"/>
          <w:spacing w:val="53"/>
          <w:kern w:val="0"/>
          <w:sz w:val="43"/>
          <w:szCs w:val="43"/>
        </w:rPr>
      </w:pPr>
      <w:r>
        <w:rPr>
          <w:rFonts w:hint="eastAsia" w:ascii="方正小标宋简体" w:hAnsi="方正小标宋简体" w:eastAsia="方正小标宋简体" w:cs="黑体"/>
          <w:snapToGrid w:val="0"/>
          <w:color w:val="000000"/>
          <w:spacing w:val="53"/>
          <w:kern w:val="0"/>
          <w:sz w:val="43"/>
          <w:szCs w:val="43"/>
        </w:rPr>
        <w:t>编制说明</w:t>
      </w:r>
    </w:p>
    <w:p w14:paraId="01CD97BE">
      <w:pPr>
        <w:widowControl/>
        <w:kinsoku w:val="0"/>
        <w:autoSpaceDE w:val="0"/>
        <w:autoSpaceDN w:val="0"/>
        <w:adjustRightInd w:val="0"/>
        <w:snapToGrid w:val="0"/>
        <w:spacing w:line="360" w:lineRule="auto"/>
        <w:jc w:val="center"/>
        <w:textAlignment w:val="baseline"/>
        <w:rPr>
          <w:rFonts w:hint="eastAsia" w:ascii="黑体" w:hAnsi="黑体" w:eastAsia="黑体" w:cs="黑体"/>
          <w:snapToGrid w:val="0"/>
          <w:color w:val="000000"/>
          <w:spacing w:val="53"/>
          <w:kern w:val="0"/>
          <w:sz w:val="43"/>
          <w:szCs w:val="43"/>
        </w:rPr>
      </w:pPr>
    </w:p>
    <w:p w14:paraId="47431091">
      <w:pPr>
        <w:widowControl/>
        <w:kinsoku w:val="0"/>
        <w:autoSpaceDE w:val="0"/>
        <w:autoSpaceDN w:val="0"/>
        <w:adjustRightInd w:val="0"/>
        <w:snapToGrid w:val="0"/>
        <w:spacing w:line="360" w:lineRule="auto"/>
        <w:jc w:val="center"/>
        <w:textAlignment w:val="baseline"/>
        <w:rPr>
          <w:rFonts w:hint="eastAsia" w:ascii="黑体" w:hAnsi="黑体" w:eastAsia="黑体" w:cs="黑体"/>
          <w:snapToGrid w:val="0"/>
          <w:color w:val="000000"/>
          <w:spacing w:val="53"/>
          <w:kern w:val="0"/>
          <w:sz w:val="43"/>
          <w:szCs w:val="43"/>
        </w:rPr>
      </w:pPr>
    </w:p>
    <w:p w14:paraId="72DF5B86">
      <w:pPr>
        <w:widowControl/>
        <w:kinsoku w:val="0"/>
        <w:autoSpaceDE w:val="0"/>
        <w:autoSpaceDN w:val="0"/>
        <w:adjustRightInd w:val="0"/>
        <w:snapToGrid w:val="0"/>
        <w:spacing w:line="360" w:lineRule="auto"/>
        <w:jc w:val="center"/>
        <w:textAlignment w:val="baseline"/>
        <w:rPr>
          <w:rFonts w:hint="eastAsia" w:ascii="黑体" w:hAnsi="黑体" w:eastAsia="黑体" w:cs="黑体"/>
          <w:snapToGrid w:val="0"/>
          <w:color w:val="000000"/>
          <w:spacing w:val="53"/>
          <w:kern w:val="0"/>
          <w:sz w:val="43"/>
          <w:szCs w:val="43"/>
        </w:rPr>
      </w:pPr>
    </w:p>
    <w:p w14:paraId="595CC201">
      <w:pPr>
        <w:widowControl/>
        <w:kinsoku w:val="0"/>
        <w:autoSpaceDE w:val="0"/>
        <w:autoSpaceDN w:val="0"/>
        <w:adjustRightInd w:val="0"/>
        <w:snapToGrid w:val="0"/>
        <w:spacing w:line="360" w:lineRule="auto"/>
        <w:textAlignment w:val="baseline"/>
        <w:rPr>
          <w:rFonts w:hint="eastAsia" w:ascii="黑体" w:hAnsi="黑体" w:eastAsia="黑体" w:cs="黑体"/>
          <w:snapToGrid w:val="0"/>
          <w:color w:val="000000"/>
          <w:spacing w:val="53"/>
          <w:kern w:val="0"/>
          <w:sz w:val="43"/>
          <w:szCs w:val="43"/>
        </w:rPr>
      </w:pPr>
    </w:p>
    <w:p w14:paraId="568B9639">
      <w:pPr>
        <w:adjustRightInd w:val="0"/>
        <w:snapToGrid w:val="0"/>
        <w:jc w:val="center"/>
        <w:rPr>
          <w:rFonts w:hint="eastAsia" w:ascii="仿宋_GB2312" w:hAnsi="黑体" w:eastAsia="仿宋_GB2312" w:cs="黑体"/>
          <w:spacing w:val="-4"/>
          <w:position w:val="35"/>
          <w:sz w:val="31"/>
          <w:szCs w:val="31"/>
        </w:rPr>
      </w:pPr>
      <w:r>
        <w:rPr>
          <w:rFonts w:hint="eastAsia" w:ascii="仿宋_GB2312" w:hAnsi="黑体" w:eastAsia="仿宋_GB2312" w:cs="黑体"/>
          <w:spacing w:val="-4"/>
          <w:position w:val="35"/>
          <w:sz w:val="31"/>
          <w:szCs w:val="31"/>
        </w:rPr>
        <w:t>《黄河流域湖库氮磷阈值制定技术指南》</w:t>
      </w:r>
    </w:p>
    <w:p w14:paraId="440EFE32">
      <w:pPr>
        <w:adjustRightInd w:val="0"/>
        <w:snapToGrid w:val="0"/>
        <w:jc w:val="center"/>
        <w:rPr>
          <w:rFonts w:hint="eastAsia" w:ascii="仿宋_GB2312" w:hAnsi="黑体" w:eastAsia="仿宋_GB2312" w:cs="黑体"/>
          <w:spacing w:val="-4"/>
          <w:position w:val="35"/>
          <w:sz w:val="31"/>
          <w:szCs w:val="31"/>
        </w:rPr>
      </w:pPr>
      <w:r>
        <w:rPr>
          <w:rFonts w:hint="eastAsia" w:ascii="仿宋_GB2312" w:hAnsi="黑体" w:eastAsia="仿宋_GB2312" w:cs="黑体"/>
          <w:spacing w:val="-4"/>
          <w:position w:val="35"/>
          <w:sz w:val="31"/>
          <w:szCs w:val="31"/>
        </w:rPr>
        <w:t>编制组</w:t>
      </w:r>
    </w:p>
    <w:p w14:paraId="0E3A96D0">
      <w:pPr>
        <w:spacing w:line="360" w:lineRule="auto"/>
        <w:jc w:val="center"/>
        <w:rPr>
          <w:rFonts w:hint="eastAsia" w:ascii="仿宋_GB2312" w:hAnsi="黑体" w:eastAsia="仿宋_GB2312" w:cs="黑体"/>
          <w:spacing w:val="1"/>
          <w:sz w:val="31"/>
          <w:szCs w:val="31"/>
        </w:rPr>
        <w:sectPr>
          <w:pgSz w:w="11906" w:h="16838"/>
          <w:pgMar w:top="1440" w:right="1800" w:bottom="1440" w:left="1800" w:header="851" w:footer="992" w:gutter="0"/>
          <w:cols w:space="425" w:num="1"/>
          <w:docGrid w:type="lines" w:linePitch="312" w:charSpace="0"/>
        </w:sectPr>
      </w:pPr>
      <w:r>
        <w:rPr>
          <w:rFonts w:hint="eastAsia" w:ascii="仿宋_GB2312" w:hAnsi="黑体" w:eastAsia="仿宋_GB2312" w:cs="黑体"/>
          <w:spacing w:val="1"/>
          <w:sz w:val="31"/>
          <w:szCs w:val="31"/>
        </w:rPr>
        <w:t>2026年</w:t>
      </w:r>
      <w:r>
        <w:rPr>
          <w:rFonts w:hint="eastAsia" w:ascii="仿宋_GB2312" w:hAnsi="黑体" w:eastAsia="仿宋_GB2312" w:cs="黑体"/>
          <w:spacing w:val="-54"/>
          <w:sz w:val="31"/>
          <w:szCs w:val="31"/>
        </w:rPr>
        <w:t>7</w:t>
      </w:r>
      <w:r>
        <w:rPr>
          <w:rFonts w:hint="eastAsia" w:ascii="仿宋_GB2312" w:hAnsi="黑体" w:eastAsia="仿宋_GB2312" w:cs="黑体"/>
          <w:spacing w:val="1"/>
          <w:sz w:val="31"/>
          <w:szCs w:val="31"/>
        </w:rPr>
        <w:t>月</w:t>
      </w:r>
    </w:p>
    <w:p w14:paraId="78B86A73">
      <w:pPr>
        <w:adjustRightInd w:val="0"/>
        <w:snapToGrid w:val="0"/>
        <w:spacing w:line="360" w:lineRule="auto"/>
        <w:rPr>
          <w:rFonts w:hint="eastAsia" w:ascii="黑体" w:hAnsi="黑体" w:eastAsia="黑体" w:cs="黑体"/>
          <w:spacing w:val="8"/>
          <w:sz w:val="28"/>
          <w:szCs w:val="28"/>
        </w:rPr>
      </w:pPr>
      <w:r>
        <w:rPr>
          <w:rFonts w:ascii="黑体" w:hAnsi="黑体" w:eastAsia="黑体" w:cs="黑体"/>
          <w:spacing w:val="8"/>
          <w:sz w:val="28"/>
          <w:szCs w:val="28"/>
        </w:rPr>
        <w:t>项目名称：</w:t>
      </w:r>
      <w:r>
        <w:rPr>
          <w:rFonts w:hint="eastAsia" w:ascii="黑体" w:hAnsi="黑体" w:eastAsia="黑体" w:cs="黑体"/>
          <w:spacing w:val="8"/>
          <w:sz w:val="28"/>
          <w:szCs w:val="28"/>
        </w:rPr>
        <w:t>黄河流域湖库氮磷阈值制定技术指南</w:t>
      </w:r>
    </w:p>
    <w:p w14:paraId="55D8A328">
      <w:pPr>
        <w:adjustRightInd w:val="0"/>
        <w:snapToGrid w:val="0"/>
        <w:spacing w:line="360" w:lineRule="auto"/>
        <w:ind w:left="1480" w:hanging="1480" w:hangingChars="500"/>
        <w:rPr>
          <w:rFonts w:hint="eastAsia" w:ascii="黑体" w:hAnsi="黑体" w:eastAsia="黑体" w:cs="黑体"/>
          <w:spacing w:val="8"/>
          <w:sz w:val="28"/>
          <w:szCs w:val="28"/>
        </w:rPr>
      </w:pPr>
      <w:r>
        <w:rPr>
          <w:rFonts w:ascii="黑体" w:hAnsi="黑体" w:eastAsia="黑体" w:cs="黑体"/>
          <w:spacing w:val="8"/>
          <w:sz w:val="28"/>
          <w:szCs w:val="28"/>
        </w:rPr>
        <w:t>承担单位：</w:t>
      </w:r>
      <w:bookmarkStart w:id="1" w:name="_Hlk199746192"/>
      <w:r>
        <w:rPr>
          <w:rFonts w:hint="eastAsia" w:ascii="黑体" w:hAnsi="黑体" w:eastAsia="黑体" w:cs="黑体"/>
          <w:spacing w:val="8"/>
          <w:sz w:val="28"/>
          <w:szCs w:val="28"/>
        </w:rPr>
        <w:t>北京师范大学、</w:t>
      </w:r>
      <w:bookmarkEnd w:id="1"/>
      <w:r>
        <w:rPr>
          <w:rFonts w:hint="eastAsia" w:ascii="黑体" w:hAnsi="黑体" w:eastAsia="黑体" w:cs="黑体"/>
          <w:spacing w:val="8"/>
          <w:sz w:val="28"/>
          <w:szCs w:val="28"/>
        </w:rPr>
        <w:t>厦门大学、北京大学、中国环境科学研究院</w:t>
      </w:r>
    </w:p>
    <w:p w14:paraId="72F8063A">
      <w:pPr>
        <w:adjustRightInd w:val="0"/>
        <w:snapToGrid w:val="0"/>
        <w:spacing w:line="360" w:lineRule="auto"/>
        <w:rPr>
          <w:rFonts w:hint="eastAsia" w:ascii="黑体" w:hAnsi="黑体" w:eastAsia="黑体" w:cs="黑体"/>
          <w:spacing w:val="8"/>
          <w:sz w:val="28"/>
          <w:szCs w:val="28"/>
        </w:rPr>
      </w:pPr>
      <w:r>
        <w:rPr>
          <w:rFonts w:hint="eastAsia" w:ascii="黑体" w:hAnsi="黑体" w:eastAsia="黑体" w:cs="黑体"/>
          <w:spacing w:val="8"/>
          <w:sz w:val="28"/>
          <w:szCs w:val="28"/>
        </w:rPr>
        <w:t>项目联系人：张亚捷</w:t>
      </w:r>
    </w:p>
    <w:p w14:paraId="3013D0F6">
      <w:pPr>
        <w:adjustRightInd w:val="0"/>
        <w:snapToGrid w:val="0"/>
        <w:spacing w:line="360" w:lineRule="auto"/>
        <w:rPr>
          <w:rFonts w:hint="eastAsia" w:ascii="黑体" w:hAnsi="黑体" w:eastAsia="黑体" w:cs="黑体"/>
          <w:spacing w:val="8"/>
          <w:sz w:val="28"/>
          <w:szCs w:val="28"/>
        </w:rPr>
      </w:pPr>
      <w:r>
        <w:rPr>
          <w:rFonts w:hint="eastAsia" w:ascii="黑体" w:hAnsi="黑体" w:eastAsia="黑体" w:cs="黑体"/>
          <w:spacing w:val="8"/>
          <w:sz w:val="28"/>
          <w:szCs w:val="28"/>
        </w:rPr>
        <w:t>编制组负责人：张含笑</w:t>
      </w:r>
    </w:p>
    <w:p w14:paraId="03444ACF">
      <w:pPr>
        <w:adjustRightInd w:val="0"/>
        <w:snapToGrid w:val="0"/>
        <w:spacing w:line="360" w:lineRule="auto"/>
        <w:rPr>
          <w:rFonts w:hint="eastAsia" w:ascii="黑体" w:hAnsi="黑体" w:eastAsia="黑体" w:cs="黑体"/>
          <w:spacing w:val="8"/>
          <w:sz w:val="28"/>
          <w:szCs w:val="28"/>
        </w:rPr>
      </w:pPr>
      <w:r>
        <w:rPr>
          <w:rFonts w:ascii="黑体" w:hAnsi="黑体" w:eastAsia="黑体" w:cs="黑体"/>
          <w:spacing w:val="8"/>
          <w:sz w:val="28"/>
          <w:szCs w:val="28"/>
        </w:rPr>
        <w:t>编制组联系人：</w:t>
      </w:r>
      <w:r>
        <w:rPr>
          <w:rFonts w:hint="eastAsia" w:ascii="黑体" w:hAnsi="黑体" w:eastAsia="黑体" w:cs="黑体"/>
          <w:spacing w:val="8"/>
          <w:sz w:val="28"/>
          <w:szCs w:val="28"/>
        </w:rPr>
        <w:t>张含笑</w:t>
      </w:r>
    </w:p>
    <w:p w14:paraId="6DF687B7">
      <w:pPr>
        <w:adjustRightInd w:val="0"/>
        <w:snapToGrid w:val="0"/>
        <w:spacing w:line="360" w:lineRule="auto"/>
        <w:rPr>
          <w:rFonts w:hint="eastAsia" w:ascii="黑体" w:hAnsi="黑体" w:eastAsia="黑体" w:cs="黑体"/>
          <w:spacing w:val="8"/>
          <w:sz w:val="28"/>
          <w:szCs w:val="28"/>
        </w:rPr>
      </w:pPr>
    </w:p>
    <w:p w14:paraId="25C1713E">
      <w:pPr>
        <w:adjustRightInd w:val="0"/>
        <w:snapToGrid w:val="0"/>
        <w:spacing w:line="360" w:lineRule="auto"/>
        <w:rPr>
          <w:rFonts w:hint="eastAsia" w:ascii="黑体" w:hAnsi="黑体" w:eastAsia="黑体" w:cs="黑体"/>
          <w:spacing w:val="8"/>
          <w:sz w:val="28"/>
          <w:szCs w:val="28"/>
        </w:rPr>
      </w:pPr>
    </w:p>
    <w:p w14:paraId="09222860">
      <w:pPr>
        <w:adjustRightInd w:val="0"/>
        <w:snapToGrid w:val="0"/>
        <w:spacing w:line="360" w:lineRule="auto"/>
        <w:rPr>
          <w:rFonts w:hint="eastAsia" w:ascii="黑体" w:hAnsi="黑体" w:eastAsia="黑体" w:cs="黑体"/>
          <w:spacing w:val="8"/>
          <w:sz w:val="28"/>
          <w:szCs w:val="28"/>
        </w:rPr>
      </w:pPr>
    </w:p>
    <w:p w14:paraId="7E739DF9">
      <w:pPr>
        <w:adjustRightInd w:val="0"/>
        <w:snapToGrid w:val="0"/>
        <w:spacing w:line="360" w:lineRule="auto"/>
        <w:rPr>
          <w:rFonts w:hint="eastAsia" w:ascii="黑体" w:hAnsi="黑体" w:eastAsia="黑体" w:cs="黑体"/>
          <w:spacing w:val="8"/>
          <w:sz w:val="28"/>
          <w:szCs w:val="28"/>
        </w:rPr>
      </w:pPr>
    </w:p>
    <w:p w14:paraId="34805504">
      <w:pPr>
        <w:adjustRightInd w:val="0"/>
        <w:snapToGrid w:val="0"/>
        <w:spacing w:line="360" w:lineRule="auto"/>
        <w:rPr>
          <w:rFonts w:hint="eastAsia" w:ascii="黑体" w:hAnsi="黑体" w:eastAsia="黑体" w:cs="黑体"/>
          <w:spacing w:val="8"/>
          <w:sz w:val="28"/>
          <w:szCs w:val="28"/>
        </w:rPr>
      </w:pPr>
    </w:p>
    <w:p w14:paraId="3A4A4229">
      <w:pPr>
        <w:adjustRightInd w:val="0"/>
        <w:snapToGrid w:val="0"/>
        <w:spacing w:line="360" w:lineRule="auto"/>
        <w:rPr>
          <w:rFonts w:hint="eastAsia" w:ascii="黑体" w:hAnsi="黑体" w:eastAsia="黑体" w:cs="黑体"/>
          <w:spacing w:val="8"/>
          <w:sz w:val="28"/>
          <w:szCs w:val="28"/>
        </w:rPr>
      </w:pPr>
    </w:p>
    <w:p w14:paraId="4DD8F237">
      <w:pPr>
        <w:adjustRightInd w:val="0"/>
        <w:snapToGrid w:val="0"/>
        <w:spacing w:line="360" w:lineRule="auto"/>
        <w:rPr>
          <w:rFonts w:hint="eastAsia" w:ascii="黑体" w:hAnsi="黑体" w:eastAsia="黑体" w:cs="黑体"/>
          <w:spacing w:val="8"/>
          <w:sz w:val="28"/>
          <w:szCs w:val="28"/>
        </w:rPr>
      </w:pPr>
    </w:p>
    <w:p w14:paraId="16D10139">
      <w:pPr>
        <w:adjustRightInd w:val="0"/>
        <w:snapToGrid w:val="0"/>
        <w:spacing w:line="360" w:lineRule="auto"/>
        <w:rPr>
          <w:rFonts w:hint="eastAsia" w:ascii="黑体" w:hAnsi="黑体" w:eastAsia="黑体" w:cs="黑体"/>
          <w:spacing w:val="8"/>
          <w:sz w:val="28"/>
          <w:szCs w:val="28"/>
        </w:rPr>
      </w:pPr>
    </w:p>
    <w:p w14:paraId="6B28A7FE">
      <w:pPr>
        <w:adjustRightInd w:val="0"/>
        <w:snapToGrid w:val="0"/>
        <w:spacing w:line="360" w:lineRule="auto"/>
        <w:rPr>
          <w:rFonts w:hint="eastAsia" w:ascii="黑体" w:hAnsi="黑体" w:eastAsia="黑体" w:cs="黑体"/>
          <w:spacing w:val="8"/>
          <w:sz w:val="28"/>
          <w:szCs w:val="28"/>
        </w:rPr>
      </w:pPr>
    </w:p>
    <w:p w14:paraId="11C1B5A2">
      <w:pPr>
        <w:adjustRightInd w:val="0"/>
        <w:snapToGrid w:val="0"/>
        <w:spacing w:line="360" w:lineRule="auto"/>
        <w:rPr>
          <w:rFonts w:hint="eastAsia" w:ascii="黑体" w:hAnsi="黑体" w:eastAsia="黑体" w:cs="黑体"/>
          <w:spacing w:val="8"/>
          <w:sz w:val="28"/>
          <w:szCs w:val="28"/>
        </w:rPr>
      </w:pPr>
    </w:p>
    <w:p w14:paraId="4F61D327">
      <w:pPr>
        <w:adjustRightInd w:val="0"/>
        <w:snapToGrid w:val="0"/>
        <w:spacing w:line="360" w:lineRule="auto"/>
        <w:rPr>
          <w:rFonts w:hint="eastAsia" w:ascii="黑体" w:hAnsi="黑体" w:eastAsia="黑体" w:cs="黑体"/>
          <w:spacing w:val="8"/>
          <w:sz w:val="28"/>
          <w:szCs w:val="28"/>
        </w:rPr>
      </w:pPr>
    </w:p>
    <w:p w14:paraId="76EE6E0F">
      <w:pPr>
        <w:adjustRightInd w:val="0"/>
        <w:snapToGrid w:val="0"/>
        <w:spacing w:line="360" w:lineRule="auto"/>
        <w:rPr>
          <w:rFonts w:hint="eastAsia" w:ascii="黑体" w:hAnsi="黑体" w:eastAsia="黑体" w:cs="黑体"/>
          <w:spacing w:val="8"/>
          <w:sz w:val="28"/>
          <w:szCs w:val="28"/>
        </w:rPr>
      </w:pPr>
    </w:p>
    <w:p w14:paraId="34012F0F">
      <w:pPr>
        <w:adjustRightInd w:val="0"/>
        <w:snapToGrid w:val="0"/>
        <w:spacing w:line="360" w:lineRule="auto"/>
        <w:rPr>
          <w:rFonts w:hint="eastAsia" w:ascii="黑体" w:hAnsi="黑体" w:eastAsia="黑体" w:cs="黑体"/>
          <w:spacing w:val="8"/>
          <w:sz w:val="28"/>
          <w:szCs w:val="28"/>
        </w:rPr>
      </w:pPr>
    </w:p>
    <w:p w14:paraId="2C7724CC">
      <w:pPr>
        <w:adjustRightInd w:val="0"/>
        <w:snapToGrid w:val="0"/>
        <w:spacing w:line="360" w:lineRule="auto"/>
        <w:rPr>
          <w:rFonts w:hint="eastAsia" w:ascii="黑体" w:hAnsi="黑体" w:eastAsia="黑体" w:cs="黑体"/>
          <w:spacing w:val="8"/>
          <w:sz w:val="28"/>
          <w:szCs w:val="28"/>
        </w:rPr>
      </w:pPr>
    </w:p>
    <w:p w14:paraId="71CB717C">
      <w:pPr>
        <w:adjustRightInd w:val="0"/>
        <w:snapToGrid w:val="0"/>
        <w:spacing w:line="360" w:lineRule="auto"/>
        <w:rPr>
          <w:rFonts w:hint="eastAsia" w:ascii="黑体" w:hAnsi="黑体" w:eastAsia="黑体" w:cs="黑体"/>
          <w:spacing w:val="8"/>
          <w:sz w:val="28"/>
          <w:szCs w:val="28"/>
        </w:rPr>
      </w:pPr>
    </w:p>
    <w:p w14:paraId="24CD97E9">
      <w:pPr>
        <w:adjustRightInd w:val="0"/>
        <w:snapToGrid w:val="0"/>
        <w:spacing w:line="360" w:lineRule="auto"/>
        <w:rPr>
          <w:rFonts w:hint="eastAsia" w:ascii="黑体" w:hAnsi="黑体" w:eastAsia="黑体" w:cs="黑体"/>
          <w:spacing w:val="8"/>
          <w:sz w:val="28"/>
          <w:szCs w:val="28"/>
        </w:rPr>
      </w:pPr>
    </w:p>
    <w:p w14:paraId="77DADC25">
      <w:pPr>
        <w:adjustRightInd w:val="0"/>
        <w:snapToGrid w:val="0"/>
        <w:spacing w:line="360" w:lineRule="auto"/>
        <w:rPr>
          <w:rFonts w:hint="eastAsia" w:ascii="黑体" w:hAnsi="黑体" w:eastAsia="黑体" w:cs="黑体"/>
          <w:spacing w:val="8"/>
          <w:sz w:val="28"/>
          <w:szCs w:val="28"/>
        </w:rPr>
        <w:sectPr>
          <w:footerReference r:id="rId3" w:type="default"/>
          <w:pgSz w:w="11906" w:h="16838"/>
          <w:pgMar w:top="1440" w:right="1800" w:bottom="1440" w:left="1800" w:header="851" w:footer="992" w:gutter="0"/>
          <w:cols w:space="425" w:num="1"/>
          <w:docGrid w:type="lines" w:linePitch="312" w:charSpace="0"/>
        </w:sectPr>
      </w:pPr>
    </w:p>
    <w:p w14:paraId="3A7D1D13">
      <w:pPr>
        <w:jc w:val="center"/>
        <w:rPr>
          <w:rFonts w:hint="eastAsia" w:ascii="黑体" w:hAnsi="黑体" w:eastAsia="黑体" w:cs="黑体"/>
          <w:sz w:val="32"/>
          <w:szCs w:val="32"/>
        </w:rPr>
      </w:pPr>
      <w:r>
        <w:rPr>
          <w:rFonts w:hint="eastAsia" w:ascii="黑体" w:hAnsi="黑体" w:eastAsia="黑体" w:cs="黑体"/>
          <w:sz w:val="32"/>
          <w:szCs w:val="32"/>
        </w:rPr>
        <w:t>目  录</w:t>
      </w:r>
    </w:p>
    <w:p w14:paraId="52CF3193">
      <w:pPr>
        <w:pStyle w:val="10"/>
        <w:tabs>
          <w:tab w:val="right" w:leader="dot" w:pos="8296"/>
        </w:tabs>
        <w:rPr>
          <w:rFonts w:hint="eastAsia" w:ascii="黑体" w:hAnsi="黑体" w:eastAsia="黑体" w:cs="黑体"/>
          <w:spacing w:val="8"/>
          <w:sz w:val="28"/>
          <w:szCs w:val="28"/>
        </w:rPr>
      </w:pPr>
    </w:p>
    <w:p w14:paraId="1DECB4D7">
      <w:pPr>
        <w:pStyle w:val="10"/>
        <w:tabs>
          <w:tab w:val="right" w:leader="dot" w:pos="8296"/>
        </w:tabs>
        <w:spacing w:line="360" w:lineRule="auto"/>
        <w:rPr>
          <w:rFonts w:ascii="Times New Roman"/>
          <w:sz w:val="24"/>
          <w14:ligatures w14:val="standardContextual"/>
        </w:rPr>
      </w:pPr>
      <w:r>
        <w:rPr>
          <w:rFonts w:hint="eastAsia" w:ascii="仿宋" w:hAnsi="仿宋" w:eastAsia="仿宋" w:cs="黑体"/>
          <w:spacing w:val="8"/>
          <w:sz w:val="28"/>
          <w:szCs w:val="28"/>
        </w:rPr>
        <w:fldChar w:fldCharType="begin"/>
      </w:r>
      <w:r>
        <w:rPr>
          <w:rFonts w:hint="eastAsia" w:ascii="仿宋" w:hAnsi="仿宋" w:eastAsia="仿宋" w:cs="黑体"/>
          <w:spacing w:val="8"/>
          <w:sz w:val="28"/>
          <w:szCs w:val="28"/>
        </w:rPr>
        <w:instrText xml:space="preserve"> TOC \o "1-1" \h \z \u </w:instrText>
      </w:r>
      <w:r>
        <w:rPr>
          <w:rFonts w:hint="eastAsia" w:ascii="仿宋" w:hAnsi="仿宋" w:eastAsia="仿宋" w:cs="黑体"/>
          <w:spacing w:val="8"/>
          <w:sz w:val="28"/>
          <w:szCs w:val="28"/>
        </w:rPr>
        <w:fldChar w:fldCharType="separate"/>
      </w:r>
      <w:r>
        <w:fldChar w:fldCharType="begin"/>
      </w:r>
      <w:r>
        <w:instrText xml:space="preserve"> HYPERLINK \l "_Toc232429219" </w:instrText>
      </w:r>
      <w:r>
        <w:fldChar w:fldCharType="separate"/>
      </w:r>
      <w:r>
        <w:rPr>
          <w:rStyle w:val="18"/>
          <w:rFonts w:ascii="Times New Roman"/>
          <w:kern w:val="0"/>
          <w:sz w:val="24"/>
        </w:rPr>
        <w:t>1 项目背景与工作简况</w:t>
      </w:r>
      <w:r>
        <w:rPr>
          <w:rFonts w:ascii="Times New Roman"/>
          <w:sz w:val="24"/>
        </w:rPr>
        <w:tab/>
      </w:r>
      <w:r>
        <w:rPr>
          <w:rFonts w:ascii="Times New Roman"/>
          <w:sz w:val="24"/>
        </w:rPr>
        <w:fldChar w:fldCharType="begin"/>
      </w:r>
      <w:r>
        <w:rPr>
          <w:rFonts w:ascii="Times New Roman"/>
          <w:sz w:val="24"/>
        </w:rPr>
        <w:instrText xml:space="preserve"> PAGEREF _Toc232429219 \h </w:instrText>
      </w:r>
      <w:r>
        <w:rPr>
          <w:rFonts w:ascii="Times New Roman"/>
          <w:sz w:val="24"/>
        </w:rPr>
        <w:fldChar w:fldCharType="separate"/>
      </w:r>
      <w:r>
        <w:rPr>
          <w:rFonts w:ascii="Times New Roman"/>
          <w:sz w:val="24"/>
        </w:rPr>
        <w:t>1</w:t>
      </w:r>
      <w:r>
        <w:rPr>
          <w:rFonts w:ascii="Times New Roman"/>
          <w:sz w:val="24"/>
        </w:rPr>
        <w:fldChar w:fldCharType="end"/>
      </w:r>
      <w:r>
        <w:rPr>
          <w:rFonts w:ascii="Times New Roman"/>
          <w:sz w:val="24"/>
        </w:rPr>
        <w:fldChar w:fldCharType="end"/>
      </w:r>
    </w:p>
    <w:p w14:paraId="1CE2708D">
      <w:pPr>
        <w:pStyle w:val="10"/>
        <w:tabs>
          <w:tab w:val="right" w:leader="dot" w:pos="8296"/>
        </w:tabs>
        <w:spacing w:line="360" w:lineRule="auto"/>
        <w:rPr>
          <w:rFonts w:ascii="Times New Roman"/>
          <w:sz w:val="24"/>
          <w14:ligatures w14:val="standardContextual"/>
        </w:rPr>
      </w:pPr>
      <w:r>
        <w:fldChar w:fldCharType="begin"/>
      </w:r>
      <w:r>
        <w:instrText xml:space="preserve"> HYPERLINK \l "_Toc232429220" </w:instrText>
      </w:r>
      <w:r>
        <w:fldChar w:fldCharType="separate"/>
      </w:r>
      <w:r>
        <w:rPr>
          <w:rStyle w:val="18"/>
          <w:rFonts w:ascii="Times New Roman"/>
          <w:kern w:val="0"/>
          <w:sz w:val="24"/>
        </w:rPr>
        <w:t>2 标准制订原则</w:t>
      </w:r>
      <w:r>
        <w:rPr>
          <w:rFonts w:ascii="Times New Roman"/>
          <w:sz w:val="24"/>
        </w:rPr>
        <w:tab/>
      </w:r>
      <w:r>
        <w:rPr>
          <w:rFonts w:ascii="Times New Roman"/>
          <w:sz w:val="24"/>
        </w:rPr>
        <w:fldChar w:fldCharType="begin"/>
      </w:r>
      <w:r>
        <w:rPr>
          <w:rFonts w:ascii="Times New Roman"/>
          <w:sz w:val="24"/>
        </w:rPr>
        <w:instrText xml:space="preserve"> PAGEREF _Toc232429220 \h </w:instrText>
      </w:r>
      <w:r>
        <w:rPr>
          <w:rFonts w:ascii="Times New Roman"/>
          <w:sz w:val="24"/>
        </w:rPr>
        <w:fldChar w:fldCharType="separate"/>
      </w:r>
      <w:r>
        <w:rPr>
          <w:rFonts w:ascii="Times New Roman"/>
          <w:sz w:val="24"/>
        </w:rPr>
        <w:t>2</w:t>
      </w:r>
      <w:r>
        <w:rPr>
          <w:rFonts w:ascii="Times New Roman"/>
          <w:sz w:val="24"/>
        </w:rPr>
        <w:fldChar w:fldCharType="end"/>
      </w:r>
      <w:r>
        <w:rPr>
          <w:rFonts w:ascii="Times New Roman"/>
          <w:sz w:val="24"/>
        </w:rPr>
        <w:fldChar w:fldCharType="end"/>
      </w:r>
    </w:p>
    <w:p w14:paraId="36049FE6">
      <w:pPr>
        <w:pStyle w:val="10"/>
        <w:tabs>
          <w:tab w:val="right" w:leader="dot" w:pos="8296"/>
        </w:tabs>
        <w:spacing w:line="360" w:lineRule="auto"/>
        <w:rPr>
          <w:rFonts w:ascii="Times New Roman"/>
          <w:sz w:val="24"/>
          <w14:ligatures w14:val="standardContextual"/>
        </w:rPr>
      </w:pPr>
      <w:r>
        <w:fldChar w:fldCharType="begin"/>
      </w:r>
      <w:r>
        <w:instrText xml:space="preserve"> HYPERLINK \l "_Toc232429221" </w:instrText>
      </w:r>
      <w:r>
        <w:fldChar w:fldCharType="separate"/>
      </w:r>
      <w:r>
        <w:rPr>
          <w:rStyle w:val="18"/>
          <w:rFonts w:ascii="Times New Roman"/>
          <w:kern w:val="0"/>
          <w:sz w:val="24"/>
        </w:rPr>
        <w:t>3 标准的主要内容及依据</w:t>
      </w:r>
      <w:r>
        <w:rPr>
          <w:rFonts w:ascii="Times New Roman"/>
          <w:sz w:val="24"/>
        </w:rPr>
        <w:tab/>
      </w:r>
      <w:r>
        <w:rPr>
          <w:rFonts w:ascii="Times New Roman"/>
          <w:sz w:val="24"/>
        </w:rPr>
        <w:fldChar w:fldCharType="begin"/>
      </w:r>
      <w:r>
        <w:rPr>
          <w:rFonts w:ascii="Times New Roman"/>
          <w:sz w:val="24"/>
        </w:rPr>
        <w:instrText xml:space="preserve"> PAGEREF _Toc232429221 \h </w:instrText>
      </w:r>
      <w:r>
        <w:rPr>
          <w:rFonts w:ascii="Times New Roman"/>
          <w:sz w:val="24"/>
        </w:rPr>
        <w:fldChar w:fldCharType="separate"/>
      </w:r>
      <w:r>
        <w:rPr>
          <w:rFonts w:ascii="Times New Roman"/>
          <w:sz w:val="24"/>
        </w:rPr>
        <w:t>3</w:t>
      </w:r>
      <w:r>
        <w:rPr>
          <w:rFonts w:ascii="Times New Roman"/>
          <w:sz w:val="24"/>
        </w:rPr>
        <w:fldChar w:fldCharType="end"/>
      </w:r>
      <w:r>
        <w:rPr>
          <w:rFonts w:ascii="Times New Roman"/>
          <w:sz w:val="24"/>
        </w:rPr>
        <w:fldChar w:fldCharType="end"/>
      </w:r>
    </w:p>
    <w:p w14:paraId="6A7709C0">
      <w:pPr>
        <w:pStyle w:val="10"/>
        <w:tabs>
          <w:tab w:val="right" w:leader="dot" w:pos="8296"/>
        </w:tabs>
        <w:spacing w:line="360" w:lineRule="auto"/>
        <w:rPr>
          <w:rFonts w:ascii="Times New Roman"/>
          <w:sz w:val="24"/>
          <w14:ligatures w14:val="standardContextual"/>
        </w:rPr>
      </w:pPr>
      <w:r>
        <w:fldChar w:fldCharType="begin"/>
      </w:r>
      <w:r>
        <w:instrText xml:space="preserve"> HYPERLINK \l "_Toc232429222" </w:instrText>
      </w:r>
      <w:r>
        <w:fldChar w:fldCharType="separate"/>
      </w:r>
      <w:r>
        <w:rPr>
          <w:rStyle w:val="18"/>
          <w:rFonts w:ascii="Times New Roman"/>
          <w:kern w:val="0"/>
          <w:sz w:val="24"/>
        </w:rPr>
        <w:t>4 主要实验验证与试行情况</w:t>
      </w:r>
      <w:r>
        <w:rPr>
          <w:rFonts w:ascii="Times New Roman"/>
          <w:sz w:val="24"/>
        </w:rPr>
        <w:tab/>
      </w:r>
      <w:r>
        <w:rPr>
          <w:rFonts w:ascii="Times New Roman"/>
          <w:sz w:val="24"/>
        </w:rPr>
        <w:fldChar w:fldCharType="begin"/>
      </w:r>
      <w:r>
        <w:rPr>
          <w:rFonts w:ascii="Times New Roman"/>
          <w:sz w:val="24"/>
        </w:rPr>
        <w:instrText xml:space="preserve"> PAGEREF _Toc232429222 \h </w:instrText>
      </w:r>
      <w:r>
        <w:rPr>
          <w:rFonts w:ascii="Times New Roman"/>
          <w:sz w:val="24"/>
        </w:rPr>
        <w:fldChar w:fldCharType="separate"/>
      </w:r>
      <w:r>
        <w:rPr>
          <w:rFonts w:ascii="Times New Roman"/>
          <w:sz w:val="24"/>
        </w:rPr>
        <w:t>7</w:t>
      </w:r>
      <w:r>
        <w:rPr>
          <w:rFonts w:ascii="Times New Roman"/>
          <w:sz w:val="24"/>
        </w:rPr>
        <w:fldChar w:fldCharType="end"/>
      </w:r>
      <w:r>
        <w:rPr>
          <w:rFonts w:ascii="Times New Roman"/>
          <w:sz w:val="24"/>
        </w:rPr>
        <w:fldChar w:fldCharType="end"/>
      </w:r>
    </w:p>
    <w:p w14:paraId="73BE0ABA">
      <w:pPr>
        <w:pStyle w:val="10"/>
        <w:tabs>
          <w:tab w:val="right" w:leader="dot" w:pos="8296"/>
        </w:tabs>
        <w:spacing w:line="360" w:lineRule="auto"/>
        <w:rPr>
          <w:rFonts w:ascii="Times New Roman"/>
          <w:sz w:val="24"/>
          <w14:ligatures w14:val="standardContextual"/>
        </w:rPr>
      </w:pPr>
      <w:r>
        <w:fldChar w:fldCharType="begin"/>
      </w:r>
      <w:r>
        <w:instrText xml:space="preserve"> HYPERLINK \l "_Toc232429223" </w:instrText>
      </w:r>
      <w:r>
        <w:fldChar w:fldCharType="separate"/>
      </w:r>
      <w:r>
        <w:rPr>
          <w:rStyle w:val="18"/>
          <w:rFonts w:ascii="Times New Roman"/>
          <w:kern w:val="0"/>
          <w:sz w:val="24"/>
        </w:rPr>
        <w:t>5 与国内外相关标准的关系分析</w:t>
      </w:r>
      <w:r>
        <w:rPr>
          <w:rFonts w:ascii="Times New Roman"/>
          <w:sz w:val="24"/>
        </w:rPr>
        <w:tab/>
      </w:r>
      <w:r>
        <w:rPr>
          <w:rFonts w:ascii="Times New Roman"/>
          <w:sz w:val="24"/>
        </w:rPr>
        <w:fldChar w:fldCharType="begin"/>
      </w:r>
      <w:r>
        <w:rPr>
          <w:rFonts w:ascii="Times New Roman"/>
          <w:sz w:val="24"/>
        </w:rPr>
        <w:instrText xml:space="preserve"> PAGEREF _Toc232429223 \h </w:instrText>
      </w:r>
      <w:r>
        <w:rPr>
          <w:rFonts w:ascii="Times New Roman"/>
          <w:sz w:val="24"/>
        </w:rPr>
        <w:fldChar w:fldCharType="separate"/>
      </w:r>
      <w:r>
        <w:rPr>
          <w:rFonts w:ascii="Times New Roman"/>
          <w:sz w:val="24"/>
        </w:rPr>
        <w:t>9</w:t>
      </w:r>
      <w:r>
        <w:rPr>
          <w:rFonts w:ascii="Times New Roman"/>
          <w:sz w:val="24"/>
        </w:rPr>
        <w:fldChar w:fldCharType="end"/>
      </w:r>
      <w:r>
        <w:rPr>
          <w:rFonts w:ascii="Times New Roman"/>
          <w:sz w:val="24"/>
        </w:rPr>
        <w:fldChar w:fldCharType="end"/>
      </w:r>
    </w:p>
    <w:p w14:paraId="5CAE64B3">
      <w:pPr>
        <w:pStyle w:val="10"/>
        <w:tabs>
          <w:tab w:val="right" w:leader="dot" w:pos="8296"/>
        </w:tabs>
        <w:spacing w:line="360" w:lineRule="auto"/>
        <w:rPr>
          <w:rFonts w:ascii="Times New Roman"/>
          <w:sz w:val="24"/>
          <w14:ligatures w14:val="standardContextual"/>
        </w:rPr>
      </w:pPr>
      <w:r>
        <w:fldChar w:fldCharType="begin"/>
      </w:r>
      <w:r>
        <w:instrText xml:space="preserve"> HYPERLINK \l "_Toc232429224" </w:instrText>
      </w:r>
      <w:r>
        <w:fldChar w:fldCharType="separate"/>
      </w:r>
      <w:r>
        <w:rPr>
          <w:rStyle w:val="18"/>
          <w:rFonts w:ascii="Times New Roman"/>
          <w:kern w:val="0"/>
          <w:sz w:val="24"/>
        </w:rPr>
        <w:t>6 标准实施的效益分析</w:t>
      </w:r>
      <w:r>
        <w:rPr>
          <w:rFonts w:ascii="Times New Roman"/>
          <w:sz w:val="24"/>
        </w:rPr>
        <w:tab/>
      </w:r>
      <w:r>
        <w:rPr>
          <w:rFonts w:ascii="Times New Roman"/>
          <w:sz w:val="24"/>
        </w:rPr>
        <w:fldChar w:fldCharType="begin"/>
      </w:r>
      <w:r>
        <w:rPr>
          <w:rFonts w:ascii="Times New Roman"/>
          <w:sz w:val="24"/>
        </w:rPr>
        <w:instrText xml:space="preserve"> PAGEREF _Toc232429224 \h </w:instrText>
      </w:r>
      <w:r>
        <w:rPr>
          <w:rFonts w:ascii="Times New Roman"/>
          <w:sz w:val="24"/>
        </w:rPr>
        <w:fldChar w:fldCharType="separate"/>
      </w:r>
      <w:r>
        <w:rPr>
          <w:rFonts w:ascii="Times New Roman"/>
          <w:sz w:val="24"/>
        </w:rPr>
        <w:t>17</w:t>
      </w:r>
      <w:r>
        <w:rPr>
          <w:rFonts w:ascii="Times New Roman"/>
          <w:sz w:val="24"/>
        </w:rPr>
        <w:fldChar w:fldCharType="end"/>
      </w:r>
      <w:r>
        <w:rPr>
          <w:rFonts w:ascii="Times New Roman"/>
          <w:sz w:val="24"/>
        </w:rPr>
        <w:fldChar w:fldCharType="end"/>
      </w:r>
    </w:p>
    <w:p w14:paraId="295A0CDB">
      <w:pPr>
        <w:pStyle w:val="10"/>
        <w:tabs>
          <w:tab w:val="right" w:leader="dot" w:pos="8296"/>
        </w:tabs>
        <w:spacing w:line="360" w:lineRule="auto"/>
        <w:rPr>
          <w:rFonts w:ascii="Times New Roman"/>
          <w:sz w:val="24"/>
          <w14:ligatures w14:val="standardContextual"/>
        </w:rPr>
      </w:pPr>
      <w:r>
        <w:fldChar w:fldCharType="begin"/>
      </w:r>
      <w:r>
        <w:instrText xml:space="preserve"> HYPERLINK \l "_Toc232429225" </w:instrText>
      </w:r>
      <w:r>
        <w:fldChar w:fldCharType="separate"/>
      </w:r>
      <w:r>
        <w:rPr>
          <w:rStyle w:val="18"/>
          <w:rFonts w:ascii="Times New Roman"/>
          <w:kern w:val="0"/>
          <w:sz w:val="24"/>
        </w:rPr>
        <w:t>7 标准实施的建议</w:t>
      </w:r>
      <w:r>
        <w:rPr>
          <w:rFonts w:ascii="Times New Roman"/>
          <w:sz w:val="24"/>
        </w:rPr>
        <w:tab/>
      </w:r>
      <w:r>
        <w:rPr>
          <w:rFonts w:ascii="Times New Roman"/>
          <w:sz w:val="24"/>
        </w:rPr>
        <w:fldChar w:fldCharType="begin"/>
      </w:r>
      <w:r>
        <w:rPr>
          <w:rFonts w:ascii="Times New Roman"/>
          <w:sz w:val="24"/>
        </w:rPr>
        <w:instrText xml:space="preserve"> PAGEREF _Toc232429225 \h </w:instrText>
      </w:r>
      <w:r>
        <w:rPr>
          <w:rFonts w:ascii="Times New Roman"/>
          <w:sz w:val="24"/>
        </w:rPr>
        <w:fldChar w:fldCharType="separate"/>
      </w:r>
      <w:r>
        <w:rPr>
          <w:rFonts w:ascii="Times New Roman"/>
          <w:sz w:val="24"/>
        </w:rPr>
        <w:t>18</w:t>
      </w:r>
      <w:r>
        <w:rPr>
          <w:rFonts w:ascii="Times New Roman"/>
          <w:sz w:val="24"/>
        </w:rPr>
        <w:fldChar w:fldCharType="end"/>
      </w:r>
      <w:r>
        <w:rPr>
          <w:rFonts w:ascii="Times New Roman"/>
          <w:sz w:val="24"/>
        </w:rPr>
        <w:fldChar w:fldCharType="end"/>
      </w:r>
    </w:p>
    <w:p w14:paraId="7EAC01A0">
      <w:pPr>
        <w:pStyle w:val="10"/>
        <w:tabs>
          <w:tab w:val="right" w:leader="dot" w:pos="8296"/>
        </w:tabs>
        <w:spacing w:line="360" w:lineRule="auto"/>
        <w:rPr>
          <w:rFonts w:ascii="Times New Roman"/>
          <w:sz w:val="24"/>
          <w14:ligatures w14:val="standardContextual"/>
        </w:rPr>
      </w:pPr>
      <w:r>
        <w:fldChar w:fldCharType="begin"/>
      </w:r>
      <w:r>
        <w:instrText xml:space="preserve"> HYPERLINK \l "_Toc232429226" </w:instrText>
      </w:r>
      <w:r>
        <w:fldChar w:fldCharType="separate"/>
      </w:r>
      <w:r>
        <w:rPr>
          <w:rStyle w:val="18"/>
          <w:rFonts w:ascii="Times New Roman"/>
          <w:kern w:val="0"/>
          <w:sz w:val="24"/>
        </w:rPr>
        <w:t>8 其他应予以说明的内容</w:t>
      </w:r>
      <w:r>
        <w:rPr>
          <w:rFonts w:ascii="Times New Roman"/>
          <w:sz w:val="24"/>
        </w:rPr>
        <w:tab/>
      </w:r>
      <w:r>
        <w:rPr>
          <w:rFonts w:ascii="Times New Roman"/>
          <w:sz w:val="24"/>
        </w:rPr>
        <w:fldChar w:fldCharType="begin"/>
      </w:r>
      <w:r>
        <w:rPr>
          <w:rFonts w:ascii="Times New Roman"/>
          <w:sz w:val="24"/>
        </w:rPr>
        <w:instrText xml:space="preserve"> PAGEREF _Toc232429226 \h </w:instrText>
      </w:r>
      <w:r>
        <w:rPr>
          <w:rFonts w:ascii="Times New Roman"/>
          <w:sz w:val="24"/>
        </w:rPr>
        <w:fldChar w:fldCharType="separate"/>
      </w:r>
      <w:r>
        <w:rPr>
          <w:rFonts w:ascii="Times New Roman"/>
          <w:sz w:val="24"/>
        </w:rPr>
        <w:t>19</w:t>
      </w:r>
      <w:r>
        <w:rPr>
          <w:rFonts w:ascii="Times New Roman"/>
          <w:sz w:val="24"/>
        </w:rPr>
        <w:fldChar w:fldCharType="end"/>
      </w:r>
      <w:r>
        <w:rPr>
          <w:rFonts w:ascii="Times New Roman"/>
          <w:sz w:val="24"/>
        </w:rPr>
        <w:fldChar w:fldCharType="end"/>
      </w:r>
    </w:p>
    <w:p w14:paraId="27C74FB0">
      <w:pPr>
        <w:pStyle w:val="10"/>
        <w:tabs>
          <w:tab w:val="right" w:leader="dot" w:pos="8296"/>
        </w:tabs>
        <w:spacing w:line="360" w:lineRule="auto"/>
        <w:rPr>
          <w:rFonts w:ascii="Times New Roman"/>
          <w:sz w:val="24"/>
          <w14:ligatures w14:val="standardContextual"/>
        </w:rPr>
      </w:pPr>
      <w:r>
        <w:fldChar w:fldCharType="begin"/>
      </w:r>
      <w:r>
        <w:instrText xml:space="preserve"> HYPERLINK \l "_Toc232429227" </w:instrText>
      </w:r>
      <w:r>
        <w:fldChar w:fldCharType="separate"/>
      </w:r>
      <w:r>
        <w:rPr>
          <w:rStyle w:val="18"/>
          <w:rFonts w:ascii="Times New Roman"/>
          <w:kern w:val="0"/>
          <w:sz w:val="24"/>
        </w:rPr>
        <w:t>参考文献</w:t>
      </w:r>
      <w:r>
        <w:rPr>
          <w:rFonts w:ascii="Times New Roman"/>
          <w:sz w:val="24"/>
        </w:rPr>
        <w:tab/>
      </w:r>
      <w:r>
        <w:rPr>
          <w:rFonts w:ascii="Times New Roman"/>
          <w:sz w:val="24"/>
        </w:rPr>
        <w:fldChar w:fldCharType="begin"/>
      </w:r>
      <w:r>
        <w:rPr>
          <w:rFonts w:ascii="Times New Roman"/>
          <w:sz w:val="24"/>
        </w:rPr>
        <w:instrText xml:space="preserve"> PAGEREF _Toc232429227 \h </w:instrText>
      </w:r>
      <w:r>
        <w:rPr>
          <w:rFonts w:ascii="Times New Roman"/>
          <w:sz w:val="24"/>
        </w:rPr>
        <w:fldChar w:fldCharType="separate"/>
      </w:r>
      <w:r>
        <w:rPr>
          <w:rFonts w:ascii="Times New Roman"/>
          <w:sz w:val="24"/>
        </w:rPr>
        <w:t>19</w:t>
      </w:r>
      <w:r>
        <w:rPr>
          <w:rFonts w:ascii="Times New Roman"/>
          <w:sz w:val="24"/>
        </w:rPr>
        <w:fldChar w:fldCharType="end"/>
      </w:r>
      <w:r>
        <w:rPr>
          <w:rFonts w:ascii="Times New Roman"/>
          <w:sz w:val="24"/>
        </w:rPr>
        <w:fldChar w:fldCharType="end"/>
      </w:r>
      <w:bookmarkStart w:id="18" w:name="_GoBack"/>
      <w:bookmarkEnd w:id="18"/>
    </w:p>
    <w:p w14:paraId="7E4994D7">
      <w:pPr>
        <w:adjustRightInd w:val="0"/>
        <w:snapToGrid w:val="0"/>
        <w:spacing w:line="360" w:lineRule="auto"/>
        <w:rPr>
          <w:rFonts w:hint="eastAsia" w:ascii="仿宋" w:hAnsi="仿宋" w:eastAsia="仿宋" w:cs="黑体"/>
          <w:spacing w:val="8"/>
          <w:sz w:val="28"/>
          <w:szCs w:val="28"/>
        </w:rPr>
      </w:pPr>
      <w:r>
        <w:rPr>
          <w:rFonts w:hint="eastAsia" w:ascii="仿宋" w:hAnsi="仿宋" w:eastAsia="仿宋" w:cs="黑体"/>
          <w:spacing w:val="8"/>
          <w:sz w:val="28"/>
          <w:szCs w:val="28"/>
        </w:rPr>
        <w:fldChar w:fldCharType="end"/>
      </w:r>
    </w:p>
    <w:p w14:paraId="47211AFA">
      <w:pPr>
        <w:autoSpaceDE w:val="0"/>
        <w:autoSpaceDN w:val="0"/>
        <w:adjustRightInd w:val="0"/>
        <w:spacing w:line="560" w:lineRule="exact"/>
        <w:outlineLvl w:val="0"/>
        <w:rPr>
          <w:rFonts w:ascii="Times New Roman" w:hAnsi="Times New Roman" w:eastAsia="华文中宋" w:cs="华文中宋"/>
          <w:kern w:val="0"/>
          <w:sz w:val="28"/>
          <w:szCs w:val="28"/>
        </w:rPr>
      </w:pPr>
    </w:p>
    <w:p w14:paraId="319AF325">
      <w:pPr>
        <w:overflowPunct w:val="0"/>
        <w:autoSpaceDE w:val="0"/>
        <w:autoSpaceDN w:val="0"/>
        <w:adjustRightInd w:val="0"/>
        <w:spacing w:line="560" w:lineRule="exact"/>
        <w:outlineLvl w:val="0"/>
        <w:rPr>
          <w:rFonts w:ascii="Times New Roman" w:hAnsi="Times New Roman" w:eastAsia="黑体" w:cs="仿宋_GB2312"/>
          <w:b/>
          <w:bCs/>
          <w:kern w:val="0"/>
          <w:sz w:val="28"/>
          <w:szCs w:val="28"/>
        </w:rPr>
        <w:sectPr>
          <w:footerReference r:id="rId4" w:type="default"/>
          <w:pgSz w:w="11906" w:h="16838"/>
          <w:pgMar w:top="1440" w:right="1800" w:bottom="1440" w:left="1800" w:header="851" w:footer="992" w:gutter="0"/>
          <w:pgNumType w:start="1"/>
          <w:cols w:space="425" w:num="1"/>
          <w:docGrid w:type="lines" w:linePitch="312" w:charSpace="0"/>
        </w:sectPr>
      </w:pPr>
    </w:p>
    <w:p w14:paraId="70E1F439">
      <w:pPr>
        <w:overflowPunct w:val="0"/>
        <w:autoSpaceDE w:val="0"/>
        <w:autoSpaceDN w:val="0"/>
        <w:adjustRightInd w:val="0"/>
        <w:spacing w:line="560" w:lineRule="exact"/>
        <w:outlineLvl w:val="0"/>
        <w:rPr>
          <w:rFonts w:ascii="Times New Roman" w:hAnsi="Times New Roman" w:eastAsia="黑体" w:cs="仿宋_GB2312"/>
          <w:b/>
          <w:bCs/>
          <w:kern w:val="0"/>
          <w:sz w:val="28"/>
          <w:szCs w:val="28"/>
        </w:rPr>
      </w:pPr>
      <w:bookmarkStart w:id="2" w:name="_Toc232429219"/>
      <w:r>
        <w:rPr>
          <w:rFonts w:hint="eastAsia" w:ascii="Times New Roman" w:hAnsi="Times New Roman" w:eastAsia="黑体" w:cs="仿宋_GB2312"/>
          <w:b/>
          <w:bCs/>
          <w:kern w:val="0"/>
          <w:sz w:val="28"/>
          <w:szCs w:val="28"/>
        </w:rPr>
        <w:t>1</w:t>
      </w:r>
      <w:r>
        <w:rPr>
          <w:rFonts w:ascii="Times New Roman" w:hAnsi="Times New Roman" w:eastAsia="黑体" w:cs="仿宋_GB2312"/>
          <w:b/>
          <w:bCs/>
          <w:kern w:val="0"/>
          <w:sz w:val="28"/>
          <w:szCs w:val="28"/>
        </w:rPr>
        <w:t xml:space="preserve"> </w:t>
      </w:r>
      <w:r>
        <w:rPr>
          <w:rFonts w:hint="eastAsia" w:ascii="Times New Roman" w:hAnsi="Times New Roman" w:eastAsia="黑体" w:cs="仿宋_GB2312"/>
          <w:b/>
          <w:bCs/>
          <w:kern w:val="0"/>
          <w:sz w:val="28"/>
          <w:szCs w:val="28"/>
        </w:rPr>
        <w:t>项目背景与</w:t>
      </w:r>
      <w:r>
        <w:rPr>
          <w:rFonts w:ascii="Times New Roman" w:hAnsi="Times New Roman" w:eastAsia="黑体" w:cs="仿宋_GB2312"/>
          <w:b/>
          <w:bCs/>
          <w:kern w:val="0"/>
          <w:sz w:val="28"/>
          <w:szCs w:val="28"/>
        </w:rPr>
        <w:t>工作简况</w:t>
      </w:r>
      <w:bookmarkEnd w:id="2"/>
    </w:p>
    <w:p w14:paraId="27631C41">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1.1 项目背景</w:t>
      </w:r>
    </w:p>
    <w:p w14:paraId="203FB2AC">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依托国家重点研发计划青年科学家项目《黄河流域湖库氮磷基准制定关键技术》，为贯彻落实黄河流域生态保护和高质量发展重大国家战略，科学应对湖库富营养化问题，建立可靠的湖库氮磷阈值制定方法体系，研究起草本标准。根据《中国环境科学学会标准管理办法（试行）》有关规定，由</w:t>
      </w:r>
      <w:r>
        <w:rPr>
          <w:rFonts w:ascii="Times New Roman" w:hAnsi="Times New Roman" w:eastAsia="仿宋_GB2312" w:cs="仿宋_GB2312"/>
          <w:kern w:val="0"/>
          <w:sz w:val="28"/>
          <w:szCs w:val="28"/>
        </w:rPr>
        <w:t>中国环境科学学会标准工作办公室负责</w:t>
      </w:r>
      <w:r>
        <w:rPr>
          <w:rFonts w:hint="eastAsia" w:ascii="Times New Roman" w:hAnsi="Times New Roman" w:eastAsia="仿宋_GB2312" w:cs="仿宋_GB2312"/>
          <w:kern w:val="0"/>
          <w:sz w:val="28"/>
          <w:szCs w:val="28"/>
        </w:rPr>
        <w:t>组织</w:t>
      </w:r>
      <w:r>
        <w:rPr>
          <w:rFonts w:ascii="Times New Roman" w:hAnsi="Times New Roman" w:eastAsia="仿宋_GB2312" w:cs="仿宋_GB2312"/>
          <w:kern w:val="0"/>
          <w:sz w:val="28"/>
          <w:szCs w:val="28"/>
        </w:rPr>
        <w:t>团体标准申报工作，</w:t>
      </w:r>
      <w:r>
        <w:rPr>
          <w:rFonts w:hint="eastAsia" w:ascii="Times New Roman" w:hAnsi="Times New Roman" w:eastAsia="仿宋_GB2312" w:cs="仿宋_GB2312"/>
          <w:kern w:val="0"/>
          <w:sz w:val="28"/>
          <w:szCs w:val="28"/>
        </w:rPr>
        <w:t>由北京师范大学、中国环境科学研究院、厦门大学、北京大学</w:t>
      </w:r>
      <w:bookmarkStart w:id="3" w:name="_Hlk165970293"/>
      <w:r>
        <w:rPr>
          <w:rFonts w:hint="eastAsia" w:ascii="Times New Roman" w:hAnsi="Times New Roman" w:eastAsia="仿宋_GB2312" w:cs="仿宋_GB2312"/>
          <w:kern w:val="0"/>
          <w:sz w:val="28"/>
          <w:szCs w:val="28"/>
        </w:rPr>
        <w:t>4家单位</w:t>
      </w:r>
      <w:bookmarkEnd w:id="3"/>
      <w:r>
        <w:rPr>
          <w:rFonts w:hint="eastAsia" w:ascii="Times New Roman" w:hAnsi="Times New Roman" w:eastAsia="仿宋_GB2312" w:cs="仿宋_GB2312"/>
          <w:kern w:val="0"/>
          <w:sz w:val="28"/>
          <w:szCs w:val="28"/>
        </w:rPr>
        <w:t>共同承担《黄河流域湖库氮磷阈值制定技术指南》的编制工作。</w:t>
      </w:r>
    </w:p>
    <w:p w14:paraId="46B627C8">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1.2 主要工作过程</w:t>
      </w:r>
    </w:p>
    <w:p w14:paraId="13A08F52">
      <w:pPr>
        <w:overflowPunct w:val="0"/>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本标准编制工作过程如下：</w:t>
      </w:r>
    </w:p>
    <w:p w14:paraId="11A706AD">
      <w:pPr>
        <w:overflowPunct w:val="0"/>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编制组成立。2025年9月至10月，按照新标准立项计划，中国环境科学学会组织成立标准编制组，由北京师范大学牵头承担标准的编制工作；标准编制组初步制定标准总体框架和主要技术内容，明确任务分工与工作进度安排；</w:t>
      </w:r>
    </w:p>
    <w:p w14:paraId="4FB7C2B5">
      <w:pPr>
        <w:overflowPunct w:val="0"/>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（2）草案形成。2025年11月至12月，通过搜集国内外相关政策法规、标准、文献或技术资料，并采用座谈、走访、查阅资料等形式开展调研，标准编制组明确标准编制大纲，形成标准草案；</w:t>
      </w:r>
    </w:p>
    <w:p w14:paraId="57B58BDE">
      <w:pPr>
        <w:overflowPunct w:val="0"/>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（3）标准立项。2026年1月至5月，中国环境科学学会组织召开标准立项论证会，对立项材料进行专家论证；会后根据专家意见，标准编制组开展标准草案的修订工作，形成标准征求意见稿（初稿）；</w:t>
      </w:r>
    </w:p>
    <w:p w14:paraId="6AC3B5FD">
      <w:pPr>
        <w:overflowPunct w:val="0"/>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标准编制。2026年6月，编制组组织召开标准专家论证会，对标准征求意见稿（初稿）进行专家论证；会后根据专家意见，标准编制组开展标准征求意见稿（初稿）的修订工作，形成标准征求意见稿及相关编制说明，公开广泛征求意见；</w:t>
      </w:r>
    </w:p>
    <w:p w14:paraId="71298BCA">
      <w:pPr>
        <w:overflowPunct w:val="0"/>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5）标准送审。2026年7月，编制组根据征求意见反馈情况，开展标准征求意见稿及相关编制说明的修订工作，形成标准送审稿、相关编制说明，以及征求意见情况汇总表；并组织召开标准专家审查会，对标准送审稿等材料进行专家审查；</w:t>
      </w:r>
    </w:p>
    <w:p w14:paraId="19CE8499">
      <w:pPr>
        <w:overflowPunct w:val="0"/>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（6）标准报批。2026年8月，根据专家意见，标准编制组开展标准送审稿等材料的修订工作，最终形成标准报批稿、相关编制说明，以及征求意见情况汇总表，报中国环境科学学会标准工作办公室。</w:t>
      </w:r>
    </w:p>
    <w:p w14:paraId="3B460DD3">
      <w:pPr>
        <w:overflowPunct w:val="0"/>
        <w:autoSpaceDE w:val="0"/>
        <w:autoSpaceDN w:val="0"/>
        <w:adjustRightInd w:val="0"/>
        <w:spacing w:line="560" w:lineRule="exact"/>
        <w:outlineLvl w:val="0"/>
        <w:rPr>
          <w:rFonts w:ascii="Times New Roman" w:hAnsi="Times New Roman" w:eastAsia="黑体" w:cs="仿宋_GB2312"/>
          <w:kern w:val="0"/>
          <w:sz w:val="28"/>
          <w:szCs w:val="28"/>
        </w:rPr>
      </w:pPr>
      <w:bookmarkStart w:id="4" w:name="_Toc232429220"/>
      <w:r>
        <w:rPr>
          <w:rFonts w:hint="eastAsia" w:ascii="Times New Roman" w:hAnsi="Times New Roman" w:eastAsia="黑体" w:cs="仿宋_GB2312"/>
          <w:kern w:val="0"/>
          <w:sz w:val="28"/>
          <w:szCs w:val="28"/>
        </w:rPr>
        <w:t>2</w:t>
      </w:r>
      <w:r>
        <w:rPr>
          <w:rFonts w:ascii="Times New Roman" w:hAnsi="Times New Roman" w:eastAsia="黑体" w:cs="仿宋_GB2312"/>
          <w:kern w:val="0"/>
          <w:sz w:val="28"/>
          <w:szCs w:val="28"/>
        </w:rPr>
        <w:t xml:space="preserve"> </w:t>
      </w:r>
      <w:r>
        <w:rPr>
          <w:rFonts w:hint="eastAsia" w:ascii="Times New Roman" w:hAnsi="Times New Roman" w:eastAsia="黑体" w:cs="仿宋_GB2312"/>
          <w:kern w:val="0"/>
          <w:sz w:val="28"/>
          <w:szCs w:val="28"/>
        </w:rPr>
        <w:t>标准制订原则</w:t>
      </w:r>
      <w:bookmarkEnd w:id="4"/>
    </w:p>
    <w:p w14:paraId="098D1C11">
      <w:pPr>
        <w:overflowPunct w:val="0"/>
        <w:autoSpaceDE w:val="0"/>
        <w:autoSpaceDN w:val="0"/>
        <w:adjustRightInd w:val="0"/>
        <w:spacing w:line="560" w:lineRule="exact"/>
        <w:ind w:firstLine="560"/>
        <w:rPr>
          <w:rFonts w:ascii="Times New Roman" w:hAnsi="Times New Roman" w:eastAsia="仿宋_GB2312"/>
          <w:sz w:val="28"/>
          <w:szCs w:val="28"/>
        </w:rPr>
      </w:pPr>
      <w:r>
        <w:rPr>
          <w:rFonts w:hint="eastAsia" w:ascii="Times New Roman" w:hAnsi="Times New Roman" w:eastAsia="仿宋_GB2312"/>
          <w:sz w:val="28"/>
          <w:szCs w:val="28"/>
        </w:rPr>
        <w:t>本标准在编制过程中充分考虑以下原则：</w:t>
      </w:r>
    </w:p>
    <w:p w14:paraId="057A6570">
      <w:pPr>
        <w:overflowPunct w:val="0"/>
        <w:autoSpaceDE w:val="0"/>
        <w:autoSpaceDN w:val="0"/>
        <w:adjustRightInd w:val="0"/>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ascii="Times New Roman" w:hAnsi="Times New Roman" w:eastAsia="仿宋_GB2312"/>
          <w:sz w:val="28"/>
          <w:szCs w:val="28"/>
        </w:rPr>
        <w:t>科学性</w:t>
      </w:r>
      <w:r>
        <w:rPr>
          <w:rFonts w:hint="eastAsia" w:ascii="Times New Roman" w:hAnsi="Times New Roman" w:eastAsia="仿宋_GB2312"/>
          <w:sz w:val="28"/>
          <w:szCs w:val="28"/>
        </w:rPr>
        <w:t>原则。以水生态学、环境科学、水文学及统计学理论为基础，吸收国内外湖库营养物基准与阈值制定的成熟方法和最新研究成果。技术流程设计、方法选取和参数确定均经过科学论证，确保指南的科学性与前沿性。</w:t>
      </w:r>
    </w:p>
    <w:p w14:paraId="43922213">
      <w:pPr>
        <w:overflowPunct w:val="0"/>
        <w:autoSpaceDE w:val="0"/>
        <w:autoSpaceDN w:val="0"/>
        <w:adjustRightInd w:val="0"/>
        <w:spacing w:line="560" w:lineRule="exact"/>
        <w:ind w:firstLine="560" w:firstLineChars="200"/>
        <w:rPr>
          <w:rFonts w:ascii="Times New Roman" w:hAnsi="Times New Roman" w:eastAsia="仿宋_GB2312"/>
          <w:color w:val="FF0000"/>
          <w:sz w:val="28"/>
          <w:szCs w:val="28"/>
        </w:rPr>
      </w:pPr>
      <w:r>
        <w:rPr>
          <w:rFonts w:hint="eastAsia" w:ascii="Times New Roman" w:hAnsi="Times New Roman" w:eastAsia="仿宋_GB2312"/>
          <w:sz w:val="28"/>
          <w:szCs w:val="28"/>
        </w:rPr>
        <w:t>（2）区域适配原则。紧密围绕黄河流域湖库“高浊度、高泥沙、季节性水文波动强烈、人为扰动显著”等突出特征，设计差异化的阈值制定方法体系。注重解决泥沙干扰下营养盐效应评估、数据校正等区域特有技术难题。</w:t>
      </w:r>
    </w:p>
    <w:p w14:paraId="58320912">
      <w:pPr>
        <w:overflowPunct w:val="0"/>
        <w:autoSpaceDE w:val="0"/>
        <w:autoSpaceDN w:val="0"/>
        <w:adjustRightInd w:val="0"/>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3）系统性与可操作性原则。构建“数据收集—指标筛选—阈值推导—阈值验证与审核—阈值表征与应用”技术体系，逻辑完整、环环相扣。提供清晰的技术流程、分类体系、数据要求、方法选择速查表，增强文件的实用性和可落地性。</w:t>
      </w:r>
    </w:p>
    <w:p w14:paraId="593F70A3">
      <w:pPr>
        <w:overflowPunct w:val="0"/>
        <w:autoSpaceDE w:val="0"/>
        <w:autoSpaceDN w:val="0"/>
        <w:adjustRightInd w:val="0"/>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（4）开放性与兼容性原则。在确保核心方法统一的前提下，鼓励采用多种模型与技术手段（如统计方法、机理模型、数据驱动模型等）。注重与现行国家标准、行业标准（如HJ 838等）的衔接，支持与流域现有监测体系和管理工具的兼容。</w:t>
      </w:r>
    </w:p>
    <w:p w14:paraId="2BF55E73">
      <w:pPr>
        <w:overflowPunct w:val="0"/>
        <w:autoSpaceDE w:val="0"/>
        <w:autoSpaceDN w:val="0"/>
        <w:adjustRightInd w:val="0"/>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5）指导性与灵活性相结合原则。既提供明确、规范的技术规定，也为不同数据条件、湖库类型和管理需求预留弹性空间。强调阈值的结果表征应包含适用条件与不确定性说明，支持分级分类、差异化管理的实际需要。</w:t>
      </w:r>
    </w:p>
    <w:p w14:paraId="6658D735">
      <w:pPr>
        <w:overflowPunct w:val="0"/>
        <w:autoSpaceDE w:val="0"/>
        <w:autoSpaceDN w:val="0"/>
        <w:adjustRightInd w:val="0"/>
        <w:spacing w:line="560" w:lineRule="exact"/>
        <w:outlineLvl w:val="0"/>
        <w:rPr>
          <w:rFonts w:ascii="Times New Roman" w:hAnsi="Times New Roman" w:eastAsia="黑体" w:cs="仿宋_GB2312"/>
          <w:b/>
          <w:bCs/>
          <w:kern w:val="0"/>
          <w:sz w:val="28"/>
          <w:szCs w:val="28"/>
        </w:rPr>
      </w:pPr>
      <w:bookmarkStart w:id="5" w:name="_Toc232429221"/>
      <w:r>
        <w:rPr>
          <w:rFonts w:hint="eastAsia" w:ascii="Times New Roman" w:hAnsi="Times New Roman" w:eastAsia="黑体" w:cs="仿宋_GB2312"/>
          <w:b/>
          <w:bCs/>
          <w:kern w:val="0"/>
          <w:sz w:val="28"/>
          <w:szCs w:val="28"/>
        </w:rPr>
        <w:t>3</w:t>
      </w:r>
      <w:r>
        <w:rPr>
          <w:rFonts w:ascii="Times New Roman" w:hAnsi="Times New Roman" w:eastAsia="黑体" w:cs="仿宋_GB2312"/>
          <w:b/>
          <w:bCs/>
          <w:kern w:val="0"/>
          <w:sz w:val="28"/>
          <w:szCs w:val="28"/>
        </w:rPr>
        <w:t xml:space="preserve"> </w:t>
      </w:r>
      <w:r>
        <w:rPr>
          <w:rFonts w:hint="eastAsia" w:ascii="Times New Roman" w:hAnsi="Times New Roman" w:eastAsia="黑体" w:cs="仿宋_GB2312"/>
          <w:b/>
          <w:bCs/>
          <w:kern w:val="0"/>
          <w:sz w:val="28"/>
          <w:szCs w:val="28"/>
        </w:rPr>
        <w:t>标准的主要内容及依据</w:t>
      </w:r>
      <w:bookmarkEnd w:id="5"/>
    </w:p>
    <w:p w14:paraId="7945033D">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本《指南》正文共分9章，系统构建了“数据收集—指标筛选—阈值推导—阈值验证与审核—阈值表征与应用”的完整技术体系。各章节内容在遵循GB/T 1.1—2020《标准化工作导则》结构要求的同时，紧密围绕黄河流域湖库“高浊度、高泥沙、强季节性、强人为扰动”的区域特征进行设计。本章节将对标准正文各章的核心内容、设计意图及技术要点进行逐条说明，以阐明其科学性、系统性与可操作性。</w:t>
      </w:r>
    </w:p>
    <w:p w14:paraId="679A2615">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3.1 范围</w:t>
      </w:r>
    </w:p>
    <w:p w14:paraId="1FB3D543">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章明确了本指南的适用范围和主要内容。空间上限定于黄河流域内的湖泊、水库等相对静态水体；技术内容涵盖区域湖库氮磷生态阈值制定的全链条工作，包括技术流程、数据收集、方法选择、阈值推导、验证审核及成果应用；功能定位于为流域水质目标管理、富营养化防治、生态修复工程规划与评估提供科学方法与技术依据。本章特别强调，单个湖泊或水库的阈值制定工作可参照本指南执行，体现了文件在区域指导与单点应用上的灵活性。</w:t>
      </w:r>
    </w:p>
    <w:p w14:paraId="510938D1">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3.2 规范性引用文件</w:t>
      </w:r>
    </w:p>
    <w:p w14:paraId="69D57CB8">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本章列出了构成指南技术基础不可或缺的现行国家标准和行业标准。通过规范性引用，确保了本指南在监测方法（如HJ 636、GB 11893）、监测规范（HJ 91.2）、基准制定框架（HJ 838）及水文泥沙观测（SL 339）等方面与国家标准体系保持严格一致。这种衔接不仅保证了技术操作的合规性与数据的可比性，也使本指南成为国家通用技术规范在黄河流域的深化与延伸，而非另立体系。</w:t>
      </w:r>
    </w:p>
    <w:p w14:paraId="3E1E9408">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3.3 术语和定义</w:t>
      </w:r>
    </w:p>
    <w:p w14:paraId="3621D40B">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本部分对 “氮磷阈值” “高浊度水体”等关键术语进行了明确定义。其中：“高浊度水体”结合黄河流域实际，操作性定义为多年平均浊度≥50 NTU，并注释说明其生态影响阈值；“氮磷阈值”强调其“防止生态状态非期望转变”的生态管理内涵。</w:t>
      </w:r>
    </w:p>
    <w:p w14:paraId="4AD07B5E">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3.4 技术流程</w:t>
      </w:r>
    </w:p>
    <w:p w14:paraId="3B19A907">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章以流程图的方式，提出了“数据收集→指标筛选→阈值推导→阈值验证与审核→阈值表征与应用”的技术流程。该流程设计遵循系统性科学决策逻辑，强调数据是基础、分类是前提、方法是核心、验证是保障、应用是目标。流程图的引入旨在为使用者提供直观、清晰的工作路线图，确保技术实施过程规范、有序、可追溯。</w:t>
      </w:r>
    </w:p>
    <w:p w14:paraId="62765040">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3.5 数据收集与要求</w:t>
      </w:r>
    </w:p>
    <w:p w14:paraId="6FF197DD">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阈值制定的科学性首先取决于数据的质量与代表性。本章系统规定了数据来源的合法性、指标体系的完整性（TN、TP、Chl-a、SD为必测，高浊度水体浊度必测）、时空的代表性（覆盖三水期、关键湖区）、时间序列的长度（优先连续3年以上）及质量控制要求。特别针对湖泊与水库在水文特征、泥沙输移、生态结构等方面的固有差异，提出了差异化的数据收集与处理关注点，体现了分类指导的思想。</w:t>
      </w:r>
    </w:p>
    <w:p w14:paraId="225BF9B7">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 xml:space="preserve">3.6 </w:t>
      </w:r>
      <w:r>
        <w:rPr>
          <w:rFonts w:ascii="Times New Roman" w:hAnsi="Times New Roman" w:eastAsia="黑体" w:cs="仿宋_GB2312"/>
          <w:b/>
          <w:bCs/>
          <w:kern w:val="0"/>
          <w:sz w:val="28"/>
          <w:szCs w:val="28"/>
        </w:rPr>
        <w:t>候选指标及筛选</w:t>
      </w:r>
    </w:p>
    <w:p w14:paraId="3D87A1D8">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章旨在解决“用什么指标来表征营养盐的生态效应”这一关键问题。首先建立了包含压力指标（TN、TP）、核心响应指标（Chl-a、SD等）及辅助指标（浊度、水温等）的候选指标库。随后，规定了从候选库中筛选核心响应指标的标准化流程，包括数据关系诊断、主导因素分析（特别是浊度对Chl-a和SD影响的判别）和综合决策。该流程强制要求在高浊度水体中分析浊度的干扰作用，确保了所选指标能真实反映营养盐与藻类生长的因果关系，为后续建模提供可靠变量。</w:t>
      </w:r>
    </w:p>
    <w:p w14:paraId="1758B66F">
      <w:pPr>
        <w:overflowPunct w:val="0"/>
        <w:autoSpaceDE w:val="0"/>
        <w:autoSpaceDN w:val="0"/>
        <w:adjustRightInd w:val="0"/>
        <w:spacing w:line="560" w:lineRule="exact"/>
        <w:outlineLvl w:val="1"/>
        <w:rPr>
          <w:rFonts w:ascii="Times New Roman" w:hAnsi="Times New Roman" w:eastAsia="黑体" w:cs="仿宋_GB2312"/>
          <w:b/>
          <w:bCs/>
          <w:kern w:val="0"/>
          <w:sz w:val="28"/>
          <w:szCs w:val="28"/>
        </w:rPr>
      </w:pPr>
      <w:r>
        <w:rPr>
          <w:rFonts w:hint="eastAsia" w:ascii="Times New Roman" w:hAnsi="Times New Roman" w:eastAsia="黑体" w:cs="仿宋_GB2312"/>
          <w:kern w:val="0"/>
          <w:sz w:val="28"/>
          <w:szCs w:val="28"/>
        </w:rPr>
        <w:t xml:space="preserve">3.7 </w:t>
      </w:r>
      <w:r>
        <w:rPr>
          <w:rFonts w:hint="eastAsia" w:ascii="Times New Roman" w:hAnsi="Times New Roman" w:eastAsia="黑体" w:cs="仿宋_GB2312"/>
          <w:b/>
          <w:bCs/>
          <w:kern w:val="0"/>
          <w:sz w:val="28"/>
          <w:szCs w:val="28"/>
        </w:rPr>
        <w:t>阈值推导</w:t>
      </w:r>
    </w:p>
    <w:p w14:paraId="764966F3">
      <w:pPr>
        <w:pStyle w:val="53"/>
        <w:numPr>
          <w:ilvl w:val="0"/>
          <w:numId w:val="0"/>
        </w:numPr>
        <w:spacing w:before="156" w:after="156"/>
        <w:rPr>
          <w:rFonts w:hint="eastAsia"/>
        </w:rPr>
      </w:pPr>
      <w:r>
        <w:rPr>
          <w:rFonts w:hint="eastAsia"/>
        </w:rPr>
        <w:t>3.7.1 湖库分类</w:t>
      </w:r>
    </w:p>
    <w:p w14:paraId="415B876E">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针对黄河流域湖库类型的多样性，本章建立了三维分类体系，包括：按人为扰动程度（基于陆域生态系统健康评估）、按水文泥沙特征（以50 NTU为界分高/中低浊度）、按水体功能。分类的目的在于识别不同湖库群体的主导特征，从而为第7.2章节的方法选择提供直接依据。例如，受扰动较小且浊度低的湖库可能适用参照状态法，而受扰动大且高浊度的湖库则必须采用考虑浊度协变量的压力-响应模型。该体系是实现差异化、精准化阈值制定的前提。</w:t>
      </w:r>
    </w:p>
    <w:p w14:paraId="6F676F42">
      <w:pPr>
        <w:pStyle w:val="53"/>
        <w:numPr>
          <w:ilvl w:val="0"/>
          <w:numId w:val="0"/>
        </w:numPr>
        <w:spacing w:before="156" w:after="156"/>
      </w:pPr>
      <w:r>
        <w:rPr>
          <w:rFonts w:hint="eastAsia"/>
        </w:rPr>
        <w:t>3.7.2 阈值制定方法选择</w:t>
      </w:r>
    </w:p>
    <w:p w14:paraId="6E24312F">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章节是连接湖库特征与具体技术方法的决策枢纽。它明确了方法选择的核心原则：受人为扰动较小的湖库优先选用统计分析法（如参照湖泊法）；受人为扰动较大的湖库应采用压力-响应模型法；高浊度湖库必须考虑浊度影响。同时，对统计方法和模型方法在湖泊与水库中的应用做了补充说明。这些原则性规定，与第7章的湖库分类结果直接对应，引导用户从众多方法中做出科学、高效的选择，避免了方法使用的盲目性。</w:t>
      </w:r>
    </w:p>
    <w:p w14:paraId="7D7FBBCD">
      <w:pPr>
        <w:pStyle w:val="53"/>
        <w:numPr>
          <w:ilvl w:val="0"/>
          <w:numId w:val="0"/>
        </w:numPr>
        <w:spacing w:before="156" w:after="156"/>
      </w:pPr>
      <w:bookmarkStart w:id="6" w:name="_Hlk218441794"/>
      <w:r>
        <w:rPr>
          <w:rFonts w:hint="eastAsia"/>
        </w:rPr>
        <w:t>3.7.3 阈值推导</w:t>
      </w:r>
      <w:bookmarkEnd w:id="6"/>
    </w:p>
    <w:p w14:paraId="28549EAF">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本章是本指南的技术核心，详细阐述了各类阈值制定方法的具体操作步骤、计算过程与结果解读。分为三大部分：</w:t>
      </w:r>
    </w:p>
    <w:p w14:paraId="5158791D">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a) 统计分析法：包括参照湖泊法、湖泊群体分布法和三分法，详细说明了其数据准备、频数分析或数据筛选、阈值计算及结果复核的全过程，适用于数据质量高、受扰动小的湖库或区域。</w:t>
      </w:r>
    </w:p>
    <w:p w14:paraId="4A2B29B2">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b) 压力-响应模型法：系统介绍了从数据准备、关系诊断、模型选择与建立（线性/非线性、分类回归树、拐点分析）、到模型验证与阈值提取的完整流程。特别针对高浊度湖库，规定了必须将浊度作为核心自变量、考虑交互项、并按浊度分层或输出关联浊度条件的阈值，这是本指南最具区域特色的技术规定之一。</w:t>
      </w:r>
    </w:p>
    <w:p w14:paraId="74EB7B89">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c) 区域贝叶斯层次模型：作为推荐用于区域基准制定的先进方法，本章概述了其多层次建模框架（样本层、湖库层、区域层）和基于后验分布提取概率化阈值的流程。该方法能有效量化区域异质性与不确定性，实现不同湖库间的信息共享。</w:t>
      </w:r>
    </w:p>
    <w:p w14:paraId="08EF29DD">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d) 支持方法：简要说明了模型推断法和古湖沼学法在辅助确定自然背景或验证长期阈值方面的作用。</w:t>
      </w:r>
    </w:p>
    <w:p w14:paraId="5A25B6C2">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3.8 阈值验证与审核</w:t>
      </w:r>
    </w:p>
    <w:p w14:paraId="73E12882">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为保障阈值结果的科学可靠与稳健，本章规定了严格的验证与审核程序。验证包括内部验证（如交叉验证、Bootstrap法评估模型稳健性）和外部验证（使用独立数据、历史数据或古湖沼学证据进行比对）。审核包括技术团队的自审和领域专家的评审，重点审视数据质量、方法适用性、结果合理性及其与流域管理目标的契合度。该章是确保阈值质量、提升其可信度和可接受度的关键环节。</w:t>
      </w:r>
    </w:p>
    <w:p w14:paraId="1FDC02FB">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3.9 阈值表征与应用</w:t>
      </w:r>
    </w:p>
    <w:p w14:paraId="566B257C">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章旨在推动科学阈值向管理实践的有效转化。首先，规定了阈值成果必须以清晰、无歧义的方式表征，必须包含明确的阈值形式（值或范围）、详细的适用条件（特别是浊度、季节等关键限定）、具体的时空范围以及推荐的可视化表达方式。其次，明确了阈值在水环境标准制修订、流域水质目标管理、生态保护与修复工程中的直接应用途径。最后，提出了基于“现状浓度与阈值差距”的差异化治理策略指引（预防性保护、控制性治理、综合性治理），并对高浊度水体和水库的治理提出了“泥沙与营养盐协同控制”等特别建议，实现了从“科学判断”到“治理行动”的闭环。</w:t>
      </w:r>
    </w:p>
    <w:p w14:paraId="6789D8C4">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3.10 附录的定位与整合说明</w:t>
      </w:r>
    </w:p>
    <w:p w14:paraId="443B8A2D">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指南的附录旨在提供正文中关键技术环节的详细操作方法、计算案例或决策工具，以增强标准的可操作性。其内容已与正文相应章节紧密绑定。例如，陆域生态系统健康评估简化方法支撑第7章的人为扰动程度分类；高浊度水体数据处理与浊度校正方法是执行第5、6、7章相关规定的具体技术指南；方法速查与决策指引则是第7章方法选择原则的具体化与可视化体现。附录与正文共同构成了一个从原则到细则的完整技术体系。</w:t>
      </w:r>
    </w:p>
    <w:p w14:paraId="477BB41B">
      <w:pPr>
        <w:overflowPunct w:val="0"/>
        <w:autoSpaceDE w:val="0"/>
        <w:autoSpaceDN w:val="0"/>
        <w:adjustRightInd w:val="0"/>
        <w:spacing w:line="560" w:lineRule="exact"/>
        <w:outlineLvl w:val="0"/>
        <w:rPr>
          <w:rFonts w:ascii="Times New Roman" w:hAnsi="Times New Roman" w:eastAsia="黑体" w:cs="仿宋_GB2312"/>
          <w:b/>
          <w:bCs/>
          <w:kern w:val="0"/>
          <w:sz w:val="28"/>
          <w:szCs w:val="28"/>
        </w:rPr>
      </w:pPr>
      <w:bookmarkStart w:id="7" w:name="_Toc232429222"/>
      <w:bookmarkStart w:id="8" w:name="_Hlk160527022"/>
      <w:r>
        <w:rPr>
          <w:rFonts w:hint="eastAsia" w:ascii="Times New Roman" w:hAnsi="Times New Roman" w:eastAsia="黑体" w:cs="仿宋_GB2312"/>
          <w:b/>
          <w:bCs/>
          <w:kern w:val="0"/>
          <w:sz w:val="28"/>
          <w:szCs w:val="28"/>
        </w:rPr>
        <w:t>4</w:t>
      </w:r>
      <w:r>
        <w:rPr>
          <w:rFonts w:ascii="Times New Roman" w:hAnsi="Times New Roman" w:eastAsia="黑体" w:cs="仿宋_GB2312"/>
          <w:b/>
          <w:bCs/>
          <w:kern w:val="0"/>
          <w:sz w:val="28"/>
          <w:szCs w:val="28"/>
        </w:rPr>
        <w:t xml:space="preserve"> </w:t>
      </w:r>
      <w:r>
        <w:rPr>
          <w:rFonts w:hint="eastAsia" w:ascii="Times New Roman" w:hAnsi="Times New Roman" w:eastAsia="黑体" w:cs="仿宋_GB2312"/>
          <w:b/>
          <w:bCs/>
          <w:kern w:val="0"/>
          <w:sz w:val="28"/>
          <w:szCs w:val="28"/>
        </w:rPr>
        <w:t>主要实验验证与试行情况</w:t>
      </w:r>
      <w:bookmarkEnd w:id="7"/>
    </w:p>
    <w:bookmarkEnd w:id="8"/>
    <w:p w14:paraId="6FB938B6">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ascii="Times New Roman" w:hAnsi="Times New Roman" w:eastAsia="仿宋_GB2312" w:cs="仿宋_GB2312"/>
          <w:kern w:val="0"/>
          <w:sz w:val="28"/>
          <w:szCs w:val="28"/>
        </w:rPr>
        <w:t>为便于理解本指南的技术流程，以黄河流域某中型水库为例，演示氮磷阈值的制定过程。</w:t>
      </w:r>
    </w:p>
    <w:p w14:paraId="2FC19435">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4.1 案例概况</w:t>
      </w:r>
    </w:p>
    <w:p w14:paraId="4940A41A">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ascii="Times New Roman" w:hAnsi="Times New Roman" w:eastAsia="仿宋_GB2312" w:cs="仿宋_GB2312"/>
          <w:kern w:val="0"/>
          <w:sz w:val="28"/>
          <w:szCs w:val="28"/>
        </w:rPr>
        <w:t>某水库位于黄河中游，集水面积约1200 km²，主要功能为农业灌溉和防洪。该水库近5年水质监测数据显示：TN浓度介于1.2~2.8 mg/L，TP浓度介于0.08~0.25 mg/L，Chl-a浓度介于5~35 μg/L，浊度介于20~80 NTU。水库平均水深8 m，属于中深湖库。流域内耕地占比约55%，建设用地占比约12%，陆域生态系统健康指数（LHI）评分为48，等级为“一般”，归类为受人为扰动较大湖库。连续3年平均浊度为42 NTU，属于中浊度。</w:t>
      </w:r>
    </w:p>
    <w:p w14:paraId="03AE768E">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 xml:space="preserve">4.2 </w:t>
      </w:r>
      <w:r>
        <w:rPr>
          <w:rFonts w:ascii="Times New Roman" w:hAnsi="Times New Roman" w:eastAsia="黑体" w:cs="仿宋_GB2312"/>
          <w:kern w:val="0"/>
          <w:sz w:val="28"/>
          <w:szCs w:val="28"/>
        </w:rPr>
        <w:t>阈值制定流程</w:t>
      </w:r>
    </w:p>
    <w:p w14:paraId="0F6CCA16">
      <w:pPr>
        <w:pStyle w:val="53"/>
        <w:numPr>
          <w:ilvl w:val="0"/>
          <w:numId w:val="0"/>
        </w:numPr>
        <w:spacing w:before="156" w:after="156"/>
      </w:pPr>
      <w:r>
        <w:rPr>
          <w:rFonts w:hint="eastAsia"/>
        </w:rPr>
        <w:t>4.2.1 湖库分类</w:t>
      </w:r>
    </w:p>
    <w:p w14:paraId="73BF70FB">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根据7.1节：</w:t>
      </w:r>
    </w:p>
    <w:p w14:paraId="435368C0">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人为扰动：较大（LHI一般）</w:t>
      </w:r>
    </w:p>
    <w:p w14:paraId="2C831BA9">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水文泥沙：中浊度（15~50 NTU）</w:t>
      </w:r>
    </w:p>
    <w:p w14:paraId="08B31AF7">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水体功能：农业灌溉（一般保护目标）</w:t>
      </w:r>
    </w:p>
    <w:p w14:paraId="00895727">
      <w:pPr>
        <w:pStyle w:val="53"/>
        <w:numPr>
          <w:ilvl w:val="0"/>
          <w:numId w:val="0"/>
        </w:numPr>
        <w:spacing w:before="156" w:after="156"/>
      </w:pPr>
      <w:r>
        <w:rPr>
          <w:rFonts w:hint="eastAsia"/>
        </w:rPr>
        <w:t>4.2.2 方法选择</w:t>
      </w:r>
    </w:p>
    <w:p w14:paraId="692A556B">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依据7.2节表1：扰动较大、中浊度、一般功能 → 首选压力-响应模型法（线性或非线性），备选群体分布法。本案例采用线性压力-响应模型。</w:t>
      </w:r>
    </w:p>
    <w:p w14:paraId="181BD270">
      <w:pPr>
        <w:pStyle w:val="53"/>
        <w:numPr>
          <w:ilvl w:val="0"/>
          <w:numId w:val="0"/>
        </w:numPr>
        <w:spacing w:before="156" w:after="156"/>
      </w:pPr>
      <w:r>
        <w:rPr>
          <w:rFonts w:hint="eastAsia"/>
        </w:rPr>
        <w:t>4.2.3 数据准备</w:t>
      </w:r>
    </w:p>
    <w:p w14:paraId="7AF36C59">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收集该水库近3年逐月监测数据，共36组同步数据，包括TN、TP、Chl-a、浊度。数据经正态性检验，Chl-a和TP呈正偏态，进行对数转换。</w:t>
      </w:r>
    </w:p>
    <w:p w14:paraId="67909920">
      <w:pPr>
        <w:pStyle w:val="53"/>
        <w:numPr>
          <w:ilvl w:val="0"/>
          <w:numId w:val="0"/>
        </w:numPr>
        <w:spacing w:before="156" w:after="156"/>
      </w:pPr>
      <w:r>
        <w:rPr>
          <w:rFonts w:hint="eastAsia"/>
        </w:rPr>
        <w:t>4.2.4 模型建立</w:t>
      </w:r>
    </w:p>
    <w:p w14:paraId="4BF505B0">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建立多元线性回归模型（对数形式）：</w:t>
      </w:r>
    </w:p>
    <w:p w14:paraId="79269AFE">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ln(Chl-a)=</w:t>
      </w:r>
      <w:r>
        <w:rPr>
          <w:rFonts w:hint="eastAsia" w:ascii="Times New Roman" w:hAnsi="Times New Roman" w:eastAsia="仿宋_GB2312" w:cs="仿宋_GB2312"/>
          <w:i/>
          <w:iCs/>
          <w:kern w:val="0"/>
          <w:sz w:val="28"/>
          <w:szCs w:val="28"/>
        </w:rPr>
        <w:t>β</w:t>
      </w:r>
      <w:r>
        <w:rPr>
          <w:rFonts w:hint="eastAsia" w:ascii="Times New Roman" w:hAnsi="Times New Roman" w:eastAsia="仿宋_GB2312" w:cs="仿宋_GB2312"/>
          <w:kern w:val="0"/>
          <w:sz w:val="28"/>
          <w:szCs w:val="28"/>
          <w:vertAlign w:val="subscript"/>
        </w:rPr>
        <w:t>0</w:t>
      </w:r>
      <w:r>
        <w:rPr>
          <w:rFonts w:hint="eastAsia" w:ascii="Times New Roman" w:hAnsi="Times New Roman" w:eastAsia="仿宋_GB2312" w:cs="仿宋_GB2312"/>
          <w:kern w:val="0"/>
          <w:sz w:val="28"/>
          <w:szCs w:val="28"/>
        </w:rPr>
        <w:t>+</w:t>
      </w:r>
      <w:r>
        <w:rPr>
          <w:rFonts w:hint="eastAsia" w:ascii="Times New Roman" w:hAnsi="Times New Roman" w:eastAsia="仿宋_GB2312" w:cs="仿宋_GB2312"/>
          <w:i/>
          <w:iCs/>
          <w:kern w:val="0"/>
          <w:sz w:val="28"/>
          <w:szCs w:val="28"/>
        </w:rPr>
        <w:t>β</w:t>
      </w:r>
      <w:r>
        <w:rPr>
          <w:rFonts w:hint="eastAsia" w:ascii="Times New Roman" w:hAnsi="Times New Roman" w:eastAsia="仿宋_GB2312" w:cs="仿宋_GB2312"/>
          <w:kern w:val="0"/>
          <w:sz w:val="28"/>
          <w:szCs w:val="28"/>
          <w:vertAlign w:val="subscript"/>
        </w:rPr>
        <w:t>1</w:t>
      </w:r>
      <w:r>
        <w:rPr>
          <w:rFonts w:hint="eastAsia" w:ascii="Times New Roman" w:hAnsi="Times New Roman" w:eastAsia="仿宋_GB2312" w:cs="仿宋_GB2312"/>
          <w:kern w:val="0"/>
          <w:sz w:val="28"/>
          <w:szCs w:val="28"/>
        </w:rPr>
        <w:t>ln(TN)+</w:t>
      </w:r>
      <w:r>
        <w:rPr>
          <w:rFonts w:hint="eastAsia" w:ascii="Times New Roman" w:hAnsi="Times New Roman" w:eastAsia="仿宋_GB2312" w:cs="仿宋_GB2312"/>
          <w:i/>
          <w:iCs/>
          <w:kern w:val="0"/>
          <w:sz w:val="28"/>
          <w:szCs w:val="28"/>
        </w:rPr>
        <w:t>β</w:t>
      </w:r>
      <w:r>
        <w:rPr>
          <w:rFonts w:hint="eastAsia" w:ascii="Times New Roman" w:hAnsi="Times New Roman" w:eastAsia="仿宋_GB2312" w:cs="仿宋_GB2312"/>
          <w:kern w:val="0"/>
          <w:sz w:val="28"/>
          <w:szCs w:val="28"/>
          <w:vertAlign w:val="subscript"/>
        </w:rPr>
        <w:t>2</w:t>
      </w:r>
      <w:r>
        <w:rPr>
          <w:rFonts w:hint="eastAsia" w:ascii="Times New Roman" w:hAnsi="Times New Roman" w:eastAsia="仿宋_GB2312" w:cs="仿宋_GB2312"/>
          <w:kern w:val="0"/>
          <w:sz w:val="28"/>
          <w:szCs w:val="28"/>
        </w:rPr>
        <w:t>ln(TP)+</w:t>
      </w:r>
      <w:r>
        <w:rPr>
          <w:rFonts w:hint="eastAsia" w:ascii="Times New Roman" w:hAnsi="Times New Roman" w:eastAsia="仿宋_GB2312" w:cs="仿宋_GB2312"/>
          <w:i/>
          <w:iCs/>
          <w:kern w:val="0"/>
          <w:sz w:val="28"/>
          <w:szCs w:val="28"/>
        </w:rPr>
        <w:t>β</w:t>
      </w:r>
      <w:r>
        <w:rPr>
          <w:rFonts w:hint="eastAsia" w:ascii="Times New Roman" w:hAnsi="Times New Roman" w:eastAsia="仿宋_GB2312" w:cs="仿宋_GB2312"/>
          <w:kern w:val="0"/>
          <w:sz w:val="28"/>
          <w:szCs w:val="28"/>
          <w:vertAlign w:val="subscript"/>
        </w:rPr>
        <w:t>3</w:t>
      </w:r>
      <w:r>
        <w:rPr>
          <w:rFonts w:ascii="Cambria Math" w:hAnsi="Cambria Math" w:eastAsia="仿宋_GB2312" w:cs="Cambria Math"/>
          <w:kern w:val="0"/>
          <w:sz w:val="28"/>
          <w:szCs w:val="28"/>
        </w:rPr>
        <w:t>⋅</w:t>
      </w:r>
      <w:r>
        <w:rPr>
          <w:rFonts w:hint="eastAsia" w:ascii="Times New Roman" w:hAnsi="Times New Roman" w:eastAsia="仿宋_GB2312" w:cs="仿宋_GB2312"/>
          <w:kern w:val="0"/>
          <w:sz w:val="28"/>
          <w:szCs w:val="28"/>
        </w:rPr>
        <w:t>浊度</w:t>
      </w:r>
    </w:p>
    <w:p w14:paraId="0E9A54D8">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经参数估计（最小二乘法）得：</w:t>
      </w:r>
    </w:p>
    <w:p w14:paraId="7ACBE9AE">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i/>
          <w:iCs/>
          <w:kern w:val="0"/>
          <w:sz w:val="28"/>
          <w:szCs w:val="28"/>
        </w:rPr>
        <w:t>β</w:t>
      </w:r>
      <w:r>
        <w:rPr>
          <w:rFonts w:hint="eastAsia" w:ascii="Times New Roman" w:hAnsi="Times New Roman" w:eastAsia="仿宋_GB2312" w:cs="仿宋_GB2312"/>
          <w:kern w:val="0"/>
          <w:sz w:val="28"/>
          <w:szCs w:val="28"/>
          <w:vertAlign w:val="subscript"/>
        </w:rPr>
        <w:t>0</w:t>
      </w:r>
      <w:r>
        <w:rPr>
          <w:rFonts w:hint="eastAsia" w:ascii="Times New Roman" w:hAnsi="Times New Roman" w:eastAsia="仿宋_GB2312" w:cs="仿宋_GB2312"/>
          <w:kern w:val="0"/>
          <w:sz w:val="28"/>
          <w:szCs w:val="28"/>
        </w:rPr>
        <w:t>=</w:t>
      </w:r>
      <w:r>
        <w:rPr>
          <w:rFonts w:ascii="Times New Roman" w:hAnsi="Times New Roman" w:eastAsia="仿宋_GB2312" w:cs="仿宋_GB2312"/>
          <w:kern w:val="0"/>
          <w:sz w:val="28"/>
          <w:szCs w:val="28"/>
        </w:rPr>
        <w:t>−</w:t>
      </w:r>
      <w:r>
        <w:rPr>
          <w:rFonts w:hint="eastAsia" w:ascii="Times New Roman" w:hAnsi="Times New Roman" w:eastAsia="仿宋_GB2312" w:cs="仿宋_GB2312"/>
          <w:kern w:val="0"/>
          <w:sz w:val="28"/>
          <w:szCs w:val="28"/>
        </w:rPr>
        <w:t>0.52</w:t>
      </w:r>
      <w:r>
        <w:rPr>
          <w:rFonts w:ascii="Times New Roman" w:hAnsi="Times New Roman" w:eastAsia="仿宋_GB2312" w:cs="仿宋_GB2312"/>
          <w:kern w:val="0"/>
          <w:sz w:val="28"/>
          <w:szCs w:val="28"/>
        </w:rPr>
        <w:t>，</w:t>
      </w:r>
      <w:r>
        <w:rPr>
          <w:rFonts w:hint="eastAsia" w:ascii="Times New Roman" w:hAnsi="Times New Roman" w:eastAsia="仿宋_GB2312" w:cs="仿宋_GB2312"/>
          <w:i/>
          <w:iCs/>
          <w:kern w:val="0"/>
          <w:sz w:val="28"/>
          <w:szCs w:val="28"/>
        </w:rPr>
        <w:t>β</w:t>
      </w:r>
      <w:r>
        <w:rPr>
          <w:rFonts w:hint="eastAsia" w:ascii="Times New Roman" w:hAnsi="Times New Roman" w:eastAsia="仿宋_GB2312" w:cs="仿宋_GB2312"/>
          <w:kern w:val="0"/>
          <w:sz w:val="28"/>
          <w:szCs w:val="28"/>
          <w:vertAlign w:val="subscript"/>
        </w:rPr>
        <w:t>1</w:t>
      </w:r>
      <w:r>
        <w:rPr>
          <w:rFonts w:hint="eastAsia" w:ascii="Times New Roman" w:hAnsi="Times New Roman" w:eastAsia="仿宋_GB2312" w:cs="仿宋_GB2312"/>
          <w:kern w:val="0"/>
          <w:sz w:val="28"/>
          <w:szCs w:val="28"/>
        </w:rPr>
        <w:t>=0.31，</w:t>
      </w:r>
      <w:r>
        <w:rPr>
          <w:rFonts w:hint="eastAsia" w:ascii="Times New Roman" w:hAnsi="Times New Roman" w:eastAsia="仿宋_GB2312" w:cs="仿宋_GB2312"/>
          <w:i/>
          <w:iCs/>
          <w:kern w:val="0"/>
          <w:sz w:val="28"/>
          <w:szCs w:val="28"/>
        </w:rPr>
        <w:t>β</w:t>
      </w:r>
      <w:r>
        <w:rPr>
          <w:rFonts w:hint="eastAsia" w:ascii="Times New Roman" w:hAnsi="Times New Roman" w:eastAsia="仿宋_GB2312" w:cs="仿宋_GB2312"/>
          <w:kern w:val="0"/>
          <w:sz w:val="28"/>
          <w:szCs w:val="28"/>
          <w:vertAlign w:val="subscript"/>
        </w:rPr>
        <w:t>2</w:t>
      </w:r>
      <w:r>
        <w:rPr>
          <w:rFonts w:hint="eastAsia" w:ascii="Times New Roman" w:hAnsi="Times New Roman" w:eastAsia="仿宋_GB2312" w:cs="仿宋_GB2312"/>
          <w:kern w:val="0"/>
          <w:sz w:val="28"/>
          <w:szCs w:val="28"/>
        </w:rPr>
        <w:t>=0.58，</w:t>
      </w:r>
      <w:r>
        <w:rPr>
          <w:rFonts w:hint="eastAsia" w:ascii="Times New Roman" w:hAnsi="Times New Roman" w:eastAsia="仿宋_GB2312" w:cs="仿宋_GB2312"/>
          <w:i/>
          <w:iCs/>
          <w:kern w:val="0"/>
          <w:sz w:val="28"/>
          <w:szCs w:val="28"/>
        </w:rPr>
        <w:t>β</w:t>
      </w:r>
      <w:r>
        <w:rPr>
          <w:rFonts w:hint="eastAsia" w:ascii="Times New Roman" w:hAnsi="Times New Roman" w:eastAsia="仿宋_GB2312" w:cs="仿宋_GB2312"/>
          <w:kern w:val="0"/>
          <w:sz w:val="28"/>
          <w:szCs w:val="28"/>
          <w:vertAlign w:val="subscript"/>
        </w:rPr>
        <w:t>3</w:t>
      </w:r>
      <w:r>
        <w:rPr>
          <w:rFonts w:hint="eastAsia" w:ascii="Times New Roman" w:hAnsi="Times New Roman" w:eastAsia="仿宋_GB2312" w:cs="仿宋_GB2312"/>
          <w:kern w:val="0"/>
          <w:sz w:val="28"/>
          <w:szCs w:val="28"/>
        </w:rPr>
        <w:t>=</w:t>
      </w:r>
      <w:r>
        <w:rPr>
          <w:rFonts w:ascii="Times New Roman" w:hAnsi="Times New Roman" w:eastAsia="仿宋_GB2312" w:cs="仿宋_GB2312"/>
          <w:kern w:val="0"/>
          <w:sz w:val="28"/>
          <w:szCs w:val="28"/>
        </w:rPr>
        <w:t>−</w:t>
      </w:r>
      <w:r>
        <w:rPr>
          <w:rFonts w:hint="eastAsia" w:ascii="Times New Roman" w:hAnsi="Times New Roman" w:eastAsia="仿宋_GB2312" w:cs="仿宋_GB2312"/>
          <w:kern w:val="0"/>
          <w:sz w:val="28"/>
          <w:szCs w:val="28"/>
        </w:rPr>
        <w:t>0.017</w:t>
      </w:r>
    </w:p>
    <w:p w14:paraId="12679F03">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模型R</w:t>
      </w:r>
      <w:r>
        <w:rPr>
          <w:rFonts w:ascii="Calibri" w:hAnsi="Calibri" w:eastAsia="仿宋_GB2312" w:cs="Calibri"/>
          <w:kern w:val="0"/>
          <w:sz w:val="28"/>
          <w:szCs w:val="28"/>
        </w:rPr>
        <w:t>²</w:t>
      </w:r>
      <w:r>
        <w:rPr>
          <w:rFonts w:hint="eastAsia" w:ascii="Times New Roman" w:hAnsi="Times New Roman" w:eastAsia="仿宋_GB2312" w:cs="仿宋_GB2312"/>
          <w:kern w:val="0"/>
          <w:sz w:val="28"/>
          <w:szCs w:val="28"/>
        </w:rPr>
        <w:t>=0.67，验证集RMSE/训练集RMSE=1.18，满足可接受标准。</w:t>
      </w:r>
    </w:p>
    <w:p w14:paraId="2C4BF4A8">
      <w:pPr>
        <w:pStyle w:val="53"/>
        <w:numPr>
          <w:ilvl w:val="0"/>
          <w:numId w:val="0"/>
        </w:numPr>
        <w:spacing w:before="156" w:after="156"/>
      </w:pPr>
      <w:r>
        <w:rPr>
          <w:rFonts w:hint="eastAsia"/>
        </w:rPr>
        <w:t>4.2.5 阈值推导</w:t>
      </w:r>
    </w:p>
    <w:p w14:paraId="364068B2">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设定Chl-a管理目标值：农业灌溉水体取Chl-a ≤ 20 μg/L（对应ln(20)=3.00）。取水库非汛期平均浊度42 NTU代入模型，反解得：</w:t>
      </w:r>
    </w:p>
    <w:p w14:paraId="151DEC80">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TP ≤ 0.11 mg/L</w:t>
      </w:r>
    </w:p>
    <w:p w14:paraId="74BE6543">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TN ≤ 1.6 mg/L</w:t>
      </w:r>
    </w:p>
    <w:p w14:paraId="550B064D">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作为该水库的氮磷阈值。</w:t>
      </w:r>
    </w:p>
    <w:p w14:paraId="56FA5945">
      <w:pPr>
        <w:pStyle w:val="53"/>
        <w:numPr>
          <w:ilvl w:val="0"/>
          <w:numId w:val="0"/>
        </w:numPr>
        <w:spacing w:before="156" w:after="156"/>
      </w:pPr>
      <w:r>
        <w:rPr>
          <w:rFonts w:hint="eastAsia"/>
        </w:rPr>
        <w:t>4.2.6 结果表征</w:t>
      </w:r>
    </w:p>
    <w:p w14:paraId="7525E65A">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阈值表述：当水库浊度为42 NTU时，为维持Chl-a ≤ 20 μg/L，TP应 ≤ 0.11 mg/L，TN应 ≤ 1.6 mg/L。该阈值适用于本水库非汛期，汛期高浊度条件下需另行计算。</w:t>
      </w:r>
    </w:p>
    <w:p w14:paraId="2EF120B7">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 xml:space="preserve">4.3 </w:t>
      </w:r>
      <w:r>
        <w:rPr>
          <w:rFonts w:ascii="Times New Roman" w:hAnsi="Times New Roman" w:eastAsia="黑体" w:cs="仿宋_GB2312"/>
          <w:kern w:val="0"/>
          <w:sz w:val="28"/>
          <w:szCs w:val="28"/>
        </w:rPr>
        <w:t>案例小结</w:t>
      </w:r>
    </w:p>
    <w:p w14:paraId="1F326254">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ascii="Times New Roman" w:hAnsi="Times New Roman" w:eastAsia="仿宋_GB2312" w:cs="仿宋_GB2312"/>
          <w:kern w:val="0"/>
          <w:sz w:val="28"/>
          <w:szCs w:val="28"/>
        </w:rPr>
        <w:t>本案例演示了针对受人为扰动较大、中浊度水库，采用压力-响应模型法制定氮磷阈值的完整流程。实际应用中，建议使用更长期数据，并可与群体分布法结果相互校验。</w:t>
      </w:r>
    </w:p>
    <w:p w14:paraId="30703A42">
      <w:pPr>
        <w:overflowPunct w:val="0"/>
        <w:autoSpaceDE w:val="0"/>
        <w:autoSpaceDN w:val="0"/>
        <w:adjustRightInd w:val="0"/>
        <w:spacing w:line="560" w:lineRule="exact"/>
        <w:outlineLvl w:val="0"/>
        <w:rPr>
          <w:rFonts w:ascii="Times New Roman" w:hAnsi="Times New Roman" w:eastAsia="黑体" w:cs="仿宋_GB2312"/>
          <w:b/>
          <w:bCs/>
          <w:kern w:val="0"/>
          <w:sz w:val="28"/>
          <w:szCs w:val="28"/>
        </w:rPr>
      </w:pPr>
      <w:bookmarkStart w:id="9" w:name="_Toc232429223"/>
      <w:r>
        <w:rPr>
          <w:rFonts w:hint="eastAsia" w:ascii="Times New Roman" w:hAnsi="Times New Roman" w:eastAsia="黑体" w:cs="仿宋_GB2312"/>
          <w:b/>
          <w:bCs/>
          <w:kern w:val="0"/>
          <w:sz w:val="28"/>
          <w:szCs w:val="28"/>
        </w:rPr>
        <w:t>5</w:t>
      </w:r>
      <w:r>
        <w:rPr>
          <w:rFonts w:ascii="Times New Roman" w:hAnsi="Times New Roman" w:eastAsia="黑体" w:cs="仿宋_GB2312"/>
          <w:b/>
          <w:bCs/>
          <w:kern w:val="0"/>
          <w:sz w:val="28"/>
          <w:szCs w:val="28"/>
        </w:rPr>
        <w:t xml:space="preserve"> </w:t>
      </w:r>
      <w:r>
        <w:rPr>
          <w:rFonts w:hint="eastAsia" w:ascii="Times New Roman" w:hAnsi="Times New Roman" w:eastAsia="黑体" w:cs="仿宋_GB2312"/>
          <w:b/>
          <w:bCs/>
          <w:kern w:val="0"/>
          <w:sz w:val="28"/>
          <w:szCs w:val="28"/>
        </w:rPr>
        <w:t>与国内外相关标准的关系分析</w:t>
      </w:r>
      <w:bookmarkEnd w:id="9"/>
    </w:p>
    <w:p w14:paraId="240DC43B">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5.1 国际研究进展与趋势</w:t>
      </w:r>
    </w:p>
    <w:p w14:paraId="5A0476AD">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国际上针对湖库氮磷阈值制定的研究始于20世纪70年代，目前已形成较为完善的理论体系、方法框架和应用实践，主要呈现以下特点和趋势：</w:t>
      </w:r>
    </w:p>
    <w:p w14:paraId="7849B0F9">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（1）理论体系不断完善</w:t>
      </w:r>
    </w:p>
    <w:p w14:paraId="1AA8A148">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国际上普遍基于“压力-状态-响应”框架和生态系统完整性理论，将营养物阈值视为维持水体生态功能、防止富营养化的关键管理工具。经济合作与发展组织（OECD）于1982年发布的《水体富营养化：监测、评估与控制》报告，系统系统提出了基于总磷与叶绿素a、透明度关系的经验模型，奠定了阈值制定的理论基础[1]。此后，稳态转换理论、生态阈值理论、营养物基准理论等相继发展，推动阈值研究从单一化学指标向多指标、多稳态、生态系统完整性方向发展[2-4]。</w:t>
      </w:r>
    </w:p>
    <w:p w14:paraId="52401408">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（2）方法体系日趋成熟</w:t>
      </w:r>
    </w:p>
    <w:p w14:paraId="56362901">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美国环境保护署（USEPA）在2000年发布《湖泊与水库营养物基准技术指南》，系统提出了参照状态法、三分法、湖泊群体分布法、压力-响应模型法等四大类方法，成为国际主流技术框架[5]。欧盟在水框架指令（WFD）实施过程中，发展了基于类型学参照条件的生态状态评估方法，强调区域差异与生物指标整合[6]。近年来，随着大数据与人工智能技术的发展，机器学习、贝叶斯层次模型、生态过程模型等方法应用日益广泛，提升了阈值制定的精度与适应性[7-10]。</w:t>
      </w:r>
    </w:p>
    <w:p w14:paraId="76CFE580">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（3）区域适应性研究深入</w:t>
      </w:r>
    </w:p>
    <w:p w14:paraId="47461BB1">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不同国家和地区针对本地水文、气候、生态特征开展了大量适应性研究。例如：北美五大湖区针对深水湖泊特征，发展了分层采样与内源负荷评估方法[11]；北欧国家针对寒温带湖泊，重点关注冰封期营养物动态与春季藻类暴发关系[12]；澳大利亚针对干旱区临时性湖泊，发展了基于水文周期的动态阈值方法[13]；东亚地区（如日本、韩国）针对高人口密度流域，注重点源与面源污染的协同控制阈值[14]。</w:t>
      </w:r>
    </w:p>
    <w:p w14:paraId="67A12E3D">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（4）管理应用不断拓展</w:t>
      </w:r>
    </w:p>
    <w:p w14:paraId="67BF2D73">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国际经验表明，科学的营养物阈值已成为水质标准制定、排放许可管理、流域规划、生态修复评估的核心依据。例如，美国TMDL计划中广泛使用营养物阈值进行负荷分配[15]；欧盟成员国依据WFD要求，制定了不同类型水体的营养物阈值，并每6年进行评估更新[6]。近年来，阈值研究进一步与气候变化适应、生物多样性保护、生态系统服务评估等议题相结合，呈现多目标协同管理趋势[3, 4]。</w:t>
      </w:r>
    </w:p>
    <w:p w14:paraId="2C3F84DF">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5.2 国内研究进展与特点</w:t>
      </w:r>
    </w:p>
    <w:p w14:paraId="75DFE674">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我国湖库氮磷阈值研究始于20世纪90年代，在借鉴国际经验基础上，逐步形成了具有中国特色的研究体系，主要体现在以下几个方面：</w:t>
      </w:r>
    </w:p>
    <w:p w14:paraId="2998E0E9">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（1）标准规范逐步建立</w:t>
      </w:r>
    </w:p>
    <w:p w14:paraId="355BE45D">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原国家环境保护总局于2000年发布《湖泊富营养化评价方法与技术规范》，首次提出了适用于我国湖泊的营养状态评价标准。2017年，生态环境部发布《湖泊营养物基准制定技术指南》（HJ 838-2017），系统规定了参照湖泊法、湖泊群体分布法等方法，为我国湖库营养物基准研究提供了规范性指导。此外，《地表水环境质量标准》（GB 3838）中湖库特定项目标准的制修订，也为阈值研究提供了管理需求牵引。</w:t>
      </w:r>
    </w:p>
    <w:p w14:paraId="21548D71">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（2）区域研究成果丰富</w:t>
      </w:r>
    </w:p>
    <w:p w14:paraId="3DA3B823">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我国学者针对不同区域湖泊水库开展了大量实证研究，积累了丰富的案例数据。例如：太湖、巢湖、滇池等东部平原浅水湖泊，重点研究蓝藻水华暴发阈值与内源释放机制[2]；三峡水库、丹江口水库等大型深水水库，关注水温分层、泥沙吸附等对营养物效应的影响；青藏高原湖泊，研究低温、强辐射等极端环境下营养物循环特征；云贵高原喀斯特湖泊，关注碳酸盐岩地质背景下的营养物本底值特殊性[16-19]。</w:t>
      </w:r>
    </w:p>
    <w:p w14:paraId="4CDBDEF2">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（3）方法应用不断创新</w:t>
      </w:r>
    </w:p>
    <w:p w14:paraId="08FDE202">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在引进国际主流方法基础上，国内学者结合我国湖库特点开展了方法改进与创新。例如：针对我国湖泊普遍受人为扰动的现实，发展了基于历史数据重建、沉积物记录反演的参照状态确定方法[20]；针对高浊度水体（如黄河、长江流域水库），开展了浊度校正、泥沙吸附效应评估等特色研究；应用分类回归树、随机森林、神经网络等机器学习方法，处理复杂的非线性关系与多因子交互[21, 22]；探索将生态模型（如PCLake、CE-QUAL-W2）与阈值制定相结合，增强过程机制理解[10]。</w:t>
      </w:r>
    </w:p>
    <w:p w14:paraId="6166C6D3">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5.3 黄河流域相关研究现状</w:t>
      </w:r>
    </w:p>
    <w:p w14:paraId="29A5EE0C">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黄河流域湖库氮磷阈值研究起步相对较晚，但近年来在国家科技专项、流域治理工程等推动下发展迅速，呈现出以下特点与需求：</w:t>
      </w:r>
    </w:p>
    <w:p w14:paraId="5DAA1767">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（1）区域特殊性研究亟待加强</w:t>
      </w:r>
    </w:p>
    <w:p w14:paraId="6EA8DEE9">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黄河流域湖库具有“高浊度、高泥沙、强季节性、强人为扰动”等鲜明特征，传统基于清水湖泊的阈值方法适用性受限。现有研究表明，黄河泥沙对营养物吸附-解吸作用显著，浊度对光合作用抑制明显，水文波动导致生态状态不稳定，这些因素使得营养物-藻类响应关系复杂化，急需发展区域适应性方法。</w:t>
      </w:r>
    </w:p>
    <w:p w14:paraId="5F7C939E">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（2）关键科学问题逐步明确</w:t>
      </w:r>
    </w:p>
    <w:p w14:paraId="0E7C8C12">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近年研究围绕以下关键问题展开：a)高浊度下营养物生物有效性：泥沙吸附态氮磷的生物可利用性及其释放机制；b)浊度-光照-藻类生长的耦合关系：定量揭示浊度对藻类生长的抑制阈值；c)季节性水文波动的影响：汛期与非汛期营养物效应差异及动态阈值需求；d)人为扰动与自然本底的区分：在强烈人类活动背景下，如何科学确定参照状态[23, 24]。</w:t>
      </w:r>
    </w:p>
    <w:p w14:paraId="2F83C3D3">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（3）管理支撑需求迫切</w:t>
      </w:r>
    </w:p>
    <w:p w14:paraId="26B903FD">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随着黄河流域生态保护和高质量发展国家战略的实施，流域内湖库水质改善、生态修复、水源保障等任务艰巨，对科学、可操作的氮磷阈值提出了迫切需求。目前流域内尚缺乏系统、统一的阈值制定技术规范，地方标准制定、治理目标确定、工程效果评估等工作缺乏科学依据，急需制定适应流域特点的技术指南。</w:t>
      </w:r>
    </w:p>
    <w:p w14:paraId="22DAD8CE">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5.4 本《指南》在国内外研究中的定位与创新</w:t>
      </w:r>
    </w:p>
    <w:p w14:paraId="0B6888DC">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指南》在系统梳理国内外湖库营养物基准与阈值制定研究进展的基础上，紧密围绕黄河流域湖库“高浊度、高泥沙、强季节性水文波动、强烈人为扰动”等区域特征，开展技术集成与适应性创新。其定位是为黄河流域提供一部兼具科学性与可操作性、专门针对区域特点的氮磷阈值制定技术规范，旨在填补国家普适性指南（如HJ 838-2017）在直接应用于本流域时面临的“水土不服”之技术空白。</w:t>
      </w:r>
    </w:p>
    <w:p w14:paraId="5C6D57C4">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本《指南》的主要创新与特色体现在以下方面：</w:t>
      </w:r>
    </w:p>
    <w:p w14:paraId="704DF23A">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1）构建了适应黄河流域特点的系统化技术流程： 在国际主流“压力-状态-响应”框架和国内现有基准制定方法基础上，针对流域管理需求，系统构建了“数据收集→湖库分类→方法选择→阈值推导→验证审核→成果应用”的完整技术流程。该流程逻辑严谨、环环相扣，突出了数据基础、分类指导和方法适配的递进关系，强化了全过程的质量控制与可追溯性。</w:t>
      </w:r>
    </w:p>
    <w:p w14:paraId="70C84200">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2）建立了基于多维分类的差异化阈值制定路径： 融合流域自然特征与管理需求，建立了涵盖“人为扰动程度、水文泥沙特征、形态水深、水体功能”的多维湖库分类体系。该体系是连接湖库特征与阈值制定方法的桥梁，为不同扰动水平、不同浊度背景、不同功能的湖库推荐最具适应性的制定方法（如参照湖泊法、压力-响应模型法、贝叶斯层次模型等），实现了从“一刀切”到“分类指导”的技术提升。</w:t>
      </w:r>
    </w:p>
    <w:p w14:paraId="7DB591D0">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3）集成了多种方法并明确了其适用边界： 本《指南》系统整合了从传统统计分析到现代数据驱动模型等多种方法，包括参照湖泊法、湖泊群体分布法、压力-响应模型法（线性/非线性、分类回归树、拐点分析）、区域贝叶斯层次模型以及模型推断法等。不仅提供了详细的技术步骤，更重点明确了各类方法的适用前提、数据要求及优缺点，并提供了基于湖库分类的速查决策指引，增强了技术选择的科学性与可操作性。</w:t>
      </w:r>
    </w:p>
    <w:p w14:paraId="73AFF180">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4）强化了阈值结果的验证、表征与管理衔接： 设立了严格的阈值验证与审核程序，涵盖内部验证与外部验证，以确保结果的稳健性与可靠性。在阈值表征上，强调必须清晰说明其形式、适用条件（特别是浊度与季节）、时空范围及不确定性，避免误用。同时，专章阐述阈值在水质标准制定、流域规划、治理技术选择等管理环节的具体应用方式，推动科学阈值向管理实践的有效转化。</w:t>
      </w:r>
    </w:p>
    <w:p w14:paraId="36501552">
      <w:pPr>
        <w:overflowPunct w:val="0"/>
        <w:autoSpaceDE w:val="0"/>
        <w:autoSpaceDN w:val="0"/>
        <w:adjustRightInd w:val="0"/>
        <w:spacing w:line="560" w:lineRule="exact"/>
        <w:ind w:firstLine="56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总之，本《指南》并非旨在提出全新的基础理论，而是侧重于方法的系统性集成、区域性适配与技术规范化。它通过将国际国内成熟方法与黄河流域特殊问题相结合，形成了一套针对性强、流程清晰、可落地实施的技术规范体系，是对国家现有技术指南在流域尺度上的重要补充和具体化，旨在为黄河流域湖库氮磷管控提供更精准、更可靠的科学依据。</w:t>
      </w:r>
    </w:p>
    <w:p w14:paraId="5EC7828C">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5.5 与法律法规的协调性分析</w:t>
      </w:r>
    </w:p>
    <w:p w14:paraId="26E81D63">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本《指南》在编制过程中严格遵循我国现行环境保护相关的法律法规，确保技术内容与法律要求保持高度一致，主要体现在以下几个方面：</w:t>
      </w:r>
    </w:p>
    <w:p w14:paraId="31BC215A">
      <w:pPr>
        <w:overflowPunct w:val="0"/>
        <w:autoSpaceDE w:val="0"/>
        <w:autoSpaceDN w:val="0"/>
        <w:adjustRightInd w:val="0"/>
        <w:spacing w:line="560" w:lineRule="exact"/>
        <w:ind w:firstLine="562" w:firstLineChars="200"/>
        <w:rPr>
          <w:rFonts w:ascii="Times New Roman" w:hAnsi="Times New Roman" w:eastAsia="仿宋_GB2312" w:cs="仿宋_GB2312"/>
          <w:b/>
          <w:bCs/>
          <w:kern w:val="0"/>
          <w:sz w:val="28"/>
          <w:szCs w:val="28"/>
        </w:rPr>
      </w:pPr>
      <w:r>
        <w:rPr>
          <w:rFonts w:hint="eastAsia" w:ascii="Times New Roman" w:hAnsi="Times New Roman" w:eastAsia="仿宋_GB2312" w:cs="仿宋_GB2312"/>
          <w:b/>
          <w:bCs/>
          <w:kern w:val="0"/>
          <w:sz w:val="28"/>
          <w:szCs w:val="28"/>
        </w:rPr>
        <w:t>（1）符合《中华人民共和国环境保护法》的基本原则</w:t>
      </w:r>
    </w:p>
    <w:p w14:paraId="195850FD">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指南》遵循《环境保护法》确立的“保护优先、预防为主、综合治理、公众参与、损害担责”基本原则，在阈值制定中强调生态保护优先，提出预防性阈值和控制性阈值，支持从源头控制污染、实施综合治理的技术路径，为落实环境保护法律责任提供科学依据。</w:t>
      </w:r>
    </w:p>
    <w:p w14:paraId="6C27C4D6">
      <w:pPr>
        <w:overflowPunct w:val="0"/>
        <w:autoSpaceDE w:val="0"/>
        <w:autoSpaceDN w:val="0"/>
        <w:adjustRightInd w:val="0"/>
        <w:spacing w:line="560" w:lineRule="exact"/>
        <w:ind w:firstLine="562" w:firstLineChars="200"/>
        <w:rPr>
          <w:rFonts w:ascii="Times New Roman" w:hAnsi="Times New Roman" w:eastAsia="仿宋_GB2312" w:cs="仿宋_GB2312"/>
          <w:b/>
          <w:bCs/>
          <w:kern w:val="0"/>
          <w:sz w:val="28"/>
          <w:szCs w:val="28"/>
        </w:rPr>
      </w:pPr>
      <w:r>
        <w:rPr>
          <w:rFonts w:hint="eastAsia" w:ascii="Times New Roman" w:hAnsi="Times New Roman" w:eastAsia="仿宋_GB2312" w:cs="仿宋_GB2312"/>
          <w:b/>
          <w:bCs/>
          <w:kern w:val="0"/>
          <w:sz w:val="28"/>
          <w:szCs w:val="28"/>
        </w:rPr>
        <w:t>（2）贯彻《中华人民共和国水污染防治法》的管理要求</w:t>
      </w:r>
    </w:p>
    <w:p w14:paraId="4CB73828">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水污染防治法》明确要求对重点水污染物实施总量控制和排放标准管理。本《指南》提供的氮磷阈值制定方法，可为流域内湖库营养盐总量控制目标的确定、排污许可限值的制定提供科学依据，支撑法律要求的落地实施。特别在第十四条关于“制定重要江河、湖泊的水环境质量标准”的规定方面，本《指南》可直接为黄河流域湖库水质标准修订提供技术支持。</w:t>
      </w:r>
    </w:p>
    <w:p w14:paraId="2BF23E75">
      <w:pPr>
        <w:overflowPunct w:val="0"/>
        <w:autoSpaceDE w:val="0"/>
        <w:autoSpaceDN w:val="0"/>
        <w:adjustRightInd w:val="0"/>
        <w:spacing w:line="560" w:lineRule="exact"/>
        <w:ind w:firstLine="562" w:firstLineChars="200"/>
        <w:rPr>
          <w:rFonts w:ascii="Times New Roman" w:hAnsi="Times New Roman" w:eastAsia="仿宋_GB2312" w:cs="仿宋_GB2312"/>
          <w:b/>
          <w:bCs/>
          <w:kern w:val="0"/>
          <w:sz w:val="28"/>
          <w:szCs w:val="28"/>
        </w:rPr>
      </w:pPr>
      <w:r>
        <w:rPr>
          <w:rFonts w:hint="eastAsia" w:ascii="Times New Roman" w:hAnsi="Times New Roman" w:eastAsia="仿宋_GB2312" w:cs="仿宋_GB2312"/>
          <w:b/>
          <w:bCs/>
          <w:kern w:val="0"/>
          <w:sz w:val="28"/>
          <w:szCs w:val="28"/>
        </w:rPr>
        <w:t>（3）落实《中华人民共和国黄河保护法》的专门规定</w:t>
      </w:r>
    </w:p>
    <w:p w14:paraId="0752E5E0">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黄河保护法》作为我国首部流域专门法律，对黄河流域生态保护与高质量发展提出明确要求。本《指南》专门针对黄河流域湖库高浊度、高泥沙、强水文波动等特性设计技术方法，与法律第二十八条“加强黄河流域水环境质量标准制定”、第四十二条“科学确定河湖生态流量和湖泊水位”等规定直接呼应，为法律实施提供配套技术支撑。</w:t>
      </w:r>
    </w:p>
    <w:p w14:paraId="12496DE9">
      <w:pPr>
        <w:overflowPunct w:val="0"/>
        <w:autoSpaceDE w:val="0"/>
        <w:autoSpaceDN w:val="0"/>
        <w:adjustRightInd w:val="0"/>
        <w:spacing w:line="560" w:lineRule="exact"/>
        <w:ind w:firstLine="562" w:firstLineChars="200"/>
        <w:rPr>
          <w:rFonts w:ascii="Times New Roman" w:hAnsi="Times New Roman" w:eastAsia="仿宋_GB2312" w:cs="仿宋_GB2312"/>
          <w:b/>
          <w:bCs/>
          <w:kern w:val="0"/>
          <w:sz w:val="28"/>
          <w:szCs w:val="28"/>
        </w:rPr>
      </w:pPr>
      <w:r>
        <w:rPr>
          <w:rFonts w:hint="eastAsia" w:ascii="Times New Roman" w:hAnsi="Times New Roman" w:eastAsia="仿宋_GB2312" w:cs="仿宋_GB2312"/>
          <w:b/>
          <w:bCs/>
          <w:kern w:val="0"/>
          <w:sz w:val="28"/>
          <w:szCs w:val="28"/>
        </w:rPr>
        <w:t>（4）衔接《中华人民共和国标准化法》的规范要求</w:t>
      </w:r>
    </w:p>
    <w:p w14:paraId="260A4B94">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本《指南》作为团体标准，严格遵循《标准化法》关于标准制定程序和内容的要求，坚持科学性、规范性、适用性原则，确保标准内容与技术发展水平相适应，与现行标准体系相协调。</w:t>
      </w:r>
    </w:p>
    <w:p w14:paraId="74022EA0">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5.6 与国家标准及行业标准的协调性</w:t>
      </w:r>
    </w:p>
    <w:p w14:paraId="12C3A35E">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本《指南》与现行国家标准、行业标准在技术内容、指标体系、方法原理等方面保持协调统一，并在其基础上进行了深化和拓展：</w:t>
      </w:r>
    </w:p>
    <w:p w14:paraId="765F0EB5">
      <w:pPr>
        <w:overflowPunct w:val="0"/>
        <w:autoSpaceDE w:val="0"/>
        <w:autoSpaceDN w:val="0"/>
        <w:adjustRightInd w:val="0"/>
        <w:spacing w:line="560" w:lineRule="exact"/>
        <w:ind w:firstLine="562" w:firstLineChars="200"/>
        <w:rPr>
          <w:rFonts w:ascii="Times New Roman" w:hAnsi="Times New Roman" w:eastAsia="仿宋_GB2312" w:cs="仿宋_GB2312"/>
          <w:b/>
          <w:bCs/>
          <w:kern w:val="0"/>
          <w:sz w:val="28"/>
          <w:szCs w:val="28"/>
        </w:rPr>
      </w:pPr>
      <w:r>
        <w:rPr>
          <w:rFonts w:hint="eastAsia" w:ascii="Times New Roman" w:hAnsi="Times New Roman" w:eastAsia="仿宋_GB2312" w:cs="仿宋_GB2312"/>
          <w:b/>
          <w:bCs/>
          <w:kern w:val="0"/>
          <w:sz w:val="28"/>
          <w:szCs w:val="28"/>
        </w:rPr>
        <w:t>（1）与《地表水环境质量标准》（GB 3838）的协调</w:t>
      </w:r>
    </w:p>
    <w:p w14:paraId="37C4337C">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GB 3838是我国水环境管理的核心标准，规定了地表水环境质量的基本要求。本《指南》与GB 3838在以下方面保持协调：</w:t>
      </w:r>
    </w:p>
    <w:p w14:paraId="7CF7EE17">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指标一致性：本《指南》聚焦的总氮（TN）、总磷（TP）、叶绿素a（Chl-a）等核心指标均为GB 3838中的基本项目；</w:t>
      </w:r>
    </w:p>
    <w:p w14:paraId="4E75E496">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目标衔接性：本《指南》确定的营养物阈值可作为GB 3838中湖库特定项目标准值（如总磷、总氮）制修订的科学依据；</w:t>
      </w:r>
    </w:p>
    <w:p w14:paraId="1BCF2EA1">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分类对应性：本《指南》的湖库分类体系与GB 3838的水体功能分类（Ⅰ-Ⅴ类）在保护目标上相互对应，如饮用水源地对应Ⅰ-Ⅱ类水体要求。</w:t>
      </w:r>
    </w:p>
    <w:p w14:paraId="763C8BAF">
      <w:pPr>
        <w:overflowPunct w:val="0"/>
        <w:autoSpaceDE w:val="0"/>
        <w:autoSpaceDN w:val="0"/>
        <w:adjustRightInd w:val="0"/>
        <w:spacing w:line="560" w:lineRule="exact"/>
        <w:ind w:firstLine="562" w:firstLineChars="200"/>
        <w:rPr>
          <w:rFonts w:ascii="Times New Roman" w:hAnsi="Times New Roman" w:eastAsia="仿宋_GB2312" w:cs="仿宋_GB2312"/>
          <w:b/>
          <w:bCs/>
          <w:kern w:val="0"/>
          <w:sz w:val="28"/>
          <w:szCs w:val="28"/>
        </w:rPr>
      </w:pPr>
      <w:r>
        <w:rPr>
          <w:rFonts w:hint="eastAsia" w:ascii="Times New Roman" w:hAnsi="Times New Roman" w:eastAsia="仿宋_GB2312" w:cs="仿宋_GB2312"/>
          <w:b/>
          <w:bCs/>
          <w:kern w:val="0"/>
          <w:sz w:val="28"/>
          <w:szCs w:val="28"/>
        </w:rPr>
        <w:t>（2）对《湖泊营养物基准制定技术指南》（HJ 838）的深化拓展</w:t>
      </w:r>
    </w:p>
    <w:p w14:paraId="0BC7B76E">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HJ 838是本《指南》编制的直接技术依据，两者在以下方面体现继承与发展的关系：（a）方法体系延续：本《指南》全面采用HJ 838确立的参照状态法、压力-响应模型法等基础方法框架；（b）区域特色深化：针对HJ 838中提出的“考虑区域特征”要求，本《指南》专门针对黄河流域特点，发展了高浊度数据校正、动态阈值制定等特色技术；（c）管理应用拓展：HJ 838侧重于基准制定，本《指南》进一步延伸至阈值应用、治理技术选择等管理环节，形成了更完整的技术链条。</w:t>
      </w:r>
    </w:p>
    <w:p w14:paraId="07D4BE5F">
      <w:pPr>
        <w:overflowPunct w:val="0"/>
        <w:autoSpaceDE w:val="0"/>
        <w:autoSpaceDN w:val="0"/>
        <w:adjustRightInd w:val="0"/>
        <w:spacing w:line="560" w:lineRule="exact"/>
        <w:ind w:firstLine="562" w:firstLineChars="200"/>
        <w:rPr>
          <w:rFonts w:ascii="Times New Roman" w:hAnsi="Times New Roman" w:eastAsia="仿宋_GB2312" w:cs="仿宋_GB2312"/>
          <w:b/>
          <w:bCs/>
          <w:kern w:val="0"/>
          <w:sz w:val="28"/>
          <w:szCs w:val="28"/>
        </w:rPr>
      </w:pPr>
      <w:r>
        <w:rPr>
          <w:rFonts w:hint="eastAsia" w:ascii="Times New Roman" w:hAnsi="Times New Roman" w:eastAsia="仿宋_GB2312" w:cs="仿宋_GB2312"/>
          <w:b/>
          <w:bCs/>
          <w:kern w:val="0"/>
          <w:sz w:val="28"/>
          <w:szCs w:val="28"/>
        </w:rPr>
        <w:t>（3）与其他相关水质监测标准的配套衔接</w:t>
      </w:r>
    </w:p>
    <w:p w14:paraId="0797F9F6">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本《指南》在数据要求部分明确引用了一系列水质监测标准，确保技术实施与现行监测体系无缝衔接：</w:t>
      </w:r>
    </w:p>
    <w:p w14:paraId="6C5D15BA">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监测方法标准：明确采用HJ 636（总氮测定）、GB 11893（总磷测定）、HJ 897（叶绿素a测定）等标准方法，保证数据可比性；</w:t>
      </w:r>
    </w:p>
    <w:p w14:paraId="4A1765B9">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监测规范标准：遵循HJ 91.2（地表水监测技术规范）的采样、保存、运输、分析全流程要求；</w:t>
      </w:r>
    </w:p>
    <w:p w14:paraId="7EA64C6F">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质量控制标准：在附录中提出的数据质量要求与HJ 630（环境监测质量管理技术导则）等标准协调一致。</w:t>
      </w:r>
    </w:p>
    <w:p w14:paraId="5D677B77">
      <w:pPr>
        <w:overflowPunct w:val="0"/>
        <w:autoSpaceDE w:val="0"/>
        <w:autoSpaceDN w:val="0"/>
        <w:adjustRightInd w:val="0"/>
        <w:spacing w:line="560" w:lineRule="exact"/>
        <w:outlineLvl w:val="0"/>
        <w:rPr>
          <w:rFonts w:ascii="Times New Roman" w:hAnsi="Times New Roman" w:eastAsia="黑体" w:cs="仿宋_GB2312"/>
          <w:b/>
          <w:bCs/>
          <w:kern w:val="0"/>
          <w:sz w:val="28"/>
          <w:szCs w:val="28"/>
        </w:rPr>
      </w:pPr>
      <w:bookmarkStart w:id="10" w:name="_Toc232429224"/>
      <w:r>
        <w:rPr>
          <w:rFonts w:hint="eastAsia" w:ascii="Times New Roman" w:hAnsi="Times New Roman" w:eastAsia="黑体" w:cs="仿宋_GB2312"/>
          <w:b/>
          <w:bCs/>
          <w:kern w:val="0"/>
          <w:sz w:val="28"/>
          <w:szCs w:val="28"/>
        </w:rPr>
        <w:t>6</w:t>
      </w:r>
      <w:r>
        <w:rPr>
          <w:rFonts w:ascii="Times New Roman" w:hAnsi="Times New Roman" w:eastAsia="黑体" w:cs="仿宋_GB2312"/>
          <w:b/>
          <w:bCs/>
          <w:kern w:val="0"/>
          <w:sz w:val="28"/>
          <w:szCs w:val="28"/>
        </w:rPr>
        <w:t xml:space="preserve"> </w:t>
      </w:r>
      <w:r>
        <w:rPr>
          <w:rFonts w:hint="eastAsia" w:ascii="Times New Roman" w:hAnsi="Times New Roman" w:eastAsia="黑体" w:cs="仿宋_GB2312"/>
          <w:b/>
          <w:bCs/>
          <w:kern w:val="0"/>
          <w:sz w:val="28"/>
          <w:szCs w:val="28"/>
        </w:rPr>
        <w:t>标准实施的效益分析</w:t>
      </w:r>
      <w:bookmarkEnd w:id="10"/>
    </w:p>
    <w:p w14:paraId="2186AB5A">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本标准的实施预期在生态环境管理、技术支撑和流域治理协同等方面产生效益。</w:t>
      </w:r>
    </w:p>
    <w:p w14:paraId="2E8C104D">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6.1 生态环境效益</w:t>
      </w:r>
    </w:p>
    <w:p w14:paraId="70949D01">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标准通过建立适应黄河流域高浊度、强水文波动特征的氮磷阈值判定方法，有助于科学识别湖库富营养化控制的关键浓度，为制定合理的水质保护目标提供依据。实施后可减少因阈值不适导致的保护不足或过度保护问题，预期可在重点湖库逐步改善富营养化状态，降低藻类水华发生风险，维护水生态系统健康。</w:t>
      </w:r>
    </w:p>
    <w:p w14:paraId="22FD35CD">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6.2 管理效益</w:t>
      </w:r>
    </w:p>
    <w:p w14:paraId="617AC46B">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标准为《黄河保护法》中关于水环境质量标准制定的要求提供了可直接应用的技术工具。通过规范数据收集、湖库分类、阈值推导和验证流程，可提高黄河流域各省区在氮磷管控上的技术一致性和结果可比性，支撑“一湖一策”差异化管理和流域水质目标考核。</w:t>
      </w:r>
    </w:p>
    <w:p w14:paraId="2AB3C2F7">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6.3 经济效益</w:t>
      </w:r>
    </w:p>
    <w:p w14:paraId="4CBAF9F0">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标准采用以浊度为核心指标的技术路线，依托现有常规监测体系，无需大规模增加监测设备和人员投入。通过明确阈值推导的技术要求和验证程序，可减少因方法不统一造成的重复研究和决策试错成本，提高治污资金的使用效率。</w:t>
      </w:r>
    </w:p>
    <w:p w14:paraId="5BDA837B">
      <w:pPr>
        <w:overflowPunct w:val="0"/>
        <w:autoSpaceDE w:val="0"/>
        <w:autoSpaceDN w:val="0"/>
        <w:adjustRightInd w:val="0"/>
        <w:spacing w:line="560" w:lineRule="exact"/>
        <w:outlineLvl w:val="0"/>
        <w:rPr>
          <w:rFonts w:ascii="Times New Roman" w:hAnsi="Times New Roman" w:eastAsia="黑体" w:cs="仿宋_GB2312"/>
          <w:b/>
          <w:bCs/>
          <w:kern w:val="0"/>
          <w:sz w:val="28"/>
          <w:szCs w:val="28"/>
        </w:rPr>
      </w:pPr>
      <w:bookmarkStart w:id="11" w:name="_Toc232429225"/>
      <w:r>
        <w:rPr>
          <w:rFonts w:hint="eastAsia" w:ascii="Times New Roman" w:hAnsi="Times New Roman" w:eastAsia="黑体" w:cs="仿宋_GB2312"/>
          <w:b/>
          <w:bCs/>
          <w:kern w:val="0"/>
          <w:sz w:val="28"/>
          <w:szCs w:val="28"/>
        </w:rPr>
        <w:t>7 标准实施的建议</w:t>
      </w:r>
      <w:bookmarkEnd w:id="11"/>
    </w:p>
    <w:p w14:paraId="4950FAA6">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7.1 实施主体与责任分工</w:t>
      </w:r>
    </w:p>
    <w:p w14:paraId="7329DAD9">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建议由黄河流域生态环境监督管理机构牵头，组织各省区生态环境部门依据本标准开展辖区内湖库氮磷阈值制定工作。技术支撑可由科研院所、监测中心等单位承担，负责数据审核、模型计算和阈值验证。</w:t>
      </w:r>
    </w:p>
    <w:p w14:paraId="33492FD9">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7.2 数据基础准备</w:t>
      </w:r>
    </w:p>
    <w:p w14:paraId="0FEA7142">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实施前应对现有湖库监测数据开展系统梳理，重点核查浊度指标的连续性和规范性。对于数据系列不足3年的湖库，建议先完成补充监测后再进行阈值制定。标准中涉及的浊度、TN、TP、Chl-a等指标应统一采用规范性引用文件中列出的监测方法。</w:t>
      </w:r>
    </w:p>
    <w:p w14:paraId="33CBFED1">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7.3 分阶段推进</w:t>
      </w:r>
    </w:p>
    <w:p w14:paraId="4FE96224">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建议优先在富营养化问题突出、监测数据基础较好的湖库（如乌梁素海、小浪底水库等）开展试点应用，积累案例经验后再逐步推广至全流域。对于数据条件较差的区域，可先采用统计分析法中的群体分布法或三分法获得参考阈值，待数据积累后再用压力-响应模型法校核。</w:t>
      </w:r>
    </w:p>
    <w:p w14:paraId="52AD3DBC">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7.4 培训与技术指导</w:t>
      </w:r>
    </w:p>
    <w:p w14:paraId="66B9978B">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建议标准发布后，由归口单位组织针对省级监测和管理人员的技术培训，重点讲解湖库分类方法、浊度数据处理、模型选择和阈值表征等关键技术环节。同时可配套编制实施示例手册，提供典型湖库的计算案例，便于基层人员参照使用。</w:t>
      </w:r>
    </w:p>
    <w:p w14:paraId="4EA6B405">
      <w:pPr>
        <w:overflowPunct w:val="0"/>
        <w:autoSpaceDE w:val="0"/>
        <w:autoSpaceDN w:val="0"/>
        <w:adjustRightInd w:val="0"/>
        <w:spacing w:line="560" w:lineRule="exact"/>
        <w:outlineLvl w:val="1"/>
        <w:rPr>
          <w:rFonts w:ascii="Times New Roman" w:hAnsi="Times New Roman" w:eastAsia="黑体" w:cs="仿宋_GB2312"/>
          <w:kern w:val="0"/>
          <w:sz w:val="28"/>
          <w:szCs w:val="28"/>
        </w:rPr>
      </w:pPr>
      <w:r>
        <w:rPr>
          <w:rFonts w:hint="eastAsia" w:ascii="Times New Roman" w:hAnsi="Times New Roman" w:eastAsia="黑体" w:cs="仿宋_GB2312"/>
          <w:kern w:val="0"/>
          <w:sz w:val="28"/>
          <w:szCs w:val="28"/>
        </w:rPr>
        <w:t>7.5 动态修订机制</w:t>
      </w:r>
    </w:p>
    <w:p w14:paraId="714E1014">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本标准的技术方法和管理阈值应随着黄河流域湖库水质变化、监测数据积累和科学研究进展进行定期评估。建议每5年组织一次标准实施效果评估，必要时启动修订程序，确保标准的适用性和先进性。</w:t>
      </w:r>
    </w:p>
    <w:p w14:paraId="489E33B3">
      <w:pPr>
        <w:overflowPunct w:val="0"/>
        <w:autoSpaceDE w:val="0"/>
        <w:autoSpaceDN w:val="0"/>
        <w:adjustRightInd w:val="0"/>
        <w:spacing w:line="560" w:lineRule="exact"/>
        <w:outlineLvl w:val="0"/>
        <w:rPr>
          <w:rFonts w:ascii="Times New Roman" w:hAnsi="Times New Roman" w:eastAsia="仿宋_GB2312" w:cs="仿宋_GB2312"/>
          <w:b/>
          <w:bCs/>
          <w:kern w:val="0"/>
          <w:sz w:val="28"/>
          <w:szCs w:val="28"/>
        </w:rPr>
      </w:pPr>
      <w:bookmarkStart w:id="12" w:name="_Toc232429226"/>
      <w:bookmarkStart w:id="13" w:name="_Hlk160486195"/>
      <w:r>
        <w:rPr>
          <w:rFonts w:ascii="Times New Roman" w:hAnsi="Times New Roman" w:eastAsia="黑体" w:cs="仿宋_GB2312"/>
          <w:b/>
          <w:bCs/>
          <w:kern w:val="0"/>
          <w:sz w:val="28"/>
          <w:szCs w:val="28"/>
        </w:rPr>
        <w:t xml:space="preserve">8 </w:t>
      </w:r>
      <w:r>
        <w:rPr>
          <w:rFonts w:hint="eastAsia" w:ascii="Times New Roman" w:hAnsi="Times New Roman" w:eastAsia="黑体" w:cs="仿宋_GB2312"/>
          <w:b/>
          <w:bCs/>
          <w:kern w:val="0"/>
          <w:sz w:val="28"/>
          <w:szCs w:val="28"/>
        </w:rPr>
        <w:t>其他应予以说明的内容</w:t>
      </w:r>
      <w:bookmarkEnd w:id="12"/>
    </w:p>
    <w:p w14:paraId="55B603B8">
      <w:pPr>
        <w:overflowPunct w:val="0"/>
        <w:autoSpaceDE w:val="0"/>
        <w:autoSpaceDN w:val="0"/>
        <w:adjustRightInd w:val="0"/>
        <w:spacing w:line="56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无。</w:t>
      </w:r>
    </w:p>
    <w:p w14:paraId="13090999">
      <w:pPr>
        <w:overflowPunct w:val="0"/>
        <w:autoSpaceDE w:val="0"/>
        <w:autoSpaceDN w:val="0"/>
        <w:adjustRightInd w:val="0"/>
        <w:spacing w:line="560" w:lineRule="exact"/>
        <w:rPr>
          <w:rFonts w:ascii="Times New Roman" w:hAnsi="Times New Roman" w:eastAsia="仿宋_GB2312" w:cs="仿宋_GB2312"/>
          <w:color w:val="FF0000"/>
          <w:kern w:val="0"/>
          <w:sz w:val="28"/>
          <w:szCs w:val="28"/>
        </w:rPr>
      </w:pPr>
    </w:p>
    <w:p w14:paraId="5CC1EDD9">
      <w:pPr>
        <w:overflowPunct w:val="0"/>
        <w:autoSpaceDE w:val="0"/>
        <w:autoSpaceDN w:val="0"/>
        <w:adjustRightInd w:val="0"/>
        <w:spacing w:line="560" w:lineRule="exact"/>
        <w:outlineLvl w:val="0"/>
        <w:rPr>
          <w:rFonts w:ascii="Times New Roman" w:hAnsi="Times New Roman" w:eastAsia="黑体" w:cs="仿宋_GB2312"/>
          <w:kern w:val="0"/>
          <w:sz w:val="28"/>
          <w:szCs w:val="28"/>
        </w:rPr>
      </w:pPr>
      <w:bookmarkStart w:id="14" w:name="_Toc232429227"/>
      <w:r>
        <w:rPr>
          <w:rFonts w:hint="eastAsia" w:ascii="Times New Roman" w:hAnsi="Times New Roman" w:eastAsia="黑体" w:cs="仿宋_GB2312"/>
          <w:kern w:val="0"/>
          <w:sz w:val="28"/>
          <w:szCs w:val="28"/>
        </w:rPr>
        <w:t>参考文献</w:t>
      </w:r>
      <w:bookmarkEnd w:id="14"/>
    </w:p>
    <w:bookmarkEnd w:id="13"/>
    <w:p w14:paraId="482DEF17">
      <w:pPr>
        <w:overflowPunct w:val="0"/>
        <w:adjustRightInd w:val="0"/>
        <w:snapToGrid w:val="0"/>
        <w:spacing w:after="160"/>
        <w:ind w:left="560" w:hanging="560" w:hangingChars="200"/>
        <w:rPr>
          <w:rFonts w:ascii="Times New Roman" w:hAnsi="Times New Roman" w:eastAsia="仿宋_GB2312" w:cs="Times New Roman"/>
          <w:sz w:val="28"/>
          <w:szCs w:val="28"/>
          <w:lang w:val="fr-FR"/>
          <w14:ligatures w14:val="standardContextual"/>
        </w:rPr>
      </w:pPr>
      <w:r>
        <w:rPr>
          <w:rFonts w:hint="eastAsia" w:ascii="Times New Roman" w:hAnsi="Times New Roman" w:eastAsia="仿宋_GB2312" w:cs="Times New Roman"/>
          <w:sz w:val="28"/>
          <w:szCs w:val="28"/>
          <w14:ligatures w14:val="standardContextual"/>
        </w:rPr>
        <w:t xml:space="preserve">[1] VOLLENWEIDER, R. A. &amp; KEREKES, J. Eutrophication of waters. Monitoring, assessment and control OECD cooperative programme on monitoring of inland waters (Eutrophication control) [R]. </w:t>
      </w:r>
      <w:r>
        <w:rPr>
          <w:rFonts w:hint="eastAsia" w:ascii="Times New Roman" w:hAnsi="Times New Roman" w:eastAsia="仿宋_GB2312" w:cs="Times New Roman"/>
          <w:sz w:val="28"/>
          <w:szCs w:val="28"/>
          <w:lang w:val="fr-FR"/>
          <w14:ligatures w14:val="standardContextual"/>
        </w:rPr>
        <w:t>Environ. Direct. OECD 156, 154 (1982).</w:t>
      </w:r>
    </w:p>
    <w:p w14:paraId="253A27E3">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lang w:val="fr-FR"/>
          <w14:ligatures w14:val="standardContextual"/>
        </w:rPr>
        <w:t xml:space="preserve">[2] XU H, QIN B, ZHU G, et al. </w:t>
      </w:r>
      <w:r>
        <w:rPr>
          <w:rFonts w:hint="eastAsia" w:ascii="Times New Roman" w:hAnsi="Times New Roman" w:eastAsia="仿宋_GB2312" w:cs="Times New Roman"/>
          <w:sz w:val="28"/>
          <w:szCs w:val="28"/>
          <w14:ligatures w14:val="standardContextual"/>
        </w:rPr>
        <w:t>Determining Critical Nutrient Thresholds Needed to Control Harmful Cyanobacterial Blooms in Eutrophic Lake Taihu, China[J]. Environmental Science and Technology, 2014, 49(2):1051.DOI:10.1021/es503744q.</w:t>
      </w:r>
    </w:p>
    <w:p w14:paraId="431903D6">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[3] JANSSEN A B G , HILT S , KOSTEN S ,et al. Shifting states, shifting services: Linking regime shifts to changes in ecosystem services of shallow lakes[J]. Freshwater Biology, 2021, 66, 1-12. DOI:10.1111/FWB.13582.</w:t>
      </w:r>
    </w:p>
    <w:p w14:paraId="31B4F073">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[4] HESSEN D O, ANDERSEN T , MCKAY D A ,et al.Lake ecosystem tipping points and climate feedbacks[J].  Earth Syst. Dynam., 2024, 15, 653</w:t>
      </w:r>
      <w:r>
        <w:rPr>
          <w:rFonts w:ascii="Courier New" w:hAnsi="Courier New" w:eastAsia="仿宋_GB2312" w:cs="Courier New"/>
          <w:sz w:val="28"/>
          <w:szCs w:val="28"/>
          <w14:ligatures w14:val="standardContextual"/>
        </w:rPr>
        <w:t>–</w:t>
      </w:r>
      <w:r>
        <w:rPr>
          <w:rFonts w:hint="eastAsia" w:ascii="Times New Roman" w:hAnsi="Times New Roman" w:eastAsia="仿宋_GB2312" w:cs="Times New Roman"/>
          <w:sz w:val="28"/>
          <w:szCs w:val="28"/>
          <w14:ligatures w14:val="standardContextual"/>
        </w:rPr>
        <w:t xml:space="preserve">669, </w:t>
      </w:r>
      <w:r>
        <w:fldChar w:fldCharType="begin"/>
      </w:r>
      <w:r>
        <w:instrText xml:space="preserve"> HYPERLINK "https://doi.org/10.5194/esd-15-653-2024" </w:instrText>
      </w:r>
      <w:r>
        <w:fldChar w:fldCharType="separate"/>
      </w:r>
      <w:r>
        <w:rPr>
          <w:rStyle w:val="18"/>
          <w:rFonts w:hint="eastAsia" w:ascii="Times New Roman" w:hAnsi="Times New Roman" w:eastAsia="仿宋_GB2312" w:cs="Times New Roman"/>
          <w:sz w:val="28"/>
          <w:szCs w:val="28"/>
          <w14:ligatures w14:val="standardContextual"/>
        </w:rPr>
        <w:t>https://doi.org/10.5194/esd-15-653-2024</w:t>
      </w:r>
      <w:r>
        <w:rPr>
          <w:rStyle w:val="18"/>
          <w:rFonts w:hint="eastAsia" w:ascii="Times New Roman" w:hAnsi="Times New Roman" w:eastAsia="仿宋_GB2312" w:cs="Times New Roman"/>
          <w:sz w:val="28"/>
          <w:szCs w:val="28"/>
          <w14:ligatures w14:val="standardContextual"/>
        </w:rPr>
        <w:fldChar w:fldCharType="end"/>
      </w:r>
      <w:r>
        <w:rPr>
          <w:rFonts w:hint="eastAsia" w:ascii="Times New Roman" w:hAnsi="Times New Roman" w:eastAsia="仿宋_GB2312" w:cs="Times New Roman"/>
          <w:sz w:val="28"/>
          <w:szCs w:val="28"/>
          <w14:ligatures w14:val="standardContextual"/>
        </w:rPr>
        <w:t>.</w:t>
      </w:r>
    </w:p>
    <w:p w14:paraId="05793F1A">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bookmarkStart w:id="15" w:name="_Hlk216279768"/>
      <w:r>
        <w:rPr>
          <w:rFonts w:hint="eastAsia" w:ascii="Times New Roman" w:hAnsi="Times New Roman" w:eastAsia="仿宋_GB2312" w:cs="Times New Roman"/>
          <w:sz w:val="28"/>
          <w:szCs w:val="28"/>
          <w14:ligatures w14:val="standardContextual"/>
        </w:rPr>
        <w:t>[5] US Environmental Protection Agency. Nutrient Criteria Technical Guidance Manual.Lakes and Reservoirs[R]. Washington DC: US Environmental Protection Agency, Office of Water, 2000.</w:t>
      </w:r>
    </w:p>
    <w:p w14:paraId="4CA341D4">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bookmarkStart w:id="16" w:name="_Hlk216279792"/>
      <w:r>
        <w:rPr>
          <w:rFonts w:hint="eastAsia" w:ascii="Times New Roman" w:hAnsi="Times New Roman" w:eastAsia="仿宋_GB2312" w:cs="Times New Roman"/>
          <w:sz w:val="28"/>
          <w:szCs w:val="28"/>
          <w14:ligatures w14:val="standardContextual"/>
        </w:rPr>
        <w:t>[6] European Union. Directive 2000/60/EC of the European Parliament and of the Council of 23 October 2000 establishing a framework for Community action in the field of water policy [R]. Official Journal of the European Communities, L 327, 22.12.2000, pp. 1</w:t>
      </w:r>
      <w:r>
        <w:rPr>
          <w:rFonts w:ascii="Courier New" w:hAnsi="Courier New" w:eastAsia="仿宋_GB2312" w:cs="Courier New"/>
          <w:sz w:val="28"/>
          <w:szCs w:val="28"/>
          <w14:ligatures w14:val="standardContextual"/>
        </w:rPr>
        <w:t>–</w:t>
      </w:r>
      <w:r>
        <w:rPr>
          <w:rFonts w:hint="eastAsia" w:ascii="Times New Roman" w:hAnsi="Times New Roman" w:eastAsia="仿宋_GB2312" w:cs="Times New Roman"/>
          <w:sz w:val="28"/>
          <w:szCs w:val="28"/>
          <w14:ligatures w14:val="standardContextual"/>
        </w:rPr>
        <w:t>73.</w:t>
      </w:r>
      <w:bookmarkEnd w:id="16"/>
    </w:p>
    <w:bookmarkEnd w:id="15"/>
    <w:p w14:paraId="17767B53">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[7] HAWKINS C P, OLSON J R, HILL R A. The reference condition: predicting benchmarks for ecological and water-quality assessments[J]. Journal of the North American Benthological Society, 2010, 29: 312-343.</w:t>
      </w:r>
    </w:p>
    <w:p w14:paraId="3765DF71">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[8] LAMON E C, QIAN S S. Regional scale stressor-response models in aquatic ecosystems[J]. Journal of the American Water Resources Association, 2008, 44: 771-781.</w:t>
      </w:r>
    </w:p>
    <w:p w14:paraId="0920E1EE">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[9] 霍守亮,陈奇,席北斗,等.湖泊营养物基准的制定方法研究进展[J].生态环境学报,2009,18(2):743-748.</w:t>
      </w:r>
    </w:p>
    <w:p w14:paraId="5A39C60B">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lang w:val="fr-FR"/>
          <w14:ligatures w14:val="standardContextual"/>
        </w:rPr>
        <w:t xml:space="preserve">[10] LIANG, Z., XU, Y., QIU, Q., LIU, Y., et al. </w:t>
      </w:r>
      <w:r>
        <w:rPr>
          <w:rFonts w:hint="eastAsia" w:ascii="Times New Roman" w:hAnsi="Times New Roman" w:eastAsia="仿宋_GB2312" w:cs="Times New Roman"/>
          <w:sz w:val="28"/>
          <w:szCs w:val="28"/>
          <w14:ligatures w14:val="standardContextual"/>
        </w:rPr>
        <w:t>A framework to develop joint nutrient criteria for lake eutrophication management in eutrophic lakes [J]. Journal of Hydrology, 2021,594, (2), 125883.</w:t>
      </w:r>
    </w:p>
    <w:p w14:paraId="756F8596">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[11] JETOO S. Multi-level governance innovations of the Baltic Sea and the North American Great Lakes: New actors and their roles in building adaptive capacity for eutrophication governance[J]. Marine policy, 2018, 98(DEC.):237-245. DOI:10.1016/j.marpol.2018.09.020.</w:t>
      </w:r>
    </w:p>
    <w:p w14:paraId="5264B36B">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[12] ZHOU J, LEAVITT P R, ROSE K C, et al.Controls of thermal response of temperate lakes to atmospheric warming[J].Nature Communications, 2023, 14(1).DOI:10.1038/s41467-023-42262-x.</w:t>
      </w:r>
    </w:p>
    <w:p w14:paraId="7C43E74F">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[13] PUCKRIDGE J T, COSTELLOE J F, REID J R W. Ecological responses to variable water regimes in arid-zone wetlands: Coongie Lakes, Australia[J].Marine &amp; Freshwater Research, 2010, 61(8):832-841. DOI:10.1071/MF09069.</w:t>
      </w:r>
    </w:p>
    <w:p w14:paraId="540DC0ED">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[14] HAVENS K E, FUKUSHIMA T, XIE P. Nutrient dynamics and the eutrophication of shallow lakes Kasumigaura (Japan), Donghu (PR China), and Okeechobee (USA)[J]. Environmental Pollution, 2001, 111(2):263-272. DOI:10.1016/S0269-7491(00)00074-9.</w:t>
      </w:r>
    </w:p>
    <w:p w14:paraId="2EAF2E6C">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bookmarkStart w:id="17" w:name="_Hlk216279821"/>
      <w:r>
        <w:rPr>
          <w:rFonts w:hint="eastAsia" w:ascii="Times New Roman" w:hAnsi="Times New Roman" w:eastAsia="仿宋_GB2312" w:cs="Times New Roman"/>
          <w:sz w:val="28"/>
          <w:szCs w:val="28"/>
          <w14:ligatures w14:val="standardContextual"/>
        </w:rPr>
        <w:t>[15] US Environmental Protection Agency. National Strategy for the Development of Regional Nutrient Criteria[R]. Washington DC: US Environmental Protection Agency, Office of Water, 1998.</w:t>
      </w:r>
    </w:p>
    <w:bookmarkEnd w:id="17"/>
    <w:p w14:paraId="1194B569">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lang w:val="fr-FR"/>
          <w14:ligatures w14:val="standardContextual"/>
        </w:rPr>
        <w:t xml:space="preserve">[16] HUO S L, ZAN F Y, CHEN Q, et al. </w:t>
      </w:r>
      <w:r>
        <w:rPr>
          <w:rFonts w:hint="eastAsia" w:ascii="Times New Roman" w:hAnsi="Times New Roman" w:eastAsia="仿宋_GB2312" w:cs="Times New Roman"/>
          <w:sz w:val="28"/>
          <w:szCs w:val="28"/>
          <w14:ligatures w14:val="standardContextual"/>
        </w:rPr>
        <w:t>Determining reference conditions for nutrients,chlorophyll a and Secchi depth in Yungui Plateau ecoregion lakes,China[J]. Water and Environment Journal,2012,26:324-334.</w:t>
      </w:r>
    </w:p>
    <w:p w14:paraId="11003E43">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lang w:val="fr-FR"/>
          <w14:ligatures w14:val="standardContextual"/>
        </w:rPr>
        <w:t xml:space="preserve">[17] HUO S L,XI B D,SU J, et al. </w:t>
      </w:r>
      <w:r>
        <w:rPr>
          <w:rFonts w:hint="eastAsia" w:ascii="Times New Roman" w:hAnsi="Times New Roman" w:eastAsia="仿宋_GB2312" w:cs="Times New Roman"/>
          <w:sz w:val="28"/>
          <w:szCs w:val="28"/>
          <w14:ligatures w14:val="standardContextual"/>
        </w:rPr>
        <w:t>Determining reference conditions for TN,TP,SD and Chl-a in eastern plain ecoregion lakes,China[J]. Journal of Environmental Sciences, 2013, 25(5):1001-1006.</w:t>
      </w:r>
    </w:p>
    <w:p w14:paraId="51613DE5">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lang w:val="fr-FR"/>
          <w14:ligatures w14:val="standardContextual"/>
        </w:rPr>
        <w:t xml:space="preserve">[18] HUO S L, MA C Z, XI B D, et al. </w:t>
      </w:r>
      <w:r>
        <w:rPr>
          <w:rFonts w:hint="eastAsia" w:ascii="Times New Roman" w:hAnsi="Times New Roman" w:eastAsia="仿宋_GB2312" w:cs="Times New Roman"/>
          <w:sz w:val="28"/>
          <w:szCs w:val="28"/>
          <w14:ligatures w14:val="standardContextual"/>
        </w:rPr>
        <w:t>Defining reference nutrient concentrations in southeast eco-region lakes, China [J]. Clean</w:t>
      </w:r>
      <w:r>
        <w:rPr>
          <w:rFonts w:ascii="Courier New" w:hAnsi="Courier New" w:eastAsia="仿宋_GB2312" w:cs="Courier New"/>
          <w:sz w:val="28"/>
          <w:szCs w:val="28"/>
          <w14:ligatures w14:val="standardContextual"/>
        </w:rPr>
        <w:t>–</w:t>
      </w:r>
      <w:r>
        <w:rPr>
          <w:rFonts w:hint="eastAsia" w:ascii="Times New Roman" w:hAnsi="Times New Roman" w:eastAsia="仿宋_GB2312" w:cs="Times New Roman"/>
          <w:sz w:val="28"/>
          <w:szCs w:val="28"/>
          <w14:ligatures w14:val="standardContextual"/>
        </w:rPr>
        <w:t>Soil,Air, Water, 2014, 42(8):1066-1075.</w:t>
      </w:r>
    </w:p>
    <w:p w14:paraId="1A9064D1">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[19] HUO S L, MA C Z, XI B D, et al. Establishing water quality reference conditions for nutrients, chlorophyll a and Secchi depth for 7 typical lakes in arid and semiarid ecoregion,China[J]. Environmental Earth Sciences, 2015, 73:4739-4748.</w:t>
      </w:r>
    </w:p>
    <w:p w14:paraId="30786B9C">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[20] ZHANG Y L, HUO S L, LI R H, et al. Diatom taxa and assemblages for establishing nutrient criteria of lakes with anthropogenic hydrologic alteration[J]. Ecological Indicators, 2016, 67:166-173.</w:t>
      </w:r>
    </w:p>
    <w:p w14:paraId="52082F3C">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[21] 张礼兵,霍守亮,周玉良,等.基于系统动力学的湖泊营养物基准参照状态研究[J].环境科学学报,2011,31(6):1254-1262.</w:t>
      </w:r>
    </w:p>
    <w:p w14:paraId="16C516AB">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lang w:val="fr-FR"/>
          <w14:ligatures w14:val="standardContextual"/>
        </w:rPr>
        <w:t xml:space="preserve">[22] HUO S L, XI B D, MA C Z, et al. </w:t>
      </w:r>
      <w:r>
        <w:rPr>
          <w:rFonts w:hint="eastAsia" w:ascii="Times New Roman" w:hAnsi="Times New Roman" w:eastAsia="仿宋_GB2312" w:cs="Times New Roman"/>
          <w:sz w:val="28"/>
          <w:szCs w:val="28"/>
          <w14:ligatures w14:val="standardContextual"/>
        </w:rPr>
        <w:t>Stressor-Response Models: A Practical Application for the Development of Lake Nutrient Criteria in China[J]. Environmental Science &amp; Technology, 2013, 47(21):11922-11923.</w:t>
      </w:r>
    </w:p>
    <w:p w14:paraId="73B493E2">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[23] 陈明洪, 方红卫, 陈志和. 泥沙颗粒表面磷吸附分布的实验研究[J]. 泥沙研究, 2009(4): 51-57.</w:t>
      </w:r>
    </w:p>
    <w:p w14:paraId="725BCA91">
      <w:pPr>
        <w:overflowPunct w:val="0"/>
        <w:adjustRightInd w:val="0"/>
        <w:snapToGrid w:val="0"/>
        <w:spacing w:after="160"/>
        <w:ind w:left="560" w:hanging="560" w:hangingChars="200"/>
        <w:rPr>
          <w:rFonts w:ascii="Times New Roman" w:hAnsi="Times New Roman" w:eastAsia="仿宋_GB2312" w:cs="Times New Roman"/>
          <w:sz w:val="28"/>
          <w:szCs w:val="28"/>
          <w14:ligatures w14:val="standardContextual"/>
        </w:rPr>
      </w:pPr>
      <w:r>
        <w:rPr>
          <w:rFonts w:hint="eastAsia" w:ascii="Times New Roman" w:hAnsi="Times New Roman" w:eastAsia="仿宋_GB2312" w:cs="Times New Roman"/>
          <w:sz w:val="28"/>
          <w:szCs w:val="28"/>
          <w14:ligatures w14:val="standardContextual"/>
        </w:rPr>
        <w:t>[24] 李旺,李振亮,祖波.三峡库区泥沙对磷的吸附试验及模型研究[J].科学技术与工程,2018,18(33):86-92.</w:t>
      </w: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E975BC-38CA-4F58-8E89-580AE6697C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F44D84D-5B02-4C08-9036-E828C8CC3E97}"/>
  </w:font>
  <w:font w:name="等线">
    <w:panose1 w:val="02010600030101010101"/>
    <w:charset w:val="86"/>
    <w:family w:val="auto"/>
    <w:pitch w:val="default"/>
    <w:sig w:usb0="A00002BF" w:usb1="38CF7CFA" w:usb2="00000016" w:usb3="00000000" w:csb0="0004000F" w:csb1="00000000"/>
    <w:embedRegular r:id="rId3" w:fontKey="{27CBF692-404A-418A-83A5-170E235F2B49}"/>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embedRegular r:id="rId4" w:fontKey="{8AFB4681-A4F3-4090-A07D-921EA7FCE8B2}"/>
  </w:font>
  <w:font w:name="楷体_GB2312">
    <w:altName w:val="楷体"/>
    <w:panose1 w:val="00000000000000000000"/>
    <w:charset w:val="86"/>
    <w:family w:val="modern"/>
    <w:pitch w:val="default"/>
    <w:sig w:usb0="00000000" w:usb1="00000000" w:usb2="00000010" w:usb3="00000000" w:csb0="00040000" w:csb1="00000000"/>
    <w:embedRegular r:id="rId5" w:fontKey="{9B03BCB0-B660-4824-98B4-50568B5B9D18}"/>
  </w:font>
  <w:font w:name="仿宋_GB2312">
    <w:panose1 w:val="02010609030101010101"/>
    <w:charset w:val="86"/>
    <w:family w:val="modern"/>
    <w:pitch w:val="default"/>
    <w:sig w:usb0="00000001" w:usb1="080E0000" w:usb2="00000000" w:usb3="00000000" w:csb0="00040000" w:csb1="00000000"/>
    <w:embedRegular r:id="rId6" w:fontKey="{8EB733FB-35F6-4B30-8D34-0AB7DB2B3350}"/>
  </w:font>
  <w:font w:name="仿宋">
    <w:panose1 w:val="02010609060101010101"/>
    <w:charset w:val="86"/>
    <w:family w:val="modern"/>
    <w:pitch w:val="default"/>
    <w:sig w:usb0="800002BF" w:usb1="38CF7CFA" w:usb2="00000016" w:usb3="00000000" w:csb0="00040001" w:csb1="00000000"/>
    <w:embedRegular r:id="rId7" w:fontKey="{C72EDD67-F8F3-40A7-BC89-5473CE53A753}"/>
  </w:font>
  <w:font w:name="华文中宋">
    <w:panose1 w:val="02010600040101010101"/>
    <w:charset w:val="86"/>
    <w:family w:val="auto"/>
    <w:pitch w:val="default"/>
    <w:sig w:usb0="00000287" w:usb1="080F0000" w:usb2="00000000" w:usb3="00000000" w:csb0="0004009F" w:csb1="DFD70000"/>
    <w:embedRegular r:id="rId8" w:fontKey="{3D2DBE70-D5D4-4FCB-B302-400EED6943D6}"/>
  </w:font>
  <w:font w:name="Cambria Math">
    <w:panose1 w:val="02040503050406030204"/>
    <w:charset w:val="00"/>
    <w:family w:val="roman"/>
    <w:pitch w:val="default"/>
    <w:sig w:usb0="E00006FF" w:usb1="420024FF" w:usb2="02000000" w:usb3="00000000" w:csb0="2000019F" w:csb1="00000000"/>
    <w:embedRegular r:id="rId9" w:fontKey="{B497C000-0A42-4886-AEB0-60316E2FCF62}"/>
  </w:font>
  <w:font w:name="Courier New">
    <w:panose1 w:val="02070309020205020404"/>
    <w:charset w:val="00"/>
    <w:family w:val="modern"/>
    <w:pitch w:val="default"/>
    <w:sig w:usb0="E0002EFF" w:usb1="C0007843" w:usb2="00000009" w:usb3="00000000" w:csb0="400001FF" w:csb1="FFFF0000"/>
    <w:embedRegular r:id="rId10" w:fontKey="{7A78456A-8C31-4877-A368-E02FCCA09F26}"/>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1BCC1">
    <w:pPr>
      <w:pStyle w:val="8"/>
      <w:jc w:val="center"/>
      <w:rPr>
        <w:rFonts w:ascii="Times New Roman" w:hAnsi="Times New Roman" w:cs="Times New Roman"/>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4409347"/>
      <w:docPartObj>
        <w:docPartGallery w:val="autotext"/>
      </w:docPartObj>
    </w:sdtPr>
    <w:sdtEndPr>
      <w:rPr>
        <w:rFonts w:ascii="Times New Roman" w:hAnsi="Times New Roman" w:cs="Times New Roman"/>
        <w:sz w:val="22"/>
        <w:szCs w:val="22"/>
      </w:rPr>
    </w:sdtEndPr>
    <w:sdtContent>
      <w:p w14:paraId="0779B538">
        <w:pPr>
          <w:pStyle w:val="8"/>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PAGE   \* MERGEFORMAT</w:instrText>
        </w:r>
        <w:r>
          <w:rPr>
            <w:rFonts w:ascii="Times New Roman" w:hAnsi="Times New Roman" w:cs="Times New Roman"/>
            <w:sz w:val="22"/>
            <w:szCs w:val="22"/>
          </w:rPr>
          <w:fldChar w:fldCharType="separate"/>
        </w:r>
        <w:r>
          <w:rPr>
            <w:rFonts w:ascii="Times New Roman" w:hAnsi="Times New Roman" w:cs="Times New Roman"/>
            <w:sz w:val="22"/>
            <w:szCs w:val="22"/>
            <w:lang w:val="zh-CN"/>
          </w:rPr>
          <w:t>2</w:t>
        </w:r>
        <w:r>
          <w:rPr>
            <w:rFonts w:ascii="Times New Roman" w:hAnsi="Times New Roman" w:cs="Times New Roman"/>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1457194"/>
      <w:docPartObj>
        <w:docPartGallery w:val="autotext"/>
      </w:docPartObj>
    </w:sdtPr>
    <w:sdtEndPr>
      <w:rPr>
        <w:rFonts w:ascii="Times New Roman" w:hAnsi="Times New Roman" w:cs="Times New Roman"/>
        <w:sz w:val="22"/>
        <w:szCs w:val="22"/>
      </w:rPr>
    </w:sdtEndPr>
    <w:sdtContent>
      <w:p w14:paraId="6871AEC0">
        <w:pPr>
          <w:pStyle w:val="8"/>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PAGE   \* MERGEFORMAT</w:instrText>
        </w:r>
        <w:r>
          <w:rPr>
            <w:rFonts w:ascii="Times New Roman" w:hAnsi="Times New Roman" w:cs="Times New Roman"/>
            <w:sz w:val="22"/>
            <w:szCs w:val="22"/>
          </w:rPr>
          <w:fldChar w:fldCharType="separate"/>
        </w:r>
        <w:r>
          <w:rPr>
            <w:rFonts w:ascii="Times New Roman" w:hAnsi="Times New Roman" w:cs="Times New Roman"/>
            <w:sz w:val="22"/>
            <w:szCs w:val="22"/>
            <w:lang w:val="zh-CN"/>
          </w:rPr>
          <w:t>2</w:t>
        </w:r>
        <w:r>
          <w:rPr>
            <w:rFonts w:ascii="Times New Roman" w:hAnsi="Times New Roman" w:cs="Times New Roman"/>
            <w:sz w:val="22"/>
            <w:szCs w:val="22"/>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D3FEA"/>
    <w:multiLevelType w:val="multilevel"/>
    <w:tmpl w:val="07ED3FEA"/>
    <w:lvl w:ilvl="0" w:tentative="0">
      <w:start w:val="1"/>
      <w:numFmt w:val="none"/>
      <w:pStyle w:val="49"/>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hAnsi="Calibri" w:eastAsia="黑体"/>
        <w:b w:val="0"/>
        <w:i w:val="0"/>
        <w:sz w:val="21"/>
      </w:rPr>
    </w:lvl>
    <w:lvl w:ilvl="2" w:tentative="0">
      <w:start w:val="1"/>
      <w:numFmt w:val="decimal"/>
      <w:suff w:val="nothing"/>
      <w:lvlText w:val="%10.%2.%3 "/>
      <w:lvlJc w:val="left"/>
      <w:pPr>
        <w:ind w:left="0" w:firstLine="0"/>
      </w:pPr>
      <w:rPr>
        <w:rFonts w:hint="eastAsia" w:ascii="黑体" w:hAnsi="Calibri" w:eastAsia="黑体"/>
        <w:b w:val="0"/>
        <w:i w:val="0"/>
        <w:sz w:val="21"/>
      </w:rPr>
    </w:lvl>
    <w:lvl w:ilvl="3" w:tentative="0">
      <w:start w:val="1"/>
      <w:numFmt w:val="decimal"/>
      <w:suff w:val="nothing"/>
      <w:lvlText w:val="%10.%2.%3.%4 "/>
      <w:lvlJc w:val="left"/>
      <w:pPr>
        <w:ind w:left="0" w:firstLine="0"/>
      </w:pPr>
      <w:rPr>
        <w:rFonts w:hint="eastAsia" w:ascii="黑体" w:hAnsi="Calibri" w:eastAsia="黑体"/>
        <w:b w:val="0"/>
        <w:i w:val="0"/>
        <w:sz w:val="21"/>
      </w:rPr>
    </w:lvl>
    <w:lvl w:ilvl="4" w:tentative="0">
      <w:start w:val="1"/>
      <w:numFmt w:val="decimal"/>
      <w:suff w:val="nothing"/>
      <w:lvlText w:val="%10.%2.%3.%4.%5 "/>
      <w:lvlJc w:val="left"/>
      <w:pPr>
        <w:ind w:left="0" w:firstLine="0"/>
      </w:pPr>
      <w:rPr>
        <w:rFonts w:hint="eastAsia" w:ascii="黑体" w:hAnsi="Calibri" w:eastAsia="黑体"/>
        <w:b w:val="0"/>
        <w:i w:val="0"/>
        <w:sz w:val="21"/>
      </w:rPr>
    </w:lvl>
    <w:lvl w:ilvl="5" w:tentative="0">
      <w:start w:val="1"/>
      <w:numFmt w:val="decimal"/>
      <w:suff w:val="nothing"/>
      <w:lvlText w:val="%10.%2.%3.%4.%5.%6 "/>
      <w:lvlJc w:val="left"/>
      <w:pPr>
        <w:ind w:left="0" w:firstLine="0"/>
      </w:pPr>
      <w:rPr>
        <w:rFonts w:hint="eastAsia" w:ascii="黑体" w:hAnsi="Calibri"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44C50F90"/>
    <w:multiLevelType w:val="multilevel"/>
    <w:tmpl w:val="44C50F90"/>
    <w:lvl w:ilvl="0" w:tentative="0">
      <w:start w:val="1"/>
      <w:numFmt w:val="lowerLetter"/>
      <w:pStyle w:val="55"/>
      <w:lvlText w:val="%1)"/>
      <w:lvlJc w:val="left"/>
      <w:pPr>
        <w:tabs>
          <w:tab w:val="left" w:pos="851"/>
        </w:tabs>
        <w:ind w:left="851" w:hanging="426"/>
      </w:pPr>
      <w:rPr>
        <w:rFonts w:hint="eastAsia" w:ascii="宋体" w:hAnsi="Times New Roman" w:eastAsia="宋体"/>
        <w:sz w:val="21"/>
      </w:rPr>
    </w:lvl>
    <w:lvl w:ilvl="1" w:tentative="0">
      <w:start w:val="1"/>
      <w:numFmt w:val="decimal"/>
      <w:pStyle w:val="56"/>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48802D1C"/>
    <w:multiLevelType w:val="multilevel"/>
    <w:tmpl w:val="48802D1C"/>
    <w:lvl w:ilvl="0" w:tentative="0">
      <w:start w:val="1"/>
      <w:numFmt w:val="upperLetter"/>
      <w:pStyle w:val="57"/>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5603797C"/>
    <w:multiLevelType w:val="multilevel"/>
    <w:tmpl w:val="5603797C"/>
    <w:lvl w:ilvl="0" w:tentative="0">
      <w:start w:val="1"/>
      <w:numFmt w:val="upperLetter"/>
      <w:pStyle w:val="58"/>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657D3FBC"/>
    <w:multiLevelType w:val="multilevel"/>
    <w:tmpl w:val="657D3FBC"/>
    <w:lvl w:ilvl="0" w:tentative="0">
      <w:start w:val="1"/>
      <w:numFmt w:val="upperLetter"/>
      <w:pStyle w:val="59"/>
      <w:suff w:val="nothing"/>
      <w:lvlText w:val="附录%1"/>
      <w:lvlJc w:val="left"/>
      <w:pPr>
        <w:ind w:left="5670" w:firstLine="0"/>
      </w:pPr>
      <w:rPr>
        <w:rFonts w:hint="eastAsia"/>
        <w:spacing w:val="100"/>
      </w:rPr>
    </w:lvl>
    <w:lvl w:ilvl="1" w:tentative="0">
      <w:start w:val="1"/>
      <w:numFmt w:val="decimal"/>
      <w:pStyle w:val="60"/>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51"/>
      <w:suff w:val="nothing"/>
      <w:lvlText w:val="%1%2　"/>
      <w:lvlJc w:val="left"/>
      <w:pPr>
        <w:ind w:left="0" w:firstLine="0"/>
      </w:pPr>
      <w:rPr>
        <w:rFonts w:hint="eastAsia" w:ascii="黑体" w:eastAsia="黑体"/>
        <w:b w:val="0"/>
        <w:i w:val="0"/>
        <w:sz w:val="21"/>
      </w:rPr>
    </w:lvl>
    <w:lvl w:ilvl="2" w:tentative="0">
      <w:start w:val="1"/>
      <w:numFmt w:val="decimal"/>
      <w:pStyle w:val="52"/>
      <w:suff w:val="nothing"/>
      <w:lvlText w:val="%1%2.%3　"/>
      <w:lvlJc w:val="left"/>
      <w:pPr>
        <w:ind w:left="3402"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53"/>
      <w:suff w:val="nothing"/>
      <w:lvlText w:val="%1%2.%3.%4　"/>
      <w:lvlJc w:val="left"/>
      <w:pPr>
        <w:ind w:left="0" w:firstLine="0"/>
      </w:pPr>
      <w:rPr>
        <w:rFonts w:hint="eastAsia" w:ascii="黑体" w:eastAsia="黑体"/>
        <w:b w:val="0"/>
        <w:i w:val="0"/>
        <w:sz w:val="21"/>
      </w:rPr>
    </w:lvl>
    <w:lvl w:ilvl="4" w:tentative="0">
      <w:start w:val="1"/>
      <w:numFmt w:val="decimal"/>
      <w:pStyle w:val="54"/>
      <w:suff w:val="nothing"/>
      <w:lvlText w:val="%1%2.%3.%4.%5　"/>
      <w:lvlJc w:val="left"/>
      <w:pPr>
        <w:ind w:left="1559"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CF"/>
    <w:rsid w:val="00003FE0"/>
    <w:rsid w:val="00010586"/>
    <w:rsid w:val="00010879"/>
    <w:rsid w:val="0001215E"/>
    <w:rsid w:val="00015138"/>
    <w:rsid w:val="000257E6"/>
    <w:rsid w:val="00025BFA"/>
    <w:rsid w:val="00031ABF"/>
    <w:rsid w:val="00050104"/>
    <w:rsid w:val="00052964"/>
    <w:rsid w:val="00052F36"/>
    <w:rsid w:val="00057683"/>
    <w:rsid w:val="00060343"/>
    <w:rsid w:val="00060751"/>
    <w:rsid w:val="000720CF"/>
    <w:rsid w:val="0007597C"/>
    <w:rsid w:val="00077A6B"/>
    <w:rsid w:val="000820C7"/>
    <w:rsid w:val="00082183"/>
    <w:rsid w:val="00092922"/>
    <w:rsid w:val="00094578"/>
    <w:rsid w:val="000A450C"/>
    <w:rsid w:val="000A484A"/>
    <w:rsid w:val="000A6894"/>
    <w:rsid w:val="000A7E7D"/>
    <w:rsid w:val="000B04C7"/>
    <w:rsid w:val="000B477C"/>
    <w:rsid w:val="000B748C"/>
    <w:rsid w:val="000C1C48"/>
    <w:rsid w:val="000C6A3F"/>
    <w:rsid w:val="000D289F"/>
    <w:rsid w:val="000D2F98"/>
    <w:rsid w:val="000D56A0"/>
    <w:rsid w:val="000F2E18"/>
    <w:rsid w:val="00105038"/>
    <w:rsid w:val="001068C3"/>
    <w:rsid w:val="00112576"/>
    <w:rsid w:val="00115A0B"/>
    <w:rsid w:val="00121682"/>
    <w:rsid w:val="00123C09"/>
    <w:rsid w:val="00131CD6"/>
    <w:rsid w:val="00134189"/>
    <w:rsid w:val="0013605E"/>
    <w:rsid w:val="00146293"/>
    <w:rsid w:val="00147C53"/>
    <w:rsid w:val="001518E2"/>
    <w:rsid w:val="00157927"/>
    <w:rsid w:val="0016022F"/>
    <w:rsid w:val="00165D9C"/>
    <w:rsid w:val="00171624"/>
    <w:rsid w:val="0017367D"/>
    <w:rsid w:val="001777FB"/>
    <w:rsid w:val="0018531C"/>
    <w:rsid w:val="001878F8"/>
    <w:rsid w:val="00190429"/>
    <w:rsid w:val="0019093F"/>
    <w:rsid w:val="001913FB"/>
    <w:rsid w:val="00197B84"/>
    <w:rsid w:val="001A2F4A"/>
    <w:rsid w:val="001C5DD3"/>
    <w:rsid w:val="001E1972"/>
    <w:rsid w:val="001E2143"/>
    <w:rsid w:val="001E53D5"/>
    <w:rsid w:val="001F2915"/>
    <w:rsid w:val="001F5038"/>
    <w:rsid w:val="001F516A"/>
    <w:rsid w:val="001F664C"/>
    <w:rsid w:val="002003AA"/>
    <w:rsid w:val="0020537A"/>
    <w:rsid w:val="00220440"/>
    <w:rsid w:val="00223EC8"/>
    <w:rsid w:val="00224C58"/>
    <w:rsid w:val="00225C73"/>
    <w:rsid w:val="00232945"/>
    <w:rsid w:val="00233B12"/>
    <w:rsid w:val="00235B8B"/>
    <w:rsid w:val="002464B5"/>
    <w:rsid w:val="00247DE0"/>
    <w:rsid w:val="00266EC5"/>
    <w:rsid w:val="00277295"/>
    <w:rsid w:val="002873F9"/>
    <w:rsid w:val="00292565"/>
    <w:rsid w:val="002935E4"/>
    <w:rsid w:val="00297FF2"/>
    <w:rsid w:val="002A0B36"/>
    <w:rsid w:val="002A198B"/>
    <w:rsid w:val="002A59F0"/>
    <w:rsid w:val="002B0CD6"/>
    <w:rsid w:val="002B1E73"/>
    <w:rsid w:val="002B57FB"/>
    <w:rsid w:val="002B6174"/>
    <w:rsid w:val="002D1CC0"/>
    <w:rsid w:val="002D1DB9"/>
    <w:rsid w:val="002D669A"/>
    <w:rsid w:val="002D7CE8"/>
    <w:rsid w:val="002E7FFC"/>
    <w:rsid w:val="002F0F57"/>
    <w:rsid w:val="002F1CED"/>
    <w:rsid w:val="002F4318"/>
    <w:rsid w:val="002F5871"/>
    <w:rsid w:val="00300BC8"/>
    <w:rsid w:val="0031043A"/>
    <w:rsid w:val="00313E93"/>
    <w:rsid w:val="00324CDD"/>
    <w:rsid w:val="003304CA"/>
    <w:rsid w:val="00344F2D"/>
    <w:rsid w:val="003503BF"/>
    <w:rsid w:val="00362835"/>
    <w:rsid w:val="003635A7"/>
    <w:rsid w:val="003677D5"/>
    <w:rsid w:val="003844F2"/>
    <w:rsid w:val="003855FD"/>
    <w:rsid w:val="003A47FD"/>
    <w:rsid w:val="003A6A6D"/>
    <w:rsid w:val="003A7DC5"/>
    <w:rsid w:val="003B1E5F"/>
    <w:rsid w:val="003B2670"/>
    <w:rsid w:val="003B3148"/>
    <w:rsid w:val="003C0D09"/>
    <w:rsid w:val="003D3DEB"/>
    <w:rsid w:val="003F17E4"/>
    <w:rsid w:val="003F64DE"/>
    <w:rsid w:val="00402196"/>
    <w:rsid w:val="0040638A"/>
    <w:rsid w:val="00410DC4"/>
    <w:rsid w:val="00413EC4"/>
    <w:rsid w:val="004151B8"/>
    <w:rsid w:val="00422502"/>
    <w:rsid w:val="00427C53"/>
    <w:rsid w:val="00434E41"/>
    <w:rsid w:val="0043666D"/>
    <w:rsid w:val="00436A52"/>
    <w:rsid w:val="00437079"/>
    <w:rsid w:val="00456B9B"/>
    <w:rsid w:val="00457367"/>
    <w:rsid w:val="004619EA"/>
    <w:rsid w:val="00465FC3"/>
    <w:rsid w:val="004810EE"/>
    <w:rsid w:val="004824C6"/>
    <w:rsid w:val="00491FCF"/>
    <w:rsid w:val="004A185A"/>
    <w:rsid w:val="004A7570"/>
    <w:rsid w:val="004B1AED"/>
    <w:rsid w:val="004B4334"/>
    <w:rsid w:val="004B6A4F"/>
    <w:rsid w:val="004B796A"/>
    <w:rsid w:val="004C2B82"/>
    <w:rsid w:val="004D0360"/>
    <w:rsid w:val="004D46C1"/>
    <w:rsid w:val="004E4A2C"/>
    <w:rsid w:val="004E4CF3"/>
    <w:rsid w:val="004E6DEB"/>
    <w:rsid w:val="004E6FDF"/>
    <w:rsid w:val="004F1463"/>
    <w:rsid w:val="004F21B5"/>
    <w:rsid w:val="004F3626"/>
    <w:rsid w:val="004F67AA"/>
    <w:rsid w:val="00504052"/>
    <w:rsid w:val="00504241"/>
    <w:rsid w:val="00505A79"/>
    <w:rsid w:val="00506DA6"/>
    <w:rsid w:val="00521603"/>
    <w:rsid w:val="00525185"/>
    <w:rsid w:val="00536E77"/>
    <w:rsid w:val="00547FE7"/>
    <w:rsid w:val="00555325"/>
    <w:rsid w:val="00563176"/>
    <w:rsid w:val="005755E8"/>
    <w:rsid w:val="00575F00"/>
    <w:rsid w:val="00576EA5"/>
    <w:rsid w:val="005849D5"/>
    <w:rsid w:val="005858FB"/>
    <w:rsid w:val="00594026"/>
    <w:rsid w:val="005A2BEA"/>
    <w:rsid w:val="005A334A"/>
    <w:rsid w:val="005A3E9A"/>
    <w:rsid w:val="005A522F"/>
    <w:rsid w:val="005C1025"/>
    <w:rsid w:val="005D1A0C"/>
    <w:rsid w:val="005D2272"/>
    <w:rsid w:val="005D69D7"/>
    <w:rsid w:val="005D7149"/>
    <w:rsid w:val="005D760C"/>
    <w:rsid w:val="005F28C9"/>
    <w:rsid w:val="005F2F3C"/>
    <w:rsid w:val="00610692"/>
    <w:rsid w:val="00614620"/>
    <w:rsid w:val="006244BA"/>
    <w:rsid w:val="00624C31"/>
    <w:rsid w:val="0062624B"/>
    <w:rsid w:val="00630C26"/>
    <w:rsid w:val="00647CD6"/>
    <w:rsid w:val="006537B5"/>
    <w:rsid w:val="006542CB"/>
    <w:rsid w:val="00656FEB"/>
    <w:rsid w:val="006624A0"/>
    <w:rsid w:val="00666915"/>
    <w:rsid w:val="00670541"/>
    <w:rsid w:val="00673FC7"/>
    <w:rsid w:val="00676393"/>
    <w:rsid w:val="00686EAE"/>
    <w:rsid w:val="00694DB2"/>
    <w:rsid w:val="006A1861"/>
    <w:rsid w:val="006B0177"/>
    <w:rsid w:val="006C0F43"/>
    <w:rsid w:val="006C3A16"/>
    <w:rsid w:val="006C71CF"/>
    <w:rsid w:val="006E0A4E"/>
    <w:rsid w:val="006E3031"/>
    <w:rsid w:val="006F2D41"/>
    <w:rsid w:val="006F47FF"/>
    <w:rsid w:val="006F5D2A"/>
    <w:rsid w:val="00705330"/>
    <w:rsid w:val="00706D97"/>
    <w:rsid w:val="0070782E"/>
    <w:rsid w:val="0071187A"/>
    <w:rsid w:val="0071406F"/>
    <w:rsid w:val="00722C13"/>
    <w:rsid w:val="00724336"/>
    <w:rsid w:val="0073289A"/>
    <w:rsid w:val="007417F5"/>
    <w:rsid w:val="00755534"/>
    <w:rsid w:val="00763538"/>
    <w:rsid w:val="00784B4B"/>
    <w:rsid w:val="007957B9"/>
    <w:rsid w:val="007A35DD"/>
    <w:rsid w:val="007D016C"/>
    <w:rsid w:val="007E4CE5"/>
    <w:rsid w:val="007F6810"/>
    <w:rsid w:val="007F7122"/>
    <w:rsid w:val="008158CB"/>
    <w:rsid w:val="008329C6"/>
    <w:rsid w:val="00835261"/>
    <w:rsid w:val="00852140"/>
    <w:rsid w:val="00853775"/>
    <w:rsid w:val="00855701"/>
    <w:rsid w:val="00856E68"/>
    <w:rsid w:val="0085768B"/>
    <w:rsid w:val="00862DC1"/>
    <w:rsid w:val="00867D3C"/>
    <w:rsid w:val="00871072"/>
    <w:rsid w:val="00897295"/>
    <w:rsid w:val="008A1B4D"/>
    <w:rsid w:val="008A52B0"/>
    <w:rsid w:val="008A591B"/>
    <w:rsid w:val="008A6B2C"/>
    <w:rsid w:val="008A7C1C"/>
    <w:rsid w:val="008B21EE"/>
    <w:rsid w:val="008B667A"/>
    <w:rsid w:val="008B756A"/>
    <w:rsid w:val="008D5751"/>
    <w:rsid w:val="008D745C"/>
    <w:rsid w:val="008E0A8D"/>
    <w:rsid w:val="008E21B2"/>
    <w:rsid w:val="008E239C"/>
    <w:rsid w:val="008E2740"/>
    <w:rsid w:val="008E33DD"/>
    <w:rsid w:val="008E5BE5"/>
    <w:rsid w:val="00903743"/>
    <w:rsid w:val="0091467D"/>
    <w:rsid w:val="00922DEC"/>
    <w:rsid w:val="00933E95"/>
    <w:rsid w:val="00937B6D"/>
    <w:rsid w:val="009472DD"/>
    <w:rsid w:val="0095047D"/>
    <w:rsid w:val="00950B3B"/>
    <w:rsid w:val="00952363"/>
    <w:rsid w:val="00952C41"/>
    <w:rsid w:val="00956B33"/>
    <w:rsid w:val="00956D6A"/>
    <w:rsid w:val="00961D54"/>
    <w:rsid w:val="00964F9F"/>
    <w:rsid w:val="00967667"/>
    <w:rsid w:val="009709DD"/>
    <w:rsid w:val="0097633E"/>
    <w:rsid w:val="0098461E"/>
    <w:rsid w:val="00986E6F"/>
    <w:rsid w:val="00997ECC"/>
    <w:rsid w:val="009B2B0D"/>
    <w:rsid w:val="009B3610"/>
    <w:rsid w:val="009C18D8"/>
    <w:rsid w:val="009C1969"/>
    <w:rsid w:val="009C6673"/>
    <w:rsid w:val="009D0108"/>
    <w:rsid w:val="009D13D0"/>
    <w:rsid w:val="009D329B"/>
    <w:rsid w:val="009D7E23"/>
    <w:rsid w:val="009E0168"/>
    <w:rsid w:val="009E140F"/>
    <w:rsid w:val="009E38BE"/>
    <w:rsid w:val="009F4036"/>
    <w:rsid w:val="009F4F2F"/>
    <w:rsid w:val="00A034D0"/>
    <w:rsid w:val="00A05126"/>
    <w:rsid w:val="00A05698"/>
    <w:rsid w:val="00A13BCE"/>
    <w:rsid w:val="00A227CC"/>
    <w:rsid w:val="00A24DDA"/>
    <w:rsid w:val="00A25AA4"/>
    <w:rsid w:val="00A26EEB"/>
    <w:rsid w:val="00A27B69"/>
    <w:rsid w:val="00A35ADA"/>
    <w:rsid w:val="00A46EF8"/>
    <w:rsid w:val="00A71455"/>
    <w:rsid w:val="00A75830"/>
    <w:rsid w:val="00A82E58"/>
    <w:rsid w:val="00A83301"/>
    <w:rsid w:val="00A872ED"/>
    <w:rsid w:val="00A91617"/>
    <w:rsid w:val="00A94493"/>
    <w:rsid w:val="00AA1EC6"/>
    <w:rsid w:val="00AA6445"/>
    <w:rsid w:val="00AB185E"/>
    <w:rsid w:val="00AB2449"/>
    <w:rsid w:val="00AB4594"/>
    <w:rsid w:val="00AB7681"/>
    <w:rsid w:val="00AC0CBB"/>
    <w:rsid w:val="00AC541E"/>
    <w:rsid w:val="00AE0047"/>
    <w:rsid w:val="00AE190A"/>
    <w:rsid w:val="00AF0E05"/>
    <w:rsid w:val="00AF1A10"/>
    <w:rsid w:val="00AF222A"/>
    <w:rsid w:val="00B0111F"/>
    <w:rsid w:val="00B01B07"/>
    <w:rsid w:val="00B066EC"/>
    <w:rsid w:val="00B310F8"/>
    <w:rsid w:val="00B34822"/>
    <w:rsid w:val="00B35A40"/>
    <w:rsid w:val="00B4289D"/>
    <w:rsid w:val="00B54FE8"/>
    <w:rsid w:val="00B55A30"/>
    <w:rsid w:val="00B61F7F"/>
    <w:rsid w:val="00B67068"/>
    <w:rsid w:val="00B6762F"/>
    <w:rsid w:val="00B71414"/>
    <w:rsid w:val="00B74E88"/>
    <w:rsid w:val="00B80334"/>
    <w:rsid w:val="00B86E07"/>
    <w:rsid w:val="00B87C2B"/>
    <w:rsid w:val="00BB0427"/>
    <w:rsid w:val="00BB62CD"/>
    <w:rsid w:val="00BC7B03"/>
    <w:rsid w:val="00BE11C1"/>
    <w:rsid w:val="00BE7BEF"/>
    <w:rsid w:val="00BF2F91"/>
    <w:rsid w:val="00C050E5"/>
    <w:rsid w:val="00C06741"/>
    <w:rsid w:val="00C204DF"/>
    <w:rsid w:val="00C30569"/>
    <w:rsid w:val="00C30BA9"/>
    <w:rsid w:val="00C30E11"/>
    <w:rsid w:val="00C3391C"/>
    <w:rsid w:val="00C41C91"/>
    <w:rsid w:val="00C620C9"/>
    <w:rsid w:val="00C729D5"/>
    <w:rsid w:val="00C741D0"/>
    <w:rsid w:val="00C7429D"/>
    <w:rsid w:val="00C74E41"/>
    <w:rsid w:val="00C75279"/>
    <w:rsid w:val="00C753F6"/>
    <w:rsid w:val="00C76306"/>
    <w:rsid w:val="00C76455"/>
    <w:rsid w:val="00C83D3C"/>
    <w:rsid w:val="00CB7BE2"/>
    <w:rsid w:val="00CC0B25"/>
    <w:rsid w:val="00CD0E91"/>
    <w:rsid w:val="00CE1A80"/>
    <w:rsid w:val="00CE4DB7"/>
    <w:rsid w:val="00CE5543"/>
    <w:rsid w:val="00CF02D7"/>
    <w:rsid w:val="00CF134A"/>
    <w:rsid w:val="00D01D55"/>
    <w:rsid w:val="00D032DC"/>
    <w:rsid w:val="00D1710F"/>
    <w:rsid w:val="00D229B2"/>
    <w:rsid w:val="00D25415"/>
    <w:rsid w:val="00D27DFC"/>
    <w:rsid w:val="00D30109"/>
    <w:rsid w:val="00D324F3"/>
    <w:rsid w:val="00D32CDA"/>
    <w:rsid w:val="00D3627C"/>
    <w:rsid w:val="00D40358"/>
    <w:rsid w:val="00D43F2A"/>
    <w:rsid w:val="00D47AC6"/>
    <w:rsid w:val="00D62419"/>
    <w:rsid w:val="00D62A89"/>
    <w:rsid w:val="00D6471C"/>
    <w:rsid w:val="00D70CEF"/>
    <w:rsid w:val="00D758F5"/>
    <w:rsid w:val="00D76173"/>
    <w:rsid w:val="00D7662D"/>
    <w:rsid w:val="00D77694"/>
    <w:rsid w:val="00D81F46"/>
    <w:rsid w:val="00D83B05"/>
    <w:rsid w:val="00D8451C"/>
    <w:rsid w:val="00D872CD"/>
    <w:rsid w:val="00D87CEC"/>
    <w:rsid w:val="00DA351C"/>
    <w:rsid w:val="00DA441B"/>
    <w:rsid w:val="00DC1121"/>
    <w:rsid w:val="00DD1D4B"/>
    <w:rsid w:val="00DD79FE"/>
    <w:rsid w:val="00DE2122"/>
    <w:rsid w:val="00DE2EB8"/>
    <w:rsid w:val="00DE40C9"/>
    <w:rsid w:val="00DE6AB2"/>
    <w:rsid w:val="00DF56BE"/>
    <w:rsid w:val="00E0036A"/>
    <w:rsid w:val="00E00919"/>
    <w:rsid w:val="00E07AA5"/>
    <w:rsid w:val="00E137E1"/>
    <w:rsid w:val="00E22C47"/>
    <w:rsid w:val="00E241A6"/>
    <w:rsid w:val="00E35B28"/>
    <w:rsid w:val="00E35CCA"/>
    <w:rsid w:val="00E453BB"/>
    <w:rsid w:val="00E5392C"/>
    <w:rsid w:val="00E61A7B"/>
    <w:rsid w:val="00E61DCE"/>
    <w:rsid w:val="00E66686"/>
    <w:rsid w:val="00E71EB7"/>
    <w:rsid w:val="00E9673D"/>
    <w:rsid w:val="00EA1C5F"/>
    <w:rsid w:val="00EA6A49"/>
    <w:rsid w:val="00EB34F8"/>
    <w:rsid w:val="00EC3D07"/>
    <w:rsid w:val="00EC49A6"/>
    <w:rsid w:val="00ED1EBB"/>
    <w:rsid w:val="00ED2170"/>
    <w:rsid w:val="00ED3874"/>
    <w:rsid w:val="00ED40E9"/>
    <w:rsid w:val="00EE2AF0"/>
    <w:rsid w:val="00EF48AF"/>
    <w:rsid w:val="00F07E99"/>
    <w:rsid w:val="00F1202C"/>
    <w:rsid w:val="00F27AB3"/>
    <w:rsid w:val="00F473A8"/>
    <w:rsid w:val="00F5565E"/>
    <w:rsid w:val="00F63395"/>
    <w:rsid w:val="00F74962"/>
    <w:rsid w:val="00F75183"/>
    <w:rsid w:val="00F80E1E"/>
    <w:rsid w:val="00F8327C"/>
    <w:rsid w:val="00F845AC"/>
    <w:rsid w:val="00F84CCD"/>
    <w:rsid w:val="00F9409C"/>
    <w:rsid w:val="00F96991"/>
    <w:rsid w:val="00FA69AC"/>
    <w:rsid w:val="00FB2D07"/>
    <w:rsid w:val="00FC4D44"/>
    <w:rsid w:val="00FE202A"/>
    <w:rsid w:val="00FF1A40"/>
    <w:rsid w:val="00FF7AE0"/>
    <w:rsid w:val="354E28D1"/>
    <w:rsid w:val="76300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semiHidden/>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link w:val="28"/>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semiHidden/>
    <w:unhideWhenUsed/>
    <w:qFormat/>
    <w:uiPriority w:val="99"/>
    <w:pPr>
      <w:jc w:val="left"/>
    </w:pPr>
    <w:rPr>
      <w:rFonts w:ascii="Times New Roman" w:hAnsi="Times New Roman" w:eastAsia="宋体" w:cs="Times New Roman"/>
      <w:szCs w:val="24"/>
    </w:rPr>
  </w:style>
  <w:style w:type="paragraph" w:styleId="6">
    <w:name w:val="Date"/>
    <w:basedOn w:val="1"/>
    <w:next w:val="1"/>
    <w:link w:val="23"/>
    <w:semiHidden/>
    <w:unhideWhenUsed/>
    <w:qFormat/>
    <w:uiPriority w:val="99"/>
    <w:pPr>
      <w:ind w:left="100" w:leftChars="2500"/>
    </w:pPr>
  </w:style>
  <w:style w:type="paragraph" w:styleId="7">
    <w:name w:val="Balloon Text"/>
    <w:basedOn w:val="1"/>
    <w:link w:val="30"/>
    <w:qFormat/>
    <w:uiPriority w:val="99"/>
    <w:rPr>
      <w:rFonts w:ascii="Times New Roman" w:hAnsi="Times New Roman" w:eastAsia="宋体" w:cs="Times New Roman"/>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tabs>
        <w:tab w:val="center" w:pos="4153"/>
        <w:tab w:val="right" w:pos="8306"/>
      </w:tabs>
      <w:snapToGrid w:val="0"/>
      <w:jc w:val="center"/>
    </w:pPr>
    <w:rPr>
      <w:sz w:val="18"/>
      <w:szCs w:val="18"/>
    </w:rPr>
  </w:style>
  <w:style w:type="paragraph" w:styleId="10">
    <w:name w:val="toc 1"/>
    <w:basedOn w:val="1"/>
    <w:next w:val="1"/>
    <w:unhideWhenUsed/>
    <w:qFormat/>
    <w:uiPriority w:val="39"/>
    <w:rPr>
      <w:rFonts w:ascii="宋体" w:hAnsi="Times New Roman" w:eastAsia="宋体" w:cs="Times New Roman"/>
      <w:szCs w:val="24"/>
    </w:rPr>
  </w:style>
  <w:style w:type="paragraph" w:styleId="11">
    <w:name w:val="Body Text Indent 3"/>
    <w:basedOn w:val="1"/>
    <w:link w:val="31"/>
    <w:qFormat/>
    <w:uiPriority w:val="99"/>
    <w:pPr>
      <w:widowControl/>
      <w:adjustRightInd w:val="0"/>
      <w:snapToGrid w:val="0"/>
      <w:spacing w:line="360" w:lineRule="auto"/>
      <w:ind w:firstLine="555"/>
      <w:jc w:val="left"/>
    </w:pPr>
    <w:rPr>
      <w:rFonts w:ascii="Times New Roman" w:hAnsi="Times New Roman" w:eastAsia="宋体" w:cs="Times New Roman"/>
      <w:sz w:val="28"/>
      <w:szCs w:val="27"/>
    </w:rPr>
  </w:style>
  <w:style w:type="paragraph" w:styleId="12">
    <w:name w:val="toc 2"/>
    <w:basedOn w:val="1"/>
    <w:next w:val="1"/>
    <w:unhideWhenUsed/>
    <w:qFormat/>
    <w:uiPriority w:val="39"/>
    <w:pPr>
      <w:tabs>
        <w:tab w:val="right" w:leader="dot" w:pos="9344"/>
      </w:tabs>
      <w:spacing w:line="300" w:lineRule="exact"/>
      <w:ind w:left="210"/>
    </w:pPr>
    <w:rPr>
      <w:rFonts w:ascii="宋体" w:hAnsi="Times New Roman" w:eastAsia="宋体" w:cs="Times New Roman"/>
      <w:szCs w:val="24"/>
    </w:rPr>
  </w:style>
  <w:style w:type="paragraph" w:styleId="13">
    <w:name w:val="Normal (Web)"/>
    <w:basedOn w:val="1"/>
    <w:unhideWhenUsed/>
    <w:qFormat/>
    <w:uiPriority w:val="99"/>
    <w:pPr>
      <w:spacing w:beforeAutospacing="1" w:afterAutospacing="1"/>
      <w:jc w:val="left"/>
    </w:pPr>
    <w:rPr>
      <w:rFonts w:cs="Times New Roman"/>
      <w:kern w:val="0"/>
      <w:sz w:val="24"/>
    </w:rPr>
  </w:style>
  <w:style w:type="table" w:styleId="15">
    <w:name w:val="Table Grid"/>
    <w:basedOn w:val="14"/>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Hyperlink"/>
    <w:basedOn w:val="16"/>
    <w:unhideWhenUsed/>
    <w:qFormat/>
    <w:uiPriority w:val="99"/>
    <w:rPr>
      <w:color w:val="0563C1" w:themeColor="hyperlink"/>
      <w:u w:val="single"/>
      <w14:textFill>
        <w14:solidFill>
          <w14:schemeClr w14:val="hlink"/>
        </w14:solidFill>
      </w14:textFill>
    </w:rPr>
  </w:style>
  <w:style w:type="character" w:styleId="19">
    <w:name w:val="annotation reference"/>
    <w:semiHidden/>
    <w:unhideWhenUsed/>
    <w:qFormat/>
    <w:uiPriority w:val="99"/>
    <w:rPr>
      <w:sz w:val="21"/>
      <w:szCs w:val="21"/>
    </w:rPr>
  </w:style>
  <w:style w:type="character" w:customStyle="1" w:styleId="20">
    <w:name w:val="页眉 字符"/>
    <w:basedOn w:val="16"/>
    <w:link w:val="9"/>
    <w:qFormat/>
    <w:uiPriority w:val="99"/>
    <w:rPr>
      <w:sz w:val="18"/>
      <w:szCs w:val="18"/>
    </w:rPr>
  </w:style>
  <w:style w:type="character" w:customStyle="1" w:styleId="21">
    <w:name w:val="页脚 字符"/>
    <w:basedOn w:val="16"/>
    <w:link w:val="8"/>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日期 字符"/>
    <w:basedOn w:val="16"/>
    <w:link w:val="6"/>
    <w:semiHidden/>
    <w:uiPriority w:val="99"/>
  </w:style>
  <w:style w:type="table" w:customStyle="1" w:styleId="24">
    <w:name w:val="清单表 21"/>
    <w:basedOn w:val="14"/>
    <w:qFormat/>
    <w:uiPriority w:val="47"/>
    <w:rPr>
      <w:sz w:val="22"/>
      <w:szCs w:val="24"/>
      <w14:ligatures w14:val="standardContextual"/>
    </w:rPr>
    <w:tblPr>
      <w:tblBorders>
        <w:top w:val="single" w:color="666666" w:sz="4" w:space="0"/>
        <w:bottom w:val="single" w:color="666666" w:sz="4" w:space="0"/>
        <w:insideH w:val="single" w:color="666666"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table" w:customStyle="1" w:styleId="25">
    <w:name w:val="清单表 22"/>
    <w:basedOn w:val="14"/>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26">
    <w:name w:val="未处理的提及1"/>
    <w:basedOn w:val="16"/>
    <w:semiHidden/>
    <w:unhideWhenUsed/>
    <w:uiPriority w:val="99"/>
    <w:rPr>
      <w:color w:val="605E5C"/>
      <w:shd w:val="clear" w:color="auto" w:fill="E1DFDD"/>
    </w:rPr>
  </w:style>
  <w:style w:type="character" w:customStyle="1" w:styleId="27">
    <w:name w:val="标题 2 字符"/>
    <w:basedOn w:val="16"/>
    <w:link w:val="3"/>
    <w:semiHidden/>
    <w:uiPriority w:val="0"/>
    <w:rPr>
      <w:rFonts w:ascii="Cambria" w:hAnsi="Cambria" w:eastAsia="宋体" w:cs="Times New Roman"/>
      <w:b/>
      <w:bCs/>
      <w:sz w:val="32"/>
      <w:szCs w:val="32"/>
    </w:rPr>
  </w:style>
  <w:style w:type="character" w:customStyle="1" w:styleId="28">
    <w:name w:val="标题 3 字符"/>
    <w:basedOn w:val="16"/>
    <w:link w:val="4"/>
    <w:qFormat/>
    <w:uiPriority w:val="9"/>
    <w:rPr>
      <w:rFonts w:ascii="宋体" w:hAnsi="宋体" w:eastAsia="宋体" w:cs="宋体"/>
      <w:b/>
      <w:bCs/>
      <w:kern w:val="0"/>
      <w:sz w:val="27"/>
      <w:szCs w:val="27"/>
    </w:rPr>
  </w:style>
  <w:style w:type="character" w:customStyle="1" w:styleId="29">
    <w:name w:val="批注文字 字符"/>
    <w:basedOn w:val="16"/>
    <w:link w:val="5"/>
    <w:semiHidden/>
    <w:uiPriority w:val="99"/>
    <w:rPr>
      <w:rFonts w:ascii="Times New Roman" w:hAnsi="Times New Roman" w:eastAsia="宋体" w:cs="Times New Roman"/>
      <w:szCs w:val="24"/>
    </w:rPr>
  </w:style>
  <w:style w:type="character" w:customStyle="1" w:styleId="30">
    <w:name w:val="批注框文本 字符"/>
    <w:basedOn w:val="16"/>
    <w:link w:val="7"/>
    <w:qFormat/>
    <w:uiPriority w:val="99"/>
    <w:rPr>
      <w:rFonts w:ascii="Times New Roman" w:hAnsi="Times New Roman" w:eastAsia="宋体" w:cs="Times New Roman"/>
      <w:sz w:val="18"/>
      <w:szCs w:val="18"/>
    </w:rPr>
  </w:style>
  <w:style w:type="character" w:customStyle="1" w:styleId="31">
    <w:name w:val="正文文本缩进 3 字符"/>
    <w:basedOn w:val="16"/>
    <w:link w:val="11"/>
    <w:qFormat/>
    <w:uiPriority w:val="99"/>
    <w:rPr>
      <w:rFonts w:ascii="Times New Roman" w:hAnsi="Times New Roman" w:eastAsia="宋体" w:cs="Times New Roman"/>
      <w:sz w:val="28"/>
      <w:szCs w:val="27"/>
    </w:rPr>
  </w:style>
  <w:style w:type="character" w:customStyle="1" w:styleId="32">
    <w:name w:val="Footer Char"/>
    <w:qFormat/>
    <w:locked/>
    <w:uiPriority w:val="99"/>
    <w:rPr>
      <w:kern w:val="2"/>
      <w:sz w:val="18"/>
    </w:rPr>
  </w:style>
  <w:style w:type="character" w:customStyle="1" w:styleId="33">
    <w:name w:val="Header Char"/>
    <w:qFormat/>
    <w:locked/>
    <w:uiPriority w:val="99"/>
    <w:rPr>
      <w:kern w:val="2"/>
      <w:sz w:val="18"/>
    </w:rPr>
  </w:style>
  <w:style w:type="paragraph" w:customStyle="1" w:styleId="34">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35">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36">
    <w:name w:val="标准文件_文件编号"/>
    <w:basedOn w:val="3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37">
    <w:name w:val="标准文件_段"/>
    <w:link w:val="6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8">
    <w:name w:val="标准文件_替换文件编号"/>
    <w:basedOn w:val="36"/>
    <w:qFormat/>
    <w:uiPriority w:val="0"/>
    <w:pPr>
      <w:framePr/>
      <w:spacing w:before="57"/>
    </w:pPr>
    <w:rPr>
      <w:sz w:val="21"/>
    </w:rPr>
  </w:style>
  <w:style w:type="paragraph" w:customStyle="1" w:styleId="39">
    <w:name w:val="标准文件_文件名称"/>
    <w:basedOn w:val="37"/>
    <w:next w:val="3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40">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41">
    <w:name w:val="其他发布日期"/>
    <w:basedOn w:val="42"/>
    <w:qFormat/>
    <w:uiPriority w:val="0"/>
    <w:pPr>
      <w:framePr w:w="3997" w:h="471" w:hRule="exact" w:hSpace="0" w:vSpace="181" w:wrap="around" w:vAnchor="page" w:hAnchor="page" w:x="1419" w:y="14097"/>
    </w:pPr>
  </w:style>
  <w:style w:type="paragraph" w:customStyle="1" w:styleId="4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43">
    <w:name w:val="其他实施日期"/>
    <w:basedOn w:val="44"/>
    <w:qFormat/>
    <w:uiPriority w:val="0"/>
    <w:pPr>
      <w:framePr w:w="3997" w:h="471" w:hRule="exact" w:vSpace="181" w:wrap="around" w:vAnchor="page" w:hAnchor="page" w:x="7089" w:y="14097"/>
    </w:pPr>
  </w:style>
  <w:style w:type="paragraph" w:customStyle="1" w:styleId="44">
    <w:name w:val="实施日期"/>
    <w:basedOn w:val="42"/>
    <w:qFormat/>
    <w:uiPriority w:val="0"/>
    <w:pPr>
      <w:framePr w:hSpace="0" w:wrap="around" w:xAlign="right"/>
      <w:jc w:val="right"/>
    </w:pPr>
  </w:style>
  <w:style w:type="paragraph" w:customStyle="1" w:styleId="45">
    <w:name w:val="其他发布部门"/>
    <w:basedOn w:val="46"/>
    <w:qFormat/>
    <w:uiPriority w:val="0"/>
    <w:pPr>
      <w:framePr w:wrap="around"/>
      <w:spacing w:line="0" w:lineRule="atLeast"/>
    </w:pPr>
    <w:rPr>
      <w:rFonts w:ascii="黑体" w:eastAsia="黑体"/>
      <w:b w:val="0"/>
    </w:rPr>
  </w:style>
  <w:style w:type="paragraph" w:customStyle="1" w:styleId="46">
    <w:name w:val="发布部门"/>
    <w:next w:val="3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character" w:customStyle="1" w:styleId="47">
    <w:name w:val="发布"/>
    <w:qFormat/>
    <w:uiPriority w:val="0"/>
    <w:rPr>
      <w:rFonts w:ascii="黑体" w:eastAsia="黑体"/>
      <w:spacing w:val="85"/>
      <w:w w:val="100"/>
      <w:position w:val="3"/>
      <w:sz w:val="28"/>
      <w:szCs w:val="28"/>
    </w:rPr>
  </w:style>
  <w:style w:type="paragraph" w:customStyle="1" w:styleId="48">
    <w:name w:val="标准文件_目录标题"/>
    <w:basedOn w:val="1"/>
    <w:qFormat/>
    <w:uiPriority w:val="0"/>
    <w:pPr>
      <w:spacing w:after="150" w:afterLines="150"/>
      <w:jc w:val="center"/>
    </w:pPr>
    <w:rPr>
      <w:rFonts w:ascii="黑体" w:hAnsi="Times New Roman" w:eastAsia="黑体" w:cs="Times New Roman"/>
      <w:sz w:val="32"/>
      <w:szCs w:val="24"/>
    </w:rPr>
  </w:style>
  <w:style w:type="paragraph" w:customStyle="1" w:styleId="49">
    <w:name w:val="标准文件_前言、引言标题"/>
    <w:next w:val="1"/>
    <w:qFormat/>
    <w:uiPriority w:val="0"/>
    <w:pPr>
      <w:numPr>
        <w:ilvl w:val="0"/>
        <w:numId w:val="1"/>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50">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51">
    <w:name w:val="标准文件_章标题"/>
    <w:next w:val="3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52">
    <w:name w:val="标准文件_一级条标题"/>
    <w:basedOn w:val="51"/>
    <w:next w:val="37"/>
    <w:qFormat/>
    <w:uiPriority w:val="0"/>
    <w:pPr>
      <w:numPr>
        <w:ilvl w:val="2"/>
      </w:numPr>
      <w:spacing w:before="50" w:beforeLines="50" w:after="50" w:afterLines="50"/>
      <w:ind w:left="0"/>
      <w:outlineLvl w:val="1"/>
    </w:pPr>
  </w:style>
  <w:style w:type="paragraph" w:customStyle="1" w:styleId="53">
    <w:name w:val="标准文件_二级条标题"/>
    <w:next w:val="37"/>
    <w:qFormat/>
    <w:uiPriority w:val="0"/>
    <w:pPr>
      <w:widowControl w:val="0"/>
      <w:numPr>
        <w:ilvl w:val="3"/>
        <w:numId w:val="2"/>
      </w:numPr>
      <w:spacing w:before="50" w:beforeLines="50" w:after="50" w:afterLines="50"/>
      <w:jc w:val="both"/>
      <w:outlineLvl w:val="2"/>
    </w:pPr>
    <w:rPr>
      <w:rFonts w:ascii="黑体" w:hAnsi="Times New Roman" w:eastAsia="黑体" w:cs="Times New Roman"/>
      <w:sz w:val="24"/>
      <w:lang w:val="en-US" w:eastAsia="zh-CN" w:bidi="ar-SA"/>
    </w:rPr>
  </w:style>
  <w:style w:type="paragraph" w:customStyle="1" w:styleId="54">
    <w:name w:val="标准文件_三级条标题"/>
    <w:basedOn w:val="53"/>
    <w:next w:val="37"/>
    <w:qFormat/>
    <w:uiPriority w:val="0"/>
    <w:pPr>
      <w:widowControl/>
      <w:numPr>
        <w:ilvl w:val="4"/>
      </w:numPr>
      <w:outlineLvl w:val="3"/>
    </w:pPr>
  </w:style>
  <w:style w:type="paragraph" w:customStyle="1" w:styleId="55">
    <w:name w:val="标准文件_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56">
    <w:name w:val="标准文件_数字编号列项（二级）"/>
    <w:qFormat/>
    <w:uiPriority w:val="0"/>
    <w:pPr>
      <w:numPr>
        <w:ilvl w:val="1"/>
        <w:numId w:val="3"/>
      </w:numPr>
      <w:jc w:val="both"/>
    </w:pPr>
    <w:rPr>
      <w:rFonts w:ascii="宋体" w:hAnsi="Times New Roman" w:eastAsia="宋体" w:cs="Times New Roman"/>
      <w:sz w:val="21"/>
      <w:lang w:val="en-US" w:eastAsia="zh-CN" w:bidi="ar-SA"/>
    </w:rPr>
  </w:style>
  <w:style w:type="paragraph" w:customStyle="1" w:styleId="57">
    <w:name w:val="标准文件_附录图标号"/>
    <w:basedOn w:val="37"/>
    <w:next w:val="37"/>
    <w:qFormat/>
    <w:uiPriority w:val="0"/>
    <w:pPr>
      <w:numPr>
        <w:ilvl w:val="0"/>
        <w:numId w:val="4"/>
      </w:numPr>
      <w:spacing w:line="14" w:lineRule="exact"/>
      <w:ind w:left="920" w:firstLine="0" w:firstLineChars="0"/>
      <w:jc w:val="center"/>
    </w:pPr>
    <w:rPr>
      <w:rFonts w:ascii="黑体" w:hAnsi="黑体" w:eastAsia="黑体"/>
      <w:vanish/>
      <w:sz w:val="2"/>
      <w:szCs w:val="21"/>
    </w:rPr>
  </w:style>
  <w:style w:type="paragraph" w:customStyle="1" w:styleId="58">
    <w:name w:val="标准文件_附录表标号"/>
    <w:basedOn w:val="37"/>
    <w:next w:val="37"/>
    <w:qFormat/>
    <w:uiPriority w:val="0"/>
    <w:pPr>
      <w:numPr>
        <w:ilvl w:val="0"/>
        <w:numId w:val="5"/>
      </w:numPr>
      <w:spacing w:line="14" w:lineRule="exact"/>
      <w:ind w:left="920" w:firstLine="0" w:firstLineChars="0"/>
      <w:jc w:val="center"/>
    </w:pPr>
    <w:rPr>
      <w:rFonts w:eastAsia="黑体"/>
      <w:vanish/>
      <w:sz w:val="2"/>
    </w:rPr>
  </w:style>
  <w:style w:type="paragraph" w:customStyle="1" w:styleId="59">
    <w:name w:val="标准文件_附录标识"/>
    <w:next w:val="37"/>
    <w:qFormat/>
    <w:uiPriority w:val="0"/>
    <w:pPr>
      <w:numPr>
        <w:ilvl w:val="0"/>
        <w:numId w:val="6"/>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60">
    <w:name w:val="标准文件_附录一级条标题"/>
    <w:next w:val="37"/>
    <w:qFormat/>
    <w:uiPriority w:val="0"/>
    <w:pPr>
      <w:widowControl w:val="0"/>
      <w:numPr>
        <w:ilvl w:val="1"/>
        <w:numId w:val="6"/>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61">
    <w:name w:val="标准文件_参考文献标题"/>
    <w:basedOn w:val="1"/>
    <w:next w:val="1"/>
    <w:qFormat/>
    <w:uiPriority w:val="0"/>
    <w:pPr>
      <w:widowControl/>
      <w:shd w:val="clear" w:color="FFFFFF" w:fill="FFFFFF"/>
      <w:spacing w:before="40" w:beforeLines="40" w:after="50" w:afterLines="50"/>
      <w:jc w:val="center"/>
      <w:outlineLvl w:val="0"/>
    </w:pPr>
    <w:rPr>
      <w:rFonts w:ascii="黑体" w:hAnsi="Times New Roman" w:eastAsia="黑体" w:cs="Times New Roman"/>
      <w:kern w:val="0"/>
      <w:szCs w:val="24"/>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66">
    <w:name w:val="标准文件_四级条标题"/>
    <w:next w:val="37"/>
    <w:uiPriority w:val="0"/>
    <w:pPr>
      <w:widowControl w:val="0"/>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67">
    <w:name w:val="标准文件_五级条标题"/>
    <w:next w:val="37"/>
    <w:uiPriority w:val="0"/>
    <w:pPr>
      <w:widowControl w:val="0"/>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68">
    <w:name w:val="前言标题"/>
    <w:next w:val="1"/>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character" w:customStyle="1" w:styleId="69">
    <w:name w:val="标准文件_段 Char"/>
    <w:link w:val="37"/>
    <w:qFormat/>
    <w:uiPriority w:val="0"/>
    <w:rPr>
      <w:rFonts w:ascii="宋体" w:hAnsi="Times New Roman" w:eastAsia="宋体" w:cs="Times New Roman"/>
      <w:kern w:val="0"/>
      <w:szCs w:val="20"/>
    </w:rPr>
  </w:style>
  <w:style w:type="paragraph" w:customStyle="1" w:styleId="70">
    <w:name w:val="修订1"/>
    <w:hidden/>
    <w:unhideWhenUsed/>
    <w:uiPriority w:val="99"/>
    <w:rPr>
      <w:rFonts w:ascii="Times New Roman" w:hAnsi="Times New Roman" w:eastAsia="宋体" w:cs="Times New Roman"/>
      <w:kern w:val="2"/>
      <w:sz w:val="21"/>
      <w:szCs w:val="24"/>
      <w:lang w:val="en-US" w:eastAsia="zh-CN" w:bidi="ar-SA"/>
    </w:rPr>
  </w:style>
  <w:style w:type="character" w:customStyle="1" w:styleId="71">
    <w:name w:val="标题 1 字符"/>
    <w:basedOn w:val="16"/>
    <w:link w:val="2"/>
    <w:qFormat/>
    <w:uiPriority w:val="9"/>
    <w:rPr>
      <w:b/>
      <w:bCs/>
      <w:kern w:val="44"/>
      <w:sz w:val="44"/>
      <w:szCs w:val="44"/>
    </w:rPr>
  </w:style>
  <w:style w:type="paragraph" w:customStyle="1" w:styleId="7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563AD-B2B6-4F73-8195-489F837AD7DF}">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11292</Words>
  <Characters>14998</Characters>
  <Lines>117</Lines>
  <Paragraphs>33</Paragraphs>
  <TotalTime>2280</TotalTime>
  <ScaleCrop>false</ScaleCrop>
  <LinksUpToDate>false</LinksUpToDate>
  <CharactersWithSpaces>15715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2024-02-29T06:41:00Z</dcterms:created>
  <dc:creator>Administrator</dc:creator>
  <cp:lastModifiedBy>张含笑</cp:lastModifiedBy>
  <dcterms:modified xsi:type="dcterms:W3CDTF">2026-07-07T02:03:45Z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eyJoZGlkIjoiMzEzOGEwNzRlN2E2OTg2NTM3MGUwYjk0ZjgxMjU4ODQiLCJ1c2VySWQiOiIxNzg5MDkzNzAwIn0=</vt:lpwstr>
  </property>
  <property fmtid="{D5CDD505-2E9C-101B-9397-08002B2CF9AE}" pid="3" name="KSOProductBuildVer">
    <vt:lpwstr>2052-12.1.0.26895</vt:lpwstr>
  </property>
  <property fmtid="{D5CDD505-2E9C-101B-9397-08002B2CF9AE}" pid="4" name="ICV">
    <vt:lpwstr>D94B968D70F1427C9F95CD00ED4A0816_12</vt:lpwstr>
  </property>
</Properties>
</file>