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2"/>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93"/>
        <w:gridCol w:w="8371"/>
      </w:tblGrid>
      <w:tr w14:paraId="3947D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93" w:type="dxa"/>
          </w:tcPr>
          <w:p w14:paraId="5F3D8BF3">
            <w:pPr>
              <w:pStyle w:val="21"/>
              <w:framePr w:wrap="notBeside" w:vAnchor="page" w:hAnchor="page" w:x="1372" w:y="568"/>
              <w:tabs>
                <w:tab w:val="clear" w:pos="4153"/>
                <w:tab w:val="clear" w:pos="8306"/>
              </w:tabs>
              <w:spacing w:line="240" w:lineRule="auto"/>
              <w:ind w:left="420" w:leftChars="200"/>
              <w:jc w:val="left"/>
              <w:rPr>
                <w:rFonts w:ascii="Times New Roman" w:hAnsi="Times New Roman" w:eastAsia="黑体"/>
                <w:sz w:val="21"/>
                <w:szCs w:val="21"/>
              </w:rPr>
            </w:pPr>
            <w:r>
              <w:rPr>
                <w:rFonts w:ascii="Times New Roman" w:hAnsi="Times New Roman" w:eastAsia="黑体"/>
                <w:sz w:val="21"/>
                <w:szCs w:val="21"/>
              </w:rPr>
              <w:t xml:space="preserve">                                                                                                                                                                                                                                                                                                                                                                                                                                                                                                                                                                                                                          ICS  </w:t>
            </w:r>
          </w:p>
        </w:tc>
        <w:tc>
          <w:tcPr>
            <w:tcW w:w="8371" w:type="dxa"/>
          </w:tcPr>
          <w:p w14:paraId="572ECBA8">
            <w:pPr>
              <w:pStyle w:val="21"/>
              <w:framePr w:wrap="notBeside" w:vAnchor="page" w:hAnchor="page" w:x="1372" w:y="568"/>
              <w:tabs>
                <w:tab w:val="clear" w:pos="4153"/>
                <w:tab w:val="clear" w:pos="8306"/>
              </w:tabs>
              <w:spacing w:line="240" w:lineRule="auto"/>
              <w:jc w:val="both"/>
              <w:rPr>
                <w:rFonts w:ascii="Times New Roman" w:hAnsi="Times New Roman" w:eastAsia="黑体"/>
                <w:sz w:val="21"/>
                <w:szCs w:val="21"/>
              </w:rPr>
            </w:pPr>
            <w:r>
              <w:rPr>
                <w:rFonts w:ascii="Times New Roman" w:hAnsi="Times New Roman" w:eastAsia="黑体"/>
                <w:sz w:val="21"/>
                <w:szCs w:val="21"/>
              </w:rPr>
              <w:fldChar w:fldCharType="begin">
                <w:ffData>
                  <w:name w:val="ICS"/>
                  <w:enabled/>
                  <w:calcOnExit w:val="0"/>
                  <w:textInput>
                    <w:default w:val="点击此处添加ICS号"/>
                  </w:textInput>
                </w:ffData>
              </w:fldChar>
            </w:r>
            <w:bookmarkStart w:id="0" w:name="ICS"/>
            <w:r>
              <w:rPr>
                <w:rFonts w:ascii="Times New Roman" w:hAnsi="Times New Roman" w:eastAsia="黑体"/>
                <w:sz w:val="21"/>
                <w:szCs w:val="21"/>
              </w:rPr>
              <w:instrText xml:space="preserve"> FORMTEXT </w:instrText>
            </w:r>
            <w:r>
              <w:rPr>
                <w:rFonts w:ascii="Times New Roman" w:hAnsi="Times New Roman" w:eastAsia="黑体"/>
                <w:sz w:val="21"/>
                <w:szCs w:val="21"/>
              </w:rPr>
              <w:fldChar w:fldCharType="separate"/>
            </w:r>
            <w:r>
              <w:rPr>
                <w:rFonts w:ascii="Times New Roman" w:hAnsi="Times New Roman" w:eastAsia="黑体"/>
                <w:sz w:val="21"/>
                <w:szCs w:val="21"/>
              </w:rPr>
              <w:t>     </w:t>
            </w:r>
            <w:r>
              <w:rPr>
                <w:rFonts w:ascii="Times New Roman" w:hAnsi="Times New Roman" w:eastAsia="黑体"/>
                <w:sz w:val="21"/>
                <w:szCs w:val="21"/>
              </w:rPr>
              <w:fldChar w:fldCharType="end"/>
            </w:r>
            <w:bookmarkEnd w:id="0"/>
          </w:p>
        </w:tc>
      </w:tr>
      <w:tr w14:paraId="43C00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93" w:type="dxa"/>
          </w:tcPr>
          <w:p w14:paraId="14560CF8">
            <w:pPr>
              <w:pStyle w:val="21"/>
              <w:framePr w:wrap="notBeside" w:vAnchor="page" w:hAnchor="page" w:x="1372" w:y="568"/>
              <w:tabs>
                <w:tab w:val="clear" w:pos="4153"/>
                <w:tab w:val="clear" w:pos="8306"/>
              </w:tabs>
              <w:spacing w:line="240" w:lineRule="auto"/>
              <w:jc w:val="left"/>
              <w:rPr>
                <w:rFonts w:ascii="Times New Roman" w:hAnsi="Times New Roman" w:eastAsia="黑体"/>
                <w:sz w:val="21"/>
                <w:szCs w:val="21"/>
              </w:rPr>
            </w:pPr>
            <w:r>
              <w:rPr>
                <w:rFonts w:ascii="Times New Roman" w:hAnsi="Times New Roman" w:eastAsia="黑体"/>
                <w:sz w:val="21"/>
                <w:szCs w:val="21"/>
              </w:rPr>
              <w:t xml:space="preserve">CCS  </w:t>
            </w:r>
          </w:p>
        </w:tc>
        <w:tc>
          <w:tcPr>
            <w:tcW w:w="8371" w:type="dxa"/>
          </w:tcPr>
          <w:tbl>
            <w:tblPr>
              <w:tblStyle w:val="32"/>
              <w:tblpPr w:vertAnchor="page" w:horzAnchor="page" w:tblpX="1769" w:tblpY="414"/>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5462944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443C324D">
                  <w:pPr>
                    <w:pStyle w:val="56"/>
                    <w:framePr w:wrap="notBeside" w:vAnchor="page" w:hAnchor="page" w:x="1372" w:y="568"/>
                    <w:spacing w:line="240" w:lineRule="auto"/>
                    <w:ind w:left="420" w:right="624"/>
                    <w:rPr>
                      <w:sz w:val="28"/>
                      <w:szCs w:val="28"/>
                    </w:rPr>
                  </w:pPr>
                  <w:r>
                    <w:rPr>
                      <w:sz w:val="21"/>
                      <w:szCs w:val="21"/>
                    </w:rPr>
                    <w:t xml:space="preserve"> </w:t>
                  </w:r>
                </w:p>
              </w:tc>
            </w:tr>
          </w:tbl>
          <w:p w14:paraId="64DE6B1C">
            <w:pPr>
              <w:pStyle w:val="21"/>
              <w:framePr w:wrap="notBeside" w:vAnchor="page" w:hAnchor="page" w:x="1372" w:y="568"/>
              <w:tabs>
                <w:tab w:val="clear" w:pos="4153"/>
                <w:tab w:val="clear" w:pos="8306"/>
              </w:tabs>
              <w:spacing w:line="240" w:lineRule="auto"/>
              <w:jc w:val="left"/>
              <w:rPr>
                <w:rFonts w:ascii="Times New Roman" w:hAnsi="Times New Roman" w:eastAsia="黑体"/>
                <w:sz w:val="21"/>
                <w:szCs w:val="21"/>
              </w:rPr>
            </w:pPr>
            <w:r>
              <w:rPr>
                <w:rFonts w:ascii="Times New Roman" w:hAnsi="Times New Roman" w:eastAsia="黑体"/>
                <w:sz w:val="21"/>
                <w:szCs w:val="21"/>
              </w:rPr>
              <w:fldChar w:fldCharType="begin">
                <w:ffData>
                  <w:name w:val="CSDN"/>
                  <w:enabled/>
                  <w:calcOnExit w:val="0"/>
                  <w:textInput>
                    <w:default w:val="点击此处添加CCS号"/>
                  </w:textInput>
                </w:ffData>
              </w:fldChar>
            </w:r>
            <w:bookmarkStart w:id="1" w:name="CSDN"/>
            <w:r>
              <w:rPr>
                <w:rFonts w:ascii="Times New Roman" w:hAnsi="Times New Roman" w:eastAsia="黑体"/>
                <w:sz w:val="21"/>
                <w:szCs w:val="21"/>
              </w:rPr>
              <w:instrText xml:space="preserve"> FORMTEXT </w:instrText>
            </w:r>
            <w:r>
              <w:rPr>
                <w:rFonts w:ascii="Times New Roman" w:hAnsi="Times New Roman" w:eastAsia="黑体"/>
                <w:sz w:val="21"/>
                <w:szCs w:val="21"/>
              </w:rPr>
              <w:fldChar w:fldCharType="separate"/>
            </w:r>
            <w:r>
              <w:rPr>
                <w:rFonts w:ascii="Times New Roman" w:hAnsi="Times New Roman" w:eastAsia="黑体"/>
                <w:sz w:val="21"/>
                <w:szCs w:val="21"/>
              </w:rPr>
              <w:t>点击此处添加CCS号</w:t>
            </w:r>
            <w:r>
              <w:rPr>
                <w:rFonts w:ascii="Times New Roman" w:hAnsi="Times New Roman" w:eastAsia="黑体"/>
                <w:sz w:val="21"/>
                <w:szCs w:val="21"/>
              </w:rPr>
              <w:fldChar w:fldCharType="end"/>
            </w:r>
            <w:bookmarkEnd w:id="1"/>
          </w:p>
        </w:tc>
      </w:tr>
    </w:tbl>
    <w:p w14:paraId="38F7721A">
      <w:pPr>
        <w:pStyle w:val="57"/>
        <w:framePr w:w="9639" w:h="624" w:hRule="exact" w:hSpace="181" w:vSpace="181" w:wrap="around" w:hAnchor="page" w:x="1305" w:y="2269"/>
        <w:spacing w:line="240" w:lineRule="auto"/>
        <w:rPr>
          <w:rFonts w:ascii="Times New Roman" w:eastAsia="黑体"/>
          <w:b w:val="0"/>
          <w:bCs w:val="0"/>
          <w:w w:val="100"/>
          <w:sz w:val="48"/>
          <w:szCs w:val="48"/>
        </w:rPr>
      </w:pPr>
      <w:bookmarkStart w:id="2" w:name="_Hlk26473981"/>
      <w:r>
        <w:rPr>
          <w:rFonts w:ascii="Times New Roman" w:eastAsia="黑体"/>
          <w:b w:val="0"/>
          <w:w w:val="100"/>
          <w:sz w:val="48"/>
        </w:rPr>
        <w:t>团体</w:t>
      </w:r>
      <w:r>
        <w:rPr>
          <w:rFonts w:ascii="Times New Roman" w:eastAsia="黑体"/>
          <w:b w:val="0"/>
          <w:bCs w:val="0"/>
          <w:w w:val="100"/>
          <w:sz w:val="48"/>
          <w:szCs w:val="48"/>
        </w:rPr>
        <w:t>标准</w:t>
      </w:r>
    </w:p>
    <w:bookmarkEnd w:id="2"/>
    <w:p w14:paraId="07E11F3F">
      <w:pPr>
        <w:pStyle w:val="201"/>
        <w:wordWrap/>
        <w:spacing w:line="240" w:lineRule="auto"/>
        <w:rPr>
          <w:rFonts w:ascii="Times New Roman"/>
        </w:rPr>
      </w:pPr>
      <w:r>
        <w:rPr>
          <w:rFonts w:ascii="Times New Roman"/>
        </w:rPr>
        <w:t>T/</w:t>
      </w:r>
      <w:r>
        <w:rPr>
          <w:rFonts w:ascii="Times New Roman"/>
        </w:rPr>
        <w:fldChar w:fldCharType="begin">
          <w:ffData>
            <w:name w:val="文字1"/>
            <w:enabled/>
            <w:calcOnExit w:val="0"/>
            <w:textInput>
              <w:default w:val="CSES"/>
            </w:textInput>
          </w:ffData>
        </w:fldChar>
      </w:r>
      <w:bookmarkStart w:id="3" w:name="文字1"/>
      <w:r>
        <w:rPr>
          <w:rFonts w:ascii="Times New Roman"/>
        </w:rPr>
        <w:instrText xml:space="preserve"> FORMTEXT </w:instrText>
      </w:r>
      <w:r>
        <w:rPr>
          <w:rFonts w:ascii="Times New Roman"/>
        </w:rPr>
        <w:fldChar w:fldCharType="separate"/>
      </w:r>
      <w:r>
        <w:rPr>
          <w:rFonts w:ascii="Times New Roman"/>
        </w:rPr>
        <w:t>CSES</w:t>
      </w:r>
      <w:r>
        <w:rPr>
          <w:rFonts w:ascii="Times New Roman"/>
        </w:rPr>
        <w:fldChar w:fldCharType="end"/>
      </w:r>
      <w:bookmarkEnd w:id="3"/>
      <w:r>
        <w:rPr>
          <w:rFonts w:ascii="Times New Roman"/>
        </w:rPr>
        <w:t xml:space="preserve"> </w:t>
      </w:r>
      <w:r>
        <w:rPr>
          <w:rFonts w:ascii="Times New Roman"/>
        </w:rPr>
        <w:fldChar w:fldCharType="begin">
          <w:ffData>
            <w:name w:val="NSTD_CODE_F"/>
            <w:enabled/>
            <w:calcOnExit w:val="0"/>
            <w:textInput>
              <w:default w:val="XXXX"/>
            </w:textInput>
          </w:ffData>
        </w:fldChar>
      </w:r>
      <w:bookmarkStart w:id="4" w:name="NSTD_CODE_F"/>
      <w:r>
        <w:rPr>
          <w:rFonts w:ascii="Times New Roman"/>
        </w:rPr>
        <w:instrText xml:space="preserve"> FORMTEXT </w:instrText>
      </w:r>
      <w:r>
        <w:rPr>
          <w:rFonts w:ascii="Times New Roman"/>
        </w:rPr>
        <w:fldChar w:fldCharType="separate"/>
      </w:r>
      <w:r>
        <w:rPr>
          <w:rFonts w:ascii="Times New Roman"/>
        </w:rPr>
        <w:t>XXXX</w:t>
      </w:r>
      <w:r>
        <w:rPr>
          <w:rFonts w:ascii="Times New Roman"/>
        </w:rPr>
        <w:fldChar w:fldCharType="end"/>
      </w:r>
      <w:bookmarkEnd w:id="4"/>
      <w:r>
        <w:rPr>
          <w:rFonts w:ascii="Times New Roman"/>
        </w:rPr>
        <w:t>—</w:t>
      </w:r>
      <w:r>
        <w:rPr>
          <w:rFonts w:ascii="Times New Roman"/>
        </w:rPr>
        <w:fldChar w:fldCharType="begin">
          <w:ffData>
            <w:name w:val="NSTD_CODE_B"/>
            <w:enabled/>
            <w:calcOnExit w:val="0"/>
            <w:textInput>
              <w:default w:val="XXXX"/>
            </w:textInput>
          </w:ffData>
        </w:fldChar>
      </w:r>
      <w:bookmarkStart w:id="5" w:name="NSTD_CODE_B"/>
      <w:r>
        <w:rPr>
          <w:rFonts w:ascii="Times New Roman"/>
        </w:rPr>
        <w:instrText xml:space="preserve"> FORMTEXT </w:instrText>
      </w:r>
      <w:r>
        <w:rPr>
          <w:rFonts w:ascii="Times New Roman"/>
        </w:rPr>
        <w:fldChar w:fldCharType="separate"/>
      </w:r>
      <w:r>
        <w:rPr>
          <w:rFonts w:ascii="Times New Roman"/>
        </w:rPr>
        <w:t>XXXX</w:t>
      </w:r>
      <w:r>
        <w:rPr>
          <w:rFonts w:ascii="Times New Roman"/>
        </w:rPr>
        <w:fldChar w:fldCharType="end"/>
      </w:r>
      <w:bookmarkEnd w:id="5"/>
    </w:p>
    <w:p w14:paraId="62787885">
      <w:pPr>
        <w:pStyle w:val="202"/>
        <w:wordWrap/>
        <w:spacing w:before="0" w:line="240" w:lineRule="auto"/>
        <w:rPr>
          <w:rFonts w:ascii="Times New Roman"/>
        </w:rPr>
      </w:pPr>
    </w:p>
    <w:p w14:paraId="42B46ED7">
      <w:pPr>
        <w:spacing w:line="240" w:lineRule="auto"/>
        <w:rPr>
          <w:rFonts w:ascii="Times New Roman" w:hAnsi="Times New Roman" w:eastAsia="黑体"/>
          <w:kern w:val="0"/>
          <w:sz w:val="10"/>
          <w:szCs w:val="10"/>
        </w:rPr>
      </w:pPr>
      <w:r>
        <w:rPr>
          <w:rFonts w:ascii="Times New Roman" w:hAnsi="Times New Roman"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F0D16DC">
      <w:pPr>
        <w:pStyle w:val="57"/>
        <w:framePr w:w="9639" w:h="6976" w:hRule="exact" w:hSpace="0" w:vSpace="0" w:wrap="around" w:hAnchor="page" w:y="6408"/>
        <w:spacing w:line="240" w:lineRule="auto"/>
        <w:jc w:val="center"/>
        <w:rPr>
          <w:rFonts w:ascii="Times New Roman" w:eastAsia="黑体"/>
          <w:b w:val="0"/>
          <w:bCs w:val="0"/>
          <w:w w:val="100"/>
        </w:rPr>
      </w:pPr>
    </w:p>
    <w:p w14:paraId="6DE2730F">
      <w:pPr>
        <w:pStyle w:val="203"/>
        <w:framePr w:h="6974" w:hRule="exact" w:wrap="around" w:x="1419" w:anchorLock="1"/>
        <w:spacing w:line="240" w:lineRule="auto"/>
        <w:rPr>
          <w:rFonts w:ascii="Times New Roman" w:hAnsi="Times New Roman"/>
        </w:rPr>
      </w:pPr>
      <w:bookmarkStart w:id="6" w:name="OLE_LINK3"/>
      <w:bookmarkStart w:id="7" w:name="_Hlk193959892"/>
      <w:r>
        <w:rPr>
          <w:rFonts w:ascii="Times New Roman" w:hAnsi="Times New Roman"/>
        </w:rPr>
        <w:t>自然共生地（</w:t>
      </w:r>
      <w:r>
        <w:rPr>
          <w:rFonts w:hint="eastAsia" w:ascii="Times New Roman" w:hAnsi="Times New Roman"/>
          <w:lang w:val="en-US" w:eastAsia="zh-CN"/>
        </w:rPr>
        <w:t>其他有效的区域保护措施</w:t>
      </w:r>
      <w:r>
        <w:rPr>
          <w:rFonts w:ascii="Times New Roman" w:hAnsi="Times New Roman"/>
        </w:rPr>
        <w:t>）</w:t>
      </w:r>
    </w:p>
    <w:p w14:paraId="5432A6D9">
      <w:pPr>
        <w:pStyle w:val="203"/>
        <w:framePr w:h="6974" w:hRule="exact" w:wrap="around" w:x="1419" w:anchorLock="1"/>
        <w:spacing w:line="240" w:lineRule="auto"/>
        <w:rPr>
          <w:rFonts w:ascii="Times New Roman" w:hAnsi="Times New Roman"/>
        </w:rPr>
      </w:pPr>
      <w:r>
        <w:rPr>
          <w:rFonts w:ascii="Times New Roman" w:hAnsi="Times New Roman"/>
        </w:rPr>
        <w:t>认定</w:t>
      </w:r>
      <w:bookmarkEnd w:id="6"/>
      <w:bookmarkEnd w:id="7"/>
      <w:r>
        <w:rPr>
          <w:rFonts w:hint="eastAsia" w:ascii="Times New Roman" w:hAnsi="Times New Roman"/>
        </w:rPr>
        <w:t>技术规范</w:t>
      </w:r>
    </w:p>
    <w:p w14:paraId="3637C420">
      <w:pPr>
        <w:framePr w:w="9639" w:h="6974" w:hRule="exact" w:wrap="around" w:vAnchor="page" w:hAnchor="page" w:x="1419" w:y="6408" w:anchorLock="1"/>
        <w:spacing w:line="240" w:lineRule="auto"/>
        <w:ind w:left="-1418"/>
        <w:rPr>
          <w:rFonts w:ascii="Times New Roman" w:hAnsi="Times New Roman"/>
        </w:rPr>
      </w:pPr>
    </w:p>
    <w:p w14:paraId="146BCBAE">
      <w:pPr>
        <w:pStyle w:val="131"/>
        <w:framePr w:w="9639" w:h="6974" w:hRule="exact" w:wrap="around" w:vAnchor="page" w:hAnchor="page" w:x="1419" w:y="6408" w:anchorLock="1"/>
        <w:spacing w:line="240" w:lineRule="auto"/>
        <w:textAlignment w:val="bottom"/>
        <w:rPr>
          <w:rFonts w:eastAsia="黑体"/>
          <w:szCs w:val="28"/>
          <w:highlight w:val="yellow"/>
        </w:rPr>
      </w:pPr>
      <w:r>
        <w:rPr>
          <w:rFonts w:eastAsia="黑体"/>
          <w:szCs w:val="28"/>
        </w:rPr>
        <w:t>Technical Specifications for Other Effective area-based Conservation Measures (OECMs) in China</w:t>
      </w:r>
    </w:p>
    <w:p w14:paraId="067193B4">
      <w:pPr>
        <w:framePr w:w="9639" w:h="6974" w:hRule="exact" w:wrap="around" w:vAnchor="page" w:hAnchor="page" w:x="1419" w:y="6408" w:anchorLock="1"/>
        <w:spacing w:line="240" w:lineRule="auto"/>
        <w:ind w:left="-1418"/>
        <w:rPr>
          <w:rFonts w:ascii="Times New Roman" w:hAnsi="Times New Roman"/>
        </w:rPr>
      </w:pPr>
    </w:p>
    <w:p w14:paraId="4E3C0A6D">
      <w:pPr>
        <w:pStyle w:val="131"/>
        <w:framePr w:w="9639" w:h="6974" w:hRule="exact" w:wrap="around" w:vAnchor="page" w:hAnchor="page" w:x="1419" w:y="6408" w:anchorLock="1"/>
        <w:spacing w:line="240" w:lineRule="auto"/>
        <w:textAlignment w:val="bottom"/>
        <w:rPr>
          <w:rFonts w:eastAsia="黑体"/>
          <w:szCs w:val="28"/>
        </w:rPr>
      </w:pPr>
    </w:p>
    <w:p w14:paraId="7068CD9D">
      <w:pPr>
        <w:pStyle w:val="131"/>
        <w:framePr w:w="9639" w:h="6974" w:hRule="exact" w:wrap="around" w:vAnchor="page" w:hAnchor="page" w:x="1419" w:y="6408" w:anchorLock="1"/>
        <w:spacing w:line="240" w:lineRule="auto"/>
        <w:textAlignment w:val="bottom"/>
        <w:rPr>
          <w:sz w:val="24"/>
          <w:szCs w:val="28"/>
        </w:rPr>
      </w:pPr>
      <w:r>
        <w:rPr>
          <w:sz w:val="24"/>
          <w:szCs w:val="28"/>
        </w:rPr>
        <w:fldChar w:fldCharType="begin">
          <w:ffData>
            <w:name w:val="下拉1"/>
            <w:enabled/>
            <w:calcOnExit w:val="0"/>
            <w:ddList>
              <w:result w:val="1"/>
              <w:listEntry w:val=" "/>
              <w:listEntry w:val="草案版次选择"/>
              <w:listEntry w:val="（工作组讨论稿）"/>
              <w:listEntry w:val="（征求意见稿）"/>
              <w:listEntry w:val="（送审讨论稿）"/>
              <w:listEntry w:val="（送审稿）"/>
              <w:listEntry w:val="（报批稿）"/>
            </w:ddList>
          </w:ffData>
        </w:fldChar>
      </w:r>
      <w:bookmarkStart w:id="8" w:name="下拉1"/>
      <w:r>
        <w:rPr>
          <w:sz w:val="24"/>
          <w:szCs w:val="28"/>
        </w:rPr>
        <w:instrText xml:space="preserve"> FORMDROPDOWN </w:instrText>
      </w:r>
      <w:r>
        <w:rPr>
          <w:sz w:val="24"/>
          <w:szCs w:val="28"/>
        </w:rPr>
        <w:fldChar w:fldCharType="separate"/>
      </w:r>
      <w:r>
        <w:rPr>
          <w:sz w:val="24"/>
          <w:szCs w:val="28"/>
        </w:rPr>
        <w:fldChar w:fldCharType="end"/>
      </w:r>
      <w:bookmarkEnd w:id="8"/>
    </w:p>
    <w:p w14:paraId="7FA4EDF4">
      <w:pPr>
        <w:pStyle w:val="131"/>
        <w:framePr w:w="9639" w:h="6974" w:hRule="exact" w:wrap="around" w:vAnchor="page" w:hAnchor="page" w:x="1419" w:y="6408" w:anchorLock="1"/>
        <w:spacing w:line="240" w:lineRule="auto"/>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9"/>
    </w:p>
    <w:p w14:paraId="75499576">
      <w:pPr>
        <w:pStyle w:val="131"/>
        <w:framePr w:w="9639" w:h="6974" w:hRule="exact" w:wrap="around" w:vAnchor="page" w:hAnchor="page" w:x="1419" w:y="6408" w:anchorLock="1"/>
        <w:spacing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fldChar w:fldCharType="separate"/>
      </w:r>
      <w:r>
        <w:rPr>
          <w:b/>
          <w:sz w:val="21"/>
          <w:szCs w:val="28"/>
        </w:rPr>
        <w:fldChar w:fldCharType="end"/>
      </w:r>
      <w:bookmarkEnd w:id="10"/>
    </w:p>
    <w:p w14:paraId="22F7B865">
      <w:pPr>
        <w:pStyle w:val="199"/>
        <w:framePr w:wrap="around" w:y="14176"/>
      </w:pPr>
      <w:r>
        <w:fldChar w:fldCharType="begin">
          <w:ffData>
            <w:name w:val="PLSH_DATE_Y"/>
            <w:enabled/>
            <w:calcOnExit w:val="0"/>
            <w:textInput>
              <w:default w:val="XXXX"/>
              <w:maxLength w:val="4"/>
            </w:textInput>
          </w:ffData>
        </w:fldChar>
      </w:r>
      <w:bookmarkStart w:id="11" w:name="PLSH_DATE_Y"/>
      <w:r>
        <w:instrText xml:space="preserve"> FORMTEXT </w:instrText>
      </w:r>
      <w:r>
        <w:fldChar w:fldCharType="separate"/>
      </w:r>
      <w:r>
        <w:t>XXXX</w:t>
      </w:r>
      <w:r>
        <w:fldChar w:fldCharType="end"/>
      </w:r>
      <w:bookmarkEnd w:id="11"/>
      <w:r>
        <w:t xml:space="preserve"> - </w:t>
      </w:r>
      <w:r>
        <w:fldChar w:fldCharType="begin">
          <w:ffData>
            <w:name w:val="PLSH_DATE_M"/>
            <w:enabled/>
            <w:calcOnExit w:val="0"/>
            <w:textInput>
              <w:default w:val="XX"/>
              <w:maxLength w:val="2"/>
            </w:textInput>
          </w:ffData>
        </w:fldChar>
      </w:r>
      <w:bookmarkStart w:id="12" w:name="PLSH_DATE_M"/>
      <w:r>
        <w:instrText xml:space="preserve"> FORMTEXT </w:instrText>
      </w:r>
      <w:r>
        <w:fldChar w:fldCharType="separate"/>
      </w:r>
      <w:r>
        <w:t>XX</w:t>
      </w:r>
      <w:r>
        <w:fldChar w:fldCharType="end"/>
      </w:r>
      <w:bookmarkEnd w:id="12"/>
      <w:r>
        <w:t xml:space="preserve"> - </w:t>
      </w:r>
      <w:r>
        <w:fldChar w:fldCharType="begin">
          <w:ffData>
            <w:name w:val="PLSH_DATE_D"/>
            <w:enabled/>
            <w:calcOnExit w:val="0"/>
            <w:textInput>
              <w:default w:val="XX"/>
              <w:maxLength w:val="2"/>
            </w:textInput>
          </w:ffData>
        </w:fldChar>
      </w:r>
      <w:bookmarkStart w:id="13" w:name="PLSH_DATE_D"/>
      <w:r>
        <w:instrText xml:space="preserve"> FORMTEXT </w:instrText>
      </w:r>
      <w:r>
        <w:fldChar w:fldCharType="separate"/>
      </w:r>
      <w:r>
        <w:t>XX</w:t>
      </w:r>
      <w:r>
        <w:fldChar w:fldCharType="end"/>
      </w:r>
      <w:bookmarkEnd w:id="13"/>
      <w:r>
        <w:t>发布</w:t>
      </w:r>
    </w:p>
    <w:p w14:paraId="1469BD28">
      <w:pPr>
        <w:pStyle w:val="200"/>
        <w:framePr w:wrap="around" w:y="14176"/>
      </w:pPr>
      <w:r>
        <w:fldChar w:fldCharType="begin">
          <w:ffData>
            <w:name w:val="CROT_DATE_Y"/>
            <w:enabled/>
            <w:calcOnExit w:val="0"/>
            <w:textInput>
              <w:default w:val="XXXX"/>
              <w:maxLength w:val="4"/>
            </w:textInput>
          </w:ffData>
        </w:fldChar>
      </w:r>
      <w:bookmarkStart w:id="14" w:name="CROT_DATE_Y"/>
      <w:r>
        <w:instrText xml:space="preserve"> FORMTEXT </w:instrText>
      </w:r>
      <w:r>
        <w:fldChar w:fldCharType="separate"/>
      </w:r>
      <w:r>
        <w:t>XXXX</w:t>
      </w:r>
      <w:r>
        <w:fldChar w:fldCharType="end"/>
      </w:r>
      <w:bookmarkEnd w:id="14"/>
      <w:r>
        <w:t xml:space="preserve"> - </w:t>
      </w:r>
      <w:r>
        <w:fldChar w:fldCharType="begin">
          <w:ffData>
            <w:name w:val="CROT_DATE_M"/>
            <w:enabled/>
            <w:calcOnExit w:val="0"/>
            <w:textInput>
              <w:default w:val="XX"/>
              <w:maxLength w:val="2"/>
            </w:textInput>
          </w:ffData>
        </w:fldChar>
      </w:r>
      <w:bookmarkStart w:id="15" w:name="CROT_DATE_M"/>
      <w:r>
        <w:instrText xml:space="preserve"> FORMTEXT </w:instrText>
      </w:r>
      <w:r>
        <w:fldChar w:fldCharType="separate"/>
      </w:r>
      <w:r>
        <w:t>XX</w:t>
      </w:r>
      <w:r>
        <w:fldChar w:fldCharType="end"/>
      </w:r>
      <w:bookmarkEnd w:id="15"/>
      <w:r>
        <w:t xml:space="preserve"> - </w:t>
      </w:r>
      <w:r>
        <w:fldChar w:fldCharType="begin">
          <w:ffData>
            <w:name w:val="CROT_DATE_D"/>
            <w:enabled/>
            <w:calcOnExit w:val="0"/>
            <w:textInput>
              <w:default w:val="XX"/>
              <w:maxLength w:val="2"/>
            </w:textInput>
          </w:ffData>
        </w:fldChar>
      </w:r>
      <w:bookmarkStart w:id="16" w:name="CROT_DATE_D"/>
      <w:r>
        <w:instrText xml:space="preserve"> FORMTEXT </w:instrText>
      </w:r>
      <w:r>
        <w:fldChar w:fldCharType="separate"/>
      </w:r>
      <w:r>
        <w:t>XX</w:t>
      </w:r>
      <w:r>
        <w:fldChar w:fldCharType="end"/>
      </w:r>
      <w:bookmarkEnd w:id="16"/>
      <w:r>
        <w:t>实施</w:t>
      </w:r>
    </w:p>
    <w:p w14:paraId="378A5F6E">
      <w:pPr>
        <w:pStyle w:val="157"/>
        <w:framePr w:h="584" w:hRule="exact" w:hSpace="181" w:vSpace="181" w:wrap="around" w:y="14800"/>
        <w:spacing w:line="240" w:lineRule="auto"/>
        <w:rPr>
          <w:rFonts w:ascii="Times New Roman"/>
        </w:rPr>
      </w:pPr>
      <w:r>
        <w:rPr>
          <w:rFonts w:ascii="Times New Roman"/>
          <w:w w:val="100"/>
          <w:sz w:val="28"/>
        </w:rPr>
        <w:fldChar w:fldCharType="begin">
          <w:ffData>
            <w:name w:val="fm"/>
            <w:enabled/>
            <w:calcOnExit w:val="0"/>
            <w:textInput>
              <w:default w:val="中国环境科学学会"/>
            </w:textInput>
          </w:ffData>
        </w:fldChar>
      </w:r>
      <w:bookmarkStart w:id="17" w:name="fm"/>
      <w:r>
        <w:rPr>
          <w:rFonts w:ascii="Times New Roman"/>
          <w:w w:val="100"/>
          <w:sz w:val="28"/>
        </w:rPr>
        <w:instrText xml:space="preserve"> FORMTEXT </w:instrText>
      </w:r>
      <w:r>
        <w:rPr>
          <w:rFonts w:ascii="Times New Roman"/>
          <w:w w:val="100"/>
          <w:sz w:val="28"/>
        </w:rPr>
        <w:fldChar w:fldCharType="separate"/>
      </w:r>
      <w:r>
        <w:rPr>
          <w:rFonts w:ascii="Times New Roman"/>
          <w:w w:val="100"/>
          <w:sz w:val="28"/>
        </w:rPr>
        <w:t>中国环境科学学会</w:t>
      </w:r>
      <w:r>
        <w:rPr>
          <w:rFonts w:ascii="Times New Roman"/>
          <w:w w:val="100"/>
          <w:sz w:val="28"/>
        </w:rPr>
        <w:fldChar w:fldCharType="end"/>
      </w:r>
      <w:bookmarkEnd w:id="17"/>
      <w:r>
        <w:rPr>
          <w:rFonts w:ascii="Times New Roman"/>
          <w:w w:val="100"/>
          <w:sz w:val="28"/>
        </w:rPr>
        <w:t>  </w:t>
      </w:r>
      <w:r>
        <w:rPr>
          <w:rStyle w:val="235"/>
          <w:rFonts w:ascii="Times New Roman"/>
          <w:position w:val="0"/>
        </w:rPr>
        <w:t>发</w:t>
      </w:r>
      <w:r>
        <w:rPr>
          <w:rStyle w:val="235"/>
          <w:rFonts w:ascii="Times New Roman"/>
          <w:spacing w:val="0"/>
          <w:position w:val="0"/>
        </w:rPr>
        <w:t>布</w:t>
      </w:r>
    </w:p>
    <w:p w14:paraId="527BC5C4">
      <w:pPr>
        <w:spacing w:line="240" w:lineRule="auto"/>
        <w:rPr>
          <w:rFonts w:ascii="Times New Roman" w:hAnsi="Times New Roman"/>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ascii="Times New Roman" w:hAnsi="Times New Roman"/>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r>
        <w:rPr>
          <w:rFonts w:ascii="Times New Roman" w:hAnsi="Times New Roman"/>
          <w:sz w:val="28"/>
          <w:szCs w:val="28"/>
        </w:rPr>
        <w:t xml:space="preserve">                                                                                                                                                                                                                </w:t>
      </w:r>
    </w:p>
    <w:p w14:paraId="715EE2FE">
      <w:pPr>
        <w:pStyle w:val="97"/>
        <w:spacing w:after="0" w:afterLines="0"/>
        <w:rPr>
          <w:rFonts w:ascii="Times New Roman" w:hAnsi="Times New Roman"/>
        </w:rPr>
      </w:pPr>
      <w:bookmarkStart w:id="18" w:name="BookMark1"/>
      <w:r>
        <w:rPr>
          <w:rFonts w:ascii="Times New Roman" w:hAnsi="Times New Roman"/>
          <w:spacing w:val="320"/>
        </w:rPr>
        <w:t>目</w:t>
      </w:r>
      <w:r>
        <w:rPr>
          <w:rFonts w:ascii="Times New Roman" w:hAnsi="Times New Roman"/>
        </w:rPr>
        <w:t>次</w:t>
      </w:r>
    </w:p>
    <w:p w14:paraId="0DB965CE">
      <w:pPr>
        <w:pStyle w:val="22"/>
        <w:tabs>
          <w:tab w:val="right" w:leader="dot" w:pos="9354"/>
          <w:tab w:val="clear" w:pos="9344"/>
        </w:tabs>
      </w:pPr>
      <w:r>
        <w:rPr>
          <w:rFonts w:ascii="Times New Roman"/>
        </w:rPr>
        <w:fldChar w:fldCharType="begin"/>
      </w:r>
      <w:r>
        <w:rPr>
          <w:rFonts w:ascii="Times New Roman"/>
        </w:rPr>
        <w:instrText xml:space="preserve"> TOC \o "1-1" \h \t "标准文件_一级条标题,2,标准文件_附录一级条标题,2," </w:instrText>
      </w:r>
      <w:r>
        <w:rPr>
          <w:rFonts w:ascii="Times New Roman"/>
        </w:rPr>
        <w:fldChar w:fldCharType="separate"/>
      </w:r>
      <w:r>
        <w:rPr>
          <w:rFonts w:ascii="Times New Roman"/>
        </w:rPr>
        <w:fldChar w:fldCharType="begin"/>
      </w:r>
      <w:r>
        <w:rPr>
          <w:rFonts w:ascii="Times New Roman"/>
        </w:rPr>
        <w:instrText xml:space="preserve"> HYPERLINK \l _Toc22740 </w:instrText>
      </w:r>
      <w:r>
        <w:rPr>
          <w:rFonts w:ascii="Times New Roman"/>
        </w:rPr>
        <w:fldChar w:fldCharType="separate"/>
      </w:r>
      <w:r>
        <w:rPr>
          <w:rFonts w:ascii="Times New Roman" w:hAnsi="Times New Roman" w:eastAsia="黑体"/>
          <w:bCs w:val="0"/>
          <w:szCs w:val="32"/>
        </w:rPr>
        <w:t>前    言</w:t>
      </w:r>
      <w:r>
        <w:tab/>
      </w:r>
      <w:r>
        <w:fldChar w:fldCharType="begin"/>
      </w:r>
      <w:r>
        <w:instrText xml:space="preserve"> PAGEREF _Toc22740 \h </w:instrText>
      </w:r>
      <w:r>
        <w:fldChar w:fldCharType="separate"/>
      </w:r>
      <w:r>
        <w:t>III</w:t>
      </w:r>
      <w:r>
        <w:fldChar w:fldCharType="end"/>
      </w:r>
      <w:r>
        <w:rPr>
          <w:rFonts w:ascii="Times New Roman"/>
        </w:rPr>
        <w:fldChar w:fldCharType="end"/>
      </w:r>
    </w:p>
    <w:p w14:paraId="5EB73724">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_Toc28270 </w:instrText>
      </w:r>
      <w:r>
        <w:rPr>
          <w:rFonts w:ascii="Times New Roman" w:hAnsi="Times New Roman"/>
        </w:rPr>
        <w:fldChar w:fldCharType="separate"/>
      </w:r>
      <w:r>
        <w:rPr>
          <w:rFonts w:ascii="Times New Roman"/>
          <w:spacing w:val="320"/>
          <w:szCs w:val="32"/>
        </w:rPr>
        <w:t>引</w:t>
      </w:r>
      <w:r>
        <w:rPr>
          <w:rFonts w:ascii="Times New Roman"/>
          <w:szCs w:val="32"/>
        </w:rPr>
        <w:t>言</w:t>
      </w:r>
      <w:r>
        <w:tab/>
      </w:r>
      <w:r>
        <w:fldChar w:fldCharType="begin"/>
      </w:r>
      <w:r>
        <w:instrText xml:space="preserve"> PAGEREF _Toc28270 \h </w:instrText>
      </w:r>
      <w:r>
        <w:fldChar w:fldCharType="separate"/>
      </w:r>
      <w:r>
        <w:t>IV</w:t>
      </w:r>
      <w:r>
        <w:fldChar w:fldCharType="end"/>
      </w:r>
      <w:r>
        <w:rPr>
          <w:rFonts w:ascii="Times New Roman" w:hAnsi="Times New Roman"/>
        </w:rPr>
        <w:fldChar w:fldCharType="end"/>
      </w:r>
    </w:p>
    <w:p w14:paraId="6D49E13A">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_Toc12260 </w:instrText>
      </w:r>
      <w:r>
        <w:rPr>
          <w:rFonts w:ascii="Times New Roman" w:hAnsi="Times New Roman"/>
        </w:rPr>
        <w:fldChar w:fldCharType="separate"/>
      </w:r>
      <w:r>
        <w:rPr>
          <w:rFonts w:hint="eastAsia" w:ascii="黑体" w:eastAsia="黑体"/>
          <w:i w:val="0"/>
        </w:rPr>
        <w:t xml:space="preserve">1 </w:t>
      </w:r>
      <w:r>
        <w:rPr>
          <w:rFonts w:ascii="Times New Roman"/>
        </w:rPr>
        <w:t>范围</w:t>
      </w:r>
      <w:r>
        <w:tab/>
      </w:r>
      <w:r>
        <w:fldChar w:fldCharType="begin"/>
      </w:r>
      <w:r>
        <w:instrText xml:space="preserve"> PAGEREF _Toc12260 \h </w:instrText>
      </w:r>
      <w:r>
        <w:fldChar w:fldCharType="separate"/>
      </w:r>
      <w:r>
        <w:t>5</w:t>
      </w:r>
      <w:r>
        <w:fldChar w:fldCharType="end"/>
      </w:r>
      <w:r>
        <w:rPr>
          <w:rFonts w:ascii="Times New Roman" w:hAnsi="Times New Roman"/>
        </w:rPr>
        <w:fldChar w:fldCharType="end"/>
      </w:r>
    </w:p>
    <w:p w14:paraId="68EF0E74">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_Toc13158 </w:instrText>
      </w:r>
      <w:r>
        <w:rPr>
          <w:rFonts w:ascii="Times New Roman" w:hAnsi="Times New Roman"/>
        </w:rPr>
        <w:fldChar w:fldCharType="separate"/>
      </w:r>
      <w:r>
        <w:rPr>
          <w:rFonts w:hint="eastAsia" w:ascii="黑体" w:hAnsi="Times New Roman" w:eastAsia="黑体"/>
          <w:bCs w:val="0"/>
          <w:i w:val="0"/>
          <w:szCs w:val="21"/>
        </w:rPr>
        <w:t xml:space="preserve">2 </w:t>
      </w:r>
      <w:r>
        <w:rPr>
          <w:rFonts w:ascii="Times New Roman" w:hAnsi="Times New Roman" w:eastAsia="黑体"/>
          <w:bCs w:val="0"/>
          <w:szCs w:val="21"/>
        </w:rPr>
        <w:t>规范性引用文件</w:t>
      </w:r>
      <w:r>
        <w:tab/>
      </w:r>
      <w:r>
        <w:fldChar w:fldCharType="begin"/>
      </w:r>
      <w:r>
        <w:instrText xml:space="preserve"> PAGEREF _Toc13158 \h </w:instrText>
      </w:r>
      <w:r>
        <w:fldChar w:fldCharType="separate"/>
      </w:r>
      <w:r>
        <w:t>5</w:t>
      </w:r>
      <w:r>
        <w:fldChar w:fldCharType="end"/>
      </w:r>
      <w:r>
        <w:rPr>
          <w:rFonts w:ascii="Times New Roman" w:hAnsi="Times New Roman"/>
        </w:rPr>
        <w:fldChar w:fldCharType="end"/>
      </w:r>
    </w:p>
    <w:p w14:paraId="3B8F9B57">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_Toc9505 </w:instrText>
      </w:r>
      <w:r>
        <w:rPr>
          <w:rFonts w:ascii="Times New Roman" w:hAnsi="Times New Roman"/>
        </w:rPr>
        <w:fldChar w:fldCharType="separate"/>
      </w:r>
      <w:r>
        <w:rPr>
          <w:rFonts w:hint="eastAsia" w:ascii="黑体" w:eastAsia="黑体"/>
          <w:i w:val="0"/>
        </w:rPr>
        <w:t xml:space="preserve">3 </w:t>
      </w:r>
      <w:r>
        <w:rPr>
          <w:rFonts w:ascii="Times New Roman"/>
        </w:rPr>
        <w:t>术语和定义</w:t>
      </w:r>
      <w:r>
        <w:tab/>
      </w:r>
      <w:r>
        <w:fldChar w:fldCharType="begin"/>
      </w:r>
      <w:r>
        <w:instrText xml:space="preserve"> PAGEREF _Toc9505 \h </w:instrText>
      </w:r>
      <w:r>
        <w:fldChar w:fldCharType="separate"/>
      </w:r>
      <w:r>
        <w:t>5</w:t>
      </w:r>
      <w:r>
        <w:fldChar w:fldCharType="end"/>
      </w:r>
      <w:r>
        <w:rPr>
          <w:rFonts w:ascii="Times New Roman" w:hAnsi="Times New Roman"/>
        </w:rPr>
        <w:fldChar w:fldCharType="end"/>
      </w:r>
    </w:p>
    <w:p w14:paraId="7C8432EF">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_Toc8022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3.1 </w:t>
      </w:r>
      <w:r>
        <w:rPr>
          <w:rFonts w:ascii="Times New Roman"/>
        </w:rPr>
        <w:t xml:space="preserve"> 就地保护in-situ conservation</w:t>
      </w:r>
      <w:r>
        <w:tab/>
      </w:r>
      <w:r>
        <w:fldChar w:fldCharType="begin"/>
      </w:r>
      <w:r>
        <w:instrText xml:space="preserve"> PAGEREF _Toc8022 \h </w:instrText>
      </w:r>
      <w:r>
        <w:fldChar w:fldCharType="separate"/>
      </w:r>
      <w:r>
        <w:t>5</w:t>
      </w:r>
      <w:r>
        <w:fldChar w:fldCharType="end"/>
      </w:r>
      <w:r>
        <w:rPr>
          <w:rFonts w:ascii="Times New Roman" w:hAnsi="Times New Roman"/>
        </w:rPr>
        <w:fldChar w:fldCharType="end"/>
      </w:r>
    </w:p>
    <w:p w14:paraId="312C248D">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_Toc13813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3.2 </w:t>
      </w:r>
      <w:r>
        <w:rPr>
          <w:rFonts w:ascii="Times New Roman"/>
        </w:rPr>
        <w:t xml:space="preserve"> 自然保护地 protected areas</w:t>
      </w:r>
      <w:r>
        <w:tab/>
      </w:r>
      <w:r>
        <w:fldChar w:fldCharType="begin"/>
      </w:r>
      <w:r>
        <w:instrText xml:space="preserve"> PAGEREF _Toc13813 \h </w:instrText>
      </w:r>
      <w:r>
        <w:fldChar w:fldCharType="separate"/>
      </w:r>
      <w:r>
        <w:t>5</w:t>
      </w:r>
      <w:r>
        <w:fldChar w:fldCharType="end"/>
      </w:r>
      <w:r>
        <w:rPr>
          <w:rFonts w:ascii="Times New Roman" w:hAnsi="Times New Roman"/>
        </w:rPr>
        <w:fldChar w:fldCharType="end"/>
      </w:r>
    </w:p>
    <w:p w14:paraId="443CDBDE">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_Toc18448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3.3 </w:t>
      </w:r>
      <w:r>
        <w:rPr>
          <w:rFonts w:ascii="Times New Roman"/>
        </w:rPr>
        <w:t xml:space="preserve"> 生态保护红线</w:t>
      </w:r>
      <w:r>
        <w:rPr>
          <w:rFonts w:hint="eastAsia" w:ascii="Times New Roman"/>
        </w:rPr>
        <w:t>Ecological Protection Redlines</w:t>
      </w:r>
      <w:r>
        <w:tab/>
      </w:r>
      <w:r>
        <w:fldChar w:fldCharType="begin"/>
      </w:r>
      <w:r>
        <w:instrText xml:space="preserve"> PAGEREF _Toc18448 \h </w:instrText>
      </w:r>
      <w:r>
        <w:fldChar w:fldCharType="separate"/>
      </w:r>
      <w:r>
        <w:t>5</w:t>
      </w:r>
      <w:r>
        <w:fldChar w:fldCharType="end"/>
      </w:r>
      <w:r>
        <w:rPr>
          <w:rFonts w:ascii="Times New Roman" w:hAnsi="Times New Roman"/>
        </w:rPr>
        <w:fldChar w:fldCharType="end"/>
      </w:r>
    </w:p>
    <w:p w14:paraId="72CACB87">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_Toc7882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3.4 </w:t>
      </w:r>
      <w:r>
        <w:rPr>
          <w:rFonts w:ascii="Times New Roman"/>
        </w:rPr>
        <w:t xml:space="preserve"> </w:t>
      </w:r>
      <w:r>
        <w:rPr>
          <w:rFonts w:hint="eastAsia" w:ascii="Times New Roman"/>
        </w:rPr>
        <w:t>其他有效的区域保护措施 other effective area-based conservation measures (OECMs)</w:t>
      </w:r>
      <w:r>
        <w:tab/>
      </w:r>
      <w:r>
        <w:fldChar w:fldCharType="begin"/>
      </w:r>
      <w:r>
        <w:instrText xml:space="preserve"> PAGEREF _Toc7882 \h </w:instrText>
      </w:r>
      <w:r>
        <w:fldChar w:fldCharType="separate"/>
      </w:r>
      <w:r>
        <w:t>5</w:t>
      </w:r>
      <w:r>
        <w:fldChar w:fldCharType="end"/>
      </w:r>
      <w:r>
        <w:rPr>
          <w:rFonts w:ascii="Times New Roman" w:hAnsi="Times New Roman"/>
        </w:rPr>
        <w:fldChar w:fldCharType="end"/>
      </w:r>
    </w:p>
    <w:p w14:paraId="12ADE16B">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_Toc1705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3.5 </w:t>
      </w:r>
      <w:r>
        <w:rPr>
          <w:rFonts w:ascii="Times New Roman"/>
        </w:rPr>
        <w:t xml:space="preserve"> </w:t>
      </w:r>
      <w:r>
        <w:rPr>
          <w:rFonts w:hint="eastAsia" w:ascii="Times New Roman"/>
        </w:rPr>
        <w:t>自然共生地 nature coexistence areas</w:t>
      </w:r>
      <w:r>
        <w:tab/>
      </w:r>
      <w:r>
        <w:fldChar w:fldCharType="begin"/>
      </w:r>
      <w:r>
        <w:instrText xml:space="preserve"> PAGEREF _Toc1705 \h </w:instrText>
      </w:r>
      <w:r>
        <w:fldChar w:fldCharType="separate"/>
      </w:r>
      <w:r>
        <w:t>6</w:t>
      </w:r>
      <w:r>
        <w:fldChar w:fldCharType="end"/>
      </w:r>
      <w:r>
        <w:rPr>
          <w:rFonts w:ascii="Times New Roman" w:hAnsi="Times New Roman"/>
        </w:rPr>
        <w:fldChar w:fldCharType="end"/>
      </w:r>
    </w:p>
    <w:p w14:paraId="3A2630EA">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_Toc4432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3.6 </w:t>
      </w:r>
      <w:r>
        <w:rPr>
          <w:rFonts w:ascii="Times New Roman"/>
        </w:rPr>
        <w:t xml:space="preserve"> 权属/权益主体 rightsholder</w:t>
      </w:r>
      <w:r>
        <w:tab/>
      </w:r>
      <w:r>
        <w:fldChar w:fldCharType="begin"/>
      </w:r>
      <w:r>
        <w:instrText xml:space="preserve"> PAGEREF _Toc4432 \h </w:instrText>
      </w:r>
      <w:r>
        <w:fldChar w:fldCharType="separate"/>
      </w:r>
      <w:r>
        <w:t>6</w:t>
      </w:r>
      <w:r>
        <w:fldChar w:fldCharType="end"/>
      </w:r>
      <w:r>
        <w:rPr>
          <w:rFonts w:ascii="Times New Roman" w:hAnsi="Times New Roman"/>
        </w:rPr>
        <w:fldChar w:fldCharType="end"/>
      </w:r>
    </w:p>
    <w:p w14:paraId="27DC83C2">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_Toc22338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3.7 </w:t>
      </w:r>
      <w:r>
        <w:rPr>
          <w:rFonts w:ascii="Times New Roman"/>
        </w:rPr>
        <w:t xml:space="preserve"> </w:t>
      </w:r>
      <w:r>
        <w:rPr>
          <w:rFonts w:hint="eastAsia" w:ascii="Times New Roman"/>
        </w:rPr>
        <w:t>责任</w:t>
      </w:r>
      <w:r>
        <w:rPr>
          <w:rFonts w:ascii="Times New Roman"/>
        </w:rPr>
        <w:t>主体 responsible entity</w:t>
      </w:r>
      <w:r>
        <w:tab/>
      </w:r>
      <w:r>
        <w:fldChar w:fldCharType="begin"/>
      </w:r>
      <w:r>
        <w:instrText xml:space="preserve"> PAGEREF _Toc22338 \h </w:instrText>
      </w:r>
      <w:r>
        <w:fldChar w:fldCharType="separate"/>
      </w:r>
      <w:r>
        <w:t>6</w:t>
      </w:r>
      <w:r>
        <w:fldChar w:fldCharType="end"/>
      </w:r>
      <w:r>
        <w:rPr>
          <w:rFonts w:ascii="Times New Roman" w:hAnsi="Times New Roman"/>
        </w:rPr>
        <w:fldChar w:fldCharType="end"/>
      </w:r>
    </w:p>
    <w:p w14:paraId="24F1E8B7">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_Toc3498 </w:instrText>
      </w:r>
      <w:r>
        <w:rPr>
          <w:rFonts w:ascii="Times New Roman" w:hAnsi="Times New Roman"/>
        </w:rPr>
        <w:fldChar w:fldCharType="separate"/>
      </w:r>
      <w:r>
        <w:rPr>
          <w:rFonts w:hint="eastAsia" w:ascii="黑体" w:eastAsia="黑体"/>
          <w:i w:val="0"/>
        </w:rPr>
        <w:t xml:space="preserve">4 </w:t>
      </w:r>
      <w:r>
        <w:rPr>
          <w:rFonts w:ascii="Times New Roman"/>
        </w:rPr>
        <w:t>基本原则</w:t>
      </w:r>
      <w:r>
        <w:tab/>
      </w:r>
      <w:r>
        <w:fldChar w:fldCharType="begin"/>
      </w:r>
      <w:r>
        <w:instrText xml:space="preserve"> PAGEREF _Toc3498 \h </w:instrText>
      </w:r>
      <w:r>
        <w:fldChar w:fldCharType="separate"/>
      </w:r>
      <w:r>
        <w:t>6</w:t>
      </w:r>
      <w:r>
        <w:fldChar w:fldCharType="end"/>
      </w:r>
      <w:r>
        <w:rPr>
          <w:rFonts w:ascii="Times New Roman" w:hAnsi="Times New Roman"/>
        </w:rPr>
        <w:fldChar w:fldCharType="end"/>
      </w:r>
    </w:p>
    <w:p w14:paraId="7A67E102">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_Toc25576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 </w:t>
      </w:r>
      <w:r>
        <w:rPr>
          <w:rFonts w:ascii="Times New Roman"/>
        </w:rPr>
        <w:t>国际</w:t>
      </w:r>
      <w:r>
        <w:rPr>
          <w:rFonts w:hint="eastAsia" w:ascii="Times New Roman"/>
        </w:rPr>
        <w:t>接轨</w:t>
      </w:r>
      <w:r>
        <w:tab/>
      </w:r>
      <w:r>
        <w:fldChar w:fldCharType="begin"/>
      </w:r>
      <w:r>
        <w:instrText xml:space="preserve"> PAGEREF _Toc25576 \h </w:instrText>
      </w:r>
      <w:r>
        <w:fldChar w:fldCharType="separate"/>
      </w:r>
      <w:r>
        <w:t>6</w:t>
      </w:r>
      <w:r>
        <w:fldChar w:fldCharType="end"/>
      </w:r>
      <w:r>
        <w:rPr>
          <w:rFonts w:ascii="Times New Roman" w:hAnsi="Times New Roman"/>
        </w:rPr>
        <w:fldChar w:fldCharType="end"/>
      </w:r>
    </w:p>
    <w:p w14:paraId="22B81E7F">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_Toc32323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 </w:t>
      </w:r>
      <w:r>
        <w:rPr>
          <w:rFonts w:hint="eastAsia" w:ascii="Times New Roman"/>
        </w:rPr>
        <w:t>因地制宜</w:t>
      </w:r>
      <w:r>
        <w:tab/>
      </w:r>
      <w:r>
        <w:fldChar w:fldCharType="begin"/>
      </w:r>
      <w:r>
        <w:instrText xml:space="preserve"> PAGEREF _Toc32323 \h </w:instrText>
      </w:r>
      <w:r>
        <w:fldChar w:fldCharType="separate"/>
      </w:r>
      <w:r>
        <w:t>6</w:t>
      </w:r>
      <w:r>
        <w:fldChar w:fldCharType="end"/>
      </w:r>
      <w:r>
        <w:rPr>
          <w:rFonts w:ascii="Times New Roman" w:hAnsi="Times New Roman"/>
        </w:rPr>
        <w:fldChar w:fldCharType="end"/>
      </w:r>
    </w:p>
    <w:p w14:paraId="1317848B">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_Toc31650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 </w:t>
      </w:r>
      <w:r>
        <w:rPr>
          <w:rFonts w:hint="eastAsia" w:ascii="Times New Roman"/>
        </w:rPr>
        <w:t>多元参与</w:t>
      </w:r>
      <w:r>
        <w:tab/>
      </w:r>
      <w:r>
        <w:fldChar w:fldCharType="begin"/>
      </w:r>
      <w:r>
        <w:instrText xml:space="preserve"> PAGEREF _Toc31650 \h </w:instrText>
      </w:r>
      <w:r>
        <w:fldChar w:fldCharType="separate"/>
      </w:r>
      <w:r>
        <w:t>6</w:t>
      </w:r>
      <w:r>
        <w:fldChar w:fldCharType="end"/>
      </w:r>
      <w:r>
        <w:rPr>
          <w:rFonts w:ascii="Times New Roman" w:hAnsi="Times New Roman"/>
        </w:rPr>
        <w:fldChar w:fldCharType="end"/>
      </w:r>
    </w:p>
    <w:p w14:paraId="0D084593">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_Toc29475 </w:instrText>
      </w:r>
      <w:r>
        <w:rPr>
          <w:rFonts w:ascii="Times New Roman" w:hAnsi="Times New Roman"/>
        </w:rPr>
        <w:fldChar w:fldCharType="separate"/>
      </w:r>
      <w:r>
        <w:rPr>
          <w:rFonts w:hint="eastAsia" w:ascii="黑体" w:eastAsia="黑体"/>
          <w:i w:val="0"/>
        </w:rPr>
        <w:t xml:space="preserve">5 </w:t>
      </w:r>
      <w:r>
        <w:rPr>
          <w:rFonts w:ascii="Times New Roman"/>
        </w:rPr>
        <w:t>认定</w:t>
      </w:r>
      <w:r>
        <w:rPr>
          <w:rFonts w:hint="eastAsia" w:ascii="Times New Roman"/>
        </w:rPr>
        <w:t>要求</w:t>
      </w:r>
      <w:r>
        <w:tab/>
      </w:r>
      <w:r>
        <w:fldChar w:fldCharType="begin"/>
      </w:r>
      <w:r>
        <w:instrText xml:space="preserve"> PAGEREF _Toc29475 \h </w:instrText>
      </w:r>
      <w:r>
        <w:fldChar w:fldCharType="separate"/>
      </w:r>
      <w:r>
        <w:t>6</w:t>
      </w:r>
      <w:r>
        <w:fldChar w:fldCharType="end"/>
      </w:r>
      <w:r>
        <w:rPr>
          <w:rFonts w:ascii="Times New Roman" w:hAnsi="Times New Roman"/>
        </w:rPr>
        <w:fldChar w:fldCharType="end"/>
      </w:r>
    </w:p>
    <w:p w14:paraId="3CEBD29D">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_Toc32502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 </w:t>
      </w:r>
      <w:r>
        <w:rPr>
          <w:rFonts w:ascii="Times New Roman"/>
        </w:rPr>
        <w:t>清晰的地理边界</w:t>
      </w:r>
      <w:r>
        <w:tab/>
      </w:r>
      <w:r>
        <w:fldChar w:fldCharType="begin"/>
      </w:r>
      <w:r>
        <w:instrText xml:space="preserve"> PAGEREF _Toc32502 \h </w:instrText>
      </w:r>
      <w:r>
        <w:fldChar w:fldCharType="separate"/>
      </w:r>
      <w:r>
        <w:t>6</w:t>
      </w:r>
      <w:r>
        <w:fldChar w:fldCharType="end"/>
      </w:r>
      <w:r>
        <w:rPr>
          <w:rFonts w:ascii="Times New Roman" w:hAnsi="Times New Roman"/>
        </w:rPr>
        <w:fldChar w:fldCharType="end"/>
      </w:r>
    </w:p>
    <w:p w14:paraId="028B7042">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_Toc239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5.2 </w:t>
      </w:r>
      <w:r>
        <w:rPr>
          <w:rFonts w:ascii="Times New Roman"/>
        </w:rPr>
        <w:t>明确的责任主体</w:t>
      </w:r>
      <w:r>
        <w:tab/>
      </w:r>
      <w:r>
        <w:fldChar w:fldCharType="begin"/>
      </w:r>
      <w:r>
        <w:instrText xml:space="preserve"> PAGEREF _Toc239 \h </w:instrText>
      </w:r>
      <w:r>
        <w:fldChar w:fldCharType="separate"/>
      </w:r>
      <w:r>
        <w:t>7</w:t>
      </w:r>
      <w:r>
        <w:fldChar w:fldCharType="end"/>
      </w:r>
      <w:r>
        <w:rPr>
          <w:rFonts w:ascii="Times New Roman" w:hAnsi="Times New Roman"/>
        </w:rPr>
        <w:fldChar w:fldCharType="end"/>
      </w:r>
    </w:p>
    <w:p w14:paraId="2EDD2E1D">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_Toc21849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5.3 </w:t>
      </w:r>
      <w:r>
        <w:rPr>
          <w:rFonts w:hint="eastAsia" w:ascii="Times New Roman"/>
        </w:rPr>
        <w:t>保护管理能力</w:t>
      </w:r>
      <w:r>
        <w:tab/>
      </w:r>
      <w:r>
        <w:fldChar w:fldCharType="begin"/>
      </w:r>
      <w:r>
        <w:instrText xml:space="preserve"> PAGEREF _Toc21849 \h </w:instrText>
      </w:r>
      <w:r>
        <w:fldChar w:fldCharType="separate"/>
      </w:r>
      <w:r>
        <w:t>7</w:t>
      </w:r>
      <w:r>
        <w:fldChar w:fldCharType="end"/>
      </w:r>
      <w:r>
        <w:rPr>
          <w:rFonts w:ascii="Times New Roman" w:hAnsi="Times New Roman"/>
        </w:rPr>
        <w:fldChar w:fldCharType="end"/>
      </w:r>
    </w:p>
    <w:p w14:paraId="1AA827DF">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_Toc10502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5.4 </w:t>
      </w:r>
      <w:r>
        <w:rPr>
          <w:rFonts w:ascii="Times New Roman"/>
        </w:rPr>
        <w:t>相关方知情同意</w:t>
      </w:r>
      <w:r>
        <w:tab/>
      </w:r>
      <w:r>
        <w:fldChar w:fldCharType="begin"/>
      </w:r>
      <w:r>
        <w:instrText xml:space="preserve"> PAGEREF _Toc10502 \h </w:instrText>
      </w:r>
      <w:r>
        <w:fldChar w:fldCharType="separate"/>
      </w:r>
      <w:r>
        <w:t>7</w:t>
      </w:r>
      <w:r>
        <w:fldChar w:fldCharType="end"/>
      </w:r>
      <w:r>
        <w:rPr>
          <w:rFonts w:ascii="Times New Roman" w:hAnsi="Times New Roman"/>
        </w:rPr>
        <w:fldChar w:fldCharType="end"/>
      </w:r>
    </w:p>
    <w:p w14:paraId="32BDA148">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_Toc23408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5.5 </w:t>
      </w:r>
      <w:r>
        <w:rPr>
          <w:rFonts w:ascii="Times New Roman"/>
        </w:rPr>
        <w:t>生物多样性</w:t>
      </w:r>
      <w:r>
        <w:rPr>
          <w:rFonts w:hint="eastAsia" w:ascii="Times New Roman"/>
        </w:rPr>
        <w:t>价值</w:t>
      </w:r>
      <w:r>
        <w:tab/>
      </w:r>
      <w:r>
        <w:fldChar w:fldCharType="begin"/>
      </w:r>
      <w:r>
        <w:instrText xml:space="preserve"> PAGEREF _Toc23408 \h </w:instrText>
      </w:r>
      <w:r>
        <w:fldChar w:fldCharType="separate"/>
      </w:r>
      <w:r>
        <w:t>7</w:t>
      </w:r>
      <w:r>
        <w:fldChar w:fldCharType="end"/>
      </w:r>
      <w:r>
        <w:rPr>
          <w:rFonts w:ascii="Times New Roman" w:hAnsi="Times New Roman"/>
        </w:rPr>
        <w:fldChar w:fldCharType="end"/>
      </w:r>
    </w:p>
    <w:p w14:paraId="7ABCEA05">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_Toc6991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5.6 </w:t>
      </w:r>
      <w:r>
        <w:rPr>
          <w:rFonts w:hint="eastAsia" w:ascii="Times New Roman"/>
        </w:rPr>
        <w:t>有利于保护</w:t>
      </w:r>
      <w:r>
        <w:rPr>
          <w:rFonts w:ascii="Times New Roman"/>
        </w:rPr>
        <w:t>的管理措施</w:t>
      </w:r>
      <w:r>
        <w:tab/>
      </w:r>
      <w:r>
        <w:fldChar w:fldCharType="begin"/>
      </w:r>
      <w:r>
        <w:instrText xml:space="preserve"> PAGEREF _Toc6991 \h </w:instrText>
      </w:r>
      <w:r>
        <w:fldChar w:fldCharType="separate"/>
      </w:r>
      <w:r>
        <w:t>7</w:t>
      </w:r>
      <w:r>
        <w:fldChar w:fldCharType="end"/>
      </w:r>
      <w:r>
        <w:rPr>
          <w:rFonts w:ascii="Times New Roman" w:hAnsi="Times New Roman"/>
        </w:rPr>
        <w:fldChar w:fldCharType="end"/>
      </w:r>
    </w:p>
    <w:p w14:paraId="31289D00">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_Toc30732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5.7 </w:t>
      </w:r>
      <w:r>
        <w:rPr>
          <w:rFonts w:ascii="Times New Roman"/>
        </w:rPr>
        <w:t>长期保护计划</w:t>
      </w:r>
      <w:r>
        <w:tab/>
      </w:r>
      <w:r>
        <w:fldChar w:fldCharType="begin"/>
      </w:r>
      <w:r>
        <w:instrText xml:space="preserve"> PAGEREF _Toc30732 \h </w:instrText>
      </w:r>
      <w:r>
        <w:fldChar w:fldCharType="separate"/>
      </w:r>
      <w:r>
        <w:t>8</w:t>
      </w:r>
      <w:r>
        <w:fldChar w:fldCharType="end"/>
      </w:r>
      <w:r>
        <w:rPr>
          <w:rFonts w:ascii="Times New Roman" w:hAnsi="Times New Roman"/>
        </w:rPr>
        <w:fldChar w:fldCharType="end"/>
      </w:r>
    </w:p>
    <w:p w14:paraId="24B98107">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_Toc26551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5.8 </w:t>
      </w:r>
      <w:r>
        <w:rPr>
          <w:rFonts w:ascii="Times New Roman"/>
          <w:highlight w:val="none"/>
        </w:rPr>
        <w:t>监测和</w:t>
      </w:r>
      <w:r>
        <w:rPr>
          <w:rFonts w:hint="eastAsia" w:ascii="Times New Roman"/>
          <w:highlight w:val="none"/>
        </w:rPr>
        <w:t>成效</w:t>
      </w:r>
      <w:r>
        <w:rPr>
          <w:rFonts w:ascii="Times New Roman"/>
          <w:highlight w:val="none"/>
        </w:rPr>
        <w:t>评估</w:t>
      </w:r>
      <w:r>
        <w:tab/>
      </w:r>
      <w:r>
        <w:fldChar w:fldCharType="begin"/>
      </w:r>
      <w:r>
        <w:instrText xml:space="preserve"> PAGEREF _Toc26551 \h </w:instrText>
      </w:r>
      <w:r>
        <w:fldChar w:fldCharType="separate"/>
      </w:r>
      <w:r>
        <w:t>8</w:t>
      </w:r>
      <w:r>
        <w:fldChar w:fldCharType="end"/>
      </w:r>
      <w:r>
        <w:rPr>
          <w:rFonts w:ascii="Times New Roman" w:hAnsi="Times New Roman"/>
        </w:rPr>
        <w:fldChar w:fldCharType="end"/>
      </w:r>
    </w:p>
    <w:p w14:paraId="67EAB801">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_Toc13889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5.9 </w:t>
      </w:r>
      <w:r>
        <w:t>生态系统服务、社会经济文化等多元价值</w:t>
      </w:r>
      <w:r>
        <w:tab/>
      </w:r>
      <w:r>
        <w:fldChar w:fldCharType="begin"/>
      </w:r>
      <w:r>
        <w:instrText xml:space="preserve"> PAGEREF _Toc13889 \h </w:instrText>
      </w:r>
      <w:r>
        <w:fldChar w:fldCharType="separate"/>
      </w:r>
      <w:r>
        <w:t>8</w:t>
      </w:r>
      <w:r>
        <w:fldChar w:fldCharType="end"/>
      </w:r>
      <w:r>
        <w:rPr>
          <w:rFonts w:ascii="Times New Roman" w:hAnsi="Times New Roman"/>
        </w:rPr>
        <w:fldChar w:fldCharType="end"/>
      </w:r>
    </w:p>
    <w:p w14:paraId="4005B418">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_Toc9334 </w:instrText>
      </w:r>
      <w:r>
        <w:rPr>
          <w:rFonts w:ascii="Times New Roman" w:hAnsi="Times New Roman"/>
        </w:rPr>
        <w:fldChar w:fldCharType="separate"/>
      </w:r>
      <w:r>
        <w:rPr>
          <w:rFonts w:hint="eastAsia" w:ascii="黑体" w:eastAsia="黑体"/>
          <w:i w:val="0"/>
        </w:rPr>
        <w:t xml:space="preserve">6 </w:t>
      </w:r>
      <w:r>
        <w:rPr>
          <w:rFonts w:ascii="Times New Roman"/>
        </w:rPr>
        <w:t>认定与管理</w:t>
      </w:r>
      <w:r>
        <w:rPr>
          <w:rFonts w:hint="eastAsia" w:ascii="Times New Roman"/>
        </w:rPr>
        <w:t>机制</w:t>
      </w:r>
      <w:r>
        <w:tab/>
      </w:r>
      <w:r>
        <w:fldChar w:fldCharType="begin"/>
      </w:r>
      <w:r>
        <w:instrText xml:space="preserve"> PAGEREF _Toc9334 \h </w:instrText>
      </w:r>
      <w:r>
        <w:fldChar w:fldCharType="separate"/>
      </w:r>
      <w:r>
        <w:t>8</w:t>
      </w:r>
      <w:r>
        <w:fldChar w:fldCharType="end"/>
      </w:r>
      <w:r>
        <w:rPr>
          <w:rFonts w:ascii="Times New Roman" w:hAnsi="Times New Roman"/>
        </w:rPr>
        <w:fldChar w:fldCharType="end"/>
      </w:r>
    </w:p>
    <w:p w14:paraId="30C07551">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_Toc29966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 </w:t>
      </w:r>
      <w:r>
        <w:t>总体实施要求</w:t>
      </w:r>
      <w:r>
        <w:tab/>
      </w:r>
      <w:r>
        <w:fldChar w:fldCharType="begin"/>
      </w:r>
      <w:r>
        <w:instrText xml:space="preserve"> PAGEREF _Toc29966 \h </w:instrText>
      </w:r>
      <w:r>
        <w:fldChar w:fldCharType="separate"/>
      </w:r>
      <w:r>
        <w:t>8</w:t>
      </w:r>
      <w:r>
        <w:fldChar w:fldCharType="end"/>
      </w:r>
      <w:r>
        <w:rPr>
          <w:rFonts w:ascii="Times New Roman" w:hAnsi="Times New Roman"/>
        </w:rPr>
        <w:fldChar w:fldCharType="end"/>
      </w:r>
    </w:p>
    <w:p w14:paraId="716D56F5">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_Toc30604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6.2 </w:t>
      </w:r>
      <w:r>
        <w:rPr>
          <w:rFonts w:ascii="Times New Roman"/>
        </w:rPr>
        <w:t>管理制度配套</w:t>
      </w:r>
      <w:r>
        <w:tab/>
      </w:r>
      <w:r>
        <w:fldChar w:fldCharType="begin"/>
      </w:r>
      <w:r>
        <w:instrText xml:space="preserve"> PAGEREF _Toc30604 \h </w:instrText>
      </w:r>
      <w:r>
        <w:fldChar w:fldCharType="separate"/>
      </w:r>
      <w:r>
        <w:t>8</w:t>
      </w:r>
      <w:r>
        <w:fldChar w:fldCharType="end"/>
      </w:r>
      <w:r>
        <w:rPr>
          <w:rFonts w:ascii="Times New Roman" w:hAnsi="Times New Roman"/>
        </w:rPr>
        <w:fldChar w:fldCharType="end"/>
      </w:r>
    </w:p>
    <w:p w14:paraId="68471B02">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_Toc368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6.3 </w:t>
      </w:r>
      <w:r>
        <w:rPr>
          <w:rFonts w:ascii="Times New Roman"/>
        </w:rPr>
        <w:t>工作流程配套</w:t>
      </w:r>
      <w:r>
        <w:tab/>
      </w:r>
      <w:r>
        <w:fldChar w:fldCharType="begin"/>
      </w:r>
      <w:r>
        <w:instrText xml:space="preserve"> PAGEREF _Toc368 \h </w:instrText>
      </w:r>
      <w:r>
        <w:fldChar w:fldCharType="separate"/>
      </w:r>
      <w:r>
        <w:t>9</w:t>
      </w:r>
      <w:r>
        <w:fldChar w:fldCharType="end"/>
      </w:r>
      <w:r>
        <w:rPr>
          <w:rFonts w:ascii="Times New Roman" w:hAnsi="Times New Roman"/>
        </w:rPr>
        <w:fldChar w:fldCharType="end"/>
      </w:r>
    </w:p>
    <w:p w14:paraId="5D41F532">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_Toc9496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6.4 </w:t>
      </w:r>
      <w:r>
        <w:rPr>
          <w:rFonts w:ascii="Times New Roman"/>
        </w:rPr>
        <w:t>政策与激励支持</w:t>
      </w:r>
      <w:r>
        <w:tab/>
      </w:r>
      <w:r>
        <w:fldChar w:fldCharType="begin"/>
      </w:r>
      <w:r>
        <w:instrText xml:space="preserve"> PAGEREF _Toc9496 \h </w:instrText>
      </w:r>
      <w:r>
        <w:fldChar w:fldCharType="separate"/>
      </w:r>
      <w:r>
        <w:t>9</w:t>
      </w:r>
      <w:r>
        <w:fldChar w:fldCharType="end"/>
      </w:r>
      <w:r>
        <w:rPr>
          <w:rFonts w:ascii="Times New Roman" w:hAnsi="Times New Roman"/>
        </w:rPr>
        <w:fldChar w:fldCharType="end"/>
      </w:r>
    </w:p>
    <w:p w14:paraId="16FB1570">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_Toc21972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6.5 </w:t>
      </w:r>
      <w:r>
        <w:rPr>
          <w:rFonts w:ascii="Times New Roman"/>
        </w:rPr>
        <w:t>多方共治与权益保障</w:t>
      </w:r>
      <w:r>
        <w:tab/>
      </w:r>
      <w:r>
        <w:fldChar w:fldCharType="begin"/>
      </w:r>
      <w:r>
        <w:instrText xml:space="preserve"> PAGEREF _Toc21972 \h </w:instrText>
      </w:r>
      <w:r>
        <w:fldChar w:fldCharType="separate"/>
      </w:r>
      <w:r>
        <w:t>9</w:t>
      </w:r>
      <w:r>
        <w:fldChar w:fldCharType="end"/>
      </w:r>
      <w:r>
        <w:rPr>
          <w:rFonts w:ascii="Times New Roman" w:hAnsi="Times New Roman"/>
        </w:rPr>
        <w:fldChar w:fldCharType="end"/>
      </w:r>
    </w:p>
    <w:p w14:paraId="585627F1">
      <w:pPr>
        <w:pStyle w:val="27"/>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_Toc4471 </w:instrText>
      </w:r>
      <w:r>
        <w:rPr>
          <w:rFonts w:ascii="Times New Roman" w:hAnsi="Times New Roman"/>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6.6 </w:t>
      </w:r>
      <w:r>
        <w:rPr>
          <w:rFonts w:hint="eastAsia" w:ascii="Times New Roman"/>
        </w:rPr>
        <w:t>信息公开</w:t>
      </w:r>
      <w:r>
        <w:tab/>
      </w:r>
      <w:r>
        <w:fldChar w:fldCharType="begin"/>
      </w:r>
      <w:r>
        <w:instrText xml:space="preserve"> PAGEREF _Toc4471 \h </w:instrText>
      </w:r>
      <w:r>
        <w:fldChar w:fldCharType="separate"/>
      </w:r>
      <w:r>
        <w:t>9</w:t>
      </w:r>
      <w:r>
        <w:fldChar w:fldCharType="end"/>
      </w:r>
      <w:r>
        <w:rPr>
          <w:rFonts w:ascii="Times New Roman" w:hAnsi="Times New Roman"/>
        </w:rPr>
        <w:fldChar w:fldCharType="end"/>
      </w:r>
    </w:p>
    <w:p w14:paraId="0A87A248">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_Toc21053 </w:instrText>
      </w:r>
      <w:r>
        <w:rPr>
          <w:rFonts w:ascii="Times New Roman" w:hAnsi="Times New Roman"/>
        </w:rPr>
        <w:fldChar w:fldCharType="separate"/>
      </w:r>
      <w:r>
        <w:rPr>
          <w:rFonts w:hint="eastAsia" w:ascii="Times New Roman"/>
          <w:spacing w:val="100"/>
        </w:rPr>
        <w:t xml:space="preserve">附录A </w:t>
      </w:r>
      <w:r>
        <w:rPr>
          <w:rFonts w:ascii="Times New Roman"/>
        </w:rPr>
        <w:t xml:space="preserve"> </w:t>
      </w:r>
      <w:r>
        <w:rPr>
          <w:rFonts w:hint="eastAsia" w:ascii="Times New Roman"/>
        </w:rPr>
        <w:t>（资料性）</w:t>
      </w:r>
      <w:r>
        <w:rPr>
          <w:rFonts w:ascii="Times New Roman"/>
        </w:rPr>
        <w:t xml:space="preserve"> </w:t>
      </w:r>
      <w:r>
        <w:rPr>
          <w:rFonts w:hint="eastAsia" w:ascii="Times New Roman"/>
        </w:rPr>
        <w:t>自然共生地认定要求与国际准则的对比</w:t>
      </w:r>
      <w:r>
        <w:tab/>
      </w:r>
      <w:r>
        <w:fldChar w:fldCharType="begin"/>
      </w:r>
      <w:r>
        <w:instrText xml:space="preserve"> PAGEREF _Toc21053 \h </w:instrText>
      </w:r>
      <w:r>
        <w:fldChar w:fldCharType="separate"/>
      </w:r>
      <w:r>
        <w:t>10</w:t>
      </w:r>
      <w:r>
        <w:fldChar w:fldCharType="end"/>
      </w:r>
      <w:r>
        <w:rPr>
          <w:rFonts w:ascii="Times New Roman" w:hAnsi="Times New Roman"/>
        </w:rPr>
        <w:fldChar w:fldCharType="end"/>
      </w:r>
    </w:p>
    <w:p w14:paraId="1B7EC6DD">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_Toc23884 </w:instrText>
      </w:r>
      <w:r>
        <w:rPr>
          <w:rFonts w:ascii="Times New Roman" w:hAnsi="Times New Roman"/>
        </w:rPr>
        <w:fldChar w:fldCharType="separate"/>
      </w:r>
      <w:r>
        <w:rPr>
          <w:rFonts w:hint="eastAsia" w:ascii="Times New Roman"/>
          <w:spacing w:val="100"/>
        </w:rPr>
        <w:t xml:space="preserve">附录B </w:t>
      </w:r>
      <w:r>
        <w:rPr>
          <w:rFonts w:ascii="Times New Roman"/>
        </w:rPr>
        <w:t xml:space="preserve"> （资料性） </w:t>
      </w:r>
      <w:r>
        <w:rPr>
          <w:rFonts w:hint="eastAsia" w:ascii="Times New Roman"/>
        </w:rPr>
        <w:t>自然共生地认定适用和不适用区域举例</w:t>
      </w:r>
      <w:r>
        <w:tab/>
      </w:r>
      <w:r>
        <w:fldChar w:fldCharType="begin"/>
      </w:r>
      <w:r>
        <w:instrText xml:space="preserve"> PAGEREF _Toc23884 \h </w:instrText>
      </w:r>
      <w:r>
        <w:fldChar w:fldCharType="separate"/>
      </w:r>
      <w:r>
        <w:t>11</w:t>
      </w:r>
      <w:r>
        <w:fldChar w:fldCharType="end"/>
      </w:r>
      <w:r>
        <w:rPr>
          <w:rFonts w:ascii="Times New Roman" w:hAnsi="Times New Roman"/>
        </w:rPr>
        <w:fldChar w:fldCharType="end"/>
      </w:r>
    </w:p>
    <w:p w14:paraId="2B43CD91">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_Toc6825 </w:instrText>
      </w:r>
      <w:r>
        <w:rPr>
          <w:rFonts w:ascii="Times New Roman" w:hAnsi="Times New Roman"/>
        </w:rPr>
        <w:fldChar w:fldCharType="separate"/>
      </w:r>
      <w:r>
        <w:rPr>
          <w:rFonts w:hint="eastAsia" w:ascii="Times New Roman"/>
          <w:spacing w:val="100"/>
        </w:rPr>
        <w:t xml:space="preserve">附录C </w:t>
      </w:r>
      <w:r>
        <w:rPr>
          <w:rFonts w:ascii="Times New Roman"/>
        </w:rPr>
        <w:t xml:space="preserve"> </w:t>
      </w:r>
      <w:r>
        <w:rPr>
          <w:rFonts w:hint="eastAsia" w:ascii="Times New Roman"/>
        </w:rPr>
        <w:t>（资料性）</w:t>
      </w:r>
      <w:r>
        <w:rPr>
          <w:rFonts w:ascii="Times New Roman"/>
        </w:rPr>
        <w:t xml:space="preserve"> </w:t>
      </w:r>
      <w:r>
        <w:rPr>
          <w:rFonts w:hint="eastAsia" w:ascii="Times New Roman"/>
        </w:rPr>
        <w:t>生物多样性要素</w:t>
      </w:r>
      <w:r>
        <w:tab/>
      </w:r>
      <w:r>
        <w:fldChar w:fldCharType="begin"/>
      </w:r>
      <w:r>
        <w:instrText xml:space="preserve"> PAGEREF _Toc6825 \h </w:instrText>
      </w:r>
      <w:r>
        <w:fldChar w:fldCharType="separate"/>
      </w:r>
      <w:r>
        <w:t>14</w:t>
      </w:r>
      <w:r>
        <w:fldChar w:fldCharType="end"/>
      </w:r>
      <w:r>
        <w:rPr>
          <w:rFonts w:ascii="Times New Roman" w:hAnsi="Times New Roman"/>
        </w:rPr>
        <w:fldChar w:fldCharType="end"/>
      </w:r>
    </w:p>
    <w:p w14:paraId="618EE07E">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_Toc13029 </w:instrText>
      </w:r>
      <w:r>
        <w:rPr>
          <w:rFonts w:ascii="Times New Roman" w:hAnsi="Times New Roman"/>
        </w:rPr>
        <w:fldChar w:fldCharType="separate"/>
      </w:r>
      <w:r>
        <w:rPr>
          <w:rFonts w:hint="eastAsia" w:ascii="Times New Roman"/>
          <w:spacing w:val="100"/>
        </w:rPr>
        <w:t xml:space="preserve">附录D </w:t>
      </w:r>
      <w:r>
        <w:rPr>
          <w:rFonts w:ascii="Times New Roman"/>
        </w:rPr>
        <w:t xml:space="preserve"> </w:t>
      </w:r>
      <w:r>
        <w:rPr>
          <w:rFonts w:hint="eastAsia" w:ascii="Times New Roman"/>
        </w:rPr>
        <w:t>（资料性）</w:t>
      </w:r>
      <w:r>
        <w:rPr>
          <w:rFonts w:ascii="Times New Roman"/>
        </w:rPr>
        <w:t xml:space="preserve"> 自然共生地</w:t>
      </w:r>
      <w:r>
        <w:rPr>
          <w:rFonts w:hint="eastAsia" w:ascii="Times New Roman"/>
        </w:rPr>
        <w:t>信息</w:t>
      </w:r>
      <w:r>
        <w:rPr>
          <w:rFonts w:ascii="Times New Roman"/>
        </w:rPr>
        <w:t>表</w:t>
      </w:r>
      <w:r>
        <w:tab/>
      </w:r>
      <w:r>
        <w:fldChar w:fldCharType="begin"/>
      </w:r>
      <w:r>
        <w:instrText xml:space="preserve"> PAGEREF _Toc13029 \h </w:instrText>
      </w:r>
      <w:r>
        <w:fldChar w:fldCharType="separate"/>
      </w:r>
      <w:r>
        <w:t>16</w:t>
      </w:r>
      <w:r>
        <w:fldChar w:fldCharType="end"/>
      </w:r>
      <w:r>
        <w:rPr>
          <w:rFonts w:ascii="Times New Roman" w:hAnsi="Times New Roman"/>
        </w:rPr>
        <w:fldChar w:fldCharType="end"/>
      </w:r>
    </w:p>
    <w:p w14:paraId="4403AA9C">
      <w:pPr>
        <w:pStyle w:val="22"/>
        <w:tabs>
          <w:tab w:val="right" w:leader="dot" w:pos="9354"/>
          <w:tab w:val="clear" w:pos="9344"/>
        </w:tabs>
      </w:pPr>
      <w:r>
        <w:rPr>
          <w:rFonts w:ascii="Times New Roman" w:hAnsi="Times New Roman"/>
        </w:rPr>
        <w:fldChar w:fldCharType="begin"/>
      </w:r>
      <w:r>
        <w:rPr>
          <w:rFonts w:ascii="Times New Roman" w:hAnsi="Times New Roman"/>
        </w:rPr>
        <w:instrText xml:space="preserve"> HYPERLINK \l _Toc30061 </w:instrText>
      </w:r>
      <w:r>
        <w:rPr>
          <w:rFonts w:ascii="Times New Roman" w:hAnsi="Times New Roman"/>
        </w:rPr>
        <w:fldChar w:fldCharType="separate"/>
      </w:r>
      <w:r>
        <w:rPr>
          <w:rFonts w:ascii="Times New Roman" w:hAnsi="Times New Roman"/>
          <w:spacing w:val="105"/>
        </w:rPr>
        <w:t>参考文</w:t>
      </w:r>
      <w:r>
        <w:rPr>
          <w:rFonts w:ascii="Times New Roman" w:hAnsi="Times New Roman"/>
        </w:rPr>
        <w:t>献</w:t>
      </w:r>
      <w:r>
        <w:tab/>
      </w:r>
      <w:r>
        <w:fldChar w:fldCharType="begin"/>
      </w:r>
      <w:r>
        <w:instrText xml:space="preserve"> PAGEREF _Toc30061 \h </w:instrText>
      </w:r>
      <w:r>
        <w:fldChar w:fldCharType="separate"/>
      </w:r>
      <w:r>
        <w:t>19</w:t>
      </w:r>
      <w:r>
        <w:fldChar w:fldCharType="end"/>
      </w:r>
      <w:r>
        <w:rPr>
          <w:rFonts w:ascii="Times New Roman" w:hAnsi="Times New Roman"/>
        </w:rPr>
        <w:fldChar w:fldCharType="end"/>
      </w:r>
    </w:p>
    <w:p w14:paraId="29789915">
      <w:pPr>
        <w:pStyle w:val="97"/>
        <w:spacing w:after="0" w:afterLines="0"/>
        <w:rPr>
          <w:rFonts w:ascii="Times New Roman" w:hAnsi="Times New Roman"/>
        </w:rPr>
        <w:sectPr>
          <w:headerReference r:id="rId9" w:type="default"/>
          <w:footerReference r:id="rId11" w:type="default"/>
          <w:headerReference r:id="rId10" w:type="even"/>
          <w:footerReference r:id="rId12" w:type="even"/>
          <w:pgSz w:w="11906" w:h="16838"/>
          <w:pgMar w:top="2410" w:right="1134" w:bottom="1134" w:left="1134" w:header="1418" w:footer="1134" w:gutter="284"/>
          <w:pgNumType w:fmt="upperRoman" w:start="1"/>
          <w:cols w:space="425" w:num="1"/>
          <w:formProt w:val="0"/>
          <w:docGrid w:linePitch="312" w:charSpace="0"/>
        </w:sectPr>
      </w:pPr>
      <w:r>
        <w:rPr>
          <w:rFonts w:ascii="Times New Roman" w:hAnsi="Times New Roman"/>
        </w:rPr>
        <w:fldChar w:fldCharType="end"/>
      </w:r>
    </w:p>
    <w:bookmarkEnd w:id="18"/>
    <w:p w14:paraId="12957EAB">
      <w:pPr>
        <w:pStyle w:val="2"/>
        <w:numPr>
          <w:ilvl w:val="0"/>
          <w:numId w:val="8"/>
        </w:numPr>
        <w:spacing w:before="120" w:beforeLines="50" w:after="120" w:afterLines="50" w:line="240" w:lineRule="auto"/>
        <w:ind w:left="0" w:firstLine="0"/>
        <w:jc w:val="center"/>
        <w:rPr>
          <w:rFonts w:ascii="Times New Roman" w:hAnsi="Times New Roman"/>
          <w:szCs w:val="32"/>
        </w:rPr>
      </w:pPr>
      <w:bookmarkStart w:id="19" w:name="_Toc22740"/>
      <w:bookmarkStart w:id="20" w:name="BookMark2"/>
      <w:r>
        <w:rPr>
          <w:rFonts w:ascii="Times New Roman" w:hAnsi="Times New Roman" w:eastAsia="黑体"/>
          <w:b w:val="0"/>
          <w:bCs w:val="0"/>
          <w:sz w:val="32"/>
          <w:szCs w:val="32"/>
        </w:rPr>
        <w:t>前    言</w:t>
      </w:r>
      <w:bookmarkEnd w:id="19"/>
    </w:p>
    <w:p w14:paraId="0C292268">
      <w:pPr>
        <w:pStyle w:val="6"/>
        <w:adjustRightInd w:val="0"/>
        <w:snapToGrid w:val="0"/>
        <w:spacing w:line="360" w:lineRule="auto"/>
        <w:ind w:firstLine="420"/>
        <w:rPr>
          <w:rFonts w:ascii="Times New Roman"/>
        </w:rPr>
      </w:pPr>
    </w:p>
    <w:p w14:paraId="2119950F">
      <w:pPr>
        <w:pStyle w:val="6"/>
        <w:adjustRightInd w:val="0"/>
        <w:snapToGrid w:val="0"/>
        <w:ind w:firstLine="420"/>
        <w:rPr>
          <w:rFonts w:ascii="Times New Roman"/>
        </w:rPr>
      </w:pPr>
      <w:r>
        <w:rPr>
          <w:rFonts w:ascii="Times New Roman"/>
        </w:rPr>
        <w:t>本文件按照GB/T 1.1—2020《标准化工作导则  第1部分：标准化文件的结构和起草规则》的规定起草。</w:t>
      </w:r>
    </w:p>
    <w:p w14:paraId="6D783527">
      <w:pPr>
        <w:pStyle w:val="6"/>
        <w:adjustRightInd w:val="0"/>
        <w:snapToGrid w:val="0"/>
        <w:ind w:firstLine="420"/>
        <w:rPr>
          <w:rFonts w:ascii="Times New Roman"/>
        </w:rPr>
      </w:pPr>
      <w:r>
        <w:rPr>
          <w:rFonts w:ascii="Times New Roman"/>
        </w:rPr>
        <w:t>请注意本文件的某些内容可能涉及专利。本文件的发布机构不承担识别专利的责任。</w:t>
      </w:r>
    </w:p>
    <w:p w14:paraId="379C136A">
      <w:pPr>
        <w:pStyle w:val="6"/>
        <w:adjustRightInd w:val="0"/>
        <w:snapToGrid w:val="0"/>
        <w:ind w:firstLine="420"/>
        <w:rPr>
          <w:rFonts w:ascii="Times New Roman"/>
        </w:rPr>
      </w:pPr>
      <w:r>
        <w:rPr>
          <w:rFonts w:ascii="Times New Roman"/>
        </w:rPr>
        <w:t>本文件由中国环境科学研究院、中华环境保护基金会和广汽丰田汽车有限公司提出。</w:t>
      </w:r>
    </w:p>
    <w:p w14:paraId="79A19D80">
      <w:pPr>
        <w:pStyle w:val="6"/>
        <w:adjustRightInd w:val="0"/>
        <w:snapToGrid w:val="0"/>
        <w:ind w:firstLine="420"/>
        <w:rPr>
          <w:rFonts w:ascii="Times New Roman"/>
        </w:rPr>
      </w:pPr>
      <w:r>
        <w:rPr>
          <w:rFonts w:ascii="Times New Roman"/>
        </w:rPr>
        <w:t>本文件由中国环境科学学会归口。</w:t>
      </w:r>
    </w:p>
    <w:p w14:paraId="48242917">
      <w:pPr>
        <w:pStyle w:val="6"/>
        <w:adjustRightInd w:val="0"/>
        <w:snapToGrid w:val="0"/>
        <w:ind w:firstLine="420"/>
        <w:rPr>
          <w:rFonts w:ascii="Times New Roman"/>
        </w:rPr>
      </w:pPr>
      <w:r>
        <w:rPr>
          <w:rFonts w:ascii="Times New Roman"/>
        </w:rPr>
        <w:t>本文件起草单位：中国环境科学研究院、中华环境保护基金会、北京市海淀区山水自然保护中心、云南省生态环境科学研究院、自然资源部第一海洋研究所、北京生物多样性科学研究会、广汽丰田汽车有限公司、中环联合认证中心。</w:t>
      </w:r>
    </w:p>
    <w:p w14:paraId="2E493F48">
      <w:pPr>
        <w:pStyle w:val="6"/>
        <w:adjustRightInd w:val="0"/>
        <w:snapToGrid w:val="0"/>
        <w:ind w:firstLine="420"/>
        <w:rPr>
          <w:rFonts w:ascii="Times New Roman"/>
        </w:rPr>
      </w:pPr>
      <w:r>
        <w:rPr>
          <w:rFonts w:ascii="Times New Roman"/>
        </w:rPr>
        <w:t>本文件主要起草人：</w:t>
      </w:r>
      <w:r>
        <w:rPr>
          <w:rFonts w:hint="eastAsia" w:ascii="Times New Roman"/>
        </w:rPr>
        <w:t>待补充</w:t>
      </w:r>
    </w:p>
    <w:p w14:paraId="4B0D8486">
      <w:pPr>
        <w:pStyle w:val="6"/>
        <w:ind w:firstLine="420"/>
        <w:rPr>
          <w:rFonts w:ascii="Times New Roman"/>
        </w:rPr>
      </w:pPr>
    </w:p>
    <w:p w14:paraId="60A1DA93">
      <w:pPr>
        <w:pStyle w:val="6"/>
        <w:ind w:firstLine="420"/>
        <w:rPr>
          <w:rFonts w:ascii="Times New Roman"/>
        </w:rPr>
        <w:sectPr>
          <w:headerReference r:id="rId13" w:type="default"/>
          <w:footerReference r:id="rId15" w:type="default"/>
          <w:headerReference r:id="rId14" w:type="even"/>
          <w:footerReference r:id="rId16" w:type="even"/>
          <w:pgSz w:w="11906" w:h="16838"/>
          <w:pgMar w:top="2410" w:right="1134" w:bottom="1134" w:left="1134" w:header="1418" w:footer="1134" w:gutter="284"/>
          <w:pgNumType w:fmt="upperRoman"/>
          <w:cols w:space="425" w:num="1"/>
          <w:formProt w:val="0"/>
          <w:docGrid w:linePitch="312" w:charSpace="0"/>
        </w:sectPr>
      </w:pPr>
    </w:p>
    <w:bookmarkEnd w:id="20"/>
    <w:p w14:paraId="3C4B27B3">
      <w:pPr>
        <w:pStyle w:val="95"/>
        <w:spacing w:after="0" w:afterLines="0"/>
        <w:rPr>
          <w:rFonts w:ascii="Times New Roman"/>
          <w:szCs w:val="32"/>
        </w:rPr>
      </w:pPr>
      <w:bookmarkStart w:id="21" w:name="_Toc28270"/>
      <w:bookmarkStart w:id="22" w:name="BookMark3"/>
      <w:r>
        <w:rPr>
          <w:rFonts w:ascii="Times New Roman"/>
          <w:spacing w:val="320"/>
          <w:szCs w:val="32"/>
        </w:rPr>
        <w:t>引</w:t>
      </w:r>
      <w:r>
        <w:rPr>
          <w:rFonts w:ascii="Times New Roman"/>
          <w:szCs w:val="32"/>
        </w:rPr>
        <w:t>言</w:t>
      </w:r>
      <w:bookmarkEnd w:id="21"/>
    </w:p>
    <w:p w14:paraId="2A3EBFE4">
      <w:pPr>
        <w:pStyle w:val="6"/>
        <w:ind w:firstLine="420"/>
        <w:rPr>
          <w:rFonts w:ascii="Times New Roman"/>
        </w:rPr>
      </w:pPr>
    </w:p>
    <w:p w14:paraId="44545AB4">
      <w:pPr>
        <w:pStyle w:val="6"/>
        <w:ind w:firstLine="420"/>
        <w:rPr>
          <w:rFonts w:ascii="Times New Roman"/>
        </w:rPr>
      </w:pPr>
      <w:bookmarkStart w:id="23" w:name="OLE_LINK52"/>
      <w:r>
        <w:rPr>
          <w:rFonts w:ascii="Times New Roman"/>
        </w:rPr>
        <w:t>自然共生地是</w:t>
      </w:r>
      <w:r>
        <w:rPr>
          <w:rFonts w:hint="eastAsia" w:ascii="Times New Roman"/>
        </w:rPr>
        <w:t>立足</w:t>
      </w:r>
      <w:r>
        <w:rPr>
          <w:rFonts w:ascii="Times New Roman"/>
        </w:rPr>
        <w:t>人与自然和谐共生的愿景</w:t>
      </w:r>
      <w:r>
        <w:rPr>
          <w:rFonts w:hint="eastAsia" w:ascii="Times New Roman"/>
        </w:rPr>
        <w:t>、结合中国实际，</w:t>
      </w:r>
      <w:r>
        <w:rPr>
          <w:rFonts w:ascii="Times New Roman"/>
        </w:rPr>
        <w:t>对其他有效的区域保护措施（Other Effective area-based Conservation Measures，简称OECMs）采用的中国本土化命名与落地载体</w:t>
      </w:r>
      <w:bookmarkEnd w:id="23"/>
      <w:r>
        <w:rPr>
          <w:rFonts w:ascii="Times New Roman"/>
        </w:rPr>
        <w:t>。</w:t>
      </w:r>
    </w:p>
    <w:p w14:paraId="7328932A">
      <w:pPr>
        <w:pStyle w:val="6"/>
        <w:ind w:firstLine="420"/>
        <w:rPr>
          <w:rFonts w:ascii="Times New Roman"/>
        </w:rPr>
      </w:pPr>
      <w:r>
        <w:rPr>
          <w:rFonts w:ascii="Times New Roman"/>
        </w:rPr>
        <w:t>OECMs是《生物多样性公约》确立的自然保护地外</w:t>
      </w:r>
      <w:r>
        <w:rPr>
          <w:rFonts w:hint="eastAsia" w:ascii="Times New Roman"/>
        </w:rPr>
        <w:t>实现长期持续生物多样性就地保护成效的</w:t>
      </w:r>
      <w:r>
        <w:rPr>
          <w:rFonts w:ascii="Times New Roman"/>
        </w:rPr>
        <w:t>重要措施。这一概念最早于2010年第十次缔约方大会（COP10）“爱知目标”第11条中提出；2018年第十四次缔约方大会（COP14）第14/8号决议正式明确</w:t>
      </w:r>
      <w:r>
        <w:rPr>
          <w:rFonts w:hint="eastAsia" w:ascii="Times New Roman"/>
        </w:rPr>
        <w:t>其</w:t>
      </w:r>
      <w:r>
        <w:rPr>
          <w:rFonts w:ascii="Times New Roman"/>
        </w:rPr>
        <w:t>定义；2022年第十五次缔约方大会（COP15）通过的《昆明—蒙特利尔全球生物多样性框架》（简称《昆蒙框架》），进一步将OECMs作为落实“30×30”（到2030年保护30%的地球）保护目标的重要措施，使其成为全球生物多样性就地保护体系的关键补充。</w:t>
      </w:r>
    </w:p>
    <w:p w14:paraId="76A2A20C">
      <w:pPr>
        <w:pStyle w:val="6"/>
        <w:ind w:firstLine="420"/>
        <w:rPr>
          <w:rFonts w:ascii="Times New Roman"/>
        </w:rPr>
      </w:pPr>
      <w:bookmarkStart w:id="24" w:name="OLE_LINK54"/>
      <w:bookmarkStart w:id="25" w:name="OLE_LINK56"/>
      <w:bookmarkStart w:id="26" w:name="OLE_LINK57"/>
      <w:r>
        <w:rPr>
          <w:rFonts w:hint="eastAsia" w:ascii="Times New Roman"/>
        </w:rPr>
        <w:t>中国积极履行《生物多样性公约》义务，扎实推进《昆蒙框架》落地实施，现已建立以国家公园为主体的自然保护地体系，覆盖陆域国土面积18%，并率先提出和实施生态保护红线制度，已划定陆域生态保护红线面积占陆域国土面积超30%，筑牢全域</w:t>
      </w:r>
      <w:r>
        <w:rPr>
          <w:rFonts w:ascii="Times New Roman"/>
        </w:rPr>
        <w:t>生态安全基底</w:t>
      </w:r>
      <w:r>
        <w:rPr>
          <w:rFonts w:hint="eastAsia" w:ascii="Times New Roman"/>
        </w:rPr>
        <w:t>。作为</w:t>
      </w:r>
      <w:r>
        <w:rPr>
          <w:rFonts w:ascii="Times New Roman"/>
        </w:rPr>
        <w:t>我国独创的生态空间管控</w:t>
      </w:r>
      <w:r>
        <w:rPr>
          <w:rFonts w:hint="eastAsia" w:ascii="Times New Roman"/>
        </w:rPr>
        <w:t>制度，</w:t>
      </w:r>
      <w:r>
        <w:rPr>
          <w:rFonts w:ascii="Times New Roman"/>
        </w:rPr>
        <w:t>生态保护红线</w:t>
      </w:r>
      <w:r>
        <w:rPr>
          <w:rFonts w:hint="eastAsia" w:ascii="Times New Roman"/>
        </w:rPr>
        <w:t>通过</w:t>
      </w:r>
      <w:r>
        <w:rPr>
          <w:rFonts w:ascii="Times New Roman"/>
        </w:rPr>
        <w:t>自上而下统筹部署、规范化划定审批</w:t>
      </w:r>
      <w:r>
        <w:rPr>
          <w:rFonts w:hint="eastAsia" w:ascii="Times New Roman"/>
        </w:rPr>
        <w:t>设立</w:t>
      </w:r>
      <w:r>
        <w:rPr>
          <w:rFonts w:ascii="Times New Roman"/>
        </w:rPr>
        <w:t>，涵盖自然保护地</w:t>
      </w:r>
      <w:r>
        <w:rPr>
          <w:rFonts w:hint="eastAsia" w:ascii="Times New Roman"/>
        </w:rPr>
        <w:t>及</w:t>
      </w:r>
      <w:r>
        <w:rPr>
          <w:rFonts w:ascii="Times New Roman"/>
        </w:rPr>
        <w:t>自然保护地外</w:t>
      </w:r>
      <w:r>
        <w:rPr>
          <w:rFonts w:hint="eastAsia" w:ascii="Times New Roman"/>
        </w:rPr>
        <w:t>具有特殊重要生态功能的区域，严格禁止开发性、生产性建设活动，仅依规保留对</w:t>
      </w:r>
      <w:r>
        <w:rPr>
          <w:rFonts w:ascii="Times New Roman"/>
        </w:rPr>
        <w:t>生态功能不造成破坏的有限人为活动</w:t>
      </w:r>
      <w:r>
        <w:rPr>
          <w:rFonts w:hint="eastAsia" w:ascii="Times New Roman"/>
        </w:rPr>
        <w:t>，并</w:t>
      </w:r>
      <w:r>
        <w:rPr>
          <w:rFonts w:ascii="Times New Roman"/>
        </w:rPr>
        <w:t>落实常态化监督监管</w:t>
      </w:r>
      <w:bookmarkStart w:id="27" w:name="OLE_LINK4"/>
      <w:r>
        <w:rPr>
          <w:rFonts w:ascii="Times New Roman"/>
        </w:rPr>
        <w:t>，是</w:t>
      </w:r>
      <w:r>
        <w:rPr>
          <w:rFonts w:hint="eastAsia" w:ascii="Times New Roman"/>
        </w:rPr>
        <w:t>一类</w:t>
      </w:r>
      <w:r>
        <w:rPr>
          <w:rFonts w:ascii="Times New Roman"/>
        </w:rPr>
        <w:t>我国特色</w:t>
      </w:r>
      <w:r>
        <w:rPr>
          <w:rFonts w:hint="eastAsia" w:ascii="Times New Roman"/>
        </w:rPr>
        <w:t>的</w:t>
      </w:r>
      <w:r>
        <w:rPr>
          <w:rFonts w:ascii="Times New Roman"/>
        </w:rPr>
        <w:t>区域保护</w:t>
      </w:r>
      <w:r>
        <w:rPr>
          <w:rFonts w:hint="eastAsia" w:ascii="Times New Roman"/>
        </w:rPr>
        <w:t>措施。</w:t>
      </w:r>
      <w:bookmarkEnd w:id="27"/>
    </w:p>
    <w:p w14:paraId="582FA6DC">
      <w:pPr>
        <w:pStyle w:val="6"/>
        <w:ind w:firstLine="420"/>
        <w:rPr>
          <w:rFonts w:ascii="Times New Roman"/>
        </w:rPr>
      </w:pPr>
      <w:r>
        <w:rPr>
          <w:rFonts w:hint="eastAsia" w:ascii="Times New Roman"/>
        </w:rPr>
        <w:t>在</w:t>
      </w:r>
      <w:r>
        <w:rPr>
          <w:rFonts w:ascii="Times New Roman"/>
        </w:rPr>
        <w:t>现有自然保护地与生态保护红线保护体系基础上，我国持续拓展多元保护路径。</w:t>
      </w:r>
      <w:r>
        <w:rPr>
          <w:rFonts w:hint="eastAsia" w:ascii="Times New Roman"/>
        </w:rPr>
        <w:t>2024年印发的</w:t>
      </w:r>
      <w:r>
        <w:rPr>
          <w:rFonts w:ascii="Times New Roman"/>
        </w:rPr>
        <w:t>《中国生物多样性保护战略与行动计划（2023—2030年）》明确提出创新OECMs，</w:t>
      </w:r>
      <w:r>
        <w:rPr>
          <w:rFonts w:hint="eastAsia" w:ascii="Times New Roman"/>
        </w:rPr>
        <w:t>制定</w:t>
      </w:r>
      <w:r>
        <w:rPr>
          <w:rFonts w:ascii="Times New Roman"/>
        </w:rPr>
        <w:t>OECMs标准并开展试点示范</w:t>
      </w:r>
      <w:r>
        <w:rPr>
          <w:rFonts w:hint="eastAsia" w:ascii="Times New Roman"/>
        </w:rPr>
        <w:t>；2026年提交的</w:t>
      </w:r>
      <w:r>
        <w:rPr>
          <w:rFonts w:ascii="Times New Roman"/>
        </w:rPr>
        <w:t>《中国履行〈生物多样性公约〉第七次国家报告》</w:t>
      </w:r>
      <w:r>
        <w:rPr>
          <w:rFonts w:hint="eastAsia" w:ascii="Times New Roman"/>
        </w:rPr>
        <w:t>中将国内OECMs相关实践工作作为中国推进生物多样性就地保护目标的重要行动之一，</w:t>
      </w:r>
      <w:bookmarkStart w:id="28" w:name="OLE_LINK55"/>
      <w:r>
        <w:rPr>
          <w:rFonts w:hint="eastAsia" w:ascii="Times New Roman"/>
        </w:rPr>
        <w:t>并提出OECMs将成为未来的解决方案。</w:t>
      </w:r>
      <w:bookmarkEnd w:id="28"/>
    </w:p>
    <w:bookmarkEnd w:id="24"/>
    <w:p w14:paraId="3721338B">
      <w:pPr>
        <w:pStyle w:val="6"/>
        <w:ind w:firstLine="420"/>
        <w:rPr>
          <w:rFonts w:ascii="Times New Roman"/>
        </w:rPr>
      </w:pPr>
      <w:r>
        <w:rPr>
          <w:rFonts w:ascii="Times New Roman"/>
        </w:rPr>
        <w:t>为切实推动《昆蒙框架》</w:t>
      </w:r>
      <w:r>
        <w:rPr>
          <w:rFonts w:hint="eastAsia" w:ascii="Times New Roman"/>
        </w:rPr>
        <w:t>目标落地</w:t>
      </w:r>
      <w:r>
        <w:rPr>
          <w:rFonts w:ascii="Times New Roman"/>
        </w:rPr>
        <w:t>，</w:t>
      </w:r>
      <w:r>
        <w:rPr>
          <w:rFonts w:hint="eastAsia" w:ascii="Times New Roman"/>
        </w:rPr>
        <w:t>探索构建</w:t>
      </w:r>
      <w:r>
        <w:rPr>
          <w:rFonts w:ascii="Times New Roman"/>
        </w:rPr>
        <w:t>以自然保护地为主体、生态保护红线为基础、各类自然共生地</w:t>
      </w:r>
      <w:r>
        <w:rPr>
          <w:rFonts w:hint="eastAsia" w:ascii="Times New Roman"/>
        </w:rPr>
        <w:t>（OECMs）</w:t>
      </w:r>
      <w:r>
        <w:rPr>
          <w:rFonts w:ascii="Times New Roman"/>
        </w:rPr>
        <w:t>为补充的生物多样性就地保护模式，推动尚未被现有保护地</w:t>
      </w:r>
      <w:r>
        <w:rPr>
          <w:rFonts w:hint="eastAsia" w:ascii="Times New Roman"/>
        </w:rPr>
        <w:t>和生态保护红线</w:t>
      </w:r>
      <w:r>
        <w:rPr>
          <w:rFonts w:ascii="Times New Roman"/>
        </w:rPr>
        <w:t>覆盖的重要物种、生态系统和遗传资源得到有效保护，引导地方政府、企业、社区、社会组织、科研机构与公众等全社会力量共同参与生物多样性多元共治，特制定本文件。</w:t>
      </w:r>
    </w:p>
    <w:bookmarkEnd w:id="25"/>
    <w:p w14:paraId="0FC32B5F">
      <w:pPr>
        <w:pStyle w:val="6"/>
        <w:ind w:firstLine="420"/>
        <w:rPr>
          <w:rFonts w:ascii="Times New Roman"/>
        </w:rPr>
      </w:pPr>
      <w:r>
        <w:rPr>
          <w:rFonts w:ascii="Times New Roman"/>
        </w:rPr>
        <w:t>为与我国生态保护红线刚性管控体系相衔接，充分尊重法定保护空间的优先地位，本文件适用</w:t>
      </w:r>
      <w:r>
        <w:rPr>
          <w:rFonts w:hint="eastAsia" w:ascii="Times New Roman"/>
        </w:rPr>
        <w:t>范围</w:t>
      </w:r>
      <w:r>
        <w:rPr>
          <w:rFonts w:ascii="Times New Roman"/>
        </w:rPr>
        <w:t>限定于生态保护红线以外区域，与</w:t>
      </w:r>
      <w:r>
        <w:rPr>
          <w:rFonts w:hint="eastAsia" w:ascii="Times New Roman"/>
        </w:rPr>
        <w:t>自然保护地、</w:t>
      </w:r>
      <w:r>
        <w:rPr>
          <w:rFonts w:ascii="Times New Roman"/>
        </w:rPr>
        <w:t>生态保护红线形成互补协同、各有侧重的全域生物多样性保护格局。</w:t>
      </w:r>
      <w:bookmarkEnd w:id="26"/>
    </w:p>
    <w:p w14:paraId="4D63A71D">
      <w:pPr>
        <w:pStyle w:val="6"/>
        <w:ind w:firstLine="420"/>
        <w:rPr>
          <w:rFonts w:ascii="Times New Roman"/>
        </w:rPr>
      </w:pPr>
      <w:r>
        <w:rPr>
          <w:rFonts w:ascii="Times New Roman"/>
        </w:rPr>
        <w:t>本文件在遵循COP14第14/8号决定关于OECMs的一般识别标准及IUCN OECMs相关准则基础上，结合我国国土空间规划“三区三线”管控规则，明确自然共生地的</w:t>
      </w:r>
      <w:r>
        <w:rPr>
          <w:rFonts w:hint="eastAsia" w:ascii="Times New Roman"/>
        </w:rPr>
        <w:t>基本</w:t>
      </w:r>
      <w:r>
        <w:rPr>
          <w:rFonts w:ascii="Times New Roman"/>
        </w:rPr>
        <w:t>原则</w:t>
      </w:r>
      <w:r>
        <w:rPr>
          <w:rFonts w:hint="eastAsia" w:ascii="Times New Roman"/>
        </w:rPr>
        <w:t>和认定</w:t>
      </w:r>
      <w:r>
        <w:rPr>
          <w:rFonts w:ascii="Times New Roman"/>
        </w:rPr>
        <w:t>要求，推动生态保护红线外重要区域实现长期、有效、可查的生物多样性就地保护成果，逐步形成全社会参与、多维度覆盖、高效率实施的生物多样性</w:t>
      </w:r>
      <w:r>
        <w:rPr>
          <w:rFonts w:hint="eastAsia" w:ascii="Times New Roman"/>
        </w:rPr>
        <w:t>就地</w:t>
      </w:r>
      <w:r>
        <w:rPr>
          <w:rFonts w:ascii="Times New Roman"/>
        </w:rPr>
        <w:t>保护体系，助力我国履行《生物多样性公约》国际义务，促进生态效益、社会效益与经济效益协同提升，推动人与自然和谐共生。</w:t>
      </w:r>
    </w:p>
    <w:p w14:paraId="030EE7F1">
      <w:pPr>
        <w:pStyle w:val="6"/>
        <w:ind w:firstLine="420"/>
        <w:rPr>
          <w:rFonts w:ascii="Times New Roman"/>
        </w:rPr>
      </w:pPr>
    </w:p>
    <w:p w14:paraId="6DE4CB4F">
      <w:pPr>
        <w:pStyle w:val="6"/>
        <w:ind w:firstLine="420"/>
        <w:rPr>
          <w:rFonts w:ascii="Times New Roman"/>
        </w:rPr>
      </w:pPr>
    </w:p>
    <w:p w14:paraId="7D588FD5">
      <w:pPr>
        <w:pStyle w:val="6"/>
        <w:ind w:firstLine="420"/>
        <w:rPr>
          <w:rFonts w:ascii="Times New Roman"/>
        </w:rPr>
      </w:pPr>
    </w:p>
    <w:p w14:paraId="4992D225">
      <w:pPr>
        <w:pStyle w:val="6"/>
        <w:ind w:firstLine="420"/>
        <w:rPr>
          <w:rFonts w:ascii="Times New Roman"/>
        </w:rPr>
      </w:pPr>
    </w:p>
    <w:p w14:paraId="2094A159">
      <w:pPr>
        <w:pStyle w:val="6"/>
        <w:ind w:firstLine="420"/>
        <w:rPr>
          <w:rFonts w:ascii="Times New Roman"/>
        </w:rPr>
        <w:sectPr>
          <w:headerReference r:id="rId17" w:type="default"/>
          <w:footerReference r:id="rId19" w:type="default"/>
          <w:headerReference r:id="rId18" w:type="even"/>
          <w:footerReference r:id="rId20" w:type="even"/>
          <w:pgSz w:w="11906" w:h="16838"/>
          <w:pgMar w:top="2410" w:right="1134" w:bottom="1134" w:left="1134" w:header="1418" w:footer="1134" w:gutter="284"/>
          <w:pgNumType w:fmt="upperRoman"/>
          <w:cols w:space="425" w:num="1"/>
          <w:formProt w:val="0"/>
          <w:docGrid w:linePitch="312" w:charSpace="0"/>
        </w:sectPr>
      </w:pPr>
    </w:p>
    <w:bookmarkEnd w:id="22"/>
    <w:p w14:paraId="00FE86E3">
      <w:pPr>
        <w:spacing w:line="240" w:lineRule="auto"/>
        <w:jc w:val="center"/>
        <w:rPr>
          <w:rFonts w:ascii="Times New Roman" w:hAnsi="Times New Roman" w:eastAsia="黑体"/>
          <w:sz w:val="32"/>
          <w:szCs w:val="32"/>
        </w:rPr>
      </w:pPr>
      <w:bookmarkStart w:id="29" w:name="BookMark4"/>
    </w:p>
    <w:p w14:paraId="3F8964BE">
      <w:pPr>
        <w:spacing w:line="240" w:lineRule="auto"/>
        <w:jc w:val="center"/>
        <w:rPr>
          <w:rFonts w:ascii="Times New Roman" w:hAnsi="Times New Roman" w:eastAsia="黑体"/>
          <w:sz w:val="32"/>
          <w:szCs w:val="32"/>
        </w:rPr>
      </w:pPr>
    </w:p>
    <w:sdt>
      <w:sdtPr>
        <w:rPr>
          <w:rFonts w:ascii="Times New Roman" w:hAnsi="Times New Roman"/>
        </w:rPr>
        <w:tag w:val="NEW_STAND_NAME"/>
        <w:id w:val="595910757"/>
        <w:lock w:val="sdtLocked"/>
        <w:placeholder>
          <w:docPart w:val="1372F4FE3A5242C98876936A4D5A7CDD"/>
        </w:placeholder>
      </w:sdtPr>
      <w:sdtEndPr>
        <w:rPr>
          <w:rFonts w:ascii="Times New Roman" w:hAnsi="Times New Roman"/>
        </w:rPr>
      </w:sdtEndPr>
      <w:sdtContent>
        <w:p w14:paraId="14EAA24C">
          <w:pPr>
            <w:pStyle w:val="183"/>
            <w:spacing w:after="0" w:line="240" w:lineRule="auto"/>
            <w:rPr>
              <w:rFonts w:ascii="Times New Roman" w:hAnsi="Times New Roman"/>
            </w:rPr>
          </w:pPr>
          <w:bookmarkStart w:id="30" w:name="NEW_STAND_NAME"/>
          <w:r>
            <w:rPr>
              <w:rFonts w:ascii="Times New Roman" w:hAnsi="Times New Roman"/>
            </w:rPr>
            <w:t>自然共生地（</w:t>
          </w:r>
          <w:r>
            <w:rPr>
              <w:rFonts w:hint="eastAsia" w:ascii="Times New Roman" w:hAnsi="Times New Roman"/>
              <w:lang w:val="en-US" w:eastAsia="zh-CN"/>
            </w:rPr>
            <w:t>其他有效的区域保护措施</w:t>
          </w:r>
          <w:r>
            <w:rPr>
              <w:rFonts w:ascii="Times New Roman" w:hAnsi="Times New Roman"/>
            </w:rPr>
            <w:t>）认定</w:t>
          </w:r>
          <w:r>
            <w:rPr>
              <w:rFonts w:hint="eastAsia" w:ascii="Times New Roman" w:hAnsi="Times New Roman"/>
              <w:lang w:val="en-US" w:eastAsia="zh-CN"/>
            </w:rPr>
            <w:t>技术规范</w:t>
          </w:r>
        </w:p>
      </w:sdtContent>
    </w:sdt>
    <w:bookmarkEnd w:id="30"/>
    <w:p w14:paraId="0860F150">
      <w:pPr>
        <w:pStyle w:val="110"/>
        <w:spacing w:before="0" w:beforeLines="0" w:after="0" w:afterLines="0"/>
        <w:ind w:left="0"/>
        <w:rPr>
          <w:rFonts w:ascii="Times New Roman"/>
        </w:rPr>
      </w:pPr>
      <w:bookmarkStart w:id="31" w:name="_Toc17233333"/>
      <w:bookmarkStart w:id="32" w:name="_Toc77262523"/>
      <w:bookmarkStart w:id="33" w:name="_Toc26718930"/>
      <w:bookmarkStart w:id="34" w:name="_Toc12260"/>
      <w:bookmarkStart w:id="35" w:name="_Toc26648465"/>
      <w:bookmarkStart w:id="36" w:name="_Toc26986771"/>
      <w:bookmarkStart w:id="37" w:name="_Toc26986530"/>
      <w:bookmarkStart w:id="38" w:name="_Toc24884218"/>
      <w:bookmarkStart w:id="39" w:name="_Toc24884211"/>
      <w:bookmarkStart w:id="40" w:name="_Toc17233325"/>
      <w:r>
        <w:rPr>
          <w:rFonts w:ascii="Times New Roman"/>
        </w:rPr>
        <w:t>范围</w:t>
      </w:r>
      <w:bookmarkEnd w:id="31"/>
      <w:bookmarkEnd w:id="32"/>
      <w:bookmarkEnd w:id="33"/>
      <w:bookmarkEnd w:id="34"/>
      <w:bookmarkEnd w:id="35"/>
      <w:bookmarkEnd w:id="36"/>
      <w:bookmarkEnd w:id="37"/>
      <w:bookmarkEnd w:id="38"/>
      <w:bookmarkEnd w:id="39"/>
      <w:bookmarkEnd w:id="40"/>
    </w:p>
    <w:p w14:paraId="0A164A48">
      <w:pPr>
        <w:pStyle w:val="6"/>
        <w:ind w:firstLine="420"/>
        <w:rPr>
          <w:rFonts w:ascii="Times New Roman"/>
        </w:rPr>
      </w:pPr>
      <w:bookmarkStart w:id="41" w:name="_Toc26648466"/>
      <w:bookmarkStart w:id="42" w:name="_Toc24884219"/>
      <w:bookmarkStart w:id="43" w:name="_Toc17233334"/>
      <w:bookmarkStart w:id="44" w:name="_Toc24884212"/>
      <w:bookmarkStart w:id="45" w:name="_Toc17233326"/>
      <w:r>
        <w:rPr>
          <w:rFonts w:ascii="Times New Roman"/>
        </w:rPr>
        <w:t>本文件规定了</w:t>
      </w:r>
      <w:bookmarkStart w:id="46" w:name="OLE_LINK2"/>
      <w:r>
        <w:rPr>
          <w:rFonts w:ascii="Times New Roman"/>
        </w:rPr>
        <w:t>自然共生地（</w:t>
      </w:r>
      <w:r>
        <w:rPr>
          <w:rFonts w:hint="eastAsia" w:ascii="Times New Roman" w:hAnsi="Times New Roman"/>
          <w:lang w:val="en-US" w:eastAsia="zh-CN"/>
        </w:rPr>
        <w:t>其他有效的区域保护措施</w:t>
      </w:r>
      <w:bookmarkStart w:id="135" w:name="_GoBack"/>
      <w:bookmarkEnd w:id="135"/>
      <w:r>
        <w:rPr>
          <w:rFonts w:ascii="Times New Roman"/>
        </w:rPr>
        <w:t>）的</w:t>
      </w:r>
      <w:bookmarkEnd w:id="46"/>
      <w:r>
        <w:rPr>
          <w:rFonts w:ascii="Times New Roman"/>
        </w:rPr>
        <w:t>术语和定义、基本原则、认定</w:t>
      </w:r>
      <w:r>
        <w:rPr>
          <w:rFonts w:hint="eastAsia" w:ascii="Times New Roman"/>
        </w:rPr>
        <w:t>要求</w:t>
      </w:r>
      <w:r>
        <w:rPr>
          <w:rFonts w:ascii="Times New Roman"/>
        </w:rPr>
        <w:t>等。</w:t>
      </w:r>
    </w:p>
    <w:p w14:paraId="142C52D2">
      <w:pPr>
        <w:pStyle w:val="6"/>
        <w:ind w:firstLine="420"/>
        <w:rPr>
          <w:rFonts w:ascii="Times New Roman"/>
        </w:rPr>
      </w:pPr>
      <w:r>
        <w:rPr>
          <w:rFonts w:ascii="Times New Roman"/>
        </w:rPr>
        <w:t>本文件适用于中国生态保护红线以外</w:t>
      </w:r>
      <w:r>
        <w:rPr>
          <w:rFonts w:hint="eastAsia" w:ascii="Times New Roman"/>
        </w:rPr>
        <w:t>地块</w:t>
      </w:r>
      <w:r>
        <w:rPr>
          <w:rFonts w:ascii="Times New Roman"/>
        </w:rPr>
        <w:t>的认定、评估与管理。</w:t>
      </w:r>
    </w:p>
    <w:p w14:paraId="037211A4">
      <w:pPr>
        <w:pStyle w:val="6"/>
        <w:ind w:firstLine="420"/>
        <w:rPr>
          <w:rFonts w:ascii="Times New Roman"/>
        </w:rPr>
      </w:pPr>
    </w:p>
    <w:p w14:paraId="4A1B81C4">
      <w:pPr>
        <w:pStyle w:val="2"/>
        <w:numPr>
          <w:ilvl w:val="1"/>
          <w:numId w:val="2"/>
        </w:numPr>
        <w:spacing w:before="120" w:beforeLines="50" w:after="120" w:afterLines="50" w:line="240" w:lineRule="auto"/>
        <w:rPr>
          <w:rFonts w:ascii="Times New Roman" w:hAnsi="Times New Roman" w:eastAsia="黑体"/>
          <w:b w:val="0"/>
          <w:bCs w:val="0"/>
          <w:sz w:val="21"/>
          <w:szCs w:val="21"/>
        </w:rPr>
      </w:pPr>
      <w:bookmarkStart w:id="47" w:name="_Toc26986772"/>
      <w:bookmarkStart w:id="48" w:name="_Toc26986531"/>
      <w:bookmarkStart w:id="49" w:name="_Toc77262524"/>
      <w:bookmarkStart w:id="50" w:name="_Toc26718931"/>
      <w:bookmarkStart w:id="51" w:name="_Toc13158"/>
      <w:r>
        <w:rPr>
          <w:rFonts w:ascii="Times New Roman" w:hAnsi="Times New Roman" w:eastAsia="黑体"/>
          <w:b w:val="0"/>
          <w:bCs w:val="0"/>
          <w:sz w:val="21"/>
          <w:szCs w:val="21"/>
        </w:rPr>
        <w:t>规范性引用文件</w:t>
      </w:r>
      <w:bookmarkEnd w:id="41"/>
      <w:bookmarkEnd w:id="42"/>
      <w:bookmarkEnd w:id="43"/>
      <w:bookmarkEnd w:id="44"/>
      <w:bookmarkEnd w:id="45"/>
      <w:bookmarkEnd w:id="47"/>
      <w:bookmarkEnd w:id="48"/>
      <w:bookmarkEnd w:id="49"/>
      <w:bookmarkEnd w:id="50"/>
      <w:bookmarkEnd w:id="51"/>
    </w:p>
    <w:sdt>
      <w:sdtPr>
        <w:rPr>
          <w:rFonts w:ascii="Times New Roman"/>
        </w:rPr>
        <w:id w:val="715848253"/>
        <w:placeholder>
          <w:docPart w:val="DC964944E7AE40958021BBAF2621156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ascii="Times New Roman"/>
        </w:rPr>
      </w:sdtEndPr>
      <w:sdtContent>
        <w:p w14:paraId="1C4E1718">
          <w:pPr>
            <w:pStyle w:val="6"/>
            <w:ind w:firstLine="420"/>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AD8B3DB">
      <w:pPr>
        <w:pStyle w:val="6"/>
        <w:ind w:firstLine="420"/>
        <w:rPr>
          <w:rFonts w:ascii="Times New Roman"/>
        </w:rPr>
      </w:pPr>
      <w:r>
        <w:rPr>
          <w:rFonts w:ascii="Times New Roman"/>
        </w:rPr>
        <w:t>GB/T 43214     省级国土空间规划编制技术规程</w:t>
      </w:r>
    </w:p>
    <w:p w14:paraId="6678C4FA">
      <w:pPr>
        <w:pStyle w:val="6"/>
        <w:ind w:firstLine="420"/>
        <w:rPr>
          <w:rFonts w:ascii="Times New Roman"/>
        </w:rPr>
      </w:pPr>
      <w:r>
        <w:rPr>
          <w:rFonts w:ascii="Times New Roman"/>
        </w:rPr>
        <w:t>GB/T 4507</w:t>
      </w:r>
      <w:r>
        <w:rPr>
          <w:rFonts w:hint="eastAsia" w:ascii="Times New Roman"/>
        </w:rPr>
        <w:t>1</w:t>
      </w:r>
      <w:r>
        <w:rPr>
          <w:rFonts w:ascii="Times New Roman"/>
        </w:rPr>
        <w:t xml:space="preserve">     自然保护地分级分类</w:t>
      </w:r>
    </w:p>
    <w:p w14:paraId="4229A4BB">
      <w:pPr>
        <w:pStyle w:val="6"/>
        <w:ind w:firstLine="420"/>
        <w:rPr>
          <w:rFonts w:ascii="Times New Roman"/>
        </w:rPr>
      </w:pPr>
      <w:r>
        <w:rPr>
          <w:rFonts w:ascii="Times New Roman"/>
        </w:rPr>
        <w:t>GB/T 45072</w:t>
      </w:r>
      <w:bookmarkStart w:id="52" w:name="OLE_LINK31"/>
      <w:r>
        <w:rPr>
          <w:rFonts w:ascii="Times New Roman"/>
        </w:rPr>
        <w:t xml:space="preserve">     </w:t>
      </w:r>
      <w:bookmarkEnd w:id="52"/>
      <w:r>
        <w:rPr>
          <w:rFonts w:ascii="Times New Roman"/>
        </w:rPr>
        <w:t>自然保护地名词术语</w:t>
      </w:r>
    </w:p>
    <w:p w14:paraId="52A161B7">
      <w:pPr>
        <w:pStyle w:val="6"/>
        <w:ind w:firstLine="420"/>
        <w:rPr>
          <w:rFonts w:ascii="Times New Roman"/>
        </w:rPr>
      </w:pPr>
      <w:r>
        <w:rPr>
          <w:rFonts w:ascii="Times New Roman"/>
        </w:rPr>
        <w:t>HJ 623         区域生物多样性评价标准</w:t>
      </w:r>
    </w:p>
    <w:p w14:paraId="142E83C6">
      <w:pPr>
        <w:pStyle w:val="6"/>
        <w:ind w:firstLine="420"/>
        <w:rPr>
          <w:rFonts w:ascii="Times New Roman"/>
        </w:rPr>
      </w:pPr>
      <w:r>
        <w:rPr>
          <w:rFonts w:ascii="Times New Roman"/>
        </w:rPr>
        <w:t>HJ 1140        生态保护红线监管技术规范 基础调查（试行）</w:t>
      </w:r>
      <w:r>
        <w:rPr>
          <w:rFonts w:ascii="Times New Roman"/>
        </w:rPr>
        <w:tab/>
      </w:r>
    </w:p>
    <w:p w14:paraId="5781F1AF">
      <w:pPr>
        <w:pStyle w:val="6"/>
        <w:ind w:firstLine="420"/>
        <w:rPr>
          <w:rFonts w:ascii="Times New Roman"/>
        </w:rPr>
      </w:pPr>
      <w:r>
        <w:rPr>
          <w:rFonts w:ascii="Times New Roman"/>
        </w:rPr>
        <w:t>NY/T4153      农田景观生物多样性保护导则</w:t>
      </w:r>
    </w:p>
    <w:p w14:paraId="2F21AD9A">
      <w:pPr>
        <w:pStyle w:val="6"/>
        <w:ind w:firstLine="420"/>
        <w:rPr>
          <w:rFonts w:ascii="Times New Roman"/>
        </w:rPr>
      </w:pPr>
    </w:p>
    <w:p w14:paraId="3A0DBD6B">
      <w:pPr>
        <w:pStyle w:val="110"/>
        <w:spacing w:before="0" w:beforeLines="0" w:after="0" w:afterLines="0"/>
        <w:ind w:left="0"/>
        <w:rPr>
          <w:rFonts w:ascii="Times New Roman"/>
        </w:rPr>
      </w:pPr>
      <w:bookmarkStart w:id="53" w:name="_Toc26986532"/>
      <w:bookmarkEnd w:id="53"/>
      <w:bookmarkStart w:id="54" w:name="_Toc9505"/>
      <w:bookmarkStart w:id="55" w:name="_Toc77262525"/>
      <w:r>
        <w:rPr>
          <w:rFonts w:ascii="Times New Roman"/>
        </w:rPr>
        <w:t>术语和定义</w:t>
      </w:r>
      <w:bookmarkEnd w:id="54"/>
      <w:bookmarkEnd w:id="55"/>
    </w:p>
    <w:sdt>
      <w:sdtPr>
        <w:rPr>
          <w:rFonts w:ascii="Times New Roman"/>
        </w:rPr>
        <w:id w:val="-1909835108"/>
        <w:placeholder>
          <w:docPart w:val="A454B307285A4DAEA22E8E1D89E19A8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3C288EDC">
          <w:pPr>
            <w:pStyle w:val="6"/>
            <w:ind w:firstLine="420"/>
            <w:rPr>
              <w:rFonts w:ascii="Times New Roman"/>
            </w:rPr>
          </w:pPr>
          <w:r>
            <w:rPr>
              <w:rFonts w:ascii="Times New Roman"/>
            </w:rPr>
            <w:t>下列术语和定义适用于本文件。</w:t>
          </w:r>
        </w:p>
      </w:sdtContent>
    </w:sdt>
    <w:p w14:paraId="7AFD515B">
      <w:pPr>
        <w:pStyle w:val="6"/>
        <w:ind w:firstLine="0" w:firstLineChars="0"/>
        <w:rPr>
          <w:rFonts w:ascii="Times New Roman"/>
        </w:rPr>
      </w:pPr>
    </w:p>
    <w:p w14:paraId="6326FC2E">
      <w:pPr>
        <w:pStyle w:val="111"/>
        <w:spacing w:before="0" w:beforeLines="0" w:after="0" w:afterLines="0"/>
        <w:ind w:left="420" w:hanging="420" w:hangingChars="200"/>
        <w:rPr>
          <w:rFonts w:ascii="Times New Roman"/>
        </w:rPr>
      </w:pPr>
      <w:bookmarkStart w:id="56" w:name="_Toc8022"/>
      <w:r>
        <w:rPr>
          <w:rFonts w:ascii="Times New Roman"/>
        </w:rPr>
        <w:br w:type="textWrapping"/>
      </w:r>
      <w:r>
        <w:rPr>
          <w:rFonts w:ascii="Times New Roman"/>
        </w:rPr>
        <w:t>就地保护in-situ conservation</w:t>
      </w:r>
      <w:bookmarkEnd w:id="56"/>
    </w:p>
    <w:p w14:paraId="69A54EBE">
      <w:pPr>
        <w:pStyle w:val="6"/>
        <w:ind w:firstLine="420"/>
        <w:rPr>
          <w:rFonts w:ascii="Times New Roman"/>
        </w:rPr>
      </w:pPr>
      <w:bookmarkStart w:id="57" w:name="OLE_LINK58"/>
      <w:r>
        <w:rPr>
          <w:rFonts w:ascii="Times New Roman"/>
        </w:rPr>
        <w:t>在原来的生境中保护生态系统及物种种群</w:t>
      </w:r>
      <w:r>
        <w:rPr>
          <w:rFonts w:hint="eastAsia" w:ascii="Times New Roman"/>
        </w:rPr>
        <w:t>，</w:t>
      </w:r>
      <w:r>
        <w:rPr>
          <w:rFonts w:ascii="Times New Roman"/>
        </w:rPr>
        <w:t>维持物种自然</w:t>
      </w:r>
      <w:bookmarkEnd w:id="57"/>
      <w:r>
        <w:rPr>
          <w:rFonts w:ascii="Times New Roman"/>
        </w:rPr>
        <w:t>存续</w:t>
      </w:r>
      <w:r>
        <w:rPr>
          <w:rFonts w:hint="eastAsia" w:ascii="Times New Roman"/>
        </w:rPr>
        <w:t>和持续</w:t>
      </w:r>
      <w:r>
        <w:rPr>
          <w:rFonts w:ascii="Times New Roman"/>
        </w:rPr>
        <w:t>演化。</w:t>
      </w:r>
    </w:p>
    <w:p w14:paraId="05CACDA8">
      <w:pPr>
        <w:pStyle w:val="6"/>
        <w:ind w:firstLine="0" w:firstLineChars="0"/>
        <w:rPr>
          <w:rFonts w:ascii="Times New Roman"/>
          <w:kern w:val="2"/>
          <w:szCs w:val="21"/>
        </w:rPr>
      </w:pPr>
    </w:p>
    <w:p w14:paraId="50405875">
      <w:pPr>
        <w:pStyle w:val="111"/>
        <w:spacing w:before="0" w:beforeLines="0" w:after="0" w:afterLines="0"/>
        <w:ind w:left="420" w:hanging="420" w:hangingChars="200"/>
        <w:rPr>
          <w:rFonts w:ascii="Times New Roman"/>
        </w:rPr>
      </w:pPr>
      <w:bookmarkStart w:id="58" w:name="_Toc13813"/>
      <w:r>
        <w:rPr>
          <w:rFonts w:ascii="Times New Roman"/>
        </w:rPr>
        <w:br w:type="textWrapping"/>
      </w:r>
      <w:r>
        <w:rPr>
          <w:rFonts w:ascii="Times New Roman"/>
        </w:rPr>
        <w:t>自然保护地 protected areas</w:t>
      </w:r>
      <w:bookmarkEnd w:id="58"/>
    </w:p>
    <w:p w14:paraId="4F8E63B5">
      <w:pPr>
        <w:pStyle w:val="6"/>
        <w:ind w:firstLine="420"/>
        <w:rPr>
          <w:rFonts w:ascii="Times New Roman"/>
        </w:rPr>
      </w:pPr>
      <w:r>
        <w:rPr>
          <w:rFonts w:ascii="Times New Roman"/>
        </w:rPr>
        <w:t>由各级政府或主管部门依法批准设立、划定或确认，对重要的自然生态系统、自然遗迹、自然景观及其所承载的自然资源、生态功能和文化价值实施长期保护的陆域或海域。</w:t>
      </w:r>
    </w:p>
    <w:p w14:paraId="2494037A">
      <w:pPr>
        <w:pStyle w:val="6"/>
        <w:ind w:firstLine="420"/>
        <w:rPr>
          <w:rFonts w:ascii="Times New Roman"/>
          <w:sz w:val="18"/>
          <w:szCs w:val="16"/>
        </w:rPr>
      </w:pPr>
      <w:r>
        <w:rPr>
          <w:rFonts w:ascii="Times New Roman"/>
        </w:rPr>
        <w:t>注:</w:t>
      </w:r>
      <w:r>
        <w:rPr>
          <w:rFonts w:ascii="Times New Roman"/>
          <w:sz w:val="18"/>
          <w:szCs w:val="16"/>
        </w:rPr>
        <w:t xml:space="preserve"> 根据GB/T45071—2024第4.1条，自然保护地分为国家公园、自然保护区、自然公园三种类别。</w:t>
      </w:r>
    </w:p>
    <w:p w14:paraId="4D54E8AA">
      <w:pPr>
        <w:pStyle w:val="6"/>
        <w:ind w:firstLine="420"/>
        <w:rPr>
          <w:rFonts w:ascii="Times New Roman"/>
        </w:rPr>
      </w:pPr>
      <w:r>
        <w:rPr>
          <w:rFonts w:ascii="Times New Roman"/>
        </w:rPr>
        <w:t>[来源：GB/T 45072—2024，3.1]</w:t>
      </w:r>
    </w:p>
    <w:p w14:paraId="4D6EA1AA">
      <w:pPr>
        <w:pStyle w:val="6"/>
        <w:ind w:firstLine="420"/>
        <w:rPr>
          <w:rFonts w:ascii="Times New Roman"/>
        </w:rPr>
      </w:pPr>
    </w:p>
    <w:p w14:paraId="283CE3C8">
      <w:pPr>
        <w:pStyle w:val="111"/>
        <w:spacing w:before="0" w:beforeLines="0" w:after="0" w:afterLines="0"/>
        <w:ind w:left="420" w:hanging="420" w:hangingChars="200"/>
        <w:rPr>
          <w:rFonts w:ascii="Times New Roman"/>
        </w:rPr>
      </w:pPr>
      <w:bookmarkStart w:id="59" w:name="_Toc18448"/>
      <w:r>
        <w:rPr>
          <w:rFonts w:ascii="Times New Roman"/>
        </w:rPr>
        <w:br w:type="textWrapping"/>
      </w:r>
      <w:r>
        <w:rPr>
          <w:rFonts w:ascii="Times New Roman"/>
        </w:rPr>
        <w:t>生态保护红线</w:t>
      </w:r>
      <w:r>
        <w:rPr>
          <w:rFonts w:hint="eastAsia" w:ascii="Times New Roman"/>
        </w:rPr>
        <w:t>Ecological Protection Redlines</w:t>
      </w:r>
      <w:bookmarkEnd w:id="59"/>
    </w:p>
    <w:p w14:paraId="42FB2E26">
      <w:pPr>
        <w:pStyle w:val="6"/>
        <w:ind w:firstLine="420"/>
        <w:rPr>
          <w:rFonts w:ascii="Times New Roman"/>
        </w:rPr>
      </w:pPr>
      <w:r>
        <w:rPr>
          <w:rFonts w:ascii="Times New Roman"/>
        </w:rPr>
        <w:t>在生态空间范围内具有特殊重要生态功能、必须强制性严格保护的区域，是保障和维护国家生态安全的底线和生命线，通常包括具有重要水源涵养、生物多样性维护、水土保持、防风固沙、海岸生态稳定等功能的生态功能重要区域，以及水土流失、土地沙化、石漠化等生态环境敏感脆弱区域。</w:t>
      </w:r>
    </w:p>
    <w:p w14:paraId="39262E03">
      <w:pPr>
        <w:pStyle w:val="6"/>
        <w:ind w:firstLine="420"/>
        <w:rPr>
          <w:rFonts w:ascii="Times New Roman"/>
        </w:rPr>
      </w:pPr>
      <w:r>
        <w:rPr>
          <w:rFonts w:ascii="Times New Roman"/>
        </w:rPr>
        <w:t>[来源：HJ 1140—2020，3.1]</w:t>
      </w:r>
    </w:p>
    <w:p w14:paraId="08C00A80">
      <w:pPr>
        <w:pStyle w:val="6"/>
        <w:ind w:firstLine="420"/>
        <w:rPr>
          <w:rFonts w:ascii="Times New Roman"/>
        </w:rPr>
      </w:pPr>
    </w:p>
    <w:p w14:paraId="4A5F8912">
      <w:pPr>
        <w:pStyle w:val="111"/>
        <w:spacing w:before="0" w:beforeLines="0" w:after="0" w:afterLines="0"/>
        <w:ind w:left="420" w:hanging="420" w:hangingChars="200"/>
        <w:rPr>
          <w:rFonts w:ascii="Times New Roman"/>
        </w:rPr>
      </w:pPr>
      <w:bookmarkStart w:id="60" w:name="_Toc7882"/>
      <w:bookmarkStart w:id="61" w:name="OLE_LINK12"/>
      <w:r>
        <w:rPr>
          <w:rFonts w:ascii="Times New Roman"/>
        </w:rPr>
        <w:br w:type="textWrapping"/>
      </w:r>
      <w:r>
        <w:rPr>
          <w:rFonts w:hint="eastAsia" w:ascii="Times New Roman"/>
        </w:rPr>
        <w:t>其他有效的区域保护措施 other effective area-based conservation measures (OECMs)</w:t>
      </w:r>
      <w:bookmarkEnd w:id="60"/>
    </w:p>
    <w:p w14:paraId="4E1A56B3">
      <w:pPr>
        <w:pStyle w:val="6"/>
        <w:ind w:firstLine="420"/>
        <w:rPr>
          <w:rFonts w:hint="eastAsia" w:hAnsi="宋体"/>
        </w:rPr>
      </w:pPr>
      <w:r>
        <w:rPr>
          <w:rFonts w:hAnsi="宋体"/>
        </w:rPr>
        <w:t>自然保护地以外</w:t>
      </w:r>
      <w:bookmarkStart w:id="62" w:name="OLE_LINK8"/>
      <w:r>
        <w:rPr>
          <w:rFonts w:hint="eastAsia" w:hAnsi="宋体"/>
        </w:rPr>
        <w:t>、</w:t>
      </w:r>
      <w:r>
        <w:rPr>
          <w:rFonts w:hAnsi="宋体"/>
        </w:rPr>
        <w:t>地理</w:t>
      </w:r>
      <w:r>
        <w:rPr>
          <w:rFonts w:hint="eastAsia" w:hAnsi="宋体"/>
        </w:rPr>
        <w:t>边界明确的</w:t>
      </w:r>
      <w:r>
        <w:rPr>
          <w:rFonts w:hAnsi="宋体"/>
        </w:rPr>
        <w:t>区域</w:t>
      </w:r>
      <w:bookmarkEnd w:id="62"/>
      <w:r>
        <w:rPr>
          <w:rFonts w:hAnsi="宋体"/>
        </w:rPr>
        <w:t>，对其的治理和管理可实现生物多样性就地保护的积极、持续的长期成果，并取得相关的生态系统功能和服务，以及在适用的情况下实现文化、精神、社会经济价值和其他本地相关价值</w:t>
      </w:r>
      <w:r>
        <w:rPr>
          <w:rFonts w:hint="eastAsia" w:hAnsi="宋体"/>
        </w:rPr>
        <w:t>。</w:t>
      </w:r>
    </w:p>
    <w:p w14:paraId="637CDEBA">
      <w:pPr>
        <w:pStyle w:val="6"/>
        <w:ind w:firstLine="420"/>
        <w:rPr>
          <w:rFonts w:ascii="Times New Roman"/>
        </w:rPr>
      </w:pPr>
      <w:r>
        <w:rPr>
          <w:rFonts w:hint="eastAsia"/>
        </w:rPr>
        <w:t>[来源：《生物多样性公</w:t>
      </w:r>
      <w:r>
        <w:rPr>
          <w:rFonts w:hint="eastAsia" w:ascii="Times New Roman"/>
        </w:rPr>
        <w:t>约》第十四次缔约方大会（</w:t>
      </w:r>
      <w:r>
        <w:rPr>
          <w:rFonts w:ascii="Times New Roman"/>
        </w:rPr>
        <w:t>COP14</w:t>
      </w:r>
      <w:r>
        <w:rPr>
          <w:rFonts w:hint="eastAsia" w:ascii="Times New Roman"/>
        </w:rPr>
        <w:t>）第</w:t>
      </w:r>
      <w:r>
        <w:rPr>
          <w:rFonts w:ascii="Times New Roman"/>
        </w:rPr>
        <w:t>14/8</w:t>
      </w:r>
      <w:r>
        <w:rPr>
          <w:rFonts w:hint="eastAsia" w:ascii="Times New Roman"/>
        </w:rPr>
        <w:t>号决议</w:t>
      </w:r>
      <w:r>
        <w:rPr>
          <w:rFonts w:ascii="Times New Roman"/>
        </w:rPr>
        <w:t>]</w:t>
      </w:r>
    </w:p>
    <w:p w14:paraId="14A93F60">
      <w:pPr>
        <w:pStyle w:val="6"/>
        <w:ind w:firstLine="420"/>
        <w:rPr>
          <w:rFonts w:ascii="Times New Roman"/>
        </w:rPr>
      </w:pPr>
    </w:p>
    <w:p w14:paraId="7561D8E3">
      <w:pPr>
        <w:pStyle w:val="111"/>
        <w:spacing w:before="0" w:beforeLines="0" w:after="0" w:afterLines="0"/>
        <w:ind w:left="420" w:hanging="420" w:hangingChars="200"/>
        <w:rPr>
          <w:rFonts w:ascii="Times New Roman"/>
        </w:rPr>
      </w:pPr>
      <w:bookmarkStart w:id="63" w:name="_Toc1705"/>
      <w:r>
        <w:rPr>
          <w:rFonts w:ascii="Times New Roman"/>
        </w:rPr>
        <w:br w:type="textWrapping"/>
      </w:r>
      <w:r>
        <w:rPr>
          <w:rFonts w:hint="eastAsia" w:ascii="Times New Roman"/>
        </w:rPr>
        <w:t>自然共生地 nature coexistence areas</w:t>
      </w:r>
      <w:bookmarkEnd w:id="63"/>
    </w:p>
    <w:p w14:paraId="45CA8117">
      <w:pPr>
        <w:pStyle w:val="6"/>
        <w:ind w:firstLine="420"/>
      </w:pPr>
      <w:r>
        <w:rPr>
          <w:rFonts w:hint="eastAsia"/>
        </w:rPr>
        <w:t>自然保护地以外、</w:t>
      </w:r>
      <w:r>
        <w:rPr>
          <w:rFonts w:hint="eastAsia" w:hAnsi="宋体"/>
        </w:rPr>
        <w:t>地理边界明确的</w:t>
      </w:r>
      <w:r>
        <w:rPr>
          <w:rFonts w:hint="eastAsia"/>
        </w:rPr>
        <w:t>区域，通过持续有效的治理和管理，长期稳定实现生物多样性就地保护成</w:t>
      </w:r>
      <w:r>
        <w:rPr>
          <w:rFonts w:hint="eastAsia" w:ascii="Times New Roman"/>
        </w:rPr>
        <w:t>效，统筹发挥生态系统功能和服务，兼顾社会、经济、文化等多元价值，是其他有效的区域保护措施（</w:t>
      </w:r>
      <w:r>
        <w:rPr>
          <w:rFonts w:ascii="Times New Roman"/>
        </w:rPr>
        <w:t>OECMs</w:t>
      </w:r>
      <w:r>
        <w:rPr>
          <w:rFonts w:hint="eastAsia" w:ascii="Times New Roman"/>
        </w:rPr>
        <w:t>）的本土化意译。</w:t>
      </w:r>
    </w:p>
    <w:p w14:paraId="04C71651">
      <w:pPr>
        <w:pStyle w:val="6"/>
        <w:ind w:firstLine="420"/>
        <w:rPr>
          <w:rFonts w:ascii="Times New Roman"/>
        </w:rPr>
      </w:pPr>
    </w:p>
    <w:bookmarkEnd w:id="61"/>
    <w:p w14:paraId="64AFD56D">
      <w:pPr>
        <w:pStyle w:val="111"/>
        <w:spacing w:before="0" w:beforeLines="0" w:after="0" w:afterLines="0"/>
        <w:ind w:left="420" w:hanging="420" w:hangingChars="200"/>
        <w:rPr>
          <w:rFonts w:ascii="Times New Roman"/>
        </w:rPr>
      </w:pPr>
      <w:bookmarkStart w:id="64" w:name="_Toc4432"/>
      <w:bookmarkStart w:id="65" w:name="OLE_LINK60"/>
      <w:r>
        <w:rPr>
          <w:rFonts w:ascii="Times New Roman"/>
        </w:rPr>
        <w:br w:type="textWrapping"/>
      </w:r>
      <w:r>
        <w:rPr>
          <w:rFonts w:ascii="Times New Roman"/>
        </w:rPr>
        <w:t>权属/权益主体 rightsholder</w:t>
      </w:r>
      <w:bookmarkEnd w:id="64"/>
    </w:p>
    <w:p w14:paraId="489B92AF">
      <w:pPr>
        <w:pStyle w:val="6"/>
        <w:ind w:firstLine="420"/>
        <w:rPr>
          <w:rFonts w:ascii="Times New Roman"/>
        </w:rPr>
      </w:pPr>
      <w:r>
        <w:rPr>
          <w:rFonts w:ascii="Times New Roman"/>
        </w:rPr>
        <w:t>对自然共生地所在区域拥有所有权、使用权或其他合法权益的自然人、法人或非法人组织。</w:t>
      </w:r>
    </w:p>
    <w:p w14:paraId="1357267C">
      <w:pPr>
        <w:pStyle w:val="6"/>
        <w:ind w:firstLine="0" w:firstLineChars="0"/>
        <w:rPr>
          <w:rFonts w:ascii="Times New Roman"/>
        </w:rPr>
      </w:pPr>
    </w:p>
    <w:p w14:paraId="116C0D89">
      <w:pPr>
        <w:pStyle w:val="111"/>
        <w:spacing w:before="0" w:beforeLines="0" w:after="0" w:afterLines="0"/>
        <w:ind w:left="420" w:hanging="420" w:hangingChars="200"/>
        <w:rPr>
          <w:rFonts w:ascii="Times New Roman"/>
        </w:rPr>
      </w:pPr>
      <w:bookmarkStart w:id="66" w:name="_Toc22338"/>
      <w:r>
        <w:rPr>
          <w:rFonts w:ascii="Times New Roman"/>
        </w:rPr>
        <w:br w:type="textWrapping"/>
      </w:r>
      <w:r>
        <w:rPr>
          <w:rFonts w:hint="eastAsia" w:ascii="Times New Roman"/>
        </w:rPr>
        <w:t>责任</w:t>
      </w:r>
      <w:r>
        <w:rPr>
          <w:rFonts w:ascii="Times New Roman"/>
        </w:rPr>
        <w:t>主体 responsible entity</w:t>
      </w:r>
      <w:bookmarkEnd w:id="66"/>
    </w:p>
    <w:p w14:paraId="794FF3DE">
      <w:pPr>
        <w:pStyle w:val="6"/>
        <w:ind w:firstLine="420"/>
        <w:rPr>
          <w:rFonts w:ascii="Times New Roman"/>
        </w:rPr>
      </w:pPr>
      <w:bookmarkStart w:id="67" w:name="OLE_LINK47"/>
      <w:r>
        <w:rPr>
          <w:rFonts w:ascii="Times New Roman"/>
        </w:rPr>
        <w:t>依法或经授权，享有自然共生地管理决策权、承担管护职责、开展日常保护管理工作的实体，可由单个或多个实体构成。决策与日常管理职能可分属不同实体，各实体分工负责相应工作。</w:t>
      </w:r>
      <w:bookmarkEnd w:id="67"/>
      <w:r>
        <w:rPr>
          <w:rFonts w:ascii="Times New Roman"/>
        </w:rPr>
        <w:t>包括各级政府及所属部门、合作治理联合体、企事业单位、社会组织、本地社区及个人等。</w:t>
      </w:r>
    </w:p>
    <w:bookmarkEnd w:id="65"/>
    <w:p w14:paraId="0B4B8735">
      <w:pPr>
        <w:pStyle w:val="6"/>
        <w:ind w:firstLine="0" w:firstLineChars="0"/>
        <w:rPr>
          <w:rFonts w:ascii="Times New Roman"/>
        </w:rPr>
      </w:pPr>
    </w:p>
    <w:p w14:paraId="6B8EC3F5">
      <w:pPr>
        <w:pStyle w:val="6"/>
        <w:ind w:firstLine="420"/>
        <w:rPr>
          <w:rFonts w:ascii="Times New Roman"/>
        </w:rPr>
      </w:pPr>
    </w:p>
    <w:p w14:paraId="5F0087B0">
      <w:pPr>
        <w:pStyle w:val="110"/>
        <w:spacing w:before="0" w:beforeLines="0" w:after="0" w:afterLines="0"/>
        <w:ind w:left="0"/>
        <w:rPr>
          <w:rFonts w:ascii="Times New Roman"/>
        </w:rPr>
      </w:pPr>
      <w:bookmarkStart w:id="68" w:name="_Toc3498"/>
      <w:r>
        <w:rPr>
          <w:rFonts w:ascii="Times New Roman"/>
        </w:rPr>
        <w:t>基本原则</w:t>
      </w:r>
      <w:bookmarkEnd w:id="68"/>
    </w:p>
    <w:p w14:paraId="3262442E">
      <w:pPr>
        <w:pStyle w:val="111"/>
        <w:spacing w:before="120" w:after="120"/>
        <w:rPr>
          <w:rFonts w:ascii="Times New Roman"/>
        </w:rPr>
      </w:pPr>
      <w:bookmarkStart w:id="69" w:name="_Toc25576"/>
      <w:r>
        <w:rPr>
          <w:rFonts w:ascii="Times New Roman"/>
        </w:rPr>
        <w:t>国际</w:t>
      </w:r>
      <w:r>
        <w:rPr>
          <w:rFonts w:hint="eastAsia" w:ascii="Times New Roman"/>
        </w:rPr>
        <w:t>接轨</w:t>
      </w:r>
      <w:bookmarkEnd w:id="69"/>
    </w:p>
    <w:p w14:paraId="7EDE58FF">
      <w:pPr>
        <w:pStyle w:val="6"/>
        <w:ind w:firstLine="420"/>
        <w:rPr>
          <w:rFonts w:ascii="Times New Roman"/>
        </w:rPr>
      </w:pPr>
      <w:r>
        <w:rPr>
          <w:rFonts w:ascii="Times New Roman"/>
        </w:rPr>
        <w:t>本标准遵循《生物多样性公约》第14/8号决议及IUCN WCPA制定的OECMs全球识别准则和工具</w:t>
      </w:r>
      <w:r>
        <w:rPr>
          <w:rFonts w:hint="eastAsia" w:ascii="Times New Roman"/>
        </w:rPr>
        <w:t>框架</w:t>
      </w:r>
      <w:r>
        <w:rPr>
          <w:rFonts w:ascii="Times New Roman"/>
        </w:rPr>
        <w:t>，确保核心</w:t>
      </w:r>
      <w:r>
        <w:rPr>
          <w:rFonts w:hint="eastAsia" w:ascii="Times New Roman"/>
        </w:rPr>
        <w:t>要求</w:t>
      </w:r>
      <w:r>
        <w:rPr>
          <w:rFonts w:ascii="Times New Roman"/>
        </w:rPr>
        <w:t>与国际相关文件保持一致。</w:t>
      </w:r>
    </w:p>
    <w:p w14:paraId="330928FF">
      <w:pPr>
        <w:pStyle w:val="6"/>
        <w:ind w:firstLine="420"/>
        <w:rPr>
          <w:rFonts w:ascii="Times New Roman"/>
        </w:rPr>
      </w:pPr>
    </w:p>
    <w:p w14:paraId="017689F2">
      <w:pPr>
        <w:pStyle w:val="111"/>
        <w:spacing w:before="120" w:after="120"/>
        <w:rPr>
          <w:rFonts w:ascii="Times New Roman"/>
        </w:rPr>
      </w:pPr>
      <w:bookmarkStart w:id="70" w:name="_Toc32323"/>
      <w:r>
        <w:rPr>
          <w:rFonts w:hint="eastAsia" w:ascii="Times New Roman"/>
        </w:rPr>
        <w:t>因地制宜</w:t>
      </w:r>
      <w:bookmarkEnd w:id="70"/>
    </w:p>
    <w:p w14:paraId="3B96AB15">
      <w:pPr>
        <w:pStyle w:val="6"/>
        <w:ind w:firstLine="420"/>
        <w:rPr>
          <w:rFonts w:ascii="Times New Roman"/>
        </w:rPr>
      </w:pPr>
      <w:r>
        <w:rPr>
          <w:rFonts w:ascii="Times New Roman"/>
        </w:rPr>
        <w:t>结合中国国土空间规划 “三区三线” 管控要求、生物多样性保护实践及不同区域（</w:t>
      </w:r>
      <w:r>
        <w:rPr>
          <w:rFonts w:hint="eastAsia" w:ascii="Times New Roman"/>
        </w:rPr>
        <w:t>生态保护红线外</w:t>
      </w:r>
      <w:r>
        <w:rPr>
          <w:rFonts w:ascii="Times New Roman"/>
        </w:rPr>
        <w:t>生态空间、农业空间、城镇空间）的生态特征，制定清晰、简洁、可操作的认定标准和流程。</w:t>
      </w:r>
    </w:p>
    <w:p w14:paraId="1E2E17E1">
      <w:pPr>
        <w:pStyle w:val="6"/>
        <w:ind w:firstLine="0" w:firstLineChars="0"/>
        <w:rPr>
          <w:rFonts w:ascii="Times New Roman"/>
        </w:rPr>
      </w:pPr>
    </w:p>
    <w:p w14:paraId="6956CA1C">
      <w:pPr>
        <w:pStyle w:val="111"/>
        <w:spacing w:before="120" w:after="120"/>
        <w:rPr>
          <w:rFonts w:ascii="Times New Roman"/>
        </w:rPr>
      </w:pPr>
      <w:bookmarkStart w:id="71" w:name="_Toc31650"/>
      <w:r>
        <w:rPr>
          <w:rFonts w:hint="eastAsia" w:ascii="Times New Roman"/>
        </w:rPr>
        <w:t>多元参与</w:t>
      </w:r>
      <w:bookmarkEnd w:id="71"/>
    </w:p>
    <w:p w14:paraId="419476ED">
      <w:pPr>
        <w:pStyle w:val="6"/>
        <w:ind w:firstLine="420"/>
        <w:rPr>
          <w:rFonts w:ascii="Times New Roman"/>
        </w:rPr>
      </w:pPr>
      <w:r>
        <w:rPr>
          <w:rFonts w:ascii="Times New Roman"/>
        </w:rPr>
        <w:t>引导和鼓励社会各界各类主体参与生物多样性就地保护，关注并保护身边的生物多样性。</w:t>
      </w:r>
      <w:r>
        <w:rPr>
          <w:rFonts w:hint="eastAsia" w:ascii="Times New Roman"/>
        </w:rPr>
        <w:t>将暂未满足认定要求、但</w:t>
      </w:r>
      <w:r>
        <w:rPr>
          <w:rFonts w:ascii="Times New Roman"/>
        </w:rPr>
        <w:t>具备基本保护条件和意愿的区域</w:t>
      </w:r>
      <w:r>
        <w:rPr>
          <w:rFonts w:hint="eastAsia" w:ascii="Times New Roman"/>
        </w:rPr>
        <w:t>列入培育名单</w:t>
      </w:r>
      <w:r>
        <w:rPr>
          <w:rFonts w:ascii="Times New Roman"/>
        </w:rPr>
        <w:t>，通过指导和支持推动其逐步提升，扩大保护覆盖面。</w:t>
      </w:r>
    </w:p>
    <w:p w14:paraId="4E8F5D38">
      <w:pPr>
        <w:pStyle w:val="6"/>
        <w:ind w:firstLine="0" w:firstLineChars="0"/>
        <w:rPr>
          <w:rFonts w:ascii="Times New Roman"/>
        </w:rPr>
      </w:pPr>
    </w:p>
    <w:p w14:paraId="01697110">
      <w:pPr>
        <w:pStyle w:val="110"/>
        <w:spacing w:before="0" w:beforeLines="0" w:after="0" w:afterLines="0"/>
        <w:ind w:left="0"/>
        <w:rPr>
          <w:rFonts w:ascii="Times New Roman"/>
        </w:rPr>
      </w:pPr>
      <w:bookmarkStart w:id="72" w:name="_Toc29475"/>
      <w:r>
        <w:rPr>
          <w:rFonts w:ascii="Times New Roman"/>
        </w:rPr>
        <w:t>认定</w:t>
      </w:r>
      <w:r>
        <w:rPr>
          <w:rFonts w:hint="eastAsia" w:ascii="Times New Roman"/>
        </w:rPr>
        <w:t>要求</w:t>
      </w:r>
      <w:bookmarkEnd w:id="72"/>
      <w:bookmarkStart w:id="73" w:name="_Toc77263531"/>
    </w:p>
    <w:p w14:paraId="45231BCC">
      <w:pPr>
        <w:pStyle w:val="6"/>
        <w:ind w:firstLine="420"/>
        <w:rPr>
          <w:rFonts w:ascii="Times New Roman"/>
        </w:rPr>
      </w:pPr>
      <w:r>
        <w:rPr>
          <w:rFonts w:hint="eastAsia" w:ascii="Times New Roman"/>
        </w:rPr>
        <w:t>自然共生地的认定要求包括清晰的地理边界、明确的责任主体、保护管理能力、相关方知情同意、生物多样性价值、有利于保护的管理措施、长期保护计划、监测和成效评估、生态系统服务和社会经济文化多元价值等9项，其与国际准则的对比见附录A。适用和不适用于自然共生地认定的区域可参考附录B。</w:t>
      </w:r>
    </w:p>
    <w:p w14:paraId="6EEE48A9">
      <w:pPr>
        <w:pStyle w:val="6"/>
        <w:ind w:firstLine="420"/>
        <w:rPr>
          <w:rFonts w:ascii="Times New Roman"/>
        </w:rPr>
      </w:pPr>
      <w:r>
        <w:rPr>
          <w:rFonts w:hint="eastAsia" w:ascii="Times New Roman"/>
        </w:rPr>
        <w:t>满足各项要求可认定为自然共生地，部分要求不满足可列入自然共生地培育名单，开展后续指导培育。</w:t>
      </w:r>
    </w:p>
    <w:bookmarkEnd w:id="73"/>
    <w:p w14:paraId="466661BF">
      <w:pPr>
        <w:widowControl/>
        <w:adjustRightInd/>
        <w:spacing w:line="240" w:lineRule="auto"/>
        <w:jc w:val="left"/>
        <w:rPr>
          <w:rFonts w:ascii="Times New Roman" w:hAnsi="Times New Roman"/>
          <w:kern w:val="0"/>
          <w:szCs w:val="20"/>
          <w:highlight w:val="yellow"/>
        </w:rPr>
      </w:pPr>
    </w:p>
    <w:p w14:paraId="60C0BB05">
      <w:pPr>
        <w:pStyle w:val="111"/>
        <w:spacing w:before="0" w:beforeLines="0" w:after="0" w:afterLines="0"/>
        <w:rPr>
          <w:rFonts w:ascii="Times New Roman"/>
        </w:rPr>
      </w:pPr>
      <w:bookmarkStart w:id="74" w:name="_Toc32502"/>
      <w:r>
        <w:rPr>
          <w:rFonts w:ascii="Times New Roman"/>
        </w:rPr>
        <w:t>清晰的地理边界</w:t>
      </w:r>
      <w:bookmarkEnd w:id="74"/>
    </w:p>
    <w:p w14:paraId="5CD39877">
      <w:pPr>
        <w:pStyle w:val="6"/>
        <w:ind w:firstLine="420"/>
        <w:rPr>
          <w:rFonts w:ascii="Times New Roman"/>
        </w:rPr>
      </w:pPr>
      <w:r>
        <w:rPr>
          <w:rFonts w:ascii="Times New Roman"/>
        </w:rPr>
        <w:t>自然共生地区域应具有清晰、可界定的地理边界，覆盖授权</w:t>
      </w:r>
      <w:r>
        <w:rPr>
          <w:rFonts w:hint="eastAsia" w:ascii="Times New Roman"/>
        </w:rPr>
        <w:t>管护范围</w:t>
      </w:r>
      <w:r>
        <w:rPr>
          <w:rFonts w:ascii="Times New Roman"/>
        </w:rPr>
        <w:t>，并提供边界地图或地理边界文件</w:t>
      </w:r>
      <w:r>
        <w:rPr>
          <w:rFonts w:hint="eastAsia" w:ascii="Times New Roman"/>
        </w:rPr>
        <w:t>；可</w:t>
      </w:r>
      <w:r>
        <w:rPr>
          <w:rFonts w:ascii="Times New Roman"/>
        </w:rPr>
        <w:t>参考自然边界（如山脉、河流等）、习惯边界（如社区小组管辖范围）、勘测边界或行政边界</w:t>
      </w:r>
      <w:r>
        <w:rPr>
          <w:rFonts w:hint="eastAsia" w:ascii="Times New Roman"/>
        </w:rPr>
        <w:t>划定边界</w:t>
      </w:r>
      <w:r>
        <w:rPr>
          <w:rFonts w:ascii="Times New Roman"/>
        </w:rPr>
        <w:t>。</w:t>
      </w:r>
    </w:p>
    <w:p w14:paraId="3C8CEB6A">
      <w:pPr>
        <w:pStyle w:val="6"/>
        <w:ind w:firstLine="420"/>
        <w:rPr>
          <w:rFonts w:ascii="Times New Roman"/>
        </w:rPr>
      </w:pPr>
      <w:r>
        <w:rPr>
          <w:rFonts w:ascii="Times New Roman"/>
        </w:rPr>
        <w:t>区域内土地、海域权属清晰明确，权属</w:t>
      </w:r>
      <w:r>
        <w:rPr>
          <w:rFonts w:hint="eastAsia" w:ascii="Times New Roman"/>
        </w:rPr>
        <w:t>/权益</w:t>
      </w:r>
      <w:r>
        <w:rPr>
          <w:rFonts w:ascii="Times New Roman"/>
        </w:rPr>
        <w:t>主体依法登记或</w:t>
      </w:r>
      <w:r>
        <w:rPr>
          <w:rFonts w:hint="eastAsia" w:ascii="Times New Roman"/>
        </w:rPr>
        <w:t>授权</w:t>
      </w:r>
      <w:r>
        <w:rPr>
          <w:rFonts w:ascii="Times New Roman"/>
        </w:rPr>
        <w:t>。区域内不存在影响保护管理实施的权属争议。</w:t>
      </w:r>
    </w:p>
    <w:p w14:paraId="053027B7">
      <w:pPr>
        <w:pStyle w:val="6"/>
        <w:ind w:firstLine="420"/>
        <w:rPr>
          <w:rFonts w:ascii="Times New Roman"/>
        </w:rPr>
      </w:pPr>
      <w:r>
        <w:rPr>
          <w:rFonts w:ascii="Times New Roman"/>
        </w:rPr>
        <w:t>划定面积</w:t>
      </w:r>
      <w:r>
        <w:rPr>
          <w:rFonts w:hint="eastAsia" w:ascii="Times New Roman"/>
        </w:rPr>
        <w:t>可支撑</w:t>
      </w:r>
      <w:r>
        <w:rPr>
          <w:rFonts w:hint="eastAsia" w:ascii="Times New Roman"/>
          <w:lang w:val="en-US" w:eastAsia="zh-CN"/>
        </w:rPr>
        <w:t>区域内主要</w:t>
      </w:r>
      <w:r>
        <w:rPr>
          <w:rFonts w:ascii="Times New Roman"/>
        </w:rPr>
        <w:t>生物多样性</w:t>
      </w:r>
      <w:r>
        <w:rPr>
          <w:rFonts w:hint="eastAsia" w:ascii="Times New Roman"/>
          <w:lang w:val="en-US" w:eastAsia="zh-CN"/>
        </w:rPr>
        <w:t>要素</w:t>
      </w:r>
      <w:r>
        <w:rPr>
          <w:rFonts w:ascii="Times New Roman"/>
        </w:rPr>
        <w:t>的保护或维持需求，且与</w:t>
      </w:r>
      <w:r>
        <w:rPr>
          <w:rFonts w:hint="eastAsia" w:ascii="Times New Roman"/>
        </w:rPr>
        <w:t>责任</w:t>
      </w:r>
      <w:r>
        <w:rPr>
          <w:rFonts w:ascii="Times New Roman"/>
        </w:rPr>
        <w:t>主体的管理能力相适配。</w:t>
      </w:r>
    </w:p>
    <w:p w14:paraId="237041AB">
      <w:pPr>
        <w:pStyle w:val="6"/>
        <w:ind w:firstLine="420"/>
        <w:rPr>
          <w:rFonts w:ascii="Times New Roman"/>
        </w:rPr>
      </w:pPr>
    </w:p>
    <w:p w14:paraId="2493FAB7">
      <w:pPr>
        <w:pStyle w:val="111"/>
        <w:spacing w:before="0" w:beforeLines="0" w:after="0" w:afterLines="0"/>
      </w:pPr>
      <w:bookmarkStart w:id="75" w:name="_Toc239"/>
      <w:r>
        <w:rPr>
          <w:rFonts w:ascii="Times New Roman"/>
        </w:rPr>
        <w:t>明确的责任主体</w:t>
      </w:r>
      <w:bookmarkEnd w:id="75"/>
      <w:bookmarkStart w:id="76" w:name="OLE_LINK16"/>
    </w:p>
    <w:p w14:paraId="5C05FDCB">
      <w:pPr>
        <w:pStyle w:val="6"/>
        <w:ind w:firstLine="420"/>
        <w:rPr>
          <w:rFonts w:ascii="Times New Roman"/>
        </w:rPr>
      </w:pPr>
      <w:bookmarkStart w:id="77" w:name="OLE_LINK64"/>
      <w:r>
        <w:rPr>
          <w:rFonts w:hint="eastAsia" w:ascii="Times New Roman"/>
        </w:rPr>
        <w:t>区域管护责任主体清晰，经行政授权、权属主体书面协议、社区约定等方式取得管理权限，统筹管控区域内各类活动，可自行或委托第三方开展日常保护管理。</w:t>
      </w:r>
    </w:p>
    <w:p w14:paraId="6CE6413D">
      <w:pPr>
        <w:pStyle w:val="6"/>
        <w:ind w:firstLine="420"/>
        <w:rPr>
          <w:rFonts w:ascii="Times New Roman"/>
        </w:rPr>
      </w:pPr>
      <w:r>
        <w:rPr>
          <w:rFonts w:hint="eastAsia" w:ascii="Times New Roman"/>
        </w:rPr>
        <w:t>责任主体应建立规范的决策机制，厘清各方权责；涉及多个责任主体共同管理的区域宜经过充分协商，通过合作文件、合作备忘录、共管机制文件等形式，明确</w:t>
      </w:r>
      <w:bookmarkEnd w:id="76"/>
      <w:r>
        <w:rPr>
          <w:rFonts w:ascii="Times New Roman"/>
        </w:rPr>
        <w:t>各方在政策支持、资金投入、日常管护、技术支撑等方面的职责与分工，并建立常态化沟通协调机制，确保重大事项集体决策与日常管理的有序衔接。</w:t>
      </w:r>
    </w:p>
    <w:bookmarkEnd w:id="77"/>
    <w:p w14:paraId="5861C1F6">
      <w:pPr>
        <w:pStyle w:val="6"/>
        <w:ind w:firstLineChars="0"/>
        <w:rPr>
          <w:rFonts w:ascii="Times New Roman"/>
        </w:rPr>
      </w:pPr>
    </w:p>
    <w:p w14:paraId="395ADD80">
      <w:pPr>
        <w:pStyle w:val="111"/>
        <w:spacing w:before="0" w:beforeLines="0" w:after="0" w:afterLines="0"/>
        <w:rPr>
          <w:rFonts w:ascii="Times New Roman"/>
        </w:rPr>
      </w:pPr>
      <w:bookmarkStart w:id="78" w:name="_Toc21849"/>
      <w:r>
        <w:rPr>
          <w:rFonts w:hint="eastAsia" w:ascii="Times New Roman"/>
        </w:rPr>
        <w:t>保护管理能力</w:t>
      </w:r>
      <w:bookmarkEnd w:id="78"/>
    </w:p>
    <w:p w14:paraId="6DF036E3">
      <w:pPr>
        <w:pStyle w:val="6"/>
        <w:ind w:firstLine="420"/>
        <w:rPr>
          <w:rFonts w:ascii="Times New Roman"/>
        </w:rPr>
      </w:pPr>
      <w:bookmarkStart w:id="79" w:name="OLE_LINK65"/>
      <w:r>
        <w:rPr>
          <w:rFonts w:hint="eastAsia" w:ascii="Times New Roman"/>
        </w:rPr>
        <w:t>责任</w:t>
      </w:r>
      <w:r>
        <w:rPr>
          <w:rFonts w:ascii="Times New Roman"/>
        </w:rPr>
        <w:t>主体</w:t>
      </w:r>
      <w:r>
        <w:rPr>
          <w:rFonts w:hint="eastAsia" w:ascii="Times New Roman"/>
        </w:rPr>
        <w:t>中承担日常保护管理职责的主体</w:t>
      </w:r>
      <w:r>
        <w:rPr>
          <w:rFonts w:ascii="Times New Roman"/>
        </w:rPr>
        <w:t>应具备相应的人员、资源和管理能力</w:t>
      </w:r>
      <w:r>
        <w:rPr>
          <w:rFonts w:hint="eastAsia" w:ascii="Times New Roman"/>
        </w:rPr>
        <w:t>，并建立</w:t>
      </w:r>
      <w:r>
        <w:rPr>
          <w:rFonts w:ascii="Times New Roman"/>
        </w:rPr>
        <w:t>清晰、可执行的日常管理安排，以支持各项</w:t>
      </w:r>
      <w:r>
        <w:rPr>
          <w:rFonts w:hint="eastAsia" w:ascii="Times New Roman"/>
        </w:rPr>
        <w:t>保护</w:t>
      </w:r>
      <w:r>
        <w:rPr>
          <w:rFonts w:ascii="Times New Roman"/>
        </w:rPr>
        <w:t>管理工作有序开展、常态运行。</w:t>
      </w:r>
    </w:p>
    <w:bookmarkEnd w:id="79"/>
    <w:p w14:paraId="337695EE">
      <w:pPr>
        <w:pStyle w:val="6"/>
        <w:ind w:firstLine="420"/>
        <w:rPr>
          <w:rFonts w:ascii="Times New Roman"/>
        </w:rPr>
      </w:pPr>
    </w:p>
    <w:p w14:paraId="6762A1DA">
      <w:pPr>
        <w:pStyle w:val="111"/>
        <w:spacing w:before="0" w:beforeLines="0" w:after="0" w:afterLines="0"/>
        <w:rPr>
          <w:rFonts w:ascii="Times New Roman"/>
        </w:rPr>
      </w:pPr>
      <w:bookmarkStart w:id="80" w:name="_Toc10502"/>
      <w:r>
        <w:rPr>
          <w:rFonts w:ascii="Times New Roman"/>
        </w:rPr>
        <w:t>相关方知情同意</w:t>
      </w:r>
      <w:bookmarkEnd w:id="80"/>
    </w:p>
    <w:p w14:paraId="4DE81298">
      <w:pPr>
        <w:pStyle w:val="6"/>
        <w:ind w:firstLine="420"/>
        <w:rPr>
          <w:rFonts w:ascii="Times New Roman"/>
        </w:rPr>
      </w:pPr>
      <w:bookmarkStart w:id="81" w:name="OLE_LINK21"/>
      <w:r>
        <w:rPr>
          <w:rFonts w:ascii="Times New Roman"/>
        </w:rPr>
        <w:t>在自然共生地评估和认定工作中，需与</w:t>
      </w:r>
      <w:r>
        <w:rPr>
          <w:rFonts w:hint="eastAsia" w:ascii="Times New Roman"/>
        </w:rPr>
        <w:t>责任</w:t>
      </w:r>
      <w:r>
        <w:rPr>
          <w:rFonts w:ascii="Times New Roman"/>
        </w:rPr>
        <w:t>主体、权属或权益主体及其他主要相关方充分沟通，确保相关方清</w:t>
      </w:r>
      <w:r>
        <w:rPr>
          <w:rFonts w:hint="eastAsia" w:ascii="Times New Roman"/>
        </w:rPr>
        <w:t>晰地</w:t>
      </w:r>
      <w:r>
        <w:rPr>
          <w:rFonts w:ascii="Times New Roman"/>
        </w:rPr>
        <w:t>理解自然共生地的内涵、评估和认定的目的与流程，知晓自身权利义务及潜在影响，在充分知情的基础上认可自然共生地评估和认定工作。涉及社区传统利用或管理的区域，应尊重</w:t>
      </w:r>
      <w:r>
        <w:rPr>
          <w:rFonts w:hint="eastAsia" w:ascii="Times New Roman"/>
        </w:rPr>
        <w:t>当地</w:t>
      </w:r>
      <w:r>
        <w:rPr>
          <w:rFonts w:ascii="Times New Roman"/>
        </w:rPr>
        <w:t>社区意愿并取得其知情与认可。</w:t>
      </w:r>
      <w:r>
        <w:rPr>
          <w:rFonts w:hint="eastAsia" w:ascii="Times New Roman"/>
        </w:rPr>
        <w:t>各方知情同意需形成书面材料</w:t>
      </w:r>
      <w:r>
        <w:rPr>
          <w:rFonts w:ascii="Times New Roman"/>
        </w:rPr>
        <w:t>（如知情同意书、社区决议记录、授权委托书等）</w:t>
      </w:r>
      <w:r>
        <w:rPr>
          <w:rFonts w:hint="eastAsia" w:ascii="Times New Roman"/>
        </w:rPr>
        <w:t>，并归档留存</w:t>
      </w:r>
      <w:r>
        <w:rPr>
          <w:rFonts w:ascii="Times New Roman"/>
        </w:rPr>
        <w:t>。</w:t>
      </w:r>
    </w:p>
    <w:p w14:paraId="5B1E285C">
      <w:pPr>
        <w:pStyle w:val="6"/>
        <w:ind w:firstLine="420"/>
        <w:rPr>
          <w:rFonts w:ascii="Times New Roman"/>
        </w:rPr>
      </w:pPr>
      <w:r>
        <w:rPr>
          <w:rFonts w:hint="eastAsia" w:ascii="Times New Roman"/>
        </w:rPr>
        <w:t>自然共生地内保护管理工作的开展需</w:t>
      </w:r>
      <w:r>
        <w:rPr>
          <w:rFonts w:ascii="Times New Roman"/>
        </w:rPr>
        <w:t>尊重利益相关方（包括本地及周边社区、社会组织、科研机构、公众等）各方合法权益，</w:t>
      </w:r>
      <w:r>
        <w:rPr>
          <w:rFonts w:hint="eastAsia" w:ascii="Times New Roman"/>
        </w:rPr>
        <w:t>特别是尊重本地</w:t>
      </w:r>
      <w:r>
        <w:rPr>
          <w:rFonts w:ascii="Times New Roman"/>
        </w:rPr>
        <w:t>社区传统管护模式与</w:t>
      </w:r>
      <w:r>
        <w:rPr>
          <w:rFonts w:hint="eastAsia" w:ascii="Times New Roman"/>
        </w:rPr>
        <w:t>文化习俗</w:t>
      </w:r>
      <w:r>
        <w:rPr>
          <w:rFonts w:ascii="Times New Roman"/>
        </w:rPr>
        <w:t>；搭建议事会商、意见征集等参与渠道，保障相关方知情并参与</w:t>
      </w:r>
      <w:r>
        <w:rPr>
          <w:rFonts w:hint="eastAsia" w:ascii="Times New Roman"/>
        </w:rPr>
        <w:t>保护管理</w:t>
      </w:r>
      <w:r>
        <w:rPr>
          <w:rFonts w:ascii="Times New Roman"/>
        </w:rPr>
        <w:t>决策；</w:t>
      </w:r>
      <w:r>
        <w:rPr>
          <w:rFonts w:hint="eastAsia" w:ascii="Times New Roman"/>
        </w:rPr>
        <w:t>保护管理</w:t>
      </w:r>
      <w:r>
        <w:rPr>
          <w:rFonts w:ascii="Times New Roman"/>
        </w:rPr>
        <w:t>成本合理分摊、收益公平共享，优先惠及本地社区。</w:t>
      </w:r>
    </w:p>
    <w:bookmarkEnd w:id="81"/>
    <w:p w14:paraId="2EFF34C7">
      <w:pPr>
        <w:pStyle w:val="6"/>
        <w:ind w:firstLine="420"/>
        <w:rPr>
          <w:rFonts w:ascii="Times New Roman"/>
        </w:rPr>
      </w:pPr>
      <w:bookmarkStart w:id="82" w:name="OLE_LINK34"/>
    </w:p>
    <w:bookmarkEnd w:id="82"/>
    <w:p w14:paraId="0F988A97">
      <w:pPr>
        <w:pStyle w:val="111"/>
        <w:spacing w:before="0" w:beforeLines="0" w:after="0" w:afterLines="0"/>
        <w:rPr>
          <w:rFonts w:ascii="Times New Roman"/>
        </w:rPr>
      </w:pPr>
      <w:bookmarkStart w:id="83" w:name="_Toc23408"/>
      <w:r>
        <w:rPr>
          <w:rFonts w:ascii="Times New Roman"/>
        </w:rPr>
        <w:t>生物多样性</w:t>
      </w:r>
      <w:r>
        <w:rPr>
          <w:rFonts w:hint="eastAsia" w:ascii="Times New Roman"/>
        </w:rPr>
        <w:t>价值</w:t>
      </w:r>
      <w:bookmarkEnd w:id="83"/>
    </w:p>
    <w:p w14:paraId="6A098397">
      <w:pPr>
        <w:pStyle w:val="6"/>
        <w:ind w:firstLine="420" w:firstLineChars="0"/>
        <w:rPr>
          <w:rFonts w:ascii="Times New Roman"/>
        </w:rPr>
      </w:pPr>
      <w:r>
        <w:rPr>
          <w:rFonts w:hint="eastAsia" w:ascii="Times New Roman"/>
        </w:rPr>
        <w:t>基于</w:t>
      </w:r>
      <w:r>
        <w:rPr>
          <w:rFonts w:ascii="Times New Roman"/>
        </w:rPr>
        <w:t>科学调查</w:t>
      </w:r>
      <w:r>
        <w:rPr>
          <w:rFonts w:hint="eastAsia" w:ascii="Times New Roman"/>
        </w:rPr>
        <w:t>监测、模型模拟</w:t>
      </w:r>
      <w:r>
        <w:rPr>
          <w:rFonts w:ascii="Times New Roman"/>
        </w:rPr>
        <w:t>、专家意见、传统知识佐证</w:t>
      </w:r>
      <w:r>
        <w:rPr>
          <w:rFonts w:hint="eastAsia" w:ascii="Times New Roman"/>
        </w:rPr>
        <w:t>、公民科学观测</w:t>
      </w:r>
      <w:r>
        <w:rPr>
          <w:rFonts w:ascii="Times New Roman"/>
        </w:rPr>
        <w:t>或相关名录认定，确认区域满足至少一项生物多样性</w:t>
      </w:r>
      <w:r>
        <w:rPr>
          <w:rFonts w:hint="eastAsia" w:ascii="Times New Roman"/>
        </w:rPr>
        <w:t>要素</w:t>
      </w:r>
      <w:r>
        <w:rPr>
          <w:rFonts w:ascii="Times New Roman"/>
        </w:rPr>
        <w:t>（</w:t>
      </w:r>
      <w:bookmarkStart w:id="84" w:name="OLE_LINK15"/>
      <w:r>
        <w:rPr>
          <w:rFonts w:ascii="Times New Roman"/>
        </w:rPr>
        <w:t>见</w:t>
      </w:r>
      <w:r>
        <w:rPr>
          <w:rFonts w:hint="eastAsia" w:ascii="Times New Roman"/>
        </w:rPr>
        <w:t>附录</w:t>
      </w:r>
      <w:bookmarkEnd w:id="84"/>
      <w:r>
        <w:rPr>
          <w:rFonts w:hint="eastAsia" w:ascii="Times New Roman"/>
        </w:rPr>
        <w:t>C</w:t>
      </w:r>
      <w:r>
        <w:rPr>
          <w:rFonts w:ascii="Times New Roman"/>
        </w:rPr>
        <w:t>），宜提供调查报告、研究论文、照片、录像等佐证材料。</w:t>
      </w:r>
    </w:p>
    <w:p w14:paraId="0A0A35AA">
      <w:pPr>
        <w:pStyle w:val="6"/>
        <w:ind w:firstLine="420" w:firstLineChars="0"/>
        <w:rPr>
          <w:rFonts w:ascii="Times New Roman"/>
        </w:rPr>
      </w:pPr>
      <w:bookmarkStart w:id="85" w:name="OLE_LINK28"/>
      <w:bookmarkStart w:id="86" w:name="OLE_LINK29"/>
    </w:p>
    <w:bookmarkEnd w:id="85"/>
    <w:bookmarkEnd w:id="86"/>
    <w:p w14:paraId="44B96D42">
      <w:pPr>
        <w:pStyle w:val="111"/>
        <w:spacing w:before="0" w:beforeLines="0" w:after="0" w:afterLines="0"/>
        <w:rPr>
          <w:rFonts w:ascii="Times New Roman"/>
        </w:rPr>
      </w:pPr>
      <w:bookmarkStart w:id="87" w:name="_Toc6991"/>
      <w:r>
        <w:rPr>
          <w:rFonts w:hint="eastAsia" w:ascii="Times New Roman"/>
        </w:rPr>
        <w:t>有利于保护</w:t>
      </w:r>
      <w:bookmarkStart w:id="88" w:name="OLE_LINK43"/>
      <w:bookmarkStart w:id="89" w:name="OLE_LINK45"/>
      <w:r>
        <w:rPr>
          <w:rFonts w:ascii="Times New Roman"/>
        </w:rPr>
        <w:t>的管理措施</w:t>
      </w:r>
      <w:bookmarkEnd w:id="87"/>
    </w:p>
    <w:bookmarkEnd w:id="88"/>
    <w:p w14:paraId="18A16727">
      <w:pPr>
        <w:pStyle w:val="6"/>
        <w:ind w:firstLine="420"/>
        <w:rPr>
          <w:rFonts w:ascii="Times New Roman"/>
          <w:highlight w:val="none"/>
        </w:rPr>
      </w:pPr>
      <w:r>
        <w:rPr>
          <w:rFonts w:hint="eastAsia" w:ascii="Times New Roman"/>
          <w:highlight w:val="none"/>
        </w:rPr>
        <w:t>区域采取管理措施有利于维持或提升其主要生物多样性要素，并</w:t>
      </w:r>
      <w:r>
        <w:rPr>
          <w:rFonts w:ascii="Times New Roman"/>
          <w:highlight w:val="none"/>
        </w:rPr>
        <w:t>兼顾</w:t>
      </w:r>
      <w:r>
        <w:rPr>
          <w:rFonts w:hint="eastAsia" w:ascii="Times New Roman"/>
          <w:highlight w:val="none"/>
        </w:rPr>
        <w:t>保护</w:t>
      </w:r>
      <w:r>
        <w:rPr>
          <w:rFonts w:ascii="Times New Roman"/>
          <w:highlight w:val="none"/>
        </w:rPr>
        <w:t>其他生物类群及生态要素</w:t>
      </w:r>
      <w:r>
        <w:rPr>
          <w:rFonts w:hint="eastAsia" w:ascii="Times New Roman"/>
          <w:highlight w:val="none"/>
        </w:rPr>
        <w:t>。</w:t>
      </w:r>
      <w:r>
        <w:rPr>
          <w:rFonts w:ascii="Times New Roman"/>
          <w:highlight w:val="none"/>
        </w:rPr>
        <w:t>针对</w:t>
      </w:r>
      <w:r>
        <w:rPr>
          <w:rFonts w:hint="eastAsia" w:ascii="Times New Roman"/>
          <w:highlight w:val="none"/>
        </w:rPr>
        <w:t>主要</w:t>
      </w:r>
      <w:r>
        <w:rPr>
          <w:rFonts w:ascii="Times New Roman"/>
          <w:highlight w:val="none"/>
        </w:rPr>
        <w:t>生物多样性</w:t>
      </w:r>
      <w:r>
        <w:rPr>
          <w:rStyle w:val="39"/>
          <w:rFonts w:hint="eastAsia" w:ascii="Times New Roman"/>
          <w:szCs w:val="20"/>
          <w:highlight w:val="none"/>
          <w:lang w:val="en-US" w:eastAsia="zh-CN"/>
        </w:rPr>
        <w:t>要素</w:t>
      </w:r>
      <w:r>
        <w:rPr>
          <w:rFonts w:hint="eastAsia" w:ascii="Times New Roman"/>
          <w:highlight w:val="none"/>
        </w:rPr>
        <w:t>当前及未来可能面临</w:t>
      </w:r>
      <w:r>
        <w:rPr>
          <w:rFonts w:ascii="Times New Roman"/>
          <w:highlight w:val="none"/>
        </w:rPr>
        <w:t>的主要</w:t>
      </w:r>
      <w:r>
        <w:rPr>
          <w:rFonts w:hint="eastAsia" w:ascii="Times New Roman"/>
          <w:highlight w:val="none"/>
        </w:rPr>
        <w:t>压力和</w:t>
      </w:r>
      <w:r>
        <w:rPr>
          <w:rFonts w:ascii="Times New Roman"/>
          <w:highlight w:val="none"/>
        </w:rPr>
        <w:t>威胁因素，</w:t>
      </w:r>
      <w:r>
        <w:rPr>
          <w:rFonts w:hint="eastAsia" w:ascii="Times New Roman"/>
          <w:highlight w:val="none"/>
        </w:rPr>
        <w:t>采取</w:t>
      </w:r>
      <w:r>
        <w:rPr>
          <w:rFonts w:ascii="Times New Roman"/>
          <w:highlight w:val="none"/>
        </w:rPr>
        <w:t>相应</w:t>
      </w:r>
      <w:r>
        <w:rPr>
          <w:rFonts w:hint="eastAsia" w:ascii="Times New Roman"/>
          <w:highlight w:val="none"/>
        </w:rPr>
        <w:t>管理措施，有效缓解或应对威胁，保障主要生物多样性要素的稳定存续。结合</w:t>
      </w:r>
      <w:r>
        <w:rPr>
          <w:rFonts w:ascii="Times New Roman"/>
          <w:highlight w:val="none"/>
        </w:rPr>
        <w:t>生态、农业、城镇三类空间生态本底与生产生活实际，因地制宜实施差异化</w:t>
      </w:r>
      <w:r>
        <w:rPr>
          <w:rFonts w:hint="eastAsia" w:ascii="Times New Roman"/>
          <w:highlight w:val="none"/>
        </w:rPr>
        <w:t>管理</w:t>
      </w:r>
      <w:r>
        <w:rPr>
          <w:rFonts w:ascii="Times New Roman"/>
          <w:highlight w:val="none"/>
        </w:rPr>
        <w:t>措施。</w:t>
      </w:r>
    </w:p>
    <w:bookmarkEnd w:id="89"/>
    <w:p w14:paraId="02FF0569">
      <w:pPr>
        <w:pStyle w:val="6"/>
        <w:ind w:firstLine="0" w:firstLineChars="0"/>
        <w:rPr>
          <w:rFonts w:ascii="Times New Roman"/>
        </w:rPr>
      </w:pPr>
    </w:p>
    <w:p w14:paraId="0C7F3024">
      <w:pPr>
        <w:pStyle w:val="71"/>
        <w:spacing w:before="120" w:after="120"/>
      </w:pPr>
      <w:r>
        <w:t>生态空间</w:t>
      </w:r>
    </w:p>
    <w:p w14:paraId="066681E4">
      <w:pPr>
        <w:pStyle w:val="6"/>
        <w:ind w:firstLine="420" w:firstLineChars="0"/>
        <w:rPr>
          <w:rFonts w:ascii="Times New Roman"/>
          <w:highlight w:val="none"/>
        </w:rPr>
      </w:pPr>
      <w:r>
        <w:rPr>
          <w:rFonts w:ascii="Times New Roman"/>
          <w:highlight w:val="none"/>
        </w:rPr>
        <w:t>开展日常管护、宣传教育、污染治理、灾害防治等措施，促进主要保护对象及生物多样性整体的保护。在不影响生物多样性整体保护的前提下，促进自然资源可持续管理和利用。</w:t>
      </w:r>
    </w:p>
    <w:p w14:paraId="2591C3C3">
      <w:pPr>
        <w:pStyle w:val="6"/>
        <w:ind w:firstLine="420" w:firstLineChars="0"/>
        <w:rPr>
          <w:rFonts w:ascii="Times New Roman"/>
          <w:highlight w:val="none"/>
        </w:rPr>
      </w:pPr>
      <w:bookmarkStart w:id="90" w:name="OLE_LINK27"/>
      <w:r>
        <w:rPr>
          <w:rFonts w:ascii="Times New Roman"/>
          <w:highlight w:val="none"/>
        </w:rPr>
        <w:t>特别地，开展生态修复的区域应确认在修复后已取得保护成效，有效支撑</w:t>
      </w:r>
      <w:r>
        <w:rPr>
          <w:rFonts w:hint="eastAsia" w:ascii="Times New Roman"/>
          <w:highlight w:val="none"/>
        </w:rPr>
        <w:t>区域主要生物多样性要素，</w:t>
      </w:r>
      <w:r>
        <w:rPr>
          <w:rFonts w:ascii="Times New Roman"/>
          <w:highlight w:val="none"/>
        </w:rPr>
        <w:t>并建立修复后的长效保护管理与维护机制。</w:t>
      </w:r>
    </w:p>
    <w:bookmarkEnd w:id="90"/>
    <w:p w14:paraId="640FE669">
      <w:pPr>
        <w:pStyle w:val="6"/>
        <w:ind w:firstLine="0" w:firstLineChars="0"/>
        <w:rPr>
          <w:rFonts w:ascii="Times New Roman"/>
        </w:rPr>
      </w:pPr>
    </w:p>
    <w:p w14:paraId="51072389">
      <w:pPr>
        <w:pStyle w:val="71"/>
        <w:spacing w:before="120" w:after="120"/>
      </w:pPr>
      <w:r>
        <w:t>农业空间</w:t>
      </w:r>
    </w:p>
    <w:p w14:paraId="19EB0CFF">
      <w:pPr>
        <w:pStyle w:val="6"/>
        <w:ind w:firstLine="420" w:firstLineChars="0"/>
        <w:rPr>
          <w:rFonts w:ascii="Times New Roman"/>
          <w:highlight w:val="none"/>
        </w:rPr>
      </w:pPr>
      <w:bookmarkStart w:id="91" w:name="OLE_LINK67"/>
      <w:r>
        <w:rPr>
          <w:rFonts w:ascii="Times New Roman"/>
          <w:highlight w:val="none"/>
        </w:rPr>
        <w:t>以发挥农（渔）业空间的生物多样性支撑功能</w:t>
      </w:r>
      <w:r>
        <w:rPr>
          <w:rFonts w:hint="eastAsia" w:ascii="Times New Roman"/>
          <w:highlight w:val="none"/>
        </w:rPr>
        <w:t>（含本地驯化或栽培的地方品种）</w:t>
      </w:r>
      <w:r>
        <w:rPr>
          <w:rFonts w:ascii="Times New Roman"/>
          <w:highlight w:val="none"/>
        </w:rPr>
        <w:t>、助力生物多样性</w:t>
      </w:r>
      <w:r>
        <w:rPr>
          <w:rFonts w:hint="eastAsia" w:ascii="Times New Roman"/>
          <w:highlight w:val="none"/>
        </w:rPr>
        <w:t>就地</w:t>
      </w:r>
      <w:r>
        <w:rPr>
          <w:rFonts w:ascii="Times New Roman"/>
          <w:highlight w:val="none"/>
        </w:rPr>
        <w:t>保护为导向</w:t>
      </w:r>
      <w:r>
        <w:rPr>
          <w:rFonts w:hint="eastAsia" w:ascii="Times New Roman"/>
          <w:highlight w:val="none"/>
        </w:rPr>
        <w:t>，</w:t>
      </w:r>
      <w:r>
        <w:rPr>
          <w:rFonts w:ascii="Times New Roman"/>
          <w:highlight w:val="none"/>
        </w:rPr>
        <w:t>实施针对</w:t>
      </w:r>
      <w:r>
        <w:rPr>
          <w:rFonts w:hint="eastAsia" w:ascii="Times New Roman"/>
          <w:highlight w:val="none"/>
        </w:rPr>
        <w:t>主要</w:t>
      </w:r>
      <w:r>
        <w:rPr>
          <w:rFonts w:ascii="Times New Roman"/>
          <w:highlight w:val="none"/>
        </w:rPr>
        <w:t>生物多样性</w:t>
      </w:r>
      <w:r>
        <w:rPr>
          <w:rFonts w:hint="eastAsia" w:ascii="Times New Roman"/>
          <w:highlight w:val="none"/>
        </w:rPr>
        <w:t>要素（如利用农田生境的鸟类、两栖类；本地驯化或栽培的地方品种；本土水生野生生物等）</w:t>
      </w:r>
      <w:r>
        <w:rPr>
          <w:rFonts w:ascii="Times New Roman"/>
          <w:highlight w:val="none"/>
        </w:rPr>
        <w:t>的管理措施。</w:t>
      </w:r>
    </w:p>
    <w:bookmarkEnd w:id="91"/>
    <w:p w14:paraId="695E5E63">
      <w:pPr>
        <w:pStyle w:val="6"/>
        <w:ind w:firstLine="420" w:firstLineChars="0"/>
        <w:rPr>
          <w:rFonts w:ascii="Times New Roman"/>
        </w:rPr>
      </w:pPr>
      <w:r>
        <w:rPr>
          <w:rFonts w:ascii="Times New Roman"/>
        </w:rPr>
        <w:t>在生产区域内，采用低强度、生态友好的农（渔）业实践，包括</w:t>
      </w:r>
      <w:bookmarkStart w:id="92" w:name="OLE_LINK1"/>
      <w:bookmarkStart w:id="93" w:name="OLE_LINK39"/>
      <w:r>
        <w:rPr>
          <w:rFonts w:ascii="Times New Roman"/>
        </w:rPr>
        <w:t>多样化种</w:t>
      </w:r>
      <w:bookmarkEnd w:id="92"/>
      <w:r>
        <w:rPr>
          <w:rFonts w:ascii="Times New Roman"/>
        </w:rPr>
        <w:t>植（养殖）（如间作套种、带状种植、轮作等）、复合种养、多营养层级养殖、</w:t>
      </w:r>
      <w:bookmarkEnd w:id="93"/>
      <w:r>
        <w:rPr>
          <w:rFonts w:ascii="Times New Roman"/>
        </w:rPr>
        <w:t>减少农业化肥使用、减少耕作或渔业捕捞扰动等，并采取栖息地营造、保留部分收成作为补充食源等措施满足</w:t>
      </w:r>
      <w:r>
        <w:rPr>
          <w:rFonts w:ascii="Times New Roman"/>
          <w:highlight w:val="none"/>
        </w:rPr>
        <w:t>主要保护对象</w:t>
      </w:r>
      <w:r>
        <w:rPr>
          <w:rFonts w:ascii="Times New Roman"/>
        </w:rPr>
        <w:t>（如哺乳类、鸟类、两栖类等物种）的栖息地需求。</w:t>
      </w:r>
    </w:p>
    <w:p w14:paraId="6457EE4E">
      <w:pPr>
        <w:pStyle w:val="6"/>
        <w:ind w:firstLine="420" w:firstLineChars="0"/>
        <w:rPr>
          <w:rFonts w:ascii="Times New Roman"/>
        </w:rPr>
      </w:pPr>
      <w:r>
        <w:rPr>
          <w:rFonts w:ascii="Times New Roman"/>
        </w:rPr>
        <w:t>在非生产区域内，保留一定的非作物物种的生态用地空间，营造农田内部和周边的半自然生境（如草本和木本植物覆盖的田埂、野花带、树篱、渠道边缘等），增加非作物物种多样性，营造多样化的栖息地。</w:t>
      </w:r>
    </w:p>
    <w:p w14:paraId="1C5E0739">
      <w:pPr>
        <w:pStyle w:val="6"/>
        <w:ind w:firstLine="420" w:firstLineChars="0"/>
        <w:rPr>
          <w:rFonts w:ascii="Times New Roman"/>
        </w:rPr>
      </w:pPr>
      <w:r>
        <w:rPr>
          <w:rFonts w:ascii="Times New Roman"/>
        </w:rPr>
        <w:t>在景观尺度上，通过生产区域与非生产区域、不同类型的农业系统、以及农业系统与周围自然生态系统的多样化组合，增加景观异质性，支持不同尺度的生物多样性保护。</w:t>
      </w:r>
    </w:p>
    <w:p w14:paraId="5E47C3DD">
      <w:pPr>
        <w:pStyle w:val="6"/>
        <w:ind w:firstLineChars="0"/>
        <w:rPr>
          <w:rFonts w:ascii="Times New Roman"/>
        </w:rPr>
      </w:pPr>
    </w:p>
    <w:p w14:paraId="0231CAEF">
      <w:pPr>
        <w:pStyle w:val="71"/>
        <w:spacing w:before="120" w:after="120"/>
      </w:pPr>
      <w:r>
        <w:t>城镇空间</w:t>
      </w:r>
    </w:p>
    <w:p w14:paraId="4B42D78A">
      <w:pPr>
        <w:pStyle w:val="6"/>
        <w:ind w:firstLine="420" w:firstLineChars="0"/>
        <w:rPr>
          <w:rFonts w:ascii="Times New Roman"/>
        </w:rPr>
      </w:pPr>
      <w:r>
        <w:rPr>
          <w:rFonts w:ascii="Times New Roman"/>
        </w:rPr>
        <w:t>保护或人工营造半自然生境（如构建以乡土植物为主的多层次混交、多样化的近自然植被群落、重</w:t>
      </w:r>
      <w:r>
        <w:rPr>
          <w:rFonts w:ascii="Times New Roman"/>
          <w:highlight w:val="none"/>
        </w:rPr>
        <w:t>塑自然形态水体等），采取生物多样性友好的近自然管理措施，合理管控人为干扰，满足主要保护对象</w:t>
      </w:r>
      <w:r>
        <w:rPr>
          <w:rFonts w:ascii="Times New Roman"/>
        </w:rPr>
        <w:t>（如小型兽类、鸟类、两栖爬行类等物种）的栖息地需求。</w:t>
      </w:r>
    </w:p>
    <w:p w14:paraId="5E53A31F">
      <w:pPr>
        <w:pStyle w:val="6"/>
        <w:ind w:firstLine="420" w:firstLineChars="0"/>
        <w:rPr>
          <w:rFonts w:ascii="Times New Roman"/>
        </w:rPr>
      </w:pPr>
      <w:r>
        <w:rPr>
          <w:rFonts w:ascii="Times New Roman"/>
        </w:rPr>
        <w:t>对于企业管理的区域，需要确认保护行动为企业自发开展的额外保护措施，而非为抵消自身开发活动造成的生物多样性损失。</w:t>
      </w:r>
    </w:p>
    <w:p w14:paraId="49A5D2DF">
      <w:pPr>
        <w:pStyle w:val="6"/>
        <w:ind w:firstLine="0" w:firstLineChars="0"/>
        <w:rPr>
          <w:rFonts w:ascii="Times New Roman"/>
          <w:color w:val="EE0000"/>
        </w:rPr>
      </w:pPr>
    </w:p>
    <w:p w14:paraId="7997A374">
      <w:pPr>
        <w:pStyle w:val="111"/>
        <w:spacing w:before="0" w:beforeLines="0" w:after="0" w:afterLines="0"/>
        <w:rPr>
          <w:rFonts w:ascii="Times New Roman"/>
        </w:rPr>
      </w:pPr>
      <w:bookmarkStart w:id="94" w:name="_Toc30732"/>
      <w:r>
        <w:rPr>
          <w:rFonts w:ascii="Times New Roman"/>
        </w:rPr>
        <w:t>长期保护计划</w:t>
      </w:r>
      <w:bookmarkEnd w:id="94"/>
    </w:p>
    <w:p w14:paraId="49668F4D">
      <w:pPr>
        <w:pStyle w:val="6"/>
        <w:ind w:firstLine="420"/>
        <w:rPr>
          <w:rFonts w:ascii="Times New Roman"/>
        </w:rPr>
      </w:pPr>
      <w:r>
        <w:rPr>
          <w:rFonts w:hint="eastAsia" w:ascii="Times New Roman"/>
        </w:rPr>
        <w:t>责任</w:t>
      </w:r>
      <w:bookmarkStart w:id="95" w:name="OLE_LINK22"/>
      <w:r>
        <w:rPr>
          <w:rFonts w:ascii="Times New Roman"/>
        </w:rPr>
        <w:t>主体具有明确的长期保护意愿和计划，通过法律法规、政策、规划、习惯法、村规民约、保护协议、企业章程等形式，明确长期保护要求和承诺。</w:t>
      </w:r>
    </w:p>
    <w:p w14:paraId="7E94680B">
      <w:pPr>
        <w:pStyle w:val="6"/>
        <w:ind w:firstLine="420"/>
        <w:rPr>
          <w:rFonts w:ascii="Times New Roman"/>
        </w:rPr>
      </w:pPr>
      <w:r>
        <w:rPr>
          <w:rFonts w:ascii="Times New Roman"/>
        </w:rPr>
        <w:t>若保护区域权属及相关使用权益并非永久，应明确其使用性质、使用时限，以及到期后的处置安排与续约意向。</w:t>
      </w:r>
    </w:p>
    <w:bookmarkEnd w:id="95"/>
    <w:p w14:paraId="1E685D7E">
      <w:pPr>
        <w:pStyle w:val="6"/>
        <w:ind w:firstLine="420"/>
        <w:rPr>
          <w:rFonts w:ascii="Times New Roman"/>
        </w:rPr>
      </w:pPr>
      <w:r>
        <w:rPr>
          <w:rFonts w:ascii="Times New Roman"/>
        </w:rPr>
        <w:t>长期保护承诺原则上不少于5年。因特殊情况确需调整或终止保护安排的，可重新评估或自主退出自然共生地认定，</w:t>
      </w:r>
      <w:r>
        <w:rPr>
          <w:rFonts w:hint="eastAsia" w:ascii="Times New Roman"/>
        </w:rPr>
        <w:t>宜</w:t>
      </w:r>
      <w:r>
        <w:rPr>
          <w:rFonts w:ascii="Times New Roman"/>
        </w:rPr>
        <w:t>制定后续生态保护衔接方案，尽可能避免损害生物多样性。</w:t>
      </w:r>
    </w:p>
    <w:p w14:paraId="24D7690A">
      <w:pPr>
        <w:pStyle w:val="6"/>
        <w:ind w:firstLine="420" w:firstLineChars="0"/>
        <w:rPr>
          <w:rFonts w:ascii="Times New Roman"/>
        </w:rPr>
      </w:pPr>
      <w:bookmarkStart w:id="96" w:name="OLE_LINK19"/>
      <w:r>
        <w:rPr>
          <w:rFonts w:hint="eastAsia" w:ascii="Times New Roman"/>
        </w:rPr>
        <w:t>责任</w:t>
      </w:r>
      <w:r>
        <w:rPr>
          <w:rFonts w:ascii="Times New Roman"/>
        </w:rPr>
        <w:t>主体</w:t>
      </w:r>
      <w:r>
        <w:rPr>
          <w:rFonts w:hint="eastAsia" w:ascii="Times New Roman"/>
        </w:rPr>
        <w:t>宜</w:t>
      </w:r>
      <w:r>
        <w:rPr>
          <w:rFonts w:ascii="Times New Roman"/>
        </w:rPr>
        <w:t>建立资金、人员、技术的稳定保障机制，保障生物多样性保护持续实施。</w:t>
      </w:r>
    </w:p>
    <w:bookmarkEnd w:id="96"/>
    <w:p w14:paraId="76E57C4C">
      <w:pPr>
        <w:pStyle w:val="6"/>
        <w:ind w:firstLine="0" w:firstLineChars="0"/>
        <w:rPr>
          <w:rFonts w:ascii="Times New Roman"/>
        </w:rPr>
      </w:pPr>
    </w:p>
    <w:p w14:paraId="5CDE5D61">
      <w:pPr>
        <w:pStyle w:val="111"/>
        <w:spacing w:before="0" w:beforeLines="0" w:after="0" w:afterLines="0"/>
        <w:rPr>
          <w:rFonts w:ascii="Times New Roman"/>
          <w:highlight w:val="none"/>
        </w:rPr>
      </w:pPr>
      <w:bookmarkStart w:id="97" w:name="_Toc26551"/>
      <w:r>
        <w:rPr>
          <w:rFonts w:ascii="Times New Roman"/>
          <w:highlight w:val="none"/>
        </w:rPr>
        <w:t>监测和</w:t>
      </w:r>
      <w:r>
        <w:rPr>
          <w:rFonts w:hint="eastAsia" w:ascii="Times New Roman"/>
          <w:highlight w:val="none"/>
        </w:rPr>
        <w:t>成效</w:t>
      </w:r>
      <w:r>
        <w:rPr>
          <w:rFonts w:ascii="Times New Roman"/>
          <w:highlight w:val="none"/>
        </w:rPr>
        <w:t>评估</w:t>
      </w:r>
      <w:bookmarkEnd w:id="97"/>
    </w:p>
    <w:p w14:paraId="59B1301F">
      <w:pPr>
        <w:pStyle w:val="6"/>
        <w:ind w:firstLine="420"/>
        <w:rPr>
          <w:highlight w:val="none"/>
        </w:rPr>
      </w:pPr>
      <w:bookmarkStart w:id="98" w:name="OLE_LINK70"/>
      <w:r>
        <w:rPr>
          <w:highlight w:val="none"/>
        </w:rPr>
        <w:t>具备基础调查、观测</w:t>
      </w:r>
      <w:r>
        <w:rPr>
          <w:rFonts w:hint="eastAsia"/>
          <w:highlight w:val="none"/>
        </w:rPr>
        <w:t>或</w:t>
      </w:r>
      <w:r>
        <w:rPr>
          <w:highlight w:val="none"/>
        </w:rPr>
        <w:t>监测能力</w:t>
      </w:r>
      <w:r>
        <w:rPr>
          <w:rFonts w:hint="eastAsia"/>
          <w:highlight w:val="none"/>
        </w:rPr>
        <w:t>，结合</w:t>
      </w:r>
      <w:r>
        <w:rPr>
          <w:rFonts w:ascii="Times New Roman"/>
          <w:highlight w:val="none"/>
        </w:rPr>
        <w:t>地方社区的传统生态知识、公民科学</w:t>
      </w:r>
      <w:r>
        <w:rPr>
          <w:rFonts w:hint="eastAsia" w:ascii="Times New Roman"/>
          <w:highlight w:val="none"/>
        </w:rPr>
        <w:t>观测</w:t>
      </w:r>
      <w:r>
        <w:rPr>
          <w:rFonts w:ascii="Times New Roman"/>
          <w:highlight w:val="none"/>
        </w:rPr>
        <w:t>，以及</w:t>
      </w:r>
      <w:r>
        <w:rPr>
          <w:rFonts w:hint="eastAsia" w:ascii="Times New Roman"/>
          <w:highlight w:val="none"/>
        </w:rPr>
        <w:t>红外相机、声纹、</w:t>
      </w:r>
      <w:r>
        <w:rPr>
          <w:rFonts w:ascii="Times New Roman"/>
          <w:highlight w:val="none"/>
        </w:rPr>
        <w:t>卫星遥感、无人机、环境DNA等现代化、智能化监测技术等方式</w:t>
      </w:r>
      <w:r>
        <w:rPr>
          <w:highlight w:val="none"/>
        </w:rPr>
        <w:t>，</w:t>
      </w:r>
      <w:r>
        <w:rPr>
          <w:rFonts w:hint="eastAsia"/>
          <w:highlight w:val="none"/>
        </w:rPr>
        <w:t>常态化监测区域内主要生物多样性要素的变化情况。</w:t>
      </w:r>
    </w:p>
    <w:p w14:paraId="7D9005F3">
      <w:pPr>
        <w:pStyle w:val="6"/>
        <w:ind w:firstLine="420"/>
        <w:rPr>
          <w:rFonts w:ascii="Times New Roman"/>
          <w:highlight w:val="none"/>
        </w:rPr>
      </w:pPr>
      <w:r>
        <w:rPr>
          <w:rFonts w:hint="eastAsia"/>
          <w:highlight w:val="none"/>
        </w:rPr>
        <w:t>定期评估管理措施实施效果和主要生物多样性要素的保护成效</w:t>
      </w:r>
      <w:r>
        <w:rPr>
          <w:highlight w:val="none"/>
        </w:rPr>
        <w:t>。</w:t>
      </w:r>
    </w:p>
    <w:bookmarkEnd w:id="98"/>
    <w:p w14:paraId="194142AD">
      <w:pPr>
        <w:pStyle w:val="6"/>
        <w:ind w:firstLine="0" w:firstLineChars="0"/>
        <w:rPr>
          <w:rFonts w:ascii="Times New Roman"/>
        </w:rPr>
      </w:pPr>
    </w:p>
    <w:p w14:paraId="77A7A303">
      <w:pPr>
        <w:pStyle w:val="111"/>
        <w:spacing w:before="120" w:after="120"/>
      </w:pPr>
      <w:bookmarkStart w:id="99" w:name="_Toc13889"/>
      <w:r>
        <w:t>生态系统服务、社会经济文化等多元价值</w:t>
      </w:r>
      <w:bookmarkEnd w:id="99"/>
    </w:p>
    <w:p w14:paraId="7525A4D2">
      <w:pPr>
        <w:pStyle w:val="6"/>
        <w:ind w:firstLine="420"/>
        <w:rPr>
          <w:rFonts w:ascii="Times New Roman"/>
        </w:rPr>
      </w:pPr>
      <w:r>
        <w:rPr>
          <w:rFonts w:ascii="Times New Roman"/>
        </w:rPr>
        <w:t>自然共生地除上述生物多样性保护价值外，可兼顾实现区域其他生态系统服务，以及社会、经济、文化及与当地相关的其他多元价值。</w:t>
      </w:r>
    </w:p>
    <w:p w14:paraId="4030FA82">
      <w:pPr>
        <w:pStyle w:val="6"/>
        <w:ind w:firstLine="420"/>
        <w:rPr>
          <w:rFonts w:ascii="Times New Roman"/>
        </w:rPr>
      </w:pPr>
      <w:r>
        <w:rPr>
          <w:rFonts w:ascii="Times New Roman"/>
        </w:rPr>
        <w:t>多元价值的实现应以</w:t>
      </w:r>
      <w:r>
        <w:rPr>
          <w:rFonts w:hint="eastAsia" w:ascii="Times New Roman"/>
        </w:rPr>
        <w:t>贡献于或有利于</w:t>
      </w:r>
      <w:r>
        <w:rPr>
          <w:rFonts w:ascii="Times New Roman"/>
        </w:rPr>
        <w:t>生物多样性保护为基础和前提，推动保护与多元价值兼容发展和协同提升，避免因过度开发利用影响保护成效；当不同价值目标发生冲突时，优先保障生物多样性保护的基本需求。</w:t>
      </w:r>
    </w:p>
    <w:p w14:paraId="32072E8F">
      <w:pPr>
        <w:pStyle w:val="6"/>
        <w:ind w:firstLine="0" w:firstLineChars="0"/>
        <w:rPr>
          <w:rFonts w:ascii="Times New Roman"/>
        </w:rPr>
      </w:pPr>
    </w:p>
    <w:bookmarkEnd w:id="29"/>
    <w:p w14:paraId="5891FBEA">
      <w:pPr>
        <w:pStyle w:val="204"/>
        <w:spacing w:line="240" w:lineRule="auto"/>
        <w:rPr>
          <w:rFonts w:ascii="Times New Roman" w:hAnsi="Times New Roman"/>
          <w:vanish w:val="0"/>
        </w:rPr>
      </w:pPr>
      <w:bookmarkStart w:id="100" w:name="BookMark5"/>
    </w:p>
    <w:p w14:paraId="737A2349">
      <w:pPr>
        <w:pStyle w:val="205"/>
        <w:spacing w:line="240" w:lineRule="auto"/>
        <w:rPr>
          <w:rFonts w:ascii="Times New Roman"/>
          <w:vanish w:val="0"/>
        </w:rPr>
      </w:pPr>
    </w:p>
    <w:p w14:paraId="2FA89B36">
      <w:pPr>
        <w:pStyle w:val="110"/>
        <w:spacing w:before="240" w:after="240"/>
        <w:ind w:left="0"/>
        <w:rPr>
          <w:rFonts w:ascii="Times New Roman"/>
        </w:rPr>
      </w:pPr>
      <w:bookmarkStart w:id="101" w:name="_Toc9334"/>
      <w:r>
        <w:rPr>
          <w:rFonts w:ascii="Times New Roman"/>
        </w:rPr>
        <w:t>认定与管理</w:t>
      </w:r>
      <w:r>
        <w:rPr>
          <w:rFonts w:hint="eastAsia" w:ascii="Times New Roman"/>
        </w:rPr>
        <w:t>机制</w:t>
      </w:r>
      <w:bookmarkEnd w:id="101"/>
    </w:p>
    <w:p w14:paraId="72572B79">
      <w:pPr>
        <w:pStyle w:val="111"/>
        <w:spacing w:before="120" w:after="120"/>
      </w:pPr>
      <w:bookmarkStart w:id="102" w:name="_Toc29966"/>
      <w:r>
        <w:t>总体实施要求</w:t>
      </w:r>
      <w:bookmarkEnd w:id="102"/>
    </w:p>
    <w:p w14:paraId="152BBE64">
      <w:pPr>
        <w:pStyle w:val="6"/>
        <w:ind w:firstLine="420"/>
        <w:rPr>
          <w:rFonts w:ascii="Times New Roman"/>
        </w:rPr>
      </w:pPr>
      <w:r>
        <w:rPr>
          <w:rFonts w:hint="eastAsia" w:ascii="Times New Roman"/>
        </w:rPr>
        <w:t>参照本文件开展自然共生地认定的单位宜</w:t>
      </w:r>
      <w:r>
        <w:rPr>
          <w:rFonts w:ascii="Times New Roman"/>
        </w:rPr>
        <w:t>结合地方生物多样性保护目标、国土空间规划和生态保护红线管控要求，建立包括管理办法、工作流程、</w:t>
      </w:r>
      <w:r>
        <w:rPr>
          <w:rFonts w:hint="eastAsia" w:ascii="Times New Roman"/>
        </w:rPr>
        <w:t>支持机制</w:t>
      </w:r>
      <w:r>
        <w:rPr>
          <w:rFonts w:ascii="Times New Roman"/>
        </w:rPr>
        <w:t>等于一体的实施体系，保障自然共生地认定、管</w:t>
      </w:r>
      <w:r>
        <w:rPr>
          <w:rFonts w:hint="eastAsia" w:ascii="Times New Roman"/>
        </w:rPr>
        <w:t>理</w:t>
      </w:r>
      <w:r>
        <w:rPr>
          <w:rFonts w:ascii="Times New Roman"/>
        </w:rPr>
        <w:t>、评估与退出全流程规范、可操作、可核查。</w:t>
      </w:r>
    </w:p>
    <w:p w14:paraId="4A33B880">
      <w:pPr>
        <w:pStyle w:val="111"/>
        <w:spacing w:before="0" w:beforeLines="0" w:after="0" w:afterLines="0"/>
        <w:rPr>
          <w:rFonts w:ascii="Times New Roman"/>
        </w:rPr>
      </w:pPr>
      <w:bookmarkStart w:id="103" w:name="_Toc30604"/>
      <w:r>
        <w:rPr>
          <w:rFonts w:ascii="Times New Roman"/>
        </w:rPr>
        <w:t>管理制度配套</w:t>
      </w:r>
      <w:bookmarkEnd w:id="103"/>
    </w:p>
    <w:p w14:paraId="3D39ECDA">
      <w:pPr>
        <w:pStyle w:val="6"/>
        <w:ind w:firstLine="420"/>
        <w:rPr>
          <w:rFonts w:ascii="Times New Roman"/>
        </w:rPr>
      </w:pPr>
      <w:r>
        <w:rPr>
          <w:rFonts w:ascii="Times New Roman"/>
        </w:rPr>
        <w:t>自然共生地认定管理办法</w:t>
      </w:r>
      <w:r>
        <w:rPr>
          <w:rFonts w:hint="eastAsia" w:ascii="Times New Roman"/>
        </w:rPr>
        <w:t>宜</w:t>
      </w:r>
      <w:r>
        <w:rPr>
          <w:rFonts w:ascii="Times New Roman"/>
        </w:rPr>
        <w:t>明确：a) 组织管理机制及认定机构；b) 申报、形式审查、专家评审、公示、认定、公布等程序；c) 基于常态化监测、定期评估、复核等工作的动态管理机制，包括</w:t>
      </w:r>
      <w:bookmarkStart w:id="104" w:name="OLE_LINK33"/>
      <w:r>
        <w:rPr>
          <w:rFonts w:ascii="Times New Roman"/>
        </w:rPr>
        <w:t>不再符合自然共生地认定标准后的退出及自愿退出机制</w:t>
      </w:r>
      <w:bookmarkEnd w:id="104"/>
      <w:r>
        <w:rPr>
          <w:rFonts w:ascii="Times New Roman"/>
        </w:rPr>
        <w:t>；d) 权利保障、多方参与及惠益</w:t>
      </w:r>
      <w:r>
        <w:rPr>
          <w:rFonts w:hint="eastAsia" w:ascii="Times New Roman"/>
        </w:rPr>
        <w:t>分</w:t>
      </w:r>
      <w:r>
        <w:rPr>
          <w:rFonts w:ascii="Times New Roman"/>
        </w:rPr>
        <w:t>享规则。</w:t>
      </w:r>
    </w:p>
    <w:p w14:paraId="724045AD">
      <w:pPr>
        <w:pStyle w:val="111"/>
        <w:spacing w:before="0" w:beforeLines="0" w:after="0" w:afterLines="0"/>
        <w:rPr>
          <w:rFonts w:ascii="Times New Roman"/>
        </w:rPr>
      </w:pPr>
      <w:bookmarkStart w:id="105" w:name="_Toc368"/>
      <w:r>
        <w:rPr>
          <w:rFonts w:ascii="Times New Roman"/>
        </w:rPr>
        <w:t>工作流程配套</w:t>
      </w:r>
      <w:bookmarkEnd w:id="105"/>
    </w:p>
    <w:p w14:paraId="26BDFFED">
      <w:pPr>
        <w:pStyle w:val="6"/>
        <w:ind w:firstLine="420"/>
        <w:rPr>
          <w:rFonts w:ascii="Times New Roman"/>
        </w:rPr>
      </w:pPr>
      <w:r>
        <w:rPr>
          <w:rFonts w:ascii="Times New Roman"/>
        </w:rPr>
        <w:t>宜建立全流程工作闭环：a) 制定申报指南、填报手册与标准化材料模板</w:t>
      </w:r>
      <w:r>
        <w:rPr>
          <w:rFonts w:hint="eastAsia" w:ascii="Times New Roman"/>
        </w:rPr>
        <w:t>（见附录D）</w:t>
      </w:r>
      <w:r>
        <w:rPr>
          <w:rFonts w:ascii="Times New Roman"/>
        </w:rPr>
        <w:t>；b) 建立专家委员会，开展技术评估与现场核查；c) 实行“年度监测+中期评估+定期复核”制度，定期公开发布保护成果。</w:t>
      </w:r>
    </w:p>
    <w:p w14:paraId="620FE729">
      <w:pPr>
        <w:pStyle w:val="111"/>
        <w:spacing w:before="0" w:beforeLines="0" w:after="0" w:afterLines="0"/>
        <w:rPr>
          <w:rFonts w:ascii="Times New Roman"/>
        </w:rPr>
      </w:pPr>
      <w:bookmarkStart w:id="106" w:name="_Toc9496"/>
      <w:r>
        <w:rPr>
          <w:rFonts w:ascii="Times New Roman"/>
        </w:rPr>
        <w:t>政策与激励支持</w:t>
      </w:r>
      <w:bookmarkEnd w:id="106"/>
    </w:p>
    <w:p w14:paraId="1723F55A">
      <w:pPr>
        <w:pStyle w:val="6"/>
        <w:ind w:firstLine="420"/>
        <w:rPr>
          <w:rFonts w:ascii="Times New Roman"/>
        </w:rPr>
      </w:pPr>
      <w:r>
        <w:rPr>
          <w:rFonts w:ascii="Times New Roman"/>
        </w:rPr>
        <w:t>鼓励将认定后的自然共生地纳入政策支持范围：a) 统筹生态补偿、生物多样性保护等相关资金支持；b) 支持开展生态修复、本底调查、监测能力建设；c) 鼓励发展生态旅游、生态农业、生态产品培育等绿色业态；d) 鼓励纳入林长制、河湖长制、生态环境保护考核等工作内容；e) 创新市场激励工具，结合企业环境、社会及治理（ESG）评价、可持续信息披露、绿色信贷等绿色金融机制，引导和鼓励社会资本参与和支持自然共生地。</w:t>
      </w:r>
    </w:p>
    <w:p w14:paraId="59882EEC">
      <w:pPr>
        <w:pStyle w:val="111"/>
        <w:spacing w:before="0" w:beforeLines="0" w:after="0" w:afterLines="0"/>
        <w:rPr>
          <w:rFonts w:ascii="Times New Roman"/>
        </w:rPr>
      </w:pPr>
      <w:bookmarkStart w:id="107" w:name="_Toc21972"/>
      <w:r>
        <w:rPr>
          <w:rFonts w:ascii="Times New Roman"/>
        </w:rPr>
        <w:t>多方共治与权益保障</w:t>
      </w:r>
      <w:bookmarkEnd w:id="107"/>
    </w:p>
    <w:p w14:paraId="587CFA89">
      <w:pPr>
        <w:pStyle w:val="6"/>
        <w:ind w:firstLine="420"/>
        <w:rPr>
          <w:rFonts w:ascii="Times New Roman"/>
        </w:rPr>
      </w:pPr>
      <w:r>
        <w:rPr>
          <w:rFonts w:ascii="Times New Roman"/>
        </w:rPr>
        <w:t>实施过程中应坚持多方参与、公平包容：a) 充分保障权属主体、社区与利益相关方知情同意；b) 认定不改变土地权属、不改变合法生产经营性质；c) 鼓励建立社区共管、巡护、收益共享等长效机制。</w:t>
      </w:r>
    </w:p>
    <w:p w14:paraId="4DA43BB3">
      <w:pPr>
        <w:pStyle w:val="111"/>
        <w:spacing w:before="0" w:beforeLines="0" w:after="0" w:afterLines="0"/>
        <w:rPr>
          <w:rFonts w:ascii="Times New Roman"/>
        </w:rPr>
      </w:pPr>
      <w:bookmarkStart w:id="108" w:name="_Toc4471"/>
      <w:r>
        <w:rPr>
          <w:rFonts w:hint="eastAsia" w:ascii="Times New Roman"/>
        </w:rPr>
        <w:t>信息公开</w:t>
      </w:r>
      <w:bookmarkEnd w:id="108"/>
    </w:p>
    <w:p w14:paraId="30932B61">
      <w:pPr>
        <w:pStyle w:val="6"/>
        <w:ind w:firstLine="420"/>
        <w:rPr>
          <w:rFonts w:ascii="Times New Roman"/>
        </w:rPr>
        <w:sectPr>
          <w:headerReference r:id="rId21" w:type="default"/>
          <w:footerReference r:id="rId23" w:type="default"/>
          <w:headerReference r:id="rId22" w:type="even"/>
          <w:footerReference r:id="rId24" w:type="even"/>
          <w:pgSz w:w="11906" w:h="16838"/>
          <w:pgMar w:top="2410" w:right="1134" w:bottom="1134" w:left="1134" w:header="1418" w:footer="1134" w:gutter="284"/>
          <w:cols w:space="425" w:num="1"/>
          <w:formProt w:val="0"/>
          <w:docGrid w:linePitch="312" w:charSpace="0"/>
        </w:sectPr>
      </w:pPr>
      <w:r>
        <w:rPr>
          <w:rFonts w:ascii="Times New Roman"/>
        </w:rPr>
        <w:t>认定相关信息依法主动公开，公示前完成保密审查与敏感信息脱敏，隐去个人隐私、企业商业秘密等不宜对外披露内容，公示地块基础公共信息</w:t>
      </w:r>
      <w:r>
        <w:rPr>
          <w:rStyle w:val="39"/>
          <w:rFonts w:hint="eastAsia" w:ascii="Times New Roman"/>
          <w:szCs w:val="20"/>
          <w:lang w:eastAsia="zh-CN"/>
        </w:rPr>
        <w:t>（</w:t>
      </w:r>
      <w:r>
        <w:rPr>
          <w:rFonts w:hint="eastAsia"/>
        </w:rPr>
        <w:t>例如责任主体、行政区域、面积、主要生物多样性要素</w:t>
      </w:r>
      <w:r>
        <w:rPr>
          <w:rFonts w:hint="eastAsia"/>
          <w:lang w:eastAsia="zh-CN"/>
        </w:rPr>
        <w:t>、</w:t>
      </w:r>
      <w:r>
        <w:rPr>
          <w:rFonts w:hint="eastAsia"/>
        </w:rPr>
        <w:t>主要保护管理措施、保护成效等</w:t>
      </w:r>
      <w:r>
        <w:rPr>
          <w:rStyle w:val="39"/>
          <w:rFonts w:hint="eastAsia" w:ascii="Times New Roman"/>
          <w:szCs w:val="20"/>
          <w:lang w:eastAsia="zh-CN"/>
        </w:rPr>
        <w:t>）</w:t>
      </w:r>
      <w:r>
        <w:rPr>
          <w:rFonts w:ascii="Times New Roman"/>
        </w:rPr>
        <w:t>，公示记录存档备查。</w:t>
      </w:r>
    </w:p>
    <w:p w14:paraId="18F3EA8D">
      <w:pPr>
        <w:pStyle w:val="204"/>
        <w:spacing w:line="240" w:lineRule="auto"/>
        <w:rPr>
          <w:rFonts w:ascii="Times New Roman" w:hAnsi="Times New Roman"/>
          <w:vanish w:val="0"/>
        </w:rPr>
      </w:pPr>
    </w:p>
    <w:p w14:paraId="6079F38B">
      <w:pPr>
        <w:pStyle w:val="205"/>
        <w:spacing w:line="240" w:lineRule="auto"/>
        <w:rPr>
          <w:rFonts w:ascii="Times New Roman"/>
          <w:vanish w:val="0"/>
        </w:rPr>
      </w:pPr>
    </w:p>
    <w:p w14:paraId="418110E9">
      <w:pPr>
        <w:pStyle w:val="82"/>
        <w:spacing w:before="0" w:beforeLines="0" w:after="0" w:afterLines="0"/>
        <w:rPr>
          <w:rFonts w:ascii="Times New Roman"/>
        </w:rPr>
      </w:pPr>
      <w:bookmarkStart w:id="109" w:name="_Toc21053"/>
      <w:r>
        <w:rPr>
          <w:rFonts w:ascii="Times New Roman"/>
        </w:rPr>
        <w:br w:type="textWrapping"/>
      </w:r>
      <w:r>
        <w:rPr>
          <w:rFonts w:hint="eastAsia" w:ascii="Times New Roman"/>
        </w:rPr>
        <w:t>（资料性）</w:t>
      </w:r>
      <w:r>
        <w:rPr>
          <w:rFonts w:ascii="Times New Roman"/>
        </w:rPr>
        <w:br w:type="textWrapping"/>
      </w:r>
      <w:r>
        <w:rPr>
          <w:rFonts w:hint="eastAsia" w:ascii="Times New Roman"/>
        </w:rPr>
        <w:t>自然共生地认定要求与国际准则的对比</w:t>
      </w:r>
      <w:bookmarkEnd w:id="109"/>
    </w:p>
    <w:p w14:paraId="0F728653">
      <w:pPr>
        <w:pStyle w:val="6"/>
        <w:ind w:firstLine="420"/>
      </w:pPr>
      <w:r>
        <w:t>表A.1对比了《生物多样性公约》第14/8号决议及IUCN WCPA制定的OECMs全球识别准则，与自然共生地认定要求。</w:t>
      </w:r>
    </w:p>
    <w:p w14:paraId="3797E32A">
      <w:pPr>
        <w:pStyle w:val="83"/>
        <w:numPr>
          <w:ilvl w:val="0"/>
          <w:numId w:val="0"/>
        </w:numPr>
        <w:spacing w:before="120" w:after="120"/>
      </w:pPr>
      <w:r>
        <w:rPr>
          <w:rFonts w:hint="eastAsia"/>
        </w:rPr>
        <w:t>表A.1 自然共生地认定要求与国际准则的对比</w:t>
      </w:r>
    </w:p>
    <w:tbl>
      <w:tblPr>
        <w:tblStyle w:val="32"/>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4110"/>
        <w:gridCol w:w="3686"/>
      </w:tblGrid>
      <w:tr w14:paraId="4443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Borders>
              <w:top w:val="single" w:color="auto" w:sz="4" w:space="0"/>
              <w:left w:val="single" w:color="auto" w:sz="4" w:space="0"/>
              <w:bottom w:val="single" w:color="auto" w:sz="4" w:space="0"/>
              <w:right w:val="single" w:color="auto" w:sz="4" w:space="0"/>
            </w:tcBorders>
          </w:tcPr>
          <w:p w14:paraId="58F280E6">
            <w:pPr>
              <w:pStyle w:val="6"/>
              <w:ind w:firstLine="0" w:firstLineChars="0"/>
              <w:rPr>
                <w:b/>
                <w:bCs/>
              </w:rPr>
            </w:pPr>
            <w:r>
              <w:rPr>
                <w:rFonts w:hint="eastAsia"/>
                <w:b/>
                <w:bCs/>
              </w:rPr>
              <w:t>国际准则</w:t>
            </w:r>
          </w:p>
        </w:tc>
        <w:tc>
          <w:tcPr>
            <w:tcW w:w="4110" w:type="dxa"/>
            <w:tcBorders>
              <w:top w:val="single" w:color="auto" w:sz="4" w:space="0"/>
              <w:left w:val="single" w:color="auto" w:sz="4" w:space="0"/>
              <w:bottom w:val="single" w:color="auto" w:sz="4" w:space="0"/>
              <w:right w:val="single" w:color="auto" w:sz="4" w:space="0"/>
            </w:tcBorders>
          </w:tcPr>
          <w:p w14:paraId="6A47CBB2">
            <w:pPr>
              <w:pStyle w:val="6"/>
              <w:ind w:firstLine="0" w:firstLineChars="0"/>
              <w:rPr>
                <w:b/>
                <w:bCs/>
              </w:rPr>
            </w:pPr>
            <w:r>
              <w:rPr>
                <w:rFonts w:hint="eastAsia"/>
                <w:b/>
                <w:bCs/>
              </w:rPr>
              <w:t>国际识别标准</w:t>
            </w:r>
          </w:p>
        </w:tc>
        <w:tc>
          <w:tcPr>
            <w:tcW w:w="3686" w:type="dxa"/>
            <w:tcBorders>
              <w:top w:val="single" w:color="auto" w:sz="4" w:space="0"/>
              <w:left w:val="single" w:color="auto" w:sz="4" w:space="0"/>
              <w:bottom w:val="single" w:color="auto" w:sz="4" w:space="0"/>
              <w:right w:val="single" w:color="auto" w:sz="4" w:space="0"/>
            </w:tcBorders>
          </w:tcPr>
          <w:p w14:paraId="5F5E6B31">
            <w:pPr>
              <w:pStyle w:val="6"/>
              <w:ind w:firstLine="0" w:firstLineChars="0"/>
              <w:rPr>
                <w:b/>
                <w:bCs/>
              </w:rPr>
            </w:pPr>
            <w:r>
              <w:rPr>
                <w:rFonts w:hint="eastAsia"/>
                <w:b/>
                <w:bCs/>
              </w:rPr>
              <w:t>本文件</w:t>
            </w:r>
            <w:r>
              <w:rPr>
                <w:b/>
                <w:bCs/>
              </w:rPr>
              <w:t>认定要求</w:t>
            </w:r>
          </w:p>
        </w:tc>
      </w:tr>
      <w:tr w14:paraId="2248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tcBorders>
              <w:top w:val="single" w:color="auto" w:sz="4" w:space="0"/>
              <w:left w:val="single" w:color="auto" w:sz="4" w:space="0"/>
              <w:bottom w:val="single" w:color="auto" w:sz="4" w:space="0"/>
              <w:right w:val="single" w:color="auto" w:sz="4" w:space="0"/>
            </w:tcBorders>
            <w:vAlign w:val="center"/>
          </w:tcPr>
          <w:p w14:paraId="5CC26B29">
            <w:pPr>
              <w:pStyle w:val="6"/>
              <w:ind w:firstLine="0" w:firstLineChars="0"/>
            </w:pPr>
            <w:bookmarkStart w:id="110" w:name="_Hlk234747465"/>
            <w:r>
              <w:t>区域范围</w:t>
            </w:r>
          </w:p>
        </w:tc>
        <w:tc>
          <w:tcPr>
            <w:tcW w:w="4110" w:type="dxa"/>
            <w:tcBorders>
              <w:top w:val="single" w:color="auto" w:sz="4" w:space="0"/>
              <w:left w:val="single" w:color="auto" w:sz="4" w:space="0"/>
              <w:bottom w:val="single" w:color="auto" w:sz="4" w:space="0"/>
              <w:right w:val="single" w:color="auto" w:sz="4" w:space="0"/>
            </w:tcBorders>
          </w:tcPr>
          <w:p w14:paraId="2995F51D">
            <w:pPr>
              <w:pStyle w:val="6"/>
              <w:ind w:firstLine="0" w:firstLineChars="0"/>
            </w:pPr>
            <w:r>
              <w:rPr>
                <w:rFonts w:hint="eastAsia"/>
              </w:rPr>
              <w:t>不是保护地</w:t>
            </w:r>
          </w:p>
        </w:tc>
        <w:tc>
          <w:tcPr>
            <w:tcW w:w="3686" w:type="dxa"/>
            <w:tcBorders>
              <w:top w:val="single" w:color="auto" w:sz="4" w:space="0"/>
              <w:left w:val="single" w:color="auto" w:sz="4" w:space="0"/>
              <w:bottom w:val="single" w:color="auto" w:sz="4" w:space="0"/>
              <w:right w:val="single" w:color="auto" w:sz="4" w:space="0"/>
            </w:tcBorders>
            <w:vAlign w:val="center"/>
          </w:tcPr>
          <w:p w14:paraId="78E91E9E">
            <w:pPr>
              <w:pStyle w:val="6"/>
              <w:ind w:firstLine="0" w:firstLineChars="0"/>
            </w:pPr>
            <w:r>
              <w:t>生态保护红线外</w:t>
            </w:r>
            <w:r>
              <w:rPr>
                <w:rFonts w:hint="eastAsia"/>
                <w:vertAlign w:val="superscript"/>
              </w:rPr>
              <w:t>1</w:t>
            </w:r>
          </w:p>
        </w:tc>
      </w:tr>
      <w:tr w14:paraId="06E0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Borders>
              <w:top w:val="single" w:color="auto" w:sz="4" w:space="0"/>
              <w:left w:val="single" w:color="auto" w:sz="4" w:space="0"/>
              <w:bottom w:val="single" w:color="auto" w:sz="4" w:space="0"/>
              <w:right w:val="single" w:color="auto" w:sz="4" w:space="0"/>
            </w:tcBorders>
            <w:vAlign w:val="center"/>
          </w:tcPr>
          <w:p w14:paraId="524B2F9C">
            <w:pPr>
              <w:pStyle w:val="6"/>
              <w:ind w:firstLine="0" w:firstLineChars="0"/>
            </w:pPr>
          </w:p>
        </w:tc>
        <w:tc>
          <w:tcPr>
            <w:tcW w:w="4110" w:type="dxa"/>
            <w:tcBorders>
              <w:top w:val="single" w:color="auto" w:sz="4" w:space="0"/>
              <w:left w:val="single" w:color="auto" w:sz="4" w:space="0"/>
              <w:bottom w:val="single" w:color="auto" w:sz="4" w:space="0"/>
              <w:right w:val="single" w:color="auto" w:sz="4" w:space="0"/>
            </w:tcBorders>
          </w:tcPr>
          <w:p w14:paraId="296E542E">
            <w:pPr>
              <w:pStyle w:val="6"/>
              <w:ind w:firstLine="0" w:firstLineChars="0"/>
            </w:pPr>
            <w:r>
              <w:rPr>
                <w:rFonts w:hint="eastAsia"/>
              </w:rPr>
              <w:t>划定的地理空间</w:t>
            </w:r>
          </w:p>
        </w:tc>
        <w:tc>
          <w:tcPr>
            <w:tcW w:w="3686" w:type="dxa"/>
            <w:tcBorders>
              <w:top w:val="single" w:color="auto" w:sz="4" w:space="0"/>
              <w:left w:val="single" w:color="auto" w:sz="4" w:space="0"/>
              <w:bottom w:val="single" w:color="auto" w:sz="4" w:space="0"/>
              <w:right w:val="single" w:color="auto" w:sz="4" w:space="0"/>
            </w:tcBorders>
            <w:vAlign w:val="center"/>
          </w:tcPr>
          <w:p w14:paraId="08A040C1">
            <w:pPr>
              <w:pStyle w:val="6"/>
              <w:ind w:firstLine="0" w:firstLineChars="0"/>
            </w:pPr>
            <w:r>
              <w:t>清晰的地理边界</w:t>
            </w:r>
          </w:p>
        </w:tc>
      </w:tr>
      <w:tr w14:paraId="49D8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tcBorders>
              <w:top w:val="single" w:color="auto" w:sz="4" w:space="0"/>
              <w:left w:val="single" w:color="auto" w:sz="4" w:space="0"/>
              <w:bottom w:val="single" w:color="auto" w:sz="4" w:space="0"/>
              <w:right w:val="single" w:color="auto" w:sz="4" w:space="0"/>
            </w:tcBorders>
            <w:vAlign w:val="center"/>
          </w:tcPr>
          <w:p w14:paraId="7E63F934">
            <w:pPr>
              <w:pStyle w:val="6"/>
              <w:ind w:firstLine="0" w:firstLineChars="0"/>
            </w:pPr>
            <w:r>
              <w:t>治理和管理</w:t>
            </w:r>
          </w:p>
        </w:tc>
        <w:tc>
          <w:tcPr>
            <w:tcW w:w="4110" w:type="dxa"/>
            <w:tcBorders>
              <w:top w:val="single" w:color="auto" w:sz="4" w:space="0"/>
              <w:left w:val="single" w:color="auto" w:sz="4" w:space="0"/>
              <w:bottom w:val="single" w:color="auto" w:sz="4" w:space="0"/>
              <w:right w:val="single" w:color="auto" w:sz="4" w:space="0"/>
            </w:tcBorders>
          </w:tcPr>
          <w:p w14:paraId="5C5C2B7C">
            <w:pPr>
              <w:pStyle w:val="6"/>
              <w:ind w:firstLine="0" w:firstLineChars="0"/>
            </w:pPr>
            <w:r>
              <w:rPr>
                <w:rFonts w:hint="eastAsia"/>
              </w:rPr>
              <w:t>合理治理主体</w:t>
            </w:r>
          </w:p>
        </w:tc>
        <w:tc>
          <w:tcPr>
            <w:tcW w:w="3686" w:type="dxa"/>
            <w:tcBorders>
              <w:top w:val="single" w:color="auto" w:sz="4" w:space="0"/>
              <w:left w:val="single" w:color="auto" w:sz="4" w:space="0"/>
              <w:bottom w:val="single" w:color="auto" w:sz="4" w:space="0"/>
              <w:right w:val="single" w:color="auto" w:sz="4" w:space="0"/>
            </w:tcBorders>
            <w:vAlign w:val="center"/>
          </w:tcPr>
          <w:p w14:paraId="56FD2DF4">
            <w:pPr>
              <w:pStyle w:val="6"/>
              <w:ind w:firstLine="0" w:firstLineChars="0"/>
            </w:pPr>
            <w:r>
              <w:t>明确的责任主体</w:t>
            </w:r>
          </w:p>
        </w:tc>
      </w:tr>
      <w:tr w14:paraId="5A16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Borders>
              <w:top w:val="single" w:color="auto" w:sz="4" w:space="0"/>
              <w:left w:val="single" w:color="auto" w:sz="4" w:space="0"/>
              <w:bottom w:val="single" w:color="auto" w:sz="4" w:space="0"/>
              <w:right w:val="single" w:color="auto" w:sz="4" w:space="0"/>
            </w:tcBorders>
            <w:vAlign w:val="center"/>
          </w:tcPr>
          <w:p w14:paraId="1EDB144F">
            <w:pPr>
              <w:pStyle w:val="6"/>
              <w:ind w:firstLine="0" w:firstLineChars="0"/>
            </w:pPr>
          </w:p>
        </w:tc>
        <w:tc>
          <w:tcPr>
            <w:tcW w:w="4110" w:type="dxa"/>
            <w:tcBorders>
              <w:top w:val="single" w:color="auto" w:sz="4" w:space="0"/>
              <w:left w:val="single" w:color="auto" w:sz="4" w:space="0"/>
              <w:bottom w:val="single" w:color="auto" w:sz="4" w:space="0"/>
              <w:right w:val="single" w:color="auto" w:sz="4" w:space="0"/>
            </w:tcBorders>
          </w:tcPr>
          <w:p w14:paraId="55A6EFD1">
            <w:pPr>
              <w:pStyle w:val="6"/>
              <w:ind w:firstLine="0" w:firstLineChars="0"/>
            </w:pPr>
            <w:r>
              <w:rPr>
                <w:rFonts w:hint="eastAsia"/>
              </w:rPr>
              <w:t>管理下的</w:t>
            </w:r>
          </w:p>
        </w:tc>
        <w:tc>
          <w:tcPr>
            <w:tcW w:w="3686" w:type="dxa"/>
            <w:tcBorders>
              <w:top w:val="single" w:color="auto" w:sz="4" w:space="0"/>
              <w:left w:val="single" w:color="auto" w:sz="4" w:space="0"/>
              <w:bottom w:val="single" w:color="auto" w:sz="4" w:space="0"/>
              <w:right w:val="single" w:color="auto" w:sz="4" w:space="0"/>
            </w:tcBorders>
            <w:vAlign w:val="center"/>
          </w:tcPr>
          <w:p w14:paraId="004B0BF5">
            <w:pPr>
              <w:pStyle w:val="6"/>
              <w:ind w:firstLine="0" w:firstLineChars="0"/>
            </w:pPr>
            <w:bookmarkStart w:id="111" w:name="OLE_LINK62"/>
            <w:r>
              <w:t>保护管理能力</w:t>
            </w:r>
            <w:bookmarkEnd w:id="111"/>
          </w:p>
        </w:tc>
      </w:tr>
      <w:tr w14:paraId="1E37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Borders>
              <w:top w:val="single" w:color="auto" w:sz="4" w:space="0"/>
              <w:left w:val="single" w:color="auto" w:sz="4" w:space="0"/>
              <w:bottom w:val="single" w:color="auto" w:sz="4" w:space="0"/>
              <w:right w:val="single" w:color="auto" w:sz="4" w:space="0"/>
            </w:tcBorders>
            <w:vAlign w:val="center"/>
          </w:tcPr>
          <w:p w14:paraId="27721586">
            <w:pPr>
              <w:pStyle w:val="6"/>
              <w:ind w:firstLine="0" w:firstLineChars="0"/>
            </w:pPr>
          </w:p>
        </w:tc>
        <w:tc>
          <w:tcPr>
            <w:tcW w:w="4110" w:type="dxa"/>
            <w:tcBorders>
              <w:top w:val="single" w:color="auto" w:sz="4" w:space="0"/>
              <w:left w:val="single" w:color="auto" w:sz="4" w:space="0"/>
              <w:bottom w:val="single" w:color="auto" w:sz="4" w:space="0"/>
              <w:right w:val="single" w:color="auto" w:sz="4" w:space="0"/>
            </w:tcBorders>
          </w:tcPr>
          <w:p w14:paraId="5EB08780">
            <w:pPr>
              <w:pStyle w:val="6"/>
              <w:ind w:firstLine="0" w:firstLineChars="0"/>
              <w:rPr>
                <w:vertAlign w:val="superscript"/>
              </w:rPr>
            </w:pPr>
            <w:r>
              <w:rPr>
                <w:rFonts w:hint="eastAsia"/>
              </w:rPr>
              <w:t>地方社区和相关方的自由、事先知情同意</w:t>
            </w:r>
            <w:r>
              <w:rPr>
                <w:rFonts w:hint="eastAsia"/>
                <w:vertAlign w:val="superscript"/>
              </w:rPr>
              <w:t>2</w:t>
            </w:r>
          </w:p>
        </w:tc>
        <w:tc>
          <w:tcPr>
            <w:tcW w:w="3686" w:type="dxa"/>
            <w:tcBorders>
              <w:top w:val="single" w:color="auto" w:sz="4" w:space="0"/>
              <w:left w:val="single" w:color="auto" w:sz="4" w:space="0"/>
              <w:bottom w:val="single" w:color="auto" w:sz="4" w:space="0"/>
              <w:right w:val="single" w:color="auto" w:sz="4" w:space="0"/>
            </w:tcBorders>
            <w:vAlign w:val="center"/>
          </w:tcPr>
          <w:p w14:paraId="354B20D4">
            <w:pPr>
              <w:pStyle w:val="6"/>
              <w:ind w:firstLine="0" w:firstLineChars="0"/>
            </w:pPr>
            <w:r>
              <w:t>相关方知情同意</w:t>
            </w:r>
          </w:p>
        </w:tc>
      </w:tr>
      <w:tr w14:paraId="7A19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tcBorders>
              <w:top w:val="single" w:color="auto" w:sz="4" w:space="0"/>
              <w:left w:val="single" w:color="auto" w:sz="4" w:space="0"/>
              <w:bottom w:val="single" w:color="auto" w:sz="4" w:space="0"/>
              <w:right w:val="single" w:color="auto" w:sz="4" w:space="0"/>
            </w:tcBorders>
            <w:vAlign w:val="center"/>
          </w:tcPr>
          <w:p w14:paraId="45796B80">
            <w:pPr>
              <w:pStyle w:val="6"/>
              <w:ind w:firstLine="0" w:firstLineChars="0"/>
            </w:pPr>
            <w:r>
              <w:t>生物多样性保护成效</w:t>
            </w:r>
          </w:p>
        </w:tc>
        <w:tc>
          <w:tcPr>
            <w:tcW w:w="4110" w:type="dxa"/>
            <w:tcBorders>
              <w:top w:val="single" w:color="auto" w:sz="4" w:space="0"/>
              <w:left w:val="single" w:color="auto" w:sz="4" w:space="0"/>
              <w:bottom w:val="single" w:color="auto" w:sz="4" w:space="0"/>
              <w:right w:val="single" w:color="auto" w:sz="4" w:space="0"/>
            </w:tcBorders>
          </w:tcPr>
          <w:p w14:paraId="5E1DF8CC">
            <w:pPr>
              <w:pStyle w:val="6"/>
              <w:ind w:firstLine="0" w:firstLineChars="0"/>
            </w:pPr>
            <w:r>
              <w:rPr>
                <w:rFonts w:hint="eastAsia"/>
              </w:rPr>
              <w:t>就地保护生物多样性</w:t>
            </w:r>
          </w:p>
        </w:tc>
        <w:tc>
          <w:tcPr>
            <w:tcW w:w="3686" w:type="dxa"/>
            <w:tcBorders>
              <w:top w:val="single" w:color="auto" w:sz="4" w:space="0"/>
              <w:left w:val="single" w:color="auto" w:sz="4" w:space="0"/>
              <w:bottom w:val="single" w:color="auto" w:sz="4" w:space="0"/>
              <w:right w:val="single" w:color="auto" w:sz="4" w:space="0"/>
            </w:tcBorders>
            <w:vAlign w:val="center"/>
          </w:tcPr>
          <w:p w14:paraId="3EDE8825">
            <w:pPr>
              <w:pStyle w:val="6"/>
              <w:ind w:firstLine="0" w:firstLineChars="0"/>
            </w:pPr>
            <w:r>
              <w:t>生物多样性价值</w:t>
            </w:r>
          </w:p>
        </w:tc>
      </w:tr>
      <w:tr w14:paraId="2111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Borders>
              <w:top w:val="single" w:color="auto" w:sz="4" w:space="0"/>
              <w:left w:val="single" w:color="auto" w:sz="4" w:space="0"/>
              <w:bottom w:val="single" w:color="auto" w:sz="4" w:space="0"/>
              <w:right w:val="single" w:color="auto" w:sz="4" w:space="0"/>
            </w:tcBorders>
            <w:vAlign w:val="center"/>
          </w:tcPr>
          <w:p w14:paraId="4AA8B78B">
            <w:pPr>
              <w:pStyle w:val="6"/>
              <w:ind w:firstLine="0" w:firstLineChars="0"/>
            </w:pPr>
          </w:p>
        </w:tc>
        <w:tc>
          <w:tcPr>
            <w:tcW w:w="4110" w:type="dxa"/>
            <w:tcBorders>
              <w:top w:val="single" w:color="auto" w:sz="4" w:space="0"/>
              <w:left w:val="single" w:color="auto" w:sz="4" w:space="0"/>
              <w:bottom w:val="single" w:color="auto" w:sz="4" w:space="0"/>
              <w:right w:val="single" w:color="auto" w:sz="4" w:space="0"/>
            </w:tcBorders>
          </w:tcPr>
          <w:p w14:paraId="459632C7">
            <w:pPr>
              <w:pStyle w:val="6"/>
              <w:ind w:firstLine="0" w:firstLineChars="0"/>
            </w:pPr>
            <w:r>
              <w:rPr>
                <w:rFonts w:hint="eastAsia"/>
              </w:rPr>
              <w:t>有效</w:t>
            </w:r>
          </w:p>
        </w:tc>
        <w:tc>
          <w:tcPr>
            <w:tcW w:w="3686" w:type="dxa"/>
            <w:tcBorders>
              <w:top w:val="single" w:color="auto" w:sz="4" w:space="0"/>
              <w:left w:val="single" w:color="auto" w:sz="4" w:space="0"/>
              <w:bottom w:val="single" w:color="auto" w:sz="4" w:space="0"/>
              <w:right w:val="single" w:color="auto" w:sz="4" w:space="0"/>
            </w:tcBorders>
            <w:vAlign w:val="center"/>
          </w:tcPr>
          <w:p w14:paraId="2E26C99F">
            <w:pPr>
              <w:pStyle w:val="6"/>
              <w:ind w:firstLine="0" w:firstLineChars="0"/>
            </w:pPr>
            <w:r>
              <w:t>有利于保护的管理措施</w:t>
            </w:r>
          </w:p>
        </w:tc>
      </w:tr>
      <w:tr w14:paraId="0EF7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Borders>
              <w:top w:val="single" w:color="auto" w:sz="4" w:space="0"/>
              <w:left w:val="single" w:color="auto" w:sz="4" w:space="0"/>
              <w:bottom w:val="single" w:color="auto" w:sz="4" w:space="0"/>
              <w:right w:val="single" w:color="auto" w:sz="4" w:space="0"/>
            </w:tcBorders>
            <w:vAlign w:val="center"/>
          </w:tcPr>
          <w:p w14:paraId="3BD8B3D4">
            <w:pPr>
              <w:pStyle w:val="6"/>
              <w:ind w:firstLine="0" w:firstLineChars="0"/>
            </w:pPr>
          </w:p>
        </w:tc>
        <w:tc>
          <w:tcPr>
            <w:tcW w:w="4110" w:type="dxa"/>
            <w:tcBorders>
              <w:top w:val="single" w:color="auto" w:sz="4" w:space="0"/>
              <w:left w:val="single" w:color="auto" w:sz="4" w:space="0"/>
              <w:bottom w:val="single" w:color="auto" w:sz="4" w:space="0"/>
              <w:right w:val="single" w:color="auto" w:sz="4" w:space="0"/>
            </w:tcBorders>
          </w:tcPr>
          <w:p w14:paraId="0377A868">
            <w:pPr>
              <w:pStyle w:val="6"/>
              <w:ind w:firstLine="0" w:firstLineChars="0"/>
            </w:pPr>
            <w:r>
              <w:rPr>
                <w:rFonts w:hint="eastAsia"/>
              </w:rPr>
              <w:t>持续与长期</w:t>
            </w:r>
          </w:p>
        </w:tc>
        <w:tc>
          <w:tcPr>
            <w:tcW w:w="3686" w:type="dxa"/>
            <w:tcBorders>
              <w:top w:val="single" w:color="auto" w:sz="4" w:space="0"/>
              <w:left w:val="single" w:color="auto" w:sz="4" w:space="0"/>
              <w:bottom w:val="single" w:color="auto" w:sz="4" w:space="0"/>
              <w:right w:val="single" w:color="auto" w:sz="4" w:space="0"/>
            </w:tcBorders>
            <w:vAlign w:val="center"/>
          </w:tcPr>
          <w:p w14:paraId="20844FD6">
            <w:pPr>
              <w:pStyle w:val="6"/>
              <w:ind w:firstLine="0" w:firstLineChars="0"/>
            </w:pPr>
            <w:r>
              <w:t>长期保护计划</w:t>
            </w:r>
          </w:p>
        </w:tc>
      </w:tr>
      <w:tr w14:paraId="40CC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Borders>
              <w:top w:val="single" w:color="auto" w:sz="4" w:space="0"/>
              <w:left w:val="single" w:color="auto" w:sz="4" w:space="0"/>
              <w:bottom w:val="single" w:color="auto" w:sz="4" w:space="0"/>
              <w:right w:val="single" w:color="auto" w:sz="4" w:space="0"/>
            </w:tcBorders>
            <w:vAlign w:val="center"/>
          </w:tcPr>
          <w:p w14:paraId="48BA37C5">
            <w:pPr>
              <w:pStyle w:val="6"/>
              <w:ind w:firstLine="0" w:firstLineChars="0"/>
            </w:pPr>
          </w:p>
        </w:tc>
        <w:tc>
          <w:tcPr>
            <w:tcW w:w="4110" w:type="dxa"/>
            <w:tcBorders>
              <w:top w:val="single" w:color="auto" w:sz="4" w:space="0"/>
              <w:left w:val="single" w:color="auto" w:sz="4" w:space="0"/>
              <w:bottom w:val="single" w:color="auto" w:sz="4" w:space="0"/>
              <w:right w:val="single" w:color="auto" w:sz="4" w:space="0"/>
            </w:tcBorders>
          </w:tcPr>
          <w:p w14:paraId="2AFA6E0A">
            <w:pPr>
              <w:pStyle w:val="6"/>
              <w:ind w:firstLine="0" w:firstLineChars="0"/>
            </w:pPr>
            <w:r>
              <w:rPr>
                <w:rFonts w:hint="eastAsia"/>
              </w:rPr>
              <w:t>信息和监测</w:t>
            </w:r>
          </w:p>
        </w:tc>
        <w:tc>
          <w:tcPr>
            <w:tcW w:w="3686" w:type="dxa"/>
            <w:tcBorders>
              <w:top w:val="single" w:color="auto" w:sz="4" w:space="0"/>
              <w:left w:val="single" w:color="auto" w:sz="4" w:space="0"/>
              <w:bottom w:val="single" w:color="auto" w:sz="4" w:space="0"/>
              <w:right w:val="single" w:color="auto" w:sz="4" w:space="0"/>
            </w:tcBorders>
            <w:vAlign w:val="center"/>
          </w:tcPr>
          <w:p w14:paraId="645C3791">
            <w:pPr>
              <w:pStyle w:val="6"/>
              <w:ind w:firstLine="0" w:firstLineChars="0"/>
            </w:pPr>
            <w:r>
              <w:t>监测和成效评估</w:t>
            </w:r>
          </w:p>
        </w:tc>
      </w:tr>
      <w:tr w14:paraId="16FF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tcBorders>
              <w:top w:val="single" w:color="auto" w:sz="4" w:space="0"/>
              <w:left w:val="single" w:color="auto" w:sz="4" w:space="0"/>
              <w:right w:val="single" w:color="auto" w:sz="4" w:space="0"/>
            </w:tcBorders>
            <w:vAlign w:val="center"/>
          </w:tcPr>
          <w:p w14:paraId="078454C3">
            <w:pPr>
              <w:pStyle w:val="6"/>
              <w:ind w:firstLine="0" w:firstLineChars="0"/>
            </w:pPr>
            <w:r>
              <w:t>生态系统服务和其他价值</w:t>
            </w:r>
          </w:p>
        </w:tc>
        <w:tc>
          <w:tcPr>
            <w:tcW w:w="4110" w:type="dxa"/>
            <w:tcBorders>
              <w:top w:val="single" w:color="auto" w:sz="4" w:space="0"/>
              <w:left w:val="single" w:color="auto" w:sz="4" w:space="0"/>
              <w:bottom w:val="single" w:color="auto" w:sz="4" w:space="0"/>
              <w:right w:val="single" w:color="auto" w:sz="4" w:space="0"/>
            </w:tcBorders>
          </w:tcPr>
          <w:p w14:paraId="7AB46047">
            <w:pPr>
              <w:pStyle w:val="6"/>
              <w:ind w:firstLine="0" w:firstLineChars="0"/>
            </w:pPr>
            <w:r>
              <w:rPr>
                <w:rFonts w:hint="eastAsia"/>
              </w:rPr>
              <w:t>生态系统功能和服务</w:t>
            </w:r>
          </w:p>
        </w:tc>
        <w:tc>
          <w:tcPr>
            <w:tcW w:w="3686" w:type="dxa"/>
            <w:vMerge w:val="restart"/>
            <w:tcBorders>
              <w:top w:val="single" w:color="auto" w:sz="4" w:space="0"/>
              <w:left w:val="single" w:color="auto" w:sz="4" w:space="0"/>
              <w:right w:val="single" w:color="auto" w:sz="4" w:space="0"/>
            </w:tcBorders>
            <w:vAlign w:val="center"/>
          </w:tcPr>
          <w:p w14:paraId="74DE80C5">
            <w:pPr>
              <w:pStyle w:val="6"/>
              <w:ind w:firstLine="0" w:firstLineChars="0"/>
            </w:pPr>
            <w:r>
              <w:t>生态系统服务和社会经济文化多元价值</w:t>
            </w:r>
          </w:p>
        </w:tc>
      </w:tr>
      <w:tr w14:paraId="48BC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Borders>
              <w:left w:val="single" w:color="auto" w:sz="4" w:space="0"/>
              <w:bottom w:val="single" w:color="auto" w:sz="4" w:space="0"/>
              <w:right w:val="single" w:color="auto" w:sz="4" w:space="0"/>
            </w:tcBorders>
            <w:vAlign w:val="center"/>
          </w:tcPr>
          <w:p w14:paraId="506AA9DD">
            <w:pPr>
              <w:pStyle w:val="6"/>
              <w:ind w:firstLine="0" w:firstLineChars="0"/>
            </w:pPr>
          </w:p>
        </w:tc>
        <w:tc>
          <w:tcPr>
            <w:tcW w:w="4110" w:type="dxa"/>
            <w:tcBorders>
              <w:top w:val="single" w:color="auto" w:sz="4" w:space="0"/>
              <w:left w:val="single" w:color="auto" w:sz="4" w:space="0"/>
              <w:bottom w:val="single" w:color="auto" w:sz="4" w:space="0"/>
              <w:right w:val="single" w:color="auto" w:sz="4" w:space="0"/>
            </w:tcBorders>
          </w:tcPr>
          <w:p w14:paraId="27036EBC">
            <w:pPr>
              <w:pStyle w:val="6"/>
              <w:ind w:firstLine="0" w:firstLineChars="0"/>
            </w:pPr>
            <w:r>
              <w:t>文化、精神、社会经济及其他与当地有关的价值</w:t>
            </w:r>
          </w:p>
        </w:tc>
        <w:tc>
          <w:tcPr>
            <w:tcW w:w="3686" w:type="dxa"/>
            <w:vMerge w:val="continue"/>
            <w:tcBorders>
              <w:left w:val="single" w:color="auto" w:sz="4" w:space="0"/>
              <w:bottom w:val="single" w:color="auto" w:sz="4" w:space="0"/>
              <w:right w:val="single" w:color="auto" w:sz="4" w:space="0"/>
            </w:tcBorders>
            <w:vAlign w:val="center"/>
          </w:tcPr>
          <w:p w14:paraId="49BBE7E8">
            <w:pPr>
              <w:pStyle w:val="6"/>
              <w:ind w:firstLine="0" w:firstLineChars="0"/>
            </w:pPr>
          </w:p>
        </w:tc>
      </w:tr>
      <w:bookmarkEnd w:id="110"/>
    </w:tbl>
    <w:p w14:paraId="026CACE1">
      <w:pPr>
        <w:pStyle w:val="6"/>
        <w:ind w:firstLine="360"/>
        <w:rPr>
          <w:sz w:val="18"/>
          <w:szCs w:val="16"/>
        </w:rPr>
      </w:pPr>
      <w:r>
        <w:rPr>
          <w:rFonts w:hint="eastAsia"/>
          <w:sz w:val="18"/>
          <w:szCs w:val="16"/>
          <w:vertAlign w:val="superscript"/>
        </w:rPr>
        <w:t>1</w:t>
      </w:r>
      <w:r>
        <w:rPr>
          <w:rFonts w:hint="eastAsia"/>
          <w:sz w:val="18"/>
          <w:szCs w:val="16"/>
        </w:rPr>
        <w:t>本文件适用范围限定于生态保护红线以外。</w:t>
      </w:r>
    </w:p>
    <w:p w14:paraId="1E30E98A">
      <w:pPr>
        <w:pStyle w:val="6"/>
        <w:ind w:firstLine="360"/>
        <w:rPr>
          <w:sz w:val="18"/>
          <w:szCs w:val="16"/>
        </w:rPr>
      </w:pPr>
      <w:r>
        <w:rPr>
          <w:rFonts w:hint="eastAsia"/>
          <w:sz w:val="18"/>
          <w:szCs w:val="16"/>
          <w:vertAlign w:val="superscript"/>
        </w:rPr>
        <w:t>2</w:t>
      </w:r>
      <w:r>
        <w:rPr>
          <w:rFonts w:hint="eastAsia"/>
          <w:sz w:val="18"/>
          <w:szCs w:val="16"/>
        </w:rPr>
        <w:t>虽未纳入识别标准，但作为有效和公平管理模式的关键要素列出。</w:t>
      </w:r>
    </w:p>
    <w:p w14:paraId="557C16A5">
      <w:pPr>
        <w:widowControl/>
        <w:adjustRightInd/>
        <w:spacing w:line="240" w:lineRule="auto"/>
        <w:jc w:val="left"/>
        <w:rPr>
          <w:rFonts w:ascii="宋体" w:hAnsi="Times New Roman"/>
          <w:kern w:val="0"/>
          <w:szCs w:val="20"/>
        </w:rPr>
      </w:pPr>
      <w:r>
        <w:br w:type="page"/>
      </w:r>
    </w:p>
    <w:p w14:paraId="147D9BAD">
      <w:pPr>
        <w:pStyle w:val="82"/>
        <w:spacing w:before="0" w:beforeLines="0" w:after="0" w:afterLines="0"/>
        <w:rPr>
          <w:rFonts w:ascii="Times New Roman"/>
        </w:rPr>
      </w:pPr>
      <w:bookmarkStart w:id="112" w:name="_Toc23884"/>
      <w:r>
        <w:rPr>
          <w:rFonts w:ascii="Times New Roman"/>
        </w:rPr>
        <w:br w:type="textWrapping"/>
      </w:r>
      <w:r>
        <w:rPr>
          <w:rFonts w:ascii="Times New Roman"/>
        </w:rPr>
        <w:t>（资料性）</w:t>
      </w:r>
      <w:r>
        <w:rPr>
          <w:rFonts w:ascii="Times New Roman"/>
        </w:rPr>
        <w:br w:type="textWrapping"/>
      </w:r>
      <w:r>
        <w:rPr>
          <w:rFonts w:hint="eastAsia" w:ascii="Times New Roman"/>
        </w:rPr>
        <w:t>自然共生地认定适用和不适用区域举例</w:t>
      </w:r>
      <w:bookmarkEnd w:id="112"/>
    </w:p>
    <w:p w14:paraId="31C9E642">
      <w:pPr>
        <w:pStyle w:val="6"/>
        <w:ind w:firstLine="420"/>
      </w:pPr>
    </w:p>
    <w:p w14:paraId="29934479">
      <w:pPr>
        <w:pStyle w:val="6"/>
        <w:ind w:firstLine="420"/>
      </w:pPr>
      <w:bookmarkStart w:id="113" w:name="OLE_LINK9"/>
      <w:r>
        <w:rPr>
          <w:rFonts w:hint="eastAsia"/>
        </w:rPr>
        <w:t>表 B.1列举了自然共生地适用区域（非生态保护红线部分），亦存在其他潜在适用区域。</w:t>
      </w:r>
      <w:r>
        <w:t>各类区域应结合自然共生地认定</w:t>
      </w:r>
      <w:r>
        <w:rPr>
          <w:rFonts w:hint="eastAsia"/>
        </w:rPr>
        <w:t>要求进行</w:t>
      </w:r>
      <w:r>
        <w:t>综合判定。</w:t>
      </w:r>
    </w:p>
    <w:p w14:paraId="11B6AF46">
      <w:pPr>
        <w:pStyle w:val="83"/>
        <w:spacing w:before="120" w:after="120"/>
      </w:pPr>
      <w:bookmarkStart w:id="114" w:name="_Hlk228952484"/>
      <w:r>
        <w:rPr>
          <w:rFonts w:hint="eastAsia"/>
        </w:rPr>
        <w:t>自然共生地认定适用区域举例</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24"/>
        <w:gridCol w:w="4536"/>
        <w:gridCol w:w="3674"/>
      </w:tblGrid>
      <w:tr w14:paraId="684F04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24" w:type="dxa"/>
            <w:tcBorders>
              <w:top w:val="single" w:color="auto" w:sz="8" w:space="0"/>
              <w:left w:val="single" w:color="auto" w:sz="8" w:space="0"/>
              <w:bottom w:val="single" w:color="auto" w:sz="8" w:space="0"/>
            </w:tcBorders>
          </w:tcPr>
          <w:p w14:paraId="286ED7B0">
            <w:pPr>
              <w:pStyle w:val="184"/>
              <w:rPr>
                <w:rFonts w:hint="eastAsia" w:hAnsi="宋体"/>
                <w:sz w:val="21"/>
                <w:szCs w:val="21"/>
              </w:rPr>
            </w:pPr>
            <w:r>
              <w:rPr>
                <w:rFonts w:hint="eastAsia" w:hAnsi="宋体"/>
                <w:sz w:val="21"/>
                <w:szCs w:val="21"/>
              </w:rPr>
              <w:t>区域类型</w:t>
            </w:r>
          </w:p>
        </w:tc>
        <w:tc>
          <w:tcPr>
            <w:tcW w:w="4536" w:type="dxa"/>
            <w:tcBorders>
              <w:top w:val="single" w:color="auto" w:sz="8" w:space="0"/>
              <w:bottom w:val="single" w:color="auto" w:sz="8" w:space="0"/>
            </w:tcBorders>
          </w:tcPr>
          <w:p w14:paraId="3F554AD0">
            <w:pPr>
              <w:pStyle w:val="184"/>
              <w:rPr>
                <w:rFonts w:hint="eastAsia" w:hAnsi="宋体"/>
                <w:sz w:val="21"/>
                <w:szCs w:val="21"/>
              </w:rPr>
            </w:pPr>
            <w:r>
              <w:rPr>
                <w:rFonts w:hint="eastAsia" w:hAnsi="宋体"/>
                <w:sz w:val="21"/>
                <w:szCs w:val="21"/>
              </w:rPr>
              <w:t>定义</w:t>
            </w:r>
          </w:p>
        </w:tc>
        <w:tc>
          <w:tcPr>
            <w:tcW w:w="3674" w:type="dxa"/>
            <w:tcBorders>
              <w:top w:val="single" w:color="auto" w:sz="8" w:space="0"/>
              <w:bottom w:val="single" w:color="auto" w:sz="8" w:space="0"/>
              <w:right w:val="single" w:color="auto" w:sz="8" w:space="0"/>
            </w:tcBorders>
          </w:tcPr>
          <w:p w14:paraId="4623D92A">
            <w:pPr>
              <w:pStyle w:val="184"/>
              <w:rPr>
                <w:rFonts w:hint="eastAsia" w:hAnsi="宋体"/>
                <w:sz w:val="21"/>
                <w:szCs w:val="21"/>
              </w:rPr>
            </w:pPr>
            <w:r>
              <w:rPr>
                <w:rFonts w:hint="eastAsia" w:hAnsi="宋体"/>
                <w:sz w:val="21"/>
                <w:szCs w:val="21"/>
              </w:rPr>
              <w:t>相关政策、规划或标准</w:t>
            </w:r>
          </w:p>
        </w:tc>
      </w:tr>
      <w:tr w14:paraId="2C289A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Borders>
              <w:bottom w:val="single" w:color="auto" w:sz="4" w:space="0"/>
            </w:tcBorders>
            <w:vAlign w:val="center"/>
          </w:tcPr>
          <w:p w14:paraId="3A72B085">
            <w:pPr>
              <w:pStyle w:val="184"/>
              <w:rPr>
                <w:rFonts w:hint="eastAsia" w:hAnsi="宋体"/>
                <w:sz w:val="21"/>
                <w:szCs w:val="21"/>
              </w:rPr>
            </w:pPr>
            <w:r>
              <w:rPr>
                <w:rFonts w:hint="eastAsia" w:hAnsi="宋体"/>
                <w:sz w:val="21"/>
                <w:szCs w:val="21"/>
              </w:rPr>
              <w:t>野生动物重要栖息地</w:t>
            </w:r>
          </w:p>
        </w:tc>
        <w:tc>
          <w:tcPr>
            <w:tcW w:w="4536" w:type="dxa"/>
            <w:tcBorders>
              <w:bottom w:val="single" w:color="auto" w:sz="4" w:space="0"/>
            </w:tcBorders>
            <w:vAlign w:val="center"/>
          </w:tcPr>
          <w:p w14:paraId="5CEAB216">
            <w:pPr>
              <w:pStyle w:val="184"/>
              <w:jc w:val="left"/>
              <w:rPr>
                <w:rFonts w:hint="eastAsia" w:hAnsi="宋体"/>
                <w:sz w:val="21"/>
                <w:szCs w:val="21"/>
              </w:rPr>
            </w:pPr>
            <w:r>
              <w:rPr>
                <w:rFonts w:hint="eastAsia" w:hAnsi="宋体"/>
                <w:sz w:val="21"/>
                <w:szCs w:val="21"/>
              </w:rPr>
              <w:t>国家保护的和各省重点保护的野生动物种群集中分布、栖居繁衍的区域，野生动物季节性迁徙过程中相对稳定的停歇地、迁徙通道和生态廊道，以及具有明确边界能进行长期保护管理的生境。</w:t>
            </w:r>
          </w:p>
        </w:tc>
        <w:tc>
          <w:tcPr>
            <w:tcW w:w="3674" w:type="dxa"/>
            <w:tcBorders>
              <w:bottom w:val="single" w:color="auto" w:sz="4" w:space="0"/>
            </w:tcBorders>
            <w:vAlign w:val="center"/>
          </w:tcPr>
          <w:p w14:paraId="32BED2AE">
            <w:pPr>
              <w:pStyle w:val="6"/>
              <w:ind w:firstLine="0" w:firstLineChars="0"/>
              <w:jc w:val="left"/>
              <w:rPr>
                <w:rFonts w:hint="eastAsia" w:hAnsi="宋体"/>
                <w:szCs w:val="21"/>
              </w:rPr>
            </w:pPr>
            <w:r>
              <w:rPr>
                <w:rFonts w:hint="eastAsia" w:hAnsi="宋体"/>
                <w:szCs w:val="21"/>
              </w:rPr>
              <w:t>《野生动物保护法》</w:t>
            </w:r>
          </w:p>
          <w:p w14:paraId="5DA52B23">
            <w:pPr>
              <w:pStyle w:val="6"/>
              <w:ind w:firstLine="0" w:firstLineChars="0"/>
              <w:jc w:val="left"/>
              <w:rPr>
                <w:rFonts w:hint="eastAsia" w:hAnsi="宋体"/>
                <w:szCs w:val="21"/>
              </w:rPr>
            </w:pPr>
            <w:r>
              <w:rPr>
                <w:rFonts w:hint="eastAsia" w:hAnsi="宋体"/>
                <w:szCs w:val="21"/>
              </w:rPr>
              <w:t>《陆生野生动物重要栖息地认定暂行办法》</w:t>
            </w:r>
          </w:p>
          <w:p w14:paraId="2474B3F6">
            <w:pPr>
              <w:pStyle w:val="184"/>
              <w:jc w:val="left"/>
              <w:rPr>
                <w:rFonts w:hint="eastAsia" w:hAnsi="宋体"/>
                <w:sz w:val="21"/>
                <w:szCs w:val="21"/>
              </w:rPr>
            </w:pPr>
            <w:r>
              <w:rPr>
                <w:rFonts w:hint="eastAsia" w:hAnsi="宋体"/>
                <w:sz w:val="21"/>
                <w:szCs w:val="21"/>
              </w:rPr>
              <w:t>《全国野生动植物保护工程建设方案 （2023—2030 年）》</w:t>
            </w:r>
          </w:p>
        </w:tc>
      </w:tr>
      <w:bookmarkEnd w:id="113"/>
      <w:tr w14:paraId="4744EE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Borders>
              <w:bottom w:val="single" w:color="auto" w:sz="4" w:space="0"/>
            </w:tcBorders>
            <w:vAlign w:val="center"/>
          </w:tcPr>
          <w:p w14:paraId="2CBAA69E">
            <w:pPr>
              <w:pStyle w:val="184"/>
              <w:rPr>
                <w:rFonts w:hint="eastAsia" w:hAnsi="宋体"/>
                <w:sz w:val="21"/>
                <w:szCs w:val="21"/>
              </w:rPr>
            </w:pPr>
            <w:r>
              <w:rPr>
                <w:rFonts w:hint="eastAsia" w:hAnsi="宋体"/>
                <w:sz w:val="21"/>
                <w:szCs w:val="21"/>
              </w:rPr>
              <w:t>野生植物原生境保护区（点）</w:t>
            </w:r>
          </w:p>
        </w:tc>
        <w:tc>
          <w:tcPr>
            <w:tcW w:w="4536" w:type="dxa"/>
            <w:tcBorders>
              <w:bottom w:val="single" w:color="auto" w:sz="4" w:space="0"/>
            </w:tcBorders>
            <w:vAlign w:val="center"/>
          </w:tcPr>
          <w:p w14:paraId="0F96B7A5">
            <w:pPr>
              <w:pStyle w:val="184"/>
              <w:jc w:val="left"/>
              <w:rPr>
                <w:rFonts w:hint="eastAsia" w:hAnsi="宋体"/>
                <w:sz w:val="21"/>
                <w:szCs w:val="21"/>
              </w:rPr>
            </w:pPr>
            <w:r>
              <w:rPr>
                <w:rFonts w:hint="eastAsia" w:hAnsi="宋体"/>
                <w:sz w:val="21"/>
                <w:szCs w:val="21"/>
              </w:rPr>
              <w:t>在重点保护野生植物、珍稀濒危野生植物、重要经济植物、农作物野生近缘种植物的天然集中分布区域，依法划定并建立的保护区（点）。</w:t>
            </w:r>
          </w:p>
          <w:p w14:paraId="240FE9EB">
            <w:pPr>
              <w:pStyle w:val="184"/>
              <w:jc w:val="left"/>
              <w:rPr>
                <w:rFonts w:hint="eastAsia" w:hAnsi="宋体"/>
                <w:sz w:val="21"/>
                <w:szCs w:val="21"/>
              </w:rPr>
            </w:pPr>
            <w:r>
              <w:rPr>
                <w:rFonts w:hint="eastAsia" w:hAnsi="宋体"/>
                <w:sz w:val="21"/>
                <w:szCs w:val="21"/>
              </w:rPr>
              <w:t>注：</w:t>
            </w:r>
            <w:r>
              <w:rPr>
                <w:rFonts w:hAnsi="宋体"/>
                <w:sz w:val="21"/>
                <w:szCs w:val="21"/>
              </w:rPr>
              <w:t>极小种群物种分布栖息地</w:t>
            </w:r>
            <w:r>
              <w:rPr>
                <w:rFonts w:hint="eastAsia" w:hAnsi="宋体"/>
                <w:sz w:val="21"/>
                <w:szCs w:val="21"/>
              </w:rPr>
              <w:t>划入生态保护红线</w:t>
            </w:r>
            <w:r>
              <w:rPr>
                <w:rFonts w:hAnsi="宋体"/>
                <w:sz w:val="21"/>
                <w:szCs w:val="21"/>
              </w:rPr>
              <w:t>。</w:t>
            </w:r>
          </w:p>
        </w:tc>
        <w:tc>
          <w:tcPr>
            <w:tcW w:w="3674" w:type="dxa"/>
            <w:tcBorders>
              <w:bottom w:val="single" w:color="auto" w:sz="4" w:space="0"/>
            </w:tcBorders>
            <w:vAlign w:val="center"/>
          </w:tcPr>
          <w:p w14:paraId="118D9FF6">
            <w:pPr>
              <w:pStyle w:val="6"/>
              <w:ind w:firstLine="0" w:firstLineChars="0"/>
              <w:jc w:val="left"/>
              <w:rPr>
                <w:rFonts w:hint="eastAsia" w:hAnsi="宋体"/>
                <w:szCs w:val="21"/>
              </w:rPr>
            </w:pPr>
            <w:r>
              <w:rPr>
                <w:rFonts w:hint="eastAsia" w:hAnsi="宋体"/>
                <w:szCs w:val="21"/>
              </w:rPr>
              <w:t>《野生植物保护条例》</w:t>
            </w:r>
          </w:p>
          <w:p w14:paraId="013E4DB4">
            <w:pPr>
              <w:pStyle w:val="6"/>
              <w:ind w:firstLine="0" w:firstLineChars="0"/>
              <w:jc w:val="left"/>
              <w:rPr>
                <w:rFonts w:hint="eastAsia" w:hAnsi="宋体"/>
                <w:szCs w:val="21"/>
              </w:rPr>
            </w:pPr>
            <w:r>
              <w:rPr>
                <w:rFonts w:hint="eastAsia" w:hAnsi="宋体"/>
                <w:szCs w:val="21"/>
              </w:rPr>
              <w:t>《全国野生动植物保护工程建设方案 （2023—2030 年）》</w:t>
            </w:r>
          </w:p>
          <w:p w14:paraId="4E37A1BF">
            <w:pPr>
              <w:pStyle w:val="184"/>
              <w:jc w:val="left"/>
              <w:rPr>
                <w:rFonts w:hint="eastAsia" w:hAnsi="宋体"/>
                <w:sz w:val="21"/>
                <w:szCs w:val="21"/>
              </w:rPr>
            </w:pPr>
            <w:r>
              <w:rPr>
                <w:rFonts w:hint="eastAsia" w:hAnsi="宋体"/>
                <w:sz w:val="21"/>
                <w:szCs w:val="21"/>
              </w:rPr>
              <w:t>《“十四五”全国极小种群野生植物拯救保护建设方案》</w:t>
            </w:r>
          </w:p>
        </w:tc>
      </w:tr>
      <w:tr w14:paraId="1F0809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Borders>
              <w:bottom w:val="single" w:color="auto" w:sz="4" w:space="0"/>
            </w:tcBorders>
            <w:vAlign w:val="center"/>
          </w:tcPr>
          <w:p w14:paraId="3A7BF9A8">
            <w:pPr>
              <w:pStyle w:val="184"/>
              <w:rPr>
                <w:rFonts w:hint="eastAsia" w:hAnsi="宋体"/>
                <w:sz w:val="21"/>
                <w:szCs w:val="21"/>
              </w:rPr>
            </w:pPr>
            <w:r>
              <w:rPr>
                <w:rFonts w:hint="eastAsia" w:hAnsi="宋体"/>
                <w:sz w:val="21"/>
                <w:szCs w:val="21"/>
              </w:rPr>
              <w:t>候鸟迁飞通道关键栖息地</w:t>
            </w:r>
          </w:p>
        </w:tc>
        <w:tc>
          <w:tcPr>
            <w:tcW w:w="4536" w:type="dxa"/>
            <w:tcBorders>
              <w:bottom w:val="single" w:color="auto" w:sz="4" w:space="0"/>
            </w:tcBorders>
            <w:vAlign w:val="center"/>
          </w:tcPr>
          <w:p w14:paraId="412579FF">
            <w:pPr>
              <w:pStyle w:val="184"/>
              <w:jc w:val="left"/>
              <w:rPr>
                <w:rFonts w:hint="eastAsia" w:hAnsi="宋体"/>
                <w:sz w:val="21"/>
                <w:szCs w:val="21"/>
              </w:rPr>
            </w:pPr>
            <w:r>
              <w:rPr>
                <w:rFonts w:hint="eastAsia" w:hAnsi="宋体"/>
                <w:sz w:val="21"/>
                <w:szCs w:val="21"/>
              </w:rPr>
              <w:t>鸟类繁殖、迁徙和越冬的栖息生境或栖息地,也包括迁徙时集中经过的特殊地理位置，如山谷、垭口等。</w:t>
            </w:r>
          </w:p>
        </w:tc>
        <w:tc>
          <w:tcPr>
            <w:tcW w:w="3674" w:type="dxa"/>
            <w:tcBorders>
              <w:bottom w:val="single" w:color="auto" w:sz="4" w:space="0"/>
            </w:tcBorders>
            <w:vAlign w:val="center"/>
          </w:tcPr>
          <w:p w14:paraId="55C60EEA">
            <w:pPr>
              <w:pStyle w:val="6"/>
              <w:ind w:firstLine="0" w:firstLineChars="0"/>
              <w:jc w:val="left"/>
              <w:rPr>
                <w:rFonts w:hint="eastAsia" w:hAnsi="宋体"/>
                <w:szCs w:val="21"/>
              </w:rPr>
            </w:pPr>
            <w:r>
              <w:rPr>
                <w:rFonts w:hint="eastAsia" w:hAnsi="宋体"/>
                <w:szCs w:val="21"/>
              </w:rPr>
              <w:t>《全国鸟类迁徙通道保护行动方案（2021—2035年）》</w:t>
            </w:r>
          </w:p>
          <w:p w14:paraId="2A371AB3">
            <w:pPr>
              <w:pStyle w:val="184"/>
              <w:jc w:val="left"/>
              <w:rPr>
                <w:rFonts w:hint="eastAsia" w:hAnsi="宋体"/>
                <w:sz w:val="21"/>
                <w:szCs w:val="21"/>
              </w:rPr>
            </w:pPr>
            <w:r>
              <w:rPr>
                <w:rFonts w:hint="eastAsia" w:hAnsi="宋体"/>
                <w:sz w:val="21"/>
                <w:szCs w:val="21"/>
              </w:rPr>
              <w:t>《候鸟迁飞通道保护修复中国行动计划（2024—2030年）》</w:t>
            </w:r>
          </w:p>
        </w:tc>
      </w:tr>
      <w:tr w14:paraId="4AFC1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Borders>
              <w:bottom w:val="single" w:color="auto" w:sz="4" w:space="0"/>
            </w:tcBorders>
            <w:vAlign w:val="center"/>
          </w:tcPr>
          <w:p w14:paraId="12702089">
            <w:pPr>
              <w:pStyle w:val="184"/>
              <w:rPr>
                <w:rFonts w:hint="eastAsia" w:hAnsi="宋体"/>
                <w:sz w:val="21"/>
                <w:szCs w:val="21"/>
              </w:rPr>
            </w:pPr>
            <w:r>
              <w:rPr>
                <w:rFonts w:hint="eastAsia" w:hAnsi="宋体"/>
                <w:sz w:val="21"/>
                <w:szCs w:val="21"/>
              </w:rPr>
              <w:t>生态公益林</w:t>
            </w:r>
          </w:p>
        </w:tc>
        <w:tc>
          <w:tcPr>
            <w:tcW w:w="4536" w:type="dxa"/>
            <w:tcBorders>
              <w:bottom w:val="single" w:color="auto" w:sz="4" w:space="0"/>
            </w:tcBorders>
            <w:vAlign w:val="center"/>
          </w:tcPr>
          <w:p w14:paraId="729CDDCA">
            <w:pPr>
              <w:pStyle w:val="184"/>
              <w:jc w:val="left"/>
              <w:rPr>
                <w:rFonts w:hint="eastAsia" w:hAnsi="宋体"/>
                <w:sz w:val="21"/>
                <w:szCs w:val="21"/>
              </w:rPr>
            </w:pPr>
            <w:r>
              <w:rPr>
                <w:rFonts w:hint="eastAsia" w:hAnsi="宋体"/>
                <w:sz w:val="21"/>
                <w:szCs w:val="21"/>
              </w:rPr>
              <w:t>为维护和改善生态环境，保持生态平衡，保护生物多样性等满足人类社会的生态、社会需求和可持续发展为主体功能，主要提供公益性、社会性产品或服务的森林、林木、林地。</w:t>
            </w:r>
          </w:p>
          <w:p w14:paraId="06F58D2A">
            <w:pPr>
              <w:pStyle w:val="184"/>
              <w:jc w:val="left"/>
              <w:rPr>
                <w:rFonts w:hint="eastAsia" w:hAnsi="宋体"/>
                <w:sz w:val="21"/>
                <w:szCs w:val="21"/>
              </w:rPr>
            </w:pPr>
            <w:r>
              <w:rPr>
                <w:rFonts w:hint="eastAsia" w:hAnsi="宋体"/>
                <w:sz w:val="21"/>
                <w:szCs w:val="21"/>
              </w:rPr>
              <w:t>注：</w:t>
            </w:r>
            <w:bookmarkStart w:id="115" w:name="OLE_LINK7"/>
            <w:r>
              <w:rPr>
                <w:rFonts w:hint="eastAsia" w:hAnsi="宋体"/>
                <w:sz w:val="21"/>
                <w:szCs w:val="21"/>
              </w:rPr>
              <w:t>绝大多数</w:t>
            </w:r>
            <w:bookmarkEnd w:id="115"/>
            <w:r>
              <w:rPr>
                <w:rFonts w:hint="eastAsia" w:hAnsi="宋体"/>
                <w:sz w:val="21"/>
                <w:szCs w:val="21"/>
              </w:rPr>
              <w:t>一级国家级公益林划入生态保护红线。</w:t>
            </w:r>
          </w:p>
        </w:tc>
        <w:tc>
          <w:tcPr>
            <w:tcW w:w="3674" w:type="dxa"/>
            <w:tcBorders>
              <w:bottom w:val="single" w:color="auto" w:sz="4" w:space="0"/>
            </w:tcBorders>
            <w:vAlign w:val="center"/>
          </w:tcPr>
          <w:p w14:paraId="153544A0">
            <w:pPr>
              <w:pStyle w:val="6"/>
              <w:ind w:firstLine="0" w:firstLineChars="0"/>
              <w:jc w:val="left"/>
              <w:rPr>
                <w:rFonts w:hint="eastAsia" w:hAnsi="宋体"/>
                <w:szCs w:val="21"/>
              </w:rPr>
            </w:pPr>
            <w:r>
              <w:rPr>
                <w:rFonts w:hint="eastAsia" w:hAnsi="宋体"/>
                <w:szCs w:val="21"/>
              </w:rPr>
              <w:t>《森林法》</w:t>
            </w:r>
          </w:p>
          <w:p w14:paraId="379662BA">
            <w:pPr>
              <w:pStyle w:val="6"/>
              <w:ind w:firstLine="0" w:firstLineChars="0"/>
              <w:jc w:val="left"/>
              <w:rPr>
                <w:rFonts w:hint="eastAsia" w:hAnsi="宋体"/>
                <w:szCs w:val="21"/>
              </w:rPr>
            </w:pPr>
            <w:r>
              <w:rPr>
                <w:rFonts w:hint="eastAsia" w:hAnsi="宋体"/>
                <w:szCs w:val="21"/>
              </w:rPr>
              <w:t>《国家级公益林管理办法》</w:t>
            </w:r>
          </w:p>
          <w:p w14:paraId="1F5640AE">
            <w:pPr>
              <w:pStyle w:val="184"/>
              <w:jc w:val="left"/>
              <w:rPr>
                <w:rFonts w:hint="eastAsia" w:hAnsi="宋体"/>
                <w:sz w:val="21"/>
                <w:szCs w:val="21"/>
              </w:rPr>
            </w:pPr>
            <w:r>
              <w:rPr>
                <w:rFonts w:hAnsi="宋体"/>
                <w:sz w:val="21"/>
                <w:szCs w:val="21"/>
              </w:rPr>
              <w:t>GB/T 18337.3—2001</w:t>
            </w:r>
            <w:r>
              <w:rPr>
                <w:rFonts w:hint="eastAsia" w:hAnsi="宋体"/>
                <w:sz w:val="21"/>
                <w:szCs w:val="21"/>
              </w:rPr>
              <w:t xml:space="preserve"> 《生态公益林建设 技术规程》</w:t>
            </w:r>
          </w:p>
        </w:tc>
      </w:tr>
      <w:tr w14:paraId="658147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1124" w:type="dxa"/>
            <w:vAlign w:val="center"/>
          </w:tcPr>
          <w:p w14:paraId="43C426A6">
            <w:pPr>
              <w:pStyle w:val="184"/>
              <w:rPr>
                <w:rFonts w:hint="eastAsia" w:hAnsi="宋体"/>
                <w:sz w:val="21"/>
                <w:szCs w:val="21"/>
              </w:rPr>
            </w:pPr>
            <w:r>
              <w:rPr>
                <w:rFonts w:hint="eastAsia" w:hAnsi="宋体"/>
                <w:sz w:val="21"/>
                <w:szCs w:val="21"/>
              </w:rPr>
              <w:t>一般湿地</w:t>
            </w:r>
          </w:p>
        </w:tc>
        <w:tc>
          <w:tcPr>
            <w:tcW w:w="4536" w:type="dxa"/>
            <w:vAlign w:val="center"/>
          </w:tcPr>
          <w:p w14:paraId="570B91F5">
            <w:pPr>
              <w:pStyle w:val="184"/>
              <w:jc w:val="left"/>
              <w:rPr>
                <w:rFonts w:hint="eastAsia" w:hAnsi="宋体"/>
                <w:sz w:val="21"/>
                <w:szCs w:val="21"/>
              </w:rPr>
            </w:pPr>
            <w:r>
              <w:rPr>
                <w:rFonts w:hint="eastAsia" w:hAnsi="宋体"/>
                <w:sz w:val="21"/>
                <w:szCs w:val="21"/>
              </w:rPr>
              <w:t>重要湿地以外的具有显著生态功能的自然或者人工湿地。</w:t>
            </w:r>
          </w:p>
          <w:p w14:paraId="71EB542B">
            <w:pPr>
              <w:pStyle w:val="184"/>
              <w:jc w:val="left"/>
              <w:rPr>
                <w:rFonts w:hint="eastAsia" w:hAnsi="宋体"/>
                <w:sz w:val="21"/>
                <w:szCs w:val="21"/>
              </w:rPr>
            </w:pPr>
            <w:bookmarkStart w:id="116" w:name="OLE_LINK5"/>
            <w:r>
              <w:rPr>
                <w:rFonts w:hint="eastAsia" w:hAnsi="宋体"/>
                <w:sz w:val="21"/>
                <w:szCs w:val="21"/>
              </w:rPr>
              <w:t>注：绝大多数重要湿地划入生态保护红线。</w:t>
            </w:r>
            <w:bookmarkEnd w:id="116"/>
          </w:p>
        </w:tc>
        <w:tc>
          <w:tcPr>
            <w:tcW w:w="3674" w:type="dxa"/>
            <w:vAlign w:val="center"/>
          </w:tcPr>
          <w:p w14:paraId="6C08F299">
            <w:pPr>
              <w:pStyle w:val="6"/>
              <w:ind w:firstLine="0" w:firstLineChars="0"/>
              <w:jc w:val="left"/>
              <w:rPr>
                <w:rFonts w:hint="eastAsia" w:hAnsi="宋体"/>
                <w:szCs w:val="21"/>
              </w:rPr>
            </w:pPr>
            <w:r>
              <w:rPr>
                <w:rFonts w:hint="eastAsia" w:hAnsi="宋体"/>
                <w:szCs w:val="21"/>
              </w:rPr>
              <w:t>《湿地保护法》</w:t>
            </w:r>
          </w:p>
          <w:p w14:paraId="2E4FD6E3">
            <w:pPr>
              <w:pStyle w:val="6"/>
              <w:ind w:firstLine="0" w:firstLineChars="0"/>
              <w:jc w:val="left"/>
              <w:rPr>
                <w:rFonts w:hint="eastAsia" w:hAnsi="宋体"/>
                <w:szCs w:val="21"/>
              </w:rPr>
            </w:pPr>
            <w:r>
              <w:rPr>
                <w:rFonts w:hint="eastAsia" w:hAnsi="宋体"/>
                <w:szCs w:val="21"/>
              </w:rPr>
              <w:t>《湿地保护修复制度方案》</w:t>
            </w:r>
          </w:p>
          <w:p w14:paraId="47F38D51">
            <w:pPr>
              <w:pStyle w:val="6"/>
              <w:ind w:firstLine="0" w:firstLineChars="0"/>
              <w:jc w:val="left"/>
              <w:rPr>
                <w:rFonts w:hint="eastAsia" w:hAnsi="宋体"/>
                <w:szCs w:val="21"/>
              </w:rPr>
            </w:pPr>
            <w:r>
              <w:rPr>
                <w:rFonts w:hint="eastAsia" w:hAnsi="宋体"/>
                <w:szCs w:val="21"/>
              </w:rPr>
              <w:t>《全国湿地保护规划（2022-2030年）》</w:t>
            </w:r>
          </w:p>
        </w:tc>
      </w:tr>
      <w:tr w14:paraId="7DF8AA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Borders>
              <w:bottom w:val="single" w:color="auto" w:sz="4" w:space="0"/>
            </w:tcBorders>
            <w:vAlign w:val="center"/>
          </w:tcPr>
          <w:p w14:paraId="2BAF21FC">
            <w:pPr>
              <w:pStyle w:val="184"/>
              <w:rPr>
                <w:rFonts w:hint="eastAsia" w:hAnsi="宋体"/>
                <w:sz w:val="21"/>
                <w:szCs w:val="21"/>
              </w:rPr>
            </w:pPr>
            <w:r>
              <w:rPr>
                <w:rFonts w:hint="eastAsia" w:hAnsi="宋体"/>
                <w:sz w:val="21"/>
                <w:szCs w:val="21"/>
              </w:rPr>
              <w:t>饮用水水源保护区</w:t>
            </w:r>
          </w:p>
        </w:tc>
        <w:tc>
          <w:tcPr>
            <w:tcW w:w="4536" w:type="dxa"/>
            <w:tcBorders>
              <w:bottom w:val="single" w:color="auto" w:sz="4" w:space="0"/>
            </w:tcBorders>
            <w:vAlign w:val="center"/>
          </w:tcPr>
          <w:p w14:paraId="78B79091">
            <w:pPr>
              <w:pStyle w:val="184"/>
              <w:jc w:val="left"/>
              <w:rPr>
                <w:rFonts w:hint="eastAsia" w:hAnsi="宋体"/>
                <w:sz w:val="21"/>
                <w:szCs w:val="21"/>
              </w:rPr>
            </w:pPr>
            <w:r>
              <w:rPr>
                <w:rFonts w:hint="eastAsia" w:hAnsi="宋体"/>
                <w:sz w:val="21"/>
                <w:szCs w:val="21"/>
              </w:rPr>
              <w:t>为防止饮用水水源地污染、保证水源水质而划定，并要求加以特殊保护的一定范围的水域和陆域。</w:t>
            </w:r>
          </w:p>
          <w:p w14:paraId="35320A94">
            <w:pPr>
              <w:pStyle w:val="184"/>
              <w:jc w:val="left"/>
              <w:rPr>
                <w:rFonts w:hint="eastAsia" w:hAnsi="宋体"/>
                <w:sz w:val="21"/>
                <w:szCs w:val="21"/>
              </w:rPr>
            </w:pPr>
            <w:r>
              <w:rPr>
                <w:rFonts w:hint="eastAsia" w:hAnsi="宋体"/>
                <w:sz w:val="21"/>
                <w:szCs w:val="21"/>
              </w:rPr>
              <w:t>注：绝大多数饮用水水源地一级保护区划入生态保护红线。</w:t>
            </w:r>
          </w:p>
        </w:tc>
        <w:tc>
          <w:tcPr>
            <w:tcW w:w="3674" w:type="dxa"/>
            <w:tcBorders>
              <w:bottom w:val="single" w:color="auto" w:sz="4" w:space="0"/>
            </w:tcBorders>
            <w:vAlign w:val="center"/>
          </w:tcPr>
          <w:p w14:paraId="5BCCAC00">
            <w:pPr>
              <w:pStyle w:val="6"/>
              <w:ind w:firstLine="0" w:firstLineChars="0"/>
              <w:jc w:val="left"/>
              <w:rPr>
                <w:rFonts w:hint="eastAsia" w:hAnsi="宋体"/>
                <w:szCs w:val="21"/>
              </w:rPr>
            </w:pPr>
            <w:r>
              <w:rPr>
                <w:rFonts w:hint="eastAsia" w:hAnsi="宋体"/>
                <w:szCs w:val="21"/>
              </w:rPr>
              <w:t>《水法》</w:t>
            </w:r>
          </w:p>
          <w:p w14:paraId="55EF6CD7">
            <w:pPr>
              <w:pStyle w:val="6"/>
              <w:ind w:firstLine="0" w:firstLineChars="0"/>
              <w:jc w:val="left"/>
              <w:rPr>
                <w:rFonts w:hint="eastAsia" w:hAnsi="宋体"/>
                <w:szCs w:val="21"/>
              </w:rPr>
            </w:pPr>
            <w:r>
              <w:rPr>
                <w:rFonts w:hint="eastAsia" w:hAnsi="宋体"/>
                <w:szCs w:val="21"/>
              </w:rPr>
              <w:t>《水污染防治法》</w:t>
            </w:r>
          </w:p>
          <w:p w14:paraId="5D2F6313">
            <w:pPr>
              <w:pStyle w:val="184"/>
              <w:jc w:val="left"/>
              <w:rPr>
                <w:rFonts w:hint="eastAsia" w:hAnsi="宋体"/>
                <w:sz w:val="21"/>
                <w:szCs w:val="21"/>
              </w:rPr>
            </w:pPr>
            <w:r>
              <w:rPr>
                <w:rFonts w:hint="eastAsia" w:hAnsi="宋体"/>
                <w:sz w:val="21"/>
                <w:szCs w:val="21"/>
              </w:rPr>
              <w:t>《饮用水水源保护区污染防治管理规定》</w:t>
            </w:r>
          </w:p>
        </w:tc>
      </w:tr>
      <w:tr w14:paraId="7ACCF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Borders>
              <w:bottom w:val="single" w:color="auto" w:sz="4" w:space="0"/>
            </w:tcBorders>
            <w:vAlign w:val="center"/>
          </w:tcPr>
          <w:p w14:paraId="47A30F0C">
            <w:pPr>
              <w:pStyle w:val="184"/>
              <w:rPr>
                <w:rFonts w:hint="eastAsia" w:hAnsi="宋体"/>
                <w:sz w:val="21"/>
                <w:szCs w:val="21"/>
              </w:rPr>
            </w:pPr>
            <w:r>
              <w:rPr>
                <w:rFonts w:hint="eastAsia" w:hAnsi="宋体"/>
                <w:sz w:val="21"/>
                <w:szCs w:val="21"/>
              </w:rPr>
              <w:t>水产种质资源保护区</w:t>
            </w:r>
          </w:p>
        </w:tc>
        <w:tc>
          <w:tcPr>
            <w:tcW w:w="4536" w:type="dxa"/>
            <w:tcBorders>
              <w:bottom w:val="single" w:color="auto" w:sz="4" w:space="0"/>
            </w:tcBorders>
            <w:vAlign w:val="center"/>
          </w:tcPr>
          <w:p w14:paraId="55852A95">
            <w:pPr>
              <w:pStyle w:val="184"/>
              <w:jc w:val="left"/>
              <w:rPr>
                <w:rFonts w:hint="eastAsia" w:hAnsi="宋体"/>
                <w:sz w:val="21"/>
                <w:szCs w:val="21"/>
              </w:rPr>
            </w:pPr>
            <w:r>
              <w:rPr>
                <w:rFonts w:hint="eastAsia" w:hAnsi="宋体"/>
                <w:sz w:val="21"/>
                <w:szCs w:val="21"/>
              </w:rPr>
              <w:t>为保护水产种质资源及其生存环境，在具有较高经济价值和遗传育种价值的水产种质资源的主要生长繁育区域，依法划定并予以特殊保护和管理的水域、滩涂及其毗邻的岛礁、陆域。</w:t>
            </w:r>
          </w:p>
        </w:tc>
        <w:tc>
          <w:tcPr>
            <w:tcW w:w="3674" w:type="dxa"/>
            <w:tcBorders>
              <w:bottom w:val="single" w:color="auto" w:sz="4" w:space="0"/>
            </w:tcBorders>
            <w:vAlign w:val="center"/>
          </w:tcPr>
          <w:p w14:paraId="70BF6D31">
            <w:pPr>
              <w:pStyle w:val="184"/>
              <w:jc w:val="left"/>
              <w:rPr>
                <w:rFonts w:hint="eastAsia" w:hAnsi="宋体"/>
                <w:sz w:val="21"/>
                <w:szCs w:val="21"/>
              </w:rPr>
            </w:pPr>
            <w:r>
              <w:rPr>
                <w:rFonts w:hint="eastAsia" w:hAnsi="宋体"/>
                <w:sz w:val="21"/>
                <w:szCs w:val="21"/>
              </w:rPr>
              <w:t>《水产种质资源保护区管理暂行办法》</w:t>
            </w:r>
          </w:p>
        </w:tc>
      </w:tr>
      <w:tr w14:paraId="622BCC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Borders>
              <w:bottom w:val="single" w:color="auto" w:sz="4" w:space="0"/>
            </w:tcBorders>
            <w:vAlign w:val="center"/>
          </w:tcPr>
          <w:p w14:paraId="23A840B7">
            <w:pPr>
              <w:pStyle w:val="184"/>
              <w:rPr>
                <w:rFonts w:hint="eastAsia" w:hAnsi="宋体"/>
                <w:sz w:val="21"/>
                <w:szCs w:val="21"/>
              </w:rPr>
            </w:pPr>
            <w:r>
              <w:rPr>
                <w:rFonts w:hint="eastAsia" w:hAnsi="宋体"/>
                <w:sz w:val="21"/>
                <w:szCs w:val="21"/>
              </w:rPr>
              <w:t>水利风景区</w:t>
            </w:r>
          </w:p>
        </w:tc>
        <w:tc>
          <w:tcPr>
            <w:tcW w:w="4536" w:type="dxa"/>
            <w:tcBorders>
              <w:bottom w:val="single" w:color="auto" w:sz="4" w:space="0"/>
            </w:tcBorders>
            <w:vAlign w:val="center"/>
          </w:tcPr>
          <w:p w14:paraId="08C773E4">
            <w:pPr>
              <w:pStyle w:val="184"/>
              <w:jc w:val="left"/>
              <w:rPr>
                <w:rFonts w:hint="eastAsia" w:hAnsi="宋体"/>
                <w:sz w:val="21"/>
                <w:szCs w:val="21"/>
              </w:rPr>
            </w:pPr>
            <w:r>
              <w:rPr>
                <w:rFonts w:hint="eastAsia" w:hAnsi="宋体"/>
                <w:sz w:val="21"/>
                <w:szCs w:val="21"/>
              </w:rPr>
              <w:t>以水利设施、水域及其岸线为依托，具有一定规模和质量的水利风景资源与环境条件，通过生态、文化、服务和安全设施建设，开展科普、文化、教育等活动或者供人们休闲游憩的区域。</w:t>
            </w:r>
          </w:p>
        </w:tc>
        <w:tc>
          <w:tcPr>
            <w:tcW w:w="3674" w:type="dxa"/>
            <w:tcBorders>
              <w:bottom w:val="single" w:color="auto" w:sz="4" w:space="0"/>
            </w:tcBorders>
            <w:vAlign w:val="center"/>
          </w:tcPr>
          <w:p w14:paraId="66B5A946">
            <w:pPr>
              <w:pStyle w:val="184"/>
              <w:jc w:val="left"/>
              <w:rPr>
                <w:rFonts w:hint="eastAsia" w:hAnsi="宋体"/>
                <w:sz w:val="21"/>
                <w:szCs w:val="21"/>
              </w:rPr>
            </w:pPr>
            <w:r>
              <w:rPr>
                <w:rFonts w:hint="eastAsia" w:hAnsi="宋体"/>
                <w:sz w:val="21"/>
                <w:szCs w:val="21"/>
              </w:rPr>
              <w:t>《水利风景区管理办法》</w:t>
            </w:r>
          </w:p>
        </w:tc>
      </w:tr>
      <w:tr w14:paraId="7F1B20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4543D952">
            <w:pPr>
              <w:pStyle w:val="184"/>
              <w:rPr>
                <w:rFonts w:hint="eastAsia" w:hAnsi="宋体"/>
                <w:sz w:val="21"/>
                <w:szCs w:val="21"/>
              </w:rPr>
            </w:pPr>
            <w:r>
              <w:rPr>
                <w:rFonts w:hint="eastAsia" w:hAnsi="宋体"/>
                <w:sz w:val="21"/>
                <w:szCs w:val="21"/>
              </w:rPr>
              <w:t>水源涵养区</w:t>
            </w:r>
          </w:p>
        </w:tc>
        <w:tc>
          <w:tcPr>
            <w:tcW w:w="4536" w:type="dxa"/>
            <w:vAlign w:val="center"/>
          </w:tcPr>
          <w:p w14:paraId="56F500DE">
            <w:pPr>
              <w:pStyle w:val="184"/>
              <w:jc w:val="left"/>
              <w:rPr>
                <w:rFonts w:hint="eastAsia" w:hAnsi="宋体"/>
                <w:sz w:val="21"/>
                <w:szCs w:val="21"/>
              </w:rPr>
            </w:pPr>
            <w:r>
              <w:rPr>
                <w:rFonts w:hint="eastAsia" w:hAnsi="宋体"/>
                <w:sz w:val="21"/>
                <w:szCs w:val="21"/>
              </w:rPr>
              <w:t>以涵养水源、调节径流、稳定水量、补给地下水为核心生态功能，为流域江河、水库、地下水提供稳定补给的江河源头、流域上游、水库周边及地下水补给区。</w:t>
            </w:r>
          </w:p>
        </w:tc>
        <w:tc>
          <w:tcPr>
            <w:tcW w:w="3674" w:type="dxa"/>
            <w:vAlign w:val="center"/>
          </w:tcPr>
          <w:p w14:paraId="102F3BF0">
            <w:pPr>
              <w:pStyle w:val="6"/>
              <w:ind w:firstLine="0" w:firstLineChars="0"/>
              <w:jc w:val="left"/>
              <w:rPr>
                <w:rFonts w:hint="eastAsia" w:hAnsi="宋体"/>
                <w:szCs w:val="21"/>
              </w:rPr>
            </w:pPr>
            <w:r>
              <w:rPr>
                <w:rFonts w:hint="eastAsia" w:hAnsi="宋体"/>
                <w:szCs w:val="21"/>
              </w:rPr>
              <w:t>《水土保持法》</w:t>
            </w:r>
          </w:p>
        </w:tc>
      </w:tr>
      <w:tr w14:paraId="6ADE8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4EB1550C">
            <w:pPr>
              <w:pStyle w:val="184"/>
              <w:rPr>
                <w:rFonts w:hint="eastAsia" w:hAnsi="宋体"/>
                <w:sz w:val="21"/>
                <w:szCs w:val="21"/>
              </w:rPr>
            </w:pPr>
            <w:r>
              <w:rPr>
                <w:rFonts w:hint="eastAsia" w:hAnsi="宋体"/>
                <w:sz w:val="21"/>
                <w:szCs w:val="21"/>
              </w:rPr>
              <w:t>生态修复</w:t>
            </w:r>
            <w:r>
              <w:rPr>
                <w:rFonts w:hAnsi="宋体"/>
                <w:sz w:val="21"/>
                <w:szCs w:val="21"/>
              </w:rPr>
              <w:br w:type="textWrapping"/>
            </w:r>
            <w:r>
              <w:rPr>
                <w:rFonts w:hint="eastAsia" w:hAnsi="宋体"/>
                <w:sz w:val="21"/>
                <w:szCs w:val="21"/>
              </w:rPr>
              <w:t>管护区</w:t>
            </w:r>
          </w:p>
        </w:tc>
        <w:tc>
          <w:tcPr>
            <w:tcW w:w="4536" w:type="dxa"/>
            <w:vAlign w:val="center"/>
          </w:tcPr>
          <w:p w14:paraId="04189BE2">
            <w:pPr>
              <w:pStyle w:val="184"/>
              <w:jc w:val="left"/>
              <w:rPr>
                <w:rFonts w:hint="eastAsia" w:hAnsi="宋体"/>
                <w:sz w:val="21"/>
                <w:szCs w:val="21"/>
              </w:rPr>
            </w:pPr>
            <w:r>
              <w:rPr>
                <w:rFonts w:hint="eastAsia" w:hAnsi="宋体"/>
                <w:sz w:val="21"/>
                <w:szCs w:val="21"/>
              </w:rPr>
              <w:t>生态修复实施过程中及修复后，建立长效管护机制、落实管护责任，能稳定发挥生态保护功能、维持或持续提升生物多样性的区域。</w:t>
            </w:r>
          </w:p>
        </w:tc>
        <w:tc>
          <w:tcPr>
            <w:tcW w:w="3674" w:type="dxa"/>
            <w:vAlign w:val="center"/>
          </w:tcPr>
          <w:p w14:paraId="3F20DD81">
            <w:pPr>
              <w:pStyle w:val="6"/>
              <w:ind w:firstLine="0" w:firstLineChars="0"/>
              <w:jc w:val="left"/>
              <w:rPr>
                <w:rFonts w:hint="eastAsia" w:hAnsi="宋体"/>
                <w:szCs w:val="21"/>
              </w:rPr>
            </w:pPr>
            <w:r>
              <w:rPr>
                <w:rFonts w:hint="eastAsia" w:hAnsi="宋体"/>
                <w:szCs w:val="21"/>
              </w:rPr>
              <w:t>《全国重要生态系统保护和修复重大工程总体规划（2021</w:t>
            </w:r>
            <w:r>
              <w:rPr>
                <w:rFonts w:hAnsi="宋体"/>
                <w:szCs w:val="21"/>
              </w:rPr>
              <w:t>—</w:t>
            </w:r>
            <w:r>
              <w:rPr>
                <w:rFonts w:hint="eastAsia" w:hAnsi="宋体"/>
                <w:szCs w:val="21"/>
              </w:rPr>
              <w:t>2035年）》</w:t>
            </w:r>
          </w:p>
        </w:tc>
      </w:tr>
      <w:tr w14:paraId="13F2B6BB">
        <w:tblPrEx>
          <w:tblCellMar>
            <w:top w:w="0" w:type="dxa"/>
            <w:left w:w="0" w:type="dxa"/>
            <w:bottom w:w="0" w:type="dxa"/>
            <w:right w:w="0" w:type="dxa"/>
          </w:tblCellMar>
        </w:tblPrEx>
        <w:trPr>
          <w:jc w:val="center"/>
        </w:trPr>
        <w:tc>
          <w:tcPr>
            <w:tcW w:w="1124" w:type="dxa"/>
            <w:vAlign w:val="center"/>
          </w:tcPr>
          <w:p w14:paraId="75972F8F">
            <w:pPr>
              <w:pStyle w:val="184"/>
              <w:rPr>
                <w:rFonts w:hint="eastAsia" w:hAnsi="宋体"/>
                <w:sz w:val="21"/>
                <w:szCs w:val="21"/>
              </w:rPr>
            </w:pPr>
            <w:r>
              <w:rPr>
                <w:rFonts w:hint="eastAsia" w:hAnsi="宋体"/>
                <w:sz w:val="21"/>
                <w:szCs w:val="21"/>
              </w:rPr>
              <w:t>禁猎区</w:t>
            </w:r>
          </w:p>
        </w:tc>
        <w:tc>
          <w:tcPr>
            <w:tcW w:w="4536" w:type="dxa"/>
            <w:vAlign w:val="center"/>
          </w:tcPr>
          <w:p w14:paraId="4408662D">
            <w:pPr>
              <w:pStyle w:val="184"/>
              <w:jc w:val="left"/>
              <w:rPr>
                <w:rFonts w:hint="eastAsia" w:hAnsi="宋体"/>
                <w:sz w:val="21"/>
                <w:szCs w:val="21"/>
              </w:rPr>
            </w:pPr>
            <w:r>
              <w:rPr>
                <w:rFonts w:hint="eastAsia" w:hAnsi="宋体"/>
                <w:sz w:val="21"/>
                <w:szCs w:val="21"/>
              </w:rPr>
              <w:t>为保护陆生野生动物资源，依法划定、在法定时段（禁猎期）或永久禁止猎捕陆生野生动物的特定区域，分为永久性禁猎区和限期禁猎区。</w:t>
            </w:r>
          </w:p>
        </w:tc>
        <w:tc>
          <w:tcPr>
            <w:tcW w:w="3674" w:type="dxa"/>
            <w:vAlign w:val="center"/>
          </w:tcPr>
          <w:p w14:paraId="1144B57A">
            <w:pPr>
              <w:pStyle w:val="6"/>
              <w:ind w:firstLine="0" w:firstLineChars="0"/>
              <w:jc w:val="left"/>
              <w:rPr>
                <w:rFonts w:hint="eastAsia" w:hAnsi="宋体"/>
                <w:szCs w:val="21"/>
              </w:rPr>
            </w:pPr>
            <w:r>
              <w:rPr>
                <w:rFonts w:hint="eastAsia" w:hAnsi="宋体"/>
                <w:szCs w:val="21"/>
              </w:rPr>
              <w:t>《野生动物保护法》</w:t>
            </w:r>
          </w:p>
        </w:tc>
      </w:tr>
      <w:tr w14:paraId="1A126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6158DA41">
            <w:pPr>
              <w:pStyle w:val="184"/>
              <w:rPr>
                <w:rFonts w:hint="eastAsia" w:hAnsi="宋体"/>
                <w:sz w:val="21"/>
                <w:szCs w:val="21"/>
              </w:rPr>
            </w:pPr>
            <w:r>
              <w:rPr>
                <w:rFonts w:hint="eastAsia" w:hAnsi="宋体"/>
                <w:sz w:val="21"/>
                <w:szCs w:val="21"/>
              </w:rPr>
              <w:t>禁渔区</w:t>
            </w:r>
          </w:p>
        </w:tc>
        <w:tc>
          <w:tcPr>
            <w:tcW w:w="4536" w:type="dxa"/>
            <w:vAlign w:val="center"/>
          </w:tcPr>
          <w:p w14:paraId="28B9E3E7">
            <w:pPr>
              <w:pStyle w:val="184"/>
              <w:jc w:val="left"/>
              <w:rPr>
                <w:rFonts w:hint="eastAsia" w:hAnsi="宋体"/>
                <w:sz w:val="21"/>
                <w:szCs w:val="21"/>
              </w:rPr>
            </w:pPr>
            <w:r>
              <w:rPr>
                <w:rFonts w:hint="eastAsia" w:hAnsi="宋体"/>
                <w:sz w:val="21"/>
                <w:szCs w:val="21"/>
              </w:rPr>
              <w:t>为保护水生生物资源与水域生态，依法划定、禁止捕捞作业及相关破坏水生生态活动的水域特定区域，分为永久性禁渔区和限期禁渔区。</w:t>
            </w:r>
          </w:p>
        </w:tc>
        <w:tc>
          <w:tcPr>
            <w:tcW w:w="3674" w:type="dxa"/>
            <w:vAlign w:val="center"/>
          </w:tcPr>
          <w:p w14:paraId="7E68EB28">
            <w:pPr>
              <w:pStyle w:val="6"/>
              <w:ind w:firstLine="0" w:firstLineChars="0"/>
              <w:jc w:val="left"/>
              <w:rPr>
                <w:rFonts w:hint="eastAsia" w:hAnsi="宋体"/>
                <w:szCs w:val="21"/>
              </w:rPr>
            </w:pPr>
            <w:r>
              <w:rPr>
                <w:rFonts w:hint="eastAsia" w:hAnsi="宋体"/>
                <w:szCs w:val="21"/>
              </w:rPr>
              <w:t>《渔业法》</w:t>
            </w:r>
          </w:p>
        </w:tc>
      </w:tr>
      <w:tr w14:paraId="711F8B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4E076297">
            <w:pPr>
              <w:pStyle w:val="184"/>
              <w:rPr>
                <w:rFonts w:hint="eastAsia" w:hAnsi="宋体"/>
                <w:sz w:val="21"/>
                <w:szCs w:val="21"/>
              </w:rPr>
            </w:pPr>
            <w:r>
              <w:rPr>
                <w:rFonts w:hint="eastAsia" w:hAnsi="宋体"/>
                <w:sz w:val="21"/>
                <w:szCs w:val="21"/>
              </w:rPr>
              <w:t>自然保护小区</w:t>
            </w:r>
          </w:p>
        </w:tc>
        <w:tc>
          <w:tcPr>
            <w:tcW w:w="4536" w:type="dxa"/>
            <w:vAlign w:val="center"/>
          </w:tcPr>
          <w:p w14:paraId="0C5E2B67">
            <w:pPr>
              <w:pStyle w:val="184"/>
              <w:jc w:val="left"/>
              <w:rPr>
                <w:rFonts w:hint="eastAsia" w:hAnsi="宋体"/>
                <w:sz w:val="21"/>
                <w:szCs w:val="21"/>
              </w:rPr>
            </w:pPr>
            <w:r>
              <w:rPr>
                <w:rFonts w:hint="eastAsia" w:hAnsi="宋体"/>
                <w:sz w:val="21"/>
                <w:szCs w:val="21"/>
              </w:rPr>
              <w:t>为保护国家或地方重点保护的野生动植物物种及其生境、典型的自然生态系统、特殊的自然遗迹而划定的面积较小的保护区域。自然保护小区面积一般小于1000公顷。</w:t>
            </w:r>
          </w:p>
        </w:tc>
        <w:tc>
          <w:tcPr>
            <w:tcW w:w="3674" w:type="dxa"/>
            <w:vAlign w:val="center"/>
          </w:tcPr>
          <w:p w14:paraId="13B3BB27">
            <w:pPr>
              <w:pStyle w:val="6"/>
              <w:ind w:firstLine="0" w:firstLineChars="0"/>
              <w:jc w:val="left"/>
              <w:rPr>
                <w:rFonts w:hint="eastAsia" w:hAnsi="宋体"/>
                <w:szCs w:val="21"/>
              </w:rPr>
            </w:pPr>
            <w:r>
              <w:rPr>
                <w:rFonts w:hint="eastAsia" w:hAnsi="宋体"/>
                <w:szCs w:val="21"/>
              </w:rPr>
              <w:t>《国家公园等自然保护地建设及野生动植物保护重大工程建设规划（2021—2035年）》</w:t>
            </w:r>
          </w:p>
        </w:tc>
      </w:tr>
      <w:tr w14:paraId="062386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6237A083">
            <w:pPr>
              <w:pStyle w:val="184"/>
              <w:rPr>
                <w:rFonts w:hint="eastAsia" w:hAnsi="宋体"/>
                <w:sz w:val="21"/>
                <w:szCs w:val="21"/>
              </w:rPr>
            </w:pPr>
            <w:r>
              <w:rPr>
                <w:rFonts w:hint="eastAsia" w:hAnsi="宋体"/>
                <w:sz w:val="21"/>
                <w:szCs w:val="21"/>
              </w:rPr>
              <w:t>农田生态景观</w:t>
            </w:r>
          </w:p>
        </w:tc>
        <w:tc>
          <w:tcPr>
            <w:tcW w:w="4536" w:type="dxa"/>
            <w:vAlign w:val="center"/>
          </w:tcPr>
          <w:p w14:paraId="0B15BAE7">
            <w:pPr>
              <w:pStyle w:val="184"/>
              <w:jc w:val="left"/>
              <w:rPr>
                <w:rFonts w:hint="eastAsia" w:hAnsi="宋体"/>
                <w:sz w:val="21"/>
                <w:szCs w:val="21"/>
              </w:rPr>
            </w:pPr>
            <w:r>
              <w:rPr>
                <w:rFonts w:hint="eastAsia" w:hAnsi="宋体"/>
                <w:sz w:val="21"/>
                <w:szCs w:val="21"/>
              </w:rPr>
              <w:t>农田及其周边能提供生态系统服务的景观。包括农田内部与周边直接或间接受人类活动影响的非作物地带（如农田边界、排水沟渠、植物篱、小片林地、池塘等）、农田缓冲带（即沿河流、沟渠、道路、农田边缘一定范围内的植被景观带,或未耕种的天然植被地带）等。</w:t>
            </w:r>
          </w:p>
        </w:tc>
        <w:tc>
          <w:tcPr>
            <w:tcW w:w="3674" w:type="dxa"/>
            <w:vAlign w:val="center"/>
          </w:tcPr>
          <w:p w14:paraId="5BAFE651">
            <w:pPr>
              <w:pStyle w:val="6"/>
              <w:ind w:firstLine="0" w:firstLineChars="0"/>
              <w:jc w:val="left"/>
              <w:rPr>
                <w:rFonts w:hint="eastAsia" w:hAnsi="宋体"/>
                <w:szCs w:val="21"/>
              </w:rPr>
            </w:pPr>
            <w:r>
              <w:rPr>
                <w:rFonts w:hAnsi="宋体"/>
                <w:szCs w:val="21"/>
              </w:rPr>
              <w:t>NY/T 4153—</w:t>
            </w:r>
            <w:r>
              <w:rPr>
                <w:rFonts w:hint="eastAsia" w:hAnsi="宋体"/>
                <w:szCs w:val="21"/>
              </w:rPr>
              <w:t>2022 《农田景观生物多样性保护导则》</w:t>
            </w:r>
          </w:p>
        </w:tc>
      </w:tr>
      <w:tr w14:paraId="2569D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1BE4C9EA">
            <w:pPr>
              <w:pStyle w:val="184"/>
              <w:rPr>
                <w:rFonts w:hint="eastAsia" w:hAnsi="宋体"/>
                <w:sz w:val="21"/>
                <w:szCs w:val="21"/>
              </w:rPr>
            </w:pPr>
            <w:r>
              <w:rPr>
                <w:rFonts w:hint="eastAsia" w:hAnsi="宋体"/>
                <w:sz w:val="21"/>
                <w:szCs w:val="21"/>
              </w:rPr>
              <w:t>生态农场</w:t>
            </w:r>
          </w:p>
        </w:tc>
        <w:tc>
          <w:tcPr>
            <w:tcW w:w="4536" w:type="dxa"/>
            <w:vAlign w:val="center"/>
          </w:tcPr>
          <w:p w14:paraId="3322CC7B">
            <w:pPr>
              <w:pStyle w:val="184"/>
              <w:jc w:val="left"/>
              <w:rPr>
                <w:rFonts w:hint="eastAsia" w:hAnsi="宋体"/>
                <w:sz w:val="21"/>
                <w:szCs w:val="21"/>
              </w:rPr>
            </w:pPr>
            <w:r>
              <w:rPr>
                <w:rFonts w:hint="eastAsia" w:hAnsi="宋体"/>
                <w:sz w:val="21"/>
                <w:szCs w:val="21"/>
              </w:rPr>
              <w:t>依据生态学原理，遵循“整体、协调、循环、再生、多样”原则，通过整体设计和合理建设，采用可持续农业技术，关联生物与生物、生物与环境间的物质循环和能量转化，科学组合管理农业生物-环境系统，实现最大可持续产量、资源匹配、环境友好及食品安全的农场。</w:t>
            </w:r>
          </w:p>
        </w:tc>
        <w:tc>
          <w:tcPr>
            <w:tcW w:w="3674" w:type="dxa"/>
            <w:vAlign w:val="center"/>
          </w:tcPr>
          <w:p w14:paraId="590B668B">
            <w:pPr>
              <w:pStyle w:val="6"/>
              <w:ind w:firstLine="0" w:firstLineChars="0"/>
              <w:jc w:val="left"/>
              <w:rPr>
                <w:rFonts w:hint="eastAsia" w:hAnsi="宋体"/>
                <w:szCs w:val="21"/>
              </w:rPr>
            </w:pPr>
            <w:r>
              <w:rPr>
                <w:rFonts w:hint="eastAsia" w:hAnsi="宋体"/>
                <w:szCs w:val="21"/>
              </w:rPr>
              <w:t>《推进生态农场建设的指导意见》</w:t>
            </w:r>
          </w:p>
        </w:tc>
      </w:tr>
      <w:tr w14:paraId="26977B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68649321">
            <w:pPr>
              <w:pStyle w:val="184"/>
              <w:rPr>
                <w:rFonts w:hint="eastAsia" w:hAnsi="宋体"/>
                <w:sz w:val="21"/>
                <w:szCs w:val="21"/>
              </w:rPr>
            </w:pPr>
            <w:r>
              <w:rPr>
                <w:rFonts w:hint="eastAsia" w:hAnsi="宋体"/>
                <w:sz w:val="21"/>
                <w:szCs w:val="21"/>
              </w:rPr>
              <w:t>农业文化遗产</w:t>
            </w:r>
          </w:p>
        </w:tc>
        <w:tc>
          <w:tcPr>
            <w:tcW w:w="4536" w:type="dxa"/>
            <w:vAlign w:val="center"/>
          </w:tcPr>
          <w:p w14:paraId="756D57B0">
            <w:pPr>
              <w:pStyle w:val="184"/>
              <w:jc w:val="left"/>
              <w:rPr>
                <w:rFonts w:hint="eastAsia" w:hAnsi="宋体"/>
                <w:sz w:val="21"/>
                <w:szCs w:val="21"/>
              </w:rPr>
            </w:pPr>
            <w:r>
              <w:rPr>
                <w:rFonts w:hint="eastAsia" w:hAnsi="宋体"/>
                <w:sz w:val="21"/>
                <w:szCs w:val="21"/>
              </w:rPr>
              <w:t>我国人民在与所处环境长期协同发展中世代传承并具有丰富的农业生物多样性、完善的传统知识与技术体系、独特的生态与文化景观的农业生产系统，包括由联合国粮农组织认定的全球重要农业文化遗产和由农业部认定的中国重要农业文化遗产。</w:t>
            </w:r>
          </w:p>
        </w:tc>
        <w:tc>
          <w:tcPr>
            <w:tcW w:w="3674" w:type="dxa"/>
            <w:vAlign w:val="center"/>
          </w:tcPr>
          <w:p w14:paraId="7ECA010E">
            <w:pPr>
              <w:pStyle w:val="6"/>
              <w:ind w:firstLine="0" w:firstLineChars="0"/>
              <w:jc w:val="left"/>
              <w:rPr>
                <w:rFonts w:hint="eastAsia" w:hAnsi="宋体"/>
                <w:szCs w:val="21"/>
              </w:rPr>
            </w:pPr>
            <w:r>
              <w:rPr>
                <w:rFonts w:hint="eastAsia" w:hAnsi="宋体"/>
                <w:szCs w:val="21"/>
              </w:rPr>
              <w:t>《重要农业文化遗产管理办法》</w:t>
            </w:r>
          </w:p>
        </w:tc>
      </w:tr>
      <w:tr w14:paraId="662278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1C70BD52">
            <w:pPr>
              <w:pStyle w:val="184"/>
              <w:rPr>
                <w:rFonts w:hint="eastAsia" w:hAnsi="宋体"/>
                <w:sz w:val="21"/>
                <w:szCs w:val="21"/>
              </w:rPr>
            </w:pPr>
            <w:r>
              <w:rPr>
                <w:rFonts w:hint="eastAsia" w:hAnsi="宋体"/>
                <w:sz w:val="21"/>
                <w:szCs w:val="21"/>
              </w:rPr>
              <w:t>渔业增养殖用海</w:t>
            </w:r>
          </w:p>
        </w:tc>
        <w:tc>
          <w:tcPr>
            <w:tcW w:w="4536" w:type="dxa"/>
            <w:vAlign w:val="center"/>
          </w:tcPr>
          <w:p w14:paraId="2C1BB6FA">
            <w:pPr>
              <w:pStyle w:val="184"/>
              <w:jc w:val="left"/>
              <w:rPr>
                <w:rFonts w:hint="eastAsia" w:hAnsi="宋体"/>
                <w:sz w:val="21"/>
                <w:szCs w:val="21"/>
              </w:rPr>
            </w:pPr>
            <w:r>
              <w:rPr>
                <w:rFonts w:hAnsi="宋体"/>
                <w:sz w:val="21"/>
                <w:szCs w:val="21"/>
              </w:rPr>
              <w:t>用于养殖生产或通过构筑人工鱼礁、半潜式平台、养殖工船等进行增养殖生产的海域及无居民海岛</w:t>
            </w:r>
            <w:r>
              <w:rPr>
                <w:rFonts w:hint="eastAsia" w:hAnsi="宋体"/>
                <w:sz w:val="21"/>
                <w:szCs w:val="21"/>
              </w:rPr>
              <w:t>。</w:t>
            </w:r>
          </w:p>
        </w:tc>
        <w:tc>
          <w:tcPr>
            <w:tcW w:w="3674" w:type="dxa"/>
            <w:vAlign w:val="center"/>
          </w:tcPr>
          <w:p w14:paraId="3E475389">
            <w:pPr>
              <w:pStyle w:val="6"/>
              <w:ind w:firstLine="0" w:firstLineChars="0"/>
              <w:jc w:val="left"/>
              <w:rPr>
                <w:rFonts w:hint="eastAsia" w:hAnsi="宋体"/>
                <w:szCs w:val="21"/>
              </w:rPr>
            </w:pPr>
            <w:r>
              <w:rPr>
                <w:rFonts w:hint="eastAsia" w:hAnsi="宋体"/>
                <w:szCs w:val="21"/>
              </w:rPr>
              <w:t>《</w:t>
            </w:r>
            <w:r>
              <w:rPr>
                <w:rFonts w:hAnsi="宋体"/>
                <w:szCs w:val="21"/>
              </w:rPr>
              <w:t>渔业法</w:t>
            </w:r>
            <w:r>
              <w:rPr>
                <w:rFonts w:hint="eastAsia" w:hAnsi="宋体"/>
                <w:szCs w:val="21"/>
              </w:rPr>
              <w:t>》</w:t>
            </w:r>
          </w:p>
          <w:p w14:paraId="515C89E2">
            <w:pPr>
              <w:pStyle w:val="6"/>
              <w:ind w:firstLine="0" w:firstLineChars="0"/>
              <w:jc w:val="left"/>
              <w:rPr>
                <w:rFonts w:hint="eastAsia" w:hAnsi="宋体"/>
                <w:szCs w:val="21"/>
              </w:rPr>
            </w:pPr>
            <w:r>
              <w:rPr>
                <w:rFonts w:hAnsi="宋体"/>
                <w:szCs w:val="21"/>
              </w:rPr>
              <w:t>《自然资源部办公厅 农业农村部办公厅关于优化养殖用海管理的通知》</w:t>
            </w:r>
          </w:p>
        </w:tc>
      </w:tr>
      <w:tr w14:paraId="692B6E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53680380">
            <w:pPr>
              <w:pStyle w:val="184"/>
              <w:rPr>
                <w:rFonts w:hint="eastAsia" w:hAnsi="宋体"/>
                <w:sz w:val="21"/>
                <w:szCs w:val="21"/>
              </w:rPr>
            </w:pPr>
            <w:r>
              <w:rPr>
                <w:rFonts w:hint="eastAsia" w:hAnsi="宋体"/>
                <w:sz w:val="21"/>
                <w:szCs w:val="21"/>
              </w:rPr>
              <w:t>公园</w:t>
            </w:r>
          </w:p>
        </w:tc>
        <w:tc>
          <w:tcPr>
            <w:tcW w:w="4536" w:type="dxa"/>
            <w:vAlign w:val="center"/>
          </w:tcPr>
          <w:p w14:paraId="585B1A18">
            <w:pPr>
              <w:pStyle w:val="184"/>
              <w:jc w:val="left"/>
              <w:rPr>
                <w:rFonts w:hint="eastAsia" w:hAnsi="宋体"/>
                <w:sz w:val="21"/>
                <w:szCs w:val="21"/>
              </w:rPr>
            </w:pPr>
            <w:r>
              <w:rPr>
                <w:rFonts w:hint="eastAsia" w:hAnsi="宋体"/>
                <w:sz w:val="21"/>
                <w:szCs w:val="21"/>
              </w:rPr>
              <w:t>具备景观环境和设施，具有改善生态、美化环境、保护资源、休闲游憩、健身娱乐、传承文化、科普教育和应急避难等功能，向公众开放的公共场所，包括综合公园、社区公园、历史名园、专类公园（包括植物园、动物园、遗址公园、儿童公园、文化公园、体育健身公园、游乐公园、城市森林公园、城市湿地公园、近郊型郊野公园等）、游园、生态公园（包括郊野公园、滨河森林公园、乡村公园等）。</w:t>
            </w:r>
          </w:p>
        </w:tc>
        <w:tc>
          <w:tcPr>
            <w:tcW w:w="3674" w:type="dxa"/>
            <w:vAlign w:val="center"/>
          </w:tcPr>
          <w:p w14:paraId="3A04E755">
            <w:pPr>
              <w:pStyle w:val="6"/>
              <w:ind w:firstLine="0" w:firstLineChars="0"/>
              <w:jc w:val="left"/>
              <w:rPr>
                <w:rFonts w:hint="eastAsia" w:hAnsi="宋体"/>
                <w:szCs w:val="21"/>
              </w:rPr>
            </w:pPr>
            <w:r>
              <w:rPr>
                <w:rFonts w:hint="eastAsia" w:hAnsi="宋体"/>
                <w:szCs w:val="21"/>
              </w:rPr>
              <w:t>《城市公园管理办法》</w:t>
            </w:r>
          </w:p>
        </w:tc>
      </w:tr>
      <w:tr w14:paraId="4AB63C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4247E21B">
            <w:pPr>
              <w:pStyle w:val="184"/>
              <w:rPr>
                <w:rFonts w:hint="eastAsia" w:hAnsi="宋体"/>
                <w:sz w:val="21"/>
                <w:szCs w:val="21"/>
              </w:rPr>
            </w:pPr>
            <w:r>
              <w:rPr>
                <w:rFonts w:hint="eastAsia" w:hAnsi="宋体"/>
                <w:sz w:val="21"/>
                <w:szCs w:val="21"/>
              </w:rPr>
              <w:t>城市附属绿地</w:t>
            </w:r>
          </w:p>
        </w:tc>
        <w:tc>
          <w:tcPr>
            <w:tcW w:w="4536" w:type="dxa"/>
            <w:vAlign w:val="center"/>
          </w:tcPr>
          <w:p w14:paraId="5ABA01E5">
            <w:pPr>
              <w:pStyle w:val="184"/>
              <w:jc w:val="left"/>
              <w:rPr>
                <w:rFonts w:hint="eastAsia" w:hAnsi="宋体"/>
                <w:sz w:val="21"/>
                <w:szCs w:val="21"/>
              </w:rPr>
            </w:pPr>
            <w:r>
              <w:rPr>
                <w:rFonts w:hint="eastAsia" w:hAnsi="宋体"/>
                <w:sz w:val="21"/>
                <w:szCs w:val="21"/>
              </w:rPr>
              <w:t>附属于各类城市建设用地的绿化用地，包括但不限于居住用地（如居住小区）、公共管理与公共服务设施用地（如行政办公院区、校园、科研单位园区、医院、康养机构、公共文体场馆）、商业服务业设施用地（如商务区、商业综合体）、工业用地（如企业园区）、道路与交通设施用地（如绿化带、停车场附属绿地）、物流仓储用地。</w:t>
            </w:r>
          </w:p>
        </w:tc>
        <w:tc>
          <w:tcPr>
            <w:tcW w:w="3674" w:type="dxa"/>
            <w:vAlign w:val="center"/>
          </w:tcPr>
          <w:p w14:paraId="2CE79119">
            <w:pPr>
              <w:pStyle w:val="6"/>
              <w:ind w:firstLine="0" w:firstLineChars="0"/>
              <w:jc w:val="left"/>
              <w:rPr>
                <w:rFonts w:hint="eastAsia" w:hAnsi="宋体"/>
                <w:szCs w:val="21"/>
              </w:rPr>
            </w:pPr>
            <w:r>
              <w:rPr>
                <w:rFonts w:hint="eastAsia" w:hAnsi="宋体"/>
                <w:szCs w:val="21"/>
              </w:rPr>
              <w:t>《城市绿化条例》</w:t>
            </w:r>
          </w:p>
        </w:tc>
      </w:tr>
      <w:tr w14:paraId="2D6064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4C4C4FED">
            <w:pPr>
              <w:pStyle w:val="184"/>
              <w:rPr>
                <w:rFonts w:hint="eastAsia" w:hAnsi="宋体"/>
                <w:sz w:val="21"/>
                <w:szCs w:val="21"/>
              </w:rPr>
            </w:pPr>
            <w:r>
              <w:rPr>
                <w:rFonts w:hint="eastAsia" w:hAnsi="宋体"/>
                <w:sz w:val="21"/>
                <w:szCs w:val="21"/>
              </w:rPr>
              <w:t>旅游景区</w:t>
            </w:r>
          </w:p>
        </w:tc>
        <w:tc>
          <w:tcPr>
            <w:tcW w:w="4536" w:type="dxa"/>
            <w:vAlign w:val="center"/>
          </w:tcPr>
          <w:p w14:paraId="26A30C4B">
            <w:pPr>
              <w:pStyle w:val="184"/>
              <w:jc w:val="left"/>
              <w:rPr>
                <w:rFonts w:hint="eastAsia" w:hAnsi="宋体"/>
                <w:sz w:val="21"/>
                <w:szCs w:val="21"/>
              </w:rPr>
            </w:pPr>
            <w:r>
              <w:rPr>
                <w:rFonts w:hint="eastAsia" w:hAnsi="宋体"/>
                <w:sz w:val="21"/>
                <w:szCs w:val="21"/>
              </w:rPr>
              <w:t>以旅游资源为依托，具有明确的空间边界、必要的旅游服务设施和统一的经营管理机构,以提供游览服务为主要功能的场所或区域。</w:t>
            </w:r>
          </w:p>
        </w:tc>
        <w:tc>
          <w:tcPr>
            <w:tcW w:w="3674" w:type="dxa"/>
            <w:vAlign w:val="center"/>
          </w:tcPr>
          <w:p w14:paraId="581B60E0">
            <w:pPr>
              <w:pStyle w:val="6"/>
              <w:ind w:firstLine="0" w:firstLineChars="0"/>
              <w:jc w:val="left"/>
              <w:rPr>
                <w:rFonts w:hint="eastAsia" w:hAnsi="宋体"/>
                <w:szCs w:val="21"/>
              </w:rPr>
            </w:pPr>
            <w:r>
              <w:rPr>
                <w:rFonts w:hint="eastAsia" w:hAnsi="宋体"/>
                <w:szCs w:val="21"/>
              </w:rPr>
              <w:t>《旅游法》</w:t>
            </w:r>
          </w:p>
        </w:tc>
      </w:tr>
      <w:tr w14:paraId="2D2C26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65ECA3B7">
            <w:pPr>
              <w:pStyle w:val="184"/>
              <w:rPr>
                <w:rFonts w:hint="eastAsia" w:hAnsi="宋体"/>
                <w:sz w:val="21"/>
                <w:szCs w:val="21"/>
              </w:rPr>
            </w:pPr>
            <w:r>
              <w:rPr>
                <w:rFonts w:hint="eastAsia" w:hAnsi="宋体"/>
                <w:sz w:val="21"/>
                <w:szCs w:val="21"/>
              </w:rPr>
              <w:t>旅游度假区</w:t>
            </w:r>
          </w:p>
        </w:tc>
        <w:tc>
          <w:tcPr>
            <w:tcW w:w="4536" w:type="dxa"/>
            <w:vAlign w:val="center"/>
          </w:tcPr>
          <w:p w14:paraId="425189C2">
            <w:pPr>
              <w:pStyle w:val="184"/>
              <w:jc w:val="left"/>
              <w:rPr>
                <w:rFonts w:hint="eastAsia" w:hAnsi="宋体"/>
                <w:sz w:val="21"/>
                <w:szCs w:val="21"/>
              </w:rPr>
            </w:pPr>
            <w:r>
              <w:rPr>
                <w:rFonts w:hint="eastAsia" w:hAnsi="宋体"/>
                <w:sz w:val="21"/>
                <w:szCs w:val="21"/>
              </w:rPr>
              <w:t>以提供住宿、餐饮、购物、康养、休闲、娱乐等度假旅游服务为主要功能，有明确空间边界和独立管理运营机构的集聚区。</w:t>
            </w:r>
          </w:p>
        </w:tc>
        <w:tc>
          <w:tcPr>
            <w:tcW w:w="3674" w:type="dxa"/>
            <w:vAlign w:val="center"/>
          </w:tcPr>
          <w:p w14:paraId="4D1EAEFE">
            <w:pPr>
              <w:pStyle w:val="6"/>
              <w:ind w:firstLine="0" w:firstLineChars="0"/>
              <w:jc w:val="left"/>
              <w:rPr>
                <w:rFonts w:hint="eastAsia" w:hAnsi="宋体"/>
                <w:szCs w:val="21"/>
              </w:rPr>
            </w:pPr>
            <w:r>
              <w:rPr>
                <w:rFonts w:hint="eastAsia" w:hAnsi="宋体"/>
                <w:szCs w:val="21"/>
              </w:rPr>
              <w:t>《国家级旅游度假区管理办法》</w:t>
            </w:r>
          </w:p>
        </w:tc>
      </w:tr>
      <w:tr w14:paraId="30C6C7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vAlign w:val="center"/>
          </w:tcPr>
          <w:p w14:paraId="11BEBFDD">
            <w:pPr>
              <w:pStyle w:val="184"/>
              <w:rPr>
                <w:rFonts w:hint="eastAsia" w:hAnsi="宋体"/>
                <w:sz w:val="21"/>
                <w:szCs w:val="21"/>
              </w:rPr>
            </w:pPr>
            <w:r>
              <w:rPr>
                <w:rFonts w:hint="eastAsia" w:hAnsi="宋体"/>
                <w:sz w:val="21"/>
                <w:szCs w:val="21"/>
              </w:rPr>
              <w:t>特殊用地</w:t>
            </w:r>
          </w:p>
        </w:tc>
        <w:tc>
          <w:tcPr>
            <w:tcW w:w="4536" w:type="dxa"/>
            <w:vAlign w:val="center"/>
          </w:tcPr>
          <w:p w14:paraId="5DD343E5">
            <w:pPr>
              <w:pStyle w:val="184"/>
              <w:jc w:val="left"/>
              <w:rPr>
                <w:rFonts w:hint="eastAsia" w:hAnsi="宋体"/>
                <w:sz w:val="21"/>
                <w:szCs w:val="21"/>
              </w:rPr>
            </w:pPr>
            <w:r>
              <w:rPr>
                <w:rFonts w:hint="eastAsia" w:hAnsi="宋体"/>
                <w:sz w:val="21"/>
                <w:szCs w:val="21"/>
              </w:rPr>
              <w:t>军事、外事、宗教、安保、殡葬，以及文物古迹等具有特殊性质的用地。</w:t>
            </w:r>
          </w:p>
        </w:tc>
        <w:tc>
          <w:tcPr>
            <w:tcW w:w="3674" w:type="dxa"/>
            <w:vAlign w:val="center"/>
          </w:tcPr>
          <w:p w14:paraId="0CE09464">
            <w:pPr>
              <w:pStyle w:val="6"/>
              <w:ind w:firstLine="0" w:firstLineChars="0"/>
              <w:jc w:val="left"/>
              <w:rPr>
                <w:rFonts w:hint="eastAsia" w:hAnsi="宋体"/>
                <w:szCs w:val="21"/>
              </w:rPr>
            </w:pPr>
            <w:r>
              <w:rPr>
                <w:rFonts w:hint="eastAsia" w:hAnsi="宋体"/>
                <w:szCs w:val="21"/>
              </w:rPr>
              <w:t>《军事设施保护法》</w:t>
            </w:r>
          </w:p>
          <w:p w14:paraId="1EA97EE5">
            <w:pPr>
              <w:pStyle w:val="6"/>
              <w:ind w:firstLine="0" w:firstLineChars="0"/>
              <w:jc w:val="left"/>
              <w:rPr>
                <w:rFonts w:hint="eastAsia" w:hAnsi="宋体"/>
                <w:szCs w:val="21"/>
              </w:rPr>
            </w:pPr>
            <w:r>
              <w:rPr>
                <w:rFonts w:hint="eastAsia" w:hAnsi="宋体"/>
                <w:szCs w:val="21"/>
              </w:rPr>
              <w:t>《宗教事务条例》</w:t>
            </w:r>
          </w:p>
          <w:p w14:paraId="6775E45E">
            <w:pPr>
              <w:pStyle w:val="6"/>
              <w:ind w:firstLine="0" w:firstLineChars="0"/>
              <w:jc w:val="left"/>
              <w:rPr>
                <w:rFonts w:hint="eastAsia" w:hAnsi="宋体"/>
                <w:szCs w:val="21"/>
              </w:rPr>
            </w:pPr>
            <w:r>
              <w:rPr>
                <w:rFonts w:hint="eastAsia" w:hAnsi="宋体"/>
                <w:szCs w:val="21"/>
              </w:rPr>
              <w:t>《殡葬管理条例》</w:t>
            </w:r>
          </w:p>
        </w:tc>
      </w:tr>
      <w:bookmarkEnd w:id="114"/>
    </w:tbl>
    <w:p w14:paraId="54DDCCA2">
      <w:pPr>
        <w:widowControl/>
        <w:adjustRightInd/>
        <w:spacing w:line="240" w:lineRule="auto"/>
        <w:jc w:val="left"/>
      </w:pPr>
    </w:p>
    <w:p w14:paraId="5C003E7D">
      <w:pPr>
        <w:pStyle w:val="6"/>
        <w:ind w:firstLine="420"/>
      </w:pPr>
      <w:r>
        <w:t>表B.</w:t>
      </w:r>
      <w:r>
        <w:rPr>
          <w:rFonts w:hint="eastAsia"/>
        </w:rPr>
        <w:t>2</w:t>
      </w:r>
      <w:r>
        <w:t>列举了</w:t>
      </w:r>
      <w:r>
        <w:rPr>
          <w:rFonts w:hint="eastAsia"/>
        </w:rPr>
        <w:t>不太可能适用于</w:t>
      </w:r>
      <w:r>
        <w:t>自然共生地</w:t>
      </w:r>
      <w:r>
        <w:rPr>
          <w:rFonts w:hint="eastAsia"/>
        </w:rPr>
        <w:t>认定的</w:t>
      </w:r>
      <w:r>
        <w:t>区域</w:t>
      </w:r>
      <w:r>
        <w:rPr>
          <w:rFonts w:hint="eastAsia"/>
        </w:rPr>
        <w:t>，相关区域的生物多样性友好措施可支持其他全球生物多样性保护目标（如农林牧渔可持续管理、城市生物多样性）的实现</w:t>
      </w:r>
      <w:r>
        <w:t>。</w:t>
      </w:r>
    </w:p>
    <w:p w14:paraId="106A20DF">
      <w:pPr>
        <w:pStyle w:val="83"/>
        <w:spacing w:before="120" w:after="120"/>
      </w:pPr>
      <w:r>
        <w:t>自然共生地认定</w:t>
      </w:r>
      <w:r>
        <w:rPr>
          <w:rFonts w:hint="eastAsia"/>
        </w:rPr>
        <w:t>不</w:t>
      </w:r>
      <w:r>
        <w:t>适用区域举例</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09"/>
        <w:gridCol w:w="3591"/>
        <w:gridCol w:w="3439"/>
      </w:tblGrid>
      <w:tr w14:paraId="310A66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309" w:type="dxa"/>
            <w:tcBorders>
              <w:top w:val="single" w:color="auto" w:sz="8" w:space="0"/>
              <w:left w:val="single" w:color="auto" w:sz="8" w:space="0"/>
              <w:bottom w:val="single" w:color="auto" w:sz="8" w:space="0"/>
              <w:right w:val="single" w:color="auto" w:sz="4" w:space="0"/>
            </w:tcBorders>
          </w:tcPr>
          <w:p w14:paraId="527BCE39">
            <w:pPr>
              <w:pStyle w:val="6"/>
              <w:ind w:firstLine="0" w:firstLineChars="0"/>
              <w:jc w:val="center"/>
            </w:pPr>
            <w:bookmarkStart w:id="117" w:name="_Hlk234756296"/>
            <w:r>
              <w:rPr>
                <w:rFonts w:hint="eastAsia"/>
              </w:rPr>
              <w:t>区域</w:t>
            </w:r>
            <w:r>
              <w:t>类型</w:t>
            </w:r>
          </w:p>
        </w:tc>
        <w:tc>
          <w:tcPr>
            <w:tcW w:w="3591" w:type="dxa"/>
            <w:tcBorders>
              <w:top w:val="single" w:color="auto" w:sz="8" w:space="0"/>
              <w:left w:val="single" w:color="auto" w:sz="4" w:space="0"/>
              <w:bottom w:val="single" w:color="auto" w:sz="8" w:space="0"/>
              <w:right w:val="single" w:color="auto" w:sz="4" w:space="0"/>
            </w:tcBorders>
          </w:tcPr>
          <w:p w14:paraId="72A337EC">
            <w:pPr>
              <w:pStyle w:val="6"/>
              <w:ind w:firstLine="0" w:firstLineChars="0"/>
              <w:jc w:val="center"/>
            </w:pPr>
            <w:r>
              <w:rPr>
                <w:rFonts w:hint="eastAsia"/>
              </w:rPr>
              <w:t>说明</w:t>
            </w:r>
          </w:p>
        </w:tc>
        <w:tc>
          <w:tcPr>
            <w:tcW w:w="3439" w:type="dxa"/>
            <w:tcBorders>
              <w:top w:val="single" w:color="auto" w:sz="8" w:space="0"/>
              <w:left w:val="single" w:color="auto" w:sz="4" w:space="0"/>
              <w:bottom w:val="single" w:color="auto" w:sz="8" w:space="0"/>
              <w:right w:val="single" w:color="auto" w:sz="4" w:space="0"/>
            </w:tcBorders>
          </w:tcPr>
          <w:p w14:paraId="7AA5430E">
            <w:pPr>
              <w:pStyle w:val="6"/>
              <w:ind w:firstLine="0" w:firstLineChars="0"/>
              <w:jc w:val="center"/>
            </w:pPr>
            <w:r>
              <w:rPr>
                <w:rFonts w:hint="eastAsia"/>
              </w:rPr>
              <w:t>举例</w:t>
            </w:r>
          </w:p>
        </w:tc>
      </w:tr>
      <w:tr w14:paraId="2E2E21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09" w:type="dxa"/>
            <w:tcBorders>
              <w:top w:val="single" w:color="auto" w:sz="4" w:space="0"/>
              <w:left w:val="single" w:color="auto" w:sz="8" w:space="0"/>
              <w:bottom w:val="single" w:color="auto" w:sz="4" w:space="0"/>
              <w:right w:val="single" w:color="auto" w:sz="4" w:space="0"/>
            </w:tcBorders>
            <w:vAlign w:val="center"/>
          </w:tcPr>
          <w:p w14:paraId="7712A92E">
            <w:pPr>
              <w:pStyle w:val="6"/>
              <w:ind w:firstLine="0" w:firstLineChars="0"/>
            </w:pPr>
            <w:r>
              <w:t>纯生产</w:t>
            </w:r>
            <w:r>
              <w:rPr>
                <w:rFonts w:hint="eastAsia"/>
              </w:rPr>
              <w:t>导向的人工种养区域</w:t>
            </w:r>
          </w:p>
        </w:tc>
        <w:tc>
          <w:tcPr>
            <w:tcW w:w="3591" w:type="dxa"/>
            <w:tcBorders>
              <w:top w:val="single" w:color="auto" w:sz="4" w:space="0"/>
              <w:left w:val="single" w:color="auto" w:sz="4" w:space="0"/>
              <w:bottom w:val="single" w:color="auto" w:sz="4" w:space="0"/>
              <w:right w:val="single" w:color="auto" w:sz="4" w:space="0"/>
            </w:tcBorders>
            <w:vAlign w:val="center"/>
          </w:tcPr>
          <w:p w14:paraId="21F146D8">
            <w:pPr>
              <w:pStyle w:val="6"/>
              <w:ind w:firstLine="0" w:firstLineChars="0"/>
            </w:pPr>
            <w:r>
              <w:t>以农林渔产品产出为</w:t>
            </w:r>
            <w:r>
              <w:rPr>
                <w:rFonts w:hint="eastAsia"/>
              </w:rPr>
              <w:t>唯一目标</w:t>
            </w:r>
            <w:r>
              <w:t>，生境结构高度人工化、单一化，不具备本土生物多样性就地保护功能</w:t>
            </w:r>
          </w:p>
        </w:tc>
        <w:tc>
          <w:tcPr>
            <w:tcW w:w="3439" w:type="dxa"/>
            <w:tcBorders>
              <w:top w:val="single" w:color="auto" w:sz="4" w:space="0"/>
              <w:left w:val="single" w:color="auto" w:sz="4" w:space="0"/>
              <w:bottom w:val="single" w:color="auto" w:sz="4" w:space="0"/>
              <w:right w:val="single" w:color="auto" w:sz="4" w:space="0"/>
            </w:tcBorders>
          </w:tcPr>
          <w:p w14:paraId="40378D22">
            <w:pPr>
              <w:pStyle w:val="6"/>
              <w:ind w:firstLine="0" w:firstLineChars="0"/>
            </w:pPr>
            <w:bookmarkStart w:id="118" w:name="OLE_LINK10"/>
            <w:r>
              <w:t>单一作物</w:t>
            </w:r>
            <w:r>
              <w:rPr>
                <w:rFonts w:hint="eastAsia"/>
              </w:rPr>
              <w:t>连片</w:t>
            </w:r>
            <w:r>
              <w:t>农田、</w:t>
            </w:r>
            <w:r>
              <w:rPr>
                <w:rFonts w:hint="eastAsia"/>
              </w:rPr>
              <w:t>规模化</w:t>
            </w:r>
            <w:r>
              <w:t>设施</w:t>
            </w:r>
            <w:r>
              <w:rPr>
                <w:rFonts w:hint="eastAsia"/>
              </w:rPr>
              <w:t>种植</w:t>
            </w:r>
            <w:r>
              <w:t>大棚</w:t>
            </w:r>
            <w:r>
              <w:rPr>
                <w:rFonts w:hint="eastAsia"/>
              </w:rPr>
              <w:t>、</w:t>
            </w:r>
            <w:r>
              <w:t>高密度封闭式精养池塘</w:t>
            </w:r>
            <w:r>
              <w:rPr>
                <w:rFonts w:hint="eastAsia"/>
              </w:rPr>
              <w:t>、纯人工单一树种用材林地、集约化</w:t>
            </w:r>
            <w:r>
              <w:t>苗木苗圃</w:t>
            </w:r>
            <w:bookmarkEnd w:id="118"/>
          </w:p>
        </w:tc>
      </w:tr>
      <w:tr w14:paraId="417D1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09" w:type="dxa"/>
            <w:tcBorders>
              <w:top w:val="single" w:color="auto" w:sz="4" w:space="0"/>
              <w:left w:val="single" w:color="auto" w:sz="8" w:space="0"/>
              <w:bottom w:val="single" w:color="auto" w:sz="4" w:space="0"/>
              <w:right w:val="single" w:color="auto" w:sz="4" w:space="0"/>
            </w:tcBorders>
            <w:vAlign w:val="center"/>
          </w:tcPr>
          <w:p w14:paraId="3AD478A4">
            <w:pPr>
              <w:pStyle w:val="6"/>
              <w:ind w:firstLine="0" w:firstLineChars="0"/>
            </w:pPr>
            <w:r>
              <w:t>人工营建的城市休闲与景观空间</w:t>
            </w:r>
          </w:p>
        </w:tc>
        <w:tc>
          <w:tcPr>
            <w:tcW w:w="3591" w:type="dxa"/>
            <w:tcBorders>
              <w:top w:val="single" w:color="auto" w:sz="4" w:space="0"/>
              <w:left w:val="single" w:color="auto" w:sz="4" w:space="0"/>
              <w:bottom w:val="single" w:color="auto" w:sz="4" w:space="0"/>
              <w:right w:val="single" w:color="auto" w:sz="4" w:space="0"/>
            </w:tcBorders>
            <w:vAlign w:val="center"/>
          </w:tcPr>
          <w:p w14:paraId="0424EF04">
            <w:pPr>
              <w:pStyle w:val="6"/>
              <w:ind w:firstLine="0" w:firstLineChars="0"/>
            </w:pPr>
            <w:r>
              <w:rPr>
                <w:rFonts w:hint="eastAsia"/>
              </w:rPr>
              <w:t>主导</w:t>
            </w:r>
            <w:r>
              <w:t>功能为休闲</w:t>
            </w:r>
            <w:r>
              <w:rPr>
                <w:rFonts w:hint="eastAsia"/>
              </w:rPr>
              <w:t>游憩</w:t>
            </w:r>
            <w:r>
              <w:t>、</w:t>
            </w:r>
            <w:r>
              <w:rPr>
                <w:rFonts w:hint="eastAsia"/>
              </w:rPr>
              <w:t>健身娱乐等</w:t>
            </w:r>
            <w:r>
              <w:t>城市</w:t>
            </w:r>
            <w:r>
              <w:rPr>
                <w:rFonts w:hint="eastAsia"/>
              </w:rPr>
              <w:t>公共</w:t>
            </w:r>
            <w:r>
              <w:t>服务，经高强度人工干预与规整化管护，原生生态系统缺失</w:t>
            </w:r>
            <w:r>
              <w:rPr>
                <w:rFonts w:hint="eastAsia"/>
              </w:rPr>
              <w:t>、</w:t>
            </w:r>
            <w:r>
              <w:t>生境异质性不足</w:t>
            </w:r>
            <w:r>
              <w:rPr>
                <w:rFonts w:hint="eastAsia"/>
              </w:rPr>
              <w:t>、人为干扰强烈，</w:t>
            </w:r>
            <w:r>
              <w:t>难以长期维系本土野生生物种群</w:t>
            </w:r>
          </w:p>
        </w:tc>
        <w:tc>
          <w:tcPr>
            <w:tcW w:w="3439" w:type="dxa"/>
            <w:tcBorders>
              <w:top w:val="single" w:color="auto" w:sz="4" w:space="0"/>
              <w:left w:val="single" w:color="auto" w:sz="4" w:space="0"/>
              <w:bottom w:val="single" w:color="auto" w:sz="4" w:space="0"/>
              <w:right w:val="single" w:color="auto" w:sz="4" w:space="0"/>
            </w:tcBorders>
          </w:tcPr>
          <w:p w14:paraId="17F23237">
            <w:pPr>
              <w:pStyle w:val="6"/>
              <w:ind w:firstLine="0" w:firstLineChars="0"/>
            </w:pPr>
            <w:bookmarkStart w:id="119" w:name="OLE_LINK25"/>
            <w:r>
              <w:rPr>
                <w:rFonts w:hint="eastAsia"/>
              </w:rPr>
              <w:t>高频</w:t>
            </w:r>
            <w:r>
              <w:t>修剪</w:t>
            </w:r>
            <w:r>
              <w:rPr>
                <w:rFonts w:hint="eastAsia"/>
              </w:rPr>
              <w:t>均质</w:t>
            </w:r>
            <w:r>
              <w:t>草坪</w:t>
            </w:r>
            <w:r>
              <w:rPr>
                <w:rFonts w:hint="eastAsia"/>
              </w:rPr>
              <w:t>（如</w:t>
            </w:r>
            <w:r>
              <w:t>高尔夫球场</w:t>
            </w:r>
            <w:r>
              <w:rPr>
                <w:rFonts w:hint="eastAsia"/>
              </w:rPr>
              <w:t>）</w:t>
            </w:r>
            <w:r>
              <w:t>、植被垂直结构单一</w:t>
            </w:r>
            <w:r>
              <w:rPr>
                <w:rFonts w:hint="eastAsia"/>
              </w:rPr>
              <w:t>的人工景观林</w:t>
            </w:r>
            <w:r>
              <w:t>、</w:t>
            </w:r>
            <w:r>
              <w:rPr>
                <w:rFonts w:hint="eastAsia"/>
              </w:rPr>
              <w:t>硬质驳岸的人工景观水系、面积狭小的</w:t>
            </w:r>
            <w:r>
              <w:t>硬质铺装街心花园</w:t>
            </w:r>
            <w:bookmarkEnd w:id="119"/>
          </w:p>
        </w:tc>
      </w:tr>
      <w:bookmarkEnd w:id="117"/>
      <w:tr w14:paraId="4AD6AC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09" w:type="dxa"/>
            <w:tcBorders>
              <w:top w:val="single" w:color="auto" w:sz="4" w:space="0"/>
              <w:left w:val="single" w:color="auto" w:sz="8" w:space="0"/>
              <w:bottom w:val="single" w:color="auto" w:sz="4" w:space="0"/>
              <w:right w:val="single" w:color="auto" w:sz="4" w:space="0"/>
            </w:tcBorders>
            <w:vAlign w:val="center"/>
          </w:tcPr>
          <w:p w14:paraId="7831420F">
            <w:pPr>
              <w:pStyle w:val="6"/>
              <w:ind w:firstLine="0" w:firstLineChars="0"/>
            </w:pPr>
            <w:r>
              <w:t>迁地保护为主、无原生栖息地片区</w:t>
            </w:r>
          </w:p>
        </w:tc>
        <w:tc>
          <w:tcPr>
            <w:tcW w:w="3591" w:type="dxa"/>
            <w:tcBorders>
              <w:top w:val="single" w:color="auto" w:sz="4" w:space="0"/>
              <w:left w:val="single" w:color="auto" w:sz="4" w:space="0"/>
              <w:bottom w:val="single" w:color="auto" w:sz="4" w:space="0"/>
              <w:right w:val="single" w:color="auto" w:sz="4" w:space="0"/>
            </w:tcBorders>
            <w:vAlign w:val="center"/>
          </w:tcPr>
          <w:p w14:paraId="14C03CBA">
            <w:pPr>
              <w:pStyle w:val="6"/>
              <w:ind w:firstLine="0" w:firstLineChars="0"/>
            </w:pPr>
            <w:bookmarkStart w:id="120" w:name="OLE_LINK26"/>
            <w:r>
              <w:t>主要生物多样性要素并非本土原生物种，主要为经人工扩繁、引种移栽等迁地保护手段引入的类群，</w:t>
            </w:r>
            <w:r>
              <w:rPr>
                <w:rFonts w:hint="eastAsia"/>
              </w:rPr>
              <w:t>无法支撑</w:t>
            </w:r>
            <w:r>
              <w:t>本土野生物种及其原生栖息地</w:t>
            </w:r>
            <w:r>
              <w:rPr>
                <w:rFonts w:hint="eastAsia"/>
              </w:rPr>
              <w:t>的</w:t>
            </w:r>
            <w:r>
              <w:t>保护</w:t>
            </w:r>
            <w:bookmarkEnd w:id="120"/>
          </w:p>
        </w:tc>
        <w:tc>
          <w:tcPr>
            <w:tcW w:w="3439" w:type="dxa"/>
            <w:tcBorders>
              <w:top w:val="single" w:color="auto" w:sz="4" w:space="0"/>
              <w:left w:val="single" w:color="auto" w:sz="4" w:space="0"/>
              <w:bottom w:val="single" w:color="auto" w:sz="4" w:space="0"/>
              <w:right w:val="single" w:color="auto" w:sz="4" w:space="0"/>
            </w:tcBorders>
          </w:tcPr>
          <w:p w14:paraId="2DE6680A">
            <w:pPr>
              <w:pStyle w:val="6"/>
              <w:ind w:firstLine="0" w:firstLineChars="0"/>
            </w:pPr>
            <w:r>
              <w:t>动物园、植物园</w:t>
            </w:r>
          </w:p>
          <w:p w14:paraId="7B321182">
            <w:pPr>
              <w:pStyle w:val="6"/>
              <w:ind w:firstLine="0" w:firstLineChars="0"/>
            </w:pPr>
            <w:r>
              <w:rPr>
                <w:rFonts w:hint="eastAsia"/>
              </w:rPr>
              <w:t>注：园区内原生生态片区除外</w:t>
            </w:r>
            <w:r>
              <w:rPr>
                <w:rFonts w:hint="eastAsia"/>
                <w:vertAlign w:val="superscript"/>
              </w:rPr>
              <w:t>1</w:t>
            </w:r>
          </w:p>
        </w:tc>
      </w:tr>
      <w:tr w14:paraId="7ACE73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09" w:type="dxa"/>
            <w:tcBorders>
              <w:top w:val="single" w:color="auto" w:sz="4" w:space="0"/>
              <w:left w:val="single" w:color="auto" w:sz="8" w:space="0"/>
              <w:bottom w:val="single" w:color="auto" w:sz="4" w:space="0"/>
              <w:right w:val="single" w:color="auto" w:sz="4" w:space="0"/>
            </w:tcBorders>
            <w:vAlign w:val="center"/>
          </w:tcPr>
          <w:p w14:paraId="28980F3E">
            <w:pPr>
              <w:pStyle w:val="6"/>
              <w:ind w:firstLine="0" w:firstLineChars="0"/>
            </w:pPr>
            <w:r>
              <w:rPr>
                <w:rFonts w:hint="eastAsia"/>
              </w:rPr>
              <w:t>非基于区域的保护措施</w:t>
            </w:r>
          </w:p>
        </w:tc>
        <w:tc>
          <w:tcPr>
            <w:tcW w:w="3591" w:type="dxa"/>
            <w:tcBorders>
              <w:top w:val="single" w:color="auto" w:sz="4" w:space="0"/>
              <w:left w:val="single" w:color="auto" w:sz="4" w:space="0"/>
              <w:bottom w:val="single" w:color="auto" w:sz="4" w:space="0"/>
              <w:right w:val="single" w:color="auto" w:sz="4" w:space="0"/>
            </w:tcBorders>
            <w:vAlign w:val="center"/>
          </w:tcPr>
          <w:p w14:paraId="6C8D8FA4">
            <w:pPr>
              <w:pStyle w:val="6"/>
              <w:ind w:firstLine="0" w:firstLineChars="0"/>
            </w:pPr>
            <w:r>
              <w:t>无明确固定的连片管护地块与清晰边界，仅为分散单点式</w:t>
            </w:r>
            <w:r>
              <w:rPr>
                <w:rFonts w:hint="eastAsia"/>
              </w:rPr>
              <w:t>或泛化性</w:t>
            </w:r>
            <w:r>
              <w:t>保护行动，无法形成区域性就地保护成效</w:t>
            </w:r>
          </w:p>
        </w:tc>
        <w:tc>
          <w:tcPr>
            <w:tcW w:w="3439" w:type="dxa"/>
            <w:tcBorders>
              <w:top w:val="single" w:color="auto" w:sz="4" w:space="0"/>
              <w:left w:val="single" w:color="auto" w:sz="4" w:space="0"/>
              <w:bottom w:val="single" w:color="auto" w:sz="4" w:space="0"/>
              <w:right w:val="single" w:color="auto" w:sz="4" w:space="0"/>
            </w:tcBorders>
          </w:tcPr>
          <w:p w14:paraId="0DCC89C8">
            <w:pPr>
              <w:pStyle w:val="6"/>
              <w:ind w:firstLine="0" w:firstLineChars="0"/>
            </w:pPr>
            <w:r>
              <w:t>零散布设的人工巢箱</w:t>
            </w:r>
            <w:r>
              <w:rPr>
                <w:rFonts w:hint="eastAsia"/>
              </w:rPr>
              <w:t>、</w:t>
            </w:r>
            <w:r>
              <w:t>野生动物单点</w:t>
            </w:r>
            <w:r>
              <w:rPr>
                <w:rFonts w:hint="eastAsia"/>
              </w:rPr>
              <w:t>饮水点</w:t>
            </w:r>
            <w:r>
              <w:t>、单株古树名木挂牌保护</w:t>
            </w:r>
            <w:r>
              <w:rPr>
                <w:rFonts w:hint="eastAsia"/>
              </w:rPr>
              <w:t>、</w:t>
            </w:r>
            <w:r>
              <w:t>全域科普宣传</w:t>
            </w:r>
          </w:p>
        </w:tc>
      </w:tr>
    </w:tbl>
    <w:p w14:paraId="5D277367">
      <w:pPr>
        <w:pStyle w:val="6"/>
        <w:ind w:firstLine="0" w:firstLineChars="0"/>
      </w:pPr>
      <w:r>
        <w:rPr>
          <w:rFonts w:hint="eastAsia"/>
          <w:vertAlign w:val="superscript"/>
        </w:rPr>
        <w:t>1</w:t>
      </w:r>
      <w:r>
        <w:t>动物园、植物园若保留一定规模原生生态系统，能够稳定维系本土野生动植物生存繁衍，可纳入自然共生地认定范畴；其划定为自然共生地的范围，仅限承载本土生物多样性保护功能的原生生态片区，人工圈养展区、外来物种专类园区不计入。</w:t>
      </w:r>
    </w:p>
    <w:p w14:paraId="4D830FA8">
      <w:pPr>
        <w:widowControl/>
        <w:adjustRightInd/>
        <w:spacing w:line="240" w:lineRule="auto"/>
        <w:jc w:val="left"/>
        <w:rPr>
          <w:rFonts w:ascii="宋体" w:hAnsi="Times New Roman"/>
          <w:kern w:val="0"/>
          <w:szCs w:val="20"/>
        </w:rPr>
      </w:pPr>
      <w:r>
        <w:br w:type="page"/>
      </w:r>
    </w:p>
    <w:p w14:paraId="37FC86AF">
      <w:pPr>
        <w:pStyle w:val="82"/>
        <w:spacing w:before="0" w:beforeLines="0" w:after="0" w:afterLines="0"/>
        <w:rPr>
          <w:rFonts w:ascii="Times New Roman"/>
        </w:rPr>
      </w:pPr>
      <w:bookmarkStart w:id="121" w:name="_Toc6825"/>
      <w:r>
        <w:rPr>
          <w:rFonts w:ascii="Times New Roman"/>
        </w:rPr>
        <w:br w:type="textWrapping"/>
      </w:r>
      <w:r>
        <w:rPr>
          <w:rFonts w:hint="eastAsia" w:ascii="Times New Roman"/>
        </w:rPr>
        <w:t>（资料性）</w:t>
      </w:r>
      <w:r>
        <w:rPr>
          <w:rFonts w:ascii="Times New Roman"/>
        </w:rPr>
        <w:br w:type="textWrapping"/>
      </w:r>
      <w:r>
        <w:rPr>
          <w:rFonts w:hint="eastAsia" w:ascii="Times New Roman"/>
        </w:rPr>
        <w:t>生物多样性要素</w:t>
      </w:r>
      <w:bookmarkEnd w:id="121"/>
    </w:p>
    <w:p w14:paraId="6DC7BB91">
      <w:pPr>
        <w:pStyle w:val="6"/>
        <w:ind w:firstLine="420"/>
      </w:pPr>
      <w:bookmarkStart w:id="122" w:name="OLE_LINK53"/>
      <w:r>
        <w:rPr>
          <w:rFonts w:hint="eastAsia"/>
        </w:rPr>
        <w:t>表C.1列出了各类空间支持的生物多样性要素（符合其中一项即可）。</w:t>
      </w:r>
      <w:bookmarkEnd w:id="122"/>
    </w:p>
    <w:p w14:paraId="22739B45">
      <w:pPr>
        <w:pStyle w:val="6"/>
        <w:ind w:firstLine="420"/>
      </w:pPr>
    </w:p>
    <w:p w14:paraId="481867A1">
      <w:pPr>
        <w:pStyle w:val="238"/>
        <w:widowControl/>
        <w:numPr>
          <w:ilvl w:val="0"/>
          <w:numId w:val="5"/>
        </w:numPr>
        <w:autoSpaceDE w:val="0"/>
        <w:autoSpaceDN w:val="0"/>
        <w:adjustRightInd/>
        <w:spacing w:line="14" w:lineRule="exact"/>
        <w:ind w:firstLineChars="0"/>
        <w:jc w:val="center"/>
        <w:rPr>
          <w:rFonts w:ascii="宋体" w:hAnsi="Times New Roman" w:eastAsia="黑体"/>
          <w:vanish/>
          <w:kern w:val="0"/>
          <w:sz w:val="2"/>
          <w:szCs w:val="20"/>
        </w:rPr>
      </w:pPr>
    </w:p>
    <w:p w14:paraId="6B4C62DA">
      <w:pPr>
        <w:pStyle w:val="83"/>
        <w:spacing w:before="120" w:after="120"/>
      </w:pPr>
      <w:r>
        <w:rPr>
          <w:rFonts w:hint="eastAsia"/>
        </w:rPr>
        <w:t>生物多样性要素</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3"/>
        <w:gridCol w:w="2268"/>
        <w:gridCol w:w="6088"/>
      </w:tblGrid>
      <w:tr w14:paraId="3E855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983" w:type="dxa"/>
            <w:tcBorders>
              <w:top w:val="single" w:color="auto" w:sz="8" w:space="0"/>
              <w:left w:val="single" w:color="auto" w:sz="8" w:space="0"/>
              <w:bottom w:val="single" w:color="auto" w:sz="8" w:space="0"/>
              <w:right w:val="single" w:color="auto" w:sz="4" w:space="0"/>
            </w:tcBorders>
          </w:tcPr>
          <w:p w14:paraId="6C793D74">
            <w:pPr>
              <w:pStyle w:val="6"/>
              <w:ind w:firstLine="0" w:firstLineChars="0"/>
            </w:pPr>
            <w:bookmarkStart w:id="123" w:name="_Hlk234758396"/>
            <w:bookmarkStart w:id="124" w:name="OLE_LINK38"/>
            <w:r>
              <w:rPr>
                <w:rFonts w:hint="eastAsia"/>
              </w:rPr>
              <w:t>适用空间</w:t>
            </w:r>
          </w:p>
        </w:tc>
        <w:tc>
          <w:tcPr>
            <w:tcW w:w="2268" w:type="dxa"/>
            <w:tcBorders>
              <w:top w:val="single" w:color="auto" w:sz="8" w:space="0"/>
              <w:left w:val="single" w:color="auto" w:sz="4" w:space="0"/>
              <w:bottom w:val="single" w:color="auto" w:sz="8" w:space="0"/>
              <w:right w:val="single" w:color="auto" w:sz="4" w:space="0"/>
            </w:tcBorders>
          </w:tcPr>
          <w:p w14:paraId="02377984">
            <w:pPr>
              <w:pStyle w:val="6"/>
              <w:ind w:firstLine="0" w:firstLineChars="0"/>
            </w:pPr>
            <w:r>
              <w:rPr>
                <w:rFonts w:hint="eastAsia"/>
              </w:rPr>
              <w:t>类型</w:t>
            </w:r>
          </w:p>
        </w:tc>
        <w:tc>
          <w:tcPr>
            <w:tcW w:w="6088" w:type="dxa"/>
            <w:tcBorders>
              <w:top w:val="single" w:color="auto" w:sz="8" w:space="0"/>
              <w:left w:val="single" w:color="auto" w:sz="4" w:space="0"/>
              <w:bottom w:val="single" w:color="auto" w:sz="8" w:space="0"/>
              <w:right w:val="single" w:color="auto" w:sz="4" w:space="0"/>
            </w:tcBorders>
          </w:tcPr>
          <w:p w14:paraId="253D5F7F">
            <w:pPr>
              <w:pStyle w:val="6"/>
              <w:ind w:firstLine="0" w:firstLineChars="0"/>
            </w:pPr>
            <w:r>
              <w:rPr>
                <w:rFonts w:hint="eastAsia"/>
              </w:rPr>
              <w:t>子类</w:t>
            </w:r>
          </w:p>
        </w:tc>
      </w:tr>
      <w:bookmarkEnd w:id="123"/>
      <w:tr w14:paraId="58DB66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vMerge w:val="restart"/>
            <w:tcBorders>
              <w:top w:val="single" w:color="auto" w:sz="4" w:space="0"/>
              <w:left w:val="single" w:color="auto" w:sz="8" w:space="0"/>
              <w:right w:val="single" w:color="auto" w:sz="4" w:space="0"/>
            </w:tcBorders>
            <w:vAlign w:val="center"/>
          </w:tcPr>
          <w:p w14:paraId="1CFBA4F5">
            <w:pPr>
              <w:pStyle w:val="6"/>
              <w:ind w:firstLine="0" w:firstLineChars="0"/>
            </w:pPr>
            <w:r>
              <w:rPr>
                <w:rFonts w:hint="eastAsia"/>
              </w:rPr>
              <w:t>生态空间、农业空间、城镇空间</w:t>
            </w:r>
          </w:p>
        </w:tc>
        <w:tc>
          <w:tcPr>
            <w:tcW w:w="2268" w:type="dxa"/>
            <w:tcBorders>
              <w:top w:val="single" w:color="auto" w:sz="4" w:space="0"/>
              <w:left w:val="single" w:color="auto" w:sz="4" w:space="0"/>
              <w:bottom w:val="single" w:color="auto" w:sz="4" w:space="0"/>
              <w:right w:val="single" w:color="auto" w:sz="4" w:space="0"/>
            </w:tcBorders>
            <w:vAlign w:val="center"/>
          </w:tcPr>
          <w:p w14:paraId="7CF40838">
            <w:pPr>
              <w:pStyle w:val="6"/>
              <w:ind w:firstLine="0" w:firstLineChars="0"/>
            </w:pPr>
            <w:r>
              <w:t>已</w:t>
            </w:r>
            <w:bookmarkStart w:id="125" w:name="OLE_LINK46"/>
            <w:r>
              <w:t>列入国内或国际设立的具有重要生物多样性价值的区域</w:t>
            </w:r>
            <w:bookmarkEnd w:id="125"/>
          </w:p>
        </w:tc>
        <w:tc>
          <w:tcPr>
            <w:tcW w:w="6088" w:type="dxa"/>
            <w:tcBorders>
              <w:top w:val="single" w:color="auto" w:sz="4" w:space="0"/>
              <w:left w:val="single" w:color="auto" w:sz="4" w:space="0"/>
              <w:bottom w:val="single" w:color="auto" w:sz="4" w:space="0"/>
              <w:right w:val="single" w:color="auto" w:sz="4" w:space="0"/>
            </w:tcBorders>
          </w:tcPr>
          <w:p w14:paraId="38EC358B">
            <w:pPr>
              <w:pStyle w:val="6"/>
              <w:numPr>
                <w:ilvl w:val="4"/>
                <w:numId w:val="32"/>
              </w:numPr>
              <w:tabs>
                <w:tab w:val="left" w:pos="1271"/>
              </w:tabs>
              <w:ind w:left="420" w:hanging="420" w:firstLineChars="0"/>
            </w:pPr>
            <w:r>
              <w:t>生态环境部发布的中国生物多样性保护优先区域；</w:t>
            </w:r>
          </w:p>
          <w:p w14:paraId="58CEF03C">
            <w:pPr>
              <w:pStyle w:val="6"/>
              <w:numPr>
                <w:ilvl w:val="4"/>
                <w:numId w:val="32"/>
              </w:numPr>
              <w:tabs>
                <w:tab w:val="left" w:pos="1271"/>
              </w:tabs>
              <w:ind w:left="420" w:hanging="420" w:firstLineChars="0"/>
            </w:pPr>
            <w:r>
              <w:t>国家及各地林业和草原局发布的陆生野生动物重要栖息地；</w:t>
            </w:r>
          </w:p>
          <w:p w14:paraId="15E3065D">
            <w:pPr>
              <w:pStyle w:val="6"/>
              <w:numPr>
                <w:ilvl w:val="4"/>
                <w:numId w:val="32"/>
              </w:numPr>
              <w:tabs>
                <w:tab w:val="left" w:pos="1271"/>
              </w:tabs>
              <w:ind w:left="420" w:hanging="420" w:firstLineChars="0"/>
            </w:pPr>
            <w:r>
              <w:t>国家及各地林业和草原局发布的候鸟重要迁徙通道；</w:t>
            </w:r>
          </w:p>
          <w:p w14:paraId="30A8DAB7">
            <w:pPr>
              <w:pStyle w:val="6"/>
              <w:numPr>
                <w:ilvl w:val="4"/>
                <w:numId w:val="32"/>
              </w:numPr>
              <w:tabs>
                <w:tab w:val="left" w:pos="1271"/>
              </w:tabs>
              <w:ind w:left="420" w:hanging="420" w:firstLineChars="0"/>
              <w:rPr>
                <w:rFonts w:hint="eastAsia"/>
              </w:rPr>
            </w:pPr>
            <w:r>
              <w:t>世界自然保护联盟评估的生物多样性关键区（KBA），其中包括重要植物区（IPA）、重要鸟区（IBA）、零灭绝联盟区域（AZEs）等。</w:t>
            </w:r>
          </w:p>
        </w:tc>
      </w:tr>
      <w:tr w14:paraId="257693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vMerge w:val="continue"/>
            <w:tcBorders>
              <w:left w:val="single" w:color="auto" w:sz="8" w:space="0"/>
              <w:right w:val="single" w:color="auto" w:sz="4" w:space="0"/>
            </w:tcBorders>
            <w:vAlign w:val="center"/>
          </w:tcPr>
          <w:p w14:paraId="73F1D27F">
            <w:pPr>
              <w:pStyle w:val="6"/>
              <w:ind w:firstLine="0" w:firstLineChars="0"/>
            </w:pPr>
          </w:p>
        </w:tc>
        <w:tc>
          <w:tcPr>
            <w:tcW w:w="2268" w:type="dxa"/>
            <w:tcBorders>
              <w:top w:val="single" w:color="auto" w:sz="4" w:space="0"/>
              <w:left w:val="single" w:color="auto" w:sz="4" w:space="0"/>
              <w:bottom w:val="single" w:color="auto" w:sz="4" w:space="0"/>
              <w:right w:val="single" w:color="auto" w:sz="4" w:space="0"/>
            </w:tcBorders>
            <w:vAlign w:val="center"/>
          </w:tcPr>
          <w:p w14:paraId="1F254980">
            <w:pPr>
              <w:pStyle w:val="6"/>
              <w:ind w:firstLine="0" w:firstLineChars="0"/>
            </w:pPr>
            <w:r>
              <w:t>中国自然保护地体系覆盖不足的自然生态系统或物种分布区</w:t>
            </w:r>
          </w:p>
        </w:tc>
        <w:tc>
          <w:tcPr>
            <w:tcW w:w="6088" w:type="dxa"/>
            <w:tcBorders>
              <w:top w:val="single" w:color="auto" w:sz="4" w:space="0"/>
              <w:left w:val="single" w:color="auto" w:sz="4" w:space="0"/>
              <w:bottom w:val="single" w:color="auto" w:sz="4" w:space="0"/>
              <w:right w:val="single" w:color="auto" w:sz="4" w:space="0"/>
            </w:tcBorders>
          </w:tcPr>
          <w:p w14:paraId="7481749C">
            <w:pPr>
              <w:pStyle w:val="6"/>
              <w:numPr>
                <w:ilvl w:val="4"/>
                <w:numId w:val="33"/>
              </w:numPr>
              <w:tabs>
                <w:tab w:val="left" w:pos="1271"/>
              </w:tabs>
              <w:ind w:left="420" w:hanging="420" w:firstLineChars="0"/>
            </w:pPr>
            <w:r>
              <w:t xml:space="preserve">中国自然保护地体系尚未覆盖的自然生态系统类型； </w:t>
            </w:r>
          </w:p>
          <w:p w14:paraId="25637EF5">
            <w:pPr>
              <w:pStyle w:val="6"/>
              <w:numPr>
                <w:ilvl w:val="4"/>
                <w:numId w:val="33"/>
              </w:numPr>
              <w:tabs>
                <w:tab w:val="left" w:pos="1271"/>
              </w:tabs>
              <w:ind w:left="420" w:hanging="420" w:firstLineChars="0"/>
            </w:pPr>
            <w:r>
              <w:t>中国自然保护地体系尚未覆盖的高等植物群落；</w:t>
            </w:r>
          </w:p>
          <w:p w14:paraId="750A4143">
            <w:pPr>
              <w:pStyle w:val="6"/>
              <w:numPr>
                <w:ilvl w:val="4"/>
                <w:numId w:val="33"/>
              </w:numPr>
              <w:tabs>
                <w:tab w:val="left" w:pos="1271"/>
              </w:tabs>
              <w:ind w:left="420" w:hanging="420" w:firstLineChars="0"/>
            </w:pPr>
            <w:r>
              <w:t xml:space="preserve">中国自然保护地体系尚未覆盖的国家重点保护野生动植物种类。 </w:t>
            </w:r>
          </w:p>
        </w:tc>
      </w:tr>
      <w:tr w14:paraId="29909C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vMerge w:val="continue"/>
            <w:tcBorders>
              <w:left w:val="single" w:color="auto" w:sz="8" w:space="0"/>
              <w:right w:val="single" w:color="auto" w:sz="4" w:space="0"/>
            </w:tcBorders>
            <w:vAlign w:val="center"/>
          </w:tcPr>
          <w:p w14:paraId="5101141B">
            <w:pPr>
              <w:pStyle w:val="6"/>
              <w:ind w:firstLine="0" w:firstLineChars="0"/>
            </w:pPr>
          </w:p>
        </w:tc>
        <w:tc>
          <w:tcPr>
            <w:tcW w:w="2268" w:type="dxa"/>
            <w:tcBorders>
              <w:top w:val="single" w:color="auto" w:sz="4" w:space="0"/>
              <w:left w:val="single" w:color="auto" w:sz="4" w:space="0"/>
              <w:bottom w:val="single" w:color="auto" w:sz="4" w:space="0"/>
              <w:right w:val="single" w:color="auto" w:sz="4" w:space="0"/>
            </w:tcBorders>
            <w:vAlign w:val="center"/>
          </w:tcPr>
          <w:p w14:paraId="316D332A">
            <w:pPr>
              <w:pStyle w:val="6"/>
              <w:ind w:firstLine="0" w:firstLineChars="0"/>
            </w:pPr>
            <w:r>
              <w:t>稀有、珍贵或濒危物种的栖息地</w:t>
            </w:r>
          </w:p>
        </w:tc>
        <w:tc>
          <w:tcPr>
            <w:tcW w:w="6088" w:type="dxa"/>
            <w:tcBorders>
              <w:top w:val="single" w:color="auto" w:sz="4" w:space="0"/>
              <w:left w:val="single" w:color="auto" w:sz="4" w:space="0"/>
              <w:bottom w:val="single" w:color="auto" w:sz="4" w:space="0"/>
              <w:right w:val="single" w:color="auto" w:sz="4" w:space="0"/>
            </w:tcBorders>
          </w:tcPr>
          <w:p w14:paraId="4550A68D">
            <w:pPr>
              <w:pStyle w:val="6"/>
              <w:numPr>
                <w:ilvl w:val="4"/>
                <w:numId w:val="34"/>
              </w:numPr>
              <w:tabs>
                <w:tab w:val="left" w:pos="1271"/>
              </w:tabs>
              <w:ind w:left="420" w:hanging="420" w:firstLineChars="0"/>
            </w:pPr>
            <w:r>
              <w:t>列入国家或地方重点保护野生动植物名录的物种的栖息地；</w:t>
            </w:r>
          </w:p>
          <w:p w14:paraId="42125653">
            <w:pPr>
              <w:pStyle w:val="6"/>
              <w:numPr>
                <w:ilvl w:val="4"/>
                <w:numId w:val="32"/>
              </w:numPr>
              <w:tabs>
                <w:tab w:val="left" w:pos="1271"/>
              </w:tabs>
              <w:ind w:left="420" w:hanging="420" w:firstLineChars="0"/>
            </w:pPr>
            <w:r>
              <w:t>中国生物多样性红色名录中受威胁物种（包括极危、濒危、易危）的栖息地；</w:t>
            </w:r>
          </w:p>
          <w:p w14:paraId="47BFF115">
            <w:pPr>
              <w:pStyle w:val="6"/>
              <w:numPr>
                <w:ilvl w:val="4"/>
                <w:numId w:val="32"/>
              </w:numPr>
              <w:tabs>
                <w:tab w:val="left" w:pos="1271"/>
              </w:tabs>
              <w:ind w:left="420" w:hanging="420" w:firstLineChars="0"/>
              <w:rPr>
                <w:rFonts w:hint="eastAsia"/>
              </w:rPr>
            </w:pPr>
            <w:r>
              <w:t>IUCN受威胁物种红色名录中受威胁物种（包括极危、濒危、易危）的栖息地。</w:t>
            </w:r>
          </w:p>
        </w:tc>
      </w:tr>
      <w:tr w14:paraId="17FB1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vMerge w:val="continue"/>
            <w:tcBorders>
              <w:left w:val="single" w:color="auto" w:sz="8" w:space="0"/>
              <w:right w:val="single" w:color="auto" w:sz="4" w:space="0"/>
            </w:tcBorders>
            <w:vAlign w:val="center"/>
          </w:tcPr>
          <w:p w14:paraId="2BDC4D13">
            <w:pPr>
              <w:pStyle w:val="6"/>
              <w:ind w:firstLine="0" w:firstLineChars="0"/>
            </w:pPr>
          </w:p>
        </w:tc>
        <w:tc>
          <w:tcPr>
            <w:tcW w:w="2268" w:type="dxa"/>
            <w:tcBorders>
              <w:top w:val="single" w:color="auto" w:sz="4" w:space="0"/>
              <w:left w:val="single" w:color="auto" w:sz="4" w:space="0"/>
              <w:bottom w:val="single" w:color="auto" w:sz="4" w:space="0"/>
              <w:right w:val="single" w:color="auto" w:sz="4" w:space="0"/>
            </w:tcBorders>
            <w:vAlign w:val="center"/>
          </w:tcPr>
          <w:p w14:paraId="3D859B42">
            <w:pPr>
              <w:pStyle w:val="6"/>
              <w:ind w:firstLine="0" w:firstLineChars="0"/>
            </w:pPr>
            <w:r>
              <w:t>本地特有或分布范围受限的物种栖息地</w:t>
            </w:r>
          </w:p>
        </w:tc>
        <w:tc>
          <w:tcPr>
            <w:tcW w:w="6088" w:type="dxa"/>
            <w:tcBorders>
              <w:top w:val="single" w:color="auto" w:sz="4" w:space="0"/>
              <w:left w:val="single" w:color="auto" w:sz="4" w:space="0"/>
              <w:bottom w:val="single" w:color="auto" w:sz="4" w:space="0"/>
              <w:right w:val="single" w:color="auto" w:sz="4" w:space="0"/>
            </w:tcBorders>
          </w:tcPr>
          <w:p w14:paraId="49A20626">
            <w:pPr>
              <w:pStyle w:val="6"/>
              <w:numPr>
                <w:ilvl w:val="4"/>
                <w:numId w:val="35"/>
              </w:numPr>
              <w:tabs>
                <w:tab w:val="left" w:pos="1271"/>
              </w:tabs>
              <w:ind w:left="420" w:hanging="420" w:firstLineChars="0"/>
            </w:pPr>
            <w:r>
              <w:t>本地特有种分布区；</w:t>
            </w:r>
          </w:p>
          <w:p w14:paraId="67D2AB1B">
            <w:pPr>
              <w:pStyle w:val="6"/>
              <w:numPr>
                <w:ilvl w:val="4"/>
                <w:numId w:val="35"/>
              </w:numPr>
              <w:tabs>
                <w:tab w:val="left" w:pos="1271"/>
              </w:tabs>
              <w:ind w:left="420" w:hanging="420" w:firstLineChars="0"/>
            </w:pPr>
            <w:r>
              <w:t>极小种群物种分布区。</w:t>
            </w:r>
          </w:p>
        </w:tc>
      </w:tr>
      <w:tr w14:paraId="432247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vMerge w:val="continue"/>
            <w:tcBorders>
              <w:left w:val="single" w:color="auto" w:sz="8" w:space="0"/>
              <w:right w:val="single" w:color="auto" w:sz="4" w:space="0"/>
            </w:tcBorders>
            <w:vAlign w:val="center"/>
          </w:tcPr>
          <w:p w14:paraId="1715E1A4">
            <w:pPr>
              <w:pStyle w:val="6"/>
              <w:ind w:firstLine="0" w:firstLineChars="0"/>
            </w:pPr>
          </w:p>
        </w:tc>
        <w:tc>
          <w:tcPr>
            <w:tcW w:w="2268" w:type="dxa"/>
            <w:tcBorders>
              <w:top w:val="single" w:color="auto" w:sz="4" w:space="0"/>
              <w:left w:val="single" w:color="auto" w:sz="4" w:space="0"/>
              <w:bottom w:val="single" w:color="auto" w:sz="4" w:space="0"/>
              <w:right w:val="single" w:color="auto" w:sz="4" w:space="0"/>
            </w:tcBorders>
            <w:vAlign w:val="center"/>
          </w:tcPr>
          <w:p w14:paraId="3D7DFC7D">
            <w:pPr>
              <w:pStyle w:val="6"/>
              <w:ind w:firstLine="0" w:firstLineChars="0"/>
            </w:pPr>
            <w:r>
              <w:t>重要的物种聚集区，如产卵、繁殖和觅食区</w:t>
            </w:r>
          </w:p>
        </w:tc>
        <w:tc>
          <w:tcPr>
            <w:tcW w:w="6088" w:type="dxa"/>
            <w:tcBorders>
              <w:top w:val="single" w:color="auto" w:sz="4" w:space="0"/>
              <w:left w:val="single" w:color="auto" w:sz="4" w:space="0"/>
              <w:bottom w:val="single" w:color="auto" w:sz="4" w:space="0"/>
              <w:right w:val="single" w:color="auto" w:sz="4" w:space="0"/>
            </w:tcBorders>
          </w:tcPr>
          <w:p w14:paraId="254C0BD2">
            <w:pPr>
              <w:pStyle w:val="6"/>
              <w:numPr>
                <w:ilvl w:val="4"/>
                <w:numId w:val="36"/>
              </w:numPr>
              <w:tabs>
                <w:tab w:val="left" w:pos="1271"/>
              </w:tabs>
              <w:ind w:left="420" w:hanging="420" w:firstLineChars="0"/>
            </w:pPr>
            <w:r>
              <w:t>野生动物集中分布或集群活动的区域；</w:t>
            </w:r>
          </w:p>
          <w:p w14:paraId="716E4AE8">
            <w:pPr>
              <w:pStyle w:val="6"/>
              <w:numPr>
                <w:ilvl w:val="4"/>
                <w:numId w:val="36"/>
              </w:numPr>
              <w:tabs>
                <w:tab w:val="left" w:pos="1271"/>
              </w:tabs>
              <w:ind w:left="420" w:hanging="420" w:firstLineChars="0"/>
            </w:pPr>
            <w:r>
              <w:t>野生动物在季节性迁徙过程中相对稳定的停歇地、迁徙通道、洄游通道；</w:t>
            </w:r>
          </w:p>
          <w:p w14:paraId="2F3C9B65">
            <w:pPr>
              <w:pStyle w:val="6"/>
              <w:numPr>
                <w:ilvl w:val="4"/>
                <w:numId w:val="36"/>
              </w:numPr>
              <w:tabs>
                <w:tab w:val="left" w:pos="1271"/>
              </w:tabs>
              <w:ind w:left="420" w:hanging="420" w:firstLineChars="0"/>
            </w:pPr>
            <w:r>
              <w:t>野生动物生命周期、进食、休憩、换羽/蜕皮和繁殖尤为重要的生态系统。</w:t>
            </w:r>
          </w:p>
        </w:tc>
      </w:tr>
      <w:tr w14:paraId="728F4F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vMerge w:val="continue"/>
            <w:tcBorders>
              <w:left w:val="single" w:color="auto" w:sz="8" w:space="0"/>
              <w:right w:val="single" w:color="auto" w:sz="4" w:space="0"/>
            </w:tcBorders>
            <w:vAlign w:val="center"/>
          </w:tcPr>
          <w:p w14:paraId="152E784A">
            <w:pPr>
              <w:pStyle w:val="6"/>
              <w:ind w:firstLine="0" w:firstLineChars="0"/>
            </w:pPr>
          </w:p>
        </w:tc>
        <w:tc>
          <w:tcPr>
            <w:tcW w:w="2268" w:type="dxa"/>
            <w:tcBorders>
              <w:top w:val="single" w:color="auto" w:sz="4" w:space="0"/>
              <w:left w:val="single" w:color="auto" w:sz="4" w:space="0"/>
              <w:bottom w:val="single" w:color="auto" w:sz="4" w:space="0"/>
              <w:right w:val="single" w:color="auto" w:sz="4" w:space="0"/>
            </w:tcBorders>
            <w:vAlign w:val="center"/>
          </w:tcPr>
          <w:p w14:paraId="32C967E8">
            <w:pPr>
              <w:pStyle w:val="6"/>
              <w:ind w:firstLine="0" w:firstLineChars="0"/>
            </w:pPr>
            <w:r>
              <w:t>重要遗传资源野生近缘种的集中分布区</w:t>
            </w:r>
          </w:p>
        </w:tc>
        <w:tc>
          <w:tcPr>
            <w:tcW w:w="6088" w:type="dxa"/>
            <w:tcBorders>
              <w:top w:val="single" w:color="auto" w:sz="4" w:space="0"/>
              <w:left w:val="single" w:color="auto" w:sz="4" w:space="0"/>
              <w:bottom w:val="single" w:color="auto" w:sz="4" w:space="0"/>
              <w:right w:val="single" w:color="auto" w:sz="4" w:space="0"/>
            </w:tcBorders>
          </w:tcPr>
          <w:p w14:paraId="73A3EB85">
            <w:pPr>
              <w:pStyle w:val="6"/>
              <w:tabs>
                <w:tab w:val="left" w:pos="851"/>
              </w:tabs>
              <w:ind w:left="420" w:hanging="420" w:firstLineChars="0"/>
            </w:pPr>
          </w:p>
        </w:tc>
      </w:tr>
      <w:tr w14:paraId="30C98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vMerge w:val="continue"/>
            <w:tcBorders>
              <w:left w:val="single" w:color="auto" w:sz="8" w:space="0"/>
              <w:right w:val="single" w:color="auto" w:sz="4" w:space="0"/>
            </w:tcBorders>
            <w:vAlign w:val="center"/>
          </w:tcPr>
          <w:p w14:paraId="7ED73679">
            <w:pPr>
              <w:pStyle w:val="6"/>
              <w:ind w:firstLine="0" w:firstLineChars="0"/>
            </w:pPr>
          </w:p>
        </w:tc>
        <w:tc>
          <w:tcPr>
            <w:tcW w:w="2268" w:type="dxa"/>
            <w:tcBorders>
              <w:top w:val="single" w:color="auto" w:sz="4" w:space="0"/>
              <w:left w:val="single" w:color="auto" w:sz="4" w:space="0"/>
              <w:bottom w:val="single" w:color="auto" w:sz="4" w:space="0"/>
              <w:right w:val="single" w:color="auto" w:sz="4" w:space="0"/>
            </w:tcBorders>
            <w:vAlign w:val="center"/>
          </w:tcPr>
          <w:p w14:paraId="2151C110">
            <w:pPr>
              <w:pStyle w:val="6"/>
              <w:ind w:firstLine="0" w:firstLineChars="0"/>
            </w:pPr>
            <w:r>
              <w:t>受威胁的生态系统</w:t>
            </w:r>
          </w:p>
        </w:tc>
        <w:tc>
          <w:tcPr>
            <w:tcW w:w="6088" w:type="dxa"/>
            <w:tcBorders>
              <w:top w:val="single" w:color="auto" w:sz="4" w:space="0"/>
              <w:left w:val="single" w:color="auto" w:sz="4" w:space="0"/>
              <w:bottom w:val="single" w:color="auto" w:sz="4" w:space="0"/>
              <w:right w:val="single" w:color="auto" w:sz="4" w:space="0"/>
            </w:tcBorders>
          </w:tcPr>
          <w:p w14:paraId="58683517">
            <w:pPr>
              <w:pStyle w:val="6"/>
              <w:numPr>
                <w:ilvl w:val="4"/>
                <w:numId w:val="37"/>
              </w:numPr>
              <w:tabs>
                <w:tab w:val="left" w:pos="1271"/>
              </w:tabs>
              <w:ind w:left="420" w:hanging="420" w:firstLineChars="0"/>
            </w:pPr>
            <w:r>
              <w:t>IUCN受威胁生态系统红色名录中受威胁的生态系统（包括极危、濒危、易危）</w:t>
            </w:r>
          </w:p>
        </w:tc>
      </w:tr>
      <w:tr w14:paraId="679C61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vMerge w:val="continue"/>
            <w:tcBorders>
              <w:left w:val="single" w:color="auto" w:sz="8" w:space="0"/>
              <w:right w:val="single" w:color="auto" w:sz="4" w:space="0"/>
            </w:tcBorders>
            <w:vAlign w:val="center"/>
          </w:tcPr>
          <w:p w14:paraId="3E8B30BA">
            <w:pPr>
              <w:pStyle w:val="6"/>
              <w:ind w:firstLine="0" w:firstLineChars="0"/>
            </w:pPr>
          </w:p>
        </w:tc>
        <w:tc>
          <w:tcPr>
            <w:tcW w:w="2268" w:type="dxa"/>
            <w:tcBorders>
              <w:top w:val="single" w:color="auto" w:sz="4" w:space="0"/>
              <w:left w:val="single" w:color="auto" w:sz="4" w:space="0"/>
              <w:bottom w:val="single" w:color="auto" w:sz="4" w:space="0"/>
              <w:right w:val="single" w:color="auto" w:sz="4" w:space="0"/>
            </w:tcBorders>
            <w:vAlign w:val="center"/>
          </w:tcPr>
          <w:p w14:paraId="7CD917CC">
            <w:pPr>
              <w:pStyle w:val="6"/>
              <w:ind w:firstLine="0" w:firstLineChars="0"/>
            </w:pPr>
            <w:r>
              <w:t>生态完整性程度高的生态系统</w:t>
            </w:r>
          </w:p>
        </w:tc>
        <w:tc>
          <w:tcPr>
            <w:tcW w:w="6088" w:type="dxa"/>
            <w:tcBorders>
              <w:top w:val="single" w:color="auto" w:sz="4" w:space="0"/>
              <w:left w:val="single" w:color="auto" w:sz="4" w:space="0"/>
              <w:bottom w:val="single" w:color="auto" w:sz="4" w:space="0"/>
              <w:right w:val="single" w:color="auto" w:sz="4" w:space="0"/>
            </w:tcBorders>
          </w:tcPr>
          <w:p w14:paraId="2F72F136">
            <w:pPr>
              <w:pStyle w:val="6"/>
              <w:tabs>
                <w:tab w:val="left" w:pos="851"/>
              </w:tabs>
              <w:ind w:left="420" w:hanging="420" w:firstLineChars="0"/>
            </w:pPr>
          </w:p>
        </w:tc>
      </w:tr>
      <w:tr w14:paraId="08D1B6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vMerge w:val="continue"/>
            <w:tcBorders>
              <w:left w:val="single" w:color="auto" w:sz="8" w:space="0"/>
              <w:right w:val="single" w:color="auto" w:sz="4" w:space="0"/>
            </w:tcBorders>
            <w:vAlign w:val="center"/>
          </w:tcPr>
          <w:p w14:paraId="754552DE">
            <w:pPr>
              <w:pStyle w:val="6"/>
              <w:ind w:firstLine="0" w:firstLineChars="0"/>
            </w:pPr>
          </w:p>
        </w:tc>
        <w:tc>
          <w:tcPr>
            <w:tcW w:w="2268" w:type="dxa"/>
            <w:tcBorders>
              <w:top w:val="single" w:color="auto" w:sz="4" w:space="0"/>
              <w:left w:val="single" w:color="auto" w:sz="4" w:space="0"/>
              <w:bottom w:val="single" w:color="auto" w:sz="4" w:space="0"/>
              <w:right w:val="single" w:color="auto" w:sz="4" w:space="0"/>
            </w:tcBorders>
            <w:vAlign w:val="center"/>
          </w:tcPr>
          <w:p w14:paraId="7F891298">
            <w:pPr>
              <w:pStyle w:val="6"/>
              <w:ind w:firstLine="0" w:firstLineChars="0"/>
            </w:pPr>
            <w:r>
              <w:t>有重要连通作用的生态廊道</w:t>
            </w:r>
          </w:p>
        </w:tc>
        <w:tc>
          <w:tcPr>
            <w:tcW w:w="6088" w:type="dxa"/>
            <w:tcBorders>
              <w:top w:val="single" w:color="auto" w:sz="4" w:space="0"/>
              <w:left w:val="single" w:color="auto" w:sz="4" w:space="0"/>
              <w:bottom w:val="single" w:color="auto" w:sz="4" w:space="0"/>
              <w:right w:val="single" w:color="auto" w:sz="4" w:space="0"/>
            </w:tcBorders>
          </w:tcPr>
          <w:p w14:paraId="489B4C7A">
            <w:pPr>
              <w:pStyle w:val="6"/>
              <w:tabs>
                <w:tab w:val="left" w:pos="851"/>
              </w:tabs>
              <w:ind w:left="420" w:hanging="420" w:firstLineChars="0"/>
            </w:pPr>
          </w:p>
        </w:tc>
      </w:tr>
      <w:tr w14:paraId="4D94DE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vMerge w:val="continue"/>
            <w:tcBorders>
              <w:left w:val="single" w:color="auto" w:sz="8" w:space="0"/>
              <w:bottom w:val="single" w:color="auto" w:sz="4" w:space="0"/>
              <w:right w:val="single" w:color="auto" w:sz="4" w:space="0"/>
            </w:tcBorders>
            <w:vAlign w:val="center"/>
          </w:tcPr>
          <w:p w14:paraId="7053C9C1">
            <w:pPr>
              <w:pStyle w:val="6"/>
              <w:ind w:firstLine="0" w:firstLineChars="0"/>
            </w:pPr>
          </w:p>
        </w:tc>
        <w:tc>
          <w:tcPr>
            <w:tcW w:w="2268" w:type="dxa"/>
            <w:tcBorders>
              <w:top w:val="single" w:color="auto" w:sz="4" w:space="0"/>
              <w:left w:val="single" w:color="auto" w:sz="4" w:space="0"/>
              <w:bottom w:val="single" w:color="auto" w:sz="4" w:space="0"/>
              <w:right w:val="single" w:color="auto" w:sz="4" w:space="0"/>
            </w:tcBorders>
            <w:vAlign w:val="center"/>
          </w:tcPr>
          <w:p w14:paraId="596FEF37">
            <w:pPr>
              <w:pStyle w:val="6"/>
              <w:ind w:firstLine="0" w:firstLineChars="0"/>
            </w:pPr>
            <w:r>
              <w:t>提供关键生态系统功能和服务的区域</w:t>
            </w:r>
          </w:p>
        </w:tc>
        <w:tc>
          <w:tcPr>
            <w:tcW w:w="6088" w:type="dxa"/>
            <w:tcBorders>
              <w:top w:val="single" w:color="auto" w:sz="4" w:space="0"/>
              <w:left w:val="single" w:color="auto" w:sz="4" w:space="0"/>
              <w:bottom w:val="single" w:color="auto" w:sz="4" w:space="0"/>
              <w:right w:val="single" w:color="auto" w:sz="4" w:space="0"/>
            </w:tcBorders>
          </w:tcPr>
          <w:p w14:paraId="363905CB">
            <w:pPr>
              <w:pStyle w:val="6"/>
              <w:numPr>
                <w:ilvl w:val="4"/>
                <w:numId w:val="38"/>
              </w:numPr>
              <w:tabs>
                <w:tab w:val="left" w:pos="1271"/>
              </w:tabs>
              <w:ind w:left="420" w:hanging="420" w:firstLineChars="0"/>
            </w:pPr>
            <w:r>
              <w:t>提供洁净水和碳储存等重要生态系统服务的区域</w:t>
            </w:r>
            <w:r>
              <w:rPr>
                <w:rFonts w:hint="eastAsia"/>
              </w:rPr>
              <w:t>；</w:t>
            </w:r>
          </w:p>
          <w:p w14:paraId="44A01D67">
            <w:pPr>
              <w:pStyle w:val="6"/>
              <w:numPr>
                <w:ilvl w:val="4"/>
                <w:numId w:val="38"/>
              </w:numPr>
              <w:tabs>
                <w:tab w:val="left" w:pos="1271"/>
              </w:tabs>
              <w:ind w:left="420" w:hanging="420" w:firstLineChars="0"/>
            </w:pPr>
            <w:r>
              <w:t>对人类传统用途具有重要意义的物种和生境，如本地药用植物。</w:t>
            </w:r>
          </w:p>
        </w:tc>
      </w:tr>
      <w:tr w14:paraId="761D6A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Borders>
              <w:top w:val="single" w:color="auto" w:sz="4" w:space="0"/>
              <w:left w:val="single" w:color="auto" w:sz="8" w:space="0"/>
              <w:bottom w:val="single" w:color="auto" w:sz="4" w:space="0"/>
              <w:right w:val="single" w:color="auto" w:sz="4" w:space="0"/>
            </w:tcBorders>
            <w:vAlign w:val="center"/>
          </w:tcPr>
          <w:p w14:paraId="6324AAB2">
            <w:pPr>
              <w:pStyle w:val="6"/>
              <w:ind w:firstLine="0" w:firstLineChars="0"/>
            </w:pPr>
            <w:r>
              <w:rPr>
                <w:rFonts w:hint="eastAsia"/>
              </w:rPr>
              <w:t>农业空间、城镇空间</w:t>
            </w:r>
          </w:p>
        </w:tc>
        <w:tc>
          <w:tcPr>
            <w:tcW w:w="2268" w:type="dxa"/>
            <w:tcBorders>
              <w:top w:val="single" w:color="auto" w:sz="4" w:space="0"/>
              <w:left w:val="single" w:color="auto" w:sz="4" w:space="0"/>
              <w:bottom w:val="single" w:color="auto" w:sz="4" w:space="0"/>
              <w:right w:val="single" w:color="auto" w:sz="4" w:space="0"/>
            </w:tcBorders>
            <w:vAlign w:val="center"/>
          </w:tcPr>
          <w:p w14:paraId="10B55EFC">
            <w:pPr>
              <w:pStyle w:val="6"/>
              <w:ind w:firstLine="0" w:firstLineChars="0"/>
            </w:pPr>
            <w:r>
              <w:t>具有重要生态、科学、社会价值的物种的重要栖息地</w:t>
            </w:r>
          </w:p>
        </w:tc>
        <w:tc>
          <w:tcPr>
            <w:tcW w:w="6088" w:type="dxa"/>
            <w:tcBorders>
              <w:top w:val="single" w:color="auto" w:sz="4" w:space="0"/>
              <w:left w:val="single" w:color="auto" w:sz="4" w:space="0"/>
              <w:bottom w:val="single" w:color="auto" w:sz="4" w:space="0"/>
              <w:right w:val="single" w:color="auto" w:sz="4" w:space="0"/>
            </w:tcBorders>
          </w:tcPr>
          <w:p w14:paraId="1909A7BD">
            <w:pPr>
              <w:pStyle w:val="6"/>
              <w:numPr>
                <w:ilvl w:val="4"/>
                <w:numId w:val="39"/>
              </w:numPr>
              <w:tabs>
                <w:tab w:val="left" w:pos="1271"/>
              </w:tabs>
              <w:ind w:left="420" w:hanging="420" w:firstLineChars="0"/>
            </w:pPr>
            <w:r>
              <w:t>列入有重要生态、科学、社会价值的陆生野生动物名录的物种的重要栖息地（如产卵、繁殖和觅食区）；</w:t>
            </w:r>
          </w:p>
          <w:p w14:paraId="2274CE5C">
            <w:pPr>
              <w:pStyle w:val="6"/>
              <w:numPr>
                <w:ilvl w:val="4"/>
                <w:numId w:val="39"/>
              </w:numPr>
              <w:tabs>
                <w:tab w:val="left" w:pos="1271"/>
              </w:tabs>
              <w:ind w:left="420" w:hanging="420" w:firstLineChars="0"/>
            </w:pPr>
            <w:r>
              <w:t>列入国家重点保护经济水生动植物资源名录的物种的重要栖息地（如产卵、繁殖和觅食区）。</w:t>
            </w:r>
          </w:p>
        </w:tc>
      </w:tr>
      <w:tr w14:paraId="7853F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Borders>
              <w:top w:val="single" w:color="auto" w:sz="4" w:space="0"/>
              <w:left w:val="single" w:color="auto" w:sz="8" w:space="0"/>
              <w:bottom w:val="single" w:color="auto" w:sz="4" w:space="0"/>
              <w:right w:val="single" w:color="auto" w:sz="4" w:space="0"/>
            </w:tcBorders>
            <w:vAlign w:val="center"/>
          </w:tcPr>
          <w:p w14:paraId="619CC9B6">
            <w:pPr>
              <w:pStyle w:val="6"/>
              <w:ind w:firstLine="0" w:firstLineChars="0"/>
            </w:pPr>
            <w:r>
              <w:rPr>
                <w:rFonts w:hint="eastAsia"/>
              </w:rPr>
              <w:t>农业空间</w:t>
            </w:r>
          </w:p>
        </w:tc>
        <w:tc>
          <w:tcPr>
            <w:tcW w:w="2268" w:type="dxa"/>
            <w:tcBorders>
              <w:top w:val="single" w:color="auto" w:sz="4" w:space="0"/>
              <w:left w:val="single" w:color="auto" w:sz="4" w:space="0"/>
              <w:bottom w:val="single" w:color="auto" w:sz="4" w:space="0"/>
              <w:right w:val="single" w:color="auto" w:sz="4" w:space="0"/>
            </w:tcBorders>
            <w:vAlign w:val="center"/>
          </w:tcPr>
          <w:p w14:paraId="56F33870">
            <w:pPr>
              <w:pStyle w:val="6"/>
              <w:ind w:firstLine="0" w:firstLineChars="0"/>
            </w:pPr>
            <w:bookmarkStart w:id="126" w:name="OLE_LINK68"/>
            <w:r>
              <w:t>具有重要遗传资源价值的驯化或栽培的地方品种的原生栖息地</w:t>
            </w:r>
            <w:bookmarkEnd w:id="126"/>
          </w:p>
        </w:tc>
        <w:tc>
          <w:tcPr>
            <w:tcW w:w="6088" w:type="dxa"/>
            <w:tcBorders>
              <w:top w:val="single" w:color="auto" w:sz="4" w:space="0"/>
              <w:left w:val="single" w:color="auto" w:sz="4" w:space="0"/>
              <w:bottom w:val="single" w:color="auto" w:sz="4" w:space="0"/>
              <w:right w:val="single" w:color="auto" w:sz="4" w:space="0"/>
            </w:tcBorders>
          </w:tcPr>
          <w:p w14:paraId="4BC8FB0D">
            <w:pPr>
              <w:pStyle w:val="6"/>
              <w:tabs>
                <w:tab w:val="left" w:pos="851"/>
              </w:tabs>
              <w:ind w:firstLine="0" w:firstLineChars="0"/>
            </w:pPr>
          </w:p>
        </w:tc>
      </w:tr>
      <w:tr w14:paraId="27F4DC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Borders>
              <w:top w:val="single" w:color="auto" w:sz="4" w:space="0"/>
              <w:left w:val="single" w:color="auto" w:sz="8" w:space="0"/>
              <w:bottom w:val="single" w:color="auto" w:sz="4" w:space="0"/>
              <w:right w:val="single" w:color="auto" w:sz="4" w:space="0"/>
            </w:tcBorders>
            <w:vAlign w:val="center"/>
          </w:tcPr>
          <w:p w14:paraId="493CD11B">
            <w:pPr>
              <w:pStyle w:val="6"/>
              <w:ind w:firstLine="0" w:firstLineChars="0"/>
            </w:pPr>
            <w:r>
              <w:rPr>
                <w:rFonts w:hint="eastAsia"/>
              </w:rPr>
              <w:t>城镇空间</w:t>
            </w:r>
          </w:p>
        </w:tc>
        <w:tc>
          <w:tcPr>
            <w:tcW w:w="2268" w:type="dxa"/>
            <w:tcBorders>
              <w:top w:val="single" w:color="auto" w:sz="4" w:space="0"/>
              <w:left w:val="single" w:color="auto" w:sz="4" w:space="0"/>
              <w:bottom w:val="single" w:color="auto" w:sz="4" w:space="0"/>
              <w:right w:val="single" w:color="auto" w:sz="4" w:space="0"/>
            </w:tcBorders>
            <w:vAlign w:val="center"/>
          </w:tcPr>
          <w:p w14:paraId="3D2EC9A8">
            <w:pPr>
              <w:pStyle w:val="6"/>
              <w:ind w:firstLine="0" w:firstLineChars="0"/>
            </w:pPr>
            <w:r>
              <w:t>连接孤立生境斑块、促进物种迁移、增强城市生态网络连通性的生态廊道和生态踏脚石区域</w:t>
            </w:r>
          </w:p>
        </w:tc>
        <w:tc>
          <w:tcPr>
            <w:tcW w:w="6088" w:type="dxa"/>
            <w:tcBorders>
              <w:top w:val="single" w:color="auto" w:sz="4" w:space="0"/>
              <w:left w:val="single" w:color="auto" w:sz="4" w:space="0"/>
              <w:bottom w:val="single" w:color="auto" w:sz="4" w:space="0"/>
              <w:right w:val="single" w:color="auto" w:sz="4" w:space="0"/>
            </w:tcBorders>
          </w:tcPr>
          <w:p w14:paraId="46FB0B7F">
            <w:pPr>
              <w:pStyle w:val="6"/>
              <w:tabs>
                <w:tab w:val="left" w:pos="851"/>
              </w:tabs>
              <w:ind w:firstLine="0" w:firstLineChars="0"/>
            </w:pPr>
          </w:p>
        </w:tc>
      </w:tr>
      <w:bookmarkEnd w:id="124"/>
    </w:tbl>
    <w:p w14:paraId="77B57082">
      <w:pPr>
        <w:pStyle w:val="6"/>
        <w:ind w:firstLine="420"/>
      </w:pPr>
    </w:p>
    <w:p w14:paraId="06AA1DF2">
      <w:pPr>
        <w:widowControl/>
        <w:adjustRightInd/>
        <w:spacing w:line="240" w:lineRule="auto"/>
        <w:jc w:val="left"/>
        <w:rPr>
          <w:rFonts w:ascii="宋体" w:hAnsi="Times New Roman"/>
          <w:kern w:val="0"/>
          <w:szCs w:val="20"/>
        </w:rPr>
      </w:pPr>
      <w:r>
        <w:br w:type="page"/>
      </w:r>
    </w:p>
    <w:p w14:paraId="474B83FC">
      <w:pPr>
        <w:pStyle w:val="82"/>
        <w:spacing w:before="0" w:beforeLines="0" w:after="0" w:afterLines="0"/>
        <w:rPr>
          <w:rFonts w:ascii="Times New Roman"/>
        </w:rPr>
      </w:pPr>
      <w:bookmarkStart w:id="127" w:name="_Toc13029"/>
      <w:r>
        <w:rPr>
          <w:rFonts w:ascii="Times New Roman"/>
        </w:rPr>
        <w:br w:type="textWrapping"/>
      </w:r>
      <w:r>
        <w:rPr>
          <w:rFonts w:hint="eastAsia" w:ascii="Times New Roman"/>
        </w:rPr>
        <w:t>（资料性）</w:t>
      </w:r>
      <w:r>
        <w:rPr>
          <w:rFonts w:ascii="Times New Roman"/>
        </w:rPr>
        <w:br w:type="textWrapping"/>
      </w:r>
      <w:r>
        <w:rPr>
          <w:rFonts w:ascii="Times New Roman"/>
        </w:rPr>
        <w:t>自然共生地</w:t>
      </w:r>
      <w:r>
        <w:rPr>
          <w:rFonts w:hint="eastAsia" w:ascii="Times New Roman"/>
        </w:rPr>
        <w:t>信息</w:t>
      </w:r>
      <w:r>
        <w:rPr>
          <w:rFonts w:ascii="Times New Roman"/>
        </w:rPr>
        <w:t>表</w:t>
      </w:r>
      <w:bookmarkEnd w:id="127"/>
    </w:p>
    <w:p w14:paraId="371347CB">
      <w:pPr>
        <w:pStyle w:val="6"/>
        <w:ind w:firstLine="420"/>
        <w:rPr>
          <w:rFonts w:ascii="Times New Roman"/>
        </w:rPr>
      </w:pPr>
    </w:p>
    <w:p w14:paraId="79B60A23">
      <w:pPr>
        <w:pStyle w:val="6"/>
        <w:ind w:firstLine="420"/>
        <w:rPr>
          <w:rFonts w:ascii="Times New Roman"/>
        </w:rPr>
      </w:pPr>
      <w:r>
        <w:rPr>
          <w:rFonts w:hint="eastAsia" w:ascii="Times New Roman"/>
        </w:rPr>
        <w:t>表D.1给出了自然共生地申报和认定可参考使用的信息表。</w:t>
      </w:r>
    </w:p>
    <w:p w14:paraId="57AFE749">
      <w:pPr>
        <w:pStyle w:val="238"/>
        <w:widowControl/>
        <w:numPr>
          <w:ilvl w:val="0"/>
          <w:numId w:val="5"/>
        </w:numPr>
        <w:autoSpaceDE w:val="0"/>
        <w:autoSpaceDN w:val="0"/>
        <w:adjustRightInd/>
        <w:spacing w:line="14" w:lineRule="exact"/>
        <w:ind w:firstLineChars="0"/>
        <w:jc w:val="center"/>
        <w:rPr>
          <w:rFonts w:ascii="宋体" w:hAnsi="Times New Roman" w:eastAsia="黑体"/>
          <w:vanish/>
          <w:kern w:val="0"/>
          <w:sz w:val="2"/>
          <w:szCs w:val="20"/>
        </w:rPr>
      </w:pPr>
    </w:p>
    <w:p w14:paraId="1248BE0E">
      <w:pPr>
        <w:pStyle w:val="83"/>
        <w:spacing w:before="120" w:after="120"/>
        <w:ind w:left="420"/>
      </w:pPr>
      <w:r>
        <w:rPr>
          <w:rFonts w:hint="eastAsia"/>
        </w:rPr>
        <w:t>自然共生地信息表</w:t>
      </w:r>
    </w:p>
    <w:tbl>
      <w:tblPr>
        <w:tblStyle w:val="32"/>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809"/>
        <w:gridCol w:w="1202"/>
        <w:gridCol w:w="1440"/>
        <w:gridCol w:w="1440"/>
        <w:gridCol w:w="1895"/>
        <w:gridCol w:w="1711"/>
      </w:tblGrid>
      <w:tr w14:paraId="48B0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9" w:hRule="atLeast"/>
          <w:jc w:val="center"/>
        </w:trPr>
        <w:tc>
          <w:tcPr>
            <w:tcW w:w="8207" w:type="dxa"/>
            <w:gridSpan w:val="6"/>
            <w:shd w:val="clear" w:color="auto" w:fill="D8D8D8" w:themeFill="background1" w:themeFillShade="D9"/>
            <w:vAlign w:val="center"/>
          </w:tcPr>
          <w:p w14:paraId="0BAFCD18">
            <w:pPr>
              <w:rPr>
                <w:rFonts w:ascii="Times New Roman" w:hAnsi="Times New Roman"/>
                <w:b/>
                <w:bCs/>
              </w:rPr>
            </w:pPr>
            <w:r>
              <w:rPr>
                <w:rFonts w:ascii="Times New Roman" w:hAnsi="Times New Roman"/>
                <w:b/>
                <w:bCs/>
              </w:rPr>
              <w:t>1、基本情况</w:t>
            </w:r>
          </w:p>
        </w:tc>
        <w:tc>
          <w:tcPr>
            <w:tcW w:w="1711" w:type="dxa"/>
            <w:shd w:val="clear" w:color="auto" w:fill="D8D8D8" w:themeFill="background1" w:themeFillShade="D9"/>
            <w:vAlign w:val="center"/>
          </w:tcPr>
          <w:p w14:paraId="725BD96C">
            <w:pPr>
              <w:spacing w:line="240" w:lineRule="auto"/>
              <w:rPr>
                <w:rFonts w:ascii="Times New Roman" w:hAnsi="Times New Roman"/>
                <w:b/>
                <w:bCs/>
              </w:rPr>
            </w:pPr>
            <w:r>
              <w:rPr>
                <w:rFonts w:ascii="Times New Roman" w:hAnsi="Times New Roman"/>
                <w:b/>
                <w:bCs/>
              </w:rPr>
              <w:t>支持性材料</w:t>
            </w:r>
          </w:p>
        </w:tc>
      </w:tr>
      <w:tr w14:paraId="01DE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9" w:hRule="atLeast"/>
          <w:jc w:val="center"/>
        </w:trPr>
        <w:tc>
          <w:tcPr>
            <w:tcW w:w="421" w:type="dxa"/>
            <w:vAlign w:val="center"/>
          </w:tcPr>
          <w:p w14:paraId="4909F99C">
            <w:pPr>
              <w:spacing w:line="240" w:lineRule="auto"/>
              <w:jc w:val="center"/>
              <w:rPr>
                <w:rFonts w:ascii="Times New Roman" w:hAnsi="Times New Roman"/>
              </w:rPr>
            </w:pPr>
            <w:r>
              <w:rPr>
                <w:rFonts w:ascii="Times New Roman" w:hAnsi="Times New Roman"/>
              </w:rPr>
              <w:t>1-1</w:t>
            </w:r>
          </w:p>
        </w:tc>
        <w:tc>
          <w:tcPr>
            <w:tcW w:w="1809" w:type="dxa"/>
            <w:vAlign w:val="center"/>
          </w:tcPr>
          <w:p w14:paraId="1EB9BC53">
            <w:pPr>
              <w:spacing w:line="240" w:lineRule="auto"/>
              <w:jc w:val="center"/>
              <w:rPr>
                <w:rFonts w:ascii="Times New Roman" w:hAnsi="Times New Roman"/>
              </w:rPr>
            </w:pPr>
            <w:r>
              <w:rPr>
                <w:rFonts w:ascii="Times New Roman" w:hAnsi="Times New Roman"/>
              </w:rPr>
              <w:t>自然共生地名称</w:t>
            </w:r>
          </w:p>
        </w:tc>
        <w:tc>
          <w:tcPr>
            <w:tcW w:w="5977" w:type="dxa"/>
            <w:gridSpan w:val="4"/>
            <w:vAlign w:val="center"/>
          </w:tcPr>
          <w:p w14:paraId="567A9025">
            <w:pPr>
              <w:spacing w:line="240" w:lineRule="auto"/>
              <w:jc w:val="left"/>
              <w:rPr>
                <w:rFonts w:ascii="Times New Roman" w:hAnsi="Times New Roman"/>
              </w:rPr>
            </w:pPr>
            <w:r>
              <w:rPr>
                <w:rFonts w:ascii="Times New Roman" w:hAnsi="Times New Roman"/>
              </w:rPr>
              <w:t>自然共生地命名时应体现地点、保护对象、参与主体等信息，建议名称为某地块/区域，不推荐使用“项目”等说法。</w:t>
            </w:r>
          </w:p>
        </w:tc>
        <w:tc>
          <w:tcPr>
            <w:tcW w:w="1711" w:type="dxa"/>
          </w:tcPr>
          <w:p w14:paraId="36F8CD09">
            <w:pPr>
              <w:spacing w:line="240" w:lineRule="auto"/>
              <w:jc w:val="left"/>
              <w:rPr>
                <w:rFonts w:ascii="Times New Roman" w:hAnsi="Times New Roman"/>
                <w:kern w:val="0"/>
              </w:rPr>
            </w:pPr>
          </w:p>
        </w:tc>
      </w:tr>
      <w:tr w14:paraId="52F2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3" w:hRule="atLeast"/>
          <w:jc w:val="center"/>
        </w:trPr>
        <w:tc>
          <w:tcPr>
            <w:tcW w:w="421" w:type="dxa"/>
            <w:vAlign w:val="center"/>
          </w:tcPr>
          <w:p w14:paraId="52DA29BF">
            <w:pPr>
              <w:spacing w:line="240" w:lineRule="auto"/>
              <w:jc w:val="center"/>
              <w:rPr>
                <w:rFonts w:ascii="Times New Roman" w:hAnsi="Times New Roman"/>
              </w:rPr>
            </w:pPr>
            <w:r>
              <w:rPr>
                <w:rFonts w:ascii="Times New Roman" w:hAnsi="Times New Roman"/>
              </w:rPr>
              <w:t>1-2</w:t>
            </w:r>
          </w:p>
        </w:tc>
        <w:tc>
          <w:tcPr>
            <w:tcW w:w="1809" w:type="dxa"/>
            <w:vAlign w:val="center"/>
          </w:tcPr>
          <w:p w14:paraId="1680564A">
            <w:pPr>
              <w:spacing w:line="240" w:lineRule="auto"/>
              <w:jc w:val="center"/>
              <w:rPr>
                <w:rFonts w:ascii="Times New Roman" w:hAnsi="Times New Roman"/>
              </w:rPr>
            </w:pPr>
            <w:r>
              <w:rPr>
                <w:rFonts w:ascii="Times New Roman" w:hAnsi="Times New Roman"/>
              </w:rPr>
              <w:t>申报单位</w:t>
            </w:r>
          </w:p>
        </w:tc>
        <w:tc>
          <w:tcPr>
            <w:tcW w:w="5977" w:type="dxa"/>
            <w:gridSpan w:val="4"/>
            <w:vAlign w:val="center"/>
          </w:tcPr>
          <w:p w14:paraId="547B0D74">
            <w:pPr>
              <w:spacing w:line="240" w:lineRule="auto"/>
              <w:jc w:val="left"/>
              <w:rPr>
                <w:rFonts w:ascii="Times New Roman" w:hAnsi="Times New Roman"/>
              </w:rPr>
            </w:pPr>
          </w:p>
        </w:tc>
        <w:tc>
          <w:tcPr>
            <w:tcW w:w="1711" w:type="dxa"/>
            <w:vMerge w:val="restart"/>
          </w:tcPr>
          <w:p w14:paraId="0FBFFA4E">
            <w:pPr>
              <w:spacing w:line="240" w:lineRule="auto"/>
              <w:jc w:val="left"/>
              <w:rPr>
                <w:rFonts w:ascii="Times New Roman" w:hAnsi="Times New Roman"/>
              </w:rPr>
            </w:pPr>
            <w:r>
              <w:rPr>
                <w:rFonts w:ascii="Times New Roman" w:hAnsi="Times New Roman"/>
              </w:rPr>
              <w:t>申报单位法人登记证书（或营业执照）</w:t>
            </w:r>
          </w:p>
        </w:tc>
      </w:tr>
      <w:tr w14:paraId="704C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1" w:type="dxa"/>
            <w:vMerge w:val="restart"/>
            <w:vAlign w:val="center"/>
          </w:tcPr>
          <w:p w14:paraId="2F359330">
            <w:pPr>
              <w:spacing w:line="240" w:lineRule="auto"/>
              <w:jc w:val="center"/>
              <w:rPr>
                <w:rFonts w:ascii="Times New Roman" w:hAnsi="Times New Roman"/>
              </w:rPr>
            </w:pPr>
            <w:r>
              <w:rPr>
                <w:rFonts w:ascii="Times New Roman" w:hAnsi="Times New Roman"/>
              </w:rPr>
              <w:t>1-3</w:t>
            </w:r>
          </w:p>
        </w:tc>
        <w:tc>
          <w:tcPr>
            <w:tcW w:w="1809" w:type="dxa"/>
            <w:vMerge w:val="restart"/>
            <w:vAlign w:val="center"/>
          </w:tcPr>
          <w:p w14:paraId="355C5AE6">
            <w:pPr>
              <w:spacing w:line="240" w:lineRule="auto"/>
              <w:jc w:val="center"/>
              <w:rPr>
                <w:rFonts w:ascii="Times New Roman" w:hAnsi="Times New Roman"/>
              </w:rPr>
            </w:pPr>
            <w:r>
              <w:rPr>
                <w:rFonts w:ascii="Times New Roman" w:hAnsi="Times New Roman"/>
              </w:rPr>
              <w:t>申报单位联系人</w:t>
            </w:r>
          </w:p>
        </w:tc>
        <w:tc>
          <w:tcPr>
            <w:tcW w:w="1202" w:type="dxa"/>
            <w:vAlign w:val="center"/>
          </w:tcPr>
          <w:p w14:paraId="331807D1">
            <w:pPr>
              <w:spacing w:line="240" w:lineRule="auto"/>
              <w:jc w:val="left"/>
              <w:rPr>
                <w:rFonts w:ascii="Times New Roman" w:hAnsi="Times New Roman"/>
              </w:rPr>
            </w:pPr>
            <w:r>
              <w:rPr>
                <w:rFonts w:ascii="Times New Roman" w:hAnsi="Times New Roman"/>
              </w:rPr>
              <w:t>姓名</w:t>
            </w:r>
          </w:p>
        </w:tc>
        <w:tc>
          <w:tcPr>
            <w:tcW w:w="1440" w:type="dxa"/>
            <w:vAlign w:val="center"/>
          </w:tcPr>
          <w:p w14:paraId="3BF0A3BC">
            <w:pPr>
              <w:spacing w:line="240" w:lineRule="auto"/>
              <w:jc w:val="left"/>
              <w:rPr>
                <w:rFonts w:ascii="Times New Roman" w:hAnsi="Times New Roman"/>
              </w:rPr>
            </w:pPr>
          </w:p>
        </w:tc>
        <w:tc>
          <w:tcPr>
            <w:tcW w:w="1440" w:type="dxa"/>
            <w:vAlign w:val="center"/>
          </w:tcPr>
          <w:p w14:paraId="19C62FBA">
            <w:pPr>
              <w:spacing w:line="240" w:lineRule="auto"/>
              <w:jc w:val="left"/>
              <w:rPr>
                <w:rFonts w:ascii="Times New Roman" w:hAnsi="Times New Roman"/>
              </w:rPr>
            </w:pPr>
            <w:r>
              <w:rPr>
                <w:rFonts w:ascii="Times New Roman" w:hAnsi="Times New Roman"/>
              </w:rPr>
              <w:t>职务</w:t>
            </w:r>
          </w:p>
        </w:tc>
        <w:tc>
          <w:tcPr>
            <w:tcW w:w="1895" w:type="dxa"/>
            <w:vAlign w:val="center"/>
          </w:tcPr>
          <w:p w14:paraId="6321B089">
            <w:pPr>
              <w:spacing w:line="240" w:lineRule="auto"/>
              <w:jc w:val="left"/>
              <w:rPr>
                <w:rFonts w:ascii="Times New Roman" w:hAnsi="Times New Roman"/>
              </w:rPr>
            </w:pPr>
          </w:p>
        </w:tc>
        <w:tc>
          <w:tcPr>
            <w:tcW w:w="1711" w:type="dxa"/>
            <w:vMerge w:val="continue"/>
          </w:tcPr>
          <w:p w14:paraId="1E7E59EE">
            <w:pPr>
              <w:spacing w:line="240" w:lineRule="auto"/>
              <w:rPr>
                <w:rFonts w:ascii="Times New Roman" w:hAnsi="Times New Roman"/>
              </w:rPr>
            </w:pPr>
          </w:p>
        </w:tc>
      </w:tr>
      <w:tr w14:paraId="1142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1" w:type="dxa"/>
            <w:vMerge w:val="continue"/>
            <w:vAlign w:val="center"/>
          </w:tcPr>
          <w:p w14:paraId="492EB639">
            <w:pPr>
              <w:spacing w:line="240" w:lineRule="auto"/>
              <w:jc w:val="center"/>
              <w:rPr>
                <w:rFonts w:ascii="Times New Roman" w:hAnsi="Times New Roman"/>
              </w:rPr>
            </w:pPr>
          </w:p>
        </w:tc>
        <w:tc>
          <w:tcPr>
            <w:tcW w:w="1809" w:type="dxa"/>
            <w:vMerge w:val="continue"/>
            <w:vAlign w:val="center"/>
          </w:tcPr>
          <w:p w14:paraId="20117A28">
            <w:pPr>
              <w:spacing w:line="240" w:lineRule="auto"/>
              <w:jc w:val="center"/>
              <w:rPr>
                <w:rFonts w:ascii="Times New Roman" w:hAnsi="Times New Roman"/>
              </w:rPr>
            </w:pPr>
          </w:p>
        </w:tc>
        <w:tc>
          <w:tcPr>
            <w:tcW w:w="1202" w:type="dxa"/>
            <w:vAlign w:val="center"/>
          </w:tcPr>
          <w:p w14:paraId="59881504">
            <w:pPr>
              <w:spacing w:line="240" w:lineRule="auto"/>
              <w:jc w:val="left"/>
              <w:rPr>
                <w:rFonts w:ascii="Times New Roman" w:hAnsi="Times New Roman"/>
              </w:rPr>
            </w:pPr>
            <w:r>
              <w:rPr>
                <w:rFonts w:ascii="Times New Roman" w:hAnsi="Times New Roman"/>
              </w:rPr>
              <w:t>联系电话</w:t>
            </w:r>
          </w:p>
        </w:tc>
        <w:tc>
          <w:tcPr>
            <w:tcW w:w="1440" w:type="dxa"/>
            <w:vAlign w:val="center"/>
          </w:tcPr>
          <w:p w14:paraId="549B150A">
            <w:pPr>
              <w:spacing w:line="240" w:lineRule="auto"/>
              <w:jc w:val="left"/>
              <w:rPr>
                <w:rFonts w:ascii="Times New Roman" w:hAnsi="Times New Roman"/>
              </w:rPr>
            </w:pPr>
          </w:p>
        </w:tc>
        <w:tc>
          <w:tcPr>
            <w:tcW w:w="1440" w:type="dxa"/>
            <w:vAlign w:val="center"/>
          </w:tcPr>
          <w:p w14:paraId="5C8311A0">
            <w:pPr>
              <w:spacing w:line="240" w:lineRule="auto"/>
              <w:jc w:val="left"/>
              <w:rPr>
                <w:rFonts w:ascii="Times New Roman" w:hAnsi="Times New Roman"/>
              </w:rPr>
            </w:pPr>
            <w:r>
              <w:rPr>
                <w:rFonts w:ascii="Times New Roman" w:hAnsi="Times New Roman"/>
              </w:rPr>
              <w:t>邮箱</w:t>
            </w:r>
          </w:p>
        </w:tc>
        <w:tc>
          <w:tcPr>
            <w:tcW w:w="1895" w:type="dxa"/>
            <w:vAlign w:val="center"/>
          </w:tcPr>
          <w:p w14:paraId="2B47FDAB">
            <w:pPr>
              <w:spacing w:line="240" w:lineRule="auto"/>
              <w:jc w:val="left"/>
              <w:rPr>
                <w:rFonts w:ascii="Times New Roman" w:hAnsi="Times New Roman"/>
              </w:rPr>
            </w:pPr>
          </w:p>
        </w:tc>
        <w:tc>
          <w:tcPr>
            <w:tcW w:w="1711" w:type="dxa"/>
            <w:vMerge w:val="continue"/>
          </w:tcPr>
          <w:p w14:paraId="03DB5B19">
            <w:pPr>
              <w:spacing w:line="240" w:lineRule="auto"/>
              <w:rPr>
                <w:rFonts w:ascii="Times New Roman" w:hAnsi="Times New Roman"/>
              </w:rPr>
            </w:pPr>
          </w:p>
        </w:tc>
      </w:tr>
      <w:tr w14:paraId="29EF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77" w:hRule="atLeast"/>
          <w:jc w:val="center"/>
        </w:trPr>
        <w:tc>
          <w:tcPr>
            <w:tcW w:w="421" w:type="dxa"/>
            <w:vAlign w:val="center"/>
          </w:tcPr>
          <w:p w14:paraId="3DCD6F81">
            <w:pPr>
              <w:spacing w:line="240" w:lineRule="auto"/>
              <w:jc w:val="center"/>
              <w:rPr>
                <w:rFonts w:ascii="Times New Roman" w:hAnsi="Times New Roman"/>
              </w:rPr>
            </w:pPr>
            <w:r>
              <w:rPr>
                <w:rFonts w:ascii="Times New Roman" w:hAnsi="Times New Roman"/>
              </w:rPr>
              <w:t>1-4</w:t>
            </w:r>
          </w:p>
        </w:tc>
        <w:tc>
          <w:tcPr>
            <w:tcW w:w="1809" w:type="dxa"/>
            <w:vAlign w:val="center"/>
          </w:tcPr>
          <w:p w14:paraId="0D3B751E">
            <w:pPr>
              <w:spacing w:line="240" w:lineRule="auto"/>
              <w:jc w:val="center"/>
              <w:rPr>
                <w:rFonts w:ascii="Times New Roman" w:hAnsi="Times New Roman"/>
              </w:rPr>
            </w:pPr>
            <w:r>
              <w:rPr>
                <w:rFonts w:ascii="Times New Roman" w:hAnsi="Times New Roman"/>
              </w:rPr>
              <w:t>申报单位与自然共生地的关系</w:t>
            </w:r>
          </w:p>
          <w:p w14:paraId="3D08BDCA">
            <w:pPr>
              <w:spacing w:line="240" w:lineRule="auto"/>
              <w:jc w:val="center"/>
              <w:rPr>
                <w:rFonts w:ascii="Times New Roman" w:hAnsi="Times New Roman"/>
              </w:rPr>
            </w:pPr>
            <w:r>
              <w:rPr>
                <w:rFonts w:ascii="Times New Roman" w:hAnsi="Times New Roman"/>
              </w:rPr>
              <w:t>（可多选）</w:t>
            </w:r>
          </w:p>
        </w:tc>
        <w:tc>
          <w:tcPr>
            <w:tcW w:w="5977" w:type="dxa"/>
            <w:gridSpan w:val="4"/>
            <w:vAlign w:val="center"/>
          </w:tcPr>
          <w:p w14:paraId="1365C993">
            <w:pPr>
              <w:spacing w:line="240" w:lineRule="auto"/>
              <w:jc w:val="left"/>
              <w:rPr>
                <w:rFonts w:ascii="Times New Roman" w:hAnsi="Times New Roman"/>
                <w:u w:val="single"/>
              </w:rPr>
            </w:pPr>
            <w:sdt>
              <w:sdtPr>
                <w:rPr>
                  <w:rFonts w:ascii="Times New Roman" w:hAnsi="Times New Roman"/>
                </w:rPr>
                <w:id w:val="-15618430"/>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rPr>
              <w:t xml:space="preserve">权属/权益主体 </w:t>
            </w:r>
            <w:sdt>
              <w:sdtPr>
                <w:rPr>
                  <w:rFonts w:ascii="Times New Roman" w:hAnsi="Times New Roman"/>
                </w:rPr>
                <w:id w:val="500622731"/>
                <w14:checkbox>
                  <w14:checked w14:val="0"/>
                  <w14:checkedState w14:val="0052" w14:font="方正小标宋简体"/>
                  <w14:uncheckedState w14:val="2610" w14:font="MS Gothic"/>
                </w14:checkbox>
              </w:sdtPr>
              <w:sdtEndPr>
                <w:rPr>
                  <w:rFonts w:ascii="Times New Roman" w:hAnsi="Times New Roman"/>
                </w:rPr>
              </w:sdtEndPr>
              <w:sdtContent>
                <w:r>
                  <w:rPr>
                    <w:rFonts w:ascii="Segoe UI Symbol" w:hAnsi="Segoe UI Symbol" w:cs="Segoe UI Symbol"/>
                  </w:rPr>
                  <w:t>☐</w:t>
                </w:r>
              </w:sdtContent>
            </w:sdt>
            <w:r>
              <w:rPr>
                <w:rFonts w:hint="eastAsia" w:ascii="Times New Roman" w:hAnsi="Times New Roman"/>
              </w:rPr>
              <w:t xml:space="preserve">责任主体（之一） </w:t>
            </w:r>
            <w:sdt>
              <w:sdtPr>
                <w:rPr>
                  <w:rFonts w:ascii="Times New Roman" w:hAnsi="Times New Roman"/>
                </w:rPr>
                <w:id w:val="-1607568986"/>
                <w14:checkbox>
                  <w14:checked w14:val="0"/>
                  <w14:checkedState w14:val="0052" w14:font="方正小标宋简体"/>
                  <w14:uncheckedState w14:val="2610" w14:font="MS Gothic"/>
                </w14:checkbox>
              </w:sdtPr>
              <w:sdtEndPr>
                <w:rPr>
                  <w:rFonts w:ascii="Times New Roman" w:hAnsi="Times New Roman"/>
                </w:rPr>
              </w:sdtEndPr>
              <w:sdtContent>
                <w:r>
                  <w:rPr>
                    <w:rFonts w:ascii="Segoe UI Symbol" w:hAnsi="Segoe UI Symbol" w:cs="Segoe UI Symbol"/>
                  </w:rPr>
                  <w:t>☐</w:t>
                </w:r>
              </w:sdtContent>
            </w:sdt>
            <w:r>
              <w:rPr>
                <w:rFonts w:ascii="Times New Roman" w:hAnsi="Times New Roman"/>
              </w:rPr>
              <w:t>其他</w:t>
            </w:r>
            <w:r>
              <w:rPr>
                <w:rFonts w:ascii="Times New Roman" w:hAnsi="Times New Roman"/>
                <w:u w:val="single"/>
              </w:rPr>
              <w:t xml:space="preserve">  请注明  </w:t>
            </w:r>
          </w:p>
          <w:p w14:paraId="42F2C20D">
            <w:pPr>
              <w:spacing w:line="240" w:lineRule="auto"/>
              <w:jc w:val="left"/>
              <w:rPr>
                <w:rFonts w:ascii="Times New Roman" w:hAnsi="Times New Roman"/>
              </w:rPr>
            </w:pPr>
            <w:sdt>
              <w:sdtPr>
                <w:rPr>
                  <w:rFonts w:ascii="Times New Roman" w:hAnsi="Times New Roman"/>
                </w:rPr>
                <w:id w:val="1191108264"/>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rPr>
              <w:t>申报单位并非责任主体，但已使责任主体</w:t>
            </w:r>
            <w:r>
              <w:rPr>
                <w:rFonts w:hint="eastAsia" w:ascii="Times New Roman" w:hAnsi="Times New Roman"/>
              </w:rPr>
              <w:t>和权属/权益主体</w:t>
            </w:r>
            <w:r>
              <w:rPr>
                <w:rFonts w:ascii="Times New Roman" w:hAnsi="Times New Roman"/>
              </w:rPr>
              <w:t>知情同意参与自然共生地认定</w:t>
            </w:r>
            <w:r>
              <w:rPr>
                <w:rFonts w:ascii="Times New Roman" w:hAnsi="Times New Roman"/>
                <w:u w:val="single"/>
              </w:rPr>
              <w:t xml:space="preserve">  请注明责任主体名称  </w:t>
            </w:r>
          </w:p>
        </w:tc>
        <w:tc>
          <w:tcPr>
            <w:tcW w:w="1711" w:type="dxa"/>
            <w:vMerge w:val="continue"/>
          </w:tcPr>
          <w:p w14:paraId="760B48A8">
            <w:pPr>
              <w:spacing w:line="240" w:lineRule="auto"/>
              <w:jc w:val="left"/>
              <w:rPr>
                <w:rFonts w:ascii="Times New Roman" w:hAnsi="Times New Roman"/>
                <w:color w:val="EE0000"/>
              </w:rPr>
            </w:pPr>
          </w:p>
        </w:tc>
      </w:tr>
      <w:tr w14:paraId="470E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21" w:type="dxa"/>
            <w:vAlign w:val="center"/>
          </w:tcPr>
          <w:p w14:paraId="5CEAD906">
            <w:pPr>
              <w:spacing w:line="240" w:lineRule="auto"/>
              <w:jc w:val="center"/>
              <w:rPr>
                <w:rFonts w:ascii="Times New Roman" w:hAnsi="Times New Roman"/>
              </w:rPr>
            </w:pPr>
            <w:r>
              <w:rPr>
                <w:rFonts w:ascii="Times New Roman" w:hAnsi="Times New Roman"/>
              </w:rPr>
              <w:t>1-5</w:t>
            </w:r>
          </w:p>
        </w:tc>
        <w:tc>
          <w:tcPr>
            <w:tcW w:w="1809" w:type="dxa"/>
            <w:vAlign w:val="center"/>
          </w:tcPr>
          <w:p w14:paraId="3894A1D5">
            <w:pPr>
              <w:spacing w:line="240" w:lineRule="auto"/>
              <w:jc w:val="center"/>
              <w:rPr>
                <w:rFonts w:ascii="Times New Roman" w:hAnsi="Times New Roman"/>
              </w:rPr>
            </w:pPr>
            <w:r>
              <w:rPr>
                <w:rFonts w:ascii="Times New Roman" w:hAnsi="Times New Roman"/>
              </w:rPr>
              <w:t>申报单位类型</w:t>
            </w:r>
          </w:p>
        </w:tc>
        <w:tc>
          <w:tcPr>
            <w:tcW w:w="5977" w:type="dxa"/>
            <w:gridSpan w:val="4"/>
            <w:vAlign w:val="center"/>
          </w:tcPr>
          <w:p w14:paraId="39113C60">
            <w:pPr>
              <w:spacing w:line="240" w:lineRule="auto"/>
              <w:rPr>
                <w:rFonts w:ascii="Times New Roman" w:hAnsi="Times New Roman"/>
              </w:rPr>
            </w:pPr>
            <w:sdt>
              <w:sdtPr>
                <w:rPr>
                  <w:rFonts w:ascii="Times New Roman" w:hAnsi="Times New Roman"/>
                </w:rPr>
                <w:id w:val="1283377124"/>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rPr>
              <w:t xml:space="preserve">基金会 </w:t>
            </w:r>
            <w:sdt>
              <w:sdtPr>
                <w:rPr>
                  <w:rFonts w:ascii="Times New Roman" w:hAnsi="Times New Roman"/>
                </w:rPr>
                <w:id w:val="-759287328"/>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rPr>
              <w:t xml:space="preserve">民办非企业 </w:t>
            </w:r>
            <w:sdt>
              <w:sdtPr>
                <w:rPr>
                  <w:rFonts w:ascii="Times New Roman" w:hAnsi="Times New Roman"/>
                </w:rPr>
                <w:id w:val="-1525248345"/>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rPr>
              <w:t xml:space="preserve">社会团体 </w:t>
            </w:r>
            <w:sdt>
              <w:sdtPr>
                <w:rPr>
                  <w:rFonts w:ascii="Times New Roman" w:hAnsi="Times New Roman"/>
                </w:rPr>
                <w:id w:val="-241642290"/>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rPr>
              <w:t xml:space="preserve">企业 </w:t>
            </w:r>
            <w:sdt>
              <w:sdtPr>
                <w:rPr>
                  <w:rFonts w:ascii="Times New Roman" w:hAnsi="Times New Roman"/>
                </w:rPr>
                <w:id w:val="1252091667"/>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rPr>
              <w:t xml:space="preserve">事业单位 </w:t>
            </w:r>
          </w:p>
          <w:p w14:paraId="6545FA1A">
            <w:pPr>
              <w:spacing w:line="240" w:lineRule="auto"/>
              <w:rPr>
                <w:rFonts w:ascii="Times New Roman" w:hAnsi="Times New Roman"/>
                <w:kern w:val="0"/>
              </w:rPr>
            </w:pPr>
            <w:sdt>
              <w:sdtPr>
                <w:rPr>
                  <w:rFonts w:ascii="Times New Roman" w:hAnsi="Times New Roman"/>
                </w:rPr>
                <w:id w:val="-1445062543"/>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rPr>
              <w:t xml:space="preserve">政府单位 </w:t>
            </w:r>
            <w:sdt>
              <w:sdtPr>
                <w:rPr>
                  <w:rFonts w:ascii="Times New Roman" w:hAnsi="Times New Roman"/>
                  <w:kern w:val="0"/>
                </w:rPr>
                <w:id w:val="93988355"/>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rPr>
              <w:t xml:space="preserve">居民委员会/村民委员会 </w:t>
            </w:r>
            <w:sdt>
              <w:sdtPr>
                <w:rPr>
                  <w:rFonts w:ascii="Times New Roman" w:hAnsi="Times New Roman"/>
                  <w:kern w:val="0"/>
                </w:rPr>
                <w:id w:val="-1940748227"/>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 xml:space="preserve">合作社 </w:t>
            </w:r>
            <w:sdt>
              <w:sdtPr>
                <w:rPr>
                  <w:rFonts w:ascii="Times New Roman" w:hAnsi="Times New Roman"/>
                  <w:kern w:val="0"/>
                </w:rPr>
                <w:id w:val="-69576307"/>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 xml:space="preserve">个人 </w:t>
            </w:r>
          </w:p>
          <w:p w14:paraId="48989F5F">
            <w:pPr>
              <w:spacing w:line="240" w:lineRule="auto"/>
              <w:rPr>
                <w:rFonts w:ascii="Times New Roman" w:hAnsi="Times New Roman"/>
                <w:kern w:val="0"/>
              </w:rPr>
            </w:pPr>
            <w:sdt>
              <w:sdtPr>
                <w:rPr>
                  <w:rFonts w:ascii="Times New Roman" w:hAnsi="Times New Roman"/>
                  <w:kern w:val="0"/>
                </w:rPr>
                <w:id w:val="-547303591"/>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rPr>
              <w:t>其他</w:t>
            </w:r>
            <w:r>
              <w:rPr>
                <w:rFonts w:ascii="Times New Roman" w:hAnsi="Times New Roman"/>
                <w:u w:val="single"/>
              </w:rPr>
              <w:t xml:space="preserve">   </w:t>
            </w:r>
            <w:r>
              <w:rPr>
                <w:rFonts w:ascii="Times New Roman" w:hAnsi="Times New Roman"/>
                <w:kern w:val="0"/>
                <w:u w:val="single"/>
              </w:rPr>
              <w:t>请注明</w:t>
            </w:r>
            <w:r>
              <w:rPr>
                <w:rFonts w:ascii="Times New Roman" w:hAnsi="Times New Roman"/>
                <w:u w:val="single"/>
              </w:rPr>
              <w:t xml:space="preserve">    </w:t>
            </w:r>
          </w:p>
        </w:tc>
        <w:tc>
          <w:tcPr>
            <w:tcW w:w="1711" w:type="dxa"/>
            <w:vMerge w:val="continue"/>
          </w:tcPr>
          <w:p w14:paraId="2226D6E1">
            <w:pPr>
              <w:spacing w:line="240" w:lineRule="auto"/>
              <w:rPr>
                <w:rFonts w:ascii="Times New Roman" w:hAnsi="Times New Roman"/>
              </w:rPr>
            </w:pPr>
          </w:p>
        </w:tc>
      </w:tr>
      <w:tr w14:paraId="0E2D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21" w:type="dxa"/>
            <w:vAlign w:val="center"/>
          </w:tcPr>
          <w:p w14:paraId="09DF0026">
            <w:pPr>
              <w:spacing w:line="240" w:lineRule="auto"/>
              <w:jc w:val="center"/>
              <w:rPr>
                <w:rFonts w:ascii="Times New Roman" w:hAnsi="Times New Roman"/>
              </w:rPr>
            </w:pPr>
            <w:r>
              <w:rPr>
                <w:rFonts w:ascii="Times New Roman" w:hAnsi="Times New Roman"/>
              </w:rPr>
              <w:t>1-6</w:t>
            </w:r>
          </w:p>
        </w:tc>
        <w:tc>
          <w:tcPr>
            <w:tcW w:w="1809" w:type="dxa"/>
            <w:vAlign w:val="center"/>
          </w:tcPr>
          <w:p w14:paraId="4B1573AB">
            <w:pPr>
              <w:spacing w:line="240" w:lineRule="auto"/>
              <w:jc w:val="center"/>
              <w:rPr>
                <w:rFonts w:ascii="Times New Roman" w:hAnsi="Times New Roman"/>
              </w:rPr>
            </w:pPr>
            <w:r>
              <w:rPr>
                <w:rFonts w:ascii="Times New Roman" w:hAnsi="Times New Roman"/>
              </w:rPr>
              <w:t>申报单位简介</w:t>
            </w:r>
          </w:p>
          <w:p w14:paraId="11033400">
            <w:pPr>
              <w:spacing w:line="240" w:lineRule="auto"/>
              <w:jc w:val="center"/>
              <w:rPr>
                <w:rFonts w:ascii="Times New Roman" w:hAnsi="Times New Roman"/>
              </w:rPr>
            </w:pPr>
            <w:r>
              <w:rPr>
                <w:rFonts w:ascii="Times New Roman" w:hAnsi="Times New Roman"/>
              </w:rPr>
              <w:t>（不超过200字）</w:t>
            </w:r>
          </w:p>
        </w:tc>
        <w:tc>
          <w:tcPr>
            <w:tcW w:w="5977" w:type="dxa"/>
            <w:gridSpan w:val="4"/>
          </w:tcPr>
          <w:p w14:paraId="42EEA56A">
            <w:pPr>
              <w:spacing w:line="240" w:lineRule="auto"/>
              <w:rPr>
                <w:rFonts w:ascii="Times New Roman" w:hAnsi="Times New Roman"/>
              </w:rPr>
            </w:pPr>
          </w:p>
        </w:tc>
        <w:tc>
          <w:tcPr>
            <w:tcW w:w="1711" w:type="dxa"/>
            <w:vMerge w:val="continue"/>
          </w:tcPr>
          <w:p w14:paraId="584C9CF0">
            <w:pPr>
              <w:spacing w:line="240" w:lineRule="auto"/>
              <w:jc w:val="left"/>
              <w:rPr>
                <w:rFonts w:ascii="Times New Roman" w:hAnsi="Times New Roman"/>
              </w:rPr>
            </w:pPr>
          </w:p>
        </w:tc>
      </w:tr>
      <w:tr w14:paraId="5083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 w:hRule="atLeast"/>
          <w:jc w:val="center"/>
        </w:trPr>
        <w:tc>
          <w:tcPr>
            <w:tcW w:w="421" w:type="dxa"/>
            <w:vAlign w:val="center"/>
          </w:tcPr>
          <w:p w14:paraId="022DC6B4">
            <w:pPr>
              <w:spacing w:line="240" w:lineRule="auto"/>
              <w:jc w:val="center"/>
              <w:rPr>
                <w:rFonts w:ascii="Times New Roman" w:hAnsi="Times New Roman"/>
              </w:rPr>
            </w:pPr>
            <w:r>
              <w:rPr>
                <w:rFonts w:ascii="Times New Roman" w:hAnsi="Times New Roman"/>
              </w:rPr>
              <w:t>1-</w:t>
            </w:r>
            <w:r>
              <w:rPr>
                <w:rFonts w:hint="eastAsia" w:ascii="Times New Roman" w:hAnsi="Times New Roman"/>
              </w:rPr>
              <w:t>7</w:t>
            </w:r>
          </w:p>
        </w:tc>
        <w:tc>
          <w:tcPr>
            <w:tcW w:w="1809" w:type="dxa"/>
            <w:vAlign w:val="center"/>
          </w:tcPr>
          <w:p w14:paraId="312C89EF">
            <w:pPr>
              <w:spacing w:line="240" w:lineRule="auto"/>
              <w:jc w:val="center"/>
              <w:rPr>
                <w:rFonts w:ascii="Times New Roman" w:hAnsi="Times New Roman"/>
              </w:rPr>
            </w:pPr>
            <w:r>
              <w:rPr>
                <w:rFonts w:ascii="Times New Roman" w:hAnsi="Times New Roman"/>
              </w:rPr>
              <w:t>自然共生地简述</w:t>
            </w:r>
          </w:p>
          <w:p w14:paraId="14B4658E">
            <w:pPr>
              <w:spacing w:line="240" w:lineRule="auto"/>
              <w:jc w:val="center"/>
              <w:rPr>
                <w:rFonts w:ascii="Times New Roman" w:hAnsi="Times New Roman"/>
              </w:rPr>
            </w:pPr>
            <w:r>
              <w:rPr>
                <w:rFonts w:ascii="Times New Roman" w:hAnsi="Times New Roman"/>
              </w:rPr>
              <w:t>（不超过800字）</w:t>
            </w:r>
          </w:p>
        </w:tc>
        <w:tc>
          <w:tcPr>
            <w:tcW w:w="5977" w:type="dxa"/>
            <w:gridSpan w:val="4"/>
            <w:vAlign w:val="center"/>
          </w:tcPr>
          <w:p w14:paraId="67A8A6E4">
            <w:pPr>
              <w:spacing w:line="240" w:lineRule="auto"/>
              <w:jc w:val="left"/>
              <w:rPr>
                <w:rFonts w:ascii="Times New Roman" w:hAnsi="Times New Roman"/>
              </w:rPr>
            </w:pPr>
            <w:r>
              <w:rPr>
                <w:rFonts w:ascii="Times New Roman" w:hAnsi="Times New Roman"/>
              </w:rPr>
              <w:t>简述</w:t>
            </w:r>
            <w:r>
              <w:rPr>
                <w:rFonts w:hint="eastAsia" w:ascii="Times New Roman" w:hAnsi="Times New Roman"/>
              </w:rPr>
              <w:t>宜</w:t>
            </w:r>
            <w:r>
              <w:rPr>
                <w:rFonts w:ascii="Times New Roman" w:hAnsi="Times New Roman"/>
              </w:rPr>
              <w:t>包含区域位置、面积、</w:t>
            </w:r>
            <w:r>
              <w:rPr>
                <w:rFonts w:hint="eastAsia" w:ascii="Times New Roman" w:hAnsi="Times New Roman"/>
              </w:rPr>
              <w:t>责任主体和管理机制、保护管理安排</w:t>
            </w:r>
            <w:r>
              <w:rPr>
                <w:rFonts w:ascii="Times New Roman" w:hAnsi="Times New Roman"/>
              </w:rPr>
              <w:t>、生物多样性价值及</w:t>
            </w:r>
            <w:r>
              <w:rPr>
                <w:rFonts w:ascii="Times New Roman" w:hAnsi="Times New Roman"/>
                <w:highlight w:val="none"/>
              </w:rPr>
              <w:t>主要保护对象、</w:t>
            </w:r>
            <w:r>
              <w:rPr>
                <w:rFonts w:ascii="Times New Roman" w:hAnsi="Times New Roman"/>
              </w:rPr>
              <w:t>保护管理</w:t>
            </w:r>
            <w:r>
              <w:rPr>
                <w:rFonts w:hint="eastAsia" w:ascii="Times New Roman" w:hAnsi="Times New Roman"/>
              </w:rPr>
              <w:t>措施、长期保护计划</w:t>
            </w:r>
            <w:r>
              <w:rPr>
                <w:rFonts w:ascii="Times New Roman" w:hAnsi="Times New Roman"/>
              </w:rPr>
              <w:t>、保护成效、区域其他价值（生态系统服务及文化、精神、社会经济等）等内容。</w:t>
            </w:r>
          </w:p>
          <w:p w14:paraId="4C175C68">
            <w:pPr>
              <w:spacing w:line="240" w:lineRule="auto"/>
              <w:rPr>
                <w:rFonts w:ascii="Times New Roman" w:hAnsi="Times New Roman"/>
                <w:color w:val="000000"/>
              </w:rPr>
            </w:pPr>
          </w:p>
        </w:tc>
        <w:tc>
          <w:tcPr>
            <w:tcW w:w="1711" w:type="dxa"/>
            <w:vMerge w:val="continue"/>
          </w:tcPr>
          <w:p w14:paraId="3740EAFB">
            <w:pPr>
              <w:spacing w:line="240" w:lineRule="auto"/>
              <w:rPr>
                <w:rFonts w:ascii="Times New Roman" w:hAnsi="Times New Roman"/>
                <w:kern w:val="0"/>
              </w:rPr>
            </w:pPr>
          </w:p>
        </w:tc>
      </w:tr>
      <w:tr w14:paraId="4ED1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 w:hRule="atLeast"/>
          <w:jc w:val="center"/>
        </w:trPr>
        <w:tc>
          <w:tcPr>
            <w:tcW w:w="8207" w:type="dxa"/>
            <w:gridSpan w:val="6"/>
            <w:shd w:val="clear" w:color="auto" w:fill="D8D8D8" w:themeFill="background1" w:themeFillShade="D9"/>
            <w:vAlign w:val="center"/>
          </w:tcPr>
          <w:p w14:paraId="5EE92B4C">
            <w:pPr>
              <w:spacing w:line="240" w:lineRule="auto"/>
              <w:rPr>
                <w:rFonts w:ascii="Times New Roman" w:hAnsi="Times New Roman"/>
                <w:color w:val="000000"/>
              </w:rPr>
            </w:pPr>
            <w:r>
              <w:rPr>
                <w:rFonts w:ascii="Times New Roman" w:hAnsi="Times New Roman"/>
                <w:b/>
                <w:bCs/>
              </w:rPr>
              <w:t>2、区域范围</w:t>
            </w:r>
          </w:p>
        </w:tc>
        <w:tc>
          <w:tcPr>
            <w:tcW w:w="1711" w:type="dxa"/>
            <w:shd w:val="clear" w:color="auto" w:fill="D8D8D8" w:themeFill="background1" w:themeFillShade="D9"/>
          </w:tcPr>
          <w:p w14:paraId="322EF746">
            <w:pPr>
              <w:spacing w:line="240" w:lineRule="auto"/>
              <w:rPr>
                <w:rFonts w:ascii="Times New Roman" w:hAnsi="Times New Roman"/>
                <w:kern w:val="0"/>
              </w:rPr>
            </w:pPr>
          </w:p>
        </w:tc>
      </w:tr>
      <w:tr w14:paraId="2A68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 w:hRule="atLeast"/>
          <w:jc w:val="center"/>
        </w:trPr>
        <w:tc>
          <w:tcPr>
            <w:tcW w:w="421" w:type="dxa"/>
            <w:vAlign w:val="center"/>
          </w:tcPr>
          <w:p w14:paraId="44A59F06">
            <w:pPr>
              <w:spacing w:line="240" w:lineRule="auto"/>
              <w:jc w:val="center"/>
              <w:rPr>
                <w:rFonts w:ascii="Times New Roman" w:hAnsi="Times New Roman"/>
              </w:rPr>
            </w:pPr>
            <w:r>
              <w:rPr>
                <w:rFonts w:ascii="Times New Roman" w:hAnsi="Times New Roman"/>
              </w:rPr>
              <w:t>2-1</w:t>
            </w:r>
          </w:p>
        </w:tc>
        <w:tc>
          <w:tcPr>
            <w:tcW w:w="1809" w:type="dxa"/>
            <w:vAlign w:val="center"/>
          </w:tcPr>
          <w:p w14:paraId="20D28A70">
            <w:pPr>
              <w:spacing w:line="240" w:lineRule="auto"/>
              <w:jc w:val="center"/>
              <w:rPr>
                <w:rFonts w:ascii="Times New Roman" w:hAnsi="Times New Roman"/>
              </w:rPr>
            </w:pPr>
            <w:r>
              <w:rPr>
                <w:rFonts w:ascii="Times New Roman" w:hAnsi="Times New Roman"/>
              </w:rPr>
              <w:t>区域位置</w:t>
            </w:r>
          </w:p>
        </w:tc>
        <w:tc>
          <w:tcPr>
            <w:tcW w:w="5977" w:type="dxa"/>
            <w:gridSpan w:val="4"/>
          </w:tcPr>
          <w:p w14:paraId="4815BBAF">
            <w:pPr>
              <w:spacing w:line="240" w:lineRule="auto"/>
              <w:rPr>
                <w:rFonts w:ascii="Times New Roman" w:hAnsi="Times New Roman"/>
              </w:rPr>
            </w:pPr>
            <w:r>
              <w:rPr>
                <w:rFonts w:ascii="Times New Roman" w:hAnsi="Times New Roman"/>
              </w:rPr>
              <w:t>自然共生地</w:t>
            </w:r>
            <w:r>
              <w:rPr>
                <w:rFonts w:ascii="Times New Roman" w:hAnsi="Times New Roman"/>
                <w:color w:val="000000"/>
              </w:rPr>
              <w:t>所在区域行政区划（省市区县）</w:t>
            </w:r>
          </w:p>
        </w:tc>
        <w:tc>
          <w:tcPr>
            <w:tcW w:w="1711" w:type="dxa"/>
            <w:vMerge w:val="restart"/>
          </w:tcPr>
          <w:p w14:paraId="04CE0FFB">
            <w:pPr>
              <w:spacing w:line="240" w:lineRule="auto"/>
              <w:rPr>
                <w:rFonts w:ascii="Times New Roman" w:hAnsi="Times New Roman"/>
                <w:kern w:val="0"/>
              </w:rPr>
            </w:pPr>
            <w:sdt>
              <w:sdtPr>
                <w:rPr>
                  <w:rFonts w:ascii="Times New Roman" w:hAnsi="Times New Roman"/>
                  <w:kern w:val="0"/>
                </w:rPr>
                <w:id w:val="-159397457"/>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地图</w:t>
            </w:r>
          </w:p>
          <w:p w14:paraId="7047B6C5">
            <w:pPr>
              <w:spacing w:line="240" w:lineRule="auto"/>
              <w:rPr>
                <w:rFonts w:ascii="Times New Roman" w:hAnsi="Times New Roman"/>
                <w:kern w:val="0"/>
              </w:rPr>
            </w:pPr>
            <w:sdt>
              <w:sdtPr>
                <w:rPr>
                  <w:rFonts w:ascii="Times New Roman" w:hAnsi="Times New Roman"/>
                  <w:kern w:val="0"/>
                </w:rPr>
                <w:id w:val="-1629166286"/>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地理边界文件</w:t>
            </w:r>
            <w:r>
              <w:rPr>
                <w:rFonts w:ascii="Times New Roman" w:hAnsi="Times New Roman"/>
              </w:rPr>
              <w:t>(kml、shp等格式)</w:t>
            </w:r>
          </w:p>
          <w:p w14:paraId="0A3B9250">
            <w:pPr>
              <w:spacing w:line="240" w:lineRule="auto"/>
              <w:rPr>
                <w:rFonts w:ascii="Times New Roman" w:hAnsi="Times New Roman"/>
                <w:color w:val="000000"/>
              </w:rPr>
            </w:pPr>
            <w:sdt>
              <w:sdtPr>
                <w:rPr>
                  <w:rFonts w:ascii="Times New Roman" w:hAnsi="Times New Roman"/>
                  <w:kern w:val="0"/>
                </w:rPr>
                <w:id w:val="941873427"/>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rPr>
              <w:t>其他</w:t>
            </w:r>
            <w:r>
              <w:rPr>
                <w:rFonts w:ascii="Times New Roman" w:hAnsi="Times New Roman"/>
                <w:u w:val="single"/>
              </w:rPr>
              <w:t xml:space="preserve">  请注明  </w:t>
            </w:r>
          </w:p>
        </w:tc>
      </w:tr>
      <w:tr w14:paraId="2CC3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 w:hRule="atLeast"/>
          <w:jc w:val="center"/>
        </w:trPr>
        <w:tc>
          <w:tcPr>
            <w:tcW w:w="421" w:type="dxa"/>
            <w:vAlign w:val="center"/>
          </w:tcPr>
          <w:p w14:paraId="117AF2C5">
            <w:pPr>
              <w:spacing w:line="240" w:lineRule="auto"/>
              <w:jc w:val="center"/>
              <w:rPr>
                <w:rFonts w:ascii="Times New Roman" w:hAnsi="Times New Roman"/>
              </w:rPr>
            </w:pPr>
            <w:r>
              <w:rPr>
                <w:rFonts w:ascii="Times New Roman" w:hAnsi="Times New Roman"/>
              </w:rPr>
              <w:t>2-2</w:t>
            </w:r>
          </w:p>
        </w:tc>
        <w:tc>
          <w:tcPr>
            <w:tcW w:w="1809" w:type="dxa"/>
            <w:vAlign w:val="center"/>
          </w:tcPr>
          <w:p w14:paraId="34C02AFC">
            <w:pPr>
              <w:spacing w:line="240" w:lineRule="auto"/>
              <w:jc w:val="center"/>
              <w:rPr>
                <w:rFonts w:ascii="Times New Roman" w:hAnsi="Times New Roman"/>
              </w:rPr>
            </w:pPr>
            <w:r>
              <w:rPr>
                <w:rFonts w:ascii="Times New Roman" w:hAnsi="Times New Roman"/>
              </w:rPr>
              <w:t>区域</w:t>
            </w:r>
            <w:r>
              <w:rPr>
                <w:rFonts w:hint="eastAsia" w:ascii="Times New Roman" w:hAnsi="Times New Roman"/>
              </w:rPr>
              <w:t>位置和</w:t>
            </w:r>
            <w:r>
              <w:rPr>
                <w:rFonts w:ascii="Times New Roman" w:hAnsi="Times New Roman"/>
              </w:rPr>
              <w:t>范围</w:t>
            </w:r>
          </w:p>
          <w:p w14:paraId="4B3DE0F6">
            <w:pPr>
              <w:spacing w:line="240" w:lineRule="auto"/>
              <w:jc w:val="center"/>
              <w:rPr>
                <w:rFonts w:ascii="Times New Roman" w:hAnsi="Times New Roman"/>
              </w:rPr>
            </w:pPr>
            <w:r>
              <w:rPr>
                <w:rFonts w:ascii="Times New Roman" w:hAnsi="Times New Roman"/>
              </w:rPr>
              <w:t>（不超过300字）</w:t>
            </w:r>
          </w:p>
        </w:tc>
        <w:tc>
          <w:tcPr>
            <w:tcW w:w="5977" w:type="dxa"/>
            <w:gridSpan w:val="4"/>
          </w:tcPr>
          <w:p w14:paraId="1FEC07EC">
            <w:pPr>
              <w:spacing w:line="240" w:lineRule="auto"/>
              <w:rPr>
                <w:rFonts w:ascii="Times New Roman" w:hAnsi="Times New Roman"/>
              </w:rPr>
            </w:pPr>
            <w:r>
              <w:rPr>
                <w:rFonts w:ascii="Times New Roman" w:hAnsi="Times New Roman"/>
              </w:rPr>
              <w:t>描述受到有效保护的区域范围，包括地理区位、经纬度等。</w:t>
            </w:r>
          </w:p>
        </w:tc>
        <w:tc>
          <w:tcPr>
            <w:tcW w:w="1711" w:type="dxa"/>
            <w:vMerge w:val="continue"/>
          </w:tcPr>
          <w:p w14:paraId="3CF8B84F">
            <w:pPr>
              <w:spacing w:line="240" w:lineRule="auto"/>
              <w:rPr>
                <w:rFonts w:ascii="Times New Roman" w:hAnsi="Times New Roman"/>
              </w:rPr>
            </w:pPr>
          </w:p>
        </w:tc>
      </w:tr>
      <w:tr w14:paraId="1A79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 w:hRule="atLeast"/>
          <w:jc w:val="center"/>
        </w:trPr>
        <w:tc>
          <w:tcPr>
            <w:tcW w:w="421" w:type="dxa"/>
            <w:vAlign w:val="center"/>
          </w:tcPr>
          <w:p w14:paraId="63CA2E45">
            <w:pPr>
              <w:spacing w:line="240" w:lineRule="auto"/>
              <w:jc w:val="center"/>
              <w:rPr>
                <w:rFonts w:ascii="Times New Roman" w:hAnsi="Times New Roman"/>
              </w:rPr>
            </w:pPr>
            <w:r>
              <w:rPr>
                <w:rFonts w:ascii="Times New Roman" w:hAnsi="Times New Roman"/>
              </w:rPr>
              <w:t>2-3</w:t>
            </w:r>
          </w:p>
        </w:tc>
        <w:tc>
          <w:tcPr>
            <w:tcW w:w="1809" w:type="dxa"/>
            <w:vAlign w:val="center"/>
          </w:tcPr>
          <w:p w14:paraId="5E5DF4B1">
            <w:pPr>
              <w:spacing w:line="240" w:lineRule="auto"/>
              <w:jc w:val="center"/>
              <w:rPr>
                <w:rFonts w:ascii="Times New Roman" w:hAnsi="Times New Roman"/>
              </w:rPr>
            </w:pPr>
            <w:r>
              <w:rPr>
                <w:rFonts w:ascii="Times New Roman" w:hAnsi="Times New Roman"/>
              </w:rPr>
              <w:t>区域面积</w:t>
            </w:r>
          </w:p>
        </w:tc>
        <w:tc>
          <w:tcPr>
            <w:tcW w:w="5977" w:type="dxa"/>
            <w:gridSpan w:val="4"/>
          </w:tcPr>
          <w:p w14:paraId="55810C28">
            <w:pPr>
              <w:spacing w:line="240" w:lineRule="auto"/>
              <w:rPr>
                <w:rFonts w:ascii="Times New Roman" w:hAnsi="Times New Roman"/>
              </w:rPr>
            </w:pPr>
            <w:r>
              <w:rPr>
                <w:rFonts w:ascii="Times New Roman" w:hAnsi="Times New Roman"/>
                <w:color w:val="000000"/>
              </w:rPr>
              <w:t>以公顷为单位（注：1公顷=0.01平方公里=10000平方米=15亩）</w:t>
            </w:r>
          </w:p>
        </w:tc>
        <w:tc>
          <w:tcPr>
            <w:tcW w:w="1711" w:type="dxa"/>
            <w:vMerge w:val="continue"/>
          </w:tcPr>
          <w:p w14:paraId="52BC3CE9">
            <w:pPr>
              <w:spacing w:line="240" w:lineRule="auto"/>
              <w:rPr>
                <w:rFonts w:ascii="Times New Roman" w:hAnsi="Times New Roman"/>
                <w:color w:val="000000"/>
              </w:rPr>
            </w:pPr>
          </w:p>
        </w:tc>
      </w:tr>
      <w:tr w14:paraId="51FD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21" w:type="dxa"/>
            <w:vAlign w:val="center"/>
          </w:tcPr>
          <w:p w14:paraId="477FF600">
            <w:pPr>
              <w:spacing w:line="240" w:lineRule="auto"/>
              <w:jc w:val="center"/>
              <w:rPr>
                <w:rFonts w:ascii="Times New Roman" w:hAnsi="Times New Roman"/>
              </w:rPr>
            </w:pPr>
            <w:r>
              <w:rPr>
                <w:rFonts w:ascii="Times New Roman" w:hAnsi="Times New Roman"/>
              </w:rPr>
              <w:t>2-4</w:t>
            </w:r>
          </w:p>
        </w:tc>
        <w:tc>
          <w:tcPr>
            <w:tcW w:w="1809" w:type="dxa"/>
            <w:vAlign w:val="center"/>
          </w:tcPr>
          <w:p w14:paraId="130D3093">
            <w:pPr>
              <w:spacing w:line="240" w:lineRule="auto"/>
              <w:jc w:val="center"/>
              <w:rPr>
                <w:rFonts w:ascii="Times New Roman" w:hAnsi="Times New Roman"/>
              </w:rPr>
            </w:pPr>
            <w:r>
              <w:rPr>
                <w:rFonts w:ascii="Times New Roman" w:hAnsi="Times New Roman"/>
              </w:rPr>
              <w:t>区域生态系统</w:t>
            </w:r>
          </w:p>
          <w:p w14:paraId="7C0D3152">
            <w:pPr>
              <w:spacing w:line="240" w:lineRule="auto"/>
              <w:jc w:val="center"/>
              <w:rPr>
                <w:rFonts w:ascii="Times New Roman" w:hAnsi="Times New Roman"/>
              </w:rPr>
            </w:pPr>
            <w:r>
              <w:rPr>
                <w:rFonts w:ascii="Times New Roman" w:hAnsi="Times New Roman"/>
              </w:rPr>
              <w:t>类型（可多选）</w:t>
            </w:r>
          </w:p>
        </w:tc>
        <w:tc>
          <w:tcPr>
            <w:tcW w:w="5977" w:type="dxa"/>
            <w:gridSpan w:val="4"/>
          </w:tcPr>
          <w:p w14:paraId="212A004A">
            <w:pPr>
              <w:widowControl/>
              <w:spacing w:line="240" w:lineRule="auto"/>
              <w:rPr>
                <w:rFonts w:ascii="Times New Roman" w:hAnsi="Times New Roman"/>
                <w:kern w:val="0"/>
              </w:rPr>
            </w:pPr>
            <w:sdt>
              <w:sdtPr>
                <w:rPr>
                  <w:rFonts w:ascii="Times New Roman" w:hAnsi="Times New Roman"/>
                </w:rPr>
                <w:id w:val="801662869"/>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kern w:val="0"/>
              </w:rPr>
              <w:t>森林</w:t>
            </w:r>
            <w:r>
              <w:rPr>
                <w:rFonts w:ascii="Times New Roman" w:hAnsi="Times New Roman"/>
              </w:rPr>
              <w:t xml:space="preserve"> </w:t>
            </w:r>
            <w:sdt>
              <w:sdtPr>
                <w:rPr>
                  <w:rFonts w:ascii="Times New Roman" w:hAnsi="Times New Roman"/>
                </w:rPr>
                <w:id w:val="456456206"/>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kern w:val="0"/>
              </w:rPr>
              <w:t xml:space="preserve">灌丛 </w:t>
            </w:r>
            <w:sdt>
              <w:sdtPr>
                <w:rPr>
                  <w:rFonts w:ascii="Times New Roman" w:hAnsi="Times New Roman"/>
                </w:rPr>
                <w:id w:val="-1825118453"/>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kern w:val="0"/>
              </w:rPr>
              <w:t xml:space="preserve">草地 </w:t>
            </w:r>
            <w:sdt>
              <w:sdtPr>
                <w:rPr>
                  <w:rFonts w:ascii="Times New Roman" w:hAnsi="Times New Roman"/>
                </w:rPr>
                <w:id w:val="88049806"/>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kern w:val="0"/>
              </w:rPr>
              <w:t>海洋/滨海</w:t>
            </w:r>
            <w:r>
              <w:rPr>
                <w:rFonts w:ascii="Times New Roman" w:hAnsi="Times New Roman"/>
              </w:rPr>
              <w:t xml:space="preserve"> </w:t>
            </w:r>
            <w:sdt>
              <w:sdtPr>
                <w:rPr>
                  <w:rFonts w:ascii="Times New Roman" w:hAnsi="Times New Roman"/>
                </w:rPr>
                <w:id w:val="296111867"/>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kern w:val="0"/>
              </w:rPr>
              <w:t xml:space="preserve">淡水/湿地 </w:t>
            </w:r>
          </w:p>
          <w:p w14:paraId="6359E721">
            <w:pPr>
              <w:spacing w:line="240" w:lineRule="auto"/>
              <w:rPr>
                <w:rFonts w:ascii="Times New Roman" w:hAnsi="Times New Roman"/>
              </w:rPr>
            </w:pPr>
            <w:sdt>
              <w:sdtPr>
                <w:rPr>
                  <w:rFonts w:ascii="Times New Roman" w:hAnsi="Times New Roman"/>
                </w:rPr>
                <w:id w:val="1196881793"/>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kern w:val="0"/>
              </w:rPr>
              <w:t xml:space="preserve">城镇 </w:t>
            </w:r>
            <w:sdt>
              <w:sdtPr>
                <w:rPr>
                  <w:rFonts w:ascii="Times New Roman" w:hAnsi="Times New Roman"/>
                </w:rPr>
                <w:id w:val="1998613744"/>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kern w:val="0"/>
              </w:rPr>
              <w:t xml:space="preserve">农田 </w:t>
            </w:r>
            <w:sdt>
              <w:sdtPr>
                <w:rPr>
                  <w:rFonts w:ascii="Times New Roman" w:hAnsi="Times New Roman"/>
                </w:rPr>
                <w:id w:val="-1945370100"/>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kern w:val="0"/>
              </w:rPr>
              <w:t xml:space="preserve">荒漠 </w:t>
            </w:r>
            <w:sdt>
              <w:sdtPr>
                <w:rPr>
                  <w:rFonts w:ascii="Times New Roman" w:hAnsi="Times New Roman"/>
                </w:rPr>
                <w:id w:val="-831752008"/>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ascii="Times New Roman" w:hAnsi="Times New Roman"/>
                <w:kern w:val="0"/>
              </w:rPr>
              <w:t>其他</w:t>
            </w:r>
            <w:r>
              <w:rPr>
                <w:rFonts w:ascii="Times New Roman" w:hAnsi="Times New Roman"/>
                <w:kern w:val="0"/>
                <w:u w:val="single"/>
              </w:rPr>
              <w:t xml:space="preserve">  请注明  </w:t>
            </w:r>
          </w:p>
        </w:tc>
        <w:tc>
          <w:tcPr>
            <w:tcW w:w="1711" w:type="dxa"/>
            <w:vMerge w:val="continue"/>
          </w:tcPr>
          <w:p w14:paraId="0B04CB70">
            <w:pPr>
              <w:spacing w:line="240" w:lineRule="auto"/>
              <w:jc w:val="left"/>
              <w:rPr>
                <w:rFonts w:ascii="Times New Roman" w:hAnsi="Times New Roman"/>
              </w:rPr>
            </w:pPr>
          </w:p>
        </w:tc>
      </w:tr>
      <w:tr w14:paraId="38E1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2" w:hRule="atLeast"/>
          <w:jc w:val="center"/>
        </w:trPr>
        <w:tc>
          <w:tcPr>
            <w:tcW w:w="421" w:type="dxa"/>
            <w:vAlign w:val="center"/>
          </w:tcPr>
          <w:p w14:paraId="79525D42">
            <w:pPr>
              <w:spacing w:line="240" w:lineRule="auto"/>
              <w:jc w:val="center"/>
              <w:rPr>
                <w:rFonts w:ascii="Times New Roman" w:hAnsi="Times New Roman"/>
              </w:rPr>
            </w:pPr>
            <w:r>
              <w:rPr>
                <w:rFonts w:ascii="Times New Roman" w:hAnsi="Times New Roman"/>
              </w:rPr>
              <w:t>2-5</w:t>
            </w:r>
          </w:p>
        </w:tc>
        <w:tc>
          <w:tcPr>
            <w:tcW w:w="1809" w:type="dxa"/>
            <w:vAlign w:val="center"/>
          </w:tcPr>
          <w:p w14:paraId="67D09580">
            <w:pPr>
              <w:spacing w:line="240" w:lineRule="auto"/>
              <w:jc w:val="center"/>
              <w:rPr>
                <w:rFonts w:ascii="Times New Roman" w:hAnsi="Times New Roman"/>
              </w:rPr>
            </w:pPr>
            <w:r>
              <w:rPr>
                <w:rFonts w:ascii="Times New Roman" w:hAnsi="Times New Roman"/>
              </w:rPr>
              <w:t>是否在生态保护红线</w:t>
            </w:r>
            <w:r>
              <w:rPr>
                <w:rFonts w:ascii="Times New Roman" w:hAnsi="Times New Roman"/>
                <w:bCs/>
              </w:rPr>
              <w:t>外</w:t>
            </w:r>
          </w:p>
        </w:tc>
        <w:tc>
          <w:tcPr>
            <w:tcW w:w="5977" w:type="dxa"/>
            <w:gridSpan w:val="4"/>
            <w:vAlign w:val="center"/>
          </w:tcPr>
          <w:p w14:paraId="48043853">
            <w:pPr>
              <w:spacing w:line="240" w:lineRule="auto"/>
              <w:jc w:val="left"/>
              <w:rPr>
                <w:rFonts w:ascii="Times New Roman" w:hAnsi="Times New Roman"/>
              </w:rPr>
            </w:pPr>
            <w:sdt>
              <w:sdtPr>
                <w:rPr>
                  <w:rFonts w:ascii="Times New Roman" w:hAnsi="Times New Roman"/>
                </w:rPr>
                <w:id w:val="2004621758"/>
                <w14:checkbox>
                  <w14:checked w14:val="0"/>
                  <w14:checkedState w14:val="0052" w14:font="方正小标宋简体"/>
                  <w14:uncheckedState w14:val="2610" w14:font="MS Gothic"/>
                </w14:checkbox>
              </w:sdtPr>
              <w:sdtEndPr>
                <w:rPr>
                  <w:rFonts w:ascii="Times New Roman" w:hAnsi="Times New Roman"/>
                </w:rPr>
              </w:sdtEndPr>
              <w:sdtContent>
                <w:r>
                  <w:rPr>
                    <w:rFonts w:ascii="Segoe UI Symbol" w:hAnsi="Segoe UI Symbol" w:cs="Segoe UI Symbol"/>
                  </w:rPr>
                  <w:t>☐</w:t>
                </w:r>
              </w:sdtContent>
            </w:sdt>
            <w:r>
              <w:rPr>
                <w:rFonts w:ascii="Times New Roman" w:hAnsi="Times New Roman"/>
              </w:rPr>
              <w:t xml:space="preserve">是 </w:t>
            </w:r>
            <w:sdt>
              <w:sdtPr>
                <w:rPr>
                  <w:rFonts w:ascii="Times New Roman" w:hAnsi="Times New Roman"/>
                </w:rPr>
                <w:id w:val="-456730343"/>
                <w14:checkbox>
                  <w14:checked w14:val="0"/>
                  <w14:checkedState w14:val="0052" w14:font="方正小标宋简体"/>
                  <w14:uncheckedState w14:val="2610" w14:font="MS Gothic"/>
                </w14:checkbox>
              </w:sdtPr>
              <w:sdtEndPr>
                <w:rPr>
                  <w:rFonts w:ascii="Times New Roman" w:hAnsi="Times New Roman"/>
                </w:rPr>
              </w:sdtEndPr>
              <w:sdtContent>
                <w:r>
                  <w:rPr>
                    <w:rFonts w:ascii="Segoe UI Symbol" w:hAnsi="Segoe UI Symbol" w:cs="Segoe UI Symbol"/>
                  </w:rPr>
                  <w:t>☐</w:t>
                </w:r>
              </w:sdtContent>
            </w:sdt>
            <w:r>
              <w:rPr>
                <w:rFonts w:ascii="Times New Roman" w:hAnsi="Times New Roman"/>
              </w:rPr>
              <w:t>否</w:t>
            </w:r>
            <w:r>
              <w:rPr>
                <w:rFonts w:hint="eastAsia" w:ascii="Times New Roman" w:hAnsi="Times New Roman"/>
              </w:rPr>
              <w:t>（如选否，则不符合本标准适用范畴）</w:t>
            </w:r>
          </w:p>
          <w:p w14:paraId="64F1A669">
            <w:pPr>
              <w:spacing w:line="240" w:lineRule="auto"/>
              <w:jc w:val="left"/>
              <w:rPr>
                <w:rFonts w:ascii="Times New Roman" w:hAnsi="Times New Roman"/>
                <w:iCs/>
              </w:rPr>
            </w:pPr>
            <w:sdt>
              <w:sdtPr>
                <w:rPr>
                  <w:rFonts w:ascii="Times New Roman" w:hAnsi="Times New Roman"/>
                </w:rPr>
                <w:id w:val="242142638"/>
                <w14:checkbox>
                  <w14:checked w14:val="0"/>
                  <w14:checkedState w14:val="0052" w14:font="方正小标宋简体"/>
                  <w14:uncheckedState w14:val="2610" w14:font="MS Gothic"/>
                </w14:checkbox>
              </w:sdtPr>
              <w:sdtEndPr>
                <w:rPr>
                  <w:rFonts w:ascii="Times New Roman" w:hAnsi="Times New Roman"/>
                </w:rPr>
              </w:sdtEndPr>
              <w:sdtContent>
                <w:r>
                  <w:rPr>
                    <w:rFonts w:ascii="Segoe UI Symbol" w:hAnsi="Segoe UI Symbol" w:cs="Segoe UI Symbol"/>
                  </w:rPr>
                  <w:t>☐</w:t>
                </w:r>
              </w:sdtContent>
            </w:sdt>
            <w:r>
              <w:rPr>
                <w:rFonts w:ascii="Times New Roman" w:hAnsi="Times New Roman"/>
              </w:rPr>
              <w:t>部分在生态保护红线外</w:t>
            </w:r>
            <w:r>
              <w:rPr>
                <w:rFonts w:ascii="Times New Roman" w:hAnsi="Times New Roman"/>
                <w:u w:val="single"/>
              </w:rPr>
              <w:t xml:space="preserve"> 请注明区域在生态保护红线外的比例  </w:t>
            </w:r>
            <w:r>
              <w:rPr>
                <w:rFonts w:ascii="Times New Roman" w:hAnsi="Times New Roman"/>
              </w:rPr>
              <w:t xml:space="preserve"> （本标准下自然共生地评估和认定仅需提供生态保护红线以外部分的相关资料）</w:t>
            </w:r>
          </w:p>
        </w:tc>
        <w:tc>
          <w:tcPr>
            <w:tcW w:w="1711" w:type="dxa"/>
            <w:vMerge w:val="continue"/>
          </w:tcPr>
          <w:p w14:paraId="2589F751">
            <w:pPr>
              <w:spacing w:line="240" w:lineRule="auto"/>
              <w:jc w:val="left"/>
              <w:rPr>
                <w:rFonts w:ascii="Times New Roman" w:hAnsi="Times New Roman"/>
              </w:rPr>
            </w:pPr>
          </w:p>
        </w:tc>
      </w:tr>
      <w:tr w14:paraId="0C3A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3" w:hRule="atLeast"/>
          <w:jc w:val="center"/>
        </w:trPr>
        <w:tc>
          <w:tcPr>
            <w:tcW w:w="8207" w:type="dxa"/>
            <w:gridSpan w:val="6"/>
            <w:shd w:val="clear" w:color="auto" w:fill="D8D8D8" w:themeFill="background1" w:themeFillShade="D9"/>
            <w:vAlign w:val="center"/>
          </w:tcPr>
          <w:p w14:paraId="44645186">
            <w:pPr>
              <w:spacing w:line="240" w:lineRule="auto"/>
              <w:jc w:val="left"/>
              <w:rPr>
                <w:rFonts w:ascii="Times New Roman" w:hAnsi="Times New Roman"/>
              </w:rPr>
            </w:pPr>
            <w:r>
              <w:rPr>
                <w:rFonts w:ascii="Times New Roman" w:hAnsi="Times New Roman"/>
                <w:b/>
                <w:bCs/>
              </w:rPr>
              <w:t>3、治理和管理</w:t>
            </w:r>
          </w:p>
        </w:tc>
        <w:tc>
          <w:tcPr>
            <w:tcW w:w="1711" w:type="dxa"/>
            <w:shd w:val="clear" w:color="auto" w:fill="D8D8D8" w:themeFill="background1" w:themeFillShade="D9"/>
          </w:tcPr>
          <w:p w14:paraId="579863D6">
            <w:pPr>
              <w:spacing w:line="240" w:lineRule="auto"/>
              <w:jc w:val="left"/>
              <w:rPr>
                <w:rFonts w:ascii="Times New Roman" w:hAnsi="Times New Roman"/>
              </w:rPr>
            </w:pPr>
          </w:p>
        </w:tc>
      </w:tr>
      <w:tr w14:paraId="2957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 w:hRule="atLeast"/>
          <w:jc w:val="center"/>
        </w:trPr>
        <w:tc>
          <w:tcPr>
            <w:tcW w:w="421" w:type="dxa"/>
            <w:vAlign w:val="center"/>
          </w:tcPr>
          <w:p w14:paraId="49C8832A">
            <w:pPr>
              <w:spacing w:line="240" w:lineRule="auto"/>
              <w:jc w:val="center"/>
              <w:rPr>
                <w:rFonts w:ascii="Times New Roman" w:hAnsi="Times New Roman"/>
              </w:rPr>
            </w:pPr>
            <w:r>
              <w:rPr>
                <w:rFonts w:ascii="Times New Roman" w:hAnsi="Times New Roman"/>
              </w:rPr>
              <w:t>3-1</w:t>
            </w:r>
          </w:p>
        </w:tc>
        <w:tc>
          <w:tcPr>
            <w:tcW w:w="1809" w:type="dxa"/>
            <w:vAlign w:val="center"/>
          </w:tcPr>
          <w:p w14:paraId="2C5CB3B5">
            <w:pPr>
              <w:spacing w:line="240" w:lineRule="auto"/>
              <w:jc w:val="center"/>
              <w:rPr>
                <w:rFonts w:ascii="Times New Roman" w:hAnsi="Times New Roman"/>
              </w:rPr>
            </w:pPr>
            <w:r>
              <w:rPr>
                <w:rFonts w:hint="eastAsia" w:ascii="Times New Roman" w:hAnsi="Times New Roman"/>
              </w:rPr>
              <w:t>责任</w:t>
            </w:r>
            <w:r>
              <w:rPr>
                <w:rFonts w:ascii="Times New Roman" w:hAnsi="Times New Roman"/>
              </w:rPr>
              <w:t>主体</w:t>
            </w:r>
            <w:r>
              <w:rPr>
                <w:rFonts w:hint="eastAsia" w:ascii="Times New Roman" w:hAnsi="Times New Roman"/>
              </w:rPr>
              <w:t>和管理机制</w:t>
            </w:r>
          </w:p>
          <w:p w14:paraId="7B66EB3C">
            <w:pPr>
              <w:spacing w:line="240" w:lineRule="auto"/>
              <w:jc w:val="center"/>
              <w:rPr>
                <w:rFonts w:ascii="Times New Roman" w:hAnsi="Times New Roman"/>
              </w:rPr>
            </w:pPr>
            <w:r>
              <w:rPr>
                <w:rFonts w:hint="eastAsia" w:ascii="Times New Roman" w:hAnsi="Times New Roman"/>
              </w:rPr>
              <w:t>（不超过300字）</w:t>
            </w:r>
          </w:p>
        </w:tc>
        <w:tc>
          <w:tcPr>
            <w:tcW w:w="5977" w:type="dxa"/>
            <w:gridSpan w:val="4"/>
          </w:tcPr>
          <w:p w14:paraId="365B5DC0">
            <w:pPr>
              <w:spacing w:line="240" w:lineRule="auto"/>
              <w:jc w:val="left"/>
              <w:rPr>
                <w:rFonts w:ascii="Times New Roman" w:hAnsi="Times New Roman"/>
              </w:rPr>
            </w:pPr>
            <w:bookmarkStart w:id="128" w:name="OLE_LINK48"/>
            <w:r>
              <w:rPr>
                <w:rFonts w:ascii="Times New Roman" w:hAnsi="Times New Roman"/>
              </w:rPr>
              <w:t>列出区域的</w:t>
            </w:r>
            <w:r>
              <w:rPr>
                <w:rFonts w:hint="eastAsia" w:ascii="Times New Roman" w:hAnsi="Times New Roman"/>
              </w:rPr>
              <w:t>责任主体，并</w:t>
            </w:r>
            <w:r>
              <w:rPr>
                <w:rFonts w:ascii="Times New Roman" w:hAnsi="Times New Roman"/>
              </w:rPr>
              <w:t>简要描述</w:t>
            </w:r>
            <w:r>
              <w:rPr>
                <w:rFonts w:hint="eastAsia" w:ascii="Times New Roman" w:hAnsi="Times New Roman"/>
              </w:rPr>
              <w:t>决策机制、</w:t>
            </w:r>
            <w:r>
              <w:rPr>
                <w:rFonts w:ascii="Times New Roman" w:hAnsi="Times New Roman"/>
              </w:rPr>
              <w:t>权责分配、利益相关方参与</w:t>
            </w:r>
            <w:r>
              <w:rPr>
                <w:rFonts w:hint="eastAsia" w:ascii="Times New Roman" w:hAnsi="Times New Roman"/>
              </w:rPr>
              <w:t>方式</w:t>
            </w:r>
            <w:r>
              <w:rPr>
                <w:rFonts w:ascii="Times New Roman" w:hAnsi="Times New Roman"/>
              </w:rPr>
              <w:t>。</w:t>
            </w:r>
          </w:p>
          <w:bookmarkEnd w:id="128"/>
          <w:p w14:paraId="6A285974">
            <w:pPr>
              <w:spacing w:line="240" w:lineRule="auto"/>
              <w:jc w:val="left"/>
              <w:rPr>
                <w:rFonts w:ascii="Times New Roman" w:hAnsi="Times New Roman"/>
              </w:rPr>
            </w:pPr>
            <w:r>
              <w:rPr>
                <w:rFonts w:hint="eastAsia" w:ascii="Times New Roman" w:hAnsi="Times New Roman"/>
                <w:i/>
                <w:color w:val="A5A5A5" w:themeColor="accent3"/>
                <w14:textFill>
                  <w14:solidFill>
                    <w14:schemeClr w14:val="accent3"/>
                  </w14:solidFill>
                </w14:textFill>
              </w:rPr>
              <w:t>责任主体即</w:t>
            </w:r>
            <w:r>
              <w:rPr>
                <w:rFonts w:ascii="Times New Roman" w:hAnsi="Times New Roman"/>
                <w:i/>
                <w:color w:val="A5A5A5" w:themeColor="accent3"/>
                <w14:textFill>
                  <w14:solidFill>
                    <w14:schemeClr w14:val="accent3"/>
                  </w14:solidFill>
                </w14:textFill>
              </w:rPr>
              <w:t>依法或经授权，享有自然共生地管理决策权、承担管护职责、开展日常保护管理工作的实体，可由单个或多个实体构成。决策与日常管理职能可分属不同实体，各实体分工负责相应工作。例如城市公园的管理部门；社区的村民委员会、居民委员会；政府主管部门和当地社区、城市公众等其他相关各方共同组成的共管委员会或联席机制等。</w:t>
            </w:r>
          </w:p>
        </w:tc>
        <w:tc>
          <w:tcPr>
            <w:tcW w:w="1711" w:type="dxa"/>
            <w:vMerge w:val="restart"/>
          </w:tcPr>
          <w:p w14:paraId="28FC94A7">
            <w:pPr>
              <w:spacing w:line="240" w:lineRule="auto"/>
              <w:rPr>
                <w:rFonts w:ascii="Times New Roman" w:hAnsi="Times New Roman"/>
                <w:kern w:val="0"/>
              </w:rPr>
            </w:pPr>
            <w:sdt>
              <w:sdtPr>
                <w:rPr>
                  <w:rFonts w:ascii="Times New Roman" w:hAnsi="Times New Roman"/>
                  <w:kern w:val="0"/>
                </w:rPr>
                <w:id w:val="-321043609"/>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共管协议</w:t>
            </w:r>
          </w:p>
          <w:p w14:paraId="7CDF9884">
            <w:pPr>
              <w:spacing w:line="240" w:lineRule="auto"/>
              <w:rPr>
                <w:rFonts w:ascii="Times New Roman" w:hAnsi="Times New Roman"/>
              </w:rPr>
            </w:pPr>
            <w:sdt>
              <w:sdtPr>
                <w:rPr>
                  <w:rFonts w:ascii="Times New Roman" w:hAnsi="Times New Roman"/>
                  <w:kern w:val="0"/>
                </w:rPr>
                <w:id w:val="529465350"/>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委托管理</w:t>
            </w:r>
            <w:r>
              <w:rPr>
                <w:rFonts w:ascii="Times New Roman" w:hAnsi="Times New Roman"/>
              </w:rPr>
              <w:t>协议</w:t>
            </w:r>
          </w:p>
          <w:p w14:paraId="28EAF598">
            <w:pPr>
              <w:spacing w:line="240" w:lineRule="auto"/>
              <w:rPr>
                <w:rFonts w:ascii="Times New Roman" w:hAnsi="Times New Roman"/>
                <w:kern w:val="0"/>
              </w:rPr>
            </w:pPr>
            <w:sdt>
              <w:sdtPr>
                <w:rPr>
                  <w:rFonts w:ascii="Times New Roman" w:hAnsi="Times New Roman"/>
                  <w:kern w:val="0"/>
                </w:rPr>
                <w:id w:val="747468795"/>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 xml:space="preserve">社区保护协议/决议 </w:t>
            </w:r>
          </w:p>
          <w:p w14:paraId="58DC8296">
            <w:pPr>
              <w:spacing w:line="240" w:lineRule="auto"/>
              <w:rPr>
                <w:rFonts w:ascii="Times New Roman" w:hAnsi="Times New Roman"/>
              </w:rPr>
            </w:pPr>
            <w:sdt>
              <w:sdtPr>
                <w:rPr>
                  <w:rFonts w:ascii="Times New Roman" w:hAnsi="Times New Roman"/>
                  <w:kern w:val="0"/>
                </w:rPr>
                <w:id w:val="758410075"/>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合作备忘录</w:t>
            </w:r>
          </w:p>
          <w:p w14:paraId="1E8AA171">
            <w:pPr>
              <w:spacing w:line="240" w:lineRule="auto"/>
              <w:rPr>
                <w:rFonts w:ascii="Times New Roman" w:hAnsi="Times New Roman"/>
              </w:rPr>
            </w:pPr>
            <w:sdt>
              <w:sdtPr>
                <w:rPr>
                  <w:rFonts w:ascii="Times New Roman" w:hAnsi="Times New Roman"/>
                  <w:kern w:val="0"/>
                </w:rPr>
                <w:id w:val="-840851857"/>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rPr>
              <w:t>相关章程</w:t>
            </w:r>
          </w:p>
          <w:p w14:paraId="47602393">
            <w:pPr>
              <w:spacing w:line="240" w:lineRule="auto"/>
              <w:rPr>
                <w:rFonts w:ascii="Times New Roman" w:hAnsi="Times New Roman"/>
              </w:rPr>
            </w:pPr>
            <w:sdt>
              <w:sdtPr>
                <w:rPr>
                  <w:rFonts w:ascii="Times New Roman" w:hAnsi="Times New Roman"/>
                  <w:kern w:val="0"/>
                </w:rPr>
                <w:id w:val="1491750699"/>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rPr>
              <w:t>规划计划</w:t>
            </w:r>
          </w:p>
          <w:p w14:paraId="4E4188BB">
            <w:pPr>
              <w:spacing w:line="240" w:lineRule="auto"/>
              <w:rPr>
                <w:rFonts w:ascii="Times New Roman" w:hAnsi="Times New Roman"/>
              </w:rPr>
            </w:pPr>
            <w:sdt>
              <w:sdtPr>
                <w:rPr>
                  <w:rFonts w:ascii="Times New Roman" w:hAnsi="Times New Roman"/>
                  <w:kern w:val="0"/>
                </w:rPr>
                <w:id w:val="1862476391"/>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rPr>
              <w:t>会议纪要</w:t>
            </w:r>
          </w:p>
          <w:p w14:paraId="43274EF7">
            <w:pPr>
              <w:spacing w:line="240" w:lineRule="auto"/>
              <w:rPr>
                <w:rFonts w:ascii="Times New Roman" w:hAnsi="Times New Roman"/>
              </w:rPr>
            </w:pPr>
            <w:sdt>
              <w:sdtPr>
                <w:rPr>
                  <w:rFonts w:ascii="Times New Roman" w:hAnsi="Times New Roman"/>
                  <w:kern w:val="0"/>
                </w:rPr>
                <w:id w:val="112257313"/>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rPr>
              <w:t>政府批文</w:t>
            </w:r>
          </w:p>
          <w:p w14:paraId="560D3C2F">
            <w:pPr>
              <w:spacing w:line="240" w:lineRule="auto"/>
              <w:rPr>
                <w:rFonts w:ascii="Times New Roman" w:hAnsi="Times New Roman"/>
              </w:rPr>
            </w:pPr>
            <w:sdt>
              <w:sdtPr>
                <w:rPr>
                  <w:rFonts w:ascii="Times New Roman" w:hAnsi="Times New Roman"/>
                  <w:kern w:val="0"/>
                </w:rPr>
                <w:id w:val="18284081"/>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rPr>
              <w:t>资金支持机制</w:t>
            </w:r>
          </w:p>
          <w:p w14:paraId="54CACAD6">
            <w:pPr>
              <w:spacing w:line="240" w:lineRule="auto"/>
              <w:rPr>
                <w:rFonts w:ascii="Times New Roman" w:hAnsi="Times New Roman"/>
              </w:rPr>
            </w:pPr>
            <w:sdt>
              <w:sdtPr>
                <w:rPr>
                  <w:rFonts w:ascii="Times New Roman" w:hAnsi="Times New Roman"/>
                  <w:kern w:val="0"/>
                </w:rPr>
                <w:id w:val="1352918271"/>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Segoe UI Symbol" w:hAnsi="Segoe UI Symbol" w:cs="Segoe UI Symbol"/>
                    <w:kern w:val="0"/>
                  </w:rPr>
                  <w:t>☐</w:t>
                </w:r>
              </w:sdtContent>
            </w:sdt>
            <w:r>
              <w:rPr>
                <w:rFonts w:hint="eastAsia" w:ascii="Times New Roman" w:hAnsi="Times New Roman"/>
                <w:kern w:val="0"/>
              </w:rPr>
              <w:t>管理制度或办法</w:t>
            </w:r>
          </w:p>
          <w:p w14:paraId="02D465F0">
            <w:pPr>
              <w:spacing w:line="240" w:lineRule="auto"/>
              <w:rPr>
                <w:rFonts w:ascii="Times New Roman" w:hAnsi="Times New Roman"/>
              </w:rPr>
            </w:pPr>
            <w:sdt>
              <w:sdtPr>
                <w:rPr>
                  <w:rFonts w:ascii="Times New Roman" w:hAnsi="Times New Roman"/>
                  <w:kern w:val="0"/>
                </w:rPr>
                <w:id w:val="-949005645"/>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Segoe UI Symbol" w:hAnsi="Segoe UI Symbol" w:cs="Segoe UI Symbol"/>
                    <w:kern w:val="0"/>
                  </w:rPr>
                  <w:t>☐</w:t>
                </w:r>
              </w:sdtContent>
            </w:sdt>
            <w:r>
              <w:rPr>
                <w:rFonts w:ascii="Times New Roman" w:hAnsi="Times New Roman"/>
              </w:rPr>
              <w:t>其他</w:t>
            </w:r>
            <w:r>
              <w:rPr>
                <w:rFonts w:ascii="Times New Roman" w:hAnsi="Times New Roman"/>
                <w:u w:val="single"/>
              </w:rPr>
              <w:t xml:space="preserve">  请注明   </w:t>
            </w:r>
          </w:p>
        </w:tc>
      </w:tr>
      <w:tr w14:paraId="6FEC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3" w:hRule="atLeast"/>
          <w:jc w:val="center"/>
        </w:trPr>
        <w:tc>
          <w:tcPr>
            <w:tcW w:w="421" w:type="dxa"/>
            <w:vAlign w:val="center"/>
          </w:tcPr>
          <w:p w14:paraId="165BE655">
            <w:pPr>
              <w:spacing w:line="240" w:lineRule="auto"/>
              <w:jc w:val="center"/>
              <w:rPr>
                <w:rFonts w:ascii="Times New Roman" w:hAnsi="Times New Roman"/>
              </w:rPr>
            </w:pPr>
            <w:r>
              <w:rPr>
                <w:rFonts w:ascii="Times New Roman" w:hAnsi="Times New Roman"/>
              </w:rPr>
              <w:t>3-2</w:t>
            </w:r>
          </w:p>
        </w:tc>
        <w:tc>
          <w:tcPr>
            <w:tcW w:w="1809" w:type="dxa"/>
            <w:vAlign w:val="center"/>
          </w:tcPr>
          <w:p w14:paraId="5EA01069">
            <w:pPr>
              <w:spacing w:line="240" w:lineRule="auto"/>
              <w:jc w:val="center"/>
              <w:rPr>
                <w:rFonts w:ascii="Times New Roman" w:hAnsi="Times New Roman"/>
              </w:rPr>
            </w:pPr>
            <w:r>
              <w:rPr>
                <w:rFonts w:hint="eastAsia" w:ascii="Times New Roman" w:hAnsi="Times New Roman"/>
              </w:rPr>
              <w:t>保护</w:t>
            </w:r>
            <w:r>
              <w:rPr>
                <w:rFonts w:ascii="Times New Roman" w:hAnsi="Times New Roman"/>
              </w:rPr>
              <w:t>管理安排</w:t>
            </w:r>
          </w:p>
          <w:p w14:paraId="3DA27B90">
            <w:pPr>
              <w:spacing w:line="240" w:lineRule="auto"/>
              <w:jc w:val="center"/>
              <w:rPr>
                <w:rFonts w:ascii="Times New Roman" w:hAnsi="Times New Roman"/>
              </w:rPr>
            </w:pPr>
            <w:r>
              <w:rPr>
                <w:rFonts w:ascii="Times New Roman" w:hAnsi="Times New Roman"/>
              </w:rPr>
              <w:t>（不超过300字）</w:t>
            </w:r>
          </w:p>
        </w:tc>
        <w:tc>
          <w:tcPr>
            <w:tcW w:w="5977" w:type="dxa"/>
            <w:gridSpan w:val="4"/>
          </w:tcPr>
          <w:p w14:paraId="1D6B20FA">
            <w:pPr>
              <w:spacing w:line="240" w:lineRule="auto"/>
              <w:rPr>
                <w:rFonts w:ascii="Times New Roman" w:hAnsi="Times New Roman"/>
              </w:rPr>
            </w:pPr>
            <w:r>
              <w:rPr>
                <w:rFonts w:ascii="Times New Roman" w:hAnsi="Times New Roman"/>
              </w:rPr>
              <w:t>简要描述开展</w:t>
            </w:r>
            <w:r>
              <w:rPr>
                <w:rFonts w:hint="eastAsia" w:ascii="Times New Roman" w:hAnsi="Times New Roman"/>
              </w:rPr>
              <w:t>日常保护</w:t>
            </w:r>
            <w:r>
              <w:rPr>
                <w:rFonts w:ascii="Times New Roman" w:hAnsi="Times New Roman"/>
              </w:rPr>
              <w:t>管理工作的相关安排（如组织结构、权责分配、团队人员构成、时间周期等）。</w:t>
            </w:r>
          </w:p>
          <w:p w14:paraId="31DCCC3F">
            <w:pPr>
              <w:spacing w:line="240" w:lineRule="auto"/>
              <w:jc w:val="left"/>
              <w:rPr>
                <w:rFonts w:ascii="Times New Roman" w:hAnsi="Times New Roman"/>
              </w:rPr>
            </w:pPr>
          </w:p>
          <w:p w14:paraId="7E9453EA">
            <w:pPr>
              <w:spacing w:line="240" w:lineRule="auto"/>
              <w:jc w:val="left"/>
              <w:rPr>
                <w:rFonts w:ascii="Times New Roman" w:hAnsi="Times New Roman"/>
              </w:rPr>
            </w:pPr>
          </w:p>
        </w:tc>
        <w:tc>
          <w:tcPr>
            <w:tcW w:w="1711" w:type="dxa"/>
            <w:vMerge w:val="continue"/>
          </w:tcPr>
          <w:p w14:paraId="1B643FB5">
            <w:pPr>
              <w:spacing w:line="240" w:lineRule="auto"/>
              <w:jc w:val="left"/>
              <w:rPr>
                <w:rFonts w:ascii="Times New Roman" w:hAnsi="Times New Roman"/>
              </w:rPr>
            </w:pPr>
          </w:p>
        </w:tc>
      </w:tr>
      <w:tr w14:paraId="59A5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21" w:hRule="atLeast"/>
          <w:jc w:val="center"/>
        </w:trPr>
        <w:tc>
          <w:tcPr>
            <w:tcW w:w="421" w:type="dxa"/>
            <w:vAlign w:val="center"/>
          </w:tcPr>
          <w:p w14:paraId="66D2CA35">
            <w:pPr>
              <w:spacing w:line="240" w:lineRule="auto"/>
              <w:jc w:val="center"/>
              <w:rPr>
                <w:rFonts w:ascii="Times New Roman" w:hAnsi="Times New Roman"/>
              </w:rPr>
            </w:pPr>
            <w:bookmarkStart w:id="129" w:name="_Hlk234763753"/>
            <w:r>
              <w:rPr>
                <w:rFonts w:ascii="Times New Roman" w:hAnsi="Times New Roman"/>
              </w:rPr>
              <w:t>3-3</w:t>
            </w:r>
          </w:p>
        </w:tc>
        <w:tc>
          <w:tcPr>
            <w:tcW w:w="1809" w:type="dxa"/>
            <w:vAlign w:val="center"/>
          </w:tcPr>
          <w:p w14:paraId="3FA442F9">
            <w:pPr>
              <w:spacing w:line="240" w:lineRule="auto"/>
              <w:jc w:val="center"/>
              <w:rPr>
                <w:rFonts w:ascii="Times New Roman" w:hAnsi="Times New Roman"/>
              </w:rPr>
            </w:pPr>
            <w:r>
              <w:rPr>
                <w:rFonts w:ascii="Times New Roman" w:hAnsi="Times New Roman"/>
              </w:rPr>
              <w:t>权属/权益主体</w:t>
            </w:r>
          </w:p>
        </w:tc>
        <w:tc>
          <w:tcPr>
            <w:tcW w:w="5977" w:type="dxa"/>
            <w:gridSpan w:val="4"/>
            <w:vAlign w:val="center"/>
          </w:tcPr>
          <w:p w14:paraId="1BAA1DA1">
            <w:pPr>
              <w:spacing w:line="240" w:lineRule="auto"/>
              <w:jc w:val="left"/>
              <w:rPr>
                <w:rFonts w:ascii="Times New Roman" w:hAnsi="Times New Roman"/>
              </w:rPr>
            </w:pPr>
            <w:r>
              <w:rPr>
                <w:rFonts w:ascii="Times New Roman" w:hAnsi="Times New Roman"/>
              </w:rPr>
              <w:t>对区域土地/海域具有所有权、使用权或其他权益的单位</w:t>
            </w:r>
            <w:r>
              <w:rPr>
                <w:rFonts w:hint="eastAsia" w:ascii="Times New Roman" w:hAnsi="Times New Roman"/>
              </w:rPr>
              <w:t>（其一即可），并注明权属/权益类型</w:t>
            </w:r>
            <w:r>
              <w:rPr>
                <w:rFonts w:ascii="Times New Roman" w:hAnsi="Times New Roman"/>
              </w:rPr>
              <w:t>。</w:t>
            </w:r>
          </w:p>
          <w:p w14:paraId="683F74CA">
            <w:pPr>
              <w:spacing w:line="240" w:lineRule="auto"/>
              <w:jc w:val="left"/>
              <w:rPr>
                <w:rFonts w:ascii="Times New Roman" w:hAnsi="Times New Roman"/>
              </w:rPr>
            </w:pPr>
            <w:r>
              <w:rPr>
                <w:rFonts w:ascii="Times New Roman" w:hAnsi="Times New Roman"/>
                <w:i/>
                <w:color w:val="A5A5A5" w:themeColor="accent3"/>
                <w14:textFill>
                  <w14:solidFill>
                    <w14:schemeClr w14:val="accent3"/>
                  </w14:solidFill>
                </w14:textFill>
              </w:rPr>
              <w:t>例如对区域集体土地具有所有权的村民委员会、村/乡镇集体经济组织等；对区域土地（耕地、林地、草地、水域滩涂等）具有土地承包经营权、流转的土地经营权，或以承包之外的方式取得土地使用权的单位或个人；对城镇用地具有建设用地使用权的企业、校园、居民小区等；对海域具有海域使用权的单位或个人等。</w:t>
            </w:r>
          </w:p>
        </w:tc>
        <w:tc>
          <w:tcPr>
            <w:tcW w:w="1711" w:type="dxa"/>
          </w:tcPr>
          <w:p w14:paraId="65705846">
            <w:pPr>
              <w:spacing w:line="240" w:lineRule="auto"/>
              <w:jc w:val="left"/>
              <w:rPr>
                <w:rFonts w:ascii="Times New Roman" w:hAnsi="Times New Roman"/>
              </w:rPr>
            </w:pPr>
            <w:r>
              <w:rPr>
                <w:rFonts w:ascii="Times New Roman" w:hAnsi="Times New Roman"/>
              </w:rPr>
              <w:t>权属/权益主体知情同意自然共生地认定的文件</w:t>
            </w:r>
          </w:p>
          <w:p w14:paraId="21F76F0A">
            <w:pPr>
              <w:spacing w:line="240" w:lineRule="auto"/>
              <w:jc w:val="left"/>
              <w:rPr>
                <w:rFonts w:ascii="Times New Roman" w:hAnsi="Times New Roman"/>
                <w:kern w:val="0"/>
              </w:rPr>
            </w:pPr>
            <w:sdt>
              <w:sdtPr>
                <w:rPr>
                  <w:rFonts w:ascii="Times New Roman" w:hAnsi="Times New Roman"/>
                  <w:kern w:val="0"/>
                </w:rPr>
                <w:id w:val="-1286354437"/>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 xml:space="preserve">知情同意书 </w:t>
            </w:r>
          </w:p>
          <w:p w14:paraId="2C6BA4E8">
            <w:pPr>
              <w:spacing w:line="240" w:lineRule="auto"/>
              <w:jc w:val="left"/>
              <w:rPr>
                <w:rFonts w:ascii="Times New Roman" w:hAnsi="Times New Roman"/>
                <w:kern w:val="0"/>
              </w:rPr>
            </w:pPr>
            <w:sdt>
              <w:sdtPr>
                <w:rPr>
                  <w:rFonts w:ascii="Times New Roman" w:hAnsi="Times New Roman"/>
                  <w:kern w:val="0"/>
                </w:rPr>
                <w:id w:val="270754132"/>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社区决议记录</w:t>
            </w:r>
          </w:p>
          <w:p w14:paraId="38A21CB1">
            <w:pPr>
              <w:spacing w:line="240" w:lineRule="auto"/>
              <w:jc w:val="left"/>
              <w:rPr>
                <w:rFonts w:ascii="Times New Roman" w:hAnsi="Times New Roman"/>
                <w:kern w:val="0"/>
              </w:rPr>
            </w:pPr>
            <w:sdt>
              <w:sdtPr>
                <w:rPr>
                  <w:rFonts w:ascii="Times New Roman" w:hAnsi="Times New Roman"/>
                  <w:kern w:val="0"/>
                </w:rPr>
                <w:id w:val="748168188"/>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授权委托书</w:t>
            </w:r>
          </w:p>
          <w:p w14:paraId="3E3385EC">
            <w:pPr>
              <w:spacing w:line="240" w:lineRule="auto"/>
              <w:jc w:val="left"/>
              <w:rPr>
                <w:rFonts w:ascii="Times New Roman" w:hAnsi="Times New Roman"/>
              </w:rPr>
            </w:pPr>
            <w:sdt>
              <w:sdtPr>
                <w:rPr>
                  <w:rFonts w:ascii="Times New Roman" w:hAnsi="Times New Roman"/>
                  <w:kern w:val="0"/>
                </w:rPr>
                <w:id w:val="1804265119"/>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其他</w:t>
            </w:r>
            <w:r>
              <w:rPr>
                <w:rFonts w:ascii="Times New Roman" w:hAnsi="Times New Roman"/>
                <w:u w:val="single"/>
              </w:rPr>
              <w:t xml:space="preserve">  请注明  </w:t>
            </w:r>
          </w:p>
        </w:tc>
      </w:tr>
      <w:bookmarkEnd w:id="129"/>
      <w:tr w14:paraId="5C57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3" w:hRule="atLeast"/>
          <w:jc w:val="center"/>
        </w:trPr>
        <w:tc>
          <w:tcPr>
            <w:tcW w:w="421" w:type="dxa"/>
            <w:vAlign w:val="center"/>
          </w:tcPr>
          <w:p w14:paraId="3CCBD437">
            <w:pPr>
              <w:spacing w:line="240" w:lineRule="auto"/>
              <w:jc w:val="center"/>
              <w:rPr>
                <w:rFonts w:ascii="Times New Roman" w:hAnsi="Times New Roman"/>
              </w:rPr>
            </w:pPr>
            <w:r>
              <w:rPr>
                <w:rFonts w:hint="eastAsia" w:ascii="Times New Roman" w:hAnsi="Times New Roman"/>
              </w:rPr>
              <w:t>3-4</w:t>
            </w:r>
          </w:p>
        </w:tc>
        <w:tc>
          <w:tcPr>
            <w:tcW w:w="1809" w:type="dxa"/>
            <w:vAlign w:val="center"/>
          </w:tcPr>
          <w:p w14:paraId="72991779">
            <w:pPr>
              <w:spacing w:line="240" w:lineRule="auto"/>
              <w:jc w:val="center"/>
              <w:rPr>
                <w:rFonts w:ascii="Times New Roman" w:hAnsi="Times New Roman"/>
              </w:rPr>
            </w:pPr>
            <w:r>
              <w:rPr>
                <w:rFonts w:hint="eastAsia" w:ascii="Times New Roman" w:hAnsi="Times New Roman"/>
              </w:rPr>
              <w:t>权属/权益主体是否知情同意自然共生地申报</w:t>
            </w:r>
          </w:p>
        </w:tc>
        <w:tc>
          <w:tcPr>
            <w:tcW w:w="5977" w:type="dxa"/>
            <w:gridSpan w:val="4"/>
            <w:vAlign w:val="center"/>
          </w:tcPr>
          <w:p w14:paraId="76266075">
            <w:pPr>
              <w:spacing w:line="240" w:lineRule="auto"/>
              <w:jc w:val="left"/>
              <w:rPr>
                <w:rFonts w:ascii="Times New Roman" w:hAnsi="Times New Roman"/>
              </w:rPr>
            </w:pPr>
            <w:sdt>
              <w:sdtPr>
                <w:rPr>
                  <w:rFonts w:ascii="Times New Roman" w:hAnsi="Times New Roman"/>
                </w:rPr>
                <w:id w:val="119653526"/>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hint="eastAsia" w:ascii="Times New Roman" w:hAnsi="Times New Roman"/>
              </w:rPr>
              <w:t xml:space="preserve">是，可提供证明文件 </w:t>
            </w:r>
            <w:sdt>
              <w:sdtPr>
                <w:rPr>
                  <w:rFonts w:ascii="Times New Roman" w:hAnsi="Times New Roman"/>
                </w:rPr>
                <w:id w:val="462167426"/>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hint="eastAsia" w:ascii="Times New Roman" w:hAnsi="Times New Roman"/>
              </w:rPr>
              <w:t>是，暂无法提供证明文件</w:t>
            </w:r>
            <w:r>
              <w:rPr>
                <w:rFonts w:ascii="Times New Roman" w:hAnsi="Times New Roman"/>
                <w:u w:val="single"/>
              </w:rPr>
              <w:t xml:space="preserve"> 请注明</w:t>
            </w:r>
            <w:r>
              <w:rPr>
                <w:rFonts w:hint="eastAsia" w:ascii="Times New Roman" w:hAnsi="Times New Roman"/>
                <w:u w:val="single"/>
              </w:rPr>
              <w:t>原因</w:t>
            </w:r>
            <w:r>
              <w:rPr>
                <w:rFonts w:ascii="Times New Roman" w:hAnsi="Times New Roman"/>
                <w:u w:val="single"/>
              </w:rPr>
              <w:t xml:space="preserve"> </w:t>
            </w:r>
          </w:p>
          <w:p w14:paraId="394F7119">
            <w:pPr>
              <w:spacing w:line="240" w:lineRule="auto"/>
              <w:jc w:val="left"/>
              <w:rPr>
                <w:rFonts w:ascii="Times New Roman" w:hAnsi="Times New Roman"/>
              </w:rPr>
            </w:pPr>
            <w:sdt>
              <w:sdtPr>
                <w:rPr>
                  <w:rFonts w:ascii="Times New Roman" w:hAnsi="Times New Roman"/>
                </w:rPr>
                <w:id w:val="-2126918262"/>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hint="eastAsia" w:ascii="Times New Roman" w:hAnsi="Times New Roman"/>
              </w:rPr>
              <w:t>否</w:t>
            </w:r>
            <w:r>
              <w:rPr>
                <w:rFonts w:ascii="Times New Roman" w:hAnsi="Times New Roman"/>
                <w:u w:val="single"/>
              </w:rPr>
              <w:t xml:space="preserve">  请注明</w:t>
            </w:r>
            <w:r>
              <w:rPr>
                <w:rFonts w:hint="eastAsia" w:ascii="Times New Roman" w:hAnsi="Times New Roman"/>
                <w:u w:val="single"/>
              </w:rPr>
              <w:t xml:space="preserve">原因 </w:t>
            </w:r>
            <w:r>
              <w:rPr>
                <w:rFonts w:ascii="Times New Roman" w:hAnsi="Times New Roman"/>
                <w:u w:val="single"/>
              </w:rPr>
              <w:t xml:space="preserve"> </w:t>
            </w:r>
            <w:r>
              <w:rPr>
                <w:rFonts w:hint="eastAsia" w:ascii="Times New Roman" w:hAnsi="Times New Roman"/>
              </w:rPr>
              <w:t xml:space="preserve">  </w:t>
            </w:r>
            <w:sdt>
              <w:sdtPr>
                <w:rPr>
                  <w:rFonts w:ascii="Times New Roman" w:hAnsi="Times New Roman"/>
                </w:rPr>
                <w:id w:val="668063695"/>
                <w14:checkbox>
                  <w14:checked w14:val="0"/>
                  <w14:checkedState w14:val="0052" w14:font="方正小标宋简体"/>
                  <w14:uncheckedState w14:val="2610" w14:font="MS Gothic"/>
                </w14:checkbox>
              </w:sdtPr>
              <w:sdtEndPr>
                <w:rPr>
                  <w:rFonts w:ascii="Times New Roman" w:hAnsi="Times New Roman"/>
                </w:rPr>
              </w:sdtEndPr>
              <w:sdtContent>
                <w:r>
                  <w:rPr>
                    <w:rFonts w:ascii="Times New Roman" w:hAnsi="Times New Roman"/>
                  </w:rPr>
                  <w:t>☐</w:t>
                </w:r>
              </w:sdtContent>
            </w:sdt>
            <w:r>
              <w:rPr>
                <w:rFonts w:hint="eastAsia" w:ascii="Times New Roman" w:hAnsi="Times New Roman"/>
              </w:rPr>
              <w:t>其他</w:t>
            </w:r>
            <w:r>
              <w:rPr>
                <w:rFonts w:hint="eastAsia" w:ascii="Times New Roman" w:hAnsi="Times New Roman"/>
                <w:u w:val="single"/>
              </w:rPr>
              <w:t xml:space="preserve">  请注明  </w:t>
            </w:r>
          </w:p>
        </w:tc>
        <w:tc>
          <w:tcPr>
            <w:tcW w:w="1711" w:type="dxa"/>
          </w:tcPr>
          <w:p w14:paraId="37B2AB04">
            <w:pPr>
              <w:spacing w:line="240" w:lineRule="auto"/>
              <w:jc w:val="left"/>
              <w:rPr>
                <w:rFonts w:ascii="Times New Roman" w:hAnsi="Times New Roman"/>
              </w:rPr>
            </w:pPr>
          </w:p>
        </w:tc>
      </w:tr>
      <w:tr w14:paraId="1028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8207" w:type="dxa"/>
            <w:gridSpan w:val="6"/>
            <w:shd w:val="clear" w:color="auto" w:fill="D8D8D8" w:themeFill="background1" w:themeFillShade="D9"/>
            <w:vAlign w:val="center"/>
          </w:tcPr>
          <w:p w14:paraId="27602FBD">
            <w:pPr>
              <w:spacing w:line="240" w:lineRule="auto"/>
              <w:rPr>
                <w:rFonts w:ascii="Times New Roman" w:hAnsi="Times New Roman"/>
              </w:rPr>
            </w:pPr>
            <w:r>
              <w:rPr>
                <w:rFonts w:ascii="Times New Roman" w:hAnsi="Times New Roman"/>
                <w:b/>
                <w:bCs/>
              </w:rPr>
              <w:t>4、生物多样性和保护成效</w:t>
            </w:r>
          </w:p>
        </w:tc>
        <w:tc>
          <w:tcPr>
            <w:tcW w:w="1711" w:type="dxa"/>
            <w:shd w:val="clear" w:color="auto" w:fill="D8D8D8" w:themeFill="background1" w:themeFillShade="D9"/>
          </w:tcPr>
          <w:p w14:paraId="30142700">
            <w:pPr>
              <w:spacing w:line="240" w:lineRule="auto"/>
              <w:rPr>
                <w:rFonts w:ascii="Times New Roman" w:hAnsi="Times New Roman"/>
                <w:b/>
                <w:bCs/>
              </w:rPr>
            </w:pPr>
          </w:p>
        </w:tc>
      </w:tr>
      <w:tr w14:paraId="1BD7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61" w:hRule="atLeast"/>
          <w:jc w:val="center"/>
        </w:trPr>
        <w:tc>
          <w:tcPr>
            <w:tcW w:w="421" w:type="dxa"/>
            <w:vAlign w:val="center"/>
          </w:tcPr>
          <w:p w14:paraId="0D2AA621">
            <w:pPr>
              <w:spacing w:line="240" w:lineRule="auto"/>
              <w:jc w:val="center"/>
              <w:rPr>
                <w:rFonts w:ascii="Times New Roman" w:hAnsi="Times New Roman"/>
                <w:highlight w:val="none"/>
              </w:rPr>
            </w:pPr>
            <w:r>
              <w:rPr>
                <w:rFonts w:ascii="Times New Roman" w:hAnsi="Times New Roman"/>
                <w:highlight w:val="none"/>
              </w:rPr>
              <w:t>4-1</w:t>
            </w:r>
          </w:p>
        </w:tc>
        <w:tc>
          <w:tcPr>
            <w:tcW w:w="1809" w:type="dxa"/>
            <w:vAlign w:val="center"/>
          </w:tcPr>
          <w:p w14:paraId="383406CC">
            <w:pPr>
              <w:spacing w:line="240" w:lineRule="auto"/>
              <w:jc w:val="center"/>
              <w:rPr>
                <w:rFonts w:ascii="Times New Roman" w:hAnsi="Times New Roman"/>
                <w:highlight w:val="none"/>
              </w:rPr>
            </w:pPr>
            <w:r>
              <w:rPr>
                <w:rFonts w:ascii="Times New Roman" w:hAnsi="Times New Roman"/>
                <w:highlight w:val="none"/>
              </w:rPr>
              <w:t>区域支持的生物多样性价值及主要保护对象</w:t>
            </w:r>
          </w:p>
          <w:p w14:paraId="3EF58C89">
            <w:pPr>
              <w:spacing w:line="240" w:lineRule="auto"/>
              <w:jc w:val="center"/>
              <w:rPr>
                <w:rFonts w:ascii="Times New Roman" w:hAnsi="Times New Roman"/>
                <w:highlight w:val="none"/>
              </w:rPr>
            </w:pPr>
            <w:r>
              <w:rPr>
                <w:rFonts w:ascii="Times New Roman" w:hAnsi="Times New Roman"/>
                <w:highlight w:val="none"/>
              </w:rPr>
              <w:t>（不超过500字）</w:t>
            </w:r>
          </w:p>
        </w:tc>
        <w:tc>
          <w:tcPr>
            <w:tcW w:w="5977" w:type="dxa"/>
            <w:gridSpan w:val="4"/>
          </w:tcPr>
          <w:p w14:paraId="6D1D4819">
            <w:pPr>
              <w:spacing w:line="240" w:lineRule="auto"/>
              <w:rPr>
                <w:rFonts w:ascii="Times New Roman" w:hAnsi="Times New Roman"/>
                <w:highlight w:val="none"/>
              </w:rPr>
            </w:pPr>
            <w:r>
              <w:rPr>
                <w:rFonts w:ascii="Times New Roman" w:hAnsi="Times New Roman"/>
                <w:highlight w:val="none"/>
              </w:rPr>
              <w:t>描述区域支持的生物多样性价值，说明区域主要保护对象，并提供相关依据。</w:t>
            </w:r>
            <w:r>
              <w:rPr>
                <w:rFonts w:hint="eastAsia" w:ascii="Times New Roman" w:hAnsi="Times New Roman"/>
                <w:highlight w:val="none"/>
              </w:rPr>
              <w:t>如区域已</w:t>
            </w:r>
            <w:r>
              <w:rPr>
                <w:rFonts w:ascii="Times New Roman" w:hAnsi="Times New Roman"/>
                <w:highlight w:val="none"/>
              </w:rPr>
              <w:t>列入国内或国际设立的具有重要生物多样性价值的区域</w:t>
            </w:r>
            <w:r>
              <w:rPr>
                <w:rFonts w:hint="eastAsia" w:ascii="Times New Roman" w:hAnsi="Times New Roman"/>
                <w:highlight w:val="none"/>
              </w:rPr>
              <w:t>，可列明。</w:t>
            </w:r>
          </w:p>
          <w:p w14:paraId="1763C93E">
            <w:pPr>
              <w:spacing w:line="240" w:lineRule="auto"/>
              <w:rPr>
                <w:rFonts w:ascii="Times New Roman" w:hAnsi="Times New Roman"/>
                <w:highlight w:val="none"/>
              </w:rPr>
            </w:pPr>
          </w:p>
          <w:p w14:paraId="6A2C0133">
            <w:pPr>
              <w:spacing w:line="240" w:lineRule="auto"/>
              <w:rPr>
                <w:rFonts w:ascii="Times New Roman" w:hAnsi="Times New Roman"/>
                <w:highlight w:val="none"/>
              </w:rPr>
            </w:pPr>
          </w:p>
        </w:tc>
        <w:tc>
          <w:tcPr>
            <w:tcW w:w="1711" w:type="dxa"/>
          </w:tcPr>
          <w:p w14:paraId="3536EBC7">
            <w:pPr>
              <w:spacing w:line="240" w:lineRule="auto"/>
              <w:rPr>
                <w:rFonts w:ascii="Times New Roman" w:hAnsi="Times New Roman"/>
                <w:highlight w:val="none"/>
              </w:rPr>
            </w:pPr>
            <w:sdt>
              <w:sdtPr>
                <w:rPr>
                  <w:rFonts w:ascii="Times New Roman" w:hAnsi="Times New Roman"/>
                  <w:highlight w:val="none"/>
                </w:rPr>
                <w:id w:val="-663093394"/>
                <w14:checkbox>
                  <w14:checked w14:val="0"/>
                  <w14:checkedState w14:val="0052" w14:font="方正小标宋简体"/>
                  <w14:uncheckedState w14:val="2610" w14:font="MS Gothic"/>
                </w14:checkbox>
              </w:sdtPr>
              <w:sdtEndPr>
                <w:rPr>
                  <w:rFonts w:ascii="Times New Roman" w:hAnsi="Times New Roman"/>
                  <w:highlight w:val="none"/>
                </w:rPr>
              </w:sdtEndPr>
              <w:sdtContent>
                <w:r>
                  <w:rPr>
                    <w:rFonts w:ascii="Times New Roman" w:hAnsi="Times New Roman"/>
                    <w:highlight w:val="none"/>
                  </w:rPr>
                  <w:t>☐</w:t>
                </w:r>
              </w:sdtContent>
            </w:sdt>
            <w:r>
              <w:rPr>
                <w:rFonts w:ascii="Times New Roman" w:hAnsi="Times New Roman"/>
                <w:highlight w:val="none"/>
              </w:rPr>
              <w:t>本底调查报告</w:t>
            </w:r>
          </w:p>
          <w:p w14:paraId="16FFFA80">
            <w:pPr>
              <w:spacing w:line="240" w:lineRule="auto"/>
              <w:rPr>
                <w:rFonts w:ascii="Times New Roman" w:hAnsi="Times New Roman"/>
                <w:highlight w:val="none"/>
              </w:rPr>
            </w:pPr>
            <w:sdt>
              <w:sdtPr>
                <w:rPr>
                  <w:rFonts w:ascii="Times New Roman" w:hAnsi="Times New Roman"/>
                  <w:highlight w:val="none"/>
                </w:rPr>
                <w:id w:val="-1658298942"/>
                <w14:checkbox>
                  <w14:checked w14:val="0"/>
                  <w14:checkedState w14:val="0052" w14:font="方正小标宋简体"/>
                  <w14:uncheckedState w14:val="2610" w14:font="MS Gothic"/>
                </w14:checkbox>
              </w:sdtPr>
              <w:sdtEndPr>
                <w:rPr>
                  <w:rFonts w:ascii="Times New Roman" w:hAnsi="Times New Roman"/>
                  <w:highlight w:val="none"/>
                </w:rPr>
              </w:sdtEndPr>
              <w:sdtContent>
                <w:r>
                  <w:rPr>
                    <w:rFonts w:ascii="Times New Roman" w:hAnsi="Times New Roman"/>
                    <w:highlight w:val="none"/>
                  </w:rPr>
                  <w:t>☐</w:t>
                </w:r>
              </w:sdtContent>
            </w:sdt>
            <w:r>
              <w:rPr>
                <w:rFonts w:ascii="Times New Roman" w:hAnsi="Times New Roman"/>
                <w:highlight w:val="none"/>
              </w:rPr>
              <w:t xml:space="preserve">监测报告 </w:t>
            </w:r>
          </w:p>
          <w:p w14:paraId="7539C5BB">
            <w:pPr>
              <w:spacing w:line="240" w:lineRule="auto"/>
              <w:rPr>
                <w:rFonts w:ascii="Times New Roman" w:hAnsi="Times New Roman"/>
                <w:highlight w:val="none"/>
              </w:rPr>
            </w:pPr>
            <w:sdt>
              <w:sdtPr>
                <w:rPr>
                  <w:rFonts w:ascii="Times New Roman" w:hAnsi="Times New Roman"/>
                  <w:highlight w:val="none"/>
                </w:rPr>
                <w:id w:val="817146033"/>
                <w14:checkbox>
                  <w14:checked w14:val="0"/>
                  <w14:checkedState w14:val="0052" w14:font="方正小标宋简体"/>
                  <w14:uncheckedState w14:val="2610" w14:font="MS Gothic"/>
                </w14:checkbox>
              </w:sdtPr>
              <w:sdtEndPr>
                <w:rPr>
                  <w:rFonts w:ascii="Times New Roman" w:hAnsi="Times New Roman"/>
                  <w:highlight w:val="none"/>
                </w:rPr>
              </w:sdtEndPr>
              <w:sdtContent>
                <w:r>
                  <w:rPr>
                    <w:rFonts w:ascii="Times New Roman" w:hAnsi="Times New Roman"/>
                    <w:highlight w:val="none"/>
                  </w:rPr>
                  <w:t>☐</w:t>
                </w:r>
              </w:sdtContent>
            </w:sdt>
            <w:r>
              <w:rPr>
                <w:rFonts w:ascii="Times New Roman" w:hAnsi="Times New Roman"/>
                <w:highlight w:val="none"/>
              </w:rPr>
              <w:t>研究报告或论文</w:t>
            </w:r>
          </w:p>
          <w:p w14:paraId="446390D8">
            <w:pPr>
              <w:spacing w:line="240" w:lineRule="auto"/>
              <w:rPr>
                <w:rFonts w:ascii="Times New Roman" w:hAnsi="Times New Roman"/>
                <w:highlight w:val="none"/>
              </w:rPr>
            </w:pPr>
            <w:sdt>
              <w:sdtPr>
                <w:rPr>
                  <w:rFonts w:ascii="Times New Roman" w:hAnsi="Times New Roman"/>
                  <w:highlight w:val="none"/>
                </w:rPr>
                <w:id w:val="-143279313"/>
                <w14:checkbox>
                  <w14:checked w14:val="0"/>
                  <w14:checkedState w14:val="0052" w14:font="方正小标宋简体"/>
                  <w14:uncheckedState w14:val="2610" w14:font="MS Gothic"/>
                </w14:checkbox>
              </w:sdtPr>
              <w:sdtEndPr>
                <w:rPr>
                  <w:rFonts w:ascii="Times New Roman" w:hAnsi="Times New Roman"/>
                  <w:highlight w:val="none"/>
                </w:rPr>
              </w:sdtEndPr>
              <w:sdtContent>
                <w:r>
                  <w:rPr>
                    <w:rFonts w:ascii="Times New Roman" w:hAnsi="Times New Roman"/>
                    <w:highlight w:val="none"/>
                  </w:rPr>
                  <w:t>☐</w:t>
                </w:r>
              </w:sdtContent>
            </w:sdt>
            <w:r>
              <w:rPr>
                <w:rFonts w:ascii="Times New Roman" w:hAnsi="Times New Roman"/>
                <w:highlight w:val="none"/>
              </w:rPr>
              <w:t xml:space="preserve">物种名录 </w:t>
            </w:r>
          </w:p>
          <w:p w14:paraId="3AB87653">
            <w:pPr>
              <w:spacing w:line="240" w:lineRule="auto"/>
              <w:rPr>
                <w:rFonts w:ascii="Times New Roman" w:hAnsi="Times New Roman"/>
                <w:highlight w:val="none"/>
              </w:rPr>
            </w:pPr>
            <w:sdt>
              <w:sdtPr>
                <w:rPr>
                  <w:rFonts w:ascii="Times New Roman" w:hAnsi="Times New Roman"/>
                  <w:highlight w:val="none"/>
                </w:rPr>
                <w:id w:val="1623271878"/>
                <w14:checkbox>
                  <w14:checked w14:val="0"/>
                  <w14:checkedState w14:val="0052" w14:font="方正小标宋简体"/>
                  <w14:uncheckedState w14:val="2610" w14:font="MS Gothic"/>
                </w14:checkbox>
              </w:sdtPr>
              <w:sdtEndPr>
                <w:rPr>
                  <w:rFonts w:ascii="Times New Roman" w:hAnsi="Times New Roman"/>
                  <w:highlight w:val="none"/>
                </w:rPr>
              </w:sdtEndPr>
              <w:sdtContent>
                <w:r>
                  <w:rPr>
                    <w:rFonts w:ascii="Times New Roman" w:hAnsi="Times New Roman"/>
                    <w:highlight w:val="none"/>
                  </w:rPr>
                  <w:t>☐</w:t>
                </w:r>
              </w:sdtContent>
            </w:sdt>
            <w:r>
              <w:rPr>
                <w:rFonts w:ascii="Times New Roman" w:hAnsi="Times New Roman"/>
                <w:highlight w:val="none"/>
              </w:rPr>
              <w:t xml:space="preserve">传统知识 </w:t>
            </w:r>
          </w:p>
          <w:p w14:paraId="51A02F69">
            <w:pPr>
              <w:spacing w:line="240" w:lineRule="auto"/>
              <w:rPr>
                <w:rFonts w:ascii="Times New Roman" w:hAnsi="Times New Roman"/>
                <w:highlight w:val="none"/>
              </w:rPr>
            </w:pPr>
            <w:sdt>
              <w:sdtPr>
                <w:rPr>
                  <w:rFonts w:ascii="Times New Roman" w:hAnsi="Times New Roman"/>
                  <w:highlight w:val="none"/>
                </w:rPr>
                <w:id w:val="-332759893"/>
                <w14:checkbox>
                  <w14:checked w14:val="0"/>
                  <w14:checkedState w14:val="0052" w14:font="方正小标宋简体"/>
                  <w14:uncheckedState w14:val="2610" w14:font="MS Gothic"/>
                </w14:checkbox>
              </w:sdtPr>
              <w:sdtEndPr>
                <w:rPr>
                  <w:rFonts w:ascii="Times New Roman" w:hAnsi="Times New Roman"/>
                  <w:highlight w:val="none"/>
                </w:rPr>
              </w:sdtEndPr>
              <w:sdtContent>
                <w:r>
                  <w:rPr>
                    <w:rFonts w:ascii="Times New Roman" w:hAnsi="Times New Roman"/>
                    <w:highlight w:val="none"/>
                  </w:rPr>
                  <w:t>☐</w:t>
                </w:r>
              </w:sdtContent>
            </w:sdt>
            <w:r>
              <w:rPr>
                <w:rFonts w:ascii="Times New Roman" w:hAnsi="Times New Roman"/>
                <w:highlight w:val="none"/>
              </w:rPr>
              <w:t xml:space="preserve">专家意见 </w:t>
            </w:r>
          </w:p>
          <w:p w14:paraId="0947A025">
            <w:pPr>
              <w:spacing w:line="240" w:lineRule="auto"/>
              <w:rPr>
                <w:rFonts w:ascii="Times New Roman" w:hAnsi="Times New Roman"/>
                <w:highlight w:val="none"/>
              </w:rPr>
            </w:pPr>
            <w:sdt>
              <w:sdtPr>
                <w:rPr>
                  <w:rFonts w:ascii="Times New Roman" w:hAnsi="Times New Roman"/>
                  <w:highlight w:val="none"/>
                </w:rPr>
                <w:id w:val="-441074010"/>
                <w14:checkbox>
                  <w14:checked w14:val="0"/>
                  <w14:checkedState w14:val="0052" w14:font="方正小标宋简体"/>
                  <w14:uncheckedState w14:val="2610" w14:font="MS Gothic"/>
                </w14:checkbox>
              </w:sdtPr>
              <w:sdtEndPr>
                <w:rPr>
                  <w:rFonts w:ascii="Times New Roman" w:hAnsi="Times New Roman"/>
                  <w:highlight w:val="none"/>
                </w:rPr>
              </w:sdtEndPr>
              <w:sdtContent>
                <w:r>
                  <w:rPr>
                    <w:rFonts w:ascii="Times New Roman" w:hAnsi="Times New Roman"/>
                    <w:highlight w:val="none"/>
                  </w:rPr>
                  <w:t>☐</w:t>
                </w:r>
              </w:sdtContent>
            </w:sdt>
            <w:r>
              <w:rPr>
                <w:rFonts w:ascii="Times New Roman" w:hAnsi="Times New Roman"/>
                <w:highlight w:val="none"/>
              </w:rPr>
              <w:t>其他</w:t>
            </w:r>
            <w:r>
              <w:rPr>
                <w:rFonts w:ascii="Times New Roman" w:hAnsi="Times New Roman"/>
                <w:highlight w:val="none"/>
                <w:u w:val="single"/>
              </w:rPr>
              <w:t xml:space="preserve">  请注明  </w:t>
            </w:r>
          </w:p>
        </w:tc>
      </w:tr>
      <w:tr w14:paraId="1866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 w:hRule="atLeast"/>
          <w:jc w:val="center"/>
        </w:trPr>
        <w:tc>
          <w:tcPr>
            <w:tcW w:w="421" w:type="dxa"/>
            <w:vAlign w:val="center"/>
          </w:tcPr>
          <w:p w14:paraId="326977A3">
            <w:pPr>
              <w:spacing w:line="240" w:lineRule="auto"/>
              <w:jc w:val="center"/>
              <w:rPr>
                <w:rFonts w:ascii="Times New Roman" w:hAnsi="Times New Roman"/>
              </w:rPr>
            </w:pPr>
            <w:r>
              <w:rPr>
                <w:rFonts w:ascii="Times New Roman" w:hAnsi="Times New Roman"/>
              </w:rPr>
              <w:t>4-2</w:t>
            </w:r>
          </w:p>
        </w:tc>
        <w:tc>
          <w:tcPr>
            <w:tcW w:w="1809" w:type="dxa"/>
            <w:vAlign w:val="center"/>
          </w:tcPr>
          <w:p w14:paraId="131F7099">
            <w:pPr>
              <w:spacing w:line="240" w:lineRule="auto"/>
              <w:jc w:val="center"/>
              <w:rPr>
                <w:rFonts w:ascii="Times New Roman" w:hAnsi="Times New Roman"/>
              </w:rPr>
            </w:pPr>
            <w:r>
              <w:rPr>
                <w:rFonts w:ascii="Times New Roman" w:hAnsi="Times New Roman"/>
              </w:rPr>
              <w:t>开始保护管理的时间</w:t>
            </w:r>
          </w:p>
        </w:tc>
        <w:tc>
          <w:tcPr>
            <w:tcW w:w="5977" w:type="dxa"/>
            <w:gridSpan w:val="4"/>
            <w:vAlign w:val="center"/>
          </w:tcPr>
          <w:p w14:paraId="382F62E4">
            <w:pPr>
              <w:spacing w:line="240" w:lineRule="auto"/>
              <w:rPr>
                <w:rFonts w:ascii="Times New Roman" w:hAnsi="Times New Roman"/>
              </w:rPr>
            </w:pPr>
            <w:r>
              <w:rPr>
                <w:rFonts w:ascii="Times New Roman" w:hAnsi="Times New Roman"/>
                <w:color w:val="000000"/>
              </w:rPr>
              <w:t>填写年份即可</w:t>
            </w:r>
          </w:p>
        </w:tc>
        <w:tc>
          <w:tcPr>
            <w:tcW w:w="1711" w:type="dxa"/>
            <w:vMerge w:val="restart"/>
          </w:tcPr>
          <w:p w14:paraId="0CF19F58">
            <w:pPr>
              <w:spacing w:line="240" w:lineRule="auto"/>
              <w:rPr>
                <w:rFonts w:ascii="Times New Roman" w:hAnsi="Times New Roman"/>
                <w:kern w:val="0"/>
              </w:rPr>
            </w:pPr>
            <w:sdt>
              <w:sdtPr>
                <w:rPr>
                  <w:rFonts w:ascii="Times New Roman" w:hAnsi="Times New Roman"/>
                  <w:kern w:val="0"/>
                </w:rPr>
                <w:id w:val="-351186381"/>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保护管理计划</w:t>
            </w:r>
          </w:p>
          <w:p w14:paraId="2C7AB6A1">
            <w:pPr>
              <w:spacing w:line="240" w:lineRule="auto"/>
              <w:rPr>
                <w:rFonts w:ascii="Times New Roman" w:hAnsi="Times New Roman"/>
                <w:kern w:val="0"/>
              </w:rPr>
            </w:pPr>
            <w:sdt>
              <w:sdtPr>
                <w:rPr>
                  <w:rFonts w:ascii="Times New Roman" w:hAnsi="Times New Roman"/>
                  <w:kern w:val="0"/>
                </w:rPr>
                <w:id w:val="-894659512"/>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 xml:space="preserve">管理办法 </w:t>
            </w:r>
          </w:p>
          <w:p w14:paraId="7ABD1926">
            <w:pPr>
              <w:spacing w:line="240" w:lineRule="auto"/>
              <w:rPr>
                <w:rFonts w:ascii="Times New Roman" w:hAnsi="Times New Roman"/>
                <w:kern w:val="0"/>
              </w:rPr>
            </w:pPr>
            <w:sdt>
              <w:sdtPr>
                <w:rPr>
                  <w:rFonts w:ascii="Times New Roman" w:hAnsi="Times New Roman"/>
                  <w:kern w:val="0"/>
                </w:rPr>
                <w:id w:val="-139037259"/>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 xml:space="preserve">规划计划 </w:t>
            </w:r>
          </w:p>
          <w:p w14:paraId="437ABEC4">
            <w:pPr>
              <w:spacing w:line="240" w:lineRule="auto"/>
              <w:rPr>
                <w:rFonts w:ascii="Times New Roman" w:hAnsi="Times New Roman"/>
                <w:kern w:val="0"/>
              </w:rPr>
            </w:pPr>
            <w:sdt>
              <w:sdtPr>
                <w:rPr>
                  <w:rFonts w:ascii="Times New Roman" w:hAnsi="Times New Roman"/>
                  <w:kern w:val="0"/>
                </w:rPr>
                <w:id w:val="20212325"/>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其他</w:t>
            </w:r>
            <w:r>
              <w:rPr>
                <w:rFonts w:ascii="Times New Roman" w:hAnsi="Times New Roman"/>
                <w:u w:val="single"/>
              </w:rPr>
              <w:t xml:space="preserve">  请注明  </w:t>
            </w:r>
          </w:p>
          <w:p w14:paraId="56F537B3">
            <w:pPr>
              <w:spacing w:line="240" w:lineRule="auto"/>
              <w:rPr>
                <w:rFonts w:ascii="Times New Roman" w:hAnsi="Times New Roman"/>
                <w:kern w:val="0"/>
              </w:rPr>
            </w:pPr>
          </w:p>
        </w:tc>
      </w:tr>
      <w:tr w14:paraId="77E1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33" w:hRule="atLeast"/>
          <w:jc w:val="center"/>
        </w:trPr>
        <w:tc>
          <w:tcPr>
            <w:tcW w:w="421" w:type="dxa"/>
            <w:vAlign w:val="center"/>
          </w:tcPr>
          <w:p w14:paraId="352EA23A">
            <w:pPr>
              <w:spacing w:line="240" w:lineRule="auto"/>
              <w:jc w:val="center"/>
              <w:rPr>
                <w:rFonts w:ascii="Times New Roman" w:hAnsi="Times New Roman"/>
              </w:rPr>
            </w:pPr>
            <w:bookmarkStart w:id="130" w:name="_Hlk204926111"/>
            <w:r>
              <w:rPr>
                <w:rFonts w:ascii="Times New Roman" w:hAnsi="Times New Roman"/>
              </w:rPr>
              <w:t>4-3</w:t>
            </w:r>
          </w:p>
        </w:tc>
        <w:tc>
          <w:tcPr>
            <w:tcW w:w="1809" w:type="dxa"/>
            <w:vAlign w:val="center"/>
          </w:tcPr>
          <w:p w14:paraId="59125AF1">
            <w:pPr>
              <w:spacing w:line="240" w:lineRule="auto"/>
              <w:jc w:val="center"/>
              <w:rPr>
                <w:rFonts w:ascii="Times New Roman" w:hAnsi="Times New Roman"/>
              </w:rPr>
            </w:pPr>
            <w:r>
              <w:rPr>
                <w:rFonts w:ascii="Times New Roman" w:hAnsi="Times New Roman"/>
              </w:rPr>
              <w:t>区域生物多样性面临的主要压力和威胁</w:t>
            </w:r>
          </w:p>
          <w:p w14:paraId="3037C185">
            <w:pPr>
              <w:spacing w:line="240" w:lineRule="auto"/>
              <w:jc w:val="center"/>
              <w:rPr>
                <w:rFonts w:ascii="Times New Roman" w:hAnsi="Times New Roman"/>
              </w:rPr>
            </w:pPr>
            <w:r>
              <w:rPr>
                <w:rFonts w:ascii="Times New Roman" w:hAnsi="Times New Roman"/>
              </w:rPr>
              <w:t>（不超过300字）</w:t>
            </w:r>
          </w:p>
        </w:tc>
        <w:tc>
          <w:tcPr>
            <w:tcW w:w="5977" w:type="dxa"/>
            <w:gridSpan w:val="4"/>
          </w:tcPr>
          <w:p w14:paraId="6607C95B">
            <w:pPr>
              <w:spacing w:line="240" w:lineRule="auto"/>
              <w:rPr>
                <w:rFonts w:ascii="Times New Roman" w:hAnsi="Times New Roman"/>
              </w:rPr>
            </w:pPr>
            <w:r>
              <w:rPr>
                <w:rFonts w:ascii="Times New Roman" w:hAnsi="Times New Roman"/>
              </w:rPr>
              <w:t>列举区域生物多样性价值和生态系统服务目前面临及未来可能面临的主要压力和威胁因素。</w:t>
            </w:r>
          </w:p>
          <w:p w14:paraId="53C4912F">
            <w:pPr>
              <w:spacing w:line="240" w:lineRule="auto"/>
              <w:rPr>
                <w:rFonts w:ascii="Times New Roman" w:hAnsi="Times New Roman"/>
              </w:rPr>
            </w:pPr>
          </w:p>
          <w:p w14:paraId="37028BD8">
            <w:pPr>
              <w:spacing w:line="240" w:lineRule="auto"/>
              <w:rPr>
                <w:rFonts w:ascii="Times New Roman" w:hAnsi="Times New Roman"/>
              </w:rPr>
            </w:pPr>
          </w:p>
        </w:tc>
        <w:tc>
          <w:tcPr>
            <w:tcW w:w="1711" w:type="dxa"/>
            <w:vMerge w:val="continue"/>
          </w:tcPr>
          <w:p w14:paraId="77BBBA27">
            <w:pPr>
              <w:spacing w:line="240" w:lineRule="auto"/>
              <w:rPr>
                <w:rFonts w:ascii="Times New Roman" w:hAnsi="Times New Roman"/>
              </w:rPr>
            </w:pPr>
          </w:p>
        </w:tc>
      </w:tr>
      <w:bookmarkEnd w:id="130"/>
      <w:tr w14:paraId="59F7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46" w:hRule="atLeast"/>
          <w:jc w:val="center"/>
        </w:trPr>
        <w:tc>
          <w:tcPr>
            <w:tcW w:w="421" w:type="dxa"/>
            <w:vAlign w:val="center"/>
          </w:tcPr>
          <w:p w14:paraId="1BF184C0">
            <w:pPr>
              <w:spacing w:line="240" w:lineRule="auto"/>
              <w:jc w:val="center"/>
              <w:rPr>
                <w:rFonts w:ascii="Times New Roman" w:hAnsi="Times New Roman"/>
              </w:rPr>
            </w:pPr>
            <w:r>
              <w:rPr>
                <w:rFonts w:ascii="Times New Roman" w:hAnsi="Times New Roman"/>
              </w:rPr>
              <w:t>4-4</w:t>
            </w:r>
          </w:p>
        </w:tc>
        <w:tc>
          <w:tcPr>
            <w:tcW w:w="1809" w:type="dxa"/>
            <w:vAlign w:val="center"/>
          </w:tcPr>
          <w:p w14:paraId="1B7E6FED">
            <w:pPr>
              <w:spacing w:line="240" w:lineRule="auto"/>
              <w:jc w:val="center"/>
              <w:rPr>
                <w:rFonts w:ascii="Times New Roman" w:hAnsi="Times New Roman"/>
              </w:rPr>
            </w:pPr>
            <w:r>
              <w:rPr>
                <w:rFonts w:ascii="Times New Roman" w:hAnsi="Times New Roman"/>
              </w:rPr>
              <w:t>已</w:t>
            </w:r>
            <w:r>
              <w:rPr>
                <w:rFonts w:hint="eastAsia" w:ascii="Times New Roman" w:hAnsi="Times New Roman"/>
              </w:rPr>
              <w:t>采取的</w:t>
            </w:r>
            <w:r>
              <w:rPr>
                <w:rFonts w:ascii="Times New Roman" w:hAnsi="Times New Roman"/>
              </w:rPr>
              <w:t>管理措施</w:t>
            </w:r>
          </w:p>
          <w:p w14:paraId="5C989716">
            <w:pPr>
              <w:spacing w:line="240" w:lineRule="auto"/>
              <w:jc w:val="center"/>
              <w:rPr>
                <w:rFonts w:ascii="Times New Roman" w:hAnsi="Times New Roman"/>
              </w:rPr>
            </w:pPr>
            <w:r>
              <w:rPr>
                <w:rFonts w:ascii="Times New Roman" w:hAnsi="Times New Roman"/>
              </w:rPr>
              <w:t>（不超过1000字）</w:t>
            </w:r>
          </w:p>
        </w:tc>
        <w:tc>
          <w:tcPr>
            <w:tcW w:w="5977" w:type="dxa"/>
            <w:gridSpan w:val="4"/>
          </w:tcPr>
          <w:p w14:paraId="64E9057A">
            <w:pPr>
              <w:spacing w:line="240" w:lineRule="auto"/>
              <w:rPr>
                <w:rFonts w:ascii="Times New Roman" w:hAnsi="Times New Roman"/>
                <w:color w:val="000000"/>
              </w:rPr>
            </w:pPr>
            <w:r>
              <w:rPr>
                <w:rFonts w:ascii="Times New Roman" w:hAnsi="Times New Roman"/>
                <w:color w:val="000000"/>
              </w:rPr>
              <w:t>描述已采取的管理措施，包括应对现有及未来可能面临的压力和威胁的措施和机制。如区域在现行法律、法规及相关政策中已明确保护管理要求与措施，可列明具体政策依据及管控内容</w:t>
            </w:r>
            <w:r>
              <w:rPr>
                <w:rFonts w:hint="eastAsia" w:ascii="Times New Roman" w:hAnsi="Times New Roman"/>
                <w:color w:val="000000"/>
              </w:rPr>
              <w:t>。</w:t>
            </w:r>
          </w:p>
          <w:p w14:paraId="5A83F508">
            <w:pPr>
              <w:spacing w:line="240" w:lineRule="auto"/>
              <w:rPr>
                <w:rFonts w:ascii="Times New Roman" w:hAnsi="Times New Roman"/>
                <w:color w:val="000000"/>
              </w:rPr>
            </w:pPr>
          </w:p>
          <w:p w14:paraId="135C1A56">
            <w:pPr>
              <w:spacing w:line="240" w:lineRule="auto"/>
              <w:rPr>
                <w:rFonts w:ascii="Times New Roman" w:hAnsi="Times New Roman"/>
              </w:rPr>
            </w:pPr>
          </w:p>
        </w:tc>
        <w:tc>
          <w:tcPr>
            <w:tcW w:w="1711" w:type="dxa"/>
            <w:vMerge w:val="continue"/>
          </w:tcPr>
          <w:p w14:paraId="4F6B1455">
            <w:pPr>
              <w:spacing w:line="240" w:lineRule="auto"/>
              <w:rPr>
                <w:rFonts w:ascii="Times New Roman" w:hAnsi="Times New Roman"/>
              </w:rPr>
            </w:pPr>
          </w:p>
        </w:tc>
      </w:tr>
      <w:tr w14:paraId="2A9F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 w:hRule="atLeast"/>
          <w:jc w:val="center"/>
        </w:trPr>
        <w:tc>
          <w:tcPr>
            <w:tcW w:w="421" w:type="dxa"/>
            <w:vAlign w:val="center"/>
          </w:tcPr>
          <w:p w14:paraId="14385A66">
            <w:pPr>
              <w:spacing w:line="240" w:lineRule="auto"/>
              <w:jc w:val="center"/>
              <w:rPr>
                <w:rFonts w:ascii="Times New Roman" w:hAnsi="Times New Roman"/>
              </w:rPr>
            </w:pPr>
            <w:r>
              <w:rPr>
                <w:rFonts w:ascii="Times New Roman" w:hAnsi="Times New Roman"/>
              </w:rPr>
              <w:t>4-6</w:t>
            </w:r>
          </w:p>
        </w:tc>
        <w:tc>
          <w:tcPr>
            <w:tcW w:w="1809" w:type="dxa"/>
            <w:vAlign w:val="center"/>
          </w:tcPr>
          <w:p w14:paraId="50F0B69F">
            <w:pPr>
              <w:spacing w:line="240" w:lineRule="auto"/>
              <w:jc w:val="center"/>
              <w:rPr>
                <w:rFonts w:ascii="Times New Roman" w:hAnsi="Times New Roman"/>
              </w:rPr>
            </w:pPr>
            <w:r>
              <w:rPr>
                <w:rFonts w:hint="eastAsia" w:ascii="Times New Roman" w:hAnsi="Times New Roman"/>
              </w:rPr>
              <w:t>长期保护计划</w:t>
            </w:r>
          </w:p>
          <w:p w14:paraId="3D9ADB1D">
            <w:pPr>
              <w:spacing w:line="240" w:lineRule="auto"/>
              <w:jc w:val="center"/>
              <w:rPr>
                <w:rFonts w:ascii="Times New Roman" w:hAnsi="Times New Roman"/>
              </w:rPr>
            </w:pPr>
            <w:r>
              <w:rPr>
                <w:rFonts w:ascii="Times New Roman" w:hAnsi="Times New Roman"/>
              </w:rPr>
              <w:t>（不超过400字）</w:t>
            </w:r>
          </w:p>
        </w:tc>
        <w:tc>
          <w:tcPr>
            <w:tcW w:w="5977" w:type="dxa"/>
            <w:gridSpan w:val="4"/>
          </w:tcPr>
          <w:p w14:paraId="78D4A9D8">
            <w:pPr>
              <w:spacing w:line="240" w:lineRule="auto"/>
              <w:rPr>
                <w:rFonts w:ascii="Times New Roman" w:hAnsi="Times New Roman"/>
                <w:color w:val="000000"/>
              </w:rPr>
            </w:pPr>
            <w:r>
              <w:rPr>
                <w:rFonts w:ascii="Times New Roman" w:hAnsi="Times New Roman"/>
                <w:color w:val="000000"/>
              </w:rPr>
              <w:t>描述有助于长期开展保护行动、维持保护成效的机制</w:t>
            </w:r>
            <w:r>
              <w:rPr>
                <w:rFonts w:hint="eastAsia" w:ascii="Times New Roman" w:hAnsi="Times New Roman"/>
                <w:color w:val="000000"/>
              </w:rPr>
              <w:t>，及相应保障机制</w:t>
            </w:r>
            <w:r>
              <w:rPr>
                <w:rFonts w:ascii="Times New Roman" w:hAnsi="Times New Roman"/>
                <w:color w:val="000000"/>
              </w:rPr>
              <w:t>。</w:t>
            </w:r>
          </w:p>
          <w:p w14:paraId="1184BA29">
            <w:pPr>
              <w:spacing w:line="240" w:lineRule="auto"/>
              <w:rPr>
                <w:rFonts w:ascii="Times New Roman" w:hAnsi="Times New Roman"/>
                <w:i/>
                <w:color w:val="A5A5A5" w:themeColor="accent3"/>
                <w14:textFill>
                  <w14:solidFill>
                    <w14:schemeClr w14:val="accent3"/>
                  </w14:solidFill>
                </w14:textFill>
              </w:rPr>
            </w:pPr>
            <w:r>
              <w:rPr>
                <w:rFonts w:ascii="Times New Roman" w:hAnsi="Times New Roman"/>
                <w:i/>
                <w:color w:val="A5A5A5" w:themeColor="accent3"/>
                <w14:textFill>
                  <w14:solidFill>
                    <w14:schemeClr w14:val="accent3"/>
                  </w14:solidFill>
                </w14:textFill>
              </w:rPr>
              <w:t>包括但不限于相关规章制度和协议、资金支持机制、在地</w:t>
            </w:r>
            <w:r>
              <w:rPr>
                <w:rFonts w:hint="eastAsia" w:ascii="Times New Roman" w:hAnsi="Times New Roman"/>
                <w:i/>
                <w:color w:val="A5A5A5" w:themeColor="accent3"/>
                <w14:textFill>
                  <w14:solidFill>
                    <w14:schemeClr w14:val="accent3"/>
                  </w14:solidFill>
                </w14:textFill>
              </w:rPr>
              <w:t>人员</w:t>
            </w:r>
            <w:r>
              <w:rPr>
                <w:rFonts w:ascii="Times New Roman" w:hAnsi="Times New Roman"/>
                <w:i/>
                <w:color w:val="A5A5A5" w:themeColor="accent3"/>
                <w14:textFill>
                  <w14:solidFill>
                    <w14:schemeClr w14:val="accent3"/>
                  </w14:solidFill>
                </w14:textFill>
              </w:rPr>
              <w:t>团队的长期性和专业性、区域权属/权益的长期性、以及其他有助于长期持续保护的其他形式的认可和支持等</w:t>
            </w:r>
            <w:r>
              <w:rPr>
                <w:rFonts w:hint="eastAsia" w:ascii="Times New Roman" w:hAnsi="Times New Roman"/>
                <w:i/>
                <w:color w:val="A5A5A5" w:themeColor="accent3"/>
                <w14:textFill>
                  <w14:solidFill>
                    <w14:schemeClr w14:val="accent3"/>
                  </w14:solidFill>
                </w14:textFill>
              </w:rPr>
              <w:t>。</w:t>
            </w:r>
          </w:p>
          <w:p w14:paraId="2BE65F95">
            <w:pPr>
              <w:spacing w:line="240" w:lineRule="auto"/>
              <w:rPr>
                <w:rFonts w:ascii="Times New Roman" w:hAnsi="Times New Roman"/>
                <w:color w:val="000000"/>
              </w:rPr>
            </w:pPr>
          </w:p>
        </w:tc>
        <w:tc>
          <w:tcPr>
            <w:tcW w:w="1711" w:type="dxa"/>
          </w:tcPr>
          <w:p w14:paraId="3FEDA2CF">
            <w:pPr>
              <w:spacing w:line="240" w:lineRule="auto"/>
              <w:rPr>
                <w:rFonts w:ascii="Times New Roman" w:hAnsi="Times New Roman"/>
                <w:kern w:val="0"/>
              </w:rPr>
            </w:pPr>
            <w:sdt>
              <w:sdtPr>
                <w:rPr>
                  <w:rFonts w:ascii="Times New Roman" w:hAnsi="Times New Roman"/>
                  <w:kern w:val="0"/>
                </w:rPr>
                <w:id w:val="750014785"/>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相关规章制度</w:t>
            </w:r>
          </w:p>
          <w:p w14:paraId="1A8BA436">
            <w:pPr>
              <w:spacing w:line="240" w:lineRule="auto"/>
              <w:rPr>
                <w:rFonts w:ascii="Times New Roman" w:hAnsi="Times New Roman"/>
                <w:kern w:val="0"/>
              </w:rPr>
            </w:pPr>
            <w:sdt>
              <w:sdtPr>
                <w:rPr>
                  <w:rFonts w:ascii="Times New Roman" w:hAnsi="Times New Roman"/>
                  <w:kern w:val="0"/>
                </w:rPr>
                <w:id w:val="-1961101946"/>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合作协议</w:t>
            </w:r>
          </w:p>
          <w:p w14:paraId="7A276A41">
            <w:pPr>
              <w:spacing w:line="240" w:lineRule="auto"/>
              <w:rPr>
                <w:rFonts w:ascii="Times New Roman" w:hAnsi="Times New Roman"/>
                <w:kern w:val="0"/>
              </w:rPr>
            </w:pPr>
            <w:sdt>
              <w:sdtPr>
                <w:rPr>
                  <w:rFonts w:ascii="Times New Roman" w:hAnsi="Times New Roman"/>
                  <w:kern w:val="0"/>
                </w:rPr>
                <w:id w:val="-1828276567"/>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村规民约</w:t>
            </w:r>
          </w:p>
          <w:p w14:paraId="55243A1F">
            <w:pPr>
              <w:spacing w:line="240" w:lineRule="auto"/>
              <w:rPr>
                <w:rFonts w:ascii="Times New Roman" w:hAnsi="Times New Roman"/>
                <w:kern w:val="0"/>
              </w:rPr>
            </w:pPr>
            <w:sdt>
              <w:sdtPr>
                <w:rPr>
                  <w:rFonts w:ascii="Times New Roman" w:hAnsi="Times New Roman"/>
                  <w:kern w:val="0"/>
                </w:rPr>
                <w:id w:val="-704795679"/>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资金支持协议</w:t>
            </w:r>
          </w:p>
          <w:p w14:paraId="69D69080">
            <w:pPr>
              <w:spacing w:line="240" w:lineRule="auto"/>
              <w:rPr>
                <w:rFonts w:ascii="Times New Roman" w:hAnsi="Times New Roman"/>
                <w:kern w:val="0"/>
              </w:rPr>
            </w:pPr>
            <w:sdt>
              <w:sdtPr>
                <w:rPr>
                  <w:rFonts w:ascii="Times New Roman" w:hAnsi="Times New Roman"/>
                  <w:kern w:val="0"/>
                </w:rPr>
                <w:id w:val="698661992"/>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土地流转协议</w:t>
            </w:r>
          </w:p>
          <w:p w14:paraId="67726526">
            <w:pPr>
              <w:spacing w:line="240" w:lineRule="auto"/>
              <w:rPr>
                <w:rFonts w:ascii="Times New Roman" w:hAnsi="Times New Roman"/>
                <w:kern w:val="0"/>
              </w:rPr>
            </w:pPr>
            <w:sdt>
              <w:sdtPr>
                <w:rPr>
                  <w:rFonts w:ascii="Times New Roman" w:hAnsi="Times New Roman"/>
                  <w:kern w:val="0"/>
                </w:rPr>
                <w:id w:val="1266038641"/>
                <w14:checkbox>
                  <w14:checked w14:val="0"/>
                  <w14:checkedState w14:val="0052" w14:font="方正小标宋简体"/>
                  <w14:uncheckedState w14:val="2610" w14:font="MS Gothic"/>
                </w14:checkbox>
              </w:sdtPr>
              <w:sdtEndPr>
                <w:rPr>
                  <w:rFonts w:ascii="Times New Roman" w:hAnsi="Times New Roman"/>
                  <w:kern w:val="0"/>
                </w:rPr>
              </w:sdtEndPr>
              <w:sdtContent>
                <w:r>
                  <w:rPr>
                    <w:rFonts w:ascii="Times New Roman" w:hAnsi="Times New Roman"/>
                    <w:kern w:val="0"/>
                  </w:rPr>
                  <w:t>☐</w:t>
                </w:r>
              </w:sdtContent>
            </w:sdt>
            <w:r>
              <w:rPr>
                <w:rFonts w:ascii="Times New Roman" w:hAnsi="Times New Roman"/>
                <w:kern w:val="0"/>
              </w:rPr>
              <w:t>其他</w:t>
            </w:r>
            <w:r>
              <w:rPr>
                <w:rFonts w:ascii="Times New Roman" w:hAnsi="Times New Roman"/>
                <w:u w:val="single"/>
              </w:rPr>
              <w:t xml:space="preserve">  请注明  </w:t>
            </w:r>
          </w:p>
        </w:tc>
      </w:tr>
      <w:tr w14:paraId="240A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 w:hRule="atLeast"/>
          <w:jc w:val="center"/>
        </w:trPr>
        <w:tc>
          <w:tcPr>
            <w:tcW w:w="421" w:type="dxa"/>
            <w:vAlign w:val="center"/>
          </w:tcPr>
          <w:p w14:paraId="3EC5DF7C">
            <w:pPr>
              <w:spacing w:line="240" w:lineRule="auto"/>
              <w:jc w:val="center"/>
              <w:rPr>
                <w:rFonts w:ascii="Times New Roman" w:hAnsi="Times New Roman"/>
                <w:highlight w:val="none"/>
              </w:rPr>
            </w:pPr>
            <w:r>
              <w:rPr>
                <w:rFonts w:ascii="Times New Roman" w:hAnsi="Times New Roman"/>
                <w:highlight w:val="none"/>
              </w:rPr>
              <w:t>4-5</w:t>
            </w:r>
          </w:p>
        </w:tc>
        <w:tc>
          <w:tcPr>
            <w:tcW w:w="1809" w:type="dxa"/>
            <w:vAlign w:val="center"/>
          </w:tcPr>
          <w:p w14:paraId="481B7FF9">
            <w:pPr>
              <w:spacing w:line="240" w:lineRule="auto"/>
              <w:jc w:val="center"/>
              <w:rPr>
                <w:rFonts w:ascii="Times New Roman" w:hAnsi="Times New Roman"/>
                <w:highlight w:val="none"/>
              </w:rPr>
            </w:pPr>
            <w:r>
              <w:rPr>
                <w:rFonts w:ascii="Times New Roman" w:hAnsi="Times New Roman"/>
                <w:highlight w:val="none"/>
              </w:rPr>
              <w:t>监测和</w:t>
            </w:r>
            <w:r>
              <w:rPr>
                <w:rFonts w:hint="eastAsia" w:ascii="Times New Roman" w:hAnsi="Times New Roman"/>
                <w:highlight w:val="none"/>
              </w:rPr>
              <w:t>保护管理成效</w:t>
            </w:r>
          </w:p>
          <w:p w14:paraId="62094AD2">
            <w:pPr>
              <w:spacing w:line="240" w:lineRule="auto"/>
              <w:jc w:val="center"/>
              <w:rPr>
                <w:rFonts w:ascii="Times New Roman" w:hAnsi="Times New Roman"/>
                <w:highlight w:val="none"/>
              </w:rPr>
            </w:pPr>
            <w:r>
              <w:rPr>
                <w:rFonts w:ascii="Times New Roman" w:hAnsi="Times New Roman"/>
                <w:highlight w:val="none"/>
              </w:rPr>
              <w:t>（不超过</w:t>
            </w:r>
            <w:r>
              <w:rPr>
                <w:rFonts w:hint="eastAsia" w:ascii="Times New Roman" w:hAnsi="Times New Roman"/>
                <w:highlight w:val="none"/>
              </w:rPr>
              <w:t>5</w:t>
            </w:r>
            <w:r>
              <w:rPr>
                <w:rFonts w:ascii="Times New Roman" w:hAnsi="Times New Roman"/>
                <w:highlight w:val="none"/>
              </w:rPr>
              <w:t>00字）</w:t>
            </w:r>
          </w:p>
        </w:tc>
        <w:tc>
          <w:tcPr>
            <w:tcW w:w="5977" w:type="dxa"/>
            <w:gridSpan w:val="4"/>
          </w:tcPr>
          <w:p w14:paraId="1988528D">
            <w:pPr>
              <w:spacing w:line="240" w:lineRule="auto"/>
              <w:rPr>
                <w:rFonts w:ascii="Times New Roman" w:hAnsi="Times New Roman"/>
                <w:color w:val="000000"/>
                <w:highlight w:val="none"/>
              </w:rPr>
            </w:pPr>
            <w:r>
              <w:rPr>
                <w:rFonts w:ascii="Times New Roman" w:hAnsi="Times New Roman"/>
                <w:color w:val="000000"/>
                <w:highlight w:val="none"/>
              </w:rPr>
              <w:t>描述</w:t>
            </w:r>
            <w:r>
              <w:rPr>
                <w:rFonts w:hint="eastAsia" w:ascii="Times New Roman" w:hAnsi="Times New Roman"/>
                <w:color w:val="000000"/>
                <w:highlight w:val="none"/>
              </w:rPr>
              <w:t>已开展和计划开展</w:t>
            </w:r>
            <w:r>
              <w:rPr>
                <w:rFonts w:ascii="Times New Roman" w:hAnsi="Times New Roman"/>
                <w:color w:val="000000"/>
                <w:highlight w:val="none"/>
              </w:rPr>
              <w:t>的调查、</w:t>
            </w:r>
            <w:r>
              <w:rPr>
                <w:rFonts w:hint="eastAsia" w:ascii="Times New Roman" w:hAnsi="Times New Roman"/>
                <w:color w:val="000000"/>
                <w:highlight w:val="none"/>
              </w:rPr>
              <w:t>观测、</w:t>
            </w:r>
            <w:r>
              <w:rPr>
                <w:rFonts w:ascii="Times New Roman" w:hAnsi="Times New Roman"/>
                <w:color w:val="000000"/>
                <w:highlight w:val="none"/>
              </w:rPr>
              <w:t>监测等活动</w:t>
            </w:r>
            <w:r>
              <w:rPr>
                <w:rFonts w:hint="eastAsia" w:ascii="Times New Roman" w:hAnsi="Times New Roman"/>
                <w:color w:val="000000"/>
                <w:highlight w:val="none"/>
              </w:rPr>
              <w:t>，列明监测指标、范围、周期等</w:t>
            </w:r>
            <w:r>
              <w:rPr>
                <w:rFonts w:ascii="Times New Roman" w:hAnsi="Times New Roman"/>
                <w:color w:val="000000"/>
                <w:highlight w:val="none"/>
              </w:rPr>
              <w:t>，</w:t>
            </w:r>
            <w:r>
              <w:rPr>
                <w:rFonts w:hint="eastAsia" w:ascii="Times New Roman" w:hAnsi="Times New Roman"/>
                <w:color w:val="000000"/>
                <w:highlight w:val="none"/>
              </w:rPr>
              <w:t>并阐述管理措施已实现（或预期实现）的实施效果及（或）主要生物多样性要素的保护成效。</w:t>
            </w:r>
          </w:p>
          <w:p w14:paraId="1DD3B328">
            <w:pPr>
              <w:spacing w:line="240" w:lineRule="auto"/>
              <w:rPr>
                <w:rFonts w:ascii="Times New Roman" w:hAnsi="Times New Roman"/>
                <w:color w:val="000000"/>
                <w:highlight w:val="none"/>
              </w:rPr>
            </w:pPr>
          </w:p>
          <w:p w14:paraId="5D8CC764">
            <w:pPr>
              <w:spacing w:line="240" w:lineRule="auto"/>
              <w:rPr>
                <w:rFonts w:ascii="Times New Roman" w:hAnsi="Times New Roman"/>
                <w:b/>
                <w:bCs/>
                <w:highlight w:val="none"/>
              </w:rPr>
            </w:pPr>
          </w:p>
        </w:tc>
        <w:tc>
          <w:tcPr>
            <w:tcW w:w="1711" w:type="dxa"/>
          </w:tcPr>
          <w:p w14:paraId="7CCA3A90">
            <w:pPr>
              <w:spacing w:line="240" w:lineRule="auto"/>
              <w:rPr>
                <w:rFonts w:ascii="Times New Roman" w:hAnsi="Times New Roman"/>
                <w:kern w:val="0"/>
                <w:highlight w:val="none"/>
              </w:rPr>
            </w:pPr>
            <w:sdt>
              <w:sdtPr>
                <w:rPr>
                  <w:rFonts w:ascii="Times New Roman" w:hAnsi="Times New Roman"/>
                  <w:kern w:val="0"/>
                  <w:highlight w:val="none"/>
                </w:rPr>
                <w:id w:val="-1566175273"/>
                <w14:checkbox>
                  <w14:checked w14:val="0"/>
                  <w14:checkedState w14:val="0052" w14:font="方正小标宋简体"/>
                  <w14:uncheckedState w14:val="2610" w14:font="MS Gothic"/>
                </w14:checkbox>
              </w:sdtPr>
              <w:sdtEndPr>
                <w:rPr>
                  <w:rFonts w:ascii="Times New Roman" w:hAnsi="Times New Roman"/>
                  <w:kern w:val="0"/>
                  <w:highlight w:val="none"/>
                </w:rPr>
              </w:sdtEndPr>
              <w:sdtContent>
                <w:r>
                  <w:rPr>
                    <w:rFonts w:ascii="Times New Roman" w:hAnsi="Times New Roman"/>
                    <w:kern w:val="0"/>
                    <w:highlight w:val="none"/>
                  </w:rPr>
                  <w:t>☐</w:t>
                </w:r>
              </w:sdtContent>
            </w:sdt>
            <w:r>
              <w:rPr>
                <w:rFonts w:ascii="Times New Roman" w:hAnsi="Times New Roman"/>
                <w:kern w:val="0"/>
                <w:highlight w:val="none"/>
              </w:rPr>
              <w:t>监测计划</w:t>
            </w:r>
          </w:p>
          <w:p w14:paraId="7535B473">
            <w:pPr>
              <w:spacing w:line="240" w:lineRule="auto"/>
              <w:rPr>
                <w:rFonts w:ascii="Times New Roman" w:hAnsi="Times New Roman"/>
                <w:kern w:val="0"/>
                <w:highlight w:val="none"/>
              </w:rPr>
            </w:pPr>
            <w:sdt>
              <w:sdtPr>
                <w:rPr>
                  <w:rFonts w:ascii="Times New Roman" w:hAnsi="Times New Roman"/>
                  <w:kern w:val="0"/>
                  <w:highlight w:val="none"/>
                </w:rPr>
                <w:id w:val="-444305365"/>
                <w14:checkbox>
                  <w14:checked w14:val="0"/>
                  <w14:checkedState w14:val="0052" w14:font="方正小标宋简体"/>
                  <w14:uncheckedState w14:val="2610" w14:font="MS Gothic"/>
                </w14:checkbox>
              </w:sdtPr>
              <w:sdtEndPr>
                <w:rPr>
                  <w:rFonts w:ascii="Times New Roman" w:hAnsi="Times New Roman"/>
                  <w:kern w:val="0"/>
                  <w:highlight w:val="none"/>
                </w:rPr>
              </w:sdtEndPr>
              <w:sdtContent>
                <w:r>
                  <w:rPr>
                    <w:rFonts w:ascii="Times New Roman" w:hAnsi="Times New Roman"/>
                    <w:kern w:val="0"/>
                    <w:highlight w:val="none"/>
                  </w:rPr>
                  <w:t>☐</w:t>
                </w:r>
              </w:sdtContent>
            </w:sdt>
            <w:r>
              <w:rPr>
                <w:rFonts w:ascii="Times New Roman" w:hAnsi="Times New Roman"/>
                <w:kern w:val="0"/>
                <w:highlight w:val="none"/>
              </w:rPr>
              <w:t>监测报告</w:t>
            </w:r>
          </w:p>
          <w:p w14:paraId="28588FA6">
            <w:pPr>
              <w:spacing w:line="240" w:lineRule="auto"/>
              <w:rPr>
                <w:rFonts w:ascii="Times New Roman" w:hAnsi="Times New Roman"/>
                <w:kern w:val="0"/>
                <w:highlight w:val="none"/>
              </w:rPr>
            </w:pPr>
            <w:sdt>
              <w:sdtPr>
                <w:rPr>
                  <w:rFonts w:ascii="Times New Roman" w:hAnsi="Times New Roman"/>
                  <w:kern w:val="0"/>
                  <w:highlight w:val="none"/>
                </w:rPr>
                <w:id w:val="1808583666"/>
                <w14:checkbox>
                  <w14:checked w14:val="0"/>
                  <w14:checkedState w14:val="0052" w14:font="方正小标宋简体"/>
                  <w14:uncheckedState w14:val="2610" w14:font="MS Gothic"/>
                </w14:checkbox>
              </w:sdtPr>
              <w:sdtEndPr>
                <w:rPr>
                  <w:rFonts w:ascii="Times New Roman" w:hAnsi="Times New Roman"/>
                  <w:kern w:val="0"/>
                  <w:highlight w:val="none"/>
                </w:rPr>
              </w:sdtEndPr>
              <w:sdtContent>
                <w:r>
                  <w:rPr>
                    <w:rFonts w:ascii="Times New Roman" w:hAnsi="Times New Roman"/>
                    <w:kern w:val="0"/>
                    <w:highlight w:val="none"/>
                  </w:rPr>
                  <w:t>☐</w:t>
                </w:r>
              </w:sdtContent>
            </w:sdt>
            <w:r>
              <w:rPr>
                <w:rFonts w:ascii="Times New Roman" w:hAnsi="Times New Roman"/>
                <w:kern w:val="0"/>
                <w:highlight w:val="none"/>
              </w:rPr>
              <w:t>研究报告或论文</w:t>
            </w:r>
          </w:p>
          <w:p w14:paraId="688B8E1F">
            <w:pPr>
              <w:spacing w:line="240" w:lineRule="auto"/>
              <w:rPr>
                <w:rFonts w:ascii="Times New Roman" w:hAnsi="Times New Roman"/>
                <w:kern w:val="0"/>
                <w:highlight w:val="none"/>
              </w:rPr>
            </w:pPr>
            <w:sdt>
              <w:sdtPr>
                <w:rPr>
                  <w:rFonts w:ascii="Times New Roman" w:hAnsi="Times New Roman"/>
                  <w:kern w:val="0"/>
                  <w:highlight w:val="none"/>
                </w:rPr>
                <w:id w:val="2039627377"/>
                <w14:checkbox>
                  <w14:checked w14:val="0"/>
                  <w14:checkedState w14:val="0052" w14:font="方正小标宋简体"/>
                  <w14:uncheckedState w14:val="2610" w14:font="MS Gothic"/>
                </w14:checkbox>
              </w:sdtPr>
              <w:sdtEndPr>
                <w:rPr>
                  <w:rFonts w:ascii="Times New Roman" w:hAnsi="Times New Roman"/>
                  <w:kern w:val="0"/>
                  <w:highlight w:val="none"/>
                </w:rPr>
              </w:sdtEndPr>
              <w:sdtContent>
                <w:r>
                  <w:rPr>
                    <w:rFonts w:ascii="Times New Roman" w:hAnsi="Times New Roman"/>
                    <w:kern w:val="0"/>
                    <w:highlight w:val="none"/>
                  </w:rPr>
                  <w:t>☐</w:t>
                </w:r>
              </w:sdtContent>
            </w:sdt>
            <w:r>
              <w:rPr>
                <w:rFonts w:ascii="Times New Roman" w:hAnsi="Times New Roman"/>
                <w:kern w:val="0"/>
                <w:highlight w:val="none"/>
              </w:rPr>
              <w:t>年度总结</w:t>
            </w:r>
          </w:p>
          <w:p w14:paraId="4CD82BA7">
            <w:pPr>
              <w:spacing w:line="240" w:lineRule="auto"/>
              <w:rPr>
                <w:rFonts w:ascii="Times New Roman" w:hAnsi="Times New Roman"/>
                <w:kern w:val="0"/>
                <w:highlight w:val="none"/>
              </w:rPr>
            </w:pPr>
            <w:sdt>
              <w:sdtPr>
                <w:rPr>
                  <w:rFonts w:ascii="Times New Roman" w:hAnsi="Times New Roman"/>
                  <w:kern w:val="0"/>
                  <w:highlight w:val="none"/>
                </w:rPr>
                <w:id w:val="-996185232"/>
                <w14:checkbox>
                  <w14:checked w14:val="0"/>
                  <w14:checkedState w14:val="0052" w14:font="方正小标宋简体"/>
                  <w14:uncheckedState w14:val="2610" w14:font="MS Gothic"/>
                </w14:checkbox>
              </w:sdtPr>
              <w:sdtEndPr>
                <w:rPr>
                  <w:rFonts w:ascii="Times New Roman" w:hAnsi="Times New Roman"/>
                  <w:kern w:val="0"/>
                  <w:highlight w:val="none"/>
                </w:rPr>
              </w:sdtEndPr>
              <w:sdtContent>
                <w:r>
                  <w:rPr>
                    <w:rFonts w:ascii="Times New Roman" w:hAnsi="Times New Roman"/>
                    <w:kern w:val="0"/>
                    <w:highlight w:val="none"/>
                  </w:rPr>
                  <w:t>☐</w:t>
                </w:r>
              </w:sdtContent>
            </w:sdt>
            <w:r>
              <w:rPr>
                <w:rFonts w:ascii="Times New Roman" w:hAnsi="Times New Roman"/>
                <w:kern w:val="0"/>
                <w:highlight w:val="none"/>
              </w:rPr>
              <w:t>进展报告</w:t>
            </w:r>
          </w:p>
          <w:p w14:paraId="1C41D161">
            <w:pPr>
              <w:spacing w:line="240" w:lineRule="auto"/>
              <w:rPr>
                <w:rFonts w:hint="eastAsia" w:ascii="Times New Roman" w:hAnsi="Times New Roman"/>
                <w:highlight w:val="none"/>
                <w:u w:val="single"/>
              </w:rPr>
            </w:pPr>
            <w:sdt>
              <w:sdtPr>
                <w:rPr>
                  <w:rFonts w:ascii="Times New Roman" w:hAnsi="Times New Roman"/>
                  <w:kern w:val="0"/>
                  <w:highlight w:val="none"/>
                </w:rPr>
                <w:id w:val="-132640461"/>
                <w14:checkbox>
                  <w14:checked w14:val="0"/>
                  <w14:checkedState w14:val="0052" w14:font="方正小标宋简体"/>
                  <w14:uncheckedState w14:val="2610" w14:font="MS Gothic"/>
                </w14:checkbox>
              </w:sdtPr>
              <w:sdtEndPr>
                <w:rPr>
                  <w:rFonts w:ascii="Times New Roman" w:hAnsi="Times New Roman"/>
                  <w:kern w:val="0"/>
                  <w:highlight w:val="none"/>
                </w:rPr>
              </w:sdtEndPr>
              <w:sdtContent>
                <w:r>
                  <w:rPr>
                    <w:rFonts w:ascii="Times New Roman" w:hAnsi="Times New Roman"/>
                    <w:kern w:val="0"/>
                    <w:highlight w:val="none"/>
                  </w:rPr>
                  <w:t>☐</w:t>
                </w:r>
              </w:sdtContent>
            </w:sdt>
            <w:r>
              <w:rPr>
                <w:rFonts w:ascii="Times New Roman" w:hAnsi="Times New Roman"/>
                <w:kern w:val="0"/>
                <w:highlight w:val="none"/>
              </w:rPr>
              <w:t>其他</w:t>
            </w:r>
            <w:r>
              <w:rPr>
                <w:rFonts w:ascii="Times New Roman" w:hAnsi="Times New Roman"/>
                <w:highlight w:val="none"/>
                <w:u w:val="single"/>
              </w:rPr>
              <w:t xml:space="preserve">  请注明  </w:t>
            </w:r>
          </w:p>
        </w:tc>
      </w:tr>
      <w:tr w14:paraId="23FA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 w:hRule="atLeast"/>
          <w:jc w:val="center"/>
        </w:trPr>
        <w:tc>
          <w:tcPr>
            <w:tcW w:w="8207" w:type="dxa"/>
            <w:gridSpan w:val="6"/>
            <w:shd w:val="clear" w:color="auto" w:fill="D8D8D8" w:themeFill="background1" w:themeFillShade="D9"/>
            <w:vAlign w:val="center"/>
          </w:tcPr>
          <w:p w14:paraId="389838FE">
            <w:pPr>
              <w:spacing w:line="240" w:lineRule="auto"/>
              <w:rPr>
                <w:rFonts w:ascii="Times New Roman" w:hAnsi="Times New Roman"/>
                <w:b/>
                <w:bCs/>
                <w:iCs/>
              </w:rPr>
            </w:pPr>
            <w:r>
              <w:rPr>
                <w:rFonts w:ascii="Times New Roman" w:hAnsi="Times New Roman"/>
                <w:b/>
                <w:bCs/>
              </w:rPr>
              <w:t>5、生态系统服务和其他价值</w:t>
            </w:r>
          </w:p>
        </w:tc>
        <w:tc>
          <w:tcPr>
            <w:tcW w:w="1711" w:type="dxa"/>
            <w:shd w:val="clear" w:color="auto" w:fill="D8D8D8" w:themeFill="background1" w:themeFillShade="D9"/>
          </w:tcPr>
          <w:p w14:paraId="42CF40EA">
            <w:pPr>
              <w:spacing w:line="240" w:lineRule="auto"/>
              <w:rPr>
                <w:rFonts w:ascii="Times New Roman" w:hAnsi="Times New Roman"/>
              </w:rPr>
            </w:pPr>
          </w:p>
        </w:tc>
      </w:tr>
      <w:tr w14:paraId="4B72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 w:hRule="atLeast"/>
          <w:jc w:val="center"/>
        </w:trPr>
        <w:tc>
          <w:tcPr>
            <w:tcW w:w="421" w:type="dxa"/>
            <w:vAlign w:val="center"/>
          </w:tcPr>
          <w:p w14:paraId="4E9B4064">
            <w:pPr>
              <w:spacing w:line="240" w:lineRule="auto"/>
              <w:jc w:val="center"/>
              <w:rPr>
                <w:rFonts w:ascii="Times New Roman" w:hAnsi="Times New Roman"/>
              </w:rPr>
            </w:pPr>
            <w:r>
              <w:rPr>
                <w:rFonts w:ascii="Times New Roman" w:hAnsi="Times New Roman"/>
              </w:rPr>
              <w:t>5-1</w:t>
            </w:r>
          </w:p>
        </w:tc>
        <w:tc>
          <w:tcPr>
            <w:tcW w:w="1809" w:type="dxa"/>
            <w:vAlign w:val="center"/>
          </w:tcPr>
          <w:p w14:paraId="35022AEC">
            <w:pPr>
              <w:spacing w:line="240" w:lineRule="auto"/>
              <w:jc w:val="center"/>
              <w:rPr>
                <w:rFonts w:ascii="Times New Roman" w:hAnsi="Times New Roman"/>
              </w:rPr>
            </w:pPr>
            <w:r>
              <w:rPr>
                <w:rFonts w:ascii="Times New Roman" w:hAnsi="Times New Roman"/>
              </w:rPr>
              <w:t>区域所实现的生态系统服务</w:t>
            </w:r>
            <w:r>
              <w:rPr>
                <w:rFonts w:hint="eastAsia" w:ascii="Times New Roman" w:hAnsi="Times New Roman"/>
              </w:rPr>
              <w:t>、</w:t>
            </w:r>
            <w:r>
              <w:t>社会经济文化多元价值</w:t>
            </w:r>
          </w:p>
          <w:p w14:paraId="2F357D79">
            <w:pPr>
              <w:spacing w:line="240" w:lineRule="auto"/>
              <w:jc w:val="center"/>
              <w:rPr>
                <w:rFonts w:ascii="Times New Roman" w:hAnsi="Times New Roman"/>
              </w:rPr>
            </w:pPr>
            <w:r>
              <w:rPr>
                <w:rFonts w:ascii="Times New Roman" w:hAnsi="Times New Roman"/>
              </w:rPr>
              <w:t>（不超过</w:t>
            </w:r>
            <w:r>
              <w:rPr>
                <w:rFonts w:hint="eastAsia" w:ascii="Times New Roman" w:hAnsi="Times New Roman"/>
              </w:rPr>
              <w:t>5</w:t>
            </w:r>
            <w:r>
              <w:rPr>
                <w:rFonts w:ascii="Times New Roman" w:hAnsi="Times New Roman"/>
              </w:rPr>
              <w:t>00字）</w:t>
            </w:r>
          </w:p>
        </w:tc>
        <w:tc>
          <w:tcPr>
            <w:tcW w:w="5977" w:type="dxa"/>
            <w:gridSpan w:val="4"/>
          </w:tcPr>
          <w:p w14:paraId="321B475A">
            <w:pPr>
              <w:spacing w:line="240" w:lineRule="auto"/>
              <w:rPr>
                <w:rFonts w:ascii="Times New Roman" w:hAnsi="Times New Roman"/>
                <w:i/>
                <w:color w:val="A5A5A5" w:themeColor="accent3"/>
                <w14:textFill>
                  <w14:solidFill>
                    <w14:schemeClr w14:val="accent3"/>
                  </w14:solidFill>
                </w14:textFill>
              </w:rPr>
            </w:pPr>
            <w:r>
              <w:rPr>
                <w:rFonts w:ascii="Times New Roman" w:hAnsi="Times New Roman"/>
                <w:iCs/>
              </w:rPr>
              <w:t>描述区域实现的生态系统服务</w:t>
            </w:r>
            <w:r>
              <w:rPr>
                <w:rFonts w:hint="eastAsia" w:ascii="Times New Roman" w:hAnsi="Times New Roman"/>
                <w:iCs/>
              </w:rPr>
              <w:t>，以及社会经济文化等多元价值</w:t>
            </w:r>
            <w:r>
              <w:rPr>
                <w:rFonts w:ascii="Times New Roman" w:hAnsi="Times New Roman"/>
                <w:iCs/>
              </w:rPr>
              <w:t>。</w:t>
            </w:r>
            <w:r>
              <w:rPr>
                <w:rFonts w:ascii="Times New Roman" w:hAnsi="Times New Roman"/>
                <w:i/>
                <w:color w:val="A5A5A5" w:themeColor="accent3"/>
                <w14:textFill>
                  <w14:solidFill>
                    <w14:schemeClr w14:val="accent3"/>
                  </w14:solidFill>
                </w14:textFill>
              </w:rPr>
              <w:t>包括但不限于供给服务（食物生产、原材料生产、水资源供给等）、调节服务（空气质量调节、气候调节、固碳、水源涵养、废物处理、自然灾害防控、病虫害防治等）、支持服务（土壤保持、维持养分循环等）、文化多样性、文化遗产、精神与宗教、休闲游憩、康养体验、美学价值、</w:t>
            </w:r>
            <w:r>
              <w:rPr>
                <w:rFonts w:hint="eastAsia" w:ascii="Times New Roman" w:hAnsi="Times New Roman"/>
                <w:i/>
                <w:color w:val="A5A5A5" w:themeColor="accent3"/>
                <w14:textFill>
                  <w14:solidFill>
                    <w14:schemeClr w14:val="accent3"/>
                  </w14:solidFill>
                </w14:textFill>
              </w:rPr>
              <w:t>科研</w:t>
            </w:r>
            <w:r>
              <w:rPr>
                <w:rFonts w:ascii="Times New Roman" w:hAnsi="Times New Roman"/>
                <w:i/>
                <w:color w:val="A5A5A5" w:themeColor="accent3"/>
                <w14:textFill>
                  <w14:solidFill>
                    <w14:schemeClr w14:val="accent3"/>
                  </w14:solidFill>
                </w14:textFill>
              </w:rPr>
              <w:t>教育价值、地方认同感、社区赋权、生计改善、知识体系</w:t>
            </w:r>
            <w:r>
              <w:rPr>
                <w:rFonts w:hint="eastAsia" w:ascii="Times New Roman" w:hAnsi="Times New Roman"/>
                <w:i/>
                <w:color w:val="A5A5A5" w:themeColor="accent3"/>
                <w14:textFill>
                  <w14:solidFill>
                    <w14:schemeClr w14:val="accent3"/>
                  </w14:solidFill>
                </w14:textFill>
              </w:rPr>
              <w:t>等</w:t>
            </w:r>
            <w:r>
              <w:rPr>
                <w:rFonts w:ascii="Times New Roman" w:hAnsi="Times New Roman"/>
                <w:i/>
                <w:color w:val="A5A5A5" w:themeColor="accent3"/>
                <w14:textFill>
                  <w14:solidFill>
                    <w14:schemeClr w14:val="accent3"/>
                  </w14:solidFill>
                </w14:textFill>
              </w:rPr>
              <w:t>。</w:t>
            </w:r>
          </w:p>
          <w:p w14:paraId="5B8D0A9B">
            <w:pPr>
              <w:spacing w:line="240" w:lineRule="auto"/>
              <w:rPr>
                <w:rFonts w:ascii="Times New Roman" w:hAnsi="Times New Roman"/>
                <w:b/>
                <w:bCs/>
              </w:rPr>
            </w:pPr>
          </w:p>
        </w:tc>
        <w:tc>
          <w:tcPr>
            <w:tcW w:w="1711" w:type="dxa"/>
          </w:tcPr>
          <w:p w14:paraId="4CDCBE04">
            <w:pPr>
              <w:spacing w:line="240" w:lineRule="auto"/>
              <w:rPr>
                <w:rFonts w:ascii="Times New Roman" w:hAnsi="Times New Roman"/>
              </w:rPr>
            </w:pPr>
          </w:p>
        </w:tc>
      </w:tr>
      <w:tr w14:paraId="4D86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 w:hRule="atLeast"/>
          <w:jc w:val="center"/>
        </w:trPr>
        <w:tc>
          <w:tcPr>
            <w:tcW w:w="8207" w:type="dxa"/>
            <w:gridSpan w:val="6"/>
            <w:shd w:val="clear" w:color="auto" w:fill="D8D8D8" w:themeFill="background1" w:themeFillShade="D9"/>
            <w:vAlign w:val="center"/>
          </w:tcPr>
          <w:p w14:paraId="00D50D3C">
            <w:pPr>
              <w:spacing w:line="240" w:lineRule="auto"/>
              <w:rPr>
                <w:rFonts w:ascii="Times New Roman" w:hAnsi="Times New Roman"/>
                <w:iCs/>
              </w:rPr>
            </w:pPr>
            <w:r>
              <w:rPr>
                <w:rFonts w:ascii="Times New Roman" w:hAnsi="Times New Roman"/>
                <w:b/>
                <w:bCs/>
              </w:rPr>
              <w:t>6、支持性材料</w:t>
            </w:r>
          </w:p>
        </w:tc>
        <w:tc>
          <w:tcPr>
            <w:tcW w:w="1711" w:type="dxa"/>
            <w:shd w:val="clear" w:color="auto" w:fill="D8D8D8" w:themeFill="background1" w:themeFillShade="D9"/>
          </w:tcPr>
          <w:p w14:paraId="08695FA3">
            <w:pPr>
              <w:spacing w:line="240" w:lineRule="auto"/>
              <w:rPr>
                <w:rFonts w:ascii="Times New Roman" w:hAnsi="Times New Roman"/>
              </w:rPr>
            </w:pPr>
          </w:p>
        </w:tc>
      </w:tr>
      <w:tr w14:paraId="1869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 w:hRule="atLeast"/>
          <w:jc w:val="center"/>
        </w:trPr>
        <w:tc>
          <w:tcPr>
            <w:tcW w:w="421" w:type="dxa"/>
            <w:vAlign w:val="center"/>
          </w:tcPr>
          <w:p w14:paraId="4139FADD">
            <w:pPr>
              <w:spacing w:line="240" w:lineRule="auto"/>
              <w:jc w:val="center"/>
              <w:rPr>
                <w:rFonts w:ascii="Times New Roman" w:hAnsi="Times New Roman"/>
              </w:rPr>
            </w:pPr>
            <w:r>
              <w:rPr>
                <w:rFonts w:ascii="Times New Roman" w:hAnsi="Times New Roman"/>
              </w:rPr>
              <w:t>6-1</w:t>
            </w:r>
          </w:p>
        </w:tc>
        <w:tc>
          <w:tcPr>
            <w:tcW w:w="1809" w:type="dxa"/>
            <w:vAlign w:val="center"/>
          </w:tcPr>
          <w:p w14:paraId="6859BE5C">
            <w:pPr>
              <w:spacing w:line="240" w:lineRule="auto"/>
              <w:jc w:val="center"/>
              <w:rPr>
                <w:rFonts w:ascii="Times New Roman" w:hAnsi="Times New Roman"/>
              </w:rPr>
            </w:pPr>
            <w:r>
              <w:rPr>
                <w:rFonts w:ascii="Times New Roman" w:hAnsi="Times New Roman"/>
              </w:rPr>
              <w:t>自然共生地照片</w:t>
            </w:r>
            <w:r>
              <w:rPr>
                <w:rFonts w:ascii="Times New Roman" w:hAnsi="Times New Roman"/>
              </w:rPr>
              <w:br w:type="textWrapping"/>
            </w:r>
            <w:r>
              <w:rPr>
                <w:rFonts w:ascii="Times New Roman" w:hAnsi="Times New Roman"/>
              </w:rPr>
              <w:t>3-5张</w:t>
            </w:r>
          </w:p>
        </w:tc>
        <w:tc>
          <w:tcPr>
            <w:tcW w:w="5977" w:type="dxa"/>
            <w:gridSpan w:val="4"/>
          </w:tcPr>
          <w:p w14:paraId="55E8B39A">
            <w:pPr>
              <w:spacing w:line="240" w:lineRule="auto"/>
              <w:rPr>
                <w:rFonts w:ascii="Times New Roman" w:hAnsi="Times New Roman"/>
                <w:iCs/>
              </w:rPr>
            </w:pPr>
            <w:r>
              <w:rPr>
                <w:rFonts w:ascii="Times New Roman" w:hAnsi="Times New Roman"/>
                <w:color w:val="000000"/>
              </w:rPr>
              <w:t>请提供能呈现</w:t>
            </w:r>
            <w:r>
              <w:rPr>
                <w:rFonts w:ascii="Times New Roman" w:hAnsi="Times New Roman"/>
              </w:rPr>
              <w:t>自然共生地</w:t>
            </w:r>
            <w:r>
              <w:rPr>
                <w:rFonts w:ascii="Times New Roman" w:hAnsi="Times New Roman"/>
                <w:color w:val="000000"/>
              </w:rPr>
              <w:t>内容的3-5张照片，并</w:t>
            </w:r>
            <w:r>
              <w:rPr>
                <w:rFonts w:hint="eastAsia" w:ascii="Times New Roman" w:hAnsi="Times New Roman"/>
                <w:color w:val="000000"/>
              </w:rPr>
              <w:t>以</w:t>
            </w:r>
            <w:r>
              <w:rPr>
                <w:rFonts w:ascii="Times New Roman" w:hAnsi="Times New Roman"/>
                <w:color w:val="000000"/>
              </w:rPr>
              <w:t>内容进行命名（尽量确保清晰度），建议至少包含一张景观照、一张代表性保护物种照、一张工作照。</w:t>
            </w:r>
          </w:p>
        </w:tc>
        <w:tc>
          <w:tcPr>
            <w:tcW w:w="1711" w:type="dxa"/>
          </w:tcPr>
          <w:p w14:paraId="5B3EEF2A">
            <w:pPr>
              <w:spacing w:line="240" w:lineRule="auto"/>
              <w:rPr>
                <w:rFonts w:ascii="Times New Roman" w:hAnsi="Times New Roman"/>
              </w:rPr>
            </w:pPr>
          </w:p>
        </w:tc>
      </w:tr>
      <w:tr w14:paraId="5B8C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 w:hRule="atLeast"/>
          <w:jc w:val="center"/>
        </w:trPr>
        <w:tc>
          <w:tcPr>
            <w:tcW w:w="421" w:type="dxa"/>
            <w:vAlign w:val="center"/>
          </w:tcPr>
          <w:p w14:paraId="35511DE4">
            <w:pPr>
              <w:spacing w:line="240" w:lineRule="auto"/>
              <w:jc w:val="center"/>
              <w:rPr>
                <w:rFonts w:ascii="Times New Roman" w:hAnsi="Times New Roman"/>
              </w:rPr>
            </w:pPr>
            <w:r>
              <w:rPr>
                <w:rFonts w:ascii="Times New Roman" w:hAnsi="Times New Roman"/>
              </w:rPr>
              <w:t>6-</w:t>
            </w:r>
            <w:r>
              <w:rPr>
                <w:rFonts w:hint="eastAsia" w:ascii="Times New Roman" w:hAnsi="Times New Roman"/>
              </w:rPr>
              <w:t>2</w:t>
            </w:r>
          </w:p>
        </w:tc>
        <w:tc>
          <w:tcPr>
            <w:tcW w:w="1809" w:type="dxa"/>
            <w:vAlign w:val="center"/>
          </w:tcPr>
          <w:p w14:paraId="03F48C53">
            <w:pPr>
              <w:spacing w:line="240" w:lineRule="auto"/>
              <w:jc w:val="center"/>
              <w:rPr>
                <w:rFonts w:ascii="Times New Roman" w:hAnsi="Times New Roman"/>
              </w:rPr>
            </w:pPr>
            <w:r>
              <w:rPr>
                <w:rFonts w:ascii="Times New Roman" w:hAnsi="Times New Roman"/>
              </w:rPr>
              <w:t>其他支持性材料</w:t>
            </w:r>
          </w:p>
          <w:p w14:paraId="57B7ED1F">
            <w:pPr>
              <w:spacing w:line="240" w:lineRule="auto"/>
              <w:jc w:val="center"/>
              <w:rPr>
                <w:rFonts w:ascii="Times New Roman" w:hAnsi="Times New Roman"/>
              </w:rPr>
            </w:pPr>
            <w:r>
              <w:rPr>
                <w:rFonts w:ascii="Times New Roman" w:hAnsi="Times New Roman"/>
              </w:rPr>
              <w:t>（可提供附件）</w:t>
            </w:r>
          </w:p>
        </w:tc>
        <w:tc>
          <w:tcPr>
            <w:tcW w:w="5977" w:type="dxa"/>
            <w:gridSpan w:val="4"/>
          </w:tcPr>
          <w:p w14:paraId="4610951B">
            <w:pPr>
              <w:spacing w:line="240" w:lineRule="auto"/>
              <w:rPr>
                <w:rFonts w:ascii="Times New Roman" w:hAnsi="Times New Roman"/>
                <w:iCs/>
              </w:rPr>
            </w:pPr>
            <w:r>
              <w:rPr>
                <w:rFonts w:ascii="Times New Roman" w:hAnsi="Times New Roman"/>
                <w:color w:val="000000"/>
              </w:rPr>
              <w:t>上述问题中未涉及到的支持性材料（如有），请作为附件附于提交材料中。</w:t>
            </w:r>
          </w:p>
        </w:tc>
        <w:tc>
          <w:tcPr>
            <w:tcW w:w="1711" w:type="dxa"/>
          </w:tcPr>
          <w:p w14:paraId="0534F44B">
            <w:pPr>
              <w:spacing w:line="240" w:lineRule="auto"/>
              <w:rPr>
                <w:rFonts w:ascii="Times New Roman" w:hAnsi="Times New Roman"/>
              </w:rPr>
            </w:pPr>
          </w:p>
        </w:tc>
      </w:tr>
    </w:tbl>
    <w:p w14:paraId="3CD5FBFF">
      <w:pPr>
        <w:widowControl/>
        <w:spacing w:line="240" w:lineRule="auto"/>
        <w:jc w:val="left"/>
        <w:rPr>
          <w:rFonts w:ascii="Times New Roman" w:hAnsi="Times New Roman" w:eastAsia="仿宋"/>
        </w:rPr>
      </w:pPr>
    </w:p>
    <w:p w14:paraId="78314B29">
      <w:pPr>
        <w:widowControl/>
        <w:adjustRightInd/>
        <w:spacing w:line="240" w:lineRule="auto"/>
        <w:jc w:val="left"/>
        <w:rPr>
          <w:rFonts w:ascii="Times New Roman" w:hAnsi="Times New Roman"/>
        </w:rPr>
      </w:pPr>
      <w:r>
        <w:rPr>
          <w:rFonts w:ascii="Times New Roman" w:hAnsi="Times New Roman"/>
        </w:rPr>
        <w:br w:type="page"/>
      </w:r>
      <w:bookmarkEnd w:id="100"/>
      <w:bookmarkStart w:id="131" w:name="BookMark6"/>
    </w:p>
    <w:p w14:paraId="161D68D2">
      <w:pPr>
        <w:pStyle w:val="205"/>
        <w:spacing w:line="240" w:lineRule="auto"/>
        <w:rPr>
          <w:rFonts w:ascii="Times New Roman"/>
          <w:vanish w:val="0"/>
        </w:rPr>
      </w:pPr>
    </w:p>
    <w:p w14:paraId="014AFCC3">
      <w:pPr>
        <w:pStyle w:val="6"/>
        <w:ind w:firstLine="0" w:firstLineChars="0"/>
        <w:rPr>
          <w:rFonts w:ascii="Times New Roman"/>
        </w:rPr>
      </w:pPr>
    </w:p>
    <w:p w14:paraId="34CF685B">
      <w:pPr>
        <w:pStyle w:val="69"/>
        <w:spacing w:before="0" w:beforeLines="0" w:after="0" w:afterLines="0"/>
        <w:rPr>
          <w:rFonts w:ascii="Times New Roman" w:hAnsi="Times New Roman"/>
        </w:rPr>
      </w:pPr>
      <w:bookmarkStart w:id="132" w:name="_Toc30061"/>
      <w:r>
        <w:rPr>
          <w:rFonts w:ascii="Times New Roman" w:hAnsi="Times New Roman"/>
          <w:spacing w:val="105"/>
        </w:rPr>
        <w:t>参考文</w:t>
      </w:r>
      <w:r>
        <w:rPr>
          <w:rFonts w:ascii="Times New Roman" w:hAnsi="Times New Roman"/>
        </w:rPr>
        <w:t>献</w:t>
      </w:r>
      <w:bookmarkEnd w:id="132"/>
    </w:p>
    <w:p w14:paraId="13E348A6">
      <w:pPr>
        <w:pStyle w:val="6"/>
        <w:ind w:firstLine="420"/>
        <w:rPr>
          <w:rFonts w:ascii="Times New Roman"/>
        </w:rPr>
      </w:pPr>
    </w:p>
    <w:bookmarkEnd w:id="131"/>
    <w:p w14:paraId="1166C244">
      <w:pPr>
        <w:pStyle w:val="6"/>
        <w:numPr>
          <w:ilvl w:val="0"/>
          <w:numId w:val="40"/>
        </w:numPr>
        <w:ind w:firstLineChars="0"/>
        <w:rPr>
          <w:rFonts w:ascii="Times New Roman"/>
        </w:rPr>
      </w:pPr>
      <w:r>
        <w:rPr>
          <w:rFonts w:ascii="Times New Roman"/>
        </w:rPr>
        <w:t>GB/T 35631—2017 生物多样性观测技术导则</w:t>
      </w:r>
    </w:p>
    <w:p w14:paraId="2E375E25">
      <w:pPr>
        <w:pStyle w:val="6"/>
        <w:numPr>
          <w:ilvl w:val="0"/>
          <w:numId w:val="40"/>
        </w:numPr>
        <w:ind w:firstLineChars="0"/>
        <w:rPr>
          <w:rFonts w:ascii="Times New Roman"/>
        </w:rPr>
      </w:pPr>
      <w:r>
        <w:rPr>
          <w:rFonts w:ascii="Times New Roman"/>
        </w:rPr>
        <w:t>GB/T 24001—2016 环境管理体系要求及使用指南</w:t>
      </w:r>
    </w:p>
    <w:p w14:paraId="1D236C73">
      <w:pPr>
        <w:pStyle w:val="6"/>
        <w:numPr>
          <w:ilvl w:val="0"/>
          <w:numId w:val="40"/>
        </w:numPr>
        <w:ind w:firstLineChars="0"/>
        <w:rPr>
          <w:rFonts w:ascii="Times New Roman"/>
        </w:rPr>
      </w:pPr>
      <w:r>
        <w:rPr>
          <w:rFonts w:ascii="Times New Roman"/>
        </w:rPr>
        <w:t>GB/T 38369—2019 生态保护红线划定技术规范</w:t>
      </w:r>
    </w:p>
    <w:p w14:paraId="7304400B">
      <w:pPr>
        <w:pStyle w:val="6"/>
        <w:numPr>
          <w:ilvl w:val="0"/>
          <w:numId w:val="40"/>
        </w:numPr>
        <w:ind w:firstLineChars="0"/>
        <w:rPr>
          <w:rFonts w:ascii="Times New Roman"/>
        </w:rPr>
      </w:pPr>
      <w:r>
        <w:rPr>
          <w:rFonts w:ascii="Times New Roman"/>
        </w:rPr>
        <w:t>HJ 19－2022  环境影响评价技术导则 生态影响</w:t>
      </w:r>
    </w:p>
    <w:p w14:paraId="0519DA67">
      <w:pPr>
        <w:pStyle w:val="6"/>
        <w:numPr>
          <w:ilvl w:val="0"/>
          <w:numId w:val="40"/>
        </w:numPr>
        <w:ind w:firstLineChars="0"/>
        <w:rPr>
          <w:rFonts w:ascii="Times New Roman"/>
        </w:rPr>
      </w:pPr>
      <w:r>
        <w:rPr>
          <w:rFonts w:ascii="Times New Roman"/>
        </w:rPr>
        <w:t>HJ 1203－2021  自然保护区生态环境保护成效评估标准（试行）</w:t>
      </w:r>
    </w:p>
    <w:p w14:paraId="4BDC489B">
      <w:pPr>
        <w:pStyle w:val="6"/>
        <w:numPr>
          <w:ilvl w:val="0"/>
          <w:numId w:val="40"/>
        </w:numPr>
        <w:ind w:firstLineChars="0"/>
        <w:rPr>
          <w:rFonts w:ascii="Times New Roman"/>
        </w:rPr>
      </w:pPr>
      <w:r>
        <w:rPr>
          <w:rFonts w:ascii="Times New Roman"/>
        </w:rPr>
        <w:t>HJ 1272－2022  生态保护修复成效评估技术指南（试行）</w:t>
      </w:r>
      <w:r>
        <w:rPr>
          <w:rFonts w:ascii="Times New Roman"/>
        </w:rPr>
        <w:tab/>
      </w:r>
    </w:p>
    <w:p w14:paraId="5CDA3C12">
      <w:pPr>
        <w:pStyle w:val="6"/>
        <w:numPr>
          <w:ilvl w:val="0"/>
          <w:numId w:val="40"/>
        </w:numPr>
        <w:ind w:firstLineChars="0"/>
        <w:rPr>
          <w:rFonts w:ascii="Times New Roman"/>
        </w:rPr>
      </w:pPr>
      <w:r>
        <w:rPr>
          <w:rFonts w:ascii="Times New Roman"/>
        </w:rPr>
        <w:t>HJ 1311—2023  自然保护地生态环境调查与观测技术规范</w:t>
      </w:r>
      <w:r>
        <w:rPr>
          <w:rFonts w:ascii="Times New Roman"/>
        </w:rPr>
        <w:tab/>
      </w:r>
      <w:r>
        <w:rPr>
          <w:rFonts w:ascii="Times New Roman"/>
        </w:rPr>
        <w:tab/>
      </w:r>
    </w:p>
    <w:p w14:paraId="3B3F6F9B">
      <w:pPr>
        <w:pStyle w:val="6"/>
        <w:numPr>
          <w:ilvl w:val="0"/>
          <w:numId w:val="40"/>
        </w:numPr>
        <w:ind w:firstLineChars="0"/>
        <w:rPr>
          <w:rFonts w:ascii="Times New Roman"/>
        </w:rPr>
      </w:pPr>
      <w:r>
        <w:rPr>
          <w:rFonts w:ascii="Times New Roman"/>
        </w:rPr>
        <w:t>HJ 1141－2020  生态保护红线监管技术规范 生态状况监测（试行）</w:t>
      </w:r>
      <w:r>
        <w:rPr>
          <w:rFonts w:ascii="Times New Roman"/>
        </w:rPr>
        <w:tab/>
      </w:r>
    </w:p>
    <w:p w14:paraId="0BA96AD3">
      <w:pPr>
        <w:pStyle w:val="6"/>
        <w:numPr>
          <w:ilvl w:val="0"/>
          <w:numId w:val="40"/>
        </w:numPr>
        <w:ind w:firstLineChars="0"/>
        <w:rPr>
          <w:rFonts w:ascii="Times New Roman"/>
        </w:rPr>
      </w:pPr>
      <w:r>
        <w:rPr>
          <w:rFonts w:ascii="Times New Roman"/>
        </w:rPr>
        <w:t>HJ 1142－2020  生态保护红线监管技术规范 生态功能评价（试行）</w:t>
      </w:r>
      <w:r>
        <w:rPr>
          <w:rFonts w:ascii="Times New Roman"/>
        </w:rPr>
        <w:tab/>
      </w:r>
    </w:p>
    <w:p w14:paraId="7D73C823">
      <w:pPr>
        <w:pStyle w:val="6"/>
        <w:numPr>
          <w:ilvl w:val="0"/>
          <w:numId w:val="40"/>
        </w:numPr>
        <w:ind w:firstLineChars="0"/>
        <w:rPr>
          <w:rFonts w:ascii="Times New Roman"/>
        </w:rPr>
      </w:pPr>
      <w:r>
        <w:rPr>
          <w:rFonts w:ascii="Times New Roman"/>
        </w:rPr>
        <w:t>HJ 1143－2020  生态保护红线监管技术规范 保护成效评估（试行）</w:t>
      </w:r>
      <w:r>
        <w:rPr>
          <w:rFonts w:ascii="Times New Roman"/>
        </w:rPr>
        <w:tab/>
      </w:r>
    </w:p>
    <w:p w14:paraId="5DD1DC5A">
      <w:pPr>
        <w:pStyle w:val="6"/>
        <w:numPr>
          <w:ilvl w:val="0"/>
          <w:numId w:val="40"/>
        </w:numPr>
        <w:ind w:firstLineChars="0"/>
        <w:rPr>
          <w:rFonts w:ascii="Times New Roman"/>
        </w:rPr>
      </w:pPr>
      <w:r>
        <w:rPr>
          <w:rFonts w:ascii="Times New Roman"/>
        </w:rPr>
        <w:t>生物多样性公约缔约方大会第十四次会议.第14/8号决议：保护区和其他有效区域保护措施 [Z]. 2018.</w:t>
      </w:r>
    </w:p>
    <w:p w14:paraId="56FF496D">
      <w:pPr>
        <w:pStyle w:val="6"/>
        <w:numPr>
          <w:ilvl w:val="0"/>
          <w:numId w:val="40"/>
        </w:numPr>
        <w:ind w:firstLineChars="0"/>
        <w:rPr>
          <w:rFonts w:ascii="Times New Roman"/>
        </w:rPr>
      </w:pPr>
      <w:r>
        <w:rPr>
          <w:rFonts w:ascii="Times New Roman"/>
        </w:rPr>
        <w:t>生物多样性公约缔约方大会第十五次会议. 第15/4号决议：昆明—蒙特利尔全球生物多样性框架 [Z]. 2022.</w:t>
      </w:r>
    </w:p>
    <w:p w14:paraId="1AB0C78C">
      <w:pPr>
        <w:pStyle w:val="6"/>
        <w:numPr>
          <w:ilvl w:val="0"/>
          <w:numId w:val="40"/>
        </w:numPr>
        <w:ind w:firstLineChars="0"/>
        <w:rPr>
          <w:rFonts w:ascii="Times New Roman"/>
        </w:rPr>
      </w:pPr>
      <w:r>
        <w:rPr>
          <w:rFonts w:ascii="Times New Roman"/>
        </w:rPr>
        <w:t>IUCN WCPA. 其他有效的区域保护措施识别与报告指南 [R]. 2019.</w:t>
      </w:r>
    </w:p>
    <w:p w14:paraId="0AE3FD63">
      <w:pPr>
        <w:pStyle w:val="6"/>
        <w:numPr>
          <w:ilvl w:val="0"/>
          <w:numId w:val="40"/>
        </w:numPr>
        <w:ind w:firstLineChars="0"/>
        <w:rPr>
          <w:rFonts w:ascii="Times New Roman"/>
        </w:rPr>
      </w:pPr>
      <w:r>
        <w:rPr>
          <w:rFonts w:ascii="Times New Roman"/>
        </w:rPr>
        <w:t>IUCN WCPA. 其他有效的区域保护措施（OECMs）场地级识别工具 [R]. 2023.</w:t>
      </w:r>
    </w:p>
    <w:p w14:paraId="677C62EE">
      <w:pPr>
        <w:pStyle w:val="6"/>
        <w:numPr>
          <w:ilvl w:val="0"/>
          <w:numId w:val="40"/>
        </w:numPr>
        <w:ind w:firstLineChars="0"/>
        <w:rPr>
          <w:rFonts w:ascii="Times New Roman"/>
        </w:rPr>
      </w:pPr>
      <w:r>
        <w:rPr>
          <w:rFonts w:ascii="Times New Roman"/>
        </w:rPr>
        <w:t>IUCN. 识别其他有效的区域保护措施：基于中国情境的评估工具建议 [R]. 2025.</w:t>
      </w:r>
    </w:p>
    <w:p w14:paraId="29EC257F">
      <w:pPr>
        <w:pStyle w:val="6"/>
        <w:numPr>
          <w:ilvl w:val="0"/>
          <w:numId w:val="40"/>
        </w:numPr>
        <w:ind w:firstLineChars="0"/>
        <w:rPr>
          <w:rFonts w:ascii="Times New Roman"/>
        </w:rPr>
      </w:pPr>
      <w:r>
        <w:rPr>
          <w:rFonts w:ascii="Times New Roman"/>
        </w:rPr>
        <w:t>国务院. 国土空间规划纲要（2021—2035 年）[Z]. 2022.</w:t>
      </w:r>
    </w:p>
    <w:p w14:paraId="6367353A">
      <w:pPr>
        <w:pStyle w:val="6"/>
        <w:numPr>
          <w:ilvl w:val="0"/>
          <w:numId w:val="40"/>
        </w:numPr>
        <w:ind w:firstLineChars="0"/>
        <w:rPr>
          <w:rFonts w:ascii="Times New Roman"/>
        </w:rPr>
      </w:pPr>
      <w:r>
        <w:rPr>
          <w:rFonts w:ascii="Times New Roman"/>
        </w:rPr>
        <w:t>生态环境部. 中国生物多样性保护优先区域范围 [Z]. 2015.</w:t>
      </w:r>
    </w:p>
    <w:p w14:paraId="0971E5D7">
      <w:pPr>
        <w:pStyle w:val="6"/>
        <w:numPr>
          <w:ilvl w:val="0"/>
          <w:numId w:val="40"/>
        </w:numPr>
        <w:ind w:firstLineChars="0"/>
        <w:rPr>
          <w:rFonts w:ascii="Times New Roman"/>
        </w:rPr>
      </w:pPr>
      <w:r>
        <w:rPr>
          <w:rFonts w:ascii="Times New Roman"/>
        </w:rPr>
        <w:t>国家林业和草原局 农业农村部. 国家重点保护野生动植物名录 [Z]. 2021.</w:t>
      </w:r>
    </w:p>
    <w:p w14:paraId="718B0E91">
      <w:pPr>
        <w:pStyle w:val="6"/>
        <w:numPr>
          <w:ilvl w:val="0"/>
          <w:numId w:val="40"/>
        </w:numPr>
        <w:ind w:firstLineChars="0"/>
        <w:rPr>
          <w:rFonts w:ascii="Times New Roman"/>
        </w:rPr>
      </w:pPr>
      <w:r>
        <w:rPr>
          <w:rFonts w:ascii="Times New Roman"/>
        </w:rPr>
        <w:t>国家林业和草原局. 有重要生态、科学、社会价值的陆生野生动物名录 [Z]. 2023.</w:t>
      </w:r>
    </w:p>
    <w:p w14:paraId="7EBAC9FB">
      <w:pPr>
        <w:pStyle w:val="6"/>
        <w:numPr>
          <w:ilvl w:val="0"/>
          <w:numId w:val="40"/>
        </w:numPr>
        <w:ind w:firstLineChars="0"/>
        <w:rPr>
          <w:rFonts w:ascii="Times New Roman"/>
        </w:rPr>
      </w:pPr>
      <w:r>
        <w:rPr>
          <w:rFonts w:ascii="Times New Roman"/>
        </w:rPr>
        <w:t>IUCN. IUCN受威胁物种红色名录（最新版）[EB/OL]. https://www.iucnredlist.org/</w:t>
      </w:r>
    </w:p>
    <w:p w14:paraId="5EE3A562">
      <w:pPr>
        <w:pStyle w:val="6"/>
        <w:numPr>
          <w:ilvl w:val="0"/>
          <w:numId w:val="40"/>
        </w:numPr>
        <w:ind w:firstLineChars="0"/>
        <w:rPr>
          <w:rFonts w:ascii="Times New Roman"/>
        </w:rPr>
      </w:pPr>
      <w:r>
        <w:rPr>
          <w:rFonts w:ascii="Times New Roman"/>
        </w:rPr>
        <w:t xml:space="preserve">IUCN. IUCN受威胁生态系统红色名录（最新版）[EB/OL]. </w:t>
      </w:r>
      <w:r>
        <w:fldChar w:fldCharType="begin"/>
      </w:r>
      <w:r>
        <w:instrText xml:space="preserve"> HYPERLINK "https://www.iucn.org/theme/ecosystem-management/our-work/red-list-ecosystems" </w:instrText>
      </w:r>
      <w:r>
        <w:fldChar w:fldCharType="separate"/>
      </w:r>
      <w:r>
        <w:rPr>
          <w:rStyle w:val="38"/>
          <w:rFonts w:ascii="Times New Roman"/>
        </w:rPr>
        <w:t>https://www.iucn.org/theme/ecosystem-management/our-work/red-list-ecosystems</w:t>
      </w:r>
      <w:r>
        <w:rPr>
          <w:rStyle w:val="38"/>
          <w:rFonts w:ascii="Times New Roman"/>
        </w:rPr>
        <w:fldChar w:fldCharType="end"/>
      </w:r>
    </w:p>
    <w:p w14:paraId="5E4C7C89">
      <w:pPr>
        <w:pStyle w:val="6"/>
        <w:numPr>
          <w:ilvl w:val="0"/>
          <w:numId w:val="40"/>
        </w:numPr>
        <w:ind w:firstLineChars="0"/>
        <w:rPr>
          <w:rFonts w:ascii="Times New Roman"/>
        </w:rPr>
      </w:pPr>
      <w:r>
        <w:rPr>
          <w:rFonts w:ascii="Times New Roman"/>
        </w:rPr>
        <w:t>国家林业和草原局. 陆生野生动物重要栖息地名录 (第一批)[Z]. 2021.</w:t>
      </w:r>
    </w:p>
    <w:p w14:paraId="37528F1A">
      <w:pPr>
        <w:pStyle w:val="6"/>
        <w:numPr>
          <w:ilvl w:val="0"/>
          <w:numId w:val="40"/>
        </w:numPr>
        <w:ind w:firstLineChars="0"/>
        <w:rPr>
          <w:rFonts w:ascii="Times New Roman"/>
        </w:rPr>
      </w:pPr>
      <w:r>
        <w:rPr>
          <w:rFonts w:ascii="Times New Roman"/>
        </w:rPr>
        <w:t>农业农村部. 国家重点保护中国水生野生动物重要栖息地名录 [Z]. 2018.</w:t>
      </w:r>
    </w:p>
    <w:p w14:paraId="7548B188">
      <w:pPr>
        <w:pStyle w:val="6"/>
        <w:numPr>
          <w:ilvl w:val="0"/>
          <w:numId w:val="40"/>
        </w:numPr>
        <w:ind w:firstLineChars="0"/>
        <w:rPr>
          <w:rFonts w:ascii="Times New Roman"/>
        </w:rPr>
      </w:pPr>
      <w:r>
        <w:rPr>
          <w:rFonts w:ascii="Times New Roman"/>
        </w:rPr>
        <w:t>IUCN. 生物多样性关键区全球标准（第1.2版）[R]. 2022.</w:t>
      </w:r>
    </w:p>
    <w:p w14:paraId="00CFAD7D">
      <w:pPr>
        <w:pStyle w:val="6"/>
        <w:numPr>
          <w:ilvl w:val="0"/>
          <w:numId w:val="40"/>
        </w:numPr>
        <w:ind w:firstLineChars="0"/>
        <w:rPr>
          <w:rFonts w:ascii="Times New Roman"/>
        </w:rPr>
      </w:pPr>
      <w:r>
        <w:rPr>
          <w:rFonts w:hint="eastAsia" w:ascii="Times New Roman"/>
        </w:rPr>
        <w:t>生态环境部</w:t>
      </w:r>
      <w:bookmarkStart w:id="133" w:name="OLE_LINK51"/>
      <w:r>
        <w:rPr>
          <w:rFonts w:hint="eastAsia" w:ascii="Times New Roman"/>
        </w:rPr>
        <w:t>. 中国生物多样性保护战略与行动计划</w:t>
      </w:r>
      <w:bookmarkEnd w:id="133"/>
      <w:r>
        <w:rPr>
          <w:rFonts w:hint="eastAsia" w:ascii="Times New Roman"/>
        </w:rPr>
        <w:t xml:space="preserve"> (2023—2030 年)[R]. 2024.</w:t>
      </w:r>
    </w:p>
    <w:p w14:paraId="3A3F4A49">
      <w:pPr>
        <w:pStyle w:val="6"/>
        <w:numPr>
          <w:ilvl w:val="0"/>
          <w:numId w:val="40"/>
        </w:numPr>
        <w:ind w:firstLineChars="0"/>
        <w:rPr>
          <w:rFonts w:ascii="Times New Roman"/>
        </w:rPr>
      </w:pPr>
      <w:r>
        <w:rPr>
          <w:rFonts w:hint="eastAsia" w:ascii="Times New Roman"/>
        </w:rPr>
        <w:t>生态环境部. 中国履行《生物多样性公约》第七次国家报告 [R/OL]. 2026.</w:t>
      </w:r>
    </w:p>
    <w:p w14:paraId="29119D00">
      <w:pPr>
        <w:pStyle w:val="6"/>
        <w:ind w:firstLine="420"/>
        <w:rPr>
          <w:rFonts w:ascii="Times New Roman"/>
        </w:rPr>
      </w:pPr>
    </w:p>
    <w:p w14:paraId="23C0DD12">
      <w:pPr>
        <w:pStyle w:val="6"/>
        <w:ind w:firstLine="0" w:firstLineChars="0"/>
        <w:jc w:val="center"/>
        <w:rPr>
          <w:rFonts w:ascii="Times New Roman"/>
        </w:rPr>
      </w:pPr>
      <w:bookmarkStart w:id="134" w:name="BookMark8"/>
      <w:r>
        <w:rPr>
          <w:rFonts w:ascii="Times New Roman"/>
        </w:rPr>
        <w:drawing>
          <wp:inline distT="0" distB="0" distL="0" distR="0">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3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34"/>
    </w:p>
    <w:sectPr>
      <w:headerReference r:id="rId25" w:type="default"/>
      <w:footerReference r:id="rId27" w:type="default"/>
      <w:headerReference r:id="rId26" w:type="even"/>
      <w:footerReference r:id="rId28" w:type="even"/>
      <w:pgSz w:w="11906" w:h="16838"/>
      <w:pgMar w:top="2410"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40378">
    <w:pPr>
      <w:pStyle w:val="20"/>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0E527">
    <w:pPr>
      <w:pStyle w:val="58"/>
    </w:pPr>
    <w:r>
      <w:fldChar w:fldCharType="begin"/>
    </w:r>
    <w:r>
      <w:instrText xml:space="preserve"> PAGE   \* MERGEFORMAT \* MERGEFORMAT </w:instrText>
    </w:r>
    <w:r>
      <w:fldChar w:fldCharType="separate"/>
    </w:r>
    <w:r>
      <w:t>3</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CEA85">
    <w:pPr>
      <w:pStyle w:val="59"/>
    </w:pPr>
    <w:r>
      <w:fldChar w:fldCharType="begin"/>
    </w:r>
    <w:r>
      <w:instrText xml:space="preserve">PAGE   \* MERGEFORMAT</w:instrText>
    </w:r>
    <w:r>
      <w:fldChar w:fldCharType="separate"/>
    </w:r>
    <w:r>
      <w:rPr>
        <w:lang w:val="zh-CN"/>
      </w:rPr>
      <w:t>5</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2D6EB">
    <w:pPr>
      <w:pStyle w:val="58"/>
    </w:pPr>
    <w:r>
      <w:fldChar w:fldCharType="begin"/>
    </w:r>
    <w:r>
      <w:instrText xml:space="preserve"> PAGE   \* MERGEFORMAT \* MERGEFORMAT </w:instrText>
    </w:r>
    <w:r>
      <w:fldChar w:fldCharType="separate"/>
    </w:r>
    <w: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B0B3F">
    <w:pPr>
      <w:pStyle w:val="20"/>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3D181">
    <w:pPr>
      <w:pStyle w:val="59"/>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A28D3">
    <w:pPr>
      <w:pStyle w:val="58"/>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F0C11">
    <w:pPr>
      <w:pStyle w:val="59"/>
    </w:pPr>
    <w:r>
      <w:fldChar w:fldCharType="begin"/>
    </w:r>
    <w:r>
      <w:instrText xml:space="preserve">PAGE   \* MERGEFORMAT</w:instrText>
    </w:r>
    <w:r>
      <w:fldChar w:fldCharType="separate"/>
    </w:r>
    <w:r>
      <w:rPr>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00F5F">
    <w:pPr>
      <w:pStyle w:val="58"/>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AC721">
    <w:pPr>
      <w:pStyle w:val="59"/>
    </w:pPr>
    <w:r>
      <w:fldChar w:fldCharType="begin"/>
    </w:r>
    <w:r>
      <w:instrText xml:space="preserve">PAGE   \* MERGEFORMAT</w:instrText>
    </w:r>
    <w:r>
      <w:fldChar w:fldCharType="separate"/>
    </w:r>
    <w:r>
      <w:rPr>
        <w:lang w:val="zh-CN"/>
      </w:rPr>
      <w:t>III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FE237">
    <w:pPr>
      <w:pStyle w:val="58"/>
    </w:pPr>
    <w:r>
      <w:fldChar w:fldCharType="begin"/>
    </w:r>
    <w:r>
      <w:instrText xml:space="preserve"> PAGE   \* MERGEFORMAT \* MERGEFORMAT </w:instrText>
    </w:r>
    <w:r>
      <w:fldChar w:fldCharType="separate"/>
    </w:r>
    <w:r>
      <w:t>II</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C2DB6">
    <w:pPr>
      <w:pStyle w:val="59"/>
    </w:pPr>
    <w:r>
      <w:fldChar w:fldCharType="begin"/>
    </w:r>
    <w:r>
      <w:instrText xml:space="preserve">PAGE   \* MERGEFORMAT</w:instrText>
    </w:r>
    <w:r>
      <w:fldChar w:fldCharType="separate"/>
    </w:r>
    <w:r>
      <w:rPr>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6D6AE">
    <w:pPr>
      <w:pStyle w:val="21"/>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DFB3A">
    <w:pPr>
      <w:pStyle w:val="68"/>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D7385">
    <w:pPr>
      <w:pStyle w:val="67"/>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55484">
    <w:pPr>
      <w:pStyle w:val="68"/>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A0892">
    <w:pPr>
      <w:pStyle w:val="21"/>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4AA5E">
    <w:pPr>
      <w:pStyle w:val="67"/>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82BD7">
    <w:pPr>
      <w:pStyle w:val="68"/>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3DD67">
    <w:pPr>
      <w:pStyle w:val="67"/>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36119">
    <w:pPr>
      <w:pStyle w:val="68"/>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81DFA">
    <w:pPr>
      <w:pStyle w:val="67"/>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E63C7">
    <w:pPr>
      <w:pStyle w:val="68"/>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7F152">
    <w:pPr>
      <w:pStyle w:val="67"/>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70"/>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5"/>
      <w:suff w:val="nothing"/>
      <w:lvlText w:val="%1%2.%3　"/>
      <w:lvlJc w:val="left"/>
      <w:pPr>
        <w:ind w:left="0" w:firstLine="0"/>
      </w:pPr>
    </w:lvl>
    <w:lvl w:ilvl="3" w:tentative="0">
      <w:start w:val="1"/>
      <w:numFmt w:val="decimal"/>
      <w:pStyle w:val="124"/>
      <w:suff w:val="nothing"/>
      <w:lvlText w:val="%1%2.%3.%4　"/>
      <w:lvlJc w:val="left"/>
      <w:pPr>
        <w:ind w:left="0" w:firstLine="0"/>
      </w:pPr>
    </w:lvl>
    <w:lvl w:ilvl="4" w:tentative="0">
      <w:start w:val="1"/>
      <w:numFmt w:val="decimal"/>
      <w:pStyle w:val="159"/>
      <w:suff w:val="nothing"/>
      <w:lvlText w:val="%1%2.%3.%4.%5　"/>
      <w:lvlJc w:val="left"/>
      <w:pPr>
        <w:ind w:left="0" w:firstLine="0"/>
      </w:pPr>
    </w:lvl>
    <w:lvl w:ilvl="5" w:tentative="0">
      <w:start w:val="1"/>
      <w:numFmt w:val="decimal"/>
      <w:pStyle w:val="161"/>
      <w:suff w:val="nothing"/>
      <w:lvlText w:val="%1%2.%3.%4.%5.%6　"/>
      <w:lvlJc w:val="left"/>
      <w:pPr>
        <w:ind w:left="0" w:firstLine="0"/>
      </w:pPr>
    </w:lvl>
    <w:lvl w:ilvl="6" w:tentative="0">
      <w:start w:val="1"/>
      <w:numFmt w:val="decimal"/>
      <w:pStyle w:val="164"/>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6"/>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5"/>
      <w:lvlText w:val="%1"/>
      <w:lvlJc w:val="left"/>
      <w:pPr>
        <w:ind w:left="425" w:hanging="425"/>
      </w:pPr>
      <w:rPr>
        <w:rFonts w:hint="eastAsia"/>
      </w:rPr>
    </w:lvl>
    <w:lvl w:ilvl="1" w:tentative="0">
      <w:start w:val="1"/>
      <w:numFmt w:val="decimal"/>
      <w:pStyle w:val="206"/>
      <w:suff w:val="nothing"/>
      <w:lvlText w:val="%10.%2 "/>
      <w:lvlJc w:val="left"/>
      <w:pPr>
        <w:ind w:left="0" w:firstLine="0"/>
      </w:pPr>
      <w:rPr>
        <w:rFonts w:hint="eastAsia" w:ascii="黑体" w:eastAsia="黑体" w:hAnsiTheme="minorHAnsi"/>
        <w:b w:val="0"/>
        <w:i w:val="0"/>
        <w:sz w:val="21"/>
      </w:rPr>
    </w:lvl>
    <w:lvl w:ilvl="2" w:tentative="0">
      <w:start w:val="1"/>
      <w:numFmt w:val="decimal"/>
      <w:pStyle w:val="207"/>
      <w:suff w:val="nothing"/>
      <w:lvlText w:val="%10.%2.%3 "/>
      <w:lvlJc w:val="left"/>
      <w:pPr>
        <w:ind w:left="0" w:firstLine="0"/>
      </w:pPr>
      <w:rPr>
        <w:rFonts w:hint="eastAsia" w:ascii="黑体" w:eastAsia="黑体" w:hAnsiTheme="minorHAnsi"/>
        <w:b w:val="0"/>
        <w:i w:val="0"/>
        <w:sz w:val="21"/>
      </w:rPr>
    </w:lvl>
    <w:lvl w:ilvl="3" w:tentative="0">
      <w:start w:val="1"/>
      <w:numFmt w:val="decimal"/>
      <w:pStyle w:val="208"/>
      <w:suff w:val="nothing"/>
      <w:lvlText w:val="%10.%2.%3.%4 "/>
      <w:lvlJc w:val="left"/>
      <w:pPr>
        <w:ind w:left="0" w:firstLine="0"/>
      </w:pPr>
      <w:rPr>
        <w:rFonts w:hint="eastAsia" w:ascii="黑体" w:eastAsia="黑体" w:hAnsiTheme="minorHAnsi"/>
        <w:b w:val="0"/>
        <w:i w:val="0"/>
        <w:sz w:val="21"/>
      </w:rPr>
    </w:lvl>
    <w:lvl w:ilvl="4" w:tentative="0">
      <w:start w:val="1"/>
      <w:numFmt w:val="decimal"/>
      <w:pStyle w:val="209"/>
      <w:suff w:val="nothing"/>
      <w:lvlText w:val="%10.%2.%3.%4.%5 "/>
      <w:lvlJc w:val="left"/>
      <w:pPr>
        <w:ind w:left="0" w:firstLine="0"/>
      </w:pPr>
      <w:rPr>
        <w:rFonts w:hint="eastAsia" w:ascii="黑体" w:eastAsia="黑体" w:hAnsiTheme="minorHAnsi"/>
        <w:b w:val="0"/>
        <w:i w:val="0"/>
        <w:sz w:val="21"/>
      </w:rPr>
    </w:lvl>
    <w:lvl w:ilvl="5" w:tentative="0">
      <w:start w:val="1"/>
      <w:numFmt w:val="decimal"/>
      <w:pStyle w:val="210"/>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7"/>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3"/>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5"/>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6"/>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91"/>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8"/>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8"/>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3"/>
      <w:lvlText w:val=""/>
      <w:lvlJc w:val="left"/>
      <w:pPr>
        <w:ind w:left="851" w:hanging="431"/>
      </w:pPr>
      <w:rPr>
        <w:rFonts w:hint="default" w:ascii="Symbol" w:hAnsi="Symbol"/>
        <w:sz w:val="21"/>
      </w:rPr>
    </w:lvl>
    <w:lvl w:ilvl="2" w:tentative="0">
      <w:start w:val="1"/>
      <w:numFmt w:val="bullet"/>
      <w:pStyle w:val="178"/>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7"/>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34265B10"/>
    <w:multiLevelType w:val="multilevel"/>
    <w:tmpl w:val="34265B10"/>
    <w:lvl w:ilvl="0" w:tentative="0">
      <w:start w:val="1"/>
      <w:numFmt w:val="decimal"/>
      <w:lvlText w:val="[%1]"/>
      <w:lvlJc w:val="left"/>
      <w:pPr>
        <w:ind w:left="860" w:hanging="440"/>
      </w:pPr>
      <w:rPr>
        <w:rFonts w:hint="default" w:ascii="Times New Roman" w:hAnsi="Times New Roman"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44C50F90"/>
    <w:multiLevelType w:val="multilevel"/>
    <w:tmpl w:val="44C50F90"/>
    <w:lvl w:ilvl="0" w:tentative="0">
      <w:start w:val="1"/>
      <w:numFmt w:val="lowerLetter"/>
      <w:pStyle w:val="180"/>
      <w:lvlText w:val="%1)"/>
      <w:lvlJc w:val="left"/>
      <w:pPr>
        <w:tabs>
          <w:tab w:val="left" w:pos="851"/>
        </w:tabs>
        <w:ind w:left="851" w:hanging="426"/>
      </w:pPr>
      <w:rPr>
        <w:rFonts w:hint="eastAsia" w:ascii="宋体" w:hAnsi="Times New Roman" w:eastAsia="宋体"/>
        <w:sz w:val="21"/>
      </w:rPr>
    </w:lvl>
    <w:lvl w:ilvl="1" w:tentative="0">
      <w:start w:val="1"/>
      <w:numFmt w:val="decimal"/>
      <w:pStyle w:val="115"/>
      <w:lvlText w:val="%2)"/>
      <w:lvlJc w:val="left"/>
      <w:pPr>
        <w:tabs>
          <w:tab w:val="left" w:pos="1276"/>
        </w:tabs>
        <w:ind w:left="1276" w:hanging="425"/>
      </w:pPr>
      <w:rPr>
        <w:rFonts w:hint="eastAsia" w:ascii="宋体" w:hAnsi="Times New Roman" w:eastAsia="宋体"/>
        <w:sz w:val="21"/>
      </w:rPr>
    </w:lvl>
    <w:lvl w:ilvl="2" w:tentative="0">
      <w:start w:val="1"/>
      <w:numFmt w:val="decimal"/>
      <w:pStyle w:val="123"/>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846"/>
        </w:tabs>
        <w:ind w:left="845" w:hanging="419"/>
      </w:pPr>
      <w:rPr>
        <w:rFonts w:hint="eastAsia"/>
      </w:rPr>
    </w:lvl>
    <w:lvl w:ilvl="4" w:tentative="0">
      <w:start w:val="1"/>
      <w:numFmt w:val="lowerLetter"/>
      <w:lvlText w:val="%5)"/>
      <w:lvlJc w:val="left"/>
      <w:pPr>
        <w:tabs>
          <w:tab w:val="left" w:pos="1271"/>
        </w:tabs>
        <w:ind w:left="1270"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4"/>
      <w:lvlText w:val="%1"/>
      <w:lvlJc w:val="left"/>
      <w:pPr>
        <w:ind w:left="420" w:hanging="420"/>
      </w:pPr>
      <w:rPr>
        <w:rFonts w:hint="eastAsia"/>
      </w:rPr>
    </w:lvl>
    <w:lvl w:ilvl="1" w:tentative="0">
      <w:start w:val="1"/>
      <w:numFmt w:val="decimal"/>
      <w:pStyle w:val="89"/>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9"/>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2"/>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9"/>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20"/>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5"/>
      <w:suff w:val="space"/>
      <w:lvlText w:val="%1"/>
      <w:lvlJc w:val="left"/>
      <w:pPr>
        <w:ind w:left="425" w:hanging="425"/>
      </w:pPr>
      <w:rPr>
        <w:rFonts w:hint="eastAsia"/>
      </w:rPr>
    </w:lvl>
    <w:lvl w:ilvl="1" w:tentative="0">
      <w:start w:val="1"/>
      <w:numFmt w:val="decimal"/>
      <w:pStyle w:val="83"/>
      <w:suff w:val="space"/>
      <w:lvlText w:val="表%1.%2"/>
      <w:lvlJc w:val="center"/>
      <w:pPr>
        <w:ind w:left="0" w:firstLine="0"/>
      </w:pPr>
      <w:rPr>
        <w:rFonts w:hint="eastAsia" w:ascii="黑体" w:eastAsia="黑体"/>
        <w:sz w:val="21"/>
        <w:lang w:val="en-US"/>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7"/>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8"/>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5"/>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82"/>
      <w:suff w:val="nothing"/>
      <w:lvlText w:val="附录%1"/>
      <w:lvlJc w:val="left"/>
      <w:pPr>
        <w:ind w:left="3969" w:firstLine="0"/>
      </w:pPr>
      <w:rPr>
        <w:rFonts w:hint="eastAsia"/>
        <w:spacing w:val="100"/>
      </w:rPr>
    </w:lvl>
    <w:lvl w:ilvl="1" w:tentative="0">
      <w:start w:val="1"/>
      <w:numFmt w:val="decimal"/>
      <w:pStyle w:val="84"/>
      <w:suff w:val="nothing"/>
      <w:lvlText w:val="%1.%2　"/>
      <w:lvlJc w:val="left"/>
      <w:pPr>
        <w:ind w:left="142" w:firstLine="0"/>
      </w:pPr>
      <w:rPr>
        <w:rFonts w:hint="eastAsia" w:ascii="黑体" w:eastAsia="黑体"/>
        <w:b w:val="0"/>
        <w:i w:val="0"/>
        <w:sz w:val="21"/>
      </w:rPr>
    </w:lvl>
    <w:lvl w:ilvl="2" w:tentative="0">
      <w:start w:val="1"/>
      <w:numFmt w:val="decimal"/>
      <w:pStyle w:val="85"/>
      <w:suff w:val="nothing"/>
      <w:lvlText w:val="%1.%2.%3　"/>
      <w:lvlJc w:val="left"/>
      <w:pPr>
        <w:ind w:left="0" w:firstLine="0"/>
      </w:pPr>
      <w:rPr>
        <w:rFonts w:hint="eastAsia" w:ascii="黑体" w:eastAsia="黑体"/>
        <w:b w:val="0"/>
        <w:i w:val="0"/>
        <w:sz w:val="21"/>
      </w:rPr>
    </w:lvl>
    <w:lvl w:ilvl="3" w:tentative="0">
      <w:start w:val="1"/>
      <w:numFmt w:val="decimal"/>
      <w:pStyle w:val="87"/>
      <w:suff w:val="nothing"/>
      <w:lvlText w:val="%1.%2.%3.%4　"/>
      <w:lvlJc w:val="left"/>
      <w:pPr>
        <w:ind w:left="0" w:firstLine="0"/>
      </w:pPr>
      <w:rPr>
        <w:rFonts w:hint="eastAsia" w:ascii="黑体" w:eastAsia="黑体"/>
        <w:b w:val="0"/>
        <w:i w:val="0"/>
        <w:sz w:val="21"/>
      </w:rPr>
    </w:lvl>
    <w:lvl w:ilvl="4" w:tentative="0">
      <w:start w:val="1"/>
      <w:numFmt w:val="decimal"/>
      <w:pStyle w:val="88"/>
      <w:suff w:val="nothing"/>
      <w:lvlText w:val="%1.%2.%3.%4.%5　"/>
      <w:lvlJc w:val="left"/>
      <w:pPr>
        <w:ind w:left="0" w:firstLine="0"/>
      </w:pPr>
      <w:rPr>
        <w:rFonts w:hint="eastAsia" w:ascii="黑体" w:eastAsia="黑体"/>
        <w:b w:val="0"/>
        <w:i w:val="0"/>
        <w:sz w:val="21"/>
      </w:rPr>
    </w:lvl>
    <w:lvl w:ilvl="5" w:tentative="0">
      <w:start w:val="1"/>
      <w:numFmt w:val="decimal"/>
      <w:pStyle w:val="90"/>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4"/>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3"/>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9"/>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8"/>
      <w:suff w:val="nothing"/>
      <w:lvlText w:val="%1"/>
      <w:lvlJc w:val="left"/>
      <w:pPr>
        <w:ind w:left="0" w:firstLine="0"/>
      </w:pPr>
      <w:rPr>
        <w:rFonts w:hint="eastAsia"/>
      </w:rPr>
    </w:lvl>
    <w:lvl w:ilvl="1" w:tentative="0">
      <w:start w:val="1"/>
      <w:numFmt w:val="decimal"/>
      <w:pStyle w:val="110"/>
      <w:suff w:val="nothing"/>
      <w:lvlText w:val="%1%2　"/>
      <w:lvlJc w:val="left"/>
      <w:pPr>
        <w:ind w:left="0" w:firstLine="0"/>
      </w:pPr>
      <w:rPr>
        <w:rFonts w:hint="eastAsia" w:ascii="黑体" w:eastAsia="黑体"/>
        <w:b w:val="0"/>
        <w:i w:val="0"/>
        <w:sz w:val="21"/>
      </w:rPr>
    </w:lvl>
    <w:lvl w:ilvl="2" w:tentative="0">
      <w:start w:val="1"/>
      <w:numFmt w:val="decimal"/>
      <w:pStyle w:val="111"/>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1"/>
      <w:suff w:val="nothing"/>
      <w:lvlText w:val="%1%2.%3.%4　"/>
      <w:lvlJc w:val="left"/>
      <w:pPr>
        <w:ind w:left="0" w:firstLine="0"/>
      </w:pPr>
      <w:rPr>
        <w:rFonts w:hint="eastAsia" w:ascii="黑体" w:eastAsia="黑体"/>
        <w:b w:val="0"/>
        <w:i w:val="0"/>
        <w:sz w:val="21"/>
      </w:rPr>
    </w:lvl>
    <w:lvl w:ilvl="4" w:tentative="0">
      <w:start w:val="1"/>
      <w:numFmt w:val="decimal"/>
      <w:pStyle w:val="100"/>
      <w:suff w:val="nothing"/>
      <w:lvlText w:val="%1%2.%3.%4.%5　"/>
      <w:lvlJc w:val="left"/>
      <w:pPr>
        <w:ind w:left="0" w:firstLine="0"/>
      </w:pPr>
      <w:rPr>
        <w:rFonts w:hint="eastAsia" w:ascii="黑体" w:eastAsia="黑体"/>
        <w:b w:val="0"/>
        <w:i w:val="0"/>
        <w:sz w:val="21"/>
      </w:rPr>
    </w:lvl>
    <w:lvl w:ilvl="5" w:tentative="0">
      <w:start w:val="1"/>
      <w:numFmt w:val="decimal"/>
      <w:pStyle w:val="104"/>
      <w:suff w:val="nothing"/>
      <w:lvlText w:val="%1%2.%3.%4.%5.%6　"/>
      <w:lvlJc w:val="left"/>
      <w:pPr>
        <w:ind w:left="0" w:firstLine="0"/>
      </w:pPr>
      <w:rPr>
        <w:rFonts w:hint="eastAsia" w:ascii="黑体" w:eastAsia="黑体"/>
        <w:b w:val="0"/>
        <w:i w:val="0"/>
        <w:sz w:val="21"/>
      </w:rPr>
    </w:lvl>
    <w:lvl w:ilvl="6" w:tentative="0">
      <w:start w:val="1"/>
      <w:numFmt w:val="decimal"/>
      <w:pStyle w:val="109"/>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21"/>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5"/>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1"/>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0"/>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bordersDoNotSurroundHeader w:val="1"/>
  <w:bordersDoNotSurroundFooter w:val="1"/>
  <w:attachedTemplate r:id="rId1"/>
  <w:documentProtection w:edit="forms"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MWU4NjE2ZThjZWFmNTIyNjY1N2Y2MGM4NGU0YzgifQ=="/>
  </w:docVars>
  <w:rsids>
    <w:rsidRoot w:val="007C0375"/>
    <w:rsid w:val="0000040A"/>
    <w:rsid w:val="00000A94"/>
    <w:rsid w:val="0000156E"/>
    <w:rsid w:val="00001972"/>
    <w:rsid w:val="00001D9A"/>
    <w:rsid w:val="00004A1B"/>
    <w:rsid w:val="00007B3A"/>
    <w:rsid w:val="000107E0"/>
    <w:rsid w:val="00011FDE"/>
    <w:rsid w:val="00012F5E"/>
    <w:rsid w:val="00012FFD"/>
    <w:rsid w:val="00014162"/>
    <w:rsid w:val="00014340"/>
    <w:rsid w:val="00014C2C"/>
    <w:rsid w:val="0001620A"/>
    <w:rsid w:val="00016A9C"/>
    <w:rsid w:val="000215EA"/>
    <w:rsid w:val="00022184"/>
    <w:rsid w:val="00022762"/>
    <w:rsid w:val="0002354B"/>
    <w:rsid w:val="000238E0"/>
    <w:rsid w:val="00024400"/>
    <w:rsid w:val="0002495F"/>
    <w:rsid w:val="000249DB"/>
    <w:rsid w:val="0002595E"/>
    <w:rsid w:val="000303C3"/>
    <w:rsid w:val="00031728"/>
    <w:rsid w:val="000331D3"/>
    <w:rsid w:val="000346A5"/>
    <w:rsid w:val="00034E2A"/>
    <w:rsid w:val="000359C3"/>
    <w:rsid w:val="00035A7D"/>
    <w:rsid w:val="000365ED"/>
    <w:rsid w:val="0004249A"/>
    <w:rsid w:val="00042ACA"/>
    <w:rsid w:val="00043282"/>
    <w:rsid w:val="00044286"/>
    <w:rsid w:val="00047F28"/>
    <w:rsid w:val="000503AA"/>
    <w:rsid w:val="000506A1"/>
    <w:rsid w:val="000515DD"/>
    <w:rsid w:val="000519A0"/>
    <w:rsid w:val="0005265A"/>
    <w:rsid w:val="000539DD"/>
    <w:rsid w:val="000539F7"/>
    <w:rsid w:val="00053BD3"/>
    <w:rsid w:val="000556ED"/>
    <w:rsid w:val="00055FE2"/>
    <w:rsid w:val="0005616F"/>
    <w:rsid w:val="00060C2E"/>
    <w:rsid w:val="00061033"/>
    <w:rsid w:val="000619E9"/>
    <w:rsid w:val="000622D4"/>
    <w:rsid w:val="0006357D"/>
    <w:rsid w:val="00067F1E"/>
    <w:rsid w:val="00071CC0"/>
    <w:rsid w:val="00071CFC"/>
    <w:rsid w:val="00072B0A"/>
    <w:rsid w:val="00073C8C"/>
    <w:rsid w:val="00077829"/>
    <w:rsid w:val="00077B64"/>
    <w:rsid w:val="00080A1C"/>
    <w:rsid w:val="00082317"/>
    <w:rsid w:val="00083D2C"/>
    <w:rsid w:val="00086AA1"/>
    <w:rsid w:val="00087A77"/>
    <w:rsid w:val="00090CA6"/>
    <w:rsid w:val="00092B8A"/>
    <w:rsid w:val="00092D82"/>
    <w:rsid w:val="00092FB0"/>
    <w:rsid w:val="000934C5"/>
    <w:rsid w:val="00093D25"/>
    <w:rsid w:val="00093DAB"/>
    <w:rsid w:val="00094D73"/>
    <w:rsid w:val="00095215"/>
    <w:rsid w:val="00096D63"/>
    <w:rsid w:val="000A0B60"/>
    <w:rsid w:val="000A0EB8"/>
    <w:rsid w:val="000A19FC"/>
    <w:rsid w:val="000A296B"/>
    <w:rsid w:val="000A4877"/>
    <w:rsid w:val="000A7311"/>
    <w:rsid w:val="000B060F"/>
    <w:rsid w:val="000B1592"/>
    <w:rsid w:val="000B1FF2"/>
    <w:rsid w:val="000B3CDA"/>
    <w:rsid w:val="000B6A0B"/>
    <w:rsid w:val="000C0F6C"/>
    <w:rsid w:val="000C11DB"/>
    <w:rsid w:val="000C1492"/>
    <w:rsid w:val="000C2FBD"/>
    <w:rsid w:val="000C4B41"/>
    <w:rsid w:val="000C57D6"/>
    <w:rsid w:val="000C6362"/>
    <w:rsid w:val="000C646A"/>
    <w:rsid w:val="000C7666"/>
    <w:rsid w:val="000D0A9C"/>
    <w:rsid w:val="000D1795"/>
    <w:rsid w:val="000D3151"/>
    <w:rsid w:val="000D329A"/>
    <w:rsid w:val="000D3FBD"/>
    <w:rsid w:val="000D4B9C"/>
    <w:rsid w:val="000D4EB6"/>
    <w:rsid w:val="000D57F3"/>
    <w:rsid w:val="000D753B"/>
    <w:rsid w:val="000E4C9E"/>
    <w:rsid w:val="000E55A5"/>
    <w:rsid w:val="000E6FD7"/>
    <w:rsid w:val="000E7CD7"/>
    <w:rsid w:val="000F06E1"/>
    <w:rsid w:val="000F0E3C"/>
    <w:rsid w:val="000F19D5"/>
    <w:rsid w:val="000F4050"/>
    <w:rsid w:val="000F4AEA"/>
    <w:rsid w:val="000F5F3B"/>
    <w:rsid w:val="000F67E9"/>
    <w:rsid w:val="000F6DDE"/>
    <w:rsid w:val="000F7E24"/>
    <w:rsid w:val="00102AB0"/>
    <w:rsid w:val="00104926"/>
    <w:rsid w:val="00112C66"/>
    <w:rsid w:val="00113B1E"/>
    <w:rsid w:val="0011711C"/>
    <w:rsid w:val="00122155"/>
    <w:rsid w:val="00124E4F"/>
    <w:rsid w:val="0012595E"/>
    <w:rsid w:val="001260B7"/>
    <w:rsid w:val="001265CB"/>
    <w:rsid w:val="00130E72"/>
    <w:rsid w:val="001318A1"/>
    <w:rsid w:val="001321C6"/>
    <w:rsid w:val="001325C4"/>
    <w:rsid w:val="00133010"/>
    <w:rsid w:val="001338EE"/>
    <w:rsid w:val="00133AAE"/>
    <w:rsid w:val="00135323"/>
    <w:rsid w:val="001356C4"/>
    <w:rsid w:val="00137565"/>
    <w:rsid w:val="00137C0A"/>
    <w:rsid w:val="001409A4"/>
    <w:rsid w:val="00141114"/>
    <w:rsid w:val="00141B06"/>
    <w:rsid w:val="00142969"/>
    <w:rsid w:val="00142EDA"/>
    <w:rsid w:val="001446C2"/>
    <w:rsid w:val="001457E7"/>
    <w:rsid w:val="00145D9D"/>
    <w:rsid w:val="00146388"/>
    <w:rsid w:val="00147793"/>
    <w:rsid w:val="001511AA"/>
    <w:rsid w:val="001529E5"/>
    <w:rsid w:val="00152FB3"/>
    <w:rsid w:val="00153C7E"/>
    <w:rsid w:val="00156B25"/>
    <w:rsid w:val="00156E1A"/>
    <w:rsid w:val="00157427"/>
    <w:rsid w:val="00157894"/>
    <w:rsid w:val="00157B55"/>
    <w:rsid w:val="00160831"/>
    <w:rsid w:val="001642FA"/>
    <w:rsid w:val="001649EB"/>
    <w:rsid w:val="00164BAF"/>
    <w:rsid w:val="00164FA8"/>
    <w:rsid w:val="0016505C"/>
    <w:rsid w:val="00165065"/>
    <w:rsid w:val="00165434"/>
    <w:rsid w:val="0016580B"/>
    <w:rsid w:val="00165F49"/>
    <w:rsid w:val="0016675A"/>
    <w:rsid w:val="00166B88"/>
    <w:rsid w:val="0016770A"/>
    <w:rsid w:val="00170804"/>
    <w:rsid w:val="001708E9"/>
    <w:rsid w:val="00170E47"/>
    <w:rsid w:val="0017340B"/>
    <w:rsid w:val="00173FB1"/>
    <w:rsid w:val="00176DFD"/>
    <w:rsid w:val="0018190A"/>
    <w:rsid w:val="00183F85"/>
    <w:rsid w:val="00184A39"/>
    <w:rsid w:val="001852C9"/>
    <w:rsid w:val="00187A0B"/>
    <w:rsid w:val="00190087"/>
    <w:rsid w:val="00190C0A"/>
    <w:rsid w:val="001913C4"/>
    <w:rsid w:val="00191424"/>
    <w:rsid w:val="0019348F"/>
    <w:rsid w:val="00193A07"/>
    <w:rsid w:val="001946A1"/>
    <w:rsid w:val="00194C95"/>
    <w:rsid w:val="00195C34"/>
    <w:rsid w:val="00196EF5"/>
    <w:rsid w:val="001A1A53"/>
    <w:rsid w:val="001A234A"/>
    <w:rsid w:val="001A4CF3"/>
    <w:rsid w:val="001A6696"/>
    <w:rsid w:val="001A788D"/>
    <w:rsid w:val="001B06E8"/>
    <w:rsid w:val="001B0B14"/>
    <w:rsid w:val="001B37A3"/>
    <w:rsid w:val="001B71D0"/>
    <w:rsid w:val="001B71EE"/>
    <w:rsid w:val="001B780F"/>
    <w:rsid w:val="001C04A8"/>
    <w:rsid w:val="001C1B06"/>
    <w:rsid w:val="001C2C03"/>
    <w:rsid w:val="001C42F7"/>
    <w:rsid w:val="001C49E5"/>
    <w:rsid w:val="001C6587"/>
    <w:rsid w:val="001C680C"/>
    <w:rsid w:val="001C748B"/>
    <w:rsid w:val="001C7FEA"/>
    <w:rsid w:val="001D0499"/>
    <w:rsid w:val="001D0BBE"/>
    <w:rsid w:val="001D0ED4"/>
    <w:rsid w:val="001D212F"/>
    <w:rsid w:val="001D29D7"/>
    <w:rsid w:val="001D2DE7"/>
    <w:rsid w:val="001D2FDE"/>
    <w:rsid w:val="001D411C"/>
    <w:rsid w:val="001D5C99"/>
    <w:rsid w:val="001D73D1"/>
    <w:rsid w:val="001E1B6A"/>
    <w:rsid w:val="001E2484"/>
    <w:rsid w:val="001E381B"/>
    <w:rsid w:val="001E3CC4"/>
    <w:rsid w:val="001E4882"/>
    <w:rsid w:val="001E53A1"/>
    <w:rsid w:val="001E731D"/>
    <w:rsid w:val="001E73AB"/>
    <w:rsid w:val="001F092D"/>
    <w:rsid w:val="001F143A"/>
    <w:rsid w:val="001F1605"/>
    <w:rsid w:val="001F2508"/>
    <w:rsid w:val="001F4816"/>
    <w:rsid w:val="001F4BEF"/>
    <w:rsid w:val="001F6615"/>
    <w:rsid w:val="001F66F5"/>
    <w:rsid w:val="001F69B4"/>
    <w:rsid w:val="001F77C7"/>
    <w:rsid w:val="00200183"/>
    <w:rsid w:val="00200333"/>
    <w:rsid w:val="0020107D"/>
    <w:rsid w:val="00202AA4"/>
    <w:rsid w:val="002031F7"/>
    <w:rsid w:val="002040E6"/>
    <w:rsid w:val="002046F5"/>
    <w:rsid w:val="0020527B"/>
    <w:rsid w:val="00205F2C"/>
    <w:rsid w:val="00210B15"/>
    <w:rsid w:val="00211853"/>
    <w:rsid w:val="0021305C"/>
    <w:rsid w:val="002142EA"/>
    <w:rsid w:val="00214A5C"/>
    <w:rsid w:val="00215ADD"/>
    <w:rsid w:val="00216FB2"/>
    <w:rsid w:val="00217CFE"/>
    <w:rsid w:val="002204BB"/>
    <w:rsid w:val="00221ACA"/>
    <w:rsid w:val="00221B79"/>
    <w:rsid w:val="00221C6B"/>
    <w:rsid w:val="002234DA"/>
    <w:rsid w:val="00224870"/>
    <w:rsid w:val="002253A1"/>
    <w:rsid w:val="00225CF8"/>
    <w:rsid w:val="0022794E"/>
    <w:rsid w:val="00232B75"/>
    <w:rsid w:val="002334EF"/>
    <w:rsid w:val="00233D64"/>
    <w:rsid w:val="0023482A"/>
    <w:rsid w:val="002359CB"/>
    <w:rsid w:val="0024154D"/>
    <w:rsid w:val="00243540"/>
    <w:rsid w:val="002446F3"/>
    <w:rsid w:val="0024497B"/>
    <w:rsid w:val="0024515B"/>
    <w:rsid w:val="00246021"/>
    <w:rsid w:val="0024666E"/>
    <w:rsid w:val="00247F52"/>
    <w:rsid w:val="00250B25"/>
    <w:rsid w:val="00250BBE"/>
    <w:rsid w:val="002515C2"/>
    <w:rsid w:val="0025194F"/>
    <w:rsid w:val="002527AC"/>
    <w:rsid w:val="00253AF9"/>
    <w:rsid w:val="0025467B"/>
    <w:rsid w:val="00254D85"/>
    <w:rsid w:val="00255209"/>
    <w:rsid w:val="00257A05"/>
    <w:rsid w:val="0026148A"/>
    <w:rsid w:val="00262696"/>
    <w:rsid w:val="00263D25"/>
    <w:rsid w:val="002643C3"/>
    <w:rsid w:val="00264A0C"/>
    <w:rsid w:val="00266D5A"/>
    <w:rsid w:val="00266EEB"/>
    <w:rsid w:val="00267148"/>
    <w:rsid w:val="00267EF4"/>
    <w:rsid w:val="00270CB8"/>
    <w:rsid w:val="0027231E"/>
    <w:rsid w:val="00272B08"/>
    <w:rsid w:val="00275E91"/>
    <w:rsid w:val="00281BB8"/>
    <w:rsid w:val="00281E9E"/>
    <w:rsid w:val="00282405"/>
    <w:rsid w:val="00285170"/>
    <w:rsid w:val="00285361"/>
    <w:rsid w:val="00286AE0"/>
    <w:rsid w:val="00290848"/>
    <w:rsid w:val="00290FE1"/>
    <w:rsid w:val="00292D60"/>
    <w:rsid w:val="00293B30"/>
    <w:rsid w:val="00294D34"/>
    <w:rsid w:val="00294E3B"/>
    <w:rsid w:val="00296193"/>
    <w:rsid w:val="00296C66"/>
    <w:rsid w:val="00296EBE"/>
    <w:rsid w:val="002974E3"/>
    <w:rsid w:val="002A084B"/>
    <w:rsid w:val="002A1260"/>
    <w:rsid w:val="002A1589"/>
    <w:rsid w:val="002A1608"/>
    <w:rsid w:val="002A248B"/>
    <w:rsid w:val="002A25DC"/>
    <w:rsid w:val="002A2968"/>
    <w:rsid w:val="002A30DA"/>
    <w:rsid w:val="002A3AAB"/>
    <w:rsid w:val="002A3ED0"/>
    <w:rsid w:val="002A4CEA"/>
    <w:rsid w:val="002A5977"/>
    <w:rsid w:val="002A5A13"/>
    <w:rsid w:val="002A757F"/>
    <w:rsid w:val="002A7F44"/>
    <w:rsid w:val="002B0C40"/>
    <w:rsid w:val="002B1966"/>
    <w:rsid w:val="002B372C"/>
    <w:rsid w:val="002B4508"/>
    <w:rsid w:val="002B5779"/>
    <w:rsid w:val="002B7332"/>
    <w:rsid w:val="002B7F51"/>
    <w:rsid w:val="002C09E7"/>
    <w:rsid w:val="002C1E06"/>
    <w:rsid w:val="002C3F07"/>
    <w:rsid w:val="002C5278"/>
    <w:rsid w:val="002C7EBB"/>
    <w:rsid w:val="002D06C1"/>
    <w:rsid w:val="002D2660"/>
    <w:rsid w:val="002D42B5"/>
    <w:rsid w:val="002D4F1A"/>
    <w:rsid w:val="002D6EC6"/>
    <w:rsid w:val="002D79AC"/>
    <w:rsid w:val="002E039D"/>
    <w:rsid w:val="002E254B"/>
    <w:rsid w:val="002E4D5A"/>
    <w:rsid w:val="002E6326"/>
    <w:rsid w:val="002F30E0"/>
    <w:rsid w:val="002F35E4"/>
    <w:rsid w:val="002F3730"/>
    <w:rsid w:val="002F38E1"/>
    <w:rsid w:val="002F7AF6"/>
    <w:rsid w:val="002F7BAA"/>
    <w:rsid w:val="00300E63"/>
    <w:rsid w:val="00302F5F"/>
    <w:rsid w:val="0030441D"/>
    <w:rsid w:val="003057ED"/>
    <w:rsid w:val="00306063"/>
    <w:rsid w:val="0031204E"/>
    <w:rsid w:val="00313B85"/>
    <w:rsid w:val="00317988"/>
    <w:rsid w:val="00320AFC"/>
    <w:rsid w:val="003221B4"/>
    <w:rsid w:val="0032258D"/>
    <w:rsid w:val="00322E62"/>
    <w:rsid w:val="0032321D"/>
    <w:rsid w:val="00324D13"/>
    <w:rsid w:val="00324EDD"/>
    <w:rsid w:val="00330041"/>
    <w:rsid w:val="00330A7F"/>
    <w:rsid w:val="00331815"/>
    <w:rsid w:val="003331E4"/>
    <w:rsid w:val="00336C64"/>
    <w:rsid w:val="00337162"/>
    <w:rsid w:val="0034194F"/>
    <w:rsid w:val="00344605"/>
    <w:rsid w:val="00346E60"/>
    <w:rsid w:val="003474AA"/>
    <w:rsid w:val="00347BAE"/>
    <w:rsid w:val="00350D1D"/>
    <w:rsid w:val="00352C83"/>
    <w:rsid w:val="00352F1A"/>
    <w:rsid w:val="003549E5"/>
    <w:rsid w:val="00355CC4"/>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571C"/>
    <w:rsid w:val="003872FC"/>
    <w:rsid w:val="00387ADC"/>
    <w:rsid w:val="00387F42"/>
    <w:rsid w:val="00390020"/>
    <w:rsid w:val="003903D6"/>
    <w:rsid w:val="00390E5D"/>
    <w:rsid w:val="00390EE6"/>
    <w:rsid w:val="0039118F"/>
    <w:rsid w:val="0039230D"/>
    <w:rsid w:val="00392AD7"/>
    <w:rsid w:val="003938D9"/>
    <w:rsid w:val="00393C33"/>
    <w:rsid w:val="00394376"/>
    <w:rsid w:val="003943FF"/>
    <w:rsid w:val="0039571F"/>
    <w:rsid w:val="003974EB"/>
    <w:rsid w:val="00397CC5"/>
    <w:rsid w:val="003A0B93"/>
    <w:rsid w:val="003A1582"/>
    <w:rsid w:val="003A1877"/>
    <w:rsid w:val="003A3D9C"/>
    <w:rsid w:val="003A4077"/>
    <w:rsid w:val="003A4AA7"/>
    <w:rsid w:val="003A4BAC"/>
    <w:rsid w:val="003B09AD"/>
    <w:rsid w:val="003B1F18"/>
    <w:rsid w:val="003B345F"/>
    <w:rsid w:val="003B3B17"/>
    <w:rsid w:val="003B5796"/>
    <w:rsid w:val="003B5BF0"/>
    <w:rsid w:val="003B5C08"/>
    <w:rsid w:val="003B60BF"/>
    <w:rsid w:val="003B6BE3"/>
    <w:rsid w:val="003C010C"/>
    <w:rsid w:val="003C0A6C"/>
    <w:rsid w:val="003C14F8"/>
    <w:rsid w:val="003C565F"/>
    <w:rsid w:val="003C5A43"/>
    <w:rsid w:val="003C7423"/>
    <w:rsid w:val="003C7791"/>
    <w:rsid w:val="003D0519"/>
    <w:rsid w:val="003D0EC3"/>
    <w:rsid w:val="003D0FF6"/>
    <w:rsid w:val="003D262C"/>
    <w:rsid w:val="003D2980"/>
    <w:rsid w:val="003D3AFA"/>
    <w:rsid w:val="003D6D61"/>
    <w:rsid w:val="003E091D"/>
    <w:rsid w:val="003E1C53"/>
    <w:rsid w:val="003E2A69"/>
    <w:rsid w:val="003E2D49"/>
    <w:rsid w:val="003E2FD4"/>
    <w:rsid w:val="003E49F6"/>
    <w:rsid w:val="003E660F"/>
    <w:rsid w:val="003E7CD5"/>
    <w:rsid w:val="003F0841"/>
    <w:rsid w:val="003F133C"/>
    <w:rsid w:val="003F23D3"/>
    <w:rsid w:val="003F25DD"/>
    <w:rsid w:val="003F3F08"/>
    <w:rsid w:val="003F49F1"/>
    <w:rsid w:val="003F6272"/>
    <w:rsid w:val="00400454"/>
    <w:rsid w:val="00400E72"/>
    <w:rsid w:val="00401400"/>
    <w:rsid w:val="0040145B"/>
    <w:rsid w:val="00404298"/>
    <w:rsid w:val="00404869"/>
    <w:rsid w:val="00404E8F"/>
    <w:rsid w:val="00405884"/>
    <w:rsid w:val="00407D39"/>
    <w:rsid w:val="00410BCB"/>
    <w:rsid w:val="0041274C"/>
    <w:rsid w:val="004136D0"/>
    <w:rsid w:val="0041477A"/>
    <w:rsid w:val="004167A3"/>
    <w:rsid w:val="00421FEB"/>
    <w:rsid w:val="0042288D"/>
    <w:rsid w:val="004232A9"/>
    <w:rsid w:val="00425C39"/>
    <w:rsid w:val="004272AE"/>
    <w:rsid w:val="004303E9"/>
    <w:rsid w:val="00432DAA"/>
    <w:rsid w:val="00432FCF"/>
    <w:rsid w:val="00434305"/>
    <w:rsid w:val="00435DF7"/>
    <w:rsid w:val="0044029E"/>
    <w:rsid w:val="0044043E"/>
    <w:rsid w:val="0044083F"/>
    <w:rsid w:val="00441AE7"/>
    <w:rsid w:val="00445574"/>
    <w:rsid w:val="004467FB"/>
    <w:rsid w:val="00446C7A"/>
    <w:rsid w:val="00451C41"/>
    <w:rsid w:val="00452D6B"/>
    <w:rsid w:val="00454484"/>
    <w:rsid w:val="0045517B"/>
    <w:rsid w:val="00463B77"/>
    <w:rsid w:val="00463C7B"/>
    <w:rsid w:val="004644A6"/>
    <w:rsid w:val="004659BD"/>
    <w:rsid w:val="004669B1"/>
    <w:rsid w:val="00470775"/>
    <w:rsid w:val="00471949"/>
    <w:rsid w:val="004726A7"/>
    <w:rsid w:val="004746B1"/>
    <w:rsid w:val="0047583F"/>
    <w:rsid w:val="00475DE8"/>
    <w:rsid w:val="00480B0C"/>
    <w:rsid w:val="00481C44"/>
    <w:rsid w:val="00483542"/>
    <w:rsid w:val="004840F0"/>
    <w:rsid w:val="00484936"/>
    <w:rsid w:val="00484B9D"/>
    <w:rsid w:val="00484E48"/>
    <w:rsid w:val="00485C89"/>
    <w:rsid w:val="00486BE3"/>
    <w:rsid w:val="004905E4"/>
    <w:rsid w:val="00490A89"/>
    <w:rsid w:val="00490AB4"/>
    <w:rsid w:val="00492987"/>
    <w:rsid w:val="00492F02"/>
    <w:rsid w:val="004939AE"/>
    <w:rsid w:val="00496D97"/>
    <w:rsid w:val="004A12DF"/>
    <w:rsid w:val="004A1BA8"/>
    <w:rsid w:val="004A4B57"/>
    <w:rsid w:val="004A51E6"/>
    <w:rsid w:val="004A63FA"/>
    <w:rsid w:val="004A6A3D"/>
    <w:rsid w:val="004B0272"/>
    <w:rsid w:val="004B2701"/>
    <w:rsid w:val="004B2E1B"/>
    <w:rsid w:val="004B3AA8"/>
    <w:rsid w:val="004B3E93"/>
    <w:rsid w:val="004B636D"/>
    <w:rsid w:val="004C0065"/>
    <w:rsid w:val="004C1FBC"/>
    <w:rsid w:val="004C223A"/>
    <w:rsid w:val="004C25A2"/>
    <w:rsid w:val="004C37B9"/>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E1F"/>
    <w:rsid w:val="004E30C5"/>
    <w:rsid w:val="004E4AA5"/>
    <w:rsid w:val="004E4AEE"/>
    <w:rsid w:val="004E59E3"/>
    <w:rsid w:val="004E67C0"/>
    <w:rsid w:val="004F0FC4"/>
    <w:rsid w:val="004F391A"/>
    <w:rsid w:val="004F3CFB"/>
    <w:rsid w:val="004F6456"/>
    <w:rsid w:val="004F696E"/>
    <w:rsid w:val="004F6C71"/>
    <w:rsid w:val="00501139"/>
    <w:rsid w:val="0050335F"/>
    <w:rsid w:val="0050363E"/>
    <w:rsid w:val="005039BC"/>
    <w:rsid w:val="005043BB"/>
    <w:rsid w:val="005044EC"/>
    <w:rsid w:val="00504A3D"/>
    <w:rsid w:val="00505767"/>
    <w:rsid w:val="005073F0"/>
    <w:rsid w:val="00510A7B"/>
    <w:rsid w:val="00511C03"/>
    <w:rsid w:val="00512E17"/>
    <w:rsid w:val="00512F6E"/>
    <w:rsid w:val="00513038"/>
    <w:rsid w:val="00514174"/>
    <w:rsid w:val="0051499A"/>
    <w:rsid w:val="00515861"/>
    <w:rsid w:val="00516088"/>
    <w:rsid w:val="00516B0B"/>
    <w:rsid w:val="005220EC"/>
    <w:rsid w:val="005222B1"/>
    <w:rsid w:val="00523F95"/>
    <w:rsid w:val="00524D65"/>
    <w:rsid w:val="00525B16"/>
    <w:rsid w:val="00533D04"/>
    <w:rsid w:val="00534804"/>
    <w:rsid w:val="00534BDF"/>
    <w:rsid w:val="005354EA"/>
    <w:rsid w:val="0053585F"/>
    <w:rsid w:val="00535EC4"/>
    <w:rsid w:val="00535ED9"/>
    <w:rsid w:val="0053692B"/>
    <w:rsid w:val="00540818"/>
    <w:rsid w:val="005412CD"/>
    <w:rsid w:val="00541853"/>
    <w:rsid w:val="00542070"/>
    <w:rsid w:val="00543BDA"/>
    <w:rsid w:val="005441CC"/>
    <w:rsid w:val="005444FE"/>
    <w:rsid w:val="005479DA"/>
    <w:rsid w:val="00547BCC"/>
    <w:rsid w:val="0055013B"/>
    <w:rsid w:val="005505FB"/>
    <w:rsid w:val="005519FC"/>
    <w:rsid w:val="00551F6F"/>
    <w:rsid w:val="00555044"/>
    <w:rsid w:val="00561475"/>
    <w:rsid w:val="00562308"/>
    <w:rsid w:val="0056268C"/>
    <w:rsid w:val="0056487B"/>
    <w:rsid w:val="00564FB9"/>
    <w:rsid w:val="00565AAF"/>
    <w:rsid w:val="00572395"/>
    <w:rsid w:val="00573D9E"/>
    <w:rsid w:val="00574791"/>
    <w:rsid w:val="00576B31"/>
    <w:rsid w:val="005801E3"/>
    <w:rsid w:val="00581802"/>
    <w:rsid w:val="00581C14"/>
    <w:rsid w:val="005836A8"/>
    <w:rsid w:val="0058409C"/>
    <w:rsid w:val="00584262"/>
    <w:rsid w:val="00586630"/>
    <w:rsid w:val="00586C40"/>
    <w:rsid w:val="00587ADD"/>
    <w:rsid w:val="005912A9"/>
    <w:rsid w:val="00591F7A"/>
    <w:rsid w:val="00592BCB"/>
    <w:rsid w:val="00593A49"/>
    <w:rsid w:val="00595A50"/>
    <w:rsid w:val="00596160"/>
    <w:rsid w:val="005965B8"/>
    <w:rsid w:val="005966E2"/>
    <w:rsid w:val="00597007"/>
    <w:rsid w:val="005A0966"/>
    <w:rsid w:val="005A0B17"/>
    <w:rsid w:val="005A0E07"/>
    <w:rsid w:val="005A11B7"/>
    <w:rsid w:val="005A260B"/>
    <w:rsid w:val="005A4A1B"/>
    <w:rsid w:val="005A7652"/>
    <w:rsid w:val="005A7830"/>
    <w:rsid w:val="005A7FCE"/>
    <w:rsid w:val="005B0262"/>
    <w:rsid w:val="005B0F3F"/>
    <w:rsid w:val="005B191C"/>
    <w:rsid w:val="005B4903"/>
    <w:rsid w:val="005B4943"/>
    <w:rsid w:val="005B51CE"/>
    <w:rsid w:val="005B5885"/>
    <w:rsid w:val="005B5CD7"/>
    <w:rsid w:val="005B6CF6"/>
    <w:rsid w:val="005B7422"/>
    <w:rsid w:val="005C29B8"/>
    <w:rsid w:val="005C3133"/>
    <w:rsid w:val="005C551E"/>
    <w:rsid w:val="005C5F21"/>
    <w:rsid w:val="005C7156"/>
    <w:rsid w:val="005D0C75"/>
    <w:rsid w:val="005D1D5A"/>
    <w:rsid w:val="005D2229"/>
    <w:rsid w:val="005D40DD"/>
    <w:rsid w:val="005D4171"/>
    <w:rsid w:val="005D6A95"/>
    <w:rsid w:val="005D6B2C"/>
    <w:rsid w:val="005D6D9C"/>
    <w:rsid w:val="005E2335"/>
    <w:rsid w:val="005E34CA"/>
    <w:rsid w:val="005E3C18"/>
    <w:rsid w:val="005E4250"/>
    <w:rsid w:val="005E6812"/>
    <w:rsid w:val="005E6D03"/>
    <w:rsid w:val="005E7881"/>
    <w:rsid w:val="005E78E0"/>
    <w:rsid w:val="005F0D9C"/>
    <w:rsid w:val="005F284E"/>
    <w:rsid w:val="005F369B"/>
    <w:rsid w:val="005F64CB"/>
    <w:rsid w:val="005F75CA"/>
    <w:rsid w:val="006015CE"/>
    <w:rsid w:val="00604784"/>
    <w:rsid w:val="00605C6D"/>
    <w:rsid w:val="00606419"/>
    <w:rsid w:val="00607640"/>
    <w:rsid w:val="00607D29"/>
    <w:rsid w:val="00612952"/>
    <w:rsid w:val="006138FE"/>
    <w:rsid w:val="00614CC1"/>
    <w:rsid w:val="00615A9D"/>
    <w:rsid w:val="00617387"/>
    <w:rsid w:val="006205D6"/>
    <w:rsid w:val="00624291"/>
    <w:rsid w:val="006252D8"/>
    <w:rsid w:val="006259BC"/>
    <w:rsid w:val="0062636B"/>
    <w:rsid w:val="00627F9C"/>
    <w:rsid w:val="00630BC4"/>
    <w:rsid w:val="00632182"/>
    <w:rsid w:val="00632AE0"/>
    <w:rsid w:val="00633C17"/>
    <w:rsid w:val="00634D9E"/>
    <w:rsid w:val="00636072"/>
    <w:rsid w:val="0063633D"/>
    <w:rsid w:val="006364CD"/>
    <w:rsid w:val="00636E3E"/>
    <w:rsid w:val="006379F7"/>
    <w:rsid w:val="00637E4D"/>
    <w:rsid w:val="00640620"/>
    <w:rsid w:val="00641A1F"/>
    <w:rsid w:val="006430E5"/>
    <w:rsid w:val="00645904"/>
    <w:rsid w:val="00651ACB"/>
    <w:rsid w:val="00651B28"/>
    <w:rsid w:val="00651C47"/>
    <w:rsid w:val="00652AB2"/>
    <w:rsid w:val="00652F37"/>
    <w:rsid w:val="00653FED"/>
    <w:rsid w:val="00654EC0"/>
    <w:rsid w:val="0065525B"/>
    <w:rsid w:val="00655D4F"/>
    <w:rsid w:val="00655EE2"/>
    <w:rsid w:val="00656D29"/>
    <w:rsid w:val="00656EEA"/>
    <w:rsid w:val="00661696"/>
    <w:rsid w:val="00662731"/>
    <w:rsid w:val="006640E5"/>
    <w:rsid w:val="006646F1"/>
    <w:rsid w:val="00664929"/>
    <w:rsid w:val="00664F62"/>
    <w:rsid w:val="006655E1"/>
    <w:rsid w:val="00665CE6"/>
    <w:rsid w:val="0066712B"/>
    <w:rsid w:val="00672060"/>
    <w:rsid w:val="00672BFD"/>
    <w:rsid w:val="006770F4"/>
    <w:rsid w:val="00677A84"/>
    <w:rsid w:val="0068026D"/>
    <w:rsid w:val="00680A27"/>
    <w:rsid w:val="006816A4"/>
    <w:rsid w:val="006819B8"/>
    <w:rsid w:val="006826CA"/>
    <w:rsid w:val="006840A6"/>
    <w:rsid w:val="00684EA9"/>
    <w:rsid w:val="006850CD"/>
    <w:rsid w:val="00685AAB"/>
    <w:rsid w:val="006901BB"/>
    <w:rsid w:val="006A07AA"/>
    <w:rsid w:val="006A25E5"/>
    <w:rsid w:val="006A2B46"/>
    <w:rsid w:val="006A336D"/>
    <w:rsid w:val="006A37B9"/>
    <w:rsid w:val="006B2672"/>
    <w:rsid w:val="006B54BF"/>
    <w:rsid w:val="006B5F44"/>
    <w:rsid w:val="006B5F90"/>
    <w:rsid w:val="006B62E4"/>
    <w:rsid w:val="006C10C0"/>
    <w:rsid w:val="006C167A"/>
    <w:rsid w:val="006C1BBA"/>
    <w:rsid w:val="006C2079"/>
    <w:rsid w:val="006C26A3"/>
    <w:rsid w:val="006C3DE3"/>
    <w:rsid w:val="006C5A62"/>
    <w:rsid w:val="006C5D68"/>
    <w:rsid w:val="006C6778"/>
    <w:rsid w:val="006C6976"/>
    <w:rsid w:val="006C6DD0"/>
    <w:rsid w:val="006C7C2D"/>
    <w:rsid w:val="006D04EA"/>
    <w:rsid w:val="006D16C4"/>
    <w:rsid w:val="006D3E96"/>
    <w:rsid w:val="006D4515"/>
    <w:rsid w:val="006D4BB1"/>
    <w:rsid w:val="006D6593"/>
    <w:rsid w:val="006F03A8"/>
    <w:rsid w:val="006F25A5"/>
    <w:rsid w:val="006F2ACA"/>
    <w:rsid w:val="006F2ADC"/>
    <w:rsid w:val="006F2BFE"/>
    <w:rsid w:val="006F31E9"/>
    <w:rsid w:val="006F6284"/>
    <w:rsid w:val="006F6CBE"/>
    <w:rsid w:val="007002C5"/>
    <w:rsid w:val="00703A09"/>
    <w:rsid w:val="00704387"/>
    <w:rsid w:val="007056D0"/>
    <w:rsid w:val="00705712"/>
    <w:rsid w:val="00707326"/>
    <w:rsid w:val="00707669"/>
    <w:rsid w:val="00711CBA"/>
    <w:rsid w:val="00711FB5"/>
    <w:rsid w:val="00712A01"/>
    <w:rsid w:val="007148AF"/>
    <w:rsid w:val="00714D7D"/>
    <w:rsid w:val="00714F58"/>
    <w:rsid w:val="007171F4"/>
    <w:rsid w:val="00720143"/>
    <w:rsid w:val="00722FBF"/>
    <w:rsid w:val="00722FC2"/>
    <w:rsid w:val="00724E1B"/>
    <w:rsid w:val="0072550F"/>
    <w:rsid w:val="00725949"/>
    <w:rsid w:val="00727FA2"/>
    <w:rsid w:val="007322D9"/>
    <w:rsid w:val="00732BC0"/>
    <w:rsid w:val="0073720F"/>
    <w:rsid w:val="00737796"/>
    <w:rsid w:val="0074093C"/>
    <w:rsid w:val="0074165C"/>
    <w:rsid w:val="00742C35"/>
    <w:rsid w:val="007432CA"/>
    <w:rsid w:val="007439EB"/>
    <w:rsid w:val="00743B95"/>
    <w:rsid w:val="00743CB4"/>
    <w:rsid w:val="00743F0A"/>
    <w:rsid w:val="007444E8"/>
    <w:rsid w:val="00745098"/>
    <w:rsid w:val="00745362"/>
    <w:rsid w:val="0074548E"/>
    <w:rsid w:val="00745773"/>
    <w:rsid w:val="00746559"/>
    <w:rsid w:val="00746800"/>
    <w:rsid w:val="007501A8"/>
    <w:rsid w:val="00750458"/>
    <w:rsid w:val="00750D61"/>
    <w:rsid w:val="00750EE1"/>
    <w:rsid w:val="00752B4D"/>
    <w:rsid w:val="00754AB2"/>
    <w:rsid w:val="00755402"/>
    <w:rsid w:val="00756B26"/>
    <w:rsid w:val="00756EDF"/>
    <w:rsid w:val="007600E3"/>
    <w:rsid w:val="00764AC3"/>
    <w:rsid w:val="00765951"/>
    <w:rsid w:val="00765C43"/>
    <w:rsid w:val="00765EFB"/>
    <w:rsid w:val="007668C3"/>
    <w:rsid w:val="007671CA"/>
    <w:rsid w:val="00767C61"/>
    <w:rsid w:val="0077008A"/>
    <w:rsid w:val="00772A96"/>
    <w:rsid w:val="00773943"/>
    <w:rsid w:val="00773C1F"/>
    <w:rsid w:val="00774DA4"/>
    <w:rsid w:val="00775F9B"/>
    <w:rsid w:val="00776599"/>
    <w:rsid w:val="0078114B"/>
    <w:rsid w:val="00781DD2"/>
    <w:rsid w:val="00783300"/>
    <w:rsid w:val="00783ECF"/>
    <w:rsid w:val="0078413A"/>
    <w:rsid w:val="0079159C"/>
    <w:rsid w:val="0079360E"/>
    <w:rsid w:val="007959E8"/>
    <w:rsid w:val="00795A31"/>
    <w:rsid w:val="00795E9C"/>
    <w:rsid w:val="007972B5"/>
    <w:rsid w:val="007A0521"/>
    <w:rsid w:val="007A0F79"/>
    <w:rsid w:val="007A127E"/>
    <w:rsid w:val="007A2E12"/>
    <w:rsid w:val="007A3475"/>
    <w:rsid w:val="007A41C8"/>
    <w:rsid w:val="007A54CE"/>
    <w:rsid w:val="007A69EF"/>
    <w:rsid w:val="007A6FD9"/>
    <w:rsid w:val="007A7FFA"/>
    <w:rsid w:val="007B04EB"/>
    <w:rsid w:val="007B0D4F"/>
    <w:rsid w:val="007B176A"/>
    <w:rsid w:val="007B5A3D"/>
    <w:rsid w:val="007B5B95"/>
    <w:rsid w:val="007B6032"/>
    <w:rsid w:val="007B68EA"/>
    <w:rsid w:val="007B7453"/>
    <w:rsid w:val="007C0375"/>
    <w:rsid w:val="007C2B15"/>
    <w:rsid w:val="007C2D89"/>
    <w:rsid w:val="007C4593"/>
    <w:rsid w:val="007C5309"/>
    <w:rsid w:val="007C6069"/>
    <w:rsid w:val="007C76A3"/>
    <w:rsid w:val="007D06C4"/>
    <w:rsid w:val="007D1352"/>
    <w:rsid w:val="007D2508"/>
    <w:rsid w:val="007D2C29"/>
    <w:rsid w:val="007D346A"/>
    <w:rsid w:val="007D4BEA"/>
    <w:rsid w:val="007D5291"/>
    <w:rsid w:val="007D5C59"/>
    <w:rsid w:val="007D6518"/>
    <w:rsid w:val="007D76BD"/>
    <w:rsid w:val="007E0BF1"/>
    <w:rsid w:val="007E2B63"/>
    <w:rsid w:val="007E6631"/>
    <w:rsid w:val="007F0ED8"/>
    <w:rsid w:val="007F0F63"/>
    <w:rsid w:val="007F75CE"/>
    <w:rsid w:val="0080009E"/>
    <w:rsid w:val="008013A4"/>
    <w:rsid w:val="00802506"/>
    <w:rsid w:val="008027CE"/>
    <w:rsid w:val="00802ADE"/>
    <w:rsid w:val="00802F42"/>
    <w:rsid w:val="00804383"/>
    <w:rsid w:val="00804BB7"/>
    <w:rsid w:val="00804D41"/>
    <w:rsid w:val="00810257"/>
    <w:rsid w:val="008104F5"/>
    <w:rsid w:val="00811072"/>
    <w:rsid w:val="00811369"/>
    <w:rsid w:val="00815419"/>
    <w:rsid w:val="008163C8"/>
    <w:rsid w:val="008164A1"/>
    <w:rsid w:val="00817325"/>
    <w:rsid w:val="00817F93"/>
    <w:rsid w:val="008209E6"/>
    <w:rsid w:val="00821A8B"/>
    <w:rsid w:val="00823303"/>
    <w:rsid w:val="008233B2"/>
    <w:rsid w:val="00823A9F"/>
    <w:rsid w:val="00823C85"/>
    <w:rsid w:val="00824E87"/>
    <w:rsid w:val="00825138"/>
    <w:rsid w:val="00825535"/>
    <w:rsid w:val="008269DD"/>
    <w:rsid w:val="00827588"/>
    <w:rsid w:val="00830621"/>
    <w:rsid w:val="00830792"/>
    <w:rsid w:val="0083348C"/>
    <w:rsid w:val="0083460D"/>
    <w:rsid w:val="008373D3"/>
    <w:rsid w:val="008404C8"/>
    <w:rsid w:val="00840617"/>
    <w:rsid w:val="00840EAB"/>
    <w:rsid w:val="00840F84"/>
    <w:rsid w:val="008429FE"/>
    <w:rsid w:val="00842A47"/>
    <w:rsid w:val="0084328A"/>
    <w:rsid w:val="00843C13"/>
    <w:rsid w:val="008454F8"/>
    <w:rsid w:val="00845746"/>
    <w:rsid w:val="00847199"/>
    <w:rsid w:val="0085173A"/>
    <w:rsid w:val="008603CE"/>
    <w:rsid w:val="00860C8E"/>
    <w:rsid w:val="008620FC"/>
    <w:rsid w:val="008627A5"/>
    <w:rsid w:val="00863E05"/>
    <w:rsid w:val="0086406C"/>
    <w:rsid w:val="00865ACA"/>
    <w:rsid w:val="00865D28"/>
    <w:rsid w:val="00865F85"/>
    <w:rsid w:val="00867C10"/>
    <w:rsid w:val="00870439"/>
    <w:rsid w:val="00870DA1"/>
    <w:rsid w:val="00871223"/>
    <w:rsid w:val="00873268"/>
    <w:rsid w:val="00876517"/>
    <w:rsid w:val="00876926"/>
    <w:rsid w:val="00877CE8"/>
    <w:rsid w:val="00883F93"/>
    <w:rsid w:val="00884DB3"/>
    <w:rsid w:val="00885A9D"/>
    <w:rsid w:val="00885AB1"/>
    <w:rsid w:val="008864F6"/>
    <w:rsid w:val="0089049D"/>
    <w:rsid w:val="008928C9"/>
    <w:rsid w:val="008930CB"/>
    <w:rsid w:val="008938DC"/>
    <w:rsid w:val="00893FD1"/>
    <w:rsid w:val="0089416A"/>
    <w:rsid w:val="00894836"/>
    <w:rsid w:val="00895172"/>
    <w:rsid w:val="00895680"/>
    <w:rsid w:val="00896DFF"/>
    <w:rsid w:val="0089762C"/>
    <w:rsid w:val="008A0CD6"/>
    <w:rsid w:val="008A173B"/>
    <w:rsid w:val="008A1893"/>
    <w:rsid w:val="008A3A09"/>
    <w:rsid w:val="008A57E6"/>
    <w:rsid w:val="008A6F3E"/>
    <w:rsid w:val="008A6F81"/>
    <w:rsid w:val="008A769A"/>
    <w:rsid w:val="008B0C9C"/>
    <w:rsid w:val="008B15C8"/>
    <w:rsid w:val="008B166D"/>
    <w:rsid w:val="008B17F4"/>
    <w:rsid w:val="008B3615"/>
    <w:rsid w:val="008B4AC4"/>
    <w:rsid w:val="008B50C8"/>
    <w:rsid w:val="008B5281"/>
    <w:rsid w:val="008B79EE"/>
    <w:rsid w:val="008B7E05"/>
    <w:rsid w:val="008C103F"/>
    <w:rsid w:val="008C1797"/>
    <w:rsid w:val="008C219C"/>
    <w:rsid w:val="008C475E"/>
    <w:rsid w:val="008C619A"/>
    <w:rsid w:val="008C658F"/>
    <w:rsid w:val="008C7D5D"/>
    <w:rsid w:val="008D0CE8"/>
    <w:rsid w:val="008D2D1D"/>
    <w:rsid w:val="008D3522"/>
    <w:rsid w:val="008D398D"/>
    <w:rsid w:val="008D453D"/>
    <w:rsid w:val="008D53AD"/>
    <w:rsid w:val="008D53C2"/>
    <w:rsid w:val="008D562B"/>
    <w:rsid w:val="008D5733"/>
    <w:rsid w:val="008D622B"/>
    <w:rsid w:val="008D6258"/>
    <w:rsid w:val="008D666C"/>
    <w:rsid w:val="008D7B54"/>
    <w:rsid w:val="008E0C9D"/>
    <w:rsid w:val="008E1648"/>
    <w:rsid w:val="008E1B3E"/>
    <w:rsid w:val="008E2319"/>
    <w:rsid w:val="008E4BB6"/>
    <w:rsid w:val="008E5518"/>
    <w:rsid w:val="008E5CDB"/>
    <w:rsid w:val="008E6A84"/>
    <w:rsid w:val="008E758D"/>
    <w:rsid w:val="008F0CDC"/>
    <w:rsid w:val="008F17A3"/>
    <w:rsid w:val="008F1ED3"/>
    <w:rsid w:val="008F4C29"/>
    <w:rsid w:val="008F70BD"/>
    <w:rsid w:val="008F788F"/>
    <w:rsid w:val="008F7D70"/>
    <w:rsid w:val="008F7EA2"/>
    <w:rsid w:val="00902722"/>
    <w:rsid w:val="009027BC"/>
    <w:rsid w:val="009062E6"/>
    <w:rsid w:val="009119B4"/>
    <w:rsid w:val="00911BE5"/>
    <w:rsid w:val="00913CA9"/>
    <w:rsid w:val="009145AE"/>
    <w:rsid w:val="009146CE"/>
    <w:rsid w:val="00914CA7"/>
    <w:rsid w:val="00915C3E"/>
    <w:rsid w:val="009161A8"/>
    <w:rsid w:val="00920C49"/>
    <w:rsid w:val="00922A43"/>
    <w:rsid w:val="00924439"/>
    <w:rsid w:val="009245AE"/>
    <w:rsid w:val="009245F5"/>
    <w:rsid w:val="009249EC"/>
    <w:rsid w:val="00926B73"/>
    <w:rsid w:val="009273B3"/>
    <w:rsid w:val="0092770F"/>
    <w:rsid w:val="009278B9"/>
    <w:rsid w:val="009305B5"/>
    <w:rsid w:val="00933B13"/>
    <w:rsid w:val="0093575D"/>
    <w:rsid w:val="0093694D"/>
    <w:rsid w:val="009378DD"/>
    <w:rsid w:val="009429D5"/>
    <w:rsid w:val="00942BF1"/>
    <w:rsid w:val="00945180"/>
    <w:rsid w:val="00945428"/>
    <w:rsid w:val="0094607B"/>
    <w:rsid w:val="009475C4"/>
    <w:rsid w:val="00950B40"/>
    <w:rsid w:val="00953604"/>
    <w:rsid w:val="009536E8"/>
    <w:rsid w:val="0095496B"/>
    <w:rsid w:val="00960F1E"/>
    <w:rsid w:val="009610DC"/>
    <w:rsid w:val="00961490"/>
    <w:rsid w:val="009630A9"/>
    <w:rsid w:val="0096381A"/>
    <w:rsid w:val="00965E04"/>
    <w:rsid w:val="0096662F"/>
    <w:rsid w:val="009674AD"/>
    <w:rsid w:val="00970CDC"/>
    <w:rsid w:val="00973A02"/>
    <w:rsid w:val="00975727"/>
    <w:rsid w:val="00977010"/>
    <w:rsid w:val="00977D02"/>
    <w:rsid w:val="00977FF9"/>
    <w:rsid w:val="009808A4"/>
    <w:rsid w:val="009809BB"/>
    <w:rsid w:val="0098364B"/>
    <w:rsid w:val="009908A3"/>
    <w:rsid w:val="009911AF"/>
    <w:rsid w:val="0099149A"/>
    <w:rsid w:val="009914C6"/>
    <w:rsid w:val="00991875"/>
    <w:rsid w:val="00991F92"/>
    <w:rsid w:val="00992985"/>
    <w:rsid w:val="00993889"/>
    <w:rsid w:val="0099551B"/>
    <w:rsid w:val="009962D0"/>
    <w:rsid w:val="00996BD2"/>
    <w:rsid w:val="00997BF1"/>
    <w:rsid w:val="009A089C"/>
    <w:rsid w:val="009A118E"/>
    <w:rsid w:val="009A21CD"/>
    <w:rsid w:val="009A222A"/>
    <w:rsid w:val="009A278C"/>
    <w:rsid w:val="009A2BC2"/>
    <w:rsid w:val="009A3639"/>
    <w:rsid w:val="009A42C1"/>
    <w:rsid w:val="009A4F56"/>
    <w:rsid w:val="009A5213"/>
    <w:rsid w:val="009A5429"/>
    <w:rsid w:val="009A72AD"/>
    <w:rsid w:val="009B09E0"/>
    <w:rsid w:val="009B0BC5"/>
    <w:rsid w:val="009B1247"/>
    <w:rsid w:val="009B3698"/>
    <w:rsid w:val="009B6029"/>
    <w:rsid w:val="009B6971"/>
    <w:rsid w:val="009C27F1"/>
    <w:rsid w:val="009C3152"/>
    <w:rsid w:val="009C3257"/>
    <w:rsid w:val="009C4CFA"/>
    <w:rsid w:val="009C5070"/>
    <w:rsid w:val="009C50EC"/>
    <w:rsid w:val="009C537D"/>
    <w:rsid w:val="009C5731"/>
    <w:rsid w:val="009D112C"/>
    <w:rsid w:val="009D1385"/>
    <w:rsid w:val="009D228F"/>
    <w:rsid w:val="009D47FA"/>
    <w:rsid w:val="009D4C5B"/>
    <w:rsid w:val="009D50D2"/>
    <w:rsid w:val="009D6BCA"/>
    <w:rsid w:val="009D76F5"/>
    <w:rsid w:val="009E0F62"/>
    <w:rsid w:val="009E387F"/>
    <w:rsid w:val="009E4A58"/>
    <w:rsid w:val="009E5A2D"/>
    <w:rsid w:val="009E5AB2"/>
    <w:rsid w:val="009E6219"/>
    <w:rsid w:val="009E624B"/>
    <w:rsid w:val="009F03B3"/>
    <w:rsid w:val="009F4838"/>
    <w:rsid w:val="009F49FD"/>
    <w:rsid w:val="009F6A6E"/>
    <w:rsid w:val="009F7A02"/>
    <w:rsid w:val="00A00019"/>
    <w:rsid w:val="00A0096C"/>
    <w:rsid w:val="00A01651"/>
    <w:rsid w:val="00A01757"/>
    <w:rsid w:val="00A028C0"/>
    <w:rsid w:val="00A02BAE"/>
    <w:rsid w:val="00A03C86"/>
    <w:rsid w:val="00A04303"/>
    <w:rsid w:val="00A04D76"/>
    <w:rsid w:val="00A06A6B"/>
    <w:rsid w:val="00A06B80"/>
    <w:rsid w:val="00A06DB9"/>
    <w:rsid w:val="00A07E47"/>
    <w:rsid w:val="00A129D0"/>
    <w:rsid w:val="00A12C33"/>
    <w:rsid w:val="00A138BA"/>
    <w:rsid w:val="00A14C8E"/>
    <w:rsid w:val="00A153D9"/>
    <w:rsid w:val="00A15F09"/>
    <w:rsid w:val="00A169B6"/>
    <w:rsid w:val="00A2271D"/>
    <w:rsid w:val="00A23038"/>
    <w:rsid w:val="00A237D5"/>
    <w:rsid w:val="00A30EFC"/>
    <w:rsid w:val="00A31984"/>
    <w:rsid w:val="00A31F99"/>
    <w:rsid w:val="00A32D73"/>
    <w:rsid w:val="00A32F75"/>
    <w:rsid w:val="00A3367B"/>
    <w:rsid w:val="00A3597D"/>
    <w:rsid w:val="00A36DD1"/>
    <w:rsid w:val="00A4006C"/>
    <w:rsid w:val="00A40091"/>
    <w:rsid w:val="00A4030F"/>
    <w:rsid w:val="00A41C79"/>
    <w:rsid w:val="00A41CB5"/>
    <w:rsid w:val="00A42CDF"/>
    <w:rsid w:val="00A4452E"/>
    <w:rsid w:val="00A4472C"/>
    <w:rsid w:val="00A44E69"/>
    <w:rsid w:val="00A462E9"/>
    <w:rsid w:val="00A4661E"/>
    <w:rsid w:val="00A55BD6"/>
    <w:rsid w:val="00A55D50"/>
    <w:rsid w:val="00A57142"/>
    <w:rsid w:val="00A62F96"/>
    <w:rsid w:val="00A648CD"/>
    <w:rsid w:val="00A652BA"/>
    <w:rsid w:val="00A6537A"/>
    <w:rsid w:val="00A67866"/>
    <w:rsid w:val="00A70B07"/>
    <w:rsid w:val="00A718CA"/>
    <w:rsid w:val="00A723F8"/>
    <w:rsid w:val="00A72D7F"/>
    <w:rsid w:val="00A76809"/>
    <w:rsid w:val="00A77CCB"/>
    <w:rsid w:val="00A80677"/>
    <w:rsid w:val="00A82364"/>
    <w:rsid w:val="00A83D8D"/>
    <w:rsid w:val="00A8446B"/>
    <w:rsid w:val="00A8473F"/>
    <w:rsid w:val="00A862D6"/>
    <w:rsid w:val="00A8715E"/>
    <w:rsid w:val="00A8752D"/>
    <w:rsid w:val="00A9295B"/>
    <w:rsid w:val="00A93B09"/>
    <w:rsid w:val="00A952D7"/>
    <w:rsid w:val="00A95461"/>
    <w:rsid w:val="00A954A4"/>
    <w:rsid w:val="00A963F7"/>
    <w:rsid w:val="00A96AD8"/>
    <w:rsid w:val="00AA052C"/>
    <w:rsid w:val="00AA1E45"/>
    <w:rsid w:val="00AA4286"/>
    <w:rsid w:val="00AA456B"/>
    <w:rsid w:val="00AA57F5"/>
    <w:rsid w:val="00AA672E"/>
    <w:rsid w:val="00AA6959"/>
    <w:rsid w:val="00AA6EC9"/>
    <w:rsid w:val="00AA7139"/>
    <w:rsid w:val="00AA7D2D"/>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3FD"/>
    <w:rsid w:val="00AD44FA"/>
    <w:rsid w:val="00AD6A2A"/>
    <w:rsid w:val="00AE070A"/>
    <w:rsid w:val="00AE101C"/>
    <w:rsid w:val="00AE1220"/>
    <w:rsid w:val="00AE2A69"/>
    <w:rsid w:val="00AE37E5"/>
    <w:rsid w:val="00AE5EB4"/>
    <w:rsid w:val="00AF06F4"/>
    <w:rsid w:val="00AF0C18"/>
    <w:rsid w:val="00AF15BE"/>
    <w:rsid w:val="00AF47C5"/>
    <w:rsid w:val="00AF5398"/>
    <w:rsid w:val="00B020AE"/>
    <w:rsid w:val="00B049AF"/>
    <w:rsid w:val="00B07242"/>
    <w:rsid w:val="00B10534"/>
    <w:rsid w:val="00B113DB"/>
    <w:rsid w:val="00B11D8A"/>
    <w:rsid w:val="00B12981"/>
    <w:rsid w:val="00B147DD"/>
    <w:rsid w:val="00B1556F"/>
    <w:rsid w:val="00B156FD"/>
    <w:rsid w:val="00B15C6E"/>
    <w:rsid w:val="00B20183"/>
    <w:rsid w:val="00B21F61"/>
    <w:rsid w:val="00B22E25"/>
    <w:rsid w:val="00B24F05"/>
    <w:rsid w:val="00B261F1"/>
    <w:rsid w:val="00B265BC"/>
    <w:rsid w:val="00B26674"/>
    <w:rsid w:val="00B31500"/>
    <w:rsid w:val="00B31FB1"/>
    <w:rsid w:val="00B33952"/>
    <w:rsid w:val="00B33C5E"/>
    <w:rsid w:val="00B342F4"/>
    <w:rsid w:val="00B34369"/>
    <w:rsid w:val="00B344C8"/>
    <w:rsid w:val="00B34DC2"/>
    <w:rsid w:val="00B36210"/>
    <w:rsid w:val="00B378E5"/>
    <w:rsid w:val="00B4203F"/>
    <w:rsid w:val="00B4346D"/>
    <w:rsid w:val="00B440F4"/>
    <w:rsid w:val="00B447A5"/>
    <w:rsid w:val="00B4654C"/>
    <w:rsid w:val="00B47293"/>
    <w:rsid w:val="00B50B1A"/>
    <w:rsid w:val="00B50E50"/>
    <w:rsid w:val="00B51514"/>
    <w:rsid w:val="00B51CF3"/>
    <w:rsid w:val="00B52120"/>
    <w:rsid w:val="00B54ABC"/>
    <w:rsid w:val="00B557FE"/>
    <w:rsid w:val="00B56A86"/>
    <w:rsid w:val="00B56BAA"/>
    <w:rsid w:val="00B56FBE"/>
    <w:rsid w:val="00B60ACF"/>
    <w:rsid w:val="00B62B58"/>
    <w:rsid w:val="00B65149"/>
    <w:rsid w:val="00B66567"/>
    <w:rsid w:val="00B66F52"/>
    <w:rsid w:val="00B66FE5"/>
    <w:rsid w:val="00B72880"/>
    <w:rsid w:val="00B72D19"/>
    <w:rsid w:val="00B73514"/>
    <w:rsid w:val="00B758BF"/>
    <w:rsid w:val="00B759A4"/>
    <w:rsid w:val="00B77EC8"/>
    <w:rsid w:val="00B827A6"/>
    <w:rsid w:val="00B831CE"/>
    <w:rsid w:val="00B83679"/>
    <w:rsid w:val="00B853CD"/>
    <w:rsid w:val="00B85D92"/>
    <w:rsid w:val="00B86677"/>
    <w:rsid w:val="00B86EFF"/>
    <w:rsid w:val="00B87131"/>
    <w:rsid w:val="00B939B1"/>
    <w:rsid w:val="00B95219"/>
    <w:rsid w:val="00B96501"/>
    <w:rsid w:val="00B96D40"/>
    <w:rsid w:val="00B97386"/>
    <w:rsid w:val="00B97AE2"/>
    <w:rsid w:val="00BA263B"/>
    <w:rsid w:val="00BA42B2"/>
    <w:rsid w:val="00BA58D4"/>
    <w:rsid w:val="00BA5B9E"/>
    <w:rsid w:val="00BA7C9A"/>
    <w:rsid w:val="00BB00F2"/>
    <w:rsid w:val="00BB03FE"/>
    <w:rsid w:val="00BB0F01"/>
    <w:rsid w:val="00BB38F1"/>
    <w:rsid w:val="00BB5F8F"/>
    <w:rsid w:val="00BB657A"/>
    <w:rsid w:val="00BB69DD"/>
    <w:rsid w:val="00BB7EF1"/>
    <w:rsid w:val="00BC1A4E"/>
    <w:rsid w:val="00BC2BCB"/>
    <w:rsid w:val="00BC5426"/>
    <w:rsid w:val="00BC5DC7"/>
    <w:rsid w:val="00BC6B8B"/>
    <w:rsid w:val="00BC73D8"/>
    <w:rsid w:val="00BD487E"/>
    <w:rsid w:val="00BD52D7"/>
    <w:rsid w:val="00BD5AD2"/>
    <w:rsid w:val="00BE22F3"/>
    <w:rsid w:val="00BE2A55"/>
    <w:rsid w:val="00BE5209"/>
    <w:rsid w:val="00BE55EA"/>
    <w:rsid w:val="00BE5B52"/>
    <w:rsid w:val="00BE7B8D"/>
    <w:rsid w:val="00BF0993"/>
    <w:rsid w:val="00BF10A9"/>
    <w:rsid w:val="00BF1703"/>
    <w:rsid w:val="00BF231C"/>
    <w:rsid w:val="00BF3EEC"/>
    <w:rsid w:val="00BF51E5"/>
    <w:rsid w:val="00BF5D8D"/>
    <w:rsid w:val="00BF734D"/>
    <w:rsid w:val="00BF74A6"/>
    <w:rsid w:val="00C00BFC"/>
    <w:rsid w:val="00C013AD"/>
    <w:rsid w:val="00C0222E"/>
    <w:rsid w:val="00C0314F"/>
    <w:rsid w:val="00C04904"/>
    <w:rsid w:val="00C056B3"/>
    <w:rsid w:val="00C103E5"/>
    <w:rsid w:val="00C13319"/>
    <w:rsid w:val="00C13EE9"/>
    <w:rsid w:val="00C2011A"/>
    <w:rsid w:val="00C21540"/>
    <w:rsid w:val="00C21906"/>
    <w:rsid w:val="00C21BFA"/>
    <w:rsid w:val="00C2277C"/>
    <w:rsid w:val="00C24C8D"/>
    <w:rsid w:val="00C25FE2"/>
    <w:rsid w:val="00C265EE"/>
    <w:rsid w:val="00C26B53"/>
    <w:rsid w:val="00C279B2"/>
    <w:rsid w:val="00C3259D"/>
    <w:rsid w:val="00C33E50"/>
    <w:rsid w:val="00C34C20"/>
    <w:rsid w:val="00C35A3E"/>
    <w:rsid w:val="00C362DD"/>
    <w:rsid w:val="00C401E8"/>
    <w:rsid w:val="00C42130"/>
    <w:rsid w:val="00C423A4"/>
    <w:rsid w:val="00C423E3"/>
    <w:rsid w:val="00C44BF5"/>
    <w:rsid w:val="00C4735A"/>
    <w:rsid w:val="00C47436"/>
    <w:rsid w:val="00C477FF"/>
    <w:rsid w:val="00C50398"/>
    <w:rsid w:val="00C521D6"/>
    <w:rsid w:val="00C54AF7"/>
    <w:rsid w:val="00C55232"/>
    <w:rsid w:val="00C553A4"/>
    <w:rsid w:val="00C55A06"/>
    <w:rsid w:val="00C55D03"/>
    <w:rsid w:val="00C601BC"/>
    <w:rsid w:val="00C6329F"/>
    <w:rsid w:val="00C63340"/>
    <w:rsid w:val="00C6358A"/>
    <w:rsid w:val="00C643F9"/>
    <w:rsid w:val="00C64E95"/>
    <w:rsid w:val="00C65296"/>
    <w:rsid w:val="00C71372"/>
    <w:rsid w:val="00C72410"/>
    <w:rsid w:val="00C7287F"/>
    <w:rsid w:val="00C7736D"/>
    <w:rsid w:val="00C80CB8"/>
    <w:rsid w:val="00C815FB"/>
    <w:rsid w:val="00C819F8"/>
    <w:rsid w:val="00C8248C"/>
    <w:rsid w:val="00C84E33"/>
    <w:rsid w:val="00C86D6F"/>
    <w:rsid w:val="00C905FC"/>
    <w:rsid w:val="00C92D03"/>
    <w:rsid w:val="00C9309E"/>
    <w:rsid w:val="00C9319C"/>
    <w:rsid w:val="00C938B3"/>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B7418"/>
    <w:rsid w:val="00CC038D"/>
    <w:rsid w:val="00CC08DB"/>
    <w:rsid w:val="00CC39FF"/>
    <w:rsid w:val="00CC3C2F"/>
    <w:rsid w:val="00CC4AC8"/>
    <w:rsid w:val="00CC5233"/>
    <w:rsid w:val="00CC5DE6"/>
    <w:rsid w:val="00CC6E4E"/>
    <w:rsid w:val="00CC6FE8"/>
    <w:rsid w:val="00CC7202"/>
    <w:rsid w:val="00CC774A"/>
    <w:rsid w:val="00CD25E7"/>
    <w:rsid w:val="00CD26AD"/>
    <w:rsid w:val="00CD2808"/>
    <w:rsid w:val="00CD28BF"/>
    <w:rsid w:val="00CD4092"/>
    <w:rsid w:val="00CD4707"/>
    <w:rsid w:val="00CD4A20"/>
    <w:rsid w:val="00CD50A1"/>
    <w:rsid w:val="00CD519E"/>
    <w:rsid w:val="00CD5F15"/>
    <w:rsid w:val="00CD67E6"/>
    <w:rsid w:val="00CE0C4F"/>
    <w:rsid w:val="00CE30EA"/>
    <w:rsid w:val="00CE4413"/>
    <w:rsid w:val="00CF048A"/>
    <w:rsid w:val="00CF155A"/>
    <w:rsid w:val="00CF2947"/>
    <w:rsid w:val="00CF44EE"/>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33D9"/>
    <w:rsid w:val="00D13D6F"/>
    <w:rsid w:val="00D1489E"/>
    <w:rsid w:val="00D17F41"/>
    <w:rsid w:val="00D20737"/>
    <w:rsid w:val="00D21E81"/>
    <w:rsid w:val="00D223DE"/>
    <w:rsid w:val="00D22FE0"/>
    <w:rsid w:val="00D25E37"/>
    <w:rsid w:val="00D2661A"/>
    <w:rsid w:val="00D27582"/>
    <w:rsid w:val="00D27EC4"/>
    <w:rsid w:val="00D30417"/>
    <w:rsid w:val="00D313A6"/>
    <w:rsid w:val="00D32719"/>
    <w:rsid w:val="00D33333"/>
    <w:rsid w:val="00D352A2"/>
    <w:rsid w:val="00D40915"/>
    <w:rsid w:val="00D4162B"/>
    <w:rsid w:val="00D4324D"/>
    <w:rsid w:val="00D4514F"/>
    <w:rsid w:val="00D451E2"/>
    <w:rsid w:val="00D45E89"/>
    <w:rsid w:val="00D45E8D"/>
    <w:rsid w:val="00D466AE"/>
    <w:rsid w:val="00D4734F"/>
    <w:rsid w:val="00D51BF3"/>
    <w:rsid w:val="00D65243"/>
    <w:rsid w:val="00D66846"/>
    <w:rsid w:val="00D675FB"/>
    <w:rsid w:val="00D71F25"/>
    <w:rsid w:val="00D72A9C"/>
    <w:rsid w:val="00D731BC"/>
    <w:rsid w:val="00D74A3B"/>
    <w:rsid w:val="00D77031"/>
    <w:rsid w:val="00D84941"/>
    <w:rsid w:val="00D84FA1"/>
    <w:rsid w:val="00D851F0"/>
    <w:rsid w:val="00D86DB7"/>
    <w:rsid w:val="00D87BF5"/>
    <w:rsid w:val="00D90721"/>
    <w:rsid w:val="00D926D0"/>
    <w:rsid w:val="00D93030"/>
    <w:rsid w:val="00D93E39"/>
    <w:rsid w:val="00D94B5B"/>
    <w:rsid w:val="00D950E1"/>
    <w:rsid w:val="00D952A6"/>
    <w:rsid w:val="00D95ED2"/>
    <w:rsid w:val="00D97F99"/>
    <w:rsid w:val="00DA1E08"/>
    <w:rsid w:val="00DA227F"/>
    <w:rsid w:val="00DA24F8"/>
    <w:rsid w:val="00DA28E8"/>
    <w:rsid w:val="00DA309D"/>
    <w:rsid w:val="00DA38D3"/>
    <w:rsid w:val="00DA3932"/>
    <w:rsid w:val="00DA3AFC"/>
    <w:rsid w:val="00DA4A9E"/>
    <w:rsid w:val="00DA64F8"/>
    <w:rsid w:val="00DA6C15"/>
    <w:rsid w:val="00DB0258"/>
    <w:rsid w:val="00DB38EE"/>
    <w:rsid w:val="00DB498B"/>
    <w:rsid w:val="00DB66CA"/>
    <w:rsid w:val="00DB6BCA"/>
    <w:rsid w:val="00DB6F54"/>
    <w:rsid w:val="00DB73F7"/>
    <w:rsid w:val="00DB7DF2"/>
    <w:rsid w:val="00DC0321"/>
    <w:rsid w:val="00DC192E"/>
    <w:rsid w:val="00DC3067"/>
    <w:rsid w:val="00DC370B"/>
    <w:rsid w:val="00DC5B90"/>
    <w:rsid w:val="00DC6291"/>
    <w:rsid w:val="00DC6CB5"/>
    <w:rsid w:val="00DC71AA"/>
    <w:rsid w:val="00DC7580"/>
    <w:rsid w:val="00DD00FF"/>
    <w:rsid w:val="00DD0619"/>
    <w:rsid w:val="00DD07FB"/>
    <w:rsid w:val="00DD1FC5"/>
    <w:rsid w:val="00DD25C6"/>
    <w:rsid w:val="00DD3361"/>
    <w:rsid w:val="00DD4FE5"/>
    <w:rsid w:val="00DD54B0"/>
    <w:rsid w:val="00DD57EE"/>
    <w:rsid w:val="00DD6BCC"/>
    <w:rsid w:val="00DE0A4B"/>
    <w:rsid w:val="00DE2410"/>
    <w:rsid w:val="00DE2939"/>
    <w:rsid w:val="00DE4FB0"/>
    <w:rsid w:val="00DE6E81"/>
    <w:rsid w:val="00DE703F"/>
    <w:rsid w:val="00DE7595"/>
    <w:rsid w:val="00DF083A"/>
    <w:rsid w:val="00DF1893"/>
    <w:rsid w:val="00DF18DF"/>
    <w:rsid w:val="00DF1961"/>
    <w:rsid w:val="00DF44DE"/>
    <w:rsid w:val="00E00A40"/>
    <w:rsid w:val="00E00D3B"/>
    <w:rsid w:val="00E01138"/>
    <w:rsid w:val="00E02DFB"/>
    <w:rsid w:val="00E030F9"/>
    <w:rsid w:val="00E0311A"/>
    <w:rsid w:val="00E03138"/>
    <w:rsid w:val="00E057C7"/>
    <w:rsid w:val="00E06404"/>
    <w:rsid w:val="00E11A85"/>
    <w:rsid w:val="00E12495"/>
    <w:rsid w:val="00E12CFB"/>
    <w:rsid w:val="00E140A0"/>
    <w:rsid w:val="00E15CCD"/>
    <w:rsid w:val="00E202EF"/>
    <w:rsid w:val="00E20F6B"/>
    <w:rsid w:val="00E210B5"/>
    <w:rsid w:val="00E230C3"/>
    <w:rsid w:val="00E2552F"/>
    <w:rsid w:val="00E3137A"/>
    <w:rsid w:val="00E32CCF"/>
    <w:rsid w:val="00E34A98"/>
    <w:rsid w:val="00E35D1E"/>
    <w:rsid w:val="00E364F9"/>
    <w:rsid w:val="00E365FA"/>
    <w:rsid w:val="00E36789"/>
    <w:rsid w:val="00E405A1"/>
    <w:rsid w:val="00E40DA6"/>
    <w:rsid w:val="00E423D7"/>
    <w:rsid w:val="00E444A9"/>
    <w:rsid w:val="00E44A83"/>
    <w:rsid w:val="00E44F4B"/>
    <w:rsid w:val="00E459F7"/>
    <w:rsid w:val="00E502C1"/>
    <w:rsid w:val="00E502DD"/>
    <w:rsid w:val="00E50D3A"/>
    <w:rsid w:val="00E51387"/>
    <w:rsid w:val="00E51E68"/>
    <w:rsid w:val="00E52EFD"/>
    <w:rsid w:val="00E5408A"/>
    <w:rsid w:val="00E54542"/>
    <w:rsid w:val="00E56800"/>
    <w:rsid w:val="00E60C63"/>
    <w:rsid w:val="00E62FF9"/>
    <w:rsid w:val="00E635D6"/>
    <w:rsid w:val="00E636CA"/>
    <w:rsid w:val="00E639BC"/>
    <w:rsid w:val="00E639E6"/>
    <w:rsid w:val="00E664CC"/>
    <w:rsid w:val="00E70388"/>
    <w:rsid w:val="00E70D04"/>
    <w:rsid w:val="00E70F92"/>
    <w:rsid w:val="00E72D55"/>
    <w:rsid w:val="00E74313"/>
    <w:rsid w:val="00E74C54"/>
    <w:rsid w:val="00E77A03"/>
    <w:rsid w:val="00E819A9"/>
    <w:rsid w:val="00E822E8"/>
    <w:rsid w:val="00E82554"/>
    <w:rsid w:val="00E82606"/>
    <w:rsid w:val="00E831C1"/>
    <w:rsid w:val="00E846C8"/>
    <w:rsid w:val="00E84957"/>
    <w:rsid w:val="00E84A55"/>
    <w:rsid w:val="00E84A65"/>
    <w:rsid w:val="00E85BFF"/>
    <w:rsid w:val="00E85D34"/>
    <w:rsid w:val="00E878C1"/>
    <w:rsid w:val="00E90391"/>
    <w:rsid w:val="00E906C2"/>
    <w:rsid w:val="00E9311F"/>
    <w:rsid w:val="00E934D1"/>
    <w:rsid w:val="00E93C66"/>
    <w:rsid w:val="00E94AF0"/>
    <w:rsid w:val="00E95D13"/>
    <w:rsid w:val="00E95DD3"/>
    <w:rsid w:val="00E969D5"/>
    <w:rsid w:val="00E97EF0"/>
    <w:rsid w:val="00EA2442"/>
    <w:rsid w:val="00EA3B57"/>
    <w:rsid w:val="00EA5787"/>
    <w:rsid w:val="00EA58D1"/>
    <w:rsid w:val="00EA61BC"/>
    <w:rsid w:val="00EA681A"/>
    <w:rsid w:val="00EA735B"/>
    <w:rsid w:val="00EB1E69"/>
    <w:rsid w:val="00EB2086"/>
    <w:rsid w:val="00EB31ED"/>
    <w:rsid w:val="00EB5A2D"/>
    <w:rsid w:val="00EB5EDF"/>
    <w:rsid w:val="00EB60FE"/>
    <w:rsid w:val="00EB74DB"/>
    <w:rsid w:val="00EC5359"/>
    <w:rsid w:val="00EC562A"/>
    <w:rsid w:val="00ED067A"/>
    <w:rsid w:val="00ED0B96"/>
    <w:rsid w:val="00ED2B50"/>
    <w:rsid w:val="00ED33D2"/>
    <w:rsid w:val="00ED3AD2"/>
    <w:rsid w:val="00ED56F4"/>
    <w:rsid w:val="00EE0350"/>
    <w:rsid w:val="00EE0719"/>
    <w:rsid w:val="00EE0E80"/>
    <w:rsid w:val="00EE2CA9"/>
    <w:rsid w:val="00EE613F"/>
    <w:rsid w:val="00EE6C70"/>
    <w:rsid w:val="00EE7295"/>
    <w:rsid w:val="00EE7869"/>
    <w:rsid w:val="00EF054A"/>
    <w:rsid w:val="00EF3235"/>
    <w:rsid w:val="00EF5883"/>
    <w:rsid w:val="00EF7E72"/>
    <w:rsid w:val="00F06D37"/>
    <w:rsid w:val="00F06D8A"/>
    <w:rsid w:val="00F07B9D"/>
    <w:rsid w:val="00F11586"/>
    <w:rsid w:val="00F116FB"/>
    <w:rsid w:val="00F1183B"/>
    <w:rsid w:val="00F11C9F"/>
    <w:rsid w:val="00F11D41"/>
    <w:rsid w:val="00F12263"/>
    <w:rsid w:val="00F1409D"/>
    <w:rsid w:val="00F14214"/>
    <w:rsid w:val="00F145ED"/>
    <w:rsid w:val="00F14E2B"/>
    <w:rsid w:val="00F157A9"/>
    <w:rsid w:val="00F16F00"/>
    <w:rsid w:val="00F21E5C"/>
    <w:rsid w:val="00F25BB6"/>
    <w:rsid w:val="00F26B7E"/>
    <w:rsid w:val="00F2781D"/>
    <w:rsid w:val="00F27A3B"/>
    <w:rsid w:val="00F27B3A"/>
    <w:rsid w:val="00F30648"/>
    <w:rsid w:val="00F31574"/>
    <w:rsid w:val="00F33817"/>
    <w:rsid w:val="00F4047D"/>
    <w:rsid w:val="00F420D5"/>
    <w:rsid w:val="00F4362F"/>
    <w:rsid w:val="00F451EA"/>
    <w:rsid w:val="00F45447"/>
    <w:rsid w:val="00F456C6"/>
    <w:rsid w:val="00F4577B"/>
    <w:rsid w:val="00F460BF"/>
    <w:rsid w:val="00F46496"/>
    <w:rsid w:val="00F474D0"/>
    <w:rsid w:val="00F50179"/>
    <w:rsid w:val="00F515EE"/>
    <w:rsid w:val="00F55258"/>
    <w:rsid w:val="00F552A3"/>
    <w:rsid w:val="00F56511"/>
    <w:rsid w:val="00F6194E"/>
    <w:rsid w:val="00F623AC"/>
    <w:rsid w:val="00F6412A"/>
    <w:rsid w:val="00F65893"/>
    <w:rsid w:val="00F66A4A"/>
    <w:rsid w:val="00F7042B"/>
    <w:rsid w:val="00F71E22"/>
    <w:rsid w:val="00F72005"/>
    <w:rsid w:val="00F72142"/>
    <w:rsid w:val="00F72AE7"/>
    <w:rsid w:val="00F770B9"/>
    <w:rsid w:val="00F80BC8"/>
    <w:rsid w:val="00F833BA"/>
    <w:rsid w:val="00F84FD0"/>
    <w:rsid w:val="00F859A8"/>
    <w:rsid w:val="00F864C4"/>
    <w:rsid w:val="00F86D87"/>
    <w:rsid w:val="00F90C49"/>
    <w:rsid w:val="00F9108B"/>
    <w:rsid w:val="00F91349"/>
    <w:rsid w:val="00F93A8A"/>
    <w:rsid w:val="00F9420D"/>
    <w:rsid w:val="00F9517C"/>
    <w:rsid w:val="00F95248"/>
    <w:rsid w:val="00F956A9"/>
    <w:rsid w:val="00F963ED"/>
    <w:rsid w:val="00F966CF"/>
    <w:rsid w:val="00F96CAE"/>
    <w:rsid w:val="00F97C99"/>
    <w:rsid w:val="00FA1529"/>
    <w:rsid w:val="00FA662D"/>
    <w:rsid w:val="00FA73B1"/>
    <w:rsid w:val="00FB0A6B"/>
    <w:rsid w:val="00FB0CB9"/>
    <w:rsid w:val="00FB231D"/>
    <w:rsid w:val="00FB4438"/>
    <w:rsid w:val="00FB45F1"/>
    <w:rsid w:val="00FB4A72"/>
    <w:rsid w:val="00FB54E8"/>
    <w:rsid w:val="00FB7054"/>
    <w:rsid w:val="00FC17B7"/>
    <w:rsid w:val="00FC2CB7"/>
    <w:rsid w:val="00FC4090"/>
    <w:rsid w:val="00FC4B41"/>
    <w:rsid w:val="00FC55B4"/>
    <w:rsid w:val="00FD00E6"/>
    <w:rsid w:val="00FD09A1"/>
    <w:rsid w:val="00FD0A8A"/>
    <w:rsid w:val="00FD1A55"/>
    <w:rsid w:val="00FD2A7C"/>
    <w:rsid w:val="00FD392F"/>
    <w:rsid w:val="00FD59EB"/>
    <w:rsid w:val="00FD7299"/>
    <w:rsid w:val="00FD73DC"/>
    <w:rsid w:val="00FD7B78"/>
    <w:rsid w:val="00FE1FBE"/>
    <w:rsid w:val="00FE3901"/>
    <w:rsid w:val="00FE39D3"/>
    <w:rsid w:val="00FE4BCE"/>
    <w:rsid w:val="00FE54AE"/>
    <w:rsid w:val="00FE576A"/>
    <w:rsid w:val="00FE60EB"/>
    <w:rsid w:val="00FE7E79"/>
    <w:rsid w:val="00FF03BC"/>
    <w:rsid w:val="00FF330A"/>
    <w:rsid w:val="00FF3E7D"/>
    <w:rsid w:val="00FF5B99"/>
    <w:rsid w:val="00FF730C"/>
    <w:rsid w:val="00FF73F4"/>
    <w:rsid w:val="00FF7CE4"/>
    <w:rsid w:val="00FF7E39"/>
    <w:rsid w:val="01C54B55"/>
    <w:rsid w:val="029F53A6"/>
    <w:rsid w:val="036C55C4"/>
    <w:rsid w:val="040C25C7"/>
    <w:rsid w:val="04474C1F"/>
    <w:rsid w:val="049A551A"/>
    <w:rsid w:val="04B847D6"/>
    <w:rsid w:val="04BD38C2"/>
    <w:rsid w:val="050B53B3"/>
    <w:rsid w:val="05917228"/>
    <w:rsid w:val="06732DD2"/>
    <w:rsid w:val="069C2278"/>
    <w:rsid w:val="06B064AD"/>
    <w:rsid w:val="08471CD1"/>
    <w:rsid w:val="090C3B5F"/>
    <w:rsid w:val="095D1A76"/>
    <w:rsid w:val="09BA7F36"/>
    <w:rsid w:val="0A983C72"/>
    <w:rsid w:val="0B5B32BA"/>
    <w:rsid w:val="0B901AB9"/>
    <w:rsid w:val="0C7B7A85"/>
    <w:rsid w:val="0C85560D"/>
    <w:rsid w:val="0CBC2F98"/>
    <w:rsid w:val="0CCA1272"/>
    <w:rsid w:val="0E061493"/>
    <w:rsid w:val="0E107075"/>
    <w:rsid w:val="0EF45C83"/>
    <w:rsid w:val="0F96536F"/>
    <w:rsid w:val="108A09C4"/>
    <w:rsid w:val="10D6078D"/>
    <w:rsid w:val="115D0F99"/>
    <w:rsid w:val="12227E79"/>
    <w:rsid w:val="128B0EFC"/>
    <w:rsid w:val="12F47048"/>
    <w:rsid w:val="1381278E"/>
    <w:rsid w:val="14E07E26"/>
    <w:rsid w:val="14E649CA"/>
    <w:rsid w:val="16E63CD6"/>
    <w:rsid w:val="1715503C"/>
    <w:rsid w:val="178B335B"/>
    <w:rsid w:val="17BB6387"/>
    <w:rsid w:val="17EC1FD2"/>
    <w:rsid w:val="1869193F"/>
    <w:rsid w:val="189002E7"/>
    <w:rsid w:val="19091279"/>
    <w:rsid w:val="1917583F"/>
    <w:rsid w:val="1C201234"/>
    <w:rsid w:val="1D5311E0"/>
    <w:rsid w:val="1D5A4550"/>
    <w:rsid w:val="1E4C5F8A"/>
    <w:rsid w:val="1ED61CF8"/>
    <w:rsid w:val="1FB467F6"/>
    <w:rsid w:val="209231BA"/>
    <w:rsid w:val="20F2737F"/>
    <w:rsid w:val="214E25B9"/>
    <w:rsid w:val="21EF3DF5"/>
    <w:rsid w:val="22F2488F"/>
    <w:rsid w:val="23AA2C69"/>
    <w:rsid w:val="24616914"/>
    <w:rsid w:val="252E63EA"/>
    <w:rsid w:val="25631784"/>
    <w:rsid w:val="2616612E"/>
    <w:rsid w:val="264C7199"/>
    <w:rsid w:val="26555830"/>
    <w:rsid w:val="26977FBF"/>
    <w:rsid w:val="274A13ED"/>
    <w:rsid w:val="286B44B6"/>
    <w:rsid w:val="28AA630D"/>
    <w:rsid w:val="293444F3"/>
    <w:rsid w:val="29464E3A"/>
    <w:rsid w:val="29F925DA"/>
    <w:rsid w:val="2A2A30D0"/>
    <w:rsid w:val="2A5B741F"/>
    <w:rsid w:val="2AF61758"/>
    <w:rsid w:val="2BCA1FC0"/>
    <w:rsid w:val="2BDD216F"/>
    <w:rsid w:val="2BE35B92"/>
    <w:rsid w:val="2D4C1B03"/>
    <w:rsid w:val="2E960B5C"/>
    <w:rsid w:val="2EBF572B"/>
    <w:rsid w:val="2FC976C3"/>
    <w:rsid w:val="2FE06533"/>
    <w:rsid w:val="301B50E2"/>
    <w:rsid w:val="30F80DE7"/>
    <w:rsid w:val="31EC53AE"/>
    <w:rsid w:val="3408413A"/>
    <w:rsid w:val="345A6C98"/>
    <w:rsid w:val="35F26FC0"/>
    <w:rsid w:val="36841277"/>
    <w:rsid w:val="37E0102F"/>
    <w:rsid w:val="38C25DC8"/>
    <w:rsid w:val="3A076FF0"/>
    <w:rsid w:val="3AA0348E"/>
    <w:rsid w:val="3B2B37F3"/>
    <w:rsid w:val="3B626996"/>
    <w:rsid w:val="3BA530EE"/>
    <w:rsid w:val="3BDE2CEF"/>
    <w:rsid w:val="3C4D5817"/>
    <w:rsid w:val="3D9377FE"/>
    <w:rsid w:val="3EC2137E"/>
    <w:rsid w:val="3EC349D3"/>
    <w:rsid w:val="3F153163"/>
    <w:rsid w:val="3F7D3D9E"/>
    <w:rsid w:val="3FA555BF"/>
    <w:rsid w:val="40A17833"/>
    <w:rsid w:val="40B30531"/>
    <w:rsid w:val="4162324B"/>
    <w:rsid w:val="417861E8"/>
    <w:rsid w:val="425E3D54"/>
    <w:rsid w:val="4340116F"/>
    <w:rsid w:val="44595217"/>
    <w:rsid w:val="445B74F0"/>
    <w:rsid w:val="447F4114"/>
    <w:rsid w:val="45441906"/>
    <w:rsid w:val="45A02594"/>
    <w:rsid w:val="45B34E95"/>
    <w:rsid w:val="46284338"/>
    <w:rsid w:val="46875502"/>
    <w:rsid w:val="46C55DCC"/>
    <w:rsid w:val="471C5C4A"/>
    <w:rsid w:val="476F0470"/>
    <w:rsid w:val="483B2A7C"/>
    <w:rsid w:val="4916437D"/>
    <w:rsid w:val="4A4C330C"/>
    <w:rsid w:val="4A9D70A2"/>
    <w:rsid w:val="4CB77648"/>
    <w:rsid w:val="4CD53983"/>
    <w:rsid w:val="4E40240F"/>
    <w:rsid w:val="4EDE28AD"/>
    <w:rsid w:val="4F434792"/>
    <w:rsid w:val="4F8368AB"/>
    <w:rsid w:val="4F90367A"/>
    <w:rsid w:val="501D16C4"/>
    <w:rsid w:val="502D19A5"/>
    <w:rsid w:val="503E098B"/>
    <w:rsid w:val="5072696E"/>
    <w:rsid w:val="513B4A0D"/>
    <w:rsid w:val="513C7031"/>
    <w:rsid w:val="51FB1C02"/>
    <w:rsid w:val="522443FB"/>
    <w:rsid w:val="543E06BD"/>
    <w:rsid w:val="54BF056B"/>
    <w:rsid w:val="54CF07B4"/>
    <w:rsid w:val="55055F70"/>
    <w:rsid w:val="55124B31"/>
    <w:rsid w:val="55EE5388"/>
    <w:rsid w:val="56EB5A03"/>
    <w:rsid w:val="57C66BCE"/>
    <w:rsid w:val="58345F00"/>
    <w:rsid w:val="58352351"/>
    <w:rsid w:val="592021F9"/>
    <w:rsid w:val="593703AF"/>
    <w:rsid w:val="5A1F3B25"/>
    <w:rsid w:val="5AC226A1"/>
    <w:rsid w:val="5B8C7AE0"/>
    <w:rsid w:val="5BFD2097"/>
    <w:rsid w:val="5CFD2D29"/>
    <w:rsid w:val="5D182C2F"/>
    <w:rsid w:val="5DAA1DAA"/>
    <w:rsid w:val="5DF254FF"/>
    <w:rsid w:val="5E47584B"/>
    <w:rsid w:val="5E6C74CD"/>
    <w:rsid w:val="5ED335D9"/>
    <w:rsid w:val="5F03362C"/>
    <w:rsid w:val="5F1B7AB5"/>
    <w:rsid w:val="60D01946"/>
    <w:rsid w:val="61B43E7E"/>
    <w:rsid w:val="622814F0"/>
    <w:rsid w:val="625C563D"/>
    <w:rsid w:val="63C106E0"/>
    <w:rsid w:val="63F74842"/>
    <w:rsid w:val="64272BB0"/>
    <w:rsid w:val="64333908"/>
    <w:rsid w:val="64E10103"/>
    <w:rsid w:val="65145E42"/>
    <w:rsid w:val="661B56B5"/>
    <w:rsid w:val="668E7CA6"/>
    <w:rsid w:val="6764121C"/>
    <w:rsid w:val="689C49E5"/>
    <w:rsid w:val="691C78D4"/>
    <w:rsid w:val="695812C9"/>
    <w:rsid w:val="6A8A53CB"/>
    <w:rsid w:val="6D323B6A"/>
    <w:rsid w:val="6D7952F5"/>
    <w:rsid w:val="6D831CA7"/>
    <w:rsid w:val="6DF10206"/>
    <w:rsid w:val="70B02E86"/>
    <w:rsid w:val="716B323A"/>
    <w:rsid w:val="71EC0C95"/>
    <w:rsid w:val="726B668A"/>
    <w:rsid w:val="728A58AF"/>
    <w:rsid w:val="72A13E6D"/>
    <w:rsid w:val="72B8558C"/>
    <w:rsid w:val="74AF6D52"/>
    <w:rsid w:val="75C612F4"/>
    <w:rsid w:val="766E7155"/>
    <w:rsid w:val="769F401E"/>
    <w:rsid w:val="76DC12C2"/>
    <w:rsid w:val="779A33A8"/>
    <w:rsid w:val="77FA7033"/>
    <w:rsid w:val="799E15CD"/>
    <w:rsid w:val="7CA24600"/>
    <w:rsid w:val="7CB07F99"/>
    <w:rsid w:val="7D887796"/>
    <w:rsid w:val="7DC13E48"/>
    <w:rsid w:val="7DC82F39"/>
    <w:rsid w:val="7DE70059"/>
    <w:rsid w:val="7E6D67B0"/>
    <w:rsid w:val="7EC64112"/>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2"/>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3"/>
    <w:qFormat/>
    <w:uiPriority w:val="9"/>
    <w:pPr>
      <w:keepNext/>
      <w:keepLines/>
      <w:spacing w:before="260" w:after="260" w:line="416" w:lineRule="auto"/>
      <w:outlineLvl w:val="2"/>
    </w:pPr>
    <w:rPr>
      <w:b/>
      <w:bCs/>
      <w:sz w:val="32"/>
      <w:szCs w:val="32"/>
    </w:rPr>
  </w:style>
  <w:style w:type="paragraph" w:styleId="5">
    <w:name w:val="heading 4"/>
    <w:basedOn w:val="6"/>
    <w:next w:val="1"/>
    <w:link w:val="44"/>
    <w:qFormat/>
    <w:uiPriority w:val="0"/>
    <w:pPr>
      <w:ind w:firstLine="420"/>
      <w:outlineLvl w:val="3"/>
    </w:pPr>
  </w:style>
  <w:style w:type="paragraph" w:styleId="7">
    <w:name w:val="heading 5"/>
    <w:basedOn w:val="1"/>
    <w:next w:val="1"/>
    <w:link w:val="45"/>
    <w:qFormat/>
    <w:uiPriority w:val="0"/>
    <w:pPr>
      <w:keepNext/>
      <w:keepLines/>
      <w:adjustRightInd/>
      <w:spacing w:before="280" w:after="290" w:line="376" w:lineRule="auto"/>
      <w:outlineLvl w:val="4"/>
    </w:pPr>
    <w:rPr>
      <w:b/>
      <w:bCs/>
      <w:sz w:val="28"/>
      <w:szCs w:val="28"/>
    </w:rPr>
  </w:style>
  <w:style w:type="paragraph" w:styleId="8">
    <w:name w:val="heading 6"/>
    <w:basedOn w:val="1"/>
    <w:next w:val="1"/>
    <w:link w:val="46"/>
    <w:qFormat/>
    <w:uiPriority w:val="0"/>
    <w:pPr>
      <w:keepNext/>
      <w:keepLines/>
      <w:adjustRightInd/>
      <w:spacing w:before="240" w:after="64" w:line="320" w:lineRule="auto"/>
      <w:outlineLvl w:val="5"/>
    </w:pPr>
    <w:rPr>
      <w:rFonts w:ascii="Arial" w:hAnsi="Arial" w:eastAsia="黑体"/>
      <w:b/>
      <w:bCs/>
      <w:sz w:val="24"/>
      <w:szCs w:val="24"/>
    </w:rPr>
  </w:style>
  <w:style w:type="paragraph" w:styleId="9">
    <w:name w:val="heading 7"/>
    <w:basedOn w:val="1"/>
    <w:next w:val="1"/>
    <w:link w:val="47"/>
    <w:qFormat/>
    <w:uiPriority w:val="0"/>
    <w:pPr>
      <w:keepNext/>
      <w:keepLines/>
      <w:adjustRightInd/>
      <w:spacing w:before="240" w:after="64" w:line="320" w:lineRule="auto"/>
      <w:outlineLvl w:val="6"/>
    </w:pPr>
    <w:rPr>
      <w:b/>
      <w:bCs/>
      <w:sz w:val="24"/>
      <w:szCs w:val="24"/>
    </w:rPr>
  </w:style>
  <w:style w:type="paragraph" w:styleId="10">
    <w:name w:val="heading 8"/>
    <w:basedOn w:val="1"/>
    <w:next w:val="1"/>
    <w:link w:val="48"/>
    <w:qFormat/>
    <w:uiPriority w:val="0"/>
    <w:pPr>
      <w:keepNext/>
      <w:keepLines/>
      <w:adjustRightInd/>
      <w:spacing w:before="240" w:after="64" w:line="320" w:lineRule="auto"/>
      <w:outlineLvl w:val="7"/>
    </w:pPr>
    <w:rPr>
      <w:rFonts w:ascii="Arial" w:hAnsi="Arial" w:eastAsia="黑体"/>
      <w:sz w:val="24"/>
      <w:szCs w:val="24"/>
    </w:rPr>
  </w:style>
  <w:style w:type="paragraph" w:styleId="11">
    <w:name w:val="heading 9"/>
    <w:basedOn w:val="1"/>
    <w:next w:val="1"/>
    <w:link w:val="49"/>
    <w:qFormat/>
    <w:uiPriority w:val="0"/>
    <w:pPr>
      <w:keepNext/>
      <w:keepLines/>
      <w:adjustRightInd/>
      <w:spacing w:before="240" w:after="64" w:line="320" w:lineRule="auto"/>
      <w:outlineLvl w:val="8"/>
    </w:pPr>
    <w:rPr>
      <w:rFonts w:ascii="Arial" w:hAnsi="Arial" w:eastAsia="黑体"/>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6">
    <w:name w:val="标准文件_段"/>
    <w:link w:val="19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12">
    <w:name w:val="toc 7"/>
    <w:basedOn w:val="1"/>
    <w:next w:val="1"/>
    <w:autoRedefine/>
    <w:unhideWhenUsed/>
    <w:qFormat/>
    <w:uiPriority w:val="39"/>
    <w:pPr>
      <w:tabs>
        <w:tab w:val="right" w:leader="dot" w:pos="9344"/>
      </w:tabs>
      <w:spacing w:line="300" w:lineRule="exact"/>
      <w:ind w:left="1259"/>
    </w:pPr>
    <w:rPr>
      <w:rFonts w:ascii="宋体"/>
    </w:rPr>
  </w:style>
  <w:style w:type="paragraph" w:styleId="13">
    <w:name w:val="Normal Indent"/>
    <w:basedOn w:val="1"/>
    <w:qFormat/>
    <w:uiPriority w:val="0"/>
    <w:pPr>
      <w:ind w:firstLine="420"/>
    </w:pPr>
  </w:style>
  <w:style w:type="paragraph" w:styleId="14">
    <w:name w:val="caption"/>
    <w:basedOn w:val="1"/>
    <w:next w:val="1"/>
    <w:semiHidden/>
    <w:unhideWhenUsed/>
    <w:qFormat/>
    <w:uiPriority w:val="0"/>
    <w:pPr>
      <w:adjustRightInd/>
      <w:spacing w:line="360" w:lineRule="auto"/>
      <w:ind w:firstLine="602" w:firstLineChars="200"/>
    </w:pPr>
    <w:rPr>
      <w:rFonts w:ascii="Arial" w:hAnsi="Arial" w:eastAsia="黑体" w:cstheme="minorBidi"/>
      <w:sz w:val="20"/>
      <w:szCs w:val="24"/>
    </w:rPr>
  </w:style>
  <w:style w:type="paragraph" w:styleId="15">
    <w:name w:val="annotation text"/>
    <w:basedOn w:val="1"/>
    <w:link w:val="236"/>
    <w:unhideWhenUsed/>
    <w:qFormat/>
    <w:uiPriority w:val="99"/>
    <w:pPr>
      <w:jc w:val="left"/>
    </w:pPr>
  </w:style>
  <w:style w:type="paragraph" w:styleId="16">
    <w:name w:val="Body Text"/>
    <w:basedOn w:val="1"/>
    <w:link w:val="92"/>
    <w:qFormat/>
    <w:uiPriority w:val="0"/>
    <w:pPr>
      <w:spacing w:after="120"/>
    </w:pPr>
  </w:style>
  <w:style w:type="paragraph" w:styleId="17">
    <w:name w:val="toc 5"/>
    <w:basedOn w:val="1"/>
    <w:next w:val="1"/>
    <w:autoRedefine/>
    <w:unhideWhenUsed/>
    <w:qFormat/>
    <w:uiPriority w:val="39"/>
    <w:pPr>
      <w:ind w:left="839"/>
    </w:pPr>
    <w:rPr>
      <w:rFonts w:ascii="宋体"/>
    </w:rPr>
  </w:style>
  <w:style w:type="paragraph" w:styleId="18">
    <w:name w:val="toc 3"/>
    <w:basedOn w:val="1"/>
    <w:next w:val="1"/>
    <w:autoRedefine/>
    <w:unhideWhenUsed/>
    <w:qFormat/>
    <w:uiPriority w:val="39"/>
    <w:pPr>
      <w:spacing w:line="300" w:lineRule="exact"/>
      <w:ind w:left="420"/>
    </w:pPr>
    <w:rPr>
      <w:rFonts w:ascii="宋体"/>
    </w:rPr>
  </w:style>
  <w:style w:type="paragraph" w:styleId="19">
    <w:name w:val="Balloon Text"/>
    <w:basedOn w:val="1"/>
    <w:link w:val="52"/>
    <w:semiHidden/>
    <w:unhideWhenUsed/>
    <w:qFormat/>
    <w:uiPriority w:val="99"/>
    <w:rPr>
      <w:sz w:val="18"/>
      <w:szCs w:val="18"/>
    </w:rPr>
  </w:style>
  <w:style w:type="paragraph" w:styleId="20">
    <w:name w:val="footer"/>
    <w:basedOn w:val="1"/>
    <w:link w:val="51"/>
    <w:qFormat/>
    <w:uiPriority w:val="99"/>
    <w:pPr>
      <w:tabs>
        <w:tab w:val="center" w:pos="4153"/>
        <w:tab w:val="right" w:pos="8306"/>
      </w:tabs>
      <w:adjustRightInd/>
      <w:snapToGrid w:val="0"/>
      <w:spacing w:line="240" w:lineRule="auto"/>
      <w:jc w:val="right"/>
    </w:pPr>
    <w:rPr>
      <w:rFonts w:ascii="宋体"/>
      <w:sz w:val="18"/>
      <w:szCs w:val="18"/>
    </w:rPr>
  </w:style>
  <w:style w:type="paragraph" w:styleId="21">
    <w:name w:val="header"/>
    <w:basedOn w:val="1"/>
    <w:link w:val="50"/>
    <w:qFormat/>
    <w:uiPriority w:val="99"/>
    <w:pPr>
      <w:tabs>
        <w:tab w:val="center" w:pos="4153"/>
        <w:tab w:val="right" w:pos="8306"/>
      </w:tabs>
      <w:adjustRightInd/>
      <w:snapToGrid w:val="0"/>
      <w:jc w:val="center"/>
    </w:pPr>
    <w:rPr>
      <w:sz w:val="18"/>
      <w:szCs w:val="18"/>
    </w:rPr>
  </w:style>
  <w:style w:type="paragraph" w:styleId="22">
    <w:name w:val="toc 1"/>
    <w:basedOn w:val="1"/>
    <w:next w:val="1"/>
    <w:autoRedefine/>
    <w:unhideWhenUsed/>
    <w:qFormat/>
    <w:uiPriority w:val="39"/>
    <w:pPr>
      <w:tabs>
        <w:tab w:val="right" w:leader="dot" w:pos="9344"/>
      </w:tabs>
    </w:pPr>
    <w:rPr>
      <w:rFonts w:ascii="宋体" w:hAnsi="宋体"/>
    </w:rPr>
  </w:style>
  <w:style w:type="paragraph" w:styleId="23">
    <w:name w:val="toc 4"/>
    <w:basedOn w:val="1"/>
    <w:next w:val="1"/>
    <w:autoRedefine/>
    <w:unhideWhenUsed/>
    <w:qFormat/>
    <w:uiPriority w:val="39"/>
    <w:pPr>
      <w:tabs>
        <w:tab w:val="right" w:leader="dot" w:pos="9344"/>
      </w:tabs>
      <w:spacing w:line="300" w:lineRule="exact"/>
      <w:ind w:left="629"/>
    </w:pPr>
    <w:rPr>
      <w:rFonts w:ascii="宋体"/>
    </w:rPr>
  </w:style>
  <w:style w:type="paragraph" w:styleId="24">
    <w:name w:val="footnote text"/>
    <w:basedOn w:val="1"/>
    <w:next w:val="1"/>
    <w:link w:val="105"/>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5">
    <w:name w:val="toc 6"/>
    <w:basedOn w:val="1"/>
    <w:next w:val="1"/>
    <w:autoRedefine/>
    <w:unhideWhenUsed/>
    <w:qFormat/>
    <w:uiPriority w:val="39"/>
    <w:pPr>
      <w:spacing w:line="300" w:lineRule="exact"/>
      <w:ind w:left="1049"/>
    </w:pPr>
    <w:rPr>
      <w:rFonts w:ascii="宋体"/>
    </w:rPr>
  </w:style>
  <w:style w:type="paragraph" w:styleId="26">
    <w:name w:val="table of figures"/>
    <w:basedOn w:val="1"/>
    <w:next w:val="1"/>
    <w:semiHidden/>
    <w:qFormat/>
    <w:uiPriority w:val="0"/>
    <w:pPr>
      <w:adjustRightInd/>
      <w:spacing w:line="240" w:lineRule="auto"/>
      <w:jc w:val="left"/>
    </w:pPr>
    <w:rPr>
      <w:szCs w:val="24"/>
    </w:rPr>
  </w:style>
  <w:style w:type="paragraph" w:styleId="27">
    <w:name w:val="toc 2"/>
    <w:basedOn w:val="1"/>
    <w:next w:val="1"/>
    <w:autoRedefine/>
    <w:unhideWhenUsed/>
    <w:qFormat/>
    <w:uiPriority w:val="39"/>
    <w:pPr>
      <w:tabs>
        <w:tab w:val="right" w:leader="dot" w:pos="9344"/>
      </w:tabs>
      <w:spacing w:line="300" w:lineRule="exact"/>
      <w:ind w:left="210"/>
    </w:pPr>
    <w:rPr>
      <w:rFonts w:ascii="宋体"/>
    </w:rPr>
  </w:style>
  <w:style w:type="paragraph" w:styleId="28">
    <w:name w:val="Normal (Web)"/>
    <w:basedOn w:val="1"/>
    <w:semiHidden/>
    <w:unhideWhenUsed/>
    <w:qFormat/>
    <w:uiPriority w:val="99"/>
    <w:rPr>
      <w:rFonts w:ascii="Times New Roman" w:hAnsi="Times New Roman"/>
      <w:sz w:val="24"/>
      <w:szCs w:val="24"/>
    </w:rPr>
  </w:style>
  <w:style w:type="paragraph" w:styleId="29">
    <w:name w:val="Title"/>
    <w:basedOn w:val="1"/>
    <w:link w:val="55"/>
    <w:qFormat/>
    <w:uiPriority w:val="0"/>
    <w:pPr>
      <w:spacing w:before="240" w:after="60"/>
      <w:jc w:val="center"/>
      <w:outlineLvl w:val="0"/>
    </w:pPr>
    <w:rPr>
      <w:rFonts w:ascii="Arial" w:hAnsi="Arial" w:cs="Arial"/>
      <w:b/>
      <w:bCs/>
      <w:sz w:val="32"/>
      <w:szCs w:val="32"/>
    </w:rPr>
  </w:style>
  <w:style w:type="paragraph" w:styleId="30">
    <w:name w:val="annotation subject"/>
    <w:basedOn w:val="15"/>
    <w:next w:val="15"/>
    <w:link w:val="237"/>
    <w:semiHidden/>
    <w:unhideWhenUsed/>
    <w:qFormat/>
    <w:uiPriority w:val="99"/>
    <w:rPr>
      <w:b/>
      <w:bCs/>
    </w:rPr>
  </w:style>
  <w:style w:type="table" w:styleId="32">
    <w:name w:val="Table Grid"/>
    <w:basedOn w:val="3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22"/>
    <w:rPr>
      <w:b/>
      <w:bCs/>
    </w:rPr>
  </w:style>
  <w:style w:type="character" w:styleId="35">
    <w:name w:val="page number"/>
    <w:qFormat/>
    <w:uiPriority w:val="0"/>
    <w:rPr>
      <w:rFonts w:ascii="宋体" w:hAnsi="Times New Roman" w:eastAsia="宋体"/>
      <w:sz w:val="18"/>
    </w:rPr>
  </w:style>
  <w:style w:type="character" w:styleId="36">
    <w:name w:val="FollowedHyperlink"/>
    <w:basedOn w:val="33"/>
    <w:semiHidden/>
    <w:unhideWhenUsed/>
    <w:qFormat/>
    <w:uiPriority w:val="99"/>
    <w:rPr>
      <w:color w:val="954F72" w:themeColor="followedHyperlink"/>
      <w:u w:val="single"/>
      <w14:textFill>
        <w14:solidFill>
          <w14:schemeClr w14:val="folHlink"/>
        </w14:solidFill>
      </w14:textFill>
    </w:rPr>
  </w:style>
  <w:style w:type="character" w:styleId="37">
    <w:name w:val="Emphasis"/>
    <w:qFormat/>
    <w:uiPriority w:val="20"/>
    <w:rPr>
      <w:i/>
      <w:iCs/>
    </w:rPr>
  </w:style>
  <w:style w:type="character" w:styleId="38">
    <w:name w:val="Hyperlink"/>
    <w:qFormat/>
    <w:uiPriority w:val="99"/>
    <w:rPr>
      <w:rFonts w:ascii="宋体" w:hAnsi="Times New Roman" w:eastAsia="宋体"/>
      <w:color w:val="auto"/>
      <w:spacing w:val="0"/>
      <w:w w:val="100"/>
      <w:position w:val="0"/>
      <w:sz w:val="21"/>
      <w:u w:val="none"/>
      <w:vertAlign w:val="baseline"/>
    </w:rPr>
  </w:style>
  <w:style w:type="character" w:styleId="39">
    <w:name w:val="annotation reference"/>
    <w:basedOn w:val="33"/>
    <w:semiHidden/>
    <w:unhideWhenUsed/>
    <w:qFormat/>
    <w:uiPriority w:val="99"/>
    <w:rPr>
      <w:sz w:val="21"/>
      <w:szCs w:val="21"/>
    </w:rPr>
  </w:style>
  <w:style w:type="character" w:styleId="40">
    <w:name w:val="footnote reference"/>
    <w:semiHidden/>
    <w:qFormat/>
    <w:uiPriority w:val="0"/>
    <w:rPr>
      <w:rFonts w:ascii="宋体" w:hAnsi="宋体" w:eastAsia="宋体" w:cs="Times New Roman"/>
      <w:spacing w:val="0"/>
      <w:sz w:val="18"/>
      <w:vertAlign w:val="superscript"/>
    </w:rPr>
  </w:style>
  <w:style w:type="character" w:customStyle="1" w:styleId="41">
    <w:name w:val="标题 1 字符"/>
    <w:link w:val="2"/>
    <w:qFormat/>
    <w:uiPriority w:val="9"/>
    <w:rPr>
      <w:rFonts w:ascii="Calibri" w:hAnsi="Calibri"/>
      <w:b/>
      <w:bCs/>
      <w:kern w:val="44"/>
      <w:sz w:val="44"/>
      <w:szCs w:val="44"/>
    </w:rPr>
  </w:style>
  <w:style w:type="character" w:customStyle="1" w:styleId="42">
    <w:name w:val="标题 2 字符"/>
    <w:link w:val="3"/>
    <w:qFormat/>
    <w:uiPriority w:val="9"/>
    <w:rPr>
      <w:rFonts w:ascii="Arial" w:hAnsi="Arial" w:eastAsia="黑体"/>
      <w:b/>
      <w:bCs/>
      <w:kern w:val="2"/>
      <w:sz w:val="32"/>
      <w:szCs w:val="32"/>
    </w:rPr>
  </w:style>
  <w:style w:type="character" w:customStyle="1" w:styleId="43">
    <w:name w:val="标题 3 字符"/>
    <w:link w:val="4"/>
    <w:qFormat/>
    <w:uiPriority w:val="9"/>
    <w:rPr>
      <w:rFonts w:ascii="Calibri" w:hAnsi="Calibri"/>
      <w:b/>
      <w:bCs/>
      <w:kern w:val="2"/>
      <w:sz w:val="32"/>
      <w:szCs w:val="32"/>
    </w:rPr>
  </w:style>
  <w:style w:type="character" w:customStyle="1" w:styleId="44">
    <w:name w:val="标题 4 字符"/>
    <w:link w:val="5"/>
    <w:qFormat/>
    <w:uiPriority w:val="0"/>
    <w:rPr>
      <w:rFonts w:ascii="宋体"/>
      <w:sz w:val="21"/>
    </w:rPr>
  </w:style>
  <w:style w:type="character" w:customStyle="1" w:styleId="45">
    <w:name w:val="标题 5 字符"/>
    <w:link w:val="7"/>
    <w:qFormat/>
    <w:uiPriority w:val="0"/>
    <w:rPr>
      <w:rFonts w:ascii="Calibri" w:hAnsi="Calibri"/>
      <w:b/>
      <w:bCs/>
      <w:kern w:val="2"/>
      <w:sz w:val="28"/>
      <w:szCs w:val="28"/>
    </w:rPr>
  </w:style>
  <w:style w:type="character" w:customStyle="1" w:styleId="46">
    <w:name w:val="标题 6 字符"/>
    <w:link w:val="8"/>
    <w:qFormat/>
    <w:uiPriority w:val="0"/>
    <w:rPr>
      <w:rFonts w:ascii="Arial" w:hAnsi="Arial" w:eastAsia="黑体"/>
      <w:b/>
      <w:bCs/>
      <w:kern w:val="2"/>
      <w:sz w:val="24"/>
      <w:szCs w:val="24"/>
    </w:rPr>
  </w:style>
  <w:style w:type="character" w:customStyle="1" w:styleId="47">
    <w:name w:val="标题 7 字符"/>
    <w:link w:val="9"/>
    <w:qFormat/>
    <w:uiPriority w:val="0"/>
    <w:rPr>
      <w:rFonts w:ascii="Calibri" w:hAnsi="Calibri"/>
      <w:b/>
      <w:bCs/>
      <w:kern w:val="2"/>
      <w:sz w:val="24"/>
      <w:szCs w:val="24"/>
    </w:rPr>
  </w:style>
  <w:style w:type="character" w:customStyle="1" w:styleId="48">
    <w:name w:val="标题 8 字符"/>
    <w:link w:val="10"/>
    <w:qFormat/>
    <w:uiPriority w:val="0"/>
    <w:rPr>
      <w:rFonts w:ascii="Arial" w:hAnsi="Arial" w:eastAsia="黑体" w:cs="Times New Roman"/>
      <w:sz w:val="24"/>
      <w:szCs w:val="24"/>
    </w:rPr>
  </w:style>
  <w:style w:type="character" w:customStyle="1" w:styleId="49">
    <w:name w:val="标题 9 字符"/>
    <w:link w:val="11"/>
    <w:qFormat/>
    <w:uiPriority w:val="0"/>
    <w:rPr>
      <w:rFonts w:ascii="Arial" w:hAnsi="Arial" w:eastAsia="黑体"/>
      <w:kern w:val="2"/>
      <w:sz w:val="21"/>
      <w:szCs w:val="21"/>
    </w:rPr>
  </w:style>
  <w:style w:type="character" w:customStyle="1" w:styleId="50">
    <w:name w:val="页眉 字符"/>
    <w:link w:val="21"/>
    <w:qFormat/>
    <w:uiPriority w:val="99"/>
    <w:rPr>
      <w:rFonts w:ascii="Calibri" w:hAnsi="Calibri"/>
      <w:kern w:val="2"/>
      <w:sz w:val="18"/>
      <w:szCs w:val="18"/>
    </w:rPr>
  </w:style>
  <w:style w:type="character" w:customStyle="1" w:styleId="51">
    <w:name w:val="页脚 字符"/>
    <w:link w:val="20"/>
    <w:qFormat/>
    <w:uiPriority w:val="99"/>
    <w:rPr>
      <w:rFonts w:ascii="宋体" w:hAnsi="Calibri"/>
      <w:kern w:val="2"/>
      <w:sz w:val="18"/>
      <w:szCs w:val="18"/>
    </w:rPr>
  </w:style>
  <w:style w:type="character" w:customStyle="1" w:styleId="52">
    <w:name w:val="批注框文本 字符"/>
    <w:link w:val="19"/>
    <w:semiHidden/>
    <w:qFormat/>
    <w:uiPriority w:val="99"/>
    <w:rPr>
      <w:rFonts w:ascii="Calibri" w:hAnsi="Calibri"/>
      <w:kern w:val="2"/>
      <w:sz w:val="18"/>
      <w:szCs w:val="18"/>
    </w:rPr>
  </w:style>
  <w:style w:type="paragraph" w:styleId="53">
    <w:name w:val="Quote"/>
    <w:basedOn w:val="1"/>
    <w:next w:val="1"/>
    <w:link w:val="54"/>
    <w:qFormat/>
    <w:uiPriority w:val="29"/>
    <w:rPr>
      <w:i/>
      <w:iCs/>
      <w:color w:val="000000"/>
    </w:rPr>
  </w:style>
  <w:style w:type="character" w:customStyle="1" w:styleId="54">
    <w:name w:val="引用 字符"/>
    <w:link w:val="53"/>
    <w:qFormat/>
    <w:uiPriority w:val="29"/>
    <w:rPr>
      <w:rFonts w:ascii="Calibri" w:hAnsi="Calibri"/>
      <w:i/>
      <w:iCs/>
      <w:color w:val="000000"/>
      <w:kern w:val="2"/>
      <w:sz w:val="21"/>
      <w:szCs w:val="21"/>
    </w:rPr>
  </w:style>
  <w:style w:type="character" w:customStyle="1" w:styleId="55">
    <w:name w:val="标题 字符"/>
    <w:link w:val="29"/>
    <w:qFormat/>
    <w:uiPriority w:val="0"/>
    <w:rPr>
      <w:rFonts w:ascii="Arial" w:hAnsi="Arial" w:cs="Arial"/>
      <w:b/>
      <w:bCs/>
      <w:kern w:val="2"/>
      <w:sz w:val="32"/>
      <w:szCs w:val="32"/>
    </w:rPr>
  </w:style>
  <w:style w:type="paragraph" w:customStyle="1" w:styleId="56">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7">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8">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9">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60">
    <w:name w:val="标准书眉一"/>
    <w:autoRedefine/>
    <w:qFormat/>
    <w:uiPriority w:val="0"/>
    <w:pPr>
      <w:jc w:val="both"/>
    </w:pPr>
    <w:rPr>
      <w:rFonts w:ascii="Times New Roman" w:hAnsi="Times New Roman" w:eastAsia="宋体" w:cs="Times New Roman"/>
      <w:lang w:val="en-US" w:eastAsia="zh-CN" w:bidi="ar-SA"/>
    </w:rPr>
  </w:style>
  <w:style w:type="paragraph" w:customStyle="1" w:styleId="61">
    <w:name w:val="标准文件_ICS"/>
    <w:basedOn w:val="1"/>
    <w:autoRedefine/>
    <w:qFormat/>
    <w:uiPriority w:val="0"/>
    <w:pPr>
      <w:spacing w:line="0" w:lineRule="atLeast"/>
    </w:pPr>
    <w:rPr>
      <w:rFonts w:ascii="黑体" w:hAnsi="宋体" w:eastAsia="黑体"/>
    </w:rPr>
  </w:style>
  <w:style w:type="paragraph" w:customStyle="1" w:styleId="62">
    <w:name w:val="标准文件_标准正文"/>
    <w:basedOn w:val="1"/>
    <w:next w:val="6"/>
    <w:autoRedefine/>
    <w:qFormat/>
    <w:uiPriority w:val="0"/>
    <w:pPr>
      <w:snapToGrid w:val="0"/>
      <w:ind w:firstLine="200" w:firstLineChars="200"/>
    </w:pPr>
    <w:rPr>
      <w:kern w:val="0"/>
    </w:rPr>
  </w:style>
  <w:style w:type="paragraph" w:customStyle="1" w:styleId="63">
    <w:name w:val="标准文件_版本"/>
    <w:basedOn w:val="62"/>
    <w:autoRedefine/>
    <w:qFormat/>
    <w:uiPriority w:val="0"/>
    <w:pPr>
      <w:adjustRightInd/>
      <w:snapToGrid/>
      <w:ind w:firstLine="0" w:firstLineChars="0"/>
    </w:pPr>
    <w:rPr>
      <w:rFonts w:ascii="宋体" w:hAnsi="宋体"/>
      <w:kern w:val="2"/>
    </w:rPr>
  </w:style>
  <w:style w:type="paragraph" w:customStyle="1" w:styleId="64">
    <w:name w:val="标准文件_标准部门"/>
    <w:basedOn w:val="1"/>
    <w:autoRedefine/>
    <w:qFormat/>
    <w:uiPriority w:val="0"/>
    <w:pPr>
      <w:jc w:val="center"/>
    </w:pPr>
    <w:rPr>
      <w:rFonts w:ascii="黑体" w:eastAsia="黑体"/>
      <w:kern w:val="0"/>
      <w:sz w:val="44"/>
    </w:rPr>
  </w:style>
  <w:style w:type="paragraph" w:customStyle="1" w:styleId="65">
    <w:name w:val="标准文件_标准代替"/>
    <w:basedOn w:val="1"/>
    <w:next w:val="1"/>
    <w:qFormat/>
    <w:uiPriority w:val="0"/>
    <w:pPr>
      <w:spacing w:line="310" w:lineRule="exact"/>
      <w:jc w:val="right"/>
    </w:pPr>
    <w:rPr>
      <w:rFonts w:ascii="宋体" w:hAnsi="宋体"/>
      <w:kern w:val="0"/>
    </w:rPr>
  </w:style>
  <w:style w:type="paragraph" w:customStyle="1" w:styleId="66">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7">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8">
    <w:name w:val="标准文件_页眉偶数页"/>
    <w:basedOn w:val="67"/>
    <w:next w:val="1"/>
    <w:autoRedefine/>
    <w:qFormat/>
    <w:uiPriority w:val="0"/>
    <w:pPr>
      <w:jc w:val="left"/>
    </w:pPr>
  </w:style>
  <w:style w:type="paragraph" w:customStyle="1" w:styleId="69">
    <w:name w:val="标准文件_参考文献标题"/>
    <w:basedOn w:val="1"/>
    <w:next w:val="1"/>
    <w:autoRedefine/>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70">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71">
    <w:name w:val="标准文件_二级条标题"/>
    <w:next w:val="6"/>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2">
    <w:name w:val="标准文件_发布"/>
    <w:autoRedefine/>
    <w:qFormat/>
    <w:uiPriority w:val="0"/>
    <w:rPr>
      <w:rFonts w:ascii="黑体" w:eastAsia="黑体"/>
      <w:spacing w:val="0"/>
      <w:w w:val="100"/>
      <w:position w:val="3"/>
      <w:sz w:val="28"/>
    </w:rPr>
  </w:style>
  <w:style w:type="paragraph" w:customStyle="1" w:styleId="73">
    <w:name w:val="标准文件_方框数字列项"/>
    <w:basedOn w:val="6"/>
    <w:autoRedefine/>
    <w:qFormat/>
    <w:uiPriority w:val="0"/>
    <w:pPr>
      <w:numPr>
        <w:ilvl w:val="0"/>
        <w:numId w:val="3"/>
      </w:numPr>
      <w:ind w:firstLine="0" w:firstLineChars="0"/>
    </w:pPr>
  </w:style>
  <w:style w:type="paragraph" w:customStyle="1" w:styleId="74">
    <w:name w:val="标准文件_封面标准编号"/>
    <w:basedOn w:val="1"/>
    <w:next w:val="65"/>
    <w:autoRedefine/>
    <w:qFormat/>
    <w:uiPriority w:val="0"/>
    <w:pPr>
      <w:spacing w:line="310" w:lineRule="exact"/>
      <w:jc w:val="right"/>
    </w:pPr>
    <w:rPr>
      <w:rFonts w:ascii="黑体" w:eastAsia="黑体"/>
      <w:kern w:val="0"/>
      <w:sz w:val="28"/>
    </w:rPr>
  </w:style>
  <w:style w:type="paragraph" w:customStyle="1" w:styleId="75">
    <w:name w:val="标准文件_封面标准分类号"/>
    <w:basedOn w:val="1"/>
    <w:autoRedefine/>
    <w:qFormat/>
    <w:uiPriority w:val="0"/>
    <w:rPr>
      <w:rFonts w:ascii="黑体" w:eastAsia="黑体"/>
      <w:b/>
      <w:kern w:val="0"/>
      <w:sz w:val="28"/>
    </w:rPr>
  </w:style>
  <w:style w:type="paragraph" w:customStyle="1" w:styleId="76">
    <w:name w:val="标准文件_封面标准名称"/>
    <w:basedOn w:val="1"/>
    <w:autoRedefine/>
    <w:qFormat/>
    <w:uiPriority w:val="0"/>
    <w:pPr>
      <w:spacing w:line="240" w:lineRule="auto"/>
      <w:jc w:val="center"/>
    </w:pPr>
    <w:rPr>
      <w:rFonts w:ascii="黑体" w:eastAsia="黑体"/>
      <w:kern w:val="0"/>
      <w:sz w:val="52"/>
    </w:rPr>
  </w:style>
  <w:style w:type="paragraph" w:customStyle="1" w:styleId="77">
    <w:name w:val="标准文件_封面标准英文名称"/>
    <w:basedOn w:val="1"/>
    <w:autoRedefine/>
    <w:qFormat/>
    <w:uiPriority w:val="0"/>
    <w:pPr>
      <w:spacing w:line="240" w:lineRule="auto"/>
      <w:jc w:val="center"/>
    </w:pPr>
    <w:rPr>
      <w:rFonts w:ascii="黑体" w:eastAsia="黑体"/>
      <w:b/>
      <w:sz w:val="28"/>
    </w:rPr>
  </w:style>
  <w:style w:type="paragraph" w:customStyle="1" w:styleId="78">
    <w:name w:val="标准文件_封面发布日期"/>
    <w:basedOn w:val="1"/>
    <w:qFormat/>
    <w:uiPriority w:val="0"/>
    <w:pPr>
      <w:spacing w:line="310" w:lineRule="exact"/>
    </w:pPr>
    <w:rPr>
      <w:rFonts w:ascii="黑体" w:eastAsia="黑体"/>
      <w:kern w:val="0"/>
      <w:sz w:val="28"/>
    </w:rPr>
  </w:style>
  <w:style w:type="paragraph" w:customStyle="1" w:styleId="79">
    <w:name w:val="标准文件_封面密级"/>
    <w:basedOn w:val="1"/>
    <w:qFormat/>
    <w:uiPriority w:val="0"/>
    <w:rPr>
      <w:rFonts w:eastAsia="黑体"/>
      <w:sz w:val="32"/>
    </w:rPr>
  </w:style>
  <w:style w:type="paragraph" w:customStyle="1" w:styleId="80">
    <w:name w:val="标准文件_封面实施日期"/>
    <w:basedOn w:val="1"/>
    <w:autoRedefine/>
    <w:qFormat/>
    <w:uiPriority w:val="0"/>
    <w:pPr>
      <w:spacing w:line="310" w:lineRule="exact"/>
      <w:jc w:val="right"/>
    </w:pPr>
    <w:rPr>
      <w:rFonts w:ascii="黑体" w:eastAsia="黑体"/>
      <w:sz w:val="28"/>
    </w:rPr>
  </w:style>
  <w:style w:type="paragraph" w:customStyle="1" w:styleId="81">
    <w:name w:val="标准文件_封面抬头"/>
    <w:basedOn w:val="6"/>
    <w:autoRedefine/>
    <w:qFormat/>
    <w:uiPriority w:val="0"/>
    <w:pPr>
      <w:adjustRightInd w:val="0"/>
      <w:spacing w:line="800" w:lineRule="exact"/>
      <w:ind w:firstLine="0" w:firstLineChars="0"/>
      <w:jc w:val="distribute"/>
    </w:pPr>
    <w:rPr>
      <w:rFonts w:ascii="黑体" w:eastAsia="黑体"/>
      <w:b/>
      <w:sz w:val="64"/>
    </w:rPr>
  </w:style>
  <w:style w:type="paragraph" w:customStyle="1" w:styleId="82">
    <w:name w:val="标准文件_附录标识"/>
    <w:next w:val="6"/>
    <w:autoRedefine/>
    <w:qFormat/>
    <w:uiPriority w:val="0"/>
    <w:pPr>
      <w:numPr>
        <w:ilvl w:val="0"/>
        <w:numId w:val="4"/>
      </w:numPr>
      <w:shd w:val="clear" w:color="FFFFFF" w:fill="FFFFFF"/>
      <w:tabs>
        <w:tab w:val="left" w:pos="6406"/>
      </w:tabs>
      <w:spacing w:before="25" w:beforeLines="25" w:after="50" w:afterLines="50"/>
      <w:ind w:left="0"/>
      <w:jc w:val="center"/>
      <w:outlineLvl w:val="0"/>
    </w:pPr>
    <w:rPr>
      <w:rFonts w:ascii="黑体" w:hAnsi="Times New Roman" w:eastAsia="黑体" w:cs="Times New Roman"/>
      <w:sz w:val="21"/>
      <w:lang w:val="en-US" w:eastAsia="zh-CN" w:bidi="ar-SA"/>
    </w:rPr>
  </w:style>
  <w:style w:type="paragraph" w:customStyle="1" w:styleId="83">
    <w:name w:val="标准文件_附录表标题"/>
    <w:next w:val="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4">
    <w:name w:val="标准文件_附录一级条标题"/>
    <w:next w:val="6"/>
    <w:qFormat/>
    <w:uiPriority w:val="0"/>
    <w:pPr>
      <w:widowControl w:val="0"/>
      <w:numPr>
        <w:ilvl w:val="1"/>
        <w:numId w:val="4"/>
      </w:numPr>
      <w:spacing w:before="50" w:beforeLines="50" w:after="50" w:afterLines="50"/>
      <w:ind w:left="0"/>
      <w:jc w:val="both"/>
      <w:outlineLvl w:val="2"/>
    </w:pPr>
    <w:rPr>
      <w:rFonts w:ascii="黑体" w:hAnsi="Times New Roman" w:eastAsia="黑体" w:cs="Times New Roman"/>
      <w:kern w:val="21"/>
      <w:sz w:val="21"/>
      <w:lang w:val="en-US" w:eastAsia="zh-CN" w:bidi="ar-SA"/>
    </w:rPr>
  </w:style>
  <w:style w:type="paragraph" w:customStyle="1" w:styleId="85">
    <w:name w:val="标准文件_附录二级条标题"/>
    <w:basedOn w:val="84"/>
    <w:next w:val="6"/>
    <w:qFormat/>
    <w:uiPriority w:val="0"/>
    <w:pPr>
      <w:widowControl/>
      <w:numPr>
        <w:ilvl w:val="2"/>
      </w:numPr>
      <w:wordWrap w:val="0"/>
      <w:overflowPunct w:val="0"/>
      <w:autoSpaceDE w:val="0"/>
      <w:autoSpaceDN w:val="0"/>
      <w:textAlignment w:val="baseline"/>
      <w:outlineLvl w:val="3"/>
    </w:pPr>
  </w:style>
  <w:style w:type="paragraph" w:customStyle="1" w:styleId="86">
    <w:name w:val="标准文件_附录公式"/>
    <w:basedOn w:val="62"/>
    <w:next w:val="62"/>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7">
    <w:name w:val="标准文件_附录三级条标题"/>
    <w:next w:val="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8">
    <w:name w:val="标准文件_附录四级条标题"/>
    <w:next w:val="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9">
    <w:name w:val="标准文件_附录图标题"/>
    <w:next w:val="6"/>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90">
    <w:name w:val="标准文件_附录五级条标题"/>
    <w:next w:val="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1">
    <w:name w:val="标准文件_附录英文标识"/>
    <w:next w:val="16"/>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2">
    <w:name w:val="正文文本 字符"/>
    <w:link w:val="16"/>
    <w:qFormat/>
    <w:uiPriority w:val="0"/>
    <w:rPr>
      <w:rFonts w:ascii="Calibri" w:hAnsi="Calibri"/>
      <w:kern w:val="2"/>
      <w:sz w:val="21"/>
      <w:szCs w:val="21"/>
    </w:rPr>
  </w:style>
  <w:style w:type="paragraph" w:customStyle="1" w:styleId="93">
    <w:name w:val="标准文件_附录章标题"/>
    <w:next w:val="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4">
    <w:name w:val="标准文件_公式后的破折号"/>
    <w:basedOn w:val="6"/>
    <w:next w:val="6"/>
    <w:qFormat/>
    <w:uiPriority w:val="0"/>
    <w:pPr>
      <w:ind w:left="488" w:leftChars="200" w:hanging="289" w:hangingChars="290"/>
    </w:pPr>
  </w:style>
  <w:style w:type="paragraph" w:customStyle="1" w:styleId="95">
    <w:name w:val="标准文件_前言、引言标题"/>
    <w:next w:val="1"/>
    <w:qFormat/>
    <w:uiPriority w:val="0"/>
    <w:pPr>
      <w:numPr>
        <w:ilvl w:val="0"/>
        <w:numId w:val="8"/>
      </w:numPr>
      <w:shd w:val="clear" w:color="FFFFFF" w:fill="FFFFFF"/>
      <w:spacing w:after="150" w:afterLines="150"/>
      <w:jc w:val="center"/>
      <w:outlineLvl w:val="0"/>
    </w:pPr>
    <w:rPr>
      <w:rFonts w:ascii="黑体" w:hAnsi="Times New Roman" w:eastAsia="黑体" w:cs="Times New Roman"/>
      <w:sz w:val="32"/>
      <w:lang w:val="en-US" w:eastAsia="zh-CN" w:bidi="ar-SA"/>
    </w:rPr>
  </w:style>
  <w:style w:type="paragraph" w:customStyle="1" w:styleId="96">
    <w:name w:val="标准文件_目次、标准名称标题"/>
    <w:basedOn w:val="95"/>
    <w:next w:val="6"/>
    <w:qFormat/>
    <w:uiPriority w:val="0"/>
    <w:pPr>
      <w:spacing w:line="460" w:lineRule="exact"/>
    </w:pPr>
  </w:style>
  <w:style w:type="paragraph" w:customStyle="1" w:styleId="97">
    <w:name w:val="标准文件_目录标题"/>
    <w:basedOn w:val="1"/>
    <w:qFormat/>
    <w:uiPriority w:val="0"/>
    <w:pPr>
      <w:spacing w:after="150" w:afterLines="150" w:line="240" w:lineRule="auto"/>
      <w:jc w:val="center"/>
    </w:pPr>
    <w:rPr>
      <w:rFonts w:ascii="黑体" w:eastAsia="黑体"/>
      <w:sz w:val="32"/>
    </w:rPr>
  </w:style>
  <w:style w:type="paragraph" w:customStyle="1" w:styleId="98">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9">
    <w:name w:val="标准文件_破折号列项（二级）"/>
    <w:basedOn w:val="98"/>
    <w:qFormat/>
    <w:uiPriority w:val="0"/>
    <w:pPr>
      <w:numPr>
        <w:numId w:val="10"/>
      </w:numPr>
      <w:ind w:left="0" w:firstLine="200"/>
    </w:pPr>
  </w:style>
  <w:style w:type="paragraph" w:customStyle="1" w:styleId="100">
    <w:name w:val="标准文件_三级条标题"/>
    <w:basedOn w:val="71"/>
    <w:next w:val="6"/>
    <w:qFormat/>
    <w:uiPriority w:val="0"/>
    <w:pPr>
      <w:widowControl/>
      <w:numPr>
        <w:ilvl w:val="4"/>
      </w:numPr>
      <w:outlineLvl w:val="3"/>
    </w:pPr>
  </w:style>
  <w:style w:type="character" w:customStyle="1" w:styleId="101">
    <w:name w:val="不明显参考1"/>
    <w:qFormat/>
    <w:uiPriority w:val="31"/>
    <w:rPr>
      <w:smallCaps/>
      <w:color w:val="C0504D"/>
      <w:u w:val="single"/>
    </w:rPr>
  </w:style>
  <w:style w:type="paragraph" w:customStyle="1" w:styleId="102">
    <w:name w:val="标准文件_示例后续"/>
    <w:basedOn w:val="1"/>
    <w:qFormat/>
    <w:uiPriority w:val="0"/>
    <w:pPr>
      <w:adjustRightInd/>
      <w:spacing w:line="240" w:lineRule="auto"/>
      <w:ind w:firstLine="200" w:firstLineChars="200"/>
    </w:pPr>
    <w:rPr>
      <w:sz w:val="18"/>
      <w:szCs w:val="24"/>
    </w:rPr>
  </w:style>
  <w:style w:type="paragraph" w:customStyle="1" w:styleId="103">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4">
    <w:name w:val="标准文件_四级条标题"/>
    <w:next w:val="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5">
    <w:name w:val="脚注文本 字符"/>
    <w:link w:val="24"/>
    <w:semiHidden/>
    <w:qFormat/>
    <w:uiPriority w:val="0"/>
    <w:rPr>
      <w:rFonts w:ascii="宋体" w:hAnsi="Calibri"/>
      <w:kern w:val="2"/>
      <w:sz w:val="18"/>
      <w:szCs w:val="18"/>
    </w:rPr>
  </w:style>
  <w:style w:type="paragraph" w:customStyle="1" w:styleId="106">
    <w:name w:val="标准文件_条文脚注"/>
    <w:basedOn w:val="24"/>
    <w:qFormat/>
    <w:uiPriority w:val="0"/>
    <w:pPr>
      <w:adjustRightInd w:val="0"/>
      <w:spacing w:line="240" w:lineRule="auto"/>
      <w:ind w:left="0" w:leftChars="0" w:firstLine="200" w:firstLineChars="200"/>
      <w:jc w:val="both"/>
    </w:pPr>
    <w:rPr>
      <w:rFonts w:hAnsi="宋体"/>
    </w:rPr>
  </w:style>
  <w:style w:type="paragraph" w:customStyle="1" w:styleId="107">
    <w:name w:val="标准文件_图表脚注"/>
    <w:basedOn w:val="1"/>
    <w:next w:val="6"/>
    <w:qFormat/>
    <w:uiPriority w:val="0"/>
    <w:pPr>
      <w:numPr>
        <w:ilvl w:val="0"/>
        <w:numId w:val="12"/>
      </w:numPr>
      <w:spacing w:line="240" w:lineRule="auto"/>
      <w:jc w:val="left"/>
    </w:pPr>
    <w:rPr>
      <w:rFonts w:ascii="宋体" w:hAnsi="宋体"/>
      <w:sz w:val="18"/>
    </w:rPr>
  </w:style>
  <w:style w:type="character" w:customStyle="1" w:styleId="108">
    <w:name w:val="标准文件_图表脚注内容"/>
    <w:qFormat/>
    <w:uiPriority w:val="0"/>
    <w:rPr>
      <w:rFonts w:ascii="宋体" w:hAnsi="宋体" w:eastAsia="宋体" w:cs="Times New Roman"/>
      <w:spacing w:val="0"/>
      <w:sz w:val="18"/>
      <w:vertAlign w:val="superscript"/>
    </w:rPr>
  </w:style>
  <w:style w:type="paragraph" w:customStyle="1" w:styleId="109">
    <w:name w:val="标准文件_五级条标题"/>
    <w:next w:val="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0">
    <w:name w:val="标准文件_章标题"/>
    <w:next w:val="6"/>
    <w:qFormat/>
    <w:uiPriority w:val="0"/>
    <w:pPr>
      <w:numPr>
        <w:ilvl w:val="1"/>
        <w:numId w:val="2"/>
      </w:numPr>
      <w:spacing w:before="100" w:beforeLines="100" w:after="100" w:afterLines="100"/>
      <w:ind w:left="142"/>
      <w:jc w:val="both"/>
      <w:outlineLvl w:val="0"/>
    </w:pPr>
    <w:rPr>
      <w:rFonts w:ascii="黑体" w:hAnsi="Times New Roman" w:eastAsia="黑体" w:cs="Times New Roman"/>
      <w:sz w:val="21"/>
      <w:lang w:val="en-US" w:eastAsia="zh-CN" w:bidi="ar-SA"/>
    </w:rPr>
  </w:style>
  <w:style w:type="paragraph" w:customStyle="1" w:styleId="111">
    <w:name w:val="标准文件_一级条标题"/>
    <w:basedOn w:val="110"/>
    <w:next w:val="6"/>
    <w:qFormat/>
    <w:uiPriority w:val="0"/>
    <w:pPr>
      <w:numPr>
        <w:ilvl w:val="2"/>
      </w:numPr>
      <w:spacing w:before="50" w:beforeLines="50" w:after="50" w:afterLines="50"/>
      <w:outlineLvl w:val="1"/>
    </w:pPr>
  </w:style>
  <w:style w:type="paragraph" w:customStyle="1" w:styleId="112">
    <w:name w:val="标准文件_一致程度"/>
    <w:basedOn w:val="1"/>
    <w:qFormat/>
    <w:uiPriority w:val="0"/>
    <w:pPr>
      <w:spacing w:line="440" w:lineRule="exact"/>
      <w:jc w:val="center"/>
    </w:pPr>
    <w:rPr>
      <w:sz w:val="28"/>
    </w:rPr>
  </w:style>
  <w:style w:type="paragraph" w:customStyle="1" w:styleId="113">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4">
    <w:name w:val="标准文件_英文图表脚注"/>
    <w:basedOn w:val="62"/>
    <w:qFormat/>
    <w:uiPriority w:val="0"/>
    <w:pPr>
      <w:widowControl/>
      <w:adjustRightInd/>
      <w:snapToGrid/>
      <w:spacing w:line="240" w:lineRule="auto"/>
      <w:ind w:left="79" w:hanging="79" w:hangingChars="80"/>
    </w:pPr>
    <w:rPr>
      <w:rFonts w:ascii="宋体" w:hAnsi="宋体"/>
    </w:rPr>
  </w:style>
  <w:style w:type="paragraph" w:customStyle="1" w:styleId="115">
    <w:name w:val="标准文件_数字编号列项（二级）"/>
    <w:qFormat/>
    <w:uiPriority w:val="0"/>
    <w:pPr>
      <w:numPr>
        <w:ilvl w:val="1"/>
        <w:numId w:val="13"/>
      </w:numPr>
      <w:tabs>
        <w:tab w:val="left" w:pos="360"/>
        <w:tab w:val="clear" w:pos="1276"/>
      </w:tabs>
      <w:ind w:left="0" w:firstLine="0"/>
      <w:jc w:val="both"/>
    </w:pPr>
    <w:rPr>
      <w:rFonts w:ascii="宋体" w:hAnsi="Times New Roman" w:eastAsia="宋体" w:cs="Times New Roman"/>
      <w:sz w:val="21"/>
      <w:lang w:val="en-US" w:eastAsia="zh-CN" w:bidi="ar-SA"/>
    </w:rPr>
  </w:style>
  <w:style w:type="paragraph" w:customStyle="1" w:styleId="116">
    <w:name w:val="标准文件_英文注："/>
    <w:basedOn w:val="1"/>
    <w:next w:val="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7">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8">
    <w:name w:val="标准文件_正文表标题"/>
    <w:next w:val="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公式"/>
    <w:basedOn w:val="1"/>
    <w:next w:val="62"/>
    <w:qFormat/>
    <w:uiPriority w:val="0"/>
    <w:pPr>
      <w:tabs>
        <w:tab w:val="center" w:pos="4678"/>
        <w:tab w:val="right" w:leader="middleDot" w:pos="9356"/>
      </w:tabs>
      <w:spacing w:line="240" w:lineRule="auto"/>
    </w:pPr>
    <w:rPr>
      <w:rFonts w:ascii="宋体" w:hAnsi="宋体"/>
    </w:rPr>
  </w:style>
  <w:style w:type="paragraph" w:customStyle="1" w:styleId="120">
    <w:name w:val="标准文件_正文图标题"/>
    <w:next w:val="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21">
    <w:name w:val="标准文件_正文英文表标题"/>
    <w:next w:val="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2">
    <w:name w:val="标准文件_正文英文图标题"/>
    <w:next w:val="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3">
    <w:name w:val="标准文件_编号列项（三级）"/>
    <w:qFormat/>
    <w:uiPriority w:val="0"/>
    <w:pPr>
      <w:numPr>
        <w:ilvl w:val="2"/>
        <w:numId w:val="13"/>
      </w:numPr>
      <w:tabs>
        <w:tab w:val="left" w:pos="360"/>
      </w:tabs>
      <w:ind w:left="0" w:firstLine="0"/>
    </w:pPr>
    <w:rPr>
      <w:rFonts w:ascii="宋体" w:hAnsi="Times New Roman" w:eastAsia="宋体" w:cs="Times New Roman"/>
      <w:sz w:val="21"/>
      <w:lang w:val="en-US" w:eastAsia="zh-CN" w:bidi="ar-SA"/>
    </w:rPr>
  </w:style>
  <w:style w:type="paragraph" w:customStyle="1" w:styleId="124">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5">
    <w:name w:val="发布部门"/>
    <w:next w:val="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6">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7">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1">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2">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3">
    <w:name w:val="封面正文"/>
    <w:qFormat/>
    <w:uiPriority w:val="0"/>
    <w:pPr>
      <w:jc w:val="both"/>
    </w:pPr>
    <w:rPr>
      <w:rFonts w:ascii="Times New Roman" w:hAnsi="Times New Roman" w:eastAsia="宋体" w:cs="Times New Roman"/>
      <w:lang w:val="en-US" w:eastAsia="zh-CN" w:bidi="ar-SA"/>
    </w:rPr>
  </w:style>
  <w:style w:type="paragraph" w:customStyle="1" w:styleId="134">
    <w:name w:val="附录二级无标题条"/>
    <w:basedOn w:val="1"/>
    <w:next w:val="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5">
    <w:name w:val="附录三级无标题条"/>
    <w:basedOn w:val="134"/>
    <w:next w:val="6"/>
    <w:qFormat/>
    <w:uiPriority w:val="0"/>
    <w:pPr>
      <w:outlineLvl w:val="4"/>
    </w:pPr>
  </w:style>
  <w:style w:type="paragraph" w:customStyle="1" w:styleId="136">
    <w:name w:val="附录四级无标题条"/>
    <w:basedOn w:val="135"/>
    <w:next w:val="6"/>
    <w:qFormat/>
    <w:uiPriority w:val="0"/>
    <w:pPr>
      <w:outlineLvl w:val="5"/>
    </w:pPr>
  </w:style>
  <w:style w:type="paragraph" w:customStyle="1" w:styleId="137">
    <w:name w:val="附录图"/>
    <w:next w:val="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8">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9">
    <w:name w:val="附录五级无标题条"/>
    <w:basedOn w:val="136"/>
    <w:next w:val="6"/>
    <w:qFormat/>
    <w:uiPriority w:val="0"/>
    <w:pPr>
      <w:outlineLvl w:val="6"/>
    </w:pPr>
  </w:style>
  <w:style w:type="paragraph" w:customStyle="1" w:styleId="140">
    <w:name w:val="附录性质"/>
    <w:basedOn w:val="1"/>
    <w:qFormat/>
    <w:uiPriority w:val="0"/>
    <w:pPr>
      <w:widowControl/>
      <w:adjustRightInd/>
      <w:jc w:val="center"/>
    </w:pPr>
    <w:rPr>
      <w:rFonts w:ascii="黑体" w:eastAsia="黑体"/>
    </w:rPr>
  </w:style>
  <w:style w:type="paragraph" w:customStyle="1" w:styleId="141">
    <w:name w:val="附录一级无标题条"/>
    <w:basedOn w:val="93"/>
    <w:next w:val="6"/>
    <w:qFormat/>
    <w:uiPriority w:val="0"/>
    <w:pPr>
      <w:autoSpaceDN w:val="0"/>
      <w:outlineLvl w:val="2"/>
    </w:pPr>
    <w:rPr>
      <w:rFonts w:ascii="宋体" w:hAnsi="宋体" w:eastAsia="宋体"/>
    </w:rPr>
  </w:style>
  <w:style w:type="character" w:customStyle="1" w:styleId="142">
    <w:name w:val="个人答复风格"/>
    <w:qFormat/>
    <w:uiPriority w:val="0"/>
    <w:rPr>
      <w:rFonts w:ascii="Arial" w:hAnsi="Arial" w:eastAsia="宋体" w:cs="Arial"/>
      <w:color w:val="auto"/>
      <w:spacing w:val="0"/>
      <w:sz w:val="20"/>
    </w:rPr>
  </w:style>
  <w:style w:type="character" w:customStyle="1" w:styleId="143">
    <w:name w:val="个人撰写风格"/>
    <w:qFormat/>
    <w:uiPriority w:val="0"/>
    <w:rPr>
      <w:rFonts w:ascii="Arial" w:hAnsi="Arial" w:eastAsia="宋体" w:cs="Arial"/>
      <w:color w:val="auto"/>
      <w:spacing w:val="0"/>
      <w:sz w:val="20"/>
    </w:rPr>
  </w:style>
  <w:style w:type="paragraph" w:customStyle="1" w:styleId="144">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5">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6">
    <w:name w:val="列项·"/>
    <w:basedOn w:val="6"/>
    <w:qFormat/>
    <w:uiPriority w:val="0"/>
    <w:pPr>
      <w:tabs>
        <w:tab w:val="left" w:pos="840"/>
      </w:tabs>
    </w:pPr>
  </w:style>
  <w:style w:type="paragraph" w:customStyle="1" w:styleId="14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8">
    <w:name w:val="目录 21"/>
    <w:basedOn w:val="1"/>
    <w:next w:val="1"/>
    <w:autoRedefine/>
    <w:semiHidden/>
    <w:qFormat/>
    <w:uiPriority w:val="0"/>
    <w:pPr>
      <w:adjustRightInd/>
      <w:spacing w:line="240" w:lineRule="auto"/>
      <w:jc w:val="left"/>
    </w:pPr>
    <w:rPr>
      <w:bCs/>
      <w:iCs/>
    </w:rPr>
  </w:style>
  <w:style w:type="paragraph" w:customStyle="1" w:styleId="149">
    <w:name w:val="目录 31"/>
    <w:basedOn w:val="1"/>
    <w:next w:val="1"/>
    <w:autoRedefine/>
    <w:semiHidden/>
    <w:qFormat/>
    <w:uiPriority w:val="0"/>
    <w:pPr>
      <w:spacing w:line="240" w:lineRule="auto"/>
    </w:pPr>
    <w:rPr>
      <w:rFonts w:ascii="宋体" w:hAnsi="宋体"/>
      <w:iCs/>
    </w:rPr>
  </w:style>
  <w:style w:type="paragraph" w:customStyle="1" w:styleId="150">
    <w:name w:val="目录 41"/>
    <w:basedOn w:val="1"/>
    <w:next w:val="1"/>
    <w:autoRedefine/>
    <w:semiHidden/>
    <w:qFormat/>
    <w:uiPriority w:val="0"/>
    <w:pPr>
      <w:adjustRightInd/>
      <w:spacing w:line="240" w:lineRule="auto"/>
      <w:jc w:val="left"/>
    </w:pPr>
  </w:style>
  <w:style w:type="paragraph" w:customStyle="1" w:styleId="151">
    <w:name w:val="目录 51"/>
    <w:basedOn w:val="1"/>
    <w:next w:val="1"/>
    <w:autoRedefine/>
    <w:semiHidden/>
    <w:qFormat/>
    <w:uiPriority w:val="0"/>
    <w:pPr>
      <w:spacing w:line="240" w:lineRule="auto"/>
    </w:pPr>
    <w:rPr>
      <w:rFonts w:ascii="宋体" w:hAnsi="宋体"/>
    </w:rPr>
  </w:style>
  <w:style w:type="paragraph" w:customStyle="1" w:styleId="152">
    <w:name w:val="目录 61"/>
    <w:basedOn w:val="1"/>
    <w:next w:val="1"/>
    <w:autoRedefine/>
    <w:semiHidden/>
    <w:qFormat/>
    <w:uiPriority w:val="0"/>
    <w:pPr>
      <w:adjustRightInd/>
      <w:spacing w:line="240" w:lineRule="auto"/>
      <w:jc w:val="left"/>
    </w:pPr>
  </w:style>
  <w:style w:type="paragraph" w:customStyle="1" w:styleId="153">
    <w:name w:val="目录 71"/>
    <w:basedOn w:val="152"/>
    <w:autoRedefine/>
    <w:semiHidden/>
    <w:qFormat/>
    <w:uiPriority w:val="0"/>
    <w:pPr>
      <w:ind w:left="1260"/>
    </w:pPr>
  </w:style>
  <w:style w:type="paragraph" w:customStyle="1" w:styleId="154">
    <w:name w:val="目录 81"/>
    <w:basedOn w:val="153"/>
    <w:autoRedefine/>
    <w:semiHidden/>
    <w:qFormat/>
    <w:uiPriority w:val="0"/>
    <w:pPr>
      <w:ind w:left="1470"/>
    </w:pPr>
  </w:style>
  <w:style w:type="paragraph" w:customStyle="1" w:styleId="155">
    <w:name w:val="目录 91"/>
    <w:basedOn w:val="154"/>
    <w:autoRedefine/>
    <w:semiHidden/>
    <w:qFormat/>
    <w:uiPriority w:val="0"/>
    <w:pPr>
      <w:ind w:left="1680"/>
    </w:pPr>
  </w:style>
  <w:style w:type="paragraph" w:customStyle="1" w:styleId="156">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7">
    <w:name w:val="其他发布部门"/>
    <w:basedOn w:val="125"/>
    <w:qFormat/>
    <w:uiPriority w:val="0"/>
    <w:pPr>
      <w:framePr w:wrap="around"/>
      <w:spacing w:line="0" w:lineRule="atLeast"/>
    </w:pPr>
    <w:rPr>
      <w:rFonts w:ascii="黑体" w:eastAsia="黑体"/>
      <w:b w:val="0"/>
    </w:rPr>
  </w:style>
  <w:style w:type="paragraph" w:customStyle="1" w:styleId="158">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9">
    <w:name w:val="三级无标题条"/>
    <w:basedOn w:val="1"/>
    <w:qFormat/>
    <w:uiPriority w:val="0"/>
    <w:pPr>
      <w:numPr>
        <w:ilvl w:val="4"/>
        <w:numId w:val="20"/>
      </w:numPr>
      <w:adjustRightInd/>
      <w:spacing w:line="240" w:lineRule="auto"/>
    </w:pPr>
    <w:rPr>
      <w:rFonts w:ascii="宋体" w:hAnsi="宋体"/>
      <w:szCs w:val="24"/>
    </w:rPr>
  </w:style>
  <w:style w:type="paragraph" w:customStyle="1" w:styleId="160">
    <w:name w:val="实施日期"/>
    <w:basedOn w:val="126"/>
    <w:qFormat/>
    <w:uiPriority w:val="0"/>
    <w:pPr>
      <w:framePr w:hSpace="0" w:wrap="around" w:xAlign="right"/>
      <w:jc w:val="right"/>
    </w:pPr>
  </w:style>
  <w:style w:type="paragraph" w:customStyle="1" w:styleId="161">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2">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3">
    <w:name w:val="无标题条"/>
    <w:next w:val="6"/>
    <w:qFormat/>
    <w:uiPriority w:val="0"/>
    <w:pPr>
      <w:jc w:val="both"/>
    </w:pPr>
    <w:rPr>
      <w:rFonts w:ascii="宋体" w:hAnsi="宋体" w:eastAsia="宋体" w:cs="Times New Roman"/>
      <w:sz w:val="21"/>
      <w:lang w:val="en-US" w:eastAsia="zh-CN" w:bidi="ar-SA"/>
    </w:rPr>
  </w:style>
  <w:style w:type="paragraph" w:customStyle="1" w:styleId="164">
    <w:name w:val="五级无标题条"/>
    <w:basedOn w:val="1"/>
    <w:qFormat/>
    <w:uiPriority w:val="0"/>
    <w:pPr>
      <w:numPr>
        <w:ilvl w:val="6"/>
        <w:numId w:val="20"/>
      </w:numPr>
      <w:adjustRightInd/>
    </w:pPr>
    <w:rPr>
      <w:szCs w:val="24"/>
    </w:rPr>
  </w:style>
  <w:style w:type="paragraph" w:customStyle="1" w:styleId="165">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6">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7">
    <w:name w:val="注×:后续"/>
    <w:basedOn w:val="166"/>
    <w:qFormat/>
    <w:uiPriority w:val="0"/>
    <w:pPr>
      <w:ind w:left="1406" w:leftChars="0" w:hanging="499" w:firstLineChars="0"/>
    </w:pPr>
  </w:style>
  <w:style w:type="paragraph" w:customStyle="1" w:styleId="168">
    <w:name w:val="标准文件_一级无标题"/>
    <w:basedOn w:val="111"/>
    <w:qFormat/>
    <w:uiPriority w:val="0"/>
    <w:pPr>
      <w:spacing w:before="0" w:beforeLines="0" w:after="0" w:afterLines="0"/>
      <w:outlineLvl w:val="9"/>
    </w:pPr>
    <w:rPr>
      <w:rFonts w:ascii="宋体" w:eastAsia="宋体"/>
    </w:rPr>
  </w:style>
  <w:style w:type="paragraph" w:customStyle="1" w:styleId="169">
    <w:name w:val="标准文件_五级无标题"/>
    <w:basedOn w:val="109"/>
    <w:qFormat/>
    <w:uiPriority w:val="0"/>
    <w:pPr>
      <w:spacing w:before="0" w:beforeLines="0" w:after="0" w:afterLines="0"/>
      <w:outlineLvl w:val="9"/>
    </w:pPr>
    <w:rPr>
      <w:rFonts w:ascii="宋体" w:eastAsia="宋体"/>
    </w:rPr>
  </w:style>
  <w:style w:type="paragraph" w:customStyle="1" w:styleId="170">
    <w:name w:val="标准文件_三级无标题"/>
    <w:basedOn w:val="100"/>
    <w:qFormat/>
    <w:uiPriority w:val="0"/>
    <w:pPr>
      <w:spacing w:before="0" w:beforeLines="0" w:after="0" w:afterLines="0"/>
      <w:outlineLvl w:val="9"/>
    </w:pPr>
    <w:rPr>
      <w:rFonts w:ascii="宋体" w:eastAsia="宋体"/>
    </w:rPr>
  </w:style>
  <w:style w:type="paragraph" w:customStyle="1" w:styleId="171">
    <w:name w:val="标准文件_二级无标题"/>
    <w:basedOn w:val="71"/>
    <w:qFormat/>
    <w:uiPriority w:val="0"/>
    <w:pPr>
      <w:spacing w:before="0" w:beforeLines="0" w:after="0" w:afterLines="0"/>
      <w:outlineLvl w:val="9"/>
    </w:pPr>
    <w:rPr>
      <w:rFonts w:ascii="宋体" w:eastAsia="宋体"/>
    </w:rPr>
  </w:style>
  <w:style w:type="paragraph" w:customStyle="1" w:styleId="172">
    <w:name w:val="标准_四级无标题"/>
    <w:basedOn w:val="104"/>
    <w:next w:val="6"/>
    <w:qFormat/>
    <w:uiPriority w:val="0"/>
    <w:rPr>
      <w:rFonts w:eastAsia="宋体"/>
    </w:rPr>
  </w:style>
  <w:style w:type="paragraph" w:customStyle="1" w:styleId="173">
    <w:name w:val="标准文件_四级无标题"/>
    <w:basedOn w:val="104"/>
    <w:qFormat/>
    <w:uiPriority w:val="0"/>
    <w:pPr>
      <w:spacing w:before="0" w:beforeLines="0" w:after="0" w:afterLines="0"/>
      <w:outlineLvl w:val="9"/>
    </w:pPr>
    <w:rPr>
      <w:rFonts w:ascii="宋体" w:hAnsi="黑体" w:eastAsia="宋体"/>
      <w:szCs w:val="52"/>
    </w:rPr>
  </w:style>
  <w:style w:type="paragraph" w:customStyle="1" w:styleId="174">
    <w:name w:val="标准文件_大写罗马数字编号列项"/>
    <w:basedOn w:val="6"/>
    <w:qFormat/>
    <w:uiPriority w:val="0"/>
    <w:pPr>
      <w:numPr>
        <w:ilvl w:val="0"/>
        <w:numId w:val="23"/>
      </w:numPr>
      <w:ind w:firstLine="0" w:firstLineChars="0"/>
    </w:pPr>
    <w:rPr>
      <w:rFonts w:ascii="Times New Roman" w:cs="Arial"/>
      <w:szCs w:val="28"/>
    </w:rPr>
  </w:style>
  <w:style w:type="paragraph" w:customStyle="1" w:styleId="175">
    <w:name w:val="标准文件_小写罗马数字编号列项"/>
    <w:basedOn w:val="6"/>
    <w:qFormat/>
    <w:uiPriority w:val="0"/>
    <w:pPr>
      <w:numPr>
        <w:ilvl w:val="0"/>
        <w:numId w:val="24"/>
      </w:numPr>
      <w:ind w:firstLine="0" w:firstLineChars="0"/>
    </w:pPr>
    <w:rPr>
      <w:rFonts w:cs="Arial"/>
      <w:szCs w:val="28"/>
    </w:rPr>
  </w:style>
  <w:style w:type="paragraph" w:customStyle="1" w:styleId="176">
    <w:name w:val="标准文件_附录标题"/>
    <w:basedOn w:val="82"/>
    <w:qFormat/>
    <w:uiPriority w:val="0"/>
    <w:pPr>
      <w:numPr>
        <w:numId w:val="0"/>
      </w:numPr>
      <w:spacing w:after="280"/>
      <w:outlineLvl w:val="9"/>
    </w:pPr>
  </w:style>
  <w:style w:type="paragraph" w:customStyle="1" w:styleId="177">
    <w:name w:val="标准文件_二级项"/>
    <w:qFormat/>
    <w:uiPriority w:val="0"/>
    <w:rPr>
      <w:rFonts w:ascii="宋体" w:hAnsi="Times New Roman" w:eastAsia="宋体" w:cs="Times New Roman"/>
      <w:sz w:val="21"/>
      <w:lang w:val="en-US" w:eastAsia="zh-CN" w:bidi="ar-SA"/>
    </w:rPr>
  </w:style>
  <w:style w:type="paragraph" w:customStyle="1" w:styleId="178">
    <w:name w:val="标准文件_三级项"/>
    <w:basedOn w:val="1"/>
    <w:qFormat/>
    <w:uiPriority w:val="0"/>
    <w:pPr>
      <w:numPr>
        <w:ilvl w:val="2"/>
        <w:numId w:val="21"/>
      </w:numPr>
      <w:spacing w:line="536870612" w:lineRule="auto"/>
    </w:pPr>
    <w:rPr>
      <w:rFonts w:ascii="Times New Roman" w:hAnsi="Times New Roman"/>
    </w:rPr>
  </w:style>
  <w:style w:type="paragraph" w:customStyle="1" w:styleId="179">
    <w:name w:val="图表脚注说明"/>
    <w:basedOn w:val="1"/>
    <w:next w:val="6"/>
    <w:qFormat/>
    <w:uiPriority w:val="0"/>
    <w:pPr>
      <w:numPr>
        <w:ilvl w:val="0"/>
        <w:numId w:val="25"/>
      </w:numPr>
      <w:adjustRightInd/>
      <w:spacing w:line="240" w:lineRule="auto"/>
      <w:ind w:left="783"/>
    </w:pPr>
    <w:rPr>
      <w:rFonts w:ascii="宋体" w:hAnsi="Times New Roman"/>
      <w:sz w:val="18"/>
      <w:szCs w:val="18"/>
    </w:rPr>
  </w:style>
  <w:style w:type="paragraph" w:customStyle="1" w:styleId="180">
    <w:name w:val="标准文件_字母编号列项（一级）"/>
    <w:qFormat/>
    <w:uiPriority w:val="0"/>
    <w:pPr>
      <w:numPr>
        <w:ilvl w:val="0"/>
        <w:numId w:val="13"/>
      </w:numPr>
      <w:tabs>
        <w:tab w:val="left" w:pos="360"/>
        <w:tab w:val="clear" w:pos="851"/>
      </w:tabs>
      <w:ind w:left="0" w:firstLine="0"/>
      <w:jc w:val="both"/>
    </w:pPr>
    <w:rPr>
      <w:rFonts w:ascii="宋体" w:hAnsi="Times New Roman" w:eastAsia="宋体" w:cs="Times New Roman"/>
      <w:sz w:val="21"/>
      <w:lang w:val="en-US" w:eastAsia="zh-CN" w:bidi="ar-SA"/>
    </w:rPr>
  </w:style>
  <w:style w:type="paragraph" w:customStyle="1" w:styleId="181">
    <w:name w:val="标准文件_索引字母"/>
    <w:next w:val="6"/>
    <w:qFormat/>
    <w:uiPriority w:val="0"/>
    <w:pPr>
      <w:jc w:val="center"/>
    </w:pPr>
    <w:rPr>
      <w:rFonts w:ascii="宋体" w:hAnsi="宋体" w:eastAsia="Times New Roman" w:cs="Times New Roman"/>
      <w:b/>
      <w:kern w:val="2"/>
      <w:sz w:val="21"/>
      <w:lang w:val="en-US" w:eastAsia="zh-CN" w:bidi="ar-SA"/>
    </w:rPr>
  </w:style>
  <w:style w:type="paragraph" w:customStyle="1" w:styleId="182">
    <w:name w:val="标准文件_附录前"/>
    <w:next w:val="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3">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4">
    <w:name w:val="标准文件_表格"/>
    <w:basedOn w:val="6"/>
    <w:qFormat/>
    <w:uiPriority w:val="0"/>
    <w:pPr>
      <w:ind w:firstLine="0" w:firstLineChars="0"/>
      <w:jc w:val="center"/>
    </w:pPr>
    <w:rPr>
      <w:sz w:val="18"/>
    </w:rPr>
  </w:style>
  <w:style w:type="paragraph" w:customStyle="1" w:styleId="185">
    <w:name w:val="标准文件_注："/>
    <w:next w:val="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7">
    <w:name w:val="标准文件_示例："/>
    <w:next w:val="188"/>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8">
    <w:name w:val="标准文件_示例内容"/>
    <w:basedOn w:val="6"/>
    <w:qFormat/>
    <w:uiPriority w:val="0"/>
    <w:pPr>
      <w:ind w:firstLine="420"/>
    </w:pPr>
    <w:rPr>
      <w:sz w:val="18"/>
    </w:rPr>
  </w:style>
  <w:style w:type="paragraph" w:customStyle="1" w:styleId="189">
    <w:name w:val="标准文件_示例×："/>
    <w:basedOn w:val="1"/>
    <w:next w:val="188"/>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90">
    <w:name w:val="标准文件_段 Char"/>
    <w:link w:val="6"/>
    <w:qFormat/>
    <w:uiPriority w:val="0"/>
    <w:rPr>
      <w:rFonts w:ascii="宋体"/>
      <w:sz w:val="21"/>
    </w:rPr>
  </w:style>
  <w:style w:type="paragraph" w:customStyle="1" w:styleId="191">
    <w:name w:val="标准文件_表格续"/>
    <w:basedOn w:val="6"/>
    <w:next w:val="6"/>
    <w:qFormat/>
    <w:uiPriority w:val="0"/>
    <w:pPr>
      <w:jc w:val="center"/>
    </w:pPr>
    <w:rPr>
      <w:rFonts w:ascii="黑体" w:hAnsi="黑体" w:eastAsia="黑体"/>
    </w:rPr>
  </w:style>
  <w:style w:type="character" w:styleId="192">
    <w:name w:val="Placeholder Text"/>
    <w:basedOn w:val="33"/>
    <w:semiHidden/>
    <w:qFormat/>
    <w:uiPriority w:val="99"/>
    <w:rPr>
      <w:color w:val="808080"/>
    </w:rPr>
  </w:style>
  <w:style w:type="paragraph" w:customStyle="1" w:styleId="193">
    <w:name w:val="标准文件_二级项2"/>
    <w:basedOn w:val="6"/>
    <w:qFormat/>
    <w:uiPriority w:val="0"/>
    <w:pPr>
      <w:numPr>
        <w:ilvl w:val="1"/>
        <w:numId w:val="21"/>
      </w:numPr>
      <w:ind w:left="1271" w:hanging="420" w:firstLineChars="0"/>
    </w:pPr>
  </w:style>
  <w:style w:type="paragraph" w:customStyle="1" w:styleId="194">
    <w:name w:val="标准文件_三级项2"/>
    <w:basedOn w:val="6"/>
    <w:qFormat/>
    <w:uiPriority w:val="0"/>
    <w:pPr>
      <w:numPr>
        <w:ilvl w:val="0"/>
        <w:numId w:val="30"/>
      </w:numPr>
      <w:spacing w:line="300" w:lineRule="exact"/>
      <w:ind w:left="1276" w:hanging="425" w:firstLineChars="0"/>
    </w:pPr>
    <w:rPr>
      <w:rFonts w:ascii="Times New Roman"/>
    </w:rPr>
  </w:style>
  <w:style w:type="paragraph" w:customStyle="1" w:styleId="195">
    <w:name w:val="标准文件_一级项2"/>
    <w:basedOn w:val="6"/>
    <w:qFormat/>
    <w:uiPriority w:val="0"/>
    <w:pPr>
      <w:numPr>
        <w:ilvl w:val="0"/>
        <w:numId w:val="31"/>
      </w:numPr>
      <w:spacing w:line="300" w:lineRule="exact"/>
      <w:ind w:left="1271" w:hanging="420" w:firstLineChars="0"/>
    </w:pPr>
    <w:rPr>
      <w:rFonts w:ascii="Times New Roman"/>
    </w:rPr>
  </w:style>
  <w:style w:type="paragraph" w:customStyle="1" w:styleId="196">
    <w:name w:val="标准文件_提示"/>
    <w:basedOn w:val="6"/>
    <w:next w:val="6"/>
    <w:qFormat/>
    <w:uiPriority w:val="0"/>
    <w:pPr>
      <w:ind w:firstLine="420"/>
    </w:pPr>
    <w:rPr>
      <w:rFonts w:ascii="黑体" w:eastAsia="黑体"/>
    </w:rPr>
  </w:style>
  <w:style w:type="character" w:customStyle="1" w:styleId="197">
    <w:name w:val="标准文件_来源"/>
    <w:basedOn w:val="33"/>
    <w:qFormat/>
    <w:uiPriority w:val="1"/>
    <w:rPr>
      <w:rFonts w:eastAsia="宋体"/>
      <w:sz w:val="21"/>
    </w:rPr>
  </w:style>
  <w:style w:type="paragraph" w:customStyle="1" w:styleId="198">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9">
    <w:name w:val="其他发布日期"/>
    <w:basedOn w:val="126"/>
    <w:qFormat/>
    <w:uiPriority w:val="0"/>
    <w:pPr>
      <w:framePr w:w="3997" w:h="471" w:hRule="exact" w:hSpace="0" w:vSpace="181" w:wrap="around" w:vAnchor="page" w:hAnchor="page" w:x="1419" w:y="14097"/>
    </w:pPr>
  </w:style>
  <w:style w:type="paragraph" w:customStyle="1" w:styleId="200">
    <w:name w:val="其他实施日期"/>
    <w:basedOn w:val="160"/>
    <w:qFormat/>
    <w:uiPriority w:val="0"/>
    <w:pPr>
      <w:framePr w:w="3997" w:h="471" w:hRule="exact" w:vSpace="181" w:wrap="around" w:vAnchor="page" w:hAnchor="page" w:x="7089" w:y="14097"/>
    </w:pPr>
  </w:style>
  <w:style w:type="paragraph" w:customStyle="1" w:styleId="201">
    <w:name w:val="标准文件_文件编号"/>
    <w:basedOn w:val="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2">
    <w:name w:val="标准文件_替换文件编号"/>
    <w:basedOn w:val="201"/>
    <w:qFormat/>
    <w:uiPriority w:val="0"/>
    <w:pPr>
      <w:spacing w:before="57"/>
    </w:pPr>
    <w:rPr>
      <w:sz w:val="21"/>
    </w:rPr>
  </w:style>
  <w:style w:type="paragraph" w:customStyle="1" w:styleId="203">
    <w:name w:val="标准文件_文件名称"/>
    <w:basedOn w:val="6"/>
    <w:next w:val="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4">
    <w:name w:val="标准文件_附录图标号"/>
    <w:basedOn w:val="6"/>
    <w:next w:val="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5">
    <w:name w:val="标准文件_附录表标号"/>
    <w:basedOn w:val="6"/>
    <w:next w:val="6"/>
    <w:qFormat/>
    <w:uiPriority w:val="0"/>
    <w:pPr>
      <w:numPr>
        <w:ilvl w:val="0"/>
        <w:numId w:val="5"/>
      </w:numPr>
      <w:spacing w:line="14" w:lineRule="exact"/>
      <w:ind w:firstLine="0" w:firstLineChars="0"/>
      <w:jc w:val="center"/>
    </w:pPr>
    <w:rPr>
      <w:rFonts w:eastAsia="黑体"/>
      <w:vanish/>
      <w:sz w:val="2"/>
    </w:rPr>
  </w:style>
  <w:style w:type="paragraph" w:customStyle="1" w:styleId="206">
    <w:name w:val="标准文件_引言一级条标题"/>
    <w:basedOn w:val="6"/>
    <w:next w:val="6"/>
    <w:qFormat/>
    <w:uiPriority w:val="0"/>
    <w:pPr>
      <w:numPr>
        <w:ilvl w:val="1"/>
        <w:numId w:val="8"/>
      </w:numPr>
      <w:spacing w:before="50" w:beforeLines="50" w:after="50" w:afterLines="50"/>
      <w:ind w:firstLineChars="0"/>
    </w:pPr>
    <w:rPr>
      <w:rFonts w:ascii="黑体" w:eastAsia="黑体"/>
    </w:rPr>
  </w:style>
  <w:style w:type="paragraph" w:customStyle="1" w:styleId="207">
    <w:name w:val="标准文件_引言二级条标题"/>
    <w:basedOn w:val="6"/>
    <w:next w:val="6"/>
    <w:qFormat/>
    <w:uiPriority w:val="0"/>
    <w:pPr>
      <w:numPr>
        <w:ilvl w:val="2"/>
        <w:numId w:val="8"/>
      </w:numPr>
      <w:spacing w:before="50" w:beforeLines="50" w:after="50" w:afterLines="50"/>
      <w:ind w:firstLineChars="0"/>
    </w:pPr>
    <w:rPr>
      <w:rFonts w:ascii="黑体" w:eastAsia="黑体"/>
    </w:rPr>
  </w:style>
  <w:style w:type="paragraph" w:customStyle="1" w:styleId="208">
    <w:name w:val="标准文件_引言三级条标题"/>
    <w:basedOn w:val="6"/>
    <w:next w:val="6"/>
    <w:qFormat/>
    <w:uiPriority w:val="0"/>
    <w:pPr>
      <w:numPr>
        <w:ilvl w:val="3"/>
        <w:numId w:val="8"/>
      </w:numPr>
      <w:spacing w:before="50" w:beforeLines="50" w:after="50" w:afterLines="50"/>
      <w:ind w:firstLineChars="0"/>
    </w:pPr>
    <w:rPr>
      <w:rFonts w:ascii="黑体" w:eastAsia="黑体"/>
    </w:rPr>
  </w:style>
  <w:style w:type="paragraph" w:customStyle="1" w:styleId="209">
    <w:name w:val="标准文件_引言四级条标题"/>
    <w:basedOn w:val="6"/>
    <w:next w:val="6"/>
    <w:qFormat/>
    <w:uiPriority w:val="0"/>
    <w:pPr>
      <w:numPr>
        <w:ilvl w:val="4"/>
        <w:numId w:val="8"/>
      </w:numPr>
      <w:spacing w:before="50" w:beforeLines="50" w:after="50" w:afterLines="50"/>
      <w:ind w:firstLineChars="0"/>
    </w:pPr>
    <w:rPr>
      <w:rFonts w:ascii="黑体" w:eastAsia="黑体"/>
    </w:rPr>
  </w:style>
  <w:style w:type="paragraph" w:customStyle="1" w:styleId="210">
    <w:name w:val="标准文件_引言五级条标题"/>
    <w:basedOn w:val="6"/>
    <w:next w:val="6"/>
    <w:qFormat/>
    <w:uiPriority w:val="0"/>
    <w:pPr>
      <w:numPr>
        <w:ilvl w:val="5"/>
        <w:numId w:val="8"/>
      </w:numPr>
      <w:spacing w:before="50" w:beforeLines="50" w:after="50" w:afterLines="50"/>
      <w:ind w:firstLineChars="0"/>
    </w:pPr>
    <w:rPr>
      <w:rFonts w:ascii="黑体" w:eastAsia="黑体"/>
    </w:rPr>
  </w:style>
  <w:style w:type="paragraph" w:customStyle="1" w:styleId="211">
    <w:name w:val="标准文件_注后"/>
    <w:basedOn w:val="6"/>
    <w:qFormat/>
    <w:uiPriority w:val="0"/>
    <w:pPr>
      <w:ind w:left="811" w:firstLine="0" w:firstLineChars="0"/>
    </w:pPr>
    <w:rPr>
      <w:sz w:val="18"/>
    </w:rPr>
  </w:style>
  <w:style w:type="paragraph" w:customStyle="1" w:styleId="212">
    <w:name w:val="标准文件_注X后"/>
    <w:basedOn w:val="6"/>
    <w:qFormat/>
    <w:uiPriority w:val="0"/>
    <w:pPr>
      <w:ind w:left="811" w:firstLine="0" w:firstLineChars="0"/>
    </w:pPr>
    <w:rPr>
      <w:sz w:val="18"/>
    </w:rPr>
  </w:style>
  <w:style w:type="paragraph" w:customStyle="1" w:styleId="213">
    <w:name w:val="标准文件_示例后"/>
    <w:basedOn w:val="6"/>
    <w:qFormat/>
    <w:uiPriority w:val="0"/>
    <w:pPr>
      <w:ind w:left="964" w:firstLine="0" w:firstLineChars="0"/>
    </w:pPr>
    <w:rPr>
      <w:sz w:val="18"/>
    </w:rPr>
  </w:style>
  <w:style w:type="paragraph" w:customStyle="1" w:styleId="214">
    <w:name w:val="标准文件_示例X后"/>
    <w:basedOn w:val="6"/>
    <w:link w:val="215"/>
    <w:qFormat/>
    <w:uiPriority w:val="0"/>
    <w:pPr>
      <w:ind w:left="1049" w:firstLine="0" w:firstLineChars="0"/>
    </w:pPr>
    <w:rPr>
      <w:sz w:val="18"/>
    </w:rPr>
  </w:style>
  <w:style w:type="character" w:customStyle="1" w:styleId="215">
    <w:name w:val="标准文件_示例X后 字符"/>
    <w:basedOn w:val="190"/>
    <w:link w:val="214"/>
    <w:qFormat/>
    <w:uiPriority w:val="0"/>
    <w:rPr>
      <w:rFonts w:ascii="宋体"/>
      <w:sz w:val="18"/>
    </w:rPr>
  </w:style>
  <w:style w:type="paragraph" w:customStyle="1" w:styleId="216">
    <w:name w:val="标准文件_索引项"/>
    <w:basedOn w:val="6"/>
    <w:next w:val="6"/>
    <w:qFormat/>
    <w:uiPriority w:val="0"/>
    <w:pPr>
      <w:tabs>
        <w:tab w:val="right" w:leader="dot" w:pos="9356"/>
      </w:tabs>
      <w:ind w:left="210" w:hanging="210" w:firstLineChars="0"/>
      <w:jc w:val="left"/>
    </w:pPr>
  </w:style>
  <w:style w:type="paragraph" w:customStyle="1" w:styleId="217">
    <w:name w:val="标准文件_附录一级无标题"/>
    <w:basedOn w:val="84"/>
    <w:qFormat/>
    <w:uiPriority w:val="0"/>
    <w:pPr>
      <w:spacing w:before="0" w:beforeLines="0" w:after="0" w:afterLines="0" w:line="276" w:lineRule="auto"/>
      <w:outlineLvl w:val="9"/>
    </w:pPr>
    <w:rPr>
      <w:rFonts w:ascii="宋体" w:eastAsia="宋体"/>
    </w:rPr>
  </w:style>
  <w:style w:type="paragraph" w:customStyle="1" w:styleId="218">
    <w:name w:val="标准文件_附录二级无标题"/>
    <w:basedOn w:val="85"/>
    <w:qFormat/>
    <w:uiPriority w:val="0"/>
    <w:pPr>
      <w:spacing w:before="0" w:beforeLines="0" w:after="0" w:afterLines="0" w:line="276" w:lineRule="auto"/>
      <w:outlineLvl w:val="9"/>
    </w:pPr>
    <w:rPr>
      <w:rFonts w:ascii="宋体" w:eastAsia="宋体"/>
    </w:rPr>
  </w:style>
  <w:style w:type="paragraph" w:customStyle="1" w:styleId="219">
    <w:name w:val="标准文件_附录三级无标题"/>
    <w:basedOn w:val="87"/>
    <w:qFormat/>
    <w:uiPriority w:val="0"/>
    <w:pPr>
      <w:spacing w:before="0" w:beforeLines="0" w:after="0" w:afterLines="0" w:line="276" w:lineRule="auto"/>
      <w:outlineLvl w:val="9"/>
    </w:pPr>
    <w:rPr>
      <w:rFonts w:ascii="宋体" w:eastAsia="宋体"/>
    </w:rPr>
  </w:style>
  <w:style w:type="paragraph" w:customStyle="1" w:styleId="220">
    <w:name w:val="标准文件_附录四级无标题"/>
    <w:basedOn w:val="88"/>
    <w:qFormat/>
    <w:uiPriority w:val="0"/>
    <w:pPr>
      <w:spacing w:before="0" w:beforeLines="0" w:after="0" w:afterLines="0" w:line="276" w:lineRule="auto"/>
      <w:outlineLvl w:val="9"/>
    </w:pPr>
    <w:rPr>
      <w:rFonts w:ascii="宋体" w:eastAsia="宋体"/>
    </w:rPr>
  </w:style>
  <w:style w:type="paragraph" w:customStyle="1" w:styleId="221">
    <w:name w:val="标准文件_附录五级无标题"/>
    <w:basedOn w:val="90"/>
    <w:qFormat/>
    <w:uiPriority w:val="0"/>
    <w:pPr>
      <w:spacing w:before="0" w:beforeLines="0" w:after="0" w:afterLines="0" w:line="276" w:lineRule="auto"/>
      <w:outlineLvl w:val="9"/>
    </w:pPr>
    <w:rPr>
      <w:rFonts w:ascii="宋体" w:eastAsia="宋体"/>
    </w:rPr>
  </w:style>
  <w:style w:type="paragraph" w:customStyle="1" w:styleId="222">
    <w:name w:val="标准文件_引言一级无标题"/>
    <w:basedOn w:val="206"/>
    <w:next w:val="6"/>
    <w:qFormat/>
    <w:uiPriority w:val="0"/>
    <w:pPr>
      <w:spacing w:before="0" w:beforeLines="0" w:after="0" w:afterLines="0" w:line="276" w:lineRule="auto"/>
    </w:pPr>
    <w:rPr>
      <w:rFonts w:ascii="宋体" w:eastAsia="宋体"/>
    </w:rPr>
  </w:style>
  <w:style w:type="paragraph" w:customStyle="1" w:styleId="223">
    <w:name w:val="标准文件_引言二级无标题"/>
    <w:basedOn w:val="207"/>
    <w:next w:val="6"/>
    <w:qFormat/>
    <w:uiPriority w:val="0"/>
    <w:pPr>
      <w:spacing w:before="0" w:beforeLines="0" w:after="0" w:afterLines="0" w:line="276" w:lineRule="auto"/>
    </w:pPr>
    <w:rPr>
      <w:rFonts w:ascii="宋体" w:eastAsia="宋体"/>
    </w:rPr>
  </w:style>
  <w:style w:type="paragraph" w:customStyle="1" w:styleId="224">
    <w:name w:val="标准文件_引言三级无标题"/>
    <w:basedOn w:val="208"/>
    <w:next w:val="6"/>
    <w:qFormat/>
    <w:uiPriority w:val="0"/>
    <w:pPr>
      <w:spacing w:before="0" w:beforeLines="0" w:after="0" w:afterLines="0" w:line="276" w:lineRule="auto"/>
    </w:pPr>
    <w:rPr>
      <w:rFonts w:ascii="宋体" w:eastAsia="宋体"/>
    </w:rPr>
  </w:style>
  <w:style w:type="paragraph" w:customStyle="1" w:styleId="225">
    <w:name w:val="标准文件_引言四级无标题"/>
    <w:basedOn w:val="209"/>
    <w:next w:val="6"/>
    <w:qFormat/>
    <w:uiPriority w:val="0"/>
    <w:pPr>
      <w:spacing w:before="0" w:beforeLines="0" w:after="0" w:afterLines="0" w:line="276" w:lineRule="auto"/>
    </w:pPr>
    <w:rPr>
      <w:rFonts w:ascii="宋体" w:eastAsia="宋体"/>
    </w:rPr>
  </w:style>
  <w:style w:type="paragraph" w:customStyle="1" w:styleId="226">
    <w:name w:val="标准文件_引言五级无标题"/>
    <w:basedOn w:val="210"/>
    <w:next w:val="6"/>
    <w:qFormat/>
    <w:uiPriority w:val="0"/>
    <w:pPr>
      <w:spacing w:before="0" w:beforeLines="0" w:after="0" w:afterLines="0" w:line="276" w:lineRule="auto"/>
    </w:pPr>
    <w:rPr>
      <w:rFonts w:ascii="宋体" w:eastAsia="宋体"/>
    </w:rPr>
  </w:style>
  <w:style w:type="paragraph" w:customStyle="1" w:styleId="227">
    <w:name w:val="标准文件_索引标题"/>
    <w:basedOn w:val="69"/>
    <w:next w:val="6"/>
    <w:qFormat/>
    <w:uiPriority w:val="0"/>
    <w:rPr>
      <w:rFonts w:hAnsi="黑体"/>
    </w:rPr>
  </w:style>
  <w:style w:type="paragraph" w:customStyle="1" w:styleId="228">
    <w:name w:val="标准文件_脚注内容"/>
    <w:basedOn w:val="6"/>
    <w:qFormat/>
    <w:uiPriority w:val="0"/>
    <w:pPr>
      <w:ind w:left="400" w:leftChars="200" w:hanging="200" w:hangingChars="200"/>
    </w:pPr>
    <w:rPr>
      <w:sz w:val="15"/>
    </w:rPr>
  </w:style>
  <w:style w:type="paragraph" w:customStyle="1" w:styleId="229">
    <w:name w:val="标准文件_术语条一"/>
    <w:basedOn w:val="168"/>
    <w:next w:val="6"/>
    <w:qFormat/>
    <w:uiPriority w:val="0"/>
  </w:style>
  <w:style w:type="paragraph" w:customStyle="1" w:styleId="230">
    <w:name w:val="标准文件_术语条二"/>
    <w:basedOn w:val="171"/>
    <w:next w:val="6"/>
    <w:qFormat/>
    <w:uiPriority w:val="0"/>
  </w:style>
  <w:style w:type="paragraph" w:customStyle="1" w:styleId="231">
    <w:name w:val="标准文件_术语条三"/>
    <w:basedOn w:val="170"/>
    <w:next w:val="6"/>
    <w:qFormat/>
    <w:uiPriority w:val="0"/>
  </w:style>
  <w:style w:type="paragraph" w:customStyle="1" w:styleId="232">
    <w:name w:val="标准文件_术语条四"/>
    <w:basedOn w:val="173"/>
    <w:next w:val="6"/>
    <w:qFormat/>
    <w:uiPriority w:val="0"/>
  </w:style>
  <w:style w:type="paragraph" w:customStyle="1" w:styleId="233">
    <w:name w:val="标准文件_术语条五"/>
    <w:basedOn w:val="169"/>
    <w:next w:val="6"/>
    <w:qFormat/>
    <w:uiPriority w:val="0"/>
  </w:style>
  <w:style w:type="paragraph" w:customStyle="1" w:styleId="2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5">
    <w:name w:val="发布"/>
    <w:basedOn w:val="33"/>
    <w:qFormat/>
    <w:uiPriority w:val="0"/>
    <w:rPr>
      <w:rFonts w:ascii="黑体" w:eastAsia="黑体"/>
      <w:spacing w:val="85"/>
      <w:w w:val="100"/>
      <w:position w:val="3"/>
      <w:sz w:val="28"/>
      <w:szCs w:val="28"/>
    </w:rPr>
  </w:style>
  <w:style w:type="character" w:customStyle="1" w:styleId="236">
    <w:name w:val="批注文字 字符"/>
    <w:basedOn w:val="33"/>
    <w:link w:val="15"/>
    <w:qFormat/>
    <w:uiPriority w:val="99"/>
    <w:rPr>
      <w:rFonts w:ascii="Calibri" w:hAnsi="Calibri"/>
      <w:kern w:val="2"/>
      <w:sz w:val="21"/>
      <w:szCs w:val="21"/>
    </w:rPr>
  </w:style>
  <w:style w:type="character" w:customStyle="1" w:styleId="237">
    <w:name w:val="批注主题 字符"/>
    <w:basedOn w:val="236"/>
    <w:link w:val="30"/>
    <w:semiHidden/>
    <w:qFormat/>
    <w:uiPriority w:val="99"/>
    <w:rPr>
      <w:rFonts w:ascii="Calibri" w:hAnsi="Calibri"/>
      <w:b/>
      <w:bCs/>
      <w:kern w:val="2"/>
      <w:sz w:val="21"/>
      <w:szCs w:val="21"/>
    </w:rPr>
  </w:style>
  <w:style w:type="paragraph" w:styleId="238">
    <w:name w:val="List Paragraph"/>
    <w:basedOn w:val="1"/>
    <w:qFormat/>
    <w:uiPriority w:val="34"/>
    <w:pPr>
      <w:ind w:firstLine="420" w:firstLineChars="200"/>
    </w:pPr>
  </w:style>
  <w:style w:type="paragraph" w:customStyle="1" w:styleId="239">
    <w:name w:val="修订1"/>
    <w:hidden/>
    <w:semiHidden/>
    <w:qFormat/>
    <w:uiPriority w:val="99"/>
    <w:rPr>
      <w:rFonts w:ascii="Calibri" w:hAnsi="Calibri" w:eastAsia="宋体" w:cs="Times New Roman"/>
      <w:kern w:val="2"/>
      <w:sz w:val="21"/>
      <w:szCs w:val="21"/>
      <w:lang w:val="en-US" w:eastAsia="zh-CN" w:bidi="ar-SA"/>
    </w:rPr>
  </w:style>
  <w:style w:type="character" w:customStyle="1" w:styleId="240">
    <w:name w:val="未处理的提及1"/>
    <w:basedOn w:val="33"/>
    <w:semiHidden/>
    <w:unhideWhenUsed/>
    <w:qFormat/>
    <w:uiPriority w:val="99"/>
    <w:rPr>
      <w:color w:val="605E5C"/>
      <w:shd w:val="clear" w:color="auto" w:fill="E1DFDD"/>
    </w:rPr>
  </w:style>
  <w:style w:type="character" w:customStyle="1" w:styleId="241">
    <w:name w:val="font11"/>
    <w:basedOn w:val="33"/>
    <w:qFormat/>
    <w:uiPriority w:val="0"/>
    <w:rPr>
      <w:rFonts w:hint="eastAsia" w:ascii="宋体" w:hAnsi="宋体" w:eastAsia="宋体" w:cs="宋体"/>
      <w:color w:val="000000"/>
      <w:sz w:val="20"/>
      <w:szCs w:val="20"/>
      <w:u w:val="none"/>
    </w:rPr>
  </w:style>
  <w:style w:type="character" w:customStyle="1" w:styleId="242">
    <w:name w:val="font21"/>
    <w:basedOn w:val="33"/>
    <w:qFormat/>
    <w:uiPriority w:val="0"/>
    <w:rPr>
      <w:rFonts w:hint="default" w:ascii="Times New Roman" w:hAnsi="Times New Roman" w:cs="Times New Roman"/>
      <w:color w:val="000000"/>
      <w:sz w:val="20"/>
      <w:szCs w:val="20"/>
      <w:u w:val="none"/>
    </w:rPr>
  </w:style>
  <w:style w:type="paragraph" w:customStyle="1" w:styleId="243">
    <w:name w:val="修订2"/>
    <w:hidden/>
    <w:unhideWhenUsed/>
    <w:qFormat/>
    <w:uiPriority w:val="99"/>
    <w:rPr>
      <w:rFonts w:ascii="Calibri" w:hAnsi="Calibri" w:eastAsia="宋体" w:cs="Times New Roman"/>
      <w:kern w:val="2"/>
      <w:sz w:val="21"/>
      <w:szCs w:val="21"/>
      <w:lang w:val="en-US" w:eastAsia="zh-CN" w:bidi="ar-SA"/>
    </w:rPr>
  </w:style>
  <w:style w:type="character" w:customStyle="1" w:styleId="244">
    <w:name w:val="未处理的提及2"/>
    <w:basedOn w:val="33"/>
    <w:semiHidden/>
    <w:unhideWhenUsed/>
    <w:qFormat/>
    <w:uiPriority w:val="99"/>
    <w:rPr>
      <w:color w:val="605E5C"/>
      <w:shd w:val="clear" w:color="auto" w:fill="E1DFDD"/>
    </w:rPr>
  </w:style>
  <w:style w:type="paragraph" w:customStyle="1" w:styleId="245">
    <w:name w:val="修订3"/>
    <w:hidden/>
    <w:unhideWhenUsed/>
    <w:qFormat/>
    <w:uiPriority w:val="99"/>
    <w:rPr>
      <w:rFonts w:ascii="Calibri" w:hAnsi="Calibri" w:eastAsia="宋体" w:cs="Times New Roman"/>
      <w:kern w:val="2"/>
      <w:sz w:val="21"/>
      <w:szCs w:val="21"/>
      <w:lang w:val="en-US" w:eastAsia="zh-CN" w:bidi="ar-SA"/>
    </w:rPr>
  </w:style>
  <w:style w:type="paragraph" w:customStyle="1" w:styleId="246">
    <w:name w:val="修订4"/>
    <w:hidden/>
    <w:unhideWhenUsed/>
    <w:qFormat/>
    <w:uiPriority w:val="99"/>
    <w:rPr>
      <w:rFonts w:ascii="Calibri" w:hAnsi="Calibri" w:eastAsia="宋体" w:cs="Times New Roman"/>
      <w:kern w:val="2"/>
      <w:sz w:val="21"/>
      <w:szCs w:val="21"/>
      <w:lang w:val="en-US" w:eastAsia="zh-CN" w:bidi="ar-SA"/>
    </w:rPr>
  </w:style>
  <w:style w:type="paragraph" w:customStyle="1" w:styleId="247">
    <w:name w:val="修订5"/>
    <w:hidden/>
    <w:unhideWhenUsed/>
    <w:qFormat/>
    <w:uiPriority w:val="99"/>
    <w:rPr>
      <w:rFonts w:ascii="Calibri" w:hAnsi="Calibri" w:eastAsia="宋体" w:cs="Times New Roman"/>
      <w:kern w:val="2"/>
      <w:sz w:val="21"/>
      <w:szCs w:val="21"/>
      <w:lang w:val="en-US" w:eastAsia="zh-CN" w:bidi="ar-SA"/>
    </w:rPr>
  </w:style>
  <w:style w:type="paragraph" w:customStyle="1" w:styleId="248">
    <w:name w:val="修订6"/>
    <w:hidden/>
    <w:unhideWhenUsed/>
    <w:qFormat/>
    <w:uiPriority w:val="99"/>
    <w:rPr>
      <w:rFonts w:ascii="Calibri" w:hAnsi="Calibri" w:eastAsia="宋体" w:cs="Times New Roman"/>
      <w:kern w:val="2"/>
      <w:sz w:val="21"/>
      <w:szCs w:val="21"/>
      <w:lang w:val="en-US" w:eastAsia="zh-CN" w:bidi="ar-SA"/>
    </w:rPr>
  </w:style>
  <w:style w:type="paragraph" w:customStyle="1" w:styleId="249">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glossaryDocument" Target="glossary/document.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jpeg"/><Relationship Id="rId3" Type="http://schemas.openxmlformats.org/officeDocument/2006/relationships/footnotes" Target="footnotes.xml"/><Relationship Id="rId29" Type="http://schemas.openxmlformats.org/officeDocument/2006/relationships/theme" Target="theme/theme1.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372F4FE3A5242C98876936A4D5A7CDD"/>
        <w:style w:val=""/>
        <w:category>
          <w:name w:val="常规"/>
          <w:gallery w:val="placeholder"/>
        </w:category>
        <w:types>
          <w:type w:val="bbPlcHdr"/>
        </w:types>
        <w:behaviors>
          <w:behavior w:val="content"/>
        </w:behaviors>
        <w:description w:val=""/>
        <w:guid w:val="{393FDA10-800D-41B1-A2C0-45E5DBD84985}"/>
      </w:docPartPr>
      <w:docPartBody>
        <w:p w14:paraId="716317CD">
          <w:pPr>
            <w:pStyle w:val="5"/>
            <w:rPr>
              <w:rFonts w:hint="eastAsia"/>
            </w:rPr>
          </w:pPr>
          <w:r>
            <w:rPr>
              <w:rStyle w:val="4"/>
              <w:rFonts w:hint="eastAsia"/>
            </w:rPr>
            <w:t>单击或点击此处输入文字。</w:t>
          </w:r>
        </w:p>
      </w:docPartBody>
    </w:docPart>
    <w:docPart>
      <w:docPartPr>
        <w:name w:val="DC964944E7AE40958021BBAF26211563"/>
        <w:style w:val=""/>
        <w:category>
          <w:name w:val="常规"/>
          <w:gallery w:val="placeholder"/>
        </w:category>
        <w:types>
          <w:type w:val="bbPlcHdr"/>
        </w:types>
        <w:behaviors>
          <w:behavior w:val="content"/>
        </w:behaviors>
        <w:description w:val=""/>
        <w:guid w:val="{5EB0063D-84F0-465C-915E-3EA293316F66}"/>
      </w:docPartPr>
      <w:docPartBody>
        <w:p w14:paraId="7F2AFCBF">
          <w:pPr>
            <w:pStyle w:val="6"/>
            <w:rPr>
              <w:rFonts w:hint="eastAsia"/>
            </w:rPr>
          </w:pPr>
          <w:r>
            <w:rPr>
              <w:rStyle w:val="4"/>
              <w:rFonts w:hint="eastAsia"/>
            </w:rPr>
            <w:t>选择一项。</w:t>
          </w:r>
        </w:p>
      </w:docPartBody>
    </w:docPart>
    <w:docPart>
      <w:docPartPr>
        <w:name w:val="A454B307285A4DAEA22E8E1D89E19A89"/>
        <w:style w:val=""/>
        <w:category>
          <w:name w:val="常规"/>
          <w:gallery w:val="placeholder"/>
        </w:category>
        <w:types>
          <w:type w:val="bbPlcHdr"/>
        </w:types>
        <w:behaviors>
          <w:behavior w:val="content"/>
        </w:behaviors>
        <w:description w:val=""/>
        <w:guid w:val="{B9ACC384-0DC7-4433-ACD3-5CBE303AD6A0}"/>
      </w:docPartPr>
      <w:docPartBody>
        <w:p w14:paraId="049A2882">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D73"/>
    <w:rsid w:val="000009B0"/>
    <w:rsid w:val="000141E8"/>
    <w:rsid w:val="00021B09"/>
    <w:rsid w:val="0003658A"/>
    <w:rsid w:val="000A2DCE"/>
    <w:rsid w:val="000F7E24"/>
    <w:rsid w:val="001363C5"/>
    <w:rsid w:val="00184A39"/>
    <w:rsid w:val="001A5E37"/>
    <w:rsid w:val="002046F5"/>
    <w:rsid w:val="00266D5A"/>
    <w:rsid w:val="002938E7"/>
    <w:rsid w:val="002A218C"/>
    <w:rsid w:val="002C087E"/>
    <w:rsid w:val="002C3A11"/>
    <w:rsid w:val="00303A10"/>
    <w:rsid w:val="0032321D"/>
    <w:rsid w:val="00325FEB"/>
    <w:rsid w:val="00330A7F"/>
    <w:rsid w:val="003549E5"/>
    <w:rsid w:val="00377586"/>
    <w:rsid w:val="003F794C"/>
    <w:rsid w:val="00400BAC"/>
    <w:rsid w:val="00403D3E"/>
    <w:rsid w:val="004A02FC"/>
    <w:rsid w:val="005044EC"/>
    <w:rsid w:val="0056578D"/>
    <w:rsid w:val="00570519"/>
    <w:rsid w:val="005C270B"/>
    <w:rsid w:val="006826CA"/>
    <w:rsid w:val="0068718F"/>
    <w:rsid w:val="006C167A"/>
    <w:rsid w:val="006F2477"/>
    <w:rsid w:val="006F3486"/>
    <w:rsid w:val="00720143"/>
    <w:rsid w:val="007519DA"/>
    <w:rsid w:val="00765A15"/>
    <w:rsid w:val="00771ABB"/>
    <w:rsid w:val="00790569"/>
    <w:rsid w:val="007972B5"/>
    <w:rsid w:val="007B4A5E"/>
    <w:rsid w:val="007F7368"/>
    <w:rsid w:val="008057B7"/>
    <w:rsid w:val="0081465D"/>
    <w:rsid w:val="008404C8"/>
    <w:rsid w:val="00874D5B"/>
    <w:rsid w:val="00877CE8"/>
    <w:rsid w:val="008D78F8"/>
    <w:rsid w:val="008E2095"/>
    <w:rsid w:val="008F63FA"/>
    <w:rsid w:val="00902E7D"/>
    <w:rsid w:val="00907147"/>
    <w:rsid w:val="00933BD7"/>
    <w:rsid w:val="009351D9"/>
    <w:rsid w:val="00936F3D"/>
    <w:rsid w:val="00960E5E"/>
    <w:rsid w:val="00961F86"/>
    <w:rsid w:val="0096662F"/>
    <w:rsid w:val="00987347"/>
    <w:rsid w:val="009D76F5"/>
    <w:rsid w:val="009F4838"/>
    <w:rsid w:val="00A32F75"/>
    <w:rsid w:val="00A35A94"/>
    <w:rsid w:val="00A62F96"/>
    <w:rsid w:val="00A7770F"/>
    <w:rsid w:val="00AB4331"/>
    <w:rsid w:val="00AE78E0"/>
    <w:rsid w:val="00B31500"/>
    <w:rsid w:val="00B4203F"/>
    <w:rsid w:val="00B54FC2"/>
    <w:rsid w:val="00B7769A"/>
    <w:rsid w:val="00B83679"/>
    <w:rsid w:val="00B96501"/>
    <w:rsid w:val="00BC2248"/>
    <w:rsid w:val="00BD0E62"/>
    <w:rsid w:val="00BE2A55"/>
    <w:rsid w:val="00BF18DB"/>
    <w:rsid w:val="00C03D94"/>
    <w:rsid w:val="00C5460F"/>
    <w:rsid w:val="00C815FB"/>
    <w:rsid w:val="00CA3B6C"/>
    <w:rsid w:val="00CF639F"/>
    <w:rsid w:val="00D7341B"/>
    <w:rsid w:val="00D84D73"/>
    <w:rsid w:val="00DB0F27"/>
    <w:rsid w:val="00DE3136"/>
    <w:rsid w:val="00DF62E6"/>
    <w:rsid w:val="00E057C7"/>
    <w:rsid w:val="00E16C4D"/>
    <w:rsid w:val="00E42492"/>
    <w:rsid w:val="00E64C79"/>
    <w:rsid w:val="00E85299"/>
    <w:rsid w:val="00E90744"/>
    <w:rsid w:val="00F02289"/>
    <w:rsid w:val="00F30648"/>
    <w:rsid w:val="00F460BF"/>
    <w:rsid w:val="00F558E9"/>
    <w:rsid w:val="00F8605D"/>
    <w:rsid w:val="00F94FE7"/>
    <w:rsid w:val="00FB0A6B"/>
    <w:rsid w:val="00FD1A55"/>
    <w:rsid w:val="00FD7B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372F4FE3A5242C98876936A4D5A7CDD"/>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C964944E7AE40958021BBAF262115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A454B307285A4DAEA22E8E1D89E19A89"/>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11E151-18F7-4EE3-8854-BDCB31D614A0}">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21</Pages>
  <Words>690</Words>
  <Characters>1017</Characters>
  <Lines>143</Lines>
  <Paragraphs>40</Paragraphs>
  <TotalTime>0</TotalTime>
  <ScaleCrop>false</ScaleCrop>
  <LinksUpToDate>false</LinksUpToDate>
  <CharactersWithSpaces>1967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2026-07-21T04:01:00Z</dcterms:created>
  <dc:creator>54257</dc:creator>
  <cp:lastModifiedBy>lwh</cp:lastModifiedBy>
  <cp:lastPrinted>2026-06-24T08:11:00Z</cp:lastPrinted>
  <dcterms:modified xsi:type="dcterms:W3CDTF">2026-07-26T07:04:27Z</dcterms:modified>
  <dc:title>团体标准</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TemplateDocerSaveRecord">
    <vt:lpwstr>eyJoZGlkIjoiZTYwMDE0OWI4MmFkMDA5YmUwMzE4NTE4NmYzYzgxZjYiLCJ1c2VySWQiOiI0MzE2MDEyOTQifQ==</vt:lpwstr>
  </property>
  <property fmtid="{D5CDD505-2E9C-101B-9397-08002B2CF9AE}" pid="16" name="KSOProductBuildVer">
    <vt:lpwstr>2052-12.1.0.26895</vt:lpwstr>
  </property>
  <property fmtid="{D5CDD505-2E9C-101B-9397-08002B2CF9AE}" pid="17" name="ICV">
    <vt:lpwstr>3E0D6BFD1272483AA84F0DDF73C1566E_13</vt:lpwstr>
  </property>
</Properties>
</file>