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0050A">
      <w:pPr>
        <w:bidi w:val="0"/>
        <w:jc w:val="both"/>
        <w:rPr>
          <w:rFonts w:hint="default" w:ascii="Times New Roman" w:hAnsi="Times New Roman" w:cs="Times New Roman"/>
        </w:rPr>
      </w:pPr>
    </w:p>
    <w:p w14:paraId="0C8BF3A8">
      <w:pPr>
        <w:pStyle w:val="2"/>
        <w:keepNext w:val="0"/>
        <w:keepLines w:val="0"/>
        <w:widowControl/>
        <w:suppressLineNumbers w:val="0"/>
        <w:ind w:left="0" w:firstLine="0"/>
        <w:jc w:val="center"/>
        <w:rPr>
          <w:rFonts w:hint="default" w:ascii="Times New Roman" w:hAnsi="Times New Roman" w:eastAsia="方正小标宋简体" w:cs="Times New Roman"/>
          <w:sz w:val="32"/>
          <w:szCs w:val="32"/>
        </w:rPr>
      </w:pPr>
    </w:p>
    <w:p w14:paraId="5449A74C">
      <w:pPr>
        <w:pStyle w:val="2"/>
        <w:keepNext w:val="0"/>
        <w:keepLines w:val="0"/>
        <w:widowControl/>
        <w:suppressLineNumbers w:val="0"/>
        <w:ind w:left="0" w:firstLine="0"/>
        <w:jc w:val="center"/>
        <w:rPr>
          <w:rFonts w:hint="default" w:ascii="Times New Roman" w:hAnsi="Times New Roman" w:eastAsia="方正小标宋简体" w:cs="Times New Roman"/>
          <w:sz w:val="32"/>
          <w:szCs w:val="32"/>
        </w:rPr>
      </w:pPr>
    </w:p>
    <w:p w14:paraId="6BB2DFAF">
      <w:pPr>
        <w:pStyle w:val="2"/>
        <w:keepNext w:val="0"/>
        <w:keepLines w:val="0"/>
        <w:widowControl/>
        <w:suppressLineNumbers w:val="0"/>
        <w:ind w:left="0" w:firstLine="0"/>
        <w:jc w:val="center"/>
        <w:rPr>
          <w:rFonts w:hint="default" w:ascii="Times New Roman" w:hAnsi="Times New Roman" w:eastAsia="方正小标宋简体" w:cs="Times New Roman"/>
          <w:sz w:val="32"/>
          <w:szCs w:val="32"/>
          <w:lang w:val="en-US" w:eastAsia="zh-CN"/>
        </w:rPr>
      </w:pPr>
      <w:r>
        <w:rPr>
          <w:rFonts w:hint="default" w:ascii="Times New Roman" w:hAnsi="Times New Roman" w:eastAsia="方正小标宋简体" w:cs="Times New Roman"/>
          <w:sz w:val="32"/>
          <w:szCs w:val="32"/>
        </w:rPr>
        <w:t>自然共生地（</w:t>
      </w:r>
      <w:r>
        <w:rPr>
          <w:rFonts w:hint="eastAsia" w:ascii="Times New Roman" w:hAnsi="Times New Roman" w:eastAsia="方正小标宋简体" w:cs="Times New Roman"/>
          <w:sz w:val="32"/>
          <w:szCs w:val="32"/>
          <w:lang w:val="en-US" w:eastAsia="zh-CN"/>
        </w:rPr>
        <w:t>其他有效区域保护措施</w:t>
      </w:r>
      <w:r>
        <w:rPr>
          <w:rFonts w:hint="default" w:ascii="Times New Roman" w:hAnsi="Times New Roman" w:eastAsia="方正小标宋简体" w:cs="Times New Roman"/>
          <w:sz w:val="32"/>
          <w:szCs w:val="32"/>
        </w:rPr>
        <w:t>）认定</w:t>
      </w:r>
      <w:r>
        <w:rPr>
          <w:rFonts w:hint="default" w:ascii="Times New Roman" w:hAnsi="Times New Roman" w:eastAsia="方正小标宋简体" w:cs="Times New Roman"/>
          <w:sz w:val="32"/>
          <w:szCs w:val="32"/>
          <w:lang w:val="en-US" w:eastAsia="zh-CN"/>
        </w:rPr>
        <w:t>技术规范</w:t>
      </w:r>
    </w:p>
    <w:p w14:paraId="2A8A3884">
      <w:pPr>
        <w:pStyle w:val="2"/>
        <w:keepNext w:val="0"/>
        <w:keepLines w:val="0"/>
        <w:widowControl/>
        <w:suppressLineNumbers w:val="0"/>
        <w:ind w:left="0" w:firstLine="0"/>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编制说明</w:t>
      </w:r>
    </w:p>
    <w:p w14:paraId="3B7D9C4F">
      <w:pPr>
        <w:jc w:val="both"/>
        <w:rPr>
          <w:rFonts w:hint="default" w:ascii="Times New Roman" w:hAnsi="Times New Roman" w:eastAsia="方正小标宋简体" w:cs="Times New Roman"/>
          <w:sz w:val="32"/>
          <w:szCs w:val="32"/>
        </w:rPr>
      </w:pPr>
    </w:p>
    <w:p w14:paraId="209C4CEE">
      <w:pPr>
        <w:pStyle w:val="3"/>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一、工作简况</w:t>
      </w:r>
    </w:p>
    <w:p w14:paraId="5A2F0181">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1.1 任务来源</w:t>
      </w:r>
    </w:p>
    <w:p w14:paraId="608C9FF6">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1.1.1 国际履约与政策背景</w:t>
      </w:r>
    </w:p>
    <w:p w14:paraId="08E4C5BB">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自然共生地是立足人与自然和谐共生的愿景、结合中国实际，对其他有效的区域保护措施（Other Effective area-based Conservation Measures，简称OECMs）采用的中国本土化命名与落地载体。OECMs是《生物多样性公约》（Convention on Biological Diversity, CBD）确立的自然保护地外实现长期持续生物多样性就地保护成效的重要措施。</w:t>
      </w:r>
      <w:r>
        <w:rPr>
          <w:rFonts w:hint="eastAsia" w:ascii="Times New Roman" w:hAnsi="Times New Roman" w:eastAsia="仿宋_GB2312" w:cs="Times New Roman"/>
          <w:sz w:val="30"/>
          <w:szCs w:val="30"/>
          <w:lang w:val="en-US" w:eastAsia="zh-CN"/>
        </w:rPr>
        <w:t>这一</w:t>
      </w:r>
      <w:r>
        <w:rPr>
          <w:rFonts w:hint="default" w:ascii="Times New Roman" w:hAnsi="Times New Roman" w:eastAsia="仿宋_GB2312" w:cs="Times New Roman"/>
          <w:sz w:val="30"/>
          <w:szCs w:val="30"/>
          <w:lang w:val="en-US" w:eastAsia="zh-CN"/>
        </w:rPr>
        <w:t>概念最早于 2010 年第十次缔约方大会（COP10）“爱知目标”第11条中提出；2018年第十四次缔约方大会（COP14）第14/8号决议正式明确OECMs定义，即：自然保护地以外、地理边界明确的区域，对其的治理和管理可实现生物多样性就地保护的积极、持续的长期成果，并取得相关的生态系统功能和服务，以及在适用的情况下实现文化、精神、社会经济价值和其他本地相关价值。2022年第十五次缔约方大会（COP15）通过的《昆明-蒙特利尔全球生物多样性框架》（简称《昆蒙框架》），进一步将OECMs作为落实30×30目标（到2030年保护30%的陆地、内陆水域、沿海和海洋区域）的核心路径之一，使其成为全球生物多样性就地保护体系的关键组成部分。</w:t>
      </w:r>
    </w:p>
    <w:p w14:paraId="6947DBAE">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中国作为《生物多样性公约》缔约方，积极履行国际义务，扎实推进《昆蒙框架》落地实施。目前我国已建立以国家公园为主体的自然保护地体系，并率先提出和实施生态保护红线制度，筑牢了全域生态安全基底。2024年生态环境部印发的《中国生物多样性保护战略与行动计划（2023—2030 年）》明确提出明确提出创新OECMs，制定OECMs标准并开展试点示范；2026年提交的《生物多样性公约》第七次国家报告中将国内OECMs相关实践工作作为中国推进生物多样性就地保护目标的重要行动之一，并提出OECMs将成为未来的解决方案。</w:t>
      </w:r>
    </w:p>
    <w:p w14:paraId="3E1196BF">
      <w:pPr>
        <w:ind w:firstLine="600" w:firstLineChars="200"/>
        <w:jc w:val="both"/>
        <w:rPr>
          <w:rFonts w:hint="default" w:ascii="Times New Roman" w:hAnsi="Times New Roman" w:cs="Times New Roman"/>
        </w:rPr>
      </w:pPr>
      <w:r>
        <w:rPr>
          <w:rFonts w:hint="default" w:ascii="Times New Roman" w:hAnsi="Times New Roman" w:eastAsia="仿宋_GB2312" w:cs="Times New Roman"/>
          <w:sz w:val="30"/>
          <w:szCs w:val="30"/>
          <w:lang w:val="en-US" w:eastAsia="zh-CN"/>
        </w:rPr>
        <w:t>在现有自然保护地与生态保护红线保护体系基础上，我国仍存在大量未被纳入法定保护体系但具有重要生物多样性价值的区域，包括野生动物重要栖息地、野生植物原生境、候鸟迁飞通道关键栖息地、生态公益林、一般湿地、农田生态景观、城市绿地等。这些区域由地方政府、企业、社区、社会组织等多元主体管理，在客观上发挥着重要的生物多样性保护功能，但缺乏统一的认定标准和规范的管理机制。制定自然共生地（OECMs）认定</w:t>
      </w:r>
      <w:r>
        <w:rPr>
          <w:rFonts w:hint="eastAsia" w:ascii="Times New Roman" w:hAnsi="Times New Roman" w:eastAsia="仿宋_GB2312" w:cs="Times New Roman"/>
          <w:sz w:val="30"/>
          <w:szCs w:val="30"/>
          <w:lang w:val="en-US" w:eastAsia="zh-CN"/>
        </w:rPr>
        <w:t>技术规范</w:t>
      </w:r>
      <w:r>
        <w:rPr>
          <w:rFonts w:hint="default" w:ascii="Times New Roman" w:hAnsi="Times New Roman" w:eastAsia="仿宋_GB2312" w:cs="Times New Roman"/>
          <w:sz w:val="30"/>
          <w:szCs w:val="30"/>
          <w:lang w:val="en-US" w:eastAsia="zh-CN"/>
        </w:rPr>
        <w:t>，有助于推动尚未被现有保护地和生态保护红线覆盖的重要物种、生态系统和遗传资源得到有效保护，引导全社会力量共同参与生物多样性多元共治，构建以自然保护地为主体、生态保护红线为基础、各类自然共生地为补充的生物多样性就地保护模式。</w:t>
      </w:r>
    </w:p>
    <w:p w14:paraId="74277B2F">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1.1.2 编制依据与参考文件</w:t>
      </w:r>
    </w:p>
    <w:p w14:paraId="158BB0FD">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在法律法规与政策依据方面，本标准编制严格遵循《中华人民共和国环境保护法》《中华人民共和国生物安全法》《中华人民共和国野生动物保护法》《中华人民共和国野生植物保护条例》《中华人民共和国森林法》《中华人民共和国湿地保护法》《中华人民共和国渔业法》等相关法律法规，以及《关于划定并严守生态保护红线的若干意见》《关于在国土空间规划中统筹划定落实三条控制线的指导意见》《中国生物多样性保护战略与行动计划（2023—2030年）》等政策文件要求。</w:t>
      </w:r>
    </w:p>
    <w:p w14:paraId="61A73D9E">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在国际公约与准则方面，本标准编制以《生物多样性公约》第十四次缔约方大会第14/8号决议为基础，参考世界自然保护联盟世界保护地委员会（IUCN WCPA）制定的《其他有效的区域保护措施识别与报告指南》（2019）《其他有效的区域保护措施（OECMs）场地级识别工具》（2023）等国际技术文件，确保核心要求与国际接轨。同时参考IUCN发布的《识别其他有效的区域保护措施：基于中国情境的评估工具建议》（2025），结合中国国情进行本土化调整。</w:t>
      </w:r>
    </w:p>
    <w:p w14:paraId="550B52CE">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在引用的国家标准与行业标准方面，文件规范性引用以下标准：GB/T 43214《省级国土空间规划编制技术规程》、GB/T 45071《自然保护地分级分类》、GB/T 45072《自然保护地名词术语》、HJ 623《区域生物多样性评价标准》、HJ 1140《生态保护红线监管技术规范 基础调查（试行）》、NY/T 4153《农田景观生物多样性保护导则》。此外，编制过程中还参考了GB/T 35631《生物多样性观测技术导则》、HJ 1203《自然保护区生态环境保护成效评估标准（试行）》、HJ 1272《生态保护修复成效评估技术指南（试行）》、HJ 1311《自然保护地生态环境调查与观测技术规范》等相关技术标准。</w:t>
      </w:r>
    </w:p>
    <w:p w14:paraId="36BCA6E6">
      <w:pPr>
        <w:ind w:firstLine="600" w:firstLineChars="200"/>
        <w:jc w:val="both"/>
        <w:rPr>
          <w:rFonts w:hint="default" w:ascii="Times New Roman" w:hAnsi="Times New Roman" w:eastAsia="仿宋_GB2312" w:cs="Times New Roman"/>
          <w:lang w:val="en-US" w:eastAsia="zh-CN"/>
        </w:rPr>
      </w:pPr>
      <w:r>
        <w:rPr>
          <w:rFonts w:hint="default" w:ascii="Times New Roman" w:hAnsi="Times New Roman" w:eastAsia="仿宋_GB2312" w:cs="Times New Roman"/>
          <w:sz w:val="30"/>
          <w:szCs w:val="30"/>
          <w:lang w:val="en-US" w:eastAsia="zh-CN"/>
        </w:rPr>
        <w:t>此外，编制过程中还参考了《全国国土空间规划纲要（2021—2035年）》《全国重要生态系统保护和修复重大工程总体规划（2021—2035年）》《全国野生动植物保护工程建设方案（2023—2030年）》《候鸟迁飞通道保护修复中国行动计划（2024—2030年）》等国家规划文件，以及国内已开展的OECMs相关试点实践案例和研究成果。</w:t>
      </w:r>
    </w:p>
    <w:p w14:paraId="0FA507A2">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1.2 主要工作过程</w:t>
      </w:r>
    </w:p>
    <w:p w14:paraId="7D608107">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一是</w:t>
      </w:r>
      <w:r>
        <w:rPr>
          <w:rFonts w:hint="eastAsia" w:ascii="Times New Roman" w:hAnsi="Times New Roman" w:eastAsia="仿宋_GB2312" w:cs="Times New Roman"/>
          <w:sz w:val="30"/>
          <w:szCs w:val="30"/>
          <w:lang w:val="en-US" w:eastAsia="zh-CN"/>
        </w:rPr>
        <w:t>资料梳理与案例经验归集阶段（2025年3月—2026年2月）。本阶段主要是系统梳理《公约》相关决定、IUCN相关 OECMs识别工具、国内生态保护红线、自然保护地相关标准；面向全国开展两批OECMs潜力案例征集，归集上百份社区、农田、城镇、滨海、企业园区等多类型实践案例，覆盖多省市典型保护场景，同步梳理各地实践中存在的困难。</w:t>
      </w:r>
    </w:p>
    <w:p w14:paraId="3214E33D">
      <w:pPr>
        <w:ind w:firstLine="600" w:firstLineChars="200"/>
        <w:jc w:val="both"/>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二是</w:t>
      </w:r>
      <w:r>
        <w:rPr>
          <w:rFonts w:hint="default" w:ascii="Times New Roman" w:hAnsi="Times New Roman" w:eastAsia="仿宋_GB2312" w:cs="Times New Roman"/>
          <w:sz w:val="30"/>
          <w:szCs w:val="30"/>
          <w:lang w:val="en-US" w:eastAsia="zh-CN"/>
        </w:rPr>
        <w:t>立项准备与申请阶段</w:t>
      </w:r>
      <w:r>
        <w:rPr>
          <w:rFonts w:hint="eastAsia" w:ascii="Times New Roman" w:hAnsi="Times New Roman" w:eastAsia="仿宋_GB2312" w:cs="Times New Roman"/>
          <w:sz w:val="30"/>
          <w:szCs w:val="30"/>
          <w:lang w:val="en-US" w:eastAsia="zh-CN"/>
        </w:rPr>
        <w:t>（2026年3—4月）</w:t>
      </w:r>
      <w:r>
        <w:rPr>
          <w:rFonts w:hint="default" w:ascii="Times New Roman" w:hAnsi="Times New Roman" w:eastAsia="仿宋_GB2312" w:cs="Times New Roman"/>
          <w:sz w:val="30"/>
          <w:szCs w:val="30"/>
          <w:lang w:val="en-US" w:eastAsia="zh-CN"/>
        </w:rPr>
        <w:t>。本阶段计划主要完成标准制定的前期筹备与正式申请工作。首先，在开展充分前期调研与资料收集后，在学会团体标准制修订管理系统完成注册，并进行主题查重。随后，搭建标准框架，编制该团体标准的项目立项材料和较为成型的标准草案，在系统中完成填报与审核，并上传盖章后的正式文件。同时，与学会签署团体标准制修订合作协议，明确双方权责。</w:t>
      </w:r>
    </w:p>
    <w:p w14:paraId="6F5F8050">
      <w:pPr>
        <w:ind w:firstLine="600" w:firstLineChars="200"/>
        <w:jc w:val="both"/>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三</w:t>
      </w:r>
      <w:r>
        <w:rPr>
          <w:rFonts w:hint="default" w:ascii="Times New Roman" w:hAnsi="Times New Roman" w:eastAsia="仿宋_GB2312" w:cs="Times New Roman"/>
          <w:sz w:val="30"/>
          <w:szCs w:val="30"/>
          <w:lang w:val="en-US" w:eastAsia="zh-CN"/>
        </w:rPr>
        <w:t>是立项论证与公示阶段</w:t>
      </w:r>
      <w:r>
        <w:rPr>
          <w:rFonts w:hint="eastAsia" w:ascii="Times New Roman" w:hAnsi="Times New Roman" w:eastAsia="仿宋_GB2312" w:cs="Times New Roman"/>
          <w:sz w:val="30"/>
          <w:szCs w:val="30"/>
          <w:lang w:val="en-US" w:eastAsia="zh-CN"/>
        </w:rPr>
        <w:t>（2026年5—6月）</w:t>
      </w:r>
      <w:r>
        <w:rPr>
          <w:rFonts w:hint="default" w:ascii="Times New Roman" w:hAnsi="Times New Roman" w:eastAsia="仿宋_GB2312" w:cs="Times New Roman"/>
          <w:sz w:val="30"/>
          <w:szCs w:val="30"/>
          <w:lang w:val="en-US" w:eastAsia="zh-CN"/>
        </w:rPr>
        <w:t>。本阶段重点工作包括多方研讨与通过专家论证，确立标准的必要性与可行性。起草单位准备</w:t>
      </w:r>
      <w:r>
        <w:rPr>
          <w:rFonts w:hint="eastAsia" w:ascii="Times New Roman" w:hAnsi="Times New Roman" w:eastAsia="仿宋_GB2312" w:cs="Times New Roman"/>
          <w:sz w:val="30"/>
          <w:szCs w:val="30"/>
          <w:lang w:val="en-US" w:eastAsia="zh-CN"/>
        </w:rPr>
        <w:t>了</w:t>
      </w:r>
      <w:r>
        <w:rPr>
          <w:rFonts w:hint="default" w:ascii="Times New Roman" w:hAnsi="Times New Roman" w:eastAsia="仿宋_GB2312" w:cs="Times New Roman"/>
          <w:sz w:val="30"/>
          <w:szCs w:val="30"/>
          <w:lang w:val="en-US" w:eastAsia="zh-CN"/>
        </w:rPr>
        <w:t>立项论证会的汇报材料</w:t>
      </w:r>
      <w:r>
        <w:rPr>
          <w:rFonts w:hint="eastAsia" w:ascii="Times New Roman" w:hAnsi="Times New Roman" w:eastAsia="仿宋_GB2312" w:cs="Times New Roman"/>
          <w:sz w:val="30"/>
          <w:szCs w:val="30"/>
          <w:lang w:val="en-US" w:eastAsia="zh-CN"/>
        </w:rPr>
        <w:t>，按照</w:t>
      </w:r>
      <w:r>
        <w:rPr>
          <w:rFonts w:hint="default" w:ascii="Times New Roman" w:hAnsi="Times New Roman" w:eastAsia="仿宋_GB2312" w:cs="Times New Roman"/>
          <w:sz w:val="30"/>
          <w:szCs w:val="30"/>
          <w:lang w:val="en-US" w:eastAsia="zh-CN"/>
        </w:rPr>
        <w:t>学会</w:t>
      </w:r>
      <w:r>
        <w:rPr>
          <w:rFonts w:hint="eastAsia" w:ascii="Times New Roman" w:hAnsi="Times New Roman" w:eastAsia="仿宋_GB2312" w:cs="Times New Roman"/>
          <w:sz w:val="30"/>
          <w:szCs w:val="30"/>
          <w:lang w:val="en-US" w:eastAsia="zh-CN"/>
        </w:rPr>
        <w:t>相关要求</w:t>
      </w:r>
      <w:r>
        <w:rPr>
          <w:rFonts w:hint="default" w:ascii="Times New Roman" w:hAnsi="Times New Roman" w:eastAsia="仿宋_GB2312" w:cs="Times New Roman"/>
          <w:sz w:val="30"/>
          <w:szCs w:val="30"/>
          <w:lang w:val="en-US" w:eastAsia="zh-CN"/>
        </w:rPr>
        <w:t>组织邀请专家并召开立项论证会，向专家组汇报并接受质询。论证通过后，标准项目将在学会平台进行为期15天以上的公示，公示无异议后，由学会正式发布立项公告。</w:t>
      </w:r>
    </w:p>
    <w:p w14:paraId="50B4B942">
      <w:pPr>
        <w:ind w:firstLine="600" w:firstLineChars="200"/>
        <w:jc w:val="both"/>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四</w:t>
      </w:r>
      <w:r>
        <w:rPr>
          <w:rFonts w:hint="default" w:ascii="Times New Roman" w:hAnsi="Times New Roman" w:eastAsia="仿宋_GB2312" w:cs="Times New Roman"/>
          <w:sz w:val="30"/>
          <w:szCs w:val="30"/>
          <w:lang w:val="en-US" w:eastAsia="zh-CN"/>
        </w:rPr>
        <w:t>是标准编制与征求意见阶段</w:t>
      </w:r>
      <w:r>
        <w:rPr>
          <w:rFonts w:hint="eastAsia" w:ascii="Times New Roman" w:hAnsi="Times New Roman" w:eastAsia="仿宋_GB2312" w:cs="Times New Roman"/>
          <w:sz w:val="30"/>
          <w:szCs w:val="30"/>
          <w:lang w:val="en-US" w:eastAsia="zh-CN"/>
        </w:rPr>
        <w:t>（2026年7—8月）</w:t>
      </w:r>
      <w:r>
        <w:rPr>
          <w:rFonts w:hint="default" w:ascii="Times New Roman" w:hAnsi="Times New Roman" w:eastAsia="仿宋_GB2312" w:cs="Times New Roman"/>
          <w:sz w:val="30"/>
          <w:szCs w:val="30"/>
          <w:lang w:val="en-US" w:eastAsia="zh-CN"/>
        </w:rPr>
        <w:t>。本阶段主要工作安排为文本撰写、内部研讨及广泛征求意见。具体为起草工作组根据立项论证会意见，编制完成标准“征求意见稿”及其编制说明，并</w:t>
      </w:r>
      <w:r>
        <w:rPr>
          <w:rFonts w:hint="eastAsia" w:ascii="Times New Roman" w:hAnsi="Times New Roman" w:eastAsia="仿宋_GB2312" w:cs="Times New Roman"/>
          <w:sz w:val="30"/>
          <w:szCs w:val="30"/>
          <w:lang w:val="en-US" w:eastAsia="zh-CN"/>
        </w:rPr>
        <w:t>按照</w:t>
      </w:r>
      <w:r>
        <w:rPr>
          <w:rFonts w:hint="default" w:ascii="Times New Roman" w:hAnsi="Times New Roman" w:eastAsia="仿宋_GB2312" w:cs="Times New Roman"/>
          <w:sz w:val="30"/>
          <w:szCs w:val="30"/>
          <w:lang w:val="en-US" w:eastAsia="zh-CN"/>
        </w:rPr>
        <w:t>学会</w:t>
      </w:r>
      <w:r>
        <w:rPr>
          <w:rFonts w:hint="eastAsia" w:ascii="Times New Roman" w:hAnsi="Times New Roman" w:eastAsia="仿宋_GB2312" w:cs="Times New Roman"/>
          <w:sz w:val="30"/>
          <w:szCs w:val="30"/>
          <w:lang w:val="en-US" w:eastAsia="zh-CN"/>
        </w:rPr>
        <w:t>相关要求</w:t>
      </w:r>
      <w:r>
        <w:rPr>
          <w:rFonts w:hint="default" w:ascii="Times New Roman" w:hAnsi="Times New Roman" w:eastAsia="仿宋_GB2312" w:cs="Times New Roman"/>
          <w:sz w:val="30"/>
          <w:szCs w:val="30"/>
          <w:lang w:val="en-US" w:eastAsia="zh-CN"/>
        </w:rPr>
        <w:t>组织专家评审会</w:t>
      </w:r>
      <w:r>
        <w:rPr>
          <w:rFonts w:hint="eastAsia" w:ascii="Times New Roman" w:hAnsi="Times New Roman" w:eastAsia="仿宋_GB2312" w:cs="Times New Roman"/>
          <w:sz w:val="30"/>
          <w:szCs w:val="30"/>
          <w:lang w:val="en-US" w:eastAsia="zh-CN"/>
        </w:rPr>
        <w:t>对征求意见稿</w:t>
      </w:r>
      <w:r>
        <w:rPr>
          <w:rFonts w:hint="default" w:ascii="Times New Roman" w:hAnsi="Times New Roman" w:eastAsia="仿宋_GB2312" w:cs="Times New Roman"/>
          <w:sz w:val="30"/>
          <w:szCs w:val="30"/>
          <w:lang w:val="en-US" w:eastAsia="zh-CN"/>
        </w:rPr>
        <w:t>进行论证。随后，由学会面向社会公开征求意见，起草工作组负责收集、整理并处理反馈意见，经汇总、分析和处理后，修改标准文本，形成“送审稿”。</w:t>
      </w:r>
    </w:p>
    <w:p w14:paraId="4E6C085A">
      <w:pPr>
        <w:ind w:firstLine="600" w:firstLineChars="200"/>
        <w:jc w:val="both"/>
        <w:rPr>
          <w:rFonts w:hint="default" w:ascii="Times New Roman" w:hAnsi="Times New Roman" w:cs="Times New Roman"/>
        </w:rPr>
      </w:pPr>
      <w:r>
        <w:rPr>
          <w:rFonts w:hint="eastAsia" w:ascii="Times New Roman" w:hAnsi="Times New Roman" w:eastAsia="仿宋_GB2312" w:cs="Times New Roman"/>
          <w:sz w:val="30"/>
          <w:szCs w:val="30"/>
          <w:lang w:val="en-US" w:eastAsia="zh-CN"/>
        </w:rPr>
        <w:t>五</w:t>
      </w:r>
      <w:r>
        <w:rPr>
          <w:rFonts w:hint="default" w:ascii="Times New Roman" w:hAnsi="Times New Roman" w:eastAsia="仿宋_GB2312" w:cs="Times New Roman"/>
          <w:sz w:val="30"/>
          <w:szCs w:val="30"/>
          <w:lang w:val="en-US" w:eastAsia="zh-CN"/>
        </w:rPr>
        <w:t>是技术审查与报批阶段</w:t>
      </w:r>
      <w:r>
        <w:rPr>
          <w:rFonts w:hint="eastAsia" w:ascii="Times New Roman" w:hAnsi="Times New Roman" w:eastAsia="仿宋_GB2312" w:cs="Times New Roman"/>
          <w:sz w:val="30"/>
          <w:szCs w:val="30"/>
          <w:lang w:val="en-US" w:eastAsia="zh-CN"/>
        </w:rPr>
        <w:t>（2026年9—10月）</w:t>
      </w:r>
      <w:r>
        <w:rPr>
          <w:rFonts w:hint="default" w:ascii="Times New Roman" w:hAnsi="Times New Roman" w:eastAsia="仿宋_GB2312" w:cs="Times New Roman"/>
          <w:sz w:val="30"/>
          <w:szCs w:val="30"/>
          <w:lang w:val="en-US" w:eastAsia="zh-CN"/>
        </w:rPr>
        <w:t>。本阶段的主要工作是确保标准质量，完成最终的技术把关和行政审批。具体包括学会组织召开专家审查会，对“送审稿”进行技术审查。起草工作组根据专家审查意见进行修改，形成最终的“报批稿”。报批稿及相关材料将报请学会常务理事会审议，审议通过后，进行正式编号、批准并发布该团体标准。</w:t>
      </w:r>
    </w:p>
    <w:p w14:paraId="25E2C207">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1.3 主要起草人及其所做工作</w:t>
      </w:r>
    </w:p>
    <w:p w14:paraId="0AA408D6">
      <w:pPr>
        <w:pStyle w:val="5"/>
        <w:keepNext w:val="0"/>
        <w:keepLines w:val="0"/>
        <w:widowControl/>
        <w:suppressLineNumbers w:val="0"/>
        <w:ind w:left="0" w:firstLine="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rPr>
        <w:t>1.3.1 起草单位构成</w:t>
      </w:r>
      <w:r>
        <w:rPr>
          <w:rFonts w:hint="default" w:ascii="Times New Roman" w:hAnsi="Times New Roman" w:eastAsia="仿宋_GB2312" w:cs="Times New Roman"/>
          <w:sz w:val="30"/>
          <w:szCs w:val="30"/>
          <w:lang w:val="en-US" w:eastAsia="zh-CN"/>
        </w:rPr>
        <w:t>与归口</w:t>
      </w:r>
    </w:p>
    <w:p w14:paraId="57318FC4">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文件由中国环境科学研究院、中华环境保护基金会和广汽丰田汽车有限公司联合提出。中国环境科学研究院作为国家级生态环境科研机构，长期从事生物多样性保护研究，深度参与我国生物多样性保护战略、政策与标准制定；中华环境保护基金会作为国内知名环保公益组织，在推动社会力量参与生态保护、开展OECMs试点实践方面具有丰富经验；广汽丰田汽车有限公司作为企业代表，积极探索企业参与生物多样性保护的创新路径，为标准制定提供企业实践视角。</w:t>
      </w:r>
    </w:p>
    <w:p w14:paraId="583B27D0">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文件由中国环境科学学会归口。中国环境科学学会在环境科学领域团体标准的立项、审查、发布与管理方面具有完善的工作机制和专业能力，负责本标准制定过程中的技术审查、流程管控与发布实施等归口管理工作。</w:t>
      </w:r>
    </w:p>
    <w:p w14:paraId="30B6601D">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1.3.2 主要起草人员职责划分</w:t>
      </w:r>
    </w:p>
    <w:p w14:paraId="11C4F1FE">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文件起草单位包括中国环境科学研究院、中华环境保护基金会、北京市海淀区山水自然保护中心、云南省生态环境科学研究院、自然资源部第一海洋研究所、北京生物多样性科学研究会、广汽丰田汽车有限公司、中环联合认证中心。起草单位涵盖国家级科研院所、地方科研机构、公益组织、企业、认证机构等多元主体，兼顾科研权威性、实践代表性与行业覆盖面，确保标准的科学性、实用性与可操作性。</w:t>
      </w:r>
    </w:p>
    <w:p w14:paraId="60E458AE">
      <w:pPr>
        <w:pStyle w:val="3"/>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二、标准制修订原则</w:t>
      </w:r>
    </w:p>
    <w:p w14:paraId="7C216C4B">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2.1 国际接轨原则</w:t>
      </w:r>
    </w:p>
    <w:p w14:paraId="3A5C9184">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2.1.1 遵循</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公约</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第14/8号决议</w:t>
      </w:r>
    </w:p>
    <w:p w14:paraId="2C570EC4">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本标准</w:t>
      </w:r>
      <w:r>
        <w:rPr>
          <w:rFonts w:hint="eastAsia" w:ascii="Times New Roman" w:hAnsi="Times New Roman" w:eastAsia="仿宋_GB2312" w:cs="Times New Roman"/>
          <w:sz w:val="30"/>
          <w:szCs w:val="30"/>
          <w:lang w:val="en-US" w:eastAsia="zh-CN"/>
        </w:rPr>
        <w:t>在</w:t>
      </w:r>
      <w:r>
        <w:rPr>
          <w:rFonts w:hint="default" w:ascii="Times New Roman" w:hAnsi="Times New Roman" w:eastAsia="仿宋_GB2312" w:cs="Times New Roman"/>
          <w:sz w:val="30"/>
          <w:szCs w:val="30"/>
          <w:lang w:val="en-US" w:eastAsia="zh-CN"/>
        </w:rPr>
        <w:t>遵循《生物多样性公约》COP14第14/8号决议</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保护区和其他有效区域保护措施”部分对OECMs的官方定义</w:t>
      </w:r>
      <w:r>
        <w:rPr>
          <w:rFonts w:hint="eastAsia" w:ascii="Times New Roman" w:hAnsi="Times New Roman" w:eastAsia="仿宋_GB2312" w:cs="Times New Roman"/>
          <w:sz w:val="30"/>
          <w:szCs w:val="30"/>
          <w:lang w:val="en-US" w:eastAsia="zh-CN"/>
        </w:rPr>
        <w:t>的基础上</w:t>
      </w:r>
      <w:r>
        <w:rPr>
          <w:rFonts w:hint="default" w:ascii="Times New Roman" w:hAnsi="Times New Roman"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使用了“自然共生地”作为</w:t>
      </w:r>
      <w:r>
        <w:rPr>
          <w:rFonts w:hint="default" w:ascii="Times New Roman" w:hAnsi="Times New Roman" w:eastAsia="仿宋_GB2312" w:cs="Times New Roman"/>
          <w:sz w:val="30"/>
          <w:szCs w:val="30"/>
          <w:lang w:val="en-US" w:eastAsia="zh-CN"/>
        </w:rPr>
        <w:t>OECMs</w:t>
      </w:r>
      <w:r>
        <w:rPr>
          <w:rFonts w:hint="eastAsia" w:ascii="Times New Roman" w:hAnsi="Times New Roman" w:eastAsia="仿宋_GB2312" w:cs="Times New Roman"/>
          <w:sz w:val="30"/>
          <w:szCs w:val="30"/>
          <w:lang w:val="en-US" w:eastAsia="zh-CN"/>
        </w:rPr>
        <w:t>的</w:t>
      </w:r>
      <w:r>
        <w:rPr>
          <w:rFonts w:hint="default" w:ascii="Times New Roman" w:hAnsi="Times New Roman" w:eastAsia="仿宋_GB2312" w:cs="Times New Roman"/>
          <w:sz w:val="30"/>
          <w:szCs w:val="30"/>
          <w:lang w:val="en-US" w:eastAsia="zh-CN"/>
        </w:rPr>
        <w:t>本土化意译，在核心要素上与国际定义</w:t>
      </w:r>
      <w:r>
        <w:rPr>
          <w:rFonts w:hint="eastAsia" w:ascii="Times New Roman" w:hAnsi="Times New Roman" w:eastAsia="仿宋_GB2312" w:cs="Times New Roman"/>
          <w:sz w:val="30"/>
          <w:szCs w:val="30"/>
          <w:lang w:val="en-US" w:eastAsia="zh-CN"/>
        </w:rPr>
        <w:t>基本</w:t>
      </w:r>
      <w:r>
        <w:rPr>
          <w:rFonts w:hint="default" w:ascii="Times New Roman" w:hAnsi="Times New Roman" w:eastAsia="仿宋_GB2312" w:cs="Times New Roman"/>
          <w:sz w:val="30"/>
          <w:szCs w:val="30"/>
          <w:lang w:val="en-US" w:eastAsia="zh-CN"/>
        </w:rPr>
        <w:t>对应</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确保概念内涵与国际定义</w:t>
      </w:r>
      <w:r>
        <w:rPr>
          <w:rFonts w:hint="eastAsia" w:ascii="Times New Roman" w:hAnsi="Times New Roman" w:eastAsia="仿宋_GB2312" w:cs="Times New Roman"/>
          <w:sz w:val="30"/>
          <w:szCs w:val="30"/>
          <w:lang w:val="en-US" w:eastAsia="zh-CN"/>
        </w:rPr>
        <w:t>原则上</w:t>
      </w:r>
      <w:r>
        <w:rPr>
          <w:rFonts w:hint="default" w:ascii="Times New Roman" w:hAnsi="Times New Roman" w:eastAsia="仿宋_GB2312" w:cs="Times New Roman"/>
          <w:sz w:val="30"/>
          <w:szCs w:val="30"/>
          <w:lang w:val="en-US" w:eastAsia="zh-CN"/>
        </w:rPr>
        <w:t>保持一致。标准中明确自然共生地是“自然保护地以外、地理边界明确的区域，通过持续有效的治理和管理，长期稳定实现生物多样性就地保护成效，统筹发挥生态系统功能和服务，兼顾社会、经济、文化等多元价值”。</w:t>
      </w:r>
    </w:p>
    <w:p w14:paraId="208218B1">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第14/8号决议确立了OECMs识别的ABCD四大核心标准：一是区域范围标准（非保护地、地理边界明确）；二是治理和管理标准（合理治理主体、有效管理、地方社区和相关方的自由事先知情同意）；三是生物多样性保护成效标准（就地保护生物多样性、有效、持续与长期、信息和监测）；四是生态系统服务和其他价值标准（生态系统功能和服务、文化精神社会经济及其他当地价值）。本标准将上述四大国际标准拆解细化为9项具体认定要求，包括清晰的地理边界、明确的责任主体、保护管理能力、相关方知情同意、生物多样性价值、有利于保护的管理措施、长期保护计划、监测和成效评估、生态系统服务和社会经济文化多元价值，实现与国际标准的全面对标。</w:t>
      </w:r>
    </w:p>
    <w:p w14:paraId="045CCD22">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本标准的附录A列出了自然共生地认定要求与国际准则的对比一览表，逐项对应国际准则与本文件认定要求的关系，清晰展示各项国际标准在本文件中的落实情况与可验证性。</w:t>
      </w:r>
    </w:p>
    <w:p w14:paraId="1EAAC169">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2.1.2 对接IUCN</w:t>
      </w:r>
      <w:r>
        <w:rPr>
          <w:rFonts w:hint="default" w:ascii="Times New Roman" w:hAnsi="Times New Roman" w:eastAsia="仿宋_GB2312" w:cs="Times New Roman"/>
          <w:sz w:val="30"/>
          <w:szCs w:val="30"/>
          <w:lang w:val="en-US" w:eastAsia="zh-CN"/>
        </w:rPr>
        <w:t>系列</w:t>
      </w:r>
      <w:r>
        <w:rPr>
          <w:rFonts w:hint="default" w:ascii="Times New Roman" w:hAnsi="Times New Roman" w:eastAsia="仿宋_GB2312" w:cs="Times New Roman"/>
          <w:sz w:val="30"/>
          <w:szCs w:val="30"/>
        </w:rPr>
        <w:t>准则</w:t>
      </w:r>
    </w:p>
    <w:p w14:paraId="52B5D6D8">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IUCN WCPA作为全球保护地领域</w:t>
      </w:r>
      <w:r>
        <w:rPr>
          <w:rFonts w:hint="eastAsia" w:ascii="Times New Roman" w:hAnsi="Times New Roman" w:eastAsia="仿宋_GB2312" w:cs="Times New Roman"/>
          <w:sz w:val="30"/>
          <w:szCs w:val="30"/>
          <w:lang w:val="en-US" w:eastAsia="zh-CN"/>
        </w:rPr>
        <w:t>具有影响力</w:t>
      </w:r>
      <w:r>
        <w:rPr>
          <w:rFonts w:hint="default" w:ascii="Times New Roman" w:hAnsi="Times New Roman" w:eastAsia="仿宋_GB2312" w:cs="Times New Roman"/>
          <w:sz w:val="30"/>
          <w:szCs w:val="30"/>
          <w:lang w:val="en-US" w:eastAsia="zh-CN"/>
        </w:rPr>
        <w:t>的专业机构，其制定的OECMs识别准则已成为各国开展OECMs认定工作的重要技术参考。本标准编制过程中充分参考了IUCN WCPA发布的《其他有效的区域保护措施识别与报告指南》和《OECMs场地级识别工具》，吸收其在场地评估方法、判定流程、证据要求等方面的技术经验。</w:t>
      </w:r>
    </w:p>
    <w:p w14:paraId="3ED056BA">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借鉴IUCN场地级识别工具的评估逻辑，本标准采用条件满足式认定模式，要求申报区域逐项满足9项认定要求，并提供相应的佐证材料。同时参考IUCN工具中关于潜在OECM、候选OECM、正式OECM的渐进式识别思路，在本标准中设置分级认定机制，</w:t>
      </w:r>
      <w:r>
        <w:rPr>
          <w:rFonts w:hint="eastAsia" w:ascii="Times New Roman" w:hAnsi="Times New Roman" w:eastAsia="仿宋_GB2312" w:cs="Times New Roman"/>
          <w:sz w:val="30"/>
          <w:szCs w:val="30"/>
          <w:lang w:val="en-US" w:eastAsia="zh-CN"/>
        </w:rPr>
        <w:t>将</w:t>
      </w:r>
      <w:r>
        <w:rPr>
          <w:rFonts w:hint="default" w:ascii="Times New Roman" w:hAnsi="Times New Roman" w:eastAsia="仿宋_GB2312" w:cs="Times New Roman"/>
          <w:sz w:val="30"/>
          <w:szCs w:val="30"/>
          <w:lang w:val="en-US" w:eastAsia="zh-CN"/>
        </w:rPr>
        <w:t>尚不满足全部条件的区域</w:t>
      </w:r>
      <w:r>
        <w:rPr>
          <w:rFonts w:hint="eastAsia" w:ascii="Times New Roman" w:hAnsi="Times New Roman" w:eastAsia="仿宋_GB2312" w:cs="Times New Roman"/>
          <w:sz w:val="30"/>
          <w:szCs w:val="30"/>
          <w:lang w:val="en-US" w:eastAsia="zh-CN"/>
        </w:rPr>
        <w:t>列入培育名单，开展后续</w:t>
      </w:r>
      <w:r>
        <w:rPr>
          <w:rFonts w:hint="default" w:ascii="Times New Roman" w:hAnsi="Times New Roman" w:eastAsia="仿宋_GB2312" w:cs="Times New Roman"/>
          <w:sz w:val="30"/>
          <w:szCs w:val="30"/>
          <w:lang w:val="en-US" w:eastAsia="zh-CN"/>
        </w:rPr>
        <w:t>指导</w:t>
      </w:r>
      <w:r>
        <w:rPr>
          <w:rFonts w:hint="eastAsia" w:ascii="Times New Roman" w:hAnsi="Times New Roman" w:eastAsia="仿宋_GB2312" w:cs="Times New Roman"/>
          <w:sz w:val="30"/>
          <w:szCs w:val="30"/>
          <w:lang w:val="en-US" w:eastAsia="zh-CN"/>
        </w:rPr>
        <w:t>培育</w:t>
      </w:r>
      <w:r>
        <w:rPr>
          <w:rFonts w:hint="default" w:ascii="Times New Roman" w:hAnsi="Times New Roman" w:eastAsia="仿宋_GB2312" w:cs="Times New Roman"/>
          <w:sz w:val="30"/>
          <w:szCs w:val="30"/>
          <w:lang w:val="en-US" w:eastAsia="zh-CN"/>
        </w:rPr>
        <w:t>。</w:t>
      </w:r>
    </w:p>
    <w:p w14:paraId="4B0A7BBE">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2.2 因地制宜原则</w:t>
      </w:r>
    </w:p>
    <w:p w14:paraId="39AA0AE0">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2.2.1 衔接国土空间</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三区三线</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管控体系</w:t>
      </w:r>
    </w:p>
    <w:p w14:paraId="1D60D6E0">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作为我国国土空间用途管制的核心框架，“三区三线”是各类空间开发保护活动的基本遵循。本标准编制充分衔接我国国土空间规划“三区三线”管控规则。即生态空间、农业空间、城镇空间三类国土空间，和生态保护红线、永久基本农田、城镇开发边界三条控制线。</w:t>
      </w:r>
    </w:p>
    <w:p w14:paraId="327775AA">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标准将自然共生地的适用范围覆盖生态保护红线外的全部三类空间，包括生态空间中生态保护红线以外的一般生态空间、农业空间、城镇空间。针对三类空间不同的生态本底特征、主导功能定位和人为活动强度，分别设置差异化的生物多样性价值标准和保护管理要求，确保自然共生地制度与现有国土空间管控体系兼容互补，不冲突、不重叠。</w:t>
      </w:r>
    </w:p>
    <w:p w14:paraId="100EC813">
      <w:pPr>
        <w:ind w:firstLine="600" w:firstLineChars="200"/>
        <w:jc w:val="both"/>
        <w:rPr>
          <w:rFonts w:hint="default" w:ascii="Times New Roman" w:hAnsi="Times New Roman" w:cs="Times New Roman"/>
        </w:rPr>
      </w:pPr>
      <w:r>
        <w:rPr>
          <w:rFonts w:hint="default" w:ascii="Times New Roman" w:hAnsi="Times New Roman" w:eastAsia="仿宋_GB2312" w:cs="Times New Roman"/>
          <w:sz w:val="30"/>
          <w:szCs w:val="30"/>
          <w:lang w:val="en-US" w:eastAsia="zh-CN"/>
        </w:rPr>
        <w:t>本标准不改变国土空间用途管制。本标准明确自然共生地认定不改变土地权属、不改变合法生产经营性质、不新增空间管控红线。认定工作在现有国土空间规划框架内开展，是对现有空间治理体系的补充和强化，通过引导性、激励性机制提升各类空间的生物多样性保护功能，而非新增刚性管控要求。</w:t>
      </w:r>
    </w:p>
    <w:p w14:paraId="0594A28B">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2.2.2 适配中国生态保护红线制度安排</w:t>
      </w:r>
    </w:p>
    <w:p w14:paraId="2AD319B2">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标准在充分考虑我国生态保护红线制度的特殊性后，将适用范围明确限定于“生态保护红线以外区域”。该设定既区别于国际OECMs非自然保护地的通用边界，也体现了中国特色，即生态保护红线是我国独创的生态空间管控制度，其管控强度高于一般OECMs，具有法定刚性约束。将自然共生地限定在生态保护红线之外，既尊重了法定保护空间的优先地位，也避免了与现有保护体系的交叉重叠。</w:t>
      </w:r>
    </w:p>
    <w:p w14:paraId="06E441D7">
      <w:pPr>
        <w:ind w:firstLine="600" w:firstLineChars="200"/>
        <w:jc w:val="both"/>
        <w:rPr>
          <w:rFonts w:hint="default" w:ascii="Times New Roman" w:hAnsi="Times New Roman" w:cs="Times New Roman" w:eastAsiaTheme="minorEastAsia"/>
          <w:lang w:val="en-US" w:eastAsia="zh-CN"/>
        </w:rPr>
      </w:pPr>
      <w:r>
        <w:rPr>
          <w:rFonts w:hint="default" w:ascii="Times New Roman" w:hAnsi="Times New Roman" w:eastAsia="仿宋_GB2312" w:cs="Times New Roman"/>
          <w:sz w:val="30"/>
          <w:szCs w:val="30"/>
          <w:lang w:val="en-US" w:eastAsia="zh-CN"/>
        </w:rPr>
        <w:t>本标准致力于推动形成互补协同格局。自然共生地与自然保护地、生态保护红线共同构成“主体、红线、补充”的三级生物多样性就地保护体系：自然保护地是主体，承担核心保护功能；生态保护红线筑牢全域生态安全底线；自然共生地是补充，拓展保护覆盖面、动员社会力量。三者功能互补、各有侧重，共同形成全域生物多样性保护格局。</w:t>
      </w:r>
    </w:p>
    <w:p w14:paraId="3D830AE1">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w:t>
      </w:r>
      <w:r>
        <w:rPr>
          <w:rFonts w:hint="default"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rPr>
        <w:t xml:space="preserve"> 多</w:t>
      </w:r>
      <w:r>
        <w:rPr>
          <w:rFonts w:hint="default" w:ascii="Times New Roman" w:hAnsi="Times New Roman" w:eastAsia="仿宋_GB2312" w:cs="Times New Roman"/>
          <w:sz w:val="30"/>
          <w:szCs w:val="30"/>
          <w:lang w:val="en-US" w:eastAsia="zh-CN"/>
        </w:rPr>
        <w:t>元</w:t>
      </w:r>
      <w:r>
        <w:rPr>
          <w:rFonts w:hint="default" w:ascii="Times New Roman" w:hAnsi="Times New Roman" w:eastAsia="仿宋_GB2312" w:cs="Times New Roman"/>
          <w:sz w:val="30"/>
          <w:szCs w:val="30"/>
        </w:rPr>
        <w:t>共治原则</w:t>
      </w:r>
    </w:p>
    <w:p w14:paraId="291B3590">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标准鼓励建立政府、企业、社区、社会组织、科研机构、公众等多方参与的共治模式。涉及多个责任主体共同管理的区域，要求通过合作文件、共管机制文件等形式，明确各方职责与分工，并建立多元主体共治机制。</w:t>
      </w:r>
    </w:p>
    <w:p w14:paraId="56E3D1BF">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本标准将</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明确的责任主体、保护管理能力、相关方知情同意”列为9项核心认定要求，明确要求在自然共生地评估和认定工作中，必须与责任主体、权属或权益主体及其他主要相关方充分沟通，确保相关方清晰理解自然共生地的内涵、评估和认定的目的与流程，知晓自身权利义务及潜在影响，在充分知情、尊重当地社区意愿的基础上，开展相关工作，确保自然共生地建设不损害当地居民和相关方的正当利益。同时，推动建立惠益分享机制，促进收益优先惠及本地社区。</w:t>
      </w:r>
    </w:p>
    <w:p w14:paraId="009425A8">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此外，标准在“认定与管理机制”章节专门设置“政策与激励支持”内容，鼓励各地将认定后的自然共生地纳入政策支持范围，包括统筹生态补偿资金、创新绿色金融等市场激励工具，通过政策引导和市场机制激发全社会参与生物多样性保护的内生动力。对暂未满足认定要求、但具备基本保护条件和意愿的区域，标准也将其列入培育名单，通过指导和支持推动其逐步提升，扩大保护覆盖面。</w:t>
      </w:r>
    </w:p>
    <w:p w14:paraId="3288F172">
      <w:pPr>
        <w:pStyle w:val="3"/>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三、标准主要内容依据</w:t>
      </w:r>
      <w:r>
        <w:rPr>
          <w:rFonts w:hint="default" w:ascii="Times New Roman" w:hAnsi="Times New Roman" w:eastAsia="仿宋_GB2312" w:cs="Times New Roman"/>
          <w:sz w:val="30"/>
          <w:szCs w:val="30"/>
          <w:lang w:val="en-US" w:eastAsia="zh-CN"/>
        </w:rPr>
        <w:t>与</w:t>
      </w:r>
      <w:r>
        <w:rPr>
          <w:rFonts w:hint="default" w:ascii="Times New Roman" w:hAnsi="Times New Roman" w:eastAsia="仿宋_GB2312" w:cs="Times New Roman"/>
          <w:sz w:val="30"/>
          <w:szCs w:val="30"/>
        </w:rPr>
        <w:t>专利情况</w:t>
      </w:r>
    </w:p>
    <w:p w14:paraId="2E715E9F">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3.1 标准主要条文及技术内容依据</w:t>
      </w:r>
    </w:p>
    <w:p w14:paraId="7EAC34EF">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3.1.1 适用范围与边界设定依据</w:t>
      </w:r>
    </w:p>
    <w:p w14:paraId="2DD9C313">
      <w:pPr>
        <w:ind w:firstLine="600" w:firstLineChars="200"/>
        <w:jc w:val="both"/>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本标准中OECMs等核心术语定义直接来源于《生物多样性公约》COP14第14/8号决议的官方定义，确保与国际公约术语体系统一。其中OECMs定义严格对应决议原文，即“自然保护地以外、地理边界明确的区域，对其的治理和管理可实现生物多样性就地保护的积极、持续的长期成果，并取得相关的生态系统功能和服务，以及在适用的情况下实现文化、精神、社会经济价值和其他本地相关价值”。在此基础上，将“自然共生地”作为OECMs的本土化命名，是在遵循国际定义核心内涵基础上的中文意译创新。“自然”体现其生态属性和保护对象，“共生”体现人与自然和谐共生的核心理念以及多元主体共治的特征，“地”对应区域属性。这一命名既传达了OECMs的核心要义，又契合中国生态文明话语体系，便于社会公众理解和接受。</w:t>
      </w:r>
    </w:p>
    <w:p w14:paraId="4DFFF3E9">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标准将适用范围明确限定为生态保护红线以外区域，主要依据包括：一是《关于划定并严守生态保护红线的若干意见》，该文件由中共中央办公厅、国务院办公厅印发，明确生态保护红线是保障和维护国家生态安全的底线和生命线，实行强制性严格保护，原则上按禁止开发区域管理；二是《关于在国土空间规划中统筹划定落实三条控制线的指导意见》，将生态保护红线列为三条控制线之首，是调整经济结构、规划产业发展、推进城镇化不可逾越的红线。鉴于生态保护红线已具有法定刚性约束，其管控强度高于一般OECMs，将自然共生地限定在生态保护红线之外，既避免了制度重叠，又使自然共生地聚焦于红线外保护相对薄弱的区域，形成互补协同的保护格局。</w:t>
      </w:r>
    </w:p>
    <w:p w14:paraId="01898BB4">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此外，本标准明确自然共生地认定不改变土地权属、不改变合法生产经营性质，这一设定既遵循国际通行规则，侧重认可其保护成效；也符合我国土地管理基本制度，避免因认定引发权属纠纷和利益冲突，降低社会参与的制度门槛，有利于调动多元主体的积极性。</w:t>
      </w:r>
    </w:p>
    <w:p w14:paraId="02C78B9C">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3.1.2 </w:t>
      </w:r>
      <w:r>
        <w:rPr>
          <w:rFonts w:hint="default" w:ascii="Times New Roman" w:hAnsi="Times New Roman" w:eastAsia="仿宋_GB2312" w:cs="Times New Roman"/>
          <w:sz w:val="30"/>
          <w:szCs w:val="30"/>
          <w:lang w:val="en-US" w:eastAsia="zh-CN"/>
        </w:rPr>
        <w:t>核心内容</w:t>
      </w:r>
      <w:r>
        <w:rPr>
          <w:rFonts w:hint="default" w:ascii="Times New Roman" w:hAnsi="Times New Roman" w:eastAsia="仿宋_GB2312" w:cs="Times New Roman"/>
          <w:sz w:val="30"/>
          <w:szCs w:val="30"/>
        </w:rPr>
        <w:t>来源与界定依据</w:t>
      </w:r>
    </w:p>
    <w:p w14:paraId="50F11791">
      <w:pPr>
        <w:ind w:firstLine="600" w:firstLineChars="200"/>
        <w:jc w:val="both"/>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本标准的核心内容在国际接轨依据方面，主要一是《生物多样性公约》履约要求，中国作为缔约方有义务落实COP14决议和COP15昆蒙框架相关要求，OECMs认定标准需与国际接轨，确保经认定的自然共生地能够纳入国际统计和报告体系；二是IUCN全球技术准则的通用性，其识别标准和方法已被国际社会广泛认可，对标该准则有利于提升标准的科学性和国际认可度；三是便于国际交流与合作，与全球OECMs实践保持同频。</w:t>
      </w:r>
    </w:p>
    <w:p w14:paraId="09070081">
      <w:pPr>
        <w:ind w:firstLine="600" w:firstLineChars="200"/>
        <w:jc w:val="both"/>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在因地制宜方面，本标准主要考虑一是中国幅员辽阔，生态类型多样，不同区域自然地理条件、社会经济发展水平差异显著，OECMs标准不能一刀切，需结合各地实际灵活适用；二是中国特色的国土空间管控体系，“三区三线”制度是中国空间治理的基础性制度，OECMs必须深度融入这一体系才能有效落地；三是生态保护红线制度的特殊性，中国拥有全球规模最大的生态保护红线制度，这是多数国家不具备的制度安排，OECMs标准</w:t>
      </w:r>
      <w:r>
        <w:rPr>
          <w:rFonts w:hint="eastAsia" w:ascii="Times New Roman" w:hAnsi="Times New Roman" w:eastAsia="仿宋_GB2312" w:cs="Times New Roman"/>
          <w:color w:val="auto"/>
          <w:sz w:val="30"/>
          <w:szCs w:val="30"/>
          <w:lang w:val="en-US" w:eastAsia="zh-CN"/>
        </w:rPr>
        <w:t>宜</w:t>
      </w:r>
      <w:r>
        <w:rPr>
          <w:rFonts w:hint="default" w:ascii="Times New Roman" w:hAnsi="Times New Roman" w:eastAsia="仿宋_GB2312" w:cs="Times New Roman"/>
          <w:color w:val="auto"/>
          <w:sz w:val="30"/>
          <w:szCs w:val="30"/>
          <w:lang w:val="en-US" w:eastAsia="zh-CN"/>
        </w:rPr>
        <w:t>与之适配。</w:t>
      </w:r>
    </w:p>
    <w:p w14:paraId="45014B75">
      <w:pPr>
        <w:ind w:firstLine="600" w:firstLineChars="200"/>
        <w:jc w:val="both"/>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在多方共治依据方面：本标准主要考虑一是OECMs的重要特征就是多元主体治理，CBD决议和IUCN指南均明确OECMs可由政府、原住民和地方社区、私人机构等多种主体治理；二是生物多样性治理的全球趋势，从政府单一主导向多方共治转型是全球生物多样性治理的发展方向；三是中国社会力量参与生态保护的实践基础，企业、社会组织、社区等主体已开展大量自发保护行动，需要制度化渠道予以认可和引导。</w:t>
      </w:r>
    </w:p>
    <w:p w14:paraId="78D058B4">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3.2 专利情况说明</w:t>
      </w:r>
    </w:p>
    <w:p w14:paraId="151C17F8">
      <w:pPr>
        <w:keepNext w:val="0"/>
        <w:keepLines w:val="0"/>
        <w:widowControl/>
        <w:suppressLineNumbers w:val="0"/>
        <w:jc w:val="both"/>
        <w:rPr>
          <w:rFonts w:hint="default" w:ascii="Times New Roman" w:hAnsi="Times New Roman" w:eastAsia="仿宋_GB2312" w:cs="Times New Roman"/>
          <w:sz w:val="30"/>
          <w:szCs w:val="30"/>
          <w:lang w:eastAsia="zh-CN"/>
        </w:rPr>
      </w:pPr>
      <w:r>
        <w:rPr>
          <w:rFonts w:hint="default" w:ascii="Times New Roman" w:hAnsi="Times New Roman" w:eastAsia="仿宋_GB2312" w:cs="Times New Roman"/>
          <w:sz w:val="30"/>
          <w:szCs w:val="30"/>
          <w:lang w:val="en-US" w:eastAsia="zh-CN"/>
        </w:rPr>
        <w:t>本</w:t>
      </w:r>
      <w:r>
        <w:rPr>
          <w:rFonts w:hint="default" w:ascii="Times New Roman" w:hAnsi="Times New Roman" w:eastAsia="仿宋_GB2312" w:cs="Times New Roman"/>
          <w:sz w:val="30"/>
          <w:szCs w:val="30"/>
        </w:rPr>
        <w:t>标准</w:t>
      </w:r>
      <w:r>
        <w:rPr>
          <w:rFonts w:hint="default" w:ascii="Times New Roman" w:hAnsi="Times New Roman" w:eastAsia="仿宋_GB2312" w:cs="Times New Roman"/>
          <w:sz w:val="30"/>
          <w:szCs w:val="30"/>
          <w:lang w:val="en-US" w:eastAsia="zh-CN"/>
        </w:rPr>
        <w:t>不</w:t>
      </w:r>
      <w:r>
        <w:rPr>
          <w:rFonts w:hint="default" w:ascii="Times New Roman" w:hAnsi="Times New Roman" w:eastAsia="仿宋_GB2312" w:cs="Times New Roman"/>
          <w:sz w:val="30"/>
          <w:szCs w:val="30"/>
        </w:rPr>
        <w:t>涉及专利</w:t>
      </w:r>
      <w:r>
        <w:rPr>
          <w:rFonts w:hint="default" w:ascii="Times New Roman" w:hAnsi="Times New Roman" w:eastAsia="仿宋_GB2312" w:cs="Times New Roman"/>
          <w:sz w:val="30"/>
          <w:szCs w:val="30"/>
          <w:lang w:eastAsia="zh-CN"/>
        </w:rPr>
        <w:t>。</w:t>
      </w:r>
    </w:p>
    <w:p w14:paraId="40CA7E74">
      <w:pPr>
        <w:pStyle w:val="3"/>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四、主要试验、验证及试行结果</w:t>
      </w:r>
    </w:p>
    <w:p w14:paraId="2353EE7A">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4.1 </w:t>
      </w:r>
      <w:r>
        <w:rPr>
          <w:rFonts w:hint="default" w:ascii="Times New Roman" w:hAnsi="Times New Roman" w:eastAsia="仿宋_GB2312" w:cs="Times New Roman"/>
          <w:sz w:val="30"/>
          <w:szCs w:val="30"/>
          <w:lang w:val="en-US" w:eastAsia="zh-CN"/>
        </w:rPr>
        <w:t>前期试验</w:t>
      </w:r>
      <w:r>
        <w:rPr>
          <w:rFonts w:hint="default" w:ascii="Times New Roman" w:hAnsi="Times New Roman" w:eastAsia="仿宋_GB2312" w:cs="Times New Roman"/>
          <w:sz w:val="30"/>
          <w:szCs w:val="30"/>
        </w:rPr>
        <w:t>总体情况</w:t>
      </w:r>
    </w:p>
    <w:p w14:paraId="7F21E0FC">
      <w:pPr>
        <w:keepNext w:val="0"/>
        <w:keepLines w:val="0"/>
        <w:widowControl/>
        <w:suppressLineNumbers w:val="0"/>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2024年起，包括中华环境保护基金会、中国环境科学研究院、山水自然保护中心等在内的本标准编制机构已经联合发起了2期“OECMs中国潜力案例”征集活动，共征集到148个全国案例，累计评选出86个入围/入选案例，其中28个为典型案例。</w:t>
      </w:r>
    </w:p>
    <w:p w14:paraId="28B87856">
      <w:pPr>
        <w:keepNext w:val="0"/>
        <w:keepLines w:val="0"/>
        <w:widowControl/>
        <w:suppressLineNumbers w:val="0"/>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入围案例包括近自然城市绿地、校园、企业厂区、自然友好农田、社区保护地、公益保护地等，涵盖了政府、企业、社区、校园、公益组织等多元主体管理的空间，涉及陆地森林、草地、湿地、荒漠、农田、城镇和海洋/沿海等多种生态系统，为中国OECM的标准建立、认定试点、机制探索提供关键的实践素材，为我国OECM本土化标准和认定指南的建立提供了实证支撑。</w:t>
      </w:r>
    </w:p>
    <w:p w14:paraId="7B348B36">
      <w:pPr>
        <w:keepNext w:val="0"/>
        <w:keepLines w:val="0"/>
        <w:widowControl/>
        <w:suppressLineNumbers w:val="0"/>
        <w:ind w:firstLine="600" w:firstLineChars="200"/>
        <w:jc w:val="both"/>
        <w:rPr>
          <w:rFonts w:hint="default" w:ascii="Times New Roman" w:hAnsi="Times New Roman" w:cs="Times New Roman" w:eastAsiaTheme="minorEastAsia"/>
          <w:lang w:eastAsia="zh-CN"/>
        </w:rPr>
      </w:pPr>
      <w:r>
        <w:rPr>
          <w:rFonts w:hint="default" w:ascii="Times New Roman" w:hAnsi="Times New Roman" w:eastAsia="仿宋_GB2312" w:cs="Times New Roman"/>
          <w:sz w:val="30"/>
          <w:szCs w:val="30"/>
          <w:lang w:val="en-US" w:eastAsia="zh-CN"/>
        </w:rPr>
        <w:t>立足前期工作与案例积累，本标准系统提炼非国家主体参与及多类国土空间的认定情形等实践经验，推动OECM相关工作正式从前期潜力识别阶段正式转入认定与标准制定阶段。</w:t>
      </w:r>
    </w:p>
    <w:p w14:paraId="1671C3C4">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4.2 验证及试行结果</w:t>
      </w:r>
    </w:p>
    <w:p w14:paraId="7F05D7B4">
      <w:pPr>
        <w:keepNext w:val="0"/>
        <w:keepLines w:val="0"/>
        <w:widowControl/>
        <w:suppressLineNumbers w:val="0"/>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标准通过后，将于生态空间、农业空间、城镇空间等不同空间类别区域开展试行，验证认定标准的科学性和工作流程的可操作性，得出标准适用性验证结论，梳理可能存在问题与改进方向，以支撑完善后续标准工作开展。</w:t>
      </w:r>
    </w:p>
    <w:p w14:paraId="1CA1D9BB">
      <w:pPr>
        <w:pStyle w:val="3"/>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五、与相关标准的关系分析</w:t>
      </w:r>
    </w:p>
    <w:p w14:paraId="3AD45990">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5.1 与国家标准</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lang w:val="en-US" w:eastAsia="zh-CN"/>
        </w:rPr>
        <w:t>行业标准</w:t>
      </w:r>
      <w:r>
        <w:rPr>
          <w:rFonts w:hint="default" w:ascii="Times New Roman" w:hAnsi="Times New Roman" w:eastAsia="仿宋_GB2312" w:cs="Times New Roman"/>
          <w:sz w:val="30"/>
          <w:szCs w:val="30"/>
        </w:rPr>
        <w:t>的关系</w:t>
      </w:r>
    </w:p>
    <w:p w14:paraId="23879801">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5.1.1 与自然保护地系列标准的衔接</w:t>
      </w:r>
    </w:p>
    <w:p w14:paraId="3D3F64E5">
      <w:pPr>
        <w:keepNext w:val="0"/>
        <w:keepLines w:val="0"/>
        <w:widowControl/>
        <w:suppressLineNumbers w:val="0"/>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本标准在术语定义上与GB/T 45072—2024《自然保护地名词术语》保持协调一致、形成互补关系。该国家标准是我国自然保护地领域的首部术语国家标准，系统构建了包含国家公园、自然保护区、自然公园等15类保护地的术语体系，界定了自然保护地分类分级、保护对象、规划建设、保护管理等方面的常用名词术语。本标准中自然保护地、就地保护等核心术语直接引用或参考该国家标准的定义，确保概念体系统一。其中，自然保护地术语引用GB/T 45072—2024第3.1条，即“其所承载的自然资源、生态功能和文化价值实施长期保护的陆域或海域。”此外，本标准所规范的自然共生地（OECMs）明确界定为自然保护地以外的区域，在适用范围上与自然保护地体系严格区分、互不重叠。二者共同构成我国法定保护体系与社会参与保护体系相结合的生物多样性就地保护格局。</w:t>
      </w:r>
    </w:p>
    <w:p w14:paraId="61678D51">
      <w:pPr>
        <w:keepNext w:val="0"/>
        <w:keepLines w:val="0"/>
        <w:widowControl/>
        <w:suppressLineNumbers w:val="0"/>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在保护管理的基本原则、技术方法等方面，本标准参考自然保护地系列标准中成熟的管理经验，包括保护对象识别、监测评估方法、成效评估框架等，但根据自然共生地多元主体参与、非刚性管控的特点进行了适应性调整，不照搬自然保护地的严格管控模式，而是采用引导性、激励性的管理要求。</w:t>
      </w:r>
    </w:p>
    <w:p w14:paraId="7276D7B2">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5.1.2 与生物多样性评价相关标准的衔接</w:t>
      </w:r>
    </w:p>
    <w:p w14:paraId="67E7E169">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本标准在生物多样性价值认定方面，参考生态环境部发布的HJ 623—2011《区域生物多样性评价标准》的指标体系框架。该标准规定了区域生物多样性评价的指标及其权重、数据采集和处理、计算方法、等级划分等内容，从野生维管植物丰富度、野生动物丰富度、生态系统类型多样性、物种特有性、外来物种入侵度、受威胁物种丰富度等维度构建评价体系。本标准附录C生物多样性要素在指标设置上充分吸收该标准的核心评价维度，结合OECMs认定的特点进行了针对性调整。</w:t>
      </w:r>
    </w:p>
    <w:p w14:paraId="64665C1F">
      <w:pPr>
        <w:ind w:firstLine="600" w:firstLineChars="2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同时，本标准中涉及的国家重点保护野生动植物名录、中国生物多样性红色名录、IUCN 受威胁物种红色名录等生物多样性价值判定依据，与HJ 623等相关生物多样性评价标准保持一致，采用统一的物种名录和等级划分标准，确保评价结果的科学性和可比性。</w:t>
      </w:r>
    </w:p>
    <w:p w14:paraId="301F29D0">
      <w:pPr>
        <w:ind w:firstLine="600" w:firstLineChars="200"/>
        <w:jc w:val="both"/>
        <w:rPr>
          <w:rFonts w:hint="default" w:ascii="Times New Roman" w:hAnsi="Times New Roman" w:cs="Times New Roman"/>
        </w:rPr>
      </w:pPr>
      <w:r>
        <w:rPr>
          <w:rFonts w:hint="default" w:ascii="Times New Roman" w:hAnsi="Times New Roman" w:eastAsia="仿宋_GB2312" w:cs="Times New Roman"/>
          <w:sz w:val="30"/>
          <w:szCs w:val="30"/>
          <w:lang w:val="en-US" w:eastAsia="zh-CN"/>
        </w:rPr>
        <w:t>此外，在监测方法方面，本标准参考GB/T 35631《生物多样性观测技术导则》系列标准，以及HJ 1311—2023《自然保护地生态环境调查与观测技术规范》，结合红外相机、声纹、卫星遥感、无人机、环境DNA等现代化监测技术应用，构建适配自然共生地特点的多元化监测体系。</w:t>
      </w:r>
    </w:p>
    <w:p w14:paraId="186B5C56">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5.</w:t>
      </w:r>
      <w:r>
        <w:rPr>
          <w:rFonts w:hint="default" w:ascii="Times New Roman" w:hAnsi="Times New Roman" w:eastAsia="仿宋_GB2312" w:cs="Times New Roman"/>
          <w:sz w:val="30"/>
          <w:szCs w:val="30"/>
          <w:lang w:val="en-US" w:eastAsia="zh-CN"/>
        </w:rPr>
        <w:t>2</w:t>
      </w:r>
      <w:r>
        <w:rPr>
          <w:rFonts w:hint="default" w:ascii="Times New Roman" w:hAnsi="Times New Roman" w:eastAsia="仿宋_GB2312" w:cs="Times New Roman"/>
          <w:sz w:val="30"/>
          <w:szCs w:val="30"/>
        </w:rPr>
        <w:t xml:space="preserve"> 与</w:t>
      </w:r>
      <w:r>
        <w:rPr>
          <w:rFonts w:hint="default" w:ascii="Times New Roman" w:hAnsi="Times New Roman" w:eastAsia="仿宋_GB2312" w:cs="Times New Roman"/>
          <w:sz w:val="30"/>
          <w:szCs w:val="30"/>
          <w:lang w:val="en-US" w:eastAsia="zh-CN"/>
        </w:rPr>
        <w:t>相关</w:t>
      </w:r>
      <w:r>
        <w:rPr>
          <w:rFonts w:hint="default" w:ascii="Times New Roman" w:hAnsi="Times New Roman" w:eastAsia="仿宋_GB2312" w:cs="Times New Roman"/>
          <w:sz w:val="30"/>
          <w:szCs w:val="30"/>
        </w:rPr>
        <w:t>团体标准的协调性</w:t>
      </w:r>
    </w:p>
    <w:p w14:paraId="589FACEF">
      <w:pPr>
        <w:keepNext w:val="0"/>
        <w:keepLines w:val="0"/>
        <w:widowControl/>
        <w:suppressLineNumbers w:val="0"/>
        <w:ind w:firstLine="600" w:firstLineChars="20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随着OECMs概念在国内的推广，近年来我国相关团体标准的编制工作逐步启动，但总体处于起步阶段，尚未形成完善的标准体系。截至目前，全国层面尚无正式发布的OECMs认定类团体标准，各地各机构正在积极探索。</w:t>
      </w:r>
      <w:r>
        <w:rPr>
          <w:rFonts w:hint="default" w:ascii="Times New Roman" w:hAnsi="Times New Roman" w:eastAsia="仿宋_GB2312" w:cs="Times New Roman"/>
          <w:sz w:val="30"/>
          <w:szCs w:val="30"/>
          <w:lang w:val="en-US" w:eastAsia="zh-CN"/>
        </w:rPr>
        <w:t>就此，</w:t>
      </w:r>
      <w:r>
        <w:rPr>
          <w:rFonts w:hint="default" w:ascii="Times New Roman" w:hAnsi="Times New Roman" w:eastAsia="仿宋_GB2312" w:cs="Times New Roman"/>
          <w:sz w:val="30"/>
          <w:szCs w:val="30"/>
        </w:rPr>
        <w:t>北京市已启动《北京自然共生地（其他有效的区域保护措施）认定导则》编制工作，主要针对北京市域内的城市绿地、自然带等场景，集中彰显超大城市生态治理与生物多样性协同保护的“北京样板”，引导全社会树立尊重自然、顺应自然、保护自然的生态理念，共同守护生物家园、乐享生态之美。</w:t>
      </w:r>
    </w:p>
    <w:p w14:paraId="46CA0E52">
      <w:pPr>
        <w:keepNext w:val="0"/>
        <w:keepLines w:val="0"/>
        <w:widowControl/>
        <w:suppressLineNumbers w:val="0"/>
        <w:ind w:firstLine="600" w:firstLineChars="200"/>
        <w:jc w:val="both"/>
        <w:rPr>
          <w:rFonts w:hint="eastAsia"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rPr>
        <w:t>本标准作为全国性通用标准，规定了自然共生地认定的基本原则、核心要求和通用流程，为各地开展相关工作提供统一的技术</w:t>
      </w:r>
      <w:r>
        <w:rPr>
          <w:rFonts w:hint="eastAsia" w:ascii="Times New Roman" w:hAnsi="Times New Roman" w:eastAsia="仿宋_GB2312" w:cs="Times New Roman"/>
          <w:sz w:val="30"/>
          <w:szCs w:val="30"/>
          <w:lang w:val="en-US" w:eastAsia="zh-CN"/>
        </w:rPr>
        <w:t>规范</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解决在中国话语体系下什么是自然共生地的问题</w:t>
      </w:r>
      <w:r>
        <w:rPr>
          <w:rFonts w:hint="default" w:ascii="Times New Roman" w:hAnsi="Times New Roman" w:eastAsia="仿宋_GB2312" w:cs="Times New Roman"/>
          <w:sz w:val="30"/>
          <w:szCs w:val="30"/>
        </w:rPr>
        <w:t>；地方性团体标准可在本标准框架基础上，结合当地自然地理特征、生物多样性特点和管理需求，制定更具针对性的实施细则和地方补充要求，</w:t>
      </w:r>
      <w:r>
        <w:rPr>
          <w:rFonts w:hint="eastAsia" w:ascii="Times New Roman" w:hAnsi="Times New Roman" w:eastAsia="仿宋_GB2312" w:cs="Times New Roman"/>
          <w:sz w:val="30"/>
          <w:szCs w:val="30"/>
          <w:lang w:val="en-US" w:eastAsia="zh-CN"/>
        </w:rPr>
        <w:t>解决如何成为自然共生地以及后续如何管理等问题</w:t>
      </w:r>
      <w:r>
        <w:rPr>
          <w:rFonts w:hint="eastAsia" w:ascii="Times New Roman" w:hAnsi="Times New Roman" w:eastAsia="仿宋_GB2312" w:cs="Times New Roman"/>
          <w:sz w:val="30"/>
          <w:szCs w:val="30"/>
          <w:lang w:eastAsia="zh-CN"/>
        </w:rPr>
        <w:t>。</w:t>
      </w:r>
    </w:p>
    <w:p w14:paraId="47FF8358">
      <w:pPr>
        <w:pStyle w:val="3"/>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六、采用国际标准的程度及水平说明</w:t>
      </w:r>
    </w:p>
    <w:p w14:paraId="0BD99E85">
      <w:pPr>
        <w:pStyle w:val="4"/>
        <w:keepNext w:val="0"/>
        <w:keepLines w:val="0"/>
        <w:widowControl/>
        <w:suppressLineNumbers w:val="0"/>
        <w:ind w:left="0" w:firstLine="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rPr>
        <w:t>6.1 采用国际标准的</w:t>
      </w:r>
      <w:r>
        <w:rPr>
          <w:rFonts w:hint="default" w:ascii="Times New Roman" w:hAnsi="Times New Roman" w:eastAsia="仿宋_GB2312" w:cs="Times New Roman"/>
          <w:sz w:val="30"/>
          <w:szCs w:val="30"/>
          <w:lang w:val="en-US" w:eastAsia="zh-CN"/>
        </w:rPr>
        <w:t>水平</w:t>
      </w:r>
    </w:p>
    <w:p w14:paraId="3291CDA6">
      <w:pPr>
        <w:keepNext w:val="0"/>
        <w:keepLines w:val="0"/>
        <w:widowControl/>
        <w:suppressLineNumbers w:val="0"/>
        <w:ind w:firstLine="600" w:firstLineChars="200"/>
        <w:jc w:val="both"/>
        <w:rPr>
          <w:rFonts w:hint="default" w:ascii="Times New Roman" w:hAnsi="Times New Roman" w:eastAsia="仿宋_GB2312" w:cs="Times New Roman"/>
          <w:sz w:val="30"/>
          <w:szCs w:val="30"/>
          <w:lang w:eastAsia="zh-CN"/>
        </w:rPr>
      </w:pPr>
      <w:r>
        <w:rPr>
          <w:rFonts w:hint="default" w:ascii="Times New Roman" w:hAnsi="Times New Roman" w:eastAsia="仿宋_GB2312" w:cs="Times New Roman"/>
          <w:sz w:val="30"/>
          <w:szCs w:val="30"/>
          <w:lang w:eastAsia="zh-CN"/>
        </w:rPr>
        <w:t>本标准</w:t>
      </w:r>
      <w:r>
        <w:rPr>
          <w:rFonts w:hint="eastAsia" w:ascii="Times New Roman" w:hAnsi="Times New Roman" w:eastAsia="仿宋_GB2312" w:cs="Times New Roman"/>
          <w:sz w:val="30"/>
          <w:szCs w:val="30"/>
          <w:lang w:val="en-US" w:eastAsia="zh-CN"/>
        </w:rPr>
        <w:t>力求</w:t>
      </w:r>
      <w:r>
        <w:rPr>
          <w:rFonts w:hint="default" w:ascii="Times New Roman" w:hAnsi="Times New Roman" w:eastAsia="仿宋_GB2312" w:cs="Times New Roman"/>
          <w:sz w:val="30"/>
          <w:szCs w:val="30"/>
          <w:lang w:eastAsia="zh-CN"/>
        </w:rPr>
        <w:t>对标国际前沿，遵循《公约》</w:t>
      </w:r>
      <w:r>
        <w:rPr>
          <w:rFonts w:hint="default" w:ascii="Times New Roman" w:hAnsi="Times New Roman" w:eastAsia="仿宋_GB2312" w:cs="Times New Roman"/>
          <w:sz w:val="30"/>
          <w:szCs w:val="30"/>
          <w:lang w:val="en-US" w:eastAsia="zh-CN"/>
        </w:rPr>
        <w:t>决议</w:t>
      </w:r>
      <w:r>
        <w:rPr>
          <w:rFonts w:hint="default" w:ascii="Times New Roman" w:hAnsi="Times New Roman" w:eastAsia="仿宋_GB2312" w:cs="Times New Roman"/>
          <w:sz w:val="30"/>
          <w:szCs w:val="30"/>
          <w:lang w:eastAsia="zh-CN"/>
        </w:rPr>
        <w:t>，吸收IUCN WCPA最新技术指南和场地级工具的核心方法，在认定要求上与国际前沿保持高度一致。</w:t>
      </w:r>
    </w:p>
    <w:p w14:paraId="5C8CC67E">
      <w:pPr>
        <w:keepNext w:val="0"/>
        <w:keepLines w:val="0"/>
        <w:widowControl/>
        <w:suppressLineNumbers w:val="0"/>
        <w:ind w:firstLine="600" w:firstLineChars="200"/>
        <w:jc w:val="both"/>
        <w:rPr>
          <w:rFonts w:hint="default" w:ascii="Times New Roman" w:hAnsi="Times New Roman" w:eastAsia="仿宋_GB2312" w:cs="Times New Roman"/>
          <w:sz w:val="30"/>
          <w:szCs w:val="30"/>
          <w:lang w:eastAsia="zh-CN"/>
        </w:rPr>
      </w:pPr>
      <w:r>
        <w:rPr>
          <w:rFonts w:hint="default" w:ascii="Times New Roman" w:hAnsi="Times New Roman" w:eastAsia="仿宋_GB2312" w:cs="Times New Roman"/>
          <w:sz w:val="30"/>
          <w:szCs w:val="30"/>
          <w:lang w:val="en-US" w:eastAsia="zh-CN"/>
        </w:rPr>
        <w:t>本</w:t>
      </w:r>
      <w:r>
        <w:rPr>
          <w:rFonts w:hint="default" w:ascii="Times New Roman" w:hAnsi="Times New Roman" w:eastAsia="仿宋_GB2312" w:cs="Times New Roman"/>
          <w:sz w:val="30"/>
          <w:szCs w:val="30"/>
          <w:lang w:eastAsia="zh-CN"/>
        </w:rPr>
        <w:t>标准涵盖了从边界界定、治理主体、管理能力、知情同意，到生物多样性价值、管理措施、长期承诺、监测评估、多元价值的完整链条，是国际OECMs标准体系的完整体现。</w:t>
      </w:r>
      <w:r>
        <w:rPr>
          <w:rFonts w:hint="default" w:ascii="Times New Roman" w:hAnsi="Times New Roman" w:eastAsia="仿宋_GB2312" w:cs="Times New Roman"/>
          <w:sz w:val="30"/>
          <w:szCs w:val="30"/>
          <w:lang w:val="en-US" w:eastAsia="zh-CN"/>
        </w:rPr>
        <w:t>同时，本</w:t>
      </w:r>
      <w:r>
        <w:rPr>
          <w:rFonts w:hint="default" w:ascii="Times New Roman" w:hAnsi="Times New Roman" w:eastAsia="仿宋_GB2312" w:cs="Times New Roman"/>
          <w:sz w:val="30"/>
          <w:szCs w:val="30"/>
          <w:lang w:eastAsia="zh-CN"/>
        </w:rPr>
        <w:t>标准充分体现</w:t>
      </w:r>
      <w:r>
        <w:rPr>
          <w:rFonts w:hint="default" w:ascii="Times New Roman" w:hAnsi="Times New Roman" w:eastAsia="仿宋_GB2312" w:cs="Times New Roman"/>
          <w:sz w:val="30"/>
          <w:szCs w:val="30"/>
          <w:lang w:val="en-US" w:eastAsia="zh-CN"/>
        </w:rPr>
        <w:t>了</w:t>
      </w:r>
      <w:r>
        <w:rPr>
          <w:rFonts w:hint="default" w:ascii="Times New Roman" w:hAnsi="Times New Roman" w:eastAsia="仿宋_GB2312" w:cs="Times New Roman"/>
          <w:sz w:val="30"/>
          <w:szCs w:val="30"/>
          <w:lang w:eastAsia="zh-CN"/>
        </w:rPr>
        <w:t>多元主体参与的国际前沿治理理念，明确政府、企业、社区、社会组织、公众等各类主体均可成为责任主体，并设计了相应的共治机制和权益保障制度，契合全球</w:t>
      </w:r>
      <w:r>
        <w:rPr>
          <w:rFonts w:hint="default" w:ascii="Times New Roman" w:hAnsi="Times New Roman" w:eastAsia="仿宋_GB2312" w:cs="Times New Roman"/>
          <w:sz w:val="30"/>
          <w:szCs w:val="30"/>
          <w:lang w:val="en-US" w:eastAsia="zh-CN"/>
        </w:rPr>
        <w:t>国家标准和</w:t>
      </w:r>
      <w:r>
        <w:rPr>
          <w:rFonts w:hint="default" w:ascii="Times New Roman" w:hAnsi="Times New Roman" w:eastAsia="仿宋_GB2312" w:cs="Times New Roman"/>
          <w:sz w:val="30"/>
          <w:szCs w:val="30"/>
          <w:lang w:eastAsia="zh-CN"/>
        </w:rPr>
        <w:t>生物多样性治理从政府单一主导向多方共治转型的发展趋势。</w:t>
      </w:r>
    </w:p>
    <w:p w14:paraId="10A0688E">
      <w:pPr>
        <w:pStyle w:val="5"/>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6.3 中国本土化创新特色</w:t>
      </w:r>
    </w:p>
    <w:p w14:paraId="33BC48BD">
      <w:pPr>
        <w:keepNext w:val="0"/>
        <w:keepLines w:val="0"/>
        <w:widowControl/>
        <w:suppressLineNumbers w:val="0"/>
        <w:ind w:firstLine="600" w:firstLineChars="20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本标准</w:t>
      </w:r>
      <w:r>
        <w:rPr>
          <w:rFonts w:hint="default" w:ascii="Times New Roman" w:hAnsi="Times New Roman" w:eastAsia="仿宋_GB2312" w:cs="Times New Roman"/>
          <w:sz w:val="30"/>
          <w:szCs w:val="30"/>
          <w:lang w:val="en-US" w:eastAsia="zh-CN"/>
        </w:rPr>
        <w:t>创新</w:t>
      </w:r>
      <w:r>
        <w:rPr>
          <w:rFonts w:hint="default" w:ascii="Times New Roman" w:hAnsi="Times New Roman" w:eastAsia="仿宋_GB2312" w:cs="Times New Roman"/>
          <w:sz w:val="30"/>
          <w:szCs w:val="30"/>
        </w:rPr>
        <w:t>衔接</w:t>
      </w:r>
      <w:r>
        <w:rPr>
          <w:rFonts w:hint="default" w:ascii="Times New Roman" w:hAnsi="Times New Roman" w:eastAsia="仿宋_GB2312" w:cs="Times New Roman"/>
          <w:sz w:val="30"/>
          <w:szCs w:val="30"/>
          <w:lang w:val="en-US" w:eastAsia="zh-CN"/>
        </w:rPr>
        <w:t>了</w:t>
      </w:r>
      <w:r>
        <w:rPr>
          <w:rFonts w:hint="eastAsia" w:ascii="Times New Roman" w:hAnsi="Times New Roman" w:eastAsia="仿宋_GB2312" w:cs="Times New Roman"/>
          <w:sz w:val="30"/>
          <w:szCs w:val="30"/>
          <w:lang w:val="en-US" w:eastAsia="zh-CN"/>
        </w:rPr>
        <w:t>中国</w:t>
      </w:r>
      <w:r>
        <w:rPr>
          <w:rFonts w:hint="default" w:ascii="Times New Roman" w:hAnsi="Times New Roman" w:eastAsia="仿宋_GB2312" w:cs="Times New Roman"/>
          <w:sz w:val="30"/>
          <w:szCs w:val="30"/>
        </w:rPr>
        <w:t>生态</w:t>
      </w:r>
      <w:r>
        <w:rPr>
          <w:rFonts w:hint="eastAsia" w:ascii="Times New Roman" w:hAnsi="Times New Roman" w:eastAsia="仿宋_GB2312" w:cs="Times New Roman"/>
          <w:sz w:val="30"/>
          <w:szCs w:val="30"/>
          <w:lang w:val="en-US" w:eastAsia="zh-CN"/>
        </w:rPr>
        <w:t>保护</w:t>
      </w:r>
      <w:r>
        <w:rPr>
          <w:rFonts w:hint="default" w:ascii="Times New Roman" w:hAnsi="Times New Roman" w:eastAsia="仿宋_GB2312" w:cs="Times New Roman"/>
          <w:sz w:val="30"/>
          <w:szCs w:val="30"/>
        </w:rPr>
        <w:t>红线制度</w:t>
      </w:r>
      <w:r>
        <w:rPr>
          <w:rFonts w:hint="default" w:ascii="Times New Roman" w:hAnsi="Times New Roman" w:eastAsia="仿宋_GB2312" w:cs="Times New Roman"/>
          <w:sz w:val="30"/>
          <w:szCs w:val="30"/>
          <w:lang w:val="en-US" w:eastAsia="zh-CN"/>
        </w:rPr>
        <w:t>与</w:t>
      </w:r>
      <w:r>
        <w:rPr>
          <w:rFonts w:hint="default" w:ascii="Times New Roman" w:hAnsi="Times New Roman" w:eastAsia="仿宋_GB2312" w:cs="Times New Roman"/>
          <w:sz w:val="30"/>
          <w:szCs w:val="30"/>
        </w:rPr>
        <w:t>OECMs</w:t>
      </w:r>
      <w:r>
        <w:rPr>
          <w:rFonts w:hint="default" w:ascii="Times New Roman" w:hAnsi="Times New Roman" w:eastAsia="仿宋_GB2312" w:cs="Times New Roman"/>
          <w:sz w:val="30"/>
          <w:szCs w:val="30"/>
          <w:lang w:val="en-US" w:eastAsia="zh-CN"/>
        </w:rPr>
        <w:t>认定</w:t>
      </w:r>
      <w:r>
        <w:rPr>
          <w:rFonts w:hint="default" w:ascii="Times New Roman" w:hAnsi="Times New Roman" w:eastAsia="仿宋_GB2312" w:cs="Times New Roman"/>
          <w:sz w:val="30"/>
          <w:szCs w:val="30"/>
        </w:rPr>
        <w:t>，创将OECMs的国际通用概念与中国特色的生态保护红线制度相结合，</w:t>
      </w:r>
      <w:r>
        <w:rPr>
          <w:rFonts w:hint="default" w:ascii="Times New Roman" w:hAnsi="Times New Roman" w:eastAsia="仿宋_GB2312" w:cs="Times New Roman"/>
          <w:sz w:val="30"/>
          <w:szCs w:val="30"/>
          <w:lang w:val="en-US" w:eastAsia="zh-CN"/>
        </w:rPr>
        <w:t>推出了</w:t>
      </w:r>
      <w:r>
        <w:rPr>
          <w:rFonts w:hint="default" w:ascii="Times New Roman" w:hAnsi="Times New Roman" w:eastAsia="仿宋_GB2312" w:cs="Times New Roman"/>
          <w:sz w:val="30"/>
          <w:szCs w:val="30"/>
        </w:rPr>
        <w:t>自然保护地为主体、生态保护红线为基础、自然共生地为补充的三级就地保护体系。</w:t>
      </w:r>
      <w:r>
        <w:rPr>
          <w:rFonts w:hint="default" w:ascii="Times New Roman" w:hAnsi="Times New Roman" w:eastAsia="仿宋_GB2312" w:cs="Times New Roman"/>
          <w:sz w:val="30"/>
          <w:szCs w:val="30"/>
          <w:lang w:val="en-US" w:eastAsia="zh-CN"/>
        </w:rPr>
        <w:t>在</w:t>
      </w:r>
      <w:r>
        <w:rPr>
          <w:rFonts w:hint="default" w:ascii="Times New Roman" w:hAnsi="Times New Roman" w:eastAsia="仿宋_GB2312" w:cs="Times New Roman"/>
          <w:sz w:val="30"/>
          <w:szCs w:val="30"/>
        </w:rPr>
        <w:t>国土空间管控框架</w:t>
      </w:r>
      <w:r>
        <w:rPr>
          <w:rFonts w:hint="default" w:ascii="Times New Roman" w:hAnsi="Times New Roman" w:eastAsia="仿宋_GB2312" w:cs="Times New Roman"/>
          <w:sz w:val="30"/>
          <w:szCs w:val="30"/>
          <w:lang w:val="en-US" w:eastAsia="zh-CN"/>
        </w:rPr>
        <w:t>下</w:t>
      </w:r>
      <w:r>
        <w:rPr>
          <w:rFonts w:hint="default" w:ascii="Times New Roman" w:hAnsi="Times New Roman" w:eastAsia="仿宋_GB2312" w:cs="Times New Roman"/>
          <w:sz w:val="30"/>
          <w:szCs w:val="30"/>
        </w:rPr>
        <w:t>，针对</w:t>
      </w:r>
      <w:r>
        <w:rPr>
          <w:rFonts w:hint="default" w:ascii="Times New Roman" w:hAnsi="Times New Roman" w:eastAsia="仿宋_GB2312" w:cs="Times New Roman"/>
          <w:sz w:val="30"/>
          <w:szCs w:val="30"/>
          <w:lang w:val="en-US" w:eastAsia="zh-CN"/>
        </w:rPr>
        <w:t>不同</w:t>
      </w:r>
      <w:r>
        <w:rPr>
          <w:rFonts w:hint="default" w:ascii="Times New Roman" w:hAnsi="Times New Roman" w:eastAsia="仿宋_GB2312" w:cs="Times New Roman"/>
          <w:sz w:val="30"/>
          <w:szCs w:val="30"/>
        </w:rPr>
        <w:t>空间设置差异化标准，</w:t>
      </w:r>
      <w:r>
        <w:rPr>
          <w:rFonts w:hint="eastAsia" w:ascii="Times New Roman" w:hAnsi="Times New Roman" w:eastAsia="仿宋_GB2312" w:cs="Times New Roman"/>
          <w:sz w:val="30"/>
          <w:szCs w:val="30"/>
          <w:lang w:val="en-US" w:eastAsia="zh-CN"/>
        </w:rPr>
        <w:t>推动</w:t>
      </w:r>
      <w:r>
        <w:rPr>
          <w:rFonts w:hint="default" w:ascii="Times New Roman" w:hAnsi="Times New Roman" w:eastAsia="仿宋_GB2312" w:cs="Times New Roman"/>
          <w:sz w:val="30"/>
          <w:szCs w:val="30"/>
        </w:rPr>
        <w:t>生物多样性保护与国土空间用途管制的有机融合。既符合中国生态空间管控的实际，降低了标准实施的制度成本，提升了可落地性，也为其他拥有类似空间管控制度的国家提供了可借鉴的中国方案。</w:t>
      </w:r>
    </w:p>
    <w:p w14:paraId="474ABF16">
      <w:pPr>
        <w:pStyle w:val="3"/>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七、重大分歧或重难点处理经过和依据</w:t>
      </w:r>
    </w:p>
    <w:p w14:paraId="6C7D8ED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default" w:ascii="Times New Roman" w:hAnsi="Times New Roman" w:eastAsia="仿宋_GB2312" w:cs="Times New Roman"/>
          <w:b w:val="0"/>
          <w:bCs w:val="0"/>
          <w:sz w:val="30"/>
          <w:szCs w:val="30"/>
        </w:rPr>
      </w:pPr>
      <w:r>
        <w:rPr>
          <w:rFonts w:hint="default" w:ascii="Times New Roman" w:hAnsi="Times New Roman" w:eastAsia="仿宋_GB2312" w:cs="Times New Roman"/>
          <w:b w:val="0"/>
          <w:bCs w:val="0"/>
          <w:sz w:val="30"/>
          <w:szCs w:val="30"/>
        </w:rPr>
        <w:t>在标准起草、专家咨询、案例试认定</w:t>
      </w:r>
      <w:r>
        <w:rPr>
          <w:rFonts w:hint="eastAsia" w:ascii="Times New Roman" w:hAnsi="Times New Roman" w:eastAsia="仿宋_GB2312" w:cs="Times New Roman"/>
          <w:b w:val="0"/>
          <w:bCs w:val="0"/>
          <w:sz w:val="30"/>
          <w:szCs w:val="30"/>
          <w:lang w:val="en-US" w:eastAsia="zh-CN"/>
        </w:rPr>
        <w:t>过程</w:t>
      </w:r>
      <w:r>
        <w:rPr>
          <w:rFonts w:hint="default" w:ascii="Times New Roman" w:hAnsi="Times New Roman" w:eastAsia="仿宋_GB2312" w:cs="Times New Roman"/>
          <w:b w:val="0"/>
          <w:bCs w:val="0"/>
          <w:sz w:val="30"/>
          <w:szCs w:val="30"/>
        </w:rPr>
        <w:t>中，</w:t>
      </w:r>
      <w:r>
        <w:rPr>
          <w:rFonts w:hint="eastAsia" w:ascii="Times New Roman" w:hAnsi="Times New Roman" w:eastAsia="仿宋_GB2312" w:cs="Times New Roman"/>
          <w:b w:val="0"/>
          <w:bCs w:val="0"/>
          <w:sz w:val="30"/>
          <w:szCs w:val="30"/>
          <w:lang w:val="en-US" w:eastAsia="zh-CN"/>
        </w:rPr>
        <w:t>无重大分歧，仅</w:t>
      </w:r>
      <w:r>
        <w:rPr>
          <w:rFonts w:hint="default" w:ascii="Times New Roman" w:hAnsi="Times New Roman" w:eastAsia="仿宋_GB2312" w:cs="Times New Roman"/>
          <w:b w:val="0"/>
          <w:bCs w:val="0"/>
          <w:sz w:val="30"/>
          <w:szCs w:val="30"/>
        </w:rPr>
        <w:t>围绕</w:t>
      </w:r>
      <w:r>
        <w:rPr>
          <w:rFonts w:hint="eastAsia" w:ascii="Times New Roman" w:hAnsi="Times New Roman" w:eastAsia="仿宋_GB2312" w:cs="Times New Roman"/>
          <w:b w:val="0"/>
          <w:bCs w:val="0"/>
          <w:sz w:val="30"/>
          <w:szCs w:val="30"/>
          <w:lang w:val="en-US" w:eastAsia="zh-CN"/>
        </w:rPr>
        <w:t>以下几</w:t>
      </w:r>
      <w:r>
        <w:rPr>
          <w:rFonts w:hint="default" w:ascii="Times New Roman" w:hAnsi="Times New Roman" w:eastAsia="仿宋_GB2312" w:cs="Times New Roman"/>
          <w:b w:val="0"/>
          <w:bCs w:val="0"/>
          <w:sz w:val="30"/>
          <w:szCs w:val="30"/>
        </w:rPr>
        <w:t>项内容产生分歧，结合国际准则、国内法规、两批全国 OECM</w:t>
      </w:r>
      <w:r>
        <w:rPr>
          <w:rFonts w:hint="eastAsia" w:ascii="Times New Roman" w:hAnsi="Times New Roman" w:eastAsia="仿宋_GB2312" w:cs="Times New Roman"/>
          <w:b w:val="0"/>
          <w:bCs w:val="0"/>
          <w:sz w:val="30"/>
          <w:szCs w:val="30"/>
          <w:lang w:val="en-US" w:eastAsia="zh-CN"/>
        </w:rPr>
        <w:t>s</w:t>
      </w:r>
      <w:r>
        <w:rPr>
          <w:rFonts w:hint="default" w:ascii="Times New Roman" w:hAnsi="Times New Roman" w:eastAsia="仿宋_GB2312" w:cs="Times New Roman"/>
          <w:b w:val="0"/>
          <w:bCs w:val="0"/>
          <w:sz w:val="30"/>
          <w:szCs w:val="30"/>
        </w:rPr>
        <w:t>案例实操、专家意见逐一统一</w:t>
      </w:r>
      <w:r>
        <w:rPr>
          <w:rFonts w:hint="eastAsia" w:ascii="Times New Roman" w:hAnsi="Times New Roman" w:eastAsia="仿宋_GB2312" w:cs="Times New Roman"/>
          <w:b w:val="0"/>
          <w:bCs w:val="0"/>
          <w:sz w:val="30"/>
          <w:szCs w:val="30"/>
          <w:lang w:val="en-US" w:eastAsia="zh-CN"/>
        </w:rPr>
        <w:t>处理</w:t>
      </w:r>
      <w:r>
        <w:rPr>
          <w:rFonts w:hint="default" w:ascii="Times New Roman" w:hAnsi="Times New Roman" w:eastAsia="仿宋_GB2312" w:cs="Times New Roman"/>
          <w:b w:val="0"/>
          <w:bCs w:val="0"/>
          <w:sz w:val="30"/>
          <w:szCs w:val="30"/>
        </w:rPr>
        <w:t>：</w:t>
      </w:r>
    </w:p>
    <w:p w14:paraId="653B53C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仿宋_GB2312" w:cs="Times New Roman"/>
          <w:sz w:val="30"/>
          <w:szCs w:val="30"/>
        </w:rPr>
      </w:pPr>
      <w:r>
        <w:rPr>
          <w:rFonts w:hint="eastAsia" w:ascii="Times New Roman" w:hAnsi="Times New Roman" w:eastAsia="仿宋_GB2312" w:cs="Times New Roman"/>
          <w:sz w:val="30"/>
          <w:szCs w:val="30"/>
          <w:lang w:val="en-US" w:eastAsia="zh-CN"/>
        </w:rPr>
        <w:t xml:space="preserve">7.1 </w:t>
      </w:r>
      <w:r>
        <w:rPr>
          <w:rFonts w:hint="default" w:ascii="Times New Roman" w:hAnsi="Times New Roman" w:eastAsia="仿宋_GB2312" w:cs="Times New Roman"/>
          <w:sz w:val="30"/>
          <w:szCs w:val="30"/>
        </w:rPr>
        <w:t>生态保护红线内外适用边界界定</w:t>
      </w:r>
    </w:p>
    <w:p w14:paraId="3C29947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default" w:ascii="Times New Roman" w:hAnsi="Times New Roman" w:eastAsia="仿宋_GB2312" w:cs="Times New Roman"/>
          <w:b w:val="0"/>
          <w:bCs w:val="0"/>
          <w:sz w:val="30"/>
          <w:szCs w:val="30"/>
        </w:rPr>
      </w:pPr>
      <w:r>
        <w:rPr>
          <w:rFonts w:hint="default" w:ascii="Times New Roman" w:hAnsi="Times New Roman" w:eastAsia="仿宋_GB2312" w:cs="Times New Roman"/>
          <w:b w:val="0"/>
          <w:bCs w:val="0"/>
          <w:sz w:val="30"/>
          <w:szCs w:val="30"/>
        </w:rPr>
        <w:t>分歧内容：部分起草人员提出允许跨红线地块整体纳入认定；</w:t>
      </w:r>
      <w:r>
        <w:rPr>
          <w:rFonts w:hint="eastAsia" w:ascii="Times New Roman" w:hAnsi="Times New Roman" w:eastAsia="仿宋_GB2312" w:cs="Times New Roman"/>
          <w:b w:val="0"/>
          <w:bCs w:val="0"/>
          <w:sz w:val="30"/>
          <w:szCs w:val="30"/>
          <w:lang w:val="en-US" w:eastAsia="zh-CN"/>
        </w:rPr>
        <w:t>有</w:t>
      </w:r>
      <w:r>
        <w:rPr>
          <w:rFonts w:hint="default" w:ascii="Times New Roman" w:hAnsi="Times New Roman" w:eastAsia="仿宋_GB2312" w:cs="Times New Roman"/>
          <w:b w:val="0"/>
          <w:bCs w:val="0"/>
          <w:sz w:val="30"/>
          <w:szCs w:val="30"/>
        </w:rPr>
        <w:t>专家明确</w:t>
      </w:r>
      <w:r>
        <w:rPr>
          <w:rFonts w:hint="eastAsia" w:ascii="Times New Roman" w:hAnsi="Times New Roman" w:eastAsia="仿宋_GB2312" w:cs="Times New Roman"/>
          <w:b w:val="0"/>
          <w:bCs w:val="0"/>
          <w:sz w:val="30"/>
          <w:szCs w:val="30"/>
          <w:lang w:val="en-US" w:eastAsia="zh-CN"/>
        </w:rPr>
        <w:t>在国家履约报告中已将</w:t>
      </w:r>
      <w:r>
        <w:rPr>
          <w:rFonts w:hint="default" w:ascii="Times New Roman" w:hAnsi="Times New Roman" w:eastAsia="仿宋_GB2312" w:cs="Times New Roman"/>
          <w:b w:val="0"/>
          <w:bCs w:val="0"/>
          <w:sz w:val="30"/>
          <w:szCs w:val="30"/>
        </w:rPr>
        <w:t>生态保护红线</w:t>
      </w:r>
      <w:r>
        <w:rPr>
          <w:rFonts w:hint="eastAsia" w:ascii="Times New Roman" w:hAnsi="Times New Roman" w:eastAsia="仿宋_GB2312" w:cs="Times New Roman"/>
          <w:b w:val="0"/>
          <w:bCs w:val="0"/>
          <w:sz w:val="30"/>
          <w:szCs w:val="30"/>
          <w:lang w:val="en-US" w:eastAsia="zh-CN"/>
        </w:rPr>
        <w:t>作</w:t>
      </w:r>
      <w:r>
        <w:rPr>
          <w:rFonts w:hint="default" w:ascii="Times New Roman" w:hAnsi="Times New Roman" w:eastAsia="仿宋_GB2312" w:cs="Times New Roman"/>
          <w:b w:val="0"/>
          <w:bCs w:val="0"/>
          <w:sz w:val="30"/>
          <w:szCs w:val="30"/>
        </w:rPr>
        <w:t>为我国</w:t>
      </w:r>
      <w:r>
        <w:rPr>
          <w:rFonts w:hint="eastAsia" w:ascii="Times New Roman" w:hAnsi="Times New Roman" w:eastAsia="仿宋_GB2312" w:cs="Times New Roman"/>
          <w:b w:val="0"/>
          <w:bCs w:val="0"/>
          <w:sz w:val="30"/>
          <w:szCs w:val="30"/>
          <w:lang w:eastAsia="zh-CN"/>
        </w:rPr>
        <w:t>“</w:t>
      </w:r>
      <w:r>
        <w:rPr>
          <w:rFonts w:hint="eastAsia" w:ascii="Times New Roman" w:hAnsi="Times New Roman" w:eastAsia="仿宋_GB2312" w:cs="Times New Roman"/>
          <w:b w:val="0"/>
          <w:bCs w:val="0"/>
          <w:sz w:val="30"/>
          <w:szCs w:val="30"/>
          <w:lang w:val="en-US" w:eastAsia="zh-CN"/>
        </w:rPr>
        <w:t>3030目标</w:t>
      </w:r>
      <w:r>
        <w:rPr>
          <w:rFonts w:hint="eastAsia" w:ascii="Times New Roman" w:hAnsi="Times New Roman" w:eastAsia="仿宋_GB2312" w:cs="Times New Roman"/>
          <w:b w:val="0"/>
          <w:bCs w:val="0"/>
          <w:sz w:val="30"/>
          <w:szCs w:val="30"/>
          <w:lang w:eastAsia="zh-CN"/>
        </w:rPr>
        <w:t>”</w:t>
      </w:r>
      <w:r>
        <w:rPr>
          <w:rFonts w:hint="default" w:ascii="Times New Roman" w:hAnsi="Times New Roman" w:eastAsia="仿宋_GB2312" w:cs="Times New Roman"/>
          <w:b w:val="0"/>
          <w:bCs w:val="0"/>
          <w:sz w:val="30"/>
          <w:szCs w:val="30"/>
        </w:rPr>
        <w:t>履约载体，合并统计会造成履约面积重复</w:t>
      </w:r>
      <w:r>
        <w:rPr>
          <w:rFonts w:hint="eastAsia" w:ascii="Times New Roman" w:hAnsi="Times New Roman" w:eastAsia="仿宋_GB2312" w:cs="Times New Roman"/>
          <w:b w:val="0"/>
          <w:bCs w:val="0"/>
          <w:sz w:val="30"/>
          <w:szCs w:val="30"/>
          <w:lang w:val="en-US" w:eastAsia="zh-CN"/>
        </w:rPr>
        <w:t>计算，且生态保护红线属于自上而下的政策要求，比OECMs自愿的自下而上的要求更加严格，是一类具有中国特色的其他有效区域保护措施</w:t>
      </w:r>
      <w:r>
        <w:rPr>
          <w:rFonts w:hint="default" w:ascii="Times New Roman" w:hAnsi="Times New Roman" w:eastAsia="仿宋_GB2312" w:cs="Times New Roman"/>
          <w:b w:val="0"/>
          <w:bCs w:val="0"/>
          <w:sz w:val="30"/>
          <w:szCs w:val="30"/>
        </w:rPr>
        <w:t>。</w:t>
      </w:r>
    </w:p>
    <w:p w14:paraId="7A383BF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default" w:ascii="Times New Roman" w:hAnsi="Times New Roman" w:eastAsia="仿宋_GB2312" w:cs="Times New Roman"/>
          <w:b w:val="0"/>
          <w:bCs w:val="0"/>
          <w:sz w:val="30"/>
          <w:szCs w:val="30"/>
        </w:rPr>
      </w:pPr>
      <w:r>
        <w:rPr>
          <w:rFonts w:hint="default" w:ascii="Times New Roman" w:hAnsi="Times New Roman" w:eastAsia="仿宋_GB2312" w:cs="Times New Roman"/>
          <w:b w:val="0"/>
          <w:bCs w:val="0"/>
          <w:sz w:val="30"/>
          <w:szCs w:val="30"/>
        </w:rPr>
        <w:t>处置过程：标准范围、引言明确，本规范仅适用于生态保护红线外部区域；跨红线地块仅拆分红线外独立片区单独评估、面积分开统计，红线内地块不申报自然共生地认定。</w:t>
      </w:r>
    </w:p>
    <w:p w14:paraId="5EBB101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default" w:ascii="Times New Roman" w:hAnsi="Times New Roman" w:eastAsia="仿宋_GB2312" w:cs="Times New Roman"/>
          <w:b w:val="0"/>
          <w:bCs w:val="0"/>
          <w:sz w:val="30"/>
          <w:szCs w:val="30"/>
        </w:rPr>
      </w:pPr>
      <w:r>
        <w:rPr>
          <w:rFonts w:hint="default" w:ascii="Times New Roman" w:hAnsi="Times New Roman" w:eastAsia="仿宋_GB2312" w:cs="Times New Roman"/>
          <w:b w:val="0"/>
          <w:bCs w:val="0"/>
          <w:sz w:val="30"/>
          <w:szCs w:val="30"/>
        </w:rPr>
        <w:t>处置依据：《关于划定并严守生态保护红线的若干意见》、《昆明—蒙特利尔全球生物多样性框架》履约要求、专家咨询意见。</w:t>
      </w:r>
    </w:p>
    <w:p w14:paraId="7F8DEEC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仿宋_GB2312" w:cs="Times New Roman"/>
          <w:sz w:val="30"/>
          <w:szCs w:val="30"/>
        </w:rPr>
      </w:pPr>
      <w:r>
        <w:rPr>
          <w:rFonts w:hint="eastAsia" w:ascii="Times New Roman" w:hAnsi="Times New Roman" w:eastAsia="仿宋_GB2312" w:cs="Times New Roman"/>
          <w:sz w:val="30"/>
          <w:szCs w:val="30"/>
          <w:lang w:val="en-US" w:eastAsia="zh-CN"/>
        </w:rPr>
        <w:t xml:space="preserve">7.2 </w:t>
      </w:r>
      <w:r>
        <w:rPr>
          <w:rFonts w:hint="default" w:ascii="Times New Roman" w:hAnsi="Times New Roman" w:eastAsia="仿宋_GB2312" w:cs="Times New Roman"/>
          <w:sz w:val="30"/>
          <w:szCs w:val="30"/>
        </w:rPr>
        <w:t>自然共生地认定层级划分</w:t>
      </w:r>
    </w:p>
    <w:p w14:paraId="1285544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default" w:ascii="Times New Roman" w:hAnsi="Times New Roman" w:eastAsia="仿宋_GB2312" w:cs="Times New Roman"/>
          <w:b w:val="0"/>
          <w:bCs w:val="0"/>
          <w:sz w:val="30"/>
          <w:szCs w:val="30"/>
        </w:rPr>
      </w:pPr>
      <w:r>
        <w:rPr>
          <w:rFonts w:hint="default" w:ascii="Times New Roman" w:hAnsi="Times New Roman" w:eastAsia="仿宋_GB2312" w:cs="Times New Roman"/>
          <w:b w:val="0"/>
          <w:bCs w:val="0"/>
          <w:sz w:val="30"/>
          <w:szCs w:val="30"/>
        </w:rPr>
        <w:t>分歧内容：起草组内部形成两种思路，方案一仅设置单一达标层级，逻辑简洁；方案二增设入门、成长、达标三级梯度，适配基层大量具备保护意愿但条件不足地块。</w:t>
      </w:r>
    </w:p>
    <w:p w14:paraId="1BC7156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default" w:ascii="Times New Roman" w:hAnsi="Times New Roman" w:eastAsia="仿宋_GB2312" w:cs="Times New Roman"/>
          <w:b w:val="0"/>
          <w:bCs w:val="0"/>
          <w:sz w:val="30"/>
          <w:szCs w:val="30"/>
        </w:rPr>
      </w:pPr>
      <w:r>
        <w:rPr>
          <w:rFonts w:hint="default" w:ascii="Times New Roman" w:hAnsi="Times New Roman" w:eastAsia="仿宋_GB2312" w:cs="Times New Roman"/>
          <w:b w:val="0"/>
          <w:bCs w:val="0"/>
          <w:sz w:val="30"/>
          <w:szCs w:val="30"/>
        </w:rPr>
        <w:t>处置过程：梳理两批共征集案例</w:t>
      </w:r>
      <w:r>
        <w:rPr>
          <w:rFonts w:hint="eastAsia" w:ascii="Times New Roman" w:hAnsi="Times New Roman" w:eastAsia="仿宋_GB2312" w:cs="Times New Roman"/>
          <w:b w:val="0"/>
          <w:bCs w:val="0"/>
          <w:sz w:val="30"/>
          <w:szCs w:val="30"/>
          <w:lang w:val="en-US" w:eastAsia="zh-CN"/>
        </w:rPr>
        <w:t>实际情况</w:t>
      </w:r>
      <w:r>
        <w:rPr>
          <w:rFonts w:hint="default" w:ascii="Times New Roman" w:hAnsi="Times New Roman" w:eastAsia="仿宋_GB2312" w:cs="Times New Roman"/>
          <w:b w:val="0"/>
          <w:bCs w:val="0"/>
          <w:sz w:val="30"/>
          <w:szCs w:val="30"/>
        </w:rPr>
        <w:t>，发现</w:t>
      </w:r>
      <w:r>
        <w:rPr>
          <w:rFonts w:hint="eastAsia" w:ascii="Times New Roman" w:hAnsi="Times New Roman" w:eastAsia="仿宋_GB2312" w:cs="Times New Roman"/>
          <w:b w:val="0"/>
          <w:bCs w:val="0"/>
          <w:sz w:val="30"/>
          <w:szCs w:val="30"/>
          <w:lang w:val="en-US" w:eastAsia="zh-CN"/>
        </w:rPr>
        <w:t>很多</w:t>
      </w:r>
      <w:r>
        <w:rPr>
          <w:rFonts w:hint="default" w:ascii="Times New Roman" w:hAnsi="Times New Roman" w:eastAsia="仿宋_GB2312" w:cs="Times New Roman"/>
          <w:b w:val="0"/>
          <w:bCs w:val="0"/>
          <w:sz w:val="30"/>
          <w:szCs w:val="30"/>
        </w:rPr>
        <w:t>实践地块无法一次性满足全部认定条件；采纳参会多数专家意见，设立达标</w:t>
      </w:r>
      <w:r>
        <w:rPr>
          <w:rFonts w:hint="eastAsia" w:ascii="Times New Roman" w:hAnsi="Times New Roman" w:eastAsia="仿宋_GB2312" w:cs="Times New Roman"/>
          <w:b w:val="0"/>
          <w:bCs w:val="0"/>
          <w:sz w:val="30"/>
          <w:szCs w:val="30"/>
          <w:lang w:val="en-US" w:eastAsia="zh-CN"/>
        </w:rPr>
        <w:t>型和列入培育名单两</w:t>
      </w:r>
      <w:r>
        <w:rPr>
          <w:rFonts w:hint="default" w:ascii="Times New Roman" w:hAnsi="Times New Roman" w:eastAsia="仿宋_GB2312" w:cs="Times New Roman"/>
          <w:b w:val="0"/>
          <w:bCs w:val="0"/>
          <w:sz w:val="30"/>
          <w:szCs w:val="30"/>
        </w:rPr>
        <w:t>级梯度，</w:t>
      </w:r>
      <w:r>
        <w:rPr>
          <w:rFonts w:hint="eastAsia" w:ascii="Times New Roman" w:hAnsi="Times New Roman" w:eastAsia="仿宋_GB2312" w:cs="Times New Roman"/>
          <w:b w:val="0"/>
          <w:bCs w:val="0"/>
          <w:sz w:val="30"/>
          <w:szCs w:val="30"/>
          <w:lang w:val="en-US" w:eastAsia="zh-CN"/>
        </w:rPr>
        <w:t>鼓励更多有意愿的主体能参与</w:t>
      </w:r>
      <w:r>
        <w:rPr>
          <w:rFonts w:hint="default" w:ascii="Times New Roman" w:hAnsi="Times New Roman" w:eastAsia="仿宋_GB2312" w:cs="Times New Roman"/>
          <w:b w:val="0"/>
          <w:bCs w:val="0"/>
          <w:sz w:val="30"/>
          <w:szCs w:val="30"/>
        </w:rPr>
        <w:t>。</w:t>
      </w:r>
    </w:p>
    <w:p w14:paraId="0F1ABD0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default" w:ascii="Times New Roman" w:hAnsi="Times New Roman" w:eastAsia="仿宋_GB2312" w:cs="Times New Roman"/>
          <w:b w:val="0"/>
          <w:bCs w:val="0"/>
          <w:sz w:val="30"/>
          <w:szCs w:val="30"/>
        </w:rPr>
      </w:pPr>
      <w:r>
        <w:rPr>
          <w:rFonts w:hint="default" w:ascii="Times New Roman" w:hAnsi="Times New Roman" w:eastAsia="仿宋_GB2312" w:cs="Times New Roman"/>
          <w:b w:val="0"/>
          <w:bCs w:val="0"/>
          <w:sz w:val="30"/>
          <w:szCs w:val="30"/>
        </w:rPr>
        <w:t>处置依据：全国 OECM</w:t>
      </w:r>
      <w:r>
        <w:rPr>
          <w:rFonts w:hint="eastAsia" w:ascii="Times New Roman" w:hAnsi="Times New Roman" w:eastAsia="仿宋_GB2312" w:cs="Times New Roman"/>
          <w:b w:val="0"/>
          <w:bCs w:val="0"/>
          <w:sz w:val="30"/>
          <w:szCs w:val="30"/>
          <w:lang w:val="en-US" w:eastAsia="zh-CN"/>
        </w:rPr>
        <w:t>s</w:t>
      </w:r>
      <w:r>
        <w:rPr>
          <w:rFonts w:hint="default" w:ascii="Times New Roman" w:hAnsi="Times New Roman" w:eastAsia="仿宋_GB2312" w:cs="Times New Roman"/>
          <w:b w:val="0"/>
          <w:bCs w:val="0"/>
          <w:sz w:val="30"/>
          <w:szCs w:val="30"/>
        </w:rPr>
        <w:t xml:space="preserve"> 潜力案例</w:t>
      </w:r>
      <w:r>
        <w:rPr>
          <w:rFonts w:hint="eastAsia" w:ascii="Times New Roman" w:hAnsi="Times New Roman" w:eastAsia="仿宋_GB2312" w:cs="Times New Roman"/>
          <w:b w:val="0"/>
          <w:bCs w:val="0"/>
          <w:sz w:val="30"/>
          <w:szCs w:val="30"/>
          <w:lang w:val="en-US" w:eastAsia="zh-CN"/>
        </w:rPr>
        <w:t>实践经验</w:t>
      </w:r>
      <w:r>
        <w:rPr>
          <w:rFonts w:hint="default" w:ascii="Times New Roman" w:hAnsi="Times New Roman" w:eastAsia="仿宋_GB2312" w:cs="Times New Roman"/>
          <w:b w:val="0"/>
          <w:bCs w:val="0"/>
          <w:sz w:val="30"/>
          <w:szCs w:val="30"/>
        </w:rPr>
        <w:t>、专家咨询会意见、IUCN 场地工具渐进式识别思路。</w:t>
      </w:r>
    </w:p>
    <w:p w14:paraId="5CFEC9A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仿宋_GB2312" w:cs="Times New Roman"/>
          <w:sz w:val="30"/>
          <w:szCs w:val="30"/>
        </w:rPr>
      </w:pPr>
      <w:r>
        <w:rPr>
          <w:rFonts w:hint="eastAsia" w:ascii="Times New Roman" w:hAnsi="Times New Roman" w:eastAsia="仿宋_GB2312" w:cs="Times New Roman"/>
          <w:sz w:val="30"/>
          <w:szCs w:val="30"/>
          <w:lang w:val="en-US" w:eastAsia="zh-CN"/>
        </w:rPr>
        <w:t xml:space="preserve">7.3 </w:t>
      </w:r>
      <w:r>
        <w:rPr>
          <w:rFonts w:hint="default" w:ascii="Times New Roman" w:hAnsi="Times New Roman" w:eastAsia="仿宋_GB2312" w:cs="Times New Roman"/>
          <w:sz w:val="30"/>
          <w:szCs w:val="30"/>
        </w:rPr>
        <w:t>长期保护计划、常态化监测硬性门槛设置</w:t>
      </w:r>
    </w:p>
    <w:p w14:paraId="6B5A33B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default" w:ascii="Times New Roman" w:hAnsi="Times New Roman" w:eastAsia="仿宋_GB2312" w:cs="Times New Roman"/>
          <w:b w:val="0"/>
          <w:bCs w:val="0"/>
          <w:sz w:val="30"/>
          <w:szCs w:val="30"/>
        </w:rPr>
      </w:pPr>
      <w:r>
        <w:rPr>
          <w:rFonts w:hint="default" w:ascii="Times New Roman" w:hAnsi="Times New Roman" w:eastAsia="仿宋_GB2312" w:cs="Times New Roman"/>
          <w:b w:val="0"/>
          <w:bCs w:val="0"/>
          <w:sz w:val="30"/>
          <w:szCs w:val="30"/>
        </w:rPr>
        <w:t>分歧内容：初稿要求完整五年书面管护方案、红外/无人机等专业设备连续监测；基层案例反馈村集体、小微企业无人力资金达标，专家提出放宽佐证材料要求。</w:t>
      </w:r>
    </w:p>
    <w:p w14:paraId="66DBC27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eastAsia" w:ascii="Times New Roman" w:hAnsi="Times New Roman" w:eastAsia="仿宋_GB2312" w:cs="Times New Roman"/>
          <w:b w:val="0"/>
          <w:bCs w:val="0"/>
          <w:sz w:val="30"/>
          <w:szCs w:val="30"/>
          <w:lang w:eastAsia="zh-CN"/>
        </w:rPr>
      </w:pPr>
      <w:r>
        <w:rPr>
          <w:rFonts w:hint="default" w:ascii="Times New Roman" w:hAnsi="Times New Roman" w:eastAsia="仿宋_GB2312" w:cs="Times New Roman"/>
          <w:b w:val="0"/>
          <w:bCs w:val="0"/>
          <w:sz w:val="30"/>
          <w:szCs w:val="30"/>
        </w:rPr>
        <w:t>处置过程：弱化强制性书面文件与专业设备约束，村规民约、流转协议、民间巡护台账、公民观测记录均可作为管护佐证</w:t>
      </w:r>
      <w:r>
        <w:rPr>
          <w:rFonts w:hint="eastAsia" w:ascii="Times New Roman" w:hAnsi="Times New Roman" w:eastAsia="仿宋_GB2312" w:cs="Times New Roman"/>
          <w:b w:val="0"/>
          <w:bCs w:val="0"/>
          <w:sz w:val="30"/>
          <w:szCs w:val="30"/>
          <w:lang w:eastAsia="zh-CN"/>
        </w:rPr>
        <w:t>。</w:t>
      </w:r>
    </w:p>
    <w:p w14:paraId="3530C07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default" w:ascii="Times New Roman" w:hAnsi="Times New Roman" w:eastAsia="仿宋_GB2312" w:cs="Times New Roman"/>
          <w:b w:val="0"/>
          <w:bCs w:val="0"/>
          <w:sz w:val="30"/>
          <w:szCs w:val="30"/>
        </w:rPr>
      </w:pPr>
      <w:r>
        <w:rPr>
          <w:rFonts w:hint="default" w:ascii="Times New Roman" w:hAnsi="Times New Roman" w:eastAsia="仿宋_GB2312" w:cs="Times New Roman"/>
          <w:b w:val="0"/>
          <w:bCs w:val="0"/>
          <w:sz w:val="30"/>
          <w:szCs w:val="30"/>
        </w:rPr>
        <w:t>处置依据：两批案例基层实操痛点、专家一线调研意见、</w:t>
      </w:r>
      <w:r>
        <w:rPr>
          <w:rFonts w:hint="eastAsia" w:ascii="Times New Roman" w:hAnsi="Times New Roman" w:eastAsia="仿宋_GB2312" w:cs="Times New Roman"/>
          <w:b w:val="0"/>
          <w:bCs w:val="0"/>
          <w:sz w:val="30"/>
          <w:szCs w:val="30"/>
          <w:lang w:val="en-US" w:eastAsia="zh-CN"/>
        </w:rPr>
        <w:t>基层社区</w:t>
      </w:r>
      <w:r>
        <w:rPr>
          <w:rFonts w:hint="default" w:ascii="Times New Roman" w:hAnsi="Times New Roman" w:eastAsia="仿宋_GB2312" w:cs="Times New Roman"/>
          <w:b w:val="0"/>
          <w:bCs w:val="0"/>
          <w:sz w:val="30"/>
          <w:szCs w:val="30"/>
        </w:rPr>
        <w:t>保护现实条件。</w:t>
      </w:r>
    </w:p>
    <w:p w14:paraId="0078E40C">
      <w:pPr>
        <w:pStyle w:val="3"/>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八、标准推广应用措施及预期效果</w:t>
      </w:r>
    </w:p>
    <w:p w14:paraId="3FF9564D">
      <w:pPr>
        <w:pStyle w:val="4"/>
        <w:keepNext w:val="0"/>
        <w:keepLines w:val="0"/>
        <w:widowControl/>
        <w:suppressLineNumbers w:val="0"/>
        <w:ind w:left="0" w:firstLine="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8.1 标准推广应用措施</w:t>
      </w:r>
    </w:p>
    <w:p w14:paraId="7E071BE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default" w:ascii="Times New Roman" w:hAnsi="Times New Roman" w:eastAsia="仿宋_GB2312" w:cs="Times New Roman"/>
          <w:b w:val="0"/>
          <w:bCs w:val="0"/>
          <w:sz w:val="30"/>
          <w:szCs w:val="30"/>
        </w:rPr>
      </w:pPr>
      <w:r>
        <w:rPr>
          <w:rFonts w:hint="default" w:ascii="Times New Roman" w:hAnsi="Times New Roman" w:eastAsia="仿宋_GB2312" w:cs="Times New Roman"/>
          <w:b w:val="0"/>
          <w:bCs w:val="0"/>
          <w:sz w:val="30"/>
          <w:szCs w:val="30"/>
        </w:rPr>
        <w:t>地方配套细则指引：依托北京、云南</w:t>
      </w:r>
      <w:r>
        <w:rPr>
          <w:rFonts w:hint="eastAsia" w:ascii="Times New Roman" w:hAnsi="Times New Roman" w:eastAsia="仿宋_GB2312" w:cs="Times New Roman"/>
          <w:b w:val="0"/>
          <w:bCs w:val="0"/>
          <w:sz w:val="30"/>
          <w:szCs w:val="30"/>
          <w:lang w:val="en-US" w:eastAsia="zh-CN"/>
        </w:rPr>
        <w:t>等</w:t>
      </w:r>
      <w:r>
        <w:rPr>
          <w:rFonts w:hint="default" w:ascii="Times New Roman" w:hAnsi="Times New Roman" w:eastAsia="仿宋_GB2312" w:cs="Times New Roman"/>
          <w:b w:val="0"/>
          <w:bCs w:val="0"/>
          <w:sz w:val="30"/>
          <w:szCs w:val="30"/>
        </w:rPr>
        <w:t>先行试点区域开展示范推广，</w:t>
      </w:r>
      <w:r>
        <w:rPr>
          <w:rFonts w:hint="eastAsia" w:ascii="Times New Roman" w:hAnsi="Times New Roman" w:eastAsia="仿宋_GB2312" w:cs="Times New Roman"/>
          <w:b w:val="0"/>
          <w:bCs w:val="0"/>
          <w:sz w:val="30"/>
          <w:szCs w:val="30"/>
          <w:lang w:val="en-US" w:eastAsia="zh-CN"/>
        </w:rPr>
        <w:t>以本文件为认定规范</w:t>
      </w:r>
      <w:r>
        <w:rPr>
          <w:rFonts w:hint="default" w:ascii="Times New Roman" w:hAnsi="Times New Roman" w:eastAsia="仿宋_GB2312" w:cs="Times New Roman"/>
          <w:b w:val="0"/>
          <w:bCs w:val="0"/>
          <w:sz w:val="30"/>
          <w:szCs w:val="30"/>
        </w:rPr>
        <w:t>指导各省结合本地生态特征编制地方实施细则。</w:t>
      </w:r>
    </w:p>
    <w:p w14:paraId="1B7AB4E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600" w:firstLineChars="200"/>
        <w:jc w:val="both"/>
        <w:textAlignment w:val="auto"/>
        <w:rPr>
          <w:rFonts w:hint="default" w:ascii="Times New Roman" w:hAnsi="Times New Roman" w:eastAsia="仿宋_GB2312" w:cs="Times New Roman"/>
          <w:b w:val="0"/>
          <w:bCs w:val="0"/>
          <w:sz w:val="30"/>
          <w:szCs w:val="30"/>
        </w:rPr>
      </w:pPr>
      <w:r>
        <w:rPr>
          <w:rFonts w:hint="eastAsia" w:ascii="Times New Roman" w:hAnsi="Times New Roman" w:eastAsia="仿宋_GB2312" w:cs="Times New Roman"/>
          <w:b w:val="0"/>
          <w:bCs w:val="0"/>
          <w:sz w:val="30"/>
          <w:szCs w:val="30"/>
          <w:lang w:val="en-US" w:eastAsia="zh-CN"/>
        </w:rPr>
        <w:t>加强</w:t>
      </w:r>
      <w:r>
        <w:rPr>
          <w:rFonts w:hint="default" w:ascii="Times New Roman" w:hAnsi="Times New Roman" w:eastAsia="仿宋_GB2312" w:cs="Times New Roman"/>
          <w:b w:val="0"/>
          <w:bCs w:val="0"/>
          <w:sz w:val="30"/>
          <w:szCs w:val="30"/>
        </w:rPr>
        <w:t>培训</w:t>
      </w:r>
      <w:r>
        <w:rPr>
          <w:rFonts w:hint="eastAsia" w:ascii="Times New Roman" w:hAnsi="Times New Roman" w:eastAsia="仿宋_GB2312" w:cs="Times New Roman"/>
          <w:b w:val="0"/>
          <w:bCs w:val="0"/>
          <w:sz w:val="30"/>
          <w:szCs w:val="30"/>
          <w:lang w:val="en-US" w:eastAsia="zh-CN"/>
        </w:rPr>
        <w:t>推广</w:t>
      </w:r>
      <w:r>
        <w:rPr>
          <w:rFonts w:hint="default" w:ascii="Times New Roman" w:hAnsi="Times New Roman" w:eastAsia="仿宋_GB2312" w:cs="Times New Roman"/>
          <w:b w:val="0"/>
          <w:bCs w:val="0"/>
          <w:sz w:val="30"/>
          <w:szCs w:val="30"/>
        </w:rPr>
        <w:t>：</w:t>
      </w:r>
      <w:r>
        <w:rPr>
          <w:rFonts w:hint="eastAsia" w:ascii="Times New Roman" w:hAnsi="Times New Roman" w:eastAsia="仿宋_GB2312" w:cs="Times New Roman"/>
          <w:b w:val="0"/>
          <w:bCs w:val="0"/>
          <w:sz w:val="30"/>
          <w:szCs w:val="30"/>
          <w:lang w:val="en-US" w:eastAsia="zh-CN"/>
        </w:rPr>
        <w:t>与北京、云南等先行试点区域结合开展培训、推广和应用，动员社会资源和力量参与生物多样性治理</w:t>
      </w:r>
      <w:r>
        <w:rPr>
          <w:rFonts w:hint="default" w:ascii="Times New Roman" w:hAnsi="Times New Roman" w:eastAsia="仿宋_GB2312" w:cs="Times New Roman"/>
          <w:b w:val="0"/>
          <w:bCs w:val="0"/>
          <w:sz w:val="30"/>
          <w:szCs w:val="30"/>
        </w:rPr>
        <w:t>。</w:t>
      </w:r>
    </w:p>
    <w:p w14:paraId="2DE882C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8.2 预期效果</w:t>
      </w:r>
    </w:p>
    <w:p w14:paraId="6E61E89A">
      <w:pPr>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00" w:firstLineChars="200"/>
        <w:jc w:val="both"/>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制度履约层面：</w:t>
      </w:r>
      <w:r>
        <w:rPr>
          <w:rFonts w:hint="eastAsia" w:ascii="Times New Roman" w:hAnsi="Times New Roman" w:eastAsia="仿宋_GB2312" w:cs="Times New Roman"/>
          <w:sz w:val="30"/>
          <w:szCs w:val="30"/>
          <w:lang w:val="en-US" w:eastAsia="zh-CN"/>
        </w:rPr>
        <w:t>推动</w:t>
      </w:r>
      <w:r>
        <w:rPr>
          <w:rFonts w:hint="default" w:ascii="Times New Roman" w:hAnsi="Times New Roman" w:eastAsia="仿宋_GB2312" w:cs="Times New Roman"/>
          <w:sz w:val="30"/>
          <w:szCs w:val="30"/>
        </w:rPr>
        <w:t>生态保护红线外 70% 国土</w:t>
      </w:r>
      <w:r>
        <w:rPr>
          <w:rFonts w:hint="eastAsia" w:ascii="Times New Roman" w:hAnsi="Times New Roman" w:eastAsia="仿宋_GB2312" w:cs="Times New Roman"/>
          <w:sz w:val="30"/>
          <w:szCs w:val="30"/>
          <w:lang w:val="en-US" w:eastAsia="zh-CN"/>
        </w:rPr>
        <w:t>空间具有生物多样性保护价值的区域得到认定</w:t>
      </w:r>
      <w:r>
        <w:rPr>
          <w:rFonts w:hint="default" w:ascii="Times New Roman" w:hAnsi="Times New Roman" w:eastAsia="仿宋_GB2312" w:cs="Times New Roman"/>
          <w:sz w:val="30"/>
          <w:szCs w:val="30"/>
        </w:rPr>
        <w:t>，构建 “生态保护红线刚性保护 + 自然共生地自愿补充” 完整就地保护体系，统一全国 OECM 统计口径。</w:t>
      </w:r>
    </w:p>
    <w:p w14:paraId="0AF981D3">
      <w:pPr>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00" w:firstLineChars="200"/>
        <w:jc w:val="both"/>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基层治理层面：</w:t>
      </w:r>
      <w:r>
        <w:rPr>
          <w:rFonts w:hint="eastAsia" w:ascii="Times New Roman" w:hAnsi="Times New Roman" w:eastAsia="仿宋_GB2312" w:cs="Times New Roman"/>
          <w:sz w:val="30"/>
          <w:szCs w:val="30"/>
          <w:lang w:val="en-US" w:eastAsia="zh-CN"/>
        </w:rPr>
        <w:t>分</w:t>
      </w:r>
      <w:r>
        <w:rPr>
          <w:rFonts w:hint="default" w:ascii="Times New Roman" w:hAnsi="Times New Roman" w:eastAsia="仿宋_GB2312" w:cs="Times New Roman"/>
          <w:sz w:val="30"/>
          <w:szCs w:val="30"/>
        </w:rPr>
        <w:t>梯度认定机制大幅降低社区、小微企业参与门槛，简化监测、管护佐证材料要求；拓展栖息地保护覆盖面。</w:t>
      </w:r>
    </w:p>
    <w:p w14:paraId="48112405">
      <w:pPr>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00" w:firstLineChars="200"/>
        <w:jc w:val="both"/>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政策市场层面：</w:t>
      </w:r>
      <w:r>
        <w:rPr>
          <w:rFonts w:hint="eastAsia" w:ascii="Times New Roman" w:hAnsi="Times New Roman" w:eastAsia="仿宋_GB2312" w:cs="Times New Roman"/>
          <w:sz w:val="30"/>
          <w:szCs w:val="30"/>
          <w:lang w:val="en-US" w:eastAsia="zh-CN"/>
        </w:rPr>
        <w:t>推动</w:t>
      </w:r>
      <w:r>
        <w:rPr>
          <w:rFonts w:hint="default" w:ascii="Times New Roman" w:hAnsi="Times New Roman" w:eastAsia="仿宋_GB2312" w:cs="Times New Roman"/>
          <w:sz w:val="30"/>
          <w:szCs w:val="30"/>
        </w:rPr>
        <w:t>认定成果作为生态补偿权重、绿色信贷、企业 ESG 评价、绿色园区考核</w:t>
      </w:r>
      <w:r>
        <w:rPr>
          <w:rFonts w:hint="eastAsia" w:ascii="Times New Roman" w:hAnsi="Times New Roman" w:eastAsia="仿宋_GB2312" w:cs="Times New Roman"/>
          <w:sz w:val="30"/>
          <w:szCs w:val="30"/>
          <w:lang w:val="en-US" w:eastAsia="zh-CN"/>
        </w:rPr>
        <w:t>相关</w:t>
      </w:r>
      <w:r>
        <w:rPr>
          <w:rFonts w:hint="default" w:ascii="Times New Roman" w:hAnsi="Times New Roman" w:eastAsia="仿宋_GB2312" w:cs="Times New Roman"/>
          <w:sz w:val="30"/>
          <w:szCs w:val="30"/>
        </w:rPr>
        <w:t>技术依据，撬动社会资本低成本参与生物多样性保护，完善多元共治投入机制。</w:t>
      </w:r>
    </w:p>
    <w:p w14:paraId="02C1E108">
      <w:pPr>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00" w:firstLineChars="200"/>
        <w:jc w:val="both"/>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国际合作层面：形成适配</w:t>
      </w:r>
      <w:r>
        <w:rPr>
          <w:rFonts w:hint="eastAsia" w:ascii="Times New Roman" w:hAnsi="Times New Roman" w:eastAsia="仿宋_GB2312" w:cs="Times New Roman"/>
          <w:sz w:val="30"/>
          <w:szCs w:val="30"/>
          <w:lang w:val="en-US" w:eastAsia="zh-CN"/>
        </w:rPr>
        <w:t>中国国情</w:t>
      </w:r>
      <w:bookmarkStart w:id="0" w:name="_GoBack"/>
      <w:bookmarkEnd w:id="0"/>
      <w:r>
        <w:rPr>
          <w:rFonts w:hint="default" w:ascii="Times New Roman" w:hAnsi="Times New Roman" w:eastAsia="仿宋_GB2312" w:cs="Times New Roman"/>
          <w:sz w:val="30"/>
          <w:szCs w:val="30"/>
        </w:rPr>
        <w:t>、兼顾法定保护与民间自愿保护的本土化 OECM 技术方案，提升我国全球生物多样性治理实践贡献度。</w:t>
      </w:r>
    </w:p>
    <w:p w14:paraId="5571E20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九、其他应说明的事项</w:t>
      </w:r>
    </w:p>
    <w:p w14:paraId="206A3E57">
      <w:pPr>
        <w:keepNext w:val="0"/>
        <w:keepLines w:val="0"/>
        <w:pageBreakBefore w:val="0"/>
        <w:kinsoku/>
        <w:wordWrap/>
        <w:overflowPunct/>
        <w:topLinePunct w:val="0"/>
        <w:autoSpaceDE/>
        <w:autoSpaceDN/>
        <w:bidi w:val="0"/>
        <w:adjustRightInd/>
        <w:snapToGrid/>
        <w:spacing w:beforeAutospacing="0" w:afterAutospacing="0"/>
        <w:ind w:firstLine="600" w:firstLineChars="200"/>
        <w:jc w:val="both"/>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本标准附录 A、附录 B、附录 C、附录 D 全部为资料性附录，仅作为申报、评审参考工具；各省、实施单位可结合本地生态场景简化、调整表格与清单内容。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0CAB21F5-EBA7-4E88-9FEC-535C5E92729E}"/>
  </w:font>
  <w:font w:name="仿宋_GB2312">
    <w:panose1 w:val="02010609030101010101"/>
    <w:charset w:val="86"/>
    <w:family w:val="auto"/>
    <w:pitch w:val="default"/>
    <w:sig w:usb0="00000001" w:usb1="080E0000" w:usb2="00000000" w:usb3="00000000" w:csb0="00040000" w:csb1="00000000"/>
    <w:embedRegular r:id="rId2" w:fontKey="{47D13DA6-438B-4A58-A836-5F5ED0429CE5}"/>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F116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E35E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0E35E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3654"/>
    <w:rsid w:val="00312504"/>
    <w:rsid w:val="00C669BB"/>
    <w:rsid w:val="00E5292B"/>
    <w:rsid w:val="0120735A"/>
    <w:rsid w:val="023672ED"/>
    <w:rsid w:val="033C3AE5"/>
    <w:rsid w:val="033E7D44"/>
    <w:rsid w:val="03BF3764"/>
    <w:rsid w:val="03DE4685"/>
    <w:rsid w:val="042A4523"/>
    <w:rsid w:val="04C94F4B"/>
    <w:rsid w:val="04F326A1"/>
    <w:rsid w:val="050026B1"/>
    <w:rsid w:val="05230906"/>
    <w:rsid w:val="05D94D16"/>
    <w:rsid w:val="062F388E"/>
    <w:rsid w:val="0704517C"/>
    <w:rsid w:val="07B73B91"/>
    <w:rsid w:val="0815082E"/>
    <w:rsid w:val="08213A66"/>
    <w:rsid w:val="08C22770"/>
    <w:rsid w:val="08DB1248"/>
    <w:rsid w:val="08F54BA8"/>
    <w:rsid w:val="0A9F3ACB"/>
    <w:rsid w:val="0BF93915"/>
    <w:rsid w:val="0CC70731"/>
    <w:rsid w:val="0D237F54"/>
    <w:rsid w:val="0D757126"/>
    <w:rsid w:val="0D8A0F09"/>
    <w:rsid w:val="0DD8400A"/>
    <w:rsid w:val="0E3A41D5"/>
    <w:rsid w:val="0F49264F"/>
    <w:rsid w:val="10D145D1"/>
    <w:rsid w:val="11295677"/>
    <w:rsid w:val="11FE7ED2"/>
    <w:rsid w:val="123E6565"/>
    <w:rsid w:val="12965551"/>
    <w:rsid w:val="15185324"/>
    <w:rsid w:val="15557ACD"/>
    <w:rsid w:val="16254DD9"/>
    <w:rsid w:val="169F1079"/>
    <w:rsid w:val="17902F6D"/>
    <w:rsid w:val="181434E1"/>
    <w:rsid w:val="18777E72"/>
    <w:rsid w:val="18B040D7"/>
    <w:rsid w:val="19076632"/>
    <w:rsid w:val="19084BF8"/>
    <w:rsid w:val="19906851"/>
    <w:rsid w:val="19BB187E"/>
    <w:rsid w:val="1A6920CA"/>
    <w:rsid w:val="1AFC0627"/>
    <w:rsid w:val="1B017E5C"/>
    <w:rsid w:val="1B1E5236"/>
    <w:rsid w:val="1C2207D3"/>
    <w:rsid w:val="1C70153A"/>
    <w:rsid w:val="1D050B7E"/>
    <w:rsid w:val="1D90322F"/>
    <w:rsid w:val="1E126780"/>
    <w:rsid w:val="1E1353E1"/>
    <w:rsid w:val="1E5D3CF4"/>
    <w:rsid w:val="1EB17768"/>
    <w:rsid w:val="1F0F25E6"/>
    <w:rsid w:val="20552B6B"/>
    <w:rsid w:val="20FB67A1"/>
    <w:rsid w:val="21733753"/>
    <w:rsid w:val="218703C4"/>
    <w:rsid w:val="225B04A7"/>
    <w:rsid w:val="22F373B4"/>
    <w:rsid w:val="23256DAA"/>
    <w:rsid w:val="24405B04"/>
    <w:rsid w:val="24EE1D7E"/>
    <w:rsid w:val="253E1FB8"/>
    <w:rsid w:val="25A20B56"/>
    <w:rsid w:val="28432048"/>
    <w:rsid w:val="284B72B3"/>
    <w:rsid w:val="28CC03F4"/>
    <w:rsid w:val="2A027E45"/>
    <w:rsid w:val="2A856BE0"/>
    <w:rsid w:val="2B081DF6"/>
    <w:rsid w:val="2B1334DC"/>
    <w:rsid w:val="2B9A4D4C"/>
    <w:rsid w:val="2C243881"/>
    <w:rsid w:val="2D3A669D"/>
    <w:rsid w:val="2E2D60D6"/>
    <w:rsid w:val="2E50117F"/>
    <w:rsid w:val="2E552C39"/>
    <w:rsid w:val="2EB80933"/>
    <w:rsid w:val="2EBF00B3"/>
    <w:rsid w:val="301E6207"/>
    <w:rsid w:val="30AA06B8"/>
    <w:rsid w:val="30EC6D90"/>
    <w:rsid w:val="316A07AA"/>
    <w:rsid w:val="3194398E"/>
    <w:rsid w:val="31990B56"/>
    <w:rsid w:val="31A44B40"/>
    <w:rsid w:val="31B104DC"/>
    <w:rsid w:val="32002EBC"/>
    <w:rsid w:val="33010C9A"/>
    <w:rsid w:val="33090F55"/>
    <w:rsid w:val="33936B82"/>
    <w:rsid w:val="34B561E0"/>
    <w:rsid w:val="351E2CD3"/>
    <w:rsid w:val="35576516"/>
    <w:rsid w:val="36AF6B1F"/>
    <w:rsid w:val="36EF27B4"/>
    <w:rsid w:val="38CD17C8"/>
    <w:rsid w:val="392754D8"/>
    <w:rsid w:val="396E4BAF"/>
    <w:rsid w:val="3984402D"/>
    <w:rsid w:val="3A77613D"/>
    <w:rsid w:val="3AC61FC2"/>
    <w:rsid w:val="3C050329"/>
    <w:rsid w:val="3E4476F2"/>
    <w:rsid w:val="3E8C10D6"/>
    <w:rsid w:val="3EBC6160"/>
    <w:rsid w:val="3F4F0CA7"/>
    <w:rsid w:val="3F680E65"/>
    <w:rsid w:val="4043046B"/>
    <w:rsid w:val="411C3809"/>
    <w:rsid w:val="416563A1"/>
    <w:rsid w:val="416E59F5"/>
    <w:rsid w:val="41C757A4"/>
    <w:rsid w:val="42500D5E"/>
    <w:rsid w:val="42F500EF"/>
    <w:rsid w:val="42F73E67"/>
    <w:rsid w:val="431A7B56"/>
    <w:rsid w:val="43D95289"/>
    <w:rsid w:val="44F01450"/>
    <w:rsid w:val="4567346A"/>
    <w:rsid w:val="45D95AA6"/>
    <w:rsid w:val="467B620C"/>
    <w:rsid w:val="474927B8"/>
    <w:rsid w:val="484B5793"/>
    <w:rsid w:val="49016998"/>
    <w:rsid w:val="49703645"/>
    <w:rsid w:val="4A2A5A2A"/>
    <w:rsid w:val="4AB037C6"/>
    <w:rsid w:val="4AFA62A3"/>
    <w:rsid w:val="4C085366"/>
    <w:rsid w:val="4D292E6F"/>
    <w:rsid w:val="4D79601C"/>
    <w:rsid w:val="4DF571F5"/>
    <w:rsid w:val="4E080ABC"/>
    <w:rsid w:val="4F9B5B7A"/>
    <w:rsid w:val="4FB624AD"/>
    <w:rsid w:val="514566E6"/>
    <w:rsid w:val="514C3E2D"/>
    <w:rsid w:val="52823480"/>
    <w:rsid w:val="52A63C41"/>
    <w:rsid w:val="52CC5897"/>
    <w:rsid w:val="52FB52AE"/>
    <w:rsid w:val="544E7800"/>
    <w:rsid w:val="546169EA"/>
    <w:rsid w:val="549F7EBB"/>
    <w:rsid w:val="54D9743E"/>
    <w:rsid w:val="54FB0EAB"/>
    <w:rsid w:val="550A5F70"/>
    <w:rsid w:val="570E4A41"/>
    <w:rsid w:val="57156660"/>
    <w:rsid w:val="578D5B3B"/>
    <w:rsid w:val="5797131D"/>
    <w:rsid w:val="57A67AF9"/>
    <w:rsid w:val="593F0E35"/>
    <w:rsid w:val="5951628A"/>
    <w:rsid w:val="596D3FFD"/>
    <w:rsid w:val="597E42AD"/>
    <w:rsid w:val="59C77731"/>
    <w:rsid w:val="5A1F5D26"/>
    <w:rsid w:val="5AE9421B"/>
    <w:rsid w:val="5AEB5BCA"/>
    <w:rsid w:val="5B07012A"/>
    <w:rsid w:val="5BAD5028"/>
    <w:rsid w:val="5C4F43C2"/>
    <w:rsid w:val="5EB21D38"/>
    <w:rsid w:val="5FD13731"/>
    <w:rsid w:val="60B81AEF"/>
    <w:rsid w:val="624D0F56"/>
    <w:rsid w:val="62540537"/>
    <w:rsid w:val="625A1A0F"/>
    <w:rsid w:val="628838CD"/>
    <w:rsid w:val="63921A78"/>
    <w:rsid w:val="64593E09"/>
    <w:rsid w:val="649038B9"/>
    <w:rsid w:val="65204B85"/>
    <w:rsid w:val="66BA3080"/>
    <w:rsid w:val="66DD5F97"/>
    <w:rsid w:val="671921DE"/>
    <w:rsid w:val="67674868"/>
    <w:rsid w:val="680661F5"/>
    <w:rsid w:val="682269E1"/>
    <w:rsid w:val="68386205"/>
    <w:rsid w:val="68EB3277"/>
    <w:rsid w:val="69F65C23"/>
    <w:rsid w:val="6A6F2DAC"/>
    <w:rsid w:val="6AF63ACC"/>
    <w:rsid w:val="6B1B42E7"/>
    <w:rsid w:val="6BFC7F2A"/>
    <w:rsid w:val="6C077B8D"/>
    <w:rsid w:val="6CEA65D8"/>
    <w:rsid w:val="6CED5810"/>
    <w:rsid w:val="6CF3439C"/>
    <w:rsid w:val="6DD40AAF"/>
    <w:rsid w:val="6E722051"/>
    <w:rsid w:val="6FAA3E8C"/>
    <w:rsid w:val="7007681B"/>
    <w:rsid w:val="70D021EC"/>
    <w:rsid w:val="7143471F"/>
    <w:rsid w:val="721750DD"/>
    <w:rsid w:val="721F38C7"/>
    <w:rsid w:val="73796438"/>
    <w:rsid w:val="74345F76"/>
    <w:rsid w:val="75B82733"/>
    <w:rsid w:val="776726E5"/>
    <w:rsid w:val="77E56115"/>
    <w:rsid w:val="78BB2C66"/>
    <w:rsid w:val="78D930EC"/>
    <w:rsid w:val="78FD1C1D"/>
    <w:rsid w:val="79075EAB"/>
    <w:rsid w:val="79685FB4"/>
    <w:rsid w:val="79BE5F69"/>
    <w:rsid w:val="7B0F10EF"/>
    <w:rsid w:val="7B263FB0"/>
    <w:rsid w:val="7C38055A"/>
    <w:rsid w:val="7CC540B3"/>
    <w:rsid w:val="7EEB67F9"/>
    <w:rsid w:val="7EF05DCA"/>
    <w:rsid w:val="7F4514DB"/>
    <w:rsid w:val="7F8A5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 w:type="paragraph" w:customStyle="1" w:styleId="11">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9006</Words>
  <Characters>9701</Characters>
  <Lines>0</Lines>
  <Paragraphs>0</Paragraphs>
  <TotalTime>76</TotalTime>
  <ScaleCrop>false</ScaleCrop>
  <LinksUpToDate>false</LinksUpToDate>
  <CharactersWithSpaces>9774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2026-07-21T07:35:00Z</dcterms:created>
  <dc:creator>86185</dc:creator>
  <cp:lastModifiedBy>lwh</cp:lastModifiedBy>
  <dcterms:modified xsi:type="dcterms:W3CDTF">2026-07-26T10:19:44Z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eyJoZGlkIjoiZTYwMDE0OWI4MmFkMDA5YmUwMzE4NTE4NmYzYzgxZjYiLCJ1c2VySWQiOiI0MzE2MDEyOTQifQ==</vt:lpwstr>
  </property>
  <property fmtid="{D5CDD505-2E9C-101B-9397-08002B2CF9AE}" pid="4" name="ICV">
    <vt:lpwstr>E567AD8B1446438DB0B28CE935115DB7_12</vt:lpwstr>
  </property>
</Properties>
</file>