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3255B" w14:textId="77777777" w:rsidR="00293DDE" w:rsidRDefault="00293DDE" w:rsidP="001613FC">
      <w:pPr>
        <w:spacing w:line="440" w:lineRule="exact"/>
        <w:jc w:val="center"/>
        <w:rPr>
          <w:rFonts w:eastAsia="黑体"/>
          <w:b/>
          <w:sz w:val="36"/>
          <w:szCs w:val="36"/>
        </w:rPr>
      </w:pPr>
    </w:p>
    <w:p w14:paraId="662CE355" w14:textId="77777777" w:rsidR="00293DDE" w:rsidRDefault="00293DDE" w:rsidP="001613FC">
      <w:pPr>
        <w:spacing w:line="440" w:lineRule="exact"/>
        <w:jc w:val="center"/>
        <w:rPr>
          <w:rFonts w:eastAsia="黑体"/>
          <w:b/>
          <w:sz w:val="36"/>
          <w:szCs w:val="36"/>
        </w:rPr>
      </w:pPr>
    </w:p>
    <w:p w14:paraId="631A1476" w14:textId="77777777" w:rsidR="00293DDE" w:rsidRDefault="00293DDE" w:rsidP="001613FC">
      <w:pPr>
        <w:spacing w:line="440" w:lineRule="exact"/>
        <w:jc w:val="center"/>
        <w:rPr>
          <w:rFonts w:eastAsia="黑体"/>
          <w:b/>
          <w:sz w:val="36"/>
          <w:szCs w:val="36"/>
        </w:rPr>
      </w:pPr>
    </w:p>
    <w:p w14:paraId="7A8FD1DF" w14:textId="77777777" w:rsidR="00293DDE" w:rsidRDefault="00293DDE" w:rsidP="001613FC">
      <w:pPr>
        <w:spacing w:line="440" w:lineRule="exact"/>
        <w:jc w:val="center"/>
        <w:rPr>
          <w:rFonts w:eastAsia="黑体"/>
          <w:b/>
          <w:sz w:val="36"/>
          <w:szCs w:val="36"/>
        </w:rPr>
      </w:pPr>
    </w:p>
    <w:p w14:paraId="37E37285" w14:textId="31C6F4BA" w:rsidR="00425E66" w:rsidRPr="00317496" w:rsidRDefault="00425E66" w:rsidP="0018406D">
      <w:pPr>
        <w:autoSpaceDE w:val="0"/>
        <w:autoSpaceDN w:val="0"/>
        <w:adjustRightInd w:val="0"/>
        <w:spacing w:beforeLines="100" w:before="240" w:afterLines="100" w:after="240"/>
        <w:jc w:val="center"/>
        <w:rPr>
          <w:rFonts w:eastAsia="黑体"/>
          <w:kern w:val="0"/>
          <w:sz w:val="44"/>
          <w:szCs w:val="44"/>
        </w:rPr>
      </w:pPr>
      <w:r w:rsidRPr="00317496">
        <w:rPr>
          <w:rFonts w:eastAsia="黑体" w:hint="eastAsia"/>
          <w:kern w:val="0"/>
          <w:sz w:val="44"/>
          <w:szCs w:val="44"/>
        </w:rPr>
        <w:t>《</w:t>
      </w:r>
      <w:r w:rsidR="0018406D" w:rsidRPr="0018406D">
        <w:rPr>
          <w:rFonts w:eastAsia="黑体" w:hint="eastAsia"/>
          <w:kern w:val="0"/>
          <w:sz w:val="44"/>
          <w:szCs w:val="44"/>
        </w:rPr>
        <w:t>水体中抗生素环境风险评估</w:t>
      </w:r>
      <w:r w:rsidR="0018406D" w:rsidRPr="0018406D">
        <w:rPr>
          <w:rFonts w:eastAsia="黑体" w:hint="eastAsia"/>
          <w:kern w:val="0"/>
          <w:sz w:val="44"/>
          <w:szCs w:val="44"/>
        </w:rPr>
        <w:t xml:space="preserve"> </w:t>
      </w:r>
      <w:r w:rsidR="0013496D">
        <w:rPr>
          <w:rFonts w:eastAsia="黑体" w:hint="eastAsia"/>
          <w:kern w:val="0"/>
          <w:sz w:val="44"/>
          <w:szCs w:val="44"/>
        </w:rPr>
        <w:t>最小选择</w:t>
      </w:r>
      <w:r w:rsidR="0018406D" w:rsidRPr="0018406D">
        <w:rPr>
          <w:rFonts w:eastAsia="黑体" w:hint="eastAsia"/>
          <w:kern w:val="0"/>
          <w:sz w:val="44"/>
          <w:szCs w:val="44"/>
        </w:rPr>
        <w:t>浓度</w:t>
      </w:r>
      <w:r w:rsidR="0018406D" w:rsidRPr="0018406D">
        <w:rPr>
          <w:rFonts w:eastAsia="黑体" w:hint="eastAsia"/>
          <w:kern w:val="0"/>
          <w:sz w:val="44"/>
          <w:szCs w:val="44"/>
        </w:rPr>
        <w:t>(MSC)</w:t>
      </w:r>
      <w:r w:rsidR="0018406D" w:rsidRPr="0018406D">
        <w:rPr>
          <w:rFonts w:eastAsia="黑体" w:hint="eastAsia"/>
          <w:kern w:val="0"/>
          <w:sz w:val="44"/>
          <w:szCs w:val="44"/>
        </w:rPr>
        <w:t>的测定</w:t>
      </w:r>
      <w:r w:rsidR="0018406D" w:rsidRPr="0018406D">
        <w:rPr>
          <w:rFonts w:eastAsia="黑体" w:hint="eastAsia"/>
          <w:kern w:val="0"/>
          <w:sz w:val="44"/>
          <w:szCs w:val="44"/>
        </w:rPr>
        <w:t xml:space="preserve"> </w:t>
      </w:r>
      <w:r w:rsidR="0018406D" w:rsidRPr="0018406D">
        <w:rPr>
          <w:rFonts w:eastAsia="黑体" w:hint="eastAsia"/>
          <w:kern w:val="0"/>
          <w:sz w:val="44"/>
          <w:szCs w:val="44"/>
        </w:rPr>
        <w:t>细菌群落耐药率法</w:t>
      </w:r>
      <w:r w:rsidRPr="00317496">
        <w:rPr>
          <w:rFonts w:eastAsia="黑体" w:hint="eastAsia"/>
          <w:kern w:val="0"/>
          <w:sz w:val="44"/>
          <w:szCs w:val="44"/>
        </w:rPr>
        <w:t>》</w:t>
      </w:r>
    </w:p>
    <w:p w14:paraId="2BDA97B1" w14:textId="77777777" w:rsidR="00425E66" w:rsidRPr="00317496" w:rsidRDefault="00425E66" w:rsidP="00317496">
      <w:pPr>
        <w:autoSpaceDE w:val="0"/>
        <w:autoSpaceDN w:val="0"/>
        <w:adjustRightInd w:val="0"/>
        <w:spacing w:beforeLines="100" w:before="240" w:afterLines="100" w:after="240"/>
        <w:jc w:val="center"/>
        <w:rPr>
          <w:rFonts w:eastAsia="黑体"/>
          <w:kern w:val="0"/>
          <w:sz w:val="44"/>
          <w:szCs w:val="44"/>
        </w:rPr>
      </w:pPr>
      <w:r w:rsidRPr="00317496">
        <w:rPr>
          <w:rFonts w:eastAsia="黑体"/>
          <w:kern w:val="0"/>
          <w:sz w:val="44"/>
          <w:szCs w:val="44"/>
        </w:rPr>
        <w:t>编制说明</w:t>
      </w:r>
    </w:p>
    <w:p w14:paraId="7BFA2735" w14:textId="77777777" w:rsidR="00425E66" w:rsidRPr="00317496" w:rsidRDefault="00425E66" w:rsidP="00317496">
      <w:pPr>
        <w:autoSpaceDE w:val="0"/>
        <w:autoSpaceDN w:val="0"/>
        <w:adjustRightInd w:val="0"/>
        <w:spacing w:beforeLines="100" w:before="240" w:afterLines="100" w:after="240"/>
        <w:jc w:val="center"/>
        <w:rPr>
          <w:rFonts w:eastAsia="黑体"/>
          <w:kern w:val="0"/>
          <w:sz w:val="44"/>
          <w:szCs w:val="44"/>
        </w:rPr>
      </w:pPr>
    </w:p>
    <w:p w14:paraId="46BF0827" w14:textId="77777777" w:rsidR="00425E66" w:rsidRPr="007C3CB6"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29A8893A"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41A52D5E"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78CA4AEF"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03A9A039"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1D7465AE"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156D75D1"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234D8FD8"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71941ECB"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5A6E3CF8"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5225CD3C" w14:textId="77777777" w:rsidR="00425E66" w:rsidRPr="00BF5185" w:rsidRDefault="00425E66" w:rsidP="001613FC">
      <w:pPr>
        <w:tabs>
          <w:tab w:val="left" w:pos="561"/>
          <w:tab w:val="left" w:pos="1120"/>
          <w:tab w:val="left" w:pos="1682"/>
        </w:tabs>
        <w:spacing w:line="440" w:lineRule="exact"/>
        <w:ind w:right="194"/>
        <w:jc w:val="center"/>
        <w:rPr>
          <w:rFonts w:ascii="黑体" w:eastAsia="黑体" w:hAnsi="黑体" w:cs="方正仿宋_GBK"/>
          <w:sz w:val="28"/>
        </w:rPr>
      </w:pPr>
    </w:p>
    <w:p w14:paraId="0F3F5A28" w14:textId="77777777" w:rsidR="00293DDE" w:rsidRPr="00BF5185" w:rsidRDefault="00293DDE" w:rsidP="001613FC">
      <w:pPr>
        <w:tabs>
          <w:tab w:val="left" w:pos="561"/>
          <w:tab w:val="left" w:pos="1120"/>
          <w:tab w:val="left" w:pos="1682"/>
        </w:tabs>
        <w:spacing w:line="440" w:lineRule="exact"/>
        <w:ind w:right="194"/>
        <w:jc w:val="center"/>
        <w:rPr>
          <w:rFonts w:ascii="黑体" w:eastAsia="黑体" w:hAnsi="黑体" w:cs="方正仿宋_GBK"/>
          <w:sz w:val="28"/>
        </w:rPr>
      </w:pPr>
    </w:p>
    <w:p w14:paraId="0C725E77" w14:textId="77777777" w:rsidR="00293DDE" w:rsidRDefault="00293DDE" w:rsidP="001613FC">
      <w:pPr>
        <w:tabs>
          <w:tab w:val="left" w:pos="561"/>
          <w:tab w:val="left" w:pos="1120"/>
          <w:tab w:val="left" w:pos="1682"/>
        </w:tabs>
        <w:spacing w:line="440" w:lineRule="exact"/>
        <w:ind w:right="194"/>
        <w:jc w:val="center"/>
        <w:rPr>
          <w:rFonts w:ascii="黑体" w:eastAsia="黑体" w:hAnsi="黑体" w:cs="方正仿宋_GBK"/>
          <w:sz w:val="28"/>
        </w:rPr>
      </w:pPr>
    </w:p>
    <w:p w14:paraId="5DC42A66" w14:textId="77777777" w:rsidR="009A3DD1" w:rsidRDefault="009A3DD1" w:rsidP="001613FC">
      <w:pPr>
        <w:tabs>
          <w:tab w:val="left" w:pos="561"/>
          <w:tab w:val="left" w:pos="1120"/>
          <w:tab w:val="left" w:pos="1682"/>
        </w:tabs>
        <w:spacing w:line="440" w:lineRule="exact"/>
        <w:ind w:right="194"/>
        <w:jc w:val="center"/>
        <w:rPr>
          <w:rFonts w:ascii="黑体" w:eastAsia="黑体" w:hAnsi="黑体" w:cs="方正仿宋_GBK"/>
          <w:sz w:val="28"/>
        </w:rPr>
      </w:pPr>
    </w:p>
    <w:p w14:paraId="6CB6519D" w14:textId="77777777" w:rsidR="009A3DD1" w:rsidRDefault="009A3DD1" w:rsidP="001613FC">
      <w:pPr>
        <w:tabs>
          <w:tab w:val="left" w:pos="561"/>
          <w:tab w:val="left" w:pos="1120"/>
          <w:tab w:val="left" w:pos="1682"/>
        </w:tabs>
        <w:spacing w:line="440" w:lineRule="exact"/>
        <w:ind w:right="194"/>
        <w:jc w:val="center"/>
        <w:rPr>
          <w:rFonts w:ascii="黑体" w:eastAsia="黑体" w:hAnsi="黑体" w:cs="方正仿宋_GBK"/>
          <w:sz w:val="28"/>
        </w:rPr>
      </w:pPr>
    </w:p>
    <w:p w14:paraId="47A2568B" w14:textId="77777777" w:rsidR="009A3DD1" w:rsidRPr="00BF5185" w:rsidRDefault="009A3DD1" w:rsidP="001613FC">
      <w:pPr>
        <w:tabs>
          <w:tab w:val="left" w:pos="561"/>
          <w:tab w:val="left" w:pos="1120"/>
          <w:tab w:val="left" w:pos="1682"/>
        </w:tabs>
        <w:spacing w:line="440" w:lineRule="exact"/>
        <w:ind w:right="194"/>
        <w:jc w:val="center"/>
        <w:rPr>
          <w:rFonts w:ascii="黑体" w:eastAsia="黑体" w:hAnsi="黑体" w:cs="方正仿宋_GBK"/>
          <w:sz w:val="28"/>
        </w:rPr>
      </w:pPr>
    </w:p>
    <w:p w14:paraId="4CA70356" w14:textId="77777777" w:rsidR="00425E66" w:rsidRPr="00BF5185" w:rsidRDefault="00425E66" w:rsidP="00550EF0">
      <w:pPr>
        <w:pStyle w:val="afc"/>
        <w:adjustRightInd w:val="0"/>
        <w:snapToGrid w:val="0"/>
        <w:spacing w:line="440" w:lineRule="exact"/>
        <w:jc w:val="center"/>
        <w:rPr>
          <w:rFonts w:ascii="黑体" w:eastAsia="黑体" w:hAnsi="黑体"/>
          <w:sz w:val="30"/>
          <w:szCs w:val="30"/>
        </w:rPr>
      </w:pPr>
    </w:p>
    <w:p w14:paraId="3E37CC84" w14:textId="38ABB7DE" w:rsidR="00425E66" w:rsidRPr="00317496" w:rsidRDefault="00425E66" w:rsidP="00317496">
      <w:pPr>
        <w:autoSpaceDE w:val="0"/>
        <w:autoSpaceDN w:val="0"/>
        <w:adjustRightInd w:val="0"/>
        <w:jc w:val="center"/>
        <w:rPr>
          <w:rFonts w:eastAsia="黑体"/>
          <w:sz w:val="28"/>
          <w:szCs w:val="28"/>
        </w:rPr>
      </w:pPr>
      <w:r w:rsidRPr="00317496">
        <w:rPr>
          <w:rFonts w:eastAsia="黑体" w:hint="eastAsia"/>
          <w:sz w:val="28"/>
          <w:szCs w:val="28"/>
        </w:rPr>
        <w:t>《</w:t>
      </w:r>
      <w:r w:rsidR="009C2430" w:rsidRPr="009C2430">
        <w:rPr>
          <w:rFonts w:eastAsia="黑体" w:hint="eastAsia"/>
          <w:sz w:val="28"/>
          <w:szCs w:val="28"/>
        </w:rPr>
        <w:t>水体中抗生素环境风险评估</w:t>
      </w:r>
      <w:r w:rsidR="009C2430" w:rsidRPr="009C2430">
        <w:rPr>
          <w:rFonts w:eastAsia="黑体" w:hint="eastAsia"/>
          <w:sz w:val="28"/>
          <w:szCs w:val="28"/>
        </w:rPr>
        <w:t xml:space="preserve"> </w:t>
      </w:r>
      <w:r w:rsidR="0013496D">
        <w:rPr>
          <w:rFonts w:eastAsia="黑体" w:hint="eastAsia"/>
          <w:sz w:val="28"/>
          <w:szCs w:val="28"/>
        </w:rPr>
        <w:t>最小选择浓度</w:t>
      </w:r>
      <w:r w:rsidR="009C2430" w:rsidRPr="009C2430">
        <w:rPr>
          <w:rFonts w:eastAsia="黑体" w:hint="eastAsia"/>
          <w:sz w:val="28"/>
          <w:szCs w:val="28"/>
        </w:rPr>
        <w:t>(MSC)</w:t>
      </w:r>
      <w:r w:rsidR="009C2430" w:rsidRPr="009C2430">
        <w:rPr>
          <w:rFonts w:eastAsia="黑体" w:hint="eastAsia"/>
          <w:sz w:val="28"/>
          <w:szCs w:val="28"/>
        </w:rPr>
        <w:t>的测定</w:t>
      </w:r>
      <w:r w:rsidR="009C2430" w:rsidRPr="009C2430">
        <w:rPr>
          <w:rFonts w:eastAsia="黑体" w:hint="eastAsia"/>
          <w:sz w:val="28"/>
          <w:szCs w:val="28"/>
        </w:rPr>
        <w:t xml:space="preserve"> </w:t>
      </w:r>
      <w:r w:rsidR="009C2430" w:rsidRPr="009C2430">
        <w:rPr>
          <w:rFonts w:eastAsia="黑体" w:hint="eastAsia"/>
          <w:sz w:val="28"/>
          <w:szCs w:val="28"/>
        </w:rPr>
        <w:t>细菌群落耐药率法</w:t>
      </w:r>
      <w:r w:rsidRPr="00317496">
        <w:rPr>
          <w:rFonts w:eastAsia="黑体" w:hint="eastAsia"/>
          <w:sz w:val="28"/>
          <w:szCs w:val="28"/>
        </w:rPr>
        <w:t>》标准编制组</w:t>
      </w:r>
    </w:p>
    <w:p w14:paraId="65A3C45A" w14:textId="1418ED75" w:rsidR="00E52993" w:rsidRDefault="00425E66" w:rsidP="00317496">
      <w:pPr>
        <w:autoSpaceDE w:val="0"/>
        <w:autoSpaceDN w:val="0"/>
        <w:adjustRightInd w:val="0"/>
        <w:jc w:val="center"/>
        <w:rPr>
          <w:rFonts w:ascii="黑体" w:eastAsia="黑体" w:hAnsi="黑体"/>
          <w:sz w:val="30"/>
          <w:szCs w:val="30"/>
        </w:rPr>
      </w:pPr>
      <w:r w:rsidRPr="00317496">
        <w:rPr>
          <w:rFonts w:eastAsia="黑体"/>
          <w:sz w:val="28"/>
          <w:szCs w:val="28"/>
        </w:rPr>
        <w:t>二〇二</w:t>
      </w:r>
      <w:r w:rsidR="0018406D">
        <w:rPr>
          <w:rFonts w:eastAsia="黑体" w:hint="eastAsia"/>
          <w:sz w:val="28"/>
          <w:szCs w:val="28"/>
        </w:rPr>
        <w:t>六</w:t>
      </w:r>
      <w:r w:rsidRPr="00317496">
        <w:rPr>
          <w:rFonts w:eastAsia="黑体"/>
          <w:sz w:val="28"/>
          <w:szCs w:val="28"/>
        </w:rPr>
        <w:t>年</w:t>
      </w:r>
      <w:r w:rsidR="009C2430">
        <w:rPr>
          <w:rFonts w:eastAsia="黑体" w:hint="eastAsia"/>
          <w:sz w:val="28"/>
          <w:szCs w:val="28"/>
        </w:rPr>
        <w:t>七</w:t>
      </w:r>
      <w:r w:rsidRPr="00317496">
        <w:rPr>
          <w:rFonts w:eastAsia="黑体"/>
          <w:sz w:val="28"/>
          <w:szCs w:val="28"/>
        </w:rPr>
        <w:t>月</w:t>
      </w:r>
    </w:p>
    <w:p w14:paraId="5CE14550" w14:textId="77777777" w:rsidR="00317496" w:rsidRDefault="00317496" w:rsidP="001613FC">
      <w:pPr>
        <w:pStyle w:val="afc"/>
        <w:adjustRightInd w:val="0"/>
        <w:snapToGrid w:val="0"/>
        <w:spacing w:line="440" w:lineRule="exact"/>
        <w:rPr>
          <w:rFonts w:ascii="黑体" w:eastAsia="黑体" w:hAnsi="黑体"/>
          <w:sz w:val="30"/>
          <w:szCs w:val="30"/>
        </w:rPr>
      </w:pPr>
    </w:p>
    <w:p w14:paraId="0A20CB69" w14:textId="77777777" w:rsidR="00317496" w:rsidRPr="00BF5185" w:rsidRDefault="00317496" w:rsidP="001613FC">
      <w:pPr>
        <w:pStyle w:val="afc"/>
        <w:adjustRightInd w:val="0"/>
        <w:snapToGrid w:val="0"/>
        <w:spacing w:line="440" w:lineRule="exact"/>
        <w:rPr>
          <w:rFonts w:ascii="黑体" w:eastAsia="黑体" w:hAnsi="黑体"/>
          <w:sz w:val="30"/>
          <w:szCs w:val="30"/>
        </w:rPr>
        <w:sectPr w:rsidR="00317496" w:rsidRPr="00BF5185" w:rsidSect="004B4B2B">
          <w:footerReference w:type="default" r:id="rId8"/>
          <w:type w:val="continuous"/>
          <w:pgSz w:w="11910" w:h="16840"/>
          <w:pgMar w:top="1440" w:right="1800" w:bottom="1440" w:left="1800" w:header="1448" w:footer="1137" w:gutter="0"/>
          <w:pgNumType w:fmt="numberInDash" w:start="10"/>
          <w:cols w:space="720"/>
        </w:sectPr>
      </w:pPr>
    </w:p>
    <w:p w14:paraId="27282388" w14:textId="1D3D1062" w:rsidR="00425E66" w:rsidRPr="00BF5185" w:rsidRDefault="00425E66" w:rsidP="0018406D">
      <w:pPr>
        <w:pageBreakBefore/>
        <w:spacing w:line="360" w:lineRule="auto"/>
        <w:ind w:firstLineChars="200" w:firstLine="560"/>
        <w:jc w:val="left"/>
        <w:rPr>
          <w:rFonts w:eastAsia="黑体"/>
          <w:sz w:val="28"/>
          <w:szCs w:val="28"/>
        </w:rPr>
      </w:pPr>
      <w:r w:rsidRPr="00BF5185">
        <w:rPr>
          <w:rFonts w:eastAsia="黑体"/>
          <w:sz w:val="28"/>
          <w:szCs w:val="28"/>
        </w:rPr>
        <w:lastRenderedPageBreak/>
        <w:t>项目名称：</w:t>
      </w:r>
      <w:r w:rsidR="0018406D" w:rsidRPr="0018406D">
        <w:rPr>
          <w:rFonts w:eastAsia="黑体" w:hint="eastAsia"/>
          <w:sz w:val="28"/>
          <w:szCs w:val="28"/>
        </w:rPr>
        <w:t>水体中抗生素环境风险评估</w:t>
      </w:r>
      <w:r w:rsidR="0018406D" w:rsidRPr="0018406D">
        <w:rPr>
          <w:rFonts w:eastAsia="黑体" w:hint="eastAsia"/>
          <w:sz w:val="28"/>
          <w:szCs w:val="28"/>
        </w:rPr>
        <w:t xml:space="preserve"> </w:t>
      </w:r>
      <w:r w:rsidR="0013496D">
        <w:rPr>
          <w:rFonts w:eastAsia="黑体" w:hint="eastAsia"/>
          <w:sz w:val="28"/>
          <w:szCs w:val="28"/>
        </w:rPr>
        <w:t>最小选择浓度</w:t>
      </w:r>
      <w:r w:rsidR="0018406D" w:rsidRPr="0018406D">
        <w:rPr>
          <w:rFonts w:eastAsia="黑体" w:hint="eastAsia"/>
          <w:sz w:val="28"/>
          <w:szCs w:val="28"/>
        </w:rPr>
        <w:t>(MSC)</w:t>
      </w:r>
      <w:r w:rsidR="0018406D" w:rsidRPr="0018406D">
        <w:rPr>
          <w:rFonts w:eastAsia="黑体" w:hint="eastAsia"/>
          <w:sz w:val="28"/>
          <w:szCs w:val="28"/>
        </w:rPr>
        <w:t>的测定</w:t>
      </w:r>
      <w:r w:rsidR="0018406D" w:rsidRPr="0018406D">
        <w:rPr>
          <w:rFonts w:eastAsia="黑体" w:hint="eastAsia"/>
          <w:sz w:val="28"/>
          <w:szCs w:val="28"/>
        </w:rPr>
        <w:t xml:space="preserve"> </w:t>
      </w:r>
      <w:r w:rsidR="0018406D" w:rsidRPr="0018406D">
        <w:rPr>
          <w:rFonts w:eastAsia="黑体" w:hint="eastAsia"/>
          <w:sz w:val="28"/>
          <w:szCs w:val="28"/>
        </w:rPr>
        <w:t>细菌群落耐药率法</w:t>
      </w:r>
    </w:p>
    <w:p w14:paraId="49E7EE93" w14:textId="3F4EA383" w:rsidR="00293DDE" w:rsidRPr="00BF5185" w:rsidRDefault="00317496" w:rsidP="00293DDE">
      <w:pPr>
        <w:spacing w:line="360" w:lineRule="auto"/>
        <w:ind w:firstLineChars="200" w:firstLine="560"/>
        <w:jc w:val="left"/>
        <w:rPr>
          <w:rFonts w:eastAsia="黑体"/>
          <w:sz w:val="28"/>
          <w:szCs w:val="28"/>
        </w:rPr>
      </w:pPr>
      <w:r>
        <w:rPr>
          <w:rFonts w:eastAsia="黑体" w:hint="eastAsia"/>
          <w:sz w:val="28"/>
          <w:szCs w:val="28"/>
        </w:rPr>
        <w:t>参编</w:t>
      </w:r>
      <w:r w:rsidR="00293DDE" w:rsidRPr="00BF5185">
        <w:rPr>
          <w:rFonts w:eastAsia="黑体"/>
          <w:sz w:val="28"/>
          <w:szCs w:val="28"/>
        </w:rPr>
        <w:t>单位：</w:t>
      </w:r>
      <w:r w:rsidR="00293DDE" w:rsidRPr="00BF5185">
        <w:rPr>
          <w:rFonts w:eastAsia="黑体" w:hint="eastAsia"/>
          <w:sz w:val="28"/>
          <w:szCs w:val="28"/>
        </w:rPr>
        <w:t>南京大学、</w:t>
      </w:r>
      <w:r w:rsidR="007D0724" w:rsidRPr="00BF5185">
        <w:rPr>
          <w:rFonts w:eastAsia="黑体" w:hint="eastAsia"/>
          <w:sz w:val="28"/>
          <w:szCs w:val="28"/>
        </w:rPr>
        <w:t>南开大学、</w:t>
      </w:r>
      <w:r w:rsidR="00550EF0" w:rsidRPr="00BF5185">
        <w:rPr>
          <w:rFonts w:eastAsia="黑体" w:hint="eastAsia"/>
          <w:sz w:val="28"/>
          <w:szCs w:val="28"/>
        </w:rPr>
        <w:t>生态环境部南京环境科学研究所</w:t>
      </w:r>
    </w:p>
    <w:p w14:paraId="1593B251" w14:textId="0218800A" w:rsidR="00550EF0" w:rsidRPr="00BF5185" w:rsidRDefault="00293DDE" w:rsidP="00293DDE">
      <w:pPr>
        <w:spacing w:line="360" w:lineRule="auto"/>
        <w:ind w:firstLineChars="200" w:firstLine="560"/>
        <w:jc w:val="left"/>
        <w:rPr>
          <w:rFonts w:eastAsia="黑体"/>
          <w:sz w:val="28"/>
          <w:szCs w:val="28"/>
        </w:rPr>
        <w:sectPr w:rsidR="00550EF0" w:rsidRPr="00BF5185" w:rsidSect="004B4B2B">
          <w:footerReference w:type="default" r:id="rId9"/>
          <w:type w:val="continuous"/>
          <w:pgSz w:w="11910" w:h="16840"/>
          <w:pgMar w:top="1440" w:right="1800" w:bottom="1440" w:left="1800" w:header="1448" w:footer="1137" w:gutter="0"/>
          <w:pgNumType w:fmt="numberInDash" w:start="1"/>
          <w:cols w:space="720"/>
        </w:sectPr>
      </w:pPr>
      <w:r w:rsidRPr="00BF5185">
        <w:rPr>
          <w:rFonts w:eastAsia="黑体"/>
          <w:sz w:val="28"/>
          <w:szCs w:val="28"/>
        </w:rPr>
        <w:t>编制组主要成员：</w:t>
      </w:r>
      <w:r w:rsidR="0018406D" w:rsidRPr="0018406D">
        <w:rPr>
          <w:rFonts w:eastAsia="黑体" w:hint="eastAsia"/>
          <w:sz w:val="28"/>
          <w:szCs w:val="28"/>
        </w:rPr>
        <w:t>罗义、王娜、袁青彬、王小龙、郭欣妍、毛大庆、杨昊飞</w:t>
      </w:r>
    </w:p>
    <w:p w14:paraId="61B852E5" w14:textId="6DE216DB" w:rsidR="00293DDE" w:rsidRPr="00BF5185" w:rsidRDefault="00293DDE" w:rsidP="00293DDE">
      <w:pPr>
        <w:spacing w:line="360" w:lineRule="auto"/>
        <w:ind w:firstLineChars="200" w:firstLine="560"/>
        <w:jc w:val="left"/>
        <w:rPr>
          <w:rFonts w:eastAsia="黑体"/>
          <w:sz w:val="28"/>
          <w:szCs w:val="28"/>
        </w:rPr>
      </w:pPr>
    </w:p>
    <w:p w14:paraId="53BF3420" w14:textId="77777777" w:rsidR="00AC54F2" w:rsidRPr="00BF5185" w:rsidRDefault="00AC54F2" w:rsidP="001613FC">
      <w:pPr>
        <w:pStyle w:val="21"/>
        <w:spacing w:line="440" w:lineRule="exact"/>
      </w:pPr>
      <w:r w:rsidRPr="00BF5185">
        <w:rPr>
          <w:rFonts w:hint="eastAsia"/>
        </w:rPr>
        <w:t>目</w:t>
      </w:r>
      <w:r w:rsidRPr="00BF5185">
        <w:rPr>
          <w:rFonts w:hint="eastAsia"/>
        </w:rPr>
        <w:t xml:space="preserve">  </w:t>
      </w:r>
      <w:r w:rsidRPr="00BF5185">
        <w:rPr>
          <w:rFonts w:hint="eastAsia"/>
        </w:rPr>
        <w:t>录</w:t>
      </w:r>
    </w:p>
    <w:bookmarkStart w:id="0" w:name="_bookmark22"/>
    <w:bookmarkEnd w:id="0"/>
    <w:p w14:paraId="7CD6317D" w14:textId="3D2462A1" w:rsidR="004920D9" w:rsidRPr="004920D9" w:rsidRDefault="004920D9">
      <w:pPr>
        <w:pStyle w:val="12"/>
        <w:rPr>
          <w:rFonts w:ascii="宋体" w:eastAsia="宋体" w:hAnsi="宋体" w:cstheme="minorBidi"/>
          <w:kern w:val="2"/>
          <w:sz w:val="21"/>
          <w:szCs w:val="21"/>
          <w:lang w:bidi="ar-SA"/>
        </w:rPr>
      </w:pPr>
      <w:r>
        <w:rPr>
          <w:szCs w:val="21"/>
        </w:rPr>
        <w:fldChar w:fldCharType="begin"/>
      </w:r>
      <w:r>
        <w:rPr>
          <w:szCs w:val="21"/>
        </w:rPr>
        <w:instrText xml:space="preserve"> TOC \o "1-2" \h \z \u </w:instrText>
      </w:r>
      <w:r>
        <w:rPr>
          <w:szCs w:val="21"/>
        </w:rPr>
        <w:fldChar w:fldCharType="separate"/>
      </w:r>
      <w:hyperlink w:anchor="_Toc234489921" w:history="1">
        <w:r w:rsidRPr="004920D9">
          <w:rPr>
            <w:rStyle w:val="af5"/>
            <w:rFonts w:ascii="宋体" w:eastAsia="宋体" w:hAnsi="宋体"/>
            <w:sz w:val="21"/>
            <w:szCs w:val="21"/>
          </w:rPr>
          <w:t>1 制定标准的背景、目的和意义</w:t>
        </w:r>
        <w:r w:rsidRPr="004920D9">
          <w:rPr>
            <w:rFonts w:ascii="宋体" w:eastAsia="宋体" w:hAnsi="宋体"/>
            <w:webHidden/>
            <w:sz w:val="21"/>
            <w:szCs w:val="21"/>
          </w:rPr>
          <w:tab/>
        </w:r>
        <w:r w:rsidRPr="004920D9">
          <w:rPr>
            <w:rFonts w:ascii="宋体" w:eastAsia="宋体" w:hAnsi="宋体"/>
            <w:webHidden/>
            <w:sz w:val="21"/>
            <w:szCs w:val="21"/>
          </w:rPr>
          <w:fldChar w:fldCharType="begin"/>
        </w:r>
        <w:r w:rsidRPr="004920D9">
          <w:rPr>
            <w:rFonts w:ascii="宋体" w:eastAsia="宋体" w:hAnsi="宋体"/>
            <w:webHidden/>
            <w:sz w:val="21"/>
            <w:szCs w:val="21"/>
          </w:rPr>
          <w:instrText xml:space="preserve"> PAGEREF _Toc234489921 \h </w:instrText>
        </w:r>
        <w:r w:rsidRPr="004920D9">
          <w:rPr>
            <w:rFonts w:ascii="宋体" w:eastAsia="宋体" w:hAnsi="宋体"/>
            <w:webHidden/>
            <w:sz w:val="21"/>
            <w:szCs w:val="21"/>
          </w:rPr>
        </w:r>
        <w:r w:rsidRPr="004920D9">
          <w:rPr>
            <w:rFonts w:ascii="宋体" w:eastAsia="宋体" w:hAnsi="宋体"/>
            <w:webHidden/>
            <w:sz w:val="21"/>
            <w:szCs w:val="21"/>
          </w:rPr>
          <w:fldChar w:fldCharType="separate"/>
        </w:r>
        <w:r w:rsidRPr="004920D9">
          <w:rPr>
            <w:rFonts w:ascii="宋体" w:eastAsia="宋体" w:hAnsi="宋体"/>
            <w:webHidden/>
            <w:sz w:val="21"/>
            <w:szCs w:val="21"/>
          </w:rPr>
          <w:t>- 1 -</w:t>
        </w:r>
        <w:r w:rsidRPr="004920D9">
          <w:rPr>
            <w:rFonts w:ascii="宋体" w:eastAsia="宋体" w:hAnsi="宋体"/>
            <w:webHidden/>
            <w:sz w:val="21"/>
            <w:szCs w:val="21"/>
          </w:rPr>
          <w:fldChar w:fldCharType="end"/>
        </w:r>
      </w:hyperlink>
    </w:p>
    <w:p w14:paraId="40358385" w14:textId="12F7265B" w:rsidR="004920D9" w:rsidRPr="004920D9" w:rsidRDefault="002071EF">
      <w:pPr>
        <w:pStyle w:val="21"/>
        <w:rPr>
          <w:rFonts w:ascii="宋体" w:eastAsia="宋体" w:hAnsi="宋体" w:cstheme="minorBidi"/>
          <w:bCs w:val="0"/>
          <w:smallCaps w:val="0"/>
          <w:noProof/>
          <w:sz w:val="21"/>
          <w:szCs w:val="21"/>
        </w:rPr>
      </w:pPr>
      <w:hyperlink w:anchor="_Toc234489922" w:history="1">
        <w:r w:rsidR="004920D9" w:rsidRPr="004920D9">
          <w:rPr>
            <w:rStyle w:val="af5"/>
            <w:rFonts w:ascii="宋体" w:eastAsia="宋体" w:hAnsi="宋体"/>
            <w:noProof/>
            <w:sz w:val="21"/>
            <w:szCs w:val="21"/>
          </w:rPr>
          <w:t>1.1 背景</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_Toc234489922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- 1 -</w:t>
        </w:r>
        <w:r w:rsidR="004920D9" w:rsidRPr="004920D9">
          <w:rPr>
            <w:rFonts w:ascii="宋体" w:eastAsia="宋体" w:hAnsi="宋体"/>
            <w:noProof/>
            <w:webHidden/>
            <w:sz w:val="21"/>
            <w:szCs w:val="21"/>
          </w:rPr>
          <w:fldChar w:fldCharType="end"/>
        </w:r>
      </w:hyperlink>
    </w:p>
    <w:p w14:paraId="60034993" w14:textId="189A8AD5" w:rsidR="004920D9" w:rsidRPr="004920D9" w:rsidRDefault="002071EF">
      <w:pPr>
        <w:pStyle w:val="21"/>
        <w:rPr>
          <w:rFonts w:ascii="宋体" w:eastAsia="宋体" w:hAnsi="宋体" w:cstheme="minorBidi"/>
          <w:bCs w:val="0"/>
          <w:smallCaps w:val="0"/>
          <w:noProof/>
          <w:sz w:val="21"/>
          <w:szCs w:val="21"/>
        </w:rPr>
      </w:pPr>
      <w:hyperlink w:anchor="_Toc234489923" w:history="1">
        <w:r w:rsidR="004920D9" w:rsidRPr="004920D9">
          <w:rPr>
            <w:rStyle w:val="af5"/>
            <w:rFonts w:ascii="宋体" w:eastAsia="宋体" w:hAnsi="宋体"/>
            <w:noProof/>
            <w:sz w:val="21"/>
            <w:szCs w:val="21"/>
            <w:lang w:bidi="zh-CN"/>
          </w:rPr>
          <w:t>1.2 目的</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_Toc234489923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- 2 -</w:t>
        </w:r>
        <w:r w:rsidR="004920D9" w:rsidRPr="004920D9">
          <w:rPr>
            <w:rFonts w:ascii="宋体" w:eastAsia="宋体" w:hAnsi="宋体"/>
            <w:noProof/>
            <w:webHidden/>
            <w:sz w:val="21"/>
            <w:szCs w:val="21"/>
          </w:rPr>
          <w:fldChar w:fldCharType="end"/>
        </w:r>
      </w:hyperlink>
    </w:p>
    <w:p w14:paraId="792A7872" w14:textId="16A18E73" w:rsidR="004920D9" w:rsidRPr="004920D9" w:rsidRDefault="002071EF">
      <w:pPr>
        <w:pStyle w:val="21"/>
        <w:rPr>
          <w:rFonts w:ascii="宋体" w:eastAsia="宋体" w:hAnsi="宋体" w:cstheme="minorBidi"/>
          <w:bCs w:val="0"/>
          <w:smallCaps w:val="0"/>
          <w:noProof/>
          <w:sz w:val="21"/>
          <w:szCs w:val="21"/>
        </w:rPr>
      </w:pPr>
      <w:hyperlink w:anchor="_Toc234489924" w:history="1">
        <w:r w:rsidR="004920D9" w:rsidRPr="004920D9">
          <w:rPr>
            <w:rStyle w:val="af5"/>
            <w:rFonts w:ascii="宋体" w:eastAsia="宋体" w:hAnsi="宋体" w:cs="黑体"/>
            <w:noProof/>
            <w:sz w:val="21"/>
            <w:szCs w:val="21"/>
          </w:rPr>
          <w:t>1.3 意义</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_Toc234489924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- 2 -</w:t>
        </w:r>
        <w:r w:rsidR="004920D9" w:rsidRPr="004920D9">
          <w:rPr>
            <w:rFonts w:ascii="宋体" w:eastAsia="宋体" w:hAnsi="宋体"/>
            <w:noProof/>
            <w:webHidden/>
            <w:sz w:val="21"/>
            <w:szCs w:val="21"/>
          </w:rPr>
          <w:fldChar w:fldCharType="end"/>
        </w:r>
      </w:hyperlink>
    </w:p>
    <w:p w14:paraId="6D5BAAC4" w14:textId="607CC260" w:rsidR="004920D9" w:rsidRPr="004920D9" w:rsidRDefault="002071EF">
      <w:pPr>
        <w:pStyle w:val="21"/>
        <w:rPr>
          <w:rFonts w:ascii="宋体" w:eastAsia="宋体" w:hAnsi="宋体" w:cstheme="minorBidi"/>
          <w:bCs w:val="0"/>
          <w:smallCaps w:val="0"/>
          <w:noProof/>
          <w:sz w:val="21"/>
          <w:szCs w:val="21"/>
        </w:rPr>
      </w:pPr>
      <w:hyperlink w:anchor="_Toc234489925" w:history="1">
        <w:r w:rsidR="004920D9" w:rsidRPr="004920D9">
          <w:rPr>
            <w:rStyle w:val="af5"/>
            <w:rFonts w:ascii="宋体" w:eastAsia="宋体" w:hAnsi="宋体" w:cs="黑体"/>
            <w:noProof/>
            <w:sz w:val="21"/>
            <w:szCs w:val="21"/>
          </w:rPr>
          <w:t>1.4 项目支撑</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_Toc234489925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- 3 -</w:t>
        </w:r>
        <w:r w:rsidR="004920D9" w:rsidRPr="004920D9">
          <w:rPr>
            <w:rFonts w:ascii="宋体" w:eastAsia="宋体" w:hAnsi="宋体"/>
            <w:noProof/>
            <w:webHidden/>
            <w:sz w:val="21"/>
            <w:szCs w:val="21"/>
          </w:rPr>
          <w:fldChar w:fldCharType="end"/>
        </w:r>
      </w:hyperlink>
    </w:p>
    <w:p w14:paraId="70B31D0F" w14:textId="107533C7" w:rsidR="004920D9" w:rsidRPr="004920D9" w:rsidRDefault="002071EF">
      <w:pPr>
        <w:pStyle w:val="12"/>
        <w:rPr>
          <w:rFonts w:ascii="宋体" w:eastAsia="宋体" w:hAnsi="宋体" w:cstheme="minorBidi"/>
          <w:kern w:val="2"/>
          <w:sz w:val="21"/>
          <w:szCs w:val="21"/>
          <w:lang w:bidi="ar-SA"/>
        </w:rPr>
      </w:pPr>
      <w:hyperlink w:anchor="_Toc234489926" w:history="1">
        <w:r w:rsidR="004920D9" w:rsidRPr="004920D9">
          <w:rPr>
            <w:rStyle w:val="af5"/>
            <w:rFonts w:ascii="宋体" w:eastAsia="宋体" w:hAnsi="宋体"/>
            <w:sz w:val="21"/>
            <w:szCs w:val="21"/>
          </w:rPr>
          <w:t>2 工作简况</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_Toc234489926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- 3 -</w:t>
        </w:r>
        <w:r w:rsidR="004920D9" w:rsidRPr="004920D9">
          <w:rPr>
            <w:rFonts w:ascii="宋体" w:eastAsia="宋体" w:hAnsi="宋体"/>
            <w:webHidden/>
            <w:sz w:val="21"/>
            <w:szCs w:val="21"/>
          </w:rPr>
          <w:fldChar w:fldCharType="end"/>
        </w:r>
      </w:hyperlink>
    </w:p>
    <w:p w14:paraId="226EAC08" w14:textId="15199E36" w:rsidR="004920D9" w:rsidRPr="004920D9" w:rsidRDefault="002071EF">
      <w:pPr>
        <w:pStyle w:val="21"/>
        <w:rPr>
          <w:rFonts w:ascii="宋体" w:eastAsia="宋体" w:hAnsi="宋体" w:cstheme="minorBidi"/>
          <w:bCs w:val="0"/>
          <w:smallCaps w:val="0"/>
          <w:noProof/>
          <w:sz w:val="21"/>
          <w:szCs w:val="21"/>
        </w:rPr>
      </w:pPr>
      <w:hyperlink w:anchor="_Toc234489927" w:history="1">
        <w:r w:rsidR="004920D9" w:rsidRPr="004920D9">
          <w:rPr>
            <w:rStyle w:val="af5"/>
            <w:rFonts w:ascii="宋体" w:eastAsia="宋体" w:hAnsi="宋体" w:cs="黑体"/>
            <w:noProof/>
            <w:kern w:val="0"/>
            <w:sz w:val="21"/>
            <w:szCs w:val="21"/>
          </w:rPr>
          <w:t>2.1标准主要起草单位和起草人及其所做的工作</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_Toc234489927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- 3 -</w:t>
        </w:r>
        <w:r w:rsidR="004920D9" w:rsidRPr="004920D9">
          <w:rPr>
            <w:rFonts w:ascii="宋体" w:eastAsia="宋体" w:hAnsi="宋体"/>
            <w:noProof/>
            <w:webHidden/>
            <w:sz w:val="21"/>
            <w:szCs w:val="21"/>
          </w:rPr>
          <w:fldChar w:fldCharType="end"/>
        </w:r>
      </w:hyperlink>
    </w:p>
    <w:p w14:paraId="0ACA71D2" w14:textId="451ADA30" w:rsidR="004920D9" w:rsidRPr="004920D9" w:rsidRDefault="002071EF">
      <w:pPr>
        <w:pStyle w:val="21"/>
        <w:rPr>
          <w:rFonts w:ascii="宋体" w:eastAsia="宋体" w:hAnsi="宋体" w:cstheme="minorBidi"/>
          <w:bCs w:val="0"/>
          <w:smallCaps w:val="0"/>
          <w:noProof/>
          <w:sz w:val="21"/>
          <w:szCs w:val="21"/>
        </w:rPr>
      </w:pPr>
      <w:hyperlink w:anchor="_Toc234489928" w:history="1">
        <w:r w:rsidR="004920D9" w:rsidRPr="004920D9">
          <w:rPr>
            <w:rStyle w:val="af5"/>
            <w:rFonts w:ascii="宋体" w:eastAsia="宋体" w:hAnsi="宋体" w:cs="黑体"/>
            <w:noProof/>
            <w:kern w:val="0"/>
            <w:sz w:val="21"/>
            <w:szCs w:val="21"/>
          </w:rPr>
          <w:t>2.2 主要工作过程</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_Toc234489928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- 4 -</w:t>
        </w:r>
        <w:r w:rsidR="004920D9" w:rsidRPr="004920D9">
          <w:rPr>
            <w:rFonts w:ascii="宋体" w:eastAsia="宋体" w:hAnsi="宋体"/>
            <w:noProof/>
            <w:webHidden/>
            <w:sz w:val="21"/>
            <w:szCs w:val="21"/>
          </w:rPr>
          <w:fldChar w:fldCharType="end"/>
        </w:r>
      </w:hyperlink>
    </w:p>
    <w:p w14:paraId="137D40A3" w14:textId="3CAD1009" w:rsidR="004920D9" w:rsidRPr="004920D9" w:rsidRDefault="002071EF">
      <w:pPr>
        <w:pStyle w:val="12"/>
        <w:rPr>
          <w:rFonts w:ascii="宋体" w:eastAsia="宋体" w:hAnsi="宋体" w:cstheme="minorBidi"/>
          <w:kern w:val="2"/>
          <w:sz w:val="21"/>
          <w:szCs w:val="21"/>
          <w:lang w:bidi="ar-SA"/>
        </w:rPr>
      </w:pPr>
      <w:hyperlink w:anchor="_Toc234489929" w:history="1">
        <w:r w:rsidR="004920D9" w:rsidRPr="004920D9">
          <w:rPr>
            <w:rStyle w:val="af5"/>
            <w:rFonts w:ascii="宋体" w:eastAsia="宋体" w:hAnsi="宋体"/>
            <w:sz w:val="21"/>
            <w:szCs w:val="21"/>
          </w:rPr>
          <w:t>3 标准编制原则和确定标准的依据</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_Toc234489929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- 4 -</w:t>
        </w:r>
        <w:r w:rsidR="004920D9" w:rsidRPr="004920D9">
          <w:rPr>
            <w:rFonts w:ascii="宋体" w:eastAsia="宋体" w:hAnsi="宋体"/>
            <w:webHidden/>
            <w:sz w:val="21"/>
            <w:szCs w:val="21"/>
          </w:rPr>
          <w:fldChar w:fldCharType="end"/>
        </w:r>
      </w:hyperlink>
    </w:p>
    <w:p w14:paraId="47255B4C" w14:textId="284291B9" w:rsidR="004920D9" w:rsidRPr="004920D9" w:rsidRDefault="002071EF">
      <w:pPr>
        <w:pStyle w:val="21"/>
        <w:rPr>
          <w:rFonts w:ascii="宋体" w:eastAsia="宋体" w:hAnsi="宋体" w:cstheme="minorBidi"/>
          <w:bCs w:val="0"/>
          <w:smallCaps w:val="0"/>
          <w:noProof/>
          <w:sz w:val="21"/>
          <w:szCs w:val="21"/>
        </w:rPr>
      </w:pPr>
      <w:hyperlink w:anchor="_Toc234489930" w:history="1">
        <w:r w:rsidR="004920D9" w:rsidRPr="004920D9">
          <w:rPr>
            <w:rStyle w:val="af5"/>
            <w:rFonts w:ascii="宋体" w:eastAsia="宋体" w:hAnsi="宋体" w:cs="黑体"/>
            <w:noProof/>
            <w:sz w:val="21"/>
            <w:szCs w:val="21"/>
          </w:rPr>
          <w:t>3.1 标准编制原则</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_Toc234489930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- 4 -</w:t>
        </w:r>
        <w:r w:rsidR="004920D9" w:rsidRPr="004920D9">
          <w:rPr>
            <w:rFonts w:ascii="宋体" w:eastAsia="宋体" w:hAnsi="宋体"/>
            <w:noProof/>
            <w:webHidden/>
            <w:sz w:val="21"/>
            <w:szCs w:val="21"/>
          </w:rPr>
          <w:fldChar w:fldCharType="end"/>
        </w:r>
      </w:hyperlink>
    </w:p>
    <w:p w14:paraId="7F2C4148" w14:textId="033F2AFB" w:rsidR="004920D9" w:rsidRPr="004920D9" w:rsidRDefault="002071EF">
      <w:pPr>
        <w:pStyle w:val="21"/>
        <w:rPr>
          <w:rFonts w:ascii="宋体" w:eastAsia="宋体" w:hAnsi="宋体" w:cstheme="minorBidi"/>
          <w:bCs w:val="0"/>
          <w:smallCaps w:val="0"/>
          <w:noProof/>
          <w:sz w:val="21"/>
          <w:szCs w:val="21"/>
        </w:rPr>
      </w:pPr>
      <w:hyperlink w:anchor="_Toc234489931" w:history="1">
        <w:r w:rsidR="004920D9" w:rsidRPr="004920D9">
          <w:rPr>
            <w:rStyle w:val="af5"/>
            <w:rFonts w:ascii="宋体" w:eastAsia="宋体" w:hAnsi="宋体" w:cs="黑体"/>
            <w:noProof/>
            <w:sz w:val="21"/>
            <w:szCs w:val="21"/>
          </w:rPr>
          <w:t>3.2 主要条款说明</w:t>
        </w:r>
        <w:r w:rsidR="004920D9" w:rsidRPr="004920D9">
          <w:rPr>
            <w:rFonts w:ascii="宋体" w:eastAsia="宋体" w:hAnsi="宋体"/>
            <w:noProof/>
            <w:webHidden/>
            <w:sz w:val="21"/>
            <w:szCs w:val="21"/>
          </w:rPr>
          <w:tab/>
        </w:r>
        <w:r w:rsidR="004920D9" w:rsidRPr="004920D9">
          <w:rPr>
            <w:rFonts w:ascii="宋体" w:eastAsia="宋体" w:hAnsi="宋体"/>
            <w:noProof/>
            <w:webHidden/>
            <w:sz w:val="21"/>
            <w:szCs w:val="21"/>
          </w:rPr>
          <w:fldChar w:fldCharType="begin"/>
        </w:r>
        <w:r w:rsidR="004920D9" w:rsidRPr="004920D9">
          <w:rPr>
            <w:rFonts w:ascii="宋体" w:eastAsia="宋体" w:hAnsi="宋体"/>
            <w:noProof/>
            <w:webHidden/>
            <w:sz w:val="21"/>
            <w:szCs w:val="21"/>
          </w:rPr>
          <w:instrText xml:space="preserve"> PAGEREF _Toc234489931 \h </w:instrText>
        </w:r>
        <w:r w:rsidR="004920D9" w:rsidRPr="004920D9">
          <w:rPr>
            <w:rFonts w:ascii="宋体" w:eastAsia="宋体" w:hAnsi="宋体"/>
            <w:noProof/>
            <w:webHidden/>
            <w:sz w:val="21"/>
            <w:szCs w:val="21"/>
          </w:rPr>
        </w:r>
        <w:r w:rsidR="004920D9" w:rsidRPr="004920D9">
          <w:rPr>
            <w:rFonts w:ascii="宋体" w:eastAsia="宋体" w:hAnsi="宋体"/>
            <w:noProof/>
            <w:webHidden/>
            <w:sz w:val="21"/>
            <w:szCs w:val="21"/>
          </w:rPr>
          <w:fldChar w:fldCharType="separate"/>
        </w:r>
        <w:r w:rsidR="004920D9" w:rsidRPr="004920D9">
          <w:rPr>
            <w:rFonts w:ascii="宋体" w:eastAsia="宋体" w:hAnsi="宋体"/>
            <w:noProof/>
            <w:webHidden/>
            <w:sz w:val="21"/>
            <w:szCs w:val="21"/>
          </w:rPr>
          <w:t>- 5 -</w:t>
        </w:r>
        <w:r w:rsidR="004920D9" w:rsidRPr="004920D9">
          <w:rPr>
            <w:rFonts w:ascii="宋体" w:eastAsia="宋体" w:hAnsi="宋体"/>
            <w:noProof/>
            <w:webHidden/>
            <w:sz w:val="21"/>
            <w:szCs w:val="21"/>
          </w:rPr>
          <w:fldChar w:fldCharType="end"/>
        </w:r>
      </w:hyperlink>
    </w:p>
    <w:p w14:paraId="5FD15CB8" w14:textId="1E1219E9" w:rsidR="004920D9" w:rsidRPr="004920D9" w:rsidRDefault="002071EF">
      <w:pPr>
        <w:pStyle w:val="12"/>
        <w:rPr>
          <w:rFonts w:ascii="宋体" w:eastAsia="宋体" w:hAnsi="宋体" w:cstheme="minorBidi"/>
          <w:kern w:val="2"/>
          <w:sz w:val="21"/>
          <w:szCs w:val="21"/>
          <w:lang w:bidi="ar-SA"/>
        </w:rPr>
      </w:pPr>
      <w:hyperlink w:anchor="_Toc234489932" w:history="1">
        <w:r w:rsidR="004920D9" w:rsidRPr="004920D9">
          <w:rPr>
            <w:rStyle w:val="af5"/>
            <w:rFonts w:ascii="宋体" w:eastAsia="宋体" w:hAnsi="宋体"/>
            <w:sz w:val="21"/>
            <w:szCs w:val="21"/>
          </w:rPr>
          <w:t>4 与现行有关法律、法规和强制性标准的关系</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_Toc234489932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- 15 -</w:t>
        </w:r>
        <w:r w:rsidR="004920D9" w:rsidRPr="004920D9">
          <w:rPr>
            <w:rFonts w:ascii="宋体" w:eastAsia="宋体" w:hAnsi="宋体"/>
            <w:webHidden/>
            <w:sz w:val="21"/>
            <w:szCs w:val="21"/>
          </w:rPr>
          <w:fldChar w:fldCharType="end"/>
        </w:r>
      </w:hyperlink>
    </w:p>
    <w:p w14:paraId="7DDED888" w14:textId="54926239" w:rsidR="004920D9" w:rsidRPr="004920D9" w:rsidRDefault="002071EF">
      <w:pPr>
        <w:pStyle w:val="12"/>
        <w:rPr>
          <w:rFonts w:ascii="宋体" w:eastAsia="宋体" w:hAnsi="宋体" w:cstheme="minorBidi"/>
          <w:kern w:val="2"/>
          <w:sz w:val="21"/>
          <w:szCs w:val="21"/>
          <w:lang w:bidi="ar-SA"/>
        </w:rPr>
      </w:pPr>
      <w:hyperlink w:anchor="_Toc234489933" w:history="1">
        <w:r w:rsidR="004920D9" w:rsidRPr="004920D9">
          <w:rPr>
            <w:rStyle w:val="af5"/>
            <w:rFonts w:ascii="宋体" w:eastAsia="宋体" w:hAnsi="宋体"/>
            <w:sz w:val="21"/>
            <w:szCs w:val="21"/>
          </w:rPr>
          <w:t>5 重大分歧依据的处理经过和依据</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_Toc234489933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- 15 -</w:t>
        </w:r>
        <w:r w:rsidR="004920D9" w:rsidRPr="004920D9">
          <w:rPr>
            <w:rFonts w:ascii="宋体" w:eastAsia="宋体" w:hAnsi="宋体"/>
            <w:webHidden/>
            <w:sz w:val="21"/>
            <w:szCs w:val="21"/>
          </w:rPr>
          <w:fldChar w:fldCharType="end"/>
        </w:r>
      </w:hyperlink>
    </w:p>
    <w:p w14:paraId="6925C381" w14:textId="67B25A91" w:rsidR="004920D9" w:rsidRPr="004920D9" w:rsidRDefault="002071EF">
      <w:pPr>
        <w:pStyle w:val="12"/>
        <w:rPr>
          <w:rFonts w:ascii="宋体" w:eastAsia="宋体" w:hAnsi="宋体" w:cstheme="minorBidi"/>
          <w:kern w:val="2"/>
          <w:sz w:val="21"/>
          <w:szCs w:val="21"/>
          <w:lang w:bidi="ar-SA"/>
        </w:rPr>
      </w:pPr>
      <w:hyperlink w:anchor="_Toc234489934" w:history="1">
        <w:r w:rsidR="004920D9" w:rsidRPr="004920D9">
          <w:rPr>
            <w:rStyle w:val="af5"/>
            <w:rFonts w:ascii="宋体" w:eastAsia="宋体" w:hAnsi="宋体"/>
            <w:sz w:val="21"/>
            <w:szCs w:val="21"/>
          </w:rPr>
          <w:t>6 标准实施的环境效益及经济技术分析</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_Toc234489934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- 15 -</w:t>
        </w:r>
        <w:r w:rsidR="004920D9" w:rsidRPr="004920D9">
          <w:rPr>
            <w:rFonts w:ascii="宋体" w:eastAsia="宋体" w:hAnsi="宋体"/>
            <w:webHidden/>
            <w:sz w:val="21"/>
            <w:szCs w:val="21"/>
          </w:rPr>
          <w:fldChar w:fldCharType="end"/>
        </w:r>
      </w:hyperlink>
    </w:p>
    <w:p w14:paraId="68CA0D7E" w14:textId="270A2955" w:rsidR="004920D9" w:rsidRPr="004920D9" w:rsidRDefault="002071EF">
      <w:pPr>
        <w:pStyle w:val="12"/>
        <w:rPr>
          <w:rFonts w:ascii="宋体" w:eastAsia="宋体" w:hAnsi="宋体" w:cstheme="minorBidi"/>
          <w:kern w:val="2"/>
          <w:sz w:val="21"/>
          <w:szCs w:val="21"/>
          <w:lang w:bidi="ar-SA"/>
        </w:rPr>
      </w:pPr>
      <w:hyperlink w:anchor="_Toc234489935" w:history="1">
        <w:r w:rsidR="004920D9" w:rsidRPr="004920D9">
          <w:rPr>
            <w:rStyle w:val="af5"/>
            <w:rFonts w:ascii="宋体" w:eastAsia="宋体" w:hAnsi="宋体"/>
            <w:sz w:val="21"/>
            <w:szCs w:val="21"/>
          </w:rPr>
          <w:t>7 标准实施建议</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_Toc234489935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- 16 -</w:t>
        </w:r>
        <w:r w:rsidR="004920D9" w:rsidRPr="004920D9">
          <w:rPr>
            <w:rFonts w:ascii="宋体" w:eastAsia="宋体" w:hAnsi="宋体"/>
            <w:webHidden/>
            <w:sz w:val="21"/>
            <w:szCs w:val="21"/>
          </w:rPr>
          <w:fldChar w:fldCharType="end"/>
        </w:r>
      </w:hyperlink>
    </w:p>
    <w:p w14:paraId="2A748E9D" w14:textId="685E5B71" w:rsidR="004920D9" w:rsidRPr="004920D9" w:rsidRDefault="002071EF">
      <w:pPr>
        <w:pStyle w:val="12"/>
        <w:rPr>
          <w:rFonts w:ascii="宋体" w:eastAsia="宋体" w:hAnsi="宋体" w:cstheme="minorBidi"/>
          <w:kern w:val="2"/>
          <w:sz w:val="21"/>
          <w:szCs w:val="21"/>
          <w:lang w:bidi="ar-SA"/>
        </w:rPr>
      </w:pPr>
      <w:hyperlink w:anchor="_Toc234489936" w:history="1">
        <w:r w:rsidR="004920D9" w:rsidRPr="004920D9">
          <w:rPr>
            <w:rStyle w:val="af5"/>
            <w:rFonts w:ascii="宋体" w:eastAsia="宋体" w:hAnsi="宋体"/>
            <w:sz w:val="21"/>
            <w:szCs w:val="21"/>
          </w:rPr>
          <w:t>附件一</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_Toc234489936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- 17 -</w:t>
        </w:r>
        <w:r w:rsidR="004920D9" w:rsidRPr="004920D9">
          <w:rPr>
            <w:rFonts w:ascii="宋体" w:eastAsia="宋体" w:hAnsi="宋体"/>
            <w:webHidden/>
            <w:sz w:val="21"/>
            <w:szCs w:val="21"/>
          </w:rPr>
          <w:fldChar w:fldCharType="end"/>
        </w:r>
      </w:hyperlink>
    </w:p>
    <w:p w14:paraId="548FEFD4" w14:textId="4B43D66D" w:rsidR="004920D9" w:rsidRPr="004920D9" w:rsidRDefault="002071EF">
      <w:pPr>
        <w:pStyle w:val="12"/>
        <w:rPr>
          <w:rFonts w:ascii="宋体" w:eastAsia="宋体" w:hAnsi="宋体" w:cstheme="minorBidi"/>
          <w:kern w:val="2"/>
          <w:sz w:val="21"/>
          <w:szCs w:val="21"/>
          <w:lang w:bidi="ar-SA"/>
        </w:rPr>
      </w:pPr>
      <w:hyperlink w:anchor="_Toc234489937" w:history="1">
        <w:r w:rsidR="004920D9" w:rsidRPr="004920D9">
          <w:rPr>
            <w:rStyle w:val="af5"/>
            <w:rFonts w:ascii="宋体" w:eastAsia="宋体" w:hAnsi="宋体"/>
            <w:sz w:val="21"/>
            <w:szCs w:val="21"/>
          </w:rPr>
          <w:t>附件二</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_Toc234489937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- 22 -</w:t>
        </w:r>
        <w:r w:rsidR="004920D9" w:rsidRPr="004920D9">
          <w:rPr>
            <w:rFonts w:ascii="宋体" w:eastAsia="宋体" w:hAnsi="宋体"/>
            <w:webHidden/>
            <w:sz w:val="21"/>
            <w:szCs w:val="21"/>
          </w:rPr>
          <w:fldChar w:fldCharType="end"/>
        </w:r>
      </w:hyperlink>
    </w:p>
    <w:p w14:paraId="30F08D34" w14:textId="7B42FB4C" w:rsidR="004920D9" w:rsidRDefault="002071EF">
      <w:pPr>
        <w:pStyle w:val="12"/>
        <w:rPr>
          <w:rFonts w:asciiTheme="minorHAnsi" w:eastAsiaTheme="minorEastAsia" w:hAnsiTheme="minorHAnsi" w:cstheme="minorBidi"/>
          <w:kern w:val="2"/>
          <w:sz w:val="21"/>
          <w:szCs w:val="22"/>
          <w:lang w:bidi="ar-SA"/>
        </w:rPr>
      </w:pPr>
      <w:hyperlink w:anchor="_Toc234489938" w:history="1">
        <w:r w:rsidR="004920D9" w:rsidRPr="004920D9">
          <w:rPr>
            <w:rStyle w:val="af5"/>
            <w:rFonts w:ascii="宋体" w:eastAsia="宋体" w:hAnsi="宋体"/>
            <w:sz w:val="21"/>
            <w:szCs w:val="21"/>
          </w:rPr>
          <w:t>8 参考文献</w:t>
        </w:r>
        <w:r w:rsidR="004920D9" w:rsidRPr="004920D9">
          <w:rPr>
            <w:rFonts w:ascii="宋体" w:eastAsia="宋体" w:hAnsi="宋体"/>
            <w:webHidden/>
            <w:sz w:val="21"/>
            <w:szCs w:val="21"/>
          </w:rPr>
          <w:tab/>
        </w:r>
        <w:r w:rsidR="004920D9" w:rsidRPr="004920D9">
          <w:rPr>
            <w:rFonts w:ascii="宋体" w:eastAsia="宋体" w:hAnsi="宋体"/>
            <w:webHidden/>
            <w:sz w:val="21"/>
            <w:szCs w:val="21"/>
          </w:rPr>
          <w:fldChar w:fldCharType="begin"/>
        </w:r>
        <w:r w:rsidR="004920D9" w:rsidRPr="004920D9">
          <w:rPr>
            <w:rFonts w:ascii="宋体" w:eastAsia="宋体" w:hAnsi="宋体"/>
            <w:webHidden/>
            <w:sz w:val="21"/>
            <w:szCs w:val="21"/>
          </w:rPr>
          <w:instrText xml:space="preserve"> PAGEREF _Toc234489938 \h </w:instrText>
        </w:r>
        <w:r w:rsidR="004920D9" w:rsidRPr="004920D9">
          <w:rPr>
            <w:rFonts w:ascii="宋体" w:eastAsia="宋体" w:hAnsi="宋体"/>
            <w:webHidden/>
            <w:sz w:val="21"/>
            <w:szCs w:val="21"/>
          </w:rPr>
        </w:r>
        <w:r w:rsidR="004920D9" w:rsidRPr="004920D9">
          <w:rPr>
            <w:rFonts w:ascii="宋体" w:eastAsia="宋体" w:hAnsi="宋体"/>
            <w:webHidden/>
            <w:sz w:val="21"/>
            <w:szCs w:val="21"/>
          </w:rPr>
          <w:fldChar w:fldCharType="separate"/>
        </w:r>
        <w:r w:rsidR="004920D9" w:rsidRPr="004920D9">
          <w:rPr>
            <w:rFonts w:ascii="宋体" w:eastAsia="宋体" w:hAnsi="宋体"/>
            <w:webHidden/>
            <w:sz w:val="21"/>
            <w:szCs w:val="21"/>
          </w:rPr>
          <w:t>- 25 -</w:t>
        </w:r>
        <w:r w:rsidR="004920D9" w:rsidRPr="004920D9">
          <w:rPr>
            <w:rFonts w:ascii="宋体" w:eastAsia="宋体" w:hAnsi="宋体"/>
            <w:webHidden/>
            <w:sz w:val="21"/>
            <w:szCs w:val="21"/>
          </w:rPr>
          <w:fldChar w:fldCharType="end"/>
        </w:r>
      </w:hyperlink>
    </w:p>
    <w:p w14:paraId="5A3A5082" w14:textId="7086C23A" w:rsidR="00550EF0" w:rsidRPr="00BF5185" w:rsidRDefault="004920D9" w:rsidP="00317496">
      <w:pPr>
        <w:spacing w:line="360" w:lineRule="exact"/>
        <w:rPr>
          <w:rFonts w:eastAsia="黑体"/>
          <w:b/>
          <w:bCs/>
          <w:sz w:val="20"/>
          <w:szCs w:val="20"/>
          <w:lang w:val="zh-CN"/>
        </w:rPr>
        <w:sectPr w:rsidR="00550EF0" w:rsidRPr="00BF5185" w:rsidSect="004B4B2B">
          <w:footerReference w:type="default" r:id="rId10"/>
          <w:pgSz w:w="11910" w:h="16840"/>
          <w:pgMar w:top="1440" w:right="1800" w:bottom="1440" w:left="1800" w:header="1448" w:footer="1137" w:gutter="0"/>
          <w:pgNumType w:fmt="lowerRoman" w:start="1"/>
          <w:cols w:space="720"/>
        </w:sectPr>
      </w:pPr>
      <w:r>
        <w:rPr>
          <w:noProof/>
          <w:kern w:val="0"/>
          <w:szCs w:val="21"/>
          <w:lang w:bidi="zh-CN"/>
        </w:rPr>
        <w:fldChar w:fldCharType="end"/>
      </w:r>
    </w:p>
    <w:p w14:paraId="38A1E631" w14:textId="11FAB68F" w:rsidR="00425E66" w:rsidRPr="00BF5185" w:rsidRDefault="00425E66" w:rsidP="000B6CAF">
      <w:pPr>
        <w:spacing w:line="360" w:lineRule="auto"/>
        <w:rPr>
          <w:b/>
          <w:bCs/>
          <w:lang w:val="zh-CN"/>
        </w:rPr>
        <w:sectPr w:rsidR="00425E66" w:rsidRPr="00BF5185" w:rsidSect="004B4B2B">
          <w:footerReference w:type="default" r:id="rId11"/>
          <w:pgSz w:w="11910" w:h="16840"/>
          <w:pgMar w:top="1440" w:right="1800" w:bottom="1440" w:left="1800" w:header="1448" w:footer="1137" w:gutter="0"/>
          <w:pgNumType w:fmt="numberInDash" w:start="1"/>
          <w:cols w:space="720"/>
        </w:sectPr>
      </w:pPr>
    </w:p>
    <w:p w14:paraId="3608A6EA" w14:textId="53CEBAA6" w:rsidR="00425E66" w:rsidRPr="00BF5185" w:rsidRDefault="00425E66" w:rsidP="003769B8">
      <w:pPr>
        <w:spacing w:line="440" w:lineRule="exact"/>
        <w:jc w:val="center"/>
        <w:rPr>
          <w:rFonts w:eastAsia="黑体"/>
          <w:bCs/>
          <w:sz w:val="32"/>
          <w:szCs w:val="32"/>
        </w:rPr>
      </w:pPr>
      <w:bookmarkStart w:id="1" w:name="_Toc73350786"/>
      <w:r w:rsidRPr="00BF5185">
        <w:rPr>
          <w:rFonts w:eastAsia="黑体" w:hint="eastAsia"/>
          <w:bCs/>
          <w:sz w:val="32"/>
          <w:szCs w:val="32"/>
        </w:rPr>
        <w:lastRenderedPageBreak/>
        <w:t>《</w:t>
      </w:r>
      <w:r w:rsidR="00347421" w:rsidRPr="00347421">
        <w:rPr>
          <w:rFonts w:eastAsia="黑体" w:hint="eastAsia"/>
          <w:bCs/>
          <w:sz w:val="32"/>
          <w:szCs w:val="32"/>
        </w:rPr>
        <w:t>水体中抗生素环境风险评估</w:t>
      </w:r>
      <w:r w:rsidR="00347421" w:rsidRPr="00347421">
        <w:rPr>
          <w:rFonts w:eastAsia="黑体" w:hint="eastAsia"/>
          <w:bCs/>
          <w:sz w:val="32"/>
          <w:szCs w:val="32"/>
        </w:rPr>
        <w:t xml:space="preserve"> </w:t>
      </w:r>
      <w:r w:rsidR="0013496D">
        <w:rPr>
          <w:rFonts w:eastAsia="黑体" w:hint="eastAsia"/>
          <w:bCs/>
          <w:sz w:val="32"/>
          <w:szCs w:val="32"/>
        </w:rPr>
        <w:t>最小选择浓度</w:t>
      </w:r>
      <w:r w:rsidR="00347421" w:rsidRPr="00347421">
        <w:rPr>
          <w:rFonts w:eastAsia="黑体" w:hint="eastAsia"/>
          <w:bCs/>
          <w:sz w:val="32"/>
          <w:szCs w:val="32"/>
        </w:rPr>
        <w:t>(MSC)</w:t>
      </w:r>
      <w:r w:rsidR="00347421" w:rsidRPr="00347421">
        <w:rPr>
          <w:rFonts w:eastAsia="黑体" w:hint="eastAsia"/>
          <w:bCs/>
          <w:sz w:val="32"/>
          <w:szCs w:val="32"/>
        </w:rPr>
        <w:t>的测定</w:t>
      </w:r>
      <w:r w:rsidR="00347421" w:rsidRPr="00347421">
        <w:rPr>
          <w:rFonts w:eastAsia="黑体" w:hint="eastAsia"/>
          <w:bCs/>
          <w:sz w:val="32"/>
          <w:szCs w:val="32"/>
        </w:rPr>
        <w:t xml:space="preserve"> </w:t>
      </w:r>
      <w:r w:rsidR="00347421" w:rsidRPr="00347421">
        <w:rPr>
          <w:rFonts w:eastAsia="黑体" w:hint="eastAsia"/>
          <w:bCs/>
          <w:sz w:val="32"/>
          <w:szCs w:val="32"/>
        </w:rPr>
        <w:t>细菌群落耐药率法</w:t>
      </w:r>
      <w:r w:rsidRPr="00BF5185">
        <w:rPr>
          <w:rFonts w:eastAsia="黑体" w:hint="eastAsia"/>
          <w:bCs/>
          <w:sz w:val="32"/>
          <w:szCs w:val="32"/>
        </w:rPr>
        <w:t>》</w:t>
      </w:r>
      <w:r w:rsidRPr="00BF5185">
        <w:rPr>
          <w:rFonts w:eastAsia="黑体"/>
          <w:bCs/>
          <w:sz w:val="32"/>
          <w:szCs w:val="32"/>
        </w:rPr>
        <w:t>编制说明</w:t>
      </w:r>
    </w:p>
    <w:p w14:paraId="04F832EE" w14:textId="77777777" w:rsidR="00AC54F2" w:rsidRPr="00BF5185" w:rsidRDefault="00DA1DEA" w:rsidP="003769B8">
      <w:pPr>
        <w:pStyle w:val="af3"/>
        <w:spacing w:line="440" w:lineRule="exact"/>
        <w:jc w:val="both"/>
        <w:rPr>
          <w:rFonts w:ascii="黑体" w:eastAsia="黑体" w:hAnsi="黑体"/>
          <w:b w:val="0"/>
          <w:sz w:val="21"/>
          <w:szCs w:val="21"/>
        </w:rPr>
      </w:pPr>
      <w:bookmarkStart w:id="2" w:name="_Toc234489921"/>
      <w:r w:rsidRPr="00BF5185">
        <w:rPr>
          <w:rFonts w:ascii="黑体" w:eastAsia="黑体" w:hAnsi="黑体" w:hint="eastAsia"/>
          <w:b w:val="0"/>
          <w:sz w:val="21"/>
          <w:szCs w:val="21"/>
        </w:rPr>
        <w:t xml:space="preserve">1 </w:t>
      </w:r>
      <w:r w:rsidR="005A5F6A" w:rsidRPr="00BF5185">
        <w:rPr>
          <w:rFonts w:ascii="黑体" w:eastAsia="黑体" w:hAnsi="黑体"/>
          <w:b w:val="0"/>
          <w:sz w:val="21"/>
          <w:szCs w:val="21"/>
        </w:rPr>
        <w:t>制定标准的背景、目的和意义</w:t>
      </w:r>
      <w:bookmarkEnd w:id="1"/>
      <w:bookmarkEnd w:id="2"/>
    </w:p>
    <w:p w14:paraId="40C698B9" w14:textId="77777777" w:rsidR="005A5F6A" w:rsidRPr="00BF5185" w:rsidRDefault="005A5F6A" w:rsidP="003769B8">
      <w:pPr>
        <w:spacing w:beforeLines="50" w:before="120" w:afterLines="50" w:after="120" w:line="440" w:lineRule="exact"/>
        <w:outlineLvl w:val="1"/>
        <w:rPr>
          <w:rFonts w:ascii="黑体" w:eastAsia="黑体" w:hAnsi="黑体"/>
          <w:szCs w:val="21"/>
        </w:rPr>
      </w:pPr>
      <w:bookmarkStart w:id="3" w:name="_Toc234489922"/>
      <w:r w:rsidRPr="00BF5185">
        <w:rPr>
          <w:rFonts w:ascii="黑体" w:eastAsia="黑体" w:hAnsi="黑体"/>
          <w:szCs w:val="21"/>
        </w:rPr>
        <w:t>1</w:t>
      </w:r>
      <w:r w:rsidR="00DA1DEA" w:rsidRPr="00BF5185">
        <w:rPr>
          <w:rFonts w:ascii="黑体" w:eastAsia="黑体" w:hAnsi="黑体" w:hint="eastAsia"/>
          <w:szCs w:val="21"/>
        </w:rPr>
        <w:t>.</w:t>
      </w:r>
      <w:r w:rsidR="00DA1DEA" w:rsidRPr="00BF5185">
        <w:rPr>
          <w:rFonts w:ascii="黑体" w:eastAsia="黑体" w:hAnsi="黑体"/>
          <w:szCs w:val="21"/>
        </w:rPr>
        <w:t xml:space="preserve">1 </w:t>
      </w:r>
      <w:r w:rsidRPr="00BF5185">
        <w:rPr>
          <w:rFonts w:ascii="黑体" w:eastAsia="黑体" w:hAnsi="黑体"/>
          <w:szCs w:val="21"/>
        </w:rPr>
        <w:t>背景</w:t>
      </w:r>
      <w:bookmarkEnd w:id="3"/>
    </w:p>
    <w:p w14:paraId="789D405D" w14:textId="6D2C3E59" w:rsidR="00365A86" w:rsidRPr="00D034B3" w:rsidRDefault="00365A86" w:rsidP="00D034B3">
      <w:pPr>
        <w:spacing w:line="360" w:lineRule="auto"/>
        <w:ind w:firstLineChars="200" w:firstLine="420"/>
        <w:rPr>
          <w:szCs w:val="21"/>
        </w:rPr>
      </w:pPr>
      <w:r w:rsidRPr="00D034B3">
        <w:rPr>
          <w:szCs w:val="21"/>
        </w:rPr>
        <w:t>抗生素的大量使用和不合理排放导致环境中抗生素残留及细菌耐药性持续增加，已成为全球公共卫生和生态环境领域的重要挑战。世界卫生组织（</w:t>
      </w:r>
      <w:r w:rsidRPr="00D034B3">
        <w:rPr>
          <w:szCs w:val="21"/>
        </w:rPr>
        <w:t>WHO</w:t>
      </w:r>
      <w:r w:rsidRPr="00D034B3">
        <w:rPr>
          <w:szCs w:val="21"/>
        </w:rPr>
        <w:t>）已将抗微生物耐药性（</w:t>
      </w:r>
      <w:r w:rsidRPr="00D034B3">
        <w:rPr>
          <w:szCs w:val="21"/>
        </w:rPr>
        <w:t>Antimicrobial Resistance, AMR</w:t>
      </w:r>
      <w:r w:rsidRPr="00D034B3">
        <w:rPr>
          <w:szCs w:val="21"/>
        </w:rPr>
        <w:t>）列为全球重大健康威胁之一。由全球抗菌药物耐药性合作组织（</w:t>
      </w:r>
      <w:r w:rsidRPr="00D034B3">
        <w:rPr>
          <w:szCs w:val="21"/>
        </w:rPr>
        <w:t>Antimicrobial Resistance Collaborators</w:t>
      </w:r>
      <w:r w:rsidRPr="00D034B3">
        <w:rPr>
          <w:szCs w:val="21"/>
        </w:rPr>
        <w:t>）发表在《</w:t>
      </w:r>
      <w:r w:rsidRPr="00D034B3">
        <w:rPr>
          <w:szCs w:val="21"/>
        </w:rPr>
        <w:t>Lancet</w:t>
      </w:r>
      <w:r w:rsidRPr="00D034B3">
        <w:rPr>
          <w:szCs w:val="21"/>
        </w:rPr>
        <w:t>》上的研究显示，</w:t>
      </w:r>
      <w:r w:rsidRPr="00D034B3">
        <w:rPr>
          <w:szCs w:val="21"/>
        </w:rPr>
        <w:t>2019</w:t>
      </w:r>
      <w:r w:rsidRPr="00D034B3">
        <w:rPr>
          <w:szCs w:val="21"/>
        </w:rPr>
        <w:t>年全球约</w:t>
      </w:r>
      <w:r w:rsidRPr="00D034B3">
        <w:rPr>
          <w:szCs w:val="21"/>
        </w:rPr>
        <w:t>495</w:t>
      </w:r>
      <w:r w:rsidRPr="00D034B3">
        <w:rPr>
          <w:szCs w:val="21"/>
        </w:rPr>
        <w:t>万人死亡与细菌耐药相关，其中约</w:t>
      </w:r>
      <w:r w:rsidRPr="00D034B3">
        <w:rPr>
          <w:szCs w:val="21"/>
        </w:rPr>
        <w:t>127</w:t>
      </w:r>
      <w:r w:rsidRPr="00D034B3">
        <w:rPr>
          <w:szCs w:val="21"/>
        </w:rPr>
        <w:t>万人可直接归因于细菌耐药</w:t>
      </w:r>
      <w:r w:rsidR="000F0E75" w:rsidRPr="00BF5185">
        <w:rPr>
          <w:szCs w:val="21"/>
        </w:rPr>
        <w:fldChar w:fldCharType="begin">
          <w:fldData xml:space="preserve">PEVuZE5vdGU+PENpdGU+PEF1dGhvcj5NdXJyYXk8L0F1dGhvcj48WWVhcj4yMDIyPC9ZZWFyPjxS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=
</w:fldData>
        </w:fldChar>
      </w:r>
      <w:r w:rsidR="000F0E75">
        <w:rPr>
          <w:szCs w:val="21"/>
        </w:rPr>
        <w:instrText xml:space="preserve"> ADDIN EN.CITE </w:instrText>
      </w:r>
      <w:r w:rsidR="000F0E75">
        <w:rPr>
          <w:szCs w:val="21"/>
        </w:rPr>
        <w:fldChar w:fldCharType="begin">
          <w:fldData xml:space="preserve">PEVuZE5vdGU+PENpdGU+PEF1dGhvcj5NdXJyYXk8L0F1dGhvcj48WWVhcj4yMDIyPC9ZZWFyPjxS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=
</w:fldData>
        </w:fldChar>
      </w:r>
      <w:r w:rsidR="000F0E75">
        <w:rPr>
          <w:szCs w:val="21"/>
        </w:rPr>
        <w:instrText xml:space="preserve"> ADDIN EN.CITE.DATA </w:instrText>
      </w:r>
      <w:r w:rsidR="000F0E75">
        <w:rPr>
          <w:szCs w:val="21"/>
        </w:rPr>
      </w:r>
      <w:r w:rsidR="000F0E75">
        <w:rPr>
          <w:szCs w:val="21"/>
        </w:rPr>
        <w:fldChar w:fldCharType="end"/>
      </w:r>
      <w:r w:rsidR="000F0E75" w:rsidRPr="00BF5185">
        <w:rPr>
          <w:szCs w:val="21"/>
        </w:rPr>
      </w:r>
      <w:r w:rsidR="000F0E75" w:rsidRPr="00BF5185">
        <w:rPr>
          <w:szCs w:val="21"/>
        </w:rPr>
        <w:fldChar w:fldCharType="separate"/>
      </w:r>
      <w:r w:rsidR="000F0E75">
        <w:rPr>
          <w:noProof/>
          <w:szCs w:val="21"/>
        </w:rPr>
        <w:t>[1]</w:t>
      </w:r>
      <w:r w:rsidR="000F0E75" w:rsidRPr="00BF5185">
        <w:rPr>
          <w:szCs w:val="21"/>
        </w:rPr>
        <w:fldChar w:fldCharType="end"/>
      </w:r>
      <w:r w:rsidRPr="00D034B3">
        <w:rPr>
          <w:szCs w:val="21"/>
        </w:rPr>
        <w:t>。英国政府组织开展的耐药性评估研究进一步预测，若缺乏有效干预，到</w:t>
      </w:r>
      <w:r w:rsidRPr="00D034B3">
        <w:rPr>
          <w:szCs w:val="21"/>
        </w:rPr>
        <w:t>2050</w:t>
      </w:r>
      <w:r w:rsidRPr="00D034B3">
        <w:rPr>
          <w:szCs w:val="21"/>
        </w:rPr>
        <w:t>年细菌耐药可能成为全球主要死亡风险之一</w:t>
      </w:r>
      <w:r w:rsidR="000F0E75" w:rsidRPr="00BF5185">
        <w:rPr>
          <w:szCs w:val="21"/>
        </w:rPr>
        <w:fldChar w:fldCharType="begin"/>
      </w:r>
      <w:r w:rsidR="000F0E75">
        <w:rPr>
          <w:szCs w:val="21"/>
        </w:rPr>
        <w:instrText xml:space="preserve"> ADDIN EN.CITE &lt;EndNote&gt;&lt;Cite&gt;&lt;Author&gt;O’Neill&lt;/Author&gt;&lt;Year&gt;2014&lt;/Year&gt;&lt;RecNum&gt;2002&lt;/RecNum&gt;&lt;DisplayText&gt;[2]&lt;/DisplayText&gt;&lt;record&gt;&lt;rec-number&gt;2002&lt;/rec-number&gt;&lt;foreign-keys&gt;&lt;key app="EN" db-id="s9tvsw52g0zxxge0dd7ppxeefz5afr2dp52p" timestamp="1582058820"&gt;2002&lt;/key&gt;&lt;/foreign-keys&gt;&lt;ref-type name="Report"&gt;27&lt;/ref-type&gt;&lt;contributors&gt;&lt;authors&gt;&lt;author&gt;O’Neill, J&lt;/author&gt;&lt;/authors&gt;&lt;tertiary-authors&gt;&lt;author&gt;HM Government: London&lt;/author&gt;&lt;/tertiary-authors&gt;&lt;/contributors&gt;&lt;titles&gt;&lt;title&gt;Review on antimicrobial resistance: tackling a crisis for the health and wealth of nations&lt;/title&gt;&lt;/titles&gt;&lt;dates&gt;&lt;year&gt;2014&lt;/year&gt;&lt;/dates&gt;&lt;publisher&gt;HM Government: London&lt;/publisher&gt;&lt;urls&gt;&lt;/urls&gt;&lt;/record&gt;&lt;/Cite&gt;&lt;/EndNote&gt;</w:instrText>
      </w:r>
      <w:r w:rsidR="000F0E75" w:rsidRPr="00BF5185">
        <w:rPr>
          <w:szCs w:val="21"/>
        </w:rPr>
        <w:fldChar w:fldCharType="separate"/>
      </w:r>
      <w:r w:rsidR="000F0E75">
        <w:rPr>
          <w:noProof/>
          <w:szCs w:val="21"/>
        </w:rPr>
        <w:t>[2]</w:t>
      </w:r>
      <w:r w:rsidR="000F0E75" w:rsidRPr="00BF5185">
        <w:rPr>
          <w:szCs w:val="21"/>
        </w:rPr>
        <w:fldChar w:fldCharType="end"/>
      </w:r>
      <w:r w:rsidR="00937D32" w:rsidRPr="00D034B3">
        <w:rPr>
          <w:szCs w:val="21"/>
        </w:rPr>
        <w:t>。</w:t>
      </w:r>
    </w:p>
    <w:p w14:paraId="50747A4A" w14:textId="6BDFB2E8" w:rsidR="004A258A" w:rsidRPr="00D034B3" w:rsidRDefault="00365A86" w:rsidP="00D034B3">
      <w:pPr>
        <w:spacing w:line="360" w:lineRule="auto"/>
        <w:ind w:firstLineChars="200" w:firstLine="420"/>
        <w:rPr>
          <w:szCs w:val="21"/>
        </w:rPr>
      </w:pPr>
      <w:r w:rsidRPr="00D034B3">
        <w:rPr>
          <w:szCs w:val="21"/>
        </w:rPr>
        <w:t>抗生素进入环境后，大部分以原形或活性代谢产物形式排出体外，并通过生活污水、医疗废水、养殖废弃物及制药废水等途径进入水环境。由于现有污水处理工艺对部分抗生素去除能力有限，污水处理厂尾水、农业径流及养殖排放成为水环境抗生素的重要输入途径。研究表明，我国抗生素生产和使用量长期处于全球较高水平</w:t>
      </w:r>
      <w:r w:rsidR="00020292">
        <w:rPr>
          <w:szCs w:val="21"/>
        </w:rPr>
        <w:fldChar w:fldCharType="begin"/>
      </w:r>
      <w:r w:rsidR="000F0E75">
        <w:rPr>
          <w:szCs w:val="21"/>
        </w:rPr>
        <w:instrText xml:space="preserve"> ADDIN EN.CITE &lt;EndNote&gt;&lt;Cite&gt;&lt;Author&gt;Liu&lt;/Author&gt;&lt;Year&gt;2025&lt;/Year&gt;&lt;RecNum&gt;1&lt;/RecNum&gt;&lt;DisplayText&gt;[3]&lt;/DisplayText&gt;&lt;record&gt;&lt;rec-number&gt;1&lt;/rec-number&gt;&lt;foreign-keys&gt;&lt;key app="EN" db-id="xsvtpzrr7vfvefewa2d52zrqf99afvdewrxe" timestamp="1783329909"&gt;1&lt;/key&gt;&lt;/foreign-keys&gt;&lt;ref-type name="Journal Article"&gt;17&lt;/ref-type&gt;&lt;contributors&gt;&lt;authors&gt;&lt;author&gt;Liu, Xin-Yu&lt;/author&gt;&lt;author&gt;Gbadegesin, Lanre Anthony&lt;/author&gt;&lt;author&gt;He, Yang&lt;/author&gt;&lt;author&gt;Zhang, Jian-Qiang&lt;/author&gt;&lt;author&gt;Liu, Chen&lt;/author&gt;&lt;/authors&gt;&lt;/contributors&gt;&lt;titles&gt;&lt;title&gt;Plot-scale observation on antibiotics migration in surface runoff and leachate from chicken-raising orchard of Entisol during rainstorms&lt;/title&gt;&lt;secondary-title&gt;Ecotoxicology and Environmental Safety&lt;/secondary-title&gt;&lt;/titles&gt;&lt;periodical&gt;&lt;full-title&gt;Ecotoxicology and Environmental Safety&lt;/full-title&gt;&lt;/periodical&gt;&lt;pages&gt;118105&lt;/pages&gt;&lt;volume&gt;294&lt;/volume&gt;&lt;keywords&gt;&lt;keyword&gt;Antibiotics&lt;/keyword&gt;&lt;keyword&gt;Chicken manure&lt;/keyword&gt;&lt;keyword&gt;Flux&lt;/keyword&gt;&lt;keyword&gt;Leachate&lt;/keyword&gt;&lt;keyword&gt;Surface runoff&lt;/keyword&gt;&lt;/keywords&gt;&lt;dates&gt;&lt;year&gt;2025&lt;/year&gt;&lt;pub-dates&gt;&lt;date&gt;2025/04/01/&lt;/date&gt;&lt;/pub-dates&gt;&lt;/dates&gt;&lt;isbn&gt;0147-6513&lt;/isbn&gt;&lt;urls&gt;&lt;related-urls&gt;&lt;url&gt;https://www.sciencedirect.com/science/article/pii/S0147651325004415&lt;/url&gt;&lt;/related-urls&gt;&lt;/urls&gt;&lt;electronic-resource-num&gt;https://doi.org/10.1016/j.ecoenv.2025.118105&lt;/electronic-resource-num&gt;&lt;/record&gt;&lt;/Cite&gt;&lt;/EndNote&gt;</w:instrText>
      </w:r>
      <w:r w:rsidR="00020292">
        <w:rPr>
          <w:szCs w:val="21"/>
        </w:rPr>
        <w:fldChar w:fldCharType="separate"/>
      </w:r>
      <w:r w:rsidR="000F0E75">
        <w:rPr>
          <w:noProof/>
          <w:szCs w:val="21"/>
        </w:rPr>
        <w:t>[3]</w:t>
      </w:r>
      <w:r w:rsidR="00020292">
        <w:rPr>
          <w:szCs w:val="21"/>
        </w:rPr>
        <w:fldChar w:fldCharType="end"/>
      </w:r>
      <w:r w:rsidRPr="00D034B3">
        <w:rPr>
          <w:szCs w:val="21"/>
        </w:rPr>
        <w:t>，导致主要流域水环境中普遍存在抗生素残留现象。基于抗生素使用和排放清单的研究显示，我国多个流域均可检测到不同程度的抗生素污染</w:t>
      </w:r>
      <w:r w:rsidR="000F0E75" w:rsidRPr="00BF5185">
        <w:rPr>
          <w:szCs w:val="21"/>
        </w:rPr>
        <w:fldChar w:fldCharType="begin">
          <w:fldData xml:space="preserve">PEVuZE5vdGU+PENpdGU+PEF1dGhvcj5IZTwvQXV0aG9yPjxZZWFyPjIwMjA8L1llYXI+PFJlY051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</w:fldData>
        </w:fldChar>
      </w:r>
      <w:r w:rsidR="000F0E75">
        <w:rPr>
          <w:szCs w:val="21"/>
        </w:rPr>
        <w:instrText xml:space="preserve"> ADDIN EN.CITE </w:instrText>
      </w:r>
      <w:r w:rsidR="000F0E75">
        <w:rPr>
          <w:szCs w:val="21"/>
        </w:rPr>
        <w:fldChar w:fldCharType="begin">
          <w:fldData xml:space="preserve">PEVuZE5vdGU+PENpdGU+PEF1dGhvcj5IZTwvQXV0aG9yPjxZZWFyPjIwMjA8L1llYXI+PFJlY051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</w:fldData>
        </w:fldChar>
      </w:r>
      <w:r w:rsidR="000F0E75">
        <w:rPr>
          <w:szCs w:val="21"/>
        </w:rPr>
        <w:instrText xml:space="preserve"> ADDIN EN.CITE.DATA </w:instrText>
      </w:r>
      <w:r w:rsidR="000F0E75">
        <w:rPr>
          <w:szCs w:val="21"/>
        </w:rPr>
      </w:r>
      <w:r w:rsidR="000F0E75">
        <w:rPr>
          <w:szCs w:val="21"/>
        </w:rPr>
        <w:fldChar w:fldCharType="end"/>
      </w:r>
      <w:r w:rsidR="000F0E75" w:rsidRPr="00BF5185">
        <w:rPr>
          <w:szCs w:val="21"/>
        </w:rPr>
      </w:r>
      <w:r w:rsidR="000F0E75" w:rsidRPr="00BF5185">
        <w:rPr>
          <w:szCs w:val="21"/>
        </w:rPr>
        <w:fldChar w:fldCharType="separate"/>
      </w:r>
      <w:r w:rsidR="000F0E75">
        <w:rPr>
          <w:noProof/>
          <w:szCs w:val="21"/>
        </w:rPr>
        <w:t>[4, 5]</w:t>
      </w:r>
      <w:r w:rsidR="000F0E75" w:rsidRPr="00BF5185">
        <w:rPr>
          <w:szCs w:val="21"/>
        </w:rPr>
        <w:fldChar w:fldCharType="end"/>
      </w:r>
      <w:r w:rsidR="00DD3642" w:rsidRPr="00D034B3">
        <w:rPr>
          <w:szCs w:val="21"/>
        </w:rPr>
        <w:t>。</w:t>
      </w:r>
    </w:p>
    <w:p w14:paraId="15BB00A1" w14:textId="7F367939" w:rsidR="00D25545" w:rsidRPr="00D034B3" w:rsidRDefault="00365A86" w:rsidP="00D034B3">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D034B3">
        <w:rPr>
          <w:rFonts w:ascii="Times New Roman" w:hAnsi="Times New Roman" w:cs="Times New Roman"/>
          <w:sz w:val="21"/>
          <w:szCs w:val="21"/>
        </w:rPr>
        <w:t>针对环境抗生素风险，各国已建立了一系列风险评价体系。传统风险评价方法主要基于持久性（</w:t>
      </w:r>
      <w:r w:rsidRPr="00D034B3">
        <w:rPr>
          <w:rFonts w:ascii="Times New Roman" w:hAnsi="Times New Roman" w:cs="Times New Roman"/>
          <w:sz w:val="21"/>
          <w:szCs w:val="21"/>
        </w:rPr>
        <w:t>Persistence</w:t>
      </w:r>
      <w:r w:rsidRPr="00D034B3">
        <w:rPr>
          <w:rFonts w:ascii="Times New Roman" w:hAnsi="Times New Roman" w:cs="Times New Roman"/>
          <w:sz w:val="21"/>
          <w:szCs w:val="21"/>
        </w:rPr>
        <w:t>）、生物累积性（</w:t>
      </w:r>
      <w:r w:rsidRPr="00D034B3">
        <w:rPr>
          <w:rFonts w:ascii="Times New Roman" w:hAnsi="Times New Roman" w:cs="Times New Roman"/>
          <w:sz w:val="21"/>
          <w:szCs w:val="21"/>
        </w:rPr>
        <w:t>Bioaccumulation</w:t>
      </w:r>
      <w:r w:rsidRPr="00D034B3">
        <w:rPr>
          <w:rFonts w:ascii="Times New Roman" w:hAnsi="Times New Roman" w:cs="Times New Roman"/>
          <w:sz w:val="21"/>
          <w:szCs w:val="21"/>
        </w:rPr>
        <w:t>）和毒性（</w:t>
      </w:r>
      <w:r w:rsidRPr="00D034B3">
        <w:rPr>
          <w:rFonts w:ascii="Times New Roman" w:hAnsi="Times New Roman" w:cs="Times New Roman"/>
          <w:sz w:val="21"/>
          <w:szCs w:val="21"/>
        </w:rPr>
        <w:t>Toxicity</w:t>
      </w:r>
      <w:r w:rsidRPr="00D034B3">
        <w:rPr>
          <w:rFonts w:ascii="Times New Roman" w:hAnsi="Times New Roman" w:cs="Times New Roman"/>
          <w:sz w:val="21"/>
          <w:szCs w:val="21"/>
        </w:rPr>
        <w:t>）（</w:t>
      </w:r>
      <w:r w:rsidRPr="00D034B3">
        <w:rPr>
          <w:rFonts w:ascii="Times New Roman" w:hAnsi="Times New Roman" w:cs="Times New Roman"/>
          <w:sz w:val="21"/>
          <w:szCs w:val="21"/>
        </w:rPr>
        <w:t>P-B-T</w:t>
      </w:r>
      <w:r w:rsidRPr="00D034B3">
        <w:rPr>
          <w:rFonts w:ascii="Times New Roman" w:hAnsi="Times New Roman" w:cs="Times New Roman"/>
          <w:sz w:val="21"/>
          <w:szCs w:val="21"/>
        </w:rPr>
        <w:t>）框架，通过环境暴露浓度（</w:t>
      </w:r>
      <w:r w:rsidRPr="00D034B3">
        <w:rPr>
          <w:rFonts w:ascii="Times New Roman" w:hAnsi="Times New Roman" w:cs="Times New Roman"/>
          <w:sz w:val="21"/>
          <w:szCs w:val="21"/>
        </w:rPr>
        <w:t>MEC</w:t>
      </w:r>
      <w:r w:rsidRPr="00D034B3">
        <w:rPr>
          <w:rFonts w:ascii="Times New Roman" w:hAnsi="Times New Roman" w:cs="Times New Roman"/>
          <w:sz w:val="21"/>
          <w:szCs w:val="21"/>
        </w:rPr>
        <w:t>或</w:t>
      </w:r>
      <w:r w:rsidRPr="00D034B3">
        <w:rPr>
          <w:rFonts w:ascii="Times New Roman" w:hAnsi="Times New Roman" w:cs="Times New Roman"/>
          <w:sz w:val="21"/>
          <w:szCs w:val="21"/>
        </w:rPr>
        <w:t>PEC</w:t>
      </w:r>
      <w:r w:rsidRPr="00D034B3">
        <w:rPr>
          <w:rFonts w:ascii="Times New Roman" w:hAnsi="Times New Roman" w:cs="Times New Roman"/>
          <w:sz w:val="21"/>
          <w:szCs w:val="21"/>
        </w:rPr>
        <w:t>）与预测无效应浓度（</w:t>
      </w:r>
      <w:r w:rsidRPr="00D034B3">
        <w:rPr>
          <w:rFonts w:ascii="Times New Roman" w:hAnsi="Times New Roman" w:cs="Times New Roman"/>
          <w:sz w:val="21"/>
          <w:szCs w:val="21"/>
        </w:rPr>
        <w:t>PNEC</w:t>
      </w:r>
      <w:r w:rsidRPr="00D034B3">
        <w:rPr>
          <w:rFonts w:ascii="Times New Roman" w:hAnsi="Times New Roman" w:cs="Times New Roman"/>
          <w:sz w:val="21"/>
          <w:szCs w:val="21"/>
        </w:rPr>
        <w:t>）的比较，计算风险商（</w:t>
      </w:r>
      <w:r w:rsidRPr="00D034B3">
        <w:rPr>
          <w:rFonts w:ascii="Times New Roman" w:hAnsi="Times New Roman" w:cs="Times New Roman"/>
          <w:sz w:val="21"/>
          <w:szCs w:val="21"/>
        </w:rPr>
        <w:t>RQ</w:t>
      </w:r>
      <w:r w:rsidRPr="00D034B3">
        <w:rPr>
          <w:rFonts w:ascii="Times New Roman" w:hAnsi="Times New Roman" w:cs="Times New Roman"/>
          <w:sz w:val="21"/>
          <w:szCs w:val="21"/>
        </w:rPr>
        <w:t>）评价环境风险。美国</w:t>
      </w:r>
      <w:r w:rsidRPr="00D034B3">
        <w:rPr>
          <w:rFonts w:ascii="Times New Roman" w:hAnsi="Times New Roman" w:cs="Times New Roman"/>
          <w:sz w:val="21"/>
          <w:szCs w:val="21"/>
        </w:rPr>
        <w:t>FDA</w:t>
      </w:r>
      <w:r w:rsidRPr="00D034B3">
        <w:rPr>
          <w:rFonts w:ascii="Times New Roman" w:hAnsi="Times New Roman" w:cs="Times New Roman"/>
          <w:sz w:val="21"/>
          <w:szCs w:val="21"/>
        </w:rPr>
        <w:t>于</w:t>
      </w:r>
      <w:r w:rsidRPr="00D034B3">
        <w:rPr>
          <w:rFonts w:ascii="Times New Roman" w:hAnsi="Times New Roman" w:cs="Times New Roman"/>
          <w:sz w:val="21"/>
          <w:szCs w:val="21"/>
        </w:rPr>
        <w:t>1998</w:t>
      </w:r>
      <w:r w:rsidRPr="00D034B3">
        <w:rPr>
          <w:rFonts w:ascii="Times New Roman" w:hAnsi="Times New Roman" w:cs="Times New Roman"/>
          <w:sz w:val="21"/>
          <w:szCs w:val="21"/>
        </w:rPr>
        <w:t>年发布《人用药品及生物制品申请环境评估指南》，提出当药物环境浓度超过一定阈值时需开展基于</w:t>
      </w:r>
      <w:r w:rsidRPr="00D034B3">
        <w:rPr>
          <w:rFonts w:ascii="Times New Roman" w:hAnsi="Times New Roman" w:cs="Times New Roman"/>
          <w:sz w:val="21"/>
          <w:szCs w:val="21"/>
        </w:rPr>
        <w:t>P-B-T</w:t>
      </w:r>
      <w:r w:rsidRPr="00D034B3">
        <w:rPr>
          <w:rFonts w:ascii="Times New Roman" w:hAnsi="Times New Roman" w:cs="Times New Roman"/>
          <w:sz w:val="21"/>
          <w:szCs w:val="21"/>
        </w:rPr>
        <w:t>框架的环境风险评估</w:t>
      </w:r>
      <w:r w:rsidR="007F6AD7">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&lt;EndNote&gt;&lt;Cite&gt;&lt;Author&gt;FDA&lt;/Author&gt;&lt;Year&gt;1998&lt;/Year&gt;&lt;RecNum&gt;47&lt;/RecNum&gt;&lt;DisplayText&gt;[6]&lt;/DisplayText&gt;&lt;record&gt;&lt;rec-number&gt;47&lt;/rec-number&gt;&lt;foreign-keys&gt;&lt;key app="EN" db-id="e9rw5wr52a5fxbe5dazvswwae0ffv59x90dz" timestamp="1776674893"&gt;47&lt;/key&gt;&lt;/foreign-keys&gt;&lt;ref-type name="Journal Article"&gt;17&lt;/ref-type&gt;&lt;contributors&gt;&lt;authors&gt;&lt;author&gt;FDA, US&lt;/author&gt;&lt;/authors&gt;&lt;/contributors&gt;&lt;titles&gt;&lt;title&gt;Guidance for Industry-Environmental Assessment of Human Drug and Biologics Applications (US FDA, CDER, CBER)&lt;/title&gt;&lt;secondary-title&gt;http://www. fda. gov/cder/guidance/1730fnl. pdf&lt;/secondary-title&gt;&lt;/titles&gt;&lt;periodical&gt;&lt;full-title&gt;http://www. fda. gov/cder/guidance/1730fnl. pdf&lt;/full-title&gt;&lt;/periodical&gt;&lt;dates&gt;&lt;year&gt;1998&lt;/year&gt;&lt;/dates&gt;&lt;urls&gt;&lt;/urls&gt;&lt;/record&gt;&lt;/Cite&gt;&lt;/EndNote&gt;</w:instrText>
      </w:r>
      <w:r w:rsidR="007F6AD7">
        <w:rPr>
          <w:rFonts w:ascii="Times New Roman" w:hAnsi="Times New Roman" w:cs="Times New Roman"/>
        </w:rPr>
        <w:fldChar w:fldCharType="separate"/>
      </w:r>
      <w:r w:rsidR="007F6AD7">
        <w:rPr>
          <w:rFonts w:ascii="Times New Roman" w:hAnsi="Times New Roman" w:cs="Times New Roman"/>
          <w:noProof/>
        </w:rPr>
        <w:t>[6]</w:t>
      </w:r>
      <w:r w:rsidR="007F6AD7">
        <w:rPr>
          <w:rFonts w:ascii="Times New Roman" w:hAnsi="Times New Roman" w:cs="Times New Roman"/>
        </w:rPr>
        <w:fldChar w:fldCharType="end"/>
      </w:r>
      <w:r w:rsidR="00D25545" w:rsidRPr="00D034B3">
        <w:rPr>
          <w:rFonts w:ascii="Times New Roman" w:hAnsi="Times New Roman" w:cs="Times New Roman"/>
          <w:sz w:val="21"/>
          <w:szCs w:val="21"/>
        </w:rPr>
        <w:t>。欧盟自</w:t>
      </w:r>
      <w:r w:rsidR="00D25545" w:rsidRPr="00D034B3">
        <w:rPr>
          <w:rFonts w:ascii="Times New Roman" w:hAnsi="Times New Roman" w:cs="Times New Roman"/>
          <w:sz w:val="21"/>
          <w:szCs w:val="21"/>
        </w:rPr>
        <w:t>2006</w:t>
      </w:r>
      <w:r w:rsidR="00D25545" w:rsidRPr="00D034B3">
        <w:rPr>
          <w:rFonts w:ascii="Times New Roman" w:hAnsi="Times New Roman" w:cs="Times New Roman"/>
          <w:sz w:val="21"/>
          <w:szCs w:val="21"/>
        </w:rPr>
        <w:t>年起建立基于</w:t>
      </w:r>
      <w:r w:rsidR="00D25545" w:rsidRPr="00D034B3">
        <w:rPr>
          <w:rFonts w:ascii="Times New Roman" w:hAnsi="Times New Roman" w:cs="Times New Roman"/>
          <w:sz w:val="21"/>
          <w:szCs w:val="21"/>
        </w:rPr>
        <w:t>P-B-T</w:t>
      </w:r>
      <w:r w:rsidR="00D25545" w:rsidRPr="00D034B3">
        <w:rPr>
          <w:rFonts w:ascii="Times New Roman" w:hAnsi="Times New Roman" w:cs="Times New Roman"/>
          <w:sz w:val="21"/>
          <w:szCs w:val="21"/>
        </w:rPr>
        <w:t>的人用药品环境风险评估框架，规定当预测环境浓度（</w:t>
      </w:r>
      <w:r w:rsidR="00D25545" w:rsidRPr="00D034B3">
        <w:rPr>
          <w:rFonts w:ascii="Times New Roman" w:hAnsi="Times New Roman" w:cs="Times New Roman"/>
          <w:sz w:val="21"/>
          <w:szCs w:val="21"/>
        </w:rPr>
        <w:t>PEC</w:t>
      </w:r>
      <w:r w:rsidR="00D25545" w:rsidRPr="00D034B3">
        <w:rPr>
          <w:rFonts w:ascii="Times New Roman" w:hAnsi="Times New Roman" w:cs="Times New Roman"/>
          <w:sz w:val="21"/>
          <w:szCs w:val="21"/>
        </w:rPr>
        <w:t>）超过</w:t>
      </w:r>
      <w:r w:rsidR="00D25545" w:rsidRPr="00D034B3">
        <w:rPr>
          <w:rFonts w:ascii="Times New Roman" w:hAnsi="Times New Roman" w:cs="Times New Roman"/>
          <w:sz w:val="21"/>
          <w:szCs w:val="21"/>
        </w:rPr>
        <w:t xml:space="preserve">0.01 </w:t>
      </w:r>
      <w:proofErr w:type="spellStart"/>
      <w:r w:rsidR="00D25545" w:rsidRPr="00D034B3">
        <w:rPr>
          <w:rFonts w:ascii="Times New Roman" w:hAnsi="Times New Roman" w:cs="Times New Roman"/>
          <w:sz w:val="21"/>
          <w:szCs w:val="21"/>
        </w:rPr>
        <w:t>μg</w:t>
      </w:r>
      <w:proofErr w:type="spellEnd"/>
      <w:r w:rsidR="00D25545" w:rsidRPr="00D034B3">
        <w:rPr>
          <w:rFonts w:ascii="Times New Roman" w:hAnsi="Times New Roman" w:cs="Times New Roman"/>
          <w:sz w:val="21"/>
          <w:szCs w:val="21"/>
        </w:rPr>
        <w:t>/L</w:t>
      </w:r>
      <w:r w:rsidR="00D25545" w:rsidRPr="00D034B3">
        <w:rPr>
          <w:rFonts w:ascii="Times New Roman" w:hAnsi="Times New Roman" w:cs="Times New Roman"/>
          <w:sz w:val="21"/>
          <w:szCs w:val="21"/>
        </w:rPr>
        <w:t>时需开展系统评估，重点关注水生生物与微生物毒性</w:t>
      </w:r>
      <w:r w:rsidR="000F0E75">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&lt;EndNote&gt;&lt;Cite&gt;&lt;Author&gt;Wess&lt;/Author&gt;&lt;Year&gt;2020&lt;/Year&gt;&lt;RecNum&gt;48&lt;/RecNum&gt;&lt;DisplayText&gt;[7]&lt;/DisplayText&gt;&lt;record&gt;&lt;rec-number&gt;48&lt;/rec-number&gt;&lt;foreign-keys&gt;&lt;key app="EN" db-id="e9rw5wr52a5fxbe5dazvswwae0ffv59x90dz" timestamp="1776674929"&gt;48&lt;/key&gt;&lt;/foreign-keys&gt;&lt;ref-type name="Journal Article"&gt;17&lt;/ref-type&gt;&lt;contributors&gt;&lt;authors&gt;&lt;author&gt;Wess, R Arno&lt;/author&gt;&lt;author&gt;Schmidt, Thomas&lt;/author&gt;&lt;author&gt;Höger, Stefan&lt;/author&gt;&lt;/authors&gt;&lt;/contributors&gt;&lt;titles&gt;&lt;title&gt;Challenges of regulatory environmental risk assessment for human pharmaceuticals with focus on antibiotics&lt;/title&gt;&lt;secondary-title&gt;Chimia&lt;/secondary-title&gt;&lt;/titles&gt;&lt;periodical&gt;&lt;full-title&gt;Chimia&lt;/full-title&gt;&lt;/periodical&gt;&lt;pages&gt;183-183&lt;/pages&gt;&lt;volume&gt;74&lt;/volume&gt;&lt;number&gt;3&lt;/number&gt;&lt;dates&gt;&lt;year&gt;2020&lt;/year&gt;&lt;/dates&gt;&lt;isbn&gt;2673-2424&lt;/isbn&gt;&lt;urls&gt;&lt;/urls&gt;&lt;/record&gt;&lt;/Cite&gt;&lt;/EndNote&gt;</w:instrText>
      </w:r>
      <w:r w:rsidR="000F0E75">
        <w:rPr>
          <w:rFonts w:ascii="Times New Roman" w:hAnsi="Times New Roman" w:cs="Times New Roman"/>
        </w:rPr>
        <w:fldChar w:fldCharType="separate"/>
      </w:r>
      <w:r w:rsidR="007F6AD7">
        <w:rPr>
          <w:rFonts w:ascii="Times New Roman" w:hAnsi="Times New Roman" w:cs="Times New Roman"/>
          <w:noProof/>
        </w:rPr>
        <w:t>[7]</w:t>
      </w:r>
      <w:r w:rsidR="000F0E75">
        <w:rPr>
          <w:rFonts w:ascii="Times New Roman" w:hAnsi="Times New Roman" w:cs="Times New Roman"/>
        </w:rPr>
        <w:fldChar w:fldCharType="end"/>
      </w:r>
      <w:r w:rsidR="00D25545" w:rsidRPr="00D034B3">
        <w:rPr>
          <w:rFonts w:ascii="Times New Roman" w:hAnsi="Times New Roman" w:cs="Times New Roman"/>
          <w:sz w:val="21"/>
          <w:szCs w:val="21"/>
        </w:rPr>
        <w:t>。</w:t>
      </w:r>
    </w:p>
    <w:p w14:paraId="4213E533" w14:textId="0D64B92B" w:rsidR="00D25545" w:rsidRPr="00D034B3" w:rsidRDefault="00D25545" w:rsidP="00D034B3">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D034B3">
        <w:rPr>
          <w:rFonts w:ascii="Times New Roman" w:hAnsi="Times New Roman" w:cs="Times New Roman"/>
          <w:sz w:val="21"/>
          <w:szCs w:val="21"/>
        </w:rPr>
        <w:t>然而，</w:t>
      </w:r>
      <w:r w:rsidR="00E806DC" w:rsidRPr="00D034B3">
        <w:rPr>
          <w:rFonts w:ascii="Times New Roman" w:hAnsi="Times New Roman" w:cs="Times New Roman"/>
          <w:sz w:val="21"/>
          <w:szCs w:val="21"/>
        </w:rPr>
        <w:t>传统</w:t>
      </w:r>
      <w:r w:rsidR="00E806DC" w:rsidRPr="00D034B3">
        <w:rPr>
          <w:rFonts w:ascii="Times New Roman" w:hAnsi="Times New Roman" w:cs="Times New Roman"/>
          <w:sz w:val="21"/>
          <w:szCs w:val="21"/>
        </w:rPr>
        <w:t>P-B-T</w:t>
      </w:r>
      <w:r w:rsidR="00E806DC" w:rsidRPr="00D034B3">
        <w:rPr>
          <w:rFonts w:ascii="Times New Roman" w:hAnsi="Times New Roman" w:cs="Times New Roman"/>
          <w:sz w:val="21"/>
          <w:szCs w:val="21"/>
        </w:rPr>
        <w:t>方法主要关注污染物的生态毒性效应，与抗生素</w:t>
      </w:r>
      <w:r w:rsidR="00E806DC" w:rsidRPr="00D034B3">
        <w:rPr>
          <w:rFonts w:ascii="Times New Roman" w:hAnsi="Times New Roman" w:cs="Times New Roman"/>
          <w:sz w:val="21"/>
          <w:szCs w:val="21"/>
        </w:rPr>
        <w:t>“</w:t>
      </w:r>
      <w:r w:rsidR="00E806DC" w:rsidRPr="00D034B3">
        <w:rPr>
          <w:rFonts w:ascii="Times New Roman" w:hAnsi="Times New Roman" w:cs="Times New Roman"/>
          <w:sz w:val="21"/>
          <w:szCs w:val="21"/>
        </w:rPr>
        <w:t>针对微生物发挥作用</w:t>
      </w:r>
      <w:r w:rsidR="00E806DC" w:rsidRPr="00D034B3">
        <w:rPr>
          <w:rFonts w:ascii="Times New Roman" w:hAnsi="Times New Roman" w:cs="Times New Roman"/>
          <w:sz w:val="21"/>
          <w:szCs w:val="21"/>
        </w:rPr>
        <w:t>”</w:t>
      </w:r>
      <w:r w:rsidR="00E806DC" w:rsidRPr="00D034B3">
        <w:rPr>
          <w:rFonts w:ascii="Times New Roman" w:hAnsi="Times New Roman" w:cs="Times New Roman"/>
          <w:sz w:val="21"/>
          <w:szCs w:val="21"/>
        </w:rPr>
        <w:t>的特殊属性存在一定不匹配。</w:t>
      </w:r>
      <w:r w:rsidR="0013496D">
        <w:rPr>
          <w:rFonts w:ascii="Times New Roman" w:hAnsi="Times New Roman" w:cs="Times New Roman"/>
          <w:sz w:val="21"/>
          <w:szCs w:val="21"/>
        </w:rPr>
        <w:t>传统毒性评价对象主要包括藻类、浮游动物和鱼类等</w:t>
      </w:r>
      <w:r w:rsidR="0013496D">
        <w:rPr>
          <w:rFonts w:ascii="Times New Roman" w:hAnsi="Times New Roman" w:cs="Times New Roman" w:hint="eastAsia"/>
          <w:sz w:val="21"/>
          <w:szCs w:val="21"/>
        </w:rPr>
        <w:t>水生生物</w:t>
      </w:r>
      <w:r w:rsidR="00E806DC" w:rsidRPr="00D034B3">
        <w:rPr>
          <w:rFonts w:ascii="Times New Roman" w:hAnsi="Times New Roman" w:cs="Times New Roman"/>
          <w:sz w:val="21"/>
          <w:szCs w:val="21"/>
        </w:rPr>
        <w:t>，</w:t>
      </w:r>
      <w:r w:rsidR="0013496D">
        <w:rPr>
          <w:rFonts w:ascii="Times New Roman" w:hAnsi="Times New Roman" w:cs="Times New Roman" w:hint="eastAsia"/>
          <w:sz w:val="21"/>
          <w:szCs w:val="21"/>
        </w:rPr>
        <w:t>而抗生素对上述水生生物通常不敏感，</w:t>
      </w:r>
      <w:r w:rsidR="00E806DC" w:rsidRPr="00D034B3">
        <w:rPr>
          <w:rFonts w:ascii="Times New Roman" w:hAnsi="Times New Roman" w:cs="Times New Roman"/>
          <w:sz w:val="21"/>
          <w:szCs w:val="21"/>
        </w:rPr>
        <w:t>其效应浓度通常高于环境实际暴露水平。因此，基于</w:t>
      </w:r>
      <w:r w:rsidR="00E806DC" w:rsidRPr="00D034B3">
        <w:rPr>
          <w:rFonts w:ascii="Times New Roman" w:hAnsi="Times New Roman" w:cs="Times New Roman"/>
          <w:sz w:val="21"/>
          <w:szCs w:val="21"/>
        </w:rPr>
        <w:t>P-B-T</w:t>
      </w:r>
      <w:r w:rsidR="00E806DC" w:rsidRPr="00D034B3">
        <w:rPr>
          <w:rFonts w:ascii="Times New Roman" w:hAnsi="Times New Roman" w:cs="Times New Roman"/>
          <w:sz w:val="21"/>
          <w:szCs w:val="21"/>
        </w:rPr>
        <w:t>方法获得的抗生素风险结果可能低估其对微生物群落及耐药性演化的潜在影响</w:t>
      </w:r>
      <w:r w:rsidR="000F0E75">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&lt;EndNote&gt;&lt;Cite&gt;&lt;Author&gt;Li&lt;/Author&gt;&lt;Year&gt;2020&lt;/Year&gt;&lt;RecNum&gt;49&lt;/RecNum&gt;&lt;DisplayText&gt;[8]&lt;/DisplayText&gt;&lt;record&gt;&lt;rec-number&gt;49&lt;/rec-number&gt;&lt;foreign-keys&gt;&lt;key app="EN" db-id="e9rw5wr52a5fxbe5dazvswwae0ffv59x90dz" timestamp="1776674980"&gt;49&lt;/key&gt;&lt;/foreign-keys&gt;&lt;ref-type name="Journal Article"&gt;17&lt;/ref-type&gt;&lt;contributors&gt;&lt;authors&gt;&lt;author&gt;Li, Qi&lt;/author&gt;&lt;author&gt;Cheng, Bo&lt;/author&gt;&lt;author&gt;Liu, Shan&lt;/author&gt;&lt;author&gt;Zhang, Yibo&lt;/author&gt;&lt;author&gt;Zhou, Li&lt;/author&gt;&lt;author&gt;Guo, Jiahua&lt;/author&gt;&lt;/authors&gt;&lt;/contributors&gt;&lt;titles&gt;&lt;title&gt;Assessment of the risks of the major use antibiotics in China&amp;apos;s surface waters using a probabilistic approach&lt;/title&gt;&lt;secondary-title&gt;Integrated Environmental Assessment and Management&lt;/secondary-title&gt;&lt;/titles&gt;&lt;periodical&gt;&lt;full-title&gt;Integrated Environmental Assessment and Management&lt;/full-title&gt;&lt;/periodical&gt;&lt;pages&gt;43-52&lt;/pages&gt;&lt;volume&gt;16&lt;/volume&gt;&lt;number&gt;1&lt;/number&gt;&lt;dates&gt;&lt;year&gt;2020&lt;/year&gt;&lt;/dates&gt;&lt;isbn&gt;1551-3777&lt;/isbn&gt;&lt;urls&gt;&lt;/urls&gt;&lt;/record&gt;&lt;/Cite&gt;&lt;/EndNote&gt;</w:instrText>
      </w:r>
      <w:r w:rsidR="000F0E75">
        <w:rPr>
          <w:rFonts w:ascii="Times New Roman" w:hAnsi="Times New Roman" w:cs="Times New Roman"/>
        </w:rPr>
        <w:fldChar w:fldCharType="separate"/>
      </w:r>
      <w:r w:rsidR="007F6AD7">
        <w:rPr>
          <w:rFonts w:ascii="Times New Roman" w:hAnsi="Times New Roman" w:cs="Times New Roman"/>
          <w:noProof/>
        </w:rPr>
        <w:t>[8]</w:t>
      </w:r>
      <w:r w:rsidR="000F0E75">
        <w:rPr>
          <w:rFonts w:ascii="Times New Roman" w:hAnsi="Times New Roman" w:cs="Times New Roman"/>
        </w:rPr>
        <w:fldChar w:fldCharType="end"/>
      </w:r>
      <w:r w:rsidR="000F0E75">
        <w:rPr>
          <w:rFonts w:ascii="Times New Roman" w:hAnsi="Times New Roman" w:cs="Times New Roman"/>
        </w:rPr>
        <w:t xml:space="preserve"> </w:t>
      </w:r>
      <w:r w:rsidR="000F0E75">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&lt;EndNote&gt;&lt;Cite&gt;&lt;Author&gt;Qu&lt;/Author&gt;&lt;Year&gt;2025&lt;/Year&gt;&lt;RecNum&gt;50&lt;/RecNum&gt;&lt;DisplayText&gt;[9]&lt;/DisplayText&gt;&lt;record&gt;&lt;rec-number&gt;50&lt;/rec-number&gt;&lt;foreign-keys&gt;&lt;key app="EN" db-id="e9rw5wr52a5fxbe5dazvswwae0ffv59x90dz" timestamp="1776675022"&gt;50&lt;/key&gt;&lt;/foreign-keys&gt;&lt;ref-type name="Journal Article"&gt;17&lt;/ref-type&gt;&lt;contributors&gt;&lt;authors&gt;&lt;author&gt;Qu, Qian&lt;/author&gt;&lt;author&gt;Wang, Shuting&lt;/author&gt;&lt;author&gt;Hu, Xiangang&lt;/author&gt;&lt;/authors&gt;&lt;/contributors&gt;&lt;titles&gt;&lt;title&gt;Comprehensive Assessment of Vulnerability and Mitigation Opportunities for River Antibiotic Risk via Intelligent Watershed Management&lt;/title&gt;&lt;secondary-title&gt;Environmental Science &amp;amp; Technology&lt;/secondary-title&gt;&lt;/titles&gt;&lt;periodical&gt;&lt;full-title&gt;Environmental Science &amp;amp; Technology&lt;/full-title&gt;&lt;/periodical&gt;&lt;pages&gt;24830-24840&lt;/pages&gt;&lt;volume&gt;59&lt;/volume&gt;&lt;number&gt;46&lt;/number&gt;&lt;dates&gt;&lt;year&gt;2025&lt;/year&gt;&lt;pub-dates&gt;&lt;date&gt;2025/11/25&lt;/date&gt;&lt;/pub-dates&gt;&lt;/dates&gt;&lt;publisher&gt;American Chemical Society&lt;/publisher&gt;&lt;isbn&gt;0013-936X&lt;/isbn&gt;&lt;urls&gt;&lt;related-urls&gt;&lt;url&gt;https://doi.org/10.1021/acs.est.5c09538&lt;/url&gt;&lt;/related-urls&gt;&lt;/urls&gt;&lt;electronic-resource-num&gt;10.1021/acs.est.5c09538&lt;/electronic-resource-num&gt;&lt;/record&gt;&lt;/Cite&gt;&lt;/EndNote&gt;</w:instrText>
      </w:r>
      <w:r w:rsidR="000F0E75">
        <w:rPr>
          <w:rFonts w:ascii="Times New Roman" w:hAnsi="Times New Roman" w:cs="Times New Roman"/>
        </w:rPr>
        <w:fldChar w:fldCharType="separate"/>
      </w:r>
      <w:r w:rsidR="007F6AD7">
        <w:rPr>
          <w:rFonts w:ascii="Times New Roman" w:hAnsi="Times New Roman" w:cs="Times New Roman"/>
          <w:noProof/>
        </w:rPr>
        <w:t>[9]</w:t>
      </w:r>
      <w:r w:rsidR="000F0E75">
        <w:rPr>
          <w:rFonts w:ascii="Times New Roman" w:hAnsi="Times New Roman" w:cs="Times New Roman"/>
        </w:rPr>
        <w:fldChar w:fldCharType="end"/>
      </w:r>
      <w:r w:rsidR="000F0E75">
        <w:rPr>
          <w:rFonts w:ascii="Times New Roman" w:hAnsi="Times New Roman" w:cs="Times New Roman"/>
        </w:rPr>
        <w:t xml:space="preserve"> </w:t>
      </w:r>
      <w:r w:rsidR="000F0E75">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&lt;EndNote&gt;&lt;Cite&gt;&lt;Author&gt;Zhao&lt;/Author&gt;&lt;Year&gt;2023&lt;/Year&gt;&lt;RecNum&gt;51&lt;/RecNum&gt;&lt;DisplayText&gt;[10]&lt;/DisplayText&gt;&lt;record&gt;&lt;rec-number&gt;51&lt;/rec-number&gt;&lt;foreign-keys&gt;&lt;key app="EN" db-id="e9rw5wr52a5fxbe5dazvswwae0ffv59x90dz" timestamp="1776675073"&gt;51&lt;/key&gt;&lt;/foreign-keys&gt;&lt;ref-type name="Journal Article"&gt;17&lt;/ref-type&gt;&lt;contributors&gt;&lt;authors&gt;&lt;author&gt;Zhao, Fangkai&lt;/author&gt;&lt;author&gt;Yang, Lei&lt;/author&gt;&lt;author&gt;Yen, Haw&lt;/author&gt;&lt;author&gt;Feng, Qingyu&lt;/author&gt;&lt;author&gt;Li, Min&lt;/author&gt;&lt;author&gt;Chen, Liding&lt;/author&gt;&lt;/authors&gt;&lt;/contributors&gt;&lt;titles&gt;&lt;title&gt;Reducing risks of antibiotics to crop production requires land system intensification within thresholds&lt;/title&gt;&lt;secondary-title&gt;Nature Communications&lt;/secondary-title&gt;&lt;/titles&gt;&lt;periodical&gt;&lt;full-title&gt;Nature Communications&lt;/full-title&gt;&lt;/periodical&gt;&lt;pages&gt;6094&lt;/pages&gt;&lt;volume&gt;14&lt;/volume&gt;&lt;number&gt;1&lt;/number&gt;&lt;dates&gt;&lt;year&gt;2023&lt;/year&gt;&lt;pub-dates&gt;&lt;date&gt;2023/09/29&lt;/date&gt;&lt;/pub-dates&gt;&lt;/dates&gt;&lt;isbn&gt;2041-1723&lt;/isbn&gt;&lt;urls&gt;&lt;related-urls&gt;&lt;url&gt;https://doi.org/10.1038/s41467-023-41258-x&lt;/url&gt;&lt;/related-urls&gt;&lt;/urls&gt;&lt;electronic-resource-num&gt;10.1038/s41467-023-41258-x&lt;/electronic-resource-num&gt;&lt;/record&gt;&lt;/Cite&gt;&lt;/EndNote&gt;</w:instrText>
      </w:r>
      <w:r w:rsidR="000F0E75">
        <w:rPr>
          <w:rFonts w:ascii="Times New Roman" w:hAnsi="Times New Roman" w:cs="Times New Roman"/>
        </w:rPr>
        <w:fldChar w:fldCharType="separate"/>
      </w:r>
      <w:r w:rsidR="007F6AD7">
        <w:rPr>
          <w:rFonts w:ascii="Times New Roman" w:hAnsi="Times New Roman" w:cs="Times New Roman"/>
          <w:noProof/>
        </w:rPr>
        <w:t>[10]</w:t>
      </w:r>
      <w:r w:rsidR="000F0E75">
        <w:rPr>
          <w:rFonts w:ascii="Times New Roman" w:hAnsi="Times New Roman" w:cs="Times New Roman"/>
        </w:rPr>
        <w:fldChar w:fldCharType="end"/>
      </w:r>
      <w:r w:rsidRPr="00D034B3">
        <w:rPr>
          <w:rFonts w:ascii="Times New Roman" w:hAnsi="Times New Roman" w:cs="Times New Roman"/>
          <w:sz w:val="21"/>
          <w:szCs w:val="21"/>
        </w:rPr>
        <w:t>。</w:t>
      </w:r>
    </w:p>
    <w:p w14:paraId="762B4B79" w14:textId="68CD7AC0" w:rsidR="00D25545" w:rsidRPr="00D034B3" w:rsidRDefault="00E806DC" w:rsidP="00D034B3">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D034B3">
        <w:rPr>
          <w:rFonts w:ascii="Times New Roman" w:hAnsi="Times New Roman" w:cs="Times New Roman"/>
          <w:sz w:val="21"/>
          <w:szCs w:val="21"/>
        </w:rPr>
        <w:t>近年来，随着环境抗生素耐药性问题受到关注，以耐药性选择效应为核心的新型风险评价方法逐渐发展。其理论基础在于，抗生素作为选择压力，可改变敏感菌和耐药菌之间的竞争关系，使耐药菌获得生态优势并促进耐药性扩散。基于这一理论，研究者提出最小选择浓</w:t>
      </w:r>
      <w:r w:rsidRPr="00D034B3">
        <w:rPr>
          <w:rFonts w:ascii="Times New Roman" w:hAnsi="Times New Roman" w:cs="Times New Roman"/>
          <w:sz w:val="21"/>
          <w:szCs w:val="21"/>
        </w:rPr>
        <w:lastRenderedPageBreak/>
        <w:t>度（</w:t>
      </w:r>
      <w:r w:rsidRPr="00D034B3">
        <w:rPr>
          <w:rFonts w:ascii="Times New Roman" w:hAnsi="Times New Roman" w:cs="Times New Roman"/>
          <w:sz w:val="21"/>
          <w:szCs w:val="21"/>
        </w:rPr>
        <w:t>minimum selective concentration, MSC</w:t>
      </w:r>
      <w:r w:rsidRPr="00D034B3">
        <w:rPr>
          <w:rFonts w:ascii="Times New Roman" w:hAnsi="Times New Roman" w:cs="Times New Roman"/>
          <w:sz w:val="21"/>
          <w:szCs w:val="21"/>
        </w:rPr>
        <w:t>）的概念，即能够促进耐药菌在群落竞争中获得选择优势的最低抗生素浓度阈值。</w:t>
      </w:r>
      <w:r w:rsidRPr="00D034B3">
        <w:rPr>
          <w:rFonts w:ascii="Times New Roman" w:hAnsi="Times New Roman" w:cs="Times New Roman"/>
          <w:sz w:val="21"/>
          <w:szCs w:val="21"/>
        </w:rPr>
        <w:t>MSC</w:t>
      </w:r>
      <w:r w:rsidRPr="00D034B3">
        <w:rPr>
          <w:rFonts w:ascii="Times New Roman" w:hAnsi="Times New Roman" w:cs="Times New Roman"/>
          <w:sz w:val="21"/>
          <w:szCs w:val="21"/>
        </w:rPr>
        <w:t>能够从耐药性演化角度反映抗生素环境风险，为传统生态毒性评价提供重要补充。目前，</w:t>
      </w:r>
      <w:r w:rsidRPr="00D034B3">
        <w:rPr>
          <w:rFonts w:ascii="Times New Roman" w:hAnsi="Times New Roman" w:cs="Times New Roman"/>
          <w:sz w:val="21"/>
          <w:szCs w:val="21"/>
        </w:rPr>
        <w:t>MSC</w:t>
      </w:r>
      <w:r w:rsidRPr="00D034B3">
        <w:rPr>
          <w:rFonts w:ascii="Times New Roman" w:hAnsi="Times New Roman" w:cs="Times New Roman"/>
          <w:sz w:val="21"/>
          <w:szCs w:val="21"/>
        </w:rPr>
        <w:t>测定方法主要基于单菌株竞争实验体系，通过敏感菌与耐药菌共培养，监测不同抗生素浓度下菌群比例变化确定选择阈值。</w:t>
      </w:r>
      <w:r w:rsidR="00D25545" w:rsidRPr="00D034B3">
        <w:rPr>
          <w:rFonts w:ascii="Times New Roman" w:hAnsi="Times New Roman" w:cs="Times New Roman"/>
          <w:sz w:val="21"/>
          <w:szCs w:val="21"/>
        </w:rPr>
        <w:t>随着相关研究不断深入，越来越多的证据表明，</w:t>
      </w:r>
      <w:r w:rsidR="00D25545" w:rsidRPr="00D034B3">
        <w:rPr>
          <w:rFonts w:ascii="Times New Roman" w:hAnsi="Times New Roman" w:cs="Times New Roman"/>
          <w:sz w:val="21"/>
          <w:szCs w:val="21"/>
        </w:rPr>
        <w:t>MSC</w:t>
      </w:r>
      <w:r w:rsidR="00D25545" w:rsidRPr="00D034B3">
        <w:rPr>
          <w:rFonts w:ascii="Times New Roman" w:hAnsi="Times New Roman" w:cs="Times New Roman"/>
          <w:sz w:val="21"/>
          <w:szCs w:val="21"/>
        </w:rPr>
        <w:t>可作为评估抗生素环境风险的重要指标。在此基础上，环境管理理念也开始发生转变。</w:t>
      </w:r>
      <w:r w:rsidR="00D25545" w:rsidRPr="00D034B3">
        <w:rPr>
          <w:rFonts w:ascii="Times New Roman" w:hAnsi="Times New Roman" w:cs="Times New Roman"/>
          <w:sz w:val="21"/>
          <w:szCs w:val="21"/>
        </w:rPr>
        <w:t>2024</w:t>
      </w:r>
      <w:r w:rsidR="00D25545" w:rsidRPr="00D034B3">
        <w:rPr>
          <w:rFonts w:ascii="Times New Roman" w:hAnsi="Times New Roman" w:cs="Times New Roman"/>
          <w:sz w:val="21"/>
          <w:szCs w:val="21"/>
        </w:rPr>
        <w:t>年</w:t>
      </w:r>
      <w:r w:rsidR="00D25545" w:rsidRPr="00D034B3">
        <w:rPr>
          <w:rFonts w:ascii="Times New Roman" w:hAnsi="Times New Roman" w:cs="Times New Roman"/>
          <w:sz w:val="21"/>
          <w:szCs w:val="21"/>
        </w:rPr>
        <w:t xml:space="preserve"> WHO </w:t>
      </w:r>
      <w:r w:rsidR="00D25545" w:rsidRPr="00D034B3">
        <w:rPr>
          <w:rFonts w:ascii="Times New Roman" w:hAnsi="Times New Roman" w:cs="Times New Roman"/>
          <w:sz w:val="21"/>
          <w:szCs w:val="21"/>
        </w:rPr>
        <w:t>发布《抗生素生产废水和固体废物管控指南》</w:t>
      </w:r>
      <w:r w:rsidR="00D25545" w:rsidRPr="00D034B3">
        <w:rPr>
          <w:rFonts w:ascii="Times New Roman" w:hAnsi="Times New Roman" w:cs="Times New Roman"/>
          <w:sz w:val="21"/>
          <w:szCs w:val="21"/>
        </w:rPr>
        <w:t xml:space="preserve"> </w:t>
      </w:r>
      <w:r w:rsidR="000F0E75">
        <w:rPr>
          <w:rFonts w:ascii="Times New Roman" w:hAnsi="Times New Roman" w:cs="Times New Roman"/>
        </w:rPr>
        <w:t xml:space="preserve"> </w:t>
      </w:r>
      <w:r w:rsidR="000F0E75">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&lt;EndNote&gt;&lt;Cite&gt;&lt;Author&gt;Organization&lt;/Author&gt;&lt;Year&gt;2024&lt;/Year&gt;&lt;RecNum&gt;54&lt;/RecNum&gt;&lt;DisplayText&gt;[11]&lt;/DisplayText&gt;&lt;record&gt;&lt;rec-number&gt;54&lt;/rec-number&gt;&lt;foreign-keys&gt;&lt;key app="EN" db-id="e9rw5wr52a5fxbe5dazvswwae0ffv59x90dz" timestamp="1776675187"&gt;54&lt;/key&gt;&lt;/foreign-keys&gt;&lt;ref-type name="Journal Article"&gt;17&lt;/ref-type&gt;&lt;contributors&gt;&lt;authors&gt;&lt;author&gt;World Health Organization&lt;/author&gt;&lt;/authors&gt;&lt;/contributors&gt;&lt;titles&gt;&lt;title&gt;Guidance on wastewater and solid waste management for manufacturing of antibiotics&lt;/title&gt;&lt;/titles&gt;&lt;dates&gt;&lt;year&gt;2024&lt;/year&gt;&lt;/dates&gt;&lt;isbn&gt;9240097252&lt;/isbn&gt;&lt;urls&gt;&lt;/urls&gt;&lt;/record&gt;&lt;/Cite&gt;&lt;/EndNote&gt;</w:instrText>
      </w:r>
      <w:r w:rsidR="000F0E75">
        <w:rPr>
          <w:rFonts w:ascii="Times New Roman" w:hAnsi="Times New Roman" w:cs="Times New Roman"/>
        </w:rPr>
        <w:fldChar w:fldCharType="separate"/>
      </w:r>
      <w:r w:rsidR="007F6AD7">
        <w:rPr>
          <w:rFonts w:ascii="Times New Roman" w:hAnsi="Times New Roman" w:cs="Times New Roman"/>
          <w:noProof/>
        </w:rPr>
        <w:t>[11]</w:t>
      </w:r>
      <w:r w:rsidR="000F0E75">
        <w:rPr>
          <w:rFonts w:ascii="Times New Roman" w:hAnsi="Times New Roman" w:cs="Times New Roman"/>
        </w:rPr>
        <w:fldChar w:fldCharType="end"/>
      </w:r>
      <w:r w:rsidR="00D25545" w:rsidRPr="00D034B3">
        <w:rPr>
          <w:rFonts w:ascii="Times New Roman" w:hAnsi="Times New Roman" w:cs="Times New Roman"/>
          <w:sz w:val="21"/>
          <w:szCs w:val="21"/>
        </w:rPr>
        <w:t>，里程碑式地将</w:t>
      </w:r>
      <w:r w:rsidR="00D25545" w:rsidRPr="00D034B3">
        <w:rPr>
          <w:rFonts w:ascii="Times New Roman" w:hAnsi="Times New Roman" w:cs="Times New Roman"/>
          <w:sz w:val="21"/>
          <w:szCs w:val="21"/>
        </w:rPr>
        <w:t>MSC</w:t>
      </w:r>
      <w:r w:rsidR="00D25545" w:rsidRPr="00D034B3">
        <w:rPr>
          <w:rFonts w:ascii="Times New Roman" w:hAnsi="Times New Roman" w:cs="Times New Roman"/>
          <w:sz w:val="21"/>
          <w:szCs w:val="21"/>
        </w:rPr>
        <w:t>作为纳入抗生素环境风险评估，替代传统</w:t>
      </w:r>
      <w:proofErr w:type="gramStart"/>
      <w:r w:rsidR="00D25545" w:rsidRPr="00D034B3">
        <w:rPr>
          <w:rFonts w:ascii="Times New Roman" w:hAnsi="Times New Roman" w:cs="Times New Roman"/>
          <w:sz w:val="21"/>
          <w:szCs w:val="21"/>
        </w:rPr>
        <w:t>仅关注</w:t>
      </w:r>
      <w:proofErr w:type="gramEnd"/>
      <w:r w:rsidR="00D25545" w:rsidRPr="00D034B3">
        <w:rPr>
          <w:rFonts w:ascii="Times New Roman" w:hAnsi="Times New Roman" w:cs="Times New Roman"/>
          <w:sz w:val="21"/>
          <w:szCs w:val="21"/>
        </w:rPr>
        <w:t>水生生物毒性的环境风险评估体系，标志着生态环境风险评估理念的更新。</w:t>
      </w:r>
    </w:p>
    <w:p w14:paraId="553431AF" w14:textId="5919A454" w:rsidR="00E806DC" w:rsidRPr="00D034B3" w:rsidRDefault="00E806DC" w:rsidP="00D034B3">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D034B3">
        <w:rPr>
          <w:rFonts w:ascii="Times New Roman" w:hAnsi="Times New Roman" w:cs="Times New Roman"/>
          <w:sz w:val="21"/>
          <w:szCs w:val="21"/>
        </w:rPr>
        <w:t>针对上述问题，编制团队基于环境微生物群落提出了</w:t>
      </w:r>
      <w:r w:rsidRPr="00D034B3">
        <w:rPr>
          <w:rFonts w:ascii="Times New Roman" w:hAnsi="Times New Roman" w:cs="Times New Roman"/>
          <w:sz w:val="21"/>
          <w:szCs w:val="21"/>
        </w:rPr>
        <w:t>“3M” MSC</w:t>
      </w:r>
      <w:r w:rsidRPr="00D034B3">
        <w:rPr>
          <w:rFonts w:ascii="Times New Roman" w:hAnsi="Times New Roman" w:cs="Times New Roman"/>
          <w:sz w:val="21"/>
          <w:szCs w:val="21"/>
        </w:rPr>
        <w:t>评估框架，即以天然微生物群落（</w:t>
      </w:r>
      <w:r w:rsidRPr="00D034B3">
        <w:rPr>
          <w:rFonts w:ascii="Times New Roman" w:hAnsi="Times New Roman" w:cs="Times New Roman"/>
          <w:sz w:val="21"/>
          <w:szCs w:val="21"/>
        </w:rPr>
        <w:t>microflora</w:t>
      </w:r>
      <w:r w:rsidRPr="00D034B3">
        <w:rPr>
          <w:rFonts w:ascii="Times New Roman" w:hAnsi="Times New Roman" w:cs="Times New Roman"/>
          <w:sz w:val="21"/>
          <w:szCs w:val="21"/>
        </w:rPr>
        <w:t>）为研究对象，构建符合环境条件的抗生素暴露微宇宙体系（</w:t>
      </w:r>
      <w:r w:rsidRPr="00D034B3">
        <w:rPr>
          <w:rFonts w:ascii="Times New Roman" w:hAnsi="Times New Roman" w:cs="Times New Roman"/>
          <w:sz w:val="21"/>
          <w:szCs w:val="21"/>
        </w:rPr>
        <w:t>microcosm</w:t>
      </w:r>
      <w:r w:rsidRPr="00D034B3">
        <w:rPr>
          <w:rFonts w:ascii="Times New Roman" w:hAnsi="Times New Roman" w:cs="Times New Roman"/>
          <w:sz w:val="21"/>
          <w:szCs w:val="21"/>
        </w:rPr>
        <w:t>），并通过群落水平响应建模（</w:t>
      </w:r>
      <w:r w:rsidRPr="00D034B3">
        <w:rPr>
          <w:rFonts w:ascii="Times New Roman" w:hAnsi="Times New Roman" w:cs="Times New Roman"/>
          <w:sz w:val="21"/>
          <w:szCs w:val="21"/>
        </w:rPr>
        <w:t>modelling</w:t>
      </w:r>
      <w:r w:rsidRPr="00D034B3">
        <w:rPr>
          <w:rFonts w:ascii="Times New Roman" w:hAnsi="Times New Roman" w:cs="Times New Roman"/>
          <w:sz w:val="21"/>
          <w:szCs w:val="21"/>
        </w:rPr>
        <w:t>）获得</w:t>
      </w:r>
      <w:r w:rsidRPr="00D034B3">
        <w:rPr>
          <w:rFonts w:ascii="Times New Roman" w:hAnsi="Times New Roman" w:cs="Times New Roman"/>
          <w:sz w:val="21"/>
          <w:szCs w:val="21"/>
        </w:rPr>
        <w:t>MSC</w:t>
      </w:r>
      <w:r w:rsidRPr="00D034B3">
        <w:rPr>
          <w:rFonts w:ascii="Times New Roman" w:hAnsi="Times New Roman" w:cs="Times New Roman"/>
          <w:sz w:val="21"/>
          <w:szCs w:val="21"/>
        </w:rPr>
        <w:t>值。基于该框架，研究团队开展了长江流域抗生素耐药选择风险评估，证明相比传统</w:t>
      </w:r>
      <w:r w:rsidRPr="00D034B3">
        <w:rPr>
          <w:rFonts w:ascii="Times New Roman" w:hAnsi="Times New Roman" w:cs="Times New Roman"/>
          <w:sz w:val="21"/>
          <w:szCs w:val="21"/>
        </w:rPr>
        <w:t>P-B-T</w:t>
      </w:r>
      <w:r w:rsidRPr="00D034B3">
        <w:rPr>
          <w:rFonts w:ascii="Times New Roman" w:hAnsi="Times New Roman" w:cs="Times New Roman"/>
          <w:sz w:val="21"/>
          <w:szCs w:val="21"/>
        </w:rPr>
        <w:t>方法，该方法能够更敏感地识别抗生素潜在选择风险</w:t>
      </w:r>
      <w:r w:rsidR="000F0E75">
        <w:rPr>
          <w:rFonts w:ascii="Times New Roman" w:hAnsi="Times New Roman" w:cs="Times New Roman"/>
          <w:sz w:val="21"/>
          <w:szCs w:val="21"/>
        </w:rPr>
        <w:t xml:space="preserve"> </w:t>
      </w:r>
      <w:r w:rsidR="000F0E75">
        <w:rPr>
          <w:rFonts w:ascii="Times New Roman" w:hAnsi="Times New Roman" w:cs="Times New Roman"/>
        </w:rPr>
        <w:fldChar w:fldCharType="begin"/>
      </w:r>
      <w:r w:rsidR="007F6AD7">
        <w:rPr>
          <w:rFonts w:ascii="Times New Roman" w:hAnsi="Times New Roman" w:cs="Times New Roman"/>
        </w:rPr>
        <w:instrText xml:space="preserve"> ADDIN EN.CITE &lt;EndNote&gt;&lt;Cite&gt;&lt;Author&gt;Yuan&lt;/Author&gt;&lt;Year&gt;2025&lt;/Year&gt;&lt;RecNum&gt;1&lt;/RecNum&gt;&lt;DisplayText&gt;[12]&lt;/DisplayText&gt;&lt;record&gt;&lt;rec-number&gt;1&lt;/rec-number&gt;&lt;foreign-keys&gt;&lt;key app="EN" db-id="s2trdzwf5vpd0pespzcp0a9yf5vwxdds9vve" timestamp="1776406079"&gt;1&lt;/key&gt;&lt;/foreign-keys&gt;&lt;ref-type name="Journal Article"&gt;17&lt;/ref-type&gt;&lt;contributors&gt;&lt;authors&gt;&lt;author&gt;Yuan, Qingbin&lt;/author&gt;&lt;author&gt;Chen, Yuying&lt;/author&gt;&lt;author&gt;Zhang, Yating&lt;/author&gt;&lt;author&gt;Wang, Na&lt;/author&gt;&lt;author&gt;Ying, Guang Guo&lt;/author&gt;&lt;author&gt;Ren, Hongqiang&lt;/author&gt;&lt;author&gt;Luo, Yi&lt;/author&gt;&lt;/authors&gt;&lt;/contributors&gt;&lt;titles&gt;&lt;title&gt;Enhanced Reality in Assessing Antibiotic Risks in Water: Bacterial Resistance Insight from the Microflora–Microcosm–Modeling Framework&lt;/title&gt;&lt;secondary-title&gt;Environmental Science &amp;amp; Technology&lt;/secondary-title&gt;&lt;/titles&gt;&lt;periodical&gt;&lt;full-title&gt;Environmental Science &amp;amp; Technology&lt;/full-title&gt;&lt;/periodical&gt;&lt;pages&gt;17471-17484&lt;/pages&gt;&lt;volume&gt;59&lt;/volume&gt;&lt;number&gt;33&lt;/number&gt;&lt;dates&gt;&lt;year&gt;2025&lt;/year&gt;&lt;pub-dates&gt;&lt;date&gt;2025/08/26&lt;/date&gt;&lt;/pub-dates&gt;&lt;/dates&gt;&lt;publisher&gt;American Chemical Society&lt;/publisher&gt;&lt;isbn&gt;0013-936X&lt;/isbn&gt;&lt;urls&gt;&lt;related-urls&gt;&lt;url&gt;https://doi.org/10.1021/acs.est.5c07273&lt;/url&gt;&lt;/related-urls&gt;&lt;/urls&gt;&lt;electronic-resource-num&gt;10.1021/acs.est.5c07273&lt;/electronic-resource-num&gt;&lt;/record&gt;&lt;/Cite&gt;&lt;/EndNote&gt;</w:instrText>
      </w:r>
      <w:r w:rsidR="000F0E75">
        <w:rPr>
          <w:rFonts w:ascii="Times New Roman" w:hAnsi="Times New Roman" w:cs="Times New Roman"/>
        </w:rPr>
        <w:fldChar w:fldCharType="separate"/>
      </w:r>
      <w:r w:rsidR="007F6AD7">
        <w:rPr>
          <w:rFonts w:ascii="Times New Roman" w:hAnsi="Times New Roman" w:cs="Times New Roman"/>
          <w:noProof/>
        </w:rPr>
        <w:t>[12]</w:t>
      </w:r>
      <w:r w:rsidR="000F0E75">
        <w:rPr>
          <w:rFonts w:ascii="Times New Roman" w:hAnsi="Times New Roman" w:cs="Times New Roman"/>
        </w:rPr>
        <w:fldChar w:fldCharType="end"/>
      </w:r>
      <w:r w:rsidRPr="00D034B3">
        <w:rPr>
          <w:rFonts w:ascii="Times New Roman" w:hAnsi="Times New Roman" w:cs="Times New Roman"/>
          <w:sz w:val="21"/>
          <w:szCs w:val="21"/>
        </w:rPr>
        <w:t>。相关技术已形成团体标准《水体中抗生素环境风险评估技术指南》（</w:t>
      </w:r>
      <w:r w:rsidRPr="00D034B3">
        <w:rPr>
          <w:rFonts w:ascii="Times New Roman" w:hAnsi="Times New Roman" w:cs="Times New Roman"/>
          <w:sz w:val="21"/>
          <w:szCs w:val="21"/>
        </w:rPr>
        <w:t>T/JSSES 39—2024</w:t>
      </w:r>
      <w:r w:rsidRPr="00D034B3">
        <w:rPr>
          <w:rFonts w:ascii="Times New Roman" w:hAnsi="Times New Roman" w:cs="Times New Roman"/>
          <w:sz w:val="21"/>
          <w:szCs w:val="21"/>
        </w:rPr>
        <w:t>）。</w:t>
      </w:r>
    </w:p>
    <w:p w14:paraId="43A0C38C" w14:textId="23223E4C" w:rsidR="00D25545" w:rsidRPr="00D034B3" w:rsidRDefault="00E806DC" w:rsidP="00D034B3">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D034B3">
        <w:rPr>
          <w:rFonts w:ascii="Times New Roman" w:hAnsi="Times New Roman" w:cs="Times New Roman"/>
          <w:sz w:val="21"/>
          <w:szCs w:val="21"/>
        </w:rPr>
        <w:t>在此基础上，为进一步提高</w:t>
      </w:r>
      <w:r w:rsidRPr="00D034B3">
        <w:rPr>
          <w:rFonts w:ascii="Times New Roman" w:hAnsi="Times New Roman" w:cs="Times New Roman"/>
          <w:sz w:val="21"/>
          <w:szCs w:val="21"/>
        </w:rPr>
        <w:t>MSC</w:t>
      </w:r>
      <w:r w:rsidRPr="00D034B3">
        <w:rPr>
          <w:rFonts w:ascii="Times New Roman" w:hAnsi="Times New Roman" w:cs="Times New Roman"/>
          <w:sz w:val="21"/>
          <w:szCs w:val="21"/>
        </w:rPr>
        <w:t>测定结果的生态解释能力和标准化水平，本指南进一步采用表型耐药率作为群落耐药响应指标，减少耐药基因检测中沉默基因及基因表达差异带来的影响，并针对样品预处理、微宇宙暴露条件、耐药率检测及</w:t>
      </w:r>
      <w:proofErr w:type="spellStart"/>
      <w:r w:rsidRPr="00D034B3">
        <w:rPr>
          <w:rFonts w:ascii="Times New Roman" w:hAnsi="Times New Roman" w:cs="Times New Roman"/>
          <w:sz w:val="21"/>
          <w:szCs w:val="21"/>
        </w:rPr>
        <w:t>MSC</w:t>
      </w:r>
      <w:proofErr w:type="spellEnd"/>
      <w:r w:rsidRPr="00D034B3">
        <w:rPr>
          <w:rFonts w:ascii="Times New Roman" w:hAnsi="Times New Roman" w:cs="Times New Roman"/>
          <w:sz w:val="21"/>
          <w:szCs w:val="21"/>
        </w:rPr>
        <w:t>计算流程进行优化，形成适用于水环境抗生素环境风险评估的标准化检测方法</w:t>
      </w:r>
      <w:r w:rsidR="00ED3420" w:rsidRPr="00D034B3">
        <w:rPr>
          <w:rFonts w:ascii="Times New Roman" w:hAnsi="Times New Roman" w:cs="Times New Roman"/>
          <w:sz w:val="21"/>
          <w:szCs w:val="21"/>
        </w:rPr>
        <w:t>。</w:t>
      </w:r>
    </w:p>
    <w:p w14:paraId="5F817148" w14:textId="77777777" w:rsidR="005A5F6A" w:rsidRPr="00BF5185" w:rsidRDefault="00DA1DEA" w:rsidP="00DA2503">
      <w:pPr>
        <w:pStyle w:val="2"/>
        <w:spacing w:beforeLines="50" w:before="120" w:afterLines="50" w:after="120" w:line="440" w:lineRule="exact"/>
        <w:rPr>
          <w:b/>
          <w:sz w:val="21"/>
          <w:szCs w:val="21"/>
        </w:rPr>
      </w:pPr>
      <w:bookmarkStart w:id="4" w:name="_Toc234489923"/>
      <w:r w:rsidRPr="00BF5185">
        <w:rPr>
          <w:sz w:val="21"/>
          <w:szCs w:val="21"/>
        </w:rPr>
        <w:t xml:space="preserve">1.2 </w:t>
      </w:r>
      <w:r w:rsidR="005A5F6A" w:rsidRPr="00BF5185">
        <w:rPr>
          <w:sz w:val="21"/>
          <w:szCs w:val="21"/>
        </w:rPr>
        <w:t>目的</w:t>
      </w:r>
      <w:bookmarkEnd w:id="4"/>
    </w:p>
    <w:p w14:paraId="7972F724" w14:textId="211505C3" w:rsidR="00F5031E" w:rsidRPr="00BF5185" w:rsidRDefault="00E806DC" w:rsidP="00D034B3">
      <w:pPr>
        <w:spacing w:line="360" w:lineRule="auto"/>
        <w:ind w:firstLineChars="200" w:firstLine="420"/>
        <w:rPr>
          <w:szCs w:val="21"/>
        </w:rPr>
      </w:pPr>
      <w:r>
        <w:t>在细菌耐药性逐渐成为抗生素环境风险评估重要评价指标的背景下，本指南针对当前抗生素环境风险评估中耐药性评价方法缺乏统一技术规范的问题，建立基于细菌群落耐药率的最小选择浓度（</w:t>
      </w:r>
      <w:r>
        <w:t>MSC</w:t>
      </w:r>
      <w:r>
        <w:t>）测定方法，对样品采集、微宇宙暴露、耐药率检测及</w:t>
      </w:r>
      <w:r>
        <w:t>MSC</w:t>
      </w:r>
      <w:r>
        <w:t>推导等关键技术环节进行规范，为细菌耐药性指标在环境抗生素风险评估中的科学应用提供标准化技术支撑，推动我国抗生素类新</w:t>
      </w:r>
      <w:r w:rsidR="00DA1586">
        <w:t>污染物环境风险评估体系完善，服务新污染物治理行动方案</w:t>
      </w:r>
      <w:r>
        <w:t>的实施</w:t>
      </w:r>
      <w:r w:rsidR="00F5031E" w:rsidRPr="00BF5185">
        <w:rPr>
          <w:szCs w:val="21"/>
        </w:rPr>
        <w:t>。</w:t>
      </w:r>
    </w:p>
    <w:p w14:paraId="5151D513" w14:textId="77777777" w:rsidR="005A5F6A" w:rsidRPr="00BF5185" w:rsidRDefault="00DA1DEA" w:rsidP="00DA2503">
      <w:pPr>
        <w:spacing w:beforeLines="50" w:before="120" w:afterLines="50" w:after="120" w:line="440" w:lineRule="exact"/>
        <w:outlineLvl w:val="1"/>
        <w:rPr>
          <w:rFonts w:ascii="黑体" w:eastAsia="黑体" w:hAnsi="黑体" w:cs="黑体"/>
          <w:szCs w:val="21"/>
        </w:rPr>
      </w:pPr>
      <w:bookmarkStart w:id="5" w:name="_Toc234489924"/>
      <w:r w:rsidRPr="00BF5185">
        <w:rPr>
          <w:rFonts w:ascii="黑体" w:eastAsia="黑体" w:hAnsi="黑体" w:cs="黑体"/>
          <w:szCs w:val="21"/>
        </w:rPr>
        <w:t xml:space="preserve">1.3 </w:t>
      </w:r>
      <w:r w:rsidR="005A5F6A" w:rsidRPr="00BF5185">
        <w:rPr>
          <w:rFonts w:ascii="黑体" w:eastAsia="黑体" w:hAnsi="黑体" w:cs="黑体"/>
          <w:szCs w:val="21"/>
        </w:rPr>
        <w:t>意义</w:t>
      </w:r>
      <w:bookmarkEnd w:id="5"/>
    </w:p>
    <w:p w14:paraId="14818598" w14:textId="77777777" w:rsidR="00D034B3" w:rsidRDefault="00DA1586" w:rsidP="00DA2503">
      <w:pPr>
        <w:pStyle w:val="pdq2pgselectionanchorcontainer"/>
        <w:spacing w:before="0" w:beforeAutospacing="0" w:after="0" w:afterAutospacing="0" w:line="360" w:lineRule="auto"/>
        <w:jc w:val="both"/>
        <w:rPr>
          <w:sz w:val="21"/>
        </w:rPr>
      </w:pPr>
      <w:r w:rsidRPr="00D034B3">
        <w:rPr>
          <w:sz w:val="21"/>
        </w:rPr>
        <w:t>（1）有利于推动抗生素环境风险评估方法标准化。</w:t>
      </w:r>
    </w:p>
    <w:p w14:paraId="097A42CA" w14:textId="41CDF01E" w:rsidR="00DA1586" w:rsidRPr="00D034B3" w:rsidRDefault="00DA1586" w:rsidP="00DA2503">
      <w:pPr>
        <w:pStyle w:val="pdq2pgselectionanchorcontainer"/>
        <w:spacing w:before="0" w:beforeAutospacing="0" w:after="0" w:afterAutospacing="0" w:line="360" w:lineRule="auto"/>
        <w:ind w:firstLineChars="200" w:firstLine="420"/>
        <w:jc w:val="both"/>
        <w:rPr>
          <w:sz w:val="21"/>
        </w:rPr>
      </w:pPr>
      <w:r w:rsidRPr="00D034B3">
        <w:rPr>
          <w:sz w:val="21"/>
        </w:rPr>
        <w:t>本指南建立了基于细菌群落耐药响应的MSC测定技术体系，规范了检测流程和质量控制要求，提高不同研究机构和检测单位</w:t>
      </w:r>
      <w:proofErr w:type="gramStart"/>
      <w:r w:rsidRPr="00D034B3">
        <w:rPr>
          <w:sz w:val="21"/>
        </w:rPr>
        <w:t>间结果</w:t>
      </w:r>
      <w:proofErr w:type="gramEnd"/>
      <w:r w:rsidRPr="00D034B3">
        <w:rPr>
          <w:sz w:val="21"/>
        </w:rPr>
        <w:t>的可比性，为抗生素环境风险评估提供统一的技术方法。</w:t>
      </w:r>
    </w:p>
    <w:p w14:paraId="3FC37F92" w14:textId="77777777" w:rsidR="00D034B3" w:rsidRDefault="00DA1586" w:rsidP="00DA2503">
      <w:pPr>
        <w:pStyle w:val="aff1"/>
        <w:spacing w:before="0" w:beforeAutospacing="0" w:after="0" w:afterAutospacing="0" w:line="360" w:lineRule="auto"/>
        <w:jc w:val="both"/>
        <w:rPr>
          <w:sz w:val="21"/>
        </w:rPr>
      </w:pPr>
      <w:r w:rsidRPr="00D034B3">
        <w:rPr>
          <w:sz w:val="21"/>
        </w:rPr>
        <w:t>（2）有利于提升抗生素环境风险识别能力，科学指导污染防控与治理。</w:t>
      </w:r>
    </w:p>
    <w:p w14:paraId="3260FC00" w14:textId="5F32ED39" w:rsidR="00DA1586" w:rsidRPr="00D034B3" w:rsidRDefault="00DA1586" w:rsidP="00DA2503">
      <w:pPr>
        <w:pStyle w:val="aff1"/>
        <w:spacing w:before="0" w:beforeAutospacing="0" w:after="0" w:afterAutospacing="0" w:line="360" w:lineRule="auto"/>
        <w:ind w:firstLineChars="200" w:firstLine="420"/>
        <w:jc w:val="both"/>
        <w:rPr>
          <w:sz w:val="21"/>
        </w:rPr>
      </w:pPr>
      <w:r w:rsidRPr="00D034B3">
        <w:rPr>
          <w:sz w:val="21"/>
        </w:rPr>
        <w:lastRenderedPageBreak/>
        <w:t>本指南以抗生素诱导细菌耐药性选择效应为评价终点，可弥补传统基于生态毒性的风险评价方法在耐药性风险识别方面的不足，为筛选高风险抗生素、优化污染控制措施和制定精准治理策略提供科学依据。</w:t>
      </w:r>
    </w:p>
    <w:p w14:paraId="347609E4" w14:textId="77777777" w:rsidR="00D034B3" w:rsidRDefault="00DA1586" w:rsidP="00DA2503">
      <w:pPr>
        <w:pStyle w:val="aff1"/>
        <w:spacing w:before="0" w:beforeAutospacing="0" w:after="0" w:afterAutospacing="0" w:line="360" w:lineRule="auto"/>
        <w:jc w:val="both"/>
        <w:rPr>
          <w:sz w:val="21"/>
        </w:rPr>
      </w:pPr>
      <w:r w:rsidRPr="00D034B3">
        <w:rPr>
          <w:sz w:val="21"/>
        </w:rPr>
        <w:t>（3）有利于保障生态环境安全和公众健康，促进社会经济可持续发展。</w:t>
      </w:r>
    </w:p>
    <w:p w14:paraId="4DB063D1" w14:textId="0A1890BD" w:rsidR="00DA1586" w:rsidRDefault="00DA1586" w:rsidP="00DA2503">
      <w:pPr>
        <w:pStyle w:val="aff1"/>
        <w:spacing w:before="0" w:beforeAutospacing="0" w:after="0" w:afterAutospacing="0" w:line="360" w:lineRule="auto"/>
        <w:ind w:firstLineChars="200" w:firstLine="420"/>
        <w:jc w:val="both"/>
        <w:rPr>
          <w:sz w:val="21"/>
        </w:rPr>
      </w:pPr>
      <w:r w:rsidRPr="00D034B3">
        <w:rPr>
          <w:sz w:val="21"/>
        </w:rPr>
        <w:t>本指南的实施可提升水环境抗生素风险管理水平，降低环境抗生素暴露导致耐药性传播的潜在风险，为维护生态系统稳定、保障人体健康以及推动绿色健康发展提供技术支撑。</w:t>
      </w:r>
    </w:p>
    <w:p w14:paraId="6B755456" w14:textId="1A508658" w:rsidR="00D034B3" w:rsidRPr="00DA2503" w:rsidRDefault="00D034B3" w:rsidP="005D06F8">
      <w:pPr>
        <w:pStyle w:val="aff1"/>
        <w:spacing w:beforeLines="50" w:before="120" w:beforeAutospacing="0" w:afterLines="50" w:after="120" w:afterAutospacing="0" w:line="360" w:lineRule="auto"/>
        <w:outlineLvl w:val="1"/>
        <w:rPr>
          <w:rFonts w:ascii="黑体" w:eastAsia="黑体" w:hAnsi="黑体" w:cs="黑体"/>
          <w:kern w:val="2"/>
          <w:sz w:val="21"/>
          <w:szCs w:val="21"/>
        </w:rPr>
      </w:pPr>
      <w:bookmarkStart w:id="6" w:name="_Toc234489925"/>
      <w:r w:rsidRPr="00DA2503">
        <w:rPr>
          <w:rFonts w:ascii="黑体" w:eastAsia="黑体" w:hAnsi="黑体" w:cs="黑体" w:hint="eastAsia"/>
          <w:kern w:val="2"/>
          <w:sz w:val="21"/>
          <w:szCs w:val="21"/>
        </w:rPr>
        <w:t>1</w:t>
      </w:r>
      <w:r w:rsidRPr="00DA2503">
        <w:rPr>
          <w:rFonts w:ascii="黑体" w:eastAsia="黑体" w:hAnsi="黑体" w:cs="黑体"/>
          <w:kern w:val="2"/>
          <w:sz w:val="21"/>
          <w:szCs w:val="21"/>
        </w:rPr>
        <w:t xml:space="preserve">.4 </w:t>
      </w:r>
      <w:r w:rsidRPr="00DA2503">
        <w:rPr>
          <w:rFonts w:ascii="黑体" w:eastAsia="黑体" w:hAnsi="黑体" w:cs="黑体" w:hint="eastAsia"/>
          <w:kern w:val="2"/>
          <w:sz w:val="21"/>
          <w:szCs w:val="21"/>
        </w:rPr>
        <w:t>项目支撑</w:t>
      </w:r>
      <w:bookmarkEnd w:id="6"/>
    </w:p>
    <w:p w14:paraId="0A08B815" w14:textId="77777777" w:rsidR="00DA2503" w:rsidRPr="00DA2503" w:rsidRDefault="00DA2503" w:rsidP="00DA2503">
      <w:pPr>
        <w:widowControl/>
        <w:spacing w:line="360" w:lineRule="auto"/>
        <w:ind w:firstLineChars="200" w:firstLine="420"/>
        <w:jc w:val="left"/>
        <w:rPr>
          <w:kern w:val="0"/>
          <w:szCs w:val="21"/>
        </w:rPr>
      </w:pPr>
      <w:r w:rsidRPr="00DA2503">
        <w:rPr>
          <w:kern w:val="0"/>
          <w:szCs w:val="21"/>
        </w:rPr>
        <w:t>本指南的制定主要依托国家重点研发计划项目</w:t>
      </w:r>
      <w:r w:rsidRPr="00DA2503">
        <w:rPr>
          <w:kern w:val="0"/>
          <w:szCs w:val="21"/>
        </w:rPr>
        <w:t>“</w:t>
      </w:r>
      <w:r w:rsidRPr="00DA2503">
        <w:rPr>
          <w:kern w:val="0"/>
          <w:szCs w:val="21"/>
        </w:rPr>
        <w:t>水环境抗生素污染防控</w:t>
      </w:r>
      <w:r w:rsidRPr="00DA2503">
        <w:rPr>
          <w:kern w:val="0"/>
          <w:szCs w:val="21"/>
        </w:rPr>
        <w:t>NQI</w:t>
      </w:r>
      <w:r w:rsidRPr="00DA2503">
        <w:rPr>
          <w:kern w:val="0"/>
          <w:szCs w:val="21"/>
        </w:rPr>
        <w:t>关键技术集成与应用示范</w:t>
      </w:r>
      <w:r w:rsidRPr="00DA2503">
        <w:rPr>
          <w:kern w:val="0"/>
          <w:szCs w:val="21"/>
        </w:rPr>
        <w:t>”</w:t>
      </w:r>
      <w:r w:rsidRPr="00DA2503">
        <w:rPr>
          <w:kern w:val="0"/>
          <w:szCs w:val="21"/>
        </w:rPr>
        <w:t>（</w:t>
      </w:r>
      <w:r w:rsidRPr="00DA2503">
        <w:rPr>
          <w:kern w:val="0"/>
          <w:szCs w:val="21"/>
        </w:rPr>
        <w:t>2023YFF0611000</w:t>
      </w:r>
      <w:r w:rsidRPr="00DA2503">
        <w:rPr>
          <w:kern w:val="0"/>
          <w:szCs w:val="21"/>
        </w:rPr>
        <w:t>）和国家自然科学基金重大项目课题</w:t>
      </w:r>
      <w:r w:rsidRPr="00DA2503">
        <w:rPr>
          <w:kern w:val="0"/>
          <w:szCs w:val="21"/>
        </w:rPr>
        <w:t>“CECs</w:t>
      </w:r>
      <w:r w:rsidRPr="00DA2503">
        <w:rPr>
          <w:kern w:val="0"/>
          <w:szCs w:val="21"/>
        </w:rPr>
        <w:t>人体健康水质基准理论与方法</w:t>
      </w:r>
      <w:r w:rsidRPr="00DA2503">
        <w:rPr>
          <w:kern w:val="0"/>
          <w:szCs w:val="21"/>
        </w:rPr>
        <w:t>”</w:t>
      </w:r>
      <w:r w:rsidRPr="00DA2503">
        <w:rPr>
          <w:kern w:val="0"/>
          <w:szCs w:val="21"/>
        </w:rPr>
        <w:t>（</w:t>
      </w:r>
      <w:r w:rsidRPr="00DA2503">
        <w:rPr>
          <w:kern w:val="0"/>
          <w:szCs w:val="21"/>
        </w:rPr>
        <w:t>42394153</w:t>
      </w:r>
      <w:r w:rsidRPr="00DA2503">
        <w:rPr>
          <w:kern w:val="0"/>
          <w:szCs w:val="21"/>
        </w:rPr>
        <w:t>）。</w:t>
      </w:r>
    </w:p>
    <w:p w14:paraId="0B8AA8F1" w14:textId="6C00906C" w:rsidR="00DA2503" w:rsidRPr="00DA2503" w:rsidRDefault="00DA2503" w:rsidP="00DA2503">
      <w:pPr>
        <w:widowControl/>
        <w:spacing w:line="360" w:lineRule="auto"/>
        <w:ind w:firstLineChars="200" w:firstLine="420"/>
        <w:jc w:val="left"/>
        <w:rPr>
          <w:kern w:val="0"/>
          <w:szCs w:val="21"/>
        </w:rPr>
      </w:pPr>
      <w:r w:rsidRPr="00DA2503">
        <w:rPr>
          <w:kern w:val="0"/>
          <w:szCs w:val="21"/>
        </w:rPr>
        <w:t>国家重点研发计划项目：拟解决抗生素环境风险评估中剂量</w:t>
      </w:r>
      <w:r w:rsidRPr="00DA2503">
        <w:rPr>
          <w:kern w:val="0"/>
          <w:szCs w:val="21"/>
        </w:rPr>
        <w:t>-</w:t>
      </w:r>
      <w:r w:rsidRPr="00DA2503">
        <w:rPr>
          <w:kern w:val="0"/>
          <w:szCs w:val="21"/>
        </w:rPr>
        <w:t>效应关系的重大科学问题，开展抗生素胁迫</w:t>
      </w:r>
      <w:r w:rsidRPr="00DA2503">
        <w:rPr>
          <w:kern w:val="0"/>
          <w:szCs w:val="21"/>
        </w:rPr>
        <w:t xml:space="preserve">ARGs </w:t>
      </w:r>
      <w:r w:rsidRPr="00DA2503">
        <w:rPr>
          <w:kern w:val="0"/>
          <w:szCs w:val="21"/>
        </w:rPr>
        <w:t>选择性增殖研究，建立流域抗生素风险阈值获取技术，全面构建流域抗生素风险评估技术体系，为本指南中</w:t>
      </w:r>
      <w:r w:rsidRPr="00DA2503">
        <w:rPr>
          <w:kern w:val="0"/>
          <w:szCs w:val="21"/>
        </w:rPr>
        <w:t>MSC</w:t>
      </w:r>
      <w:r w:rsidRPr="00DA2503">
        <w:rPr>
          <w:kern w:val="0"/>
          <w:szCs w:val="21"/>
        </w:rPr>
        <w:t>测定方法的建立、检测流程优化及应用示范提供了技术基础。</w:t>
      </w:r>
    </w:p>
    <w:p w14:paraId="617FD893" w14:textId="5D930877" w:rsidR="00DA2503" w:rsidRPr="00DA2503" w:rsidRDefault="00DA2503" w:rsidP="00DA2503">
      <w:pPr>
        <w:autoSpaceDE w:val="0"/>
        <w:autoSpaceDN w:val="0"/>
        <w:adjustRightInd w:val="0"/>
        <w:spacing w:line="360" w:lineRule="auto"/>
        <w:ind w:firstLineChars="200" w:firstLine="420"/>
        <w:jc w:val="left"/>
        <w:rPr>
          <w:kern w:val="0"/>
          <w:szCs w:val="21"/>
        </w:rPr>
      </w:pPr>
      <w:r w:rsidRPr="00DA2503">
        <w:rPr>
          <w:kern w:val="0"/>
          <w:szCs w:val="21"/>
        </w:rPr>
        <w:t>国家自然科学基金重大项目课题主要揭示抗生素暴露对致病菌感染和耐药性传播的影响机制，获得适合抗生素的人体健康效应敏感终点。在此基础上提出适合我国国情的</w:t>
      </w:r>
      <w:r w:rsidRPr="00DA2503">
        <w:rPr>
          <w:kern w:val="0"/>
          <w:szCs w:val="21"/>
        </w:rPr>
        <w:t>CECs</w:t>
      </w:r>
      <w:r w:rsidRPr="00DA2503">
        <w:rPr>
          <w:kern w:val="0"/>
          <w:szCs w:val="21"/>
        </w:rPr>
        <w:t>人体健康水质基准理论方法，建立以致病菌感染和耐药为核心指标的抗生素人体健康水质基准新理论方法，为本指南以耐药性选择效应作为抗生素环境风险评价终点，以及建立基于微生物群落响应的</w:t>
      </w:r>
      <w:r w:rsidRPr="00DA2503">
        <w:rPr>
          <w:kern w:val="0"/>
          <w:szCs w:val="21"/>
        </w:rPr>
        <w:t>MSC</w:t>
      </w:r>
      <w:r w:rsidRPr="00DA2503">
        <w:rPr>
          <w:kern w:val="0"/>
          <w:szCs w:val="21"/>
        </w:rPr>
        <w:t>评价方法提供了理论支撑。</w:t>
      </w:r>
    </w:p>
    <w:p w14:paraId="00A473FF" w14:textId="499792B9" w:rsidR="00DA2503" w:rsidRPr="00DA2503" w:rsidRDefault="00DA2503" w:rsidP="00DA2503">
      <w:pPr>
        <w:widowControl/>
        <w:spacing w:line="360" w:lineRule="auto"/>
        <w:ind w:firstLineChars="200" w:firstLine="420"/>
        <w:jc w:val="left"/>
        <w:rPr>
          <w:rFonts w:ascii="宋体" w:hAnsi="宋体" w:cs="宋体"/>
          <w:kern w:val="0"/>
          <w:sz w:val="24"/>
        </w:rPr>
      </w:pPr>
      <w:r w:rsidRPr="00DA2503">
        <w:rPr>
          <w:kern w:val="0"/>
          <w:szCs w:val="21"/>
        </w:rPr>
        <w:t>依托上述国家科研项目，本指南系统总结了抗生素环境风险评估领域的最新研究成果，结合实际水环境管理需求，形成了基于细菌群落耐药率的</w:t>
      </w:r>
      <w:r w:rsidRPr="00DA2503">
        <w:rPr>
          <w:kern w:val="0"/>
          <w:szCs w:val="21"/>
        </w:rPr>
        <w:t>MSC</w:t>
      </w:r>
      <w:r w:rsidR="00456211">
        <w:rPr>
          <w:kern w:val="0"/>
          <w:szCs w:val="21"/>
        </w:rPr>
        <w:t>标准化测定方法，为我国抗生素等新污染物环境风险评估与精准管控</w:t>
      </w:r>
      <w:r w:rsidRPr="00DA2503">
        <w:rPr>
          <w:kern w:val="0"/>
          <w:szCs w:val="21"/>
        </w:rPr>
        <w:t>技术支撑。</w:t>
      </w:r>
    </w:p>
    <w:p w14:paraId="7487BDA6" w14:textId="77777777" w:rsidR="00DA1DEA" w:rsidRPr="00BF5185" w:rsidRDefault="004B7A31" w:rsidP="004B7A31">
      <w:pPr>
        <w:pStyle w:val="af3"/>
        <w:jc w:val="both"/>
        <w:rPr>
          <w:rFonts w:ascii="黑体" w:eastAsia="黑体" w:hAnsi="黑体"/>
          <w:b w:val="0"/>
          <w:sz w:val="21"/>
          <w:szCs w:val="21"/>
        </w:rPr>
      </w:pPr>
      <w:bookmarkStart w:id="7" w:name="_Toc73350787"/>
      <w:bookmarkStart w:id="8" w:name="_Toc234489926"/>
      <w:r w:rsidRPr="00BF5185">
        <w:rPr>
          <w:rFonts w:ascii="黑体" w:eastAsia="黑体" w:hAnsi="黑体" w:hint="eastAsia"/>
          <w:b w:val="0"/>
          <w:sz w:val="21"/>
          <w:szCs w:val="21"/>
        </w:rPr>
        <w:t>2</w:t>
      </w:r>
      <w:r w:rsidRPr="00BF5185">
        <w:rPr>
          <w:rFonts w:ascii="黑体" w:eastAsia="黑体" w:hAnsi="黑体"/>
          <w:b w:val="0"/>
          <w:sz w:val="21"/>
          <w:szCs w:val="21"/>
        </w:rPr>
        <w:t xml:space="preserve"> </w:t>
      </w:r>
      <w:r w:rsidR="005A5F6A" w:rsidRPr="00BF5185">
        <w:rPr>
          <w:rFonts w:ascii="黑体" w:eastAsia="黑体" w:hAnsi="黑体"/>
          <w:b w:val="0"/>
          <w:sz w:val="21"/>
          <w:szCs w:val="21"/>
        </w:rPr>
        <w:t>工作简况</w:t>
      </w:r>
      <w:bookmarkEnd w:id="7"/>
      <w:bookmarkEnd w:id="8"/>
    </w:p>
    <w:p w14:paraId="1683701C" w14:textId="77777777" w:rsidR="00AF48A7" w:rsidRPr="00BF5185" w:rsidRDefault="00DA1DEA" w:rsidP="001613FC">
      <w:pPr>
        <w:autoSpaceDE w:val="0"/>
        <w:autoSpaceDN w:val="0"/>
        <w:adjustRightInd w:val="0"/>
        <w:spacing w:beforeLines="50" w:before="120" w:afterLines="50" w:after="120" w:line="440" w:lineRule="exact"/>
        <w:jc w:val="left"/>
        <w:outlineLvl w:val="1"/>
        <w:rPr>
          <w:rFonts w:ascii="黑体" w:eastAsia="黑体" w:hAnsi="黑体" w:cs="黑体"/>
          <w:kern w:val="0"/>
          <w:szCs w:val="21"/>
        </w:rPr>
      </w:pPr>
      <w:bookmarkStart w:id="9" w:name="_Toc234489927"/>
      <w:r w:rsidRPr="00BF5185">
        <w:rPr>
          <w:rFonts w:ascii="黑体" w:eastAsia="黑体" w:hAnsi="黑体" w:cs="黑体" w:hint="eastAsia"/>
          <w:kern w:val="0"/>
          <w:szCs w:val="21"/>
        </w:rPr>
        <w:t>2</w:t>
      </w:r>
      <w:r w:rsidRPr="00BF5185">
        <w:rPr>
          <w:rFonts w:ascii="黑体" w:eastAsia="黑体" w:hAnsi="黑体" w:cs="黑体"/>
          <w:kern w:val="0"/>
          <w:szCs w:val="21"/>
        </w:rPr>
        <w:t>.1</w:t>
      </w:r>
      <w:r w:rsidR="00AF48A7" w:rsidRPr="00BF5185">
        <w:rPr>
          <w:rFonts w:ascii="黑体" w:eastAsia="黑体" w:hAnsi="黑体" w:cs="黑体" w:hint="eastAsia"/>
          <w:kern w:val="0"/>
          <w:szCs w:val="21"/>
        </w:rPr>
        <w:t>标准主要起草单位和起草人及其所做的工作</w:t>
      </w:r>
      <w:bookmarkEnd w:id="9"/>
    </w:p>
    <w:p w14:paraId="4B709DBD" w14:textId="77777777" w:rsidR="00AF48A7" w:rsidRPr="00BF5185" w:rsidRDefault="00AF48A7" w:rsidP="001613FC">
      <w:pPr>
        <w:spacing w:line="440" w:lineRule="exact"/>
        <w:ind w:firstLineChars="200" w:firstLine="420"/>
        <w:rPr>
          <w:rFonts w:ascii="宋体" w:hAnsi="宋体"/>
          <w:szCs w:val="21"/>
        </w:rPr>
      </w:pPr>
      <w:r w:rsidRPr="00BF5185">
        <w:rPr>
          <w:rFonts w:ascii="宋体" w:hAnsi="宋体" w:hint="eastAsia"/>
          <w:szCs w:val="21"/>
        </w:rPr>
        <w:t>主要参加单位、工作组成员及其负责的工作如表1所示。</w:t>
      </w:r>
    </w:p>
    <w:p w14:paraId="3A604503" w14:textId="77777777" w:rsidR="00AF48A7" w:rsidRPr="00BF5185" w:rsidRDefault="00AF48A7" w:rsidP="001613FC">
      <w:pPr>
        <w:adjustRightInd w:val="0"/>
        <w:snapToGrid w:val="0"/>
        <w:spacing w:line="440" w:lineRule="exact"/>
        <w:jc w:val="center"/>
        <w:rPr>
          <w:rFonts w:eastAsia="黑体"/>
          <w:sz w:val="18"/>
          <w:szCs w:val="18"/>
        </w:rPr>
      </w:pPr>
      <w:r w:rsidRPr="00BF5185">
        <w:rPr>
          <w:rFonts w:eastAsia="黑体"/>
          <w:sz w:val="18"/>
          <w:szCs w:val="18"/>
        </w:rPr>
        <w:t>表</w:t>
      </w:r>
      <w:r w:rsidRPr="00BF5185">
        <w:rPr>
          <w:rFonts w:eastAsia="黑体" w:hint="eastAsia"/>
          <w:sz w:val="18"/>
          <w:szCs w:val="18"/>
        </w:rPr>
        <w:t>1</w:t>
      </w:r>
      <w:r w:rsidRPr="00BF5185">
        <w:rPr>
          <w:rFonts w:eastAsia="黑体"/>
          <w:sz w:val="18"/>
          <w:szCs w:val="18"/>
        </w:rPr>
        <w:t xml:space="preserve"> </w:t>
      </w:r>
      <w:r w:rsidRPr="00BF5185">
        <w:rPr>
          <w:rFonts w:eastAsia="黑体"/>
          <w:sz w:val="18"/>
          <w:szCs w:val="18"/>
        </w:rPr>
        <w:t>主要参与成员及工作内容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01"/>
        <w:gridCol w:w="2338"/>
        <w:gridCol w:w="1108"/>
        <w:gridCol w:w="4033"/>
      </w:tblGrid>
      <w:tr w:rsidR="00FD1E87" w:rsidRPr="00BF5185" w14:paraId="77679623" w14:textId="77777777" w:rsidTr="007D0724">
        <w:trPr>
          <w:jc w:val="center"/>
        </w:trPr>
        <w:tc>
          <w:tcPr>
            <w:tcW w:w="801" w:type="dxa"/>
            <w:tcBorders>
              <w:top w:val="single" w:sz="12" w:space="0" w:color="auto"/>
              <w:bottom w:val="single" w:sz="12" w:space="0" w:color="auto"/>
            </w:tcBorders>
            <w:shd w:val="clear" w:color="auto" w:fill="auto"/>
          </w:tcPr>
          <w:p w14:paraId="1A444667"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hint="eastAsia"/>
                <w:b/>
                <w:bCs/>
                <w:sz w:val="18"/>
                <w:szCs w:val="18"/>
              </w:rPr>
              <w:t>序号</w:t>
            </w:r>
          </w:p>
        </w:tc>
        <w:tc>
          <w:tcPr>
            <w:tcW w:w="2338" w:type="dxa"/>
            <w:tcBorders>
              <w:top w:val="single" w:sz="12" w:space="0" w:color="auto"/>
              <w:bottom w:val="single" w:sz="12" w:space="0" w:color="auto"/>
            </w:tcBorders>
            <w:shd w:val="clear" w:color="auto" w:fill="auto"/>
            <w:vAlign w:val="center"/>
          </w:tcPr>
          <w:p w14:paraId="484DADBE"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b/>
                <w:bCs/>
                <w:sz w:val="18"/>
                <w:szCs w:val="18"/>
              </w:rPr>
              <w:t>主要参加单位</w:t>
            </w:r>
          </w:p>
        </w:tc>
        <w:tc>
          <w:tcPr>
            <w:tcW w:w="1108" w:type="dxa"/>
            <w:tcBorders>
              <w:top w:val="single" w:sz="12" w:space="0" w:color="auto"/>
              <w:bottom w:val="single" w:sz="12" w:space="0" w:color="auto"/>
            </w:tcBorders>
            <w:shd w:val="clear" w:color="auto" w:fill="auto"/>
            <w:vAlign w:val="center"/>
          </w:tcPr>
          <w:p w14:paraId="670F2112"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b/>
                <w:bCs/>
                <w:sz w:val="18"/>
                <w:szCs w:val="18"/>
              </w:rPr>
              <w:t>成员</w:t>
            </w:r>
          </w:p>
        </w:tc>
        <w:tc>
          <w:tcPr>
            <w:tcW w:w="4033" w:type="dxa"/>
            <w:tcBorders>
              <w:top w:val="single" w:sz="12" w:space="0" w:color="auto"/>
              <w:bottom w:val="single" w:sz="12" w:space="0" w:color="auto"/>
            </w:tcBorders>
            <w:shd w:val="clear" w:color="auto" w:fill="auto"/>
            <w:vAlign w:val="center"/>
          </w:tcPr>
          <w:p w14:paraId="4A74A194"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b/>
                <w:bCs/>
                <w:sz w:val="18"/>
                <w:szCs w:val="18"/>
              </w:rPr>
              <w:t>主要工作</w:t>
            </w:r>
          </w:p>
        </w:tc>
      </w:tr>
      <w:tr w:rsidR="00FD1E87" w:rsidRPr="00BF5185" w14:paraId="1766B49C" w14:textId="77777777" w:rsidTr="007D0724">
        <w:trPr>
          <w:jc w:val="center"/>
        </w:trPr>
        <w:tc>
          <w:tcPr>
            <w:tcW w:w="801" w:type="dxa"/>
            <w:tcBorders>
              <w:top w:val="single" w:sz="12" w:space="0" w:color="auto"/>
            </w:tcBorders>
            <w:shd w:val="clear" w:color="auto" w:fill="auto"/>
          </w:tcPr>
          <w:p w14:paraId="5BF7A1B8"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hint="eastAsia"/>
                <w:b/>
                <w:bCs/>
                <w:sz w:val="18"/>
                <w:szCs w:val="18"/>
              </w:rPr>
              <w:t>1</w:t>
            </w:r>
          </w:p>
        </w:tc>
        <w:tc>
          <w:tcPr>
            <w:tcW w:w="2338" w:type="dxa"/>
            <w:tcBorders>
              <w:top w:val="single" w:sz="12" w:space="0" w:color="auto"/>
            </w:tcBorders>
            <w:shd w:val="clear" w:color="auto" w:fill="auto"/>
            <w:vAlign w:val="center"/>
          </w:tcPr>
          <w:p w14:paraId="4603E3FD"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hint="eastAsia"/>
                <w:b/>
                <w:bCs/>
                <w:sz w:val="18"/>
                <w:szCs w:val="18"/>
              </w:rPr>
              <w:t>南京大学</w:t>
            </w:r>
          </w:p>
        </w:tc>
        <w:tc>
          <w:tcPr>
            <w:tcW w:w="1108" w:type="dxa"/>
            <w:tcBorders>
              <w:top w:val="single" w:sz="12" w:space="0" w:color="auto"/>
            </w:tcBorders>
            <w:shd w:val="clear" w:color="auto" w:fill="auto"/>
            <w:vAlign w:val="center"/>
          </w:tcPr>
          <w:p w14:paraId="1E4E3A14" w14:textId="77777777" w:rsidR="00AF48A7" w:rsidRPr="00BF5185" w:rsidRDefault="00AF48A7" w:rsidP="001613FC">
            <w:pPr>
              <w:adjustRightInd w:val="0"/>
              <w:snapToGrid w:val="0"/>
              <w:spacing w:line="440" w:lineRule="exact"/>
              <w:jc w:val="center"/>
              <w:rPr>
                <w:rFonts w:eastAsia="等线 Light"/>
                <w:b/>
                <w:bCs/>
                <w:sz w:val="18"/>
                <w:szCs w:val="18"/>
              </w:rPr>
            </w:pPr>
            <w:proofErr w:type="gramStart"/>
            <w:r w:rsidRPr="00BF5185">
              <w:rPr>
                <w:rFonts w:eastAsia="等线 Light" w:hint="eastAsia"/>
                <w:b/>
                <w:bCs/>
                <w:sz w:val="18"/>
                <w:szCs w:val="18"/>
              </w:rPr>
              <w:t>罗义</w:t>
            </w:r>
            <w:proofErr w:type="gramEnd"/>
          </w:p>
        </w:tc>
        <w:tc>
          <w:tcPr>
            <w:tcW w:w="4033" w:type="dxa"/>
            <w:tcBorders>
              <w:top w:val="single" w:sz="12" w:space="0" w:color="auto"/>
            </w:tcBorders>
            <w:shd w:val="clear" w:color="auto" w:fill="auto"/>
            <w:vAlign w:val="center"/>
          </w:tcPr>
          <w:p w14:paraId="3A16CA96" w14:textId="6EAA998F" w:rsidR="00AF48A7" w:rsidRPr="00BF5185" w:rsidRDefault="00AF48A7" w:rsidP="00FD1E87">
            <w:pPr>
              <w:adjustRightInd w:val="0"/>
              <w:snapToGrid w:val="0"/>
              <w:spacing w:line="440" w:lineRule="exact"/>
              <w:jc w:val="center"/>
              <w:rPr>
                <w:rFonts w:eastAsia="等线 Light"/>
                <w:b/>
                <w:bCs/>
                <w:sz w:val="18"/>
                <w:szCs w:val="18"/>
              </w:rPr>
            </w:pPr>
            <w:r w:rsidRPr="00BF5185">
              <w:rPr>
                <w:rFonts w:eastAsia="等线 Light"/>
                <w:b/>
                <w:bCs/>
                <w:sz w:val="18"/>
                <w:szCs w:val="18"/>
              </w:rPr>
              <w:t>负责方案确定，资料查询、标准制定、编制说明编写、组织和协调</w:t>
            </w:r>
            <w:r w:rsidR="007D0724" w:rsidRPr="00BF5185">
              <w:rPr>
                <w:rFonts w:eastAsia="等线 Light" w:hint="eastAsia"/>
                <w:b/>
                <w:bCs/>
                <w:sz w:val="18"/>
                <w:szCs w:val="18"/>
              </w:rPr>
              <w:t>等</w:t>
            </w:r>
            <w:r w:rsidRPr="00BF5185">
              <w:rPr>
                <w:rFonts w:eastAsia="等线 Light"/>
                <w:b/>
                <w:bCs/>
                <w:sz w:val="18"/>
                <w:szCs w:val="18"/>
              </w:rPr>
              <w:t>工作</w:t>
            </w:r>
          </w:p>
        </w:tc>
      </w:tr>
      <w:tr w:rsidR="00FD1E87" w:rsidRPr="00BF5185" w14:paraId="76EF2AD9" w14:textId="77777777" w:rsidTr="007D0724">
        <w:trPr>
          <w:jc w:val="center"/>
        </w:trPr>
        <w:tc>
          <w:tcPr>
            <w:tcW w:w="801" w:type="dxa"/>
            <w:shd w:val="clear" w:color="auto" w:fill="auto"/>
          </w:tcPr>
          <w:p w14:paraId="5A2B8F86" w14:textId="77777777" w:rsidR="00AF48A7" w:rsidRPr="00BF5185" w:rsidRDefault="00AF48A7" w:rsidP="001613FC">
            <w:pPr>
              <w:adjustRightInd w:val="0"/>
              <w:snapToGrid w:val="0"/>
              <w:spacing w:line="440" w:lineRule="exact"/>
              <w:jc w:val="center"/>
              <w:rPr>
                <w:rFonts w:eastAsia="等线 Light"/>
                <w:b/>
                <w:bCs/>
                <w:sz w:val="18"/>
                <w:szCs w:val="18"/>
              </w:rPr>
            </w:pPr>
            <w:r w:rsidRPr="00BF5185">
              <w:rPr>
                <w:rFonts w:eastAsia="等线 Light" w:hint="eastAsia"/>
                <w:b/>
                <w:bCs/>
                <w:sz w:val="18"/>
                <w:szCs w:val="18"/>
              </w:rPr>
              <w:t>2</w:t>
            </w:r>
          </w:p>
        </w:tc>
        <w:tc>
          <w:tcPr>
            <w:tcW w:w="2338" w:type="dxa"/>
            <w:shd w:val="clear" w:color="auto" w:fill="auto"/>
            <w:vAlign w:val="center"/>
          </w:tcPr>
          <w:p w14:paraId="542DF320" w14:textId="2AFDFDD4" w:rsidR="00AF48A7" w:rsidRPr="00BF5185" w:rsidRDefault="007D0724" w:rsidP="001613FC">
            <w:pPr>
              <w:adjustRightInd w:val="0"/>
              <w:snapToGrid w:val="0"/>
              <w:spacing w:line="440" w:lineRule="exact"/>
              <w:jc w:val="center"/>
              <w:rPr>
                <w:rFonts w:eastAsia="等线 Light"/>
                <w:b/>
                <w:bCs/>
                <w:sz w:val="18"/>
                <w:szCs w:val="18"/>
              </w:rPr>
            </w:pPr>
            <w:r w:rsidRPr="00BF5185">
              <w:rPr>
                <w:rFonts w:eastAsia="等线 Light" w:hint="eastAsia"/>
                <w:b/>
                <w:bCs/>
                <w:sz w:val="18"/>
                <w:szCs w:val="18"/>
              </w:rPr>
              <w:t>南开大学</w:t>
            </w:r>
          </w:p>
        </w:tc>
        <w:tc>
          <w:tcPr>
            <w:tcW w:w="1108" w:type="dxa"/>
            <w:shd w:val="clear" w:color="auto" w:fill="auto"/>
            <w:vAlign w:val="center"/>
          </w:tcPr>
          <w:p w14:paraId="01D4FE9A" w14:textId="5549892D" w:rsidR="00AF48A7" w:rsidRPr="00BF5185" w:rsidRDefault="007C75C0" w:rsidP="001613FC">
            <w:pPr>
              <w:adjustRightInd w:val="0"/>
              <w:snapToGrid w:val="0"/>
              <w:spacing w:line="440" w:lineRule="exact"/>
              <w:jc w:val="center"/>
              <w:rPr>
                <w:rFonts w:eastAsia="等线 Light"/>
                <w:b/>
                <w:bCs/>
                <w:sz w:val="18"/>
                <w:szCs w:val="18"/>
              </w:rPr>
            </w:pPr>
            <w:r w:rsidRPr="00BF5185">
              <w:rPr>
                <w:rFonts w:eastAsia="等线 Light" w:hint="eastAsia"/>
                <w:b/>
                <w:bCs/>
                <w:sz w:val="18"/>
                <w:szCs w:val="18"/>
              </w:rPr>
              <w:t>王娜</w:t>
            </w:r>
          </w:p>
        </w:tc>
        <w:tc>
          <w:tcPr>
            <w:tcW w:w="4033" w:type="dxa"/>
            <w:shd w:val="clear" w:color="auto" w:fill="auto"/>
            <w:vAlign w:val="center"/>
          </w:tcPr>
          <w:p w14:paraId="6338039B" w14:textId="109FB64E" w:rsidR="00AF48A7" w:rsidRPr="00BF5185" w:rsidRDefault="007D0724" w:rsidP="00FD1E87">
            <w:pPr>
              <w:adjustRightInd w:val="0"/>
              <w:snapToGrid w:val="0"/>
              <w:spacing w:line="440" w:lineRule="exact"/>
              <w:jc w:val="center"/>
              <w:rPr>
                <w:rFonts w:eastAsia="等线 Light"/>
                <w:b/>
                <w:bCs/>
                <w:sz w:val="18"/>
                <w:szCs w:val="18"/>
              </w:rPr>
            </w:pPr>
            <w:r w:rsidRPr="00BF5185">
              <w:rPr>
                <w:rFonts w:eastAsia="等线 Light" w:hint="eastAsia"/>
                <w:b/>
                <w:bCs/>
                <w:sz w:val="18"/>
                <w:szCs w:val="18"/>
              </w:rPr>
              <w:t>负责</w:t>
            </w:r>
            <w:r w:rsidRPr="00BF5185">
              <w:rPr>
                <w:rFonts w:eastAsia="等线 Light"/>
                <w:b/>
                <w:bCs/>
                <w:sz w:val="18"/>
                <w:szCs w:val="18"/>
              </w:rPr>
              <w:t>方案确定</w:t>
            </w:r>
            <w:r w:rsidRPr="00BF5185">
              <w:rPr>
                <w:rFonts w:eastAsia="等线 Light" w:hint="eastAsia"/>
                <w:b/>
                <w:bCs/>
                <w:sz w:val="18"/>
                <w:szCs w:val="18"/>
              </w:rPr>
              <w:t>、</w:t>
            </w:r>
            <w:r w:rsidRPr="00BF5185">
              <w:rPr>
                <w:rFonts w:eastAsia="等线 Light"/>
                <w:b/>
                <w:bCs/>
                <w:sz w:val="18"/>
                <w:szCs w:val="18"/>
              </w:rPr>
              <w:t>标准制定等工作</w:t>
            </w:r>
          </w:p>
        </w:tc>
      </w:tr>
      <w:tr w:rsidR="007D0724" w:rsidRPr="00BF5185" w14:paraId="6AE05A0A" w14:textId="77777777" w:rsidTr="007D0724">
        <w:trPr>
          <w:jc w:val="center"/>
        </w:trPr>
        <w:tc>
          <w:tcPr>
            <w:tcW w:w="801" w:type="dxa"/>
            <w:shd w:val="clear" w:color="auto" w:fill="auto"/>
          </w:tcPr>
          <w:p w14:paraId="504BB9FF" w14:textId="77777777"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3</w:t>
            </w:r>
          </w:p>
        </w:tc>
        <w:tc>
          <w:tcPr>
            <w:tcW w:w="2338" w:type="dxa"/>
            <w:shd w:val="clear" w:color="auto" w:fill="auto"/>
            <w:vAlign w:val="center"/>
          </w:tcPr>
          <w:p w14:paraId="042B4C86" w14:textId="45B94699"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生态环境部南京环境科学</w:t>
            </w:r>
            <w:r w:rsidRPr="00BF5185">
              <w:rPr>
                <w:rFonts w:eastAsia="等线 Light" w:hint="eastAsia"/>
                <w:b/>
                <w:bCs/>
                <w:sz w:val="18"/>
                <w:szCs w:val="18"/>
              </w:rPr>
              <w:lastRenderedPageBreak/>
              <w:t>研究所</w:t>
            </w:r>
          </w:p>
        </w:tc>
        <w:tc>
          <w:tcPr>
            <w:tcW w:w="1108" w:type="dxa"/>
            <w:shd w:val="clear" w:color="auto" w:fill="auto"/>
            <w:vAlign w:val="center"/>
          </w:tcPr>
          <w:p w14:paraId="0C235ED7" w14:textId="1D6E1436" w:rsidR="007D0724" w:rsidRPr="00BF5185" w:rsidRDefault="007C75C0"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lastRenderedPageBreak/>
              <w:t>袁青彬</w:t>
            </w:r>
          </w:p>
        </w:tc>
        <w:tc>
          <w:tcPr>
            <w:tcW w:w="4033" w:type="dxa"/>
            <w:shd w:val="clear" w:color="auto" w:fill="auto"/>
            <w:vAlign w:val="center"/>
          </w:tcPr>
          <w:p w14:paraId="43FA0D63" w14:textId="42FD69C2"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b/>
                <w:bCs/>
                <w:sz w:val="18"/>
                <w:szCs w:val="18"/>
              </w:rPr>
              <w:t>负责资料查询、标准制定、编制说明编</w:t>
            </w:r>
            <w:r w:rsidRPr="00BF5185">
              <w:rPr>
                <w:rFonts w:eastAsia="等线 Light" w:hint="eastAsia"/>
                <w:b/>
                <w:bCs/>
                <w:sz w:val="18"/>
                <w:szCs w:val="18"/>
              </w:rPr>
              <w:t>写</w:t>
            </w:r>
            <w:r w:rsidRPr="00BF5185">
              <w:rPr>
                <w:rFonts w:eastAsia="等线 Light"/>
                <w:b/>
                <w:bCs/>
                <w:sz w:val="18"/>
                <w:szCs w:val="18"/>
              </w:rPr>
              <w:t>等工作</w:t>
            </w:r>
          </w:p>
        </w:tc>
      </w:tr>
      <w:tr w:rsidR="007D0724" w:rsidRPr="00BF5185" w14:paraId="72B31759" w14:textId="77777777" w:rsidTr="007D0724">
        <w:trPr>
          <w:jc w:val="center"/>
        </w:trPr>
        <w:tc>
          <w:tcPr>
            <w:tcW w:w="801" w:type="dxa"/>
            <w:shd w:val="clear" w:color="auto" w:fill="auto"/>
          </w:tcPr>
          <w:p w14:paraId="3BEB31FC" w14:textId="77777777"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lastRenderedPageBreak/>
              <w:t>4</w:t>
            </w:r>
          </w:p>
        </w:tc>
        <w:tc>
          <w:tcPr>
            <w:tcW w:w="2338" w:type="dxa"/>
            <w:shd w:val="clear" w:color="auto" w:fill="auto"/>
            <w:vAlign w:val="center"/>
          </w:tcPr>
          <w:p w14:paraId="48E9703B" w14:textId="513AF9DC"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南京大学</w:t>
            </w:r>
          </w:p>
        </w:tc>
        <w:tc>
          <w:tcPr>
            <w:tcW w:w="1108" w:type="dxa"/>
            <w:shd w:val="clear" w:color="auto" w:fill="auto"/>
            <w:vAlign w:val="center"/>
          </w:tcPr>
          <w:p w14:paraId="3E835F8D" w14:textId="4D3972EE" w:rsidR="007D0724" w:rsidRPr="00BF5185" w:rsidRDefault="007C75C0" w:rsidP="007D0724">
            <w:pPr>
              <w:adjustRightInd w:val="0"/>
              <w:snapToGrid w:val="0"/>
              <w:spacing w:line="440" w:lineRule="exact"/>
              <w:jc w:val="center"/>
              <w:rPr>
                <w:rFonts w:eastAsia="等线 Light"/>
                <w:b/>
                <w:bCs/>
                <w:sz w:val="18"/>
                <w:szCs w:val="18"/>
              </w:rPr>
            </w:pPr>
            <w:r>
              <w:rPr>
                <w:rFonts w:eastAsia="等线 Light" w:hint="eastAsia"/>
                <w:b/>
                <w:bCs/>
                <w:sz w:val="18"/>
                <w:szCs w:val="18"/>
              </w:rPr>
              <w:t>王小龙</w:t>
            </w:r>
          </w:p>
        </w:tc>
        <w:tc>
          <w:tcPr>
            <w:tcW w:w="4033" w:type="dxa"/>
            <w:shd w:val="clear" w:color="auto" w:fill="auto"/>
            <w:vAlign w:val="center"/>
          </w:tcPr>
          <w:p w14:paraId="50F56F13" w14:textId="3601955F"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b/>
                <w:bCs/>
                <w:sz w:val="18"/>
                <w:szCs w:val="18"/>
              </w:rPr>
              <w:t>负责资料查询、标准制定、编制说明编</w:t>
            </w:r>
            <w:r w:rsidRPr="00BF5185">
              <w:rPr>
                <w:rFonts w:eastAsia="等线 Light" w:hint="eastAsia"/>
                <w:b/>
                <w:bCs/>
                <w:sz w:val="18"/>
                <w:szCs w:val="18"/>
              </w:rPr>
              <w:t>写</w:t>
            </w:r>
            <w:r w:rsidRPr="00BF5185">
              <w:rPr>
                <w:rFonts w:eastAsia="等线 Light"/>
                <w:b/>
                <w:bCs/>
                <w:sz w:val="18"/>
                <w:szCs w:val="18"/>
              </w:rPr>
              <w:t>等工作</w:t>
            </w:r>
          </w:p>
        </w:tc>
      </w:tr>
      <w:tr w:rsidR="004E4456" w:rsidRPr="00BF5185" w14:paraId="239F891F" w14:textId="77777777" w:rsidTr="007D0724">
        <w:trPr>
          <w:jc w:val="center"/>
        </w:trPr>
        <w:tc>
          <w:tcPr>
            <w:tcW w:w="801" w:type="dxa"/>
            <w:shd w:val="clear" w:color="auto" w:fill="auto"/>
          </w:tcPr>
          <w:p w14:paraId="5B939D4D" w14:textId="77777777" w:rsidR="004E4456" w:rsidRPr="00BF5185" w:rsidRDefault="004E4456" w:rsidP="004E4456">
            <w:pPr>
              <w:adjustRightInd w:val="0"/>
              <w:snapToGrid w:val="0"/>
              <w:spacing w:line="440" w:lineRule="exact"/>
              <w:jc w:val="center"/>
              <w:rPr>
                <w:rFonts w:eastAsia="等线 Light"/>
                <w:b/>
                <w:bCs/>
                <w:sz w:val="18"/>
                <w:szCs w:val="18"/>
              </w:rPr>
            </w:pPr>
            <w:r w:rsidRPr="00BF5185">
              <w:rPr>
                <w:rFonts w:eastAsia="等线 Light" w:hint="eastAsia"/>
                <w:b/>
                <w:bCs/>
                <w:sz w:val="18"/>
                <w:szCs w:val="18"/>
              </w:rPr>
              <w:t>5</w:t>
            </w:r>
          </w:p>
        </w:tc>
        <w:tc>
          <w:tcPr>
            <w:tcW w:w="2338" w:type="dxa"/>
            <w:shd w:val="clear" w:color="auto" w:fill="auto"/>
            <w:vAlign w:val="center"/>
          </w:tcPr>
          <w:p w14:paraId="4906896F" w14:textId="357D726F" w:rsidR="004E4456" w:rsidRPr="00BF5185" w:rsidRDefault="004E4456" w:rsidP="004E4456">
            <w:pPr>
              <w:adjustRightInd w:val="0"/>
              <w:snapToGrid w:val="0"/>
              <w:spacing w:line="440" w:lineRule="exact"/>
              <w:jc w:val="center"/>
              <w:rPr>
                <w:rFonts w:eastAsia="等线 Light"/>
                <w:b/>
                <w:bCs/>
                <w:sz w:val="18"/>
                <w:szCs w:val="18"/>
              </w:rPr>
            </w:pPr>
            <w:r w:rsidRPr="00BF5185">
              <w:rPr>
                <w:rFonts w:eastAsia="等线 Light" w:hint="eastAsia"/>
                <w:b/>
                <w:bCs/>
                <w:sz w:val="18"/>
                <w:szCs w:val="18"/>
              </w:rPr>
              <w:t>生态环境部南京环境科学研究所</w:t>
            </w:r>
          </w:p>
        </w:tc>
        <w:tc>
          <w:tcPr>
            <w:tcW w:w="1108" w:type="dxa"/>
            <w:shd w:val="clear" w:color="auto" w:fill="auto"/>
            <w:vAlign w:val="center"/>
          </w:tcPr>
          <w:p w14:paraId="1AD347D6" w14:textId="016926F1" w:rsidR="004E4456" w:rsidRPr="00BF5185" w:rsidRDefault="004E4456" w:rsidP="004E4456">
            <w:pPr>
              <w:adjustRightInd w:val="0"/>
              <w:snapToGrid w:val="0"/>
              <w:spacing w:line="440" w:lineRule="exact"/>
              <w:jc w:val="center"/>
              <w:rPr>
                <w:rFonts w:eastAsia="等线 Light"/>
                <w:b/>
                <w:bCs/>
                <w:sz w:val="18"/>
                <w:szCs w:val="18"/>
              </w:rPr>
            </w:pPr>
            <w:r>
              <w:rPr>
                <w:rFonts w:eastAsia="等线 Light" w:hint="eastAsia"/>
                <w:b/>
                <w:bCs/>
                <w:sz w:val="18"/>
                <w:szCs w:val="18"/>
              </w:rPr>
              <w:t>郭欣妍</w:t>
            </w:r>
          </w:p>
        </w:tc>
        <w:tc>
          <w:tcPr>
            <w:tcW w:w="4033" w:type="dxa"/>
            <w:shd w:val="clear" w:color="auto" w:fill="auto"/>
            <w:vAlign w:val="center"/>
          </w:tcPr>
          <w:p w14:paraId="36778E6C" w14:textId="36EA2411" w:rsidR="004E4456" w:rsidRPr="00BF5185" w:rsidRDefault="004E4456" w:rsidP="004E4456">
            <w:pPr>
              <w:adjustRightInd w:val="0"/>
              <w:snapToGrid w:val="0"/>
              <w:spacing w:line="440" w:lineRule="exact"/>
              <w:jc w:val="center"/>
              <w:rPr>
                <w:rFonts w:eastAsia="等线 Light"/>
                <w:b/>
                <w:bCs/>
                <w:sz w:val="18"/>
                <w:szCs w:val="18"/>
              </w:rPr>
            </w:pPr>
            <w:r w:rsidRPr="00BF5185">
              <w:rPr>
                <w:rFonts w:eastAsia="等线 Light"/>
                <w:b/>
                <w:bCs/>
                <w:sz w:val="18"/>
                <w:szCs w:val="18"/>
              </w:rPr>
              <w:t>负责资料查询、标准制定、编制说明编</w:t>
            </w:r>
            <w:r w:rsidRPr="00BF5185">
              <w:rPr>
                <w:rFonts w:eastAsia="等线 Light" w:hint="eastAsia"/>
                <w:b/>
                <w:bCs/>
                <w:sz w:val="18"/>
                <w:szCs w:val="18"/>
              </w:rPr>
              <w:t>写</w:t>
            </w:r>
            <w:r w:rsidRPr="00BF5185">
              <w:rPr>
                <w:rFonts w:eastAsia="等线 Light"/>
                <w:b/>
                <w:bCs/>
                <w:sz w:val="18"/>
                <w:szCs w:val="18"/>
              </w:rPr>
              <w:t>等工作</w:t>
            </w:r>
          </w:p>
        </w:tc>
      </w:tr>
      <w:tr w:rsidR="007D0724" w:rsidRPr="00BF5185" w14:paraId="25D679F4" w14:textId="77777777" w:rsidTr="007D0724">
        <w:trPr>
          <w:jc w:val="center"/>
        </w:trPr>
        <w:tc>
          <w:tcPr>
            <w:tcW w:w="801" w:type="dxa"/>
            <w:shd w:val="clear" w:color="auto" w:fill="auto"/>
          </w:tcPr>
          <w:p w14:paraId="3A5C3378" w14:textId="77777777"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6</w:t>
            </w:r>
          </w:p>
        </w:tc>
        <w:tc>
          <w:tcPr>
            <w:tcW w:w="2338" w:type="dxa"/>
            <w:shd w:val="clear" w:color="auto" w:fill="auto"/>
            <w:vAlign w:val="center"/>
          </w:tcPr>
          <w:p w14:paraId="7E2F47D3" w14:textId="7F32872F" w:rsidR="007D0724" w:rsidRPr="00BF5185" w:rsidRDefault="004E4456"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南开</w:t>
            </w:r>
            <w:r w:rsidR="007D0724" w:rsidRPr="00BF5185">
              <w:rPr>
                <w:rFonts w:eastAsia="等线 Light" w:hint="eastAsia"/>
                <w:b/>
                <w:bCs/>
                <w:sz w:val="18"/>
                <w:szCs w:val="18"/>
              </w:rPr>
              <w:t>大学</w:t>
            </w:r>
          </w:p>
        </w:tc>
        <w:tc>
          <w:tcPr>
            <w:tcW w:w="1108" w:type="dxa"/>
            <w:shd w:val="clear" w:color="auto" w:fill="auto"/>
            <w:vAlign w:val="center"/>
          </w:tcPr>
          <w:p w14:paraId="76E3638F" w14:textId="4C6E03D1" w:rsidR="007D0724" w:rsidRPr="00BF5185" w:rsidRDefault="007C75C0" w:rsidP="007D0724">
            <w:pPr>
              <w:adjustRightInd w:val="0"/>
              <w:snapToGrid w:val="0"/>
              <w:spacing w:line="440" w:lineRule="exact"/>
              <w:jc w:val="center"/>
              <w:rPr>
                <w:rFonts w:eastAsia="等线 Light"/>
                <w:b/>
                <w:bCs/>
                <w:sz w:val="18"/>
                <w:szCs w:val="18"/>
              </w:rPr>
            </w:pPr>
            <w:r>
              <w:rPr>
                <w:rFonts w:eastAsia="等线 Light" w:hint="eastAsia"/>
                <w:b/>
                <w:bCs/>
                <w:sz w:val="18"/>
                <w:szCs w:val="18"/>
              </w:rPr>
              <w:t>毛大庆</w:t>
            </w:r>
          </w:p>
        </w:tc>
        <w:tc>
          <w:tcPr>
            <w:tcW w:w="4033" w:type="dxa"/>
            <w:shd w:val="clear" w:color="auto" w:fill="auto"/>
            <w:vAlign w:val="center"/>
          </w:tcPr>
          <w:p w14:paraId="0C6F532C" w14:textId="4A745C3E" w:rsidR="007D0724" w:rsidRPr="00BF5185" w:rsidRDefault="007C75C0"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负责</w:t>
            </w:r>
            <w:r w:rsidRPr="00BF5185">
              <w:rPr>
                <w:rFonts w:eastAsia="等线 Light"/>
                <w:b/>
                <w:bCs/>
                <w:sz w:val="18"/>
                <w:szCs w:val="18"/>
              </w:rPr>
              <w:t>方案确定</w:t>
            </w:r>
            <w:r w:rsidRPr="00BF5185">
              <w:rPr>
                <w:rFonts w:eastAsia="等线 Light" w:hint="eastAsia"/>
                <w:b/>
                <w:bCs/>
                <w:sz w:val="18"/>
                <w:szCs w:val="18"/>
              </w:rPr>
              <w:t>、</w:t>
            </w:r>
            <w:r w:rsidRPr="00BF5185">
              <w:rPr>
                <w:rFonts w:eastAsia="等线 Light"/>
                <w:b/>
                <w:bCs/>
                <w:sz w:val="18"/>
                <w:szCs w:val="18"/>
              </w:rPr>
              <w:t>标准制定等工作</w:t>
            </w:r>
          </w:p>
        </w:tc>
      </w:tr>
      <w:tr w:rsidR="007D0724" w:rsidRPr="00BF5185" w14:paraId="6B18B6E3" w14:textId="77777777" w:rsidTr="007D0724">
        <w:trPr>
          <w:jc w:val="center"/>
        </w:trPr>
        <w:tc>
          <w:tcPr>
            <w:tcW w:w="801" w:type="dxa"/>
            <w:shd w:val="clear" w:color="auto" w:fill="auto"/>
          </w:tcPr>
          <w:p w14:paraId="30115D9C" w14:textId="77777777"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7</w:t>
            </w:r>
          </w:p>
        </w:tc>
        <w:tc>
          <w:tcPr>
            <w:tcW w:w="2338" w:type="dxa"/>
            <w:shd w:val="clear" w:color="auto" w:fill="auto"/>
            <w:vAlign w:val="center"/>
          </w:tcPr>
          <w:p w14:paraId="2540E697" w14:textId="655A5C77"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hint="eastAsia"/>
                <w:b/>
                <w:bCs/>
                <w:sz w:val="18"/>
                <w:szCs w:val="18"/>
              </w:rPr>
              <w:t>南开大学</w:t>
            </w:r>
          </w:p>
        </w:tc>
        <w:tc>
          <w:tcPr>
            <w:tcW w:w="1108" w:type="dxa"/>
            <w:shd w:val="clear" w:color="auto" w:fill="auto"/>
            <w:vAlign w:val="center"/>
          </w:tcPr>
          <w:p w14:paraId="45DAFC2E" w14:textId="3AC8D626" w:rsidR="007D0724" w:rsidRPr="00BF5185" w:rsidRDefault="007C75C0" w:rsidP="007D0724">
            <w:pPr>
              <w:adjustRightInd w:val="0"/>
              <w:snapToGrid w:val="0"/>
              <w:spacing w:line="440" w:lineRule="exact"/>
              <w:jc w:val="center"/>
              <w:rPr>
                <w:rFonts w:eastAsia="等线 Light"/>
                <w:b/>
                <w:bCs/>
                <w:sz w:val="18"/>
                <w:szCs w:val="18"/>
              </w:rPr>
            </w:pPr>
            <w:r>
              <w:rPr>
                <w:rFonts w:eastAsia="等线 Light" w:hint="eastAsia"/>
                <w:b/>
                <w:bCs/>
                <w:sz w:val="18"/>
                <w:szCs w:val="18"/>
              </w:rPr>
              <w:t>杨昊飞</w:t>
            </w:r>
          </w:p>
        </w:tc>
        <w:tc>
          <w:tcPr>
            <w:tcW w:w="4033" w:type="dxa"/>
            <w:shd w:val="clear" w:color="auto" w:fill="auto"/>
            <w:vAlign w:val="center"/>
          </w:tcPr>
          <w:p w14:paraId="7D095BEE" w14:textId="4E97D649" w:rsidR="007D0724" w:rsidRPr="00BF5185" w:rsidRDefault="007D0724" w:rsidP="007D0724">
            <w:pPr>
              <w:adjustRightInd w:val="0"/>
              <w:snapToGrid w:val="0"/>
              <w:spacing w:line="440" w:lineRule="exact"/>
              <w:jc w:val="center"/>
              <w:rPr>
                <w:rFonts w:eastAsia="等线 Light"/>
                <w:b/>
                <w:bCs/>
                <w:sz w:val="18"/>
                <w:szCs w:val="18"/>
              </w:rPr>
            </w:pPr>
            <w:r w:rsidRPr="00BF5185">
              <w:rPr>
                <w:rFonts w:eastAsia="等线 Light"/>
                <w:b/>
                <w:bCs/>
                <w:sz w:val="18"/>
                <w:szCs w:val="18"/>
              </w:rPr>
              <w:t>负责资料查询、标准制定</w:t>
            </w:r>
            <w:r w:rsidRPr="00BF5185">
              <w:rPr>
                <w:rFonts w:eastAsia="等线 Light" w:hint="eastAsia"/>
                <w:b/>
                <w:bCs/>
                <w:sz w:val="18"/>
                <w:szCs w:val="18"/>
              </w:rPr>
              <w:t>等</w:t>
            </w:r>
            <w:r w:rsidRPr="00BF5185">
              <w:rPr>
                <w:rFonts w:eastAsia="等线 Light"/>
                <w:b/>
                <w:bCs/>
                <w:sz w:val="18"/>
                <w:szCs w:val="18"/>
              </w:rPr>
              <w:t>工作</w:t>
            </w:r>
          </w:p>
        </w:tc>
      </w:tr>
    </w:tbl>
    <w:p w14:paraId="72D6E150" w14:textId="55517C9B" w:rsidR="005A5F6A" w:rsidRPr="00BF5185" w:rsidRDefault="005A5F6A" w:rsidP="003769B8">
      <w:pPr>
        <w:autoSpaceDE w:val="0"/>
        <w:autoSpaceDN w:val="0"/>
        <w:adjustRightInd w:val="0"/>
        <w:spacing w:beforeLines="50" w:before="120" w:afterLines="50" w:after="120" w:line="440" w:lineRule="exact"/>
        <w:jc w:val="left"/>
        <w:outlineLvl w:val="1"/>
        <w:rPr>
          <w:rFonts w:ascii="黑体" w:eastAsia="黑体" w:hAnsi="黑体" w:cs="黑体"/>
          <w:kern w:val="0"/>
          <w:szCs w:val="21"/>
        </w:rPr>
      </w:pPr>
      <w:bookmarkStart w:id="10" w:name="_Toc234489928"/>
      <w:r w:rsidRPr="00BF5185">
        <w:rPr>
          <w:rFonts w:ascii="黑体" w:eastAsia="黑体" w:hAnsi="黑体" w:cs="黑体"/>
          <w:kern w:val="0"/>
          <w:szCs w:val="21"/>
        </w:rPr>
        <w:t>2.</w:t>
      </w:r>
      <w:r w:rsidR="00DA1DEA" w:rsidRPr="00BF5185">
        <w:rPr>
          <w:rFonts w:ascii="黑体" w:eastAsia="黑体" w:hAnsi="黑体" w:cs="黑体"/>
          <w:kern w:val="0"/>
          <w:szCs w:val="21"/>
        </w:rPr>
        <w:t>2</w:t>
      </w:r>
      <w:r w:rsidRPr="00BF5185">
        <w:rPr>
          <w:rFonts w:ascii="黑体" w:eastAsia="黑体" w:hAnsi="黑体" w:cs="黑体"/>
          <w:kern w:val="0"/>
          <w:szCs w:val="21"/>
        </w:rPr>
        <w:t xml:space="preserve"> 主要工作过程</w:t>
      </w:r>
      <w:bookmarkEnd w:id="10"/>
    </w:p>
    <w:p w14:paraId="388EA36A" w14:textId="23F05713" w:rsidR="005A5F6A" w:rsidRPr="00BF5185" w:rsidRDefault="005A5F6A" w:rsidP="007C75C0">
      <w:pPr>
        <w:snapToGrid w:val="0"/>
        <w:spacing w:after="120" w:line="440" w:lineRule="exact"/>
        <w:ind w:right="-1" w:firstLine="420"/>
      </w:pPr>
      <w:r w:rsidRPr="00BF5185">
        <w:t>202</w:t>
      </w:r>
      <w:r w:rsidR="001E5482">
        <w:t>6</w:t>
      </w:r>
      <w:r w:rsidRPr="00BF5185">
        <w:t>年</w:t>
      </w:r>
      <w:r w:rsidR="001E5482">
        <w:t>5</w:t>
      </w:r>
      <w:r w:rsidRPr="00BF5185">
        <w:t>月</w:t>
      </w:r>
      <w:r w:rsidR="001E5482">
        <w:t>10</w:t>
      </w:r>
      <w:r w:rsidRPr="00BF5185">
        <w:t>日，</w:t>
      </w:r>
      <w:r w:rsidR="007C75C0">
        <w:rPr>
          <w:rFonts w:hint="eastAsia"/>
        </w:rPr>
        <w:t>中国</w:t>
      </w:r>
      <w:r w:rsidR="007D0724" w:rsidRPr="00BF5185">
        <w:rPr>
          <w:rFonts w:hint="eastAsia"/>
        </w:rPr>
        <w:t>环境科学学会</w:t>
      </w:r>
      <w:r w:rsidRPr="00BF5185">
        <w:t>发起团体标准立项、申报工作的通知，</w:t>
      </w:r>
      <w:r w:rsidR="00D421B7" w:rsidRPr="00BF5185">
        <w:t>南京大学</w:t>
      </w:r>
      <w:r w:rsidRPr="00BF5185">
        <w:t>为牵头单位申请《</w:t>
      </w:r>
      <w:r w:rsidR="007C75C0">
        <w:rPr>
          <w:rFonts w:hint="eastAsia"/>
        </w:rPr>
        <w:t>水体中抗生素环境风险评估</w:t>
      </w:r>
      <w:r w:rsidR="007C75C0">
        <w:rPr>
          <w:rFonts w:hint="eastAsia"/>
        </w:rPr>
        <w:t xml:space="preserve"> </w:t>
      </w:r>
      <w:r w:rsidR="0013496D">
        <w:rPr>
          <w:rFonts w:hint="eastAsia"/>
        </w:rPr>
        <w:t>最小选择浓度</w:t>
      </w:r>
      <w:r w:rsidR="007C75C0">
        <w:rPr>
          <w:rFonts w:hint="eastAsia"/>
        </w:rPr>
        <w:t>(MSC)</w:t>
      </w:r>
      <w:r w:rsidR="007C75C0">
        <w:rPr>
          <w:rFonts w:hint="eastAsia"/>
        </w:rPr>
        <w:t>的测定</w:t>
      </w:r>
      <w:r w:rsidR="007C75C0">
        <w:rPr>
          <w:rFonts w:hint="eastAsia"/>
        </w:rPr>
        <w:t xml:space="preserve"> </w:t>
      </w:r>
      <w:r w:rsidR="007C75C0">
        <w:rPr>
          <w:rFonts w:hint="eastAsia"/>
        </w:rPr>
        <w:t>细菌群落耐药率法</w:t>
      </w:r>
      <w:r w:rsidRPr="00BF5185">
        <w:t>》团体标准的起草和编制，</w:t>
      </w:r>
      <w:r w:rsidR="007D0724" w:rsidRPr="00BF5185">
        <w:rPr>
          <w:rFonts w:hint="eastAsia"/>
        </w:rPr>
        <w:t>南开大学、</w:t>
      </w:r>
      <w:r w:rsidR="00D421B7" w:rsidRPr="00BF5185">
        <w:t>生态环境部南京环境科学研究所</w:t>
      </w:r>
      <w:r w:rsidRPr="00BF5185">
        <w:t>报名参与团体标准的制定。</w:t>
      </w:r>
    </w:p>
    <w:p w14:paraId="531FDBF8" w14:textId="3CC822A6" w:rsidR="005A5F6A" w:rsidRDefault="005A5F6A" w:rsidP="003769B8">
      <w:pPr>
        <w:snapToGrid w:val="0"/>
        <w:spacing w:after="120" w:line="440" w:lineRule="exact"/>
        <w:ind w:right="-1" w:firstLine="420"/>
      </w:pPr>
      <w:r w:rsidRPr="00BF5185">
        <w:t>202</w:t>
      </w:r>
      <w:r w:rsidR="0013496D">
        <w:t>6</w:t>
      </w:r>
      <w:r w:rsidRPr="00BF5185">
        <w:t>年</w:t>
      </w:r>
      <w:r w:rsidR="001E5482">
        <w:t>6</w:t>
      </w:r>
      <w:r w:rsidR="007D0724" w:rsidRPr="00BF5185">
        <w:t>月</w:t>
      </w:r>
      <w:r w:rsidR="001E5482">
        <w:t>2</w:t>
      </w:r>
      <w:r w:rsidR="00E67C40" w:rsidRPr="00BF5185">
        <w:t>日</w:t>
      </w:r>
      <w:r w:rsidRPr="00BF5185">
        <w:t>在</w:t>
      </w:r>
      <w:r w:rsidR="007D0724" w:rsidRPr="00BF5185">
        <w:rPr>
          <w:rFonts w:hint="eastAsia"/>
        </w:rPr>
        <w:t>南京</w:t>
      </w:r>
      <w:r w:rsidRPr="00BF5185">
        <w:t>召开该标准</w:t>
      </w:r>
      <w:r w:rsidR="007C75C0">
        <w:rPr>
          <w:rFonts w:hint="eastAsia"/>
        </w:rPr>
        <w:t>立项</w:t>
      </w:r>
      <w:r w:rsidRPr="00BF5185">
        <w:t>启动会，由</w:t>
      </w:r>
      <w:r w:rsidR="00D421B7" w:rsidRPr="00BF5185">
        <w:t>南京大学、</w:t>
      </w:r>
      <w:r w:rsidR="007D0724" w:rsidRPr="00BF5185">
        <w:rPr>
          <w:rFonts w:hint="eastAsia"/>
        </w:rPr>
        <w:t>南开大学、</w:t>
      </w:r>
      <w:r w:rsidR="00D421B7" w:rsidRPr="00BF5185">
        <w:t>生态环境部南京环境科学研究所</w:t>
      </w:r>
      <w:r w:rsidRPr="00BF5185">
        <w:t>，共</w:t>
      </w:r>
      <w:r w:rsidR="007D0724" w:rsidRPr="00BF5185">
        <w:t>3</w:t>
      </w:r>
      <w:r w:rsidRPr="00BF5185">
        <w:t>家单位组成《</w:t>
      </w:r>
      <w:r w:rsidR="001E5482">
        <w:rPr>
          <w:rFonts w:hint="eastAsia"/>
        </w:rPr>
        <w:t>水体中抗生素环境风险评估</w:t>
      </w:r>
      <w:r w:rsidR="001E5482">
        <w:rPr>
          <w:rFonts w:hint="eastAsia"/>
        </w:rPr>
        <w:t xml:space="preserve"> </w:t>
      </w:r>
      <w:r w:rsidR="0013496D">
        <w:rPr>
          <w:rFonts w:hint="eastAsia"/>
        </w:rPr>
        <w:t>最小选择浓度</w:t>
      </w:r>
      <w:r w:rsidR="001E5482">
        <w:rPr>
          <w:rFonts w:hint="eastAsia"/>
        </w:rPr>
        <w:t>(MSC)</w:t>
      </w:r>
      <w:r w:rsidR="001E5482">
        <w:rPr>
          <w:rFonts w:hint="eastAsia"/>
        </w:rPr>
        <w:t>的测定</w:t>
      </w:r>
      <w:r w:rsidR="001E5482">
        <w:rPr>
          <w:rFonts w:hint="eastAsia"/>
        </w:rPr>
        <w:t xml:space="preserve"> </w:t>
      </w:r>
      <w:r w:rsidR="001E5482">
        <w:rPr>
          <w:rFonts w:hint="eastAsia"/>
        </w:rPr>
        <w:t>细菌群落耐药率法</w:t>
      </w:r>
      <w:r w:rsidRPr="00BF5185">
        <w:t>》团体标准起草小组成员单位，</w:t>
      </w:r>
      <w:r w:rsidR="007D0724" w:rsidRPr="00BF5185">
        <w:t>南京大学</w:t>
      </w:r>
      <w:r w:rsidRPr="00BF5185">
        <w:t>为牵头单位，负责团体标准立项、申报。由</w:t>
      </w:r>
      <w:r w:rsidR="001E5482" w:rsidRPr="001E5482">
        <w:rPr>
          <w:rFonts w:hint="eastAsia"/>
        </w:rPr>
        <w:t>应光国</w:t>
      </w:r>
      <w:r w:rsidR="001E5482">
        <w:rPr>
          <w:rFonts w:hint="eastAsia"/>
        </w:rPr>
        <w:t>（华南师范大学）、</w:t>
      </w:r>
      <w:r w:rsidR="001E5482" w:rsidRPr="001E5482">
        <w:rPr>
          <w:rFonts w:hint="eastAsia"/>
        </w:rPr>
        <w:t>段小丽</w:t>
      </w:r>
      <w:r w:rsidR="001E5482">
        <w:rPr>
          <w:rFonts w:hint="eastAsia"/>
        </w:rPr>
        <w:t>（北京科技大学）、牛志广（天津大学）、</w:t>
      </w:r>
      <w:r w:rsidR="001E5482" w:rsidRPr="001E5482">
        <w:rPr>
          <w:rFonts w:hint="eastAsia"/>
        </w:rPr>
        <w:t>郑晶</w:t>
      </w:r>
      <w:r w:rsidR="001E5482">
        <w:rPr>
          <w:rFonts w:hint="eastAsia"/>
        </w:rPr>
        <w:t>（中山大学）、</w:t>
      </w:r>
      <w:r w:rsidR="00CD6EDA" w:rsidRPr="00BF5185">
        <w:rPr>
          <w:rFonts w:hint="eastAsia"/>
        </w:rPr>
        <w:t>丁震（江苏省疾病控制预防中心）等</w:t>
      </w:r>
      <w:r w:rsidRPr="00BF5185">
        <w:t>专家召开了立项评审会议，专家一致通过了《</w:t>
      </w:r>
      <w:r w:rsidR="001E5482">
        <w:rPr>
          <w:rFonts w:hint="eastAsia"/>
        </w:rPr>
        <w:t>水体中抗生素环境风险评估</w:t>
      </w:r>
      <w:r w:rsidR="001E5482">
        <w:rPr>
          <w:rFonts w:hint="eastAsia"/>
        </w:rPr>
        <w:t xml:space="preserve"> </w:t>
      </w:r>
      <w:r w:rsidR="0013496D">
        <w:rPr>
          <w:rFonts w:hint="eastAsia"/>
        </w:rPr>
        <w:t>最小选择浓度</w:t>
      </w:r>
      <w:r w:rsidR="001E5482">
        <w:rPr>
          <w:rFonts w:hint="eastAsia"/>
        </w:rPr>
        <w:t>(MSC)</w:t>
      </w:r>
      <w:r w:rsidR="001E5482">
        <w:rPr>
          <w:rFonts w:hint="eastAsia"/>
        </w:rPr>
        <w:t>的测定</w:t>
      </w:r>
      <w:r w:rsidR="001E5482">
        <w:rPr>
          <w:rFonts w:hint="eastAsia"/>
        </w:rPr>
        <w:t xml:space="preserve"> </w:t>
      </w:r>
      <w:r w:rsidR="001E5482">
        <w:rPr>
          <w:rFonts w:hint="eastAsia"/>
        </w:rPr>
        <w:t>细菌群落耐药率法</w:t>
      </w:r>
      <w:r w:rsidRPr="00BF5185">
        <w:t>》的立项评审。</w:t>
      </w:r>
    </w:p>
    <w:p w14:paraId="0D2F80E2" w14:textId="1F387C89" w:rsidR="00E67C40" w:rsidRPr="00BF5185" w:rsidRDefault="00E67C40" w:rsidP="003769B8">
      <w:pPr>
        <w:snapToGrid w:val="0"/>
        <w:spacing w:after="120" w:line="440" w:lineRule="exact"/>
        <w:ind w:right="-1" w:firstLine="420"/>
      </w:pPr>
      <w:r>
        <w:rPr>
          <w:rFonts w:hint="eastAsia"/>
        </w:rPr>
        <w:t>2</w:t>
      </w:r>
      <w:r>
        <w:t>02</w:t>
      </w:r>
      <w:r w:rsidR="001E5482">
        <w:t>6</w:t>
      </w:r>
      <w:r>
        <w:rPr>
          <w:rFonts w:hint="eastAsia"/>
        </w:rPr>
        <w:t>年</w:t>
      </w:r>
      <w:r w:rsidR="001E5482">
        <w:t>xx</w:t>
      </w:r>
      <w:r>
        <w:rPr>
          <w:rFonts w:hint="eastAsia"/>
        </w:rPr>
        <w:t>月</w:t>
      </w:r>
      <w:r w:rsidR="001E5482">
        <w:t>xx</w:t>
      </w:r>
      <w:r>
        <w:rPr>
          <w:rFonts w:hint="eastAsia"/>
        </w:rPr>
        <w:t>日</w:t>
      </w:r>
      <w:r w:rsidRPr="00BF5185">
        <w:t>在</w:t>
      </w:r>
      <w:r w:rsidRPr="00BF5185">
        <w:rPr>
          <w:rFonts w:hint="eastAsia"/>
        </w:rPr>
        <w:t>南京</w:t>
      </w:r>
      <w:r w:rsidRPr="00BF5185">
        <w:t>召开</w:t>
      </w:r>
      <w:r w:rsidR="007D6754">
        <w:rPr>
          <w:rFonts w:hint="eastAsia"/>
        </w:rPr>
        <w:t>了</w:t>
      </w:r>
      <w:r>
        <w:rPr>
          <w:rFonts w:hint="eastAsia"/>
        </w:rPr>
        <w:t>初稿审查会，</w:t>
      </w:r>
      <w:r w:rsidR="007D6754">
        <w:rPr>
          <w:rFonts w:hint="eastAsia"/>
        </w:rPr>
        <w:t>邀请了</w:t>
      </w:r>
      <w:r w:rsidR="001E5482">
        <w:rPr>
          <w:rFonts w:hint="eastAsia"/>
        </w:rPr>
        <w:t>xx</w:t>
      </w:r>
      <w:r w:rsidRPr="00BF5185">
        <w:rPr>
          <w:rFonts w:hint="eastAsia"/>
        </w:rPr>
        <w:t>等</w:t>
      </w:r>
      <w:r w:rsidRPr="00BF5185">
        <w:t>专家</w:t>
      </w:r>
      <w:r>
        <w:rPr>
          <w:rFonts w:hint="eastAsia"/>
        </w:rPr>
        <w:t>对</w:t>
      </w:r>
      <w:r w:rsidRPr="00BF5185">
        <w:t>《</w:t>
      </w:r>
      <w:r w:rsidR="001E5482">
        <w:rPr>
          <w:rFonts w:hint="eastAsia"/>
        </w:rPr>
        <w:t>水体中抗生素环境风险评估</w:t>
      </w:r>
      <w:r w:rsidR="001E5482">
        <w:rPr>
          <w:rFonts w:hint="eastAsia"/>
        </w:rPr>
        <w:t xml:space="preserve"> </w:t>
      </w:r>
      <w:r w:rsidR="0013496D">
        <w:rPr>
          <w:rFonts w:hint="eastAsia"/>
        </w:rPr>
        <w:t>最小选择浓度</w:t>
      </w:r>
      <w:r w:rsidR="001E5482">
        <w:rPr>
          <w:rFonts w:hint="eastAsia"/>
        </w:rPr>
        <w:t>(MSC)</w:t>
      </w:r>
      <w:r w:rsidR="001E5482">
        <w:rPr>
          <w:rFonts w:hint="eastAsia"/>
        </w:rPr>
        <w:t>的测定</w:t>
      </w:r>
      <w:r w:rsidR="001E5482">
        <w:rPr>
          <w:rFonts w:hint="eastAsia"/>
        </w:rPr>
        <w:t xml:space="preserve"> </w:t>
      </w:r>
      <w:r w:rsidR="001E5482">
        <w:rPr>
          <w:rFonts w:hint="eastAsia"/>
        </w:rPr>
        <w:t>细菌群落耐药率法</w:t>
      </w:r>
      <w:r w:rsidRPr="00BF5185">
        <w:t>》</w:t>
      </w:r>
      <w:r>
        <w:rPr>
          <w:rFonts w:hint="eastAsia"/>
        </w:rPr>
        <w:t>提出了相关修改意见</w:t>
      </w:r>
      <w:r w:rsidRPr="00BF5185">
        <w:t>。</w:t>
      </w:r>
      <w:r w:rsidR="007D6754" w:rsidRPr="007D6754">
        <w:rPr>
          <w:rFonts w:hint="eastAsia"/>
        </w:rPr>
        <w:t>初稿审查会专家意见汇总处理表见附件</w:t>
      </w:r>
      <w:r w:rsidR="007D6754">
        <w:rPr>
          <w:rFonts w:hint="eastAsia"/>
        </w:rPr>
        <w:t>一</w:t>
      </w:r>
      <w:r w:rsidR="007D6754" w:rsidRPr="007D6754">
        <w:rPr>
          <w:rFonts w:hint="eastAsia"/>
        </w:rPr>
        <w:t>。</w:t>
      </w:r>
    </w:p>
    <w:p w14:paraId="0846975B" w14:textId="21347D86" w:rsidR="005A5F6A" w:rsidRPr="00BF5185" w:rsidRDefault="005A5F6A" w:rsidP="003769B8">
      <w:pPr>
        <w:snapToGrid w:val="0"/>
        <w:spacing w:after="120" w:line="440" w:lineRule="exact"/>
        <w:ind w:right="-1" w:firstLine="420"/>
      </w:pPr>
      <w:r w:rsidRPr="00BF5185">
        <w:t>会后，收集国内外的同类标准及相关资料起草拟出《</w:t>
      </w:r>
      <w:r w:rsidR="001E5482">
        <w:rPr>
          <w:rFonts w:hint="eastAsia"/>
        </w:rPr>
        <w:t>水体中抗生素环境风险评估</w:t>
      </w:r>
      <w:r w:rsidR="001E5482">
        <w:rPr>
          <w:rFonts w:hint="eastAsia"/>
        </w:rPr>
        <w:t xml:space="preserve"> </w:t>
      </w:r>
      <w:r w:rsidR="0013496D">
        <w:rPr>
          <w:rFonts w:hint="eastAsia"/>
        </w:rPr>
        <w:t>最小选择浓度</w:t>
      </w:r>
      <w:r w:rsidR="001E5482">
        <w:rPr>
          <w:rFonts w:hint="eastAsia"/>
        </w:rPr>
        <w:t>(MSC)</w:t>
      </w:r>
      <w:r w:rsidR="001E5482">
        <w:rPr>
          <w:rFonts w:hint="eastAsia"/>
        </w:rPr>
        <w:t>的测定</w:t>
      </w:r>
      <w:r w:rsidR="001E5482">
        <w:rPr>
          <w:rFonts w:hint="eastAsia"/>
        </w:rPr>
        <w:t xml:space="preserve"> </w:t>
      </w:r>
      <w:r w:rsidR="001E5482">
        <w:rPr>
          <w:rFonts w:hint="eastAsia"/>
        </w:rPr>
        <w:t>细菌群落耐药率法</w:t>
      </w:r>
      <w:r w:rsidRPr="00BF5185">
        <w:t>》工作组讨论稿，并将</w:t>
      </w:r>
      <w:proofErr w:type="gramStart"/>
      <w:r w:rsidRPr="00BF5185">
        <w:t>讨论稿发各</w:t>
      </w:r>
      <w:proofErr w:type="gramEnd"/>
      <w:r w:rsidRPr="00BF5185">
        <w:t>起草单位，向各参与标准起草单位征集意见和建议</w:t>
      </w:r>
      <w:r w:rsidR="007C61FE">
        <w:rPr>
          <w:rFonts w:hint="eastAsia"/>
        </w:rPr>
        <w:t>，</w:t>
      </w:r>
      <w:r w:rsidRPr="00BF5185">
        <w:t>在收集分析验证数据基础上，完成标准征求意见稿。</w:t>
      </w:r>
    </w:p>
    <w:p w14:paraId="172944DE" w14:textId="6D01B0F9" w:rsidR="005A5F6A" w:rsidRPr="00BF5185" w:rsidRDefault="005A5F6A" w:rsidP="003769B8">
      <w:pPr>
        <w:snapToGrid w:val="0"/>
        <w:spacing w:line="440" w:lineRule="exact"/>
        <w:ind w:firstLine="420"/>
      </w:pPr>
      <w:r w:rsidRPr="00BF5185">
        <w:t>202</w:t>
      </w:r>
      <w:r w:rsidR="001E5482">
        <w:t>6</w:t>
      </w:r>
      <w:r w:rsidRPr="00BF5185">
        <w:t>年</w:t>
      </w:r>
      <w:r w:rsidRPr="00BF5185">
        <w:t xml:space="preserve"> </w:t>
      </w:r>
      <w:r w:rsidR="001E5482">
        <w:t>xx</w:t>
      </w:r>
      <w:r w:rsidRPr="00BF5185">
        <w:t>月</w:t>
      </w:r>
      <w:r w:rsidR="001E5482">
        <w:t>xx</w:t>
      </w:r>
      <w:r w:rsidRPr="00BF5185">
        <w:t xml:space="preserve"> </w:t>
      </w:r>
      <w:r w:rsidRPr="00BF5185">
        <w:t>日，</w:t>
      </w:r>
      <w:r w:rsidR="001E5482">
        <w:rPr>
          <w:rFonts w:hint="eastAsia"/>
        </w:rPr>
        <w:t>中国</w:t>
      </w:r>
      <w:r w:rsidR="007C61FE" w:rsidRPr="006C001C">
        <w:rPr>
          <w:rFonts w:hint="eastAsia"/>
        </w:rPr>
        <w:t>环境科学学会</w:t>
      </w:r>
      <w:r w:rsidR="007C61FE" w:rsidRPr="006C001C">
        <w:t>向</w:t>
      </w:r>
      <w:r w:rsidRPr="00BF5185">
        <w:t>相关单位对《</w:t>
      </w:r>
      <w:r w:rsidR="001E5482">
        <w:rPr>
          <w:rFonts w:hint="eastAsia"/>
        </w:rPr>
        <w:t>水体中抗生素环境风险评估</w:t>
      </w:r>
      <w:r w:rsidR="001E5482">
        <w:rPr>
          <w:rFonts w:hint="eastAsia"/>
        </w:rPr>
        <w:t xml:space="preserve"> </w:t>
      </w:r>
      <w:r w:rsidR="0013496D">
        <w:rPr>
          <w:rFonts w:hint="eastAsia"/>
        </w:rPr>
        <w:t>最小选择浓度</w:t>
      </w:r>
      <w:r w:rsidR="001E5482">
        <w:rPr>
          <w:rFonts w:hint="eastAsia"/>
        </w:rPr>
        <w:t>(MSC)</w:t>
      </w:r>
      <w:r w:rsidR="001E5482">
        <w:rPr>
          <w:rFonts w:hint="eastAsia"/>
        </w:rPr>
        <w:t>的测定</w:t>
      </w:r>
      <w:r w:rsidR="001E5482">
        <w:rPr>
          <w:rFonts w:hint="eastAsia"/>
        </w:rPr>
        <w:t xml:space="preserve"> </w:t>
      </w:r>
      <w:r w:rsidR="001E5482">
        <w:rPr>
          <w:rFonts w:hint="eastAsia"/>
        </w:rPr>
        <w:t>细菌群落耐药率法</w:t>
      </w:r>
      <w:r w:rsidRPr="00BF5185">
        <w:t>》团体标准征求意见</w:t>
      </w:r>
      <w:proofErr w:type="gramStart"/>
      <w:r w:rsidRPr="00BF5185">
        <w:t>稿广泛</w:t>
      </w:r>
      <w:proofErr w:type="gramEnd"/>
      <w:r w:rsidRPr="00BF5185">
        <w:t>征求意见并通过</w:t>
      </w:r>
      <w:proofErr w:type="gramStart"/>
      <w:r w:rsidRPr="00BF5185">
        <w:t>协会官网向</w:t>
      </w:r>
      <w:proofErr w:type="gramEnd"/>
      <w:r w:rsidRPr="00BF5185">
        <w:t>社会公示，截止</w:t>
      </w:r>
      <w:r w:rsidRPr="00BF5185">
        <w:t>202</w:t>
      </w:r>
      <w:r w:rsidR="001E5482">
        <w:t>6</w:t>
      </w:r>
      <w:r w:rsidRPr="00BF5185">
        <w:t>年</w:t>
      </w:r>
      <w:r w:rsidR="001E5482">
        <w:t>xx</w:t>
      </w:r>
      <w:r w:rsidRPr="00BF5185">
        <w:t>月</w:t>
      </w:r>
      <w:r w:rsidR="001E5482">
        <w:t>xx</w:t>
      </w:r>
      <w:r w:rsidRPr="00BF5185">
        <w:t>日收到</w:t>
      </w:r>
      <w:r w:rsidRPr="00BF5185">
        <w:t xml:space="preserve"> </w:t>
      </w:r>
      <w:r w:rsidR="001E5482">
        <w:t>xx</w:t>
      </w:r>
      <w:r w:rsidR="003D00F2">
        <w:rPr>
          <w:rFonts w:hint="eastAsia"/>
        </w:rPr>
        <w:t>家单位的</w:t>
      </w:r>
      <w:r w:rsidR="001E5482">
        <w:t>xx</w:t>
      </w:r>
      <w:r w:rsidRPr="00BF5185">
        <w:t>条意见，整理完成</w:t>
      </w:r>
      <w:r w:rsidRPr="007C61FE">
        <w:rPr>
          <w:rFonts w:ascii="宋体" w:hAnsi="宋体"/>
        </w:rPr>
        <w:t>“标准征求意见稿意见汇总处理表”</w:t>
      </w:r>
      <w:r w:rsidR="003D00F2">
        <w:rPr>
          <w:rFonts w:hint="eastAsia"/>
        </w:rPr>
        <w:t>（附件二）</w:t>
      </w:r>
      <w:r w:rsidRPr="00BF5185">
        <w:t>，在修改采纳各方意见基础上，形成标准送审稿。</w:t>
      </w:r>
    </w:p>
    <w:p w14:paraId="2543C514" w14:textId="77777777" w:rsidR="00DA1DEA" w:rsidRPr="00BF5185" w:rsidRDefault="004B7A31" w:rsidP="003769B8">
      <w:pPr>
        <w:pStyle w:val="af3"/>
        <w:spacing w:line="440" w:lineRule="exact"/>
        <w:jc w:val="both"/>
        <w:rPr>
          <w:rFonts w:ascii="黑体" w:eastAsia="黑体" w:hAnsi="黑体"/>
          <w:b w:val="0"/>
          <w:sz w:val="21"/>
          <w:szCs w:val="21"/>
        </w:rPr>
      </w:pPr>
      <w:bookmarkStart w:id="11" w:name="_Toc73350788"/>
      <w:bookmarkStart w:id="12" w:name="_Toc234489929"/>
      <w:r w:rsidRPr="00BF5185">
        <w:rPr>
          <w:rFonts w:ascii="黑体" w:eastAsia="黑体" w:hAnsi="黑体" w:hint="eastAsia"/>
          <w:b w:val="0"/>
          <w:sz w:val="21"/>
          <w:szCs w:val="21"/>
        </w:rPr>
        <w:t>3</w:t>
      </w:r>
      <w:r w:rsidRPr="00BF5185">
        <w:rPr>
          <w:rFonts w:ascii="黑体" w:eastAsia="黑体" w:hAnsi="黑体"/>
          <w:b w:val="0"/>
          <w:sz w:val="21"/>
          <w:szCs w:val="21"/>
        </w:rPr>
        <w:t xml:space="preserve"> </w:t>
      </w:r>
      <w:r w:rsidR="005A5F6A" w:rsidRPr="00BF5185">
        <w:rPr>
          <w:rFonts w:ascii="黑体" w:eastAsia="黑体" w:hAnsi="黑体"/>
          <w:b w:val="0"/>
          <w:sz w:val="21"/>
          <w:szCs w:val="21"/>
        </w:rPr>
        <w:t>标准编制原则和确定标准的依据</w:t>
      </w:r>
      <w:bookmarkEnd w:id="11"/>
      <w:bookmarkEnd w:id="12"/>
    </w:p>
    <w:p w14:paraId="33EC4E3B" w14:textId="77777777" w:rsidR="00AF48A7" w:rsidRPr="00BF5185" w:rsidRDefault="004B7A31" w:rsidP="003769B8">
      <w:pPr>
        <w:autoSpaceDE w:val="0"/>
        <w:autoSpaceDN w:val="0"/>
        <w:adjustRightInd w:val="0"/>
        <w:spacing w:beforeLines="50" w:before="120" w:afterLines="50" w:after="120" w:line="440" w:lineRule="exact"/>
        <w:jc w:val="left"/>
        <w:outlineLvl w:val="1"/>
        <w:rPr>
          <w:rFonts w:ascii="黑体" w:eastAsia="黑体" w:hAnsi="黑体" w:cs="黑体"/>
          <w:szCs w:val="21"/>
        </w:rPr>
      </w:pPr>
      <w:bookmarkStart w:id="13" w:name="_Toc234489930"/>
      <w:r w:rsidRPr="00BF5185">
        <w:rPr>
          <w:rFonts w:ascii="黑体" w:eastAsia="黑体" w:hAnsi="黑体" w:cs="黑体"/>
          <w:szCs w:val="21"/>
        </w:rPr>
        <w:lastRenderedPageBreak/>
        <w:t xml:space="preserve">3.1 </w:t>
      </w:r>
      <w:r w:rsidR="00AF48A7" w:rsidRPr="00BF5185">
        <w:rPr>
          <w:rFonts w:ascii="黑体" w:eastAsia="黑体" w:hAnsi="黑体" w:cs="黑体" w:hint="eastAsia"/>
          <w:szCs w:val="21"/>
        </w:rPr>
        <w:t>标准编制原则</w:t>
      </w:r>
      <w:bookmarkEnd w:id="13"/>
    </w:p>
    <w:p w14:paraId="37291AC0" w14:textId="77777777" w:rsidR="00DA1586" w:rsidRPr="00DA1586" w:rsidRDefault="00DA1586" w:rsidP="00720F5D">
      <w:pPr>
        <w:widowControl/>
        <w:spacing w:line="360" w:lineRule="auto"/>
        <w:rPr>
          <w:rFonts w:ascii="宋体" w:hAnsi="宋体" w:cs="宋体"/>
          <w:kern w:val="0"/>
        </w:rPr>
      </w:pPr>
      <w:r w:rsidRPr="00DA1586">
        <w:rPr>
          <w:rFonts w:ascii="宋体" w:hAnsi="宋体" w:cs="宋体"/>
          <w:kern w:val="0"/>
        </w:rPr>
        <w:t>本文件的制定主要遵循以下原则：</w:t>
      </w:r>
    </w:p>
    <w:p w14:paraId="06C7E6A6" w14:textId="77777777" w:rsidR="00720F5D" w:rsidRDefault="00DA1586" w:rsidP="00720F5D">
      <w:pPr>
        <w:widowControl/>
        <w:spacing w:line="360" w:lineRule="auto"/>
        <w:rPr>
          <w:rFonts w:ascii="宋体" w:hAnsi="宋体" w:cs="宋体"/>
          <w:bCs/>
          <w:kern w:val="0"/>
        </w:rPr>
      </w:pPr>
      <w:r w:rsidRPr="00720F5D">
        <w:rPr>
          <w:rFonts w:ascii="宋体" w:hAnsi="宋体" w:cs="宋体"/>
          <w:bCs/>
          <w:kern w:val="0"/>
        </w:rPr>
        <w:t>（1）协调一致性原则。</w:t>
      </w:r>
    </w:p>
    <w:p w14:paraId="3EF3FD22" w14:textId="12489D51" w:rsidR="00DA1586" w:rsidRPr="00DA1586" w:rsidRDefault="00DA1586" w:rsidP="00720F5D">
      <w:pPr>
        <w:widowControl/>
        <w:spacing w:line="360" w:lineRule="auto"/>
        <w:ind w:firstLineChars="200" w:firstLine="420"/>
        <w:rPr>
          <w:rFonts w:ascii="宋体" w:hAnsi="宋体" w:cs="宋体"/>
          <w:kern w:val="0"/>
        </w:rPr>
      </w:pPr>
      <w:r w:rsidRPr="00DA1586">
        <w:rPr>
          <w:rFonts w:ascii="宋体" w:hAnsi="宋体" w:cs="宋体"/>
          <w:kern w:val="0"/>
        </w:rPr>
        <w:t>本文件遵循国家现行法律法规、环境管理要求及相关技术标准的规定，与现有化学物质环境风险评估体系保持协调一致。在标准编制过程中，参考《化学物质环境风险评估技术方法框架性指南（试行）》（</w:t>
      </w:r>
      <w:proofErr w:type="gramStart"/>
      <w:r w:rsidRPr="00DA1586">
        <w:rPr>
          <w:rFonts w:ascii="宋体" w:hAnsi="宋体" w:cs="宋体"/>
          <w:kern w:val="0"/>
        </w:rPr>
        <w:t>环办固体</w:t>
      </w:r>
      <w:proofErr w:type="gramEnd"/>
      <w:r w:rsidRPr="00DA1586">
        <w:rPr>
          <w:rFonts w:ascii="宋体" w:hAnsi="宋体" w:cs="宋体"/>
          <w:kern w:val="0"/>
        </w:rPr>
        <w:t>〔2019〕54号）、《化学物质环境健康风险评估技术指南》（WS/T 777—2021）、《优先评估化学物质筛选技术导则》（HJ 1229—2021）等相关技术文件，确保标准体系和技术要求符合我国环境风险管理需求。</w:t>
      </w:r>
    </w:p>
    <w:p w14:paraId="18A68F61" w14:textId="77777777" w:rsidR="00720F5D" w:rsidRDefault="00DA1586" w:rsidP="00720F5D">
      <w:pPr>
        <w:widowControl/>
        <w:spacing w:line="360" w:lineRule="auto"/>
        <w:rPr>
          <w:rFonts w:ascii="宋体" w:hAnsi="宋体" w:cs="宋体"/>
          <w:bCs/>
          <w:kern w:val="0"/>
        </w:rPr>
      </w:pPr>
      <w:r w:rsidRPr="00720F5D">
        <w:rPr>
          <w:rFonts w:ascii="宋体" w:hAnsi="宋体" w:cs="宋体"/>
          <w:bCs/>
          <w:kern w:val="0"/>
        </w:rPr>
        <w:t>（2）科学性、先进性和可操作性原则。</w:t>
      </w:r>
    </w:p>
    <w:p w14:paraId="3142E2D6" w14:textId="02628575" w:rsidR="00DA1586" w:rsidRPr="00DA1586" w:rsidRDefault="00DA1586" w:rsidP="00720F5D">
      <w:pPr>
        <w:widowControl/>
        <w:spacing w:line="360" w:lineRule="auto"/>
        <w:ind w:firstLineChars="200" w:firstLine="420"/>
        <w:rPr>
          <w:rFonts w:ascii="宋体" w:hAnsi="宋体" w:cs="宋体"/>
          <w:kern w:val="0"/>
        </w:rPr>
      </w:pPr>
      <w:r w:rsidRPr="00DA1586">
        <w:rPr>
          <w:rFonts w:ascii="宋体" w:hAnsi="宋体" w:cs="宋体"/>
          <w:kern w:val="0"/>
        </w:rPr>
        <w:t>本文件以抗生素环境选择压力理论和细菌耐药性风险评价方法为基础，充分调研国内外相关研究进展，结合水环境抗生素风险评估实际需求，建立基于细菌群落耐药率响应的MSC测定方法。在保证科学性的基础上，对样品采集、微宇宙暴露、耐药率检测、模型计算及质量控制等关键环节进行规范，提高方法的可重复性和实际应用可操作性。</w:t>
      </w:r>
    </w:p>
    <w:p w14:paraId="79EACB09" w14:textId="77777777" w:rsidR="00720F5D" w:rsidRDefault="00DA1586" w:rsidP="00720F5D">
      <w:pPr>
        <w:widowControl/>
        <w:spacing w:line="360" w:lineRule="auto"/>
        <w:rPr>
          <w:rFonts w:ascii="宋体" w:hAnsi="宋体" w:cs="宋体"/>
          <w:bCs/>
          <w:kern w:val="0"/>
        </w:rPr>
      </w:pPr>
      <w:r w:rsidRPr="00720F5D">
        <w:rPr>
          <w:rFonts w:ascii="宋体" w:hAnsi="宋体" w:cs="宋体"/>
          <w:bCs/>
          <w:kern w:val="0"/>
        </w:rPr>
        <w:t>（3）实用性和推广应用原则。</w:t>
      </w:r>
    </w:p>
    <w:p w14:paraId="6E04EB47" w14:textId="1D12EBBF" w:rsidR="00DA1586" w:rsidRPr="00DA1586" w:rsidRDefault="00DA1586" w:rsidP="00720F5D">
      <w:pPr>
        <w:widowControl/>
        <w:spacing w:line="360" w:lineRule="auto"/>
        <w:ind w:firstLineChars="200" w:firstLine="420"/>
        <w:rPr>
          <w:rFonts w:ascii="宋体" w:hAnsi="宋体" w:cs="宋体"/>
          <w:kern w:val="0"/>
        </w:rPr>
      </w:pPr>
      <w:r w:rsidRPr="00DA1586">
        <w:rPr>
          <w:rFonts w:ascii="宋体" w:hAnsi="宋体" w:cs="宋体"/>
          <w:kern w:val="0"/>
        </w:rPr>
        <w:t>本文件充分考虑我国水环境抗生素风险管理需求和现有环境监测技术条件，参考世界卫生组织（WHO）《Guidance on wastewater and solid waste management for manufacturing of antibiotics》以及已发布团体标准《水体中抗生素环境风险评估技术指南》（T/JSSES 39—2024），结合国内外相关研究成果，形成适用于不同水体类型的MSC测定技术体系，为我国抗生素环境风险评估方法规范化和标准化提供技术支撑。</w:t>
      </w:r>
    </w:p>
    <w:p w14:paraId="7932E25F" w14:textId="7A21BAB2" w:rsidR="005A5F6A" w:rsidRPr="00BF5185" w:rsidRDefault="00DA1DEA" w:rsidP="005D06F8">
      <w:pPr>
        <w:spacing w:line="440" w:lineRule="exact"/>
        <w:outlineLvl w:val="1"/>
        <w:rPr>
          <w:rFonts w:ascii="黑体" w:eastAsia="黑体" w:hAnsi="黑体" w:cs="黑体"/>
          <w:szCs w:val="21"/>
        </w:rPr>
      </w:pPr>
      <w:bookmarkStart w:id="14" w:name="_Toc234489931"/>
      <w:r w:rsidRPr="00BF5185">
        <w:rPr>
          <w:rFonts w:ascii="黑体" w:eastAsia="黑体" w:hAnsi="黑体" w:cs="黑体"/>
          <w:szCs w:val="21"/>
        </w:rPr>
        <w:t xml:space="preserve">3.2 </w:t>
      </w:r>
      <w:r w:rsidR="005A5F6A" w:rsidRPr="00BF5185">
        <w:rPr>
          <w:rFonts w:ascii="黑体" w:eastAsia="黑体" w:hAnsi="黑体" w:cs="黑体"/>
          <w:szCs w:val="21"/>
        </w:rPr>
        <w:t>主要条款说明</w:t>
      </w:r>
      <w:bookmarkEnd w:id="14"/>
    </w:p>
    <w:p w14:paraId="30235D89" w14:textId="53E656FA" w:rsidR="005A5F6A" w:rsidRPr="00BF5185" w:rsidRDefault="00D034B3" w:rsidP="00D034B3">
      <w:pPr>
        <w:spacing w:line="440" w:lineRule="exact"/>
        <w:ind w:firstLine="420"/>
      </w:pPr>
      <w:r>
        <w:rPr>
          <w:rFonts w:hint="eastAsia"/>
        </w:rPr>
        <w:t>本文件属于方法类标准，标准主要包括：适用范围、规范性引用文件、术语和定义、检测流程、检测方法与操作要求、质量控制与质量保证、结果报告以及附录</w:t>
      </w:r>
      <w:r>
        <w:rPr>
          <w:rFonts w:hint="eastAsia"/>
        </w:rPr>
        <w:t>A</w:t>
      </w:r>
      <w:r>
        <w:rPr>
          <w:rFonts w:hint="eastAsia"/>
        </w:rPr>
        <w:t>～</w:t>
      </w:r>
      <w:r>
        <w:rPr>
          <w:rFonts w:hint="eastAsia"/>
        </w:rPr>
        <w:t>D</w:t>
      </w:r>
      <w:r>
        <w:rPr>
          <w:rFonts w:hint="eastAsia"/>
        </w:rPr>
        <w:t>等内容。其中，检测流程、检测方法与操作要求和质量控制与质量保证构成本标准的核心技术内容，用于规范水体抗生素</w:t>
      </w:r>
      <w:r>
        <w:rPr>
          <w:rFonts w:hint="eastAsia"/>
        </w:rPr>
        <w:t>MSC</w:t>
      </w:r>
      <w:proofErr w:type="gramStart"/>
      <w:r>
        <w:rPr>
          <w:rFonts w:hint="eastAsia"/>
        </w:rPr>
        <w:t>测定全</w:t>
      </w:r>
      <w:proofErr w:type="gramEnd"/>
      <w:r>
        <w:rPr>
          <w:rFonts w:hint="eastAsia"/>
        </w:rPr>
        <w:t>过程。</w:t>
      </w:r>
    </w:p>
    <w:p w14:paraId="57C81088" w14:textId="77777777" w:rsidR="00F5413B" w:rsidRPr="00BF5185" w:rsidRDefault="00DA1DEA" w:rsidP="005D06F8">
      <w:pPr>
        <w:tabs>
          <w:tab w:val="left" w:pos="567"/>
        </w:tabs>
        <w:adjustRightInd w:val="0"/>
        <w:snapToGrid w:val="0"/>
        <w:spacing w:line="440" w:lineRule="exact"/>
        <w:outlineLvl w:val="2"/>
        <w:rPr>
          <w:rStyle w:val="afd"/>
          <w:rFonts w:ascii="黑体" w:eastAsia="黑体" w:hAnsi="黑体" w:cs="黑体"/>
          <w:b w:val="0"/>
          <w:sz w:val="21"/>
          <w:szCs w:val="21"/>
        </w:rPr>
      </w:pPr>
      <w:r w:rsidRPr="00BF5185">
        <w:rPr>
          <w:rStyle w:val="afd"/>
          <w:rFonts w:ascii="黑体" w:eastAsia="黑体" w:hAnsi="黑体" w:cs="黑体" w:hint="eastAsia"/>
          <w:b w:val="0"/>
          <w:sz w:val="21"/>
          <w:szCs w:val="21"/>
        </w:rPr>
        <w:t>3</w:t>
      </w:r>
      <w:r w:rsidRPr="00BF5185">
        <w:rPr>
          <w:rStyle w:val="afd"/>
          <w:rFonts w:ascii="黑体" w:eastAsia="黑体" w:hAnsi="黑体" w:cs="黑体"/>
          <w:b w:val="0"/>
          <w:sz w:val="21"/>
          <w:szCs w:val="21"/>
        </w:rPr>
        <w:t xml:space="preserve">.2.1 </w:t>
      </w:r>
      <w:r w:rsidR="005A5F6A" w:rsidRPr="00BF5185">
        <w:rPr>
          <w:rStyle w:val="afd"/>
          <w:rFonts w:ascii="黑体" w:eastAsia="黑体" w:hAnsi="黑体" w:cs="黑体"/>
          <w:b w:val="0"/>
          <w:sz w:val="21"/>
          <w:szCs w:val="21"/>
        </w:rPr>
        <w:t>范围</w:t>
      </w:r>
    </w:p>
    <w:p w14:paraId="5DD65882" w14:textId="77777777" w:rsidR="00135B42" w:rsidRPr="00135B42" w:rsidRDefault="00135B42" w:rsidP="00135B42">
      <w:pPr>
        <w:pStyle w:val="ac"/>
        <w:spacing w:line="440" w:lineRule="exact"/>
        <w:ind w:firstLineChars="200" w:firstLine="420"/>
        <w:rPr>
          <w:rFonts w:ascii="Times New Roman" w:hAnsi="Times New Roman" w:cs="Times New Roman"/>
        </w:rPr>
      </w:pPr>
      <w:bookmarkStart w:id="15" w:name="_bookmark1"/>
      <w:bookmarkEnd w:id="15"/>
      <w:r w:rsidRPr="00135B42">
        <w:rPr>
          <w:rFonts w:ascii="Times New Roman" w:hAnsi="Times New Roman" w:cs="Times New Roman" w:hint="eastAsia"/>
        </w:rPr>
        <w:t>本文件规定了水体中抗生素最小选择浓度（</w:t>
      </w:r>
      <w:r w:rsidRPr="00135B42">
        <w:rPr>
          <w:rFonts w:ascii="Times New Roman" w:hAnsi="Times New Roman" w:cs="Times New Roman" w:hint="eastAsia"/>
        </w:rPr>
        <w:t>MSC</w:t>
      </w:r>
      <w:r w:rsidRPr="00135B42">
        <w:rPr>
          <w:rFonts w:ascii="Times New Roman" w:hAnsi="Times New Roman" w:cs="Times New Roman" w:hint="eastAsia"/>
        </w:rPr>
        <w:t>）的检测方法—细菌群落耐药率法，涵盖样品采集、细菌提取与保存、微宇宙暴露培养、耐药率检测、</w:t>
      </w:r>
      <w:r w:rsidRPr="00135B42">
        <w:rPr>
          <w:rFonts w:ascii="Times New Roman" w:hAnsi="Times New Roman" w:cs="Times New Roman" w:hint="eastAsia"/>
        </w:rPr>
        <w:t xml:space="preserve"> MSC </w:t>
      </w:r>
      <w:r w:rsidRPr="00135B42">
        <w:rPr>
          <w:rFonts w:ascii="Times New Roman" w:hAnsi="Times New Roman" w:cs="Times New Roman" w:hint="eastAsia"/>
        </w:rPr>
        <w:t>数值推导以及质量控制和质量保证的全流程操作要求。</w:t>
      </w:r>
    </w:p>
    <w:p w14:paraId="308AD6DC" w14:textId="63CFD7CE" w:rsidR="00317496" w:rsidRDefault="00AC13D1" w:rsidP="00135B42">
      <w:pPr>
        <w:pStyle w:val="ac"/>
        <w:spacing w:line="440" w:lineRule="exact"/>
        <w:ind w:firstLineChars="200" w:firstLine="420"/>
        <w:rPr>
          <w:rFonts w:cs="方正仿宋_GBK"/>
        </w:rPr>
      </w:pPr>
      <w:r w:rsidRPr="00AC13D1">
        <w:rPr>
          <w:rFonts w:hint="eastAsia"/>
        </w:rPr>
        <w:t>本文件适用于存在抗生素输入风险的水环境样品中抗生素最小选择浓度（MSC）的测定，包括地表水等典型水体样品。对于地下水、饮用水及生活污水、养殖废水、抗生素制药废水等其他类型水样，可参考本文件开展MSC测定，并应结合不同水体微生物群落特征和样品背景条件对实验参数进行适当优化。</w:t>
      </w:r>
      <w:r>
        <w:t>编制团队前期主要基于地表水样品开展方法验证，结果表</w:t>
      </w:r>
      <w:r>
        <w:lastRenderedPageBreak/>
        <w:t>明该方法能够有效表征天然微生物群落对抗生素暴露的选择响应。考虑到不同水体在微生物群落组成、营养水平及污染背景等方面存在差异，地下水、饮用水及不同类型废水样品在应用该方法时，需结合实际样品特征进一步优化实验条件并开展适用性验证</w:t>
      </w:r>
      <w:r w:rsidR="00135B42" w:rsidRPr="00135B42">
        <w:rPr>
          <w:rFonts w:ascii="Times New Roman" w:hAnsi="Times New Roman" w:cs="Times New Roman" w:hint="eastAsia"/>
        </w:rPr>
        <w:t>。</w:t>
      </w:r>
    </w:p>
    <w:p w14:paraId="6136EA15" w14:textId="77777777" w:rsidR="005A5F6A" w:rsidRPr="00BF5185" w:rsidRDefault="00DA1DEA" w:rsidP="005D06F8">
      <w:pPr>
        <w:tabs>
          <w:tab w:val="left" w:pos="567"/>
        </w:tabs>
        <w:adjustRightInd w:val="0"/>
        <w:snapToGrid w:val="0"/>
        <w:spacing w:line="440" w:lineRule="exact"/>
        <w:outlineLvl w:val="2"/>
        <w:rPr>
          <w:rStyle w:val="afd"/>
          <w:rFonts w:ascii="黑体" w:eastAsia="黑体" w:hAnsi="黑体" w:cs="黑体"/>
          <w:b w:val="0"/>
          <w:sz w:val="21"/>
          <w:szCs w:val="21"/>
        </w:rPr>
      </w:pPr>
      <w:r w:rsidRPr="00BF5185">
        <w:rPr>
          <w:rStyle w:val="afd"/>
          <w:rFonts w:ascii="黑体" w:eastAsia="黑体" w:hAnsi="黑体" w:cs="黑体" w:hint="eastAsia"/>
          <w:b w:val="0"/>
          <w:sz w:val="21"/>
          <w:szCs w:val="21"/>
        </w:rPr>
        <w:t>3</w:t>
      </w:r>
      <w:r w:rsidRPr="00BF5185">
        <w:rPr>
          <w:rStyle w:val="afd"/>
          <w:rFonts w:ascii="黑体" w:eastAsia="黑体" w:hAnsi="黑体" w:cs="黑体"/>
          <w:b w:val="0"/>
          <w:sz w:val="21"/>
          <w:szCs w:val="21"/>
        </w:rPr>
        <w:t xml:space="preserve">.2.2 </w:t>
      </w:r>
      <w:r w:rsidR="005A5F6A" w:rsidRPr="00BF5185">
        <w:rPr>
          <w:rStyle w:val="afd"/>
          <w:rFonts w:ascii="黑体" w:eastAsia="黑体" w:hAnsi="黑体" w:cs="黑体"/>
          <w:b w:val="0"/>
          <w:sz w:val="21"/>
          <w:szCs w:val="21"/>
        </w:rPr>
        <w:t>规范性引用文件</w:t>
      </w:r>
    </w:p>
    <w:p w14:paraId="255DE332" w14:textId="08498C73" w:rsidR="00F27FEF" w:rsidRPr="00BF5185" w:rsidRDefault="00847635" w:rsidP="00135B42">
      <w:pPr>
        <w:pStyle w:val="ac"/>
        <w:spacing w:line="440" w:lineRule="exact"/>
        <w:ind w:firstLineChars="200" w:firstLine="420"/>
        <w:rPr>
          <w:rFonts w:cs="方正仿宋_GBK"/>
        </w:rPr>
      </w:pPr>
      <w:r w:rsidRPr="00BF5185">
        <w:rPr>
          <w:rFonts w:cs="方正仿宋_GBK" w:hint="eastAsia"/>
        </w:rPr>
        <w:t>本文件的部分</w:t>
      </w:r>
      <w:r w:rsidR="00F27FEF" w:rsidRPr="00BF5185">
        <w:rPr>
          <w:rFonts w:cs="方正仿宋_GBK" w:hint="eastAsia"/>
        </w:rPr>
        <w:t>流程</w:t>
      </w:r>
      <w:r w:rsidRPr="00BF5185">
        <w:rPr>
          <w:rFonts w:cs="方正仿宋_GBK" w:hint="eastAsia"/>
        </w:rPr>
        <w:t>参考</w:t>
      </w:r>
      <w:r w:rsidRPr="00697700">
        <w:rPr>
          <w:rFonts w:ascii="Times New Roman" w:hAnsi="Times New Roman" w:cs="Times New Roman"/>
        </w:rPr>
        <w:t>了</w:t>
      </w:r>
      <w:r w:rsidR="00135B42" w:rsidRPr="00697700">
        <w:rPr>
          <w:rFonts w:ascii="Times New Roman" w:hAnsi="Times New Roman" w:cs="Times New Roman"/>
        </w:rPr>
        <w:t xml:space="preserve">GB8978-1996 </w:t>
      </w:r>
      <w:r w:rsidR="00135B42" w:rsidRPr="00697700">
        <w:rPr>
          <w:rFonts w:ascii="Times New Roman" w:hAnsi="Times New Roman" w:cs="Times New Roman"/>
        </w:rPr>
        <w:t>《污水综合排放标准》、</w:t>
      </w:r>
      <w:r w:rsidR="00135B42" w:rsidRPr="00697700">
        <w:rPr>
          <w:rFonts w:ascii="Times New Roman" w:hAnsi="Times New Roman" w:cs="Times New Roman"/>
        </w:rPr>
        <w:t xml:space="preserve">GB 3838-2002 </w:t>
      </w:r>
      <w:r w:rsidR="00135B42" w:rsidRPr="00697700">
        <w:rPr>
          <w:rFonts w:ascii="Times New Roman" w:hAnsi="Times New Roman" w:cs="Times New Roman"/>
        </w:rPr>
        <w:t>《地表水环境质量标准》、</w:t>
      </w:r>
      <w:r w:rsidR="00135B42" w:rsidRPr="00697700">
        <w:rPr>
          <w:rFonts w:ascii="Times New Roman" w:hAnsi="Times New Roman" w:cs="Times New Roman"/>
        </w:rPr>
        <w:t xml:space="preserve">GB 21903-2008 </w:t>
      </w:r>
      <w:r w:rsidR="00135B42" w:rsidRPr="00697700">
        <w:rPr>
          <w:rFonts w:ascii="Times New Roman" w:hAnsi="Times New Roman" w:cs="Times New Roman"/>
        </w:rPr>
        <w:t>《发酵类制药工业水污染物排放标准》、</w:t>
      </w:r>
      <w:r w:rsidR="00135B42" w:rsidRPr="00697700">
        <w:rPr>
          <w:rFonts w:ascii="Times New Roman" w:hAnsi="Times New Roman" w:cs="Times New Roman"/>
        </w:rPr>
        <w:t xml:space="preserve">GB 21904-2008 </w:t>
      </w:r>
      <w:r w:rsidR="00135B42" w:rsidRPr="00697700">
        <w:rPr>
          <w:rFonts w:ascii="Times New Roman" w:hAnsi="Times New Roman" w:cs="Times New Roman"/>
        </w:rPr>
        <w:t>《化学合成类制药工业水污染物排放标准》、</w:t>
      </w:r>
      <w:r w:rsidR="00135B42" w:rsidRPr="00697700">
        <w:rPr>
          <w:rFonts w:ascii="Times New Roman" w:hAnsi="Times New Roman" w:cs="Times New Roman"/>
        </w:rPr>
        <w:t xml:space="preserve">GB 21907-2008 </w:t>
      </w:r>
      <w:r w:rsidR="00135B42" w:rsidRPr="00697700">
        <w:rPr>
          <w:rFonts w:ascii="Times New Roman" w:hAnsi="Times New Roman" w:cs="Times New Roman"/>
        </w:rPr>
        <w:t>《生物工程类制药工业水污染物排放标准》、</w:t>
      </w:r>
      <w:r w:rsidR="00135B42" w:rsidRPr="00697700">
        <w:rPr>
          <w:rFonts w:ascii="Times New Roman" w:hAnsi="Times New Roman" w:cs="Times New Roman"/>
        </w:rPr>
        <w:t xml:space="preserve">GB/T 14848-2017 </w:t>
      </w:r>
      <w:r w:rsidR="00135B42" w:rsidRPr="00697700">
        <w:rPr>
          <w:rFonts w:ascii="Times New Roman" w:hAnsi="Times New Roman" w:cs="Times New Roman"/>
        </w:rPr>
        <w:t>《地下水质量标准》、</w:t>
      </w:r>
      <w:r w:rsidR="00135B42" w:rsidRPr="00697700">
        <w:rPr>
          <w:rFonts w:ascii="Times New Roman" w:hAnsi="Times New Roman" w:cs="Times New Roman"/>
        </w:rPr>
        <w:t>HJ 91.2</w:t>
      </w:r>
      <w:r w:rsidR="001F7EE8">
        <w:rPr>
          <w:rFonts w:ascii="Times New Roman" w:hAnsi="Times New Roman" w:cs="Times New Roman"/>
        </w:rPr>
        <w:t>-2022</w:t>
      </w:r>
      <w:r w:rsidR="00135B42" w:rsidRPr="00697700">
        <w:rPr>
          <w:rFonts w:ascii="Times New Roman" w:hAnsi="Times New Roman" w:cs="Times New Roman"/>
        </w:rPr>
        <w:t xml:space="preserve"> </w:t>
      </w:r>
      <w:r w:rsidR="00135B42" w:rsidRPr="00697700">
        <w:rPr>
          <w:rFonts w:ascii="Times New Roman" w:hAnsi="Times New Roman" w:cs="Times New Roman"/>
        </w:rPr>
        <w:t>《地表水环境质量监测技术规范》、</w:t>
      </w:r>
      <w:r w:rsidR="00135B42" w:rsidRPr="00697700">
        <w:rPr>
          <w:rFonts w:ascii="Times New Roman" w:hAnsi="Times New Roman" w:cs="Times New Roman"/>
        </w:rPr>
        <w:t>HJ 164</w:t>
      </w:r>
      <w:r w:rsidR="001F7EE8">
        <w:rPr>
          <w:rFonts w:ascii="Times New Roman" w:hAnsi="Times New Roman" w:cs="Times New Roman"/>
        </w:rPr>
        <w:t>-2020</w:t>
      </w:r>
      <w:r w:rsidR="00135B42" w:rsidRPr="00697700">
        <w:rPr>
          <w:rFonts w:ascii="Times New Roman" w:hAnsi="Times New Roman" w:cs="Times New Roman"/>
        </w:rPr>
        <w:t xml:space="preserve"> </w:t>
      </w:r>
      <w:r w:rsidR="00135B42" w:rsidRPr="00697700">
        <w:rPr>
          <w:rFonts w:ascii="Times New Roman" w:hAnsi="Times New Roman" w:cs="Times New Roman"/>
        </w:rPr>
        <w:t>《地下水环境监测技术规范》以及</w:t>
      </w:r>
      <w:r w:rsidR="00135B42" w:rsidRPr="00697700">
        <w:rPr>
          <w:rFonts w:ascii="Times New Roman" w:hAnsi="Times New Roman" w:cs="Times New Roman"/>
        </w:rPr>
        <w:t>T/JSSES 39—2024</w:t>
      </w:r>
      <w:r w:rsidR="00135B42" w:rsidRPr="00697700">
        <w:rPr>
          <w:rFonts w:ascii="Times New Roman" w:hAnsi="Times New Roman" w:cs="Times New Roman"/>
        </w:rPr>
        <w:t>《水体中抗生素环境风险评估技术指南》</w:t>
      </w:r>
      <w:r w:rsidR="00F27FEF" w:rsidRPr="00697700">
        <w:rPr>
          <w:rFonts w:ascii="Times New Roman" w:hAnsi="Times New Roman" w:cs="Times New Roman"/>
        </w:rPr>
        <w:t>的内容及</w:t>
      </w:r>
      <w:r w:rsidR="00F27FEF" w:rsidRPr="00BF5185">
        <w:rPr>
          <w:rFonts w:hint="eastAsia"/>
        </w:rPr>
        <w:t>要求。</w:t>
      </w:r>
    </w:p>
    <w:p w14:paraId="47FB03FC" w14:textId="77777777" w:rsidR="00F5413B" w:rsidRPr="00BF5185" w:rsidRDefault="00DA1DEA" w:rsidP="005D06F8">
      <w:pPr>
        <w:tabs>
          <w:tab w:val="left" w:pos="567"/>
        </w:tabs>
        <w:adjustRightInd w:val="0"/>
        <w:snapToGrid w:val="0"/>
        <w:spacing w:line="440" w:lineRule="exact"/>
        <w:outlineLvl w:val="2"/>
        <w:rPr>
          <w:rStyle w:val="afd"/>
          <w:rFonts w:ascii="黑体" w:eastAsia="黑体" w:hAnsi="黑体" w:cs="黑体"/>
          <w:b w:val="0"/>
          <w:sz w:val="21"/>
          <w:szCs w:val="21"/>
        </w:rPr>
      </w:pPr>
      <w:bookmarkStart w:id="16" w:name="_bookmark3"/>
      <w:bookmarkEnd w:id="16"/>
      <w:r w:rsidRPr="00BF5185">
        <w:rPr>
          <w:rStyle w:val="afd"/>
          <w:rFonts w:ascii="黑体" w:eastAsia="黑体" w:hAnsi="黑体" w:cs="黑体"/>
          <w:b w:val="0"/>
          <w:sz w:val="21"/>
          <w:szCs w:val="21"/>
        </w:rPr>
        <w:t xml:space="preserve">3.2.3 </w:t>
      </w:r>
      <w:r w:rsidR="00F5413B" w:rsidRPr="00BF5185">
        <w:rPr>
          <w:rStyle w:val="afd"/>
          <w:rFonts w:ascii="黑体" w:eastAsia="黑体" w:hAnsi="黑体" w:cs="黑体"/>
          <w:b w:val="0"/>
          <w:sz w:val="21"/>
          <w:szCs w:val="21"/>
        </w:rPr>
        <w:t>术语和定义</w:t>
      </w:r>
    </w:p>
    <w:p w14:paraId="03D4BBBC" w14:textId="6B53B432" w:rsidR="00F37331" w:rsidRPr="00BF5185" w:rsidRDefault="00F27FEF" w:rsidP="003769B8">
      <w:pPr>
        <w:spacing w:line="440" w:lineRule="exact"/>
        <w:rPr>
          <w:szCs w:val="21"/>
        </w:rPr>
      </w:pPr>
      <w:r w:rsidRPr="00BF5185">
        <w:rPr>
          <w:rFonts w:hint="eastAsia"/>
          <w:szCs w:val="21"/>
        </w:rPr>
        <w:t>下列术语和定义适用于本指南</w:t>
      </w:r>
      <w:r w:rsidR="009F3DA5" w:rsidRPr="00BF5185">
        <w:rPr>
          <w:rFonts w:hint="eastAsia"/>
          <w:szCs w:val="21"/>
        </w:rPr>
        <w:t>。</w:t>
      </w:r>
    </w:p>
    <w:p w14:paraId="294AE68D" w14:textId="77777777" w:rsidR="002A79B1" w:rsidRPr="002A79B1" w:rsidRDefault="00F27FEF" w:rsidP="003769B8">
      <w:pPr>
        <w:spacing w:line="440" w:lineRule="exact"/>
        <w:rPr>
          <w:rFonts w:ascii="宋体" w:hAnsi="宋体"/>
          <w:szCs w:val="21"/>
        </w:rPr>
      </w:pPr>
      <w:bookmarkStart w:id="17" w:name="_Toc100840257"/>
      <w:bookmarkStart w:id="18" w:name="_Toc147480960"/>
      <w:bookmarkStart w:id="19" w:name="_Toc38289627"/>
      <w:r w:rsidRPr="00BF5185">
        <w:rPr>
          <w:rFonts w:ascii="宋体" w:hAnsi="宋体" w:hint="eastAsia"/>
          <w:szCs w:val="21"/>
        </w:rPr>
        <w:t>（1）</w:t>
      </w:r>
      <w:bookmarkStart w:id="20" w:name="_Toc100840258"/>
      <w:bookmarkStart w:id="21" w:name="_Toc147480961"/>
      <w:bookmarkEnd w:id="17"/>
      <w:bookmarkEnd w:id="18"/>
      <w:r w:rsidR="002A79B1" w:rsidRPr="002A79B1">
        <w:rPr>
          <w:rFonts w:ascii="宋体" w:hAnsi="宋体" w:hint="eastAsia"/>
          <w:szCs w:val="21"/>
        </w:rPr>
        <w:t>抗生素 antibiotic</w:t>
      </w:r>
    </w:p>
    <w:p w14:paraId="02A81C49" w14:textId="7D219F91" w:rsidR="002A79B1" w:rsidRDefault="00317496" w:rsidP="003769B8">
      <w:pPr>
        <w:spacing w:line="440" w:lineRule="exact"/>
        <w:ind w:leftChars="200" w:left="420"/>
        <w:rPr>
          <w:rFonts w:ascii="宋体" w:hAnsi="宋体"/>
          <w:szCs w:val="21"/>
        </w:rPr>
      </w:pPr>
      <w:r>
        <w:rPr>
          <w:rFonts w:hint="eastAsia"/>
        </w:rPr>
        <w:t>由某些微生物在生活过程中产生的或者人工合成的类似物，</w:t>
      </w:r>
      <w:r>
        <w:rPr>
          <w:rFonts w:ascii="Arial" w:hAnsi="Arial" w:cs="Arial"/>
          <w:color w:val="4D5156"/>
          <w:shd w:val="clear" w:color="auto" w:fill="FFFFFF"/>
        </w:rPr>
        <w:t>对某些其他微生物具有抑制或杀灭作用的一类化学物质</w:t>
      </w:r>
      <w:r>
        <w:rPr>
          <w:rFonts w:hint="eastAsia"/>
        </w:rPr>
        <w:t>。</w:t>
      </w:r>
    </w:p>
    <w:p w14:paraId="4B69B41B" w14:textId="4EC55058" w:rsidR="00F27FEF" w:rsidRPr="00BF5185" w:rsidRDefault="00F27FEF" w:rsidP="003769B8">
      <w:pPr>
        <w:spacing w:line="440" w:lineRule="exact"/>
        <w:rPr>
          <w:rFonts w:ascii="宋体" w:hAnsi="宋体"/>
          <w:b/>
          <w:szCs w:val="21"/>
        </w:rPr>
      </w:pPr>
      <w:r w:rsidRPr="00BF5185">
        <w:rPr>
          <w:rFonts w:ascii="宋体" w:hAnsi="宋体" w:hint="eastAsia"/>
          <w:szCs w:val="21"/>
        </w:rPr>
        <w:t>（2）</w:t>
      </w:r>
      <w:r w:rsidRPr="00BF5185">
        <w:rPr>
          <w:rFonts w:ascii="宋体" w:hAnsi="宋体"/>
          <w:szCs w:val="21"/>
        </w:rPr>
        <w:t xml:space="preserve"> </w:t>
      </w:r>
      <w:r w:rsidRPr="00BF5185">
        <w:rPr>
          <w:rFonts w:ascii="宋体" w:hAnsi="宋体" w:hint="eastAsia"/>
          <w:szCs w:val="21"/>
        </w:rPr>
        <w:t>细菌</w:t>
      </w:r>
      <w:r w:rsidRPr="00BF5185">
        <w:rPr>
          <w:rFonts w:ascii="宋体" w:hAnsi="宋体"/>
          <w:szCs w:val="21"/>
        </w:rPr>
        <w:t>耐药</w:t>
      </w:r>
      <w:r w:rsidRPr="00BF5185">
        <w:rPr>
          <w:rFonts w:ascii="宋体" w:hAnsi="宋体" w:hint="eastAsia"/>
          <w:szCs w:val="21"/>
        </w:rPr>
        <w:t>性</w:t>
      </w:r>
      <w:bookmarkEnd w:id="20"/>
      <w:r w:rsidRPr="00BF5185">
        <w:rPr>
          <w:rFonts w:ascii="宋体" w:hAnsi="宋体" w:hint="eastAsia"/>
          <w:szCs w:val="21"/>
        </w:rPr>
        <w:t xml:space="preserve"> </w:t>
      </w:r>
      <w:r w:rsidRPr="00BF5185">
        <w:rPr>
          <w:rFonts w:ascii="宋体" w:hAnsi="宋体"/>
          <w:szCs w:val="21"/>
        </w:rPr>
        <w:t>antibiotic resistance</w:t>
      </w:r>
      <w:bookmarkEnd w:id="21"/>
    </w:p>
    <w:p w14:paraId="712C65B6" w14:textId="3F186427" w:rsidR="002A79B1" w:rsidRDefault="00317496" w:rsidP="003769B8">
      <w:pPr>
        <w:spacing w:line="440" w:lineRule="exact"/>
        <w:ind w:firstLineChars="200" w:firstLine="420"/>
      </w:pPr>
      <w:bookmarkStart w:id="22" w:name="_Toc147480962"/>
      <w:bookmarkEnd w:id="19"/>
      <w:r>
        <w:rPr>
          <w:rFonts w:hint="eastAsia"/>
        </w:rPr>
        <w:t>细菌</w:t>
      </w:r>
      <w:r>
        <w:t>固有或外源获得的，能够使其在</w:t>
      </w:r>
      <w:r>
        <w:rPr>
          <w:rFonts w:hint="eastAsia"/>
        </w:rPr>
        <w:t>抗生素</w:t>
      </w:r>
      <w:r>
        <w:t>达到杀菌或抑菌浓度时仍能存活或繁殖的特性。</w:t>
      </w:r>
    </w:p>
    <w:p w14:paraId="68FADDB3" w14:textId="77777777" w:rsidR="00135B42" w:rsidRDefault="002A79B1" w:rsidP="00135B42">
      <w:pPr>
        <w:spacing w:line="440" w:lineRule="exact"/>
      </w:pPr>
      <w:r>
        <w:rPr>
          <w:rFonts w:hint="eastAsia"/>
        </w:rPr>
        <w:t>（</w:t>
      </w:r>
      <w:r>
        <w:rPr>
          <w:rFonts w:hint="eastAsia"/>
        </w:rPr>
        <w:t>3</w:t>
      </w:r>
      <w:r>
        <w:rPr>
          <w:rFonts w:hint="eastAsia"/>
        </w:rPr>
        <w:t>）</w:t>
      </w:r>
      <w:r w:rsidR="00135B42">
        <w:rPr>
          <w:rFonts w:hint="eastAsia"/>
        </w:rPr>
        <w:t>耐药率</w:t>
      </w:r>
      <w:r w:rsidR="00135B42">
        <w:rPr>
          <w:rFonts w:hint="eastAsia"/>
        </w:rPr>
        <w:t xml:space="preserve"> resistance proportion</w:t>
      </w:r>
    </w:p>
    <w:p w14:paraId="70FAF190" w14:textId="0EFF1FA8" w:rsidR="002A79B1" w:rsidRDefault="00135B42" w:rsidP="00135B42">
      <w:pPr>
        <w:spacing w:line="440" w:lineRule="exact"/>
        <w:ind w:firstLineChars="200" w:firstLine="420"/>
      </w:pPr>
      <w:r>
        <w:rPr>
          <w:rFonts w:hint="eastAsia"/>
        </w:rPr>
        <w:t>在特定抗生素浓度的暴露培养条件下，存活的耐药菌数量与同期培养的</w:t>
      </w:r>
      <w:proofErr w:type="gramStart"/>
      <w:r>
        <w:rPr>
          <w:rFonts w:hint="eastAsia"/>
        </w:rPr>
        <w:t>总菌数量</w:t>
      </w:r>
      <w:proofErr w:type="gramEnd"/>
      <w:r>
        <w:rPr>
          <w:rFonts w:hint="eastAsia"/>
        </w:rPr>
        <w:t>的比值（通常以百分比表示），是定量反映目标样本中细菌群体对该抗生素耐药程度的指标。</w:t>
      </w:r>
    </w:p>
    <w:p w14:paraId="22A31676" w14:textId="737F0EF8" w:rsidR="002C798F" w:rsidRDefault="002C798F" w:rsidP="002C798F">
      <w:pPr>
        <w:spacing w:line="440" w:lineRule="exact"/>
        <w:rPr>
          <w:rFonts w:hint="eastAsia"/>
        </w:rPr>
      </w:pPr>
      <w:r>
        <w:rPr>
          <w:rFonts w:hint="eastAsia"/>
        </w:rPr>
        <w:t>（</w:t>
      </w:r>
      <w:r>
        <w:t>4</w:t>
      </w:r>
      <w:r>
        <w:rPr>
          <w:rFonts w:hint="eastAsia"/>
        </w:rPr>
        <w:t>）选择系数</w:t>
      </w:r>
      <w:r>
        <w:rPr>
          <w:rFonts w:hint="eastAsia"/>
        </w:rPr>
        <w:t xml:space="preserve"> selection coefficient (SC)</w:t>
      </w:r>
    </w:p>
    <w:p w14:paraId="65A15FAB" w14:textId="77777777" w:rsidR="002C798F" w:rsidRPr="00415C2D" w:rsidRDefault="002C798F" w:rsidP="002C798F">
      <w:pPr>
        <w:spacing w:line="440" w:lineRule="exact"/>
        <w:ind w:firstLineChars="200" w:firstLine="420"/>
        <w:rPr>
          <w:rFonts w:hint="eastAsia"/>
        </w:rPr>
      </w:pPr>
      <w:r>
        <w:rPr>
          <w:rFonts w:hint="eastAsia"/>
        </w:rPr>
        <w:t>暴露后细菌群落耐药率与暴露前原始样品耐药率的比值，用于表征抗生素暴露对细菌群落耐药性选择压力的影响</w:t>
      </w:r>
    </w:p>
    <w:p w14:paraId="710ED101" w14:textId="3B5F0910" w:rsidR="002A79B1" w:rsidRDefault="002A79B1" w:rsidP="003769B8">
      <w:pPr>
        <w:spacing w:line="440" w:lineRule="exact"/>
      </w:pPr>
      <w:r>
        <w:rPr>
          <w:rFonts w:hint="eastAsia"/>
        </w:rPr>
        <w:t>（</w:t>
      </w:r>
      <w:r w:rsidR="002C798F">
        <w:t>5</w:t>
      </w:r>
      <w:r>
        <w:rPr>
          <w:rFonts w:hint="eastAsia"/>
        </w:rPr>
        <w:t>）最小选择浓度</w:t>
      </w:r>
      <w:r>
        <w:rPr>
          <w:rFonts w:hint="eastAsia"/>
        </w:rPr>
        <w:t xml:space="preserve">  minimum selective concentration</w:t>
      </w:r>
    </w:p>
    <w:p w14:paraId="25085147" w14:textId="560407B9" w:rsidR="002A79B1" w:rsidRDefault="00135B42" w:rsidP="003769B8">
      <w:pPr>
        <w:spacing w:line="440" w:lineRule="exact"/>
        <w:ind w:leftChars="200" w:left="420"/>
        <w:rPr>
          <w:szCs w:val="21"/>
        </w:rPr>
      </w:pPr>
      <w:r w:rsidRPr="00135B42">
        <w:rPr>
          <w:rFonts w:hint="eastAsia"/>
          <w:szCs w:val="21"/>
        </w:rPr>
        <w:t>抗生素暴露导致群落中抗生素耐药性水平提高的浓度阈值，高于该数值时具有耐药性的细菌被选择性富集。</w:t>
      </w:r>
    </w:p>
    <w:p w14:paraId="73A92B15" w14:textId="39B01FD3" w:rsidR="002C798F" w:rsidRDefault="002C798F" w:rsidP="002C798F">
      <w:pPr>
        <w:spacing w:line="440" w:lineRule="exact"/>
        <w:ind w:firstLineChars="200" w:firstLine="420"/>
        <w:rPr>
          <w:rFonts w:hint="eastAsia"/>
        </w:rPr>
      </w:pPr>
      <w:r>
        <w:t>本标准涉及的抗生素（</w:t>
      </w:r>
      <w:r>
        <w:t>antibiotic</w:t>
      </w:r>
      <w:r>
        <w:t>）、细菌耐药性（</w:t>
      </w:r>
      <w:r>
        <w:t>antibiotic resistance</w:t>
      </w:r>
      <w:r>
        <w:t>）等术语参考</w:t>
      </w:r>
      <w:r>
        <w:t>WHO</w:t>
      </w:r>
      <w:r>
        <w:t>相关技术文件及国内外抗微生物耐药性研究领域通用定义；耐药率（</w:t>
      </w:r>
      <w:r>
        <w:t>resistance proportion</w:t>
      </w:r>
      <w:r>
        <w:t>）、选择系数（</w:t>
      </w:r>
      <w:r>
        <w:t>selection coefficient, SC</w:t>
      </w:r>
      <w:r>
        <w:t>）（</w:t>
      </w:r>
      <w:r>
        <w:t>minimum selective concentration, MSC</w:t>
      </w:r>
      <w:r>
        <w:t>）等术语结合本标准技术路线和已有研究成果进行定义。</w:t>
      </w:r>
      <w:r>
        <w:t>MSC</w:t>
      </w:r>
      <w:r>
        <w:t>概念主要参考相关环境抗生素耐药选择风险</w:t>
      </w:r>
      <w:r>
        <w:lastRenderedPageBreak/>
        <w:t>评价研究及</w:t>
      </w:r>
      <w:r>
        <w:t>WHO</w:t>
      </w:r>
      <w:r>
        <w:t>《</w:t>
      </w:r>
      <w:r>
        <w:t>Guidance on wastewater and solid waste management for manufacturing of antibiotics</w:t>
      </w:r>
      <w:r>
        <w:t>》。</w:t>
      </w:r>
      <w:bookmarkStart w:id="23" w:name="_GoBack"/>
      <w:bookmarkEnd w:id="23"/>
    </w:p>
    <w:bookmarkEnd w:id="22"/>
    <w:p w14:paraId="2B11CD68" w14:textId="67B80398" w:rsidR="001F376F" w:rsidRPr="00BF5185" w:rsidRDefault="00DA1DEA" w:rsidP="005D06F8">
      <w:pPr>
        <w:tabs>
          <w:tab w:val="left" w:pos="567"/>
        </w:tabs>
        <w:adjustRightInd w:val="0"/>
        <w:snapToGrid w:val="0"/>
        <w:spacing w:line="440" w:lineRule="exact"/>
        <w:outlineLvl w:val="2"/>
        <w:rPr>
          <w:rStyle w:val="afd"/>
          <w:rFonts w:ascii="黑体" w:eastAsia="黑体" w:hAnsi="黑体" w:cs="黑体"/>
          <w:b w:val="0"/>
          <w:sz w:val="21"/>
          <w:szCs w:val="21"/>
        </w:rPr>
      </w:pPr>
      <w:r w:rsidRPr="00BF5185">
        <w:rPr>
          <w:rStyle w:val="afd"/>
          <w:rFonts w:ascii="黑体" w:eastAsia="黑体" w:hAnsi="黑体" w:cs="黑体"/>
          <w:b w:val="0"/>
          <w:sz w:val="21"/>
          <w:szCs w:val="21"/>
        </w:rPr>
        <w:t>3.2.</w:t>
      </w:r>
      <w:r w:rsidR="00B848AC" w:rsidRPr="00BF5185">
        <w:rPr>
          <w:rStyle w:val="afd"/>
          <w:rFonts w:ascii="黑体" w:eastAsia="黑体" w:hAnsi="黑体" w:cs="黑体"/>
          <w:b w:val="0"/>
          <w:sz w:val="21"/>
          <w:szCs w:val="21"/>
        </w:rPr>
        <w:t>4</w:t>
      </w:r>
      <w:r w:rsidRPr="00BF5185">
        <w:rPr>
          <w:rStyle w:val="afd"/>
          <w:rFonts w:ascii="黑体" w:eastAsia="黑体" w:hAnsi="黑体" w:cs="黑体"/>
          <w:b w:val="0"/>
          <w:sz w:val="21"/>
          <w:szCs w:val="21"/>
        </w:rPr>
        <w:t xml:space="preserve"> </w:t>
      </w:r>
      <w:r w:rsidR="00317496">
        <w:rPr>
          <w:rStyle w:val="afd"/>
          <w:rFonts w:ascii="黑体" w:eastAsia="黑体" w:hAnsi="黑体" w:cs="黑体" w:hint="eastAsia"/>
          <w:b w:val="0"/>
          <w:sz w:val="21"/>
          <w:szCs w:val="21"/>
        </w:rPr>
        <w:t>评估流程</w:t>
      </w:r>
    </w:p>
    <w:p w14:paraId="5519B48E" w14:textId="77777777" w:rsidR="00C93F4F" w:rsidRPr="00C93F4F" w:rsidRDefault="00C93F4F" w:rsidP="00F85D91">
      <w:pPr>
        <w:pStyle w:val="isselectedend"/>
        <w:spacing w:before="0" w:beforeAutospacing="0" w:after="0" w:afterAutospacing="0" w:line="360" w:lineRule="auto"/>
        <w:ind w:firstLineChars="200" w:firstLine="420"/>
        <w:rPr>
          <w:sz w:val="21"/>
        </w:rPr>
      </w:pPr>
      <w:r w:rsidRPr="00C93F4F">
        <w:rPr>
          <w:sz w:val="21"/>
        </w:rPr>
        <w:t>本标准构建的抗生素最小选择浓度（MSC）评估流程，整体按照“样品采集—微生物分离与预处理—微宇宙抗生素暴露—耐药率测定—MSC模型推导”的技术路线开展。</w:t>
      </w:r>
    </w:p>
    <w:p w14:paraId="56308AD2" w14:textId="77777777" w:rsidR="00C93F4F" w:rsidRPr="00C93F4F" w:rsidRDefault="00C93F4F" w:rsidP="00F85D91">
      <w:pPr>
        <w:pStyle w:val="isselectedend"/>
        <w:spacing w:before="0" w:beforeAutospacing="0" w:after="0" w:afterAutospacing="0" w:line="360" w:lineRule="auto"/>
        <w:ind w:firstLineChars="200" w:firstLine="420"/>
        <w:rPr>
          <w:sz w:val="21"/>
        </w:rPr>
      </w:pPr>
      <w:r w:rsidRPr="00C93F4F">
        <w:rPr>
          <w:sz w:val="21"/>
        </w:rPr>
        <w:t>该流程设计的核心依据在于：水体中抗生素对微生物群落的影响并非简单的抑制或杀灭效应，而是以“选择压力驱动的群落结构与耐药性变化”为主要特征。因此，本方法以群落耐药率变化作为核心响应指标，通过梯度暴露实验模拟环境中不同抗生素浓度水平对微生物群落的长期选择作用，从而实现对MSC阈值的定量识别。</w:t>
      </w:r>
    </w:p>
    <w:p w14:paraId="1F4A6EF6" w14:textId="77777777" w:rsidR="00C93F4F" w:rsidRPr="00C93F4F" w:rsidRDefault="00C93F4F" w:rsidP="00F85D91">
      <w:pPr>
        <w:pStyle w:val="isselectedend"/>
        <w:spacing w:before="0" w:beforeAutospacing="0" w:after="0" w:afterAutospacing="0" w:line="360" w:lineRule="auto"/>
        <w:ind w:firstLineChars="200" w:firstLine="420"/>
        <w:rPr>
          <w:sz w:val="21"/>
        </w:rPr>
      </w:pPr>
      <w:r w:rsidRPr="00C93F4F">
        <w:rPr>
          <w:sz w:val="21"/>
        </w:rPr>
        <w:t>在技术实现上，首先通过标准化样品采集与预处理过程获取具有代表性的环境微生物群落，以保证不同水体类型之间的可比性；其次，通过构建微宇宙暴露体系，引入梯度抗生素浓度模拟环境暴露情景，从而刻画群落耐药性随浓度变化的响应关系；随后，采用平板计数法定量测定耐药率变化，以获得可用于统计建模的基础数据；最后，通过选择系数构建及Logistic模型拟合，实现MSC作为“群落耐药性由抑制转向选择增强的拐点”的定量解析。</w:t>
      </w:r>
    </w:p>
    <w:p w14:paraId="058F9096" w14:textId="4BEF430B" w:rsidR="00C93F4F" w:rsidRPr="00C93F4F" w:rsidRDefault="00C93F4F" w:rsidP="00F85D91">
      <w:pPr>
        <w:pStyle w:val="isselectedend"/>
        <w:spacing w:before="0" w:beforeAutospacing="0" w:after="0" w:afterAutospacing="0" w:line="360" w:lineRule="auto"/>
        <w:ind w:firstLineChars="200" w:firstLine="420"/>
        <w:rPr>
          <w:sz w:val="21"/>
        </w:rPr>
      </w:pPr>
      <w:r w:rsidRPr="00C93F4F">
        <w:rPr>
          <w:sz w:val="21"/>
        </w:rPr>
        <w:t>该流程设计的合理性体现在以下三个方面：</w:t>
      </w:r>
      <w:r w:rsidRPr="00C93F4F">
        <w:rPr>
          <w:sz w:val="21"/>
        </w:rPr>
        <w:br/>
        <w:t>1）环境相关性：采用真实水体微生物群落作为研究对象，提高结果对自然环境的外推能力；</w:t>
      </w:r>
      <w:r w:rsidRPr="00C93F4F">
        <w:rPr>
          <w:sz w:val="21"/>
        </w:rPr>
        <w:br/>
        <w:t>2）机制一致性：以选择压力驱动的耐药率变化为核心响应变量，符合抗生素环境选择理论；</w:t>
      </w:r>
      <w:r w:rsidRPr="00C93F4F">
        <w:rPr>
          <w:sz w:val="21"/>
        </w:rPr>
        <w:br/>
        <w:t>3）方法可量化：通过标准化梯度暴露与模型拟合，实现MSC的可重复计算与跨样品比较。</w:t>
      </w:r>
    </w:p>
    <w:p w14:paraId="6FAA8D53" w14:textId="77777777" w:rsidR="00C93F4F" w:rsidRPr="00C93F4F" w:rsidRDefault="00C93F4F" w:rsidP="00F85D91">
      <w:pPr>
        <w:pStyle w:val="aff1"/>
        <w:spacing w:before="0" w:beforeAutospacing="0" w:after="0" w:afterAutospacing="0" w:line="360" w:lineRule="auto"/>
        <w:ind w:firstLineChars="200" w:firstLine="420"/>
        <w:rPr>
          <w:sz w:val="21"/>
        </w:rPr>
      </w:pPr>
      <w:r w:rsidRPr="00C93F4F">
        <w:rPr>
          <w:sz w:val="21"/>
        </w:rPr>
        <w:t>因此，该评估流程能够在统一技术框架下实现水环境中抗生素选择压力的定量识别，为MSC环境风险评估提供标准化方法基础。</w:t>
      </w:r>
    </w:p>
    <w:p w14:paraId="3D381529" w14:textId="77777777" w:rsidR="004920D9" w:rsidRDefault="00DA1DEA" w:rsidP="004920D9">
      <w:pPr>
        <w:tabs>
          <w:tab w:val="left" w:pos="567"/>
        </w:tabs>
        <w:adjustRightInd w:val="0"/>
        <w:snapToGrid w:val="0"/>
        <w:spacing w:beforeLines="50" w:before="120" w:afterLines="50" w:after="120" w:line="440" w:lineRule="exact"/>
        <w:outlineLvl w:val="2"/>
        <w:rPr>
          <w:rStyle w:val="afd"/>
          <w:rFonts w:ascii="黑体" w:eastAsia="黑体" w:hAnsi="黑体" w:cs="黑体"/>
          <w:b w:val="0"/>
          <w:sz w:val="21"/>
          <w:szCs w:val="21"/>
        </w:rPr>
      </w:pPr>
      <w:r w:rsidRPr="00BF5185">
        <w:rPr>
          <w:rStyle w:val="afd"/>
          <w:rFonts w:ascii="黑体" w:eastAsia="黑体" w:hAnsi="黑体" w:cs="黑体"/>
          <w:b w:val="0"/>
          <w:sz w:val="21"/>
          <w:szCs w:val="21"/>
        </w:rPr>
        <w:t>3.2.</w:t>
      </w:r>
      <w:r w:rsidR="0003067A" w:rsidRPr="00BF5185">
        <w:rPr>
          <w:rStyle w:val="afd"/>
          <w:rFonts w:ascii="黑体" w:eastAsia="黑体" w:hAnsi="黑体" w:cs="黑体"/>
          <w:b w:val="0"/>
          <w:sz w:val="21"/>
          <w:szCs w:val="21"/>
        </w:rPr>
        <w:t>5</w:t>
      </w:r>
      <w:r w:rsidR="000E1E6F" w:rsidRPr="00BF5185">
        <w:rPr>
          <w:rStyle w:val="afd"/>
          <w:rFonts w:ascii="黑体" w:eastAsia="黑体" w:hAnsi="黑体" w:cs="黑体"/>
          <w:b w:val="0"/>
          <w:sz w:val="21"/>
          <w:szCs w:val="21"/>
        </w:rPr>
        <w:t xml:space="preserve"> </w:t>
      </w:r>
      <w:r w:rsidR="00C93F4F" w:rsidRPr="00C93F4F">
        <w:rPr>
          <w:rStyle w:val="afd"/>
          <w:rFonts w:ascii="黑体" w:eastAsia="黑体" w:hAnsi="黑体" w:cs="黑体" w:hint="eastAsia"/>
          <w:b w:val="0"/>
          <w:sz w:val="21"/>
          <w:szCs w:val="21"/>
        </w:rPr>
        <w:t>检测方法与操作要求</w:t>
      </w:r>
      <w:bookmarkStart w:id="24" w:name="_bookmark6"/>
      <w:bookmarkEnd w:id="24"/>
    </w:p>
    <w:p w14:paraId="0A55F33E" w14:textId="00A4615E" w:rsidR="005D40EE" w:rsidRPr="009C27ED" w:rsidRDefault="005D40EE" w:rsidP="004920D9">
      <w:pPr>
        <w:tabs>
          <w:tab w:val="left" w:pos="567"/>
        </w:tabs>
        <w:adjustRightInd w:val="0"/>
        <w:snapToGrid w:val="0"/>
        <w:spacing w:beforeLines="50" w:before="120" w:afterLines="50" w:after="120" w:line="440" w:lineRule="exact"/>
        <w:rPr>
          <w:kern w:val="0"/>
          <w:szCs w:val="21"/>
        </w:rPr>
      </w:pPr>
      <w:r w:rsidRPr="009C27ED">
        <w:rPr>
          <w:szCs w:val="21"/>
        </w:rPr>
        <w:t>（</w:t>
      </w:r>
      <w:r w:rsidRPr="009C27ED">
        <w:rPr>
          <w:szCs w:val="21"/>
        </w:rPr>
        <w:t>1</w:t>
      </w:r>
      <w:r w:rsidRPr="009C27ED">
        <w:rPr>
          <w:szCs w:val="21"/>
        </w:rPr>
        <w:t>）样品采集与预处理</w:t>
      </w:r>
    </w:p>
    <w:p w14:paraId="1E6151BD" w14:textId="5B54664E" w:rsidR="005D40EE" w:rsidRPr="009C27ED" w:rsidRDefault="005D40EE" w:rsidP="00290473">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本方法针对水环境中抗生素选择压力风险评价需求，采用以环境微生物群落为对象的检测策略。由于抗生素的选择作用主要发生于天然微生物群落水平，而不同水体中微生物丰度、群落组成及污染背景存在显著差异，因此需要通过规范化的样品采集与预处理过程，在尽可能保留环境微生物群落特征的基础上，获得满足后续暴露实验要求的受试微生物群落。基于此，本标准建立了</w:t>
      </w:r>
      <w:r w:rsidRPr="008318AE">
        <w:rPr>
          <w:rFonts w:cs="Times New Roman"/>
          <w:sz w:val="21"/>
          <w:szCs w:val="21"/>
        </w:rPr>
        <w:t>“</w:t>
      </w:r>
      <w:r w:rsidR="0013496D" w:rsidRPr="0013496D">
        <w:rPr>
          <w:rFonts w:cs="Times New Roman" w:hint="eastAsia"/>
          <w:sz w:val="21"/>
          <w:szCs w:val="21"/>
        </w:rPr>
        <w:t>样品采集—预处理—抗生素暴露—耐药率检测—MSC推导</w:t>
      </w:r>
      <w:r w:rsidRPr="008318AE">
        <w:rPr>
          <w:rFonts w:cs="Times New Roman"/>
          <w:sz w:val="21"/>
          <w:szCs w:val="21"/>
        </w:rPr>
        <w:t>”</w:t>
      </w:r>
      <w:r w:rsidRPr="009C27ED">
        <w:rPr>
          <w:rFonts w:ascii="Times New Roman" w:hAnsi="Times New Roman" w:cs="Times New Roman"/>
          <w:sz w:val="21"/>
          <w:szCs w:val="21"/>
        </w:rPr>
        <w:t>的样品处理流程。其中，样品采集依据不同环境介质特点执行相应环境监测规范；预处理过程通过膜过滤方式实现环境微生物的富集，并结合物理振荡方法将滤膜截留的微生物重新释放，制备均一化的受试</w:t>
      </w:r>
      <w:proofErr w:type="gramStart"/>
      <w:r w:rsidRPr="009C27ED">
        <w:rPr>
          <w:rFonts w:ascii="Times New Roman" w:hAnsi="Times New Roman" w:cs="Times New Roman"/>
          <w:sz w:val="21"/>
          <w:szCs w:val="21"/>
        </w:rPr>
        <w:t>菌</w:t>
      </w:r>
      <w:proofErr w:type="gramEnd"/>
      <w:r w:rsidRPr="009C27ED">
        <w:rPr>
          <w:rFonts w:ascii="Times New Roman" w:hAnsi="Times New Roman" w:cs="Times New Roman"/>
          <w:sz w:val="21"/>
          <w:szCs w:val="21"/>
        </w:rPr>
        <w:t>悬液，为后续抗生素梯度暴露和耐药率测定提供稳定的微生物来源。</w:t>
      </w:r>
    </w:p>
    <w:p w14:paraId="35E70B4A" w14:textId="7C93A207" w:rsidR="005D40EE" w:rsidRPr="009C27ED" w:rsidRDefault="005D40EE" w:rsidP="008318AE">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lastRenderedPageBreak/>
        <w:t>本标准采用</w:t>
      </w:r>
      <w:r w:rsidRPr="009C27ED">
        <w:rPr>
          <w:rFonts w:ascii="Times New Roman" w:hAnsi="Times New Roman" w:cs="Times New Roman"/>
          <w:sz w:val="21"/>
          <w:szCs w:val="21"/>
        </w:rPr>
        <w:t xml:space="preserve">0.22 </w:t>
      </w:r>
      <w:proofErr w:type="spellStart"/>
      <w:r w:rsidRPr="009C27ED">
        <w:rPr>
          <w:rFonts w:ascii="Times New Roman" w:hAnsi="Times New Roman" w:cs="Times New Roman"/>
          <w:sz w:val="21"/>
          <w:szCs w:val="21"/>
        </w:rPr>
        <w:t>μm</w:t>
      </w:r>
      <w:proofErr w:type="spellEnd"/>
      <w:r w:rsidRPr="009C27ED">
        <w:rPr>
          <w:rFonts w:ascii="Times New Roman" w:hAnsi="Times New Roman" w:cs="Times New Roman"/>
          <w:sz w:val="21"/>
          <w:szCs w:val="21"/>
        </w:rPr>
        <w:t>滤膜进行环境微生物富集，主要考虑水环境中细菌细胞尺寸范围及后续耐药性检测需求。水体中绝大多数细菌细胞尺寸通常大于</w:t>
      </w:r>
      <w:r w:rsidRPr="009C27ED">
        <w:rPr>
          <w:rFonts w:ascii="Times New Roman" w:hAnsi="Times New Roman" w:cs="Times New Roman"/>
          <w:sz w:val="21"/>
          <w:szCs w:val="21"/>
        </w:rPr>
        <w:t xml:space="preserve">0.22 </w:t>
      </w:r>
      <w:proofErr w:type="spellStart"/>
      <w:r w:rsidRPr="009C27ED">
        <w:rPr>
          <w:rFonts w:ascii="Times New Roman" w:hAnsi="Times New Roman" w:cs="Times New Roman"/>
          <w:sz w:val="21"/>
          <w:szCs w:val="21"/>
        </w:rPr>
        <w:t>μm</w:t>
      </w:r>
      <w:proofErr w:type="spellEnd"/>
      <w:r w:rsidRPr="009C27ED">
        <w:rPr>
          <w:rFonts w:ascii="Times New Roman" w:hAnsi="Times New Roman" w:cs="Times New Roman"/>
          <w:sz w:val="21"/>
          <w:szCs w:val="21"/>
        </w:rPr>
        <w:t>，采用该孔径滤膜能够有效截留环境细菌群落，同时去除部分溶解性有机物及细小颗粒物对后续培养过程的干扰。目前，</w:t>
      </w:r>
      <w:r w:rsidRPr="009C27ED">
        <w:rPr>
          <w:rFonts w:ascii="Times New Roman" w:hAnsi="Times New Roman" w:cs="Times New Roman"/>
          <w:sz w:val="21"/>
          <w:szCs w:val="21"/>
        </w:rPr>
        <w:t xml:space="preserve">0.22 </w:t>
      </w:r>
      <w:proofErr w:type="spellStart"/>
      <w:r w:rsidRPr="009C27ED">
        <w:rPr>
          <w:rFonts w:ascii="Times New Roman" w:hAnsi="Times New Roman" w:cs="Times New Roman"/>
          <w:sz w:val="21"/>
          <w:szCs w:val="21"/>
        </w:rPr>
        <w:t>μm</w:t>
      </w:r>
      <w:proofErr w:type="spellEnd"/>
      <w:r w:rsidRPr="009C27ED">
        <w:rPr>
          <w:rFonts w:ascii="Times New Roman" w:hAnsi="Times New Roman" w:cs="Times New Roman"/>
          <w:sz w:val="21"/>
          <w:szCs w:val="21"/>
        </w:rPr>
        <w:t>滤膜已广泛应用于环境微生物富集、细菌群落分析及抗生素抗性相关研究中，是水环境微生物样品预处理的常用方法</w:t>
      </w:r>
      <w:r w:rsidR="00020292">
        <w:rPr>
          <w:rFonts w:ascii="Times New Roman" w:hAnsi="Times New Roman" w:cs="Times New Roman"/>
          <w:sz w:val="21"/>
          <w:szCs w:val="21"/>
        </w:rPr>
        <w:fldChar w:fldCharType="begin"/>
      </w:r>
      <w:r w:rsidR="007F6AD7">
        <w:rPr>
          <w:rFonts w:ascii="Times New Roman" w:hAnsi="Times New Roman" w:cs="Times New Roman"/>
          <w:sz w:val="21"/>
          <w:szCs w:val="21"/>
        </w:rPr>
        <w:instrText xml:space="preserve"> ADDIN EN.CITE &lt;EndNote&gt;&lt;Cite&gt;&lt;Author&gt;Wang&lt;/Author&gt;&lt;Year&gt;2008&lt;/Year&gt;&lt;RecNum&gt;2&lt;/RecNum&gt;&lt;DisplayText&gt;[13]&lt;/DisplayText&gt;&lt;record&gt;&lt;rec-number&gt;2&lt;/rec-number&gt;&lt;foreign-keys&gt;&lt;key app="EN" db-id="xsvtpzrr7vfvefewa2d52zrqf99afvdewrxe" timestamp="1783387224"&gt;2&lt;/key&gt;&lt;/foreign-keys&gt;&lt;ref-type name="Journal Article"&gt;17&lt;/ref-type&gt;&lt;contributors&gt;&lt;authors&gt;&lt;author&gt;Wang, Yingying&lt;/author&gt;&lt;author&gt;Hammes, Frederik&lt;/author&gt;&lt;author&gt;Düggelin, Marcel&lt;/author&gt;&lt;author&gt;Egli, Thomas&lt;/author&gt;&lt;/authors&gt;&lt;/contributors&gt;&lt;titles&gt;&lt;title&gt;Influence of Size, Shape, and Flexibility on Bacterial Passage through Micropore Membrane Filters&lt;/title&gt;&lt;secondary-title&gt;Environmental Science &amp;amp; Technology&lt;/secondary-title&gt;&lt;/titles&gt;&lt;periodical&gt;&lt;full-title&gt;Environmental Science &amp;amp; Technology&lt;/full-title&gt;&lt;/periodical&gt;&lt;pages&gt;6749-6754&lt;/pages&gt;&lt;volume&gt;42&lt;/volume&gt;&lt;number&gt;17&lt;/number&gt;&lt;dates&gt;&lt;year&gt;2008&lt;/year&gt;&lt;pub-dates&gt;&lt;date&gt;2008/09/01&lt;/date&gt;&lt;/pub-dates&gt;&lt;/dates&gt;&lt;publisher&gt;American Chemical Society&lt;/publisher&gt;&lt;isbn&gt;0013-936X&lt;/isbn&gt;&lt;urls&gt;&lt;related-urls&gt;&lt;url&gt;https://doi.org/10.1021/es800720n&lt;/url&gt;&lt;/related-urls&gt;&lt;/urls&gt;&lt;electronic-resource-num&gt;10.1021/es800720n&lt;/electronic-resource-num&gt;&lt;/record&gt;&lt;/Cite&gt;&lt;/EndNote&gt;</w:instrText>
      </w:r>
      <w:r w:rsidR="00020292">
        <w:rPr>
          <w:rFonts w:ascii="Times New Roman" w:hAnsi="Times New Roman" w:cs="Times New Roman"/>
          <w:sz w:val="21"/>
          <w:szCs w:val="21"/>
        </w:rPr>
        <w:fldChar w:fldCharType="separate"/>
      </w:r>
      <w:r w:rsidR="007F6AD7">
        <w:rPr>
          <w:rFonts w:ascii="Times New Roman" w:hAnsi="Times New Roman" w:cs="Times New Roman"/>
          <w:noProof/>
          <w:sz w:val="21"/>
          <w:szCs w:val="21"/>
        </w:rPr>
        <w:t>[13]</w:t>
      </w:r>
      <w:r w:rsidR="00020292">
        <w:rPr>
          <w:rFonts w:ascii="Times New Roman" w:hAnsi="Times New Roman" w:cs="Times New Roman"/>
          <w:sz w:val="21"/>
          <w:szCs w:val="21"/>
        </w:rPr>
        <w:fldChar w:fldCharType="end"/>
      </w:r>
      <w:r w:rsidRPr="009C27ED">
        <w:rPr>
          <w:rFonts w:ascii="Times New Roman" w:hAnsi="Times New Roman" w:cs="Times New Roman"/>
          <w:sz w:val="21"/>
          <w:szCs w:val="21"/>
        </w:rPr>
        <w:t>。</w:t>
      </w:r>
    </w:p>
    <w:p w14:paraId="402D3F60" w14:textId="07C2E4A6" w:rsidR="005D40EE" w:rsidRPr="009C27ED" w:rsidRDefault="005D40EE" w:rsidP="008318AE">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滤膜过滤体积主要依据水体微生物丰度及膜过滤过程中的操作可行性确定。对于环境水样，过滤体积过小可能导致截留微生物数量不足，影响后续耐药率检测的准确性；而过滤体积过大，尤其是在高浊度或高有机负荷水体中，容易造成滤膜堵塞，并可能改变微生物群落组成。综合考虑不同类型水体（地表水、废水</w:t>
      </w:r>
      <w:r w:rsidR="001364FF" w:rsidRPr="009C27ED">
        <w:rPr>
          <w:rFonts w:ascii="Times New Roman" w:hAnsi="Times New Roman" w:cs="Times New Roman"/>
          <w:sz w:val="21"/>
          <w:szCs w:val="21"/>
        </w:rPr>
        <w:t>等</w:t>
      </w:r>
      <w:r w:rsidRPr="009C27ED">
        <w:rPr>
          <w:rFonts w:ascii="Times New Roman" w:hAnsi="Times New Roman" w:cs="Times New Roman"/>
          <w:sz w:val="21"/>
          <w:szCs w:val="21"/>
        </w:rPr>
        <w:t>）的微生物丰度差异，本标准推荐单张滤膜过滤</w:t>
      </w:r>
      <w:r w:rsidRPr="009C27ED">
        <w:rPr>
          <w:rFonts w:ascii="Times New Roman" w:hAnsi="Times New Roman" w:cs="Times New Roman"/>
          <w:sz w:val="21"/>
          <w:szCs w:val="21"/>
        </w:rPr>
        <w:t>200–400 mL</w:t>
      </w:r>
      <w:r w:rsidRPr="009C27ED">
        <w:rPr>
          <w:rFonts w:ascii="Times New Roman" w:hAnsi="Times New Roman" w:cs="Times New Roman"/>
          <w:sz w:val="21"/>
          <w:szCs w:val="21"/>
        </w:rPr>
        <w:t>水样，并允许根据样品浊度及过滤情况进行调整。该范围能够</w:t>
      </w:r>
      <w:proofErr w:type="gramStart"/>
      <w:r w:rsidRPr="009C27ED">
        <w:rPr>
          <w:rFonts w:ascii="Times New Roman" w:hAnsi="Times New Roman" w:cs="Times New Roman"/>
          <w:sz w:val="21"/>
          <w:szCs w:val="21"/>
        </w:rPr>
        <w:t>兼顾低</w:t>
      </w:r>
      <w:proofErr w:type="gramEnd"/>
      <w:r w:rsidRPr="009C27ED">
        <w:rPr>
          <w:rFonts w:ascii="Times New Roman" w:hAnsi="Times New Roman" w:cs="Times New Roman"/>
          <w:sz w:val="21"/>
          <w:szCs w:val="21"/>
        </w:rPr>
        <w:t>污染水体中微生物有效富集和高污染水体中实验操作可行性，在环境微生物膜过滤培养研究中具有较好的适用性。</w:t>
      </w:r>
    </w:p>
    <w:p w14:paraId="522BA5DD" w14:textId="659BE8EE" w:rsidR="005D40EE" w:rsidRDefault="005D40EE"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由于环境水体中微生物丰度差异较大，单张滤膜截留的微生物量可能不足以代表整体水样微生物群落特征。因此，本标准采用多张滤膜合并处理的方式，通过增加样品处理量提高微生物回收量，降低单次过滤造成的随机误差。综合考虑实验材料消耗、微生物回收效率及后续微宇宙实验所需菌量，本标准设置累计</w:t>
      </w:r>
      <w:r w:rsidRPr="009C27ED">
        <w:rPr>
          <w:rFonts w:ascii="Times New Roman" w:hAnsi="Times New Roman" w:cs="Times New Roman"/>
          <w:sz w:val="21"/>
          <w:szCs w:val="21"/>
        </w:rPr>
        <w:t>5</w:t>
      </w:r>
      <w:r w:rsidRPr="009C27ED">
        <w:rPr>
          <w:rFonts w:ascii="Times New Roman" w:hAnsi="Times New Roman" w:cs="Times New Roman"/>
          <w:sz w:val="21"/>
          <w:szCs w:val="21"/>
        </w:rPr>
        <w:t>张滤膜进行微生物富集。该设置能够在保证获得足够微生物量的同时，避免过度增加过滤时间及样品处理复杂度，提高方法的可操作性和实验重复性。</w:t>
      </w:r>
    </w:p>
    <w:p w14:paraId="2943EC39" w14:textId="0411F7DD" w:rsidR="00AC13D1" w:rsidRPr="009C27ED" w:rsidRDefault="00AC13D1"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AC13D1">
        <w:rPr>
          <w:rFonts w:ascii="Times New Roman" w:hAnsi="Times New Roman" w:cs="Times New Roman" w:hint="eastAsia"/>
          <w:sz w:val="21"/>
          <w:szCs w:val="21"/>
        </w:rPr>
        <w:t>需要说明的是，水体微生物群落具有动态变化特征，其组成结构和功能状态会受到季节变化、水文条件、污染输入及环境因子等影响。因此，本标准测定获得的</w:t>
      </w:r>
      <w:r w:rsidRPr="00AC13D1">
        <w:rPr>
          <w:rFonts w:ascii="Times New Roman" w:hAnsi="Times New Roman" w:cs="Times New Roman" w:hint="eastAsia"/>
          <w:sz w:val="21"/>
          <w:szCs w:val="21"/>
        </w:rPr>
        <w:t>MSC</w:t>
      </w:r>
      <w:r w:rsidRPr="00AC13D1">
        <w:rPr>
          <w:rFonts w:ascii="Times New Roman" w:hAnsi="Times New Roman" w:cs="Times New Roman" w:hint="eastAsia"/>
          <w:sz w:val="21"/>
          <w:szCs w:val="21"/>
        </w:rPr>
        <w:t>反映的是特定采样时间和环境条件下水体微生物群落对目标抗生素的选择响应水平，而非该水体长期稳定的固定阈值。若需全面评价某一水体微生物群落</w:t>
      </w:r>
      <w:r w:rsidRPr="00AC13D1">
        <w:rPr>
          <w:rFonts w:ascii="Times New Roman" w:hAnsi="Times New Roman" w:cs="Times New Roman" w:hint="eastAsia"/>
          <w:sz w:val="21"/>
          <w:szCs w:val="21"/>
        </w:rPr>
        <w:t>MSC</w:t>
      </w:r>
      <w:r w:rsidRPr="00AC13D1">
        <w:rPr>
          <w:rFonts w:ascii="Times New Roman" w:hAnsi="Times New Roman" w:cs="Times New Roman" w:hint="eastAsia"/>
          <w:sz w:val="21"/>
          <w:szCs w:val="21"/>
        </w:rPr>
        <w:t>的时空变化特征，建议结合不同季节或不同时间尺度开展多次采样与测定，以获得更具代表性的</w:t>
      </w:r>
      <w:r w:rsidRPr="00AC13D1">
        <w:rPr>
          <w:rFonts w:ascii="Times New Roman" w:hAnsi="Times New Roman" w:cs="Times New Roman" w:hint="eastAsia"/>
          <w:sz w:val="21"/>
          <w:szCs w:val="21"/>
        </w:rPr>
        <w:t>MSC</w:t>
      </w:r>
      <w:r w:rsidRPr="00AC13D1">
        <w:rPr>
          <w:rFonts w:ascii="Times New Roman" w:hAnsi="Times New Roman" w:cs="Times New Roman" w:hint="eastAsia"/>
          <w:sz w:val="21"/>
          <w:szCs w:val="21"/>
        </w:rPr>
        <w:t>评价结果。</w:t>
      </w:r>
    </w:p>
    <w:p w14:paraId="5596FB5E" w14:textId="507C76E8" w:rsidR="00E933DC" w:rsidRPr="009C27ED" w:rsidRDefault="001364FF" w:rsidP="00814282">
      <w:pPr>
        <w:pStyle w:val="ac"/>
        <w:spacing w:line="360" w:lineRule="auto"/>
        <w:rPr>
          <w:rFonts w:ascii="Times New Roman" w:hAnsi="Times New Roman" w:cs="Times New Roman"/>
          <w:lang w:val="en-US"/>
        </w:rPr>
      </w:pPr>
      <w:r w:rsidRPr="009C27ED">
        <w:rPr>
          <w:rFonts w:ascii="Times New Roman" w:hAnsi="Times New Roman" w:cs="Times New Roman"/>
          <w:lang w:val="en-US"/>
        </w:rPr>
        <w:t>（</w:t>
      </w:r>
      <w:r w:rsidRPr="009C27ED">
        <w:rPr>
          <w:rFonts w:ascii="Times New Roman" w:hAnsi="Times New Roman" w:cs="Times New Roman"/>
          <w:lang w:val="en-US"/>
        </w:rPr>
        <w:t>2</w:t>
      </w:r>
      <w:r w:rsidRPr="009C27ED">
        <w:rPr>
          <w:rFonts w:ascii="Times New Roman" w:hAnsi="Times New Roman" w:cs="Times New Roman"/>
          <w:lang w:val="en-US"/>
        </w:rPr>
        <w:t>）抗生素暴露于微宇宙培养</w:t>
      </w:r>
    </w:p>
    <w:p w14:paraId="479601A7" w14:textId="429B6FB2" w:rsidR="001364FF" w:rsidRPr="009C27ED" w:rsidRDefault="001364FF" w:rsidP="00192DB9">
      <w:pPr>
        <w:pStyle w:val="pdq2pgselectionanchorcontainer"/>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抗生素环境风险评价的核心在于识别环境浓度水平下抗生素是否能够对微生物群落产生持续的选择压力。与传统基于单菌株最低抑菌浓度（</w:t>
      </w:r>
      <w:r w:rsidRPr="009C27ED">
        <w:rPr>
          <w:rFonts w:ascii="Times New Roman" w:hAnsi="Times New Roman" w:cs="Times New Roman"/>
          <w:sz w:val="21"/>
          <w:szCs w:val="21"/>
        </w:rPr>
        <w:t>minimum inhibitory concentration, MIC</w:t>
      </w:r>
      <w:r w:rsidRPr="009C27ED">
        <w:rPr>
          <w:rFonts w:ascii="Times New Roman" w:hAnsi="Times New Roman" w:cs="Times New Roman"/>
          <w:sz w:val="21"/>
          <w:szCs w:val="21"/>
        </w:rPr>
        <w:t>）的评价方法不同，最小选择浓度（</w:t>
      </w:r>
      <w:r w:rsidRPr="009C27ED">
        <w:rPr>
          <w:rFonts w:ascii="Times New Roman" w:hAnsi="Times New Roman" w:cs="Times New Roman"/>
          <w:sz w:val="21"/>
          <w:szCs w:val="21"/>
        </w:rPr>
        <w:t>minimum selective concentration, MSC</w:t>
      </w:r>
      <w:r w:rsidRPr="009C27ED">
        <w:rPr>
          <w:rFonts w:ascii="Times New Roman" w:hAnsi="Times New Roman" w:cs="Times New Roman"/>
          <w:sz w:val="21"/>
          <w:szCs w:val="21"/>
        </w:rPr>
        <w:t>）关注的是环境微生物群落在抗生素暴露过程中耐药性比例变化的生态响应。因此，本标准采用微宇宙（</w:t>
      </w:r>
      <w:r w:rsidRPr="009C27ED">
        <w:rPr>
          <w:rFonts w:ascii="Times New Roman" w:hAnsi="Times New Roman" w:cs="Times New Roman"/>
          <w:sz w:val="21"/>
          <w:szCs w:val="21"/>
        </w:rPr>
        <w:t>microcosm</w:t>
      </w:r>
      <w:r w:rsidRPr="009C27ED">
        <w:rPr>
          <w:rFonts w:ascii="Times New Roman" w:hAnsi="Times New Roman" w:cs="Times New Roman"/>
          <w:sz w:val="21"/>
          <w:szCs w:val="21"/>
        </w:rPr>
        <w:t>）暴露体系模拟天然水环境中的抗生素暴露过程，通过设置不同抗生素浓度梯度，观察细菌群落耐药率随暴露浓度变化的响应关系，并据此获得诱导耐药性选择的浓度阈值。微宇宙实验体系广泛应用于环境污染物生态效应评价，其优势在于能够在可控条件下保留环境微生物群落的复杂性，同时实现污染物浓度、暴露时间及环境条件的标准化控制（</w:t>
      </w:r>
      <w:r w:rsidRPr="009C27ED">
        <w:rPr>
          <w:rFonts w:ascii="Times New Roman" w:hAnsi="Times New Roman" w:cs="Times New Roman"/>
          <w:sz w:val="21"/>
          <w:szCs w:val="21"/>
        </w:rPr>
        <w:t>Pratt et al., 2012</w:t>
      </w:r>
      <w:r w:rsidRPr="009C27ED">
        <w:rPr>
          <w:rFonts w:ascii="Times New Roman" w:hAnsi="Times New Roman" w:cs="Times New Roman"/>
          <w:sz w:val="21"/>
          <w:szCs w:val="21"/>
        </w:rPr>
        <w:t>）。针对抗生素选择压力研究，已有研究采用环境微生物群落或天然水体微生物</w:t>
      </w:r>
      <w:r w:rsidRPr="009C27ED">
        <w:rPr>
          <w:rFonts w:ascii="Times New Roman" w:hAnsi="Times New Roman" w:cs="Times New Roman"/>
          <w:sz w:val="21"/>
          <w:szCs w:val="21"/>
        </w:rPr>
        <w:lastRenderedPageBreak/>
        <w:t>构建微宇宙体系，通过长期或短期抗生素暴露评价耐药基因丰度、耐药菌比例及群落响应变化，为抗生素环境选择效应研究提供了重要方法基础</w:t>
      </w:r>
      <w:r w:rsidR="00020292">
        <w:rPr>
          <w:rFonts w:ascii="Times New Roman" w:hAnsi="Times New Roman" w:cs="Times New Roman"/>
          <w:sz w:val="21"/>
          <w:szCs w:val="21"/>
        </w:rPr>
        <w:fldChar w:fldCharType="begin"/>
      </w:r>
      <w:r w:rsidR="007F6AD7">
        <w:rPr>
          <w:rFonts w:ascii="Times New Roman" w:hAnsi="Times New Roman" w:cs="Times New Roman"/>
          <w:sz w:val="21"/>
          <w:szCs w:val="21"/>
        </w:rPr>
        <w:instrText xml:space="preserve"> ADDIN EN.CITE &lt;EndNote&gt;&lt;Cite&gt;&lt;Author&gt;Gullberg&lt;/Author&gt;&lt;Year&gt;2011&lt;/Year&gt;&lt;RecNum&gt;3&lt;/RecNum&gt;&lt;DisplayText&gt;[14]&lt;/DisplayText&gt;&lt;record&gt;&lt;rec-number&gt;3&lt;/rec-number&gt;&lt;foreign-keys&gt;&lt;key app="EN" db-id="xsvtpzrr7vfvefewa2d52zrqf99afvdewrxe" timestamp="1783388051"&gt;3&lt;/key&gt;&lt;/foreign-keys&gt;&lt;ref-type name="Journal Article"&gt;17&lt;/ref-type&gt;&lt;contributors&gt;&lt;authors&gt;&lt;author&gt;Gullberg, Erik&lt;/author&gt;&lt;author&gt;Cao, Sha&lt;/author&gt;&lt;author&gt;Berg, Otto G&lt;/author&gt;&lt;author&gt;Ilbäck, Carolina&lt;/author&gt;&lt;author&gt;Sandegren, Linus&lt;/author&gt;&lt;author&gt;Hughes, Diarmaid&lt;/author&gt;&lt;author&gt;Andersson, Dan I&lt;/author&gt;&lt;/authors&gt;&lt;/contributors&gt;&lt;titles&gt;&lt;title&gt;Selection of resistant bacteria at very low antibiotic concentrations&lt;/title&gt;&lt;secondary-title&gt;PLoS pathogens&lt;/secondary-title&gt;&lt;/titles&gt;&lt;periodical&gt;&lt;full-title&gt;PLoS pathogens&lt;/full-title&gt;&lt;/periodical&gt;&lt;pages&gt;e1002158&lt;/pages&gt;&lt;volume&gt;7&lt;/volume&gt;&lt;number&gt;7&lt;/number&gt;&lt;dates&gt;&lt;year&gt;2011&lt;/year&gt;&lt;/dates&gt;&lt;isbn&gt;1553-7366&lt;/isbn&gt;&lt;urls&gt;&lt;/urls&gt;&lt;/record&gt;&lt;/Cite&gt;&lt;/EndNote&gt;</w:instrText>
      </w:r>
      <w:r w:rsidR="00020292">
        <w:rPr>
          <w:rFonts w:ascii="Times New Roman" w:hAnsi="Times New Roman" w:cs="Times New Roman"/>
          <w:sz w:val="21"/>
          <w:szCs w:val="21"/>
        </w:rPr>
        <w:fldChar w:fldCharType="separate"/>
      </w:r>
      <w:r w:rsidR="007F6AD7">
        <w:rPr>
          <w:rFonts w:ascii="Times New Roman" w:hAnsi="Times New Roman" w:cs="Times New Roman"/>
          <w:noProof/>
          <w:sz w:val="21"/>
          <w:szCs w:val="21"/>
        </w:rPr>
        <w:t>[14]</w:t>
      </w:r>
      <w:r w:rsidR="00020292">
        <w:rPr>
          <w:rFonts w:ascii="Times New Roman" w:hAnsi="Times New Roman" w:cs="Times New Roman"/>
          <w:sz w:val="21"/>
          <w:szCs w:val="21"/>
        </w:rPr>
        <w:fldChar w:fldCharType="end"/>
      </w:r>
      <w:r w:rsidRPr="009C27ED">
        <w:rPr>
          <w:rFonts w:ascii="Times New Roman" w:hAnsi="Times New Roman" w:cs="Times New Roman"/>
          <w:sz w:val="21"/>
          <w:szCs w:val="21"/>
        </w:rPr>
        <w:t>。</w:t>
      </w:r>
    </w:p>
    <w:p w14:paraId="60CA515C" w14:textId="77777777" w:rsidR="001364FF" w:rsidRPr="009C27ED" w:rsidRDefault="001364FF" w:rsidP="00192DB9">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本标准在已有研究基础上，建立了基于环境细菌群落耐药率变化的</w:t>
      </w:r>
      <w:r w:rsidRPr="009C27ED">
        <w:rPr>
          <w:rFonts w:ascii="Times New Roman" w:hAnsi="Times New Roman" w:cs="Times New Roman"/>
          <w:sz w:val="21"/>
          <w:szCs w:val="21"/>
        </w:rPr>
        <w:t>MSC</w:t>
      </w:r>
      <w:r w:rsidRPr="009C27ED">
        <w:rPr>
          <w:rFonts w:ascii="Times New Roman" w:hAnsi="Times New Roman" w:cs="Times New Roman"/>
          <w:sz w:val="21"/>
          <w:szCs w:val="21"/>
        </w:rPr>
        <w:t>测定微宇宙体系，主要考虑以下几个方面：</w:t>
      </w:r>
    </w:p>
    <w:p w14:paraId="6E5304DF" w14:textId="30F96EC2" w:rsidR="001364FF" w:rsidRPr="009C27ED" w:rsidRDefault="001364FF" w:rsidP="00192DB9">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环境中抗生素浓度通常跨越多个数量级，且不同水体受污染来源、排放强度及稀释条件影响存在较大差异。因此，本标准采用</w:t>
      </w:r>
      <w:r w:rsidRPr="009C27ED">
        <w:rPr>
          <w:rFonts w:ascii="Times New Roman" w:hAnsi="Times New Roman" w:cs="Times New Roman"/>
          <w:sz w:val="21"/>
          <w:szCs w:val="21"/>
        </w:rPr>
        <w:t>10</w:t>
      </w:r>
      <w:r w:rsidRPr="009C27ED">
        <w:rPr>
          <w:rFonts w:ascii="Times New Roman" w:hAnsi="Times New Roman" w:cs="Times New Roman"/>
          <w:sz w:val="21"/>
          <w:szCs w:val="21"/>
        </w:rPr>
        <w:t>倍梯度浓度设计，以覆盖环境相关浓度至潜在高暴露水平，并获得完整的剂量</w:t>
      </w:r>
      <w:r w:rsidRPr="009C27ED">
        <w:rPr>
          <w:rFonts w:ascii="Times New Roman" w:hAnsi="Times New Roman" w:cs="Times New Roman"/>
          <w:sz w:val="21"/>
          <w:szCs w:val="21"/>
        </w:rPr>
        <w:t>–</w:t>
      </w:r>
      <w:r w:rsidRPr="009C27ED">
        <w:rPr>
          <w:rFonts w:ascii="Times New Roman" w:hAnsi="Times New Roman" w:cs="Times New Roman"/>
          <w:sz w:val="21"/>
          <w:szCs w:val="21"/>
        </w:rPr>
        <w:t>响应关系。设置</w:t>
      </w:r>
      <w:r w:rsidRPr="009C27ED">
        <w:rPr>
          <w:rFonts w:ascii="Times New Roman" w:hAnsi="Times New Roman" w:cs="Times New Roman"/>
          <w:sz w:val="21"/>
          <w:szCs w:val="21"/>
        </w:rPr>
        <w:t>0</w:t>
      </w:r>
      <w:r w:rsidRPr="009C27ED">
        <w:rPr>
          <w:rFonts w:ascii="Times New Roman" w:hAnsi="Times New Roman" w:cs="Times New Roman"/>
          <w:sz w:val="21"/>
          <w:szCs w:val="21"/>
        </w:rPr>
        <w:t>、</w:t>
      </w:r>
      <w:r w:rsidRPr="009C27ED">
        <w:rPr>
          <w:rFonts w:ascii="Times New Roman" w:hAnsi="Times New Roman" w:cs="Times New Roman"/>
          <w:sz w:val="21"/>
          <w:szCs w:val="21"/>
        </w:rPr>
        <w:t>0.01</w:t>
      </w:r>
      <w:r w:rsidRPr="009C27ED">
        <w:rPr>
          <w:rFonts w:ascii="Times New Roman" w:hAnsi="Times New Roman" w:cs="Times New Roman"/>
          <w:sz w:val="21"/>
          <w:szCs w:val="21"/>
        </w:rPr>
        <w:t>、</w:t>
      </w:r>
      <w:r w:rsidRPr="009C27ED">
        <w:rPr>
          <w:rFonts w:ascii="Times New Roman" w:hAnsi="Times New Roman" w:cs="Times New Roman"/>
          <w:sz w:val="21"/>
          <w:szCs w:val="21"/>
        </w:rPr>
        <w:t>0.1</w:t>
      </w:r>
      <w:r w:rsidRPr="009C27ED">
        <w:rPr>
          <w:rFonts w:ascii="Times New Roman" w:hAnsi="Times New Roman" w:cs="Times New Roman"/>
          <w:sz w:val="21"/>
          <w:szCs w:val="21"/>
        </w:rPr>
        <w:t>、</w:t>
      </w:r>
      <w:r w:rsidRPr="009C27ED">
        <w:rPr>
          <w:rFonts w:ascii="Times New Roman" w:hAnsi="Times New Roman" w:cs="Times New Roman"/>
          <w:sz w:val="21"/>
          <w:szCs w:val="21"/>
        </w:rPr>
        <w:t>1</w:t>
      </w:r>
      <w:r w:rsidRPr="009C27ED">
        <w:rPr>
          <w:rFonts w:ascii="Times New Roman" w:hAnsi="Times New Roman" w:cs="Times New Roman"/>
          <w:sz w:val="21"/>
          <w:szCs w:val="21"/>
        </w:rPr>
        <w:t>、</w:t>
      </w:r>
      <w:r w:rsidRPr="009C27ED">
        <w:rPr>
          <w:rFonts w:ascii="Times New Roman" w:hAnsi="Times New Roman" w:cs="Times New Roman"/>
          <w:sz w:val="21"/>
          <w:szCs w:val="21"/>
        </w:rPr>
        <w:t>10</w:t>
      </w:r>
      <w:r w:rsidRPr="009C27ED">
        <w:rPr>
          <w:rFonts w:ascii="Times New Roman" w:hAnsi="Times New Roman" w:cs="Times New Roman"/>
          <w:sz w:val="21"/>
          <w:szCs w:val="21"/>
        </w:rPr>
        <w:t>和</w:t>
      </w:r>
      <w:r w:rsidRPr="009C27ED">
        <w:rPr>
          <w:rFonts w:ascii="Times New Roman" w:hAnsi="Times New Roman" w:cs="Times New Roman"/>
          <w:sz w:val="21"/>
          <w:szCs w:val="21"/>
        </w:rPr>
        <w:t xml:space="preserve">100 </w:t>
      </w:r>
      <w:proofErr w:type="spellStart"/>
      <w:r w:rsidRPr="009C27ED">
        <w:rPr>
          <w:rFonts w:ascii="Times New Roman" w:hAnsi="Times New Roman" w:cs="Times New Roman"/>
          <w:sz w:val="21"/>
          <w:szCs w:val="21"/>
        </w:rPr>
        <w:t>μg</w:t>
      </w:r>
      <w:proofErr w:type="spellEnd"/>
      <w:r w:rsidRPr="009C27ED">
        <w:rPr>
          <w:rFonts w:ascii="Times New Roman" w:hAnsi="Times New Roman" w:cs="Times New Roman"/>
          <w:sz w:val="21"/>
          <w:szCs w:val="21"/>
        </w:rPr>
        <w:t>/L</w:t>
      </w:r>
      <w:r w:rsidRPr="009C27ED">
        <w:rPr>
          <w:rFonts w:ascii="Times New Roman" w:hAnsi="Times New Roman" w:cs="Times New Roman"/>
          <w:sz w:val="21"/>
          <w:szCs w:val="21"/>
        </w:rPr>
        <w:t>六个浓度水平，可覆盖目前水环境中常见抗生素残留范围，同时满足</w:t>
      </w:r>
      <w:r w:rsidRPr="009C27ED">
        <w:rPr>
          <w:rFonts w:ascii="Times New Roman" w:hAnsi="Times New Roman" w:cs="Times New Roman"/>
          <w:sz w:val="21"/>
          <w:szCs w:val="21"/>
        </w:rPr>
        <w:t>Logistic</w:t>
      </w:r>
      <w:r w:rsidRPr="009C27ED">
        <w:rPr>
          <w:rFonts w:ascii="Times New Roman" w:hAnsi="Times New Roman" w:cs="Times New Roman"/>
          <w:sz w:val="21"/>
          <w:szCs w:val="21"/>
        </w:rPr>
        <w:t>模型对选择压力变化趋势的拟合需求。</w:t>
      </w:r>
    </w:p>
    <w:p w14:paraId="669192DF" w14:textId="2327DAAB" w:rsidR="001364FF" w:rsidRPr="009C27ED" w:rsidRDefault="001364FF" w:rsidP="00192DB9">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本标准设置</w:t>
      </w:r>
      <w:r w:rsidRPr="009C27ED">
        <w:rPr>
          <w:rFonts w:ascii="Times New Roman" w:hAnsi="Times New Roman" w:cs="Times New Roman"/>
          <w:sz w:val="21"/>
          <w:szCs w:val="21"/>
        </w:rPr>
        <w:t>24 h</w:t>
      </w:r>
      <w:r w:rsidRPr="009C27ED">
        <w:rPr>
          <w:rFonts w:ascii="Times New Roman" w:hAnsi="Times New Roman" w:cs="Times New Roman"/>
          <w:sz w:val="21"/>
          <w:szCs w:val="21"/>
        </w:rPr>
        <w:t>抗生素暴露时间，主要基于环境微生物群落短期选择响应的检测需求。</w:t>
      </w:r>
      <w:r w:rsidRPr="009C27ED">
        <w:rPr>
          <w:rFonts w:ascii="Times New Roman" w:hAnsi="Times New Roman" w:cs="Times New Roman"/>
          <w:sz w:val="21"/>
          <w:szCs w:val="21"/>
        </w:rPr>
        <w:t>MSC</w:t>
      </w:r>
      <w:r w:rsidRPr="009C27ED">
        <w:rPr>
          <w:rFonts w:ascii="Times New Roman" w:hAnsi="Times New Roman" w:cs="Times New Roman"/>
          <w:sz w:val="21"/>
          <w:szCs w:val="21"/>
        </w:rPr>
        <w:t>评价关注的是抗生素暴露后群落耐药性比例是否发生初始提升，而</w:t>
      </w:r>
      <w:proofErr w:type="gramStart"/>
      <w:r w:rsidRPr="009C27ED">
        <w:rPr>
          <w:rFonts w:ascii="Times New Roman" w:hAnsi="Times New Roman" w:cs="Times New Roman"/>
          <w:sz w:val="21"/>
          <w:szCs w:val="21"/>
        </w:rPr>
        <w:t>非长期</w:t>
      </w:r>
      <w:proofErr w:type="gramEnd"/>
      <w:r w:rsidRPr="009C27ED">
        <w:rPr>
          <w:rFonts w:ascii="Times New Roman" w:hAnsi="Times New Roman" w:cs="Times New Roman"/>
          <w:sz w:val="21"/>
          <w:szCs w:val="21"/>
        </w:rPr>
        <w:t>适应性进化过程。因此，采用相对短周期暴露能够减少长时间培养过程中群落演替、营养耗竭及随机突变等因素的影响，提高选择压力识别的特异性。</w:t>
      </w:r>
      <w:r w:rsidR="004F2238" w:rsidRPr="009C27ED">
        <w:rPr>
          <w:rFonts w:ascii="Times New Roman" w:hAnsi="Times New Roman" w:cs="Times New Roman"/>
          <w:sz w:val="21"/>
          <w:szCs w:val="21"/>
        </w:rPr>
        <w:t>编制团队对培养时间进行了单因素优化实验</w:t>
      </w:r>
      <w:r w:rsidR="000023A9">
        <w:rPr>
          <w:rFonts w:ascii="Times New Roman" w:hAnsi="Times New Roman" w:cs="Times New Roman" w:hint="eastAsia"/>
          <w:sz w:val="21"/>
          <w:szCs w:val="21"/>
        </w:rPr>
        <w:t>（图</w:t>
      </w:r>
      <w:r w:rsidR="000023A9">
        <w:rPr>
          <w:rFonts w:ascii="Times New Roman" w:hAnsi="Times New Roman" w:cs="Times New Roman" w:hint="eastAsia"/>
          <w:sz w:val="21"/>
          <w:szCs w:val="21"/>
        </w:rPr>
        <w:t>1</w:t>
      </w:r>
      <w:r w:rsidR="000023A9">
        <w:rPr>
          <w:rFonts w:ascii="Times New Roman" w:hAnsi="Times New Roman" w:cs="Times New Roman" w:hint="eastAsia"/>
          <w:sz w:val="21"/>
          <w:szCs w:val="21"/>
        </w:rPr>
        <w:t>）</w:t>
      </w:r>
      <w:r w:rsidR="004F2238" w:rsidRPr="009C27ED">
        <w:rPr>
          <w:rFonts w:ascii="Times New Roman" w:hAnsi="Times New Roman" w:cs="Times New Roman"/>
          <w:sz w:val="21"/>
          <w:szCs w:val="21"/>
        </w:rPr>
        <w:t>，</w:t>
      </w:r>
      <w:r w:rsidR="000023A9" w:rsidRPr="000023A9">
        <w:rPr>
          <w:rFonts w:ascii="Times New Roman" w:hAnsi="Times New Roman" w:cs="Times New Roman" w:hint="eastAsia"/>
          <w:sz w:val="21"/>
          <w:szCs w:val="21"/>
        </w:rPr>
        <w:t>24 h</w:t>
      </w:r>
      <w:r w:rsidR="000023A9" w:rsidRPr="000023A9">
        <w:rPr>
          <w:rFonts w:ascii="Times New Roman" w:hAnsi="Times New Roman" w:cs="Times New Roman" w:hint="eastAsia"/>
          <w:sz w:val="21"/>
          <w:szCs w:val="21"/>
        </w:rPr>
        <w:t>暴露条件下获得的选择效应与</w:t>
      </w:r>
      <w:r w:rsidR="000023A9" w:rsidRPr="000023A9">
        <w:rPr>
          <w:rFonts w:ascii="Times New Roman" w:hAnsi="Times New Roman" w:cs="Times New Roman" w:hint="eastAsia"/>
          <w:sz w:val="21"/>
          <w:szCs w:val="21"/>
        </w:rPr>
        <w:t>7 d</w:t>
      </w:r>
      <w:r w:rsidR="000023A9" w:rsidRPr="000023A9">
        <w:rPr>
          <w:rFonts w:ascii="Times New Roman" w:hAnsi="Times New Roman" w:cs="Times New Roman" w:hint="eastAsia"/>
          <w:sz w:val="21"/>
          <w:szCs w:val="21"/>
        </w:rPr>
        <w:t>培养条件下的</w:t>
      </w:r>
      <w:r w:rsidR="000023A9" w:rsidRPr="000023A9">
        <w:rPr>
          <w:rFonts w:ascii="Times New Roman" w:hAnsi="Times New Roman" w:cs="Times New Roman" w:hint="eastAsia"/>
          <w:sz w:val="21"/>
          <w:szCs w:val="21"/>
        </w:rPr>
        <w:t>MSC</w:t>
      </w:r>
      <w:r w:rsidR="000023A9" w:rsidRPr="000023A9">
        <w:rPr>
          <w:rFonts w:ascii="Times New Roman" w:hAnsi="Times New Roman" w:cs="Times New Roman" w:hint="eastAsia"/>
          <w:sz w:val="21"/>
          <w:szCs w:val="21"/>
        </w:rPr>
        <w:t>结果未呈现明显差异；而培养至</w:t>
      </w:r>
      <w:r w:rsidR="000023A9" w:rsidRPr="000023A9">
        <w:rPr>
          <w:rFonts w:ascii="Times New Roman" w:hAnsi="Times New Roman" w:cs="Times New Roman" w:hint="eastAsia"/>
          <w:sz w:val="21"/>
          <w:szCs w:val="21"/>
        </w:rPr>
        <w:t>14 d</w:t>
      </w:r>
      <w:r w:rsidR="000023A9" w:rsidRPr="000023A9">
        <w:rPr>
          <w:rFonts w:ascii="Times New Roman" w:hAnsi="Times New Roman" w:cs="Times New Roman" w:hint="eastAsia"/>
          <w:sz w:val="21"/>
          <w:szCs w:val="21"/>
        </w:rPr>
        <w:t>后，</w:t>
      </w:r>
      <w:r w:rsidR="000023A9" w:rsidRPr="000023A9">
        <w:rPr>
          <w:rFonts w:ascii="Times New Roman" w:hAnsi="Times New Roman" w:cs="Times New Roman" w:hint="eastAsia"/>
          <w:sz w:val="21"/>
          <w:szCs w:val="21"/>
        </w:rPr>
        <w:t>MSC</w:t>
      </w:r>
      <w:r w:rsidR="000023A9" w:rsidRPr="000023A9">
        <w:rPr>
          <w:rFonts w:ascii="Times New Roman" w:hAnsi="Times New Roman" w:cs="Times New Roman" w:hint="eastAsia"/>
          <w:sz w:val="21"/>
          <w:szCs w:val="21"/>
        </w:rPr>
        <w:t>值出现明显降低，推测可能与部分细菌在长期培养过程中发生适应性进化或群落结构改变有关，进而影响</w:t>
      </w:r>
      <w:r w:rsidR="000023A9" w:rsidRPr="000023A9">
        <w:rPr>
          <w:rFonts w:ascii="Times New Roman" w:hAnsi="Times New Roman" w:cs="Times New Roman" w:hint="eastAsia"/>
          <w:sz w:val="21"/>
          <w:szCs w:val="21"/>
        </w:rPr>
        <w:t>MSC</w:t>
      </w:r>
      <w:r w:rsidR="000023A9">
        <w:rPr>
          <w:rFonts w:ascii="Times New Roman" w:hAnsi="Times New Roman" w:cs="Times New Roman" w:hint="eastAsia"/>
          <w:sz w:val="21"/>
          <w:szCs w:val="21"/>
        </w:rPr>
        <w:t>测定结果</w:t>
      </w:r>
      <w:r w:rsidR="004F2238" w:rsidRPr="009C27ED">
        <w:rPr>
          <w:rFonts w:ascii="Times New Roman" w:hAnsi="Times New Roman" w:cs="Times New Roman"/>
          <w:sz w:val="21"/>
          <w:szCs w:val="21"/>
        </w:rPr>
        <w:t>。</w:t>
      </w:r>
      <w:r w:rsidRPr="009C27ED">
        <w:rPr>
          <w:rFonts w:ascii="Times New Roman" w:hAnsi="Times New Roman" w:cs="Times New Roman"/>
          <w:sz w:val="21"/>
          <w:szCs w:val="21"/>
        </w:rPr>
        <w:t>因此，</w:t>
      </w:r>
      <w:r w:rsidRPr="009C27ED">
        <w:rPr>
          <w:rFonts w:ascii="Times New Roman" w:hAnsi="Times New Roman" w:cs="Times New Roman"/>
          <w:sz w:val="21"/>
          <w:szCs w:val="21"/>
        </w:rPr>
        <w:t>24 h</w:t>
      </w:r>
      <w:r w:rsidRPr="009C27ED">
        <w:rPr>
          <w:rFonts w:ascii="Times New Roman" w:hAnsi="Times New Roman" w:cs="Times New Roman"/>
          <w:sz w:val="21"/>
          <w:szCs w:val="21"/>
        </w:rPr>
        <w:t>暴露时间能够兼顾选择效应响应和实验周期控制，适用于标准化检测流程。</w:t>
      </w:r>
    </w:p>
    <w:p w14:paraId="6473BE49" w14:textId="2FEAA465" w:rsidR="00A236C8" w:rsidRPr="009C27ED" w:rsidRDefault="00A236C8" w:rsidP="009C27ED">
      <w:pPr>
        <w:pStyle w:val="aff1"/>
        <w:spacing w:before="0" w:beforeAutospacing="0" w:after="0" w:afterAutospacing="0" w:line="360" w:lineRule="auto"/>
        <w:ind w:firstLineChars="200" w:firstLine="420"/>
        <w:jc w:val="center"/>
        <w:rPr>
          <w:rFonts w:ascii="Times New Roman" w:hAnsi="Times New Roman" w:cs="Times New Roman"/>
          <w:sz w:val="21"/>
          <w:szCs w:val="21"/>
        </w:rPr>
      </w:pPr>
      <w:r w:rsidRPr="009C27ED">
        <w:rPr>
          <w:rFonts w:ascii="Times New Roman" w:hAnsi="Times New Roman" w:cs="Times New Roman"/>
          <w:noProof/>
          <w:sz w:val="21"/>
          <w:szCs w:val="21"/>
        </w:rPr>
        <w:drawing>
          <wp:inline distT="0" distB="0" distL="0" distR="0" wp14:anchorId="72B8A240" wp14:editId="499BF894">
            <wp:extent cx="2682240" cy="164592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82240" cy="1645920"/>
                    </a:xfrm>
                    <a:prstGeom prst="rect">
                      <a:avLst/>
                    </a:prstGeom>
                    <a:noFill/>
                  </pic:spPr>
                </pic:pic>
              </a:graphicData>
            </a:graphic>
          </wp:inline>
        </w:drawing>
      </w:r>
    </w:p>
    <w:p w14:paraId="57B1800C" w14:textId="5926A05F" w:rsidR="00B8488E" w:rsidRDefault="00B8488E" w:rsidP="009C27ED">
      <w:pPr>
        <w:pStyle w:val="aff1"/>
        <w:spacing w:before="0" w:beforeAutospacing="0" w:after="0" w:afterAutospacing="0" w:line="360" w:lineRule="auto"/>
        <w:ind w:firstLineChars="200" w:firstLine="420"/>
        <w:jc w:val="center"/>
        <w:rPr>
          <w:rFonts w:ascii="Times New Roman" w:hAnsi="Times New Roman" w:cs="Times New Roman"/>
          <w:sz w:val="21"/>
          <w:szCs w:val="21"/>
        </w:rPr>
      </w:pPr>
      <w:r w:rsidRPr="009C27ED">
        <w:rPr>
          <w:rFonts w:ascii="Times New Roman" w:hAnsi="Times New Roman" w:cs="Times New Roman"/>
          <w:sz w:val="21"/>
          <w:szCs w:val="21"/>
        </w:rPr>
        <w:t>图</w:t>
      </w:r>
      <w:r w:rsidRPr="009C27ED">
        <w:rPr>
          <w:rFonts w:ascii="Times New Roman" w:hAnsi="Times New Roman" w:cs="Times New Roman"/>
          <w:sz w:val="21"/>
          <w:szCs w:val="21"/>
        </w:rPr>
        <w:t xml:space="preserve">1. </w:t>
      </w:r>
      <w:r w:rsidRPr="009C27ED">
        <w:rPr>
          <w:rFonts w:ascii="Times New Roman" w:hAnsi="Times New Roman" w:cs="Times New Roman"/>
          <w:sz w:val="21"/>
          <w:szCs w:val="21"/>
        </w:rPr>
        <w:t>不同培养时间对</w:t>
      </w:r>
      <w:r w:rsidRPr="009C27ED">
        <w:rPr>
          <w:rFonts w:ascii="Times New Roman" w:hAnsi="Times New Roman" w:cs="Times New Roman"/>
          <w:sz w:val="21"/>
          <w:szCs w:val="21"/>
        </w:rPr>
        <w:t>MSC</w:t>
      </w:r>
      <w:r w:rsidRPr="009C27ED">
        <w:rPr>
          <w:rFonts w:ascii="Times New Roman" w:hAnsi="Times New Roman" w:cs="Times New Roman"/>
          <w:sz w:val="21"/>
          <w:szCs w:val="21"/>
        </w:rPr>
        <w:t>测定的影响</w:t>
      </w:r>
    </w:p>
    <w:p w14:paraId="39E33E85" w14:textId="77777777" w:rsidR="00192DB9" w:rsidRPr="009C27ED" w:rsidRDefault="00192DB9" w:rsidP="009C27ED">
      <w:pPr>
        <w:pStyle w:val="aff1"/>
        <w:spacing w:before="0" w:beforeAutospacing="0" w:after="0" w:afterAutospacing="0" w:line="360" w:lineRule="auto"/>
        <w:ind w:firstLineChars="200" w:firstLine="420"/>
        <w:jc w:val="center"/>
        <w:rPr>
          <w:rFonts w:ascii="Times New Roman" w:hAnsi="Times New Roman" w:cs="Times New Roman"/>
          <w:sz w:val="21"/>
          <w:szCs w:val="21"/>
        </w:rPr>
      </w:pPr>
    </w:p>
    <w:p w14:paraId="4CEF7BE7" w14:textId="07657C6D" w:rsidR="001364FF" w:rsidRPr="009C27ED" w:rsidRDefault="001364FF" w:rsidP="000023A9">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环境微生物群落对抗生素的响应不仅受抗生素浓度影响，还受到营养水平、碳氮磷比例等环境因素影响。</w:t>
      </w:r>
      <w:r w:rsidR="000023A9" w:rsidRPr="000023A9">
        <w:rPr>
          <w:rFonts w:ascii="Times New Roman" w:hAnsi="Times New Roman" w:cs="Times New Roman" w:hint="eastAsia"/>
          <w:sz w:val="21"/>
          <w:szCs w:val="21"/>
        </w:rPr>
        <w:t>编制团队前期研究表明，营养水平对</w:t>
      </w:r>
      <w:r w:rsidR="000023A9" w:rsidRPr="000023A9">
        <w:rPr>
          <w:rFonts w:ascii="Times New Roman" w:hAnsi="Times New Roman" w:cs="Times New Roman" w:hint="eastAsia"/>
          <w:sz w:val="21"/>
          <w:szCs w:val="21"/>
        </w:rPr>
        <w:t>MSC</w:t>
      </w:r>
      <w:r w:rsidR="000023A9" w:rsidRPr="000023A9">
        <w:rPr>
          <w:rFonts w:ascii="Times New Roman" w:hAnsi="Times New Roman" w:cs="Times New Roman" w:hint="eastAsia"/>
          <w:sz w:val="21"/>
          <w:szCs w:val="21"/>
        </w:rPr>
        <w:t>测定结果具有显著影响。与接近实际水环境营养条件的培养体系相比，采用富营养培养基会促进细菌快速增殖并改变群落竞争关系，导致</w:t>
      </w:r>
      <w:r w:rsidR="000023A9" w:rsidRPr="000023A9">
        <w:rPr>
          <w:rFonts w:ascii="Times New Roman" w:hAnsi="Times New Roman" w:cs="Times New Roman" w:hint="eastAsia"/>
          <w:sz w:val="21"/>
          <w:szCs w:val="21"/>
        </w:rPr>
        <w:t>MSC</w:t>
      </w:r>
      <w:r w:rsidR="000023A9" w:rsidRPr="000023A9">
        <w:rPr>
          <w:rFonts w:ascii="Times New Roman" w:hAnsi="Times New Roman" w:cs="Times New Roman" w:hint="eastAsia"/>
          <w:sz w:val="21"/>
          <w:szCs w:val="21"/>
        </w:rPr>
        <w:t>测定结果偏高（图</w:t>
      </w:r>
      <w:r w:rsidR="000023A9" w:rsidRPr="000023A9">
        <w:rPr>
          <w:rFonts w:ascii="Times New Roman" w:hAnsi="Times New Roman" w:cs="Times New Roman" w:hint="eastAsia"/>
          <w:sz w:val="21"/>
          <w:szCs w:val="21"/>
        </w:rPr>
        <w:t>2</w:t>
      </w:r>
      <w:r w:rsidR="000023A9" w:rsidRPr="000023A9">
        <w:rPr>
          <w:rFonts w:ascii="Times New Roman" w:hAnsi="Times New Roman" w:cs="Times New Roman" w:hint="eastAsia"/>
          <w:sz w:val="21"/>
          <w:szCs w:val="21"/>
        </w:rPr>
        <w:t>）。这一结果说明，若使用传统富营养培养条件开展抗生素暴</w:t>
      </w:r>
      <w:r w:rsidR="000023A9">
        <w:rPr>
          <w:rFonts w:ascii="Times New Roman" w:hAnsi="Times New Roman" w:cs="Times New Roman" w:hint="eastAsia"/>
          <w:sz w:val="21"/>
          <w:szCs w:val="21"/>
        </w:rPr>
        <w:t>露实验，可能低估环境抗生素在真实水体中产生耐药性选择压力的风险</w:t>
      </w:r>
      <w:r w:rsidR="00CC6DF7" w:rsidRPr="009C27ED">
        <w:rPr>
          <w:rFonts w:ascii="Times New Roman" w:hAnsi="Times New Roman" w:cs="Times New Roman"/>
          <w:sz w:val="21"/>
          <w:szCs w:val="21"/>
        </w:rPr>
        <w:t>。</w:t>
      </w:r>
      <w:r w:rsidR="000023A9" w:rsidRPr="000023A9">
        <w:rPr>
          <w:rFonts w:ascii="Times New Roman" w:hAnsi="Times New Roman" w:cs="Times New Roman" w:hint="eastAsia"/>
          <w:sz w:val="21"/>
          <w:szCs w:val="21"/>
        </w:rPr>
        <w:t>基于上述结果，本指南采用接近实际环境条件的营养水平构建微宇宙暴露体系，以提高</w:t>
      </w:r>
      <w:r w:rsidR="000023A9" w:rsidRPr="000023A9">
        <w:rPr>
          <w:rFonts w:ascii="Times New Roman" w:hAnsi="Times New Roman" w:cs="Times New Roman" w:hint="eastAsia"/>
          <w:sz w:val="21"/>
          <w:szCs w:val="21"/>
        </w:rPr>
        <w:t>MSC</w:t>
      </w:r>
      <w:r w:rsidR="000023A9" w:rsidRPr="000023A9">
        <w:rPr>
          <w:rFonts w:ascii="Times New Roman" w:hAnsi="Times New Roman" w:cs="Times New Roman" w:hint="eastAsia"/>
          <w:sz w:val="21"/>
          <w:szCs w:val="21"/>
        </w:rPr>
        <w:t>测定结果的环境相关性和准确性。同时，该设置也有助于增强不同水体样品</w:t>
      </w:r>
      <w:proofErr w:type="gramStart"/>
      <w:r w:rsidR="000023A9" w:rsidRPr="000023A9">
        <w:rPr>
          <w:rFonts w:ascii="Times New Roman" w:hAnsi="Times New Roman" w:cs="Times New Roman" w:hint="eastAsia"/>
          <w:sz w:val="21"/>
          <w:szCs w:val="21"/>
        </w:rPr>
        <w:t>间结果</w:t>
      </w:r>
      <w:proofErr w:type="gramEnd"/>
      <w:r w:rsidR="000023A9" w:rsidRPr="000023A9">
        <w:rPr>
          <w:rFonts w:ascii="Times New Roman" w:hAnsi="Times New Roman" w:cs="Times New Roman" w:hint="eastAsia"/>
          <w:sz w:val="21"/>
          <w:szCs w:val="21"/>
        </w:rPr>
        <w:t>的可比性，为水环境抗生素耐药性选择风险评价提供更加合理的技术基础。</w:t>
      </w:r>
    </w:p>
    <w:p w14:paraId="6464F6D2" w14:textId="253ABF31" w:rsidR="00B8488E" w:rsidRPr="009C27ED" w:rsidRDefault="00B8488E"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noProof/>
          <w:sz w:val="21"/>
          <w:szCs w:val="21"/>
        </w:rPr>
        <w:lastRenderedPageBreak/>
        <w:drawing>
          <wp:inline distT="0" distB="0" distL="0" distR="0" wp14:anchorId="713A92DE" wp14:editId="5B3DC009">
            <wp:extent cx="4733794" cy="1840375"/>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5625" cy="1848862"/>
                    </a:xfrm>
                    <a:prstGeom prst="rect">
                      <a:avLst/>
                    </a:prstGeom>
                    <a:noFill/>
                  </pic:spPr>
                </pic:pic>
              </a:graphicData>
            </a:graphic>
          </wp:inline>
        </w:drawing>
      </w:r>
    </w:p>
    <w:p w14:paraId="59C58461" w14:textId="7BF1C273" w:rsidR="00B8488E" w:rsidRDefault="00B8488E"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图</w:t>
      </w:r>
      <w:r w:rsidRPr="009C27ED">
        <w:rPr>
          <w:rFonts w:ascii="Times New Roman" w:hAnsi="Times New Roman" w:cs="Times New Roman"/>
          <w:sz w:val="21"/>
          <w:szCs w:val="21"/>
        </w:rPr>
        <w:t xml:space="preserve">2. </w:t>
      </w:r>
      <w:r w:rsidRPr="009C27ED">
        <w:rPr>
          <w:rFonts w:ascii="Times New Roman" w:hAnsi="Times New Roman" w:cs="Times New Roman"/>
          <w:sz w:val="21"/>
          <w:szCs w:val="21"/>
        </w:rPr>
        <w:t>营养条件对</w:t>
      </w:r>
      <w:r w:rsidRPr="009C27ED">
        <w:rPr>
          <w:rFonts w:ascii="Times New Roman" w:hAnsi="Times New Roman" w:cs="Times New Roman"/>
          <w:sz w:val="21"/>
          <w:szCs w:val="21"/>
        </w:rPr>
        <w:t>MSC</w:t>
      </w:r>
      <w:r w:rsidRPr="009C27ED">
        <w:rPr>
          <w:rFonts w:ascii="Times New Roman" w:hAnsi="Times New Roman" w:cs="Times New Roman"/>
          <w:sz w:val="21"/>
          <w:szCs w:val="21"/>
        </w:rPr>
        <w:t>的影响，左图为富营养</w:t>
      </w:r>
      <w:r w:rsidRPr="009C27ED">
        <w:rPr>
          <w:rFonts w:ascii="Times New Roman" w:hAnsi="Times New Roman" w:cs="Times New Roman"/>
          <w:sz w:val="21"/>
          <w:szCs w:val="21"/>
        </w:rPr>
        <w:t>LB</w:t>
      </w:r>
      <w:r w:rsidRPr="009C27ED">
        <w:rPr>
          <w:rFonts w:ascii="Times New Roman" w:hAnsi="Times New Roman" w:cs="Times New Roman"/>
          <w:sz w:val="21"/>
          <w:szCs w:val="21"/>
        </w:rPr>
        <w:t>培养基的结果，右图为接近实际环境的</w:t>
      </w:r>
      <w:r w:rsidRPr="009C27ED">
        <w:rPr>
          <w:rFonts w:ascii="Times New Roman" w:hAnsi="Times New Roman" w:cs="Times New Roman"/>
          <w:sz w:val="21"/>
          <w:szCs w:val="21"/>
        </w:rPr>
        <w:t>M9</w:t>
      </w:r>
      <w:r w:rsidRPr="009C27ED">
        <w:rPr>
          <w:rFonts w:ascii="Times New Roman" w:hAnsi="Times New Roman" w:cs="Times New Roman"/>
          <w:sz w:val="21"/>
          <w:szCs w:val="21"/>
        </w:rPr>
        <w:t>培养基的结果</w:t>
      </w:r>
    </w:p>
    <w:p w14:paraId="04BDA965" w14:textId="77777777" w:rsidR="000023A9" w:rsidRPr="009C27ED" w:rsidRDefault="000023A9" w:rsidP="009C27ED">
      <w:pPr>
        <w:pStyle w:val="aff1"/>
        <w:spacing w:before="0" w:beforeAutospacing="0" w:after="0" w:afterAutospacing="0" w:line="360" w:lineRule="auto"/>
        <w:ind w:firstLineChars="200" w:firstLine="420"/>
        <w:rPr>
          <w:rFonts w:ascii="Times New Roman" w:hAnsi="Times New Roman" w:cs="Times New Roman"/>
          <w:sz w:val="21"/>
          <w:szCs w:val="21"/>
        </w:rPr>
      </w:pPr>
    </w:p>
    <w:p w14:paraId="14519270" w14:textId="2B6EF1F0" w:rsidR="00CC6DF7" w:rsidRPr="00ED3A70" w:rsidRDefault="001364FF" w:rsidP="00C23BE0">
      <w:pPr>
        <w:pStyle w:val="aff1"/>
        <w:spacing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本标准采用</w:t>
      </w:r>
      <w:r w:rsidR="0013496D">
        <w:rPr>
          <w:rFonts w:ascii="Times New Roman" w:hAnsi="Times New Roman" w:cs="Times New Roman" w:hint="eastAsia"/>
          <w:sz w:val="21"/>
          <w:szCs w:val="21"/>
        </w:rPr>
        <w:t>2</w:t>
      </w:r>
      <w:r w:rsidR="0013496D">
        <w:rPr>
          <w:rFonts w:ascii="Times New Roman" w:hAnsi="Times New Roman" w:cs="Times New Roman"/>
          <w:sz w:val="21"/>
          <w:szCs w:val="21"/>
        </w:rPr>
        <w:t>0</w:t>
      </w:r>
      <w:r w:rsidR="0013496D">
        <w:rPr>
          <w:rFonts w:ascii="Times New Roman" w:hAnsi="Times New Roman" w:cs="Times New Roman" w:hint="eastAsia"/>
          <w:sz w:val="21"/>
          <w:szCs w:val="21"/>
        </w:rPr>
        <w:t>℃</w:t>
      </w:r>
      <w:r w:rsidRPr="009C27ED">
        <w:rPr>
          <w:rFonts w:ascii="Times New Roman" w:hAnsi="Times New Roman" w:cs="Times New Roman"/>
          <w:sz w:val="21"/>
          <w:szCs w:val="21"/>
        </w:rPr>
        <w:t>、</w:t>
      </w:r>
      <w:r w:rsidRPr="009C27ED">
        <w:rPr>
          <w:rFonts w:ascii="Times New Roman" w:hAnsi="Times New Roman" w:cs="Times New Roman"/>
          <w:sz w:val="21"/>
          <w:szCs w:val="21"/>
        </w:rPr>
        <w:t>200 rpm</w:t>
      </w:r>
      <w:r w:rsidRPr="009C27ED">
        <w:rPr>
          <w:rFonts w:ascii="Times New Roman" w:hAnsi="Times New Roman" w:cs="Times New Roman"/>
          <w:sz w:val="21"/>
          <w:szCs w:val="21"/>
        </w:rPr>
        <w:t>振荡培养条件，旨在保证微生物群落充分混合并维持</w:t>
      </w:r>
      <w:proofErr w:type="gramStart"/>
      <w:r w:rsidRPr="009C27ED">
        <w:rPr>
          <w:rFonts w:ascii="Times New Roman" w:hAnsi="Times New Roman" w:cs="Times New Roman"/>
          <w:sz w:val="21"/>
          <w:szCs w:val="21"/>
        </w:rPr>
        <w:t>好氧水环境条件</w:t>
      </w:r>
      <w:proofErr w:type="gramEnd"/>
      <w:r w:rsidRPr="009C27ED">
        <w:rPr>
          <w:rFonts w:ascii="Times New Roman" w:hAnsi="Times New Roman" w:cs="Times New Roman"/>
          <w:sz w:val="21"/>
          <w:szCs w:val="21"/>
        </w:rPr>
        <w:t>。振荡培养能够提高氧传递效率，使不同微生物充分接触抗生素，提高暴露体系均</w:t>
      </w:r>
      <w:proofErr w:type="gramStart"/>
      <w:r w:rsidRPr="009C27ED">
        <w:rPr>
          <w:rFonts w:ascii="Times New Roman" w:hAnsi="Times New Roman" w:cs="Times New Roman"/>
          <w:sz w:val="21"/>
          <w:szCs w:val="21"/>
        </w:rPr>
        <w:t>一</w:t>
      </w:r>
      <w:proofErr w:type="gramEnd"/>
      <w:r w:rsidRPr="009C27ED">
        <w:rPr>
          <w:rFonts w:ascii="Times New Roman" w:hAnsi="Times New Roman" w:cs="Times New Roman"/>
          <w:sz w:val="21"/>
          <w:szCs w:val="21"/>
        </w:rPr>
        <w:t>性。</w:t>
      </w:r>
      <w:r w:rsidR="00ED3A70" w:rsidRPr="00ED3A70">
        <w:rPr>
          <w:rFonts w:ascii="Times New Roman" w:hAnsi="Times New Roman" w:cs="Times New Roman" w:hint="eastAsia"/>
          <w:sz w:val="21"/>
          <w:szCs w:val="21"/>
        </w:rPr>
        <w:t>考虑到实际水环境温度存在季节性和区域性差异，而温度变化可能影响细菌生长速率、群落竞争关系及抗生素选择效应，编制团队进一步考察了不同培养温度对</w:t>
      </w:r>
      <w:r w:rsidR="00ED3A70" w:rsidRPr="00ED3A70">
        <w:rPr>
          <w:rFonts w:ascii="Times New Roman" w:hAnsi="Times New Roman" w:cs="Times New Roman" w:hint="eastAsia"/>
          <w:sz w:val="21"/>
          <w:szCs w:val="21"/>
        </w:rPr>
        <w:t>MSC</w:t>
      </w:r>
      <w:r w:rsidR="00ED3A70" w:rsidRPr="00ED3A70">
        <w:rPr>
          <w:rFonts w:ascii="Times New Roman" w:hAnsi="Times New Roman" w:cs="Times New Roman" w:hint="eastAsia"/>
          <w:sz w:val="21"/>
          <w:szCs w:val="21"/>
        </w:rPr>
        <w:t>测定结果的影响。结果表明，温度变化会对</w:t>
      </w:r>
      <w:r w:rsidR="00ED3A70" w:rsidRPr="00ED3A70">
        <w:rPr>
          <w:rFonts w:ascii="Times New Roman" w:hAnsi="Times New Roman" w:cs="Times New Roman" w:hint="eastAsia"/>
          <w:sz w:val="21"/>
          <w:szCs w:val="21"/>
        </w:rPr>
        <w:t>MSC</w:t>
      </w:r>
      <w:r w:rsidR="00ED3A70" w:rsidRPr="00ED3A70">
        <w:rPr>
          <w:rFonts w:ascii="Times New Roman" w:hAnsi="Times New Roman" w:cs="Times New Roman" w:hint="eastAsia"/>
          <w:sz w:val="21"/>
          <w:szCs w:val="21"/>
        </w:rPr>
        <w:t>结果产生一定影响，但不同温度条件下</w:t>
      </w:r>
      <w:r w:rsidR="00ED3A70" w:rsidRPr="00ED3A70">
        <w:rPr>
          <w:rFonts w:ascii="Times New Roman" w:hAnsi="Times New Roman" w:cs="Times New Roman" w:hint="eastAsia"/>
          <w:sz w:val="21"/>
          <w:szCs w:val="21"/>
        </w:rPr>
        <w:t>MSC</w:t>
      </w:r>
      <w:r w:rsidR="00ED3A70" w:rsidRPr="00ED3A70">
        <w:rPr>
          <w:rFonts w:ascii="Times New Roman" w:hAnsi="Times New Roman" w:cs="Times New Roman" w:hint="eastAsia"/>
          <w:sz w:val="21"/>
          <w:szCs w:val="21"/>
        </w:rPr>
        <w:t>变化未呈现明确的单调规律（图</w:t>
      </w:r>
      <w:r w:rsidR="00ED3A70" w:rsidRPr="00ED3A70">
        <w:rPr>
          <w:rFonts w:ascii="Times New Roman" w:hAnsi="Times New Roman" w:cs="Times New Roman" w:hint="eastAsia"/>
          <w:sz w:val="21"/>
          <w:szCs w:val="21"/>
        </w:rPr>
        <w:t>3</w:t>
      </w:r>
      <w:r w:rsidR="0013496D">
        <w:rPr>
          <w:rFonts w:ascii="Times New Roman" w:hAnsi="Times New Roman" w:cs="Times New Roman" w:hint="eastAsia"/>
          <w:sz w:val="21"/>
          <w:szCs w:val="21"/>
        </w:rPr>
        <w:t>）。其中，在</w:t>
      </w:r>
      <w:r w:rsidR="0013496D">
        <w:rPr>
          <w:rFonts w:ascii="Times New Roman" w:hAnsi="Times New Roman" w:cs="Times New Roman" w:hint="eastAsia"/>
          <w:sz w:val="21"/>
          <w:szCs w:val="21"/>
        </w:rPr>
        <w:t>2</w:t>
      </w:r>
      <w:r w:rsidR="0013496D">
        <w:rPr>
          <w:rFonts w:ascii="Times New Roman" w:hAnsi="Times New Roman" w:cs="Times New Roman"/>
          <w:sz w:val="21"/>
          <w:szCs w:val="21"/>
        </w:rPr>
        <w:t>0</w:t>
      </w:r>
      <w:r w:rsidR="0013496D">
        <w:rPr>
          <w:rFonts w:ascii="Times New Roman" w:hAnsi="Times New Roman" w:cs="Times New Roman" w:hint="eastAsia"/>
          <w:sz w:val="21"/>
          <w:szCs w:val="21"/>
        </w:rPr>
        <w:t>℃</w:t>
      </w:r>
      <w:r w:rsidR="00ED3A70" w:rsidRPr="00ED3A70">
        <w:rPr>
          <w:rFonts w:ascii="Times New Roman" w:hAnsi="Times New Roman" w:cs="Times New Roman" w:hint="eastAsia"/>
          <w:sz w:val="21"/>
          <w:szCs w:val="21"/>
        </w:rPr>
        <w:t>的培养条件下获得的</w:t>
      </w:r>
      <w:r w:rsidR="00ED3A70" w:rsidRPr="00ED3A70">
        <w:rPr>
          <w:rFonts w:ascii="Times New Roman" w:hAnsi="Times New Roman" w:cs="Times New Roman" w:hint="eastAsia"/>
          <w:sz w:val="21"/>
          <w:szCs w:val="21"/>
        </w:rPr>
        <w:t>MSC</w:t>
      </w:r>
      <w:r w:rsidR="00ED3A70" w:rsidRPr="00ED3A70">
        <w:rPr>
          <w:rFonts w:ascii="Times New Roman" w:hAnsi="Times New Roman" w:cs="Times New Roman" w:hint="eastAsia"/>
          <w:sz w:val="21"/>
          <w:szCs w:val="21"/>
        </w:rPr>
        <w:t>值相对较低，说明该条件下方法对抗生素选择效应的识别较为敏感。</w:t>
      </w:r>
      <w:r w:rsidR="00C23BE0">
        <w:rPr>
          <w:rFonts w:ascii="Times New Roman" w:hAnsi="Times New Roman" w:cs="Times New Roman" w:hint="eastAsia"/>
          <w:sz w:val="21"/>
          <w:szCs w:val="21"/>
        </w:rPr>
        <w:t xml:space="preserve"> </w:t>
      </w:r>
      <w:r w:rsidR="00ED3A70" w:rsidRPr="00ED3A70">
        <w:rPr>
          <w:rFonts w:ascii="Times New Roman" w:hAnsi="Times New Roman" w:cs="Times New Roman" w:hint="eastAsia"/>
          <w:sz w:val="21"/>
          <w:szCs w:val="21"/>
        </w:rPr>
        <w:t>综合考虑环境相关性、实验可操作性、结果敏感性及标准化检测需求，本标准选取</w:t>
      </w:r>
      <w:r w:rsidR="0013496D">
        <w:rPr>
          <w:rFonts w:ascii="Times New Roman" w:hAnsi="Times New Roman" w:cs="Times New Roman" w:hint="eastAsia"/>
          <w:sz w:val="21"/>
          <w:szCs w:val="21"/>
        </w:rPr>
        <w:t>20</w:t>
      </w:r>
      <w:r w:rsidR="0013496D">
        <w:rPr>
          <w:rFonts w:ascii="Times New Roman" w:hAnsi="Times New Roman" w:cs="Times New Roman" w:hint="eastAsia"/>
          <w:sz w:val="21"/>
          <w:szCs w:val="21"/>
        </w:rPr>
        <w:t>±</w:t>
      </w:r>
      <w:r w:rsidR="0013496D">
        <w:rPr>
          <w:rFonts w:ascii="Times New Roman" w:hAnsi="Times New Roman" w:cs="Times New Roman" w:hint="eastAsia"/>
          <w:sz w:val="21"/>
          <w:szCs w:val="21"/>
        </w:rPr>
        <w:t>2</w:t>
      </w:r>
      <w:r w:rsidR="00ED3A70" w:rsidRPr="00ED3A70">
        <w:rPr>
          <w:rFonts w:ascii="Times New Roman" w:hAnsi="Times New Roman" w:cs="Times New Roman" w:hint="eastAsia"/>
          <w:sz w:val="21"/>
          <w:szCs w:val="21"/>
        </w:rPr>
        <w:t>℃作为微宇宙暴露实验的培养温度，并采用</w:t>
      </w:r>
      <w:r w:rsidR="00ED3A70" w:rsidRPr="00ED3A70">
        <w:rPr>
          <w:rFonts w:ascii="Times New Roman" w:hAnsi="Times New Roman" w:cs="Times New Roman" w:hint="eastAsia"/>
          <w:sz w:val="21"/>
          <w:szCs w:val="21"/>
        </w:rPr>
        <w:t>200 rpm</w:t>
      </w:r>
      <w:r w:rsidR="00ED3A70" w:rsidRPr="00ED3A70">
        <w:rPr>
          <w:rFonts w:ascii="Times New Roman" w:hAnsi="Times New Roman" w:cs="Times New Roman" w:hint="eastAsia"/>
          <w:sz w:val="21"/>
          <w:szCs w:val="21"/>
        </w:rPr>
        <w:t>振荡培养条件，以保证暴露体系稳定、均</w:t>
      </w:r>
      <w:proofErr w:type="gramStart"/>
      <w:r w:rsidR="00ED3A70" w:rsidRPr="00ED3A70">
        <w:rPr>
          <w:rFonts w:ascii="Times New Roman" w:hAnsi="Times New Roman" w:cs="Times New Roman" w:hint="eastAsia"/>
          <w:sz w:val="21"/>
          <w:szCs w:val="21"/>
        </w:rPr>
        <w:t>一</w:t>
      </w:r>
      <w:proofErr w:type="gramEnd"/>
      <w:r w:rsidR="00ED3A70" w:rsidRPr="00ED3A70">
        <w:rPr>
          <w:rFonts w:ascii="Times New Roman" w:hAnsi="Times New Roman" w:cs="Times New Roman" w:hint="eastAsia"/>
          <w:sz w:val="21"/>
          <w:szCs w:val="21"/>
        </w:rPr>
        <w:t>和</w:t>
      </w:r>
      <w:proofErr w:type="gramStart"/>
      <w:r w:rsidR="00ED3A70" w:rsidRPr="00ED3A70">
        <w:rPr>
          <w:rFonts w:ascii="Times New Roman" w:hAnsi="Times New Roman" w:cs="Times New Roman" w:hint="eastAsia"/>
          <w:sz w:val="21"/>
          <w:szCs w:val="21"/>
        </w:rPr>
        <w:t>可</w:t>
      </w:r>
      <w:proofErr w:type="gramEnd"/>
      <w:r w:rsidR="00ED3A70" w:rsidRPr="00ED3A70">
        <w:rPr>
          <w:rFonts w:ascii="Times New Roman" w:hAnsi="Times New Roman" w:cs="Times New Roman" w:hint="eastAsia"/>
          <w:sz w:val="21"/>
          <w:szCs w:val="21"/>
        </w:rPr>
        <w:t>重复。</w:t>
      </w:r>
    </w:p>
    <w:p w14:paraId="51EA84F6" w14:textId="5B8E1A0E" w:rsidR="001364FF" w:rsidRPr="009C27ED" w:rsidRDefault="00CC6DF7" w:rsidP="009C27ED">
      <w:pPr>
        <w:pStyle w:val="ac"/>
        <w:spacing w:line="360" w:lineRule="auto"/>
        <w:ind w:firstLineChars="200" w:firstLine="420"/>
        <w:rPr>
          <w:rFonts w:ascii="Times New Roman" w:hAnsi="Times New Roman" w:cs="Times New Roman"/>
          <w:lang w:val="en-US"/>
        </w:rPr>
      </w:pPr>
      <w:r w:rsidRPr="009C27ED">
        <w:rPr>
          <w:rFonts w:ascii="Times New Roman" w:hAnsi="Times New Roman" w:cs="Times New Roman"/>
          <w:noProof/>
          <w:lang w:val="en-US" w:bidi="ar-SA"/>
        </w:rPr>
        <w:drawing>
          <wp:inline distT="0" distB="0" distL="0" distR="0" wp14:anchorId="71483C3C" wp14:editId="07301B25">
            <wp:extent cx="5121275" cy="1518285"/>
            <wp:effectExtent l="0" t="0" r="317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1275" cy="1518285"/>
                    </a:xfrm>
                    <a:prstGeom prst="rect">
                      <a:avLst/>
                    </a:prstGeom>
                    <a:noFill/>
                  </pic:spPr>
                </pic:pic>
              </a:graphicData>
            </a:graphic>
          </wp:inline>
        </w:drawing>
      </w:r>
    </w:p>
    <w:p w14:paraId="4C87D146" w14:textId="2FECEFF6" w:rsidR="005D40EE" w:rsidRPr="009C27ED" w:rsidRDefault="00CC6DF7" w:rsidP="009C27ED">
      <w:pPr>
        <w:pStyle w:val="ac"/>
        <w:spacing w:line="360" w:lineRule="auto"/>
        <w:ind w:firstLineChars="200" w:firstLine="420"/>
        <w:jc w:val="center"/>
        <w:rPr>
          <w:rFonts w:ascii="Times New Roman" w:hAnsi="Times New Roman" w:cs="Times New Roman"/>
        </w:rPr>
      </w:pPr>
      <w:r w:rsidRPr="009C27ED">
        <w:rPr>
          <w:rFonts w:ascii="Times New Roman" w:hAnsi="Times New Roman" w:cs="Times New Roman"/>
        </w:rPr>
        <w:t>图</w:t>
      </w:r>
      <w:r w:rsidRPr="009C27ED">
        <w:rPr>
          <w:rFonts w:ascii="Times New Roman" w:hAnsi="Times New Roman" w:cs="Times New Roman"/>
        </w:rPr>
        <w:t xml:space="preserve">3. </w:t>
      </w:r>
      <w:r w:rsidR="00B72CE3" w:rsidRPr="009C27ED">
        <w:rPr>
          <w:rFonts w:ascii="Times New Roman" w:hAnsi="Times New Roman" w:cs="Times New Roman"/>
        </w:rPr>
        <w:t>温度对</w:t>
      </w:r>
      <w:r w:rsidR="00B72CE3" w:rsidRPr="009C27ED">
        <w:rPr>
          <w:rFonts w:ascii="Times New Roman" w:hAnsi="Times New Roman" w:cs="Times New Roman"/>
        </w:rPr>
        <w:t>MSC</w:t>
      </w:r>
      <w:r w:rsidR="00B72CE3" w:rsidRPr="009C27ED">
        <w:rPr>
          <w:rFonts w:ascii="Times New Roman" w:hAnsi="Times New Roman" w:cs="Times New Roman"/>
        </w:rPr>
        <w:t>的影响</w:t>
      </w:r>
    </w:p>
    <w:p w14:paraId="3F9399E6" w14:textId="784569D1" w:rsidR="005D40EE" w:rsidRPr="009C27ED" w:rsidRDefault="005D40EE" w:rsidP="009C27ED">
      <w:pPr>
        <w:pStyle w:val="ac"/>
        <w:spacing w:line="360" w:lineRule="auto"/>
        <w:ind w:firstLineChars="200" w:firstLine="420"/>
        <w:rPr>
          <w:rFonts w:ascii="Times New Roman" w:hAnsi="Times New Roman" w:cs="Times New Roman"/>
        </w:rPr>
      </w:pPr>
    </w:p>
    <w:p w14:paraId="19F95DA8" w14:textId="79C44017" w:rsidR="00855C40" w:rsidRPr="009C27ED" w:rsidRDefault="00C23BE0" w:rsidP="00C23BE0">
      <w:pPr>
        <w:pStyle w:val="ac"/>
        <w:spacing w:line="360" w:lineRule="auto"/>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sidR="00855C40" w:rsidRPr="009C27ED">
        <w:rPr>
          <w:rFonts w:ascii="Times New Roman" w:hAnsi="Times New Roman" w:cs="Times New Roman"/>
        </w:rPr>
        <w:t>耐药率</w:t>
      </w:r>
      <w:r w:rsidR="001F2DD5" w:rsidRPr="009C27ED">
        <w:rPr>
          <w:rFonts w:ascii="Times New Roman" w:hAnsi="Times New Roman" w:cs="Times New Roman"/>
        </w:rPr>
        <w:t>检测</w:t>
      </w:r>
    </w:p>
    <w:p w14:paraId="1ECF68B2" w14:textId="58CA763E" w:rsidR="001F2DD5" w:rsidRPr="009C27ED" w:rsidRDefault="001F2DD5" w:rsidP="003754AA">
      <w:pPr>
        <w:widowControl/>
        <w:spacing w:line="360" w:lineRule="auto"/>
        <w:ind w:firstLineChars="200" w:firstLine="420"/>
        <w:rPr>
          <w:kern w:val="0"/>
          <w:szCs w:val="21"/>
        </w:rPr>
      </w:pPr>
      <w:r w:rsidRPr="009C27ED">
        <w:rPr>
          <w:kern w:val="0"/>
          <w:szCs w:val="21"/>
        </w:rPr>
        <w:t>耐药率的检测目前主要包括基于耐药基因和基于耐药表型的检测方法。基于耐药基因的方法（如</w:t>
      </w:r>
      <w:r w:rsidRPr="009C27ED">
        <w:rPr>
          <w:kern w:val="0"/>
          <w:szCs w:val="21"/>
        </w:rPr>
        <w:t>qPCR</w:t>
      </w:r>
      <w:r w:rsidRPr="009C27ED">
        <w:rPr>
          <w:kern w:val="0"/>
          <w:szCs w:val="21"/>
        </w:rPr>
        <w:t>和</w:t>
      </w:r>
      <w:proofErr w:type="gramStart"/>
      <w:r w:rsidRPr="009C27ED">
        <w:rPr>
          <w:kern w:val="0"/>
          <w:szCs w:val="21"/>
        </w:rPr>
        <w:t>宏基因组</w:t>
      </w:r>
      <w:proofErr w:type="gramEnd"/>
      <w:r w:rsidRPr="009C27ED">
        <w:rPr>
          <w:kern w:val="0"/>
          <w:szCs w:val="21"/>
        </w:rPr>
        <w:t>测序）能够从分子水平解析环境样品中抗生素抗性基因（</w:t>
      </w:r>
      <w:r w:rsidRPr="009C27ED">
        <w:rPr>
          <w:kern w:val="0"/>
          <w:szCs w:val="21"/>
        </w:rPr>
        <w:t>ARGs</w:t>
      </w:r>
      <w:r w:rsidRPr="009C27ED">
        <w:rPr>
          <w:kern w:val="0"/>
          <w:szCs w:val="21"/>
        </w:rPr>
        <w:t>）的组成和丰度变化，是目前环境抗生素抗性污染研究的重要技术手段。然而，耐药基因的存在并不必然导致对应耐药表型产生，基因表达状态、宿主背景及环境选择压力均可能影响最</w:t>
      </w:r>
      <w:r w:rsidRPr="009C27ED">
        <w:rPr>
          <w:kern w:val="0"/>
          <w:szCs w:val="21"/>
        </w:rPr>
        <w:lastRenderedPageBreak/>
        <w:t>终耐药能力。因此，</w:t>
      </w:r>
      <w:r w:rsidRPr="009C27ED">
        <w:rPr>
          <w:kern w:val="0"/>
          <w:szCs w:val="21"/>
        </w:rPr>
        <w:t>ARGs</w:t>
      </w:r>
      <w:r w:rsidRPr="009C27ED">
        <w:rPr>
          <w:kern w:val="0"/>
          <w:szCs w:val="21"/>
        </w:rPr>
        <w:t>丰度变化与微生物群落实际耐药能力之间并不存在简单对应关系。本研究采用耐药表型法作为</w:t>
      </w:r>
      <w:r w:rsidRPr="009C27ED">
        <w:rPr>
          <w:kern w:val="0"/>
          <w:szCs w:val="21"/>
        </w:rPr>
        <w:t>MSC</w:t>
      </w:r>
      <w:r w:rsidRPr="009C27ED">
        <w:rPr>
          <w:kern w:val="0"/>
          <w:szCs w:val="21"/>
        </w:rPr>
        <w:t>测定的方法，为验证两种方法的差异，本研究比较了基因法与表型法在群落</w:t>
      </w:r>
      <w:r w:rsidRPr="009C27ED">
        <w:rPr>
          <w:kern w:val="0"/>
          <w:szCs w:val="21"/>
        </w:rPr>
        <w:t>MSC</w:t>
      </w:r>
      <w:r w:rsidRPr="009C27ED">
        <w:rPr>
          <w:kern w:val="0"/>
          <w:szCs w:val="21"/>
        </w:rPr>
        <w:t>测定中的适用性。结果表明，在亚抑制浓度抗生素暴露条件下，不同环境微生物群落中耐药基因响应存在明显异质性，不同样品中总</w:t>
      </w:r>
      <w:r w:rsidRPr="009C27ED">
        <w:rPr>
          <w:kern w:val="0"/>
          <w:szCs w:val="21"/>
        </w:rPr>
        <w:t>ARGs</w:t>
      </w:r>
      <w:r w:rsidRPr="009C27ED">
        <w:rPr>
          <w:kern w:val="0"/>
          <w:szCs w:val="21"/>
        </w:rPr>
        <w:t>丰度可表现为升高、稳定或降低等不同变化趋势；进一步对单个耐药基因分析发现，大量耐药基因并未呈现稳定的浓度响应关系，难以形成统一的剂量</w:t>
      </w:r>
      <w:r w:rsidRPr="009C27ED">
        <w:rPr>
          <w:kern w:val="0"/>
          <w:szCs w:val="21"/>
        </w:rPr>
        <w:t>–</w:t>
      </w:r>
      <w:r w:rsidRPr="009C27ED">
        <w:rPr>
          <w:kern w:val="0"/>
          <w:szCs w:val="21"/>
        </w:rPr>
        <w:t>效应关系用于</w:t>
      </w:r>
      <w:r w:rsidRPr="009C27ED">
        <w:rPr>
          <w:kern w:val="0"/>
          <w:szCs w:val="21"/>
        </w:rPr>
        <w:t>MSC</w:t>
      </w:r>
      <w:r w:rsidRPr="009C27ED">
        <w:rPr>
          <w:kern w:val="0"/>
          <w:szCs w:val="21"/>
        </w:rPr>
        <w:t>计算。研究结果表明，仅基于耐药基因丰度变化难以准确反映抗生素对环境微生物群落产生的选择效应。</w:t>
      </w:r>
    </w:p>
    <w:p w14:paraId="1F8BEBE8" w14:textId="77777777" w:rsidR="001F2DD5" w:rsidRPr="009C27ED" w:rsidRDefault="001F2DD5" w:rsidP="009C27ED">
      <w:pPr>
        <w:spacing w:line="360" w:lineRule="auto"/>
        <w:ind w:firstLineChars="200" w:firstLine="420"/>
        <w:jc w:val="center"/>
        <w:rPr>
          <w:szCs w:val="21"/>
        </w:rPr>
      </w:pPr>
      <w:r w:rsidRPr="009C27ED">
        <w:rPr>
          <w:noProof/>
          <w:szCs w:val="21"/>
        </w:rPr>
        <w:drawing>
          <wp:inline distT="0" distB="0" distL="114300" distR="114300" wp14:anchorId="70358213" wp14:editId="59348543">
            <wp:extent cx="3260923" cy="6285054"/>
            <wp:effectExtent l="0" t="0" r="0" b="1905"/>
            <wp:docPr id="60" name="图片 60" descr="抗生素耐药基因响应模式分布_Word专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抗生素耐药基因响应模式分布_Word专用"/>
                    <pic:cNvPicPr>
                      <a:picLocks noChangeAspect="1"/>
                    </pic:cNvPicPr>
                  </pic:nvPicPr>
                  <pic:blipFill>
                    <a:blip r:embed="rId15"/>
                    <a:stretch>
                      <a:fillRect/>
                    </a:stretch>
                  </pic:blipFill>
                  <pic:spPr>
                    <a:xfrm>
                      <a:off x="0" y="0"/>
                      <a:ext cx="3261738" cy="6286625"/>
                    </a:xfrm>
                    <a:prstGeom prst="rect">
                      <a:avLst/>
                    </a:prstGeom>
                  </pic:spPr>
                </pic:pic>
              </a:graphicData>
            </a:graphic>
          </wp:inline>
        </w:drawing>
      </w:r>
    </w:p>
    <w:p w14:paraId="6A27188A" w14:textId="1C9AE023" w:rsidR="001F2DD5" w:rsidRDefault="001F2DD5" w:rsidP="009C27ED">
      <w:pPr>
        <w:widowControl/>
        <w:spacing w:line="360" w:lineRule="auto"/>
        <w:ind w:firstLineChars="200" w:firstLine="420"/>
        <w:jc w:val="left"/>
        <w:rPr>
          <w:szCs w:val="21"/>
        </w:rPr>
      </w:pPr>
      <w:r w:rsidRPr="009C27ED">
        <w:rPr>
          <w:szCs w:val="21"/>
        </w:rPr>
        <w:t>图</w:t>
      </w:r>
      <w:r w:rsidRPr="009C27ED">
        <w:rPr>
          <w:szCs w:val="21"/>
        </w:rPr>
        <w:t xml:space="preserve">4 </w:t>
      </w:r>
      <w:r w:rsidRPr="009C27ED">
        <w:rPr>
          <w:szCs w:val="21"/>
        </w:rPr>
        <w:t>梯度浓度诺氟沙星胁迫下长江水体微生物群落单个耐药基因的响应模式分布</w:t>
      </w:r>
    </w:p>
    <w:p w14:paraId="7C956D50" w14:textId="77777777" w:rsidR="00A040E5" w:rsidRPr="009C27ED" w:rsidRDefault="00A040E5" w:rsidP="009C27ED">
      <w:pPr>
        <w:widowControl/>
        <w:spacing w:line="360" w:lineRule="auto"/>
        <w:ind w:firstLineChars="200" w:firstLine="420"/>
        <w:jc w:val="left"/>
        <w:rPr>
          <w:kern w:val="0"/>
          <w:szCs w:val="21"/>
        </w:rPr>
      </w:pPr>
    </w:p>
    <w:p w14:paraId="0900396F" w14:textId="7D3DD3AA" w:rsidR="001F2DD5" w:rsidRDefault="001F2DD5" w:rsidP="00A040E5">
      <w:pPr>
        <w:widowControl/>
        <w:spacing w:line="360" w:lineRule="auto"/>
        <w:ind w:firstLineChars="200" w:firstLine="420"/>
        <w:rPr>
          <w:kern w:val="0"/>
          <w:szCs w:val="21"/>
        </w:rPr>
      </w:pPr>
      <w:r w:rsidRPr="009C27ED">
        <w:rPr>
          <w:kern w:val="0"/>
          <w:szCs w:val="21"/>
        </w:rPr>
        <w:lastRenderedPageBreak/>
        <w:t>相比之下，表型耐药</w:t>
      </w:r>
      <w:proofErr w:type="gramStart"/>
      <w:r w:rsidRPr="009C27ED">
        <w:rPr>
          <w:kern w:val="0"/>
          <w:szCs w:val="21"/>
        </w:rPr>
        <w:t>率方法</w:t>
      </w:r>
      <w:proofErr w:type="gramEnd"/>
      <w:r w:rsidRPr="009C27ED">
        <w:rPr>
          <w:kern w:val="0"/>
          <w:szCs w:val="21"/>
        </w:rPr>
        <w:t>能够直接反映抗生素选择压力作用下存活耐药菌比例的变化，更符合</w:t>
      </w:r>
      <w:r w:rsidRPr="009C27ED">
        <w:rPr>
          <w:kern w:val="0"/>
          <w:szCs w:val="21"/>
        </w:rPr>
        <w:t>MSC</w:t>
      </w:r>
      <w:r w:rsidRPr="009C27ED">
        <w:rPr>
          <w:kern w:val="0"/>
          <w:szCs w:val="21"/>
        </w:rPr>
        <w:t>评价</w:t>
      </w:r>
      <w:r w:rsidRPr="009C27ED">
        <w:rPr>
          <w:kern w:val="0"/>
          <w:szCs w:val="21"/>
        </w:rPr>
        <w:t>“</w:t>
      </w:r>
      <w:r w:rsidRPr="009C27ED">
        <w:rPr>
          <w:kern w:val="0"/>
          <w:szCs w:val="21"/>
        </w:rPr>
        <w:t>耐药性是否被选择富集</w:t>
      </w:r>
      <w:r w:rsidRPr="009C27ED">
        <w:rPr>
          <w:kern w:val="0"/>
          <w:szCs w:val="21"/>
        </w:rPr>
        <w:t>”</w:t>
      </w:r>
      <w:r w:rsidRPr="009C27ED">
        <w:rPr>
          <w:kern w:val="0"/>
          <w:szCs w:val="21"/>
        </w:rPr>
        <w:t>的理论定义。本标准采用平板涂布计数法，通过设置</w:t>
      </w:r>
      <w:proofErr w:type="gramStart"/>
      <w:r w:rsidRPr="009C27ED">
        <w:rPr>
          <w:kern w:val="0"/>
          <w:szCs w:val="21"/>
        </w:rPr>
        <w:t>含目标</w:t>
      </w:r>
      <w:proofErr w:type="gramEnd"/>
      <w:r w:rsidRPr="009C27ED">
        <w:rPr>
          <w:kern w:val="0"/>
          <w:szCs w:val="21"/>
        </w:rPr>
        <w:t>抗生素的选择培养基和不含抗生素的通用培养基，分别获得耐药菌数量（</w:t>
      </w:r>
      <w:r w:rsidRPr="009C27ED">
        <w:rPr>
          <w:kern w:val="0"/>
          <w:szCs w:val="21"/>
        </w:rPr>
        <w:t>R</w:t>
      </w:r>
      <w:r w:rsidRPr="009C27ED">
        <w:rPr>
          <w:kern w:val="0"/>
          <w:szCs w:val="21"/>
        </w:rPr>
        <w:t>）和总活菌数量（</w:t>
      </w:r>
      <w:r w:rsidRPr="009C27ED">
        <w:rPr>
          <w:kern w:val="0"/>
          <w:szCs w:val="21"/>
        </w:rPr>
        <w:t>T</w:t>
      </w:r>
      <w:r w:rsidRPr="009C27ED">
        <w:rPr>
          <w:kern w:val="0"/>
          <w:szCs w:val="21"/>
        </w:rPr>
        <w:t>），计算耐药率（见指南</w:t>
      </w:r>
      <w:r w:rsidRPr="009C27ED">
        <w:rPr>
          <w:kern w:val="0"/>
          <w:szCs w:val="21"/>
        </w:rPr>
        <w:t>5.4.4</w:t>
      </w:r>
      <w:r w:rsidRPr="009C27ED">
        <w:rPr>
          <w:kern w:val="0"/>
          <w:szCs w:val="21"/>
        </w:rPr>
        <w:t>）。该方法能够直接表征群落水平耐药表型变化，并进一步计算选择系数（</w:t>
      </w:r>
      <w:r w:rsidRPr="009C27ED">
        <w:rPr>
          <w:kern w:val="0"/>
          <w:szCs w:val="21"/>
        </w:rPr>
        <w:t>SC</w:t>
      </w:r>
      <w:r w:rsidRPr="009C27ED">
        <w:rPr>
          <w:kern w:val="0"/>
          <w:szCs w:val="21"/>
        </w:rPr>
        <w:t>），通过</w:t>
      </w:r>
      <w:r w:rsidRPr="009C27ED">
        <w:rPr>
          <w:kern w:val="0"/>
          <w:szCs w:val="21"/>
        </w:rPr>
        <w:t>SC</w:t>
      </w:r>
      <w:r w:rsidRPr="009C27ED">
        <w:rPr>
          <w:kern w:val="0"/>
          <w:szCs w:val="21"/>
        </w:rPr>
        <w:t>与抗生素浓度之间的剂量响应关系建立</w:t>
      </w:r>
      <w:r w:rsidRPr="009C27ED">
        <w:rPr>
          <w:kern w:val="0"/>
          <w:szCs w:val="21"/>
        </w:rPr>
        <w:t>Logistic</w:t>
      </w:r>
      <w:r w:rsidRPr="009C27ED">
        <w:rPr>
          <w:kern w:val="0"/>
          <w:szCs w:val="21"/>
        </w:rPr>
        <w:t>模型，实现</w:t>
      </w:r>
      <w:r w:rsidRPr="009C27ED">
        <w:rPr>
          <w:kern w:val="0"/>
          <w:szCs w:val="21"/>
        </w:rPr>
        <w:t>MSC</w:t>
      </w:r>
      <w:r w:rsidRPr="009C27ED">
        <w:rPr>
          <w:kern w:val="0"/>
          <w:szCs w:val="21"/>
        </w:rPr>
        <w:t>推导。基于表型耐药率的</w:t>
      </w:r>
      <w:r w:rsidRPr="009C27ED">
        <w:rPr>
          <w:kern w:val="0"/>
          <w:szCs w:val="21"/>
        </w:rPr>
        <w:t>MSC</w:t>
      </w:r>
      <w:r w:rsidRPr="009C27ED">
        <w:rPr>
          <w:kern w:val="0"/>
          <w:szCs w:val="21"/>
        </w:rPr>
        <w:t>测定结果显示，不同环境微生物群落能够形成稳定的耐药率</w:t>
      </w:r>
      <w:r w:rsidRPr="009C27ED">
        <w:rPr>
          <w:kern w:val="0"/>
          <w:szCs w:val="21"/>
        </w:rPr>
        <w:t>–</w:t>
      </w:r>
      <w:r w:rsidRPr="009C27ED">
        <w:rPr>
          <w:kern w:val="0"/>
          <w:szCs w:val="21"/>
        </w:rPr>
        <w:t>抗生素浓度响应关系，并可通过</w:t>
      </w:r>
      <w:r w:rsidRPr="009C27ED">
        <w:rPr>
          <w:kern w:val="0"/>
          <w:szCs w:val="21"/>
        </w:rPr>
        <w:t>Logistic</w:t>
      </w:r>
      <w:r w:rsidRPr="009C27ED">
        <w:rPr>
          <w:kern w:val="0"/>
          <w:szCs w:val="21"/>
        </w:rPr>
        <w:t>模型获得明确的</w:t>
      </w:r>
      <w:r w:rsidRPr="009C27ED">
        <w:rPr>
          <w:kern w:val="0"/>
          <w:szCs w:val="21"/>
        </w:rPr>
        <w:t>MSC</w:t>
      </w:r>
      <w:r w:rsidRPr="009C27ED">
        <w:rPr>
          <w:kern w:val="0"/>
          <w:szCs w:val="21"/>
        </w:rPr>
        <w:t>值</w:t>
      </w:r>
      <w:r w:rsidR="005253FC" w:rsidRPr="009C27ED">
        <w:rPr>
          <w:kern w:val="0"/>
          <w:szCs w:val="21"/>
        </w:rPr>
        <w:t>（图</w:t>
      </w:r>
      <w:r w:rsidR="005253FC" w:rsidRPr="009C27ED">
        <w:rPr>
          <w:kern w:val="0"/>
          <w:szCs w:val="21"/>
        </w:rPr>
        <w:t>5</w:t>
      </w:r>
      <w:r w:rsidR="005253FC" w:rsidRPr="009C27ED">
        <w:rPr>
          <w:kern w:val="0"/>
          <w:szCs w:val="21"/>
        </w:rPr>
        <w:t>）</w:t>
      </w:r>
      <w:r w:rsidRPr="009C27ED">
        <w:rPr>
          <w:kern w:val="0"/>
          <w:szCs w:val="21"/>
        </w:rPr>
        <w:t>，表明该方法能够有效识别不同群落的抗生素选择阈值差异，为环境抗生素风险评价提供量化指标。</w:t>
      </w:r>
    </w:p>
    <w:p w14:paraId="47EE1D5D" w14:textId="77777777" w:rsidR="00A040E5" w:rsidRPr="009C27ED" w:rsidRDefault="00A040E5" w:rsidP="00A040E5">
      <w:pPr>
        <w:widowControl/>
        <w:spacing w:line="360" w:lineRule="auto"/>
        <w:ind w:firstLineChars="200" w:firstLine="420"/>
        <w:rPr>
          <w:kern w:val="0"/>
          <w:szCs w:val="21"/>
        </w:rPr>
      </w:pPr>
    </w:p>
    <w:p w14:paraId="6CE15E1A" w14:textId="77777777" w:rsidR="008D0C83" w:rsidRPr="009C27ED" w:rsidRDefault="008D0C83" w:rsidP="00A040E5">
      <w:pPr>
        <w:spacing w:line="360" w:lineRule="auto"/>
        <w:jc w:val="center"/>
        <w:rPr>
          <w:szCs w:val="21"/>
        </w:rPr>
      </w:pPr>
      <w:r w:rsidRPr="009C27ED">
        <w:rPr>
          <w:noProof/>
          <w:szCs w:val="21"/>
        </w:rPr>
        <w:drawing>
          <wp:inline distT="0" distB="0" distL="114300" distR="114300" wp14:anchorId="71806991" wp14:editId="701CB81D">
            <wp:extent cx="5254906" cy="3470873"/>
            <wp:effectExtent l="0" t="0" r="3175" b="0"/>
            <wp:docPr id="61" name="图片 61" descr="Combined_2x3_Resistance_SC_1x1_LeftUpper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ombined_2x3_Resistance_SC_1x1_LeftUpper75"/>
                    <pic:cNvPicPr>
                      <a:picLocks noChangeAspect="1"/>
                    </pic:cNvPicPr>
                  </pic:nvPicPr>
                  <pic:blipFill>
                    <a:blip r:embed="rId16"/>
                    <a:stretch>
                      <a:fillRect/>
                    </a:stretch>
                  </pic:blipFill>
                  <pic:spPr>
                    <a:xfrm>
                      <a:off x="0" y="0"/>
                      <a:ext cx="5256410" cy="3471866"/>
                    </a:xfrm>
                    <a:prstGeom prst="rect">
                      <a:avLst/>
                    </a:prstGeom>
                  </pic:spPr>
                </pic:pic>
              </a:graphicData>
            </a:graphic>
          </wp:inline>
        </w:drawing>
      </w:r>
    </w:p>
    <w:p w14:paraId="42585A5B" w14:textId="5A1576CC" w:rsidR="001F2DD5" w:rsidRPr="009C27ED" w:rsidRDefault="008D0C83" w:rsidP="009C27ED">
      <w:pPr>
        <w:pStyle w:val="ac"/>
        <w:spacing w:line="360" w:lineRule="auto"/>
        <w:ind w:firstLineChars="200" w:firstLine="420"/>
        <w:rPr>
          <w:rFonts w:ascii="Times New Roman" w:hAnsi="Times New Roman" w:cs="Times New Roman"/>
          <w:lang w:val="en-US"/>
        </w:rPr>
      </w:pPr>
      <w:r w:rsidRPr="009C27ED">
        <w:rPr>
          <w:rFonts w:ascii="Times New Roman" w:hAnsi="Times New Roman" w:cs="Times New Roman"/>
        </w:rPr>
        <w:t>图</w:t>
      </w:r>
      <w:r w:rsidRPr="009C27ED">
        <w:rPr>
          <w:rFonts w:ascii="Times New Roman" w:hAnsi="Times New Roman" w:cs="Times New Roman"/>
        </w:rPr>
        <w:t xml:space="preserve">5 </w:t>
      </w:r>
      <w:r w:rsidRPr="009C27ED">
        <w:rPr>
          <w:rFonts w:ascii="Times New Roman" w:hAnsi="Times New Roman" w:cs="Times New Roman"/>
        </w:rPr>
        <w:t>梯度浓度诺氟沙星胁迫下长江水体微生物群落的耐药率变化与</w:t>
      </w:r>
      <w:r w:rsidRPr="009C27ED">
        <w:rPr>
          <w:rFonts w:ascii="Times New Roman" w:hAnsi="Times New Roman" w:cs="Times New Roman"/>
        </w:rPr>
        <w:t>MSC</w:t>
      </w:r>
      <w:r w:rsidRPr="009C27ED">
        <w:rPr>
          <w:rFonts w:ascii="Times New Roman" w:hAnsi="Times New Roman" w:cs="Times New Roman"/>
        </w:rPr>
        <w:t>测定：水体微生物群落在不同浓度诺氟沙星胁迫下的表观耐药率变化</w:t>
      </w:r>
    </w:p>
    <w:p w14:paraId="5F25EE77" w14:textId="3CB782BB" w:rsidR="005D40EE" w:rsidRPr="009C27ED" w:rsidRDefault="005D40EE" w:rsidP="009C27ED">
      <w:pPr>
        <w:pStyle w:val="ac"/>
        <w:spacing w:line="360" w:lineRule="auto"/>
        <w:ind w:firstLineChars="200" w:firstLine="420"/>
        <w:rPr>
          <w:rFonts w:ascii="Times New Roman" w:hAnsi="Times New Roman" w:cs="Times New Roman"/>
        </w:rPr>
      </w:pPr>
    </w:p>
    <w:p w14:paraId="340F6DEF" w14:textId="2C888E30" w:rsidR="00614B7B" w:rsidRPr="009C27ED" w:rsidRDefault="008D0C83"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在表型耐药率检测过程中，选择培养基中抗生素浓度是影响检测结果准确性的关键参数。选择浓度过低时，敏感菌仍可大量存活，导致耐药菌比例被高估；选择浓度过高时，则可能仅保留少数高耐药菌株，使原始群落耐药结构信息丢失。因此，需要确定适宜的筛选浓度，使其既能够实现耐药菌筛选，又能够最大程度保留环境微生物群落原始耐药特征。本研究针对环境微生物群落耐药水</w:t>
      </w:r>
      <w:proofErr w:type="gramStart"/>
      <w:r w:rsidRPr="009C27ED">
        <w:rPr>
          <w:rFonts w:ascii="Times New Roman" w:hAnsi="Times New Roman" w:cs="Times New Roman"/>
          <w:sz w:val="21"/>
          <w:szCs w:val="21"/>
        </w:rPr>
        <w:t>平缺乏</w:t>
      </w:r>
      <w:proofErr w:type="gramEnd"/>
      <w:r w:rsidRPr="009C27ED">
        <w:rPr>
          <w:rFonts w:ascii="Times New Roman" w:hAnsi="Times New Roman" w:cs="Times New Roman"/>
          <w:sz w:val="21"/>
          <w:szCs w:val="21"/>
        </w:rPr>
        <w:t>统一筛选标准的问题，系统评估了不同抗生素筛选浓度对群落</w:t>
      </w:r>
      <w:r w:rsidRPr="009C27ED">
        <w:rPr>
          <w:rFonts w:ascii="Times New Roman" w:hAnsi="Times New Roman" w:cs="Times New Roman"/>
          <w:sz w:val="21"/>
          <w:szCs w:val="21"/>
        </w:rPr>
        <w:t>MSC</w:t>
      </w:r>
      <w:r w:rsidRPr="009C27ED">
        <w:rPr>
          <w:rFonts w:ascii="Times New Roman" w:hAnsi="Times New Roman" w:cs="Times New Roman"/>
          <w:sz w:val="21"/>
          <w:szCs w:val="21"/>
        </w:rPr>
        <w:t>测定结果的影响。结果发现，选择培养基中抗生素浓度升高会增强选择压力，使存活菌群整体耐药水平提高，导致测得</w:t>
      </w:r>
      <w:r w:rsidRPr="009C27ED">
        <w:rPr>
          <w:rFonts w:ascii="Times New Roman" w:hAnsi="Times New Roman" w:cs="Times New Roman"/>
          <w:sz w:val="21"/>
          <w:szCs w:val="21"/>
        </w:rPr>
        <w:t>MSC</w:t>
      </w:r>
      <w:r w:rsidRPr="009C27ED">
        <w:rPr>
          <w:rFonts w:ascii="Times New Roman" w:hAnsi="Times New Roman" w:cs="Times New Roman"/>
          <w:sz w:val="21"/>
          <w:szCs w:val="21"/>
        </w:rPr>
        <w:t>值随筛选浓度增加而升高。不同筛选浓度获得的耐药亚群具有明显不同的耐药水平，高浓度筛选会优先富集高耐药亚群，并导致群落</w:t>
      </w:r>
      <w:r w:rsidRPr="009C27ED">
        <w:rPr>
          <w:rFonts w:ascii="Times New Roman" w:hAnsi="Times New Roman" w:cs="Times New Roman"/>
          <w:sz w:val="21"/>
          <w:szCs w:val="21"/>
        </w:rPr>
        <w:t>MSC</w:t>
      </w:r>
      <w:r w:rsidRPr="009C27ED">
        <w:rPr>
          <w:rFonts w:ascii="Times New Roman" w:hAnsi="Times New Roman" w:cs="Times New Roman"/>
          <w:sz w:val="21"/>
          <w:szCs w:val="21"/>
        </w:rPr>
        <w:lastRenderedPageBreak/>
        <w:t>值偏高。进一步研究发现，高浓度抗生素筛选会造成群落耐药基因库明显收缩。例如，</w:t>
      </w:r>
      <w:r w:rsidR="00614B7B" w:rsidRPr="009C27ED">
        <w:rPr>
          <w:rFonts w:ascii="Times New Roman" w:hAnsi="Times New Roman" w:cs="Times New Roman"/>
          <w:sz w:val="21"/>
          <w:szCs w:val="21"/>
        </w:rPr>
        <w:t>编制团队以诺氟沙星为例研究发现（图</w:t>
      </w:r>
      <w:r w:rsidR="00614B7B" w:rsidRPr="009C27ED">
        <w:rPr>
          <w:rFonts w:ascii="Times New Roman" w:hAnsi="Times New Roman" w:cs="Times New Roman"/>
          <w:sz w:val="21"/>
          <w:szCs w:val="21"/>
        </w:rPr>
        <w:t>6</w:t>
      </w:r>
      <w:r w:rsidR="00614B7B" w:rsidRPr="009C27ED">
        <w:rPr>
          <w:rFonts w:ascii="Times New Roman" w:hAnsi="Times New Roman" w:cs="Times New Roman"/>
          <w:sz w:val="21"/>
          <w:szCs w:val="21"/>
        </w:rPr>
        <w:t>），</w:t>
      </w:r>
      <w:r w:rsidRPr="009C27ED">
        <w:rPr>
          <w:rFonts w:ascii="Times New Roman" w:hAnsi="Times New Roman" w:cs="Times New Roman"/>
          <w:sz w:val="21"/>
          <w:szCs w:val="21"/>
        </w:rPr>
        <w:t>在</w:t>
      </w:r>
      <w:proofErr w:type="gramStart"/>
      <w:r w:rsidRPr="009C27ED">
        <w:rPr>
          <w:rFonts w:ascii="Times New Roman" w:hAnsi="Times New Roman" w:cs="Times New Roman"/>
          <w:sz w:val="21"/>
          <w:szCs w:val="21"/>
        </w:rPr>
        <w:t>不同诺</w:t>
      </w:r>
      <w:proofErr w:type="gramEnd"/>
      <w:r w:rsidRPr="009C27ED">
        <w:rPr>
          <w:rFonts w:ascii="Times New Roman" w:hAnsi="Times New Roman" w:cs="Times New Roman"/>
          <w:sz w:val="21"/>
          <w:szCs w:val="21"/>
        </w:rPr>
        <w:t>氟沙星筛选条件下，随着筛选浓度升高，群落</w:t>
      </w:r>
      <w:r w:rsidRPr="009C27ED">
        <w:rPr>
          <w:rFonts w:ascii="Times New Roman" w:hAnsi="Times New Roman" w:cs="Times New Roman"/>
          <w:sz w:val="21"/>
          <w:szCs w:val="21"/>
        </w:rPr>
        <w:t>ARGs</w:t>
      </w:r>
      <w:r w:rsidRPr="009C27ED">
        <w:rPr>
          <w:rFonts w:ascii="Times New Roman" w:hAnsi="Times New Roman" w:cs="Times New Roman"/>
          <w:sz w:val="21"/>
          <w:szCs w:val="21"/>
        </w:rPr>
        <w:t>种类持续减少；相比之下，较低筛选浓度能够在实现耐药菌筛选的同时，更好保留原始群落耐药信息。</w:t>
      </w:r>
    </w:p>
    <w:p w14:paraId="00D25B6E" w14:textId="6F0E93F8" w:rsidR="00614B7B" w:rsidRPr="009C27ED" w:rsidRDefault="00614B7B" w:rsidP="00A040E5">
      <w:pPr>
        <w:pStyle w:val="aff1"/>
        <w:spacing w:before="0" w:beforeAutospacing="0" w:after="0" w:afterAutospacing="0" w:line="360" w:lineRule="auto"/>
        <w:rPr>
          <w:rFonts w:ascii="Times New Roman" w:hAnsi="Times New Roman" w:cs="Times New Roman"/>
          <w:sz w:val="21"/>
          <w:szCs w:val="21"/>
        </w:rPr>
      </w:pPr>
      <w:r w:rsidRPr="009C27ED">
        <w:rPr>
          <w:rFonts w:ascii="Times New Roman" w:hAnsi="Times New Roman" w:cs="Times New Roman"/>
          <w:noProof/>
          <w:sz w:val="21"/>
          <w:szCs w:val="21"/>
        </w:rPr>
        <w:drawing>
          <wp:inline distT="0" distB="0" distL="0" distR="0" wp14:anchorId="2FF2D6B6" wp14:editId="424A70A8">
            <wp:extent cx="5168096" cy="196407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1953" cy="1965542"/>
                    </a:xfrm>
                    <a:prstGeom prst="rect">
                      <a:avLst/>
                    </a:prstGeom>
                    <a:noFill/>
                  </pic:spPr>
                </pic:pic>
              </a:graphicData>
            </a:graphic>
          </wp:inline>
        </w:drawing>
      </w:r>
    </w:p>
    <w:p w14:paraId="500731B5" w14:textId="2EFD020E" w:rsidR="00614B7B" w:rsidRDefault="00614B7B"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图</w:t>
      </w:r>
      <w:r w:rsidRPr="009C27ED">
        <w:rPr>
          <w:rFonts w:ascii="Times New Roman" w:hAnsi="Times New Roman" w:cs="Times New Roman"/>
          <w:sz w:val="21"/>
          <w:szCs w:val="21"/>
        </w:rPr>
        <w:t xml:space="preserve">6 </w:t>
      </w:r>
      <w:proofErr w:type="gramStart"/>
      <w:r w:rsidRPr="009C27ED">
        <w:rPr>
          <w:rFonts w:ascii="Times New Roman" w:hAnsi="Times New Roman" w:cs="Times New Roman"/>
          <w:sz w:val="21"/>
          <w:szCs w:val="21"/>
        </w:rPr>
        <w:t>不同诺</w:t>
      </w:r>
      <w:proofErr w:type="gramEnd"/>
      <w:r w:rsidRPr="009C27ED">
        <w:rPr>
          <w:rFonts w:ascii="Times New Roman" w:hAnsi="Times New Roman" w:cs="Times New Roman"/>
          <w:sz w:val="21"/>
          <w:szCs w:val="21"/>
        </w:rPr>
        <w:t>氟沙星（</w:t>
      </w:r>
      <w:r w:rsidRPr="009C27ED">
        <w:rPr>
          <w:rFonts w:ascii="Times New Roman" w:hAnsi="Times New Roman" w:cs="Times New Roman"/>
          <w:sz w:val="21"/>
          <w:szCs w:val="21"/>
        </w:rPr>
        <w:t>NOR</w:t>
      </w:r>
      <w:r w:rsidRPr="009C27ED">
        <w:rPr>
          <w:rFonts w:ascii="Times New Roman" w:hAnsi="Times New Roman" w:cs="Times New Roman"/>
          <w:sz w:val="21"/>
          <w:szCs w:val="21"/>
        </w:rPr>
        <w:t>）筛选浓度下细菌群落抗生素耐药基因（</w:t>
      </w:r>
      <w:r w:rsidRPr="009C27ED">
        <w:rPr>
          <w:rFonts w:ascii="Times New Roman" w:hAnsi="Times New Roman" w:cs="Times New Roman"/>
          <w:sz w:val="21"/>
          <w:szCs w:val="21"/>
        </w:rPr>
        <w:t>ARGs</w:t>
      </w:r>
      <w:r w:rsidRPr="009C27ED">
        <w:rPr>
          <w:rFonts w:ascii="Times New Roman" w:hAnsi="Times New Roman" w:cs="Times New Roman"/>
          <w:sz w:val="21"/>
          <w:szCs w:val="21"/>
        </w:rPr>
        <w:t>）种类变化</w:t>
      </w:r>
      <w:r w:rsidRPr="009C27ED">
        <w:rPr>
          <w:rFonts w:ascii="Times New Roman" w:hAnsi="Times New Roman" w:cs="Times New Roman"/>
          <w:sz w:val="21"/>
          <w:szCs w:val="21"/>
        </w:rPr>
        <w:t xml:space="preserve">(a) </w:t>
      </w:r>
      <w:r w:rsidRPr="009C27ED">
        <w:rPr>
          <w:rFonts w:ascii="Times New Roman" w:hAnsi="Times New Roman" w:cs="Times New Roman"/>
          <w:sz w:val="21"/>
          <w:szCs w:val="21"/>
        </w:rPr>
        <w:t>总</w:t>
      </w:r>
      <w:r w:rsidRPr="009C27ED">
        <w:rPr>
          <w:rFonts w:ascii="Times New Roman" w:hAnsi="Times New Roman" w:cs="Times New Roman"/>
          <w:sz w:val="21"/>
          <w:szCs w:val="21"/>
        </w:rPr>
        <w:t xml:space="preserve"> ARGs </w:t>
      </w:r>
      <w:r w:rsidRPr="009C27ED">
        <w:rPr>
          <w:rFonts w:ascii="Times New Roman" w:hAnsi="Times New Roman" w:cs="Times New Roman"/>
          <w:sz w:val="21"/>
          <w:szCs w:val="21"/>
        </w:rPr>
        <w:t>种类数量变化；</w:t>
      </w:r>
      <w:r w:rsidRPr="009C27ED">
        <w:rPr>
          <w:rFonts w:ascii="Times New Roman" w:hAnsi="Times New Roman" w:cs="Times New Roman"/>
          <w:sz w:val="21"/>
          <w:szCs w:val="21"/>
        </w:rPr>
        <w:t xml:space="preserve">(b) </w:t>
      </w:r>
      <w:proofErr w:type="gramStart"/>
      <w:r w:rsidRPr="009C27ED">
        <w:rPr>
          <w:rFonts w:ascii="Times New Roman" w:hAnsi="Times New Roman" w:cs="Times New Roman"/>
          <w:sz w:val="21"/>
          <w:szCs w:val="21"/>
        </w:rPr>
        <w:t>喹</w:t>
      </w:r>
      <w:proofErr w:type="gramEnd"/>
      <w:r w:rsidRPr="009C27ED">
        <w:rPr>
          <w:rFonts w:ascii="Times New Roman" w:hAnsi="Times New Roman" w:cs="Times New Roman"/>
          <w:sz w:val="21"/>
          <w:szCs w:val="21"/>
        </w:rPr>
        <w:t>诺酮类</w:t>
      </w:r>
      <w:r w:rsidRPr="009C27ED">
        <w:rPr>
          <w:rFonts w:ascii="Times New Roman" w:hAnsi="Times New Roman" w:cs="Times New Roman"/>
          <w:sz w:val="21"/>
          <w:szCs w:val="21"/>
        </w:rPr>
        <w:t xml:space="preserve"> ARGs </w:t>
      </w:r>
      <w:r w:rsidRPr="009C27ED">
        <w:rPr>
          <w:rFonts w:ascii="Times New Roman" w:hAnsi="Times New Roman" w:cs="Times New Roman"/>
          <w:sz w:val="21"/>
          <w:szCs w:val="21"/>
        </w:rPr>
        <w:t>种类数量变化；柱内百分比为对应</w:t>
      </w:r>
      <w:proofErr w:type="gramStart"/>
      <w:r w:rsidRPr="009C27ED">
        <w:rPr>
          <w:rFonts w:ascii="Times New Roman" w:hAnsi="Times New Roman" w:cs="Times New Roman"/>
          <w:sz w:val="21"/>
          <w:szCs w:val="21"/>
        </w:rPr>
        <w:t>浓度组较空白</w:t>
      </w:r>
      <w:proofErr w:type="gramEnd"/>
      <w:r w:rsidRPr="009C27ED">
        <w:rPr>
          <w:rFonts w:ascii="Times New Roman" w:hAnsi="Times New Roman" w:cs="Times New Roman"/>
          <w:sz w:val="21"/>
          <w:szCs w:val="21"/>
        </w:rPr>
        <w:t>对照组（</w:t>
      </w:r>
      <w:r w:rsidRPr="009C27ED">
        <w:rPr>
          <w:rFonts w:ascii="Times New Roman" w:hAnsi="Times New Roman" w:cs="Times New Roman"/>
          <w:sz w:val="21"/>
          <w:szCs w:val="21"/>
        </w:rPr>
        <w:t>0 mg/L</w:t>
      </w:r>
      <w:r w:rsidRPr="009C27ED">
        <w:rPr>
          <w:rFonts w:ascii="Times New Roman" w:hAnsi="Times New Roman" w:cs="Times New Roman"/>
          <w:sz w:val="21"/>
          <w:szCs w:val="21"/>
        </w:rPr>
        <w:t>）的耐药基因种类保留率</w:t>
      </w:r>
    </w:p>
    <w:p w14:paraId="3B44A270" w14:textId="77777777" w:rsidR="00A040E5" w:rsidRPr="009C27ED" w:rsidRDefault="00A040E5" w:rsidP="009C27ED">
      <w:pPr>
        <w:pStyle w:val="aff1"/>
        <w:spacing w:before="0" w:beforeAutospacing="0" w:after="0" w:afterAutospacing="0" w:line="360" w:lineRule="auto"/>
        <w:ind w:firstLineChars="200" w:firstLine="420"/>
        <w:rPr>
          <w:rFonts w:ascii="Times New Roman" w:hAnsi="Times New Roman" w:cs="Times New Roman"/>
          <w:sz w:val="21"/>
          <w:szCs w:val="21"/>
        </w:rPr>
      </w:pPr>
    </w:p>
    <w:p w14:paraId="04BBD165" w14:textId="54AD09C6" w:rsidR="008D0C83" w:rsidRDefault="008D0C83"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t>因此，筛选浓度需要在</w:t>
      </w:r>
      <w:r w:rsidRPr="00A040E5">
        <w:rPr>
          <w:rFonts w:cs="Times New Roman"/>
          <w:sz w:val="21"/>
          <w:szCs w:val="21"/>
        </w:rPr>
        <w:t>“有效富集耐药菌”和“保持群落代表性”</w:t>
      </w:r>
      <w:r w:rsidRPr="009C27ED">
        <w:rPr>
          <w:rFonts w:ascii="Times New Roman" w:hAnsi="Times New Roman" w:cs="Times New Roman"/>
          <w:sz w:val="21"/>
          <w:szCs w:val="21"/>
        </w:rPr>
        <w:t>之间取得平衡。综合考虑耐药菌筛选效果、群落信息保留程度以及</w:t>
      </w:r>
      <w:r w:rsidRPr="009C27ED">
        <w:rPr>
          <w:rFonts w:ascii="Times New Roman" w:hAnsi="Times New Roman" w:cs="Times New Roman"/>
          <w:sz w:val="21"/>
          <w:szCs w:val="21"/>
        </w:rPr>
        <w:t>MSC</w:t>
      </w:r>
      <w:r w:rsidRPr="009C27ED">
        <w:rPr>
          <w:rFonts w:ascii="Times New Roman" w:hAnsi="Times New Roman" w:cs="Times New Roman"/>
          <w:sz w:val="21"/>
          <w:szCs w:val="21"/>
        </w:rPr>
        <w:t>测定稳定性，本标准提出选择培养基抗生素浓度应根据目标抗生素和环境样品特征进行优化。对于不同环境样品，建议以未经微宇宙培养的原始样品作为基准，使选择培养基上的耐药率维持在</w:t>
      </w:r>
      <w:r w:rsidRPr="009C27ED">
        <w:rPr>
          <w:rFonts w:ascii="Times New Roman" w:hAnsi="Times New Roman" w:cs="Times New Roman"/>
          <w:sz w:val="21"/>
          <w:szCs w:val="21"/>
        </w:rPr>
        <w:t>10%–50%</w:t>
      </w:r>
      <w:r w:rsidRPr="009C27ED">
        <w:rPr>
          <w:rFonts w:ascii="Times New Roman" w:hAnsi="Times New Roman" w:cs="Times New Roman"/>
          <w:sz w:val="21"/>
          <w:szCs w:val="21"/>
        </w:rPr>
        <w:t>范围内，</w:t>
      </w:r>
      <w:r w:rsidR="00614B7B" w:rsidRPr="009C27ED">
        <w:rPr>
          <w:rFonts w:ascii="Times New Roman" w:hAnsi="Times New Roman" w:cs="Times New Roman"/>
          <w:sz w:val="21"/>
          <w:szCs w:val="21"/>
        </w:rPr>
        <w:t>对于常见抗生素给出了建议的平板浓度（附录</w:t>
      </w:r>
      <w:r w:rsidR="00614B7B" w:rsidRPr="009C27ED">
        <w:rPr>
          <w:rFonts w:ascii="Times New Roman" w:hAnsi="Times New Roman" w:cs="Times New Roman"/>
          <w:sz w:val="21"/>
          <w:szCs w:val="21"/>
        </w:rPr>
        <w:t>A</w:t>
      </w:r>
      <w:r w:rsidR="00614B7B" w:rsidRPr="009C27ED">
        <w:rPr>
          <w:rFonts w:ascii="Times New Roman" w:hAnsi="Times New Roman" w:cs="Times New Roman"/>
          <w:sz w:val="21"/>
          <w:szCs w:val="21"/>
        </w:rPr>
        <w:t>），</w:t>
      </w:r>
      <w:r w:rsidRPr="009C27ED">
        <w:rPr>
          <w:rFonts w:ascii="Times New Roman" w:hAnsi="Times New Roman" w:cs="Times New Roman"/>
          <w:sz w:val="21"/>
          <w:szCs w:val="21"/>
        </w:rPr>
        <w:t>以保证耐药菌筛选及后续计数结果具有较好的稳定性和可靠性。</w:t>
      </w:r>
      <w:r w:rsidR="00614B7B" w:rsidRPr="009C27ED">
        <w:rPr>
          <w:rFonts w:ascii="Times New Roman" w:hAnsi="Times New Roman" w:cs="Times New Roman"/>
          <w:sz w:val="21"/>
          <w:szCs w:val="21"/>
        </w:rPr>
        <w:t>当然，如有条件和必要，建议可以进行预实验确定一个合理的抗生素浓度。</w:t>
      </w:r>
    </w:p>
    <w:p w14:paraId="0D5CE359" w14:textId="0F25D31F" w:rsidR="00D75003" w:rsidRPr="00D75003" w:rsidRDefault="00D75003" w:rsidP="00D75003">
      <w:pPr>
        <w:pStyle w:val="aff1"/>
        <w:spacing w:line="360" w:lineRule="auto"/>
        <w:ind w:firstLineChars="200" w:firstLine="420"/>
        <w:rPr>
          <w:rFonts w:ascii="Times New Roman" w:hAnsi="Times New Roman" w:cs="Times New Roman" w:hint="eastAsia"/>
          <w:sz w:val="21"/>
          <w:szCs w:val="21"/>
        </w:rPr>
      </w:pPr>
      <w:r w:rsidRPr="00D75003">
        <w:rPr>
          <w:rFonts w:ascii="Times New Roman" w:hAnsi="Times New Roman" w:cs="Times New Roman" w:hint="eastAsia"/>
          <w:sz w:val="21"/>
          <w:szCs w:val="21"/>
        </w:rPr>
        <w:t>需要说明的是，环境微生物群落具有高度复杂性，不同水体由于微生物组成、群落结构、环境营养水平及污染背景等因素存在差异，其对抗生素暴露的响应可能存在一定差别。因此，采用统一的抗生素暴露浓度梯度可能无法完全覆盖所有环境样品中不同微生物类群的响应范围。针对这一问题，本标准通过优化抗生素暴露浓度范围和选择培养条件，尽可能保留环境样品中具有不同耐受水平的细菌群体，并减少过高选择压力导致敏感菌过度淘汰对结果的影响。然而，由于环境微生物群落本身存在时空变化和生态复杂性，</w:t>
      </w:r>
      <w:r w:rsidRPr="00D75003">
        <w:rPr>
          <w:rFonts w:ascii="Times New Roman" w:hAnsi="Times New Roman" w:cs="Times New Roman" w:hint="eastAsia"/>
          <w:sz w:val="21"/>
          <w:szCs w:val="21"/>
        </w:rPr>
        <w:t>MSC</w:t>
      </w:r>
      <w:r w:rsidRPr="00D75003">
        <w:rPr>
          <w:rFonts w:ascii="Times New Roman" w:hAnsi="Times New Roman" w:cs="Times New Roman" w:hint="eastAsia"/>
          <w:sz w:val="21"/>
          <w:szCs w:val="21"/>
        </w:rPr>
        <w:t>测定结果仍可能受到样品微生物组成及环境条件差异的影响。因此，在实际应用过程中，应结合目标水体特征开展必要的预实验和参数优化，以提高评价结果的环境适用性和可靠性。</w:t>
      </w:r>
    </w:p>
    <w:p w14:paraId="671F1CB1" w14:textId="30AC762D" w:rsidR="008D0C83" w:rsidRPr="009C27ED" w:rsidRDefault="00614B7B" w:rsidP="00A040E5">
      <w:pPr>
        <w:pStyle w:val="ac"/>
        <w:spacing w:line="360" w:lineRule="auto"/>
        <w:rPr>
          <w:rFonts w:ascii="Times New Roman" w:hAnsi="Times New Roman" w:cs="Times New Roman"/>
          <w:lang w:val="en-US"/>
        </w:rPr>
      </w:pPr>
      <w:r w:rsidRPr="009C27ED">
        <w:rPr>
          <w:rFonts w:ascii="Times New Roman" w:hAnsi="Times New Roman" w:cs="Times New Roman"/>
          <w:lang w:val="en-US"/>
        </w:rPr>
        <w:t>（</w:t>
      </w:r>
      <w:r w:rsidRPr="009C27ED">
        <w:rPr>
          <w:rFonts w:ascii="Times New Roman" w:hAnsi="Times New Roman" w:cs="Times New Roman"/>
          <w:lang w:val="en-US"/>
        </w:rPr>
        <w:t>5</w:t>
      </w:r>
      <w:r w:rsidRPr="009C27ED">
        <w:rPr>
          <w:rFonts w:ascii="Times New Roman" w:hAnsi="Times New Roman" w:cs="Times New Roman"/>
          <w:lang w:val="en-US"/>
        </w:rPr>
        <w:t>）</w:t>
      </w:r>
      <w:r w:rsidRPr="009C27ED">
        <w:rPr>
          <w:rFonts w:ascii="Times New Roman" w:hAnsi="Times New Roman" w:cs="Times New Roman"/>
          <w:lang w:val="en-US"/>
        </w:rPr>
        <w:t>MSC</w:t>
      </w:r>
      <w:r w:rsidRPr="009C27ED">
        <w:rPr>
          <w:rFonts w:ascii="Times New Roman" w:hAnsi="Times New Roman" w:cs="Times New Roman"/>
          <w:lang w:val="en-US"/>
        </w:rPr>
        <w:t>推导</w:t>
      </w:r>
    </w:p>
    <w:p w14:paraId="1DC6940B" w14:textId="077AB8F4" w:rsidR="00614B7B" w:rsidRPr="009C27ED" w:rsidRDefault="00410A9F"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9C27ED">
        <w:rPr>
          <w:rFonts w:ascii="Times New Roman" w:hAnsi="Times New Roman" w:cs="Times New Roman"/>
          <w:sz w:val="21"/>
          <w:szCs w:val="21"/>
        </w:rPr>
        <w:lastRenderedPageBreak/>
        <w:t>本指南根据前述微宇宙的实验结果，采用</w:t>
      </w:r>
      <w:r w:rsidRPr="009C27ED">
        <w:rPr>
          <w:rFonts w:ascii="Times New Roman" w:hAnsi="Times New Roman" w:cs="Times New Roman"/>
          <w:sz w:val="21"/>
          <w:szCs w:val="21"/>
        </w:rPr>
        <w:t>Logistic</w:t>
      </w:r>
      <w:r w:rsidRPr="009C27ED">
        <w:rPr>
          <w:rFonts w:ascii="Times New Roman" w:hAnsi="Times New Roman" w:cs="Times New Roman"/>
          <w:sz w:val="21"/>
          <w:szCs w:val="21"/>
        </w:rPr>
        <w:t>模型拟合拟合抗生素暴露与</w:t>
      </w:r>
      <w:r w:rsidRPr="009C27ED">
        <w:rPr>
          <w:rFonts w:ascii="Times New Roman" w:hAnsi="Times New Roman" w:cs="Times New Roman"/>
          <w:sz w:val="21"/>
          <w:szCs w:val="21"/>
        </w:rPr>
        <w:t>SC</w:t>
      </w:r>
      <w:r w:rsidRPr="009C27ED">
        <w:rPr>
          <w:rFonts w:ascii="Times New Roman" w:hAnsi="Times New Roman" w:cs="Times New Roman"/>
          <w:sz w:val="21"/>
          <w:szCs w:val="21"/>
        </w:rPr>
        <w:t>变化的剂量效应关系并获得</w:t>
      </w:r>
      <w:r w:rsidRPr="009C27ED">
        <w:rPr>
          <w:rFonts w:ascii="Times New Roman" w:hAnsi="Times New Roman" w:cs="Times New Roman"/>
          <w:sz w:val="21"/>
          <w:szCs w:val="21"/>
        </w:rPr>
        <w:t>MSC</w:t>
      </w:r>
      <w:r w:rsidRPr="009C27ED">
        <w:rPr>
          <w:rFonts w:ascii="Times New Roman" w:hAnsi="Times New Roman" w:cs="Times New Roman"/>
          <w:sz w:val="21"/>
          <w:szCs w:val="21"/>
        </w:rPr>
        <w:t>。该模型的主要原理是</w:t>
      </w:r>
      <w:r w:rsidR="00614B7B" w:rsidRPr="009C27ED">
        <w:rPr>
          <w:rFonts w:ascii="Times New Roman" w:hAnsi="Times New Roman" w:cs="Times New Roman"/>
          <w:sz w:val="21"/>
          <w:szCs w:val="21"/>
        </w:rPr>
        <w:t>抗生素浓度升高过程中，微生物群落耐药性变化通常表现为非线性剂量响应关系。在低浓度阶段，抗生素选择压力不足，耐药率变化较小；随着浓度升高，敏感菌受到抑制，耐药菌逐渐获得竞争优势，</w:t>
      </w:r>
      <w:r w:rsidR="00614B7B" w:rsidRPr="009C27ED">
        <w:rPr>
          <w:rFonts w:ascii="Times New Roman" w:hAnsi="Times New Roman" w:cs="Times New Roman"/>
          <w:sz w:val="21"/>
          <w:szCs w:val="21"/>
        </w:rPr>
        <w:t>SC</w:t>
      </w:r>
      <w:r w:rsidR="00614B7B" w:rsidRPr="009C27ED">
        <w:rPr>
          <w:rFonts w:ascii="Times New Roman" w:hAnsi="Times New Roman" w:cs="Times New Roman"/>
          <w:sz w:val="21"/>
          <w:szCs w:val="21"/>
        </w:rPr>
        <w:t>快速增加；当选择压力进一步增强后，群落响应趋于稳定。因此，该过程符合典型的</w:t>
      </w:r>
      <w:r w:rsidR="00614B7B" w:rsidRPr="009C27ED">
        <w:rPr>
          <w:rFonts w:ascii="Times New Roman" w:hAnsi="Times New Roman" w:cs="Times New Roman"/>
          <w:sz w:val="21"/>
          <w:szCs w:val="21"/>
        </w:rPr>
        <w:t>S</w:t>
      </w:r>
      <w:r w:rsidR="00614B7B" w:rsidRPr="009C27ED">
        <w:rPr>
          <w:rFonts w:ascii="Times New Roman" w:hAnsi="Times New Roman" w:cs="Times New Roman"/>
          <w:sz w:val="21"/>
          <w:szCs w:val="21"/>
        </w:rPr>
        <w:t>型剂量响应特征。</w:t>
      </w:r>
    </w:p>
    <w:p w14:paraId="1F97ADCF" w14:textId="77777777" w:rsidR="00614B7B" w:rsidRPr="00A040E5" w:rsidRDefault="00614B7B"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A040E5">
        <w:rPr>
          <w:rFonts w:ascii="Times New Roman" w:hAnsi="Times New Roman" w:cs="Times New Roman"/>
          <w:sz w:val="21"/>
          <w:szCs w:val="21"/>
        </w:rPr>
        <w:t>选择</w:t>
      </w:r>
      <w:r w:rsidRPr="00A040E5">
        <w:rPr>
          <w:rFonts w:ascii="Times New Roman" w:hAnsi="Times New Roman" w:cs="Times New Roman"/>
          <w:sz w:val="21"/>
          <w:szCs w:val="21"/>
        </w:rPr>
        <w:t>Logistic</w:t>
      </w:r>
      <w:r w:rsidRPr="00A040E5">
        <w:rPr>
          <w:rFonts w:ascii="Times New Roman" w:hAnsi="Times New Roman" w:cs="Times New Roman"/>
          <w:sz w:val="21"/>
          <w:szCs w:val="21"/>
        </w:rPr>
        <w:t>模型主要基于以下考虑：</w:t>
      </w:r>
    </w:p>
    <w:p w14:paraId="18F39067" w14:textId="4FDFC20F" w:rsidR="00614B7B" w:rsidRPr="00A040E5" w:rsidRDefault="00614B7B"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A040E5">
        <w:rPr>
          <w:rFonts w:ascii="Times New Roman" w:hAnsi="Times New Roman" w:cs="Times New Roman"/>
          <w:sz w:val="21"/>
          <w:szCs w:val="21"/>
        </w:rPr>
        <w:t>1</w:t>
      </w:r>
      <w:r w:rsidRPr="00A040E5">
        <w:rPr>
          <w:rFonts w:ascii="Times New Roman" w:hAnsi="Times New Roman" w:cs="Times New Roman"/>
          <w:sz w:val="21"/>
          <w:szCs w:val="21"/>
        </w:rPr>
        <w:t>）</w:t>
      </w:r>
      <w:r w:rsidRPr="00A040E5">
        <w:rPr>
          <w:rStyle w:val="afd"/>
          <w:rFonts w:ascii="Times New Roman" w:hAnsi="Times New Roman" w:cs="Times New Roman"/>
          <w:b w:val="0"/>
          <w:sz w:val="21"/>
          <w:szCs w:val="21"/>
        </w:rPr>
        <w:t>能够描述微生物群落耐药响应的非线性特征。</w:t>
      </w:r>
      <w:r w:rsidRPr="00A040E5">
        <w:rPr>
          <w:rFonts w:ascii="Times New Roman" w:hAnsi="Times New Roman" w:cs="Times New Roman"/>
          <w:sz w:val="21"/>
          <w:szCs w:val="21"/>
        </w:rPr>
        <w:t>环境微生物群落受到抗生素压力时，耐药性变化并非简单线性增加，而是受到敏感菌淘汰、耐药菌竞争优势增强以及群落适应性限制等多因素共同影响，</w:t>
      </w:r>
      <w:r w:rsidRPr="00A040E5">
        <w:rPr>
          <w:rFonts w:ascii="Times New Roman" w:hAnsi="Times New Roman" w:cs="Times New Roman"/>
          <w:sz w:val="21"/>
          <w:szCs w:val="21"/>
        </w:rPr>
        <w:t>Logistic</w:t>
      </w:r>
      <w:r w:rsidRPr="00A040E5">
        <w:rPr>
          <w:rFonts w:ascii="Times New Roman" w:hAnsi="Times New Roman" w:cs="Times New Roman"/>
          <w:sz w:val="21"/>
          <w:szCs w:val="21"/>
        </w:rPr>
        <w:t>模型能够较好描述该类由</w:t>
      </w:r>
      <w:proofErr w:type="gramStart"/>
      <w:r w:rsidRPr="00A040E5">
        <w:rPr>
          <w:rFonts w:ascii="Times New Roman" w:hAnsi="Times New Roman" w:cs="Times New Roman"/>
          <w:sz w:val="21"/>
          <w:szCs w:val="21"/>
        </w:rPr>
        <w:t>缓慢响应</w:t>
      </w:r>
      <w:proofErr w:type="gramEnd"/>
      <w:r w:rsidRPr="00A040E5">
        <w:rPr>
          <w:rFonts w:ascii="Times New Roman" w:hAnsi="Times New Roman" w:cs="Times New Roman"/>
          <w:sz w:val="21"/>
          <w:szCs w:val="21"/>
        </w:rPr>
        <w:t>到快速变化再趋于稳定的过程。</w:t>
      </w:r>
    </w:p>
    <w:p w14:paraId="52F78DB8" w14:textId="02F4736E" w:rsidR="00614B7B" w:rsidRPr="00A040E5" w:rsidRDefault="00614B7B"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A040E5">
        <w:rPr>
          <w:rFonts w:ascii="Times New Roman" w:hAnsi="Times New Roman" w:cs="Times New Roman"/>
          <w:sz w:val="21"/>
          <w:szCs w:val="21"/>
        </w:rPr>
        <w:t>2</w:t>
      </w:r>
      <w:r w:rsidRPr="00A040E5">
        <w:rPr>
          <w:rFonts w:ascii="Times New Roman" w:hAnsi="Times New Roman" w:cs="Times New Roman"/>
          <w:sz w:val="21"/>
          <w:szCs w:val="21"/>
        </w:rPr>
        <w:t>）</w:t>
      </w:r>
      <w:r w:rsidRPr="00A040E5">
        <w:rPr>
          <w:rStyle w:val="afd"/>
          <w:rFonts w:ascii="Times New Roman" w:hAnsi="Times New Roman" w:cs="Times New Roman"/>
          <w:b w:val="0"/>
          <w:sz w:val="21"/>
          <w:szCs w:val="21"/>
        </w:rPr>
        <w:t>具有明确的阈值识别能力。</w:t>
      </w:r>
      <w:r w:rsidRPr="00A040E5">
        <w:rPr>
          <w:rFonts w:ascii="Times New Roman" w:hAnsi="Times New Roman" w:cs="Times New Roman"/>
          <w:sz w:val="21"/>
          <w:szCs w:val="21"/>
        </w:rPr>
        <w:t>MSC</w:t>
      </w:r>
      <w:r w:rsidRPr="00A040E5">
        <w:rPr>
          <w:rFonts w:ascii="Times New Roman" w:hAnsi="Times New Roman" w:cs="Times New Roman"/>
          <w:sz w:val="21"/>
          <w:szCs w:val="21"/>
        </w:rPr>
        <w:t>的定义本质上是</w:t>
      </w:r>
      <w:r w:rsidRPr="00A040E5">
        <w:rPr>
          <w:rFonts w:ascii="Times New Roman" w:hAnsi="Times New Roman" w:cs="Times New Roman"/>
          <w:sz w:val="21"/>
          <w:szCs w:val="21"/>
        </w:rPr>
        <w:t>“</w:t>
      </w:r>
      <w:r w:rsidRPr="00A040E5">
        <w:rPr>
          <w:rFonts w:ascii="Times New Roman" w:hAnsi="Times New Roman" w:cs="Times New Roman"/>
          <w:sz w:val="21"/>
          <w:szCs w:val="21"/>
        </w:rPr>
        <w:t>抗生素暴露导致群落耐药水平提高的临界浓度</w:t>
      </w:r>
      <w:r w:rsidRPr="00A040E5">
        <w:rPr>
          <w:rFonts w:ascii="Times New Roman" w:hAnsi="Times New Roman" w:cs="Times New Roman"/>
          <w:sz w:val="21"/>
          <w:szCs w:val="21"/>
        </w:rPr>
        <w:t>”</w:t>
      </w:r>
      <w:r w:rsidRPr="00A040E5">
        <w:rPr>
          <w:rFonts w:ascii="Times New Roman" w:hAnsi="Times New Roman" w:cs="Times New Roman"/>
          <w:sz w:val="21"/>
          <w:szCs w:val="21"/>
        </w:rPr>
        <w:t>。因此，本标准将</w:t>
      </w:r>
      <w:r w:rsidRPr="00A040E5">
        <w:rPr>
          <w:rFonts w:ascii="Times New Roman" w:hAnsi="Times New Roman" w:cs="Times New Roman"/>
          <w:sz w:val="21"/>
          <w:szCs w:val="21"/>
        </w:rPr>
        <w:t>SC=1</w:t>
      </w:r>
      <w:r w:rsidRPr="00A040E5">
        <w:rPr>
          <w:rFonts w:ascii="Times New Roman" w:hAnsi="Times New Roman" w:cs="Times New Roman"/>
          <w:sz w:val="21"/>
          <w:szCs w:val="21"/>
        </w:rPr>
        <w:t>作为选择效应发生的判定边界，即当暴露后耐药率达到暴露前水平时，认为抗生素开始产生可检测的选择作用。通过求解</w:t>
      </w:r>
      <w:r w:rsidRPr="00A040E5">
        <w:rPr>
          <w:rFonts w:ascii="Times New Roman" w:hAnsi="Times New Roman" w:cs="Times New Roman"/>
          <w:sz w:val="21"/>
          <w:szCs w:val="21"/>
        </w:rPr>
        <w:t>Logistic</w:t>
      </w:r>
      <w:r w:rsidRPr="00A040E5">
        <w:rPr>
          <w:rFonts w:ascii="Times New Roman" w:hAnsi="Times New Roman" w:cs="Times New Roman"/>
          <w:sz w:val="21"/>
          <w:szCs w:val="21"/>
        </w:rPr>
        <w:t>拟合曲线与</w:t>
      </w:r>
      <w:r w:rsidRPr="00A040E5">
        <w:rPr>
          <w:rFonts w:ascii="Times New Roman" w:hAnsi="Times New Roman" w:cs="Times New Roman"/>
          <w:sz w:val="21"/>
          <w:szCs w:val="21"/>
        </w:rPr>
        <w:t>SC=1</w:t>
      </w:r>
      <w:r w:rsidRPr="00A040E5">
        <w:rPr>
          <w:rFonts w:ascii="Times New Roman" w:hAnsi="Times New Roman" w:cs="Times New Roman"/>
          <w:sz w:val="21"/>
          <w:szCs w:val="21"/>
        </w:rPr>
        <w:t>的交点，可获得对应抗生素浓度，即</w:t>
      </w:r>
      <w:r w:rsidRPr="00A040E5">
        <w:rPr>
          <w:rFonts w:ascii="Times New Roman" w:hAnsi="Times New Roman" w:cs="Times New Roman"/>
          <w:sz w:val="21"/>
          <w:szCs w:val="21"/>
        </w:rPr>
        <w:t>MSC</w:t>
      </w:r>
      <w:r w:rsidRPr="00A040E5">
        <w:rPr>
          <w:rFonts w:ascii="Times New Roman" w:hAnsi="Times New Roman" w:cs="Times New Roman"/>
          <w:sz w:val="21"/>
          <w:szCs w:val="21"/>
        </w:rPr>
        <w:t>。</w:t>
      </w:r>
    </w:p>
    <w:p w14:paraId="7E049E90" w14:textId="5D2ACF19" w:rsidR="00614B7B" w:rsidRPr="00A040E5" w:rsidRDefault="00614B7B" w:rsidP="00A040E5">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A040E5">
        <w:rPr>
          <w:rFonts w:ascii="Times New Roman" w:hAnsi="Times New Roman" w:cs="Times New Roman"/>
          <w:sz w:val="21"/>
          <w:szCs w:val="21"/>
        </w:rPr>
        <w:t>3</w:t>
      </w:r>
      <w:r w:rsidRPr="00A040E5">
        <w:rPr>
          <w:rFonts w:ascii="Times New Roman" w:hAnsi="Times New Roman" w:cs="Times New Roman"/>
          <w:sz w:val="21"/>
          <w:szCs w:val="21"/>
        </w:rPr>
        <w:t>）</w:t>
      </w:r>
      <w:r w:rsidRPr="00A040E5">
        <w:rPr>
          <w:rStyle w:val="afd"/>
          <w:rFonts w:ascii="Times New Roman" w:hAnsi="Times New Roman" w:cs="Times New Roman"/>
          <w:b w:val="0"/>
          <w:sz w:val="21"/>
          <w:szCs w:val="21"/>
        </w:rPr>
        <w:t>便于不同环境样品间比较。</w:t>
      </w:r>
      <w:r w:rsidRPr="00A040E5">
        <w:rPr>
          <w:rFonts w:ascii="Times New Roman" w:hAnsi="Times New Roman" w:cs="Times New Roman"/>
          <w:sz w:val="21"/>
          <w:szCs w:val="21"/>
        </w:rPr>
        <w:t>Logistic</w:t>
      </w:r>
      <w:r w:rsidRPr="00A040E5">
        <w:rPr>
          <w:rFonts w:ascii="Times New Roman" w:hAnsi="Times New Roman" w:cs="Times New Roman"/>
          <w:sz w:val="21"/>
          <w:szCs w:val="21"/>
        </w:rPr>
        <w:t>模型参数具有明确的生物学意义，可通过统一模型描述不同环境样品、不同抗生素条件下的选择响应过程，提高</w:t>
      </w:r>
      <w:r w:rsidRPr="00A040E5">
        <w:rPr>
          <w:rFonts w:ascii="Times New Roman" w:hAnsi="Times New Roman" w:cs="Times New Roman"/>
          <w:sz w:val="21"/>
          <w:szCs w:val="21"/>
        </w:rPr>
        <w:t>MSC</w:t>
      </w:r>
      <w:r w:rsidRPr="00A040E5">
        <w:rPr>
          <w:rFonts w:ascii="Times New Roman" w:hAnsi="Times New Roman" w:cs="Times New Roman"/>
          <w:sz w:val="21"/>
          <w:szCs w:val="21"/>
        </w:rPr>
        <w:t>测定结果的可重复性和可比性。</w:t>
      </w:r>
    </w:p>
    <w:p w14:paraId="22C0CEE7" w14:textId="2D84DD72" w:rsidR="00614B7B" w:rsidRPr="009C27ED" w:rsidRDefault="00614B7B" w:rsidP="009C27ED">
      <w:pPr>
        <w:pStyle w:val="aff1"/>
        <w:spacing w:before="0" w:beforeAutospacing="0" w:after="0" w:afterAutospacing="0" w:line="360" w:lineRule="auto"/>
        <w:ind w:firstLineChars="200" w:firstLine="420"/>
        <w:jc w:val="both"/>
        <w:rPr>
          <w:rFonts w:ascii="Times New Roman" w:hAnsi="Times New Roman" w:cs="Times New Roman"/>
          <w:sz w:val="21"/>
          <w:szCs w:val="21"/>
        </w:rPr>
      </w:pPr>
      <w:r w:rsidRPr="00A040E5">
        <w:rPr>
          <w:rFonts w:ascii="Times New Roman" w:hAnsi="Times New Roman" w:cs="Times New Roman"/>
          <w:sz w:val="21"/>
          <w:szCs w:val="21"/>
        </w:rPr>
        <w:t>为保证</w:t>
      </w:r>
      <w:r w:rsidRPr="00A040E5">
        <w:rPr>
          <w:rFonts w:ascii="Times New Roman" w:hAnsi="Times New Roman" w:cs="Times New Roman"/>
          <w:sz w:val="21"/>
          <w:szCs w:val="21"/>
        </w:rPr>
        <w:t>MSC</w:t>
      </w:r>
      <w:r w:rsidRPr="00A040E5">
        <w:rPr>
          <w:rFonts w:ascii="Times New Roman" w:hAnsi="Times New Roman" w:cs="Times New Roman"/>
          <w:sz w:val="21"/>
          <w:szCs w:val="21"/>
        </w:rPr>
        <w:t>推导结果的可靠性，本标准对模型输入参数和拟合条件进行了规范。首先，在抗生素暴露实验中设置多个梯度浓度，以获得完整的剂量响应关系。低浓度梯度用于捕捉选择效应起始阶段，高浓度梯度用于描述</w:t>
      </w:r>
      <w:r w:rsidRPr="00A040E5">
        <w:rPr>
          <w:rFonts w:ascii="Times New Roman" w:hAnsi="Times New Roman" w:cs="Times New Roman"/>
          <w:sz w:val="21"/>
          <w:szCs w:val="21"/>
        </w:rPr>
        <w:t>SC</w:t>
      </w:r>
      <w:r w:rsidRPr="00A040E5">
        <w:rPr>
          <w:rFonts w:ascii="Times New Roman" w:hAnsi="Times New Roman" w:cs="Times New Roman"/>
          <w:sz w:val="21"/>
          <w:szCs w:val="21"/>
        </w:rPr>
        <w:t>快速升高及平台阶段，从而提高</w:t>
      </w:r>
      <w:r w:rsidRPr="00A040E5">
        <w:rPr>
          <w:rFonts w:ascii="Times New Roman" w:hAnsi="Times New Roman" w:cs="Times New Roman"/>
          <w:sz w:val="21"/>
          <w:szCs w:val="21"/>
        </w:rPr>
        <w:t>Logistic</w:t>
      </w:r>
      <w:r w:rsidRPr="00A040E5">
        <w:rPr>
          <w:rFonts w:ascii="Times New Roman" w:hAnsi="Times New Roman" w:cs="Times New Roman"/>
          <w:sz w:val="21"/>
          <w:szCs w:val="21"/>
        </w:rPr>
        <w:t>模型拟合稳定性。其次，采用抗生素暴露前后的耐药率计算</w:t>
      </w:r>
      <w:r w:rsidRPr="00A040E5">
        <w:rPr>
          <w:rFonts w:ascii="Times New Roman" w:hAnsi="Times New Roman" w:cs="Times New Roman"/>
          <w:sz w:val="21"/>
          <w:szCs w:val="21"/>
        </w:rPr>
        <w:t>SC</w:t>
      </w:r>
      <w:r w:rsidRPr="00A040E5">
        <w:rPr>
          <w:rFonts w:ascii="Times New Roman" w:hAnsi="Times New Roman" w:cs="Times New Roman"/>
          <w:sz w:val="21"/>
          <w:szCs w:val="21"/>
        </w:rPr>
        <w:t>，而非直接使用耐药率变化值。一方面，不同环境样品初始耐药水</w:t>
      </w:r>
      <w:proofErr w:type="gramStart"/>
      <w:r w:rsidRPr="00A040E5">
        <w:rPr>
          <w:rFonts w:ascii="Times New Roman" w:hAnsi="Times New Roman" w:cs="Times New Roman"/>
          <w:sz w:val="21"/>
          <w:szCs w:val="21"/>
        </w:rPr>
        <w:t>平存在</w:t>
      </w:r>
      <w:proofErr w:type="gramEnd"/>
      <w:r w:rsidRPr="00A040E5">
        <w:rPr>
          <w:rFonts w:ascii="Times New Roman" w:hAnsi="Times New Roman" w:cs="Times New Roman"/>
          <w:sz w:val="21"/>
          <w:szCs w:val="21"/>
        </w:rPr>
        <w:t>较大差异，直接比较耐药率可能造成结果偏差；另一方面，</w:t>
      </w:r>
      <w:r w:rsidRPr="00A040E5">
        <w:rPr>
          <w:rFonts w:ascii="Times New Roman" w:hAnsi="Times New Roman" w:cs="Times New Roman"/>
          <w:sz w:val="21"/>
          <w:szCs w:val="21"/>
        </w:rPr>
        <w:t>SC</w:t>
      </w:r>
      <w:r w:rsidRPr="00A040E5">
        <w:rPr>
          <w:rFonts w:ascii="Times New Roman" w:hAnsi="Times New Roman" w:cs="Times New Roman"/>
          <w:sz w:val="21"/>
          <w:szCs w:val="21"/>
        </w:rPr>
        <w:t>能够反映抗生素暴露导致的相对选择效应，更适合作为群落水平</w:t>
      </w:r>
      <w:r w:rsidRPr="00A040E5">
        <w:rPr>
          <w:rFonts w:ascii="Times New Roman" w:hAnsi="Times New Roman" w:cs="Times New Roman"/>
          <w:sz w:val="21"/>
          <w:szCs w:val="21"/>
        </w:rPr>
        <w:t>MSC</w:t>
      </w:r>
      <w:r w:rsidRPr="00A040E5">
        <w:rPr>
          <w:rFonts w:ascii="Times New Roman" w:hAnsi="Times New Roman" w:cs="Times New Roman"/>
          <w:sz w:val="21"/>
          <w:szCs w:val="21"/>
        </w:rPr>
        <w:t>推导指标。最后，本标准规定</w:t>
      </w:r>
      <w:r w:rsidRPr="00A040E5">
        <w:rPr>
          <w:rFonts w:ascii="Times New Roman" w:hAnsi="Times New Roman" w:cs="Times New Roman"/>
          <w:sz w:val="21"/>
          <w:szCs w:val="21"/>
        </w:rPr>
        <w:t>MSC</w:t>
      </w:r>
      <w:r w:rsidRPr="00A040E5">
        <w:rPr>
          <w:rFonts w:ascii="Times New Roman" w:hAnsi="Times New Roman" w:cs="Times New Roman"/>
          <w:sz w:val="21"/>
          <w:szCs w:val="21"/>
        </w:rPr>
        <w:t>推导应对</w:t>
      </w:r>
      <w:r w:rsidRPr="00A040E5">
        <w:rPr>
          <w:rFonts w:ascii="Times New Roman" w:hAnsi="Times New Roman" w:cs="Times New Roman"/>
          <w:sz w:val="21"/>
          <w:szCs w:val="21"/>
        </w:rPr>
        <w:t>Logistic</w:t>
      </w:r>
      <w:r w:rsidRPr="00A040E5">
        <w:rPr>
          <w:rFonts w:ascii="Times New Roman" w:hAnsi="Times New Roman" w:cs="Times New Roman"/>
          <w:sz w:val="21"/>
          <w:szCs w:val="21"/>
        </w:rPr>
        <w:t>模型拟合效果进行评价。当模型拟合</w:t>
      </w:r>
      <w:proofErr w:type="gramStart"/>
      <w:r w:rsidRPr="00A040E5">
        <w:rPr>
          <w:rFonts w:ascii="Times New Roman" w:hAnsi="Times New Roman" w:cs="Times New Roman"/>
          <w:sz w:val="21"/>
          <w:szCs w:val="21"/>
        </w:rPr>
        <w:t>优度满足</w:t>
      </w:r>
      <w:proofErr w:type="gramEnd"/>
      <w:r w:rsidRPr="00A040E5">
        <w:rPr>
          <w:rFonts w:ascii="Times New Roman" w:hAnsi="Times New Roman" w:cs="Times New Roman"/>
          <w:sz w:val="21"/>
          <w:szCs w:val="21"/>
        </w:rPr>
        <w:t>要求时，利用拟合方程求解</w:t>
      </w:r>
      <w:r w:rsidRPr="00A040E5">
        <w:rPr>
          <w:rFonts w:ascii="Times New Roman" w:hAnsi="Times New Roman" w:cs="Times New Roman"/>
          <w:sz w:val="21"/>
          <w:szCs w:val="21"/>
        </w:rPr>
        <w:t>SC=1</w:t>
      </w:r>
      <w:r w:rsidRPr="00A040E5">
        <w:rPr>
          <w:rFonts w:ascii="Times New Roman" w:hAnsi="Times New Roman" w:cs="Times New Roman"/>
          <w:sz w:val="21"/>
          <w:szCs w:val="21"/>
        </w:rPr>
        <w:t>对应的抗生素浓度作为</w:t>
      </w:r>
      <w:r w:rsidRPr="00A040E5">
        <w:rPr>
          <w:rFonts w:ascii="Times New Roman" w:hAnsi="Times New Roman" w:cs="Times New Roman"/>
          <w:sz w:val="21"/>
          <w:szCs w:val="21"/>
        </w:rPr>
        <w:t>MSC</w:t>
      </w:r>
      <w:r w:rsidRPr="00A040E5">
        <w:rPr>
          <w:rFonts w:ascii="Times New Roman" w:hAnsi="Times New Roman" w:cs="Times New Roman"/>
          <w:sz w:val="21"/>
          <w:szCs w:val="21"/>
        </w:rPr>
        <w:t>；对于拟合效果较差的数据，应结合实验重复性和异常值分析进行判断，确保</w:t>
      </w:r>
      <w:r w:rsidRPr="00A040E5">
        <w:rPr>
          <w:rFonts w:ascii="Times New Roman" w:hAnsi="Times New Roman" w:cs="Times New Roman"/>
          <w:sz w:val="21"/>
          <w:szCs w:val="21"/>
        </w:rPr>
        <w:t>MSC</w:t>
      </w:r>
      <w:r w:rsidRPr="00A040E5">
        <w:rPr>
          <w:rFonts w:ascii="Times New Roman" w:hAnsi="Times New Roman" w:cs="Times New Roman"/>
          <w:sz w:val="21"/>
          <w:szCs w:val="21"/>
        </w:rPr>
        <w:t>结果具有可靠性。通过上述模型构建，</w:t>
      </w:r>
      <w:r w:rsidRPr="00A040E5">
        <w:rPr>
          <w:rFonts w:ascii="Times New Roman" w:hAnsi="Times New Roman" w:cs="Times New Roman"/>
          <w:sz w:val="21"/>
          <w:szCs w:val="21"/>
        </w:rPr>
        <w:t>MSC</w:t>
      </w:r>
      <w:r w:rsidRPr="00A040E5">
        <w:rPr>
          <w:rFonts w:ascii="Times New Roman" w:hAnsi="Times New Roman" w:cs="Times New Roman"/>
          <w:sz w:val="21"/>
          <w:szCs w:val="21"/>
        </w:rPr>
        <w:t>测定方法实现了由</w:t>
      </w:r>
      <w:r w:rsidRPr="00A040E5">
        <w:rPr>
          <w:rFonts w:ascii="Times New Roman" w:hAnsi="Times New Roman" w:cs="Times New Roman"/>
          <w:sz w:val="21"/>
          <w:szCs w:val="21"/>
        </w:rPr>
        <w:t>“</w:t>
      </w:r>
      <w:r w:rsidRPr="00A040E5">
        <w:rPr>
          <w:rFonts w:ascii="Times New Roman" w:hAnsi="Times New Roman" w:cs="Times New Roman"/>
          <w:sz w:val="21"/>
          <w:szCs w:val="21"/>
        </w:rPr>
        <w:t>抗生素浓度暴露</w:t>
      </w:r>
      <w:r w:rsidRPr="00A040E5">
        <w:rPr>
          <w:rFonts w:ascii="Times New Roman" w:hAnsi="Times New Roman" w:cs="Times New Roman"/>
          <w:sz w:val="21"/>
          <w:szCs w:val="21"/>
        </w:rPr>
        <w:t>”</w:t>
      </w:r>
      <w:r w:rsidRPr="00A040E5">
        <w:rPr>
          <w:rFonts w:ascii="Times New Roman" w:hAnsi="Times New Roman" w:cs="Times New Roman"/>
          <w:sz w:val="21"/>
          <w:szCs w:val="21"/>
        </w:rPr>
        <w:t>到</w:t>
      </w:r>
      <w:r w:rsidRPr="00A040E5">
        <w:rPr>
          <w:rFonts w:ascii="Times New Roman" w:hAnsi="Times New Roman" w:cs="Times New Roman"/>
          <w:sz w:val="21"/>
          <w:szCs w:val="21"/>
        </w:rPr>
        <w:t>“</w:t>
      </w:r>
      <w:r w:rsidRPr="00A040E5">
        <w:rPr>
          <w:rFonts w:ascii="Times New Roman" w:hAnsi="Times New Roman" w:cs="Times New Roman"/>
          <w:sz w:val="21"/>
          <w:szCs w:val="21"/>
        </w:rPr>
        <w:t>群落耐</w:t>
      </w:r>
      <w:r w:rsidRPr="009C27ED">
        <w:rPr>
          <w:rFonts w:ascii="Times New Roman" w:hAnsi="Times New Roman" w:cs="Times New Roman"/>
          <w:sz w:val="21"/>
          <w:szCs w:val="21"/>
        </w:rPr>
        <w:t>药性选择响应</w:t>
      </w:r>
      <w:r w:rsidRPr="009C27ED">
        <w:rPr>
          <w:rFonts w:ascii="Times New Roman" w:hAnsi="Times New Roman" w:cs="Times New Roman"/>
          <w:sz w:val="21"/>
          <w:szCs w:val="21"/>
        </w:rPr>
        <w:t>”</w:t>
      </w:r>
      <w:r w:rsidRPr="009C27ED">
        <w:rPr>
          <w:rFonts w:ascii="Times New Roman" w:hAnsi="Times New Roman" w:cs="Times New Roman"/>
          <w:sz w:val="21"/>
          <w:szCs w:val="21"/>
        </w:rPr>
        <w:t>的定量关联，为水体抗生素环境风险评估提供了具有生态意义的耐药选择阈值指标。</w:t>
      </w:r>
    </w:p>
    <w:p w14:paraId="633E5F68" w14:textId="1C16A860" w:rsidR="00614B7B" w:rsidRPr="00773F4D" w:rsidRDefault="00AF5891" w:rsidP="005D06F8">
      <w:pPr>
        <w:pStyle w:val="ac"/>
        <w:spacing w:line="360" w:lineRule="auto"/>
        <w:outlineLvl w:val="2"/>
        <w:rPr>
          <w:rFonts w:ascii="Times New Roman" w:hAnsi="Times New Roman" w:cs="Times New Roman"/>
          <w:b/>
          <w:lang w:val="en-US"/>
        </w:rPr>
      </w:pPr>
      <w:r w:rsidRPr="00773F4D">
        <w:rPr>
          <w:rFonts w:ascii="Times New Roman" w:hAnsi="Times New Roman" w:cs="Times New Roman"/>
          <w:b/>
          <w:lang w:val="en-US"/>
        </w:rPr>
        <w:t xml:space="preserve">3.2.6 </w:t>
      </w:r>
      <w:r w:rsidRPr="00773F4D">
        <w:rPr>
          <w:rFonts w:ascii="Times New Roman" w:hAnsi="Times New Roman" w:cs="Times New Roman"/>
          <w:b/>
        </w:rPr>
        <w:t>方法适用性、标准化与质量控制要求说明</w:t>
      </w:r>
    </w:p>
    <w:p w14:paraId="290E2345" w14:textId="77777777" w:rsidR="00AF5891" w:rsidRPr="009C27ED" w:rsidRDefault="00AF5891" w:rsidP="009C27ED">
      <w:pPr>
        <w:pStyle w:val="pdq2pgselectionanchorcontainer"/>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本标准建立的</w:t>
      </w:r>
      <w:r w:rsidRPr="009C27ED">
        <w:rPr>
          <w:rFonts w:ascii="Times New Roman" w:hAnsi="Times New Roman" w:cs="Times New Roman"/>
          <w:sz w:val="21"/>
          <w:szCs w:val="21"/>
        </w:rPr>
        <w:t>MSC</w:t>
      </w:r>
      <w:r w:rsidRPr="009C27ED">
        <w:rPr>
          <w:rFonts w:ascii="Times New Roman" w:hAnsi="Times New Roman" w:cs="Times New Roman"/>
          <w:sz w:val="21"/>
          <w:szCs w:val="21"/>
        </w:rPr>
        <w:t>测定方法以环境微生物群落为研究对象，通过模拟抗生素暴露过程，评价不同水体中抗生素对微生物群落耐药性的选择压力。由于该方法不依赖特定菌株，而是基于环境样品中原位微生物群落响应，因此具有较好的环境适用性，可应用于地表水、地下水、饮用水以及生活污水、养殖废水和抗生素制药废水等不同类型水体的抗生素选择风险评价。</w:t>
      </w:r>
    </w:p>
    <w:p w14:paraId="1E6BC823" w14:textId="77777777" w:rsidR="00AF5891" w:rsidRPr="009C27ED" w:rsidRDefault="00AF5891"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lastRenderedPageBreak/>
        <w:t>考虑到不同水体在微生物丰度、群落结构、营养状态及污染背景等方面存在差异，本标准通过规范样品采集、微生物富集、抗生素暴露条件、耐药率检测方法及</w:t>
      </w:r>
      <w:r w:rsidRPr="009C27ED">
        <w:rPr>
          <w:rFonts w:ascii="Times New Roman" w:hAnsi="Times New Roman" w:cs="Times New Roman"/>
          <w:sz w:val="21"/>
          <w:szCs w:val="21"/>
        </w:rPr>
        <w:t>MSC</w:t>
      </w:r>
      <w:r w:rsidRPr="009C27ED">
        <w:rPr>
          <w:rFonts w:ascii="Times New Roman" w:hAnsi="Times New Roman" w:cs="Times New Roman"/>
          <w:sz w:val="21"/>
          <w:szCs w:val="21"/>
        </w:rPr>
        <w:t>模型推导过程，降低样品来源差异对检测结果的影响，提高方法的可重复性和跨样品比较能力。同时，通过设置统一的实验平行、培养条件、菌落计数范围、模型拟合要求等质量控制措施，保证不同检测机构开展该方法时结果的一致性。</w:t>
      </w:r>
    </w:p>
    <w:p w14:paraId="27E9B7CA" w14:textId="77777777" w:rsidR="00AF5891" w:rsidRPr="009C27ED" w:rsidRDefault="00AF5891"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需要指出的是，该方法仍存在一定的生态学和技术局限性。首先，基于培养方法获得的耐药率主要反映可培养微生物群落的表型耐药响应，而环境中部分不可培养微生物及其携带的耐药基因可能未被纳入评价范围。其次，微宇宙暴露体系虽然能够模拟环境选择过程，但与天然水体相比仍存在一定差异，如群落演替、复杂环境相互作用及长期适应过程难以完全模拟。此外，不同抗生素理化性质、作用机制以及环境转化过程的差异，可能影响</w:t>
      </w:r>
      <w:r w:rsidRPr="009C27ED">
        <w:rPr>
          <w:rFonts w:ascii="Times New Roman" w:hAnsi="Times New Roman" w:cs="Times New Roman"/>
          <w:sz w:val="21"/>
          <w:szCs w:val="21"/>
        </w:rPr>
        <w:t>MSC</w:t>
      </w:r>
      <w:r w:rsidRPr="009C27ED">
        <w:rPr>
          <w:rFonts w:ascii="Times New Roman" w:hAnsi="Times New Roman" w:cs="Times New Roman"/>
          <w:sz w:val="21"/>
          <w:szCs w:val="21"/>
        </w:rPr>
        <w:t>测定结果。</w:t>
      </w:r>
    </w:p>
    <w:p w14:paraId="4C3C8863" w14:textId="47FCFA61" w:rsidR="00AF5891" w:rsidRPr="009C27ED" w:rsidRDefault="00AF5891"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针对上述影响因素，本标准通过以下措施提高结果可靠性：（</w:t>
      </w:r>
      <w:r w:rsidRPr="009C27ED">
        <w:rPr>
          <w:rFonts w:ascii="Times New Roman" w:hAnsi="Times New Roman" w:cs="Times New Roman"/>
          <w:sz w:val="21"/>
          <w:szCs w:val="21"/>
        </w:rPr>
        <w:t>1</w:t>
      </w:r>
      <w:r w:rsidRPr="009C27ED">
        <w:rPr>
          <w:rFonts w:ascii="Times New Roman" w:hAnsi="Times New Roman" w:cs="Times New Roman"/>
          <w:sz w:val="21"/>
          <w:szCs w:val="21"/>
        </w:rPr>
        <w:t>）采用环境原始微生物群落作为受试对象，提高结果环境相关性；（</w:t>
      </w:r>
      <w:r w:rsidRPr="009C27ED">
        <w:rPr>
          <w:rFonts w:ascii="Times New Roman" w:hAnsi="Times New Roman" w:cs="Times New Roman"/>
          <w:sz w:val="21"/>
          <w:szCs w:val="21"/>
        </w:rPr>
        <w:t>2</w:t>
      </w:r>
      <w:r w:rsidRPr="009C27ED">
        <w:rPr>
          <w:rFonts w:ascii="Times New Roman" w:hAnsi="Times New Roman" w:cs="Times New Roman"/>
          <w:sz w:val="21"/>
          <w:szCs w:val="21"/>
        </w:rPr>
        <w:t>）通过设置合理抗生素浓度梯度，获得完整剂量</w:t>
      </w:r>
      <w:r w:rsidRPr="009C27ED">
        <w:rPr>
          <w:rFonts w:ascii="Times New Roman" w:hAnsi="Times New Roman" w:cs="Times New Roman"/>
          <w:sz w:val="21"/>
          <w:szCs w:val="21"/>
        </w:rPr>
        <w:t>–</w:t>
      </w:r>
      <w:r w:rsidRPr="009C27ED">
        <w:rPr>
          <w:rFonts w:ascii="Times New Roman" w:hAnsi="Times New Roman" w:cs="Times New Roman"/>
          <w:sz w:val="21"/>
          <w:szCs w:val="21"/>
        </w:rPr>
        <w:t>响应关系；（</w:t>
      </w:r>
      <w:r w:rsidRPr="009C27ED">
        <w:rPr>
          <w:rFonts w:ascii="Times New Roman" w:hAnsi="Times New Roman" w:cs="Times New Roman"/>
          <w:sz w:val="21"/>
          <w:szCs w:val="21"/>
        </w:rPr>
        <w:t>3</w:t>
      </w:r>
      <w:r w:rsidRPr="009C27ED">
        <w:rPr>
          <w:rFonts w:ascii="Times New Roman" w:hAnsi="Times New Roman" w:cs="Times New Roman"/>
          <w:sz w:val="21"/>
          <w:szCs w:val="21"/>
        </w:rPr>
        <w:t>）</w:t>
      </w:r>
      <w:r w:rsidR="003E69BE" w:rsidRPr="003E69BE">
        <w:rPr>
          <w:rFonts w:ascii="Times New Roman" w:hAnsi="Times New Roman" w:cs="Times New Roman" w:hint="eastAsia"/>
          <w:sz w:val="21"/>
          <w:szCs w:val="21"/>
        </w:rPr>
        <w:t>编制团队前期研究主要以</w:t>
      </w:r>
      <w:proofErr w:type="gramStart"/>
      <w:r w:rsidR="003E69BE" w:rsidRPr="003E69BE">
        <w:rPr>
          <w:rFonts w:ascii="Times New Roman" w:hAnsi="Times New Roman" w:cs="Times New Roman" w:hint="eastAsia"/>
          <w:sz w:val="21"/>
          <w:szCs w:val="21"/>
        </w:rPr>
        <w:t>喹</w:t>
      </w:r>
      <w:proofErr w:type="gramEnd"/>
      <w:r w:rsidR="003E69BE" w:rsidRPr="003E69BE">
        <w:rPr>
          <w:rFonts w:ascii="Times New Roman" w:hAnsi="Times New Roman" w:cs="Times New Roman" w:hint="eastAsia"/>
          <w:sz w:val="21"/>
          <w:szCs w:val="21"/>
        </w:rPr>
        <w:t>诺酮类抗生素（如诺氟沙星）作为代表性化合物开展方法建立和关键参数优化，验证了基于细菌群落耐药率响应开展</w:t>
      </w:r>
      <w:r w:rsidR="003E69BE" w:rsidRPr="003E69BE">
        <w:rPr>
          <w:rFonts w:ascii="Times New Roman" w:hAnsi="Times New Roman" w:cs="Times New Roman" w:hint="eastAsia"/>
          <w:sz w:val="21"/>
          <w:szCs w:val="21"/>
        </w:rPr>
        <w:t>MSC</w:t>
      </w:r>
      <w:r w:rsidR="003E69BE" w:rsidRPr="003E69BE">
        <w:rPr>
          <w:rFonts w:ascii="Times New Roman" w:hAnsi="Times New Roman" w:cs="Times New Roman" w:hint="eastAsia"/>
          <w:sz w:val="21"/>
          <w:szCs w:val="21"/>
        </w:rPr>
        <w:t>测定的可行性。对于其他类别抗生素，应根据目标抗生素的环境赋存浓度、作用机制及微生物响应特征，合理设置暴露浓度梯度和选择培养基筛选浓度，</w:t>
      </w:r>
      <w:r w:rsidR="003E69BE" w:rsidRPr="009C27ED">
        <w:rPr>
          <w:rFonts w:ascii="Times New Roman" w:hAnsi="Times New Roman" w:cs="Times New Roman"/>
          <w:sz w:val="21"/>
          <w:szCs w:val="21"/>
        </w:rPr>
        <w:t>避免过强或过弱选择压力造成结果偏差</w:t>
      </w:r>
      <w:r w:rsidR="003E69BE">
        <w:rPr>
          <w:rFonts w:ascii="Times New Roman" w:hAnsi="Times New Roman" w:cs="Times New Roman" w:hint="eastAsia"/>
          <w:sz w:val="21"/>
          <w:szCs w:val="21"/>
        </w:rPr>
        <w:t>，</w:t>
      </w:r>
      <w:r w:rsidR="003E69BE" w:rsidRPr="003E69BE">
        <w:rPr>
          <w:rFonts w:ascii="Times New Roman" w:hAnsi="Times New Roman" w:cs="Times New Roman" w:hint="eastAsia"/>
          <w:sz w:val="21"/>
          <w:szCs w:val="21"/>
        </w:rPr>
        <w:t>以确保</w:t>
      </w:r>
      <w:r w:rsidR="003E69BE" w:rsidRPr="003E69BE">
        <w:rPr>
          <w:rFonts w:ascii="Times New Roman" w:hAnsi="Times New Roman" w:cs="Times New Roman" w:hint="eastAsia"/>
          <w:sz w:val="21"/>
          <w:szCs w:val="21"/>
        </w:rPr>
        <w:t>MSC</w:t>
      </w:r>
      <w:r w:rsidR="003E69BE">
        <w:rPr>
          <w:rFonts w:ascii="Times New Roman" w:hAnsi="Times New Roman" w:cs="Times New Roman" w:hint="eastAsia"/>
          <w:sz w:val="21"/>
          <w:szCs w:val="21"/>
        </w:rPr>
        <w:t>测定结果的准确性</w:t>
      </w:r>
      <w:r w:rsidRPr="009C27ED">
        <w:rPr>
          <w:rFonts w:ascii="Times New Roman" w:hAnsi="Times New Roman" w:cs="Times New Roman"/>
          <w:sz w:val="21"/>
          <w:szCs w:val="21"/>
        </w:rPr>
        <w:t>；（</w:t>
      </w:r>
      <w:r w:rsidRPr="009C27ED">
        <w:rPr>
          <w:rFonts w:ascii="Times New Roman" w:hAnsi="Times New Roman" w:cs="Times New Roman"/>
          <w:sz w:val="21"/>
          <w:szCs w:val="21"/>
        </w:rPr>
        <w:t>4</w:t>
      </w:r>
      <w:r w:rsidRPr="009C27ED">
        <w:rPr>
          <w:rFonts w:ascii="Times New Roman" w:hAnsi="Times New Roman" w:cs="Times New Roman"/>
          <w:sz w:val="21"/>
          <w:szCs w:val="21"/>
        </w:rPr>
        <w:t>）设置实验平行、空白对照、菌落计数范围和模型拟合要求，对</w:t>
      </w:r>
      <w:proofErr w:type="gramStart"/>
      <w:r w:rsidRPr="009C27ED">
        <w:rPr>
          <w:rFonts w:ascii="Times New Roman" w:hAnsi="Times New Roman" w:cs="Times New Roman"/>
          <w:sz w:val="21"/>
          <w:szCs w:val="21"/>
        </w:rPr>
        <w:t>实验全</w:t>
      </w:r>
      <w:proofErr w:type="gramEnd"/>
      <w:r w:rsidRPr="009C27ED">
        <w:rPr>
          <w:rFonts w:ascii="Times New Roman" w:hAnsi="Times New Roman" w:cs="Times New Roman"/>
          <w:sz w:val="21"/>
          <w:szCs w:val="21"/>
        </w:rPr>
        <w:t>过程进行质量控制。</w:t>
      </w:r>
    </w:p>
    <w:p w14:paraId="49492D28" w14:textId="77777777" w:rsidR="00AF5891" w:rsidRPr="009C27ED" w:rsidRDefault="00AF5891" w:rsidP="009C27ED">
      <w:pPr>
        <w:pStyle w:val="aff1"/>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因此，本标准提出的质量控制与质量保证要求并非单纯针对实验操作规范，而是针对</w:t>
      </w:r>
      <w:r w:rsidRPr="009C27ED">
        <w:rPr>
          <w:rFonts w:ascii="Times New Roman" w:hAnsi="Times New Roman" w:cs="Times New Roman"/>
          <w:sz w:val="21"/>
          <w:szCs w:val="21"/>
        </w:rPr>
        <w:t>MSC</w:t>
      </w:r>
      <w:r w:rsidRPr="009C27ED">
        <w:rPr>
          <w:rFonts w:ascii="Times New Roman" w:hAnsi="Times New Roman" w:cs="Times New Roman"/>
          <w:sz w:val="21"/>
          <w:szCs w:val="21"/>
        </w:rPr>
        <w:t>测定过程中可能产生的样品偏差、培养偏差和模型不确定性进行全过程控制，从而保证</w:t>
      </w:r>
      <w:r w:rsidRPr="009C27ED">
        <w:rPr>
          <w:rFonts w:ascii="Times New Roman" w:hAnsi="Times New Roman" w:cs="Times New Roman"/>
          <w:sz w:val="21"/>
          <w:szCs w:val="21"/>
        </w:rPr>
        <w:t>MSC</w:t>
      </w:r>
      <w:r w:rsidRPr="009C27ED">
        <w:rPr>
          <w:rFonts w:ascii="Times New Roman" w:hAnsi="Times New Roman" w:cs="Times New Roman"/>
          <w:sz w:val="21"/>
          <w:szCs w:val="21"/>
        </w:rPr>
        <w:t>结果的科学性、可靠性和可比性。</w:t>
      </w:r>
    </w:p>
    <w:p w14:paraId="0B90D226" w14:textId="41C96090" w:rsidR="008041AF" w:rsidRPr="00773F4D" w:rsidRDefault="00CA20CF" w:rsidP="005D06F8">
      <w:pPr>
        <w:tabs>
          <w:tab w:val="left" w:pos="761"/>
          <w:tab w:val="left" w:pos="763"/>
        </w:tabs>
        <w:spacing w:line="360" w:lineRule="auto"/>
        <w:outlineLvl w:val="2"/>
        <w:rPr>
          <w:b/>
          <w:szCs w:val="21"/>
        </w:rPr>
      </w:pPr>
      <w:bookmarkStart w:id="25" w:name="_Toc43212391"/>
      <w:r w:rsidRPr="00773F4D">
        <w:rPr>
          <w:b/>
          <w:szCs w:val="21"/>
        </w:rPr>
        <w:t>3.2.</w:t>
      </w:r>
      <w:r w:rsidR="007C65E8" w:rsidRPr="00773F4D">
        <w:rPr>
          <w:b/>
          <w:szCs w:val="21"/>
        </w:rPr>
        <w:t>7</w:t>
      </w:r>
      <w:r w:rsidRPr="00773F4D">
        <w:rPr>
          <w:b/>
          <w:szCs w:val="21"/>
        </w:rPr>
        <w:t xml:space="preserve"> </w:t>
      </w:r>
      <w:r w:rsidR="007C65E8" w:rsidRPr="00773F4D">
        <w:rPr>
          <w:b/>
          <w:szCs w:val="21"/>
        </w:rPr>
        <w:t>结果报告</w:t>
      </w:r>
    </w:p>
    <w:p w14:paraId="64D4123C" w14:textId="24AEAB34" w:rsidR="007C65E8" w:rsidRPr="009C27ED" w:rsidRDefault="007C65E8" w:rsidP="009C27ED">
      <w:pPr>
        <w:pStyle w:val="pdq2pgselectionanchorcontainer"/>
        <w:spacing w:before="0" w:beforeAutospacing="0" w:after="0" w:afterAutospacing="0" w:line="360" w:lineRule="auto"/>
        <w:ind w:firstLineChars="200" w:firstLine="420"/>
        <w:rPr>
          <w:rFonts w:ascii="Times New Roman" w:hAnsi="Times New Roman" w:cs="Times New Roman"/>
          <w:sz w:val="21"/>
          <w:szCs w:val="21"/>
        </w:rPr>
      </w:pPr>
      <w:r w:rsidRPr="009C27ED">
        <w:rPr>
          <w:rFonts w:ascii="Times New Roman" w:hAnsi="Times New Roman" w:cs="Times New Roman"/>
          <w:sz w:val="21"/>
          <w:szCs w:val="21"/>
        </w:rPr>
        <w:t>为规范不同检测单位开展</w:t>
      </w:r>
      <w:r w:rsidRPr="009C27ED">
        <w:rPr>
          <w:rFonts w:ascii="Times New Roman" w:hAnsi="Times New Roman" w:cs="Times New Roman"/>
          <w:sz w:val="21"/>
          <w:szCs w:val="21"/>
        </w:rPr>
        <w:t>MSC</w:t>
      </w:r>
      <w:r w:rsidRPr="009C27ED">
        <w:rPr>
          <w:rFonts w:ascii="Times New Roman" w:hAnsi="Times New Roman" w:cs="Times New Roman"/>
          <w:sz w:val="21"/>
          <w:szCs w:val="21"/>
        </w:rPr>
        <w:t>测定后的结果表达与信息记录，本标准设置结果报告要求，并对检测结果中应包含的关键信息进行统一规定。结果报告不仅应反映最终</w:t>
      </w:r>
      <w:r w:rsidRPr="009C27ED">
        <w:rPr>
          <w:rFonts w:ascii="Times New Roman" w:hAnsi="Times New Roman" w:cs="Times New Roman"/>
          <w:sz w:val="21"/>
          <w:szCs w:val="21"/>
        </w:rPr>
        <w:t>MSC</w:t>
      </w:r>
      <w:r w:rsidRPr="009C27ED">
        <w:rPr>
          <w:rFonts w:ascii="Times New Roman" w:hAnsi="Times New Roman" w:cs="Times New Roman"/>
          <w:sz w:val="21"/>
          <w:szCs w:val="21"/>
        </w:rPr>
        <w:t>测定结果，还应记录样品信息、实验条件、耐药率检测结果、模型拟合参数以及质量控制情况，以保证检测过程可追溯、结果可验证。考虑到</w:t>
      </w:r>
      <w:r w:rsidRPr="009C27ED">
        <w:rPr>
          <w:rFonts w:ascii="Times New Roman" w:hAnsi="Times New Roman" w:cs="Times New Roman"/>
          <w:sz w:val="21"/>
          <w:szCs w:val="21"/>
        </w:rPr>
        <w:t>MSC</w:t>
      </w:r>
      <w:r w:rsidRPr="009C27ED">
        <w:rPr>
          <w:rFonts w:ascii="Times New Roman" w:hAnsi="Times New Roman" w:cs="Times New Roman"/>
          <w:sz w:val="21"/>
          <w:szCs w:val="21"/>
        </w:rPr>
        <w:t>测定涉及样品来源、抗生素暴露条件、耐药率变化及模型计算等多个环节，</w:t>
      </w:r>
      <w:proofErr w:type="gramStart"/>
      <w:r w:rsidRPr="009C27ED">
        <w:rPr>
          <w:rFonts w:ascii="Times New Roman" w:hAnsi="Times New Roman" w:cs="Times New Roman"/>
          <w:sz w:val="21"/>
          <w:szCs w:val="21"/>
        </w:rPr>
        <w:t>仅报告</w:t>
      </w:r>
      <w:proofErr w:type="gramEnd"/>
      <w:r w:rsidRPr="009C27ED">
        <w:rPr>
          <w:rFonts w:ascii="Times New Roman" w:hAnsi="Times New Roman" w:cs="Times New Roman"/>
          <w:sz w:val="21"/>
          <w:szCs w:val="21"/>
        </w:rPr>
        <w:t>最终</w:t>
      </w:r>
      <w:r w:rsidRPr="009C27ED">
        <w:rPr>
          <w:rFonts w:ascii="Times New Roman" w:hAnsi="Times New Roman" w:cs="Times New Roman"/>
          <w:sz w:val="21"/>
          <w:szCs w:val="21"/>
        </w:rPr>
        <w:t>MSC</w:t>
      </w:r>
      <w:r w:rsidRPr="009C27ED">
        <w:rPr>
          <w:rFonts w:ascii="Times New Roman" w:hAnsi="Times New Roman" w:cs="Times New Roman"/>
          <w:sz w:val="21"/>
          <w:szCs w:val="21"/>
        </w:rPr>
        <w:t>数值可能无法充分反映结果可靠性。因此，本标准通过规范检测报告内容，要求记录影响</w:t>
      </w:r>
      <w:r w:rsidRPr="009C27ED">
        <w:rPr>
          <w:rFonts w:ascii="Times New Roman" w:hAnsi="Times New Roman" w:cs="Times New Roman"/>
          <w:sz w:val="21"/>
          <w:szCs w:val="21"/>
        </w:rPr>
        <w:t>MSC</w:t>
      </w:r>
      <w:r w:rsidRPr="009C27ED">
        <w:rPr>
          <w:rFonts w:ascii="Times New Roman" w:hAnsi="Times New Roman" w:cs="Times New Roman"/>
          <w:sz w:val="21"/>
          <w:szCs w:val="21"/>
        </w:rPr>
        <w:t>结果判定的关键过程参数和质量控制信息，为不同样品间比较、检测结果复核以及后续环境风险评估提供依据。具体报告格式参见附录</w:t>
      </w:r>
      <w:r w:rsidRPr="009C27ED">
        <w:rPr>
          <w:rFonts w:ascii="Times New Roman" w:hAnsi="Times New Roman" w:cs="Times New Roman"/>
          <w:sz w:val="21"/>
          <w:szCs w:val="21"/>
        </w:rPr>
        <w:t>D</w:t>
      </w:r>
      <w:r w:rsidRPr="009C27ED">
        <w:rPr>
          <w:rFonts w:ascii="Times New Roman" w:hAnsi="Times New Roman" w:cs="Times New Roman"/>
          <w:sz w:val="21"/>
          <w:szCs w:val="21"/>
        </w:rPr>
        <w:t>。</w:t>
      </w:r>
    </w:p>
    <w:p w14:paraId="4FF6D907" w14:textId="111B8FB9" w:rsidR="00E9105D" w:rsidRPr="00BF5185" w:rsidRDefault="00DA1DEA" w:rsidP="003769B8">
      <w:pPr>
        <w:pStyle w:val="af3"/>
        <w:spacing w:line="440" w:lineRule="exact"/>
        <w:jc w:val="both"/>
        <w:rPr>
          <w:rFonts w:ascii="黑体" w:eastAsia="黑体" w:hAnsi="黑体"/>
          <w:b w:val="0"/>
          <w:sz w:val="21"/>
          <w:szCs w:val="21"/>
        </w:rPr>
      </w:pPr>
      <w:bookmarkStart w:id="26" w:name="_Toc73092823"/>
      <w:bookmarkStart w:id="27" w:name="_Toc234489932"/>
      <w:bookmarkEnd w:id="25"/>
      <w:r w:rsidRPr="00BF5185">
        <w:rPr>
          <w:rFonts w:ascii="黑体" w:eastAsia="黑体" w:hAnsi="黑体" w:hint="eastAsia"/>
          <w:b w:val="0"/>
          <w:sz w:val="21"/>
          <w:szCs w:val="21"/>
        </w:rPr>
        <w:t>4</w:t>
      </w:r>
      <w:r w:rsidRPr="00BF5185">
        <w:rPr>
          <w:rFonts w:ascii="黑体" w:eastAsia="黑体" w:hAnsi="黑体"/>
          <w:b w:val="0"/>
          <w:sz w:val="21"/>
          <w:szCs w:val="21"/>
        </w:rPr>
        <w:t xml:space="preserve"> </w:t>
      </w:r>
      <w:r w:rsidR="00E9105D" w:rsidRPr="00BF5185">
        <w:rPr>
          <w:rFonts w:ascii="黑体" w:eastAsia="黑体" w:hAnsi="黑体" w:hint="eastAsia"/>
          <w:b w:val="0"/>
          <w:sz w:val="21"/>
          <w:szCs w:val="21"/>
        </w:rPr>
        <w:t>与现行有关法律、法规和强制性标准的关系</w:t>
      </w:r>
      <w:bookmarkEnd w:id="26"/>
      <w:bookmarkEnd w:id="27"/>
    </w:p>
    <w:p w14:paraId="4BF0D18F" w14:textId="669EC23F" w:rsidR="00E9105D" w:rsidRPr="00BF5185" w:rsidRDefault="00E9105D" w:rsidP="003769B8">
      <w:pPr>
        <w:spacing w:line="440" w:lineRule="exact"/>
        <w:ind w:firstLineChars="200" w:firstLine="420"/>
        <w:rPr>
          <w:szCs w:val="21"/>
        </w:rPr>
      </w:pPr>
      <w:r w:rsidRPr="00BF5185">
        <w:rPr>
          <w:rFonts w:hint="eastAsia"/>
          <w:szCs w:val="21"/>
        </w:rPr>
        <w:t>本</w:t>
      </w:r>
      <w:r w:rsidR="00114508" w:rsidRPr="00BF5185">
        <w:rPr>
          <w:rFonts w:hint="eastAsia"/>
          <w:szCs w:val="21"/>
        </w:rPr>
        <w:t>文</w:t>
      </w:r>
      <w:r w:rsidRPr="00BF5185">
        <w:rPr>
          <w:rFonts w:hint="eastAsia"/>
          <w:szCs w:val="21"/>
        </w:rPr>
        <w:t>为</w:t>
      </w:r>
      <w:r w:rsidR="004C50A3" w:rsidRPr="00BF5185">
        <w:rPr>
          <w:rFonts w:hint="eastAsia"/>
          <w:szCs w:val="21"/>
        </w:rPr>
        <w:t>方法</w:t>
      </w:r>
      <w:r w:rsidRPr="00BF5185">
        <w:rPr>
          <w:rFonts w:hint="eastAsia"/>
          <w:szCs w:val="21"/>
        </w:rPr>
        <w:t>标准，标准内容与我国现行其他国家标准协调一致。</w:t>
      </w:r>
      <w:r w:rsidR="0059177A">
        <w:rPr>
          <w:rFonts w:hint="eastAsia"/>
          <w:szCs w:val="21"/>
        </w:rPr>
        <w:t>本指南与编制团队此前</w:t>
      </w:r>
      <w:r w:rsidR="0059177A">
        <w:rPr>
          <w:rFonts w:hint="eastAsia"/>
          <w:szCs w:val="21"/>
        </w:rPr>
        <w:lastRenderedPageBreak/>
        <w:t>编制的</w:t>
      </w:r>
      <w:r w:rsidR="0059177A" w:rsidRPr="00D034B3">
        <w:rPr>
          <w:szCs w:val="21"/>
        </w:rPr>
        <w:t>团体标准《水体中抗生素环境风险评估技术指南》（</w:t>
      </w:r>
      <w:r w:rsidR="0059177A" w:rsidRPr="00D034B3">
        <w:rPr>
          <w:szCs w:val="21"/>
        </w:rPr>
        <w:t>T/JSSES 39—2024</w:t>
      </w:r>
      <w:r w:rsidR="0059177A" w:rsidRPr="00D034B3">
        <w:rPr>
          <w:szCs w:val="21"/>
        </w:rPr>
        <w:t>）</w:t>
      </w:r>
      <w:r w:rsidR="0059177A">
        <w:rPr>
          <w:rFonts w:hint="eastAsia"/>
          <w:szCs w:val="21"/>
        </w:rPr>
        <w:t>的区别在于，本指南着重于</w:t>
      </w:r>
      <w:r w:rsidR="0059177A">
        <w:rPr>
          <w:rFonts w:hint="eastAsia"/>
          <w:szCs w:val="21"/>
        </w:rPr>
        <w:t>M</w:t>
      </w:r>
      <w:r w:rsidR="0059177A">
        <w:rPr>
          <w:szCs w:val="21"/>
        </w:rPr>
        <w:t>SC</w:t>
      </w:r>
      <w:r w:rsidR="0059177A">
        <w:rPr>
          <w:rFonts w:hint="eastAsia"/>
          <w:szCs w:val="21"/>
        </w:rPr>
        <w:t>的方法学，而后者侧重于对抗生素整体风险评估指南进行规定。</w:t>
      </w:r>
    </w:p>
    <w:p w14:paraId="70A449FE" w14:textId="77777777" w:rsidR="00E9105D" w:rsidRPr="00BF5185" w:rsidRDefault="00DA1DEA" w:rsidP="003769B8">
      <w:pPr>
        <w:pStyle w:val="af3"/>
        <w:spacing w:line="440" w:lineRule="exact"/>
        <w:jc w:val="both"/>
        <w:rPr>
          <w:rFonts w:ascii="黑体" w:eastAsia="黑体" w:hAnsi="黑体"/>
          <w:b w:val="0"/>
          <w:sz w:val="21"/>
          <w:szCs w:val="21"/>
        </w:rPr>
      </w:pPr>
      <w:bookmarkStart w:id="28" w:name="_Toc73092824"/>
      <w:bookmarkStart w:id="29" w:name="_Toc234489933"/>
      <w:r w:rsidRPr="00BF5185">
        <w:rPr>
          <w:rFonts w:ascii="黑体" w:eastAsia="黑体" w:hAnsi="黑体" w:hint="eastAsia"/>
          <w:b w:val="0"/>
          <w:sz w:val="21"/>
          <w:szCs w:val="21"/>
        </w:rPr>
        <w:t>5</w:t>
      </w:r>
      <w:r w:rsidRPr="00BF5185">
        <w:rPr>
          <w:rFonts w:ascii="黑体" w:eastAsia="黑体" w:hAnsi="黑体"/>
          <w:b w:val="0"/>
          <w:sz w:val="21"/>
          <w:szCs w:val="21"/>
        </w:rPr>
        <w:t xml:space="preserve"> </w:t>
      </w:r>
      <w:r w:rsidR="00E9105D" w:rsidRPr="00BF5185">
        <w:rPr>
          <w:rFonts w:ascii="黑体" w:eastAsia="黑体" w:hAnsi="黑体" w:hint="eastAsia"/>
          <w:b w:val="0"/>
          <w:sz w:val="21"/>
          <w:szCs w:val="21"/>
        </w:rPr>
        <w:t>重大分歧依据的处理经过和依据</w:t>
      </w:r>
      <w:bookmarkEnd w:id="28"/>
      <w:bookmarkEnd w:id="29"/>
    </w:p>
    <w:p w14:paraId="69B77674" w14:textId="77777777" w:rsidR="00E9105D" w:rsidRPr="00BF5185" w:rsidRDefault="00E9105D" w:rsidP="003769B8">
      <w:pPr>
        <w:spacing w:line="440" w:lineRule="exact"/>
        <w:ind w:firstLineChars="200" w:firstLine="420"/>
        <w:rPr>
          <w:szCs w:val="21"/>
        </w:rPr>
      </w:pPr>
      <w:r w:rsidRPr="00BF5185">
        <w:rPr>
          <w:szCs w:val="21"/>
        </w:rPr>
        <w:t>该</w:t>
      </w:r>
      <w:r w:rsidR="00114508" w:rsidRPr="00BF5185">
        <w:rPr>
          <w:rFonts w:hint="eastAsia"/>
          <w:szCs w:val="21"/>
        </w:rPr>
        <w:t>文本</w:t>
      </w:r>
      <w:r w:rsidRPr="00BF5185">
        <w:rPr>
          <w:szCs w:val="21"/>
        </w:rPr>
        <w:t>在目前阶段暂未产生重大分歧意见。</w:t>
      </w:r>
    </w:p>
    <w:p w14:paraId="3E48309C" w14:textId="77777777" w:rsidR="00E9105D" w:rsidRPr="00BF5185" w:rsidRDefault="00DA1DEA" w:rsidP="003769B8">
      <w:pPr>
        <w:pStyle w:val="af3"/>
        <w:spacing w:line="440" w:lineRule="exact"/>
        <w:jc w:val="both"/>
        <w:rPr>
          <w:rFonts w:ascii="黑体" w:eastAsia="黑体" w:hAnsi="黑体"/>
          <w:b w:val="0"/>
          <w:sz w:val="21"/>
          <w:szCs w:val="21"/>
        </w:rPr>
      </w:pPr>
      <w:bookmarkStart w:id="30" w:name="_Toc73092825"/>
      <w:bookmarkStart w:id="31" w:name="_Toc234489934"/>
      <w:r w:rsidRPr="00BF5185">
        <w:rPr>
          <w:rFonts w:ascii="黑体" w:eastAsia="黑体" w:hAnsi="黑体" w:hint="eastAsia"/>
          <w:b w:val="0"/>
          <w:sz w:val="21"/>
          <w:szCs w:val="21"/>
        </w:rPr>
        <w:t>6</w:t>
      </w:r>
      <w:r w:rsidRPr="00BF5185">
        <w:rPr>
          <w:rFonts w:ascii="黑体" w:eastAsia="黑体" w:hAnsi="黑体"/>
          <w:b w:val="0"/>
          <w:sz w:val="21"/>
          <w:szCs w:val="21"/>
        </w:rPr>
        <w:t xml:space="preserve"> </w:t>
      </w:r>
      <w:r w:rsidR="00E9105D" w:rsidRPr="00BF5185">
        <w:rPr>
          <w:rFonts w:ascii="黑体" w:eastAsia="黑体" w:hAnsi="黑体" w:hint="eastAsia"/>
          <w:b w:val="0"/>
          <w:sz w:val="21"/>
          <w:szCs w:val="21"/>
        </w:rPr>
        <w:t>标准实施的环境效益及经济技术分析</w:t>
      </w:r>
      <w:bookmarkEnd w:id="30"/>
      <w:bookmarkEnd w:id="31"/>
    </w:p>
    <w:p w14:paraId="7D70B17D" w14:textId="77777777" w:rsidR="007C65E8" w:rsidRPr="00B24B4D" w:rsidRDefault="007C65E8" w:rsidP="00B24B4D">
      <w:pPr>
        <w:pStyle w:val="pdq2pgselectionanchorcontainer"/>
        <w:spacing w:before="0" w:beforeAutospacing="0" w:after="0" w:afterAutospacing="0" w:line="360" w:lineRule="auto"/>
        <w:rPr>
          <w:sz w:val="21"/>
        </w:rPr>
      </w:pPr>
      <w:r w:rsidRPr="00B24B4D">
        <w:rPr>
          <w:sz w:val="21"/>
        </w:rPr>
        <w:t>（1）本标准建立了水体抗生素最小选择浓度（MSC）的标准化测定方法，将抗生素环境风险评价由传统的“化学污染物浓度评价”拓展至“微生物耐药选择风险评价”，可提升抗生素环境选择压力识别能力，为水环境抗生素污染防控和耐药性传播风险降低提供科学依据。</w:t>
      </w:r>
    </w:p>
    <w:p w14:paraId="6756028B" w14:textId="77777777" w:rsidR="007C65E8" w:rsidRPr="00B24B4D" w:rsidRDefault="007C65E8" w:rsidP="00B24B4D">
      <w:pPr>
        <w:pStyle w:val="aff1"/>
        <w:spacing w:before="0" w:beforeAutospacing="0" w:after="0" w:afterAutospacing="0" w:line="360" w:lineRule="auto"/>
        <w:rPr>
          <w:sz w:val="21"/>
        </w:rPr>
      </w:pPr>
      <w:r w:rsidRPr="00B24B4D">
        <w:rPr>
          <w:sz w:val="21"/>
        </w:rPr>
        <w:t>（2）本标准以环境微生物群落表型响应作为评价指标，提高了抗生素生态风险评估的环境相关性，可为抗生素污染精准管控、水生态安全保障及新污染物治理提供技术支撑，并服务于抗微生物耐药性（AMR）防控战略实施。</w:t>
      </w:r>
    </w:p>
    <w:p w14:paraId="701A3770" w14:textId="6A43A26B" w:rsidR="007C65E8" w:rsidRPr="00B24B4D" w:rsidRDefault="007C65E8" w:rsidP="00B24B4D">
      <w:pPr>
        <w:pStyle w:val="aff1"/>
        <w:spacing w:before="0" w:beforeAutospacing="0" w:after="0" w:afterAutospacing="0" w:line="360" w:lineRule="auto"/>
        <w:rPr>
          <w:sz w:val="21"/>
          <w:szCs w:val="21"/>
        </w:rPr>
      </w:pPr>
      <w:r w:rsidRPr="00B24B4D">
        <w:rPr>
          <w:sz w:val="21"/>
        </w:rPr>
        <w:t>（3）本标准检测流程基于常规微生物培养、平板计数及模型分析技术，所需仪器设备通用性较强，具有较好的经济性和推广应用价值。同时，通过规范样品处理、抗生素暴露、耐药率检测及MSC模型推导流程，可降低不同检测机构</w:t>
      </w:r>
      <w:proofErr w:type="gramStart"/>
      <w:r w:rsidRPr="00B24B4D">
        <w:rPr>
          <w:sz w:val="21"/>
        </w:rPr>
        <w:t>间方法</w:t>
      </w:r>
      <w:proofErr w:type="gramEnd"/>
      <w:r w:rsidRPr="00B24B4D">
        <w:rPr>
          <w:sz w:val="21"/>
        </w:rPr>
        <w:t>差异，提高检测结果的可比性、重复性和可靠性。</w:t>
      </w:r>
    </w:p>
    <w:p w14:paraId="560A6DEC" w14:textId="4685045D" w:rsidR="00730D1C" w:rsidRPr="00BF5185" w:rsidRDefault="00DA1DEA" w:rsidP="003769B8">
      <w:pPr>
        <w:pStyle w:val="af3"/>
        <w:spacing w:line="440" w:lineRule="exact"/>
        <w:jc w:val="both"/>
        <w:rPr>
          <w:rFonts w:ascii="黑体" w:eastAsia="黑体" w:hAnsi="黑体"/>
          <w:b w:val="0"/>
          <w:sz w:val="21"/>
          <w:szCs w:val="21"/>
        </w:rPr>
      </w:pPr>
      <w:bookmarkStart w:id="32" w:name="_Toc73350792"/>
      <w:bookmarkStart w:id="33" w:name="_Toc234489935"/>
      <w:r w:rsidRPr="00BF5185">
        <w:rPr>
          <w:rFonts w:ascii="黑体" w:eastAsia="黑体" w:hAnsi="黑体" w:hint="eastAsia"/>
          <w:b w:val="0"/>
          <w:sz w:val="21"/>
          <w:szCs w:val="21"/>
        </w:rPr>
        <w:t>7</w:t>
      </w:r>
      <w:r w:rsidRPr="00BF5185">
        <w:rPr>
          <w:rFonts w:ascii="黑体" w:eastAsia="黑体" w:hAnsi="黑体"/>
          <w:b w:val="0"/>
          <w:sz w:val="21"/>
          <w:szCs w:val="21"/>
        </w:rPr>
        <w:t xml:space="preserve"> </w:t>
      </w:r>
      <w:r w:rsidR="00730D1C" w:rsidRPr="00BF5185">
        <w:rPr>
          <w:rFonts w:ascii="黑体" w:eastAsia="黑体" w:hAnsi="黑体"/>
          <w:b w:val="0"/>
          <w:sz w:val="21"/>
          <w:szCs w:val="21"/>
        </w:rPr>
        <w:t>标准实施建议</w:t>
      </w:r>
      <w:bookmarkEnd w:id="32"/>
      <w:bookmarkEnd w:id="33"/>
      <w:r w:rsidR="00730D1C" w:rsidRPr="00BF5185">
        <w:rPr>
          <w:rFonts w:ascii="黑体" w:eastAsia="黑体" w:hAnsi="黑体"/>
          <w:b w:val="0"/>
          <w:sz w:val="21"/>
          <w:szCs w:val="21"/>
        </w:rPr>
        <w:t xml:space="preserve"> </w:t>
      </w:r>
    </w:p>
    <w:p w14:paraId="23A71A58" w14:textId="2CCC72D0" w:rsidR="00AC13D1" w:rsidRDefault="00AC13D1" w:rsidP="00B24B4D">
      <w:pPr>
        <w:pStyle w:val="pdq2pgselectionanchorcontainer"/>
        <w:spacing w:before="0" w:beforeAutospacing="0" w:after="0" w:afterAutospacing="0" w:line="360" w:lineRule="auto"/>
        <w:rPr>
          <w:sz w:val="21"/>
        </w:rPr>
      </w:pPr>
      <w:r w:rsidRPr="00B24B4D">
        <w:rPr>
          <w:sz w:val="21"/>
        </w:rPr>
        <w:t>（1）</w:t>
      </w:r>
      <w:r w:rsidRPr="00AC13D1">
        <w:rPr>
          <w:rFonts w:hint="eastAsia"/>
          <w:sz w:val="21"/>
        </w:rPr>
        <w:t>开展方法性能评价与多实验室比对验证。本标准目前主要基于实验室条件下的方法优化和典型水体样品验证建立，后续应进一步依据微生物检测方法性能评价相关要求，开展不同实验室、不同操作人员、不同批次实验条件下的方法验证和比对研究，系统评价方法的重复性、再现性、稳定性及适用范围，进一步完善MSC测定方法的性能评价体系。</w:t>
      </w:r>
    </w:p>
    <w:p w14:paraId="21B130A5" w14:textId="4AD6D07E" w:rsidR="007C65E8" w:rsidRPr="00B24B4D" w:rsidRDefault="007C65E8" w:rsidP="00B24B4D">
      <w:pPr>
        <w:pStyle w:val="pdq2pgselectionanchorcontainer"/>
        <w:spacing w:before="0" w:beforeAutospacing="0" w:after="0" w:afterAutospacing="0" w:line="360" w:lineRule="auto"/>
        <w:rPr>
          <w:sz w:val="21"/>
        </w:rPr>
      </w:pPr>
      <w:r w:rsidRPr="00B24B4D">
        <w:rPr>
          <w:sz w:val="21"/>
        </w:rPr>
        <w:t>（</w:t>
      </w:r>
      <w:r w:rsidR="00AC13D1">
        <w:rPr>
          <w:sz w:val="21"/>
        </w:rPr>
        <w:t>2</w:t>
      </w:r>
      <w:r w:rsidRPr="00B24B4D">
        <w:rPr>
          <w:sz w:val="21"/>
        </w:rPr>
        <w:t>）加强标准</w:t>
      </w:r>
      <w:proofErr w:type="gramStart"/>
      <w:r w:rsidRPr="00B24B4D">
        <w:rPr>
          <w:sz w:val="21"/>
        </w:rPr>
        <w:t>宣贯与技术</w:t>
      </w:r>
      <w:proofErr w:type="gramEnd"/>
      <w:r w:rsidRPr="00B24B4D">
        <w:rPr>
          <w:sz w:val="21"/>
        </w:rPr>
        <w:t>培训。建议通过学术交流、技术培训、专题研讨等形式，加强对本标准技术原理、检测流程和质量控制要求的宣传推广，提高相关科研机构、环境监测单位及污染防治管理部门对MSC评价方法的认识和应用能力。</w:t>
      </w:r>
    </w:p>
    <w:p w14:paraId="25A3F878" w14:textId="2067DE40" w:rsidR="007C65E8" w:rsidRPr="00B24B4D" w:rsidRDefault="007C65E8" w:rsidP="00B24B4D">
      <w:pPr>
        <w:pStyle w:val="aff1"/>
        <w:spacing w:before="0" w:beforeAutospacing="0" w:after="0" w:afterAutospacing="0" w:line="360" w:lineRule="auto"/>
        <w:rPr>
          <w:sz w:val="21"/>
        </w:rPr>
      </w:pPr>
      <w:r w:rsidRPr="00B24B4D">
        <w:rPr>
          <w:sz w:val="21"/>
        </w:rPr>
        <w:t>（</w:t>
      </w:r>
      <w:r w:rsidR="00AC13D1">
        <w:rPr>
          <w:sz w:val="21"/>
        </w:rPr>
        <w:t>3</w:t>
      </w:r>
      <w:r w:rsidRPr="00B24B4D">
        <w:rPr>
          <w:sz w:val="21"/>
        </w:rPr>
        <w:t>）推动标准应用示范与方法完善。建议结合典型流域、重点污染源及新污染物治理需求，开展基于本标准的抗生素环境风险评估应用示范，积累不同区域、不同水体类型的应用数据，进一步验证和完善方法体系。</w:t>
      </w:r>
    </w:p>
    <w:p w14:paraId="1E7FD4DC" w14:textId="25D20E04" w:rsidR="007C65E8" w:rsidRPr="00B24B4D" w:rsidRDefault="007C65E8" w:rsidP="00B24B4D">
      <w:pPr>
        <w:pStyle w:val="aff1"/>
        <w:spacing w:before="0" w:beforeAutospacing="0" w:after="0" w:afterAutospacing="0" w:line="360" w:lineRule="auto"/>
        <w:rPr>
          <w:sz w:val="21"/>
        </w:rPr>
      </w:pPr>
      <w:r w:rsidRPr="00B24B4D">
        <w:rPr>
          <w:sz w:val="21"/>
        </w:rPr>
        <w:t>（</w:t>
      </w:r>
      <w:r w:rsidR="00AC13D1">
        <w:rPr>
          <w:sz w:val="21"/>
        </w:rPr>
        <w:t>4</w:t>
      </w:r>
      <w:r w:rsidRPr="00B24B4D">
        <w:rPr>
          <w:sz w:val="21"/>
        </w:rPr>
        <w:t>）推动更高层级标准立项。建议在本标准实施和应用基础上，结合我国新污染物治理和抗微生物耐药性（AMR）防控需求，适时推动相关技术向行业标准、国家标准方向转化，提升我国抗生素环境风险评估技术规范化水平。</w:t>
      </w:r>
    </w:p>
    <w:p w14:paraId="5113786B" w14:textId="0A6361F2" w:rsidR="007D6754" w:rsidRPr="007C65E8" w:rsidRDefault="007D6754" w:rsidP="007C65E8">
      <w:pPr>
        <w:pStyle w:val="af8"/>
        <w:spacing w:line="440" w:lineRule="exact"/>
      </w:pPr>
    </w:p>
    <w:p w14:paraId="518E81B2" w14:textId="77777777" w:rsidR="007D6754" w:rsidRDefault="007D6754" w:rsidP="001613FC">
      <w:pPr>
        <w:pStyle w:val="af8"/>
        <w:spacing w:line="440" w:lineRule="exact"/>
      </w:pPr>
    </w:p>
    <w:p w14:paraId="3B873C7E" w14:textId="77777777" w:rsidR="007D6754" w:rsidRDefault="007D6754" w:rsidP="001613FC">
      <w:pPr>
        <w:pStyle w:val="af8"/>
        <w:spacing w:line="440" w:lineRule="exact"/>
      </w:pPr>
    </w:p>
    <w:p w14:paraId="4634EAEC" w14:textId="77777777" w:rsidR="007D6754" w:rsidRDefault="007D6754" w:rsidP="001613FC">
      <w:pPr>
        <w:pStyle w:val="af8"/>
        <w:spacing w:line="440" w:lineRule="exact"/>
      </w:pPr>
    </w:p>
    <w:p w14:paraId="322EFAE6" w14:textId="77777777" w:rsidR="007D6754" w:rsidRDefault="007D6754" w:rsidP="007D6754">
      <w:pPr>
        <w:jc w:val="center"/>
        <w:sectPr w:rsidR="007D6754" w:rsidSect="004B4B2B">
          <w:headerReference w:type="default" r:id="rId18"/>
          <w:footerReference w:type="default" r:id="rId19"/>
          <w:type w:val="continuous"/>
          <w:pgSz w:w="11910" w:h="16840"/>
          <w:pgMar w:top="1440" w:right="1800" w:bottom="1440" w:left="1800" w:header="1448" w:footer="1137" w:gutter="0"/>
          <w:pgNumType w:fmt="numberInDash"/>
          <w:cols w:space="720"/>
          <w:docGrid w:linePitch="286"/>
        </w:sectPr>
      </w:pPr>
    </w:p>
    <w:p w14:paraId="426C8B4A" w14:textId="26557237" w:rsidR="005D06F8" w:rsidRDefault="007D6754" w:rsidP="005D06F8">
      <w:pPr>
        <w:jc w:val="center"/>
        <w:outlineLvl w:val="0"/>
        <w:rPr>
          <w:rFonts w:ascii="黑体" w:eastAsia="黑体" w:hAnsi="黑体"/>
          <w:sz w:val="24"/>
        </w:rPr>
      </w:pPr>
      <w:bookmarkStart w:id="34" w:name="_Toc234489936"/>
      <w:r w:rsidRPr="00CE728D">
        <w:rPr>
          <w:rFonts w:ascii="黑体" w:eastAsia="黑体" w:hAnsi="黑体" w:hint="eastAsia"/>
          <w:sz w:val="24"/>
        </w:rPr>
        <w:lastRenderedPageBreak/>
        <w:t>附件一</w:t>
      </w:r>
      <w:bookmarkEnd w:id="34"/>
    </w:p>
    <w:p w14:paraId="5986F6B3" w14:textId="154096CE" w:rsidR="00EC41FD" w:rsidRDefault="007D6754" w:rsidP="00EC41FD">
      <w:pPr>
        <w:jc w:val="center"/>
        <w:rPr>
          <w:rFonts w:ascii="黑体" w:eastAsia="黑体" w:hAnsi="黑体" w:cs="宋体"/>
          <w:sz w:val="24"/>
        </w:rPr>
      </w:pPr>
      <w:r w:rsidRPr="00CE728D">
        <w:rPr>
          <w:rFonts w:ascii="黑体" w:eastAsia="黑体" w:hAnsi="黑体" w:cs="宋体" w:hint="eastAsia"/>
          <w:sz w:val="24"/>
        </w:rPr>
        <w:t>团体标准《</w:t>
      </w:r>
      <w:r w:rsidR="00EC41FD" w:rsidRPr="00EC41FD">
        <w:rPr>
          <w:rFonts w:ascii="黑体" w:eastAsia="黑体" w:hAnsi="黑体" w:cs="宋体" w:hint="eastAsia"/>
          <w:sz w:val="24"/>
        </w:rPr>
        <w:t xml:space="preserve">水体中抗生素环境风险评估 </w:t>
      </w:r>
      <w:r w:rsidR="0013496D">
        <w:rPr>
          <w:rFonts w:ascii="黑体" w:eastAsia="黑体" w:hAnsi="黑体" w:cs="宋体" w:hint="eastAsia"/>
          <w:sz w:val="24"/>
        </w:rPr>
        <w:t>最小选择浓度</w:t>
      </w:r>
      <w:r w:rsidR="00EC41FD" w:rsidRPr="00EC41FD">
        <w:rPr>
          <w:rFonts w:ascii="黑体" w:eastAsia="黑体" w:hAnsi="黑体" w:cs="宋体" w:hint="eastAsia"/>
          <w:sz w:val="24"/>
        </w:rPr>
        <w:t>(MSC)的测定 细菌群落耐药率法</w:t>
      </w:r>
      <w:r w:rsidRPr="00CE728D">
        <w:rPr>
          <w:rFonts w:ascii="黑体" w:eastAsia="黑体" w:hAnsi="黑体" w:cs="宋体" w:hint="eastAsia"/>
          <w:sz w:val="24"/>
        </w:rPr>
        <w:t>》（初稿）</w:t>
      </w:r>
    </w:p>
    <w:p w14:paraId="257EF5B7" w14:textId="043DFFB2" w:rsidR="007D6754" w:rsidRPr="00CE728D" w:rsidRDefault="007D6754" w:rsidP="00EC41FD">
      <w:pPr>
        <w:jc w:val="center"/>
        <w:rPr>
          <w:rFonts w:ascii="黑体" w:eastAsia="黑体" w:hAnsi="黑体" w:cs="宋体"/>
          <w:sz w:val="24"/>
        </w:rPr>
      </w:pPr>
      <w:r w:rsidRPr="00CE728D">
        <w:rPr>
          <w:rFonts w:ascii="黑体" w:eastAsia="黑体" w:hAnsi="黑体" w:cs="宋体" w:hint="eastAsia"/>
          <w:sz w:val="24"/>
        </w:rPr>
        <w:t>审查会专家意见汇总处理表</w:t>
      </w:r>
    </w:p>
    <w:p w14:paraId="12A525C1" w14:textId="77777777" w:rsidR="007D6754" w:rsidRDefault="007D6754" w:rsidP="007D6754">
      <w:pPr>
        <w:spacing w:line="400" w:lineRule="exact"/>
        <w:rPr>
          <w:rFonts w:ascii="方正小标宋_GBK" w:eastAsia="方正小标宋_GBK" w:hAnsi="方正小标宋_GBK" w:cs="方正小标宋_GBK"/>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259"/>
        <w:gridCol w:w="5101"/>
        <w:gridCol w:w="850"/>
        <w:gridCol w:w="3828"/>
      </w:tblGrid>
      <w:tr w:rsidR="007D6754" w:rsidRPr="00CE728D" w14:paraId="49335A0F" w14:textId="77777777" w:rsidTr="00CE728D">
        <w:trPr>
          <w:trHeight w:val="567"/>
          <w:jc w:val="center"/>
        </w:trPr>
        <w:tc>
          <w:tcPr>
            <w:tcW w:w="828" w:type="dxa"/>
            <w:vAlign w:val="center"/>
          </w:tcPr>
          <w:p w14:paraId="64A62066" w14:textId="77777777" w:rsidR="007D6754" w:rsidRPr="00CE728D" w:rsidRDefault="007D6754" w:rsidP="00CE728D">
            <w:pPr>
              <w:adjustRightInd w:val="0"/>
              <w:snapToGrid w:val="0"/>
              <w:jc w:val="center"/>
              <w:rPr>
                <w:rFonts w:ascii="宋体" w:hAnsi="宋体" w:cs="宋体"/>
                <w:b/>
                <w:bCs/>
                <w:szCs w:val="21"/>
              </w:rPr>
            </w:pPr>
            <w:r w:rsidRPr="00CE728D">
              <w:rPr>
                <w:rFonts w:ascii="宋体" w:hAnsi="宋体" w:cs="宋体" w:hint="eastAsia"/>
                <w:b/>
                <w:bCs/>
                <w:szCs w:val="21"/>
              </w:rPr>
              <w:t>序号</w:t>
            </w:r>
          </w:p>
        </w:tc>
        <w:tc>
          <w:tcPr>
            <w:tcW w:w="2259" w:type="dxa"/>
            <w:vAlign w:val="center"/>
          </w:tcPr>
          <w:p w14:paraId="5435C73D" w14:textId="77777777" w:rsidR="007D6754" w:rsidRPr="00CE728D" w:rsidRDefault="007D6754" w:rsidP="00CE728D">
            <w:pPr>
              <w:adjustRightInd w:val="0"/>
              <w:snapToGrid w:val="0"/>
              <w:jc w:val="center"/>
              <w:rPr>
                <w:rFonts w:ascii="宋体" w:hAnsi="宋体" w:cs="宋体"/>
                <w:b/>
                <w:bCs/>
                <w:szCs w:val="21"/>
              </w:rPr>
            </w:pPr>
            <w:proofErr w:type="gramStart"/>
            <w:r w:rsidRPr="00CE728D">
              <w:rPr>
                <w:rFonts w:ascii="宋体" w:hAnsi="宋体" w:cs="宋体" w:hint="eastAsia"/>
                <w:b/>
                <w:bCs/>
                <w:szCs w:val="21"/>
              </w:rPr>
              <w:t>章条号</w:t>
            </w:r>
            <w:proofErr w:type="gramEnd"/>
            <w:r w:rsidRPr="00CE728D">
              <w:rPr>
                <w:rFonts w:ascii="宋体" w:hAnsi="宋体" w:cs="宋体" w:hint="eastAsia"/>
                <w:b/>
                <w:bCs/>
                <w:szCs w:val="21"/>
              </w:rPr>
              <w:t xml:space="preserve">           </w:t>
            </w:r>
            <w:r w:rsidRPr="00CE728D">
              <w:rPr>
                <w:rFonts w:ascii="宋体" w:hAnsi="宋体" w:cs="宋体" w:hint="eastAsia"/>
                <w:szCs w:val="21"/>
              </w:rPr>
              <w:t>（按照条目顺序排列）</w:t>
            </w:r>
          </w:p>
        </w:tc>
        <w:tc>
          <w:tcPr>
            <w:tcW w:w="5101" w:type="dxa"/>
            <w:vAlign w:val="center"/>
          </w:tcPr>
          <w:p w14:paraId="2E29555D" w14:textId="77777777" w:rsidR="007D6754" w:rsidRPr="00CE728D" w:rsidRDefault="007D6754" w:rsidP="00CE728D">
            <w:pPr>
              <w:adjustRightInd w:val="0"/>
              <w:snapToGrid w:val="0"/>
              <w:jc w:val="center"/>
              <w:rPr>
                <w:rFonts w:ascii="宋体" w:hAnsi="宋体" w:cs="宋体"/>
                <w:b/>
                <w:bCs/>
                <w:szCs w:val="21"/>
              </w:rPr>
            </w:pPr>
            <w:r w:rsidRPr="00CE728D">
              <w:rPr>
                <w:rFonts w:ascii="宋体" w:hAnsi="宋体" w:cs="宋体" w:hint="eastAsia"/>
                <w:b/>
                <w:bCs/>
                <w:szCs w:val="21"/>
              </w:rPr>
              <w:t>意见内容</w:t>
            </w:r>
          </w:p>
        </w:tc>
        <w:tc>
          <w:tcPr>
            <w:tcW w:w="850" w:type="dxa"/>
            <w:vAlign w:val="center"/>
          </w:tcPr>
          <w:p w14:paraId="02BCA156" w14:textId="77777777" w:rsidR="007D6754" w:rsidRPr="00CE728D" w:rsidRDefault="007D6754" w:rsidP="00CE728D">
            <w:pPr>
              <w:adjustRightInd w:val="0"/>
              <w:snapToGrid w:val="0"/>
              <w:ind w:rightChars="36" w:right="76"/>
              <w:jc w:val="center"/>
              <w:rPr>
                <w:rFonts w:ascii="宋体" w:hAnsi="宋体" w:cs="宋体"/>
                <w:b/>
                <w:bCs/>
                <w:szCs w:val="21"/>
              </w:rPr>
            </w:pPr>
            <w:r w:rsidRPr="00CE728D">
              <w:rPr>
                <w:rFonts w:ascii="宋体" w:hAnsi="宋体" w:cs="宋体" w:hint="eastAsia"/>
                <w:b/>
                <w:bCs/>
                <w:szCs w:val="21"/>
              </w:rPr>
              <w:t>处理意见</w:t>
            </w:r>
          </w:p>
        </w:tc>
        <w:tc>
          <w:tcPr>
            <w:tcW w:w="3828" w:type="dxa"/>
            <w:vAlign w:val="center"/>
          </w:tcPr>
          <w:p w14:paraId="19861DD6" w14:textId="77777777" w:rsidR="007D6754" w:rsidRPr="00CE728D" w:rsidRDefault="007D6754" w:rsidP="00CE728D">
            <w:pPr>
              <w:adjustRightInd w:val="0"/>
              <w:snapToGrid w:val="0"/>
              <w:ind w:rightChars="36" w:right="76"/>
              <w:jc w:val="center"/>
              <w:rPr>
                <w:rFonts w:ascii="宋体" w:hAnsi="宋体" w:cs="宋体"/>
                <w:b/>
                <w:bCs/>
                <w:szCs w:val="21"/>
              </w:rPr>
            </w:pPr>
            <w:r w:rsidRPr="00CE728D">
              <w:rPr>
                <w:rFonts w:ascii="宋体" w:hAnsi="宋体" w:cs="宋体" w:hint="eastAsia"/>
                <w:b/>
                <w:bCs/>
                <w:szCs w:val="21"/>
              </w:rPr>
              <w:t>处理结果</w:t>
            </w:r>
          </w:p>
        </w:tc>
      </w:tr>
      <w:tr w:rsidR="007D6754" w:rsidRPr="00CE728D" w14:paraId="38FBFF2A" w14:textId="77777777" w:rsidTr="00CE728D">
        <w:trPr>
          <w:trHeight w:val="567"/>
          <w:jc w:val="center"/>
        </w:trPr>
        <w:tc>
          <w:tcPr>
            <w:tcW w:w="828" w:type="dxa"/>
            <w:vAlign w:val="center"/>
          </w:tcPr>
          <w:p w14:paraId="5212CE96" w14:textId="77777777" w:rsidR="007D6754" w:rsidRPr="00CE728D" w:rsidRDefault="007D6754" w:rsidP="00CE728D">
            <w:pPr>
              <w:adjustRightInd w:val="0"/>
              <w:snapToGrid w:val="0"/>
              <w:jc w:val="center"/>
              <w:rPr>
                <w:rFonts w:ascii="宋体" w:hAnsi="宋体" w:cs="宋体"/>
                <w:szCs w:val="21"/>
              </w:rPr>
            </w:pPr>
          </w:p>
        </w:tc>
        <w:tc>
          <w:tcPr>
            <w:tcW w:w="12038" w:type="dxa"/>
            <w:gridSpan w:val="4"/>
            <w:vAlign w:val="center"/>
          </w:tcPr>
          <w:p w14:paraId="368C21DD" w14:textId="263C3129" w:rsidR="007D6754" w:rsidRPr="00CE728D" w:rsidRDefault="007D6754" w:rsidP="00CE728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p>
        </w:tc>
      </w:tr>
      <w:tr w:rsidR="007D6754" w:rsidRPr="00CE728D" w14:paraId="3A148D12" w14:textId="77777777" w:rsidTr="00CE728D">
        <w:trPr>
          <w:trHeight w:val="567"/>
          <w:jc w:val="center"/>
        </w:trPr>
        <w:tc>
          <w:tcPr>
            <w:tcW w:w="828" w:type="dxa"/>
            <w:vAlign w:val="center"/>
          </w:tcPr>
          <w:p w14:paraId="3678CCF8" w14:textId="4FF4817B" w:rsidR="007D6754" w:rsidRPr="00CE728D" w:rsidRDefault="007D6754" w:rsidP="00CE728D">
            <w:pPr>
              <w:adjustRightInd w:val="0"/>
              <w:snapToGrid w:val="0"/>
              <w:jc w:val="center"/>
              <w:rPr>
                <w:rFonts w:ascii="宋体" w:hAnsi="宋体" w:cs="宋体"/>
                <w:szCs w:val="21"/>
              </w:rPr>
            </w:pPr>
          </w:p>
        </w:tc>
        <w:tc>
          <w:tcPr>
            <w:tcW w:w="2259" w:type="dxa"/>
            <w:vAlign w:val="center"/>
          </w:tcPr>
          <w:p w14:paraId="535C1059" w14:textId="408F2E6A" w:rsidR="007D6754" w:rsidRPr="00CE728D" w:rsidRDefault="007D6754" w:rsidP="00CE728D">
            <w:pPr>
              <w:adjustRightInd w:val="0"/>
              <w:snapToGrid w:val="0"/>
              <w:jc w:val="center"/>
              <w:rPr>
                <w:rFonts w:ascii="宋体" w:hAnsi="宋体" w:cs="宋体"/>
                <w:szCs w:val="21"/>
              </w:rPr>
            </w:pPr>
          </w:p>
        </w:tc>
        <w:tc>
          <w:tcPr>
            <w:tcW w:w="5101" w:type="dxa"/>
            <w:vAlign w:val="center"/>
          </w:tcPr>
          <w:p w14:paraId="0DEC0066" w14:textId="1EE48A02" w:rsidR="007D6754" w:rsidRPr="00CE728D" w:rsidRDefault="007D6754" w:rsidP="00CE728D">
            <w:pPr>
              <w:adjustRightInd w:val="0"/>
              <w:snapToGrid w:val="0"/>
              <w:jc w:val="center"/>
              <w:rPr>
                <w:rFonts w:ascii="宋体" w:hAnsi="宋体" w:cs="宋体"/>
                <w:szCs w:val="21"/>
              </w:rPr>
            </w:pPr>
          </w:p>
        </w:tc>
        <w:tc>
          <w:tcPr>
            <w:tcW w:w="850" w:type="dxa"/>
            <w:vAlign w:val="center"/>
          </w:tcPr>
          <w:p w14:paraId="31D80945" w14:textId="2FF9D81C" w:rsidR="007D6754" w:rsidRPr="00CE728D" w:rsidRDefault="007D6754" w:rsidP="00CE728D">
            <w:pPr>
              <w:adjustRightInd w:val="0"/>
              <w:snapToGrid w:val="0"/>
              <w:jc w:val="center"/>
              <w:rPr>
                <w:rFonts w:ascii="宋体" w:hAnsi="宋体" w:cs="宋体"/>
                <w:szCs w:val="21"/>
              </w:rPr>
            </w:pPr>
          </w:p>
        </w:tc>
        <w:tc>
          <w:tcPr>
            <w:tcW w:w="3828" w:type="dxa"/>
            <w:vAlign w:val="center"/>
          </w:tcPr>
          <w:p w14:paraId="47E86918" w14:textId="6DECC977" w:rsidR="007D6754" w:rsidRPr="00CE728D" w:rsidRDefault="007D6754" w:rsidP="00CE728D">
            <w:pPr>
              <w:adjustRightInd w:val="0"/>
              <w:snapToGrid w:val="0"/>
              <w:spacing w:line="300" w:lineRule="exact"/>
              <w:jc w:val="center"/>
              <w:rPr>
                <w:rFonts w:ascii="宋体" w:hAnsi="宋体" w:cs="宋体"/>
                <w:szCs w:val="21"/>
              </w:rPr>
            </w:pPr>
          </w:p>
        </w:tc>
      </w:tr>
      <w:tr w:rsidR="007D6754" w:rsidRPr="00CE728D" w14:paraId="74EBEF95" w14:textId="77777777" w:rsidTr="00CE728D">
        <w:trPr>
          <w:trHeight w:val="567"/>
          <w:jc w:val="center"/>
        </w:trPr>
        <w:tc>
          <w:tcPr>
            <w:tcW w:w="828" w:type="dxa"/>
            <w:vAlign w:val="center"/>
          </w:tcPr>
          <w:p w14:paraId="4174ACBA" w14:textId="47186264" w:rsidR="007D6754" w:rsidRPr="00CE728D" w:rsidRDefault="007D6754" w:rsidP="00CE728D">
            <w:pPr>
              <w:adjustRightInd w:val="0"/>
              <w:snapToGrid w:val="0"/>
              <w:jc w:val="center"/>
              <w:rPr>
                <w:rFonts w:ascii="宋体" w:hAnsi="宋体" w:cs="宋体"/>
                <w:szCs w:val="21"/>
              </w:rPr>
            </w:pPr>
          </w:p>
        </w:tc>
        <w:tc>
          <w:tcPr>
            <w:tcW w:w="2259" w:type="dxa"/>
            <w:vAlign w:val="center"/>
          </w:tcPr>
          <w:p w14:paraId="34133676" w14:textId="4B7448C4" w:rsidR="007D6754" w:rsidRPr="00CE728D" w:rsidRDefault="007D6754" w:rsidP="00CE728D">
            <w:pPr>
              <w:adjustRightInd w:val="0"/>
              <w:snapToGrid w:val="0"/>
              <w:jc w:val="center"/>
              <w:rPr>
                <w:rFonts w:ascii="宋体" w:hAnsi="宋体" w:cs="宋体"/>
                <w:szCs w:val="21"/>
              </w:rPr>
            </w:pPr>
          </w:p>
        </w:tc>
        <w:tc>
          <w:tcPr>
            <w:tcW w:w="5101" w:type="dxa"/>
            <w:vAlign w:val="center"/>
          </w:tcPr>
          <w:p w14:paraId="601D0D01" w14:textId="64DB485F" w:rsidR="007D6754" w:rsidRPr="00CE728D" w:rsidRDefault="007D6754" w:rsidP="00CE728D">
            <w:pPr>
              <w:adjustRightInd w:val="0"/>
              <w:snapToGrid w:val="0"/>
              <w:jc w:val="center"/>
              <w:rPr>
                <w:rFonts w:ascii="宋体" w:hAnsi="宋体" w:cs="宋体"/>
                <w:szCs w:val="21"/>
              </w:rPr>
            </w:pPr>
          </w:p>
        </w:tc>
        <w:tc>
          <w:tcPr>
            <w:tcW w:w="850" w:type="dxa"/>
            <w:vAlign w:val="center"/>
          </w:tcPr>
          <w:p w14:paraId="5588CBC9" w14:textId="262497AB" w:rsidR="007D6754" w:rsidRPr="00CE728D" w:rsidRDefault="007D6754" w:rsidP="00CE728D">
            <w:pPr>
              <w:adjustRightInd w:val="0"/>
              <w:snapToGrid w:val="0"/>
              <w:jc w:val="center"/>
              <w:rPr>
                <w:rFonts w:ascii="宋体" w:hAnsi="宋体" w:cs="宋体"/>
                <w:szCs w:val="21"/>
              </w:rPr>
            </w:pPr>
          </w:p>
        </w:tc>
        <w:tc>
          <w:tcPr>
            <w:tcW w:w="3828" w:type="dxa"/>
            <w:vAlign w:val="center"/>
          </w:tcPr>
          <w:p w14:paraId="7BFEB17C" w14:textId="721837E1" w:rsidR="007D6754" w:rsidRPr="00CE728D" w:rsidRDefault="007D6754" w:rsidP="00CE728D">
            <w:pPr>
              <w:adjustRightInd w:val="0"/>
              <w:snapToGrid w:val="0"/>
              <w:jc w:val="center"/>
              <w:rPr>
                <w:rFonts w:ascii="宋体" w:hAnsi="宋体" w:cs="宋体"/>
                <w:szCs w:val="21"/>
              </w:rPr>
            </w:pPr>
          </w:p>
        </w:tc>
      </w:tr>
      <w:tr w:rsidR="007D6754" w:rsidRPr="00CE728D" w14:paraId="2D64D66A" w14:textId="77777777" w:rsidTr="00CE728D">
        <w:trPr>
          <w:trHeight w:val="567"/>
          <w:jc w:val="center"/>
        </w:trPr>
        <w:tc>
          <w:tcPr>
            <w:tcW w:w="828" w:type="dxa"/>
            <w:vAlign w:val="center"/>
          </w:tcPr>
          <w:p w14:paraId="1A532BFB" w14:textId="6DDC9481" w:rsidR="007D6754" w:rsidRPr="00CE728D" w:rsidRDefault="007D6754" w:rsidP="00CE728D">
            <w:pPr>
              <w:adjustRightInd w:val="0"/>
              <w:snapToGrid w:val="0"/>
              <w:jc w:val="center"/>
              <w:rPr>
                <w:rFonts w:ascii="宋体" w:hAnsi="宋体" w:cs="宋体"/>
                <w:szCs w:val="21"/>
              </w:rPr>
            </w:pPr>
          </w:p>
        </w:tc>
        <w:tc>
          <w:tcPr>
            <w:tcW w:w="2259" w:type="dxa"/>
            <w:vAlign w:val="center"/>
          </w:tcPr>
          <w:p w14:paraId="03CAF19D" w14:textId="20761A53" w:rsidR="007D6754" w:rsidRPr="00CE728D" w:rsidRDefault="007D6754" w:rsidP="00CE728D">
            <w:pPr>
              <w:adjustRightInd w:val="0"/>
              <w:snapToGrid w:val="0"/>
              <w:jc w:val="center"/>
              <w:rPr>
                <w:rFonts w:ascii="宋体" w:hAnsi="宋体" w:cs="宋体"/>
                <w:szCs w:val="21"/>
              </w:rPr>
            </w:pPr>
          </w:p>
        </w:tc>
        <w:tc>
          <w:tcPr>
            <w:tcW w:w="5101" w:type="dxa"/>
            <w:vAlign w:val="center"/>
          </w:tcPr>
          <w:p w14:paraId="1BA3B4B5" w14:textId="00E65C78" w:rsidR="007D6754" w:rsidRPr="00CE728D" w:rsidRDefault="007D6754" w:rsidP="00CE728D">
            <w:pPr>
              <w:adjustRightInd w:val="0"/>
              <w:snapToGrid w:val="0"/>
              <w:jc w:val="center"/>
              <w:rPr>
                <w:rFonts w:ascii="宋体" w:hAnsi="宋体" w:cs="宋体"/>
                <w:szCs w:val="21"/>
              </w:rPr>
            </w:pPr>
          </w:p>
        </w:tc>
        <w:tc>
          <w:tcPr>
            <w:tcW w:w="850" w:type="dxa"/>
            <w:vAlign w:val="center"/>
          </w:tcPr>
          <w:p w14:paraId="72583EB8" w14:textId="06C64F8C" w:rsidR="007D6754" w:rsidRPr="00CE728D" w:rsidRDefault="007D6754" w:rsidP="00CE728D">
            <w:pPr>
              <w:adjustRightInd w:val="0"/>
              <w:snapToGrid w:val="0"/>
              <w:jc w:val="center"/>
              <w:rPr>
                <w:rFonts w:ascii="宋体" w:hAnsi="宋体" w:cs="宋体"/>
                <w:szCs w:val="21"/>
              </w:rPr>
            </w:pPr>
          </w:p>
        </w:tc>
        <w:tc>
          <w:tcPr>
            <w:tcW w:w="3828" w:type="dxa"/>
            <w:vAlign w:val="center"/>
          </w:tcPr>
          <w:p w14:paraId="3E6B172C" w14:textId="0D837258" w:rsidR="007D6754" w:rsidRPr="00CE728D" w:rsidRDefault="007D6754" w:rsidP="00CE728D">
            <w:pPr>
              <w:adjustRightInd w:val="0"/>
              <w:snapToGrid w:val="0"/>
              <w:jc w:val="center"/>
              <w:rPr>
                <w:rFonts w:ascii="宋体" w:hAnsi="宋体" w:cs="宋体"/>
                <w:szCs w:val="21"/>
              </w:rPr>
            </w:pPr>
          </w:p>
        </w:tc>
      </w:tr>
      <w:tr w:rsidR="007D6754" w:rsidRPr="00CE728D" w14:paraId="19158CA0" w14:textId="77777777" w:rsidTr="00CE728D">
        <w:trPr>
          <w:trHeight w:val="567"/>
          <w:jc w:val="center"/>
        </w:trPr>
        <w:tc>
          <w:tcPr>
            <w:tcW w:w="828" w:type="dxa"/>
            <w:vAlign w:val="center"/>
          </w:tcPr>
          <w:p w14:paraId="10827BC6" w14:textId="254866E8" w:rsidR="007D6754" w:rsidRPr="00CE728D" w:rsidRDefault="007D6754" w:rsidP="00CE728D">
            <w:pPr>
              <w:adjustRightInd w:val="0"/>
              <w:snapToGrid w:val="0"/>
              <w:jc w:val="center"/>
              <w:rPr>
                <w:rFonts w:ascii="宋体" w:hAnsi="宋体" w:cs="宋体"/>
                <w:szCs w:val="21"/>
              </w:rPr>
            </w:pPr>
          </w:p>
        </w:tc>
        <w:tc>
          <w:tcPr>
            <w:tcW w:w="2259" w:type="dxa"/>
            <w:vAlign w:val="center"/>
          </w:tcPr>
          <w:p w14:paraId="78D3178B" w14:textId="2A7D5591" w:rsidR="007D6754" w:rsidRPr="00CE728D" w:rsidRDefault="007D6754" w:rsidP="00CE728D">
            <w:pPr>
              <w:adjustRightInd w:val="0"/>
              <w:snapToGrid w:val="0"/>
              <w:jc w:val="center"/>
              <w:rPr>
                <w:rFonts w:ascii="宋体" w:hAnsi="宋体" w:cs="宋体"/>
                <w:szCs w:val="21"/>
              </w:rPr>
            </w:pPr>
          </w:p>
        </w:tc>
        <w:tc>
          <w:tcPr>
            <w:tcW w:w="5101" w:type="dxa"/>
            <w:vAlign w:val="center"/>
          </w:tcPr>
          <w:p w14:paraId="553B2DAD" w14:textId="1DD90ABA" w:rsidR="007D6754" w:rsidRPr="00CE728D" w:rsidRDefault="007D6754" w:rsidP="00CE728D">
            <w:pPr>
              <w:adjustRightInd w:val="0"/>
              <w:snapToGrid w:val="0"/>
              <w:jc w:val="center"/>
              <w:rPr>
                <w:rFonts w:ascii="宋体" w:hAnsi="宋体" w:cs="宋体"/>
                <w:szCs w:val="21"/>
              </w:rPr>
            </w:pPr>
          </w:p>
        </w:tc>
        <w:tc>
          <w:tcPr>
            <w:tcW w:w="850" w:type="dxa"/>
            <w:vAlign w:val="center"/>
          </w:tcPr>
          <w:p w14:paraId="5A541B31" w14:textId="4635ED2F" w:rsidR="007D6754" w:rsidRPr="00CE728D" w:rsidRDefault="007D6754" w:rsidP="00CE728D">
            <w:pPr>
              <w:adjustRightInd w:val="0"/>
              <w:snapToGrid w:val="0"/>
              <w:jc w:val="center"/>
              <w:rPr>
                <w:rFonts w:ascii="宋体" w:hAnsi="宋体" w:cs="宋体"/>
                <w:szCs w:val="21"/>
              </w:rPr>
            </w:pPr>
          </w:p>
        </w:tc>
        <w:tc>
          <w:tcPr>
            <w:tcW w:w="3828" w:type="dxa"/>
            <w:vAlign w:val="center"/>
          </w:tcPr>
          <w:p w14:paraId="67A3FC5E" w14:textId="423A009A" w:rsidR="007D6754" w:rsidRPr="00CE728D" w:rsidRDefault="007D6754" w:rsidP="00CE728D">
            <w:pPr>
              <w:adjustRightInd w:val="0"/>
              <w:snapToGrid w:val="0"/>
              <w:jc w:val="center"/>
              <w:rPr>
                <w:rFonts w:ascii="宋体" w:hAnsi="宋体" w:cs="宋体"/>
                <w:szCs w:val="21"/>
              </w:rPr>
            </w:pPr>
          </w:p>
        </w:tc>
      </w:tr>
      <w:tr w:rsidR="007D6754" w:rsidRPr="00CE728D" w14:paraId="32A62A06" w14:textId="77777777" w:rsidTr="00CE728D">
        <w:trPr>
          <w:trHeight w:val="567"/>
          <w:jc w:val="center"/>
        </w:trPr>
        <w:tc>
          <w:tcPr>
            <w:tcW w:w="828" w:type="dxa"/>
            <w:vAlign w:val="center"/>
          </w:tcPr>
          <w:p w14:paraId="6AC08DDF" w14:textId="5590B973" w:rsidR="007D6754" w:rsidRPr="00CE728D" w:rsidRDefault="007D6754" w:rsidP="00CE728D">
            <w:pPr>
              <w:adjustRightInd w:val="0"/>
              <w:snapToGrid w:val="0"/>
              <w:jc w:val="center"/>
              <w:rPr>
                <w:rFonts w:ascii="宋体" w:hAnsi="宋体" w:cs="宋体"/>
                <w:szCs w:val="21"/>
              </w:rPr>
            </w:pPr>
          </w:p>
        </w:tc>
        <w:tc>
          <w:tcPr>
            <w:tcW w:w="2259" w:type="dxa"/>
            <w:vAlign w:val="center"/>
          </w:tcPr>
          <w:p w14:paraId="780F833E" w14:textId="7DC04E81" w:rsidR="007D6754" w:rsidRPr="00CE728D" w:rsidRDefault="007D6754" w:rsidP="00CE728D">
            <w:pPr>
              <w:adjustRightInd w:val="0"/>
              <w:snapToGrid w:val="0"/>
              <w:jc w:val="center"/>
              <w:rPr>
                <w:rFonts w:ascii="宋体" w:hAnsi="宋体" w:cs="宋体"/>
                <w:szCs w:val="21"/>
              </w:rPr>
            </w:pPr>
          </w:p>
        </w:tc>
        <w:tc>
          <w:tcPr>
            <w:tcW w:w="5101" w:type="dxa"/>
            <w:vAlign w:val="center"/>
          </w:tcPr>
          <w:p w14:paraId="062ADC8F" w14:textId="35118FA4" w:rsidR="007D6754" w:rsidRPr="00CE728D" w:rsidRDefault="007D6754" w:rsidP="00CE728D">
            <w:pPr>
              <w:adjustRightInd w:val="0"/>
              <w:snapToGrid w:val="0"/>
              <w:jc w:val="center"/>
              <w:rPr>
                <w:rFonts w:ascii="宋体" w:hAnsi="宋体" w:cs="宋体"/>
                <w:szCs w:val="21"/>
              </w:rPr>
            </w:pPr>
          </w:p>
        </w:tc>
        <w:tc>
          <w:tcPr>
            <w:tcW w:w="850" w:type="dxa"/>
            <w:vAlign w:val="center"/>
          </w:tcPr>
          <w:p w14:paraId="355C1751" w14:textId="5C549CD5" w:rsidR="007D6754" w:rsidRPr="00CE728D" w:rsidRDefault="007D6754" w:rsidP="00CE728D">
            <w:pPr>
              <w:adjustRightInd w:val="0"/>
              <w:snapToGrid w:val="0"/>
              <w:jc w:val="center"/>
              <w:rPr>
                <w:rFonts w:ascii="宋体" w:hAnsi="宋体" w:cs="宋体"/>
                <w:szCs w:val="21"/>
              </w:rPr>
            </w:pPr>
          </w:p>
        </w:tc>
        <w:tc>
          <w:tcPr>
            <w:tcW w:w="3828" w:type="dxa"/>
            <w:vAlign w:val="center"/>
          </w:tcPr>
          <w:p w14:paraId="28F74F33" w14:textId="65A093D7" w:rsidR="007D6754" w:rsidRPr="00CE728D" w:rsidRDefault="007D6754" w:rsidP="00CE728D">
            <w:pPr>
              <w:adjustRightInd w:val="0"/>
              <w:snapToGrid w:val="0"/>
              <w:jc w:val="center"/>
              <w:rPr>
                <w:rFonts w:ascii="宋体" w:hAnsi="宋体" w:cs="宋体"/>
                <w:szCs w:val="21"/>
              </w:rPr>
            </w:pPr>
          </w:p>
        </w:tc>
      </w:tr>
      <w:tr w:rsidR="007D6754" w:rsidRPr="00CE728D" w14:paraId="16118B3D" w14:textId="77777777" w:rsidTr="00CE728D">
        <w:trPr>
          <w:trHeight w:val="567"/>
          <w:jc w:val="center"/>
        </w:trPr>
        <w:tc>
          <w:tcPr>
            <w:tcW w:w="828" w:type="dxa"/>
            <w:vAlign w:val="center"/>
          </w:tcPr>
          <w:p w14:paraId="2BA7017F" w14:textId="3BCEB505" w:rsidR="007D6754" w:rsidRPr="00CE728D" w:rsidRDefault="007D6754" w:rsidP="00CE728D">
            <w:pPr>
              <w:adjustRightInd w:val="0"/>
              <w:snapToGrid w:val="0"/>
              <w:jc w:val="center"/>
              <w:rPr>
                <w:rFonts w:ascii="宋体" w:hAnsi="宋体" w:cs="宋体"/>
                <w:szCs w:val="21"/>
              </w:rPr>
            </w:pPr>
          </w:p>
        </w:tc>
        <w:tc>
          <w:tcPr>
            <w:tcW w:w="2259" w:type="dxa"/>
            <w:vAlign w:val="center"/>
          </w:tcPr>
          <w:p w14:paraId="40F12C65" w14:textId="2ED1A5B4" w:rsidR="007D6754" w:rsidRPr="00CE728D" w:rsidRDefault="007D6754" w:rsidP="00CE728D">
            <w:pPr>
              <w:adjustRightInd w:val="0"/>
              <w:snapToGrid w:val="0"/>
              <w:jc w:val="center"/>
              <w:rPr>
                <w:rFonts w:ascii="宋体" w:hAnsi="宋体" w:cs="宋体"/>
                <w:szCs w:val="21"/>
              </w:rPr>
            </w:pPr>
          </w:p>
        </w:tc>
        <w:tc>
          <w:tcPr>
            <w:tcW w:w="5101" w:type="dxa"/>
            <w:vAlign w:val="center"/>
          </w:tcPr>
          <w:p w14:paraId="7F40EE90" w14:textId="3A2B6BC1" w:rsidR="007D6754" w:rsidRPr="00CE728D" w:rsidRDefault="007D6754" w:rsidP="00CE728D">
            <w:pPr>
              <w:adjustRightInd w:val="0"/>
              <w:snapToGrid w:val="0"/>
              <w:jc w:val="center"/>
              <w:rPr>
                <w:rFonts w:ascii="宋体" w:hAnsi="宋体" w:cs="宋体"/>
                <w:szCs w:val="21"/>
              </w:rPr>
            </w:pPr>
          </w:p>
        </w:tc>
        <w:tc>
          <w:tcPr>
            <w:tcW w:w="850" w:type="dxa"/>
            <w:vAlign w:val="center"/>
          </w:tcPr>
          <w:p w14:paraId="790CFC46" w14:textId="7E37B519" w:rsidR="007D6754" w:rsidRPr="00CE728D" w:rsidRDefault="007D6754" w:rsidP="00CE728D">
            <w:pPr>
              <w:adjustRightInd w:val="0"/>
              <w:snapToGrid w:val="0"/>
              <w:jc w:val="center"/>
              <w:rPr>
                <w:rFonts w:ascii="宋体" w:hAnsi="宋体" w:cs="宋体"/>
                <w:szCs w:val="21"/>
              </w:rPr>
            </w:pPr>
          </w:p>
        </w:tc>
        <w:tc>
          <w:tcPr>
            <w:tcW w:w="3828" w:type="dxa"/>
            <w:vAlign w:val="center"/>
          </w:tcPr>
          <w:p w14:paraId="02371447" w14:textId="2C276418" w:rsidR="007D6754" w:rsidRPr="00CE728D" w:rsidRDefault="007D6754" w:rsidP="00CE728D">
            <w:pPr>
              <w:adjustRightInd w:val="0"/>
              <w:snapToGrid w:val="0"/>
              <w:jc w:val="center"/>
              <w:rPr>
                <w:rFonts w:ascii="宋体" w:hAnsi="宋体" w:cs="宋体"/>
                <w:szCs w:val="21"/>
              </w:rPr>
            </w:pPr>
          </w:p>
        </w:tc>
      </w:tr>
      <w:tr w:rsidR="007D6754" w:rsidRPr="00CE728D" w14:paraId="5815E749" w14:textId="77777777" w:rsidTr="00CE728D">
        <w:trPr>
          <w:trHeight w:val="567"/>
          <w:jc w:val="center"/>
        </w:trPr>
        <w:tc>
          <w:tcPr>
            <w:tcW w:w="828" w:type="dxa"/>
            <w:vAlign w:val="center"/>
          </w:tcPr>
          <w:p w14:paraId="3A17536B" w14:textId="05E5E59F" w:rsidR="007D6754" w:rsidRPr="00CE728D" w:rsidRDefault="007D6754" w:rsidP="00CE728D">
            <w:pPr>
              <w:adjustRightInd w:val="0"/>
              <w:snapToGrid w:val="0"/>
              <w:jc w:val="center"/>
              <w:rPr>
                <w:rFonts w:ascii="宋体" w:hAnsi="宋体" w:cs="宋体"/>
                <w:szCs w:val="21"/>
              </w:rPr>
            </w:pPr>
          </w:p>
        </w:tc>
        <w:tc>
          <w:tcPr>
            <w:tcW w:w="2259" w:type="dxa"/>
            <w:vAlign w:val="center"/>
          </w:tcPr>
          <w:p w14:paraId="2BE7F974" w14:textId="106B77F7" w:rsidR="007D6754" w:rsidRPr="00CE728D" w:rsidRDefault="007D6754" w:rsidP="00CE728D">
            <w:pPr>
              <w:adjustRightInd w:val="0"/>
              <w:snapToGrid w:val="0"/>
              <w:jc w:val="center"/>
              <w:rPr>
                <w:rFonts w:ascii="宋体" w:hAnsi="宋体" w:cs="宋体"/>
                <w:szCs w:val="21"/>
              </w:rPr>
            </w:pPr>
          </w:p>
        </w:tc>
        <w:tc>
          <w:tcPr>
            <w:tcW w:w="5101" w:type="dxa"/>
            <w:vAlign w:val="center"/>
          </w:tcPr>
          <w:p w14:paraId="7D5998D9" w14:textId="6DA28F97" w:rsidR="007D6754" w:rsidRPr="00CE728D" w:rsidRDefault="007D6754" w:rsidP="00CE728D">
            <w:pPr>
              <w:adjustRightInd w:val="0"/>
              <w:snapToGrid w:val="0"/>
              <w:jc w:val="center"/>
              <w:rPr>
                <w:rFonts w:ascii="宋体" w:hAnsi="宋体" w:cs="宋体"/>
                <w:szCs w:val="21"/>
              </w:rPr>
            </w:pPr>
          </w:p>
        </w:tc>
        <w:tc>
          <w:tcPr>
            <w:tcW w:w="850" w:type="dxa"/>
            <w:vAlign w:val="center"/>
          </w:tcPr>
          <w:p w14:paraId="7149C87F" w14:textId="0F3B3666" w:rsidR="007D6754" w:rsidRPr="00CE728D" w:rsidRDefault="007D6754" w:rsidP="00CE728D">
            <w:pPr>
              <w:adjustRightInd w:val="0"/>
              <w:snapToGrid w:val="0"/>
              <w:jc w:val="center"/>
              <w:rPr>
                <w:rFonts w:ascii="宋体" w:hAnsi="宋体" w:cs="宋体"/>
                <w:szCs w:val="21"/>
              </w:rPr>
            </w:pPr>
          </w:p>
        </w:tc>
        <w:tc>
          <w:tcPr>
            <w:tcW w:w="3828" w:type="dxa"/>
            <w:vAlign w:val="center"/>
          </w:tcPr>
          <w:p w14:paraId="369DA028" w14:textId="0403575D" w:rsidR="007D6754" w:rsidRPr="00CE728D" w:rsidRDefault="007D6754" w:rsidP="00CE728D">
            <w:pPr>
              <w:adjustRightInd w:val="0"/>
              <w:snapToGrid w:val="0"/>
              <w:jc w:val="center"/>
              <w:rPr>
                <w:rFonts w:ascii="宋体" w:hAnsi="宋体" w:cs="宋体"/>
                <w:szCs w:val="21"/>
              </w:rPr>
            </w:pPr>
          </w:p>
        </w:tc>
      </w:tr>
      <w:tr w:rsidR="007D6754" w:rsidRPr="00CE728D" w14:paraId="3EA8362E" w14:textId="77777777" w:rsidTr="00CE728D">
        <w:trPr>
          <w:trHeight w:val="567"/>
          <w:jc w:val="center"/>
        </w:trPr>
        <w:tc>
          <w:tcPr>
            <w:tcW w:w="828" w:type="dxa"/>
            <w:vAlign w:val="center"/>
          </w:tcPr>
          <w:p w14:paraId="5B56C3AB" w14:textId="430633CA" w:rsidR="007D6754" w:rsidRPr="00CE728D" w:rsidRDefault="007D6754" w:rsidP="00CE728D">
            <w:pPr>
              <w:adjustRightInd w:val="0"/>
              <w:snapToGrid w:val="0"/>
              <w:jc w:val="center"/>
              <w:rPr>
                <w:rFonts w:ascii="宋体" w:hAnsi="宋体" w:cs="宋体"/>
                <w:szCs w:val="21"/>
              </w:rPr>
            </w:pPr>
          </w:p>
        </w:tc>
        <w:tc>
          <w:tcPr>
            <w:tcW w:w="2259" w:type="dxa"/>
            <w:vAlign w:val="center"/>
          </w:tcPr>
          <w:p w14:paraId="2A9D6365" w14:textId="751508F9" w:rsidR="007D6754" w:rsidRPr="00CE728D" w:rsidRDefault="007D6754" w:rsidP="00CE728D">
            <w:pPr>
              <w:adjustRightInd w:val="0"/>
              <w:snapToGrid w:val="0"/>
              <w:jc w:val="center"/>
              <w:rPr>
                <w:rFonts w:ascii="宋体" w:hAnsi="宋体" w:cs="宋体"/>
                <w:szCs w:val="21"/>
              </w:rPr>
            </w:pPr>
          </w:p>
        </w:tc>
        <w:tc>
          <w:tcPr>
            <w:tcW w:w="5101" w:type="dxa"/>
            <w:vAlign w:val="center"/>
          </w:tcPr>
          <w:p w14:paraId="72FADF39" w14:textId="0C7EBC93" w:rsidR="007D6754" w:rsidRPr="00CE728D" w:rsidRDefault="007D6754" w:rsidP="00CE728D">
            <w:pPr>
              <w:adjustRightInd w:val="0"/>
              <w:snapToGrid w:val="0"/>
              <w:jc w:val="center"/>
              <w:rPr>
                <w:rFonts w:ascii="宋体" w:hAnsi="宋体" w:cs="宋体"/>
                <w:szCs w:val="21"/>
              </w:rPr>
            </w:pPr>
          </w:p>
        </w:tc>
        <w:tc>
          <w:tcPr>
            <w:tcW w:w="850" w:type="dxa"/>
            <w:vAlign w:val="center"/>
          </w:tcPr>
          <w:p w14:paraId="1D527D21" w14:textId="1B865BDC" w:rsidR="007D6754" w:rsidRPr="00CE728D" w:rsidRDefault="007D6754" w:rsidP="00CE728D">
            <w:pPr>
              <w:adjustRightInd w:val="0"/>
              <w:snapToGrid w:val="0"/>
              <w:jc w:val="center"/>
              <w:rPr>
                <w:rFonts w:ascii="宋体" w:hAnsi="宋体" w:cs="宋体"/>
                <w:szCs w:val="21"/>
              </w:rPr>
            </w:pPr>
          </w:p>
        </w:tc>
        <w:tc>
          <w:tcPr>
            <w:tcW w:w="3828" w:type="dxa"/>
            <w:vAlign w:val="center"/>
          </w:tcPr>
          <w:p w14:paraId="0097125D" w14:textId="5FA6C2A7" w:rsidR="007D6754" w:rsidRPr="00CE728D" w:rsidRDefault="007D6754" w:rsidP="00CE728D">
            <w:pPr>
              <w:adjustRightInd w:val="0"/>
              <w:snapToGrid w:val="0"/>
              <w:jc w:val="center"/>
              <w:rPr>
                <w:rFonts w:ascii="宋体" w:hAnsi="宋体" w:cs="宋体"/>
                <w:szCs w:val="21"/>
              </w:rPr>
            </w:pPr>
          </w:p>
        </w:tc>
      </w:tr>
      <w:tr w:rsidR="007D6754" w:rsidRPr="00CE728D" w14:paraId="039DCD80" w14:textId="77777777" w:rsidTr="00CE728D">
        <w:trPr>
          <w:trHeight w:val="567"/>
          <w:jc w:val="center"/>
        </w:trPr>
        <w:tc>
          <w:tcPr>
            <w:tcW w:w="828" w:type="dxa"/>
            <w:vAlign w:val="center"/>
          </w:tcPr>
          <w:p w14:paraId="5633459F" w14:textId="12E33749" w:rsidR="007D6754" w:rsidRPr="00CE728D" w:rsidRDefault="007D6754" w:rsidP="00CE728D">
            <w:pPr>
              <w:adjustRightInd w:val="0"/>
              <w:snapToGrid w:val="0"/>
              <w:jc w:val="center"/>
              <w:rPr>
                <w:rFonts w:ascii="宋体" w:hAnsi="宋体" w:cs="宋体"/>
                <w:szCs w:val="21"/>
              </w:rPr>
            </w:pPr>
          </w:p>
        </w:tc>
        <w:tc>
          <w:tcPr>
            <w:tcW w:w="2259" w:type="dxa"/>
            <w:vAlign w:val="center"/>
          </w:tcPr>
          <w:p w14:paraId="0802D1F0" w14:textId="72968117" w:rsidR="007D6754" w:rsidRPr="00CE728D" w:rsidRDefault="007D6754" w:rsidP="00CE728D">
            <w:pPr>
              <w:adjustRightInd w:val="0"/>
              <w:snapToGrid w:val="0"/>
              <w:jc w:val="center"/>
              <w:rPr>
                <w:rFonts w:ascii="宋体" w:hAnsi="宋体" w:cs="宋体"/>
                <w:szCs w:val="21"/>
              </w:rPr>
            </w:pPr>
          </w:p>
        </w:tc>
        <w:tc>
          <w:tcPr>
            <w:tcW w:w="5101" w:type="dxa"/>
            <w:vAlign w:val="center"/>
          </w:tcPr>
          <w:p w14:paraId="6F3C8A40" w14:textId="2707D581" w:rsidR="007D6754" w:rsidRPr="00CE728D" w:rsidRDefault="007D6754" w:rsidP="00CE728D">
            <w:pPr>
              <w:adjustRightInd w:val="0"/>
              <w:snapToGrid w:val="0"/>
              <w:jc w:val="center"/>
              <w:rPr>
                <w:rFonts w:ascii="宋体" w:hAnsi="宋体" w:cs="宋体"/>
                <w:szCs w:val="21"/>
              </w:rPr>
            </w:pPr>
          </w:p>
        </w:tc>
        <w:tc>
          <w:tcPr>
            <w:tcW w:w="850" w:type="dxa"/>
            <w:vAlign w:val="center"/>
          </w:tcPr>
          <w:p w14:paraId="00909D95" w14:textId="20C7AB6A" w:rsidR="007D6754" w:rsidRPr="00CE728D" w:rsidRDefault="007D6754" w:rsidP="00CE728D">
            <w:pPr>
              <w:adjustRightInd w:val="0"/>
              <w:snapToGrid w:val="0"/>
              <w:jc w:val="center"/>
              <w:rPr>
                <w:rFonts w:ascii="宋体" w:hAnsi="宋体" w:cs="宋体"/>
                <w:szCs w:val="21"/>
              </w:rPr>
            </w:pPr>
          </w:p>
        </w:tc>
        <w:tc>
          <w:tcPr>
            <w:tcW w:w="3828" w:type="dxa"/>
            <w:vAlign w:val="center"/>
          </w:tcPr>
          <w:p w14:paraId="46FA18FF" w14:textId="5FFDA59F" w:rsidR="007D6754" w:rsidRPr="00CE728D" w:rsidRDefault="007D6754" w:rsidP="00CE728D">
            <w:pPr>
              <w:adjustRightInd w:val="0"/>
              <w:snapToGrid w:val="0"/>
              <w:jc w:val="center"/>
              <w:rPr>
                <w:rFonts w:ascii="宋体" w:hAnsi="宋体" w:cs="宋体"/>
                <w:szCs w:val="21"/>
              </w:rPr>
            </w:pPr>
          </w:p>
        </w:tc>
      </w:tr>
      <w:tr w:rsidR="007D6754" w:rsidRPr="00CE728D" w14:paraId="140D0333" w14:textId="77777777" w:rsidTr="00CE728D">
        <w:trPr>
          <w:trHeight w:val="567"/>
          <w:jc w:val="center"/>
        </w:trPr>
        <w:tc>
          <w:tcPr>
            <w:tcW w:w="828" w:type="dxa"/>
            <w:vAlign w:val="center"/>
          </w:tcPr>
          <w:p w14:paraId="57E164CA" w14:textId="0F9FCA14" w:rsidR="007D6754" w:rsidRPr="00CE728D" w:rsidRDefault="007D6754" w:rsidP="00CE728D">
            <w:pPr>
              <w:adjustRightInd w:val="0"/>
              <w:snapToGrid w:val="0"/>
              <w:jc w:val="center"/>
              <w:rPr>
                <w:rFonts w:ascii="宋体" w:hAnsi="宋体" w:cs="宋体"/>
                <w:szCs w:val="21"/>
              </w:rPr>
            </w:pPr>
          </w:p>
        </w:tc>
        <w:tc>
          <w:tcPr>
            <w:tcW w:w="2259" w:type="dxa"/>
            <w:vAlign w:val="center"/>
          </w:tcPr>
          <w:p w14:paraId="7CE4898C" w14:textId="42068818" w:rsidR="007D6754" w:rsidRPr="00CE728D" w:rsidRDefault="007D6754" w:rsidP="00CE728D">
            <w:pPr>
              <w:adjustRightInd w:val="0"/>
              <w:snapToGrid w:val="0"/>
              <w:jc w:val="center"/>
              <w:rPr>
                <w:rFonts w:ascii="宋体" w:hAnsi="宋体" w:cs="宋体"/>
                <w:szCs w:val="21"/>
              </w:rPr>
            </w:pPr>
          </w:p>
        </w:tc>
        <w:tc>
          <w:tcPr>
            <w:tcW w:w="5101" w:type="dxa"/>
            <w:vAlign w:val="center"/>
          </w:tcPr>
          <w:p w14:paraId="667DBCD6" w14:textId="53536996" w:rsidR="007D6754" w:rsidRPr="00CE728D" w:rsidRDefault="007D6754" w:rsidP="00CE728D">
            <w:pPr>
              <w:adjustRightInd w:val="0"/>
              <w:snapToGrid w:val="0"/>
              <w:jc w:val="center"/>
              <w:rPr>
                <w:rFonts w:ascii="宋体" w:hAnsi="宋体" w:cs="宋体"/>
                <w:szCs w:val="21"/>
              </w:rPr>
            </w:pPr>
          </w:p>
        </w:tc>
        <w:tc>
          <w:tcPr>
            <w:tcW w:w="850" w:type="dxa"/>
            <w:vAlign w:val="center"/>
          </w:tcPr>
          <w:p w14:paraId="00C25D0D" w14:textId="11A07273" w:rsidR="007D6754" w:rsidRPr="00CE728D" w:rsidRDefault="007D6754" w:rsidP="00CE728D">
            <w:pPr>
              <w:adjustRightInd w:val="0"/>
              <w:snapToGrid w:val="0"/>
              <w:jc w:val="center"/>
              <w:rPr>
                <w:rFonts w:ascii="宋体" w:hAnsi="宋体" w:cs="宋体"/>
                <w:szCs w:val="21"/>
              </w:rPr>
            </w:pPr>
          </w:p>
        </w:tc>
        <w:tc>
          <w:tcPr>
            <w:tcW w:w="3828" w:type="dxa"/>
            <w:vAlign w:val="center"/>
          </w:tcPr>
          <w:p w14:paraId="3B786023" w14:textId="31CC9C99" w:rsidR="007D6754" w:rsidRPr="00CE728D" w:rsidRDefault="007D6754" w:rsidP="00CE728D">
            <w:pPr>
              <w:adjustRightInd w:val="0"/>
              <w:snapToGrid w:val="0"/>
              <w:jc w:val="center"/>
              <w:rPr>
                <w:rFonts w:ascii="宋体" w:hAnsi="宋体" w:cs="宋体"/>
                <w:szCs w:val="21"/>
              </w:rPr>
            </w:pPr>
          </w:p>
        </w:tc>
      </w:tr>
      <w:tr w:rsidR="007D6754" w:rsidRPr="00CE728D" w14:paraId="7F7140BA" w14:textId="77777777" w:rsidTr="00CE728D">
        <w:trPr>
          <w:trHeight w:val="567"/>
          <w:jc w:val="center"/>
        </w:trPr>
        <w:tc>
          <w:tcPr>
            <w:tcW w:w="828" w:type="dxa"/>
            <w:vAlign w:val="center"/>
          </w:tcPr>
          <w:p w14:paraId="52406A5B" w14:textId="5F35F86F" w:rsidR="007D6754" w:rsidRPr="00CE728D" w:rsidRDefault="007D6754" w:rsidP="00CE728D">
            <w:pPr>
              <w:adjustRightInd w:val="0"/>
              <w:snapToGrid w:val="0"/>
              <w:jc w:val="center"/>
              <w:rPr>
                <w:rFonts w:ascii="宋体" w:hAnsi="宋体" w:cs="宋体"/>
                <w:szCs w:val="21"/>
              </w:rPr>
            </w:pPr>
          </w:p>
        </w:tc>
        <w:tc>
          <w:tcPr>
            <w:tcW w:w="2259" w:type="dxa"/>
            <w:vAlign w:val="center"/>
          </w:tcPr>
          <w:p w14:paraId="0C3D130F" w14:textId="01EC3EE8" w:rsidR="007D6754" w:rsidRPr="00CE728D" w:rsidRDefault="007D6754" w:rsidP="00CE728D">
            <w:pPr>
              <w:adjustRightInd w:val="0"/>
              <w:snapToGrid w:val="0"/>
              <w:jc w:val="center"/>
              <w:rPr>
                <w:rFonts w:ascii="宋体" w:hAnsi="宋体" w:cs="宋体"/>
                <w:szCs w:val="21"/>
              </w:rPr>
            </w:pPr>
          </w:p>
        </w:tc>
        <w:tc>
          <w:tcPr>
            <w:tcW w:w="5101" w:type="dxa"/>
            <w:vAlign w:val="center"/>
          </w:tcPr>
          <w:p w14:paraId="1E10CC71" w14:textId="09544BCA" w:rsidR="007D6754" w:rsidRPr="00CE728D" w:rsidRDefault="007D6754" w:rsidP="00CE728D">
            <w:pPr>
              <w:adjustRightInd w:val="0"/>
              <w:snapToGrid w:val="0"/>
              <w:jc w:val="center"/>
              <w:rPr>
                <w:rFonts w:ascii="宋体" w:hAnsi="宋体" w:cs="宋体"/>
                <w:szCs w:val="21"/>
              </w:rPr>
            </w:pPr>
          </w:p>
        </w:tc>
        <w:tc>
          <w:tcPr>
            <w:tcW w:w="850" w:type="dxa"/>
            <w:vAlign w:val="center"/>
          </w:tcPr>
          <w:p w14:paraId="057FC20D" w14:textId="35E0BA35" w:rsidR="007D6754" w:rsidRPr="00CE728D" w:rsidRDefault="007D6754" w:rsidP="00CE728D">
            <w:pPr>
              <w:adjustRightInd w:val="0"/>
              <w:snapToGrid w:val="0"/>
              <w:jc w:val="center"/>
              <w:rPr>
                <w:rFonts w:ascii="宋体" w:hAnsi="宋体" w:cs="宋体"/>
                <w:szCs w:val="21"/>
              </w:rPr>
            </w:pPr>
          </w:p>
        </w:tc>
        <w:tc>
          <w:tcPr>
            <w:tcW w:w="3828" w:type="dxa"/>
            <w:vAlign w:val="center"/>
          </w:tcPr>
          <w:p w14:paraId="11442CA4" w14:textId="00180E14" w:rsidR="007D6754" w:rsidRPr="00CE728D" w:rsidRDefault="007D6754" w:rsidP="00CE728D">
            <w:pPr>
              <w:adjustRightInd w:val="0"/>
              <w:snapToGrid w:val="0"/>
              <w:jc w:val="center"/>
              <w:rPr>
                <w:rFonts w:ascii="宋体" w:hAnsi="宋体" w:cs="宋体"/>
                <w:szCs w:val="21"/>
              </w:rPr>
            </w:pPr>
          </w:p>
        </w:tc>
      </w:tr>
      <w:tr w:rsidR="007D6754" w:rsidRPr="00CE728D" w14:paraId="1E4E5AFA" w14:textId="77777777" w:rsidTr="00CE728D">
        <w:trPr>
          <w:trHeight w:val="567"/>
          <w:jc w:val="center"/>
        </w:trPr>
        <w:tc>
          <w:tcPr>
            <w:tcW w:w="828" w:type="dxa"/>
            <w:vAlign w:val="center"/>
          </w:tcPr>
          <w:p w14:paraId="36CD25C5" w14:textId="44B5F980" w:rsidR="007D6754" w:rsidRPr="00CE728D" w:rsidRDefault="007D6754" w:rsidP="00CE728D">
            <w:pPr>
              <w:adjustRightInd w:val="0"/>
              <w:snapToGrid w:val="0"/>
              <w:jc w:val="center"/>
              <w:rPr>
                <w:rFonts w:ascii="宋体" w:hAnsi="宋体" w:cs="宋体"/>
                <w:szCs w:val="21"/>
              </w:rPr>
            </w:pPr>
          </w:p>
        </w:tc>
        <w:tc>
          <w:tcPr>
            <w:tcW w:w="2259" w:type="dxa"/>
            <w:vAlign w:val="center"/>
          </w:tcPr>
          <w:p w14:paraId="772EB654" w14:textId="4596C951" w:rsidR="007D6754" w:rsidRPr="00CE728D" w:rsidRDefault="007D6754" w:rsidP="00CE728D">
            <w:pPr>
              <w:adjustRightInd w:val="0"/>
              <w:snapToGrid w:val="0"/>
              <w:jc w:val="center"/>
              <w:rPr>
                <w:rFonts w:ascii="宋体" w:hAnsi="宋体" w:cs="宋体"/>
                <w:szCs w:val="21"/>
              </w:rPr>
            </w:pPr>
          </w:p>
        </w:tc>
        <w:tc>
          <w:tcPr>
            <w:tcW w:w="5101" w:type="dxa"/>
            <w:vAlign w:val="center"/>
          </w:tcPr>
          <w:p w14:paraId="5615A475" w14:textId="38A8FA4A" w:rsidR="007D6754" w:rsidRPr="00CE728D" w:rsidRDefault="007D6754" w:rsidP="00CE728D">
            <w:pPr>
              <w:adjustRightInd w:val="0"/>
              <w:snapToGrid w:val="0"/>
              <w:jc w:val="center"/>
              <w:rPr>
                <w:rFonts w:ascii="宋体" w:hAnsi="宋体" w:cs="宋体"/>
                <w:szCs w:val="21"/>
              </w:rPr>
            </w:pPr>
          </w:p>
        </w:tc>
        <w:tc>
          <w:tcPr>
            <w:tcW w:w="850" w:type="dxa"/>
            <w:vAlign w:val="center"/>
          </w:tcPr>
          <w:p w14:paraId="175304BB" w14:textId="7BC7BCF5" w:rsidR="007D6754" w:rsidRPr="00CE728D" w:rsidRDefault="007D6754" w:rsidP="00CE728D">
            <w:pPr>
              <w:adjustRightInd w:val="0"/>
              <w:snapToGrid w:val="0"/>
              <w:jc w:val="center"/>
              <w:rPr>
                <w:rFonts w:ascii="宋体" w:hAnsi="宋体" w:cs="宋体"/>
                <w:szCs w:val="21"/>
              </w:rPr>
            </w:pPr>
          </w:p>
        </w:tc>
        <w:tc>
          <w:tcPr>
            <w:tcW w:w="3828" w:type="dxa"/>
            <w:vAlign w:val="center"/>
          </w:tcPr>
          <w:p w14:paraId="66E946CF" w14:textId="3488B655" w:rsidR="007D6754" w:rsidRPr="00CE728D" w:rsidRDefault="007D6754" w:rsidP="00CE728D">
            <w:pPr>
              <w:adjustRightInd w:val="0"/>
              <w:snapToGrid w:val="0"/>
              <w:jc w:val="center"/>
              <w:rPr>
                <w:rFonts w:ascii="宋体" w:hAnsi="宋体" w:cs="宋体"/>
                <w:szCs w:val="21"/>
              </w:rPr>
            </w:pPr>
          </w:p>
        </w:tc>
      </w:tr>
      <w:tr w:rsidR="007D6754" w:rsidRPr="00CE728D" w14:paraId="2B592AD3" w14:textId="77777777" w:rsidTr="00CE728D">
        <w:trPr>
          <w:trHeight w:val="567"/>
          <w:jc w:val="center"/>
        </w:trPr>
        <w:tc>
          <w:tcPr>
            <w:tcW w:w="828" w:type="dxa"/>
            <w:vAlign w:val="center"/>
          </w:tcPr>
          <w:p w14:paraId="3F04F240" w14:textId="5B016A0D" w:rsidR="007D6754" w:rsidRPr="00CE728D" w:rsidRDefault="007D6754" w:rsidP="00CE728D">
            <w:pPr>
              <w:adjustRightInd w:val="0"/>
              <w:snapToGrid w:val="0"/>
              <w:jc w:val="center"/>
              <w:rPr>
                <w:rFonts w:ascii="宋体" w:hAnsi="宋体" w:cs="宋体"/>
                <w:szCs w:val="21"/>
              </w:rPr>
            </w:pPr>
          </w:p>
        </w:tc>
        <w:tc>
          <w:tcPr>
            <w:tcW w:w="2259" w:type="dxa"/>
            <w:vAlign w:val="center"/>
          </w:tcPr>
          <w:p w14:paraId="3BCE5B64" w14:textId="36D3160B" w:rsidR="007D6754" w:rsidRPr="00CE728D" w:rsidRDefault="007D6754" w:rsidP="00CE728D">
            <w:pPr>
              <w:adjustRightInd w:val="0"/>
              <w:snapToGrid w:val="0"/>
              <w:jc w:val="center"/>
              <w:rPr>
                <w:rFonts w:ascii="宋体" w:hAnsi="宋体" w:cs="宋体"/>
                <w:szCs w:val="21"/>
              </w:rPr>
            </w:pPr>
          </w:p>
        </w:tc>
        <w:tc>
          <w:tcPr>
            <w:tcW w:w="5101" w:type="dxa"/>
            <w:vAlign w:val="center"/>
          </w:tcPr>
          <w:p w14:paraId="7694D282" w14:textId="6BABBF34" w:rsidR="007D6754" w:rsidRPr="00CE728D" w:rsidRDefault="007D6754" w:rsidP="00CE728D">
            <w:pPr>
              <w:adjustRightInd w:val="0"/>
              <w:snapToGrid w:val="0"/>
              <w:jc w:val="center"/>
              <w:rPr>
                <w:rFonts w:ascii="宋体" w:hAnsi="宋体" w:cs="宋体"/>
                <w:szCs w:val="21"/>
              </w:rPr>
            </w:pPr>
          </w:p>
        </w:tc>
        <w:tc>
          <w:tcPr>
            <w:tcW w:w="850" w:type="dxa"/>
            <w:vAlign w:val="center"/>
          </w:tcPr>
          <w:p w14:paraId="465CB47F" w14:textId="46F6230F" w:rsidR="007D6754" w:rsidRPr="00CE728D" w:rsidRDefault="007D6754" w:rsidP="00CE728D">
            <w:pPr>
              <w:adjustRightInd w:val="0"/>
              <w:snapToGrid w:val="0"/>
              <w:jc w:val="center"/>
              <w:rPr>
                <w:rFonts w:ascii="宋体" w:hAnsi="宋体" w:cs="宋体"/>
                <w:szCs w:val="21"/>
              </w:rPr>
            </w:pPr>
          </w:p>
        </w:tc>
        <w:tc>
          <w:tcPr>
            <w:tcW w:w="3828" w:type="dxa"/>
            <w:vAlign w:val="center"/>
          </w:tcPr>
          <w:p w14:paraId="6D853BEF" w14:textId="14316B82" w:rsidR="007D6754" w:rsidRPr="00CE728D" w:rsidRDefault="007D6754" w:rsidP="00CE728D">
            <w:pPr>
              <w:adjustRightInd w:val="0"/>
              <w:snapToGrid w:val="0"/>
              <w:jc w:val="center"/>
              <w:rPr>
                <w:rFonts w:ascii="宋体" w:hAnsi="宋体" w:cs="宋体"/>
                <w:szCs w:val="21"/>
              </w:rPr>
            </w:pPr>
          </w:p>
        </w:tc>
      </w:tr>
      <w:tr w:rsidR="007D6754" w:rsidRPr="00CE728D" w14:paraId="33428D38" w14:textId="77777777" w:rsidTr="00CE728D">
        <w:trPr>
          <w:trHeight w:val="567"/>
          <w:jc w:val="center"/>
        </w:trPr>
        <w:tc>
          <w:tcPr>
            <w:tcW w:w="828" w:type="dxa"/>
            <w:vAlign w:val="center"/>
          </w:tcPr>
          <w:p w14:paraId="16CCA2D1" w14:textId="6A259CD2" w:rsidR="007D6754" w:rsidRPr="00CE728D" w:rsidRDefault="007D6754" w:rsidP="00CE728D">
            <w:pPr>
              <w:adjustRightInd w:val="0"/>
              <w:snapToGrid w:val="0"/>
              <w:jc w:val="center"/>
              <w:rPr>
                <w:rFonts w:ascii="宋体" w:hAnsi="宋体" w:cs="宋体"/>
                <w:szCs w:val="21"/>
              </w:rPr>
            </w:pPr>
          </w:p>
        </w:tc>
        <w:tc>
          <w:tcPr>
            <w:tcW w:w="2259" w:type="dxa"/>
            <w:vAlign w:val="center"/>
          </w:tcPr>
          <w:p w14:paraId="438EEE50" w14:textId="660F0AFE" w:rsidR="007D6754" w:rsidRPr="00CE728D" w:rsidRDefault="007D6754" w:rsidP="00CE728D">
            <w:pPr>
              <w:adjustRightInd w:val="0"/>
              <w:snapToGrid w:val="0"/>
              <w:jc w:val="center"/>
              <w:rPr>
                <w:rFonts w:ascii="宋体" w:hAnsi="宋体" w:cs="宋体"/>
                <w:szCs w:val="21"/>
              </w:rPr>
            </w:pPr>
          </w:p>
        </w:tc>
        <w:tc>
          <w:tcPr>
            <w:tcW w:w="5101" w:type="dxa"/>
            <w:vAlign w:val="center"/>
          </w:tcPr>
          <w:p w14:paraId="5D594A5A" w14:textId="20332B40" w:rsidR="007D6754" w:rsidRPr="00CE728D" w:rsidRDefault="007D6754" w:rsidP="00CE728D">
            <w:pPr>
              <w:adjustRightInd w:val="0"/>
              <w:snapToGrid w:val="0"/>
              <w:jc w:val="center"/>
              <w:rPr>
                <w:rFonts w:ascii="宋体" w:hAnsi="宋体" w:cs="宋体"/>
                <w:szCs w:val="21"/>
              </w:rPr>
            </w:pPr>
          </w:p>
        </w:tc>
        <w:tc>
          <w:tcPr>
            <w:tcW w:w="850" w:type="dxa"/>
            <w:vAlign w:val="center"/>
          </w:tcPr>
          <w:p w14:paraId="45864FFD" w14:textId="3BF424C3" w:rsidR="007D6754" w:rsidRPr="00CE728D" w:rsidRDefault="007D6754" w:rsidP="00CE728D">
            <w:pPr>
              <w:adjustRightInd w:val="0"/>
              <w:snapToGrid w:val="0"/>
              <w:jc w:val="center"/>
              <w:rPr>
                <w:rFonts w:ascii="宋体" w:hAnsi="宋体" w:cs="宋体"/>
                <w:szCs w:val="21"/>
              </w:rPr>
            </w:pPr>
          </w:p>
        </w:tc>
        <w:tc>
          <w:tcPr>
            <w:tcW w:w="3828" w:type="dxa"/>
            <w:vAlign w:val="center"/>
          </w:tcPr>
          <w:p w14:paraId="4CB768F6" w14:textId="604E6E8E" w:rsidR="007D6754" w:rsidRPr="00CE728D" w:rsidRDefault="007D6754" w:rsidP="00CE728D">
            <w:pPr>
              <w:adjustRightInd w:val="0"/>
              <w:snapToGrid w:val="0"/>
              <w:jc w:val="center"/>
              <w:rPr>
                <w:rFonts w:ascii="宋体" w:hAnsi="宋体" w:cs="宋体"/>
                <w:szCs w:val="21"/>
              </w:rPr>
            </w:pPr>
          </w:p>
        </w:tc>
      </w:tr>
      <w:tr w:rsidR="007D6754" w:rsidRPr="00CE728D" w14:paraId="0748B58E" w14:textId="77777777" w:rsidTr="00CE728D">
        <w:trPr>
          <w:trHeight w:val="567"/>
          <w:jc w:val="center"/>
        </w:trPr>
        <w:tc>
          <w:tcPr>
            <w:tcW w:w="828" w:type="dxa"/>
            <w:vAlign w:val="center"/>
          </w:tcPr>
          <w:p w14:paraId="1B306DBF" w14:textId="77777777" w:rsidR="007D6754" w:rsidRPr="00CE728D" w:rsidRDefault="007D6754" w:rsidP="00CE728D">
            <w:pPr>
              <w:adjustRightInd w:val="0"/>
              <w:snapToGrid w:val="0"/>
              <w:jc w:val="center"/>
              <w:rPr>
                <w:rFonts w:ascii="宋体" w:hAnsi="宋体" w:cs="宋体"/>
                <w:szCs w:val="21"/>
              </w:rPr>
            </w:pPr>
          </w:p>
        </w:tc>
        <w:tc>
          <w:tcPr>
            <w:tcW w:w="12038" w:type="dxa"/>
            <w:gridSpan w:val="4"/>
            <w:vAlign w:val="center"/>
          </w:tcPr>
          <w:p w14:paraId="2BEEE80B" w14:textId="13D5D369" w:rsidR="007D6754" w:rsidRPr="00CE728D" w:rsidRDefault="007D6754" w:rsidP="00CE728D">
            <w:pPr>
              <w:adjustRightInd w:val="0"/>
              <w:snapToGrid w:val="0"/>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p>
        </w:tc>
      </w:tr>
      <w:tr w:rsidR="007D6754" w:rsidRPr="00CE728D" w14:paraId="0EB62668" w14:textId="77777777" w:rsidTr="00CE728D">
        <w:trPr>
          <w:trHeight w:val="567"/>
          <w:jc w:val="center"/>
        </w:trPr>
        <w:tc>
          <w:tcPr>
            <w:tcW w:w="828" w:type="dxa"/>
            <w:vAlign w:val="center"/>
          </w:tcPr>
          <w:p w14:paraId="0B69CDF9" w14:textId="4F990EE9" w:rsidR="007D6754" w:rsidRPr="00CE728D" w:rsidRDefault="007D6754" w:rsidP="00CE728D">
            <w:pPr>
              <w:adjustRightInd w:val="0"/>
              <w:snapToGrid w:val="0"/>
              <w:jc w:val="center"/>
              <w:rPr>
                <w:rFonts w:ascii="宋体" w:hAnsi="宋体" w:cs="宋体"/>
                <w:szCs w:val="21"/>
              </w:rPr>
            </w:pPr>
          </w:p>
        </w:tc>
        <w:tc>
          <w:tcPr>
            <w:tcW w:w="2259" w:type="dxa"/>
            <w:vAlign w:val="center"/>
          </w:tcPr>
          <w:p w14:paraId="750F8493" w14:textId="0E1826E6" w:rsidR="007D6754" w:rsidRPr="00CE728D" w:rsidRDefault="007D6754" w:rsidP="00CE728D">
            <w:pPr>
              <w:adjustRightInd w:val="0"/>
              <w:snapToGrid w:val="0"/>
              <w:jc w:val="center"/>
              <w:rPr>
                <w:rFonts w:ascii="宋体" w:hAnsi="宋体" w:cs="宋体"/>
                <w:szCs w:val="21"/>
              </w:rPr>
            </w:pPr>
          </w:p>
        </w:tc>
        <w:tc>
          <w:tcPr>
            <w:tcW w:w="5101" w:type="dxa"/>
            <w:vAlign w:val="center"/>
          </w:tcPr>
          <w:p w14:paraId="6F5DE14D" w14:textId="6D0258DE" w:rsidR="007D6754" w:rsidRPr="00CE728D" w:rsidRDefault="007D6754" w:rsidP="00CE728D">
            <w:pPr>
              <w:adjustRightInd w:val="0"/>
              <w:snapToGrid w:val="0"/>
              <w:jc w:val="center"/>
              <w:rPr>
                <w:rFonts w:ascii="宋体" w:hAnsi="宋体" w:cs="宋体"/>
                <w:szCs w:val="21"/>
              </w:rPr>
            </w:pPr>
          </w:p>
        </w:tc>
        <w:tc>
          <w:tcPr>
            <w:tcW w:w="850" w:type="dxa"/>
            <w:vAlign w:val="center"/>
          </w:tcPr>
          <w:p w14:paraId="7F99485F" w14:textId="567F4EE4" w:rsidR="007D6754" w:rsidRPr="00CE728D" w:rsidRDefault="007D6754" w:rsidP="00CE728D">
            <w:pPr>
              <w:adjustRightInd w:val="0"/>
              <w:snapToGrid w:val="0"/>
              <w:jc w:val="center"/>
              <w:rPr>
                <w:rFonts w:ascii="宋体" w:hAnsi="宋体" w:cs="宋体"/>
                <w:szCs w:val="21"/>
              </w:rPr>
            </w:pPr>
          </w:p>
        </w:tc>
        <w:tc>
          <w:tcPr>
            <w:tcW w:w="3828" w:type="dxa"/>
            <w:vAlign w:val="center"/>
          </w:tcPr>
          <w:p w14:paraId="367A5907" w14:textId="77F03DC9" w:rsidR="007D6754" w:rsidRPr="00CE728D" w:rsidRDefault="007D6754" w:rsidP="00CE728D">
            <w:pPr>
              <w:adjustRightInd w:val="0"/>
              <w:snapToGrid w:val="0"/>
              <w:jc w:val="center"/>
              <w:rPr>
                <w:rFonts w:ascii="宋体" w:hAnsi="宋体" w:cs="宋体"/>
                <w:szCs w:val="21"/>
              </w:rPr>
            </w:pPr>
          </w:p>
        </w:tc>
      </w:tr>
      <w:tr w:rsidR="007D6754" w:rsidRPr="00CE728D" w14:paraId="026299C7" w14:textId="77777777" w:rsidTr="00CE728D">
        <w:trPr>
          <w:trHeight w:val="567"/>
          <w:jc w:val="center"/>
        </w:trPr>
        <w:tc>
          <w:tcPr>
            <w:tcW w:w="828" w:type="dxa"/>
            <w:vAlign w:val="center"/>
          </w:tcPr>
          <w:p w14:paraId="7CEC147B" w14:textId="44F0C918" w:rsidR="007D6754" w:rsidRPr="00CE728D" w:rsidRDefault="007D6754" w:rsidP="00CE728D">
            <w:pPr>
              <w:adjustRightInd w:val="0"/>
              <w:snapToGrid w:val="0"/>
              <w:jc w:val="center"/>
              <w:rPr>
                <w:rFonts w:ascii="宋体" w:hAnsi="宋体" w:cs="宋体"/>
                <w:szCs w:val="21"/>
              </w:rPr>
            </w:pPr>
          </w:p>
        </w:tc>
        <w:tc>
          <w:tcPr>
            <w:tcW w:w="2259" w:type="dxa"/>
            <w:vAlign w:val="center"/>
          </w:tcPr>
          <w:p w14:paraId="07DAB570" w14:textId="1CDF7DFB" w:rsidR="007D6754" w:rsidRPr="00CE728D" w:rsidRDefault="007D6754" w:rsidP="00CE728D">
            <w:pPr>
              <w:adjustRightInd w:val="0"/>
              <w:snapToGrid w:val="0"/>
              <w:jc w:val="center"/>
              <w:rPr>
                <w:rFonts w:ascii="宋体" w:hAnsi="宋体" w:cs="宋体"/>
                <w:szCs w:val="21"/>
              </w:rPr>
            </w:pPr>
          </w:p>
        </w:tc>
        <w:tc>
          <w:tcPr>
            <w:tcW w:w="5101" w:type="dxa"/>
            <w:vAlign w:val="center"/>
          </w:tcPr>
          <w:p w14:paraId="6C6F3BD0" w14:textId="4B5BD3F7" w:rsidR="007D6754" w:rsidRPr="00CE728D" w:rsidRDefault="007D6754" w:rsidP="00CE728D">
            <w:pPr>
              <w:adjustRightInd w:val="0"/>
              <w:snapToGrid w:val="0"/>
              <w:jc w:val="center"/>
              <w:rPr>
                <w:rFonts w:ascii="宋体" w:hAnsi="宋体" w:cs="宋体"/>
                <w:szCs w:val="21"/>
              </w:rPr>
            </w:pPr>
          </w:p>
        </w:tc>
        <w:tc>
          <w:tcPr>
            <w:tcW w:w="850" w:type="dxa"/>
            <w:vAlign w:val="center"/>
          </w:tcPr>
          <w:p w14:paraId="02568843" w14:textId="0213C43C" w:rsidR="007D6754" w:rsidRPr="00CE728D" w:rsidRDefault="007D6754" w:rsidP="00CE728D">
            <w:pPr>
              <w:adjustRightInd w:val="0"/>
              <w:snapToGrid w:val="0"/>
              <w:jc w:val="center"/>
              <w:rPr>
                <w:rFonts w:ascii="宋体" w:hAnsi="宋体" w:cs="宋体"/>
                <w:szCs w:val="21"/>
              </w:rPr>
            </w:pPr>
          </w:p>
        </w:tc>
        <w:tc>
          <w:tcPr>
            <w:tcW w:w="3828" w:type="dxa"/>
            <w:vAlign w:val="center"/>
          </w:tcPr>
          <w:p w14:paraId="4CB622D1" w14:textId="3DDDD3D1" w:rsidR="007D6754" w:rsidRPr="00CE728D" w:rsidRDefault="007D6754" w:rsidP="00CE728D">
            <w:pPr>
              <w:adjustRightInd w:val="0"/>
              <w:snapToGrid w:val="0"/>
              <w:jc w:val="center"/>
              <w:rPr>
                <w:rFonts w:ascii="宋体" w:hAnsi="宋体" w:cs="宋体"/>
                <w:szCs w:val="21"/>
              </w:rPr>
            </w:pPr>
          </w:p>
        </w:tc>
      </w:tr>
      <w:tr w:rsidR="007D6754" w:rsidRPr="00CE728D" w14:paraId="48C02C27" w14:textId="77777777" w:rsidTr="00CE728D">
        <w:trPr>
          <w:trHeight w:val="567"/>
          <w:jc w:val="center"/>
        </w:trPr>
        <w:tc>
          <w:tcPr>
            <w:tcW w:w="828" w:type="dxa"/>
            <w:vAlign w:val="center"/>
          </w:tcPr>
          <w:p w14:paraId="1BB2165A" w14:textId="54B7C930" w:rsidR="007D6754" w:rsidRPr="00CE728D" w:rsidRDefault="007D6754" w:rsidP="00CE728D">
            <w:pPr>
              <w:adjustRightInd w:val="0"/>
              <w:snapToGrid w:val="0"/>
              <w:jc w:val="center"/>
              <w:rPr>
                <w:rFonts w:ascii="宋体" w:hAnsi="宋体" w:cs="宋体"/>
                <w:szCs w:val="21"/>
              </w:rPr>
            </w:pPr>
          </w:p>
        </w:tc>
        <w:tc>
          <w:tcPr>
            <w:tcW w:w="2259" w:type="dxa"/>
            <w:vAlign w:val="center"/>
          </w:tcPr>
          <w:p w14:paraId="1A1030E0" w14:textId="7A9C2EAE" w:rsidR="007D6754" w:rsidRPr="00CE728D" w:rsidRDefault="007D6754" w:rsidP="00CE728D">
            <w:pPr>
              <w:adjustRightInd w:val="0"/>
              <w:snapToGrid w:val="0"/>
              <w:jc w:val="center"/>
              <w:rPr>
                <w:rFonts w:ascii="宋体" w:hAnsi="宋体" w:cs="宋体"/>
                <w:szCs w:val="21"/>
              </w:rPr>
            </w:pPr>
          </w:p>
        </w:tc>
        <w:tc>
          <w:tcPr>
            <w:tcW w:w="5101" w:type="dxa"/>
            <w:vAlign w:val="center"/>
          </w:tcPr>
          <w:p w14:paraId="7A2FB200" w14:textId="59A06DAB" w:rsidR="007D6754" w:rsidRPr="00CE728D" w:rsidRDefault="007D6754" w:rsidP="00CE728D">
            <w:pPr>
              <w:adjustRightInd w:val="0"/>
              <w:snapToGrid w:val="0"/>
              <w:jc w:val="center"/>
              <w:rPr>
                <w:rFonts w:ascii="宋体" w:hAnsi="宋体" w:cs="宋体"/>
                <w:szCs w:val="21"/>
              </w:rPr>
            </w:pPr>
          </w:p>
        </w:tc>
        <w:tc>
          <w:tcPr>
            <w:tcW w:w="850" w:type="dxa"/>
            <w:vAlign w:val="center"/>
          </w:tcPr>
          <w:p w14:paraId="12CCA5C9" w14:textId="3EA84D0B" w:rsidR="007D6754" w:rsidRPr="00CE728D" w:rsidRDefault="007D6754" w:rsidP="00CE728D">
            <w:pPr>
              <w:adjustRightInd w:val="0"/>
              <w:snapToGrid w:val="0"/>
              <w:jc w:val="center"/>
              <w:rPr>
                <w:rFonts w:ascii="宋体" w:hAnsi="宋体" w:cs="宋体"/>
                <w:szCs w:val="21"/>
              </w:rPr>
            </w:pPr>
          </w:p>
        </w:tc>
        <w:tc>
          <w:tcPr>
            <w:tcW w:w="3828" w:type="dxa"/>
            <w:vAlign w:val="center"/>
          </w:tcPr>
          <w:p w14:paraId="5000C631" w14:textId="645F7F6C" w:rsidR="007D6754" w:rsidRPr="00CE728D" w:rsidRDefault="007D6754" w:rsidP="00CE728D">
            <w:pPr>
              <w:adjustRightInd w:val="0"/>
              <w:snapToGrid w:val="0"/>
              <w:jc w:val="center"/>
              <w:rPr>
                <w:rFonts w:ascii="宋体" w:hAnsi="宋体" w:cs="宋体"/>
                <w:szCs w:val="21"/>
              </w:rPr>
            </w:pPr>
          </w:p>
        </w:tc>
      </w:tr>
      <w:tr w:rsidR="007D6754" w:rsidRPr="00CE728D" w14:paraId="4B08B90E" w14:textId="77777777" w:rsidTr="00CE728D">
        <w:trPr>
          <w:trHeight w:val="567"/>
          <w:jc w:val="center"/>
        </w:trPr>
        <w:tc>
          <w:tcPr>
            <w:tcW w:w="828" w:type="dxa"/>
            <w:vAlign w:val="center"/>
          </w:tcPr>
          <w:p w14:paraId="0F6AB2A8" w14:textId="3A447B6B" w:rsidR="007D6754" w:rsidRPr="00CE728D" w:rsidRDefault="007D6754" w:rsidP="00CE728D">
            <w:pPr>
              <w:adjustRightInd w:val="0"/>
              <w:snapToGrid w:val="0"/>
              <w:jc w:val="center"/>
              <w:rPr>
                <w:rFonts w:ascii="宋体" w:hAnsi="宋体" w:cs="宋体"/>
                <w:szCs w:val="21"/>
              </w:rPr>
            </w:pPr>
          </w:p>
        </w:tc>
        <w:tc>
          <w:tcPr>
            <w:tcW w:w="2259" w:type="dxa"/>
            <w:vAlign w:val="center"/>
          </w:tcPr>
          <w:p w14:paraId="0B548C62" w14:textId="7AC6DE20" w:rsidR="007D6754" w:rsidRPr="00CE728D" w:rsidRDefault="007D6754" w:rsidP="00CE728D">
            <w:pPr>
              <w:adjustRightInd w:val="0"/>
              <w:snapToGrid w:val="0"/>
              <w:jc w:val="center"/>
              <w:rPr>
                <w:rFonts w:ascii="宋体" w:hAnsi="宋体" w:cs="宋体"/>
                <w:szCs w:val="21"/>
              </w:rPr>
            </w:pPr>
          </w:p>
        </w:tc>
        <w:tc>
          <w:tcPr>
            <w:tcW w:w="5101" w:type="dxa"/>
            <w:vAlign w:val="center"/>
          </w:tcPr>
          <w:p w14:paraId="459A4BAA" w14:textId="03980A11" w:rsidR="007D6754" w:rsidRPr="00CE728D" w:rsidRDefault="007D6754" w:rsidP="00CE728D">
            <w:pPr>
              <w:adjustRightInd w:val="0"/>
              <w:snapToGrid w:val="0"/>
              <w:jc w:val="center"/>
              <w:rPr>
                <w:rFonts w:ascii="宋体" w:hAnsi="宋体" w:cs="宋体"/>
                <w:szCs w:val="21"/>
              </w:rPr>
            </w:pPr>
          </w:p>
        </w:tc>
        <w:tc>
          <w:tcPr>
            <w:tcW w:w="850" w:type="dxa"/>
            <w:vAlign w:val="center"/>
          </w:tcPr>
          <w:p w14:paraId="4B559E36" w14:textId="1717B56E" w:rsidR="007D6754" w:rsidRPr="00CE728D" w:rsidRDefault="007D6754" w:rsidP="00CE728D">
            <w:pPr>
              <w:adjustRightInd w:val="0"/>
              <w:snapToGrid w:val="0"/>
              <w:jc w:val="center"/>
              <w:rPr>
                <w:rFonts w:ascii="宋体" w:hAnsi="宋体" w:cs="宋体"/>
                <w:szCs w:val="21"/>
              </w:rPr>
            </w:pPr>
          </w:p>
        </w:tc>
        <w:tc>
          <w:tcPr>
            <w:tcW w:w="3828" w:type="dxa"/>
            <w:vAlign w:val="center"/>
          </w:tcPr>
          <w:p w14:paraId="2EA35536" w14:textId="29AE1992" w:rsidR="007D6754" w:rsidRPr="00CE728D" w:rsidRDefault="007D6754" w:rsidP="00CE728D">
            <w:pPr>
              <w:adjustRightInd w:val="0"/>
              <w:snapToGrid w:val="0"/>
              <w:jc w:val="center"/>
              <w:rPr>
                <w:rFonts w:ascii="宋体" w:hAnsi="宋体" w:cs="宋体"/>
                <w:szCs w:val="21"/>
              </w:rPr>
            </w:pPr>
          </w:p>
        </w:tc>
      </w:tr>
      <w:tr w:rsidR="007D6754" w:rsidRPr="00CE728D" w14:paraId="40FD3150" w14:textId="77777777" w:rsidTr="00CE728D">
        <w:trPr>
          <w:trHeight w:val="567"/>
          <w:jc w:val="center"/>
        </w:trPr>
        <w:tc>
          <w:tcPr>
            <w:tcW w:w="828" w:type="dxa"/>
            <w:vAlign w:val="center"/>
          </w:tcPr>
          <w:p w14:paraId="28B03005" w14:textId="5AB82572" w:rsidR="007D6754" w:rsidRPr="00CE728D" w:rsidRDefault="007D6754" w:rsidP="00CE728D">
            <w:pPr>
              <w:adjustRightInd w:val="0"/>
              <w:snapToGrid w:val="0"/>
              <w:jc w:val="center"/>
              <w:rPr>
                <w:rFonts w:ascii="宋体" w:hAnsi="宋体" w:cs="宋体"/>
                <w:szCs w:val="21"/>
              </w:rPr>
            </w:pPr>
          </w:p>
        </w:tc>
        <w:tc>
          <w:tcPr>
            <w:tcW w:w="2259" w:type="dxa"/>
            <w:vAlign w:val="center"/>
          </w:tcPr>
          <w:p w14:paraId="0A2EF2CE" w14:textId="143F47F4" w:rsidR="007D6754" w:rsidRPr="00CE728D" w:rsidRDefault="007D6754" w:rsidP="00CE728D">
            <w:pPr>
              <w:adjustRightInd w:val="0"/>
              <w:snapToGrid w:val="0"/>
              <w:jc w:val="center"/>
              <w:rPr>
                <w:rFonts w:ascii="宋体" w:hAnsi="宋体" w:cs="宋体"/>
                <w:szCs w:val="21"/>
              </w:rPr>
            </w:pPr>
          </w:p>
        </w:tc>
        <w:tc>
          <w:tcPr>
            <w:tcW w:w="5101" w:type="dxa"/>
            <w:vAlign w:val="center"/>
          </w:tcPr>
          <w:p w14:paraId="46258B26" w14:textId="489B98BC" w:rsidR="007D6754" w:rsidRPr="00CE728D" w:rsidRDefault="007D6754" w:rsidP="00CE728D">
            <w:pPr>
              <w:adjustRightInd w:val="0"/>
              <w:snapToGrid w:val="0"/>
              <w:jc w:val="center"/>
              <w:rPr>
                <w:rFonts w:ascii="宋体" w:hAnsi="宋体" w:cs="宋体"/>
                <w:szCs w:val="21"/>
              </w:rPr>
            </w:pPr>
          </w:p>
        </w:tc>
        <w:tc>
          <w:tcPr>
            <w:tcW w:w="850" w:type="dxa"/>
            <w:vAlign w:val="center"/>
          </w:tcPr>
          <w:p w14:paraId="29580121" w14:textId="51FF4234" w:rsidR="007D6754" w:rsidRPr="00CE728D" w:rsidRDefault="007D6754" w:rsidP="00CE728D">
            <w:pPr>
              <w:adjustRightInd w:val="0"/>
              <w:snapToGrid w:val="0"/>
              <w:jc w:val="center"/>
              <w:rPr>
                <w:rFonts w:ascii="宋体" w:hAnsi="宋体" w:cs="宋体"/>
                <w:szCs w:val="21"/>
              </w:rPr>
            </w:pPr>
          </w:p>
        </w:tc>
        <w:tc>
          <w:tcPr>
            <w:tcW w:w="3828" w:type="dxa"/>
            <w:vAlign w:val="center"/>
          </w:tcPr>
          <w:p w14:paraId="30301E0A" w14:textId="703F9335" w:rsidR="007D6754" w:rsidRPr="00CE728D" w:rsidRDefault="007D6754" w:rsidP="00CE728D">
            <w:pPr>
              <w:adjustRightInd w:val="0"/>
              <w:snapToGrid w:val="0"/>
              <w:jc w:val="center"/>
              <w:rPr>
                <w:rFonts w:ascii="宋体" w:hAnsi="宋体" w:cs="宋体"/>
                <w:szCs w:val="21"/>
              </w:rPr>
            </w:pPr>
          </w:p>
        </w:tc>
      </w:tr>
      <w:tr w:rsidR="007D6754" w:rsidRPr="00CE728D" w14:paraId="4FABC4DF" w14:textId="77777777" w:rsidTr="00CE728D">
        <w:trPr>
          <w:trHeight w:val="567"/>
          <w:jc w:val="center"/>
        </w:trPr>
        <w:tc>
          <w:tcPr>
            <w:tcW w:w="828" w:type="dxa"/>
            <w:vAlign w:val="center"/>
          </w:tcPr>
          <w:p w14:paraId="4C598F12" w14:textId="3049DDE6" w:rsidR="007D6754" w:rsidRPr="00CE728D" w:rsidRDefault="007D6754" w:rsidP="00CE728D">
            <w:pPr>
              <w:adjustRightInd w:val="0"/>
              <w:snapToGrid w:val="0"/>
              <w:jc w:val="center"/>
              <w:rPr>
                <w:rFonts w:ascii="宋体" w:hAnsi="宋体" w:cs="宋体"/>
                <w:szCs w:val="21"/>
              </w:rPr>
            </w:pPr>
          </w:p>
        </w:tc>
        <w:tc>
          <w:tcPr>
            <w:tcW w:w="2259" w:type="dxa"/>
            <w:vAlign w:val="center"/>
          </w:tcPr>
          <w:p w14:paraId="22D28A8B" w14:textId="38A86C27" w:rsidR="007D6754" w:rsidRPr="00CE728D" w:rsidRDefault="007D6754" w:rsidP="00CE728D">
            <w:pPr>
              <w:adjustRightInd w:val="0"/>
              <w:snapToGrid w:val="0"/>
              <w:jc w:val="center"/>
              <w:rPr>
                <w:rFonts w:ascii="宋体" w:hAnsi="宋体" w:cs="宋体"/>
                <w:szCs w:val="21"/>
              </w:rPr>
            </w:pPr>
          </w:p>
        </w:tc>
        <w:tc>
          <w:tcPr>
            <w:tcW w:w="5101" w:type="dxa"/>
            <w:vAlign w:val="center"/>
          </w:tcPr>
          <w:p w14:paraId="0219CAA5" w14:textId="1C24539D" w:rsidR="007D6754" w:rsidRPr="00CE728D" w:rsidRDefault="007D6754" w:rsidP="00CE728D">
            <w:pPr>
              <w:adjustRightInd w:val="0"/>
              <w:snapToGrid w:val="0"/>
              <w:jc w:val="center"/>
              <w:rPr>
                <w:rFonts w:ascii="宋体" w:hAnsi="宋体" w:cs="宋体"/>
                <w:szCs w:val="21"/>
              </w:rPr>
            </w:pPr>
          </w:p>
        </w:tc>
        <w:tc>
          <w:tcPr>
            <w:tcW w:w="850" w:type="dxa"/>
            <w:vAlign w:val="center"/>
          </w:tcPr>
          <w:p w14:paraId="327FCEBE" w14:textId="2EDAD4D9" w:rsidR="007D6754" w:rsidRPr="00CE728D" w:rsidRDefault="007D6754" w:rsidP="00CE728D">
            <w:pPr>
              <w:adjustRightInd w:val="0"/>
              <w:snapToGrid w:val="0"/>
              <w:jc w:val="center"/>
              <w:rPr>
                <w:rFonts w:ascii="宋体" w:hAnsi="宋体" w:cs="宋体"/>
                <w:szCs w:val="21"/>
              </w:rPr>
            </w:pPr>
          </w:p>
        </w:tc>
        <w:tc>
          <w:tcPr>
            <w:tcW w:w="3828" w:type="dxa"/>
            <w:vAlign w:val="center"/>
          </w:tcPr>
          <w:p w14:paraId="6C2B2EB5" w14:textId="65815D07" w:rsidR="007D6754" w:rsidRPr="00CE728D" w:rsidRDefault="007D6754" w:rsidP="00CE728D">
            <w:pPr>
              <w:adjustRightInd w:val="0"/>
              <w:snapToGrid w:val="0"/>
              <w:jc w:val="center"/>
              <w:rPr>
                <w:rFonts w:ascii="宋体" w:hAnsi="宋体" w:cs="宋体"/>
                <w:szCs w:val="21"/>
              </w:rPr>
            </w:pPr>
          </w:p>
        </w:tc>
      </w:tr>
      <w:tr w:rsidR="007D6754" w:rsidRPr="00CE728D" w14:paraId="76EDCD0B" w14:textId="77777777" w:rsidTr="00CE728D">
        <w:trPr>
          <w:trHeight w:val="567"/>
          <w:jc w:val="center"/>
        </w:trPr>
        <w:tc>
          <w:tcPr>
            <w:tcW w:w="828" w:type="dxa"/>
            <w:vAlign w:val="center"/>
          </w:tcPr>
          <w:p w14:paraId="0BAC873E" w14:textId="77777777" w:rsidR="007D6754" w:rsidRPr="00CE728D" w:rsidRDefault="007D6754" w:rsidP="00CE728D">
            <w:pPr>
              <w:adjustRightInd w:val="0"/>
              <w:snapToGrid w:val="0"/>
              <w:jc w:val="center"/>
              <w:rPr>
                <w:rFonts w:ascii="宋体" w:hAnsi="宋体" w:cs="宋体"/>
                <w:szCs w:val="21"/>
              </w:rPr>
            </w:pPr>
          </w:p>
        </w:tc>
        <w:tc>
          <w:tcPr>
            <w:tcW w:w="12038" w:type="dxa"/>
            <w:gridSpan w:val="4"/>
            <w:vAlign w:val="center"/>
          </w:tcPr>
          <w:p w14:paraId="74CCFC09" w14:textId="5063CE8F" w:rsidR="007D6754" w:rsidRPr="00CE728D" w:rsidRDefault="007D6754" w:rsidP="00CE728D">
            <w:pPr>
              <w:adjustRightInd w:val="0"/>
              <w:snapToGrid w:val="0"/>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p>
        </w:tc>
      </w:tr>
      <w:tr w:rsidR="007D6754" w:rsidRPr="00CE728D" w14:paraId="49F828FC" w14:textId="77777777" w:rsidTr="00CE728D">
        <w:trPr>
          <w:trHeight w:val="567"/>
          <w:jc w:val="center"/>
        </w:trPr>
        <w:tc>
          <w:tcPr>
            <w:tcW w:w="828" w:type="dxa"/>
            <w:vAlign w:val="center"/>
          </w:tcPr>
          <w:p w14:paraId="1BE00EDE" w14:textId="4917B1D1" w:rsidR="007D6754" w:rsidRPr="00CE728D" w:rsidRDefault="007D6754" w:rsidP="00CE728D">
            <w:pPr>
              <w:adjustRightInd w:val="0"/>
              <w:snapToGrid w:val="0"/>
              <w:jc w:val="center"/>
              <w:rPr>
                <w:rFonts w:ascii="宋体" w:hAnsi="宋体" w:cs="宋体"/>
                <w:szCs w:val="21"/>
              </w:rPr>
            </w:pPr>
          </w:p>
        </w:tc>
        <w:tc>
          <w:tcPr>
            <w:tcW w:w="2259" w:type="dxa"/>
            <w:vAlign w:val="center"/>
          </w:tcPr>
          <w:p w14:paraId="7DA71577" w14:textId="5B4A3673" w:rsidR="007D6754" w:rsidRPr="00CE728D" w:rsidRDefault="007D6754" w:rsidP="00CE728D">
            <w:pPr>
              <w:adjustRightInd w:val="0"/>
              <w:snapToGrid w:val="0"/>
              <w:jc w:val="center"/>
              <w:rPr>
                <w:rFonts w:ascii="宋体" w:hAnsi="宋体" w:cs="宋体"/>
                <w:szCs w:val="21"/>
              </w:rPr>
            </w:pPr>
          </w:p>
        </w:tc>
        <w:tc>
          <w:tcPr>
            <w:tcW w:w="5101" w:type="dxa"/>
            <w:vAlign w:val="center"/>
          </w:tcPr>
          <w:p w14:paraId="0DEF66A0" w14:textId="768B5BB5" w:rsidR="007D6754" w:rsidRPr="00CE728D" w:rsidRDefault="007D6754" w:rsidP="00CE728D">
            <w:pPr>
              <w:adjustRightInd w:val="0"/>
              <w:snapToGrid w:val="0"/>
              <w:jc w:val="center"/>
              <w:rPr>
                <w:rFonts w:ascii="宋体" w:hAnsi="宋体" w:cs="宋体"/>
                <w:szCs w:val="21"/>
              </w:rPr>
            </w:pPr>
          </w:p>
        </w:tc>
        <w:tc>
          <w:tcPr>
            <w:tcW w:w="850" w:type="dxa"/>
            <w:vAlign w:val="center"/>
          </w:tcPr>
          <w:p w14:paraId="3440CD49" w14:textId="6D6C8085" w:rsidR="007D6754" w:rsidRPr="00CE728D" w:rsidRDefault="007D6754" w:rsidP="00CE728D">
            <w:pPr>
              <w:adjustRightInd w:val="0"/>
              <w:snapToGrid w:val="0"/>
              <w:jc w:val="center"/>
              <w:rPr>
                <w:rFonts w:ascii="宋体" w:hAnsi="宋体" w:cs="宋体"/>
                <w:szCs w:val="21"/>
              </w:rPr>
            </w:pPr>
          </w:p>
        </w:tc>
        <w:tc>
          <w:tcPr>
            <w:tcW w:w="3828" w:type="dxa"/>
            <w:vAlign w:val="center"/>
          </w:tcPr>
          <w:p w14:paraId="35103619" w14:textId="23FAF3ED" w:rsidR="007D6754" w:rsidRPr="00CE728D" w:rsidRDefault="007D6754" w:rsidP="00CE728D">
            <w:pPr>
              <w:pStyle w:val="ac"/>
              <w:spacing w:line="440" w:lineRule="exact"/>
              <w:jc w:val="center"/>
            </w:pPr>
          </w:p>
        </w:tc>
      </w:tr>
      <w:tr w:rsidR="007D6754" w:rsidRPr="00CE728D" w14:paraId="3D388890" w14:textId="77777777" w:rsidTr="00CE728D">
        <w:trPr>
          <w:trHeight w:val="567"/>
          <w:jc w:val="center"/>
        </w:trPr>
        <w:tc>
          <w:tcPr>
            <w:tcW w:w="828" w:type="dxa"/>
            <w:vAlign w:val="center"/>
          </w:tcPr>
          <w:p w14:paraId="50492576" w14:textId="5A030099" w:rsidR="007D6754" w:rsidRPr="00CE728D" w:rsidRDefault="007D6754" w:rsidP="00CE728D">
            <w:pPr>
              <w:adjustRightInd w:val="0"/>
              <w:snapToGrid w:val="0"/>
              <w:jc w:val="center"/>
              <w:rPr>
                <w:rFonts w:ascii="宋体" w:hAnsi="宋体" w:cs="宋体"/>
                <w:szCs w:val="21"/>
              </w:rPr>
            </w:pPr>
          </w:p>
        </w:tc>
        <w:tc>
          <w:tcPr>
            <w:tcW w:w="2259" w:type="dxa"/>
            <w:vAlign w:val="center"/>
          </w:tcPr>
          <w:p w14:paraId="212EF882" w14:textId="499E53D5" w:rsidR="007D6754" w:rsidRPr="00CE728D" w:rsidRDefault="007D6754" w:rsidP="00CE728D">
            <w:pPr>
              <w:adjustRightInd w:val="0"/>
              <w:snapToGrid w:val="0"/>
              <w:jc w:val="center"/>
              <w:rPr>
                <w:rFonts w:ascii="宋体" w:hAnsi="宋体" w:cs="宋体"/>
                <w:szCs w:val="21"/>
              </w:rPr>
            </w:pPr>
          </w:p>
        </w:tc>
        <w:tc>
          <w:tcPr>
            <w:tcW w:w="5101" w:type="dxa"/>
            <w:vAlign w:val="center"/>
          </w:tcPr>
          <w:p w14:paraId="2200687F" w14:textId="6C09A8D1" w:rsidR="007D6754" w:rsidRPr="00CE728D" w:rsidRDefault="007D6754" w:rsidP="00CE728D">
            <w:pPr>
              <w:adjustRightInd w:val="0"/>
              <w:snapToGrid w:val="0"/>
              <w:jc w:val="center"/>
              <w:rPr>
                <w:rFonts w:ascii="宋体" w:hAnsi="宋体" w:cs="宋体"/>
                <w:szCs w:val="21"/>
              </w:rPr>
            </w:pPr>
          </w:p>
        </w:tc>
        <w:tc>
          <w:tcPr>
            <w:tcW w:w="850" w:type="dxa"/>
            <w:vAlign w:val="center"/>
          </w:tcPr>
          <w:p w14:paraId="04B59EBE" w14:textId="7B544C8D" w:rsidR="007D6754" w:rsidRPr="00CE728D" w:rsidRDefault="007D6754" w:rsidP="00CE728D">
            <w:pPr>
              <w:adjustRightInd w:val="0"/>
              <w:snapToGrid w:val="0"/>
              <w:jc w:val="center"/>
              <w:rPr>
                <w:rFonts w:ascii="宋体" w:hAnsi="宋体" w:cs="宋体"/>
                <w:szCs w:val="21"/>
              </w:rPr>
            </w:pPr>
          </w:p>
        </w:tc>
        <w:tc>
          <w:tcPr>
            <w:tcW w:w="3828" w:type="dxa"/>
            <w:vAlign w:val="center"/>
          </w:tcPr>
          <w:p w14:paraId="469780E4" w14:textId="2D0D892D" w:rsidR="007D6754" w:rsidRPr="00CE728D" w:rsidRDefault="007D6754" w:rsidP="00CE728D">
            <w:pPr>
              <w:adjustRightInd w:val="0"/>
              <w:snapToGrid w:val="0"/>
              <w:jc w:val="center"/>
              <w:rPr>
                <w:rFonts w:ascii="宋体" w:hAnsi="宋体" w:cs="宋体"/>
                <w:szCs w:val="21"/>
              </w:rPr>
            </w:pPr>
          </w:p>
        </w:tc>
      </w:tr>
      <w:tr w:rsidR="007D6754" w:rsidRPr="00CE728D" w14:paraId="4330F4FA" w14:textId="77777777" w:rsidTr="00CE728D">
        <w:trPr>
          <w:trHeight w:val="567"/>
          <w:jc w:val="center"/>
        </w:trPr>
        <w:tc>
          <w:tcPr>
            <w:tcW w:w="828" w:type="dxa"/>
            <w:vAlign w:val="center"/>
          </w:tcPr>
          <w:p w14:paraId="3CDBDF12" w14:textId="0A40DB67"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5A097873" w14:textId="37A684C9" w:rsidR="007D6754" w:rsidRPr="00CE728D" w:rsidRDefault="007D6754" w:rsidP="00CE728D">
            <w:pPr>
              <w:adjustRightInd w:val="0"/>
              <w:snapToGrid w:val="0"/>
              <w:jc w:val="center"/>
              <w:rPr>
                <w:rFonts w:ascii="宋体" w:hAnsi="宋体" w:cs="宋体"/>
                <w:szCs w:val="21"/>
              </w:rPr>
            </w:pPr>
          </w:p>
        </w:tc>
        <w:tc>
          <w:tcPr>
            <w:tcW w:w="5101" w:type="dxa"/>
            <w:vAlign w:val="center"/>
          </w:tcPr>
          <w:p w14:paraId="385EB57C" w14:textId="3404CFD9" w:rsidR="007D6754" w:rsidRPr="00CE728D" w:rsidRDefault="007D6754" w:rsidP="00CE728D">
            <w:pPr>
              <w:adjustRightInd w:val="0"/>
              <w:snapToGrid w:val="0"/>
              <w:jc w:val="center"/>
              <w:rPr>
                <w:rFonts w:ascii="宋体" w:hAnsi="宋体" w:cs="宋体"/>
                <w:szCs w:val="21"/>
              </w:rPr>
            </w:pPr>
          </w:p>
        </w:tc>
        <w:tc>
          <w:tcPr>
            <w:tcW w:w="850" w:type="dxa"/>
            <w:vAlign w:val="center"/>
          </w:tcPr>
          <w:p w14:paraId="24652A7E" w14:textId="2B1DDF1B" w:rsidR="007D6754" w:rsidRPr="00CE728D" w:rsidRDefault="007D6754" w:rsidP="00CE728D">
            <w:pPr>
              <w:adjustRightInd w:val="0"/>
              <w:snapToGrid w:val="0"/>
              <w:jc w:val="center"/>
              <w:rPr>
                <w:rFonts w:ascii="宋体" w:hAnsi="宋体" w:cs="宋体"/>
                <w:szCs w:val="21"/>
              </w:rPr>
            </w:pPr>
          </w:p>
        </w:tc>
        <w:tc>
          <w:tcPr>
            <w:tcW w:w="3828" w:type="dxa"/>
            <w:vAlign w:val="center"/>
          </w:tcPr>
          <w:p w14:paraId="581BF272" w14:textId="403ACED7" w:rsidR="007D6754" w:rsidRPr="00CE728D" w:rsidRDefault="007D6754" w:rsidP="00CE728D">
            <w:pPr>
              <w:adjustRightInd w:val="0"/>
              <w:snapToGrid w:val="0"/>
              <w:jc w:val="center"/>
              <w:rPr>
                <w:rFonts w:ascii="宋体" w:hAnsi="宋体" w:cs="宋体"/>
                <w:szCs w:val="21"/>
              </w:rPr>
            </w:pPr>
          </w:p>
        </w:tc>
      </w:tr>
      <w:tr w:rsidR="007D6754" w:rsidRPr="00CE728D" w14:paraId="7ADFC8BD" w14:textId="77777777" w:rsidTr="00CE728D">
        <w:trPr>
          <w:trHeight w:val="567"/>
          <w:jc w:val="center"/>
        </w:trPr>
        <w:tc>
          <w:tcPr>
            <w:tcW w:w="828" w:type="dxa"/>
            <w:vAlign w:val="center"/>
          </w:tcPr>
          <w:p w14:paraId="4832F46F" w14:textId="7DE0C758"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65D82974" w14:textId="3FBE2D68" w:rsidR="007D6754" w:rsidRPr="00CE728D" w:rsidRDefault="007D6754" w:rsidP="00CE728D">
            <w:pPr>
              <w:adjustRightInd w:val="0"/>
              <w:snapToGrid w:val="0"/>
              <w:jc w:val="center"/>
              <w:rPr>
                <w:rFonts w:ascii="宋体" w:hAnsi="宋体" w:cs="宋体"/>
                <w:szCs w:val="21"/>
              </w:rPr>
            </w:pPr>
          </w:p>
        </w:tc>
        <w:tc>
          <w:tcPr>
            <w:tcW w:w="5101" w:type="dxa"/>
            <w:vAlign w:val="center"/>
          </w:tcPr>
          <w:p w14:paraId="30BB2CE5" w14:textId="4B5CBCA7" w:rsidR="007D6754" w:rsidRPr="00CE728D" w:rsidRDefault="007D6754" w:rsidP="00CE728D">
            <w:pPr>
              <w:adjustRightInd w:val="0"/>
              <w:snapToGrid w:val="0"/>
              <w:jc w:val="center"/>
              <w:rPr>
                <w:rFonts w:ascii="宋体" w:hAnsi="宋体" w:cs="宋体"/>
                <w:szCs w:val="21"/>
              </w:rPr>
            </w:pPr>
          </w:p>
        </w:tc>
        <w:tc>
          <w:tcPr>
            <w:tcW w:w="850" w:type="dxa"/>
            <w:vAlign w:val="center"/>
          </w:tcPr>
          <w:p w14:paraId="17B61A4C" w14:textId="77BA9115" w:rsidR="007D6754" w:rsidRPr="00CE728D" w:rsidRDefault="007D6754" w:rsidP="00CE728D">
            <w:pPr>
              <w:adjustRightInd w:val="0"/>
              <w:snapToGrid w:val="0"/>
              <w:jc w:val="center"/>
              <w:rPr>
                <w:rFonts w:ascii="宋体" w:hAnsi="宋体" w:cs="宋体"/>
                <w:szCs w:val="21"/>
              </w:rPr>
            </w:pPr>
          </w:p>
        </w:tc>
        <w:tc>
          <w:tcPr>
            <w:tcW w:w="3828" w:type="dxa"/>
            <w:vAlign w:val="center"/>
          </w:tcPr>
          <w:p w14:paraId="401B8590" w14:textId="752DC3B9" w:rsidR="007D6754" w:rsidRPr="00CE728D" w:rsidRDefault="007D6754" w:rsidP="00CE728D">
            <w:pPr>
              <w:adjustRightInd w:val="0"/>
              <w:snapToGrid w:val="0"/>
              <w:jc w:val="center"/>
              <w:rPr>
                <w:rFonts w:ascii="宋体" w:hAnsi="宋体" w:cs="宋体"/>
                <w:szCs w:val="21"/>
              </w:rPr>
            </w:pPr>
          </w:p>
        </w:tc>
      </w:tr>
      <w:tr w:rsidR="007D6754" w:rsidRPr="00CE728D" w14:paraId="752D75C3" w14:textId="77777777" w:rsidTr="00CE728D">
        <w:trPr>
          <w:trHeight w:val="567"/>
          <w:jc w:val="center"/>
        </w:trPr>
        <w:tc>
          <w:tcPr>
            <w:tcW w:w="828" w:type="dxa"/>
            <w:vAlign w:val="center"/>
          </w:tcPr>
          <w:p w14:paraId="7624FC48" w14:textId="695E5312"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03EF5FA7" w14:textId="1E882E20" w:rsidR="007D6754" w:rsidRPr="00CE728D" w:rsidRDefault="007D6754" w:rsidP="00CE728D">
            <w:pPr>
              <w:adjustRightInd w:val="0"/>
              <w:snapToGrid w:val="0"/>
              <w:jc w:val="center"/>
              <w:rPr>
                <w:rFonts w:ascii="宋体" w:hAnsi="宋体" w:cs="宋体"/>
                <w:szCs w:val="21"/>
              </w:rPr>
            </w:pPr>
          </w:p>
        </w:tc>
        <w:tc>
          <w:tcPr>
            <w:tcW w:w="5101" w:type="dxa"/>
            <w:vAlign w:val="center"/>
          </w:tcPr>
          <w:p w14:paraId="11354923" w14:textId="7F4BEB20" w:rsidR="007D6754" w:rsidRPr="00CE728D" w:rsidRDefault="007D6754" w:rsidP="00CE728D">
            <w:pPr>
              <w:adjustRightInd w:val="0"/>
              <w:snapToGrid w:val="0"/>
              <w:jc w:val="center"/>
              <w:rPr>
                <w:rFonts w:ascii="宋体" w:hAnsi="宋体" w:cs="宋体"/>
                <w:szCs w:val="21"/>
              </w:rPr>
            </w:pPr>
          </w:p>
        </w:tc>
        <w:tc>
          <w:tcPr>
            <w:tcW w:w="850" w:type="dxa"/>
            <w:vAlign w:val="center"/>
          </w:tcPr>
          <w:p w14:paraId="4443716C" w14:textId="16636CA6" w:rsidR="007D6754" w:rsidRPr="00CE728D" w:rsidRDefault="007D6754" w:rsidP="00CE728D">
            <w:pPr>
              <w:adjustRightInd w:val="0"/>
              <w:snapToGrid w:val="0"/>
              <w:jc w:val="center"/>
              <w:rPr>
                <w:rFonts w:ascii="宋体" w:hAnsi="宋体" w:cs="宋体"/>
                <w:szCs w:val="21"/>
              </w:rPr>
            </w:pPr>
          </w:p>
        </w:tc>
        <w:tc>
          <w:tcPr>
            <w:tcW w:w="3828" w:type="dxa"/>
            <w:vAlign w:val="center"/>
          </w:tcPr>
          <w:p w14:paraId="6A630E6E" w14:textId="334C6FA2" w:rsidR="007D6754" w:rsidRPr="00CE728D" w:rsidRDefault="007D6754" w:rsidP="00CE728D">
            <w:pPr>
              <w:adjustRightInd w:val="0"/>
              <w:snapToGrid w:val="0"/>
              <w:jc w:val="center"/>
              <w:rPr>
                <w:rFonts w:ascii="宋体" w:hAnsi="宋体" w:cs="宋体"/>
                <w:szCs w:val="21"/>
              </w:rPr>
            </w:pPr>
          </w:p>
        </w:tc>
      </w:tr>
      <w:tr w:rsidR="007D6754" w:rsidRPr="00CE728D" w14:paraId="5E0F1B61" w14:textId="77777777" w:rsidTr="00CE728D">
        <w:trPr>
          <w:trHeight w:val="567"/>
          <w:jc w:val="center"/>
        </w:trPr>
        <w:tc>
          <w:tcPr>
            <w:tcW w:w="828" w:type="dxa"/>
            <w:vAlign w:val="center"/>
          </w:tcPr>
          <w:p w14:paraId="6C0BB7F1" w14:textId="6A06C0A6"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189C8D5E" w14:textId="092BA287" w:rsidR="007D6754" w:rsidRPr="00CE728D" w:rsidRDefault="007D6754" w:rsidP="00CE728D">
            <w:pPr>
              <w:adjustRightInd w:val="0"/>
              <w:snapToGrid w:val="0"/>
              <w:jc w:val="center"/>
              <w:rPr>
                <w:rFonts w:ascii="宋体" w:hAnsi="宋体" w:cs="宋体"/>
                <w:szCs w:val="21"/>
              </w:rPr>
            </w:pPr>
          </w:p>
        </w:tc>
        <w:tc>
          <w:tcPr>
            <w:tcW w:w="5101" w:type="dxa"/>
            <w:vAlign w:val="center"/>
          </w:tcPr>
          <w:p w14:paraId="48E80984" w14:textId="222BE637" w:rsidR="007D6754" w:rsidRPr="00CE728D" w:rsidRDefault="007D6754" w:rsidP="00CE728D">
            <w:pPr>
              <w:adjustRightInd w:val="0"/>
              <w:snapToGrid w:val="0"/>
              <w:jc w:val="center"/>
              <w:rPr>
                <w:rFonts w:ascii="宋体" w:hAnsi="宋体" w:cs="宋体"/>
                <w:szCs w:val="21"/>
              </w:rPr>
            </w:pPr>
          </w:p>
        </w:tc>
        <w:tc>
          <w:tcPr>
            <w:tcW w:w="850" w:type="dxa"/>
            <w:vAlign w:val="center"/>
          </w:tcPr>
          <w:p w14:paraId="08C1F9E7" w14:textId="0C6BE48E" w:rsidR="007D6754" w:rsidRPr="00CE728D" w:rsidRDefault="007D6754" w:rsidP="00CE728D">
            <w:pPr>
              <w:adjustRightInd w:val="0"/>
              <w:snapToGrid w:val="0"/>
              <w:jc w:val="center"/>
              <w:rPr>
                <w:rFonts w:ascii="宋体" w:hAnsi="宋体" w:cs="宋体"/>
                <w:szCs w:val="21"/>
              </w:rPr>
            </w:pPr>
          </w:p>
        </w:tc>
        <w:tc>
          <w:tcPr>
            <w:tcW w:w="3828" w:type="dxa"/>
            <w:vAlign w:val="center"/>
          </w:tcPr>
          <w:p w14:paraId="149CCA71" w14:textId="62A5C463" w:rsidR="007D6754" w:rsidRPr="00CE728D" w:rsidRDefault="007D6754" w:rsidP="00CE728D">
            <w:pPr>
              <w:adjustRightInd w:val="0"/>
              <w:snapToGrid w:val="0"/>
              <w:jc w:val="center"/>
              <w:rPr>
                <w:rFonts w:ascii="宋体" w:hAnsi="宋体" w:cs="宋体"/>
                <w:szCs w:val="21"/>
              </w:rPr>
            </w:pPr>
          </w:p>
        </w:tc>
      </w:tr>
      <w:tr w:rsidR="007D6754" w:rsidRPr="00CE728D" w14:paraId="20D4188A" w14:textId="77777777" w:rsidTr="00CE728D">
        <w:trPr>
          <w:trHeight w:val="567"/>
          <w:jc w:val="center"/>
        </w:trPr>
        <w:tc>
          <w:tcPr>
            <w:tcW w:w="828" w:type="dxa"/>
            <w:vAlign w:val="center"/>
          </w:tcPr>
          <w:p w14:paraId="049A3946" w14:textId="5E59D2F5"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2B93EE86" w14:textId="7DB33088" w:rsidR="007D6754" w:rsidRPr="00CE728D" w:rsidRDefault="007D6754" w:rsidP="00CE728D">
            <w:pPr>
              <w:adjustRightInd w:val="0"/>
              <w:snapToGrid w:val="0"/>
              <w:jc w:val="center"/>
              <w:rPr>
                <w:rFonts w:ascii="宋体" w:hAnsi="宋体" w:cs="宋体"/>
                <w:szCs w:val="21"/>
              </w:rPr>
            </w:pPr>
          </w:p>
        </w:tc>
        <w:tc>
          <w:tcPr>
            <w:tcW w:w="5101" w:type="dxa"/>
            <w:vAlign w:val="center"/>
          </w:tcPr>
          <w:p w14:paraId="65325814" w14:textId="5C4928E8" w:rsidR="007D6754" w:rsidRPr="00CE728D" w:rsidRDefault="007D6754" w:rsidP="00CE728D">
            <w:pPr>
              <w:adjustRightInd w:val="0"/>
              <w:snapToGrid w:val="0"/>
              <w:jc w:val="center"/>
              <w:rPr>
                <w:rFonts w:ascii="宋体" w:hAnsi="宋体" w:cs="宋体"/>
                <w:szCs w:val="21"/>
              </w:rPr>
            </w:pPr>
          </w:p>
        </w:tc>
        <w:tc>
          <w:tcPr>
            <w:tcW w:w="850" w:type="dxa"/>
            <w:vAlign w:val="center"/>
          </w:tcPr>
          <w:p w14:paraId="5769E975" w14:textId="108BBFC8" w:rsidR="007D6754" w:rsidRPr="00CE728D" w:rsidRDefault="007D6754" w:rsidP="00CE728D">
            <w:pPr>
              <w:adjustRightInd w:val="0"/>
              <w:snapToGrid w:val="0"/>
              <w:jc w:val="center"/>
              <w:rPr>
                <w:rFonts w:ascii="宋体" w:hAnsi="宋体" w:cs="宋体"/>
                <w:szCs w:val="21"/>
              </w:rPr>
            </w:pPr>
          </w:p>
        </w:tc>
        <w:tc>
          <w:tcPr>
            <w:tcW w:w="3828" w:type="dxa"/>
            <w:vAlign w:val="center"/>
          </w:tcPr>
          <w:p w14:paraId="152E0074" w14:textId="20199592" w:rsidR="007D6754" w:rsidRPr="00CE728D" w:rsidRDefault="007D6754" w:rsidP="00CE728D">
            <w:pPr>
              <w:adjustRightInd w:val="0"/>
              <w:snapToGrid w:val="0"/>
              <w:jc w:val="center"/>
              <w:rPr>
                <w:rFonts w:ascii="宋体" w:hAnsi="宋体" w:cs="宋体"/>
                <w:szCs w:val="21"/>
              </w:rPr>
            </w:pPr>
          </w:p>
        </w:tc>
      </w:tr>
      <w:tr w:rsidR="007D6754" w:rsidRPr="00CE728D" w14:paraId="1558CAB4" w14:textId="77777777" w:rsidTr="00CE728D">
        <w:trPr>
          <w:trHeight w:val="567"/>
          <w:jc w:val="center"/>
        </w:trPr>
        <w:tc>
          <w:tcPr>
            <w:tcW w:w="828" w:type="dxa"/>
            <w:vAlign w:val="center"/>
          </w:tcPr>
          <w:p w14:paraId="03BE3B08" w14:textId="5E4B1E1C"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33EB4DAA" w14:textId="6719A7E6" w:rsidR="007D6754" w:rsidRPr="00CE728D" w:rsidRDefault="007D6754" w:rsidP="00CE728D">
            <w:pPr>
              <w:adjustRightInd w:val="0"/>
              <w:snapToGrid w:val="0"/>
              <w:jc w:val="center"/>
              <w:rPr>
                <w:rFonts w:ascii="宋体" w:hAnsi="宋体" w:cs="宋体"/>
                <w:szCs w:val="21"/>
              </w:rPr>
            </w:pPr>
          </w:p>
        </w:tc>
        <w:tc>
          <w:tcPr>
            <w:tcW w:w="5101" w:type="dxa"/>
            <w:vAlign w:val="center"/>
          </w:tcPr>
          <w:p w14:paraId="650F4F98" w14:textId="16E84131" w:rsidR="007D6754" w:rsidRPr="00CE728D" w:rsidRDefault="007D6754" w:rsidP="00CE728D">
            <w:pPr>
              <w:adjustRightInd w:val="0"/>
              <w:snapToGrid w:val="0"/>
              <w:jc w:val="center"/>
              <w:rPr>
                <w:rFonts w:ascii="宋体" w:hAnsi="宋体" w:cs="宋体"/>
                <w:szCs w:val="21"/>
              </w:rPr>
            </w:pPr>
          </w:p>
        </w:tc>
        <w:tc>
          <w:tcPr>
            <w:tcW w:w="850" w:type="dxa"/>
            <w:vAlign w:val="center"/>
          </w:tcPr>
          <w:p w14:paraId="176D5615" w14:textId="6A749E42" w:rsidR="007D6754" w:rsidRPr="00CE728D" w:rsidRDefault="007D6754" w:rsidP="00CE728D">
            <w:pPr>
              <w:adjustRightInd w:val="0"/>
              <w:snapToGrid w:val="0"/>
              <w:jc w:val="center"/>
              <w:rPr>
                <w:rFonts w:ascii="宋体" w:hAnsi="宋体" w:cs="宋体"/>
                <w:szCs w:val="21"/>
              </w:rPr>
            </w:pPr>
          </w:p>
        </w:tc>
        <w:tc>
          <w:tcPr>
            <w:tcW w:w="3828" w:type="dxa"/>
            <w:vAlign w:val="center"/>
          </w:tcPr>
          <w:p w14:paraId="588C31A1" w14:textId="36FEDD17" w:rsidR="007D6754" w:rsidRPr="00CE728D" w:rsidRDefault="007D6754" w:rsidP="00CE728D">
            <w:pPr>
              <w:adjustRightInd w:val="0"/>
              <w:snapToGrid w:val="0"/>
              <w:jc w:val="center"/>
              <w:rPr>
                <w:rFonts w:ascii="宋体" w:hAnsi="宋体" w:cs="宋体"/>
                <w:szCs w:val="21"/>
              </w:rPr>
            </w:pPr>
          </w:p>
        </w:tc>
      </w:tr>
      <w:tr w:rsidR="007D6754" w:rsidRPr="00CE728D" w14:paraId="04BC8667" w14:textId="77777777" w:rsidTr="00CE728D">
        <w:trPr>
          <w:trHeight w:val="567"/>
          <w:jc w:val="center"/>
        </w:trPr>
        <w:tc>
          <w:tcPr>
            <w:tcW w:w="828" w:type="dxa"/>
            <w:vAlign w:val="center"/>
          </w:tcPr>
          <w:p w14:paraId="0A650D5F" w14:textId="32FBDEB4"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61BEAEE8" w14:textId="24F3AB35" w:rsidR="007D6754" w:rsidRPr="00CE728D" w:rsidRDefault="007D6754" w:rsidP="00CE728D">
            <w:pPr>
              <w:adjustRightInd w:val="0"/>
              <w:snapToGrid w:val="0"/>
              <w:jc w:val="center"/>
              <w:rPr>
                <w:rFonts w:ascii="宋体" w:hAnsi="宋体" w:cs="宋体"/>
                <w:szCs w:val="21"/>
              </w:rPr>
            </w:pPr>
          </w:p>
        </w:tc>
        <w:tc>
          <w:tcPr>
            <w:tcW w:w="5101" w:type="dxa"/>
            <w:vAlign w:val="center"/>
          </w:tcPr>
          <w:p w14:paraId="6B48D95D" w14:textId="52370CD2" w:rsidR="007D6754" w:rsidRPr="00CE728D" w:rsidRDefault="007D6754" w:rsidP="00CE728D">
            <w:pPr>
              <w:adjustRightInd w:val="0"/>
              <w:snapToGrid w:val="0"/>
              <w:jc w:val="center"/>
              <w:rPr>
                <w:rFonts w:ascii="宋体" w:hAnsi="宋体" w:cs="宋体"/>
                <w:szCs w:val="21"/>
              </w:rPr>
            </w:pPr>
          </w:p>
        </w:tc>
        <w:tc>
          <w:tcPr>
            <w:tcW w:w="850" w:type="dxa"/>
            <w:vAlign w:val="center"/>
          </w:tcPr>
          <w:p w14:paraId="64C7B1E1" w14:textId="5B2C6BF9" w:rsidR="007D6754" w:rsidRPr="00CE728D" w:rsidRDefault="007D6754" w:rsidP="00CE728D">
            <w:pPr>
              <w:adjustRightInd w:val="0"/>
              <w:snapToGrid w:val="0"/>
              <w:jc w:val="center"/>
              <w:rPr>
                <w:rFonts w:ascii="宋体" w:hAnsi="宋体" w:cs="宋体"/>
                <w:szCs w:val="21"/>
              </w:rPr>
            </w:pPr>
          </w:p>
        </w:tc>
        <w:tc>
          <w:tcPr>
            <w:tcW w:w="3828" w:type="dxa"/>
            <w:vAlign w:val="center"/>
          </w:tcPr>
          <w:p w14:paraId="5BFFF08F" w14:textId="02CF062C" w:rsidR="007D6754" w:rsidRPr="00CE728D" w:rsidRDefault="007D6754" w:rsidP="00CE728D">
            <w:pPr>
              <w:adjustRightInd w:val="0"/>
              <w:snapToGrid w:val="0"/>
              <w:jc w:val="center"/>
              <w:rPr>
                <w:rFonts w:ascii="宋体" w:hAnsi="宋体" w:cs="宋体"/>
                <w:szCs w:val="21"/>
              </w:rPr>
            </w:pPr>
          </w:p>
        </w:tc>
      </w:tr>
      <w:tr w:rsidR="007D6754" w:rsidRPr="00CE728D" w14:paraId="384F3918" w14:textId="77777777" w:rsidTr="00CE728D">
        <w:trPr>
          <w:trHeight w:val="567"/>
          <w:jc w:val="center"/>
        </w:trPr>
        <w:tc>
          <w:tcPr>
            <w:tcW w:w="828" w:type="dxa"/>
            <w:vAlign w:val="center"/>
          </w:tcPr>
          <w:p w14:paraId="4F7CD8D6" w14:textId="48159372"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03976529" w14:textId="3AAE3434" w:rsidR="007D6754" w:rsidRPr="00CE728D" w:rsidRDefault="007D6754" w:rsidP="00CE728D">
            <w:pPr>
              <w:adjustRightInd w:val="0"/>
              <w:snapToGrid w:val="0"/>
              <w:jc w:val="center"/>
              <w:rPr>
                <w:rFonts w:ascii="宋体" w:hAnsi="宋体" w:cs="宋体"/>
                <w:szCs w:val="21"/>
              </w:rPr>
            </w:pPr>
          </w:p>
        </w:tc>
        <w:tc>
          <w:tcPr>
            <w:tcW w:w="5101" w:type="dxa"/>
            <w:vAlign w:val="center"/>
          </w:tcPr>
          <w:p w14:paraId="62107A15" w14:textId="4073EF40" w:rsidR="007D6754" w:rsidRPr="00CE728D" w:rsidRDefault="007D6754" w:rsidP="00CE728D">
            <w:pPr>
              <w:adjustRightInd w:val="0"/>
              <w:snapToGrid w:val="0"/>
              <w:jc w:val="center"/>
              <w:rPr>
                <w:rFonts w:ascii="宋体" w:hAnsi="宋体" w:cs="宋体"/>
                <w:szCs w:val="21"/>
              </w:rPr>
            </w:pPr>
          </w:p>
        </w:tc>
        <w:tc>
          <w:tcPr>
            <w:tcW w:w="850" w:type="dxa"/>
            <w:vAlign w:val="center"/>
          </w:tcPr>
          <w:p w14:paraId="2D286D91" w14:textId="7F8C3255" w:rsidR="007D6754" w:rsidRPr="00CE728D" w:rsidRDefault="007D6754" w:rsidP="00CE728D">
            <w:pPr>
              <w:adjustRightInd w:val="0"/>
              <w:snapToGrid w:val="0"/>
              <w:jc w:val="center"/>
              <w:rPr>
                <w:rFonts w:ascii="宋体" w:hAnsi="宋体" w:cs="宋体"/>
                <w:szCs w:val="21"/>
              </w:rPr>
            </w:pPr>
          </w:p>
        </w:tc>
        <w:tc>
          <w:tcPr>
            <w:tcW w:w="3828" w:type="dxa"/>
            <w:vAlign w:val="center"/>
          </w:tcPr>
          <w:p w14:paraId="030029C6" w14:textId="039B800D" w:rsidR="007D6754" w:rsidRPr="00CE728D" w:rsidRDefault="007D6754" w:rsidP="00CE728D">
            <w:pPr>
              <w:adjustRightInd w:val="0"/>
              <w:snapToGrid w:val="0"/>
              <w:jc w:val="center"/>
              <w:rPr>
                <w:rFonts w:ascii="宋体" w:hAnsi="宋体" w:cs="宋体"/>
                <w:szCs w:val="21"/>
              </w:rPr>
            </w:pPr>
          </w:p>
        </w:tc>
      </w:tr>
      <w:tr w:rsidR="007D6754" w:rsidRPr="00CE728D" w14:paraId="3051FB50" w14:textId="77777777" w:rsidTr="00CE728D">
        <w:trPr>
          <w:trHeight w:val="567"/>
          <w:jc w:val="center"/>
        </w:trPr>
        <w:tc>
          <w:tcPr>
            <w:tcW w:w="828" w:type="dxa"/>
            <w:vAlign w:val="center"/>
          </w:tcPr>
          <w:p w14:paraId="524E0EFC" w14:textId="77777777" w:rsidR="007D6754" w:rsidRPr="00CE728D" w:rsidRDefault="007D6754" w:rsidP="00CE728D">
            <w:pPr>
              <w:adjustRightInd w:val="0"/>
              <w:snapToGrid w:val="0"/>
              <w:jc w:val="center"/>
              <w:rPr>
                <w:rFonts w:ascii="宋体" w:hAnsi="宋体" w:cs="宋体"/>
                <w:szCs w:val="21"/>
              </w:rPr>
            </w:pPr>
          </w:p>
        </w:tc>
        <w:tc>
          <w:tcPr>
            <w:tcW w:w="12038" w:type="dxa"/>
            <w:gridSpan w:val="4"/>
            <w:vAlign w:val="center"/>
          </w:tcPr>
          <w:p w14:paraId="17A1AC0C" w14:textId="2DA015EC" w:rsidR="007D6754" w:rsidRPr="00CE728D" w:rsidRDefault="007D6754" w:rsidP="00CE728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p>
        </w:tc>
      </w:tr>
      <w:tr w:rsidR="007D6754" w:rsidRPr="00CE728D" w14:paraId="010F3F11" w14:textId="77777777" w:rsidTr="00CE728D">
        <w:trPr>
          <w:trHeight w:val="567"/>
          <w:jc w:val="center"/>
        </w:trPr>
        <w:tc>
          <w:tcPr>
            <w:tcW w:w="828" w:type="dxa"/>
            <w:vAlign w:val="center"/>
          </w:tcPr>
          <w:p w14:paraId="5422F352" w14:textId="565381FA"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5BDD60A9" w14:textId="31C10E6F" w:rsidR="007D6754" w:rsidRPr="00CE728D" w:rsidRDefault="007D6754" w:rsidP="00CE728D">
            <w:pPr>
              <w:adjustRightInd w:val="0"/>
              <w:snapToGrid w:val="0"/>
              <w:jc w:val="center"/>
              <w:rPr>
                <w:rFonts w:ascii="宋体" w:hAnsi="宋体" w:cs="宋体"/>
                <w:szCs w:val="21"/>
              </w:rPr>
            </w:pPr>
          </w:p>
        </w:tc>
        <w:tc>
          <w:tcPr>
            <w:tcW w:w="5101" w:type="dxa"/>
            <w:vAlign w:val="center"/>
          </w:tcPr>
          <w:p w14:paraId="56D2255C" w14:textId="77C3E8A6" w:rsidR="007D6754" w:rsidRPr="00CE728D" w:rsidRDefault="007D6754" w:rsidP="00CE728D">
            <w:pPr>
              <w:adjustRightInd w:val="0"/>
              <w:snapToGrid w:val="0"/>
              <w:jc w:val="center"/>
              <w:rPr>
                <w:rFonts w:ascii="宋体" w:hAnsi="宋体" w:cs="宋体"/>
                <w:szCs w:val="21"/>
              </w:rPr>
            </w:pPr>
          </w:p>
        </w:tc>
        <w:tc>
          <w:tcPr>
            <w:tcW w:w="850" w:type="dxa"/>
            <w:vAlign w:val="center"/>
          </w:tcPr>
          <w:p w14:paraId="56F01ED3" w14:textId="63A2CDF4" w:rsidR="007D6754" w:rsidRPr="00CE728D" w:rsidRDefault="007D6754" w:rsidP="00CE728D">
            <w:pPr>
              <w:adjustRightInd w:val="0"/>
              <w:snapToGrid w:val="0"/>
              <w:jc w:val="center"/>
              <w:rPr>
                <w:rFonts w:ascii="宋体" w:hAnsi="宋体" w:cs="宋体"/>
                <w:szCs w:val="21"/>
              </w:rPr>
            </w:pPr>
          </w:p>
        </w:tc>
        <w:tc>
          <w:tcPr>
            <w:tcW w:w="3828" w:type="dxa"/>
            <w:vAlign w:val="center"/>
          </w:tcPr>
          <w:p w14:paraId="54DB6DC7" w14:textId="52E62EEB" w:rsidR="007D6754" w:rsidRPr="00CE728D" w:rsidRDefault="007D6754" w:rsidP="00CE728D">
            <w:pPr>
              <w:adjustRightInd w:val="0"/>
              <w:snapToGrid w:val="0"/>
              <w:jc w:val="center"/>
              <w:rPr>
                <w:rFonts w:ascii="宋体" w:hAnsi="宋体" w:cs="宋体"/>
                <w:szCs w:val="21"/>
              </w:rPr>
            </w:pPr>
          </w:p>
        </w:tc>
      </w:tr>
      <w:tr w:rsidR="007D6754" w:rsidRPr="00CE728D" w14:paraId="38318B3B" w14:textId="77777777" w:rsidTr="00CE728D">
        <w:trPr>
          <w:trHeight w:val="567"/>
          <w:jc w:val="center"/>
        </w:trPr>
        <w:tc>
          <w:tcPr>
            <w:tcW w:w="828" w:type="dxa"/>
            <w:vAlign w:val="center"/>
          </w:tcPr>
          <w:p w14:paraId="40F32580" w14:textId="1454AA2D"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AF26D6D" w14:textId="6CE7D148" w:rsidR="007D6754" w:rsidRPr="00CE728D" w:rsidRDefault="007D6754" w:rsidP="00CE728D">
            <w:pPr>
              <w:adjustRightInd w:val="0"/>
              <w:snapToGrid w:val="0"/>
              <w:jc w:val="center"/>
              <w:rPr>
                <w:rFonts w:ascii="宋体" w:hAnsi="宋体" w:cs="宋体"/>
                <w:szCs w:val="21"/>
              </w:rPr>
            </w:pPr>
          </w:p>
        </w:tc>
        <w:tc>
          <w:tcPr>
            <w:tcW w:w="5101" w:type="dxa"/>
            <w:vAlign w:val="center"/>
          </w:tcPr>
          <w:p w14:paraId="515CD04E" w14:textId="783A3A9F" w:rsidR="007D6754" w:rsidRPr="00CE728D" w:rsidRDefault="007D6754" w:rsidP="00CE728D">
            <w:pPr>
              <w:adjustRightInd w:val="0"/>
              <w:snapToGrid w:val="0"/>
              <w:jc w:val="center"/>
              <w:rPr>
                <w:rFonts w:ascii="宋体" w:hAnsi="宋体" w:cs="宋体"/>
                <w:szCs w:val="21"/>
              </w:rPr>
            </w:pPr>
          </w:p>
        </w:tc>
        <w:tc>
          <w:tcPr>
            <w:tcW w:w="850" w:type="dxa"/>
            <w:vAlign w:val="center"/>
          </w:tcPr>
          <w:p w14:paraId="70B014C7" w14:textId="2447F978" w:rsidR="007D6754" w:rsidRPr="00CE728D" w:rsidRDefault="007D6754" w:rsidP="00CE728D">
            <w:pPr>
              <w:adjustRightInd w:val="0"/>
              <w:snapToGrid w:val="0"/>
              <w:jc w:val="center"/>
              <w:rPr>
                <w:rFonts w:ascii="宋体" w:hAnsi="宋体" w:cs="宋体"/>
                <w:szCs w:val="21"/>
              </w:rPr>
            </w:pPr>
          </w:p>
        </w:tc>
        <w:tc>
          <w:tcPr>
            <w:tcW w:w="3828" w:type="dxa"/>
            <w:vAlign w:val="center"/>
          </w:tcPr>
          <w:p w14:paraId="2E1A0B55" w14:textId="5CAE42DD" w:rsidR="007D6754" w:rsidRPr="00CE728D" w:rsidRDefault="007D6754" w:rsidP="00CE728D">
            <w:pPr>
              <w:adjustRightInd w:val="0"/>
              <w:snapToGrid w:val="0"/>
              <w:jc w:val="center"/>
              <w:rPr>
                <w:rFonts w:ascii="宋体" w:hAnsi="宋体" w:cs="宋体"/>
                <w:szCs w:val="21"/>
              </w:rPr>
            </w:pPr>
          </w:p>
        </w:tc>
      </w:tr>
      <w:tr w:rsidR="007D6754" w:rsidRPr="00CE728D" w14:paraId="0B8F1198" w14:textId="77777777" w:rsidTr="00CE728D">
        <w:trPr>
          <w:trHeight w:val="567"/>
          <w:jc w:val="center"/>
        </w:trPr>
        <w:tc>
          <w:tcPr>
            <w:tcW w:w="828" w:type="dxa"/>
            <w:vAlign w:val="center"/>
          </w:tcPr>
          <w:p w14:paraId="5FB7179F" w14:textId="234C1D04"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0E1209A7" w14:textId="7D7C4410" w:rsidR="007D6754" w:rsidRPr="00CE728D" w:rsidRDefault="007D6754" w:rsidP="00CE728D">
            <w:pPr>
              <w:adjustRightInd w:val="0"/>
              <w:snapToGrid w:val="0"/>
              <w:jc w:val="center"/>
              <w:rPr>
                <w:rFonts w:ascii="宋体" w:hAnsi="宋体" w:cs="宋体"/>
                <w:szCs w:val="21"/>
              </w:rPr>
            </w:pPr>
          </w:p>
        </w:tc>
        <w:tc>
          <w:tcPr>
            <w:tcW w:w="5101" w:type="dxa"/>
            <w:vAlign w:val="center"/>
          </w:tcPr>
          <w:p w14:paraId="65090BCE" w14:textId="05B7F69B" w:rsidR="007D6754" w:rsidRPr="00CE728D" w:rsidRDefault="007D6754" w:rsidP="00CE728D">
            <w:pPr>
              <w:adjustRightInd w:val="0"/>
              <w:snapToGrid w:val="0"/>
              <w:jc w:val="center"/>
              <w:rPr>
                <w:rFonts w:ascii="宋体" w:hAnsi="宋体" w:cs="宋体"/>
                <w:szCs w:val="21"/>
              </w:rPr>
            </w:pPr>
          </w:p>
        </w:tc>
        <w:tc>
          <w:tcPr>
            <w:tcW w:w="850" w:type="dxa"/>
            <w:vAlign w:val="center"/>
          </w:tcPr>
          <w:p w14:paraId="2716CA42" w14:textId="20F58339" w:rsidR="007D6754" w:rsidRPr="00CE728D" w:rsidRDefault="007D6754" w:rsidP="00CE728D">
            <w:pPr>
              <w:adjustRightInd w:val="0"/>
              <w:snapToGrid w:val="0"/>
              <w:jc w:val="center"/>
              <w:rPr>
                <w:rFonts w:ascii="宋体" w:hAnsi="宋体" w:cs="宋体"/>
                <w:szCs w:val="21"/>
              </w:rPr>
            </w:pPr>
          </w:p>
        </w:tc>
        <w:tc>
          <w:tcPr>
            <w:tcW w:w="3828" w:type="dxa"/>
            <w:vAlign w:val="center"/>
          </w:tcPr>
          <w:p w14:paraId="305A1973" w14:textId="0F112CEF" w:rsidR="007D6754" w:rsidRPr="00CE728D" w:rsidRDefault="007D6754" w:rsidP="00CE728D">
            <w:pPr>
              <w:adjustRightInd w:val="0"/>
              <w:snapToGrid w:val="0"/>
              <w:jc w:val="center"/>
              <w:rPr>
                <w:rFonts w:ascii="宋体" w:hAnsi="宋体" w:cs="宋体"/>
                <w:szCs w:val="21"/>
              </w:rPr>
            </w:pPr>
          </w:p>
        </w:tc>
      </w:tr>
      <w:tr w:rsidR="007D6754" w:rsidRPr="00CE728D" w14:paraId="1671DE17" w14:textId="77777777" w:rsidTr="00CE728D">
        <w:trPr>
          <w:trHeight w:val="567"/>
          <w:jc w:val="center"/>
        </w:trPr>
        <w:tc>
          <w:tcPr>
            <w:tcW w:w="828" w:type="dxa"/>
            <w:vAlign w:val="center"/>
          </w:tcPr>
          <w:p w14:paraId="0AA2AC45" w14:textId="77412634"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1DB78173" w14:textId="3EDB1F00" w:rsidR="007D6754" w:rsidRPr="00CE728D" w:rsidRDefault="007D6754" w:rsidP="00CE728D">
            <w:pPr>
              <w:adjustRightInd w:val="0"/>
              <w:snapToGrid w:val="0"/>
              <w:jc w:val="center"/>
              <w:rPr>
                <w:rFonts w:ascii="宋体" w:hAnsi="宋体" w:cs="宋体"/>
                <w:szCs w:val="21"/>
              </w:rPr>
            </w:pPr>
          </w:p>
        </w:tc>
        <w:tc>
          <w:tcPr>
            <w:tcW w:w="5101" w:type="dxa"/>
            <w:vAlign w:val="center"/>
          </w:tcPr>
          <w:p w14:paraId="23EDDCF7" w14:textId="0E7BCFAF" w:rsidR="007D6754" w:rsidRPr="00CE728D" w:rsidRDefault="007D6754" w:rsidP="00CE728D">
            <w:pPr>
              <w:adjustRightInd w:val="0"/>
              <w:snapToGrid w:val="0"/>
              <w:jc w:val="center"/>
              <w:rPr>
                <w:rFonts w:ascii="宋体" w:hAnsi="宋体" w:cs="宋体"/>
                <w:szCs w:val="21"/>
              </w:rPr>
            </w:pPr>
          </w:p>
        </w:tc>
        <w:tc>
          <w:tcPr>
            <w:tcW w:w="850" w:type="dxa"/>
            <w:vAlign w:val="center"/>
          </w:tcPr>
          <w:p w14:paraId="7742AE71" w14:textId="73C95982" w:rsidR="007D6754" w:rsidRPr="00CE728D" w:rsidRDefault="007D6754" w:rsidP="00CE728D">
            <w:pPr>
              <w:adjustRightInd w:val="0"/>
              <w:snapToGrid w:val="0"/>
              <w:jc w:val="center"/>
              <w:rPr>
                <w:rFonts w:ascii="宋体" w:hAnsi="宋体" w:cs="宋体"/>
                <w:szCs w:val="21"/>
              </w:rPr>
            </w:pPr>
          </w:p>
        </w:tc>
        <w:tc>
          <w:tcPr>
            <w:tcW w:w="3828" w:type="dxa"/>
            <w:vAlign w:val="center"/>
          </w:tcPr>
          <w:p w14:paraId="542B2687" w14:textId="3A01D807" w:rsidR="007D6754" w:rsidRPr="00CE728D" w:rsidRDefault="007D6754" w:rsidP="00CE728D">
            <w:pPr>
              <w:adjustRightInd w:val="0"/>
              <w:snapToGrid w:val="0"/>
              <w:jc w:val="center"/>
              <w:rPr>
                <w:rFonts w:ascii="宋体" w:hAnsi="宋体" w:cs="宋体"/>
                <w:szCs w:val="21"/>
              </w:rPr>
            </w:pPr>
          </w:p>
        </w:tc>
      </w:tr>
      <w:tr w:rsidR="007D6754" w:rsidRPr="00CE728D" w14:paraId="1783C66F" w14:textId="77777777" w:rsidTr="00CE728D">
        <w:trPr>
          <w:trHeight w:val="567"/>
          <w:jc w:val="center"/>
        </w:trPr>
        <w:tc>
          <w:tcPr>
            <w:tcW w:w="828" w:type="dxa"/>
            <w:vAlign w:val="center"/>
          </w:tcPr>
          <w:p w14:paraId="2961D20D" w14:textId="242E87A2"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28C41152" w14:textId="0846EE3E" w:rsidR="007D6754" w:rsidRPr="00CE728D" w:rsidRDefault="007D6754" w:rsidP="00CE728D">
            <w:pPr>
              <w:adjustRightInd w:val="0"/>
              <w:snapToGrid w:val="0"/>
              <w:jc w:val="center"/>
              <w:rPr>
                <w:rFonts w:ascii="宋体" w:hAnsi="宋体" w:cs="宋体"/>
                <w:szCs w:val="21"/>
              </w:rPr>
            </w:pPr>
          </w:p>
        </w:tc>
        <w:tc>
          <w:tcPr>
            <w:tcW w:w="5101" w:type="dxa"/>
            <w:vAlign w:val="center"/>
          </w:tcPr>
          <w:p w14:paraId="04D92D0B" w14:textId="7E75CD03" w:rsidR="007D6754" w:rsidRPr="00CE728D" w:rsidRDefault="007D6754" w:rsidP="00CE728D">
            <w:pPr>
              <w:adjustRightInd w:val="0"/>
              <w:snapToGrid w:val="0"/>
              <w:jc w:val="center"/>
              <w:rPr>
                <w:rFonts w:ascii="宋体" w:hAnsi="宋体" w:cs="宋体"/>
                <w:szCs w:val="21"/>
              </w:rPr>
            </w:pPr>
          </w:p>
        </w:tc>
        <w:tc>
          <w:tcPr>
            <w:tcW w:w="850" w:type="dxa"/>
            <w:vAlign w:val="center"/>
          </w:tcPr>
          <w:p w14:paraId="1AA19F98" w14:textId="1A09A118" w:rsidR="007D6754" w:rsidRPr="00CE728D" w:rsidRDefault="007D6754" w:rsidP="00CE728D">
            <w:pPr>
              <w:adjustRightInd w:val="0"/>
              <w:snapToGrid w:val="0"/>
              <w:jc w:val="center"/>
              <w:rPr>
                <w:rFonts w:ascii="宋体" w:hAnsi="宋体" w:cs="宋体"/>
                <w:szCs w:val="21"/>
              </w:rPr>
            </w:pPr>
          </w:p>
        </w:tc>
        <w:tc>
          <w:tcPr>
            <w:tcW w:w="3828" w:type="dxa"/>
            <w:vAlign w:val="center"/>
          </w:tcPr>
          <w:p w14:paraId="45743E38" w14:textId="1963859D" w:rsidR="007D6754" w:rsidRPr="00CE728D" w:rsidRDefault="007D6754" w:rsidP="00CE728D">
            <w:pPr>
              <w:adjustRightInd w:val="0"/>
              <w:snapToGrid w:val="0"/>
              <w:jc w:val="center"/>
              <w:rPr>
                <w:rFonts w:ascii="宋体" w:hAnsi="宋体" w:cs="宋体"/>
                <w:szCs w:val="21"/>
              </w:rPr>
            </w:pPr>
          </w:p>
        </w:tc>
      </w:tr>
      <w:tr w:rsidR="007D6754" w:rsidRPr="00CE728D" w14:paraId="53F0E578" w14:textId="77777777" w:rsidTr="00CE728D">
        <w:trPr>
          <w:trHeight w:val="567"/>
          <w:jc w:val="center"/>
        </w:trPr>
        <w:tc>
          <w:tcPr>
            <w:tcW w:w="828" w:type="dxa"/>
            <w:vAlign w:val="center"/>
          </w:tcPr>
          <w:p w14:paraId="35604CDE" w14:textId="6A3B923B"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A71B17F" w14:textId="23896D87" w:rsidR="007D6754" w:rsidRPr="00CE728D" w:rsidRDefault="007D6754" w:rsidP="00CE728D">
            <w:pPr>
              <w:adjustRightInd w:val="0"/>
              <w:snapToGrid w:val="0"/>
              <w:jc w:val="center"/>
              <w:rPr>
                <w:rFonts w:ascii="宋体" w:hAnsi="宋体" w:cs="宋体"/>
                <w:szCs w:val="21"/>
              </w:rPr>
            </w:pPr>
          </w:p>
        </w:tc>
        <w:tc>
          <w:tcPr>
            <w:tcW w:w="5101" w:type="dxa"/>
            <w:vAlign w:val="center"/>
          </w:tcPr>
          <w:p w14:paraId="06B32E9B" w14:textId="51CF94B9" w:rsidR="007D6754" w:rsidRPr="00CE728D" w:rsidRDefault="007D6754" w:rsidP="00CE728D">
            <w:pPr>
              <w:adjustRightInd w:val="0"/>
              <w:snapToGrid w:val="0"/>
              <w:jc w:val="center"/>
              <w:rPr>
                <w:rFonts w:ascii="宋体" w:hAnsi="宋体" w:cs="宋体"/>
                <w:szCs w:val="21"/>
              </w:rPr>
            </w:pPr>
          </w:p>
        </w:tc>
        <w:tc>
          <w:tcPr>
            <w:tcW w:w="850" w:type="dxa"/>
            <w:vAlign w:val="center"/>
          </w:tcPr>
          <w:p w14:paraId="230F9F24" w14:textId="7202003A" w:rsidR="007D6754" w:rsidRPr="00CE728D" w:rsidRDefault="007D6754" w:rsidP="00CE728D">
            <w:pPr>
              <w:adjustRightInd w:val="0"/>
              <w:snapToGrid w:val="0"/>
              <w:jc w:val="center"/>
              <w:rPr>
                <w:rFonts w:ascii="宋体" w:hAnsi="宋体" w:cs="宋体"/>
                <w:szCs w:val="21"/>
              </w:rPr>
            </w:pPr>
          </w:p>
        </w:tc>
        <w:tc>
          <w:tcPr>
            <w:tcW w:w="3828" w:type="dxa"/>
            <w:vAlign w:val="center"/>
          </w:tcPr>
          <w:p w14:paraId="2958EFB6" w14:textId="281613CA" w:rsidR="007D6754" w:rsidRPr="00CE728D" w:rsidRDefault="007D6754" w:rsidP="00CE728D">
            <w:pPr>
              <w:adjustRightInd w:val="0"/>
              <w:snapToGrid w:val="0"/>
              <w:jc w:val="center"/>
              <w:rPr>
                <w:rFonts w:ascii="宋体" w:hAnsi="宋体" w:cs="宋体"/>
                <w:szCs w:val="21"/>
              </w:rPr>
            </w:pPr>
          </w:p>
        </w:tc>
      </w:tr>
      <w:tr w:rsidR="007D6754" w:rsidRPr="00CE728D" w14:paraId="0E73B65F" w14:textId="77777777" w:rsidTr="00CE728D">
        <w:trPr>
          <w:trHeight w:val="567"/>
          <w:jc w:val="center"/>
        </w:trPr>
        <w:tc>
          <w:tcPr>
            <w:tcW w:w="828" w:type="dxa"/>
            <w:vAlign w:val="center"/>
          </w:tcPr>
          <w:p w14:paraId="5BA009F4" w14:textId="40838524"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25AABBEB" w14:textId="2D6CC30D" w:rsidR="007D6754" w:rsidRPr="00CE728D" w:rsidRDefault="007D6754" w:rsidP="00CE728D">
            <w:pPr>
              <w:adjustRightInd w:val="0"/>
              <w:snapToGrid w:val="0"/>
              <w:jc w:val="center"/>
              <w:rPr>
                <w:rFonts w:ascii="宋体" w:hAnsi="宋体" w:cs="宋体"/>
                <w:szCs w:val="21"/>
              </w:rPr>
            </w:pPr>
          </w:p>
        </w:tc>
        <w:tc>
          <w:tcPr>
            <w:tcW w:w="5101" w:type="dxa"/>
            <w:vAlign w:val="center"/>
          </w:tcPr>
          <w:p w14:paraId="21F7FDE4" w14:textId="31769632" w:rsidR="007D6754" w:rsidRPr="00CE728D" w:rsidRDefault="007D6754" w:rsidP="00CE728D">
            <w:pPr>
              <w:adjustRightInd w:val="0"/>
              <w:snapToGrid w:val="0"/>
              <w:jc w:val="center"/>
              <w:rPr>
                <w:rFonts w:ascii="宋体" w:hAnsi="宋体" w:cs="宋体"/>
                <w:szCs w:val="21"/>
              </w:rPr>
            </w:pPr>
          </w:p>
        </w:tc>
        <w:tc>
          <w:tcPr>
            <w:tcW w:w="850" w:type="dxa"/>
            <w:vAlign w:val="center"/>
          </w:tcPr>
          <w:p w14:paraId="41D3CD4C" w14:textId="002F4BAB" w:rsidR="007D6754" w:rsidRPr="00CE728D" w:rsidRDefault="007D6754" w:rsidP="00CE728D">
            <w:pPr>
              <w:adjustRightInd w:val="0"/>
              <w:snapToGrid w:val="0"/>
              <w:jc w:val="center"/>
              <w:rPr>
                <w:rFonts w:ascii="宋体" w:hAnsi="宋体" w:cs="宋体"/>
                <w:szCs w:val="21"/>
              </w:rPr>
            </w:pPr>
          </w:p>
        </w:tc>
        <w:tc>
          <w:tcPr>
            <w:tcW w:w="3828" w:type="dxa"/>
            <w:vAlign w:val="center"/>
          </w:tcPr>
          <w:p w14:paraId="7577C2A9" w14:textId="0A65D880" w:rsidR="007D6754" w:rsidRPr="00CE728D" w:rsidRDefault="007D6754" w:rsidP="00CE728D">
            <w:pPr>
              <w:adjustRightInd w:val="0"/>
              <w:snapToGrid w:val="0"/>
              <w:jc w:val="center"/>
              <w:rPr>
                <w:rFonts w:ascii="宋体" w:hAnsi="宋体" w:cs="宋体"/>
                <w:szCs w:val="21"/>
              </w:rPr>
            </w:pPr>
          </w:p>
        </w:tc>
      </w:tr>
      <w:tr w:rsidR="007D6754" w:rsidRPr="00CE728D" w14:paraId="280812A0" w14:textId="77777777" w:rsidTr="00CE728D">
        <w:trPr>
          <w:trHeight w:val="567"/>
          <w:jc w:val="center"/>
        </w:trPr>
        <w:tc>
          <w:tcPr>
            <w:tcW w:w="828" w:type="dxa"/>
            <w:vAlign w:val="center"/>
          </w:tcPr>
          <w:p w14:paraId="0828206C" w14:textId="77777777" w:rsidR="007D6754" w:rsidRPr="00CE728D" w:rsidRDefault="007D6754" w:rsidP="00CE728D">
            <w:pPr>
              <w:adjustRightInd w:val="0"/>
              <w:snapToGrid w:val="0"/>
              <w:jc w:val="center"/>
              <w:rPr>
                <w:rFonts w:ascii="宋体" w:hAnsi="宋体" w:cs="宋体"/>
                <w:szCs w:val="21"/>
              </w:rPr>
            </w:pPr>
          </w:p>
        </w:tc>
        <w:tc>
          <w:tcPr>
            <w:tcW w:w="12038" w:type="dxa"/>
            <w:gridSpan w:val="4"/>
            <w:vAlign w:val="center"/>
          </w:tcPr>
          <w:p w14:paraId="067094C6" w14:textId="0C827F82" w:rsidR="007D6754" w:rsidRPr="00CE728D" w:rsidRDefault="007D6754" w:rsidP="00CE728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p>
        </w:tc>
      </w:tr>
      <w:tr w:rsidR="007D6754" w:rsidRPr="00CE728D" w14:paraId="4442DACE" w14:textId="77777777" w:rsidTr="00CE728D">
        <w:trPr>
          <w:trHeight w:val="567"/>
          <w:jc w:val="center"/>
        </w:trPr>
        <w:tc>
          <w:tcPr>
            <w:tcW w:w="828" w:type="dxa"/>
            <w:vAlign w:val="center"/>
          </w:tcPr>
          <w:p w14:paraId="58BF3B6C" w14:textId="1D7618A1"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3B577A06" w14:textId="198BA643" w:rsidR="007D6754" w:rsidRPr="00CE728D" w:rsidRDefault="007D6754" w:rsidP="00CE728D">
            <w:pPr>
              <w:adjustRightInd w:val="0"/>
              <w:snapToGrid w:val="0"/>
              <w:jc w:val="center"/>
              <w:rPr>
                <w:rFonts w:ascii="宋体" w:hAnsi="宋体" w:cs="宋体"/>
                <w:szCs w:val="21"/>
              </w:rPr>
            </w:pPr>
          </w:p>
        </w:tc>
        <w:tc>
          <w:tcPr>
            <w:tcW w:w="5101" w:type="dxa"/>
            <w:vAlign w:val="center"/>
          </w:tcPr>
          <w:p w14:paraId="25F0FF37" w14:textId="56BC86C9" w:rsidR="007D6754" w:rsidRPr="00CE728D" w:rsidRDefault="007D6754" w:rsidP="00CE728D">
            <w:pPr>
              <w:adjustRightInd w:val="0"/>
              <w:snapToGrid w:val="0"/>
              <w:jc w:val="center"/>
              <w:rPr>
                <w:rFonts w:ascii="宋体" w:hAnsi="宋体" w:cs="宋体"/>
                <w:szCs w:val="21"/>
              </w:rPr>
            </w:pPr>
          </w:p>
        </w:tc>
        <w:tc>
          <w:tcPr>
            <w:tcW w:w="850" w:type="dxa"/>
            <w:vAlign w:val="center"/>
          </w:tcPr>
          <w:p w14:paraId="297B9BF3" w14:textId="1DAB7BE3" w:rsidR="007D6754" w:rsidRPr="00CE728D" w:rsidRDefault="007D6754" w:rsidP="00CE728D">
            <w:pPr>
              <w:adjustRightInd w:val="0"/>
              <w:snapToGrid w:val="0"/>
              <w:jc w:val="center"/>
              <w:rPr>
                <w:rFonts w:ascii="宋体" w:hAnsi="宋体" w:cs="宋体"/>
                <w:szCs w:val="21"/>
              </w:rPr>
            </w:pPr>
          </w:p>
        </w:tc>
        <w:tc>
          <w:tcPr>
            <w:tcW w:w="3828" w:type="dxa"/>
            <w:vAlign w:val="center"/>
          </w:tcPr>
          <w:p w14:paraId="061A913F" w14:textId="49DC2605" w:rsidR="007D6754" w:rsidRPr="00CE728D" w:rsidRDefault="007D6754" w:rsidP="00CE728D">
            <w:pPr>
              <w:adjustRightInd w:val="0"/>
              <w:snapToGrid w:val="0"/>
              <w:jc w:val="center"/>
              <w:rPr>
                <w:rFonts w:ascii="宋体" w:hAnsi="宋体" w:cs="宋体"/>
                <w:szCs w:val="21"/>
              </w:rPr>
            </w:pPr>
          </w:p>
        </w:tc>
      </w:tr>
      <w:tr w:rsidR="007D6754" w:rsidRPr="00CE728D" w14:paraId="15FC9DCB" w14:textId="77777777" w:rsidTr="00CE728D">
        <w:trPr>
          <w:trHeight w:val="567"/>
          <w:jc w:val="center"/>
        </w:trPr>
        <w:tc>
          <w:tcPr>
            <w:tcW w:w="828" w:type="dxa"/>
            <w:vAlign w:val="center"/>
          </w:tcPr>
          <w:p w14:paraId="53D0DE29" w14:textId="49AF127E"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0EE7B61F" w14:textId="1484E76E" w:rsidR="007D6754" w:rsidRPr="00CE728D" w:rsidRDefault="007D6754" w:rsidP="00CE728D">
            <w:pPr>
              <w:adjustRightInd w:val="0"/>
              <w:snapToGrid w:val="0"/>
              <w:jc w:val="center"/>
              <w:rPr>
                <w:rFonts w:ascii="宋体" w:hAnsi="宋体" w:cs="宋体"/>
                <w:szCs w:val="21"/>
              </w:rPr>
            </w:pPr>
          </w:p>
        </w:tc>
        <w:tc>
          <w:tcPr>
            <w:tcW w:w="5101" w:type="dxa"/>
            <w:vAlign w:val="center"/>
          </w:tcPr>
          <w:p w14:paraId="6A4273F6" w14:textId="5FF3515B" w:rsidR="007D6754" w:rsidRPr="00CE728D" w:rsidRDefault="007D6754" w:rsidP="00CE728D">
            <w:pPr>
              <w:adjustRightInd w:val="0"/>
              <w:snapToGrid w:val="0"/>
              <w:jc w:val="center"/>
              <w:rPr>
                <w:rFonts w:ascii="宋体" w:hAnsi="宋体" w:cs="宋体"/>
                <w:szCs w:val="21"/>
              </w:rPr>
            </w:pPr>
          </w:p>
        </w:tc>
        <w:tc>
          <w:tcPr>
            <w:tcW w:w="850" w:type="dxa"/>
            <w:vAlign w:val="center"/>
          </w:tcPr>
          <w:p w14:paraId="1267A71F" w14:textId="2D34DC47" w:rsidR="007D6754" w:rsidRPr="00CE728D" w:rsidRDefault="007D6754" w:rsidP="00CE728D">
            <w:pPr>
              <w:adjustRightInd w:val="0"/>
              <w:snapToGrid w:val="0"/>
              <w:jc w:val="center"/>
              <w:rPr>
                <w:rFonts w:ascii="宋体" w:hAnsi="宋体" w:cs="宋体"/>
                <w:szCs w:val="21"/>
              </w:rPr>
            </w:pPr>
          </w:p>
        </w:tc>
        <w:tc>
          <w:tcPr>
            <w:tcW w:w="3828" w:type="dxa"/>
            <w:vAlign w:val="center"/>
          </w:tcPr>
          <w:p w14:paraId="2D830251" w14:textId="569BAC7B" w:rsidR="007D6754" w:rsidRPr="00CE728D" w:rsidRDefault="007D6754" w:rsidP="00CE728D">
            <w:pPr>
              <w:adjustRightInd w:val="0"/>
              <w:snapToGrid w:val="0"/>
              <w:jc w:val="center"/>
              <w:rPr>
                <w:rFonts w:ascii="宋体" w:hAnsi="宋体" w:cs="宋体"/>
                <w:szCs w:val="21"/>
              </w:rPr>
            </w:pPr>
          </w:p>
        </w:tc>
      </w:tr>
      <w:tr w:rsidR="007D6754" w:rsidRPr="00CE728D" w14:paraId="152CF960" w14:textId="77777777" w:rsidTr="00CE728D">
        <w:trPr>
          <w:trHeight w:val="567"/>
          <w:jc w:val="center"/>
        </w:trPr>
        <w:tc>
          <w:tcPr>
            <w:tcW w:w="828" w:type="dxa"/>
            <w:vAlign w:val="center"/>
          </w:tcPr>
          <w:p w14:paraId="173E2959" w14:textId="19A9FA9D"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6C50270" w14:textId="0352C707" w:rsidR="007D6754" w:rsidRPr="00CE728D" w:rsidRDefault="007D6754" w:rsidP="00CE728D">
            <w:pPr>
              <w:adjustRightInd w:val="0"/>
              <w:snapToGrid w:val="0"/>
              <w:jc w:val="center"/>
              <w:rPr>
                <w:rFonts w:ascii="宋体" w:hAnsi="宋体" w:cs="宋体"/>
                <w:szCs w:val="21"/>
              </w:rPr>
            </w:pPr>
          </w:p>
        </w:tc>
        <w:tc>
          <w:tcPr>
            <w:tcW w:w="5101" w:type="dxa"/>
            <w:vAlign w:val="center"/>
          </w:tcPr>
          <w:p w14:paraId="0EFB6AFE" w14:textId="3FF70A4B" w:rsidR="007D6754" w:rsidRPr="00CE728D" w:rsidRDefault="007D6754" w:rsidP="00CE728D">
            <w:pPr>
              <w:adjustRightInd w:val="0"/>
              <w:snapToGrid w:val="0"/>
              <w:jc w:val="center"/>
              <w:rPr>
                <w:rFonts w:ascii="宋体" w:hAnsi="宋体" w:cs="宋体"/>
                <w:szCs w:val="21"/>
              </w:rPr>
            </w:pPr>
          </w:p>
        </w:tc>
        <w:tc>
          <w:tcPr>
            <w:tcW w:w="850" w:type="dxa"/>
            <w:vAlign w:val="center"/>
          </w:tcPr>
          <w:p w14:paraId="5E443FC1" w14:textId="373D2667" w:rsidR="007D6754" w:rsidRPr="00CE728D" w:rsidRDefault="007D6754" w:rsidP="00CE728D">
            <w:pPr>
              <w:adjustRightInd w:val="0"/>
              <w:snapToGrid w:val="0"/>
              <w:jc w:val="center"/>
              <w:rPr>
                <w:rFonts w:ascii="宋体" w:hAnsi="宋体" w:cs="宋体"/>
                <w:szCs w:val="21"/>
              </w:rPr>
            </w:pPr>
          </w:p>
        </w:tc>
        <w:tc>
          <w:tcPr>
            <w:tcW w:w="3828" w:type="dxa"/>
            <w:vAlign w:val="center"/>
          </w:tcPr>
          <w:p w14:paraId="7B4EB2C4" w14:textId="5C655A11" w:rsidR="007D6754" w:rsidRPr="00CE728D" w:rsidRDefault="007D6754" w:rsidP="00CE728D">
            <w:pPr>
              <w:adjustRightInd w:val="0"/>
              <w:snapToGrid w:val="0"/>
              <w:jc w:val="center"/>
              <w:rPr>
                <w:rFonts w:ascii="宋体" w:hAnsi="宋体" w:cs="宋体"/>
                <w:szCs w:val="21"/>
              </w:rPr>
            </w:pPr>
          </w:p>
        </w:tc>
      </w:tr>
      <w:tr w:rsidR="007D6754" w:rsidRPr="00CE728D" w14:paraId="7CF31540" w14:textId="77777777" w:rsidTr="00CE728D">
        <w:trPr>
          <w:trHeight w:val="567"/>
          <w:jc w:val="center"/>
        </w:trPr>
        <w:tc>
          <w:tcPr>
            <w:tcW w:w="828" w:type="dxa"/>
            <w:vAlign w:val="center"/>
          </w:tcPr>
          <w:p w14:paraId="79678833" w14:textId="474EDD60"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13E112CD" w14:textId="6C8F0F67" w:rsidR="007D6754" w:rsidRPr="00CE728D" w:rsidRDefault="007D6754" w:rsidP="00CE728D">
            <w:pPr>
              <w:adjustRightInd w:val="0"/>
              <w:snapToGrid w:val="0"/>
              <w:jc w:val="center"/>
              <w:rPr>
                <w:rFonts w:ascii="宋体" w:hAnsi="宋体" w:cs="宋体"/>
                <w:szCs w:val="21"/>
              </w:rPr>
            </w:pPr>
          </w:p>
        </w:tc>
        <w:tc>
          <w:tcPr>
            <w:tcW w:w="5101" w:type="dxa"/>
            <w:vAlign w:val="center"/>
          </w:tcPr>
          <w:p w14:paraId="3C9B0921" w14:textId="31643697" w:rsidR="007D6754" w:rsidRPr="00CE728D" w:rsidRDefault="007D6754" w:rsidP="00CE728D">
            <w:pPr>
              <w:adjustRightInd w:val="0"/>
              <w:snapToGrid w:val="0"/>
              <w:jc w:val="center"/>
              <w:rPr>
                <w:rFonts w:ascii="宋体" w:hAnsi="宋体" w:cs="宋体"/>
                <w:szCs w:val="21"/>
              </w:rPr>
            </w:pPr>
          </w:p>
        </w:tc>
        <w:tc>
          <w:tcPr>
            <w:tcW w:w="850" w:type="dxa"/>
            <w:vAlign w:val="center"/>
          </w:tcPr>
          <w:p w14:paraId="22BA1BD8" w14:textId="01F865C0" w:rsidR="007D6754" w:rsidRPr="00CE728D" w:rsidRDefault="007D6754" w:rsidP="00CE728D">
            <w:pPr>
              <w:adjustRightInd w:val="0"/>
              <w:snapToGrid w:val="0"/>
              <w:jc w:val="center"/>
              <w:rPr>
                <w:rFonts w:ascii="宋体" w:hAnsi="宋体" w:cs="宋体"/>
                <w:szCs w:val="21"/>
              </w:rPr>
            </w:pPr>
          </w:p>
        </w:tc>
        <w:tc>
          <w:tcPr>
            <w:tcW w:w="3828" w:type="dxa"/>
            <w:vAlign w:val="center"/>
          </w:tcPr>
          <w:p w14:paraId="58CAF3AD" w14:textId="29000CD1" w:rsidR="007D6754" w:rsidRPr="00CE728D" w:rsidRDefault="007D6754" w:rsidP="00CE728D">
            <w:pPr>
              <w:adjustRightInd w:val="0"/>
              <w:snapToGrid w:val="0"/>
              <w:jc w:val="center"/>
              <w:rPr>
                <w:rFonts w:ascii="宋体" w:hAnsi="宋体" w:cs="宋体"/>
                <w:szCs w:val="21"/>
              </w:rPr>
            </w:pPr>
          </w:p>
        </w:tc>
      </w:tr>
      <w:tr w:rsidR="007D6754" w:rsidRPr="00CE728D" w14:paraId="4CF1E546" w14:textId="77777777" w:rsidTr="00CE728D">
        <w:trPr>
          <w:trHeight w:val="567"/>
          <w:jc w:val="center"/>
        </w:trPr>
        <w:tc>
          <w:tcPr>
            <w:tcW w:w="828" w:type="dxa"/>
            <w:vAlign w:val="center"/>
          </w:tcPr>
          <w:p w14:paraId="14833D8D" w14:textId="718D121F"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09DD0319" w14:textId="539AB7E1" w:rsidR="007D6754" w:rsidRPr="00CE728D" w:rsidRDefault="007D6754" w:rsidP="00CE728D">
            <w:pPr>
              <w:adjustRightInd w:val="0"/>
              <w:snapToGrid w:val="0"/>
              <w:jc w:val="center"/>
              <w:rPr>
                <w:rFonts w:ascii="宋体" w:hAnsi="宋体" w:cs="宋体"/>
                <w:szCs w:val="21"/>
              </w:rPr>
            </w:pPr>
          </w:p>
        </w:tc>
        <w:tc>
          <w:tcPr>
            <w:tcW w:w="5101" w:type="dxa"/>
            <w:vAlign w:val="center"/>
          </w:tcPr>
          <w:p w14:paraId="7ECC8462" w14:textId="20395C68" w:rsidR="007D6754" w:rsidRPr="00CE728D" w:rsidRDefault="007D6754" w:rsidP="00CE728D">
            <w:pPr>
              <w:adjustRightInd w:val="0"/>
              <w:snapToGrid w:val="0"/>
              <w:jc w:val="center"/>
              <w:rPr>
                <w:rFonts w:ascii="宋体" w:hAnsi="宋体" w:cs="宋体"/>
                <w:szCs w:val="21"/>
              </w:rPr>
            </w:pPr>
          </w:p>
        </w:tc>
        <w:tc>
          <w:tcPr>
            <w:tcW w:w="850" w:type="dxa"/>
            <w:vAlign w:val="center"/>
          </w:tcPr>
          <w:p w14:paraId="06FFAD8C" w14:textId="1876CA3E" w:rsidR="007D6754" w:rsidRPr="00CE728D" w:rsidRDefault="007D6754" w:rsidP="00CE728D">
            <w:pPr>
              <w:adjustRightInd w:val="0"/>
              <w:snapToGrid w:val="0"/>
              <w:jc w:val="center"/>
              <w:rPr>
                <w:rFonts w:ascii="宋体" w:hAnsi="宋体" w:cs="宋体"/>
                <w:szCs w:val="21"/>
              </w:rPr>
            </w:pPr>
          </w:p>
        </w:tc>
        <w:tc>
          <w:tcPr>
            <w:tcW w:w="3828" w:type="dxa"/>
            <w:vAlign w:val="center"/>
          </w:tcPr>
          <w:p w14:paraId="19B196C6" w14:textId="378F8890" w:rsidR="007D6754" w:rsidRPr="00CE728D" w:rsidRDefault="007D6754" w:rsidP="00CE728D">
            <w:pPr>
              <w:adjustRightInd w:val="0"/>
              <w:snapToGrid w:val="0"/>
              <w:jc w:val="center"/>
              <w:rPr>
                <w:rFonts w:ascii="宋体" w:hAnsi="宋体" w:cs="宋体"/>
                <w:szCs w:val="21"/>
              </w:rPr>
            </w:pPr>
          </w:p>
        </w:tc>
      </w:tr>
      <w:tr w:rsidR="007D6754" w:rsidRPr="00CE728D" w14:paraId="1C79AF08" w14:textId="77777777" w:rsidTr="00CE728D">
        <w:trPr>
          <w:trHeight w:val="567"/>
          <w:jc w:val="center"/>
        </w:trPr>
        <w:tc>
          <w:tcPr>
            <w:tcW w:w="828" w:type="dxa"/>
            <w:vAlign w:val="center"/>
          </w:tcPr>
          <w:p w14:paraId="76F582DF" w14:textId="2054A11A"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3AA9A0D" w14:textId="3B8960D5" w:rsidR="007D6754" w:rsidRPr="00CE728D" w:rsidRDefault="007D6754" w:rsidP="00CE728D">
            <w:pPr>
              <w:adjustRightInd w:val="0"/>
              <w:snapToGrid w:val="0"/>
              <w:jc w:val="center"/>
              <w:rPr>
                <w:rFonts w:ascii="宋体" w:hAnsi="宋体" w:cs="宋体"/>
                <w:szCs w:val="21"/>
              </w:rPr>
            </w:pPr>
          </w:p>
        </w:tc>
        <w:tc>
          <w:tcPr>
            <w:tcW w:w="5101" w:type="dxa"/>
            <w:vAlign w:val="center"/>
          </w:tcPr>
          <w:p w14:paraId="02E4B413" w14:textId="01CD4980" w:rsidR="007D6754" w:rsidRPr="00CE728D" w:rsidRDefault="007D6754" w:rsidP="00CE728D">
            <w:pPr>
              <w:adjustRightInd w:val="0"/>
              <w:snapToGrid w:val="0"/>
              <w:jc w:val="center"/>
              <w:rPr>
                <w:rFonts w:ascii="宋体" w:hAnsi="宋体" w:cs="宋体"/>
                <w:szCs w:val="21"/>
              </w:rPr>
            </w:pPr>
          </w:p>
        </w:tc>
        <w:tc>
          <w:tcPr>
            <w:tcW w:w="850" w:type="dxa"/>
            <w:vAlign w:val="center"/>
          </w:tcPr>
          <w:p w14:paraId="1ADCFE18" w14:textId="46A34CFC" w:rsidR="007D6754" w:rsidRPr="00CE728D" w:rsidRDefault="007D6754" w:rsidP="00CE728D">
            <w:pPr>
              <w:adjustRightInd w:val="0"/>
              <w:snapToGrid w:val="0"/>
              <w:jc w:val="center"/>
              <w:rPr>
                <w:rFonts w:ascii="宋体" w:hAnsi="宋体" w:cs="宋体"/>
                <w:szCs w:val="21"/>
              </w:rPr>
            </w:pPr>
          </w:p>
        </w:tc>
        <w:tc>
          <w:tcPr>
            <w:tcW w:w="3828" w:type="dxa"/>
            <w:vAlign w:val="center"/>
          </w:tcPr>
          <w:p w14:paraId="2B0C933F" w14:textId="4BFD11DE" w:rsidR="007D6754" w:rsidRPr="00CE728D" w:rsidRDefault="007D6754" w:rsidP="00CE728D">
            <w:pPr>
              <w:adjustRightInd w:val="0"/>
              <w:snapToGrid w:val="0"/>
              <w:jc w:val="center"/>
              <w:rPr>
                <w:rFonts w:ascii="宋体" w:hAnsi="宋体" w:cs="宋体"/>
                <w:szCs w:val="21"/>
              </w:rPr>
            </w:pPr>
          </w:p>
        </w:tc>
      </w:tr>
      <w:tr w:rsidR="007D6754" w:rsidRPr="00CE728D" w14:paraId="51447A5B" w14:textId="77777777" w:rsidTr="00CE728D">
        <w:trPr>
          <w:trHeight w:val="567"/>
          <w:jc w:val="center"/>
        </w:trPr>
        <w:tc>
          <w:tcPr>
            <w:tcW w:w="828" w:type="dxa"/>
            <w:vAlign w:val="center"/>
          </w:tcPr>
          <w:p w14:paraId="033C82E7" w14:textId="5E07F059"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37685D9" w14:textId="1EDEA260" w:rsidR="007D6754" w:rsidRPr="00CE728D" w:rsidRDefault="007D6754" w:rsidP="00CE728D">
            <w:pPr>
              <w:adjustRightInd w:val="0"/>
              <w:snapToGrid w:val="0"/>
              <w:jc w:val="center"/>
              <w:rPr>
                <w:rFonts w:ascii="宋体" w:hAnsi="宋体" w:cs="宋体"/>
                <w:szCs w:val="21"/>
              </w:rPr>
            </w:pPr>
          </w:p>
        </w:tc>
        <w:tc>
          <w:tcPr>
            <w:tcW w:w="5101" w:type="dxa"/>
            <w:vAlign w:val="center"/>
          </w:tcPr>
          <w:p w14:paraId="34F9BCF0" w14:textId="6F1BF6F9" w:rsidR="007D6754" w:rsidRPr="00CE728D" w:rsidRDefault="007D6754" w:rsidP="00CE728D">
            <w:pPr>
              <w:adjustRightInd w:val="0"/>
              <w:snapToGrid w:val="0"/>
              <w:jc w:val="center"/>
              <w:rPr>
                <w:rFonts w:ascii="宋体" w:hAnsi="宋体" w:cs="宋体"/>
                <w:szCs w:val="21"/>
              </w:rPr>
            </w:pPr>
          </w:p>
        </w:tc>
        <w:tc>
          <w:tcPr>
            <w:tcW w:w="850" w:type="dxa"/>
            <w:vAlign w:val="center"/>
          </w:tcPr>
          <w:p w14:paraId="6BD20B44" w14:textId="655E5627" w:rsidR="007D6754" w:rsidRPr="00CE728D" w:rsidRDefault="007D6754" w:rsidP="00CE728D">
            <w:pPr>
              <w:adjustRightInd w:val="0"/>
              <w:snapToGrid w:val="0"/>
              <w:jc w:val="center"/>
              <w:rPr>
                <w:rFonts w:ascii="宋体" w:hAnsi="宋体" w:cs="宋体"/>
                <w:szCs w:val="21"/>
              </w:rPr>
            </w:pPr>
          </w:p>
        </w:tc>
        <w:tc>
          <w:tcPr>
            <w:tcW w:w="3828" w:type="dxa"/>
            <w:vAlign w:val="center"/>
          </w:tcPr>
          <w:p w14:paraId="740725DD" w14:textId="69B52521" w:rsidR="007D6754" w:rsidRPr="00CE728D" w:rsidRDefault="007D6754" w:rsidP="00CE728D">
            <w:pPr>
              <w:adjustRightInd w:val="0"/>
              <w:snapToGrid w:val="0"/>
              <w:jc w:val="center"/>
              <w:rPr>
                <w:rFonts w:ascii="宋体" w:hAnsi="宋体" w:cs="宋体"/>
                <w:szCs w:val="21"/>
              </w:rPr>
            </w:pPr>
          </w:p>
        </w:tc>
      </w:tr>
      <w:tr w:rsidR="007D6754" w:rsidRPr="00CE728D" w14:paraId="2B9632CE" w14:textId="77777777" w:rsidTr="00CE728D">
        <w:trPr>
          <w:trHeight w:val="567"/>
          <w:jc w:val="center"/>
        </w:trPr>
        <w:tc>
          <w:tcPr>
            <w:tcW w:w="828" w:type="dxa"/>
            <w:vAlign w:val="center"/>
          </w:tcPr>
          <w:p w14:paraId="4B16E4A0" w14:textId="64A9FA37"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84DB9B9" w14:textId="3EC69E0C" w:rsidR="007D6754" w:rsidRPr="00CE728D" w:rsidRDefault="007D6754" w:rsidP="00CE728D">
            <w:pPr>
              <w:adjustRightInd w:val="0"/>
              <w:snapToGrid w:val="0"/>
              <w:jc w:val="center"/>
              <w:rPr>
                <w:rFonts w:ascii="宋体" w:hAnsi="宋体" w:cs="宋体"/>
                <w:szCs w:val="21"/>
              </w:rPr>
            </w:pPr>
          </w:p>
        </w:tc>
        <w:tc>
          <w:tcPr>
            <w:tcW w:w="5101" w:type="dxa"/>
            <w:vAlign w:val="center"/>
          </w:tcPr>
          <w:p w14:paraId="68DAC1C0" w14:textId="32493D6F" w:rsidR="007D6754" w:rsidRPr="00CE728D" w:rsidRDefault="007D6754" w:rsidP="00CE728D">
            <w:pPr>
              <w:adjustRightInd w:val="0"/>
              <w:snapToGrid w:val="0"/>
              <w:jc w:val="center"/>
              <w:rPr>
                <w:rFonts w:ascii="宋体" w:hAnsi="宋体" w:cs="宋体"/>
                <w:szCs w:val="21"/>
              </w:rPr>
            </w:pPr>
          </w:p>
        </w:tc>
        <w:tc>
          <w:tcPr>
            <w:tcW w:w="850" w:type="dxa"/>
            <w:vAlign w:val="center"/>
          </w:tcPr>
          <w:p w14:paraId="2B47D0E5" w14:textId="1BA8B58A" w:rsidR="007D6754" w:rsidRPr="00CE728D" w:rsidRDefault="007D6754" w:rsidP="00CE728D">
            <w:pPr>
              <w:adjustRightInd w:val="0"/>
              <w:snapToGrid w:val="0"/>
              <w:jc w:val="center"/>
              <w:rPr>
                <w:rFonts w:ascii="宋体" w:hAnsi="宋体" w:cs="宋体"/>
                <w:szCs w:val="21"/>
              </w:rPr>
            </w:pPr>
          </w:p>
        </w:tc>
        <w:tc>
          <w:tcPr>
            <w:tcW w:w="3828" w:type="dxa"/>
            <w:vAlign w:val="center"/>
          </w:tcPr>
          <w:p w14:paraId="7D25BB7A" w14:textId="719C7E5D" w:rsidR="007D6754" w:rsidRPr="00CE728D" w:rsidRDefault="007D6754" w:rsidP="00CE728D">
            <w:pPr>
              <w:adjustRightInd w:val="0"/>
              <w:snapToGrid w:val="0"/>
              <w:jc w:val="center"/>
              <w:rPr>
                <w:rFonts w:ascii="宋体" w:hAnsi="宋体" w:cs="宋体"/>
                <w:szCs w:val="21"/>
              </w:rPr>
            </w:pPr>
          </w:p>
        </w:tc>
      </w:tr>
      <w:tr w:rsidR="007D6754" w:rsidRPr="00CE728D" w14:paraId="47274471" w14:textId="77777777" w:rsidTr="00CE728D">
        <w:trPr>
          <w:trHeight w:val="567"/>
          <w:jc w:val="center"/>
        </w:trPr>
        <w:tc>
          <w:tcPr>
            <w:tcW w:w="828" w:type="dxa"/>
            <w:vAlign w:val="center"/>
          </w:tcPr>
          <w:p w14:paraId="3C27C980" w14:textId="77777777" w:rsidR="007D6754" w:rsidRPr="00CE728D" w:rsidRDefault="007D6754" w:rsidP="00CE728D">
            <w:pPr>
              <w:adjustRightInd w:val="0"/>
              <w:snapToGrid w:val="0"/>
              <w:jc w:val="center"/>
              <w:rPr>
                <w:rFonts w:ascii="宋体" w:hAnsi="宋体" w:cs="宋体"/>
                <w:szCs w:val="21"/>
              </w:rPr>
            </w:pPr>
          </w:p>
        </w:tc>
        <w:tc>
          <w:tcPr>
            <w:tcW w:w="12038" w:type="dxa"/>
            <w:gridSpan w:val="4"/>
            <w:vAlign w:val="center"/>
          </w:tcPr>
          <w:p w14:paraId="5D6A03F9" w14:textId="16D4BE41" w:rsidR="007D6754" w:rsidRPr="00CE728D" w:rsidRDefault="007D6754" w:rsidP="00CE728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p>
        </w:tc>
      </w:tr>
      <w:tr w:rsidR="007D6754" w:rsidRPr="00CE728D" w14:paraId="0E2682F0" w14:textId="77777777" w:rsidTr="00CE728D">
        <w:trPr>
          <w:trHeight w:val="567"/>
          <w:jc w:val="center"/>
        </w:trPr>
        <w:tc>
          <w:tcPr>
            <w:tcW w:w="828" w:type="dxa"/>
            <w:vAlign w:val="center"/>
          </w:tcPr>
          <w:p w14:paraId="48798CD9" w14:textId="4519EE1D"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7A1D4CF3" w14:textId="14F2E3CD" w:rsidR="007D6754" w:rsidRPr="00CE728D" w:rsidRDefault="007D6754" w:rsidP="00CE728D">
            <w:pPr>
              <w:adjustRightInd w:val="0"/>
              <w:snapToGrid w:val="0"/>
              <w:jc w:val="center"/>
              <w:rPr>
                <w:rFonts w:ascii="宋体" w:hAnsi="宋体" w:cs="宋体"/>
                <w:szCs w:val="21"/>
              </w:rPr>
            </w:pPr>
          </w:p>
        </w:tc>
        <w:tc>
          <w:tcPr>
            <w:tcW w:w="5101" w:type="dxa"/>
            <w:vAlign w:val="center"/>
          </w:tcPr>
          <w:p w14:paraId="511E0A9A" w14:textId="5F59D951" w:rsidR="007D6754" w:rsidRPr="00CE728D" w:rsidRDefault="007D6754" w:rsidP="00CE728D">
            <w:pPr>
              <w:adjustRightInd w:val="0"/>
              <w:snapToGrid w:val="0"/>
              <w:jc w:val="center"/>
              <w:rPr>
                <w:rFonts w:ascii="宋体" w:hAnsi="宋体" w:cs="宋体"/>
                <w:szCs w:val="21"/>
              </w:rPr>
            </w:pPr>
          </w:p>
        </w:tc>
        <w:tc>
          <w:tcPr>
            <w:tcW w:w="850" w:type="dxa"/>
            <w:vAlign w:val="center"/>
          </w:tcPr>
          <w:p w14:paraId="08898765" w14:textId="0BA8A1F5" w:rsidR="007D6754" w:rsidRPr="00CE728D" w:rsidRDefault="007D6754" w:rsidP="00CE728D">
            <w:pPr>
              <w:adjustRightInd w:val="0"/>
              <w:snapToGrid w:val="0"/>
              <w:jc w:val="center"/>
              <w:rPr>
                <w:rFonts w:ascii="宋体" w:hAnsi="宋体" w:cs="宋体"/>
                <w:szCs w:val="21"/>
              </w:rPr>
            </w:pPr>
          </w:p>
        </w:tc>
        <w:tc>
          <w:tcPr>
            <w:tcW w:w="3828" w:type="dxa"/>
            <w:vAlign w:val="center"/>
          </w:tcPr>
          <w:p w14:paraId="1F1BF22E" w14:textId="0C394214" w:rsidR="007D6754" w:rsidRPr="00CE728D" w:rsidRDefault="007D6754" w:rsidP="00CE728D">
            <w:pPr>
              <w:adjustRightInd w:val="0"/>
              <w:snapToGrid w:val="0"/>
              <w:jc w:val="center"/>
              <w:rPr>
                <w:rFonts w:ascii="宋体" w:hAnsi="宋体" w:cs="宋体"/>
                <w:szCs w:val="21"/>
              </w:rPr>
            </w:pPr>
          </w:p>
        </w:tc>
      </w:tr>
      <w:tr w:rsidR="007D6754" w:rsidRPr="00CE728D" w14:paraId="0C6890AF" w14:textId="77777777" w:rsidTr="00CE728D">
        <w:trPr>
          <w:trHeight w:val="567"/>
          <w:jc w:val="center"/>
        </w:trPr>
        <w:tc>
          <w:tcPr>
            <w:tcW w:w="828" w:type="dxa"/>
            <w:vAlign w:val="center"/>
          </w:tcPr>
          <w:p w14:paraId="7679FBD0" w14:textId="70AF54E6" w:rsidR="007D6754" w:rsidRPr="00CE728D" w:rsidRDefault="007D6754" w:rsidP="00CE728D">
            <w:pPr>
              <w:adjustRightInd w:val="0"/>
              <w:snapToGrid w:val="0"/>
              <w:jc w:val="center"/>
              <w:rPr>
                <w:rFonts w:ascii="宋体" w:hAnsi="宋体" w:cs="宋体"/>
                <w:color w:val="000000"/>
                <w:kern w:val="0"/>
                <w:szCs w:val="21"/>
                <w:lang w:bidi="ar"/>
              </w:rPr>
            </w:pPr>
          </w:p>
        </w:tc>
        <w:tc>
          <w:tcPr>
            <w:tcW w:w="2259" w:type="dxa"/>
            <w:vAlign w:val="center"/>
          </w:tcPr>
          <w:p w14:paraId="40BE5778" w14:textId="7043B623" w:rsidR="007D6754" w:rsidRPr="00CE728D" w:rsidRDefault="007D6754" w:rsidP="00CE728D">
            <w:pPr>
              <w:adjustRightInd w:val="0"/>
              <w:snapToGrid w:val="0"/>
              <w:jc w:val="center"/>
              <w:rPr>
                <w:rFonts w:ascii="宋体" w:hAnsi="宋体" w:cs="宋体"/>
                <w:szCs w:val="21"/>
              </w:rPr>
            </w:pPr>
          </w:p>
        </w:tc>
        <w:tc>
          <w:tcPr>
            <w:tcW w:w="5101" w:type="dxa"/>
            <w:vAlign w:val="center"/>
          </w:tcPr>
          <w:p w14:paraId="612E68A3" w14:textId="46B0308F" w:rsidR="007D6754" w:rsidRPr="00CE728D" w:rsidRDefault="007D6754" w:rsidP="00CE728D">
            <w:pPr>
              <w:adjustRightInd w:val="0"/>
              <w:snapToGrid w:val="0"/>
              <w:jc w:val="center"/>
              <w:rPr>
                <w:rFonts w:ascii="宋体" w:hAnsi="宋体" w:cs="宋体"/>
                <w:szCs w:val="21"/>
              </w:rPr>
            </w:pPr>
          </w:p>
        </w:tc>
        <w:tc>
          <w:tcPr>
            <w:tcW w:w="850" w:type="dxa"/>
            <w:vAlign w:val="center"/>
          </w:tcPr>
          <w:p w14:paraId="4C713172" w14:textId="74FDC65F" w:rsidR="007D6754" w:rsidRPr="00CE728D" w:rsidRDefault="007D6754" w:rsidP="00CE728D">
            <w:pPr>
              <w:adjustRightInd w:val="0"/>
              <w:snapToGrid w:val="0"/>
              <w:jc w:val="center"/>
              <w:rPr>
                <w:rFonts w:ascii="宋体" w:hAnsi="宋体" w:cs="宋体"/>
                <w:szCs w:val="21"/>
              </w:rPr>
            </w:pPr>
          </w:p>
        </w:tc>
        <w:tc>
          <w:tcPr>
            <w:tcW w:w="3828" w:type="dxa"/>
            <w:vAlign w:val="center"/>
          </w:tcPr>
          <w:p w14:paraId="2D82C266" w14:textId="0ED0A2AF" w:rsidR="007D6754" w:rsidRPr="00CE728D" w:rsidRDefault="007D6754" w:rsidP="00CE728D">
            <w:pPr>
              <w:adjustRightInd w:val="0"/>
              <w:snapToGrid w:val="0"/>
              <w:jc w:val="center"/>
              <w:rPr>
                <w:rFonts w:ascii="宋体" w:hAnsi="宋体" w:cs="宋体"/>
                <w:szCs w:val="21"/>
              </w:rPr>
            </w:pPr>
          </w:p>
        </w:tc>
      </w:tr>
    </w:tbl>
    <w:p w14:paraId="228343F2" w14:textId="77777777" w:rsidR="007D6754" w:rsidRDefault="007D6754" w:rsidP="007D6754">
      <w:pPr>
        <w:ind w:firstLineChars="450" w:firstLine="1080"/>
        <w:rPr>
          <w:rFonts w:ascii="宋体" w:hAnsi="宋体" w:cs="宋体"/>
          <w:sz w:val="24"/>
        </w:rPr>
      </w:pPr>
    </w:p>
    <w:p w14:paraId="5E7A4ED7" w14:textId="20D26180" w:rsidR="007D6754" w:rsidRDefault="007D6754" w:rsidP="001613FC">
      <w:pPr>
        <w:pStyle w:val="af8"/>
        <w:spacing w:line="440" w:lineRule="exact"/>
      </w:pPr>
    </w:p>
    <w:p w14:paraId="5D26C18D" w14:textId="77777777" w:rsidR="005D06F8" w:rsidRDefault="00985C88" w:rsidP="005D06F8">
      <w:pPr>
        <w:pageBreakBefore/>
        <w:jc w:val="center"/>
        <w:outlineLvl w:val="0"/>
        <w:rPr>
          <w:rFonts w:ascii="黑体" w:eastAsia="黑体" w:hAnsi="黑体"/>
          <w:sz w:val="24"/>
        </w:rPr>
      </w:pPr>
      <w:bookmarkStart w:id="35" w:name="_Toc234489937"/>
      <w:r w:rsidRPr="00CE728D">
        <w:rPr>
          <w:rFonts w:ascii="黑体" w:eastAsia="黑体" w:hAnsi="黑体" w:hint="eastAsia"/>
          <w:sz w:val="24"/>
        </w:rPr>
        <w:lastRenderedPageBreak/>
        <w:t>附件二</w:t>
      </w:r>
      <w:bookmarkEnd w:id="35"/>
    </w:p>
    <w:p w14:paraId="3678DB85" w14:textId="3C7982CD" w:rsidR="00985C88" w:rsidRPr="00CE728D" w:rsidRDefault="00985C88" w:rsidP="00EC41FD">
      <w:pPr>
        <w:jc w:val="center"/>
        <w:rPr>
          <w:rFonts w:ascii="黑体" w:eastAsia="黑体" w:hAnsi="黑体" w:cs="宋体"/>
          <w:sz w:val="24"/>
        </w:rPr>
      </w:pPr>
      <w:r w:rsidRPr="00CE728D">
        <w:rPr>
          <w:rFonts w:ascii="黑体" w:eastAsia="黑体" w:hAnsi="黑体" w:cs="宋体" w:hint="eastAsia"/>
          <w:sz w:val="24"/>
        </w:rPr>
        <w:t>团体标准《</w:t>
      </w:r>
      <w:r w:rsidR="00EC41FD" w:rsidRPr="00EC41FD">
        <w:rPr>
          <w:rFonts w:ascii="黑体" w:eastAsia="黑体" w:hAnsi="黑体" w:cs="宋体" w:hint="eastAsia"/>
          <w:sz w:val="24"/>
        </w:rPr>
        <w:t xml:space="preserve">水体中抗生素环境风险评估 </w:t>
      </w:r>
      <w:r w:rsidR="0013496D">
        <w:rPr>
          <w:rFonts w:ascii="黑体" w:eastAsia="黑体" w:hAnsi="黑体" w:cs="宋体" w:hint="eastAsia"/>
          <w:sz w:val="24"/>
        </w:rPr>
        <w:t>最小选择浓度</w:t>
      </w:r>
      <w:r w:rsidR="00EC41FD" w:rsidRPr="00EC41FD">
        <w:rPr>
          <w:rFonts w:ascii="黑体" w:eastAsia="黑体" w:hAnsi="黑体" w:cs="宋体" w:hint="eastAsia"/>
          <w:sz w:val="24"/>
        </w:rPr>
        <w:t>(MSC)的测定 细菌群落耐药率法</w:t>
      </w:r>
      <w:r w:rsidRPr="00CE728D">
        <w:rPr>
          <w:rFonts w:ascii="黑体" w:eastAsia="黑体" w:hAnsi="黑体" w:cs="宋体" w:hint="eastAsia"/>
          <w:sz w:val="24"/>
        </w:rPr>
        <w:t>》征求意见汇总处理表</w:t>
      </w:r>
    </w:p>
    <w:p w14:paraId="558A4279" w14:textId="77777777" w:rsidR="00985C88" w:rsidRDefault="00985C88" w:rsidP="00985C88">
      <w:pPr>
        <w:spacing w:line="400" w:lineRule="exact"/>
        <w:rPr>
          <w:rFonts w:ascii="方正小标宋_GBK" w:eastAsia="方正小标宋_GBK" w:hAnsi="方正小标宋_GBK" w:cs="方正小标宋_GBK"/>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259"/>
        <w:gridCol w:w="5101"/>
        <w:gridCol w:w="850"/>
        <w:gridCol w:w="3828"/>
      </w:tblGrid>
      <w:tr w:rsidR="00985C88" w:rsidRPr="00CE728D" w14:paraId="628EE085" w14:textId="77777777" w:rsidTr="00CE728D">
        <w:trPr>
          <w:trHeight w:val="567"/>
          <w:jc w:val="center"/>
        </w:trPr>
        <w:tc>
          <w:tcPr>
            <w:tcW w:w="828" w:type="dxa"/>
            <w:vAlign w:val="center"/>
          </w:tcPr>
          <w:p w14:paraId="34250EE6" w14:textId="77777777" w:rsidR="00985C88" w:rsidRPr="00CE728D" w:rsidRDefault="00985C88" w:rsidP="00CE728D">
            <w:pPr>
              <w:adjustRightInd w:val="0"/>
              <w:snapToGrid w:val="0"/>
              <w:jc w:val="center"/>
              <w:rPr>
                <w:rFonts w:ascii="宋体" w:hAnsi="宋体" w:cs="宋体"/>
                <w:b/>
                <w:bCs/>
                <w:szCs w:val="21"/>
              </w:rPr>
            </w:pPr>
            <w:r w:rsidRPr="00CE728D">
              <w:rPr>
                <w:rFonts w:ascii="宋体" w:hAnsi="宋体" w:cs="宋体" w:hint="eastAsia"/>
                <w:b/>
                <w:bCs/>
                <w:szCs w:val="21"/>
              </w:rPr>
              <w:t>序号</w:t>
            </w:r>
          </w:p>
        </w:tc>
        <w:tc>
          <w:tcPr>
            <w:tcW w:w="2259" w:type="dxa"/>
            <w:vAlign w:val="center"/>
          </w:tcPr>
          <w:p w14:paraId="0CB95976" w14:textId="77777777" w:rsidR="00985C88" w:rsidRPr="00CE728D" w:rsidRDefault="00985C88" w:rsidP="00CE728D">
            <w:pPr>
              <w:adjustRightInd w:val="0"/>
              <w:snapToGrid w:val="0"/>
              <w:jc w:val="center"/>
              <w:rPr>
                <w:rFonts w:ascii="宋体" w:hAnsi="宋体" w:cs="宋体"/>
                <w:b/>
                <w:bCs/>
                <w:szCs w:val="21"/>
              </w:rPr>
            </w:pPr>
            <w:proofErr w:type="gramStart"/>
            <w:r w:rsidRPr="00CE728D">
              <w:rPr>
                <w:rFonts w:ascii="宋体" w:hAnsi="宋体" w:cs="宋体" w:hint="eastAsia"/>
                <w:b/>
                <w:bCs/>
                <w:szCs w:val="21"/>
              </w:rPr>
              <w:t>章条号</w:t>
            </w:r>
            <w:proofErr w:type="gramEnd"/>
            <w:r w:rsidRPr="00CE728D">
              <w:rPr>
                <w:rFonts w:ascii="宋体" w:hAnsi="宋体" w:cs="宋体" w:hint="eastAsia"/>
                <w:b/>
                <w:bCs/>
                <w:szCs w:val="21"/>
              </w:rPr>
              <w:t xml:space="preserve">           </w:t>
            </w:r>
            <w:r w:rsidRPr="00CE728D">
              <w:rPr>
                <w:rFonts w:ascii="宋体" w:hAnsi="宋体" w:cs="宋体" w:hint="eastAsia"/>
                <w:szCs w:val="21"/>
              </w:rPr>
              <w:t>（按照条目顺序排列）</w:t>
            </w:r>
          </w:p>
        </w:tc>
        <w:tc>
          <w:tcPr>
            <w:tcW w:w="5101" w:type="dxa"/>
            <w:vAlign w:val="center"/>
          </w:tcPr>
          <w:p w14:paraId="3DA9B76B" w14:textId="77777777" w:rsidR="00985C88" w:rsidRPr="00CE728D" w:rsidRDefault="00985C88" w:rsidP="00CE728D">
            <w:pPr>
              <w:adjustRightInd w:val="0"/>
              <w:snapToGrid w:val="0"/>
              <w:jc w:val="center"/>
              <w:rPr>
                <w:rFonts w:ascii="宋体" w:hAnsi="宋体" w:cs="宋体"/>
                <w:b/>
                <w:bCs/>
                <w:szCs w:val="21"/>
              </w:rPr>
            </w:pPr>
            <w:r w:rsidRPr="00CE728D">
              <w:rPr>
                <w:rFonts w:ascii="宋体" w:hAnsi="宋体" w:cs="宋体" w:hint="eastAsia"/>
                <w:b/>
                <w:bCs/>
                <w:szCs w:val="21"/>
              </w:rPr>
              <w:t>意见内容</w:t>
            </w:r>
          </w:p>
        </w:tc>
        <w:tc>
          <w:tcPr>
            <w:tcW w:w="850" w:type="dxa"/>
            <w:vAlign w:val="center"/>
          </w:tcPr>
          <w:p w14:paraId="32EE5C83" w14:textId="77777777" w:rsidR="00985C88" w:rsidRPr="00CE728D" w:rsidRDefault="00985C88" w:rsidP="00CE728D">
            <w:pPr>
              <w:adjustRightInd w:val="0"/>
              <w:snapToGrid w:val="0"/>
              <w:ind w:rightChars="36" w:right="76"/>
              <w:jc w:val="center"/>
              <w:rPr>
                <w:rFonts w:ascii="宋体" w:hAnsi="宋体" w:cs="宋体"/>
                <w:b/>
                <w:bCs/>
                <w:szCs w:val="21"/>
              </w:rPr>
            </w:pPr>
            <w:r w:rsidRPr="00CE728D">
              <w:rPr>
                <w:rFonts w:ascii="宋体" w:hAnsi="宋体" w:cs="宋体" w:hint="eastAsia"/>
                <w:b/>
                <w:bCs/>
                <w:szCs w:val="21"/>
              </w:rPr>
              <w:t>处理意见</w:t>
            </w:r>
          </w:p>
        </w:tc>
        <w:tc>
          <w:tcPr>
            <w:tcW w:w="3828" w:type="dxa"/>
            <w:vAlign w:val="center"/>
          </w:tcPr>
          <w:p w14:paraId="7D5FE2DB" w14:textId="77777777" w:rsidR="00985C88" w:rsidRPr="00CE728D" w:rsidRDefault="00985C88" w:rsidP="00CE728D">
            <w:pPr>
              <w:adjustRightInd w:val="0"/>
              <w:snapToGrid w:val="0"/>
              <w:ind w:rightChars="36" w:right="76"/>
              <w:jc w:val="center"/>
              <w:rPr>
                <w:rFonts w:ascii="宋体" w:hAnsi="宋体" w:cs="宋体"/>
                <w:b/>
                <w:bCs/>
                <w:szCs w:val="21"/>
              </w:rPr>
            </w:pPr>
            <w:r w:rsidRPr="00CE728D">
              <w:rPr>
                <w:rFonts w:ascii="宋体" w:hAnsi="宋体" w:cs="宋体" w:hint="eastAsia"/>
                <w:b/>
                <w:bCs/>
                <w:szCs w:val="21"/>
              </w:rPr>
              <w:t>处理结果</w:t>
            </w:r>
          </w:p>
        </w:tc>
      </w:tr>
      <w:tr w:rsidR="00985C88" w:rsidRPr="00CE728D" w14:paraId="607099E2" w14:textId="77777777" w:rsidTr="00CE728D">
        <w:trPr>
          <w:trHeight w:val="567"/>
          <w:jc w:val="center"/>
        </w:trPr>
        <w:tc>
          <w:tcPr>
            <w:tcW w:w="828" w:type="dxa"/>
            <w:vAlign w:val="center"/>
          </w:tcPr>
          <w:p w14:paraId="1E483CFD" w14:textId="77777777" w:rsidR="00985C88" w:rsidRPr="00CE728D" w:rsidRDefault="00985C88" w:rsidP="00CE728D">
            <w:pPr>
              <w:adjustRightInd w:val="0"/>
              <w:snapToGrid w:val="0"/>
              <w:jc w:val="center"/>
              <w:rPr>
                <w:rFonts w:ascii="宋体" w:hAnsi="宋体" w:cs="宋体"/>
                <w:szCs w:val="21"/>
              </w:rPr>
            </w:pPr>
          </w:p>
        </w:tc>
        <w:tc>
          <w:tcPr>
            <w:tcW w:w="12038" w:type="dxa"/>
            <w:gridSpan w:val="4"/>
            <w:vAlign w:val="center"/>
          </w:tcPr>
          <w:p w14:paraId="54587440" w14:textId="2F337A20" w:rsidR="00985C88" w:rsidRPr="00CE728D" w:rsidRDefault="00985C88" w:rsidP="00EC41F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985C88" w:rsidRPr="00CE728D" w14:paraId="1E1A3140" w14:textId="77777777" w:rsidTr="00CE728D">
        <w:trPr>
          <w:trHeight w:val="567"/>
          <w:jc w:val="center"/>
        </w:trPr>
        <w:tc>
          <w:tcPr>
            <w:tcW w:w="828" w:type="dxa"/>
            <w:vAlign w:val="center"/>
          </w:tcPr>
          <w:p w14:paraId="5ACC5CC0" w14:textId="77777777" w:rsidR="00985C88" w:rsidRPr="00CE728D" w:rsidRDefault="00985C88" w:rsidP="00CE728D">
            <w:pPr>
              <w:adjustRightInd w:val="0"/>
              <w:snapToGrid w:val="0"/>
              <w:jc w:val="center"/>
              <w:rPr>
                <w:rFonts w:ascii="宋体" w:hAnsi="宋体" w:cs="宋体"/>
                <w:szCs w:val="21"/>
              </w:rPr>
            </w:pPr>
            <w:r w:rsidRPr="00CE728D">
              <w:rPr>
                <w:rFonts w:ascii="宋体" w:hAnsi="宋体" w:cs="宋体" w:hint="eastAsia"/>
                <w:szCs w:val="21"/>
              </w:rPr>
              <w:t>1</w:t>
            </w:r>
          </w:p>
        </w:tc>
        <w:tc>
          <w:tcPr>
            <w:tcW w:w="2259" w:type="dxa"/>
            <w:vAlign w:val="center"/>
          </w:tcPr>
          <w:p w14:paraId="6D0F0FEF" w14:textId="67329630" w:rsidR="00985C88" w:rsidRPr="00CE728D" w:rsidRDefault="00985C88" w:rsidP="00CE728D">
            <w:pPr>
              <w:adjustRightInd w:val="0"/>
              <w:snapToGrid w:val="0"/>
              <w:jc w:val="center"/>
              <w:rPr>
                <w:rFonts w:ascii="宋体" w:hAnsi="宋体" w:cs="宋体"/>
                <w:szCs w:val="21"/>
              </w:rPr>
            </w:pPr>
          </w:p>
        </w:tc>
        <w:tc>
          <w:tcPr>
            <w:tcW w:w="5101" w:type="dxa"/>
            <w:vAlign w:val="center"/>
          </w:tcPr>
          <w:p w14:paraId="75E32A06" w14:textId="43B08D89" w:rsidR="00985C88" w:rsidRPr="00CE728D" w:rsidRDefault="00985C88" w:rsidP="00CE728D">
            <w:pPr>
              <w:adjustRightInd w:val="0"/>
              <w:snapToGrid w:val="0"/>
              <w:jc w:val="center"/>
              <w:rPr>
                <w:rFonts w:ascii="宋体" w:hAnsi="宋体" w:cs="宋体"/>
                <w:szCs w:val="21"/>
              </w:rPr>
            </w:pPr>
          </w:p>
        </w:tc>
        <w:tc>
          <w:tcPr>
            <w:tcW w:w="850" w:type="dxa"/>
            <w:vAlign w:val="center"/>
          </w:tcPr>
          <w:p w14:paraId="26D01F18" w14:textId="3A6EB207" w:rsidR="00985C88" w:rsidRPr="00CE728D" w:rsidRDefault="00985C88" w:rsidP="00CE728D">
            <w:pPr>
              <w:adjustRightInd w:val="0"/>
              <w:snapToGrid w:val="0"/>
              <w:jc w:val="center"/>
              <w:rPr>
                <w:rFonts w:ascii="宋体" w:hAnsi="宋体" w:cs="宋体"/>
                <w:szCs w:val="21"/>
              </w:rPr>
            </w:pPr>
          </w:p>
        </w:tc>
        <w:tc>
          <w:tcPr>
            <w:tcW w:w="3828" w:type="dxa"/>
            <w:vAlign w:val="center"/>
          </w:tcPr>
          <w:p w14:paraId="19459963" w14:textId="53172837" w:rsidR="00985C88" w:rsidRPr="00CE728D" w:rsidRDefault="00985C88" w:rsidP="00CE728D">
            <w:pPr>
              <w:adjustRightInd w:val="0"/>
              <w:snapToGrid w:val="0"/>
              <w:spacing w:line="300" w:lineRule="exact"/>
              <w:jc w:val="center"/>
              <w:rPr>
                <w:rFonts w:ascii="宋体" w:hAnsi="宋体" w:cs="宋体"/>
                <w:szCs w:val="21"/>
              </w:rPr>
            </w:pPr>
          </w:p>
        </w:tc>
      </w:tr>
      <w:tr w:rsidR="00CD5E12" w:rsidRPr="00CE728D" w14:paraId="40C7F27E" w14:textId="77777777" w:rsidTr="00CE728D">
        <w:trPr>
          <w:trHeight w:val="567"/>
          <w:jc w:val="center"/>
        </w:trPr>
        <w:tc>
          <w:tcPr>
            <w:tcW w:w="828" w:type="dxa"/>
            <w:vAlign w:val="center"/>
          </w:tcPr>
          <w:p w14:paraId="6B1C9D49" w14:textId="77777777" w:rsidR="00CD5E12" w:rsidRPr="00CE728D" w:rsidRDefault="00CD5E12" w:rsidP="00CE728D">
            <w:pPr>
              <w:adjustRightInd w:val="0"/>
              <w:snapToGrid w:val="0"/>
              <w:jc w:val="center"/>
              <w:rPr>
                <w:rFonts w:ascii="宋体" w:hAnsi="宋体" w:cs="宋体"/>
                <w:szCs w:val="21"/>
              </w:rPr>
            </w:pPr>
          </w:p>
        </w:tc>
        <w:tc>
          <w:tcPr>
            <w:tcW w:w="12038" w:type="dxa"/>
            <w:gridSpan w:val="4"/>
            <w:vAlign w:val="center"/>
          </w:tcPr>
          <w:p w14:paraId="56E59668" w14:textId="16E7AC0C" w:rsidR="00CD5E12" w:rsidRPr="00CE728D" w:rsidRDefault="00CD5E12" w:rsidP="00EC41F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w:t>
            </w:r>
            <w:r w:rsidR="00EC41FD">
              <w:rPr>
                <w:rFonts w:ascii="宋体" w:hAnsi="宋体" w:cs="宋体"/>
                <w:szCs w:val="21"/>
              </w:rPr>
              <w:t>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CD5E12" w:rsidRPr="00CE728D" w14:paraId="5F2EF7CA" w14:textId="77777777" w:rsidTr="00CE728D">
        <w:trPr>
          <w:trHeight w:val="567"/>
          <w:jc w:val="center"/>
        </w:trPr>
        <w:tc>
          <w:tcPr>
            <w:tcW w:w="828" w:type="dxa"/>
            <w:vAlign w:val="center"/>
          </w:tcPr>
          <w:p w14:paraId="6DE02642" w14:textId="584A36D0" w:rsidR="00CD5E12" w:rsidRPr="00CE728D" w:rsidRDefault="00CD5E12" w:rsidP="00CE728D">
            <w:pPr>
              <w:adjustRightInd w:val="0"/>
              <w:snapToGrid w:val="0"/>
              <w:jc w:val="center"/>
              <w:rPr>
                <w:rFonts w:ascii="宋体" w:hAnsi="宋体" w:cs="宋体"/>
                <w:szCs w:val="21"/>
              </w:rPr>
            </w:pPr>
            <w:r w:rsidRPr="00CE728D">
              <w:rPr>
                <w:rFonts w:ascii="宋体" w:hAnsi="宋体" w:cs="宋体"/>
                <w:szCs w:val="21"/>
              </w:rPr>
              <w:t>1</w:t>
            </w:r>
          </w:p>
        </w:tc>
        <w:tc>
          <w:tcPr>
            <w:tcW w:w="2259" w:type="dxa"/>
            <w:vAlign w:val="center"/>
          </w:tcPr>
          <w:p w14:paraId="4B28B327" w14:textId="68CD2F7D" w:rsidR="00CD5E12" w:rsidRPr="00CE728D" w:rsidRDefault="00CD5E12" w:rsidP="00CE728D">
            <w:pPr>
              <w:adjustRightInd w:val="0"/>
              <w:snapToGrid w:val="0"/>
              <w:jc w:val="center"/>
              <w:rPr>
                <w:rFonts w:ascii="宋体" w:hAnsi="宋体" w:cs="宋体"/>
                <w:szCs w:val="21"/>
              </w:rPr>
            </w:pPr>
          </w:p>
        </w:tc>
        <w:tc>
          <w:tcPr>
            <w:tcW w:w="5101" w:type="dxa"/>
            <w:vAlign w:val="center"/>
          </w:tcPr>
          <w:p w14:paraId="736DBEB3" w14:textId="7692622C" w:rsidR="00CD5E12" w:rsidRPr="00CE728D" w:rsidRDefault="00CD5E12" w:rsidP="00CE728D">
            <w:pPr>
              <w:adjustRightInd w:val="0"/>
              <w:snapToGrid w:val="0"/>
              <w:jc w:val="center"/>
              <w:rPr>
                <w:rFonts w:ascii="宋体" w:hAnsi="宋体" w:cs="宋体"/>
                <w:szCs w:val="21"/>
              </w:rPr>
            </w:pPr>
          </w:p>
        </w:tc>
        <w:tc>
          <w:tcPr>
            <w:tcW w:w="850" w:type="dxa"/>
            <w:vAlign w:val="center"/>
          </w:tcPr>
          <w:p w14:paraId="5439C992" w14:textId="76DF7B84" w:rsidR="00CD5E12" w:rsidRPr="00CE728D" w:rsidRDefault="00CD5E12" w:rsidP="00CE728D">
            <w:pPr>
              <w:adjustRightInd w:val="0"/>
              <w:snapToGrid w:val="0"/>
              <w:jc w:val="center"/>
              <w:rPr>
                <w:rFonts w:ascii="宋体" w:hAnsi="宋体" w:cs="宋体"/>
                <w:szCs w:val="21"/>
              </w:rPr>
            </w:pPr>
          </w:p>
        </w:tc>
        <w:tc>
          <w:tcPr>
            <w:tcW w:w="3828" w:type="dxa"/>
            <w:vAlign w:val="center"/>
          </w:tcPr>
          <w:p w14:paraId="47F6B949" w14:textId="76BE2006" w:rsidR="00CD5E12" w:rsidRPr="00CE728D" w:rsidRDefault="00CD5E12" w:rsidP="00CE728D">
            <w:pPr>
              <w:adjustRightInd w:val="0"/>
              <w:snapToGrid w:val="0"/>
              <w:jc w:val="center"/>
              <w:rPr>
                <w:rFonts w:ascii="宋体" w:hAnsi="宋体" w:cs="宋体"/>
                <w:szCs w:val="21"/>
              </w:rPr>
            </w:pPr>
          </w:p>
        </w:tc>
      </w:tr>
      <w:tr w:rsidR="00CD5E12" w:rsidRPr="00CE728D" w14:paraId="1280E8A2" w14:textId="77777777" w:rsidTr="00CE728D">
        <w:trPr>
          <w:trHeight w:val="567"/>
          <w:jc w:val="center"/>
        </w:trPr>
        <w:tc>
          <w:tcPr>
            <w:tcW w:w="828" w:type="dxa"/>
            <w:vAlign w:val="center"/>
          </w:tcPr>
          <w:p w14:paraId="27E4EB28" w14:textId="7E94C6B7" w:rsidR="00CD5E12" w:rsidRPr="00CE728D" w:rsidRDefault="00CD5E12" w:rsidP="00CE728D">
            <w:pPr>
              <w:adjustRightInd w:val="0"/>
              <w:snapToGrid w:val="0"/>
              <w:jc w:val="center"/>
              <w:rPr>
                <w:rFonts w:ascii="宋体" w:hAnsi="宋体" w:cs="宋体"/>
                <w:szCs w:val="21"/>
              </w:rPr>
            </w:pPr>
          </w:p>
        </w:tc>
        <w:tc>
          <w:tcPr>
            <w:tcW w:w="12038" w:type="dxa"/>
            <w:gridSpan w:val="4"/>
            <w:vAlign w:val="center"/>
          </w:tcPr>
          <w:p w14:paraId="5B9587A0" w14:textId="37B62BB8" w:rsidR="00CD5E12" w:rsidRPr="00CE728D" w:rsidRDefault="00CD5E12" w:rsidP="00EC41FD">
            <w:pPr>
              <w:adjustRightInd w:val="0"/>
              <w:snapToGrid w:val="0"/>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w:t>
            </w:r>
            <w:r w:rsidR="00EC41FD">
              <w:rPr>
                <w:rFonts w:ascii="宋体" w:hAnsi="宋体" w:cs="宋体"/>
                <w:szCs w:val="21"/>
              </w:rPr>
              <w:t>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CD5E12" w:rsidRPr="00CE728D" w14:paraId="65F1F2C5" w14:textId="77777777" w:rsidTr="00CE728D">
        <w:trPr>
          <w:trHeight w:val="567"/>
          <w:jc w:val="center"/>
        </w:trPr>
        <w:tc>
          <w:tcPr>
            <w:tcW w:w="828" w:type="dxa"/>
            <w:vAlign w:val="center"/>
          </w:tcPr>
          <w:p w14:paraId="76694AB7" w14:textId="5CE3B4C3" w:rsidR="00CD5E12" w:rsidRPr="00CE728D" w:rsidRDefault="00CD5E12" w:rsidP="00CE728D">
            <w:pPr>
              <w:adjustRightInd w:val="0"/>
              <w:snapToGrid w:val="0"/>
              <w:jc w:val="center"/>
              <w:rPr>
                <w:rFonts w:ascii="宋体" w:hAnsi="宋体" w:cs="宋体"/>
                <w:szCs w:val="21"/>
              </w:rPr>
            </w:pPr>
          </w:p>
        </w:tc>
        <w:tc>
          <w:tcPr>
            <w:tcW w:w="2259" w:type="dxa"/>
            <w:vAlign w:val="center"/>
          </w:tcPr>
          <w:p w14:paraId="406453B4" w14:textId="44B48874" w:rsidR="00CD5E12" w:rsidRPr="00CE728D" w:rsidRDefault="00CD5E12" w:rsidP="00CE728D">
            <w:pPr>
              <w:adjustRightInd w:val="0"/>
              <w:snapToGrid w:val="0"/>
              <w:jc w:val="center"/>
              <w:rPr>
                <w:rFonts w:ascii="宋体" w:hAnsi="宋体" w:cs="宋体"/>
                <w:szCs w:val="21"/>
              </w:rPr>
            </w:pPr>
          </w:p>
        </w:tc>
        <w:tc>
          <w:tcPr>
            <w:tcW w:w="5101" w:type="dxa"/>
            <w:vAlign w:val="center"/>
          </w:tcPr>
          <w:p w14:paraId="63EBF8BB" w14:textId="756F2A3E" w:rsidR="00CD5E12" w:rsidRPr="00CE728D" w:rsidRDefault="00CD5E12" w:rsidP="00CE728D">
            <w:pPr>
              <w:adjustRightInd w:val="0"/>
              <w:snapToGrid w:val="0"/>
              <w:jc w:val="center"/>
              <w:rPr>
                <w:rFonts w:ascii="宋体" w:hAnsi="宋体" w:cs="宋体"/>
                <w:szCs w:val="21"/>
              </w:rPr>
            </w:pPr>
          </w:p>
        </w:tc>
        <w:tc>
          <w:tcPr>
            <w:tcW w:w="850" w:type="dxa"/>
            <w:vAlign w:val="center"/>
          </w:tcPr>
          <w:p w14:paraId="6EB1FDB0" w14:textId="676DAC12" w:rsidR="00CD5E12" w:rsidRPr="00CE728D" w:rsidRDefault="00CD5E12" w:rsidP="00CE728D">
            <w:pPr>
              <w:adjustRightInd w:val="0"/>
              <w:snapToGrid w:val="0"/>
              <w:jc w:val="center"/>
              <w:rPr>
                <w:rFonts w:ascii="宋体" w:hAnsi="宋体" w:cs="宋体"/>
                <w:szCs w:val="21"/>
              </w:rPr>
            </w:pPr>
          </w:p>
        </w:tc>
        <w:tc>
          <w:tcPr>
            <w:tcW w:w="3828" w:type="dxa"/>
            <w:vAlign w:val="center"/>
          </w:tcPr>
          <w:p w14:paraId="3D5E4E63" w14:textId="23EA1D2A" w:rsidR="00CD5E12" w:rsidRPr="00CE728D" w:rsidRDefault="00CD5E12" w:rsidP="00CE728D">
            <w:pPr>
              <w:adjustRightInd w:val="0"/>
              <w:snapToGrid w:val="0"/>
              <w:jc w:val="center"/>
              <w:rPr>
                <w:rFonts w:ascii="宋体" w:hAnsi="宋体" w:cs="宋体"/>
                <w:szCs w:val="21"/>
              </w:rPr>
            </w:pPr>
          </w:p>
        </w:tc>
      </w:tr>
      <w:tr w:rsidR="000D1BEA" w:rsidRPr="00CE728D" w14:paraId="2F2925EA" w14:textId="77777777" w:rsidTr="00CE728D">
        <w:trPr>
          <w:trHeight w:val="567"/>
          <w:jc w:val="center"/>
        </w:trPr>
        <w:tc>
          <w:tcPr>
            <w:tcW w:w="828" w:type="dxa"/>
            <w:vAlign w:val="center"/>
          </w:tcPr>
          <w:p w14:paraId="0DFB625C" w14:textId="119BA36C" w:rsidR="000D1BEA" w:rsidRPr="00CE728D" w:rsidRDefault="000D1BEA" w:rsidP="00CE728D">
            <w:pPr>
              <w:adjustRightInd w:val="0"/>
              <w:snapToGrid w:val="0"/>
              <w:jc w:val="center"/>
              <w:rPr>
                <w:rFonts w:ascii="宋体" w:hAnsi="宋体" w:cs="宋体"/>
                <w:szCs w:val="21"/>
              </w:rPr>
            </w:pPr>
          </w:p>
        </w:tc>
        <w:tc>
          <w:tcPr>
            <w:tcW w:w="2259" w:type="dxa"/>
            <w:vAlign w:val="center"/>
          </w:tcPr>
          <w:p w14:paraId="7FF92162" w14:textId="5EC39E45" w:rsidR="000D1BEA" w:rsidRPr="00CE728D" w:rsidRDefault="000D1BEA" w:rsidP="00CE728D">
            <w:pPr>
              <w:adjustRightInd w:val="0"/>
              <w:snapToGrid w:val="0"/>
              <w:jc w:val="center"/>
              <w:rPr>
                <w:rFonts w:ascii="宋体" w:hAnsi="宋体" w:cs="宋体"/>
                <w:szCs w:val="21"/>
              </w:rPr>
            </w:pPr>
          </w:p>
        </w:tc>
        <w:tc>
          <w:tcPr>
            <w:tcW w:w="5101" w:type="dxa"/>
            <w:vAlign w:val="center"/>
          </w:tcPr>
          <w:p w14:paraId="1382B520" w14:textId="4D62B4EC" w:rsidR="000D1BEA" w:rsidRPr="00CE728D" w:rsidRDefault="000D1BEA" w:rsidP="00CE728D">
            <w:pPr>
              <w:adjustRightInd w:val="0"/>
              <w:snapToGrid w:val="0"/>
              <w:jc w:val="center"/>
              <w:rPr>
                <w:rFonts w:ascii="宋体" w:hAnsi="宋体" w:cs="宋体"/>
                <w:szCs w:val="21"/>
              </w:rPr>
            </w:pPr>
          </w:p>
        </w:tc>
        <w:tc>
          <w:tcPr>
            <w:tcW w:w="850" w:type="dxa"/>
            <w:vAlign w:val="center"/>
          </w:tcPr>
          <w:p w14:paraId="186B3E4E" w14:textId="11824376" w:rsidR="000D1BEA" w:rsidRPr="00CE728D" w:rsidRDefault="000D1BEA" w:rsidP="00CE728D">
            <w:pPr>
              <w:adjustRightInd w:val="0"/>
              <w:snapToGrid w:val="0"/>
              <w:jc w:val="center"/>
              <w:rPr>
                <w:rFonts w:ascii="宋体" w:hAnsi="宋体" w:cs="宋体"/>
                <w:szCs w:val="21"/>
              </w:rPr>
            </w:pPr>
          </w:p>
        </w:tc>
        <w:tc>
          <w:tcPr>
            <w:tcW w:w="3828" w:type="dxa"/>
            <w:vAlign w:val="center"/>
          </w:tcPr>
          <w:p w14:paraId="6541FA38" w14:textId="269A88E3" w:rsidR="000D1BEA" w:rsidRPr="00CE728D" w:rsidRDefault="000D1BEA" w:rsidP="00CE728D">
            <w:pPr>
              <w:adjustRightInd w:val="0"/>
              <w:snapToGrid w:val="0"/>
              <w:jc w:val="center"/>
              <w:rPr>
                <w:rFonts w:ascii="宋体" w:hAnsi="宋体" w:cs="宋体"/>
                <w:szCs w:val="21"/>
              </w:rPr>
            </w:pPr>
          </w:p>
        </w:tc>
      </w:tr>
      <w:tr w:rsidR="000D1BEA" w:rsidRPr="00CE728D" w14:paraId="6DE879A0" w14:textId="77777777" w:rsidTr="00CE728D">
        <w:trPr>
          <w:trHeight w:val="567"/>
          <w:jc w:val="center"/>
        </w:trPr>
        <w:tc>
          <w:tcPr>
            <w:tcW w:w="828" w:type="dxa"/>
            <w:vAlign w:val="center"/>
          </w:tcPr>
          <w:p w14:paraId="58A0473E" w14:textId="219EAF2A" w:rsidR="000D1BEA" w:rsidRPr="00CE728D" w:rsidRDefault="000D1BEA" w:rsidP="00CE728D">
            <w:pPr>
              <w:adjustRightInd w:val="0"/>
              <w:snapToGrid w:val="0"/>
              <w:jc w:val="center"/>
              <w:rPr>
                <w:rFonts w:ascii="宋体" w:hAnsi="宋体" w:cs="宋体"/>
                <w:szCs w:val="21"/>
              </w:rPr>
            </w:pPr>
          </w:p>
        </w:tc>
        <w:tc>
          <w:tcPr>
            <w:tcW w:w="2259" w:type="dxa"/>
            <w:vAlign w:val="center"/>
          </w:tcPr>
          <w:p w14:paraId="17D9E912" w14:textId="7DFE58B9" w:rsidR="000D1BEA" w:rsidRPr="00CE728D" w:rsidRDefault="000D1BEA" w:rsidP="00CE728D">
            <w:pPr>
              <w:adjustRightInd w:val="0"/>
              <w:snapToGrid w:val="0"/>
              <w:jc w:val="center"/>
              <w:rPr>
                <w:rFonts w:ascii="宋体" w:hAnsi="宋体" w:cs="宋体"/>
                <w:szCs w:val="21"/>
              </w:rPr>
            </w:pPr>
          </w:p>
        </w:tc>
        <w:tc>
          <w:tcPr>
            <w:tcW w:w="5101" w:type="dxa"/>
            <w:vAlign w:val="center"/>
          </w:tcPr>
          <w:p w14:paraId="1DCF1F53" w14:textId="241CBFFF" w:rsidR="000D1BEA" w:rsidRPr="00CE728D" w:rsidRDefault="000D1BEA" w:rsidP="00CE728D">
            <w:pPr>
              <w:adjustRightInd w:val="0"/>
              <w:snapToGrid w:val="0"/>
              <w:jc w:val="center"/>
              <w:rPr>
                <w:rFonts w:ascii="宋体" w:hAnsi="宋体" w:cs="宋体"/>
                <w:szCs w:val="21"/>
              </w:rPr>
            </w:pPr>
          </w:p>
        </w:tc>
        <w:tc>
          <w:tcPr>
            <w:tcW w:w="850" w:type="dxa"/>
            <w:vAlign w:val="center"/>
          </w:tcPr>
          <w:p w14:paraId="2DF16714" w14:textId="166E64C6" w:rsidR="000D1BEA" w:rsidRPr="00CE728D" w:rsidRDefault="000D1BEA" w:rsidP="00CE728D">
            <w:pPr>
              <w:adjustRightInd w:val="0"/>
              <w:snapToGrid w:val="0"/>
              <w:jc w:val="center"/>
              <w:rPr>
                <w:rFonts w:ascii="宋体" w:hAnsi="宋体" w:cs="宋体"/>
                <w:szCs w:val="21"/>
              </w:rPr>
            </w:pPr>
          </w:p>
        </w:tc>
        <w:tc>
          <w:tcPr>
            <w:tcW w:w="3828" w:type="dxa"/>
            <w:vAlign w:val="center"/>
          </w:tcPr>
          <w:p w14:paraId="210C3F63" w14:textId="1AD91E5C" w:rsidR="000D1BEA" w:rsidRPr="00CE728D" w:rsidRDefault="000D1BEA" w:rsidP="00CE728D">
            <w:pPr>
              <w:adjustRightInd w:val="0"/>
              <w:snapToGrid w:val="0"/>
              <w:jc w:val="center"/>
              <w:rPr>
                <w:rFonts w:ascii="宋体" w:hAnsi="宋体" w:cs="宋体"/>
                <w:szCs w:val="21"/>
              </w:rPr>
            </w:pPr>
          </w:p>
        </w:tc>
      </w:tr>
      <w:tr w:rsidR="00383CA3" w:rsidRPr="00CE728D" w14:paraId="4DDC5035" w14:textId="77777777" w:rsidTr="00CE728D">
        <w:trPr>
          <w:trHeight w:val="567"/>
          <w:jc w:val="center"/>
        </w:trPr>
        <w:tc>
          <w:tcPr>
            <w:tcW w:w="828" w:type="dxa"/>
            <w:vAlign w:val="center"/>
          </w:tcPr>
          <w:p w14:paraId="0A8EE5F7" w14:textId="50924F63" w:rsidR="00383CA3" w:rsidRPr="00CE728D" w:rsidRDefault="00383CA3" w:rsidP="00CE728D">
            <w:pPr>
              <w:adjustRightInd w:val="0"/>
              <w:snapToGrid w:val="0"/>
              <w:jc w:val="center"/>
              <w:rPr>
                <w:rFonts w:ascii="宋体" w:hAnsi="宋体" w:cs="宋体"/>
                <w:szCs w:val="21"/>
              </w:rPr>
            </w:pPr>
          </w:p>
        </w:tc>
        <w:tc>
          <w:tcPr>
            <w:tcW w:w="2259" w:type="dxa"/>
            <w:vAlign w:val="center"/>
          </w:tcPr>
          <w:p w14:paraId="2718EB81" w14:textId="6257778D" w:rsidR="00383CA3" w:rsidRPr="00CE728D" w:rsidRDefault="00383CA3" w:rsidP="00CE728D">
            <w:pPr>
              <w:adjustRightInd w:val="0"/>
              <w:snapToGrid w:val="0"/>
              <w:jc w:val="center"/>
              <w:rPr>
                <w:rFonts w:ascii="宋体" w:hAnsi="宋体" w:cs="宋体"/>
                <w:szCs w:val="21"/>
              </w:rPr>
            </w:pPr>
          </w:p>
        </w:tc>
        <w:tc>
          <w:tcPr>
            <w:tcW w:w="5101" w:type="dxa"/>
            <w:vAlign w:val="center"/>
          </w:tcPr>
          <w:p w14:paraId="020F853D" w14:textId="29C0BE76" w:rsidR="00383CA3" w:rsidRPr="00CE728D" w:rsidRDefault="00383CA3" w:rsidP="00CE728D">
            <w:pPr>
              <w:adjustRightInd w:val="0"/>
              <w:snapToGrid w:val="0"/>
              <w:jc w:val="center"/>
              <w:rPr>
                <w:rFonts w:ascii="宋体" w:hAnsi="宋体" w:cs="宋体"/>
                <w:szCs w:val="21"/>
              </w:rPr>
            </w:pPr>
          </w:p>
        </w:tc>
        <w:tc>
          <w:tcPr>
            <w:tcW w:w="850" w:type="dxa"/>
            <w:vAlign w:val="center"/>
          </w:tcPr>
          <w:p w14:paraId="287732AE" w14:textId="6281D477" w:rsidR="00383CA3" w:rsidRPr="00CE728D" w:rsidRDefault="00383CA3" w:rsidP="00CE728D">
            <w:pPr>
              <w:adjustRightInd w:val="0"/>
              <w:snapToGrid w:val="0"/>
              <w:jc w:val="center"/>
              <w:rPr>
                <w:rFonts w:ascii="宋体" w:hAnsi="宋体" w:cs="宋体"/>
                <w:szCs w:val="21"/>
              </w:rPr>
            </w:pPr>
          </w:p>
        </w:tc>
        <w:tc>
          <w:tcPr>
            <w:tcW w:w="3828" w:type="dxa"/>
            <w:vAlign w:val="center"/>
          </w:tcPr>
          <w:p w14:paraId="7FDFF58E" w14:textId="5FB29EC5" w:rsidR="00383CA3" w:rsidRPr="00CE728D" w:rsidRDefault="00383CA3" w:rsidP="00CE728D">
            <w:pPr>
              <w:adjustRightInd w:val="0"/>
              <w:snapToGrid w:val="0"/>
              <w:jc w:val="center"/>
              <w:rPr>
                <w:rFonts w:ascii="宋体" w:hAnsi="宋体" w:cs="宋体"/>
                <w:szCs w:val="21"/>
              </w:rPr>
            </w:pPr>
          </w:p>
        </w:tc>
      </w:tr>
      <w:tr w:rsidR="00383CA3" w:rsidRPr="00CE728D" w14:paraId="228582F8" w14:textId="77777777" w:rsidTr="00CE728D">
        <w:trPr>
          <w:trHeight w:val="567"/>
          <w:jc w:val="center"/>
        </w:trPr>
        <w:tc>
          <w:tcPr>
            <w:tcW w:w="828" w:type="dxa"/>
            <w:vAlign w:val="center"/>
          </w:tcPr>
          <w:p w14:paraId="17FDD267" w14:textId="3A501832" w:rsidR="00383CA3" w:rsidRPr="00CE728D" w:rsidRDefault="00383CA3" w:rsidP="00CE728D">
            <w:pPr>
              <w:adjustRightInd w:val="0"/>
              <w:snapToGrid w:val="0"/>
              <w:jc w:val="center"/>
              <w:rPr>
                <w:rFonts w:ascii="宋体" w:hAnsi="宋体" w:cs="宋体"/>
                <w:szCs w:val="21"/>
              </w:rPr>
            </w:pPr>
          </w:p>
        </w:tc>
        <w:tc>
          <w:tcPr>
            <w:tcW w:w="2259" w:type="dxa"/>
            <w:vAlign w:val="center"/>
          </w:tcPr>
          <w:p w14:paraId="7F7D8864" w14:textId="45CF3C7B" w:rsidR="00383CA3" w:rsidRPr="00CE728D" w:rsidRDefault="00383CA3" w:rsidP="00CE728D">
            <w:pPr>
              <w:adjustRightInd w:val="0"/>
              <w:snapToGrid w:val="0"/>
              <w:jc w:val="center"/>
              <w:rPr>
                <w:rFonts w:ascii="宋体" w:hAnsi="宋体" w:cs="宋体"/>
                <w:szCs w:val="21"/>
              </w:rPr>
            </w:pPr>
          </w:p>
        </w:tc>
        <w:tc>
          <w:tcPr>
            <w:tcW w:w="5101" w:type="dxa"/>
            <w:vAlign w:val="center"/>
          </w:tcPr>
          <w:p w14:paraId="0DE64F67" w14:textId="4D36AE72" w:rsidR="00383CA3" w:rsidRPr="00CE728D" w:rsidRDefault="00383CA3" w:rsidP="00CE728D">
            <w:pPr>
              <w:adjustRightInd w:val="0"/>
              <w:snapToGrid w:val="0"/>
              <w:jc w:val="center"/>
              <w:rPr>
                <w:rFonts w:ascii="宋体" w:hAnsi="宋体" w:cs="宋体"/>
                <w:szCs w:val="21"/>
              </w:rPr>
            </w:pPr>
          </w:p>
        </w:tc>
        <w:tc>
          <w:tcPr>
            <w:tcW w:w="850" w:type="dxa"/>
            <w:vAlign w:val="center"/>
          </w:tcPr>
          <w:p w14:paraId="5780EB9F" w14:textId="49729E7B" w:rsidR="00383CA3" w:rsidRPr="00CE728D" w:rsidRDefault="00383CA3" w:rsidP="00CE728D">
            <w:pPr>
              <w:adjustRightInd w:val="0"/>
              <w:snapToGrid w:val="0"/>
              <w:jc w:val="center"/>
              <w:rPr>
                <w:rFonts w:ascii="宋体" w:hAnsi="宋体" w:cs="宋体"/>
                <w:szCs w:val="21"/>
              </w:rPr>
            </w:pPr>
          </w:p>
        </w:tc>
        <w:tc>
          <w:tcPr>
            <w:tcW w:w="3828" w:type="dxa"/>
            <w:vAlign w:val="center"/>
          </w:tcPr>
          <w:p w14:paraId="07DC1E5D" w14:textId="17FC69C6" w:rsidR="00383CA3" w:rsidRPr="00CE728D" w:rsidRDefault="00383CA3" w:rsidP="00CE728D">
            <w:pPr>
              <w:adjustRightInd w:val="0"/>
              <w:snapToGrid w:val="0"/>
              <w:jc w:val="center"/>
              <w:rPr>
                <w:rFonts w:ascii="宋体" w:hAnsi="宋体" w:cs="宋体"/>
                <w:szCs w:val="21"/>
              </w:rPr>
            </w:pPr>
          </w:p>
        </w:tc>
      </w:tr>
      <w:tr w:rsidR="00383CA3" w:rsidRPr="00CE728D" w14:paraId="5EB02317" w14:textId="77777777" w:rsidTr="00CE728D">
        <w:trPr>
          <w:trHeight w:val="567"/>
          <w:jc w:val="center"/>
        </w:trPr>
        <w:tc>
          <w:tcPr>
            <w:tcW w:w="828" w:type="dxa"/>
            <w:vAlign w:val="center"/>
          </w:tcPr>
          <w:p w14:paraId="76FE2BDF" w14:textId="7D382B79" w:rsidR="00383CA3" w:rsidRPr="00CE728D" w:rsidRDefault="00383CA3" w:rsidP="00CE728D">
            <w:pPr>
              <w:adjustRightInd w:val="0"/>
              <w:snapToGrid w:val="0"/>
              <w:jc w:val="center"/>
              <w:rPr>
                <w:rFonts w:ascii="宋体" w:hAnsi="宋体" w:cs="宋体"/>
                <w:szCs w:val="21"/>
              </w:rPr>
            </w:pPr>
          </w:p>
        </w:tc>
        <w:tc>
          <w:tcPr>
            <w:tcW w:w="2259" w:type="dxa"/>
            <w:vAlign w:val="center"/>
          </w:tcPr>
          <w:p w14:paraId="0FE60AAB" w14:textId="1C80332E" w:rsidR="00383CA3" w:rsidRPr="00CE728D" w:rsidRDefault="00383CA3" w:rsidP="00CE728D">
            <w:pPr>
              <w:adjustRightInd w:val="0"/>
              <w:snapToGrid w:val="0"/>
              <w:jc w:val="center"/>
              <w:rPr>
                <w:rFonts w:ascii="宋体" w:hAnsi="宋体" w:cs="宋体"/>
                <w:szCs w:val="21"/>
              </w:rPr>
            </w:pPr>
          </w:p>
        </w:tc>
        <w:tc>
          <w:tcPr>
            <w:tcW w:w="5101" w:type="dxa"/>
            <w:vAlign w:val="center"/>
          </w:tcPr>
          <w:p w14:paraId="0733F0F4" w14:textId="5DD3AC27" w:rsidR="00383CA3" w:rsidRPr="00CE728D" w:rsidRDefault="00383CA3" w:rsidP="00CE728D">
            <w:pPr>
              <w:adjustRightInd w:val="0"/>
              <w:snapToGrid w:val="0"/>
              <w:jc w:val="center"/>
              <w:rPr>
                <w:rFonts w:ascii="宋体" w:hAnsi="宋体" w:cs="宋体"/>
                <w:szCs w:val="21"/>
              </w:rPr>
            </w:pPr>
          </w:p>
        </w:tc>
        <w:tc>
          <w:tcPr>
            <w:tcW w:w="850" w:type="dxa"/>
            <w:vAlign w:val="center"/>
          </w:tcPr>
          <w:p w14:paraId="6EAF8845" w14:textId="474FDCBA" w:rsidR="00383CA3" w:rsidRPr="00CE728D" w:rsidRDefault="00383CA3" w:rsidP="00CE728D">
            <w:pPr>
              <w:adjustRightInd w:val="0"/>
              <w:snapToGrid w:val="0"/>
              <w:jc w:val="center"/>
              <w:rPr>
                <w:rFonts w:ascii="宋体" w:hAnsi="宋体" w:cs="宋体"/>
                <w:szCs w:val="21"/>
              </w:rPr>
            </w:pPr>
          </w:p>
        </w:tc>
        <w:tc>
          <w:tcPr>
            <w:tcW w:w="3828" w:type="dxa"/>
            <w:vAlign w:val="center"/>
          </w:tcPr>
          <w:p w14:paraId="5F0BB1C8" w14:textId="2DBD0404" w:rsidR="00383CA3" w:rsidRPr="00CE728D" w:rsidRDefault="00383CA3" w:rsidP="00CE728D">
            <w:pPr>
              <w:adjustRightInd w:val="0"/>
              <w:snapToGrid w:val="0"/>
              <w:jc w:val="center"/>
              <w:rPr>
                <w:rFonts w:ascii="宋体" w:hAnsi="宋体" w:cs="宋体"/>
                <w:szCs w:val="21"/>
              </w:rPr>
            </w:pPr>
          </w:p>
        </w:tc>
      </w:tr>
      <w:tr w:rsidR="000F26F9" w:rsidRPr="00CE728D" w14:paraId="297C5310" w14:textId="77777777" w:rsidTr="00CE728D">
        <w:trPr>
          <w:trHeight w:val="567"/>
          <w:jc w:val="center"/>
        </w:trPr>
        <w:tc>
          <w:tcPr>
            <w:tcW w:w="828" w:type="dxa"/>
            <w:vAlign w:val="center"/>
          </w:tcPr>
          <w:p w14:paraId="263F169A" w14:textId="3A3CDB44" w:rsidR="000F26F9" w:rsidRPr="00CE728D" w:rsidRDefault="000F26F9" w:rsidP="00CE728D">
            <w:pPr>
              <w:adjustRightInd w:val="0"/>
              <w:snapToGrid w:val="0"/>
              <w:jc w:val="center"/>
              <w:rPr>
                <w:rFonts w:ascii="宋体" w:hAnsi="宋体" w:cs="宋体"/>
                <w:szCs w:val="21"/>
              </w:rPr>
            </w:pPr>
          </w:p>
        </w:tc>
        <w:tc>
          <w:tcPr>
            <w:tcW w:w="2259" w:type="dxa"/>
            <w:vAlign w:val="center"/>
          </w:tcPr>
          <w:p w14:paraId="5D52E557" w14:textId="094BC122" w:rsidR="000F26F9" w:rsidRPr="00CE728D" w:rsidRDefault="000F26F9" w:rsidP="00CE728D">
            <w:pPr>
              <w:adjustRightInd w:val="0"/>
              <w:snapToGrid w:val="0"/>
              <w:jc w:val="center"/>
              <w:rPr>
                <w:rFonts w:ascii="宋体" w:hAnsi="宋体" w:cs="宋体"/>
                <w:szCs w:val="21"/>
              </w:rPr>
            </w:pPr>
          </w:p>
        </w:tc>
        <w:tc>
          <w:tcPr>
            <w:tcW w:w="5101" w:type="dxa"/>
            <w:vAlign w:val="center"/>
          </w:tcPr>
          <w:p w14:paraId="50351AD0" w14:textId="321C789C" w:rsidR="000F26F9" w:rsidRPr="00CE728D" w:rsidRDefault="000F26F9" w:rsidP="00CE728D">
            <w:pPr>
              <w:adjustRightInd w:val="0"/>
              <w:snapToGrid w:val="0"/>
              <w:jc w:val="center"/>
              <w:rPr>
                <w:rFonts w:ascii="宋体" w:hAnsi="宋体" w:cs="宋体"/>
                <w:szCs w:val="21"/>
              </w:rPr>
            </w:pPr>
          </w:p>
        </w:tc>
        <w:tc>
          <w:tcPr>
            <w:tcW w:w="850" w:type="dxa"/>
            <w:vAlign w:val="center"/>
          </w:tcPr>
          <w:p w14:paraId="20528018" w14:textId="6FD74FC7" w:rsidR="000F26F9" w:rsidRPr="00CE728D" w:rsidRDefault="000F26F9" w:rsidP="00CE728D">
            <w:pPr>
              <w:adjustRightInd w:val="0"/>
              <w:snapToGrid w:val="0"/>
              <w:jc w:val="center"/>
              <w:rPr>
                <w:rFonts w:ascii="宋体" w:hAnsi="宋体" w:cs="宋体"/>
                <w:szCs w:val="21"/>
              </w:rPr>
            </w:pPr>
          </w:p>
        </w:tc>
        <w:tc>
          <w:tcPr>
            <w:tcW w:w="3828" w:type="dxa"/>
            <w:vAlign w:val="center"/>
          </w:tcPr>
          <w:p w14:paraId="1808ED17" w14:textId="6EE8B0E6" w:rsidR="000F26F9" w:rsidRPr="00CE728D" w:rsidRDefault="000F26F9" w:rsidP="00CE728D">
            <w:pPr>
              <w:adjustRightInd w:val="0"/>
              <w:snapToGrid w:val="0"/>
              <w:jc w:val="center"/>
              <w:rPr>
                <w:rFonts w:ascii="宋体" w:hAnsi="宋体" w:cs="宋体"/>
                <w:szCs w:val="21"/>
              </w:rPr>
            </w:pPr>
          </w:p>
        </w:tc>
      </w:tr>
      <w:tr w:rsidR="000F26F9" w:rsidRPr="00CE728D" w14:paraId="391D9867" w14:textId="77777777" w:rsidTr="00CE728D">
        <w:trPr>
          <w:trHeight w:val="567"/>
          <w:jc w:val="center"/>
        </w:trPr>
        <w:tc>
          <w:tcPr>
            <w:tcW w:w="828" w:type="dxa"/>
            <w:vAlign w:val="center"/>
          </w:tcPr>
          <w:p w14:paraId="218B6023" w14:textId="6669ED52" w:rsidR="000F26F9" w:rsidRPr="00CE728D" w:rsidRDefault="000F26F9" w:rsidP="00CE728D">
            <w:pPr>
              <w:adjustRightInd w:val="0"/>
              <w:snapToGrid w:val="0"/>
              <w:jc w:val="center"/>
              <w:rPr>
                <w:rFonts w:ascii="宋体" w:hAnsi="宋体" w:cs="宋体"/>
                <w:szCs w:val="21"/>
              </w:rPr>
            </w:pPr>
          </w:p>
        </w:tc>
        <w:tc>
          <w:tcPr>
            <w:tcW w:w="12038" w:type="dxa"/>
            <w:gridSpan w:val="4"/>
            <w:vAlign w:val="center"/>
          </w:tcPr>
          <w:p w14:paraId="292CDCC1" w14:textId="26BE7BDF" w:rsidR="000F26F9" w:rsidRPr="00CE728D" w:rsidRDefault="000F26F9" w:rsidP="00EC41FD">
            <w:pPr>
              <w:adjustRightInd w:val="0"/>
              <w:snapToGrid w:val="0"/>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0F26F9" w:rsidRPr="00CE728D" w14:paraId="516FB47A" w14:textId="77777777" w:rsidTr="00CE728D">
        <w:trPr>
          <w:trHeight w:val="567"/>
          <w:jc w:val="center"/>
        </w:trPr>
        <w:tc>
          <w:tcPr>
            <w:tcW w:w="828" w:type="dxa"/>
            <w:vAlign w:val="center"/>
          </w:tcPr>
          <w:p w14:paraId="3F6C7B6A" w14:textId="22DE3C7B" w:rsidR="000F26F9" w:rsidRPr="00CE728D" w:rsidRDefault="000F26F9" w:rsidP="00CE728D">
            <w:pPr>
              <w:adjustRightInd w:val="0"/>
              <w:snapToGrid w:val="0"/>
              <w:jc w:val="center"/>
              <w:rPr>
                <w:rFonts w:ascii="宋体" w:hAnsi="宋体" w:cs="宋体"/>
                <w:szCs w:val="21"/>
              </w:rPr>
            </w:pPr>
          </w:p>
        </w:tc>
        <w:tc>
          <w:tcPr>
            <w:tcW w:w="2259" w:type="dxa"/>
            <w:vAlign w:val="center"/>
          </w:tcPr>
          <w:p w14:paraId="3FC75CBC" w14:textId="44B9B193" w:rsidR="000F26F9" w:rsidRPr="00CE728D" w:rsidRDefault="000F26F9" w:rsidP="00CE728D">
            <w:pPr>
              <w:adjustRightInd w:val="0"/>
              <w:snapToGrid w:val="0"/>
              <w:jc w:val="center"/>
              <w:rPr>
                <w:rFonts w:ascii="宋体" w:hAnsi="宋体" w:cs="宋体"/>
                <w:szCs w:val="21"/>
              </w:rPr>
            </w:pPr>
          </w:p>
        </w:tc>
        <w:tc>
          <w:tcPr>
            <w:tcW w:w="5101" w:type="dxa"/>
            <w:vAlign w:val="center"/>
          </w:tcPr>
          <w:p w14:paraId="5E3D8039" w14:textId="3AE02A0B" w:rsidR="000F26F9" w:rsidRPr="00CE728D" w:rsidRDefault="000F26F9" w:rsidP="00CE728D">
            <w:pPr>
              <w:adjustRightInd w:val="0"/>
              <w:snapToGrid w:val="0"/>
              <w:jc w:val="center"/>
              <w:rPr>
                <w:rFonts w:ascii="宋体" w:hAnsi="宋体" w:cs="宋体"/>
                <w:szCs w:val="21"/>
              </w:rPr>
            </w:pPr>
          </w:p>
        </w:tc>
        <w:tc>
          <w:tcPr>
            <w:tcW w:w="850" w:type="dxa"/>
            <w:vAlign w:val="center"/>
          </w:tcPr>
          <w:p w14:paraId="786CE212" w14:textId="657B00F2" w:rsidR="000F26F9" w:rsidRPr="00CE728D" w:rsidRDefault="000F26F9" w:rsidP="00CE728D">
            <w:pPr>
              <w:adjustRightInd w:val="0"/>
              <w:snapToGrid w:val="0"/>
              <w:jc w:val="center"/>
              <w:rPr>
                <w:rFonts w:ascii="宋体" w:hAnsi="宋体" w:cs="宋体"/>
                <w:szCs w:val="21"/>
              </w:rPr>
            </w:pPr>
          </w:p>
        </w:tc>
        <w:tc>
          <w:tcPr>
            <w:tcW w:w="3828" w:type="dxa"/>
            <w:vAlign w:val="center"/>
          </w:tcPr>
          <w:p w14:paraId="0429C4CE" w14:textId="72A2AAAF" w:rsidR="000F26F9" w:rsidRPr="00CE728D" w:rsidRDefault="000F26F9" w:rsidP="00CE728D">
            <w:pPr>
              <w:adjustRightInd w:val="0"/>
              <w:snapToGrid w:val="0"/>
              <w:jc w:val="center"/>
              <w:rPr>
                <w:rFonts w:ascii="宋体" w:hAnsi="宋体" w:cs="宋体"/>
                <w:szCs w:val="21"/>
              </w:rPr>
            </w:pPr>
          </w:p>
        </w:tc>
      </w:tr>
      <w:tr w:rsidR="000F26F9" w:rsidRPr="00CE728D" w14:paraId="4B23C14C" w14:textId="77777777" w:rsidTr="00CE728D">
        <w:trPr>
          <w:trHeight w:val="567"/>
          <w:jc w:val="center"/>
        </w:trPr>
        <w:tc>
          <w:tcPr>
            <w:tcW w:w="828" w:type="dxa"/>
            <w:vAlign w:val="center"/>
          </w:tcPr>
          <w:p w14:paraId="456B9B84" w14:textId="370BF4A1" w:rsidR="000F26F9" w:rsidRPr="00CE728D" w:rsidRDefault="000F26F9" w:rsidP="00CE728D">
            <w:pPr>
              <w:adjustRightInd w:val="0"/>
              <w:snapToGrid w:val="0"/>
              <w:jc w:val="center"/>
              <w:rPr>
                <w:rFonts w:ascii="宋体" w:hAnsi="宋体" w:cs="宋体"/>
                <w:szCs w:val="21"/>
              </w:rPr>
            </w:pPr>
          </w:p>
        </w:tc>
        <w:tc>
          <w:tcPr>
            <w:tcW w:w="2259" w:type="dxa"/>
            <w:vAlign w:val="center"/>
          </w:tcPr>
          <w:p w14:paraId="4C39DFB5" w14:textId="1E72D96D" w:rsidR="000F26F9" w:rsidRPr="00CE728D" w:rsidRDefault="000F26F9" w:rsidP="00CE728D">
            <w:pPr>
              <w:adjustRightInd w:val="0"/>
              <w:snapToGrid w:val="0"/>
              <w:jc w:val="center"/>
              <w:rPr>
                <w:rFonts w:ascii="宋体" w:hAnsi="宋体" w:cs="宋体"/>
                <w:szCs w:val="21"/>
              </w:rPr>
            </w:pPr>
          </w:p>
        </w:tc>
        <w:tc>
          <w:tcPr>
            <w:tcW w:w="5101" w:type="dxa"/>
            <w:vAlign w:val="center"/>
          </w:tcPr>
          <w:p w14:paraId="63480AE7" w14:textId="10621957" w:rsidR="000F26F9" w:rsidRPr="00CE728D" w:rsidRDefault="000F26F9" w:rsidP="00CE728D">
            <w:pPr>
              <w:adjustRightInd w:val="0"/>
              <w:snapToGrid w:val="0"/>
              <w:jc w:val="center"/>
              <w:rPr>
                <w:rFonts w:ascii="宋体" w:hAnsi="宋体" w:cs="宋体"/>
                <w:szCs w:val="21"/>
              </w:rPr>
            </w:pPr>
          </w:p>
        </w:tc>
        <w:tc>
          <w:tcPr>
            <w:tcW w:w="850" w:type="dxa"/>
            <w:vAlign w:val="center"/>
          </w:tcPr>
          <w:p w14:paraId="5DD72C30" w14:textId="4CEF38C7" w:rsidR="000F26F9" w:rsidRPr="00CE728D" w:rsidRDefault="000F26F9" w:rsidP="00CE728D">
            <w:pPr>
              <w:adjustRightInd w:val="0"/>
              <w:snapToGrid w:val="0"/>
              <w:jc w:val="center"/>
              <w:rPr>
                <w:rFonts w:ascii="宋体" w:hAnsi="宋体" w:cs="宋体"/>
                <w:szCs w:val="21"/>
              </w:rPr>
            </w:pPr>
          </w:p>
        </w:tc>
        <w:tc>
          <w:tcPr>
            <w:tcW w:w="3828" w:type="dxa"/>
            <w:vAlign w:val="center"/>
          </w:tcPr>
          <w:p w14:paraId="22C71956" w14:textId="42C2F9A0" w:rsidR="000F26F9" w:rsidRPr="00CE728D" w:rsidRDefault="000F26F9" w:rsidP="00CE728D">
            <w:pPr>
              <w:adjustRightInd w:val="0"/>
              <w:snapToGrid w:val="0"/>
              <w:jc w:val="center"/>
              <w:rPr>
                <w:rFonts w:ascii="宋体" w:hAnsi="宋体" w:cs="宋体"/>
                <w:szCs w:val="21"/>
              </w:rPr>
            </w:pPr>
          </w:p>
        </w:tc>
      </w:tr>
      <w:tr w:rsidR="000F26F9" w:rsidRPr="00CE728D" w14:paraId="4BC479B3" w14:textId="77777777" w:rsidTr="00CE728D">
        <w:trPr>
          <w:trHeight w:val="567"/>
          <w:jc w:val="center"/>
        </w:trPr>
        <w:tc>
          <w:tcPr>
            <w:tcW w:w="828" w:type="dxa"/>
            <w:vAlign w:val="center"/>
          </w:tcPr>
          <w:p w14:paraId="35BB5E45" w14:textId="6E952B6E" w:rsidR="000F26F9" w:rsidRPr="00CE728D" w:rsidRDefault="000F26F9" w:rsidP="00CE728D">
            <w:pPr>
              <w:adjustRightInd w:val="0"/>
              <w:snapToGrid w:val="0"/>
              <w:jc w:val="center"/>
              <w:rPr>
                <w:rFonts w:ascii="宋体" w:hAnsi="宋体" w:cs="宋体"/>
                <w:szCs w:val="21"/>
              </w:rPr>
            </w:pPr>
          </w:p>
        </w:tc>
        <w:tc>
          <w:tcPr>
            <w:tcW w:w="2259" w:type="dxa"/>
            <w:vAlign w:val="center"/>
          </w:tcPr>
          <w:p w14:paraId="701C58DA" w14:textId="365B7B47" w:rsidR="000F26F9" w:rsidRPr="00CE728D" w:rsidRDefault="000F26F9" w:rsidP="00CE728D">
            <w:pPr>
              <w:adjustRightInd w:val="0"/>
              <w:snapToGrid w:val="0"/>
              <w:jc w:val="center"/>
              <w:rPr>
                <w:rFonts w:ascii="宋体" w:hAnsi="宋体" w:cs="宋体"/>
                <w:szCs w:val="21"/>
              </w:rPr>
            </w:pPr>
          </w:p>
        </w:tc>
        <w:tc>
          <w:tcPr>
            <w:tcW w:w="5101" w:type="dxa"/>
            <w:vAlign w:val="center"/>
          </w:tcPr>
          <w:p w14:paraId="0A899098" w14:textId="7D4AB700" w:rsidR="000F26F9" w:rsidRPr="00CE728D" w:rsidRDefault="000F26F9" w:rsidP="00CE728D">
            <w:pPr>
              <w:adjustRightInd w:val="0"/>
              <w:snapToGrid w:val="0"/>
              <w:jc w:val="center"/>
              <w:rPr>
                <w:rFonts w:ascii="宋体" w:hAnsi="宋体" w:cs="宋体"/>
                <w:szCs w:val="21"/>
              </w:rPr>
            </w:pPr>
          </w:p>
        </w:tc>
        <w:tc>
          <w:tcPr>
            <w:tcW w:w="850" w:type="dxa"/>
            <w:vAlign w:val="center"/>
          </w:tcPr>
          <w:p w14:paraId="5A7CD230" w14:textId="091171E3" w:rsidR="000F26F9" w:rsidRPr="00CE728D" w:rsidRDefault="000F26F9" w:rsidP="00CE728D">
            <w:pPr>
              <w:adjustRightInd w:val="0"/>
              <w:snapToGrid w:val="0"/>
              <w:jc w:val="center"/>
              <w:rPr>
                <w:rFonts w:ascii="宋体" w:hAnsi="宋体" w:cs="宋体"/>
                <w:szCs w:val="21"/>
              </w:rPr>
            </w:pPr>
          </w:p>
        </w:tc>
        <w:tc>
          <w:tcPr>
            <w:tcW w:w="3828" w:type="dxa"/>
            <w:vAlign w:val="center"/>
          </w:tcPr>
          <w:p w14:paraId="01985368" w14:textId="60B489A5" w:rsidR="000F26F9" w:rsidRPr="00CE728D" w:rsidRDefault="000F26F9" w:rsidP="00CE728D">
            <w:pPr>
              <w:adjustRightInd w:val="0"/>
              <w:snapToGrid w:val="0"/>
              <w:jc w:val="center"/>
              <w:rPr>
                <w:rFonts w:ascii="宋体" w:hAnsi="宋体" w:cs="宋体"/>
                <w:szCs w:val="21"/>
              </w:rPr>
            </w:pPr>
          </w:p>
        </w:tc>
      </w:tr>
      <w:tr w:rsidR="007F3154" w:rsidRPr="00CE728D" w14:paraId="0893520B" w14:textId="77777777" w:rsidTr="00CE728D">
        <w:trPr>
          <w:trHeight w:val="567"/>
          <w:jc w:val="center"/>
        </w:trPr>
        <w:tc>
          <w:tcPr>
            <w:tcW w:w="828" w:type="dxa"/>
            <w:vAlign w:val="center"/>
          </w:tcPr>
          <w:p w14:paraId="095DCC59" w14:textId="30D41AC7" w:rsidR="007F3154" w:rsidRPr="00CE728D" w:rsidRDefault="007F3154" w:rsidP="00CE728D">
            <w:pPr>
              <w:adjustRightInd w:val="0"/>
              <w:snapToGrid w:val="0"/>
              <w:jc w:val="center"/>
              <w:rPr>
                <w:rFonts w:ascii="宋体" w:hAnsi="宋体" w:cs="宋体"/>
                <w:szCs w:val="21"/>
              </w:rPr>
            </w:pPr>
          </w:p>
        </w:tc>
        <w:tc>
          <w:tcPr>
            <w:tcW w:w="2259" w:type="dxa"/>
            <w:vAlign w:val="center"/>
          </w:tcPr>
          <w:p w14:paraId="6E753757" w14:textId="74D52AB3" w:rsidR="007F3154" w:rsidRPr="00CE728D" w:rsidRDefault="007F3154" w:rsidP="00CE728D">
            <w:pPr>
              <w:adjustRightInd w:val="0"/>
              <w:snapToGrid w:val="0"/>
              <w:jc w:val="center"/>
              <w:rPr>
                <w:rFonts w:ascii="宋体" w:hAnsi="宋体" w:cs="宋体"/>
                <w:szCs w:val="21"/>
              </w:rPr>
            </w:pPr>
          </w:p>
        </w:tc>
        <w:tc>
          <w:tcPr>
            <w:tcW w:w="5101" w:type="dxa"/>
            <w:vAlign w:val="center"/>
          </w:tcPr>
          <w:p w14:paraId="21D8E99C" w14:textId="36BC6756" w:rsidR="007F3154" w:rsidRPr="00CE728D" w:rsidRDefault="007F3154" w:rsidP="00CE728D">
            <w:pPr>
              <w:adjustRightInd w:val="0"/>
              <w:snapToGrid w:val="0"/>
              <w:jc w:val="center"/>
              <w:rPr>
                <w:rFonts w:ascii="宋体" w:hAnsi="宋体" w:cs="宋体"/>
                <w:szCs w:val="21"/>
              </w:rPr>
            </w:pPr>
          </w:p>
        </w:tc>
        <w:tc>
          <w:tcPr>
            <w:tcW w:w="850" w:type="dxa"/>
            <w:vAlign w:val="center"/>
          </w:tcPr>
          <w:p w14:paraId="1986D9D2" w14:textId="5D5F93F8" w:rsidR="007F3154" w:rsidRPr="00CE728D" w:rsidRDefault="007F3154" w:rsidP="00CE728D">
            <w:pPr>
              <w:adjustRightInd w:val="0"/>
              <w:snapToGrid w:val="0"/>
              <w:jc w:val="center"/>
              <w:rPr>
                <w:rFonts w:ascii="宋体" w:hAnsi="宋体" w:cs="宋体"/>
                <w:szCs w:val="21"/>
              </w:rPr>
            </w:pPr>
          </w:p>
        </w:tc>
        <w:tc>
          <w:tcPr>
            <w:tcW w:w="3828" w:type="dxa"/>
            <w:vAlign w:val="center"/>
          </w:tcPr>
          <w:p w14:paraId="655F0017" w14:textId="6BB01697" w:rsidR="007F3154" w:rsidRPr="00CE728D" w:rsidRDefault="007F3154" w:rsidP="00CE728D">
            <w:pPr>
              <w:adjustRightInd w:val="0"/>
              <w:snapToGrid w:val="0"/>
              <w:jc w:val="center"/>
              <w:rPr>
                <w:rFonts w:ascii="宋体" w:hAnsi="宋体" w:cs="宋体"/>
                <w:szCs w:val="21"/>
              </w:rPr>
            </w:pPr>
          </w:p>
        </w:tc>
      </w:tr>
      <w:tr w:rsidR="007F3154" w:rsidRPr="00CE728D" w14:paraId="1E6AA52E" w14:textId="77777777" w:rsidTr="00CE728D">
        <w:trPr>
          <w:trHeight w:val="567"/>
          <w:jc w:val="center"/>
        </w:trPr>
        <w:tc>
          <w:tcPr>
            <w:tcW w:w="828" w:type="dxa"/>
            <w:vAlign w:val="center"/>
          </w:tcPr>
          <w:p w14:paraId="16BF21C0" w14:textId="2E951F13" w:rsidR="007F3154" w:rsidRPr="00CE728D" w:rsidRDefault="007F3154" w:rsidP="00CE728D">
            <w:pPr>
              <w:adjustRightInd w:val="0"/>
              <w:snapToGrid w:val="0"/>
              <w:jc w:val="center"/>
              <w:rPr>
                <w:rFonts w:ascii="宋体" w:hAnsi="宋体" w:cs="宋体"/>
                <w:szCs w:val="21"/>
              </w:rPr>
            </w:pPr>
          </w:p>
        </w:tc>
        <w:tc>
          <w:tcPr>
            <w:tcW w:w="2259" w:type="dxa"/>
            <w:vAlign w:val="center"/>
          </w:tcPr>
          <w:p w14:paraId="3D7E8D9B" w14:textId="0CAEF261" w:rsidR="007F3154" w:rsidRPr="00CE728D" w:rsidRDefault="007F3154" w:rsidP="00CE728D">
            <w:pPr>
              <w:adjustRightInd w:val="0"/>
              <w:snapToGrid w:val="0"/>
              <w:jc w:val="center"/>
              <w:rPr>
                <w:rFonts w:ascii="宋体" w:hAnsi="宋体" w:cs="宋体"/>
                <w:szCs w:val="21"/>
              </w:rPr>
            </w:pPr>
          </w:p>
        </w:tc>
        <w:tc>
          <w:tcPr>
            <w:tcW w:w="5101" w:type="dxa"/>
            <w:vAlign w:val="center"/>
          </w:tcPr>
          <w:p w14:paraId="3B0B3865" w14:textId="20DE56A6" w:rsidR="007F3154" w:rsidRPr="00CE728D" w:rsidRDefault="007F3154" w:rsidP="00CE728D">
            <w:pPr>
              <w:adjustRightInd w:val="0"/>
              <w:snapToGrid w:val="0"/>
              <w:jc w:val="center"/>
              <w:rPr>
                <w:rFonts w:ascii="宋体" w:hAnsi="宋体" w:cs="宋体"/>
                <w:szCs w:val="21"/>
              </w:rPr>
            </w:pPr>
          </w:p>
        </w:tc>
        <w:tc>
          <w:tcPr>
            <w:tcW w:w="850" w:type="dxa"/>
            <w:vAlign w:val="center"/>
          </w:tcPr>
          <w:p w14:paraId="387F404D" w14:textId="1E6842FB" w:rsidR="007F3154" w:rsidRPr="00CE728D" w:rsidRDefault="007F3154" w:rsidP="00CE728D">
            <w:pPr>
              <w:adjustRightInd w:val="0"/>
              <w:snapToGrid w:val="0"/>
              <w:jc w:val="center"/>
              <w:rPr>
                <w:rFonts w:ascii="宋体" w:hAnsi="宋体" w:cs="宋体"/>
                <w:szCs w:val="21"/>
              </w:rPr>
            </w:pPr>
          </w:p>
        </w:tc>
        <w:tc>
          <w:tcPr>
            <w:tcW w:w="3828" w:type="dxa"/>
            <w:vAlign w:val="center"/>
          </w:tcPr>
          <w:p w14:paraId="04D29A00" w14:textId="5414009C" w:rsidR="007F3154" w:rsidRPr="00CE728D" w:rsidRDefault="007F3154" w:rsidP="00CE728D">
            <w:pPr>
              <w:adjustRightInd w:val="0"/>
              <w:snapToGrid w:val="0"/>
              <w:jc w:val="center"/>
              <w:rPr>
                <w:rFonts w:ascii="宋体" w:hAnsi="宋体" w:cs="宋体"/>
                <w:szCs w:val="21"/>
              </w:rPr>
            </w:pPr>
          </w:p>
        </w:tc>
      </w:tr>
      <w:tr w:rsidR="007F3154" w:rsidRPr="00CE728D" w14:paraId="120BA0BF" w14:textId="77777777" w:rsidTr="00CE728D">
        <w:trPr>
          <w:trHeight w:val="567"/>
          <w:jc w:val="center"/>
        </w:trPr>
        <w:tc>
          <w:tcPr>
            <w:tcW w:w="828" w:type="dxa"/>
            <w:vAlign w:val="center"/>
          </w:tcPr>
          <w:p w14:paraId="7C4F8B82" w14:textId="3B220524" w:rsidR="007F3154" w:rsidRPr="00CE728D" w:rsidRDefault="007F3154" w:rsidP="00CE728D">
            <w:pPr>
              <w:adjustRightInd w:val="0"/>
              <w:snapToGrid w:val="0"/>
              <w:jc w:val="center"/>
              <w:rPr>
                <w:rFonts w:ascii="宋体" w:hAnsi="宋体" w:cs="宋体"/>
                <w:szCs w:val="21"/>
              </w:rPr>
            </w:pPr>
          </w:p>
        </w:tc>
        <w:tc>
          <w:tcPr>
            <w:tcW w:w="12038" w:type="dxa"/>
            <w:gridSpan w:val="4"/>
            <w:vAlign w:val="center"/>
          </w:tcPr>
          <w:p w14:paraId="17361D38" w14:textId="63A66778" w:rsidR="007F3154" w:rsidRPr="00CE728D" w:rsidRDefault="007F3154" w:rsidP="00EC41FD">
            <w:pPr>
              <w:adjustRightInd w:val="0"/>
              <w:snapToGrid w:val="0"/>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w:t>
            </w:r>
            <w:r w:rsidR="00EC41FD">
              <w:rPr>
                <w:rFonts w:ascii="宋体" w:hAnsi="宋体" w:cs="宋体"/>
                <w:szCs w:val="21"/>
              </w:rPr>
              <w:t>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7F3154" w:rsidRPr="00CE728D" w14:paraId="4BA59C99" w14:textId="77777777" w:rsidTr="00CE728D">
        <w:trPr>
          <w:trHeight w:val="567"/>
          <w:jc w:val="center"/>
        </w:trPr>
        <w:tc>
          <w:tcPr>
            <w:tcW w:w="828" w:type="dxa"/>
            <w:vAlign w:val="center"/>
          </w:tcPr>
          <w:p w14:paraId="63228A17" w14:textId="4D6B3F51" w:rsidR="007F3154" w:rsidRPr="00CE728D" w:rsidRDefault="007F3154" w:rsidP="00CE728D">
            <w:pPr>
              <w:adjustRightInd w:val="0"/>
              <w:snapToGrid w:val="0"/>
              <w:jc w:val="center"/>
              <w:rPr>
                <w:rFonts w:ascii="宋体" w:hAnsi="宋体" w:cs="宋体"/>
                <w:szCs w:val="21"/>
              </w:rPr>
            </w:pPr>
          </w:p>
        </w:tc>
        <w:tc>
          <w:tcPr>
            <w:tcW w:w="2259" w:type="dxa"/>
            <w:vAlign w:val="center"/>
          </w:tcPr>
          <w:p w14:paraId="3F1871DE" w14:textId="41B4BAB3" w:rsidR="007F3154" w:rsidRPr="00CE728D" w:rsidRDefault="007F3154" w:rsidP="00CE728D">
            <w:pPr>
              <w:adjustRightInd w:val="0"/>
              <w:snapToGrid w:val="0"/>
              <w:jc w:val="center"/>
              <w:rPr>
                <w:rFonts w:ascii="宋体" w:hAnsi="宋体" w:cs="宋体"/>
                <w:szCs w:val="21"/>
              </w:rPr>
            </w:pPr>
          </w:p>
        </w:tc>
        <w:tc>
          <w:tcPr>
            <w:tcW w:w="5101" w:type="dxa"/>
            <w:vAlign w:val="center"/>
          </w:tcPr>
          <w:p w14:paraId="27D51F80" w14:textId="2CFB59E7" w:rsidR="007F3154" w:rsidRPr="00CE728D" w:rsidRDefault="007F3154" w:rsidP="00CE728D">
            <w:pPr>
              <w:adjustRightInd w:val="0"/>
              <w:snapToGrid w:val="0"/>
              <w:jc w:val="center"/>
              <w:rPr>
                <w:rFonts w:ascii="宋体" w:hAnsi="宋体" w:cs="宋体"/>
                <w:szCs w:val="21"/>
              </w:rPr>
            </w:pPr>
          </w:p>
        </w:tc>
        <w:tc>
          <w:tcPr>
            <w:tcW w:w="850" w:type="dxa"/>
            <w:vAlign w:val="center"/>
          </w:tcPr>
          <w:p w14:paraId="362640C6" w14:textId="2A3E2417" w:rsidR="007F3154" w:rsidRPr="00CE728D" w:rsidRDefault="007F3154" w:rsidP="00CE728D">
            <w:pPr>
              <w:adjustRightInd w:val="0"/>
              <w:snapToGrid w:val="0"/>
              <w:jc w:val="center"/>
              <w:rPr>
                <w:rFonts w:ascii="宋体" w:hAnsi="宋体" w:cs="宋体"/>
                <w:szCs w:val="21"/>
              </w:rPr>
            </w:pPr>
          </w:p>
        </w:tc>
        <w:tc>
          <w:tcPr>
            <w:tcW w:w="3828" w:type="dxa"/>
            <w:vAlign w:val="center"/>
          </w:tcPr>
          <w:p w14:paraId="748FCC82" w14:textId="089DD697" w:rsidR="007F3154" w:rsidRPr="00CE728D" w:rsidRDefault="007F3154" w:rsidP="00CE728D">
            <w:pPr>
              <w:adjustRightInd w:val="0"/>
              <w:snapToGrid w:val="0"/>
              <w:jc w:val="center"/>
              <w:rPr>
                <w:rFonts w:ascii="宋体" w:hAnsi="宋体" w:cs="宋体"/>
                <w:szCs w:val="21"/>
              </w:rPr>
            </w:pPr>
          </w:p>
        </w:tc>
      </w:tr>
      <w:tr w:rsidR="007F3154" w:rsidRPr="00CE728D" w14:paraId="1AC5FCA6" w14:textId="77777777" w:rsidTr="00CE728D">
        <w:trPr>
          <w:trHeight w:val="567"/>
          <w:jc w:val="center"/>
        </w:trPr>
        <w:tc>
          <w:tcPr>
            <w:tcW w:w="828" w:type="dxa"/>
            <w:vAlign w:val="center"/>
          </w:tcPr>
          <w:p w14:paraId="2B757FB6" w14:textId="1719C20B" w:rsidR="007F3154" w:rsidRPr="00CE728D" w:rsidRDefault="007F3154" w:rsidP="00CE728D">
            <w:pPr>
              <w:adjustRightInd w:val="0"/>
              <w:snapToGrid w:val="0"/>
              <w:jc w:val="center"/>
              <w:rPr>
                <w:rFonts w:ascii="宋体" w:hAnsi="宋体" w:cs="宋体"/>
                <w:szCs w:val="21"/>
              </w:rPr>
            </w:pPr>
          </w:p>
        </w:tc>
        <w:tc>
          <w:tcPr>
            <w:tcW w:w="2259" w:type="dxa"/>
            <w:vAlign w:val="center"/>
          </w:tcPr>
          <w:p w14:paraId="55B132B2" w14:textId="3DB30028" w:rsidR="007F3154" w:rsidRPr="00CE728D" w:rsidRDefault="007F3154" w:rsidP="00CE728D">
            <w:pPr>
              <w:adjustRightInd w:val="0"/>
              <w:snapToGrid w:val="0"/>
              <w:jc w:val="center"/>
              <w:rPr>
                <w:rFonts w:ascii="宋体" w:hAnsi="宋体" w:cs="宋体"/>
                <w:szCs w:val="21"/>
              </w:rPr>
            </w:pPr>
          </w:p>
        </w:tc>
        <w:tc>
          <w:tcPr>
            <w:tcW w:w="5101" w:type="dxa"/>
            <w:vAlign w:val="center"/>
          </w:tcPr>
          <w:p w14:paraId="09F2BEBE" w14:textId="6F26C726" w:rsidR="007F3154" w:rsidRPr="00CE728D" w:rsidRDefault="007F3154" w:rsidP="00CE728D">
            <w:pPr>
              <w:adjustRightInd w:val="0"/>
              <w:snapToGrid w:val="0"/>
              <w:jc w:val="center"/>
              <w:rPr>
                <w:rFonts w:ascii="宋体" w:hAnsi="宋体" w:cs="宋体"/>
                <w:szCs w:val="21"/>
              </w:rPr>
            </w:pPr>
          </w:p>
        </w:tc>
        <w:tc>
          <w:tcPr>
            <w:tcW w:w="850" w:type="dxa"/>
            <w:vAlign w:val="center"/>
          </w:tcPr>
          <w:p w14:paraId="408C3DF7" w14:textId="1FBB4A86" w:rsidR="007F3154" w:rsidRPr="00CE728D" w:rsidRDefault="007F3154" w:rsidP="00CE728D">
            <w:pPr>
              <w:adjustRightInd w:val="0"/>
              <w:snapToGrid w:val="0"/>
              <w:jc w:val="center"/>
              <w:rPr>
                <w:rFonts w:ascii="宋体" w:hAnsi="宋体" w:cs="宋体"/>
                <w:szCs w:val="21"/>
              </w:rPr>
            </w:pPr>
          </w:p>
        </w:tc>
        <w:tc>
          <w:tcPr>
            <w:tcW w:w="3828" w:type="dxa"/>
            <w:vAlign w:val="center"/>
          </w:tcPr>
          <w:p w14:paraId="5F31F662" w14:textId="2668DB8C" w:rsidR="007F3154" w:rsidRPr="00CE728D" w:rsidRDefault="007F3154" w:rsidP="00CE728D">
            <w:pPr>
              <w:adjustRightInd w:val="0"/>
              <w:snapToGrid w:val="0"/>
              <w:jc w:val="center"/>
              <w:rPr>
                <w:rFonts w:ascii="宋体" w:hAnsi="宋体" w:cs="宋体"/>
                <w:szCs w:val="21"/>
              </w:rPr>
            </w:pPr>
          </w:p>
        </w:tc>
      </w:tr>
      <w:tr w:rsidR="007F3154" w:rsidRPr="00CE728D" w14:paraId="6ED7DDFD" w14:textId="77777777" w:rsidTr="00CE728D">
        <w:trPr>
          <w:trHeight w:val="567"/>
          <w:jc w:val="center"/>
        </w:trPr>
        <w:tc>
          <w:tcPr>
            <w:tcW w:w="828" w:type="dxa"/>
            <w:vAlign w:val="center"/>
          </w:tcPr>
          <w:p w14:paraId="387A2720" w14:textId="23BCE6A7" w:rsidR="007F3154" w:rsidRPr="00CE728D" w:rsidRDefault="007F3154" w:rsidP="00CE728D">
            <w:pPr>
              <w:adjustRightInd w:val="0"/>
              <w:snapToGrid w:val="0"/>
              <w:jc w:val="center"/>
              <w:rPr>
                <w:rFonts w:ascii="宋体" w:hAnsi="宋体" w:cs="宋体"/>
                <w:szCs w:val="21"/>
              </w:rPr>
            </w:pPr>
          </w:p>
        </w:tc>
        <w:tc>
          <w:tcPr>
            <w:tcW w:w="2259" w:type="dxa"/>
            <w:vAlign w:val="center"/>
          </w:tcPr>
          <w:p w14:paraId="413BC0A8" w14:textId="4EA17972" w:rsidR="007F3154" w:rsidRPr="00CE728D" w:rsidRDefault="007F3154" w:rsidP="00CE728D">
            <w:pPr>
              <w:adjustRightInd w:val="0"/>
              <w:snapToGrid w:val="0"/>
              <w:jc w:val="center"/>
              <w:rPr>
                <w:rFonts w:ascii="宋体" w:hAnsi="宋体" w:cs="宋体"/>
                <w:szCs w:val="21"/>
              </w:rPr>
            </w:pPr>
          </w:p>
        </w:tc>
        <w:tc>
          <w:tcPr>
            <w:tcW w:w="5101" w:type="dxa"/>
            <w:vAlign w:val="center"/>
          </w:tcPr>
          <w:p w14:paraId="2C5AB231" w14:textId="6E305107" w:rsidR="007F3154" w:rsidRPr="00CE728D" w:rsidRDefault="007F3154" w:rsidP="00CE728D">
            <w:pPr>
              <w:adjustRightInd w:val="0"/>
              <w:snapToGrid w:val="0"/>
              <w:jc w:val="center"/>
              <w:rPr>
                <w:rFonts w:ascii="宋体" w:hAnsi="宋体" w:cs="宋体"/>
                <w:szCs w:val="21"/>
              </w:rPr>
            </w:pPr>
          </w:p>
        </w:tc>
        <w:tc>
          <w:tcPr>
            <w:tcW w:w="850" w:type="dxa"/>
            <w:vAlign w:val="center"/>
          </w:tcPr>
          <w:p w14:paraId="2E72CE61" w14:textId="79C74F0B" w:rsidR="007F3154" w:rsidRPr="00CE728D" w:rsidRDefault="007F3154" w:rsidP="00CE728D">
            <w:pPr>
              <w:adjustRightInd w:val="0"/>
              <w:snapToGrid w:val="0"/>
              <w:jc w:val="center"/>
              <w:rPr>
                <w:rFonts w:ascii="宋体" w:hAnsi="宋体" w:cs="宋体"/>
                <w:szCs w:val="21"/>
              </w:rPr>
            </w:pPr>
          </w:p>
        </w:tc>
        <w:tc>
          <w:tcPr>
            <w:tcW w:w="3828" w:type="dxa"/>
            <w:vAlign w:val="center"/>
          </w:tcPr>
          <w:p w14:paraId="05642B25" w14:textId="5235ECB9" w:rsidR="007F3154" w:rsidRPr="00CE728D" w:rsidRDefault="007F3154" w:rsidP="00CE728D">
            <w:pPr>
              <w:adjustRightInd w:val="0"/>
              <w:snapToGrid w:val="0"/>
              <w:jc w:val="center"/>
              <w:rPr>
                <w:rFonts w:ascii="宋体" w:hAnsi="宋体" w:cs="宋体"/>
                <w:szCs w:val="21"/>
              </w:rPr>
            </w:pPr>
          </w:p>
        </w:tc>
      </w:tr>
      <w:tr w:rsidR="007F3154" w:rsidRPr="00CE728D" w14:paraId="34937190" w14:textId="77777777" w:rsidTr="00CE728D">
        <w:trPr>
          <w:trHeight w:val="567"/>
          <w:jc w:val="center"/>
        </w:trPr>
        <w:tc>
          <w:tcPr>
            <w:tcW w:w="828" w:type="dxa"/>
            <w:vAlign w:val="center"/>
          </w:tcPr>
          <w:p w14:paraId="28A149D1" w14:textId="5CD15E2F" w:rsidR="007F3154" w:rsidRPr="00CE728D" w:rsidRDefault="007F3154" w:rsidP="00CE728D">
            <w:pPr>
              <w:adjustRightInd w:val="0"/>
              <w:snapToGrid w:val="0"/>
              <w:jc w:val="center"/>
              <w:rPr>
                <w:rFonts w:ascii="宋体" w:hAnsi="宋体" w:cs="宋体"/>
                <w:szCs w:val="21"/>
              </w:rPr>
            </w:pPr>
          </w:p>
        </w:tc>
        <w:tc>
          <w:tcPr>
            <w:tcW w:w="2259" w:type="dxa"/>
            <w:vAlign w:val="center"/>
          </w:tcPr>
          <w:p w14:paraId="4E998EAC" w14:textId="621BBA92" w:rsidR="007F3154" w:rsidRPr="00CE728D" w:rsidRDefault="007F3154" w:rsidP="00CE728D">
            <w:pPr>
              <w:adjustRightInd w:val="0"/>
              <w:snapToGrid w:val="0"/>
              <w:jc w:val="center"/>
              <w:rPr>
                <w:rFonts w:ascii="宋体" w:hAnsi="宋体" w:cs="宋体"/>
                <w:szCs w:val="21"/>
              </w:rPr>
            </w:pPr>
          </w:p>
        </w:tc>
        <w:tc>
          <w:tcPr>
            <w:tcW w:w="5101" w:type="dxa"/>
            <w:vAlign w:val="center"/>
          </w:tcPr>
          <w:p w14:paraId="74033BB7" w14:textId="324D7F5C" w:rsidR="007F3154" w:rsidRPr="00CE728D" w:rsidRDefault="007F3154" w:rsidP="00CE728D">
            <w:pPr>
              <w:adjustRightInd w:val="0"/>
              <w:snapToGrid w:val="0"/>
              <w:jc w:val="center"/>
              <w:rPr>
                <w:rFonts w:ascii="宋体" w:hAnsi="宋体" w:cs="宋体"/>
                <w:szCs w:val="21"/>
              </w:rPr>
            </w:pPr>
          </w:p>
        </w:tc>
        <w:tc>
          <w:tcPr>
            <w:tcW w:w="850" w:type="dxa"/>
            <w:vAlign w:val="center"/>
          </w:tcPr>
          <w:p w14:paraId="3B16D683" w14:textId="33F3FD69" w:rsidR="007F3154" w:rsidRPr="00CE728D" w:rsidRDefault="007F3154" w:rsidP="00CE728D">
            <w:pPr>
              <w:adjustRightInd w:val="0"/>
              <w:snapToGrid w:val="0"/>
              <w:jc w:val="center"/>
              <w:rPr>
                <w:rFonts w:ascii="宋体" w:hAnsi="宋体" w:cs="宋体"/>
                <w:szCs w:val="21"/>
              </w:rPr>
            </w:pPr>
          </w:p>
        </w:tc>
        <w:tc>
          <w:tcPr>
            <w:tcW w:w="3828" w:type="dxa"/>
            <w:vAlign w:val="center"/>
          </w:tcPr>
          <w:p w14:paraId="76304351" w14:textId="20E95F26" w:rsidR="007F3154" w:rsidRPr="00CE728D" w:rsidRDefault="007F3154" w:rsidP="00CE728D">
            <w:pPr>
              <w:pStyle w:val="ac"/>
              <w:spacing w:line="440" w:lineRule="exact"/>
              <w:jc w:val="center"/>
            </w:pPr>
          </w:p>
        </w:tc>
      </w:tr>
      <w:tr w:rsidR="007F3154" w:rsidRPr="00CE728D" w14:paraId="0AF1C3E7" w14:textId="77777777" w:rsidTr="00CE728D">
        <w:trPr>
          <w:trHeight w:val="567"/>
          <w:jc w:val="center"/>
        </w:trPr>
        <w:tc>
          <w:tcPr>
            <w:tcW w:w="828" w:type="dxa"/>
            <w:vAlign w:val="center"/>
          </w:tcPr>
          <w:p w14:paraId="177873F6" w14:textId="35CC9C91" w:rsidR="007F3154" w:rsidRPr="00CE728D" w:rsidRDefault="007F3154" w:rsidP="00CE728D">
            <w:pPr>
              <w:adjustRightInd w:val="0"/>
              <w:snapToGrid w:val="0"/>
              <w:jc w:val="center"/>
              <w:rPr>
                <w:rFonts w:ascii="宋体" w:hAnsi="宋体" w:cs="宋体"/>
                <w:szCs w:val="21"/>
              </w:rPr>
            </w:pPr>
          </w:p>
        </w:tc>
        <w:tc>
          <w:tcPr>
            <w:tcW w:w="2259" w:type="dxa"/>
            <w:vAlign w:val="center"/>
          </w:tcPr>
          <w:p w14:paraId="03056542" w14:textId="3CE4EFB4" w:rsidR="007F3154" w:rsidRPr="00CE728D" w:rsidRDefault="007F3154" w:rsidP="00CE728D">
            <w:pPr>
              <w:adjustRightInd w:val="0"/>
              <w:snapToGrid w:val="0"/>
              <w:jc w:val="center"/>
              <w:rPr>
                <w:rFonts w:ascii="宋体" w:hAnsi="宋体" w:cs="宋体"/>
                <w:szCs w:val="21"/>
              </w:rPr>
            </w:pPr>
          </w:p>
        </w:tc>
        <w:tc>
          <w:tcPr>
            <w:tcW w:w="5101" w:type="dxa"/>
            <w:vAlign w:val="center"/>
          </w:tcPr>
          <w:p w14:paraId="010A53FF" w14:textId="0DA2E2D6" w:rsidR="007F3154" w:rsidRPr="00CE728D" w:rsidRDefault="007F3154" w:rsidP="00CE728D">
            <w:pPr>
              <w:adjustRightInd w:val="0"/>
              <w:snapToGrid w:val="0"/>
              <w:jc w:val="center"/>
              <w:rPr>
                <w:rFonts w:ascii="宋体" w:hAnsi="宋体" w:cs="宋体"/>
                <w:szCs w:val="21"/>
              </w:rPr>
            </w:pPr>
          </w:p>
        </w:tc>
        <w:tc>
          <w:tcPr>
            <w:tcW w:w="850" w:type="dxa"/>
            <w:vAlign w:val="center"/>
          </w:tcPr>
          <w:p w14:paraId="044507E7" w14:textId="7E549346" w:rsidR="007F3154" w:rsidRPr="00CE728D" w:rsidRDefault="007F3154" w:rsidP="00CE728D">
            <w:pPr>
              <w:adjustRightInd w:val="0"/>
              <w:snapToGrid w:val="0"/>
              <w:jc w:val="center"/>
              <w:rPr>
                <w:rFonts w:ascii="宋体" w:hAnsi="宋体" w:cs="宋体"/>
                <w:szCs w:val="21"/>
              </w:rPr>
            </w:pPr>
          </w:p>
        </w:tc>
        <w:tc>
          <w:tcPr>
            <w:tcW w:w="3828" w:type="dxa"/>
            <w:vAlign w:val="center"/>
          </w:tcPr>
          <w:p w14:paraId="674CDE1C" w14:textId="67172789" w:rsidR="007F3154" w:rsidRPr="00CE728D" w:rsidRDefault="007F3154" w:rsidP="00CE728D">
            <w:pPr>
              <w:adjustRightInd w:val="0"/>
              <w:snapToGrid w:val="0"/>
              <w:jc w:val="center"/>
              <w:rPr>
                <w:rFonts w:ascii="宋体" w:hAnsi="宋体" w:cs="宋体"/>
                <w:szCs w:val="21"/>
              </w:rPr>
            </w:pPr>
          </w:p>
        </w:tc>
      </w:tr>
      <w:tr w:rsidR="0005005B" w:rsidRPr="00CE728D" w14:paraId="1C9EF059" w14:textId="77777777" w:rsidTr="00CE728D">
        <w:trPr>
          <w:trHeight w:val="567"/>
          <w:jc w:val="center"/>
        </w:trPr>
        <w:tc>
          <w:tcPr>
            <w:tcW w:w="828" w:type="dxa"/>
            <w:vAlign w:val="center"/>
          </w:tcPr>
          <w:p w14:paraId="77F537E7" w14:textId="717776B1"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156E8199" w14:textId="791D3B43" w:rsidR="0005005B" w:rsidRPr="00CE728D" w:rsidRDefault="0005005B" w:rsidP="0005005B">
            <w:pPr>
              <w:adjustRightInd w:val="0"/>
              <w:snapToGrid w:val="0"/>
              <w:jc w:val="center"/>
              <w:rPr>
                <w:rFonts w:ascii="宋体" w:hAnsi="宋体" w:cs="宋体"/>
                <w:szCs w:val="21"/>
              </w:rPr>
            </w:pPr>
          </w:p>
        </w:tc>
        <w:tc>
          <w:tcPr>
            <w:tcW w:w="5101" w:type="dxa"/>
            <w:vAlign w:val="center"/>
          </w:tcPr>
          <w:p w14:paraId="4B6E749E" w14:textId="62372898" w:rsidR="0005005B" w:rsidRPr="00CE728D" w:rsidRDefault="0005005B" w:rsidP="0005005B">
            <w:pPr>
              <w:adjustRightInd w:val="0"/>
              <w:snapToGrid w:val="0"/>
              <w:jc w:val="center"/>
              <w:rPr>
                <w:rFonts w:ascii="宋体" w:hAnsi="宋体" w:cs="宋体"/>
                <w:szCs w:val="21"/>
              </w:rPr>
            </w:pPr>
          </w:p>
        </w:tc>
        <w:tc>
          <w:tcPr>
            <w:tcW w:w="850" w:type="dxa"/>
            <w:vAlign w:val="center"/>
          </w:tcPr>
          <w:p w14:paraId="677CA76A" w14:textId="45C6444D" w:rsidR="0005005B" w:rsidRPr="00CE728D" w:rsidRDefault="0005005B" w:rsidP="0005005B">
            <w:pPr>
              <w:adjustRightInd w:val="0"/>
              <w:snapToGrid w:val="0"/>
              <w:jc w:val="center"/>
              <w:rPr>
                <w:rFonts w:ascii="宋体" w:hAnsi="宋体" w:cs="宋体"/>
                <w:szCs w:val="21"/>
              </w:rPr>
            </w:pPr>
          </w:p>
        </w:tc>
        <w:tc>
          <w:tcPr>
            <w:tcW w:w="3828" w:type="dxa"/>
            <w:vAlign w:val="center"/>
          </w:tcPr>
          <w:p w14:paraId="342F7B6E" w14:textId="059F27CB" w:rsidR="0005005B" w:rsidRPr="00CE728D" w:rsidRDefault="0005005B" w:rsidP="0005005B">
            <w:pPr>
              <w:adjustRightInd w:val="0"/>
              <w:snapToGrid w:val="0"/>
              <w:jc w:val="center"/>
              <w:rPr>
                <w:rFonts w:ascii="宋体" w:hAnsi="宋体" w:cs="宋体"/>
                <w:szCs w:val="21"/>
              </w:rPr>
            </w:pPr>
          </w:p>
        </w:tc>
      </w:tr>
      <w:tr w:rsidR="0005005B" w:rsidRPr="00CE728D" w14:paraId="44A12619" w14:textId="77777777" w:rsidTr="00CE728D">
        <w:trPr>
          <w:trHeight w:val="567"/>
          <w:jc w:val="center"/>
        </w:trPr>
        <w:tc>
          <w:tcPr>
            <w:tcW w:w="828" w:type="dxa"/>
            <w:vAlign w:val="center"/>
          </w:tcPr>
          <w:p w14:paraId="18774174" w14:textId="5872C7D0"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3216BEAE" w14:textId="49583840" w:rsidR="0005005B" w:rsidRPr="00CE728D" w:rsidRDefault="0005005B" w:rsidP="0005005B">
            <w:pPr>
              <w:adjustRightInd w:val="0"/>
              <w:snapToGrid w:val="0"/>
              <w:jc w:val="center"/>
              <w:rPr>
                <w:rFonts w:ascii="宋体" w:hAnsi="宋体" w:cs="宋体"/>
                <w:szCs w:val="21"/>
              </w:rPr>
            </w:pPr>
          </w:p>
        </w:tc>
        <w:tc>
          <w:tcPr>
            <w:tcW w:w="5101" w:type="dxa"/>
            <w:vAlign w:val="center"/>
          </w:tcPr>
          <w:p w14:paraId="2D9DF440" w14:textId="06FD9560" w:rsidR="0005005B" w:rsidRPr="00CE728D" w:rsidRDefault="0005005B" w:rsidP="0005005B">
            <w:pPr>
              <w:adjustRightInd w:val="0"/>
              <w:snapToGrid w:val="0"/>
              <w:jc w:val="center"/>
              <w:rPr>
                <w:rFonts w:ascii="宋体" w:hAnsi="宋体" w:cs="宋体"/>
                <w:szCs w:val="21"/>
              </w:rPr>
            </w:pPr>
          </w:p>
        </w:tc>
        <w:tc>
          <w:tcPr>
            <w:tcW w:w="850" w:type="dxa"/>
            <w:vAlign w:val="center"/>
          </w:tcPr>
          <w:p w14:paraId="1FB00954" w14:textId="28A2C21D" w:rsidR="0005005B" w:rsidRPr="00CE728D" w:rsidRDefault="0005005B" w:rsidP="0005005B">
            <w:pPr>
              <w:adjustRightInd w:val="0"/>
              <w:snapToGrid w:val="0"/>
              <w:jc w:val="center"/>
              <w:rPr>
                <w:rFonts w:ascii="宋体" w:hAnsi="宋体" w:cs="宋体"/>
                <w:szCs w:val="21"/>
              </w:rPr>
            </w:pPr>
          </w:p>
        </w:tc>
        <w:tc>
          <w:tcPr>
            <w:tcW w:w="3828" w:type="dxa"/>
            <w:vAlign w:val="center"/>
          </w:tcPr>
          <w:p w14:paraId="3F629955" w14:textId="0F116029" w:rsidR="0005005B" w:rsidRPr="00CE728D" w:rsidRDefault="0005005B" w:rsidP="0005005B">
            <w:pPr>
              <w:adjustRightInd w:val="0"/>
              <w:snapToGrid w:val="0"/>
              <w:jc w:val="center"/>
              <w:rPr>
                <w:rFonts w:ascii="宋体" w:hAnsi="宋体" w:cs="宋体"/>
                <w:szCs w:val="21"/>
              </w:rPr>
            </w:pPr>
          </w:p>
        </w:tc>
      </w:tr>
      <w:tr w:rsidR="0005005B" w:rsidRPr="00CE728D" w14:paraId="2132220A" w14:textId="77777777" w:rsidTr="00CE728D">
        <w:trPr>
          <w:trHeight w:val="567"/>
          <w:jc w:val="center"/>
        </w:trPr>
        <w:tc>
          <w:tcPr>
            <w:tcW w:w="828" w:type="dxa"/>
            <w:vAlign w:val="center"/>
          </w:tcPr>
          <w:p w14:paraId="753F6D36" w14:textId="412491E3"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1D4DB28C" w14:textId="6AA46E33" w:rsidR="0005005B" w:rsidRPr="00CE728D" w:rsidRDefault="0005005B" w:rsidP="0005005B">
            <w:pPr>
              <w:adjustRightInd w:val="0"/>
              <w:snapToGrid w:val="0"/>
              <w:jc w:val="center"/>
              <w:rPr>
                <w:rFonts w:ascii="宋体" w:hAnsi="宋体" w:cs="宋体"/>
                <w:szCs w:val="21"/>
              </w:rPr>
            </w:pPr>
          </w:p>
        </w:tc>
        <w:tc>
          <w:tcPr>
            <w:tcW w:w="5101" w:type="dxa"/>
            <w:vAlign w:val="center"/>
          </w:tcPr>
          <w:p w14:paraId="48C75723" w14:textId="5768CD9A" w:rsidR="0005005B" w:rsidRPr="00CE728D" w:rsidRDefault="0005005B" w:rsidP="0005005B">
            <w:pPr>
              <w:adjustRightInd w:val="0"/>
              <w:snapToGrid w:val="0"/>
              <w:jc w:val="center"/>
              <w:rPr>
                <w:rFonts w:ascii="宋体" w:hAnsi="宋体" w:cs="宋体"/>
                <w:szCs w:val="21"/>
              </w:rPr>
            </w:pPr>
          </w:p>
        </w:tc>
        <w:tc>
          <w:tcPr>
            <w:tcW w:w="850" w:type="dxa"/>
            <w:vAlign w:val="center"/>
          </w:tcPr>
          <w:p w14:paraId="2266AEFC" w14:textId="2EE662CB" w:rsidR="0005005B" w:rsidRPr="00CE728D" w:rsidRDefault="0005005B" w:rsidP="0005005B">
            <w:pPr>
              <w:adjustRightInd w:val="0"/>
              <w:snapToGrid w:val="0"/>
              <w:jc w:val="center"/>
              <w:rPr>
                <w:rFonts w:ascii="宋体" w:hAnsi="宋体" w:cs="宋体"/>
                <w:szCs w:val="21"/>
              </w:rPr>
            </w:pPr>
          </w:p>
        </w:tc>
        <w:tc>
          <w:tcPr>
            <w:tcW w:w="3828" w:type="dxa"/>
            <w:vAlign w:val="center"/>
          </w:tcPr>
          <w:p w14:paraId="5853C825" w14:textId="46686B3A" w:rsidR="0005005B" w:rsidRPr="00CE728D" w:rsidRDefault="0005005B" w:rsidP="0005005B">
            <w:pPr>
              <w:adjustRightInd w:val="0"/>
              <w:snapToGrid w:val="0"/>
              <w:jc w:val="center"/>
              <w:rPr>
                <w:rFonts w:ascii="宋体" w:hAnsi="宋体" w:cs="宋体"/>
                <w:szCs w:val="21"/>
              </w:rPr>
            </w:pPr>
          </w:p>
        </w:tc>
      </w:tr>
      <w:tr w:rsidR="0005005B" w:rsidRPr="00CE728D" w14:paraId="76A608D2" w14:textId="77777777" w:rsidTr="00CE728D">
        <w:trPr>
          <w:trHeight w:val="567"/>
          <w:jc w:val="center"/>
        </w:trPr>
        <w:tc>
          <w:tcPr>
            <w:tcW w:w="828" w:type="dxa"/>
            <w:vAlign w:val="center"/>
          </w:tcPr>
          <w:p w14:paraId="1B509102" w14:textId="433262C6" w:rsidR="0005005B" w:rsidRPr="00CE728D" w:rsidRDefault="0005005B" w:rsidP="0005005B">
            <w:pPr>
              <w:adjustRightInd w:val="0"/>
              <w:snapToGrid w:val="0"/>
              <w:jc w:val="center"/>
              <w:rPr>
                <w:rFonts w:ascii="宋体" w:hAnsi="宋体" w:cs="宋体"/>
                <w:color w:val="000000"/>
                <w:kern w:val="0"/>
                <w:szCs w:val="21"/>
                <w:lang w:bidi="ar"/>
              </w:rPr>
            </w:pPr>
          </w:p>
        </w:tc>
        <w:tc>
          <w:tcPr>
            <w:tcW w:w="12038" w:type="dxa"/>
            <w:gridSpan w:val="4"/>
            <w:vAlign w:val="center"/>
          </w:tcPr>
          <w:p w14:paraId="000C65B2" w14:textId="1C5C1FB3" w:rsidR="0005005B" w:rsidRPr="00CE728D" w:rsidRDefault="0005005B" w:rsidP="00EC41FD">
            <w:pPr>
              <w:adjustRightInd w:val="0"/>
              <w:snapToGrid w:val="0"/>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05005B" w:rsidRPr="00CE728D" w14:paraId="26A69825" w14:textId="77777777" w:rsidTr="00CE728D">
        <w:trPr>
          <w:trHeight w:val="567"/>
          <w:jc w:val="center"/>
        </w:trPr>
        <w:tc>
          <w:tcPr>
            <w:tcW w:w="828" w:type="dxa"/>
            <w:vAlign w:val="center"/>
          </w:tcPr>
          <w:p w14:paraId="5AAD521B" w14:textId="78485A92"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4633B9FD" w14:textId="13D89E94" w:rsidR="0005005B" w:rsidRPr="00CE728D" w:rsidRDefault="0005005B" w:rsidP="0005005B">
            <w:pPr>
              <w:adjustRightInd w:val="0"/>
              <w:snapToGrid w:val="0"/>
              <w:jc w:val="center"/>
              <w:rPr>
                <w:rFonts w:ascii="宋体" w:hAnsi="宋体" w:cs="宋体"/>
                <w:szCs w:val="21"/>
              </w:rPr>
            </w:pPr>
          </w:p>
        </w:tc>
        <w:tc>
          <w:tcPr>
            <w:tcW w:w="5101" w:type="dxa"/>
            <w:vAlign w:val="center"/>
          </w:tcPr>
          <w:p w14:paraId="4972F321" w14:textId="4A35FA85" w:rsidR="0005005B" w:rsidRPr="00CE728D" w:rsidRDefault="0005005B" w:rsidP="0005005B">
            <w:pPr>
              <w:adjustRightInd w:val="0"/>
              <w:snapToGrid w:val="0"/>
              <w:jc w:val="center"/>
              <w:rPr>
                <w:rFonts w:ascii="宋体" w:hAnsi="宋体" w:cs="宋体"/>
                <w:szCs w:val="21"/>
              </w:rPr>
            </w:pPr>
          </w:p>
        </w:tc>
        <w:tc>
          <w:tcPr>
            <w:tcW w:w="850" w:type="dxa"/>
            <w:vAlign w:val="center"/>
          </w:tcPr>
          <w:p w14:paraId="59E6191F" w14:textId="5A06995A" w:rsidR="0005005B" w:rsidRPr="00CE728D" w:rsidRDefault="0005005B" w:rsidP="0005005B">
            <w:pPr>
              <w:adjustRightInd w:val="0"/>
              <w:snapToGrid w:val="0"/>
              <w:jc w:val="center"/>
              <w:rPr>
                <w:rFonts w:ascii="宋体" w:hAnsi="宋体" w:cs="宋体"/>
                <w:szCs w:val="21"/>
              </w:rPr>
            </w:pPr>
          </w:p>
        </w:tc>
        <w:tc>
          <w:tcPr>
            <w:tcW w:w="3828" w:type="dxa"/>
            <w:vAlign w:val="center"/>
          </w:tcPr>
          <w:p w14:paraId="6B5E95D2" w14:textId="78F13EE4" w:rsidR="0005005B" w:rsidRPr="00CE728D" w:rsidRDefault="0005005B" w:rsidP="0005005B">
            <w:pPr>
              <w:adjustRightInd w:val="0"/>
              <w:snapToGrid w:val="0"/>
              <w:jc w:val="center"/>
              <w:rPr>
                <w:rFonts w:ascii="宋体" w:hAnsi="宋体" w:cs="宋体"/>
                <w:szCs w:val="21"/>
              </w:rPr>
            </w:pPr>
          </w:p>
        </w:tc>
      </w:tr>
      <w:tr w:rsidR="0005005B" w:rsidRPr="00CE728D" w14:paraId="163525AE" w14:textId="77777777" w:rsidTr="00CE728D">
        <w:trPr>
          <w:trHeight w:val="567"/>
          <w:jc w:val="center"/>
        </w:trPr>
        <w:tc>
          <w:tcPr>
            <w:tcW w:w="828" w:type="dxa"/>
            <w:vAlign w:val="center"/>
          </w:tcPr>
          <w:p w14:paraId="60278AD9" w14:textId="6DCADF43"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680684A4" w14:textId="6CD97783" w:rsidR="0005005B" w:rsidRPr="00CE728D" w:rsidRDefault="0005005B" w:rsidP="0005005B">
            <w:pPr>
              <w:adjustRightInd w:val="0"/>
              <w:snapToGrid w:val="0"/>
              <w:jc w:val="center"/>
              <w:rPr>
                <w:rFonts w:ascii="宋体" w:hAnsi="宋体" w:cs="宋体"/>
                <w:szCs w:val="21"/>
              </w:rPr>
            </w:pPr>
          </w:p>
        </w:tc>
        <w:tc>
          <w:tcPr>
            <w:tcW w:w="5101" w:type="dxa"/>
            <w:vAlign w:val="center"/>
          </w:tcPr>
          <w:p w14:paraId="5D1B714D" w14:textId="1A41E421" w:rsidR="0005005B" w:rsidRPr="00CE728D" w:rsidRDefault="0005005B" w:rsidP="0005005B">
            <w:pPr>
              <w:adjustRightInd w:val="0"/>
              <w:snapToGrid w:val="0"/>
              <w:jc w:val="center"/>
              <w:rPr>
                <w:rFonts w:ascii="宋体" w:hAnsi="宋体" w:cs="宋体"/>
                <w:szCs w:val="21"/>
              </w:rPr>
            </w:pPr>
          </w:p>
        </w:tc>
        <w:tc>
          <w:tcPr>
            <w:tcW w:w="850" w:type="dxa"/>
            <w:vAlign w:val="center"/>
          </w:tcPr>
          <w:p w14:paraId="00D67C21" w14:textId="2365FA59" w:rsidR="0005005B" w:rsidRPr="00CE728D" w:rsidRDefault="0005005B" w:rsidP="0005005B">
            <w:pPr>
              <w:adjustRightInd w:val="0"/>
              <w:snapToGrid w:val="0"/>
              <w:jc w:val="center"/>
              <w:rPr>
                <w:rFonts w:ascii="宋体" w:hAnsi="宋体" w:cs="宋体"/>
                <w:szCs w:val="21"/>
              </w:rPr>
            </w:pPr>
          </w:p>
        </w:tc>
        <w:tc>
          <w:tcPr>
            <w:tcW w:w="3828" w:type="dxa"/>
            <w:vAlign w:val="center"/>
          </w:tcPr>
          <w:p w14:paraId="3F64B9B5" w14:textId="0AC785D5" w:rsidR="0005005B" w:rsidRPr="00CE728D" w:rsidRDefault="0005005B" w:rsidP="0005005B">
            <w:pPr>
              <w:adjustRightInd w:val="0"/>
              <w:snapToGrid w:val="0"/>
              <w:jc w:val="center"/>
              <w:rPr>
                <w:rFonts w:ascii="宋体" w:hAnsi="宋体" w:cs="宋体"/>
                <w:szCs w:val="21"/>
              </w:rPr>
            </w:pPr>
          </w:p>
        </w:tc>
      </w:tr>
      <w:tr w:rsidR="0005005B" w:rsidRPr="00CE728D" w14:paraId="7050BF64" w14:textId="77777777" w:rsidTr="00CE728D">
        <w:trPr>
          <w:trHeight w:val="567"/>
          <w:jc w:val="center"/>
        </w:trPr>
        <w:tc>
          <w:tcPr>
            <w:tcW w:w="828" w:type="dxa"/>
            <w:vAlign w:val="center"/>
          </w:tcPr>
          <w:p w14:paraId="0FF349BF" w14:textId="71C4610D"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0360ED72" w14:textId="31AA6A7F" w:rsidR="0005005B" w:rsidRPr="00CE728D" w:rsidRDefault="0005005B" w:rsidP="0005005B">
            <w:pPr>
              <w:adjustRightInd w:val="0"/>
              <w:snapToGrid w:val="0"/>
              <w:jc w:val="center"/>
              <w:rPr>
                <w:rFonts w:ascii="宋体" w:hAnsi="宋体" w:cs="宋体"/>
                <w:szCs w:val="21"/>
              </w:rPr>
            </w:pPr>
          </w:p>
        </w:tc>
        <w:tc>
          <w:tcPr>
            <w:tcW w:w="5101" w:type="dxa"/>
            <w:vAlign w:val="center"/>
          </w:tcPr>
          <w:p w14:paraId="3881E5B6" w14:textId="63CC5A20" w:rsidR="0005005B" w:rsidRPr="00CE728D" w:rsidRDefault="0005005B" w:rsidP="0005005B">
            <w:pPr>
              <w:adjustRightInd w:val="0"/>
              <w:snapToGrid w:val="0"/>
              <w:jc w:val="center"/>
              <w:rPr>
                <w:rFonts w:ascii="宋体" w:hAnsi="宋体" w:cs="宋体"/>
                <w:szCs w:val="21"/>
              </w:rPr>
            </w:pPr>
          </w:p>
        </w:tc>
        <w:tc>
          <w:tcPr>
            <w:tcW w:w="850" w:type="dxa"/>
            <w:vAlign w:val="center"/>
          </w:tcPr>
          <w:p w14:paraId="6A5652E7" w14:textId="38A66DBA" w:rsidR="0005005B" w:rsidRPr="00CE728D" w:rsidRDefault="0005005B" w:rsidP="0005005B">
            <w:pPr>
              <w:adjustRightInd w:val="0"/>
              <w:snapToGrid w:val="0"/>
              <w:jc w:val="center"/>
              <w:rPr>
                <w:rFonts w:ascii="宋体" w:hAnsi="宋体" w:cs="宋体"/>
                <w:szCs w:val="21"/>
              </w:rPr>
            </w:pPr>
          </w:p>
        </w:tc>
        <w:tc>
          <w:tcPr>
            <w:tcW w:w="3828" w:type="dxa"/>
            <w:vAlign w:val="center"/>
          </w:tcPr>
          <w:p w14:paraId="0CB75551" w14:textId="1AE40527" w:rsidR="0005005B" w:rsidRPr="00CE728D" w:rsidRDefault="0005005B" w:rsidP="0005005B">
            <w:pPr>
              <w:adjustRightInd w:val="0"/>
              <w:snapToGrid w:val="0"/>
              <w:jc w:val="center"/>
              <w:rPr>
                <w:rFonts w:ascii="宋体" w:hAnsi="宋体" w:cs="宋体"/>
                <w:szCs w:val="21"/>
              </w:rPr>
            </w:pPr>
          </w:p>
        </w:tc>
      </w:tr>
      <w:tr w:rsidR="0005005B" w:rsidRPr="00CE728D" w14:paraId="4DE74199" w14:textId="77777777" w:rsidTr="00CE728D">
        <w:trPr>
          <w:trHeight w:val="567"/>
          <w:jc w:val="center"/>
        </w:trPr>
        <w:tc>
          <w:tcPr>
            <w:tcW w:w="828" w:type="dxa"/>
            <w:vAlign w:val="center"/>
          </w:tcPr>
          <w:p w14:paraId="4EBB9E7A" w14:textId="77777777" w:rsidR="0005005B" w:rsidRPr="00CE728D" w:rsidRDefault="0005005B" w:rsidP="0005005B">
            <w:pPr>
              <w:adjustRightInd w:val="0"/>
              <w:snapToGrid w:val="0"/>
              <w:jc w:val="center"/>
              <w:rPr>
                <w:rFonts w:ascii="宋体" w:hAnsi="宋体" w:cs="宋体"/>
                <w:szCs w:val="21"/>
              </w:rPr>
            </w:pPr>
          </w:p>
        </w:tc>
        <w:tc>
          <w:tcPr>
            <w:tcW w:w="12038" w:type="dxa"/>
            <w:gridSpan w:val="4"/>
            <w:vAlign w:val="center"/>
          </w:tcPr>
          <w:p w14:paraId="0EBB98F2" w14:textId="694E52F4" w:rsidR="0005005B" w:rsidRPr="00CE728D" w:rsidRDefault="0005005B" w:rsidP="00EC41FD">
            <w:pPr>
              <w:adjustRightInd w:val="0"/>
              <w:snapToGrid w:val="0"/>
              <w:spacing w:line="300" w:lineRule="exact"/>
              <w:jc w:val="center"/>
              <w:rPr>
                <w:rFonts w:ascii="宋体" w:hAnsi="宋体" w:cs="宋体"/>
                <w:szCs w:val="21"/>
              </w:rPr>
            </w:pPr>
            <w:r w:rsidRPr="00CE728D">
              <w:rPr>
                <w:rFonts w:ascii="宋体" w:hAnsi="宋体" w:cs="宋体" w:hint="eastAsia"/>
                <w:szCs w:val="21"/>
              </w:rPr>
              <w:t>专家：</w:t>
            </w:r>
            <w:r w:rsidR="00EC41FD">
              <w:rPr>
                <w:rFonts w:ascii="宋体" w:hAnsi="宋体" w:cs="宋体" w:hint="eastAsia"/>
                <w:szCs w:val="21"/>
              </w:rPr>
              <w:t>x</w:t>
            </w:r>
            <w:r w:rsidR="00EC41FD">
              <w:rPr>
                <w:rFonts w:ascii="宋体" w:hAnsi="宋体" w:cs="宋体"/>
                <w:szCs w:val="21"/>
              </w:rPr>
              <w:t>x</w:t>
            </w:r>
            <w:r w:rsidRPr="00CE728D">
              <w:rPr>
                <w:rFonts w:ascii="宋体" w:hAnsi="宋体" w:cs="宋体" w:hint="eastAsia"/>
                <w:szCs w:val="21"/>
              </w:rPr>
              <w:t xml:space="preserve"> </w:t>
            </w:r>
            <w:r w:rsidRPr="00CE728D">
              <w:rPr>
                <w:rFonts w:ascii="宋体" w:hAnsi="宋体" w:cs="宋体"/>
                <w:szCs w:val="21"/>
              </w:rPr>
              <w:t xml:space="preserve">   </w:t>
            </w:r>
            <w:r w:rsidRPr="00CE728D">
              <w:rPr>
                <w:rFonts w:ascii="宋体" w:hAnsi="宋体" w:cs="宋体" w:hint="eastAsia"/>
                <w:szCs w:val="21"/>
              </w:rPr>
              <w:t>单位：</w:t>
            </w:r>
            <w:r w:rsidR="00EC41FD">
              <w:rPr>
                <w:rFonts w:ascii="宋体" w:hAnsi="宋体" w:cs="宋体" w:hint="eastAsia"/>
                <w:szCs w:val="21"/>
              </w:rPr>
              <w:t>x</w:t>
            </w:r>
            <w:r w:rsidR="00EC41FD">
              <w:rPr>
                <w:rFonts w:ascii="宋体" w:hAnsi="宋体" w:cs="宋体"/>
                <w:szCs w:val="21"/>
              </w:rPr>
              <w:t>x</w:t>
            </w:r>
          </w:p>
        </w:tc>
      </w:tr>
      <w:tr w:rsidR="0005005B" w:rsidRPr="00CE728D" w14:paraId="418E4E8B" w14:textId="77777777" w:rsidTr="00CE728D">
        <w:trPr>
          <w:trHeight w:val="567"/>
          <w:jc w:val="center"/>
        </w:trPr>
        <w:tc>
          <w:tcPr>
            <w:tcW w:w="828" w:type="dxa"/>
            <w:vAlign w:val="center"/>
          </w:tcPr>
          <w:p w14:paraId="3BCC6193" w14:textId="2FD66F86"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2AC819D2" w14:textId="7A913620" w:rsidR="0005005B" w:rsidRPr="00CE728D" w:rsidRDefault="0005005B" w:rsidP="0005005B">
            <w:pPr>
              <w:adjustRightInd w:val="0"/>
              <w:snapToGrid w:val="0"/>
              <w:jc w:val="center"/>
              <w:rPr>
                <w:rFonts w:ascii="宋体" w:hAnsi="宋体" w:cs="宋体"/>
                <w:szCs w:val="21"/>
              </w:rPr>
            </w:pPr>
          </w:p>
        </w:tc>
        <w:tc>
          <w:tcPr>
            <w:tcW w:w="5101" w:type="dxa"/>
            <w:vAlign w:val="center"/>
          </w:tcPr>
          <w:p w14:paraId="599369D3" w14:textId="6B5D6FA6" w:rsidR="0005005B" w:rsidRPr="00CE728D" w:rsidRDefault="0005005B" w:rsidP="0005005B">
            <w:pPr>
              <w:adjustRightInd w:val="0"/>
              <w:snapToGrid w:val="0"/>
              <w:jc w:val="center"/>
              <w:rPr>
                <w:rFonts w:ascii="宋体" w:hAnsi="宋体" w:cs="宋体"/>
                <w:szCs w:val="21"/>
              </w:rPr>
            </w:pPr>
          </w:p>
        </w:tc>
        <w:tc>
          <w:tcPr>
            <w:tcW w:w="850" w:type="dxa"/>
            <w:vAlign w:val="center"/>
          </w:tcPr>
          <w:p w14:paraId="074FAA02" w14:textId="51DB767D" w:rsidR="0005005B" w:rsidRPr="00CE728D" w:rsidRDefault="0005005B" w:rsidP="0005005B">
            <w:pPr>
              <w:adjustRightInd w:val="0"/>
              <w:snapToGrid w:val="0"/>
              <w:jc w:val="center"/>
              <w:rPr>
                <w:rFonts w:ascii="宋体" w:hAnsi="宋体" w:cs="宋体"/>
                <w:szCs w:val="21"/>
              </w:rPr>
            </w:pPr>
          </w:p>
        </w:tc>
        <w:tc>
          <w:tcPr>
            <w:tcW w:w="3828" w:type="dxa"/>
            <w:vAlign w:val="center"/>
          </w:tcPr>
          <w:p w14:paraId="1639C6DA" w14:textId="6B87BFF1" w:rsidR="0005005B" w:rsidRPr="00CE728D" w:rsidRDefault="0005005B" w:rsidP="0005005B">
            <w:pPr>
              <w:adjustRightInd w:val="0"/>
              <w:snapToGrid w:val="0"/>
              <w:jc w:val="center"/>
              <w:rPr>
                <w:rFonts w:ascii="宋体" w:hAnsi="宋体" w:cs="宋体"/>
                <w:szCs w:val="21"/>
              </w:rPr>
            </w:pPr>
          </w:p>
        </w:tc>
      </w:tr>
      <w:tr w:rsidR="0005005B" w:rsidRPr="00CE728D" w14:paraId="1B6708E8" w14:textId="77777777" w:rsidTr="00CE728D">
        <w:trPr>
          <w:trHeight w:val="567"/>
          <w:jc w:val="center"/>
        </w:trPr>
        <w:tc>
          <w:tcPr>
            <w:tcW w:w="828" w:type="dxa"/>
            <w:vAlign w:val="center"/>
          </w:tcPr>
          <w:p w14:paraId="0B6810ED" w14:textId="63A85287"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325E1330" w14:textId="72814105" w:rsidR="0005005B" w:rsidRPr="00CE728D" w:rsidRDefault="0005005B" w:rsidP="0005005B">
            <w:pPr>
              <w:adjustRightInd w:val="0"/>
              <w:snapToGrid w:val="0"/>
              <w:jc w:val="center"/>
              <w:rPr>
                <w:rFonts w:ascii="宋体" w:hAnsi="宋体" w:cs="宋体"/>
                <w:szCs w:val="21"/>
              </w:rPr>
            </w:pPr>
          </w:p>
        </w:tc>
        <w:tc>
          <w:tcPr>
            <w:tcW w:w="5101" w:type="dxa"/>
            <w:vAlign w:val="center"/>
          </w:tcPr>
          <w:p w14:paraId="5E12F007" w14:textId="5AB5260A" w:rsidR="0005005B" w:rsidRPr="00CE728D" w:rsidRDefault="0005005B" w:rsidP="0005005B">
            <w:pPr>
              <w:adjustRightInd w:val="0"/>
              <w:snapToGrid w:val="0"/>
              <w:jc w:val="center"/>
              <w:rPr>
                <w:rFonts w:ascii="宋体" w:hAnsi="宋体" w:cs="宋体"/>
                <w:szCs w:val="21"/>
              </w:rPr>
            </w:pPr>
          </w:p>
        </w:tc>
        <w:tc>
          <w:tcPr>
            <w:tcW w:w="850" w:type="dxa"/>
            <w:vAlign w:val="center"/>
          </w:tcPr>
          <w:p w14:paraId="178F2359" w14:textId="076577E4" w:rsidR="0005005B" w:rsidRPr="00CE728D" w:rsidRDefault="0005005B" w:rsidP="0005005B">
            <w:pPr>
              <w:adjustRightInd w:val="0"/>
              <w:snapToGrid w:val="0"/>
              <w:jc w:val="center"/>
              <w:rPr>
                <w:rFonts w:ascii="宋体" w:hAnsi="宋体" w:cs="宋体"/>
                <w:szCs w:val="21"/>
              </w:rPr>
            </w:pPr>
          </w:p>
        </w:tc>
        <w:tc>
          <w:tcPr>
            <w:tcW w:w="3828" w:type="dxa"/>
            <w:vAlign w:val="center"/>
          </w:tcPr>
          <w:p w14:paraId="694BC8E6" w14:textId="508131EF" w:rsidR="0005005B" w:rsidRPr="00CE728D" w:rsidRDefault="0005005B" w:rsidP="0005005B">
            <w:pPr>
              <w:adjustRightInd w:val="0"/>
              <w:snapToGrid w:val="0"/>
              <w:jc w:val="center"/>
              <w:rPr>
                <w:rFonts w:ascii="宋体" w:hAnsi="宋体" w:cs="宋体"/>
                <w:szCs w:val="21"/>
              </w:rPr>
            </w:pPr>
          </w:p>
        </w:tc>
      </w:tr>
      <w:tr w:rsidR="0005005B" w:rsidRPr="00CE728D" w14:paraId="16C3D316" w14:textId="77777777" w:rsidTr="00CE728D">
        <w:trPr>
          <w:trHeight w:val="567"/>
          <w:jc w:val="center"/>
        </w:trPr>
        <w:tc>
          <w:tcPr>
            <w:tcW w:w="828" w:type="dxa"/>
            <w:vAlign w:val="center"/>
          </w:tcPr>
          <w:p w14:paraId="5ACD6E97" w14:textId="31A3FF1A"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16188D8B" w14:textId="38ABCB53" w:rsidR="0005005B" w:rsidRPr="00CE728D" w:rsidRDefault="0005005B" w:rsidP="0005005B">
            <w:pPr>
              <w:adjustRightInd w:val="0"/>
              <w:snapToGrid w:val="0"/>
              <w:jc w:val="center"/>
              <w:rPr>
                <w:rFonts w:ascii="宋体" w:hAnsi="宋体" w:cs="宋体"/>
                <w:szCs w:val="21"/>
              </w:rPr>
            </w:pPr>
          </w:p>
        </w:tc>
        <w:tc>
          <w:tcPr>
            <w:tcW w:w="5101" w:type="dxa"/>
            <w:vAlign w:val="center"/>
          </w:tcPr>
          <w:p w14:paraId="46FADC8C" w14:textId="58CC8233" w:rsidR="0005005B" w:rsidRPr="00CE728D" w:rsidRDefault="0005005B" w:rsidP="0005005B">
            <w:pPr>
              <w:adjustRightInd w:val="0"/>
              <w:snapToGrid w:val="0"/>
              <w:jc w:val="center"/>
              <w:rPr>
                <w:rFonts w:ascii="宋体" w:hAnsi="宋体" w:cs="宋体"/>
                <w:szCs w:val="21"/>
              </w:rPr>
            </w:pPr>
          </w:p>
        </w:tc>
        <w:tc>
          <w:tcPr>
            <w:tcW w:w="850" w:type="dxa"/>
            <w:vAlign w:val="center"/>
          </w:tcPr>
          <w:p w14:paraId="20EBB28A" w14:textId="12EE3DFB" w:rsidR="0005005B" w:rsidRPr="00CE728D" w:rsidRDefault="0005005B" w:rsidP="0005005B">
            <w:pPr>
              <w:adjustRightInd w:val="0"/>
              <w:snapToGrid w:val="0"/>
              <w:jc w:val="center"/>
              <w:rPr>
                <w:rFonts w:ascii="宋体" w:hAnsi="宋体" w:cs="宋体"/>
                <w:szCs w:val="21"/>
              </w:rPr>
            </w:pPr>
          </w:p>
        </w:tc>
        <w:tc>
          <w:tcPr>
            <w:tcW w:w="3828" w:type="dxa"/>
            <w:vAlign w:val="center"/>
          </w:tcPr>
          <w:p w14:paraId="0D2D1D25" w14:textId="4B72ECAB" w:rsidR="0005005B" w:rsidRPr="00CE728D" w:rsidRDefault="0005005B" w:rsidP="0005005B">
            <w:pPr>
              <w:adjustRightInd w:val="0"/>
              <w:snapToGrid w:val="0"/>
              <w:jc w:val="center"/>
              <w:rPr>
                <w:rFonts w:ascii="宋体" w:hAnsi="宋体" w:cs="宋体"/>
                <w:szCs w:val="21"/>
              </w:rPr>
            </w:pPr>
          </w:p>
        </w:tc>
      </w:tr>
      <w:tr w:rsidR="0005005B" w:rsidRPr="00CE728D" w14:paraId="4229B55B" w14:textId="77777777" w:rsidTr="00CE728D">
        <w:trPr>
          <w:trHeight w:val="567"/>
          <w:jc w:val="center"/>
        </w:trPr>
        <w:tc>
          <w:tcPr>
            <w:tcW w:w="828" w:type="dxa"/>
            <w:vAlign w:val="center"/>
          </w:tcPr>
          <w:p w14:paraId="7185A0C5" w14:textId="7D02BA64" w:rsidR="0005005B" w:rsidRPr="00CE728D" w:rsidRDefault="0005005B" w:rsidP="0005005B">
            <w:pPr>
              <w:adjustRightInd w:val="0"/>
              <w:snapToGrid w:val="0"/>
              <w:jc w:val="center"/>
              <w:rPr>
                <w:rFonts w:ascii="宋体" w:hAnsi="宋体" w:cs="宋体"/>
                <w:color w:val="000000"/>
                <w:kern w:val="0"/>
                <w:szCs w:val="21"/>
                <w:lang w:bidi="ar"/>
              </w:rPr>
            </w:pPr>
          </w:p>
        </w:tc>
        <w:tc>
          <w:tcPr>
            <w:tcW w:w="2259" w:type="dxa"/>
            <w:vAlign w:val="center"/>
          </w:tcPr>
          <w:p w14:paraId="2E75A519" w14:textId="2AB1AB3B" w:rsidR="0005005B" w:rsidRPr="00CE728D" w:rsidRDefault="0005005B" w:rsidP="0005005B">
            <w:pPr>
              <w:adjustRightInd w:val="0"/>
              <w:snapToGrid w:val="0"/>
              <w:jc w:val="center"/>
              <w:rPr>
                <w:rFonts w:ascii="宋体" w:hAnsi="宋体" w:cs="宋体"/>
                <w:szCs w:val="21"/>
              </w:rPr>
            </w:pPr>
          </w:p>
        </w:tc>
        <w:tc>
          <w:tcPr>
            <w:tcW w:w="5101" w:type="dxa"/>
            <w:vAlign w:val="center"/>
          </w:tcPr>
          <w:p w14:paraId="724B698D" w14:textId="13687DE0" w:rsidR="0005005B" w:rsidRPr="00CE728D" w:rsidRDefault="0005005B" w:rsidP="0005005B">
            <w:pPr>
              <w:adjustRightInd w:val="0"/>
              <w:snapToGrid w:val="0"/>
              <w:jc w:val="center"/>
              <w:rPr>
                <w:rFonts w:ascii="宋体" w:hAnsi="宋体" w:cs="宋体"/>
                <w:szCs w:val="21"/>
              </w:rPr>
            </w:pPr>
          </w:p>
        </w:tc>
        <w:tc>
          <w:tcPr>
            <w:tcW w:w="850" w:type="dxa"/>
            <w:vAlign w:val="center"/>
          </w:tcPr>
          <w:p w14:paraId="521D2C46" w14:textId="397688BD" w:rsidR="0005005B" w:rsidRPr="00CE728D" w:rsidRDefault="0005005B" w:rsidP="0005005B">
            <w:pPr>
              <w:adjustRightInd w:val="0"/>
              <w:snapToGrid w:val="0"/>
              <w:jc w:val="center"/>
              <w:rPr>
                <w:rFonts w:ascii="宋体" w:hAnsi="宋体" w:cs="宋体"/>
                <w:szCs w:val="21"/>
              </w:rPr>
            </w:pPr>
          </w:p>
        </w:tc>
        <w:tc>
          <w:tcPr>
            <w:tcW w:w="3828" w:type="dxa"/>
            <w:vAlign w:val="center"/>
          </w:tcPr>
          <w:p w14:paraId="4438628E" w14:textId="7B7E5B03" w:rsidR="0005005B" w:rsidRPr="00CE728D" w:rsidRDefault="0005005B" w:rsidP="0005005B">
            <w:pPr>
              <w:adjustRightInd w:val="0"/>
              <w:snapToGrid w:val="0"/>
              <w:jc w:val="center"/>
              <w:rPr>
                <w:rFonts w:ascii="宋体" w:hAnsi="宋体" w:cs="宋体"/>
                <w:szCs w:val="21"/>
              </w:rPr>
            </w:pPr>
          </w:p>
        </w:tc>
      </w:tr>
    </w:tbl>
    <w:p w14:paraId="539BBE86" w14:textId="77777777" w:rsidR="00985C88" w:rsidRDefault="00985C88" w:rsidP="00985C88">
      <w:pPr>
        <w:ind w:firstLineChars="450" w:firstLine="1080"/>
        <w:rPr>
          <w:rFonts w:ascii="宋体" w:hAnsi="宋体" w:cs="宋体"/>
          <w:sz w:val="24"/>
        </w:rPr>
      </w:pPr>
    </w:p>
    <w:p w14:paraId="18E90E5F" w14:textId="77777777" w:rsidR="00985C88" w:rsidRDefault="00985C88" w:rsidP="00985C88">
      <w:pPr>
        <w:pStyle w:val="af8"/>
        <w:spacing w:line="440" w:lineRule="exact"/>
      </w:pPr>
    </w:p>
    <w:p w14:paraId="4F5C0D24" w14:textId="77777777" w:rsidR="007D6754" w:rsidRDefault="007D6754" w:rsidP="007D6754">
      <w:pPr>
        <w:pStyle w:val="af8"/>
        <w:pageBreakBefore/>
        <w:spacing w:line="440" w:lineRule="exact"/>
        <w:sectPr w:rsidR="007D6754" w:rsidSect="004B4B2B">
          <w:type w:val="continuous"/>
          <w:pgSz w:w="16840" w:h="11910" w:orient="landscape"/>
          <w:pgMar w:top="1797" w:right="1440" w:bottom="1797" w:left="1440" w:header="1446" w:footer="1140" w:gutter="0"/>
          <w:pgNumType w:fmt="numberInDash"/>
          <w:cols w:space="720"/>
          <w:docGrid w:linePitch="286"/>
        </w:sectPr>
      </w:pPr>
    </w:p>
    <w:p w14:paraId="06A2598E" w14:textId="77777777" w:rsidR="00730D1C" w:rsidRPr="00BF5185" w:rsidRDefault="00DA1DEA" w:rsidP="004B7A31">
      <w:pPr>
        <w:pStyle w:val="af3"/>
        <w:jc w:val="both"/>
        <w:rPr>
          <w:rFonts w:ascii="黑体" w:eastAsia="黑体" w:hAnsi="黑体"/>
          <w:b w:val="0"/>
          <w:sz w:val="21"/>
          <w:szCs w:val="21"/>
        </w:rPr>
      </w:pPr>
      <w:bookmarkStart w:id="36" w:name="_Toc73350793"/>
      <w:bookmarkStart w:id="37" w:name="_Toc234489938"/>
      <w:r w:rsidRPr="00BF5185">
        <w:rPr>
          <w:rFonts w:ascii="黑体" w:eastAsia="黑体" w:hAnsi="黑体" w:hint="eastAsia"/>
          <w:b w:val="0"/>
          <w:sz w:val="21"/>
          <w:szCs w:val="21"/>
        </w:rPr>
        <w:lastRenderedPageBreak/>
        <w:t>8</w:t>
      </w:r>
      <w:r w:rsidRPr="00BF5185">
        <w:rPr>
          <w:rFonts w:ascii="黑体" w:eastAsia="黑体" w:hAnsi="黑体"/>
          <w:b w:val="0"/>
          <w:sz w:val="21"/>
          <w:szCs w:val="21"/>
        </w:rPr>
        <w:t xml:space="preserve"> </w:t>
      </w:r>
      <w:r w:rsidR="00730D1C" w:rsidRPr="00BF5185">
        <w:rPr>
          <w:rFonts w:ascii="黑体" w:eastAsia="黑体" w:hAnsi="黑体" w:hint="eastAsia"/>
          <w:b w:val="0"/>
          <w:sz w:val="21"/>
          <w:szCs w:val="21"/>
        </w:rPr>
        <w:t>参考文献</w:t>
      </w:r>
      <w:bookmarkEnd w:id="36"/>
      <w:bookmarkEnd w:id="37"/>
      <w:r w:rsidR="00730D1C" w:rsidRPr="00BF5185">
        <w:rPr>
          <w:rFonts w:ascii="黑体" w:eastAsia="黑体" w:hAnsi="黑体"/>
          <w:b w:val="0"/>
          <w:sz w:val="21"/>
          <w:szCs w:val="21"/>
        </w:rPr>
        <w:t xml:space="preserve"> </w:t>
      </w:r>
    </w:p>
    <w:p w14:paraId="4C193B75" w14:textId="77777777" w:rsidR="00020292" w:rsidRPr="00DA401C" w:rsidRDefault="00020292" w:rsidP="00AF48A7">
      <w:pPr>
        <w:pStyle w:val="ad"/>
        <w:tabs>
          <w:tab w:val="left" w:pos="970"/>
          <w:tab w:val="left" w:pos="971"/>
        </w:tabs>
        <w:spacing w:line="360" w:lineRule="auto"/>
        <w:ind w:left="0" w:firstLineChars="200" w:firstLine="420"/>
        <w:rPr>
          <w:rFonts w:ascii="Times New Roman" w:hAnsi="Times New Roman" w:cs="Times New Roman"/>
          <w:sz w:val="21"/>
          <w:szCs w:val="21"/>
          <w:lang w:val="en-US"/>
        </w:rPr>
      </w:pPr>
    </w:p>
    <w:p w14:paraId="02A14593" w14:textId="77777777" w:rsidR="007F6AD7" w:rsidRPr="00DA401C" w:rsidRDefault="00020292" w:rsidP="007F6AD7">
      <w:pPr>
        <w:pStyle w:val="EndNoteBibliography"/>
        <w:ind w:left="720" w:hanging="720"/>
        <w:rPr>
          <w:rFonts w:ascii="Times New Roman" w:hAnsi="Times New Roman"/>
        </w:rPr>
      </w:pPr>
      <w:r w:rsidRPr="00DA401C">
        <w:rPr>
          <w:rFonts w:ascii="Times New Roman" w:hAnsi="Times New Roman"/>
          <w:sz w:val="21"/>
          <w:szCs w:val="21"/>
        </w:rPr>
        <w:fldChar w:fldCharType="begin"/>
      </w:r>
      <w:r w:rsidRPr="00DA401C">
        <w:rPr>
          <w:rFonts w:ascii="Times New Roman" w:hAnsi="Times New Roman"/>
          <w:sz w:val="21"/>
          <w:szCs w:val="21"/>
        </w:rPr>
        <w:instrText xml:space="preserve"> ADDIN EN.REFLIST </w:instrText>
      </w:r>
      <w:r w:rsidRPr="00DA401C">
        <w:rPr>
          <w:rFonts w:ascii="Times New Roman" w:hAnsi="Times New Roman"/>
          <w:sz w:val="21"/>
          <w:szCs w:val="21"/>
        </w:rPr>
        <w:fldChar w:fldCharType="separate"/>
      </w:r>
      <w:r w:rsidR="007F6AD7" w:rsidRPr="00DA401C">
        <w:rPr>
          <w:rFonts w:ascii="Times New Roman" w:hAnsi="Times New Roman"/>
        </w:rPr>
        <w:t>1.</w:t>
      </w:r>
      <w:r w:rsidR="007F6AD7" w:rsidRPr="00DA401C">
        <w:rPr>
          <w:rFonts w:ascii="Times New Roman" w:hAnsi="Times New Roman"/>
        </w:rPr>
        <w:tab/>
        <w:t xml:space="preserve">Murray, C.J.L., et al., </w:t>
      </w:r>
      <w:r w:rsidR="007F6AD7" w:rsidRPr="00DA401C">
        <w:rPr>
          <w:rFonts w:ascii="Times New Roman" w:hAnsi="Times New Roman"/>
          <w:i/>
        </w:rPr>
        <w:t>Global burden of bacterial antimicrobial resistance in 2019: a systematic analysis.</w:t>
      </w:r>
      <w:r w:rsidR="007F6AD7" w:rsidRPr="00DA401C">
        <w:rPr>
          <w:rFonts w:ascii="Times New Roman" w:hAnsi="Times New Roman"/>
        </w:rPr>
        <w:t xml:space="preserve"> Lancet, 2022. 399(10325): p. 629–655.</w:t>
      </w:r>
    </w:p>
    <w:p w14:paraId="579D23FA"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2.</w:t>
      </w:r>
      <w:r w:rsidRPr="00DA401C">
        <w:rPr>
          <w:rFonts w:ascii="Times New Roman" w:hAnsi="Times New Roman"/>
        </w:rPr>
        <w:tab/>
        <w:t xml:space="preserve">O’Neill, J., </w:t>
      </w:r>
      <w:r w:rsidRPr="00DA401C">
        <w:rPr>
          <w:rFonts w:ascii="Times New Roman" w:hAnsi="Times New Roman"/>
          <w:i/>
        </w:rPr>
        <w:t>Review on antimicrobial resistance: tackling a crisis for the health and wealth of nations</w:t>
      </w:r>
      <w:r w:rsidRPr="00DA401C">
        <w:rPr>
          <w:rFonts w:ascii="Times New Roman" w:hAnsi="Times New Roman"/>
        </w:rPr>
        <w:t>. 2014, HM Government: London.</w:t>
      </w:r>
    </w:p>
    <w:p w14:paraId="5DEC56EB"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3.</w:t>
      </w:r>
      <w:r w:rsidRPr="00DA401C">
        <w:rPr>
          <w:rFonts w:ascii="Times New Roman" w:hAnsi="Times New Roman"/>
        </w:rPr>
        <w:tab/>
        <w:t xml:space="preserve">Liu, X.-Y., et al., </w:t>
      </w:r>
      <w:r w:rsidRPr="00DA401C">
        <w:rPr>
          <w:rFonts w:ascii="Times New Roman" w:hAnsi="Times New Roman"/>
          <w:i/>
        </w:rPr>
        <w:t>Plot-scale observation on antibiotics migration in surface runoff and leachate from chicken-raising orchard of Entisol during rainstorms.</w:t>
      </w:r>
      <w:r w:rsidRPr="00DA401C">
        <w:rPr>
          <w:rFonts w:ascii="Times New Roman" w:hAnsi="Times New Roman"/>
        </w:rPr>
        <w:t xml:space="preserve"> Ecotoxicology and Environmental Safety, 2025. 294: p. 118105.</w:t>
      </w:r>
    </w:p>
    <w:p w14:paraId="415CF81D"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4.</w:t>
      </w:r>
      <w:r w:rsidRPr="00DA401C">
        <w:rPr>
          <w:rFonts w:ascii="Times New Roman" w:hAnsi="Times New Roman"/>
        </w:rPr>
        <w:tab/>
        <w:t xml:space="preserve">He, Y., et al., </w:t>
      </w:r>
      <w:r w:rsidRPr="00DA401C">
        <w:rPr>
          <w:rFonts w:ascii="Times New Roman" w:hAnsi="Times New Roman"/>
          <w:i/>
        </w:rPr>
        <w:t>Antibiotic resistance genes from livestock waste: occurrence, dissemination, and treatment.</w:t>
      </w:r>
      <w:r w:rsidRPr="00DA401C">
        <w:rPr>
          <w:rFonts w:ascii="Times New Roman" w:hAnsi="Times New Roman"/>
        </w:rPr>
        <w:t xml:space="preserve"> npj Clean Water, 2020. 3(1): p. 4.</w:t>
      </w:r>
    </w:p>
    <w:p w14:paraId="51912858"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5.</w:t>
      </w:r>
      <w:r w:rsidRPr="00DA401C">
        <w:rPr>
          <w:rFonts w:ascii="Times New Roman" w:hAnsi="Times New Roman"/>
        </w:rPr>
        <w:tab/>
        <w:t xml:space="preserve">Zhang, Q.Q., et al., </w:t>
      </w:r>
      <w:r w:rsidRPr="00DA401C">
        <w:rPr>
          <w:rFonts w:ascii="Times New Roman" w:hAnsi="Times New Roman"/>
          <w:i/>
        </w:rPr>
        <w:t>Comprehensive evaluation of antibiotics emission and fate in the river basins of China: source analysis, multimedia modeling, and linkage to bacterial resistance.</w:t>
      </w:r>
      <w:r w:rsidRPr="00DA401C">
        <w:rPr>
          <w:rFonts w:ascii="Times New Roman" w:hAnsi="Times New Roman"/>
        </w:rPr>
        <w:t xml:space="preserve"> Environ Sci Technol, 2015. 49(11): p. 6772–82.</w:t>
      </w:r>
    </w:p>
    <w:p w14:paraId="21F2D6B8" w14:textId="63B1241B"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6.</w:t>
      </w:r>
      <w:r w:rsidRPr="00DA401C">
        <w:rPr>
          <w:rFonts w:ascii="Times New Roman" w:hAnsi="Times New Roman"/>
        </w:rPr>
        <w:tab/>
        <w:t xml:space="preserve">FDA, U., </w:t>
      </w:r>
      <w:r w:rsidRPr="00DA401C">
        <w:rPr>
          <w:rFonts w:ascii="Times New Roman" w:hAnsi="Times New Roman"/>
          <w:i/>
        </w:rPr>
        <w:t>Guidance for Industry-Environmental Assessment of Human Drug and Biologics Applications (US FDA, CDER, CBER).</w:t>
      </w:r>
      <w:r w:rsidRPr="00DA401C">
        <w:rPr>
          <w:rFonts w:ascii="Times New Roman" w:hAnsi="Times New Roman"/>
        </w:rPr>
        <w:t xml:space="preserve"> </w:t>
      </w:r>
      <w:hyperlink r:id="rId20" w:history="1">
        <w:r w:rsidRPr="00DA401C">
          <w:rPr>
            <w:rStyle w:val="af5"/>
            <w:rFonts w:ascii="Times New Roman" w:hAnsi="Times New Roman"/>
          </w:rPr>
          <w:t>http://www</w:t>
        </w:r>
      </w:hyperlink>
      <w:r w:rsidRPr="00DA401C">
        <w:rPr>
          <w:rFonts w:ascii="Times New Roman" w:hAnsi="Times New Roman"/>
        </w:rPr>
        <w:t>. fda. gov/cder/guidance/1730fnl. pdf, 1998.</w:t>
      </w:r>
    </w:p>
    <w:p w14:paraId="118C3880"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7.</w:t>
      </w:r>
      <w:r w:rsidRPr="00DA401C">
        <w:rPr>
          <w:rFonts w:ascii="Times New Roman" w:hAnsi="Times New Roman"/>
        </w:rPr>
        <w:tab/>
        <w:t xml:space="preserve">Wess, R.A., T. Schmidt, and S. Höger, </w:t>
      </w:r>
      <w:r w:rsidRPr="00DA401C">
        <w:rPr>
          <w:rFonts w:ascii="Times New Roman" w:hAnsi="Times New Roman"/>
          <w:i/>
        </w:rPr>
        <w:t>Challenges of regulatory environmental risk assessment for human pharmaceuticals with focus on antibiotics.</w:t>
      </w:r>
      <w:r w:rsidRPr="00DA401C">
        <w:rPr>
          <w:rFonts w:ascii="Times New Roman" w:hAnsi="Times New Roman"/>
        </w:rPr>
        <w:t xml:space="preserve"> Chimia, 2020. 74(3): p. 183–183.</w:t>
      </w:r>
    </w:p>
    <w:p w14:paraId="4A04C95B"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8.</w:t>
      </w:r>
      <w:r w:rsidRPr="00DA401C">
        <w:rPr>
          <w:rFonts w:ascii="Times New Roman" w:hAnsi="Times New Roman"/>
        </w:rPr>
        <w:tab/>
        <w:t xml:space="preserve">Li, Q., et al., </w:t>
      </w:r>
      <w:r w:rsidRPr="00DA401C">
        <w:rPr>
          <w:rFonts w:ascii="Times New Roman" w:hAnsi="Times New Roman"/>
          <w:i/>
        </w:rPr>
        <w:t>Assessment of the risks of the major use antibiotics in China's surface waters using a probabilistic approach.</w:t>
      </w:r>
      <w:r w:rsidRPr="00DA401C">
        <w:rPr>
          <w:rFonts w:ascii="Times New Roman" w:hAnsi="Times New Roman"/>
        </w:rPr>
        <w:t xml:space="preserve"> Integrated Environmental Assessment and Management, 2020. 16(1): p. 43–52.</w:t>
      </w:r>
    </w:p>
    <w:p w14:paraId="56A62D5B"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9.</w:t>
      </w:r>
      <w:r w:rsidRPr="00DA401C">
        <w:rPr>
          <w:rFonts w:ascii="Times New Roman" w:hAnsi="Times New Roman"/>
        </w:rPr>
        <w:tab/>
        <w:t xml:space="preserve">Qu, Q., S. Wang, and X. Hu, </w:t>
      </w:r>
      <w:r w:rsidRPr="00DA401C">
        <w:rPr>
          <w:rFonts w:ascii="Times New Roman" w:hAnsi="Times New Roman"/>
          <w:i/>
        </w:rPr>
        <w:t>Comprehensive Assessment of Vulnerability and Mitigation Opportunities for River Antibiotic Risk via Intelligent Watershed Management.</w:t>
      </w:r>
      <w:r w:rsidRPr="00DA401C">
        <w:rPr>
          <w:rFonts w:ascii="Times New Roman" w:hAnsi="Times New Roman"/>
        </w:rPr>
        <w:t xml:space="preserve"> Environmental Science &amp; Technology, 2025. 59(46): p. 24830–24840.</w:t>
      </w:r>
    </w:p>
    <w:p w14:paraId="54865C17"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10.</w:t>
      </w:r>
      <w:r w:rsidRPr="00DA401C">
        <w:rPr>
          <w:rFonts w:ascii="Times New Roman" w:hAnsi="Times New Roman"/>
        </w:rPr>
        <w:tab/>
        <w:t xml:space="preserve">Zhao, F., et al., </w:t>
      </w:r>
      <w:r w:rsidRPr="00DA401C">
        <w:rPr>
          <w:rFonts w:ascii="Times New Roman" w:hAnsi="Times New Roman"/>
          <w:i/>
        </w:rPr>
        <w:t>Reducing risks of antibiotics to crop production requires land system intensification within thresholds.</w:t>
      </w:r>
      <w:r w:rsidRPr="00DA401C">
        <w:rPr>
          <w:rFonts w:ascii="Times New Roman" w:hAnsi="Times New Roman"/>
        </w:rPr>
        <w:t xml:space="preserve"> Nature Communications, 2023. 14(1): p. 6094.</w:t>
      </w:r>
    </w:p>
    <w:p w14:paraId="0FAF1C75"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11.</w:t>
      </w:r>
      <w:r w:rsidRPr="00DA401C">
        <w:rPr>
          <w:rFonts w:ascii="Times New Roman" w:hAnsi="Times New Roman"/>
        </w:rPr>
        <w:tab/>
        <w:t xml:space="preserve">Organization, W.H., </w:t>
      </w:r>
      <w:r w:rsidRPr="00DA401C">
        <w:rPr>
          <w:rFonts w:ascii="Times New Roman" w:hAnsi="Times New Roman"/>
          <w:i/>
        </w:rPr>
        <w:t>Guidance on wastewater and solid waste management for manufacturing of antibiotics.</w:t>
      </w:r>
      <w:r w:rsidRPr="00DA401C">
        <w:rPr>
          <w:rFonts w:ascii="Times New Roman" w:hAnsi="Times New Roman"/>
        </w:rPr>
        <w:t xml:space="preserve"> 2024.</w:t>
      </w:r>
    </w:p>
    <w:p w14:paraId="51C7D5FD"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12.</w:t>
      </w:r>
      <w:r w:rsidRPr="00DA401C">
        <w:rPr>
          <w:rFonts w:ascii="Times New Roman" w:hAnsi="Times New Roman"/>
        </w:rPr>
        <w:tab/>
        <w:t xml:space="preserve">Yuan, Q., et al., </w:t>
      </w:r>
      <w:r w:rsidRPr="00DA401C">
        <w:rPr>
          <w:rFonts w:ascii="Times New Roman" w:hAnsi="Times New Roman"/>
          <w:i/>
        </w:rPr>
        <w:t>Enhanced Reality in Assessing Antibiotic Risks in Water: Bacterial Resistance Insight from the Microflora–Microcosm–Modeling Framework.</w:t>
      </w:r>
      <w:r w:rsidRPr="00DA401C">
        <w:rPr>
          <w:rFonts w:ascii="Times New Roman" w:hAnsi="Times New Roman"/>
        </w:rPr>
        <w:t xml:space="preserve"> Environmental Science &amp; Technology, 2025. 59(33): p. 17471–17484.</w:t>
      </w:r>
    </w:p>
    <w:p w14:paraId="729392C7"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13.</w:t>
      </w:r>
      <w:r w:rsidRPr="00DA401C">
        <w:rPr>
          <w:rFonts w:ascii="Times New Roman" w:hAnsi="Times New Roman"/>
        </w:rPr>
        <w:tab/>
        <w:t xml:space="preserve">Wang, Y., et al., </w:t>
      </w:r>
      <w:r w:rsidRPr="00DA401C">
        <w:rPr>
          <w:rFonts w:ascii="Times New Roman" w:hAnsi="Times New Roman"/>
          <w:i/>
        </w:rPr>
        <w:t>Influence of Size, Shape, and Flexibility on Bacterial Passage through Micropore Membrane Filters.</w:t>
      </w:r>
      <w:r w:rsidRPr="00DA401C">
        <w:rPr>
          <w:rFonts w:ascii="Times New Roman" w:hAnsi="Times New Roman"/>
        </w:rPr>
        <w:t xml:space="preserve"> Environmental Science &amp; Technology, 2008. 42(17): p. 6749–6754.</w:t>
      </w:r>
    </w:p>
    <w:p w14:paraId="2B22EA3A" w14:textId="77777777" w:rsidR="007F6AD7" w:rsidRPr="00DA401C" w:rsidRDefault="007F6AD7" w:rsidP="007F6AD7">
      <w:pPr>
        <w:pStyle w:val="EndNoteBibliography"/>
        <w:ind w:left="720" w:hanging="720"/>
        <w:rPr>
          <w:rFonts w:ascii="Times New Roman" w:hAnsi="Times New Roman"/>
        </w:rPr>
      </w:pPr>
      <w:r w:rsidRPr="00DA401C">
        <w:rPr>
          <w:rFonts w:ascii="Times New Roman" w:hAnsi="Times New Roman"/>
        </w:rPr>
        <w:t>14.</w:t>
      </w:r>
      <w:r w:rsidRPr="00DA401C">
        <w:rPr>
          <w:rFonts w:ascii="Times New Roman" w:hAnsi="Times New Roman"/>
        </w:rPr>
        <w:tab/>
        <w:t xml:space="preserve">Gullberg, E., et al., </w:t>
      </w:r>
      <w:r w:rsidRPr="00DA401C">
        <w:rPr>
          <w:rFonts w:ascii="Times New Roman" w:hAnsi="Times New Roman"/>
          <w:i/>
        </w:rPr>
        <w:t>Selection of resistant bacteria at very low antibiotic concentrations.</w:t>
      </w:r>
      <w:r w:rsidRPr="00DA401C">
        <w:rPr>
          <w:rFonts w:ascii="Times New Roman" w:hAnsi="Times New Roman"/>
        </w:rPr>
        <w:t xml:space="preserve"> PLoS pathogens, 2011. 7(7): p. e1002158.</w:t>
      </w:r>
    </w:p>
    <w:p w14:paraId="68F0BB17" w14:textId="2272DA06" w:rsidR="00DE25F3" w:rsidRPr="00DA401C" w:rsidRDefault="00020292" w:rsidP="00AF48A7">
      <w:pPr>
        <w:pStyle w:val="ad"/>
        <w:tabs>
          <w:tab w:val="left" w:pos="970"/>
          <w:tab w:val="left" w:pos="971"/>
        </w:tabs>
        <w:spacing w:line="360" w:lineRule="auto"/>
        <w:ind w:left="0" w:firstLineChars="200" w:firstLine="420"/>
        <w:rPr>
          <w:rFonts w:ascii="Times New Roman" w:hAnsi="Times New Roman" w:cs="Times New Roman"/>
          <w:sz w:val="21"/>
          <w:szCs w:val="21"/>
          <w:lang w:val="en-US"/>
        </w:rPr>
      </w:pPr>
      <w:r w:rsidRPr="00DA401C">
        <w:rPr>
          <w:rFonts w:ascii="Times New Roman" w:hAnsi="Times New Roman" w:cs="Times New Roman"/>
          <w:sz w:val="21"/>
          <w:szCs w:val="21"/>
          <w:lang w:val="en-US"/>
        </w:rPr>
        <w:fldChar w:fldCharType="end"/>
      </w:r>
    </w:p>
    <w:sectPr w:rsidR="00DE25F3" w:rsidRPr="00DA401C" w:rsidSect="004B4B2B">
      <w:pgSz w:w="11910" w:h="16840"/>
      <w:pgMar w:top="1440" w:right="1800" w:bottom="1440" w:left="1800" w:header="1448" w:footer="1137" w:gutter="0"/>
      <w:pgNumType w:fmt="numberInDash"/>
      <w:cols w:space="720"/>
      <w:docGrid w:linePitch="28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CBEFF" w14:textId="77777777" w:rsidR="002071EF" w:rsidRDefault="002071EF">
      <w:r>
        <w:separator/>
      </w:r>
    </w:p>
  </w:endnote>
  <w:endnote w:type="continuationSeparator" w:id="0">
    <w:p w14:paraId="4C3F0025" w14:textId="77777777" w:rsidR="002071EF" w:rsidRDefault="0020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charset w:val="00"/>
    <w:family w:val="roman"/>
    <w:pitch w:val="default"/>
    <w:sig w:usb0="00000001" w:usb1="08070000" w:usb2="00000010" w:usb3="00000000" w:csb0="00060001" w:csb1="00000000"/>
  </w:font>
  <w:font w:name="Arial">
    <w:panose1 w:val="020B0604020202020204"/>
    <w:charset w:val="00"/>
    <w:family w:val="swiss"/>
    <w:pitch w:val="variable"/>
    <w:sig w:usb0="E0002AFF" w:usb1="C0007843" w:usb2="00000009" w:usb3="00000000" w:csb0="000001FF" w:csb1="00000000"/>
  </w:font>
  <w:font w:name="方正小标宋_GBK">
    <w:altName w:val="微软雅黑"/>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C1B6" w14:textId="77777777" w:rsidR="001F7EE8" w:rsidRDefault="001F7EE8">
    <w:pPr>
      <w:pStyle w:val="ac"/>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ABC5D" w14:textId="76E5CDA7" w:rsidR="001F7EE8" w:rsidRDefault="001F7EE8">
    <w:pPr>
      <w:pStyle w:val="ac"/>
      <w:spacing w:line="14" w:lineRule="auto"/>
      <w:rPr>
        <w:sz w:val="20"/>
      </w:rPr>
    </w:pPr>
    <w:r>
      <w:rPr>
        <w:noProof/>
        <w:lang w:val="en-US" w:bidi="ar-SA"/>
      </w:rPr>
      <mc:AlternateContent>
        <mc:Choice Requires="wps">
          <w:drawing>
            <wp:anchor distT="0" distB="0" distL="114300" distR="114300" simplePos="0" relativeHeight="251657728" behindDoc="0" locked="0" layoutInCell="1" allowOverlap="1" wp14:anchorId="7ADE910C" wp14:editId="147F68D7">
              <wp:simplePos x="0" y="0"/>
              <wp:positionH relativeFrom="margin">
                <wp:align>center</wp:align>
              </wp:positionH>
              <wp:positionV relativeFrom="paragraph">
                <wp:posOffset>0</wp:posOffset>
              </wp:positionV>
              <wp:extent cx="190500" cy="131445"/>
              <wp:effectExtent l="0" t="0" r="0" b="0"/>
              <wp:wrapNone/>
              <wp:docPr id="1"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F7A63" w14:textId="3E725718" w:rsidR="001F7EE8" w:rsidRDefault="001F7EE8">
                          <w:pPr>
                            <w:pStyle w:val="a9"/>
                          </w:pPr>
                          <w:r>
                            <w:rPr>
                              <w:rFonts w:hint="eastAsia"/>
                            </w:rPr>
                            <w:fldChar w:fldCharType="begin"/>
                          </w:r>
                          <w:r>
                            <w:rPr>
                              <w:rFonts w:hint="eastAsia"/>
                            </w:rPr>
                            <w:instrText xml:space="preserve"> PAGE  \* MERGEFORMAT </w:instrText>
                          </w:r>
                          <w:r>
                            <w:rPr>
                              <w:rFonts w:hint="eastAsia"/>
                            </w:rPr>
                            <w:fldChar w:fldCharType="separate"/>
                          </w:r>
                          <w:r w:rsidR="00092375">
                            <w:rPr>
                              <w:noProof/>
                            </w:rPr>
                            <w:t>- 1 -</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DE910C" id="_x0000_t202" coordsize="21600,21600" o:spt="202" path="m,l,21600r21600,l21600,xe">
              <v:stroke joinstyle="miter"/>
              <v:path gradientshapeok="t" o:connecttype="rect"/>
            </v:shapetype>
            <v:shape id="文本框 62" o:spid="_x0000_s1026" type="#_x0000_t202" style="position:absolute;left:0;text-align:left;margin-left:0;margin-top:0;width:15pt;height:10.3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" filled="f" stroked="f">
              <v:textbox style="mso-fit-shape-to-text:t" inset="0,0,0,0">
                <w:txbxContent>
                  <w:p w14:paraId="476F7A63" w14:textId="3E725718" w:rsidR="001F7EE8" w:rsidRDefault="001F7EE8">
                    <w:pPr>
                      <w:pStyle w:val="a9"/>
                    </w:pPr>
                    <w:r>
                      <w:rPr>
                        <w:rFonts w:hint="eastAsia"/>
                      </w:rPr>
                      <w:fldChar w:fldCharType="begin"/>
                    </w:r>
                    <w:r>
                      <w:rPr>
                        <w:rFonts w:hint="eastAsia"/>
                      </w:rPr>
                      <w:instrText xml:space="preserve"> PAGE  \* MERGEFORMAT </w:instrText>
                    </w:r>
                    <w:r>
                      <w:rPr>
                        <w:rFonts w:hint="eastAsia"/>
                      </w:rPr>
                      <w:fldChar w:fldCharType="separate"/>
                    </w:r>
                    <w:r w:rsidR="00092375">
                      <w:rPr>
                        <w:noProof/>
                      </w:rPr>
                      <w:t>- 1 -</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098E" w14:textId="77777777" w:rsidR="001F7EE8" w:rsidRDefault="001F7EE8">
    <w:pPr>
      <w:pStyle w:val="ac"/>
      <w:spacing w:line="14" w:lineRule="auto"/>
      <w:rPr>
        <w:sz w:val="20"/>
      </w:rPr>
    </w:pPr>
    <w:r>
      <w:rPr>
        <w:noProof/>
        <w:lang w:val="en-US" w:bidi="ar-SA"/>
      </w:rPr>
      <mc:AlternateContent>
        <mc:Choice Requires="wps">
          <w:drawing>
            <wp:anchor distT="0" distB="0" distL="114300" distR="114300" simplePos="0" relativeHeight="251659776" behindDoc="0" locked="0" layoutInCell="1" allowOverlap="1" wp14:anchorId="1EE570EB" wp14:editId="6329A329">
              <wp:simplePos x="0" y="0"/>
              <wp:positionH relativeFrom="margin">
                <wp:align>center</wp:align>
              </wp:positionH>
              <wp:positionV relativeFrom="paragraph">
                <wp:posOffset>0</wp:posOffset>
              </wp:positionV>
              <wp:extent cx="190500" cy="131445"/>
              <wp:effectExtent l="0" t="0" r="0" b="0"/>
              <wp:wrapNone/>
              <wp:docPr id="233698757"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4597E" w14:textId="689C33DD" w:rsidR="001F7EE8" w:rsidRDefault="001F7EE8">
                          <w:pPr>
                            <w:pStyle w:val="a9"/>
                          </w:pPr>
                          <w:r>
                            <w:rPr>
                              <w:rFonts w:hint="eastAsia"/>
                            </w:rPr>
                            <w:fldChar w:fldCharType="begin"/>
                          </w:r>
                          <w:r>
                            <w:rPr>
                              <w:rFonts w:hint="eastAsia"/>
                            </w:rPr>
                            <w:instrText xml:space="preserve"> PAGE  \* MERGEFORMAT </w:instrText>
                          </w:r>
                          <w:r>
                            <w:rPr>
                              <w:rFonts w:hint="eastAsia"/>
                            </w:rPr>
                            <w:fldChar w:fldCharType="separate"/>
                          </w:r>
                          <w:r w:rsidR="002C798F">
                            <w:rPr>
                              <w:noProof/>
                            </w:rPr>
                            <w:t>i</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E570EB" id="_x0000_t202" coordsize="21600,21600" o:spt="202" path="m,l,21600r21600,l21600,xe">
              <v:stroke joinstyle="miter"/>
              <v:path gradientshapeok="t" o:connecttype="rect"/>
            </v:shapetype>
            <v:shape id="_x0000_s1027" type="#_x0000_t202" style="position:absolute;left:0;text-align:left;margin-left:0;margin-top:0;width:15pt;height:10.35pt;z-index:25165977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" filled="f" stroked="f">
              <v:textbox style="mso-fit-shape-to-text:t" inset="0,0,0,0">
                <w:txbxContent>
                  <w:p w14:paraId="22C4597E" w14:textId="689C33DD" w:rsidR="001F7EE8" w:rsidRDefault="001F7EE8">
                    <w:pPr>
                      <w:pStyle w:val="a9"/>
                    </w:pPr>
                    <w:r>
                      <w:rPr>
                        <w:rFonts w:hint="eastAsia"/>
                      </w:rPr>
                      <w:fldChar w:fldCharType="begin"/>
                    </w:r>
                    <w:r>
                      <w:rPr>
                        <w:rFonts w:hint="eastAsia"/>
                      </w:rPr>
                      <w:instrText xml:space="preserve"> PAGE  \* MERGEFORMAT </w:instrText>
                    </w:r>
                    <w:r>
                      <w:rPr>
                        <w:rFonts w:hint="eastAsia"/>
                      </w:rPr>
                      <w:fldChar w:fldCharType="separate"/>
                    </w:r>
                    <w:r w:rsidR="002C798F">
                      <w:rPr>
                        <w:noProof/>
                      </w:rPr>
                      <w:t>i</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266F6" w14:textId="77777777" w:rsidR="001F7EE8" w:rsidRDefault="001F7EE8">
    <w:pPr>
      <w:pStyle w:val="ac"/>
      <w:spacing w:line="14" w:lineRule="auto"/>
      <w:rPr>
        <w:sz w:val="20"/>
      </w:rPr>
    </w:pPr>
    <w:r>
      <w:rPr>
        <w:noProof/>
        <w:lang w:val="en-US" w:bidi="ar-SA"/>
      </w:rPr>
      <mc:AlternateContent>
        <mc:Choice Requires="wps">
          <w:drawing>
            <wp:anchor distT="0" distB="0" distL="114300" distR="114300" simplePos="0" relativeHeight="251661824" behindDoc="0" locked="0" layoutInCell="1" allowOverlap="1" wp14:anchorId="53F4AB21" wp14:editId="6C5600EE">
              <wp:simplePos x="0" y="0"/>
              <wp:positionH relativeFrom="margin">
                <wp:align>center</wp:align>
              </wp:positionH>
              <wp:positionV relativeFrom="paragraph">
                <wp:posOffset>0</wp:posOffset>
              </wp:positionV>
              <wp:extent cx="190500" cy="131445"/>
              <wp:effectExtent l="0" t="0" r="0" b="0"/>
              <wp:wrapNone/>
              <wp:docPr id="1498842162"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6B642" w14:textId="44D22B54" w:rsidR="001F7EE8" w:rsidRDefault="001F7EE8">
                          <w:pPr>
                            <w:pStyle w:val="a9"/>
                          </w:pPr>
                          <w:r>
                            <w:rPr>
                              <w:rFonts w:hint="eastAsia"/>
                            </w:rPr>
                            <w:fldChar w:fldCharType="begin"/>
                          </w:r>
                          <w:r>
                            <w:rPr>
                              <w:rFonts w:hint="eastAsia"/>
                            </w:rPr>
                            <w:instrText xml:space="preserve"> PAGE  \* MERGEFORMAT </w:instrText>
                          </w:r>
                          <w:r>
                            <w:rPr>
                              <w:rFonts w:hint="eastAsia"/>
                            </w:rPr>
                            <w:fldChar w:fldCharType="separate"/>
                          </w:r>
                          <w:r w:rsidR="00092375">
                            <w:rPr>
                              <w:noProof/>
                            </w:rPr>
                            <w:t>- 1 -</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F4AB21" id="_x0000_t202" coordsize="21600,21600" o:spt="202" path="m,l,21600r21600,l21600,xe">
              <v:stroke joinstyle="miter"/>
              <v:path gradientshapeok="t" o:connecttype="rect"/>
            </v:shapetype>
            <v:shape id="_x0000_s1028" type="#_x0000_t202" style="position:absolute;left:0;text-align:left;margin-left:0;margin-top:0;width:15pt;height:10.35pt;z-index:25166182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" filled="f" stroked="f">
              <v:textbox style="mso-fit-shape-to-text:t" inset="0,0,0,0">
                <w:txbxContent>
                  <w:p w14:paraId="57A6B642" w14:textId="44D22B54" w:rsidR="001F7EE8" w:rsidRDefault="001F7EE8">
                    <w:pPr>
                      <w:pStyle w:val="a9"/>
                    </w:pPr>
                    <w:r>
                      <w:rPr>
                        <w:rFonts w:hint="eastAsia"/>
                      </w:rPr>
                      <w:fldChar w:fldCharType="begin"/>
                    </w:r>
                    <w:r>
                      <w:rPr>
                        <w:rFonts w:hint="eastAsia"/>
                      </w:rPr>
                      <w:instrText xml:space="preserve"> PAGE  \* MERGEFORMAT </w:instrText>
                    </w:r>
                    <w:r>
                      <w:rPr>
                        <w:rFonts w:hint="eastAsia"/>
                      </w:rPr>
                      <w:fldChar w:fldCharType="separate"/>
                    </w:r>
                    <w:r w:rsidR="00092375">
                      <w:rPr>
                        <w:noProof/>
                      </w:rPr>
                      <w:t>- 1 -</w:t>
                    </w:r>
                    <w:r>
                      <w:rPr>
                        <w:rFonts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6724F" w14:textId="51A1613A" w:rsidR="001F7EE8" w:rsidRDefault="001F7EE8">
    <w:pPr>
      <w:pStyle w:val="a9"/>
      <w:jc w:val="center"/>
    </w:pPr>
    <w:r>
      <w:fldChar w:fldCharType="begin"/>
    </w:r>
    <w:r>
      <w:instrText>PAGE   \* MERGEFORMAT</w:instrText>
    </w:r>
    <w:r>
      <w:fldChar w:fldCharType="separate"/>
    </w:r>
    <w:r w:rsidR="00092375" w:rsidRPr="00092375">
      <w:rPr>
        <w:noProof/>
        <w:lang w:val="zh-CN"/>
      </w:rPr>
      <w:t>-</w:t>
    </w:r>
    <w:r w:rsidR="00092375">
      <w:rPr>
        <w:noProof/>
      </w:rPr>
      <w:t xml:space="preserve"> 2 -</w:t>
    </w:r>
    <w:r>
      <w:fldChar w:fldCharType="end"/>
    </w:r>
  </w:p>
  <w:p w14:paraId="11BC0915" w14:textId="77777777" w:rsidR="001F7EE8" w:rsidRDefault="001F7EE8">
    <w:pPr>
      <w:pStyle w:val="ac"/>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B92A1" w14:textId="77777777" w:rsidR="002071EF" w:rsidRDefault="002071EF">
      <w:r>
        <w:separator/>
      </w:r>
    </w:p>
  </w:footnote>
  <w:footnote w:type="continuationSeparator" w:id="0">
    <w:p w14:paraId="6AD4D0B1" w14:textId="77777777" w:rsidR="002071EF" w:rsidRDefault="002071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EBA81" w14:textId="77777777" w:rsidR="001F7EE8" w:rsidRDefault="001F7EE8">
    <w:pPr>
      <w:pStyle w:val="ac"/>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EFCC49"/>
    <w:multiLevelType w:val="singleLevel"/>
    <w:tmpl w:val="B9EFCC49"/>
    <w:lvl w:ilvl="0">
      <w:start w:val="1"/>
      <w:numFmt w:val="chineseCounting"/>
      <w:suff w:val="space"/>
      <w:lvlText w:val="第%1章"/>
      <w:lvlJc w:val="left"/>
      <w:rPr>
        <w:rFonts w:hint="eastAsia"/>
      </w:rPr>
    </w:lvl>
  </w:abstractNum>
  <w:abstractNum w:abstractNumId="1" w15:restartNumberingAfterBreak="0">
    <w:nsid w:val="C4C6BA7D"/>
    <w:multiLevelType w:val="singleLevel"/>
    <w:tmpl w:val="C4C6BA7D"/>
    <w:lvl w:ilvl="0">
      <w:start w:val="1"/>
      <w:numFmt w:val="decimal"/>
      <w:suff w:val="nothing"/>
      <w:lvlText w:val="（%1）"/>
      <w:lvlJc w:val="left"/>
    </w:lvl>
  </w:abstractNum>
  <w:abstractNum w:abstractNumId="2" w15:restartNumberingAfterBreak="0">
    <w:nsid w:val="CF092B84"/>
    <w:multiLevelType w:val="multilevel"/>
    <w:tmpl w:val="BC080240"/>
    <w:lvl w:ilvl="0">
      <w:start w:val="1"/>
      <w:numFmt w:val="decimal"/>
      <w:lvlText w:val="%1"/>
      <w:lvlJc w:val="left"/>
      <w:pPr>
        <w:ind w:left="550" w:hanging="315"/>
      </w:pPr>
      <w:rPr>
        <w:rFonts w:ascii="黑体" w:eastAsia="黑体" w:hAnsi="黑体" w:cs="黑体" w:hint="default"/>
        <w:w w:val="100"/>
        <w:sz w:val="21"/>
        <w:szCs w:val="21"/>
        <w:lang w:val="zh-CN" w:eastAsia="zh-CN" w:bidi="zh-CN"/>
      </w:rPr>
    </w:lvl>
    <w:lvl w:ilvl="1">
      <w:start w:val="1"/>
      <w:numFmt w:val="decimal"/>
      <w:lvlText w:val="%1.%2"/>
      <w:lvlJc w:val="left"/>
      <w:pPr>
        <w:ind w:left="554" w:hanging="318"/>
      </w:pPr>
      <w:rPr>
        <w:rFonts w:ascii="黑体" w:eastAsia="黑体" w:hAnsi="黑体" w:cs="黑体" w:hint="default"/>
        <w:w w:val="100"/>
        <w:sz w:val="21"/>
        <w:szCs w:val="19"/>
        <w:lang w:val="zh-CN" w:eastAsia="zh-CN" w:bidi="zh-CN"/>
      </w:rPr>
    </w:lvl>
    <w:lvl w:ilvl="2">
      <w:start w:val="1"/>
      <w:numFmt w:val="decimal"/>
      <w:lvlText w:val="%1.%2.%3"/>
      <w:lvlJc w:val="left"/>
      <w:pPr>
        <w:ind w:left="970" w:hanging="735"/>
      </w:pPr>
      <w:rPr>
        <w:rFonts w:ascii="黑体" w:eastAsia="黑体" w:hAnsi="黑体" w:cs="黑体" w:hint="default"/>
        <w:w w:val="100"/>
        <w:sz w:val="21"/>
        <w:szCs w:val="21"/>
        <w:lang w:val="zh-CN" w:eastAsia="zh-CN" w:bidi="zh-CN"/>
      </w:rPr>
    </w:lvl>
    <w:lvl w:ilvl="3">
      <w:start w:val="1"/>
      <w:numFmt w:val="decimal"/>
      <w:lvlText w:val="%1.%2.%3.%4"/>
      <w:lvlJc w:val="left"/>
      <w:pPr>
        <w:ind w:left="1182" w:hanging="946"/>
      </w:pPr>
      <w:rPr>
        <w:rFonts w:ascii="黑体" w:eastAsia="黑体" w:hAnsi="黑体" w:cs="黑体" w:hint="default"/>
        <w:spacing w:val="-3"/>
        <w:w w:val="100"/>
        <w:sz w:val="21"/>
        <w:szCs w:val="21"/>
        <w:lang w:val="zh-CN" w:eastAsia="zh-CN" w:bidi="zh-CN"/>
      </w:rPr>
    </w:lvl>
    <w:lvl w:ilvl="4">
      <w:numFmt w:val="bullet"/>
      <w:lvlText w:val="•"/>
      <w:lvlJc w:val="left"/>
      <w:pPr>
        <w:ind w:left="2443" w:hanging="946"/>
      </w:pPr>
      <w:rPr>
        <w:rFonts w:hint="default"/>
        <w:lang w:val="zh-CN" w:eastAsia="zh-CN" w:bidi="zh-CN"/>
      </w:rPr>
    </w:lvl>
    <w:lvl w:ilvl="5">
      <w:numFmt w:val="bullet"/>
      <w:lvlText w:val="•"/>
      <w:lvlJc w:val="left"/>
      <w:pPr>
        <w:ind w:left="3707" w:hanging="946"/>
      </w:pPr>
      <w:rPr>
        <w:rFonts w:hint="default"/>
        <w:lang w:val="zh-CN" w:eastAsia="zh-CN" w:bidi="zh-CN"/>
      </w:rPr>
    </w:lvl>
    <w:lvl w:ilvl="6">
      <w:numFmt w:val="bullet"/>
      <w:lvlText w:val="•"/>
      <w:lvlJc w:val="left"/>
      <w:pPr>
        <w:ind w:left="4971" w:hanging="946"/>
      </w:pPr>
      <w:rPr>
        <w:rFonts w:hint="default"/>
        <w:lang w:val="zh-CN" w:eastAsia="zh-CN" w:bidi="zh-CN"/>
      </w:rPr>
    </w:lvl>
    <w:lvl w:ilvl="7">
      <w:numFmt w:val="bullet"/>
      <w:lvlText w:val="•"/>
      <w:lvlJc w:val="left"/>
      <w:pPr>
        <w:ind w:left="6235" w:hanging="946"/>
      </w:pPr>
      <w:rPr>
        <w:rFonts w:hint="default"/>
        <w:lang w:val="zh-CN" w:eastAsia="zh-CN" w:bidi="zh-CN"/>
      </w:rPr>
    </w:lvl>
    <w:lvl w:ilvl="8">
      <w:numFmt w:val="bullet"/>
      <w:lvlText w:val="•"/>
      <w:lvlJc w:val="left"/>
      <w:pPr>
        <w:ind w:left="7498" w:hanging="946"/>
      </w:pPr>
      <w:rPr>
        <w:rFonts w:hint="default"/>
        <w:lang w:val="zh-CN" w:eastAsia="zh-CN" w:bidi="zh-CN"/>
      </w:rPr>
    </w:lvl>
  </w:abstractNum>
  <w:abstractNum w:abstractNumId="3" w15:restartNumberingAfterBreak="0">
    <w:nsid w:val="DBF44B79"/>
    <w:multiLevelType w:val="singleLevel"/>
    <w:tmpl w:val="DBF44B79"/>
    <w:lvl w:ilvl="0">
      <w:start w:val="1"/>
      <w:numFmt w:val="chineseCounting"/>
      <w:suff w:val="nothing"/>
      <w:lvlText w:val="%1、"/>
      <w:lvlJc w:val="left"/>
      <w:rPr>
        <w:rFonts w:hint="eastAsia"/>
      </w:rPr>
    </w:lvl>
  </w:abstractNum>
  <w:abstractNum w:abstractNumId="4" w15:restartNumberingAfterBreak="0">
    <w:nsid w:val="EBDABB87"/>
    <w:multiLevelType w:val="singleLevel"/>
    <w:tmpl w:val="EBDABB87"/>
    <w:lvl w:ilvl="0">
      <w:start w:val="1"/>
      <w:numFmt w:val="decimal"/>
      <w:lvlText w:val="%1."/>
      <w:lvlJc w:val="left"/>
      <w:pPr>
        <w:tabs>
          <w:tab w:val="num" w:pos="312"/>
        </w:tabs>
      </w:pPr>
    </w:lvl>
  </w:abstractNum>
  <w:abstractNum w:abstractNumId="5" w15:restartNumberingAfterBreak="0">
    <w:nsid w:val="0053208E"/>
    <w:multiLevelType w:val="multilevel"/>
    <w:tmpl w:val="7A08F764"/>
    <w:lvl w:ilvl="0">
      <w:start w:val="1"/>
      <w:numFmt w:val="decimal"/>
      <w:lvlText w:val="%1"/>
      <w:lvlJc w:val="left"/>
      <w:pPr>
        <w:ind w:left="553" w:hanging="317"/>
      </w:pPr>
      <w:rPr>
        <w:rFonts w:ascii="Times New Roman" w:eastAsia="宋体" w:hAnsi="Times New Roman" w:cs="宋体" w:hint="default"/>
        <w:w w:val="100"/>
        <w:sz w:val="21"/>
        <w:szCs w:val="21"/>
        <w:lang w:val="zh-CN" w:eastAsia="zh-CN" w:bidi="zh-CN"/>
      </w:rPr>
    </w:lvl>
    <w:lvl w:ilvl="1">
      <w:start w:val="1"/>
      <w:numFmt w:val="decimal"/>
      <w:lvlText w:val="%1.%2"/>
      <w:lvlJc w:val="left"/>
      <w:pPr>
        <w:ind w:left="973" w:hanging="526"/>
      </w:pPr>
      <w:rPr>
        <w:rFonts w:ascii="Times New Roman" w:eastAsia="宋体" w:hAnsi="Times New Roman" w:cs="宋体" w:hint="default"/>
        <w:w w:val="100"/>
        <w:sz w:val="21"/>
        <w:szCs w:val="21"/>
        <w:lang w:val="zh-CN" w:eastAsia="zh-CN" w:bidi="zh-CN"/>
      </w:rPr>
    </w:lvl>
    <w:lvl w:ilvl="2">
      <w:numFmt w:val="bullet"/>
      <w:lvlText w:val="•"/>
      <w:lvlJc w:val="left"/>
      <w:pPr>
        <w:ind w:left="1985" w:hanging="526"/>
      </w:pPr>
      <w:rPr>
        <w:rFonts w:hint="default"/>
        <w:lang w:val="zh-CN" w:eastAsia="zh-CN" w:bidi="zh-CN"/>
      </w:rPr>
    </w:lvl>
    <w:lvl w:ilvl="3">
      <w:numFmt w:val="bullet"/>
      <w:lvlText w:val="•"/>
      <w:lvlJc w:val="left"/>
      <w:pPr>
        <w:ind w:left="2990" w:hanging="526"/>
      </w:pPr>
      <w:rPr>
        <w:rFonts w:hint="default"/>
        <w:lang w:val="zh-CN" w:eastAsia="zh-CN" w:bidi="zh-CN"/>
      </w:rPr>
    </w:lvl>
    <w:lvl w:ilvl="4">
      <w:numFmt w:val="bullet"/>
      <w:lvlText w:val="•"/>
      <w:lvlJc w:val="left"/>
      <w:pPr>
        <w:ind w:left="3995" w:hanging="526"/>
      </w:pPr>
      <w:rPr>
        <w:rFonts w:hint="default"/>
        <w:lang w:val="zh-CN" w:eastAsia="zh-CN" w:bidi="zh-CN"/>
      </w:rPr>
    </w:lvl>
    <w:lvl w:ilvl="5">
      <w:numFmt w:val="bullet"/>
      <w:lvlText w:val="•"/>
      <w:lvlJc w:val="left"/>
      <w:pPr>
        <w:ind w:left="5000" w:hanging="526"/>
      </w:pPr>
      <w:rPr>
        <w:rFonts w:hint="default"/>
        <w:lang w:val="zh-CN" w:eastAsia="zh-CN" w:bidi="zh-CN"/>
      </w:rPr>
    </w:lvl>
    <w:lvl w:ilvl="6">
      <w:numFmt w:val="bullet"/>
      <w:lvlText w:val="•"/>
      <w:lvlJc w:val="left"/>
      <w:pPr>
        <w:ind w:left="6005" w:hanging="526"/>
      </w:pPr>
      <w:rPr>
        <w:rFonts w:hint="default"/>
        <w:lang w:val="zh-CN" w:eastAsia="zh-CN" w:bidi="zh-CN"/>
      </w:rPr>
    </w:lvl>
    <w:lvl w:ilvl="7">
      <w:numFmt w:val="bullet"/>
      <w:lvlText w:val="•"/>
      <w:lvlJc w:val="left"/>
      <w:pPr>
        <w:ind w:left="7010" w:hanging="526"/>
      </w:pPr>
      <w:rPr>
        <w:rFonts w:hint="default"/>
        <w:lang w:val="zh-CN" w:eastAsia="zh-CN" w:bidi="zh-CN"/>
      </w:rPr>
    </w:lvl>
    <w:lvl w:ilvl="8">
      <w:numFmt w:val="bullet"/>
      <w:lvlText w:val="•"/>
      <w:lvlJc w:val="left"/>
      <w:pPr>
        <w:ind w:left="8016" w:hanging="526"/>
      </w:pPr>
      <w:rPr>
        <w:rFonts w:hint="default"/>
        <w:lang w:val="zh-CN" w:eastAsia="zh-CN" w:bidi="zh-CN"/>
      </w:rPr>
    </w:lvl>
  </w:abstractNum>
  <w:abstractNum w:abstractNumId="6" w15:restartNumberingAfterBreak="0">
    <w:nsid w:val="03D62ECE"/>
    <w:multiLevelType w:val="multilevel"/>
    <w:tmpl w:val="03D62ECE"/>
    <w:lvl w:ilvl="0">
      <w:start w:val="1"/>
      <w:numFmt w:val="upperLetter"/>
      <w:lvlText w:val="%1"/>
      <w:lvlJc w:val="left"/>
      <w:pPr>
        <w:ind w:left="762" w:hanging="526"/>
      </w:pPr>
      <w:rPr>
        <w:rFonts w:hint="default"/>
        <w:lang w:val="zh-CN" w:eastAsia="zh-CN" w:bidi="zh-CN"/>
      </w:rPr>
    </w:lvl>
    <w:lvl w:ilvl="1">
      <w:start w:val="1"/>
      <w:numFmt w:val="decimal"/>
      <w:lvlText w:val="%1.%2"/>
      <w:lvlJc w:val="left"/>
      <w:pPr>
        <w:ind w:left="762" w:hanging="526"/>
      </w:pPr>
      <w:rPr>
        <w:rFonts w:ascii="黑体" w:eastAsia="黑体" w:hAnsi="黑体" w:cs="黑体" w:hint="default"/>
        <w:w w:val="100"/>
        <w:sz w:val="21"/>
        <w:szCs w:val="21"/>
        <w:lang w:val="zh-CN" w:eastAsia="zh-CN" w:bidi="zh-CN"/>
      </w:rPr>
    </w:lvl>
    <w:lvl w:ilvl="2">
      <w:start w:val="1"/>
      <w:numFmt w:val="decimal"/>
      <w:lvlText w:val="%1.%2.%3"/>
      <w:lvlJc w:val="left"/>
      <w:pPr>
        <w:ind w:left="970" w:hanging="735"/>
      </w:pPr>
      <w:rPr>
        <w:rFonts w:ascii="黑体" w:eastAsia="黑体" w:hAnsi="黑体" w:cs="黑体" w:hint="default"/>
        <w:w w:val="100"/>
        <w:sz w:val="21"/>
        <w:szCs w:val="21"/>
        <w:lang w:val="zh-CN" w:eastAsia="zh-CN" w:bidi="zh-CN"/>
      </w:rPr>
    </w:lvl>
    <w:lvl w:ilvl="3">
      <w:numFmt w:val="bullet"/>
      <w:lvlText w:val="•"/>
      <w:lvlJc w:val="left"/>
      <w:pPr>
        <w:ind w:left="2990" w:hanging="735"/>
      </w:pPr>
      <w:rPr>
        <w:rFonts w:hint="default"/>
        <w:lang w:val="zh-CN" w:eastAsia="zh-CN" w:bidi="zh-CN"/>
      </w:rPr>
    </w:lvl>
    <w:lvl w:ilvl="4">
      <w:numFmt w:val="bullet"/>
      <w:lvlText w:val="•"/>
      <w:lvlJc w:val="left"/>
      <w:pPr>
        <w:ind w:left="3995" w:hanging="735"/>
      </w:pPr>
      <w:rPr>
        <w:rFonts w:hint="default"/>
        <w:lang w:val="zh-CN" w:eastAsia="zh-CN" w:bidi="zh-CN"/>
      </w:rPr>
    </w:lvl>
    <w:lvl w:ilvl="5">
      <w:numFmt w:val="bullet"/>
      <w:lvlText w:val="•"/>
      <w:lvlJc w:val="left"/>
      <w:pPr>
        <w:ind w:left="5000" w:hanging="735"/>
      </w:pPr>
      <w:rPr>
        <w:rFonts w:hint="default"/>
        <w:lang w:val="zh-CN" w:eastAsia="zh-CN" w:bidi="zh-CN"/>
      </w:rPr>
    </w:lvl>
    <w:lvl w:ilvl="6">
      <w:numFmt w:val="bullet"/>
      <w:lvlText w:val="•"/>
      <w:lvlJc w:val="left"/>
      <w:pPr>
        <w:ind w:left="6005" w:hanging="735"/>
      </w:pPr>
      <w:rPr>
        <w:rFonts w:hint="default"/>
        <w:lang w:val="zh-CN" w:eastAsia="zh-CN" w:bidi="zh-CN"/>
      </w:rPr>
    </w:lvl>
    <w:lvl w:ilvl="7">
      <w:numFmt w:val="bullet"/>
      <w:lvlText w:val="•"/>
      <w:lvlJc w:val="left"/>
      <w:pPr>
        <w:ind w:left="7010" w:hanging="735"/>
      </w:pPr>
      <w:rPr>
        <w:rFonts w:hint="default"/>
        <w:lang w:val="zh-CN" w:eastAsia="zh-CN" w:bidi="zh-CN"/>
      </w:rPr>
    </w:lvl>
    <w:lvl w:ilvl="8">
      <w:numFmt w:val="bullet"/>
      <w:lvlText w:val="•"/>
      <w:lvlJc w:val="left"/>
      <w:pPr>
        <w:ind w:left="8016" w:hanging="735"/>
      </w:pPr>
      <w:rPr>
        <w:rFonts w:hint="default"/>
        <w:lang w:val="zh-CN" w:eastAsia="zh-CN" w:bidi="zh-CN"/>
      </w:rPr>
    </w:lvl>
  </w:abstractNum>
  <w:abstractNum w:abstractNumId="7" w15:restartNumberingAfterBreak="0">
    <w:nsid w:val="0D957833"/>
    <w:multiLevelType w:val="singleLevel"/>
    <w:tmpl w:val="FF26FDBA"/>
    <w:lvl w:ilvl="0">
      <w:start w:val="1"/>
      <w:numFmt w:val="decimal"/>
      <w:suff w:val="space"/>
      <w:lvlText w:val="%1."/>
      <w:lvlJc w:val="left"/>
      <w:rPr>
        <w:rFonts w:ascii="Times New Roman" w:hAnsi="Times New Roman" w:cs="Times New Roman" w:hint="default"/>
      </w:rPr>
    </w:lvl>
  </w:abstractNum>
  <w:abstractNum w:abstractNumId="8" w15:restartNumberingAfterBreak="0">
    <w:nsid w:val="10954776"/>
    <w:multiLevelType w:val="multilevel"/>
    <w:tmpl w:val="484A8E86"/>
    <w:lvl w:ilvl="0">
      <w:start w:val="2"/>
      <w:numFmt w:val="decimal"/>
      <w:lvlText w:val="%1"/>
      <w:lvlJc w:val="left"/>
      <w:pPr>
        <w:ind w:left="360" w:hanging="360"/>
      </w:pPr>
      <w:rPr>
        <w:rFonts w:hint="default"/>
      </w:rPr>
    </w:lvl>
    <w:lvl w:ilvl="1">
      <w:start w:val="1"/>
      <w:numFmt w:val="decimal"/>
      <w:isLgl/>
      <w:lvlText w:val="%1.%2"/>
      <w:lvlJc w:val="left"/>
      <w:pPr>
        <w:ind w:left="1114" w:hanging="405"/>
      </w:pPr>
      <w:rPr>
        <w:rFonts w:cs="方正仿宋_GBK" w:hint="default"/>
        <w:b w:val="0"/>
        <w:sz w:val="21"/>
        <w:szCs w:val="21"/>
      </w:rPr>
    </w:lvl>
    <w:lvl w:ilvl="2">
      <w:start w:val="1"/>
      <w:numFmt w:val="decimal"/>
      <w:isLgl/>
      <w:lvlText w:val="%1.%2.%3"/>
      <w:lvlJc w:val="left"/>
      <w:pPr>
        <w:ind w:left="720" w:hanging="720"/>
      </w:pPr>
      <w:rPr>
        <w:rFonts w:cs="方正仿宋_GBK" w:hint="default"/>
        <w:b/>
        <w:sz w:val="24"/>
      </w:rPr>
    </w:lvl>
    <w:lvl w:ilvl="3">
      <w:start w:val="1"/>
      <w:numFmt w:val="decimal"/>
      <w:isLgl/>
      <w:lvlText w:val="%1.%2.%3.%4"/>
      <w:lvlJc w:val="left"/>
      <w:pPr>
        <w:ind w:left="1080" w:hanging="1080"/>
      </w:pPr>
      <w:rPr>
        <w:rFonts w:cs="方正仿宋_GBK" w:hint="default"/>
        <w:b/>
        <w:sz w:val="24"/>
      </w:rPr>
    </w:lvl>
    <w:lvl w:ilvl="4">
      <w:start w:val="1"/>
      <w:numFmt w:val="decimal"/>
      <w:isLgl/>
      <w:lvlText w:val="%1.%2.%3.%4.%5"/>
      <w:lvlJc w:val="left"/>
      <w:pPr>
        <w:ind w:left="1080" w:hanging="1080"/>
      </w:pPr>
      <w:rPr>
        <w:rFonts w:cs="方正仿宋_GBK" w:hint="default"/>
        <w:b/>
        <w:sz w:val="24"/>
      </w:rPr>
    </w:lvl>
    <w:lvl w:ilvl="5">
      <w:start w:val="1"/>
      <w:numFmt w:val="decimal"/>
      <w:isLgl/>
      <w:lvlText w:val="%1.%2.%3.%4.%5.%6"/>
      <w:lvlJc w:val="left"/>
      <w:pPr>
        <w:ind w:left="1440" w:hanging="1440"/>
      </w:pPr>
      <w:rPr>
        <w:rFonts w:cs="方正仿宋_GBK" w:hint="default"/>
        <w:b/>
        <w:sz w:val="24"/>
      </w:rPr>
    </w:lvl>
    <w:lvl w:ilvl="6">
      <w:start w:val="1"/>
      <w:numFmt w:val="decimal"/>
      <w:isLgl/>
      <w:lvlText w:val="%1.%2.%3.%4.%5.%6.%7"/>
      <w:lvlJc w:val="left"/>
      <w:pPr>
        <w:ind w:left="1440" w:hanging="1440"/>
      </w:pPr>
      <w:rPr>
        <w:rFonts w:cs="方正仿宋_GBK" w:hint="default"/>
        <w:b/>
        <w:sz w:val="24"/>
      </w:rPr>
    </w:lvl>
    <w:lvl w:ilvl="7">
      <w:start w:val="1"/>
      <w:numFmt w:val="decimal"/>
      <w:isLgl/>
      <w:lvlText w:val="%1.%2.%3.%4.%5.%6.%7.%8"/>
      <w:lvlJc w:val="left"/>
      <w:pPr>
        <w:ind w:left="1800" w:hanging="1800"/>
      </w:pPr>
      <w:rPr>
        <w:rFonts w:cs="方正仿宋_GBK" w:hint="default"/>
        <w:b/>
        <w:sz w:val="24"/>
      </w:rPr>
    </w:lvl>
    <w:lvl w:ilvl="8">
      <w:start w:val="1"/>
      <w:numFmt w:val="decimal"/>
      <w:isLgl/>
      <w:lvlText w:val="%1.%2.%3.%4.%5.%6.%7.%8.%9"/>
      <w:lvlJc w:val="left"/>
      <w:pPr>
        <w:ind w:left="1800" w:hanging="1800"/>
      </w:pPr>
      <w:rPr>
        <w:rFonts w:cs="方正仿宋_GBK" w:hint="default"/>
        <w:b/>
        <w:sz w:val="24"/>
      </w:rPr>
    </w:lvl>
  </w:abstractNum>
  <w:abstractNum w:abstractNumId="9" w15:restartNumberingAfterBreak="0">
    <w:nsid w:val="198705DB"/>
    <w:multiLevelType w:val="multilevel"/>
    <w:tmpl w:val="9CDE6EA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F7469"/>
    <w:multiLevelType w:val="multilevel"/>
    <w:tmpl w:val="495E24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B654F3"/>
    <w:multiLevelType w:val="multilevel"/>
    <w:tmpl w:val="25B654F3"/>
    <w:lvl w:ilvl="0">
      <w:start w:val="2"/>
      <w:numFmt w:val="upperLetter"/>
      <w:lvlText w:val="%1"/>
      <w:lvlJc w:val="left"/>
      <w:pPr>
        <w:ind w:left="762" w:hanging="526"/>
      </w:pPr>
      <w:rPr>
        <w:rFonts w:hint="default"/>
        <w:lang w:val="zh-CN" w:eastAsia="zh-CN" w:bidi="zh-CN"/>
      </w:rPr>
    </w:lvl>
    <w:lvl w:ilvl="1">
      <w:start w:val="1"/>
      <w:numFmt w:val="decimal"/>
      <w:lvlText w:val="%1.%2"/>
      <w:lvlJc w:val="left"/>
      <w:pPr>
        <w:ind w:left="762" w:hanging="526"/>
      </w:pPr>
      <w:rPr>
        <w:rFonts w:ascii="黑体" w:eastAsia="黑体" w:hAnsi="黑体" w:cs="黑体" w:hint="default"/>
        <w:w w:val="100"/>
        <w:sz w:val="21"/>
        <w:szCs w:val="21"/>
        <w:lang w:val="zh-CN" w:eastAsia="zh-CN" w:bidi="zh-CN"/>
      </w:rPr>
    </w:lvl>
    <w:lvl w:ilvl="2">
      <w:numFmt w:val="bullet"/>
      <w:lvlText w:val="•"/>
      <w:lvlJc w:val="left"/>
      <w:pPr>
        <w:ind w:left="2613" w:hanging="526"/>
      </w:pPr>
      <w:rPr>
        <w:rFonts w:hint="default"/>
        <w:lang w:val="zh-CN" w:eastAsia="zh-CN" w:bidi="zh-CN"/>
      </w:rPr>
    </w:lvl>
    <w:lvl w:ilvl="3">
      <w:numFmt w:val="bullet"/>
      <w:lvlText w:val="•"/>
      <w:lvlJc w:val="left"/>
      <w:pPr>
        <w:ind w:left="3539" w:hanging="526"/>
      </w:pPr>
      <w:rPr>
        <w:rFonts w:hint="default"/>
        <w:lang w:val="zh-CN" w:eastAsia="zh-CN" w:bidi="zh-CN"/>
      </w:rPr>
    </w:lvl>
    <w:lvl w:ilvl="4">
      <w:numFmt w:val="bullet"/>
      <w:lvlText w:val="•"/>
      <w:lvlJc w:val="left"/>
      <w:pPr>
        <w:ind w:left="4466" w:hanging="526"/>
      </w:pPr>
      <w:rPr>
        <w:rFonts w:hint="default"/>
        <w:lang w:val="zh-CN" w:eastAsia="zh-CN" w:bidi="zh-CN"/>
      </w:rPr>
    </w:lvl>
    <w:lvl w:ilvl="5">
      <w:numFmt w:val="bullet"/>
      <w:lvlText w:val="•"/>
      <w:lvlJc w:val="left"/>
      <w:pPr>
        <w:ind w:left="5393" w:hanging="526"/>
      </w:pPr>
      <w:rPr>
        <w:rFonts w:hint="default"/>
        <w:lang w:val="zh-CN" w:eastAsia="zh-CN" w:bidi="zh-CN"/>
      </w:rPr>
    </w:lvl>
    <w:lvl w:ilvl="6">
      <w:numFmt w:val="bullet"/>
      <w:lvlText w:val="•"/>
      <w:lvlJc w:val="left"/>
      <w:pPr>
        <w:ind w:left="6319" w:hanging="526"/>
      </w:pPr>
      <w:rPr>
        <w:rFonts w:hint="default"/>
        <w:lang w:val="zh-CN" w:eastAsia="zh-CN" w:bidi="zh-CN"/>
      </w:rPr>
    </w:lvl>
    <w:lvl w:ilvl="7">
      <w:numFmt w:val="bullet"/>
      <w:lvlText w:val="•"/>
      <w:lvlJc w:val="left"/>
      <w:pPr>
        <w:ind w:left="7246" w:hanging="526"/>
      </w:pPr>
      <w:rPr>
        <w:rFonts w:hint="default"/>
        <w:lang w:val="zh-CN" w:eastAsia="zh-CN" w:bidi="zh-CN"/>
      </w:rPr>
    </w:lvl>
    <w:lvl w:ilvl="8">
      <w:numFmt w:val="bullet"/>
      <w:lvlText w:val="•"/>
      <w:lvlJc w:val="left"/>
      <w:pPr>
        <w:ind w:left="8173" w:hanging="526"/>
      </w:pPr>
      <w:rPr>
        <w:rFonts w:hint="default"/>
        <w:lang w:val="zh-CN" w:eastAsia="zh-CN" w:bidi="zh-CN"/>
      </w:rPr>
    </w:lvl>
  </w:abstractNum>
  <w:abstractNum w:abstractNumId="12" w15:restartNumberingAfterBreak="0">
    <w:nsid w:val="3396355B"/>
    <w:multiLevelType w:val="hybridMultilevel"/>
    <w:tmpl w:val="E84C34E0"/>
    <w:lvl w:ilvl="0" w:tplc="6BC6EEA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C485F40"/>
    <w:multiLevelType w:val="hybridMultilevel"/>
    <w:tmpl w:val="68BA1F6A"/>
    <w:lvl w:ilvl="0" w:tplc="614E455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8EA6C69"/>
    <w:multiLevelType w:val="multilevel"/>
    <w:tmpl w:val="7796596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E06D30"/>
    <w:multiLevelType w:val="singleLevel"/>
    <w:tmpl w:val="749265B8"/>
    <w:lvl w:ilvl="0">
      <w:start w:val="1"/>
      <w:numFmt w:val="decimal"/>
      <w:lvlText w:val="%1."/>
      <w:lvlJc w:val="left"/>
      <w:pPr>
        <w:tabs>
          <w:tab w:val="num" w:pos="312"/>
        </w:tabs>
      </w:pPr>
      <w:rPr>
        <w:rFonts w:ascii="Times New Roman" w:hAnsi="Times New Roman" w:cs="Times New Roman" w:hint="default"/>
      </w:rPr>
    </w:lvl>
  </w:abstractNum>
  <w:abstractNum w:abstractNumId="16" w15:restartNumberingAfterBreak="0">
    <w:nsid w:val="59ADCABA"/>
    <w:multiLevelType w:val="multilevel"/>
    <w:tmpl w:val="59ADCABA"/>
    <w:lvl w:ilvl="0">
      <w:start w:val="5"/>
      <w:numFmt w:val="decimal"/>
      <w:lvlText w:val="%1"/>
      <w:lvlJc w:val="left"/>
      <w:pPr>
        <w:ind w:left="762" w:hanging="526"/>
      </w:pPr>
      <w:rPr>
        <w:rFonts w:hint="default"/>
        <w:lang w:val="zh-CN" w:eastAsia="zh-CN" w:bidi="zh-CN"/>
      </w:rPr>
    </w:lvl>
    <w:lvl w:ilvl="1">
      <w:start w:val="2"/>
      <w:numFmt w:val="decimal"/>
      <w:lvlText w:val="%1.%2"/>
      <w:lvlJc w:val="left"/>
      <w:pPr>
        <w:ind w:left="762" w:hanging="526"/>
      </w:pPr>
      <w:rPr>
        <w:rFonts w:ascii="黑体" w:eastAsia="黑体" w:hAnsi="黑体" w:cs="黑体" w:hint="default"/>
        <w:w w:val="100"/>
        <w:sz w:val="21"/>
        <w:szCs w:val="21"/>
        <w:lang w:val="zh-CN" w:eastAsia="zh-CN" w:bidi="zh-CN"/>
      </w:rPr>
    </w:lvl>
    <w:lvl w:ilvl="2">
      <w:numFmt w:val="bullet"/>
      <w:lvlText w:val="•"/>
      <w:lvlJc w:val="left"/>
      <w:pPr>
        <w:ind w:left="1985" w:hanging="526"/>
      </w:pPr>
      <w:rPr>
        <w:rFonts w:hint="default"/>
        <w:lang w:val="zh-CN" w:eastAsia="zh-CN" w:bidi="zh-CN"/>
      </w:rPr>
    </w:lvl>
    <w:lvl w:ilvl="3">
      <w:numFmt w:val="bullet"/>
      <w:lvlText w:val="•"/>
      <w:lvlJc w:val="left"/>
      <w:pPr>
        <w:ind w:left="2990" w:hanging="526"/>
      </w:pPr>
      <w:rPr>
        <w:rFonts w:hint="default"/>
        <w:lang w:val="zh-CN" w:eastAsia="zh-CN" w:bidi="zh-CN"/>
      </w:rPr>
    </w:lvl>
    <w:lvl w:ilvl="4">
      <w:numFmt w:val="bullet"/>
      <w:lvlText w:val="•"/>
      <w:lvlJc w:val="left"/>
      <w:pPr>
        <w:ind w:left="3995" w:hanging="526"/>
      </w:pPr>
      <w:rPr>
        <w:rFonts w:hint="default"/>
        <w:lang w:val="zh-CN" w:eastAsia="zh-CN" w:bidi="zh-CN"/>
      </w:rPr>
    </w:lvl>
    <w:lvl w:ilvl="5">
      <w:numFmt w:val="bullet"/>
      <w:lvlText w:val="•"/>
      <w:lvlJc w:val="left"/>
      <w:pPr>
        <w:ind w:left="5000" w:hanging="526"/>
      </w:pPr>
      <w:rPr>
        <w:rFonts w:hint="default"/>
        <w:lang w:val="zh-CN" w:eastAsia="zh-CN" w:bidi="zh-CN"/>
      </w:rPr>
    </w:lvl>
    <w:lvl w:ilvl="6">
      <w:numFmt w:val="bullet"/>
      <w:lvlText w:val="•"/>
      <w:lvlJc w:val="left"/>
      <w:pPr>
        <w:ind w:left="6005" w:hanging="526"/>
      </w:pPr>
      <w:rPr>
        <w:rFonts w:hint="default"/>
        <w:lang w:val="zh-CN" w:eastAsia="zh-CN" w:bidi="zh-CN"/>
      </w:rPr>
    </w:lvl>
    <w:lvl w:ilvl="7">
      <w:numFmt w:val="bullet"/>
      <w:lvlText w:val="•"/>
      <w:lvlJc w:val="left"/>
      <w:pPr>
        <w:ind w:left="7010" w:hanging="526"/>
      </w:pPr>
      <w:rPr>
        <w:rFonts w:hint="default"/>
        <w:lang w:val="zh-CN" w:eastAsia="zh-CN" w:bidi="zh-CN"/>
      </w:rPr>
    </w:lvl>
    <w:lvl w:ilvl="8">
      <w:numFmt w:val="bullet"/>
      <w:lvlText w:val="•"/>
      <w:lvlJc w:val="left"/>
      <w:pPr>
        <w:ind w:left="8016" w:hanging="526"/>
      </w:pPr>
      <w:rPr>
        <w:rFonts w:hint="default"/>
        <w:lang w:val="zh-CN" w:eastAsia="zh-CN" w:bidi="zh-CN"/>
      </w:rPr>
    </w:lvl>
  </w:abstractNum>
  <w:abstractNum w:abstractNumId="17" w15:restartNumberingAfterBreak="0">
    <w:nsid w:val="69AA6558"/>
    <w:multiLevelType w:val="hybridMultilevel"/>
    <w:tmpl w:val="29A62984"/>
    <w:lvl w:ilvl="0" w:tplc="D6168ED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15:restartNumberingAfterBreak="0">
    <w:nsid w:val="72183CF9"/>
    <w:multiLevelType w:val="multilevel"/>
    <w:tmpl w:val="72183CF9"/>
    <w:lvl w:ilvl="0">
      <w:start w:val="3"/>
      <w:numFmt w:val="upperLetter"/>
      <w:lvlText w:val="%1"/>
      <w:lvlJc w:val="left"/>
      <w:pPr>
        <w:ind w:left="762" w:hanging="526"/>
      </w:pPr>
      <w:rPr>
        <w:rFonts w:hint="default"/>
        <w:lang w:val="zh-CN" w:eastAsia="zh-CN" w:bidi="zh-CN"/>
      </w:rPr>
    </w:lvl>
    <w:lvl w:ilvl="1">
      <w:start w:val="1"/>
      <w:numFmt w:val="decimal"/>
      <w:lvlText w:val="%1.%2"/>
      <w:lvlJc w:val="left"/>
      <w:pPr>
        <w:ind w:left="762" w:hanging="526"/>
      </w:pPr>
      <w:rPr>
        <w:rFonts w:ascii="黑体" w:eastAsia="黑体" w:hAnsi="黑体" w:cs="黑体" w:hint="default"/>
        <w:w w:val="100"/>
        <w:sz w:val="21"/>
        <w:szCs w:val="21"/>
        <w:lang w:val="zh-CN" w:eastAsia="zh-CN" w:bidi="zh-CN"/>
      </w:rPr>
    </w:lvl>
    <w:lvl w:ilvl="2">
      <w:numFmt w:val="bullet"/>
      <w:lvlText w:val="•"/>
      <w:lvlJc w:val="left"/>
      <w:pPr>
        <w:ind w:left="2613" w:hanging="526"/>
      </w:pPr>
      <w:rPr>
        <w:rFonts w:hint="default"/>
        <w:lang w:val="zh-CN" w:eastAsia="zh-CN" w:bidi="zh-CN"/>
      </w:rPr>
    </w:lvl>
    <w:lvl w:ilvl="3">
      <w:numFmt w:val="bullet"/>
      <w:lvlText w:val="•"/>
      <w:lvlJc w:val="left"/>
      <w:pPr>
        <w:ind w:left="3539" w:hanging="526"/>
      </w:pPr>
      <w:rPr>
        <w:rFonts w:hint="default"/>
        <w:lang w:val="zh-CN" w:eastAsia="zh-CN" w:bidi="zh-CN"/>
      </w:rPr>
    </w:lvl>
    <w:lvl w:ilvl="4">
      <w:numFmt w:val="bullet"/>
      <w:lvlText w:val="•"/>
      <w:lvlJc w:val="left"/>
      <w:pPr>
        <w:ind w:left="4466" w:hanging="526"/>
      </w:pPr>
      <w:rPr>
        <w:rFonts w:hint="default"/>
        <w:lang w:val="zh-CN" w:eastAsia="zh-CN" w:bidi="zh-CN"/>
      </w:rPr>
    </w:lvl>
    <w:lvl w:ilvl="5">
      <w:numFmt w:val="bullet"/>
      <w:lvlText w:val="•"/>
      <w:lvlJc w:val="left"/>
      <w:pPr>
        <w:ind w:left="5393" w:hanging="526"/>
      </w:pPr>
      <w:rPr>
        <w:rFonts w:hint="default"/>
        <w:lang w:val="zh-CN" w:eastAsia="zh-CN" w:bidi="zh-CN"/>
      </w:rPr>
    </w:lvl>
    <w:lvl w:ilvl="6">
      <w:numFmt w:val="bullet"/>
      <w:lvlText w:val="•"/>
      <w:lvlJc w:val="left"/>
      <w:pPr>
        <w:ind w:left="6319" w:hanging="526"/>
      </w:pPr>
      <w:rPr>
        <w:rFonts w:hint="default"/>
        <w:lang w:val="zh-CN" w:eastAsia="zh-CN" w:bidi="zh-CN"/>
      </w:rPr>
    </w:lvl>
    <w:lvl w:ilvl="7">
      <w:numFmt w:val="bullet"/>
      <w:lvlText w:val="•"/>
      <w:lvlJc w:val="left"/>
      <w:pPr>
        <w:ind w:left="7246" w:hanging="526"/>
      </w:pPr>
      <w:rPr>
        <w:rFonts w:hint="default"/>
        <w:lang w:val="zh-CN" w:eastAsia="zh-CN" w:bidi="zh-CN"/>
      </w:rPr>
    </w:lvl>
    <w:lvl w:ilvl="8">
      <w:numFmt w:val="bullet"/>
      <w:lvlText w:val="•"/>
      <w:lvlJc w:val="left"/>
      <w:pPr>
        <w:ind w:left="8173" w:hanging="526"/>
      </w:pPr>
      <w:rPr>
        <w:rFonts w:hint="default"/>
        <w:lang w:val="zh-CN" w:eastAsia="zh-CN" w:bidi="zh-CN"/>
      </w:rPr>
    </w:lvl>
  </w:abstractNum>
  <w:abstractNum w:abstractNumId="19" w15:restartNumberingAfterBreak="0">
    <w:nsid w:val="7E1D77AE"/>
    <w:multiLevelType w:val="singleLevel"/>
    <w:tmpl w:val="749265B8"/>
    <w:lvl w:ilvl="0">
      <w:start w:val="1"/>
      <w:numFmt w:val="decimal"/>
      <w:lvlText w:val="%1."/>
      <w:lvlJc w:val="left"/>
      <w:pPr>
        <w:tabs>
          <w:tab w:val="num" w:pos="312"/>
        </w:tabs>
      </w:pPr>
      <w:rPr>
        <w:rFonts w:ascii="Times New Roman" w:hAnsi="Times New Roman" w:cs="Times New Roman" w:hint="default"/>
      </w:rPr>
    </w:lvl>
  </w:abstractNum>
  <w:abstractNum w:abstractNumId="20" w15:restartNumberingAfterBreak="0">
    <w:nsid w:val="7F33DD61"/>
    <w:multiLevelType w:val="singleLevel"/>
    <w:tmpl w:val="7F33DD61"/>
    <w:lvl w:ilvl="0">
      <w:start w:val="1"/>
      <w:numFmt w:val="chineseCounting"/>
      <w:suff w:val="nothing"/>
      <w:lvlText w:val="%1、"/>
      <w:lvlJc w:val="left"/>
      <w:rPr>
        <w:rFonts w:hint="eastAsia"/>
      </w:rPr>
    </w:lvl>
  </w:abstractNum>
  <w:num w:numId="1">
    <w:abstractNumId w:val="0"/>
  </w:num>
  <w:num w:numId="2">
    <w:abstractNumId w:val="5"/>
  </w:num>
  <w:num w:numId="3">
    <w:abstractNumId w:val="2"/>
  </w:num>
  <w:num w:numId="4">
    <w:abstractNumId w:val="16"/>
  </w:num>
  <w:num w:numId="5">
    <w:abstractNumId w:val="6"/>
  </w:num>
  <w:num w:numId="6">
    <w:abstractNumId w:val="11"/>
  </w:num>
  <w:num w:numId="7">
    <w:abstractNumId w:val="18"/>
  </w:num>
  <w:num w:numId="8">
    <w:abstractNumId w:val="3"/>
  </w:num>
  <w:num w:numId="9">
    <w:abstractNumId w:val="15"/>
  </w:num>
  <w:num w:numId="10">
    <w:abstractNumId w:val="7"/>
  </w:num>
  <w:num w:numId="11">
    <w:abstractNumId w:val="4"/>
  </w:num>
  <w:num w:numId="12">
    <w:abstractNumId w:val="1"/>
  </w:num>
  <w:num w:numId="13">
    <w:abstractNumId w:val="20"/>
  </w:num>
  <w:num w:numId="14">
    <w:abstractNumId w:val="10"/>
  </w:num>
  <w:num w:numId="15">
    <w:abstractNumId w:val="14"/>
  </w:num>
  <w:num w:numId="16">
    <w:abstractNumId w:val="12"/>
  </w:num>
  <w:num w:numId="17">
    <w:abstractNumId w:val="17"/>
  </w:num>
  <w:num w:numId="18">
    <w:abstractNumId w:val="19"/>
  </w:num>
  <w:num w:numId="19">
    <w:abstractNumId w:val="8"/>
  </w:num>
  <w:num w:numId="20">
    <w:abstractNumId w:val="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黑体&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vtpzrr7vfvefewa2d52zrqf99afvdewrxe&quot;&gt;My EndNote Library&lt;record-ids&gt;&lt;item&gt;1&lt;/item&gt;&lt;item&gt;2&lt;/item&gt;&lt;item&gt;3&lt;/item&gt;&lt;/record-ids&gt;&lt;/item&gt;&lt;/Libraries&gt;"/>
    <w:docVar w:name="EN.UseJSCitationFormat" w:val="False"/>
  </w:docVars>
  <w:rsids>
    <w:rsidRoot w:val="001D1393"/>
    <w:rsid w:val="000023A9"/>
    <w:rsid w:val="000126A1"/>
    <w:rsid w:val="000152C7"/>
    <w:rsid w:val="00020292"/>
    <w:rsid w:val="0003023A"/>
    <w:rsid w:val="0003067A"/>
    <w:rsid w:val="00036C6C"/>
    <w:rsid w:val="000466ED"/>
    <w:rsid w:val="00047946"/>
    <w:rsid w:val="0005005B"/>
    <w:rsid w:val="00055609"/>
    <w:rsid w:val="000557B7"/>
    <w:rsid w:val="00072581"/>
    <w:rsid w:val="00075B9F"/>
    <w:rsid w:val="00076E50"/>
    <w:rsid w:val="00090ABB"/>
    <w:rsid w:val="00092375"/>
    <w:rsid w:val="000B6CAF"/>
    <w:rsid w:val="000C2DBC"/>
    <w:rsid w:val="000C5287"/>
    <w:rsid w:val="000D12F1"/>
    <w:rsid w:val="000D1BEA"/>
    <w:rsid w:val="000D7B3C"/>
    <w:rsid w:val="000D7E70"/>
    <w:rsid w:val="000E1AFB"/>
    <w:rsid w:val="000E1E6F"/>
    <w:rsid w:val="000E226A"/>
    <w:rsid w:val="000E3BF3"/>
    <w:rsid w:val="000E3C95"/>
    <w:rsid w:val="000F0E75"/>
    <w:rsid w:val="000F0EA9"/>
    <w:rsid w:val="000F26F9"/>
    <w:rsid w:val="000F4394"/>
    <w:rsid w:val="00100A00"/>
    <w:rsid w:val="00100E07"/>
    <w:rsid w:val="00102EEF"/>
    <w:rsid w:val="00104331"/>
    <w:rsid w:val="00114508"/>
    <w:rsid w:val="00131B06"/>
    <w:rsid w:val="00133E0E"/>
    <w:rsid w:val="0013496D"/>
    <w:rsid w:val="00135B42"/>
    <w:rsid w:val="001364FF"/>
    <w:rsid w:val="001514C5"/>
    <w:rsid w:val="00155F7C"/>
    <w:rsid w:val="001613FC"/>
    <w:rsid w:val="00165764"/>
    <w:rsid w:val="0018406D"/>
    <w:rsid w:val="00184DC4"/>
    <w:rsid w:val="00192DB9"/>
    <w:rsid w:val="001949F4"/>
    <w:rsid w:val="001A0458"/>
    <w:rsid w:val="001B2863"/>
    <w:rsid w:val="001C7824"/>
    <w:rsid w:val="001D1393"/>
    <w:rsid w:val="001D17B9"/>
    <w:rsid w:val="001D2F41"/>
    <w:rsid w:val="001E0D27"/>
    <w:rsid w:val="001E2B0F"/>
    <w:rsid w:val="001E5482"/>
    <w:rsid w:val="001E7D19"/>
    <w:rsid w:val="001F0517"/>
    <w:rsid w:val="001F2DD5"/>
    <w:rsid w:val="001F314C"/>
    <w:rsid w:val="001F376F"/>
    <w:rsid w:val="001F7EE8"/>
    <w:rsid w:val="00206D7C"/>
    <w:rsid w:val="002071EF"/>
    <w:rsid w:val="00210039"/>
    <w:rsid w:val="002169EB"/>
    <w:rsid w:val="00240EB6"/>
    <w:rsid w:val="00242CAC"/>
    <w:rsid w:val="00256140"/>
    <w:rsid w:val="00267BDA"/>
    <w:rsid w:val="00272923"/>
    <w:rsid w:val="00281F05"/>
    <w:rsid w:val="00283704"/>
    <w:rsid w:val="00285C49"/>
    <w:rsid w:val="00290473"/>
    <w:rsid w:val="002936F9"/>
    <w:rsid w:val="00293DDE"/>
    <w:rsid w:val="002A79B1"/>
    <w:rsid w:val="002B4420"/>
    <w:rsid w:val="002C2340"/>
    <w:rsid w:val="002C430B"/>
    <w:rsid w:val="002C7314"/>
    <w:rsid w:val="002C798F"/>
    <w:rsid w:val="002D3792"/>
    <w:rsid w:val="002D780C"/>
    <w:rsid w:val="002E52F4"/>
    <w:rsid w:val="002F0F3B"/>
    <w:rsid w:val="002F3AA5"/>
    <w:rsid w:val="002F7C18"/>
    <w:rsid w:val="003165F7"/>
    <w:rsid w:val="00317496"/>
    <w:rsid w:val="00331DA2"/>
    <w:rsid w:val="003321ED"/>
    <w:rsid w:val="0033291A"/>
    <w:rsid w:val="00334B6E"/>
    <w:rsid w:val="0034054C"/>
    <w:rsid w:val="003465CE"/>
    <w:rsid w:val="00346B17"/>
    <w:rsid w:val="00347421"/>
    <w:rsid w:val="003537DC"/>
    <w:rsid w:val="00362983"/>
    <w:rsid w:val="0036450E"/>
    <w:rsid w:val="00365A86"/>
    <w:rsid w:val="003754AA"/>
    <w:rsid w:val="003769B8"/>
    <w:rsid w:val="003772BA"/>
    <w:rsid w:val="00381F29"/>
    <w:rsid w:val="00383CA3"/>
    <w:rsid w:val="0038522A"/>
    <w:rsid w:val="003966E0"/>
    <w:rsid w:val="003A3704"/>
    <w:rsid w:val="003A62BD"/>
    <w:rsid w:val="003A68F5"/>
    <w:rsid w:val="003C755E"/>
    <w:rsid w:val="003D00F2"/>
    <w:rsid w:val="003D3986"/>
    <w:rsid w:val="003D59C7"/>
    <w:rsid w:val="003E69BE"/>
    <w:rsid w:val="003F068E"/>
    <w:rsid w:val="003F65E3"/>
    <w:rsid w:val="0040594A"/>
    <w:rsid w:val="004069AC"/>
    <w:rsid w:val="004076EA"/>
    <w:rsid w:val="00410150"/>
    <w:rsid w:val="00410A9F"/>
    <w:rsid w:val="00411511"/>
    <w:rsid w:val="00413FD9"/>
    <w:rsid w:val="00414F53"/>
    <w:rsid w:val="0042137C"/>
    <w:rsid w:val="00421E38"/>
    <w:rsid w:val="00425E66"/>
    <w:rsid w:val="00430A83"/>
    <w:rsid w:val="00441993"/>
    <w:rsid w:val="00456211"/>
    <w:rsid w:val="00456296"/>
    <w:rsid w:val="0046789C"/>
    <w:rsid w:val="00472B0A"/>
    <w:rsid w:val="00476880"/>
    <w:rsid w:val="00483870"/>
    <w:rsid w:val="0048752A"/>
    <w:rsid w:val="004920D9"/>
    <w:rsid w:val="00494683"/>
    <w:rsid w:val="00497898"/>
    <w:rsid w:val="004A258A"/>
    <w:rsid w:val="004A74BB"/>
    <w:rsid w:val="004B4B2B"/>
    <w:rsid w:val="004B7A31"/>
    <w:rsid w:val="004C1027"/>
    <w:rsid w:val="004C50A3"/>
    <w:rsid w:val="004C6320"/>
    <w:rsid w:val="004D065F"/>
    <w:rsid w:val="004E4456"/>
    <w:rsid w:val="004E6F59"/>
    <w:rsid w:val="004E7206"/>
    <w:rsid w:val="004E785E"/>
    <w:rsid w:val="004F2238"/>
    <w:rsid w:val="004F348A"/>
    <w:rsid w:val="004F56A7"/>
    <w:rsid w:val="004F690C"/>
    <w:rsid w:val="004F73F6"/>
    <w:rsid w:val="00501D2A"/>
    <w:rsid w:val="005020D0"/>
    <w:rsid w:val="00503025"/>
    <w:rsid w:val="00514179"/>
    <w:rsid w:val="005252C6"/>
    <w:rsid w:val="005253FC"/>
    <w:rsid w:val="00525DE5"/>
    <w:rsid w:val="00534FE7"/>
    <w:rsid w:val="005468E3"/>
    <w:rsid w:val="00550EF0"/>
    <w:rsid w:val="0056502E"/>
    <w:rsid w:val="00567388"/>
    <w:rsid w:val="00574CDC"/>
    <w:rsid w:val="0058030E"/>
    <w:rsid w:val="00580443"/>
    <w:rsid w:val="00584F29"/>
    <w:rsid w:val="0059177A"/>
    <w:rsid w:val="00592108"/>
    <w:rsid w:val="0059577A"/>
    <w:rsid w:val="005A5F6A"/>
    <w:rsid w:val="005B22A4"/>
    <w:rsid w:val="005B4259"/>
    <w:rsid w:val="005C2A61"/>
    <w:rsid w:val="005C74BD"/>
    <w:rsid w:val="005D06F8"/>
    <w:rsid w:val="005D40EE"/>
    <w:rsid w:val="005D48BB"/>
    <w:rsid w:val="005D7275"/>
    <w:rsid w:val="005E2445"/>
    <w:rsid w:val="005E61CF"/>
    <w:rsid w:val="005E6222"/>
    <w:rsid w:val="005F5920"/>
    <w:rsid w:val="005F772C"/>
    <w:rsid w:val="00600CE2"/>
    <w:rsid w:val="00610AE7"/>
    <w:rsid w:val="00614B7B"/>
    <w:rsid w:val="006328C8"/>
    <w:rsid w:val="00633972"/>
    <w:rsid w:val="00641E71"/>
    <w:rsid w:val="006465AA"/>
    <w:rsid w:val="00653F71"/>
    <w:rsid w:val="00656D50"/>
    <w:rsid w:val="00666EAF"/>
    <w:rsid w:val="00670104"/>
    <w:rsid w:val="00683305"/>
    <w:rsid w:val="0069213C"/>
    <w:rsid w:val="00697700"/>
    <w:rsid w:val="006B11FB"/>
    <w:rsid w:val="006B23D1"/>
    <w:rsid w:val="006B7AA1"/>
    <w:rsid w:val="006C0DFD"/>
    <w:rsid w:val="006D4A67"/>
    <w:rsid w:val="006D4CFA"/>
    <w:rsid w:val="006F3F19"/>
    <w:rsid w:val="006F6C15"/>
    <w:rsid w:val="00720F5D"/>
    <w:rsid w:val="007261D7"/>
    <w:rsid w:val="00730D1C"/>
    <w:rsid w:val="007420FB"/>
    <w:rsid w:val="007531E3"/>
    <w:rsid w:val="00755F08"/>
    <w:rsid w:val="00764869"/>
    <w:rsid w:val="00765260"/>
    <w:rsid w:val="00773F4D"/>
    <w:rsid w:val="00780438"/>
    <w:rsid w:val="00782FFE"/>
    <w:rsid w:val="007838DF"/>
    <w:rsid w:val="00794F62"/>
    <w:rsid w:val="00795240"/>
    <w:rsid w:val="007A0C13"/>
    <w:rsid w:val="007B3A4B"/>
    <w:rsid w:val="007B4012"/>
    <w:rsid w:val="007B4235"/>
    <w:rsid w:val="007C0099"/>
    <w:rsid w:val="007C3CB6"/>
    <w:rsid w:val="007C5925"/>
    <w:rsid w:val="007C61FE"/>
    <w:rsid w:val="007C65E8"/>
    <w:rsid w:val="007C75C0"/>
    <w:rsid w:val="007D0724"/>
    <w:rsid w:val="007D1F2D"/>
    <w:rsid w:val="007D6754"/>
    <w:rsid w:val="007F2032"/>
    <w:rsid w:val="007F3154"/>
    <w:rsid w:val="007F315A"/>
    <w:rsid w:val="007F6AD7"/>
    <w:rsid w:val="008041AF"/>
    <w:rsid w:val="00812B36"/>
    <w:rsid w:val="00814282"/>
    <w:rsid w:val="008239AF"/>
    <w:rsid w:val="008252A0"/>
    <w:rsid w:val="008318AE"/>
    <w:rsid w:val="008324B3"/>
    <w:rsid w:val="00842528"/>
    <w:rsid w:val="00846AE8"/>
    <w:rsid w:val="00847635"/>
    <w:rsid w:val="008511EF"/>
    <w:rsid w:val="008519D3"/>
    <w:rsid w:val="00852C6E"/>
    <w:rsid w:val="00855C40"/>
    <w:rsid w:val="008819F5"/>
    <w:rsid w:val="0088298C"/>
    <w:rsid w:val="0088474B"/>
    <w:rsid w:val="008942FC"/>
    <w:rsid w:val="008A520F"/>
    <w:rsid w:val="008A7F2D"/>
    <w:rsid w:val="008B0957"/>
    <w:rsid w:val="008B2624"/>
    <w:rsid w:val="008B5B44"/>
    <w:rsid w:val="008B5ECB"/>
    <w:rsid w:val="008C0188"/>
    <w:rsid w:val="008C0196"/>
    <w:rsid w:val="008C1016"/>
    <w:rsid w:val="008C1AFA"/>
    <w:rsid w:val="008C5877"/>
    <w:rsid w:val="008C5B0D"/>
    <w:rsid w:val="008C60CB"/>
    <w:rsid w:val="008D0C83"/>
    <w:rsid w:val="008D1178"/>
    <w:rsid w:val="008E2F52"/>
    <w:rsid w:val="008F3CBF"/>
    <w:rsid w:val="008F43D9"/>
    <w:rsid w:val="008F680F"/>
    <w:rsid w:val="00910D00"/>
    <w:rsid w:val="00916AED"/>
    <w:rsid w:val="00926E90"/>
    <w:rsid w:val="00931C66"/>
    <w:rsid w:val="009371E2"/>
    <w:rsid w:val="00937D32"/>
    <w:rsid w:val="00937DE3"/>
    <w:rsid w:val="00946A74"/>
    <w:rsid w:val="00952A6E"/>
    <w:rsid w:val="009631FF"/>
    <w:rsid w:val="00974554"/>
    <w:rsid w:val="009831B3"/>
    <w:rsid w:val="00985C88"/>
    <w:rsid w:val="00993152"/>
    <w:rsid w:val="009935F2"/>
    <w:rsid w:val="0099653D"/>
    <w:rsid w:val="009A3DD1"/>
    <w:rsid w:val="009B2C37"/>
    <w:rsid w:val="009C086B"/>
    <w:rsid w:val="009C2430"/>
    <w:rsid w:val="009C27ED"/>
    <w:rsid w:val="009C789A"/>
    <w:rsid w:val="009D03DB"/>
    <w:rsid w:val="009D05FD"/>
    <w:rsid w:val="009D1D9A"/>
    <w:rsid w:val="009D412D"/>
    <w:rsid w:val="009D5DDE"/>
    <w:rsid w:val="009E131D"/>
    <w:rsid w:val="009E13FE"/>
    <w:rsid w:val="009F3466"/>
    <w:rsid w:val="009F3DA5"/>
    <w:rsid w:val="009F43A0"/>
    <w:rsid w:val="009F519D"/>
    <w:rsid w:val="00A040E5"/>
    <w:rsid w:val="00A07E60"/>
    <w:rsid w:val="00A10A76"/>
    <w:rsid w:val="00A236C8"/>
    <w:rsid w:val="00A33E23"/>
    <w:rsid w:val="00A50312"/>
    <w:rsid w:val="00A512CF"/>
    <w:rsid w:val="00A62197"/>
    <w:rsid w:val="00A76062"/>
    <w:rsid w:val="00A83449"/>
    <w:rsid w:val="00A847BE"/>
    <w:rsid w:val="00A86128"/>
    <w:rsid w:val="00A924F6"/>
    <w:rsid w:val="00A952ED"/>
    <w:rsid w:val="00AA3091"/>
    <w:rsid w:val="00AC13D1"/>
    <w:rsid w:val="00AC54F2"/>
    <w:rsid w:val="00AD2176"/>
    <w:rsid w:val="00AD3D6A"/>
    <w:rsid w:val="00AF074E"/>
    <w:rsid w:val="00AF48A7"/>
    <w:rsid w:val="00AF5891"/>
    <w:rsid w:val="00AF6E00"/>
    <w:rsid w:val="00B00AF7"/>
    <w:rsid w:val="00B040ED"/>
    <w:rsid w:val="00B05CBF"/>
    <w:rsid w:val="00B1103B"/>
    <w:rsid w:val="00B139C8"/>
    <w:rsid w:val="00B24B14"/>
    <w:rsid w:val="00B24B4D"/>
    <w:rsid w:val="00B313B6"/>
    <w:rsid w:val="00B3193B"/>
    <w:rsid w:val="00B5472F"/>
    <w:rsid w:val="00B549C8"/>
    <w:rsid w:val="00B62300"/>
    <w:rsid w:val="00B72CE3"/>
    <w:rsid w:val="00B74C82"/>
    <w:rsid w:val="00B81618"/>
    <w:rsid w:val="00B8488E"/>
    <w:rsid w:val="00B848AC"/>
    <w:rsid w:val="00B86A7B"/>
    <w:rsid w:val="00B93B56"/>
    <w:rsid w:val="00B9674D"/>
    <w:rsid w:val="00BA1ABA"/>
    <w:rsid w:val="00BA384D"/>
    <w:rsid w:val="00BA5DD4"/>
    <w:rsid w:val="00BB27CC"/>
    <w:rsid w:val="00BD06CE"/>
    <w:rsid w:val="00BD10E8"/>
    <w:rsid w:val="00BF5185"/>
    <w:rsid w:val="00BF7F29"/>
    <w:rsid w:val="00C04FC5"/>
    <w:rsid w:val="00C15127"/>
    <w:rsid w:val="00C22F17"/>
    <w:rsid w:val="00C23084"/>
    <w:rsid w:val="00C23BE0"/>
    <w:rsid w:val="00C27366"/>
    <w:rsid w:val="00C3240D"/>
    <w:rsid w:val="00C56A86"/>
    <w:rsid w:val="00C57849"/>
    <w:rsid w:val="00C604F9"/>
    <w:rsid w:val="00C655C9"/>
    <w:rsid w:val="00C7172E"/>
    <w:rsid w:val="00C81029"/>
    <w:rsid w:val="00C841F6"/>
    <w:rsid w:val="00C8753E"/>
    <w:rsid w:val="00C93F4F"/>
    <w:rsid w:val="00C94712"/>
    <w:rsid w:val="00C95137"/>
    <w:rsid w:val="00C96D8E"/>
    <w:rsid w:val="00CA20CF"/>
    <w:rsid w:val="00CA2486"/>
    <w:rsid w:val="00CB2358"/>
    <w:rsid w:val="00CB6B79"/>
    <w:rsid w:val="00CC346E"/>
    <w:rsid w:val="00CC5BF0"/>
    <w:rsid w:val="00CC6DF7"/>
    <w:rsid w:val="00CD1050"/>
    <w:rsid w:val="00CD4143"/>
    <w:rsid w:val="00CD5E12"/>
    <w:rsid w:val="00CD6EDA"/>
    <w:rsid w:val="00CE5AC2"/>
    <w:rsid w:val="00CE728D"/>
    <w:rsid w:val="00CF027B"/>
    <w:rsid w:val="00CF336A"/>
    <w:rsid w:val="00D034B3"/>
    <w:rsid w:val="00D25545"/>
    <w:rsid w:val="00D26AAD"/>
    <w:rsid w:val="00D421B7"/>
    <w:rsid w:val="00D4686D"/>
    <w:rsid w:val="00D5448C"/>
    <w:rsid w:val="00D67356"/>
    <w:rsid w:val="00D71E23"/>
    <w:rsid w:val="00D75003"/>
    <w:rsid w:val="00DA1586"/>
    <w:rsid w:val="00DA1DEA"/>
    <w:rsid w:val="00DA2503"/>
    <w:rsid w:val="00DA401C"/>
    <w:rsid w:val="00DA7959"/>
    <w:rsid w:val="00DB098C"/>
    <w:rsid w:val="00DB6897"/>
    <w:rsid w:val="00DC1AF7"/>
    <w:rsid w:val="00DC39CB"/>
    <w:rsid w:val="00DD3642"/>
    <w:rsid w:val="00DD4C7B"/>
    <w:rsid w:val="00DE1E15"/>
    <w:rsid w:val="00DE25F3"/>
    <w:rsid w:val="00DF330B"/>
    <w:rsid w:val="00DF7F7E"/>
    <w:rsid w:val="00E03B73"/>
    <w:rsid w:val="00E06ABB"/>
    <w:rsid w:val="00E071CB"/>
    <w:rsid w:val="00E24BD5"/>
    <w:rsid w:val="00E27901"/>
    <w:rsid w:val="00E42A3F"/>
    <w:rsid w:val="00E45658"/>
    <w:rsid w:val="00E52993"/>
    <w:rsid w:val="00E53733"/>
    <w:rsid w:val="00E600E4"/>
    <w:rsid w:val="00E672C4"/>
    <w:rsid w:val="00E67C40"/>
    <w:rsid w:val="00E75AE0"/>
    <w:rsid w:val="00E806DC"/>
    <w:rsid w:val="00E9105D"/>
    <w:rsid w:val="00E933DC"/>
    <w:rsid w:val="00EC41FD"/>
    <w:rsid w:val="00ED01AB"/>
    <w:rsid w:val="00ED2766"/>
    <w:rsid w:val="00ED3420"/>
    <w:rsid w:val="00ED3A70"/>
    <w:rsid w:val="00EE253B"/>
    <w:rsid w:val="00EE648F"/>
    <w:rsid w:val="00EF2233"/>
    <w:rsid w:val="00EF2A10"/>
    <w:rsid w:val="00EF4B25"/>
    <w:rsid w:val="00F14EEB"/>
    <w:rsid w:val="00F15B22"/>
    <w:rsid w:val="00F175DF"/>
    <w:rsid w:val="00F27C91"/>
    <w:rsid w:val="00F27FEF"/>
    <w:rsid w:val="00F37331"/>
    <w:rsid w:val="00F37D01"/>
    <w:rsid w:val="00F42AB2"/>
    <w:rsid w:val="00F45B0F"/>
    <w:rsid w:val="00F5031E"/>
    <w:rsid w:val="00F5413B"/>
    <w:rsid w:val="00F6070E"/>
    <w:rsid w:val="00F661F3"/>
    <w:rsid w:val="00F85D91"/>
    <w:rsid w:val="00F92F2C"/>
    <w:rsid w:val="00FB1457"/>
    <w:rsid w:val="00FC02A3"/>
    <w:rsid w:val="00FC08AC"/>
    <w:rsid w:val="00FC20CE"/>
    <w:rsid w:val="00FD1E87"/>
    <w:rsid w:val="00FD70B0"/>
    <w:rsid w:val="00FD70FE"/>
    <w:rsid w:val="00FE0B35"/>
    <w:rsid w:val="00FE201A"/>
    <w:rsid w:val="00FE4A44"/>
    <w:rsid w:val="00FE5D48"/>
    <w:rsid w:val="00FE6163"/>
    <w:rsid w:val="00FE7110"/>
    <w:rsid w:val="00FF0042"/>
    <w:rsid w:val="00FF4E17"/>
    <w:rsid w:val="01183AE9"/>
    <w:rsid w:val="03567614"/>
    <w:rsid w:val="072E24B5"/>
    <w:rsid w:val="08DF5894"/>
    <w:rsid w:val="0CE12F14"/>
    <w:rsid w:val="117E0DDA"/>
    <w:rsid w:val="134014F3"/>
    <w:rsid w:val="14B216A6"/>
    <w:rsid w:val="180748ED"/>
    <w:rsid w:val="1B336BE9"/>
    <w:rsid w:val="1CCC4661"/>
    <w:rsid w:val="1D10633A"/>
    <w:rsid w:val="210F0F62"/>
    <w:rsid w:val="23F424AD"/>
    <w:rsid w:val="2AB0707D"/>
    <w:rsid w:val="2E17634E"/>
    <w:rsid w:val="335C21F6"/>
    <w:rsid w:val="37C40560"/>
    <w:rsid w:val="38923A7E"/>
    <w:rsid w:val="3A9E49AE"/>
    <w:rsid w:val="3BBE0B70"/>
    <w:rsid w:val="3F644248"/>
    <w:rsid w:val="41BD2FD3"/>
    <w:rsid w:val="43E31DEF"/>
    <w:rsid w:val="52514B58"/>
    <w:rsid w:val="537706CA"/>
    <w:rsid w:val="53C80118"/>
    <w:rsid w:val="55F1471A"/>
    <w:rsid w:val="5A656632"/>
    <w:rsid w:val="5D6A1514"/>
    <w:rsid w:val="60407BE8"/>
    <w:rsid w:val="62453EF4"/>
    <w:rsid w:val="62DF7471"/>
    <w:rsid w:val="63793C86"/>
    <w:rsid w:val="66AF03D6"/>
    <w:rsid w:val="684C6DC7"/>
    <w:rsid w:val="6B466EB6"/>
    <w:rsid w:val="6B6529F8"/>
    <w:rsid w:val="6C872F4D"/>
    <w:rsid w:val="747A5714"/>
    <w:rsid w:val="75162F60"/>
    <w:rsid w:val="7B4948B9"/>
    <w:rsid w:val="7CD162DE"/>
    <w:rsid w:val="7DB03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C15ECD"/>
  <w15:chartTrackingRefBased/>
  <w15:docId w15:val="{870120A7-34D8-4BB6-8735-AD853E56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footer" w:uiPriority="99"/>
    <w:lsdException w:name="caption" w:semiHidden="1" w:unhideWhenUsed="1" w:qFormat="1"/>
    <w:lsdException w:name="annotation reference" w:qFormat="1"/>
    <w:lsdException w:name="Title" w:qFormat="1"/>
    <w:lsdException w:name="Default Paragraph Font" w:semiHidden="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FD70FE"/>
    <w:pPr>
      <w:keepNext/>
      <w:keepLines/>
      <w:spacing w:before="340" w:after="330" w:line="578" w:lineRule="auto"/>
      <w:outlineLvl w:val="0"/>
    </w:pPr>
    <w:rPr>
      <w:b/>
      <w:bCs/>
      <w:kern w:val="44"/>
      <w:sz w:val="44"/>
      <w:szCs w:val="44"/>
    </w:rPr>
  </w:style>
  <w:style w:type="paragraph" w:styleId="2">
    <w:name w:val="heading 2"/>
    <w:basedOn w:val="a"/>
    <w:next w:val="a"/>
    <w:uiPriority w:val="1"/>
    <w:qFormat/>
    <w:pPr>
      <w:spacing w:line="431" w:lineRule="exact"/>
      <w:outlineLvl w:val="1"/>
    </w:pPr>
    <w:rPr>
      <w:rFonts w:ascii="黑体" w:eastAsia="黑体" w:hAnsi="黑体" w:cs="黑体"/>
      <w:sz w:val="36"/>
      <w:szCs w:val="36"/>
      <w:lang w:val="zh-CN" w:bidi="zh-CN"/>
    </w:rPr>
  </w:style>
  <w:style w:type="paragraph" w:styleId="3">
    <w:name w:val="heading 3"/>
    <w:basedOn w:val="a"/>
    <w:next w:val="a"/>
    <w:link w:val="30"/>
    <w:semiHidden/>
    <w:unhideWhenUsed/>
    <w:qFormat/>
    <w:rsid w:val="00DE25F3"/>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rPr>
  </w:style>
  <w:style w:type="character" w:customStyle="1" w:styleId="a4">
    <w:name w:val="页眉 字符"/>
    <w:link w:val="a5"/>
    <w:rPr>
      <w:rFonts w:ascii="Calibri" w:hAnsi="Calibri"/>
      <w:kern w:val="2"/>
      <w:sz w:val="18"/>
      <w:szCs w:val="18"/>
    </w:rPr>
  </w:style>
  <w:style w:type="character" w:customStyle="1" w:styleId="a6">
    <w:name w:val="批注框文本 字符"/>
    <w:link w:val="a7"/>
    <w:rPr>
      <w:rFonts w:ascii="Calibri" w:hAnsi="Calibri"/>
      <w:kern w:val="2"/>
      <w:sz w:val="18"/>
      <w:szCs w:val="18"/>
    </w:rPr>
  </w:style>
  <w:style w:type="character" w:customStyle="1" w:styleId="a8">
    <w:name w:val="页脚 字符"/>
    <w:link w:val="a9"/>
    <w:uiPriority w:val="99"/>
    <w:rPr>
      <w:rFonts w:ascii="Calibri" w:hAnsi="Calibri"/>
      <w:kern w:val="2"/>
      <w:sz w:val="18"/>
      <w:szCs w:val="18"/>
    </w:rPr>
  </w:style>
  <w:style w:type="paragraph" w:styleId="aa">
    <w:name w:val="annotation text"/>
    <w:basedOn w:val="a"/>
    <w:link w:val="ab"/>
    <w:qFormat/>
    <w:pPr>
      <w:jc w:val="left"/>
    </w:p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paragraph" w:styleId="a9">
    <w:name w:val="footer"/>
    <w:basedOn w:val="a"/>
    <w:link w:val="a8"/>
    <w:uiPriority w:val="99"/>
    <w:pPr>
      <w:tabs>
        <w:tab w:val="center" w:pos="4153"/>
        <w:tab w:val="right" w:pos="8306"/>
      </w:tabs>
      <w:snapToGrid w:val="0"/>
      <w:jc w:val="left"/>
    </w:pPr>
    <w:rPr>
      <w:sz w:val="18"/>
      <w:szCs w:val="18"/>
    </w:rPr>
  </w:style>
  <w:style w:type="paragraph" w:styleId="a7">
    <w:name w:val="Balloon Text"/>
    <w:basedOn w:val="a"/>
    <w:link w:val="a6"/>
    <w:rPr>
      <w:sz w:val="18"/>
      <w:szCs w:val="18"/>
    </w:rPr>
  </w:style>
  <w:style w:type="paragraph" w:styleId="ac">
    <w:name w:val="Body Text"/>
    <w:basedOn w:val="a"/>
    <w:link w:val="20"/>
    <w:uiPriority w:val="1"/>
    <w:qFormat/>
    <w:rPr>
      <w:rFonts w:ascii="宋体" w:hAnsi="宋体" w:cs="宋体"/>
      <w:szCs w:val="21"/>
      <w:lang w:val="zh-CN" w:bidi="zh-CN"/>
    </w:rPr>
  </w:style>
  <w:style w:type="paragraph" w:styleId="ad">
    <w:name w:val="List Paragraph"/>
    <w:basedOn w:val="a"/>
    <w:uiPriority w:val="34"/>
    <w:qFormat/>
    <w:pPr>
      <w:autoSpaceDE w:val="0"/>
      <w:autoSpaceDN w:val="0"/>
      <w:ind w:left="762" w:hanging="526"/>
      <w:jc w:val="left"/>
    </w:pPr>
    <w:rPr>
      <w:rFonts w:ascii="黑体" w:eastAsia="黑体" w:hAnsi="黑体" w:cs="黑体"/>
      <w:kern w:val="0"/>
      <w:sz w:val="22"/>
      <w:szCs w:val="22"/>
      <w:lang w:val="zh-CN" w:bidi="zh-CN"/>
    </w:rPr>
  </w:style>
  <w:style w:type="paragraph" w:customStyle="1" w:styleId="TableParagraph">
    <w:name w:val="Table Paragraph"/>
    <w:basedOn w:val="a"/>
    <w:uiPriority w:val="1"/>
    <w:qFormat/>
    <w:rPr>
      <w:rFonts w:ascii="宋体" w:hAnsi="宋体" w:cs="宋体"/>
      <w:lang w:val="zh-CN" w:bidi="zh-CN"/>
    </w:rPr>
  </w:style>
  <w:style w:type="table" w:styleId="ae">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正文文本 字符2"/>
    <w:link w:val="ac"/>
    <w:uiPriority w:val="1"/>
    <w:qFormat/>
    <w:rsid w:val="003772BA"/>
    <w:rPr>
      <w:rFonts w:ascii="宋体" w:hAnsi="宋体" w:cs="宋体"/>
      <w:kern w:val="2"/>
      <w:sz w:val="21"/>
      <w:szCs w:val="21"/>
      <w:lang w:val="zh-CN" w:bidi="zh-CN"/>
    </w:rPr>
  </w:style>
  <w:style w:type="character" w:styleId="af">
    <w:name w:val="page number"/>
    <w:rsid w:val="007B3A4B"/>
  </w:style>
  <w:style w:type="paragraph" w:customStyle="1" w:styleId="af0">
    <w:name w:val="前言标题"/>
    <w:basedOn w:val="a"/>
    <w:next w:val="a"/>
    <w:rsid w:val="007B3A4B"/>
    <w:pPr>
      <w:widowControl/>
      <w:spacing w:before="440" w:after="460" w:line="360" w:lineRule="auto"/>
      <w:jc w:val="center"/>
      <w:outlineLvl w:val="0"/>
    </w:pPr>
    <w:rPr>
      <w:rFonts w:ascii="黑体" w:eastAsia="黑体" w:hint="eastAsia"/>
      <w:kern w:val="0"/>
      <w:sz w:val="32"/>
      <w:szCs w:val="20"/>
    </w:rPr>
  </w:style>
  <w:style w:type="paragraph" w:customStyle="1" w:styleId="af1">
    <w:name w:val="文献分类号"/>
    <w:rsid w:val="007B3A4B"/>
    <w:pPr>
      <w:widowControl w:val="0"/>
      <w:textAlignment w:val="center"/>
    </w:pPr>
    <w:rPr>
      <w:rFonts w:ascii="黑体" w:eastAsia="黑体"/>
      <w:sz w:val="21"/>
      <w:szCs w:val="21"/>
    </w:rPr>
  </w:style>
  <w:style w:type="paragraph" w:customStyle="1" w:styleId="11">
    <w:name w:val="列出段落1"/>
    <w:basedOn w:val="a"/>
    <w:uiPriority w:val="1"/>
    <w:qFormat/>
    <w:rsid w:val="00133E0E"/>
    <w:pPr>
      <w:autoSpaceDE w:val="0"/>
      <w:autoSpaceDN w:val="0"/>
      <w:ind w:left="762" w:hanging="526"/>
      <w:jc w:val="left"/>
    </w:pPr>
    <w:rPr>
      <w:rFonts w:ascii="黑体" w:eastAsia="黑体" w:hAnsi="黑体" w:cs="黑体"/>
      <w:kern w:val="0"/>
      <w:sz w:val="22"/>
      <w:szCs w:val="22"/>
      <w:lang w:val="zh-CN" w:bidi="zh-CN"/>
    </w:rPr>
  </w:style>
  <w:style w:type="character" w:customStyle="1" w:styleId="af2">
    <w:name w:val="正文文本 字符"/>
    <w:uiPriority w:val="1"/>
    <w:rsid w:val="007D1F2D"/>
    <w:rPr>
      <w:rFonts w:ascii="宋体" w:hAnsi="宋体" w:cs="宋体"/>
      <w:kern w:val="2"/>
      <w:sz w:val="21"/>
      <w:szCs w:val="21"/>
      <w:lang w:val="zh-CN" w:bidi="zh-CN"/>
    </w:rPr>
  </w:style>
  <w:style w:type="character" w:customStyle="1" w:styleId="10">
    <w:name w:val="标题 1 字符"/>
    <w:link w:val="1"/>
    <w:rsid w:val="00FD70FE"/>
    <w:rPr>
      <w:b/>
      <w:bCs/>
      <w:kern w:val="44"/>
      <w:sz w:val="44"/>
      <w:szCs w:val="44"/>
    </w:rPr>
  </w:style>
  <w:style w:type="paragraph" w:styleId="TOC">
    <w:name w:val="TOC Heading"/>
    <w:basedOn w:val="1"/>
    <w:next w:val="a"/>
    <w:uiPriority w:val="39"/>
    <w:unhideWhenUsed/>
    <w:qFormat/>
    <w:rsid w:val="00FD70FE"/>
    <w:pPr>
      <w:widowControl/>
      <w:spacing w:before="480" w:after="0" w:line="276" w:lineRule="auto"/>
      <w:jc w:val="left"/>
      <w:outlineLvl w:val="9"/>
    </w:pPr>
    <w:rPr>
      <w:rFonts w:ascii="等线 Light" w:eastAsia="等线 Light" w:hAnsi="等线 Light"/>
      <w:color w:val="2E74B5"/>
      <w:kern w:val="0"/>
      <w:sz w:val="28"/>
      <w:szCs w:val="28"/>
    </w:rPr>
  </w:style>
  <w:style w:type="paragraph" w:styleId="21">
    <w:name w:val="toc 2"/>
    <w:basedOn w:val="a"/>
    <w:next w:val="a"/>
    <w:autoRedefine/>
    <w:uiPriority w:val="39"/>
    <w:unhideWhenUsed/>
    <w:qFormat/>
    <w:rsid w:val="00E52993"/>
    <w:pPr>
      <w:tabs>
        <w:tab w:val="left" w:pos="709"/>
        <w:tab w:val="right" w:leader="dot" w:pos="8364"/>
      </w:tabs>
      <w:spacing w:afterLines="50" w:after="120" w:line="360" w:lineRule="exact"/>
      <w:ind w:left="210"/>
      <w:jc w:val="center"/>
    </w:pPr>
    <w:rPr>
      <w:rFonts w:eastAsia="黑体"/>
      <w:bCs/>
      <w:smallCaps/>
      <w:sz w:val="32"/>
      <w:szCs w:val="32"/>
    </w:rPr>
  </w:style>
  <w:style w:type="paragraph" w:styleId="12">
    <w:name w:val="toc 1"/>
    <w:basedOn w:val="a"/>
    <w:next w:val="a"/>
    <w:autoRedefine/>
    <w:uiPriority w:val="39"/>
    <w:unhideWhenUsed/>
    <w:qFormat/>
    <w:rsid w:val="00E52993"/>
    <w:pPr>
      <w:widowControl/>
      <w:tabs>
        <w:tab w:val="left" w:pos="440"/>
        <w:tab w:val="right" w:leader="dot" w:pos="10020"/>
      </w:tabs>
      <w:spacing w:after="100" w:line="276" w:lineRule="auto"/>
      <w:jc w:val="left"/>
    </w:pPr>
    <w:rPr>
      <w:rFonts w:ascii="黑体" w:eastAsia="黑体" w:hAnsi="黑体" w:cs="方正仿宋_GBK"/>
      <w:noProof/>
      <w:kern w:val="0"/>
      <w:sz w:val="20"/>
      <w:szCs w:val="20"/>
      <w:lang w:bidi="zh-CN"/>
    </w:rPr>
  </w:style>
  <w:style w:type="paragraph" w:styleId="31">
    <w:name w:val="toc 3"/>
    <w:basedOn w:val="a"/>
    <w:next w:val="a"/>
    <w:autoRedefine/>
    <w:uiPriority w:val="39"/>
    <w:unhideWhenUsed/>
    <w:qFormat/>
    <w:rsid w:val="00FD70FE"/>
    <w:pPr>
      <w:widowControl/>
      <w:spacing w:after="100" w:line="276" w:lineRule="auto"/>
      <w:ind w:left="440"/>
      <w:jc w:val="left"/>
    </w:pPr>
    <w:rPr>
      <w:rFonts w:ascii="等线" w:eastAsia="等线" w:hAnsi="等线"/>
      <w:kern w:val="0"/>
      <w:sz w:val="22"/>
      <w:szCs w:val="22"/>
    </w:rPr>
  </w:style>
  <w:style w:type="paragraph" w:styleId="af3">
    <w:name w:val="Title"/>
    <w:basedOn w:val="a"/>
    <w:next w:val="a"/>
    <w:link w:val="af4"/>
    <w:qFormat/>
    <w:rsid w:val="00FD70FE"/>
    <w:pPr>
      <w:spacing w:before="240" w:after="60"/>
      <w:jc w:val="center"/>
      <w:outlineLvl w:val="0"/>
    </w:pPr>
    <w:rPr>
      <w:rFonts w:ascii="等线 Light" w:hAnsi="等线 Light"/>
      <w:b/>
      <w:bCs/>
      <w:sz w:val="32"/>
      <w:szCs w:val="32"/>
    </w:rPr>
  </w:style>
  <w:style w:type="character" w:customStyle="1" w:styleId="af4">
    <w:name w:val="标题 字符"/>
    <w:link w:val="af3"/>
    <w:rsid w:val="00FD70FE"/>
    <w:rPr>
      <w:rFonts w:ascii="等线 Light" w:hAnsi="等线 Light" w:cs="Times New Roman"/>
      <w:b/>
      <w:bCs/>
      <w:kern w:val="2"/>
      <w:sz w:val="32"/>
      <w:szCs w:val="32"/>
    </w:rPr>
  </w:style>
  <w:style w:type="character" w:styleId="af5">
    <w:name w:val="Hyperlink"/>
    <w:uiPriority w:val="99"/>
    <w:unhideWhenUsed/>
    <w:rsid w:val="00EF2A10"/>
    <w:rPr>
      <w:color w:val="0563C1"/>
      <w:u w:val="single"/>
    </w:rPr>
  </w:style>
  <w:style w:type="paragraph" w:styleId="af6">
    <w:name w:val="Date"/>
    <w:basedOn w:val="a"/>
    <w:next w:val="a"/>
    <w:link w:val="af7"/>
    <w:rsid w:val="001A0458"/>
    <w:pPr>
      <w:ind w:leftChars="2500" w:left="100"/>
    </w:pPr>
  </w:style>
  <w:style w:type="character" w:customStyle="1" w:styleId="af7">
    <w:name w:val="日期 字符"/>
    <w:link w:val="af6"/>
    <w:rsid w:val="001A0458"/>
    <w:rPr>
      <w:kern w:val="2"/>
      <w:sz w:val="21"/>
      <w:szCs w:val="24"/>
    </w:rPr>
  </w:style>
  <w:style w:type="paragraph" w:styleId="af8">
    <w:name w:val="No Spacing"/>
    <w:link w:val="af9"/>
    <w:uiPriority w:val="1"/>
    <w:qFormat/>
    <w:rsid w:val="00F27C91"/>
    <w:pPr>
      <w:widowControl w:val="0"/>
      <w:spacing w:line="360" w:lineRule="auto"/>
      <w:jc w:val="both"/>
    </w:pPr>
    <w:rPr>
      <w:kern w:val="2"/>
      <w:sz w:val="21"/>
      <w:szCs w:val="21"/>
    </w:rPr>
  </w:style>
  <w:style w:type="character" w:customStyle="1" w:styleId="30">
    <w:name w:val="标题 3 字符"/>
    <w:link w:val="3"/>
    <w:semiHidden/>
    <w:rsid w:val="00DE25F3"/>
    <w:rPr>
      <w:b/>
      <w:bCs/>
      <w:kern w:val="2"/>
      <w:sz w:val="32"/>
      <w:szCs w:val="32"/>
    </w:rPr>
  </w:style>
  <w:style w:type="paragraph" w:styleId="afa">
    <w:name w:val="Subtitle"/>
    <w:basedOn w:val="a"/>
    <w:next w:val="a"/>
    <w:link w:val="afb"/>
    <w:qFormat/>
    <w:rsid w:val="0003023A"/>
    <w:pPr>
      <w:spacing w:before="240" w:after="60" w:line="312" w:lineRule="auto"/>
      <w:jc w:val="center"/>
      <w:outlineLvl w:val="1"/>
    </w:pPr>
    <w:rPr>
      <w:rFonts w:ascii="等线 Light" w:hAnsi="等线 Light"/>
      <w:b/>
      <w:bCs/>
      <w:kern w:val="28"/>
      <w:sz w:val="32"/>
      <w:szCs w:val="32"/>
    </w:rPr>
  </w:style>
  <w:style w:type="character" w:customStyle="1" w:styleId="afb">
    <w:name w:val="副标题 字符"/>
    <w:link w:val="afa"/>
    <w:rsid w:val="0003023A"/>
    <w:rPr>
      <w:rFonts w:ascii="等线 Light" w:hAnsi="等线 Light" w:cs="Times New Roman"/>
      <w:b/>
      <w:bCs/>
      <w:kern w:val="28"/>
      <w:sz w:val="32"/>
      <w:szCs w:val="32"/>
    </w:rPr>
  </w:style>
  <w:style w:type="character" w:customStyle="1" w:styleId="13">
    <w:name w:val="正文文本 字符1"/>
    <w:uiPriority w:val="1"/>
    <w:qFormat/>
    <w:rsid w:val="009D1D9A"/>
    <w:rPr>
      <w:rFonts w:ascii="宋体" w:eastAsia="宋体" w:hAnsi="宋体" w:cs="宋体"/>
      <w:szCs w:val="21"/>
      <w:lang w:val="zh-CN" w:bidi="zh-CN"/>
    </w:rPr>
  </w:style>
  <w:style w:type="paragraph" w:customStyle="1" w:styleId="afc">
    <w:name w:val="封面正文"/>
    <w:qFormat/>
    <w:rsid w:val="00E52993"/>
    <w:pPr>
      <w:jc w:val="both"/>
    </w:pPr>
  </w:style>
  <w:style w:type="character" w:styleId="afd">
    <w:name w:val="Strong"/>
    <w:uiPriority w:val="22"/>
    <w:qFormat/>
    <w:rsid w:val="00DA1DEA"/>
    <w:rPr>
      <w:rFonts w:eastAsia="宋体"/>
      <w:b/>
      <w:bCs/>
      <w:sz w:val="24"/>
    </w:rPr>
  </w:style>
  <w:style w:type="character" w:customStyle="1" w:styleId="fontstyle01">
    <w:name w:val="fontstyle01"/>
    <w:basedOn w:val="a0"/>
    <w:rsid w:val="00C94712"/>
    <w:rPr>
      <w:rFonts w:ascii="宋体" w:eastAsia="宋体" w:hAnsi="宋体" w:hint="eastAsia"/>
      <w:b w:val="0"/>
      <w:bCs w:val="0"/>
      <w:i w:val="0"/>
      <w:iCs w:val="0"/>
      <w:color w:val="000000"/>
      <w:sz w:val="24"/>
      <w:szCs w:val="24"/>
    </w:rPr>
  </w:style>
  <w:style w:type="character" w:customStyle="1" w:styleId="fontstyle11">
    <w:name w:val="fontstyle11"/>
    <w:basedOn w:val="a0"/>
    <w:rsid w:val="00C94712"/>
    <w:rPr>
      <w:rFonts w:ascii="Times New Roman" w:hAnsi="Times New Roman" w:cs="Times New Roman" w:hint="default"/>
      <w:b w:val="0"/>
      <w:bCs w:val="0"/>
      <w:i w:val="0"/>
      <w:iCs w:val="0"/>
      <w:color w:val="000000"/>
      <w:sz w:val="24"/>
      <w:szCs w:val="24"/>
    </w:rPr>
  </w:style>
  <w:style w:type="character" w:customStyle="1" w:styleId="Char">
    <w:name w:val="段 Char"/>
    <w:link w:val="afe"/>
    <w:uiPriority w:val="99"/>
    <w:rsid w:val="004C50A3"/>
    <w:rPr>
      <w:rFonts w:ascii="宋体"/>
    </w:rPr>
  </w:style>
  <w:style w:type="paragraph" w:customStyle="1" w:styleId="afe">
    <w:name w:val="段"/>
    <w:link w:val="Char"/>
    <w:uiPriority w:val="99"/>
    <w:rsid w:val="004C50A3"/>
    <w:pPr>
      <w:tabs>
        <w:tab w:val="center" w:pos="4201"/>
        <w:tab w:val="right" w:leader="dot" w:pos="9298"/>
      </w:tabs>
      <w:autoSpaceDE w:val="0"/>
      <w:autoSpaceDN w:val="0"/>
      <w:ind w:firstLineChars="200" w:firstLine="420"/>
      <w:jc w:val="both"/>
    </w:pPr>
    <w:rPr>
      <w:rFonts w:ascii="宋体"/>
    </w:rPr>
  </w:style>
  <w:style w:type="paragraph" w:styleId="aff">
    <w:name w:val="Revision"/>
    <w:hidden/>
    <w:uiPriority w:val="99"/>
    <w:unhideWhenUsed/>
    <w:rsid w:val="00937D32"/>
    <w:rPr>
      <w:kern w:val="2"/>
      <w:sz w:val="21"/>
      <w:szCs w:val="24"/>
    </w:rPr>
  </w:style>
  <w:style w:type="paragraph" w:customStyle="1" w:styleId="EndNoteBibliographyTitle">
    <w:name w:val="EndNote Bibliography Title"/>
    <w:basedOn w:val="a"/>
    <w:link w:val="EndNoteBibliographyTitle0"/>
    <w:rsid w:val="00100E07"/>
    <w:pPr>
      <w:jc w:val="center"/>
    </w:pPr>
    <w:rPr>
      <w:rFonts w:ascii="黑体" w:eastAsia="黑体" w:hAnsi="黑体"/>
      <w:noProof/>
      <w:sz w:val="22"/>
    </w:rPr>
  </w:style>
  <w:style w:type="character" w:customStyle="1" w:styleId="af9">
    <w:name w:val="无间隔 字符"/>
    <w:basedOn w:val="a0"/>
    <w:link w:val="af8"/>
    <w:uiPriority w:val="1"/>
    <w:rsid w:val="00100E07"/>
    <w:rPr>
      <w:kern w:val="2"/>
      <w:sz w:val="21"/>
      <w:szCs w:val="21"/>
    </w:rPr>
  </w:style>
  <w:style w:type="character" w:customStyle="1" w:styleId="EndNoteBibliographyTitle0">
    <w:name w:val="EndNote Bibliography Title 字符"/>
    <w:basedOn w:val="af9"/>
    <w:link w:val="EndNoteBibliographyTitle"/>
    <w:rsid w:val="00100E07"/>
    <w:rPr>
      <w:rFonts w:ascii="黑体" w:eastAsia="黑体" w:hAnsi="黑体"/>
      <w:noProof/>
      <w:kern w:val="2"/>
      <w:sz w:val="22"/>
      <w:szCs w:val="24"/>
    </w:rPr>
  </w:style>
  <w:style w:type="paragraph" w:customStyle="1" w:styleId="EndNoteBibliography">
    <w:name w:val="EndNote Bibliography"/>
    <w:basedOn w:val="a"/>
    <w:link w:val="EndNoteBibliography0"/>
    <w:rsid w:val="00100E07"/>
    <w:pPr>
      <w:jc w:val="left"/>
    </w:pPr>
    <w:rPr>
      <w:rFonts w:ascii="黑体" w:eastAsia="黑体" w:hAnsi="黑体"/>
      <w:noProof/>
      <w:sz w:val="22"/>
    </w:rPr>
  </w:style>
  <w:style w:type="character" w:customStyle="1" w:styleId="EndNoteBibliography0">
    <w:name w:val="EndNote Bibliography 字符"/>
    <w:basedOn w:val="af9"/>
    <w:link w:val="EndNoteBibliography"/>
    <w:rsid w:val="00100E07"/>
    <w:rPr>
      <w:rFonts w:ascii="黑体" w:eastAsia="黑体" w:hAnsi="黑体"/>
      <w:noProof/>
      <w:kern w:val="2"/>
      <w:sz w:val="22"/>
      <w:szCs w:val="24"/>
    </w:rPr>
  </w:style>
  <w:style w:type="character" w:customStyle="1" w:styleId="14">
    <w:name w:val="未处理的提及1"/>
    <w:basedOn w:val="a0"/>
    <w:uiPriority w:val="99"/>
    <w:semiHidden/>
    <w:unhideWhenUsed/>
    <w:rsid w:val="00100E07"/>
    <w:rPr>
      <w:color w:val="605E5C"/>
      <w:shd w:val="clear" w:color="auto" w:fill="E1DFDD"/>
    </w:rPr>
  </w:style>
  <w:style w:type="character" w:styleId="aff0">
    <w:name w:val="annotation reference"/>
    <w:qFormat/>
    <w:rsid w:val="00F27FEF"/>
    <w:rPr>
      <w:sz w:val="21"/>
      <w:szCs w:val="21"/>
    </w:rPr>
  </w:style>
  <w:style w:type="character" w:customStyle="1" w:styleId="ab">
    <w:name w:val="批注文字 字符"/>
    <w:link w:val="aa"/>
    <w:qFormat/>
    <w:rsid w:val="00F27FEF"/>
    <w:rPr>
      <w:kern w:val="2"/>
      <w:sz w:val="21"/>
      <w:szCs w:val="24"/>
    </w:rPr>
  </w:style>
  <w:style w:type="paragraph" w:styleId="aff1">
    <w:name w:val="Normal (Web)"/>
    <w:basedOn w:val="a"/>
    <w:link w:val="aff2"/>
    <w:uiPriority w:val="99"/>
    <w:unhideWhenUsed/>
    <w:qFormat/>
    <w:rsid w:val="00F27FEF"/>
    <w:pPr>
      <w:widowControl/>
      <w:spacing w:before="100" w:beforeAutospacing="1" w:after="100" w:afterAutospacing="1"/>
      <w:jc w:val="left"/>
    </w:pPr>
    <w:rPr>
      <w:rFonts w:ascii="宋体" w:hAnsi="宋体" w:cs="宋体"/>
      <w:kern w:val="0"/>
      <w:sz w:val="24"/>
    </w:rPr>
  </w:style>
  <w:style w:type="paragraph" w:customStyle="1" w:styleId="aff3">
    <w:name w:val="论文正文"/>
    <w:basedOn w:val="a"/>
    <w:link w:val="aff4"/>
    <w:qFormat/>
    <w:rsid w:val="00E53733"/>
    <w:pPr>
      <w:spacing w:line="360" w:lineRule="auto"/>
      <w:ind w:firstLineChars="200" w:firstLine="200"/>
    </w:pPr>
    <w:rPr>
      <w:rFonts w:cstheme="minorBidi"/>
      <w:color w:val="000000" w:themeColor="text1"/>
      <w:sz w:val="24"/>
    </w:rPr>
  </w:style>
  <w:style w:type="character" w:customStyle="1" w:styleId="aff4">
    <w:name w:val="论文正文 字符"/>
    <w:basedOn w:val="a0"/>
    <w:link w:val="aff3"/>
    <w:rsid w:val="00E53733"/>
    <w:rPr>
      <w:rFonts w:cstheme="minorBidi"/>
      <w:color w:val="000000" w:themeColor="text1"/>
      <w:kern w:val="2"/>
      <w:sz w:val="24"/>
      <w:szCs w:val="24"/>
    </w:rPr>
  </w:style>
  <w:style w:type="paragraph" w:customStyle="1" w:styleId="aff5">
    <w:name w:val="论文图注"/>
    <w:basedOn w:val="a"/>
    <w:link w:val="aff6"/>
    <w:qFormat/>
    <w:rsid w:val="00E53733"/>
    <w:pPr>
      <w:widowControl/>
      <w:spacing w:line="360" w:lineRule="auto"/>
      <w:jc w:val="center"/>
    </w:pPr>
    <w:rPr>
      <w:rFonts w:eastAsia="黑体" w:cstheme="minorBidi"/>
      <w:color w:val="000000" w:themeColor="text1"/>
      <w:sz w:val="24"/>
      <w:szCs w:val="21"/>
    </w:rPr>
  </w:style>
  <w:style w:type="character" w:customStyle="1" w:styleId="aff6">
    <w:name w:val="论文图注 字符"/>
    <w:basedOn w:val="a0"/>
    <w:link w:val="aff5"/>
    <w:rsid w:val="00E53733"/>
    <w:rPr>
      <w:rFonts w:eastAsia="黑体" w:cstheme="minorBidi"/>
      <w:color w:val="000000" w:themeColor="text1"/>
      <w:kern w:val="2"/>
      <w:sz w:val="24"/>
      <w:szCs w:val="21"/>
    </w:rPr>
  </w:style>
  <w:style w:type="character" w:customStyle="1" w:styleId="fontstyle21">
    <w:name w:val="fontstyle21"/>
    <w:basedOn w:val="a0"/>
    <w:rsid w:val="00CA20CF"/>
    <w:rPr>
      <w:rFonts w:ascii="TimesNewRomanPSMT" w:hAnsi="TimesNewRomanPSMT" w:hint="default"/>
      <w:b w:val="0"/>
      <w:bCs w:val="0"/>
      <w:i w:val="0"/>
      <w:iCs w:val="0"/>
      <w:color w:val="000000"/>
      <w:sz w:val="22"/>
      <w:szCs w:val="22"/>
    </w:rPr>
  </w:style>
  <w:style w:type="paragraph" w:customStyle="1" w:styleId="Style7">
    <w:name w:val="_Style 7"/>
    <w:basedOn w:val="a"/>
    <w:rsid w:val="007D6754"/>
  </w:style>
  <w:style w:type="paragraph" w:styleId="aff7">
    <w:name w:val="annotation subject"/>
    <w:basedOn w:val="aa"/>
    <w:next w:val="aa"/>
    <w:link w:val="aff8"/>
    <w:rsid w:val="003165F7"/>
    <w:rPr>
      <w:b/>
      <w:bCs/>
    </w:rPr>
  </w:style>
  <w:style w:type="character" w:customStyle="1" w:styleId="aff8">
    <w:name w:val="批注主题 字符"/>
    <w:basedOn w:val="ab"/>
    <w:link w:val="aff7"/>
    <w:rsid w:val="003165F7"/>
    <w:rPr>
      <w:b/>
      <w:bCs/>
      <w:kern w:val="2"/>
      <w:sz w:val="21"/>
      <w:szCs w:val="24"/>
    </w:rPr>
  </w:style>
  <w:style w:type="character" w:customStyle="1" w:styleId="aff2">
    <w:name w:val="普通(网站) 字符"/>
    <w:basedOn w:val="a0"/>
    <w:link w:val="aff1"/>
    <w:uiPriority w:val="99"/>
    <w:rsid w:val="00D25545"/>
    <w:rPr>
      <w:rFonts w:ascii="宋体" w:hAnsi="宋体" w:cs="宋体"/>
      <w:sz w:val="24"/>
      <w:szCs w:val="24"/>
    </w:rPr>
  </w:style>
  <w:style w:type="paragraph" w:customStyle="1" w:styleId="isselectedend">
    <w:name w:val="isselectedend"/>
    <w:basedOn w:val="a"/>
    <w:rsid w:val="00C93F4F"/>
    <w:pPr>
      <w:widowControl/>
      <w:spacing w:before="100" w:beforeAutospacing="1" w:after="100" w:afterAutospacing="1"/>
      <w:jc w:val="left"/>
    </w:pPr>
    <w:rPr>
      <w:rFonts w:ascii="宋体" w:hAnsi="宋体" w:cs="宋体"/>
      <w:kern w:val="0"/>
      <w:sz w:val="24"/>
    </w:rPr>
  </w:style>
  <w:style w:type="paragraph" w:customStyle="1" w:styleId="pdq2pgselectionanchorcontainer">
    <w:name w:val="pdq2pg_selectionanchorcontainer"/>
    <w:basedOn w:val="a"/>
    <w:rsid w:val="001364FF"/>
    <w:pPr>
      <w:widowControl/>
      <w:spacing w:before="100" w:beforeAutospacing="1" w:after="100" w:afterAutospacing="1"/>
      <w:jc w:val="left"/>
    </w:pPr>
    <w:rPr>
      <w:rFonts w:ascii="宋体" w:hAnsi="宋体" w:cs="宋体"/>
      <w:kern w:val="0"/>
      <w:sz w:val="24"/>
    </w:rPr>
  </w:style>
  <w:style w:type="character" w:customStyle="1" w:styleId="katex-mathml">
    <w:name w:val="katex-mathml"/>
    <w:basedOn w:val="a0"/>
    <w:rsid w:val="001F2DD5"/>
  </w:style>
  <w:style w:type="character" w:customStyle="1" w:styleId="mord">
    <w:name w:val="mord"/>
    <w:basedOn w:val="a0"/>
    <w:rsid w:val="001F2DD5"/>
  </w:style>
  <w:style w:type="character" w:customStyle="1" w:styleId="mopen">
    <w:name w:val="mopen"/>
    <w:basedOn w:val="a0"/>
    <w:rsid w:val="001F2DD5"/>
  </w:style>
  <w:style w:type="character" w:customStyle="1" w:styleId="mclose">
    <w:name w:val="mclose"/>
    <w:basedOn w:val="a0"/>
    <w:rsid w:val="001F2DD5"/>
  </w:style>
  <w:style w:type="character" w:customStyle="1" w:styleId="mrel">
    <w:name w:val="mrel"/>
    <w:basedOn w:val="a0"/>
    <w:rsid w:val="001F2DD5"/>
  </w:style>
  <w:style w:type="character" w:customStyle="1" w:styleId="vlist-s">
    <w:name w:val="vlist-s"/>
    <w:basedOn w:val="a0"/>
    <w:rsid w:val="001F2DD5"/>
  </w:style>
  <w:style w:type="character" w:customStyle="1" w:styleId="mbin">
    <w:name w:val="mbin"/>
    <w:basedOn w:val="a0"/>
    <w:rsid w:val="001F2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4781">
      <w:bodyDiv w:val="1"/>
      <w:marLeft w:val="0"/>
      <w:marRight w:val="0"/>
      <w:marTop w:val="0"/>
      <w:marBottom w:val="0"/>
      <w:divBdr>
        <w:top w:val="none" w:sz="0" w:space="0" w:color="auto"/>
        <w:left w:val="none" w:sz="0" w:space="0" w:color="auto"/>
        <w:bottom w:val="none" w:sz="0" w:space="0" w:color="auto"/>
        <w:right w:val="none" w:sz="0" w:space="0" w:color="auto"/>
      </w:divBdr>
    </w:div>
    <w:div w:id="74713481">
      <w:bodyDiv w:val="1"/>
      <w:marLeft w:val="0"/>
      <w:marRight w:val="0"/>
      <w:marTop w:val="0"/>
      <w:marBottom w:val="0"/>
      <w:divBdr>
        <w:top w:val="none" w:sz="0" w:space="0" w:color="auto"/>
        <w:left w:val="none" w:sz="0" w:space="0" w:color="auto"/>
        <w:bottom w:val="none" w:sz="0" w:space="0" w:color="auto"/>
        <w:right w:val="none" w:sz="0" w:space="0" w:color="auto"/>
      </w:divBdr>
    </w:div>
    <w:div w:id="91049307">
      <w:bodyDiv w:val="1"/>
      <w:marLeft w:val="0"/>
      <w:marRight w:val="0"/>
      <w:marTop w:val="0"/>
      <w:marBottom w:val="0"/>
      <w:divBdr>
        <w:top w:val="none" w:sz="0" w:space="0" w:color="auto"/>
        <w:left w:val="none" w:sz="0" w:space="0" w:color="auto"/>
        <w:bottom w:val="none" w:sz="0" w:space="0" w:color="auto"/>
        <w:right w:val="none" w:sz="0" w:space="0" w:color="auto"/>
      </w:divBdr>
    </w:div>
    <w:div w:id="181281813">
      <w:bodyDiv w:val="1"/>
      <w:marLeft w:val="0"/>
      <w:marRight w:val="0"/>
      <w:marTop w:val="0"/>
      <w:marBottom w:val="0"/>
      <w:divBdr>
        <w:top w:val="none" w:sz="0" w:space="0" w:color="auto"/>
        <w:left w:val="none" w:sz="0" w:space="0" w:color="auto"/>
        <w:bottom w:val="none" w:sz="0" w:space="0" w:color="auto"/>
        <w:right w:val="none" w:sz="0" w:space="0" w:color="auto"/>
      </w:divBdr>
    </w:div>
    <w:div w:id="450167879">
      <w:bodyDiv w:val="1"/>
      <w:marLeft w:val="0"/>
      <w:marRight w:val="0"/>
      <w:marTop w:val="0"/>
      <w:marBottom w:val="0"/>
      <w:divBdr>
        <w:top w:val="none" w:sz="0" w:space="0" w:color="auto"/>
        <w:left w:val="none" w:sz="0" w:space="0" w:color="auto"/>
        <w:bottom w:val="none" w:sz="0" w:space="0" w:color="auto"/>
        <w:right w:val="none" w:sz="0" w:space="0" w:color="auto"/>
      </w:divBdr>
    </w:div>
    <w:div w:id="623850315">
      <w:bodyDiv w:val="1"/>
      <w:marLeft w:val="0"/>
      <w:marRight w:val="0"/>
      <w:marTop w:val="0"/>
      <w:marBottom w:val="0"/>
      <w:divBdr>
        <w:top w:val="none" w:sz="0" w:space="0" w:color="auto"/>
        <w:left w:val="none" w:sz="0" w:space="0" w:color="auto"/>
        <w:bottom w:val="none" w:sz="0" w:space="0" w:color="auto"/>
        <w:right w:val="none" w:sz="0" w:space="0" w:color="auto"/>
      </w:divBdr>
    </w:div>
    <w:div w:id="639261179">
      <w:bodyDiv w:val="1"/>
      <w:marLeft w:val="0"/>
      <w:marRight w:val="0"/>
      <w:marTop w:val="0"/>
      <w:marBottom w:val="0"/>
      <w:divBdr>
        <w:top w:val="none" w:sz="0" w:space="0" w:color="auto"/>
        <w:left w:val="none" w:sz="0" w:space="0" w:color="auto"/>
        <w:bottom w:val="none" w:sz="0" w:space="0" w:color="auto"/>
        <w:right w:val="none" w:sz="0" w:space="0" w:color="auto"/>
      </w:divBdr>
    </w:div>
    <w:div w:id="746414831">
      <w:bodyDiv w:val="1"/>
      <w:marLeft w:val="0"/>
      <w:marRight w:val="0"/>
      <w:marTop w:val="0"/>
      <w:marBottom w:val="0"/>
      <w:divBdr>
        <w:top w:val="none" w:sz="0" w:space="0" w:color="auto"/>
        <w:left w:val="none" w:sz="0" w:space="0" w:color="auto"/>
        <w:bottom w:val="none" w:sz="0" w:space="0" w:color="auto"/>
        <w:right w:val="none" w:sz="0" w:space="0" w:color="auto"/>
      </w:divBdr>
    </w:div>
    <w:div w:id="751044000">
      <w:bodyDiv w:val="1"/>
      <w:marLeft w:val="0"/>
      <w:marRight w:val="0"/>
      <w:marTop w:val="0"/>
      <w:marBottom w:val="0"/>
      <w:divBdr>
        <w:top w:val="none" w:sz="0" w:space="0" w:color="auto"/>
        <w:left w:val="none" w:sz="0" w:space="0" w:color="auto"/>
        <w:bottom w:val="none" w:sz="0" w:space="0" w:color="auto"/>
        <w:right w:val="none" w:sz="0" w:space="0" w:color="auto"/>
      </w:divBdr>
    </w:div>
    <w:div w:id="786779594">
      <w:bodyDiv w:val="1"/>
      <w:marLeft w:val="0"/>
      <w:marRight w:val="0"/>
      <w:marTop w:val="0"/>
      <w:marBottom w:val="0"/>
      <w:divBdr>
        <w:top w:val="none" w:sz="0" w:space="0" w:color="auto"/>
        <w:left w:val="none" w:sz="0" w:space="0" w:color="auto"/>
        <w:bottom w:val="none" w:sz="0" w:space="0" w:color="auto"/>
        <w:right w:val="none" w:sz="0" w:space="0" w:color="auto"/>
      </w:divBdr>
    </w:div>
    <w:div w:id="822088909">
      <w:bodyDiv w:val="1"/>
      <w:marLeft w:val="0"/>
      <w:marRight w:val="0"/>
      <w:marTop w:val="0"/>
      <w:marBottom w:val="0"/>
      <w:divBdr>
        <w:top w:val="none" w:sz="0" w:space="0" w:color="auto"/>
        <w:left w:val="none" w:sz="0" w:space="0" w:color="auto"/>
        <w:bottom w:val="none" w:sz="0" w:space="0" w:color="auto"/>
        <w:right w:val="none" w:sz="0" w:space="0" w:color="auto"/>
      </w:divBdr>
      <w:divsChild>
        <w:div w:id="356741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9948071">
      <w:bodyDiv w:val="1"/>
      <w:marLeft w:val="0"/>
      <w:marRight w:val="0"/>
      <w:marTop w:val="0"/>
      <w:marBottom w:val="0"/>
      <w:divBdr>
        <w:top w:val="none" w:sz="0" w:space="0" w:color="auto"/>
        <w:left w:val="none" w:sz="0" w:space="0" w:color="auto"/>
        <w:bottom w:val="none" w:sz="0" w:space="0" w:color="auto"/>
        <w:right w:val="none" w:sz="0" w:space="0" w:color="auto"/>
      </w:divBdr>
    </w:div>
    <w:div w:id="873426183">
      <w:bodyDiv w:val="1"/>
      <w:marLeft w:val="0"/>
      <w:marRight w:val="0"/>
      <w:marTop w:val="0"/>
      <w:marBottom w:val="0"/>
      <w:divBdr>
        <w:top w:val="none" w:sz="0" w:space="0" w:color="auto"/>
        <w:left w:val="none" w:sz="0" w:space="0" w:color="auto"/>
        <w:bottom w:val="none" w:sz="0" w:space="0" w:color="auto"/>
        <w:right w:val="none" w:sz="0" w:space="0" w:color="auto"/>
      </w:divBdr>
    </w:div>
    <w:div w:id="899556045">
      <w:bodyDiv w:val="1"/>
      <w:marLeft w:val="0"/>
      <w:marRight w:val="0"/>
      <w:marTop w:val="0"/>
      <w:marBottom w:val="0"/>
      <w:divBdr>
        <w:top w:val="none" w:sz="0" w:space="0" w:color="auto"/>
        <w:left w:val="none" w:sz="0" w:space="0" w:color="auto"/>
        <w:bottom w:val="none" w:sz="0" w:space="0" w:color="auto"/>
        <w:right w:val="none" w:sz="0" w:space="0" w:color="auto"/>
      </w:divBdr>
    </w:div>
    <w:div w:id="951744335">
      <w:bodyDiv w:val="1"/>
      <w:marLeft w:val="0"/>
      <w:marRight w:val="0"/>
      <w:marTop w:val="0"/>
      <w:marBottom w:val="0"/>
      <w:divBdr>
        <w:top w:val="none" w:sz="0" w:space="0" w:color="auto"/>
        <w:left w:val="none" w:sz="0" w:space="0" w:color="auto"/>
        <w:bottom w:val="none" w:sz="0" w:space="0" w:color="auto"/>
        <w:right w:val="none" w:sz="0" w:space="0" w:color="auto"/>
      </w:divBdr>
      <w:divsChild>
        <w:div w:id="12240233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551514">
      <w:bodyDiv w:val="1"/>
      <w:marLeft w:val="0"/>
      <w:marRight w:val="0"/>
      <w:marTop w:val="0"/>
      <w:marBottom w:val="0"/>
      <w:divBdr>
        <w:top w:val="none" w:sz="0" w:space="0" w:color="auto"/>
        <w:left w:val="none" w:sz="0" w:space="0" w:color="auto"/>
        <w:bottom w:val="none" w:sz="0" w:space="0" w:color="auto"/>
        <w:right w:val="none" w:sz="0" w:space="0" w:color="auto"/>
      </w:divBdr>
    </w:div>
    <w:div w:id="1197232665">
      <w:bodyDiv w:val="1"/>
      <w:marLeft w:val="0"/>
      <w:marRight w:val="0"/>
      <w:marTop w:val="0"/>
      <w:marBottom w:val="0"/>
      <w:divBdr>
        <w:top w:val="none" w:sz="0" w:space="0" w:color="auto"/>
        <w:left w:val="none" w:sz="0" w:space="0" w:color="auto"/>
        <w:bottom w:val="none" w:sz="0" w:space="0" w:color="auto"/>
        <w:right w:val="none" w:sz="0" w:space="0" w:color="auto"/>
      </w:divBdr>
    </w:div>
    <w:div w:id="1199049192">
      <w:bodyDiv w:val="1"/>
      <w:marLeft w:val="0"/>
      <w:marRight w:val="0"/>
      <w:marTop w:val="0"/>
      <w:marBottom w:val="0"/>
      <w:divBdr>
        <w:top w:val="none" w:sz="0" w:space="0" w:color="auto"/>
        <w:left w:val="none" w:sz="0" w:space="0" w:color="auto"/>
        <w:bottom w:val="none" w:sz="0" w:space="0" w:color="auto"/>
        <w:right w:val="none" w:sz="0" w:space="0" w:color="auto"/>
      </w:divBdr>
    </w:div>
    <w:div w:id="1235622087">
      <w:bodyDiv w:val="1"/>
      <w:marLeft w:val="0"/>
      <w:marRight w:val="0"/>
      <w:marTop w:val="0"/>
      <w:marBottom w:val="0"/>
      <w:divBdr>
        <w:top w:val="none" w:sz="0" w:space="0" w:color="auto"/>
        <w:left w:val="none" w:sz="0" w:space="0" w:color="auto"/>
        <w:bottom w:val="none" w:sz="0" w:space="0" w:color="auto"/>
        <w:right w:val="none" w:sz="0" w:space="0" w:color="auto"/>
      </w:divBdr>
    </w:div>
    <w:div w:id="1301492858">
      <w:bodyDiv w:val="1"/>
      <w:marLeft w:val="0"/>
      <w:marRight w:val="0"/>
      <w:marTop w:val="0"/>
      <w:marBottom w:val="0"/>
      <w:divBdr>
        <w:top w:val="none" w:sz="0" w:space="0" w:color="auto"/>
        <w:left w:val="none" w:sz="0" w:space="0" w:color="auto"/>
        <w:bottom w:val="none" w:sz="0" w:space="0" w:color="auto"/>
        <w:right w:val="none" w:sz="0" w:space="0" w:color="auto"/>
      </w:divBdr>
    </w:div>
    <w:div w:id="1309433991">
      <w:bodyDiv w:val="1"/>
      <w:marLeft w:val="0"/>
      <w:marRight w:val="0"/>
      <w:marTop w:val="0"/>
      <w:marBottom w:val="0"/>
      <w:divBdr>
        <w:top w:val="none" w:sz="0" w:space="0" w:color="auto"/>
        <w:left w:val="none" w:sz="0" w:space="0" w:color="auto"/>
        <w:bottom w:val="none" w:sz="0" w:space="0" w:color="auto"/>
        <w:right w:val="none" w:sz="0" w:space="0" w:color="auto"/>
      </w:divBdr>
    </w:div>
    <w:div w:id="1425803135">
      <w:bodyDiv w:val="1"/>
      <w:marLeft w:val="0"/>
      <w:marRight w:val="0"/>
      <w:marTop w:val="0"/>
      <w:marBottom w:val="0"/>
      <w:divBdr>
        <w:top w:val="none" w:sz="0" w:space="0" w:color="auto"/>
        <w:left w:val="none" w:sz="0" w:space="0" w:color="auto"/>
        <w:bottom w:val="none" w:sz="0" w:space="0" w:color="auto"/>
        <w:right w:val="none" w:sz="0" w:space="0" w:color="auto"/>
      </w:divBdr>
    </w:div>
    <w:div w:id="1428305946">
      <w:bodyDiv w:val="1"/>
      <w:marLeft w:val="0"/>
      <w:marRight w:val="0"/>
      <w:marTop w:val="0"/>
      <w:marBottom w:val="0"/>
      <w:divBdr>
        <w:top w:val="none" w:sz="0" w:space="0" w:color="auto"/>
        <w:left w:val="none" w:sz="0" w:space="0" w:color="auto"/>
        <w:bottom w:val="none" w:sz="0" w:space="0" w:color="auto"/>
        <w:right w:val="none" w:sz="0" w:space="0" w:color="auto"/>
      </w:divBdr>
    </w:div>
    <w:div w:id="1435247802">
      <w:bodyDiv w:val="1"/>
      <w:marLeft w:val="0"/>
      <w:marRight w:val="0"/>
      <w:marTop w:val="0"/>
      <w:marBottom w:val="0"/>
      <w:divBdr>
        <w:top w:val="none" w:sz="0" w:space="0" w:color="auto"/>
        <w:left w:val="none" w:sz="0" w:space="0" w:color="auto"/>
        <w:bottom w:val="none" w:sz="0" w:space="0" w:color="auto"/>
        <w:right w:val="none" w:sz="0" w:space="0" w:color="auto"/>
      </w:divBdr>
    </w:div>
    <w:div w:id="1636789804">
      <w:bodyDiv w:val="1"/>
      <w:marLeft w:val="0"/>
      <w:marRight w:val="0"/>
      <w:marTop w:val="0"/>
      <w:marBottom w:val="0"/>
      <w:divBdr>
        <w:top w:val="none" w:sz="0" w:space="0" w:color="auto"/>
        <w:left w:val="none" w:sz="0" w:space="0" w:color="auto"/>
        <w:bottom w:val="none" w:sz="0" w:space="0" w:color="auto"/>
        <w:right w:val="none" w:sz="0" w:space="0" w:color="auto"/>
      </w:divBdr>
    </w:div>
    <w:div w:id="1704673656">
      <w:bodyDiv w:val="1"/>
      <w:marLeft w:val="0"/>
      <w:marRight w:val="0"/>
      <w:marTop w:val="0"/>
      <w:marBottom w:val="0"/>
      <w:divBdr>
        <w:top w:val="none" w:sz="0" w:space="0" w:color="auto"/>
        <w:left w:val="none" w:sz="0" w:space="0" w:color="auto"/>
        <w:bottom w:val="none" w:sz="0" w:space="0" w:color="auto"/>
        <w:right w:val="none" w:sz="0" w:space="0" w:color="auto"/>
      </w:divBdr>
    </w:div>
    <w:div w:id="1914466057">
      <w:bodyDiv w:val="1"/>
      <w:marLeft w:val="0"/>
      <w:marRight w:val="0"/>
      <w:marTop w:val="0"/>
      <w:marBottom w:val="0"/>
      <w:divBdr>
        <w:top w:val="none" w:sz="0" w:space="0" w:color="auto"/>
        <w:left w:val="none" w:sz="0" w:space="0" w:color="auto"/>
        <w:bottom w:val="none" w:sz="0" w:space="0" w:color="auto"/>
        <w:right w:val="none" w:sz="0" w:space="0" w:color="auto"/>
      </w:divBdr>
    </w:div>
    <w:div w:id="1968968177">
      <w:bodyDiv w:val="1"/>
      <w:marLeft w:val="0"/>
      <w:marRight w:val="0"/>
      <w:marTop w:val="0"/>
      <w:marBottom w:val="0"/>
      <w:divBdr>
        <w:top w:val="none" w:sz="0" w:space="0" w:color="auto"/>
        <w:left w:val="none" w:sz="0" w:space="0" w:color="auto"/>
        <w:bottom w:val="none" w:sz="0" w:space="0" w:color="auto"/>
        <w:right w:val="none" w:sz="0" w:space="0" w:color="auto"/>
      </w:divBdr>
    </w:div>
    <w:div w:id="1989437022">
      <w:bodyDiv w:val="1"/>
      <w:marLeft w:val="0"/>
      <w:marRight w:val="0"/>
      <w:marTop w:val="0"/>
      <w:marBottom w:val="0"/>
      <w:divBdr>
        <w:top w:val="none" w:sz="0" w:space="0" w:color="auto"/>
        <w:left w:val="none" w:sz="0" w:space="0" w:color="auto"/>
        <w:bottom w:val="none" w:sz="0" w:space="0" w:color="auto"/>
        <w:right w:val="none" w:sz="0" w:space="0" w:color="auto"/>
      </w:divBdr>
    </w:div>
    <w:div w:id="2024235403">
      <w:bodyDiv w:val="1"/>
      <w:marLeft w:val="0"/>
      <w:marRight w:val="0"/>
      <w:marTop w:val="0"/>
      <w:marBottom w:val="0"/>
      <w:divBdr>
        <w:top w:val="none" w:sz="0" w:space="0" w:color="auto"/>
        <w:left w:val="none" w:sz="0" w:space="0" w:color="auto"/>
        <w:bottom w:val="none" w:sz="0" w:space="0" w:color="auto"/>
        <w:right w:val="none" w:sz="0" w:space="0" w:color="auto"/>
      </w:divBdr>
    </w:div>
    <w:div w:id="2025129846">
      <w:bodyDiv w:val="1"/>
      <w:marLeft w:val="0"/>
      <w:marRight w:val="0"/>
      <w:marTop w:val="0"/>
      <w:marBottom w:val="0"/>
      <w:divBdr>
        <w:top w:val="none" w:sz="0" w:space="0" w:color="auto"/>
        <w:left w:val="none" w:sz="0" w:space="0" w:color="auto"/>
        <w:bottom w:val="none" w:sz="0" w:space="0" w:color="auto"/>
        <w:right w:val="none" w:sz="0" w:space="0" w:color="auto"/>
      </w:divBdr>
    </w:div>
    <w:div w:id="2116441101">
      <w:bodyDiv w:val="1"/>
      <w:marLeft w:val="0"/>
      <w:marRight w:val="0"/>
      <w:marTop w:val="0"/>
      <w:marBottom w:val="0"/>
      <w:divBdr>
        <w:top w:val="none" w:sz="0" w:space="0" w:color="auto"/>
        <w:left w:val="none" w:sz="0" w:space="0" w:color="auto"/>
        <w:bottom w:val="none" w:sz="0" w:space="0" w:color="auto"/>
        <w:right w:val="none" w:sz="0" w:space="0" w:color="auto"/>
      </w:divBdr>
    </w:div>
    <w:div w:id="2138180230">
      <w:bodyDiv w:val="1"/>
      <w:marLeft w:val="0"/>
      <w:marRight w:val="0"/>
      <w:marTop w:val="0"/>
      <w:marBottom w:val="0"/>
      <w:divBdr>
        <w:top w:val="none" w:sz="0" w:space="0" w:color="auto"/>
        <w:left w:val="none" w:sz="0" w:space="0" w:color="auto"/>
        <w:bottom w:val="none" w:sz="0" w:space="0" w:color="auto"/>
        <w:right w:val="none" w:sz="0" w:space="0" w:color="auto"/>
      </w:divBdr>
    </w:div>
    <w:div w:id="214257034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hyperlink" Target="http://ww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tiff"/><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48B5B-8C87-4FAB-B710-350C833F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29</Pages>
  <Words>4729</Words>
  <Characters>26961</Characters>
  <Application>Microsoft Office Word</Application>
  <DocSecurity>0</DocSecurity>
  <Lines>224</Lines>
  <Paragraphs>63</Paragraphs>
  <ScaleCrop>false</ScaleCrop>
  <Company/>
  <LinksUpToDate>false</LinksUpToDate>
  <CharactersWithSpaces>31627</CharactersWithSpaces>
  <SharedDoc>false</SharedDoc>
  <HLinks>
    <vt:vector size="102" baseType="variant">
      <vt:variant>
        <vt:i4>1245236</vt:i4>
      </vt:variant>
      <vt:variant>
        <vt:i4>98</vt:i4>
      </vt:variant>
      <vt:variant>
        <vt:i4>0</vt:i4>
      </vt:variant>
      <vt:variant>
        <vt:i4>5</vt:i4>
      </vt:variant>
      <vt:variant>
        <vt:lpwstr/>
      </vt:variant>
      <vt:variant>
        <vt:lpwstr>_Toc74662771</vt:lpwstr>
      </vt:variant>
      <vt:variant>
        <vt:i4>1179700</vt:i4>
      </vt:variant>
      <vt:variant>
        <vt:i4>92</vt:i4>
      </vt:variant>
      <vt:variant>
        <vt:i4>0</vt:i4>
      </vt:variant>
      <vt:variant>
        <vt:i4>5</vt:i4>
      </vt:variant>
      <vt:variant>
        <vt:lpwstr/>
      </vt:variant>
      <vt:variant>
        <vt:lpwstr>_Toc74662770</vt:lpwstr>
      </vt:variant>
      <vt:variant>
        <vt:i4>1769525</vt:i4>
      </vt:variant>
      <vt:variant>
        <vt:i4>86</vt:i4>
      </vt:variant>
      <vt:variant>
        <vt:i4>0</vt:i4>
      </vt:variant>
      <vt:variant>
        <vt:i4>5</vt:i4>
      </vt:variant>
      <vt:variant>
        <vt:lpwstr/>
      </vt:variant>
      <vt:variant>
        <vt:lpwstr>_Toc74662769</vt:lpwstr>
      </vt:variant>
      <vt:variant>
        <vt:i4>1703989</vt:i4>
      </vt:variant>
      <vt:variant>
        <vt:i4>80</vt:i4>
      </vt:variant>
      <vt:variant>
        <vt:i4>0</vt:i4>
      </vt:variant>
      <vt:variant>
        <vt:i4>5</vt:i4>
      </vt:variant>
      <vt:variant>
        <vt:lpwstr/>
      </vt:variant>
      <vt:variant>
        <vt:lpwstr>_Toc74662768</vt:lpwstr>
      </vt:variant>
      <vt:variant>
        <vt:i4>1376309</vt:i4>
      </vt:variant>
      <vt:variant>
        <vt:i4>74</vt:i4>
      </vt:variant>
      <vt:variant>
        <vt:i4>0</vt:i4>
      </vt:variant>
      <vt:variant>
        <vt:i4>5</vt:i4>
      </vt:variant>
      <vt:variant>
        <vt:lpwstr/>
      </vt:variant>
      <vt:variant>
        <vt:lpwstr>_Toc74662767</vt:lpwstr>
      </vt:variant>
      <vt:variant>
        <vt:i4>1310773</vt:i4>
      </vt:variant>
      <vt:variant>
        <vt:i4>68</vt:i4>
      </vt:variant>
      <vt:variant>
        <vt:i4>0</vt:i4>
      </vt:variant>
      <vt:variant>
        <vt:i4>5</vt:i4>
      </vt:variant>
      <vt:variant>
        <vt:lpwstr/>
      </vt:variant>
      <vt:variant>
        <vt:lpwstr>_Toc74662766</vt:lpwstr>
      </vt:variant>
      <vt:variant>
        <vt:i4>1507381</vt:i4>
      </vt:variant>
      <vt:variant>
        <vt:i4>62</vt:i4>
      </vt:variant>
      <vt:variant>
        <vt:i4>0</vt:i4>
      </vt:variant>
      <vt:variant>
        <vt:i4>5</vt:i4>
      </vt:variant>
      <vt:variant>
        <vt:lpwstr/>
      </vt:variant>
      <vt:variant>
        <vt:lpwstr>_Toc74662765</vt:lpwstr>
      </vt:variant>
      <vt:variant>
        <vt:i4>1441845</vt:i4>
      </vt:variant>
      <vt:variant>
        <vt:i4>56</vt:i4>
      </vt:variant>
      <vt:variant>
        <vt:i4>0</vt:i4>
      </vt:variant>
      <vt:variant>
        <vt:i4>5</vt:i4>
      </vt:variant>
      <vt:variant>
        <vt:lpwstr/>
      </vt:variant>
      <vt:variant>
        <vt:lpwstr>_Toc74662764</vt:lpwstr>
      </vt:variant>
      <vt:variant>
        <vt:i4>1114165</vt:i4>
      </vt:variant>
      <vt:variant>
        <vt:i4>50</vt:i4>
      </vt:variant>
      <vt:variant>
        <vt:i4>0</vt:i4>
      </vt:variant>
      <vt:variant>
        <vt:i4>5</vt:i4>
      </vt:variant>
      <vt:variant>
        <vt:lpwstr/>
      </vt:variant>
      <vt:variant>
        <vt:lpwstr>_Toc74662763</vt:lpwstr>
      </vt:variant>
      <vt:variant>
        <vt:i4>1048629</vt:i4>
      </vt:variant>
      <vt:variant>
        <vt:i4>44</vt:i4>
      </vt:variant>
      <vt:variant>
        <vt:i4>0</vt:i4>
      </vt:variant>
      <vt:variant>
        <vt:i4>5</vt:i4>
      </vt:variant>
      <vt:variant>
        <vt:lpwstr/>
      </vt:variant>
      <vt:variant>
        <vt:lpwstr>_Toc74662762</vt:lpwstr>
      </vt:variant>
      <vt:variant>
        <vt:i4>1245237</vt:i4>
      </vt:variant>
      <vt:variant>
        <vt:i4>38</vt:i4>
      </vt:variant>
      <vt:variant>
        <vt:i4>0</vt:i4>
      </vt:variant>
      <vt:variant>
        <vt:i4>5</vt:i4>
      </vt:variant>
      <vt:variant>
        <vt:lpwstr/>
      </vt:variant>
      <vt:variant>
        <vt:lpwstr>_Toc74662761</vt:lpwstr>
      </vt:variant>
      <vt:variant>
        <vt:i4>1179701</vt:i4>
      </vt:variant>
      <vt:variant>
        <vt:i4>32</vt:i4>
      </vt:variant>
      <vt:variant>
        <vt:i4>0</vt:i4>
      </vt:variant>
      <vt:variant>
        <vt:i4>5</vt:i4>
      </vt:variant>
      <vt:variant>
        <vt:lpwstr/>
      </vt:variant>
      <vt:variant>
        <vt:lpwstr>_Toc74662760</vt:lpwstr>
      </vt:variant>
      <vt:variant>
        <vt:i4>1769526</vt:i4>
      </vt:variant>
      <vt:variant>
        <vt:i4>26</vt:i4>
      </vt:variant>
      <vt:variant>
        <vt:i4>0</vt:i4>
      </vt:variant>
      <vt:variant>
        <vt:i4>5</vt:i4>
      </vt:variant>
      <vt:variant>
        <vt:lpwstr/>
      </vt:variant>
      <vt:variant>
        <vt:lpwstr>_Toc74662759</vt:lpwstr>
      </vt:variant>
      <vt:variant>
        <vt:i4>1703990</vt:i4>
      </vt:variant>
      <vt:variant>
        <vt:i4>20</vt:i4>
      </vt:variant>
      <vt:variant>
        <vt:i4>0</vt:i4>
      </vt:variant>
      <vt:variant>
        <vt:i4>5</vt:i4>
      </vt:variant>
      <vt:variant>
        <vt:lpwstr/>
      </vt:variant>
      <vt:variant>
        <vt:lpwstr>_Toc74662758</vt:lpwstr>
      </vt:variant>
      <vt:variant>
        <vt:i4>1376310</vt:i4>
      </vt:variant>
      <vt:variant>
        <vt:i4>14</vt:i4>
      </vt:variant>
      <vt:variant>
        <vt:i4>0</vt:i4>
      </vt:variant>
      <vt:variant>
        <vt:i4>5</vt:i4>
      </vt:variant>
      <vt:variant>
        <vt:lpwstr/>
      </vt:variant>
      <vt:variant>
        <vt:lpwstr>_Toc74662757</vt:lpwstr>
      </vt:variant>
      <vt:variant>
        <vt:i4>1310774</vt:i4>
      </vt:variant>
      <vt:variant>
        <vt:i4>8</vt:i4>
      </vt:variant>
      <vt:variant>
        <vt:i4>0</vt:i4>
      </vt:variant>
      <vt:variant>
        <vt:i4>5</vt:i4>
      </vt:variant>
      <vt:variant>
        <vt:lpwstr/>
      </vt:variant>
      <vt:variant>
        <vt:lpwstr>_Toc74662756</vt:lpwstr>
      </vt:variant>
      <vt:variant>
        <vt:i4>1507382</vt:i4>
      </vt:variant>
      <vt:variant>
        <vt:i4>2</vt:i4>
      </vt:variant>
      <vt:variant>
        <vt:i4>0</vt:i4>
      </vt:variant>
      <vt:variant>
        <vt:i4>5</vt:i4>
      </vt:variant>
      <vt:variant>
        <vt:lpwstr/>
      </vt:variant>
      <vt:variant>
        <vt:lpwstr>_Toc74662755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俞学如</dc:creator>
  <cp:keywords/>
  <cp:lastModifiedBy>Qingbin Yuan</cp:lastModifiedBy>
  <cp:revision>61</cp:revision>
  <cp:lastPrinted>2023-11-14T08:13:00Z</cp:lastPrinted>
  <dcterms:created xsi:type="dcterms:W3CDTF">2024-01-23T06:05:00Z</dcterms:created>
  <dcterms:modified xsi:type="dcterms:W3CDTF">2026-08-09T07:55:00Z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