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8E6BA">
      <w:pPr>
        <w:rPr>
          <w:rFonts w:ascii="Times New Roman" w:hAnsi="Times New Roman" w:eastAsia="宋体" w:cs="Times New Roman"/>
          <w:sz w:val="32"/>
        </w:rPr>
      </w:pPr>
    </w:p>
    <w:p w14:paraId="1789A18A">
      <w:pPr>
        <w:snapToGrid w:val="0"/>
        <w:spacing w:line="360" w:lineRule="auto"/>
        <w:rPr>
          <w:rFonts w:ascii="Times New Roman" w:hAnsi="Times New Roman" w:eastAsia="宋体" w:cs="Times New Roman"/>
          <w:sz w:val="36"/>
          <w:szCs w:val="36"/>
        </w:rPr>
      </w:pPr>
    </w:p>
    <w:p w14:paraId="4F3AE19D">
      <w:pPr>
        <w:snapToGrid w:val="0"/>
        <w:spacing w:line="360" w:lineRule="auto"/>
        <w:rPr>
          <w:rFonts w:ascii="Times New Roman" w:hAnsi="Times New Roman" w:eastAsia="宋体" w:cs="Times New Roman"/>
          <w:sz w:val="36"/>
          <w:szCs w:val="36"/>
        </w:rPr>
      </w:pPr>
    </w:p>
    <w:p w14:paraId="7C572003">
      <w:pPr>
        <w:snapToGrid w:val="0"/>
        <w:spacing w:line="360" w:lineRule="auto"/>
        <w:rPr>
          <w:rFonts w:ascii="Times New Roman" w:hAnsi="Times New Roman" w:eastAsia="宋体" w:cs="Times New Roman"/>
          <w:sz w:val="36"/>
          <w:szCs w:val="36"/>
        </w:rPr>
      </w:pPr>
    </w:p>
    <w:p w14:paraId="6C145984">
      <w:pPr>
        <w:snapToGrid w:val="0"/>
        <w:spacing w:line="360" w:lineRule="auto"/>
        <w:jc w:val="center"/>
        <w:rPr>
          <w:rFonts w:hint="eastAsia" w:ascii="黑体" w:hAnsi="黑体" w:eastAsia="黑体" w:cs="黑体"/>
          <w:sz w:val="40"/>
          <w:szCs w:val="40"/>
        </w:rPr>
      </w:pPr>
      <w:r>
        <w:rPr>
          <w:rFonts w:hint="eastAsia" w:ascii="黑体" w:hAnsi="黑体" w:eastAsia="黑体" w:cs="黑体"/>
          <w:sz w:val="40"/>
          <w:szCs w:val="40"/>
        </w:rPr>
        <w:t>《污染地块绿色低碳修复技术指南》</w:t>
      </w:r>
    </w:p>
    <w:p w14:paraId="201F8F6B">
      <w:pPr>
        <w:snapToGrid w:val="0"/>
        <w:spacing w:line="360" w:lineRule="auto"/>
        <w:jc w:val="center"/>
        <w:rPr>
          <w:rFonts w:hint="eastAsia" w:ascii="黑体" w:hAnsi="黑体" w:eastAsia="黑体" w:cs="黑体"/>
          <w:sz w:val="40"/>
          <w:szCs w:val="40"/>
        </w:rPr>
      </w:pPr>
      <w:r>
        <w:rPr>
          <w:rFonts w:hint="eastAsia" w:ascii="黑体" w:hAnsi="黑体" w:eastAsia="黑体" w:cs="黑体"/>
          <w:sz w:val="40"/>
          <w:szCs w:val="40"/>
        </w:rPr>
        <w:t>团体标准编制说明</w:t>
      </w:r>
    </w:p>
    <w:p w14:paraId="0D0920EE">
      <w:pPr>
        <w:snapToGrid w:val="0"/>
        <w:spacing w:line="360" w:lineRule="auto"/>
        <w:jc w:val="center"/>
        <w:rPr>
          <w:rFonts w:ascii="Times New Roman" w:hAnsi="Times New Roman" w:eastAsia="宋体" w:cs="Times New Roman"/>
          <w:sz w:val="44"/>
          <w:szCs w:val="44"/>
        </w:rPr>
      </w:pPr>
    </w:p>
    <w:p w14:paraId="0EB4789F">
      <w:pPr>
        <w:snapToGrid w:val="0"/>
        <w:spacing w:line="360" w:lineRule="auto"/>
        <w:jc w:val="center"/>
        <w:rPr>
          <w:rFonts w:ascii="Times New Roman" w:hAnsi="Times New Roman" w:eastAsia="宋体" w:cs="Times New Roman"/>
          <w:sz w:val="44"/>
          <w:szCs w:val="44"/>
        </w:rPr>
      </w:pPr>
    </w:p>
    <w:p w14:paraId="2CBB9293">
      <w:pPr>
        <w:snapToGrid w:val="0"/>
        <w:spacing w:line="360" w:lineRule="auto"/>
        <w:jc w:val="center"/>
        <w:rPr>
          <w:rFonts w:ascii="Times New Roman" w:hAnsi="Times New Roman" w:eastAsia="宋体" w:cs="Times New Roman"/>
          <w:sz w:val="44"/>
          <w:szCs w:val="44"/>
        </w:rPr>
      </w:pPr>
    </w:p>
    <w:p w14:paraId="310B5997">
      <w:pPr>
        <w:snapToGrid w:val="0"/>
        <w:spacing w:line="360" w:lineRule="auto"/>
        <w:jc w:val="center"/>
        <w:rPr>
          <w:rFonts w:ascii="Times New Roman" w:hAnsi="Times New Roman" w:eastAsia="宋体" w:cs="Times New Roman"/>
          <w:sz w:val="32"/>
        </w:rPr>
      </w:pPr>
    </w:p>
    <w:p w14:paraId="0B05A4EF">
      <w:pPr>
        <w:snapToGrid w:val="0"/>
        <w:spacing w:line="360" w:lineRule="auto"/>
        <w:jc w:val="center"/>
        <w:rPr>
          <w:rFonts w:ascii="Times New Roman" w:hAnsi="Times New Roman" w:eastAsia="宋体" w:cs="Times New Roman"/>
          <w:sz w:val="32"/>
        </w:rPr>
      </w:pPr>
    </w:p>
    <w:p w14:paraId="16F870D7">
      <w:pPr>
        <w:snapToGrid w:val="0"/>
        <w:spacing w:line="360" w:lineRule="auto"/>
        <w:jc w:val="center"/>
        <w:rPr>
          <w:rFonts w:ascii="Times New Roman" w:hAnsi="Times New Roman" w:eastAsia="宋体" w:cs="Times New Roman"/>
          <w:sz w:val="32"/>
        </w:rPr>
      </w:pPr>
    </w:p>
    <w:p w14:paraId="4DF232F3">
      <w:pPr>
        <w:snapToGrid w:val="0"/>
        <w:spacing w:line="360" w:lineRule="auto"/>
        <w:jc w:val="center"/>
        <w:rPr>
          <w:rFonts w:ascii="Times New Roman" w:hAnsi="Times New Roman" w:eastAsia="宋体" w:cs="Times New Roman"/>
          <w:sz w:val="32"/>
        </w:rPr>
      </w:pPr>
    </w:p>
    <w:p w14:paraId="2010ACF8">
      <w:pPr>
        <w:snapToGrid w:val="0"/>
        <w:spacing w:line="360" w:lineRule="auto"/>
        <w:jc w:val="center"/>
        <w:rPr>
          <w:rFonts w:ascii="Times New Roman" w:hAnsi="Times New Roman" w:eastAsia="宋体" w:cs="Times New Roman"/>
          <w:sz w:val="32"/>
        </w:rPr>
      </w:pPr>
    </w:p>
    <w:p w14:paraId="243B7525">
      <w:pPr>
        <w:snapToGrid w:val="0"/>
        <w:spacing w:line="360" w:lineRule="auto"/>
        <w:jc w:val="center"/>
        <w:rPr>
          <w:rFonts w:ascii="Times New Roman" w:hAnsi="Times New Roman" w:eastAsia="宋体" w:cs="Times New Roman"/>
          <w:sz w:val="32"/>
        </w:rPr>
      </w:pPr>
    </w:p>
    <w:p w14:paraId="3FF85661">
      <w:pPr>
        <w:snapToGrid w:val="0"/>
        <w:spacing w:line="360" w:lineRule="auto"/>
        <w:jc w:val="center"/>
        <w:rPr>
          <w:rFonts w:ascii="Times New Roman" w:hAnsi="Times New Roman" w:eastAsia="宋体" w:cs="Times New Roman"/>
          <w:sz w:val="32"/>
        </w:rPr>
      </w:pPr>
    </w:p>
    <w:p w14:paraId="111C5CBC">
      <w:pPr>
        <w:snapToGrid w:val="0"/>
        <w:spacing w:line="360" w:lineRule="auto"/>
        <w:jc w:val="center"/>
        <w:rPr>
          <w:rFonts w:ascii="Times New Roman" w:hAnsi="Times New Roman" w:eastAsia="宋体" w:cs="Times New Roman"/>
          <w:sz w:val="32"/>
        </w:rPr>
      </w:pPr>
    </w:p>
    <w:p w14:paraId="1870CB33">
      <w:pPr>
        <w:snapToGrid w:val="0"/>
        <w:spacing w:line="360" w:lineRule="auto"/>
        <w:jc w:val="center"/>
        <w:rPr>
          <w:rFonts w:ascii="Times New Roman" w:hAnsi="Times New Roman" w:eastAsia="宋体" w:cs="Times New Roman"/>
          <w:sz w:val="32"/>
        </w:rPr>
      </w:pPr>
    </w:p>
    <w:p w14:paraId="4873B65F">
      <w:pPr>
        <w:snapToGrid w:val="0"/>
        <w:spacing w:line="360" w:lineRule="auto"/>
        <w:jc w:val="center"/>
        <w:rPr>
          <w:rFonts w:ascii="Times New Roman" w:hAnsi="Times New Roman" w:eastAsia="宋体" w:cs="Times New Roman"/>
          <w:sz w:val="32"/>
        </w:rPr>
      </w:pPr>
      <w:r>
        <w:rPr>
          <w:rFonts w:ascii="Times New Roman" w:hAnsi="Times New Roman" w:eastAsia="宋体" w:cs="Times New Roman"/>
          <w:sz w:val="32"/>
        </w:rPr>
        <w:t>《污染地块绿色低碳修复技术指南》编制组</w:t>
      </w:r>
    </w:p>
    <w:p w14:paraId="24FD23E3">
      <w:pPr>
        <w:autoSpaceDE w:val="0"/>
        <w:autoSpaceDN w:val="0"/>
        <w:adjustRightInd w:val="0"/>
        <w:snapToGrid w:val="0"/>
        <w:spacing w:line="360" w:lineRule="auto"/>
        <w:jc w:val="center"/>
        <w:rPr>
          <w:rFonts w:ascii="Times New Roman" w:hAnsi="Times New Roman" w:eastAsia="宋体" w:cs="Times New Roman"/>
          <w:kern w:val="0"/>
          <w:sz w:val="28"/>
          <w:szCs w:val="28"/>
        </w:rPr>
        <w:sectPr>
          <w:footerReference r:id="rId4" w:type="first"/>
          <w:footerReference r:id="rId3" w:type="default"/>
          <w:pgSz w:w="11906" w:h="16838"/>
          <w:pgMar w:top="1440" w:right="1800" w:bottom="1440" w:left="1800" w:header="851" w:footer="992" w:gutter="0"/>
          <w:cols w:space="425" w:num="1"/>
          <w:docGrid w:type="lines" w:linePitch="312" w:charSpace="0"/>
        </w:sectPr>
      </w:pPr>
      <w:r>
        <w:rPr>
          <w:rFonts w:ascii="Times New Roman" w:hAnsi="Times New Roman" w:eastAsia="宋体" w:cs="Times New Roman"/>
          <w:kern w:val="0"/>
          <w:sz w:val="28"/>
          <w:szCs w:val="28"/>
        </w:rPr>
        <w:t>二〇二六年</w:t>
      </w:r>
      <w:r>
        <w:rPr>
          <w:rFonts w:hint="eastAsia" w:ascii="Times New Roman" w:hAnsi="Times New Roman" w:eastAsia="宋体" w:cs="Times New Roman"/>
          <w:kern w:val="0"/>
          <w:sz w:val="28"/>
          <w:szCs w:val="28"/>
        </w:rPr>
        <w:t>七</w:t>
      </w:r>
      <w:r>
        <w:rPr>
          <w:rFonts w:ascii="Times New Roman" w:hAnsi="Times New Roman" w:eastAsia="宋体" w:cs="Times New Roman"/>
          <w:kern w:val="0"/>
          <w:sz w:val="28"/>
          <w:szCs w:val="28"/>
        </w:rPr>
        <w:t>月</w:t>
      </w:r>
    </w:p>
    <w:sdt>
      <w:sdtPr>
        <w:rPr>
          <w:rFonts w:ascii="宋体" w:hAnsi="宋体" w:eastAsia="宋体" w:cstheme="minorBidi"/>
          <w:kern w:val="2"/>
          <w:sz w:val="21"/>
          <w:szCs w:val="24"/>
          <w:lang w:val="en-US" w:eastAsia="zh-CN" w:bidi="ar-SA"/>
        </w:rPr>
        <w:id w:val="147462426"/>
        <w15:color w:val="DBDBDB"/>
        <w:docPartObj>
          <w:docPartGallery w:val="Table of Contents"/>
          <w:docPartUnique/>
        </w:docPartObj>
      </w:sdtPr>
      <w:sdtEndPr>
        <w:rPr>
          <w:rFonts w:ascii="Times New Roman" w:hAnsi="Times New Roman" w:eastAsia="宋体" w:cs="Times New Roman"/>
          <w:kern w:val="0"/>
          <w:sz w:val="21"/>
          <w:szCs w:val="28"/>
          <w:lang w:val="en-US" w:eastAsia="zh-CN" w:bidi="ar-SA"/>
        </w:rPr>
      </w:sdtEndPr>
      <w:sdtContent>
        <w:p w14:paraId="0D17379A">
          <w:pPr>
            <w:spacing w:before="0" w:beforeLines="0" w:after="0" w:afterLines="0" w:line="240" w:lineRule="auto"/>
            <w:ind w:left="0" w:leftChars="0" w:right="0" w:rightChars="0" w:firstLine="0" w:firstLineChars="0"/>
            <w:jc w:val="center"/>
            <w:rPr>
              <w:rFonts w:hint="eastAsia" w:ascii="黑体" w:hAnsi="黑体" w:eastAsia="黑体" w:cs="黑体"/>
              <w:sz w:val="40"/>
              <w:szCs w:val="40"/>
            </w:rPr>
          </w:pPr>
          <w:r>
            <w:rPr>
              <w:rFonts w:hint="eastAsia" w:ascii="黑体" w:hAnsi="黑体" w:eastAsia="黑体" w:cs="黑体"/>
              <w:sz w:val="40"/>
              <w:szCs w:val="40"/>
            </w:rPr>
            <w:t>目录</w:t>
          </w:r>
        </w:p>
        <w:p w14:paraId="440D6E3E">
          <w:pPr>
            <w:pStyle w:val="7"/>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TOC \o "1-2" \h \u </w:instrText>
          </w:r>
          <w:r>
            <w:rPr>
              <w:rFonts w:ascii="Times New Roman" w:hAnsi="Times New Roman" w:eastAsia="宋体" w:cs="Times New Roman"/>
              <w:kern w:val="0"/>
              <w:sz w:val="24"/>
              <w:szCs w:val="28"/>
            </w:rPr>
            <w:fldChar w:fldCharType="separate"/>
          </w: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_Toc23564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 xml:space="preserve">一、 </w:t>
          </w:r>
          <w:r>
            <w:rPr>
              <w:rFonts w:ascii="Times New Roman" w:hAnsi="Times New Roman" w:eastAsia="宋体"/>
              <w:sz w:val="24"/>
            </w:rPr>
            <w:t>项目背景及工作概况</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_Toc23564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13CA6441">
          <w:pPr>
            <w:pStyle w:val="8"/>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_Toc17384 </w:instrText>
          </w:r>
          <w:r>
            <w:rPr>
              <w:rFonts w:ascii="Times New Roman" w:hAnsi="Times New Roman" w:eastAsia="宋体" w:cs="Times New Roman"/>
              <w:kern w:val="0"/>
              <w:sz w:val="24"/>
              <w:szCs w:val="28"/>
            </w:rPr>
            <w:fldChar w:fldCharType="separate"/>
          </w:r>
          <w:r>
            <w:rPr>
              <w:rFonts w:hint="default" w:ascii="Times New Roman" w:hAnsi="Times New Roman" w:eastAsia="宋体"/>
              <w:sz w:val="24"/>
            </w:rPr>
            <w:t xml:space="preserve">1.1 </w:t>
          </w:r>
          <w:r>
            <w:rPr>
              <w:rFonts w:hint="eastAsia" w:ascii="Times New Roman" w:hAnsi="Times New Roman" w:eastAsia="宋体"/>
              <w:sz w:val="24"/>
            </w:rPr>
            <w:t>任务来源</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_Toc17384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330E6B2B">
          <w:pPr>
            <w:pStyle w:val="8"/>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_Toc32133 </w:instrText>
          </w:r>
          <w:r>
            <w:rPr>
              <w:rFonts w:ascii="Times New Roman" w:hAnsi="Times New Roman" w:eastAsia="宋体" w:cs="Times New Roman"/>
              <w:kern w:val="0"/>
              <w:sz w:val="24"/>
              <w:szCs w:val="28"/>
            </w:rPr>
            <w:fldChar w:fldCharType="separate"/>
          </w:r>
          <w:r>
            <w:rPr>
              <w:rFonts w:hint="default" w:ascii="Times New Roman" w:hAnsi="Times New Roman" w:eastAsia="宋体"/>
              <w:sz w:val="24"/>
            </w:rPr>
            <w:t xml:space="preserve">1.2 </w:t>
          </w:r>
          <w:r>
            <w:rPr>
              <w:rFonts w:hint="eastAsia" w:ascii="Times New Roman" w:hAnsi="Times New Roman" w:eastAsia="宋体"/>
              <w:sz w:val="24"/>
            </w:rPr>
            <w:t>主要工作过程</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_Toc32133 \h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7C9149F7">
          <w:pPr>
            <w:pStyle w:val="7"/>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_Toc7629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 xml:space="preserve">二、 </w:t>
          </w:r>
          <w:r>
            <w:rPr>
              <w:rFonts w:ascii="Times New Roman" w:hAnsi="Times New Roman" w:eastAsia="宋体"/>
              <w:sz w:val="24"/>
            </w:rPr>
            <w:t>标准制订原则</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_Toc7629 \h </w:instrText>
          </w:r>
          <w:r>
            <w:rPr>
              <w:rFonts w:ascii="Times New Roman" w:hAnsi="Times New Roman" w:eastAsia="宋体"/>
              <w:sz w:val="24"/>
            </w:rPr>
            <w:fldChar w:fldCharType="separate"/>
          </w:r>
          <w:r>
            <w:rPr>
              <w:rFonts w:ascii="Times New Roman" w:hAnsi="Times New Roman" w:eastAsia="宋体"/>
              <w:sz w:val="24"/>
            </w:rPr>
            <w:t>2</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0C18A3E0">
          <w:pPr>
            <w:pStyle w:val="7"/>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_Toc13193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 xml:space="preserve">三、 </w:t>
          </w:r>
          <w:r>
            <w:rPr>
              <w:rFonts w:ascii="Times New Roman" w:hAnsi="Times New Roman" w:eastAsia="宋体"/>
              <w:sz w:val="24"/>
            </w:rPr>
            <w:t>标准主要内容及依据</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_Toc13193 \h </w:instrText>
          </w:r>
          <w:r>
            <w:rPr>
              <w:rFonts w:ascii="Times New Roman" w:hAnsi="Times New Roman" w:eastAsia="宋体"/>
              <w:sz w:val="24"/>
            </w:rPr>
            <w:fldChar w:fldCharType="separate"/>
          </w:r>
          <w:r>
            <w:rPr>
              <w:rFonts w:ascii="Times New Roman" w:hAnsi="Times New Roman" w:eastAsia="宋体"/>
              <w:sz w:val="24"/>
            </w:rPr>
            <w:t>3</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4922B603">
          <w:pPr>
            <w:pStyle w:val="8"/>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_Toc13515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3.1 标准主要内容</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_Toc13515 \h </w:instrText>
          </w:r>
          <w:r>
            <w:rPr>
              <w:rFonts w:ascii="Times New Roman" w:hAnsi="Times New Roman" w:eastAsia="宋体"/>
              <w:sz w:val="24"/>
            </w:rPr>
            <w:fldChar w:fldCharType="separate"/>
          </w:r>
          <w:r>
            <w:rPr>
              <w:rFonts w:ascii="Times New Roman" w:hAnsi="Times New Roman" w:eastAsia="宋体"/>
              <w:sz w:val="24"/>
            </w:rPr>
            <w:t>3</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69EC916D">
          <w:pPr>
            <w:pStyle w:val="8"/>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_Toc14103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3.2 标准编制依据</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_Toc14103 \h </w:instrText>
          </w:r>
          <w:r>
            <w:rPr>
              <w:rFonts w:ascii="Times New Roman" w:hAnsi="Times New Roman" w:eastAsia="宋体"/>
              <w:sz w:val="24"/>
            </w:rPr>
            <w:fldChar w:fldCharType="separate"/>
          </w:r>
          <w:r>
            <w:rPr>
              <w:rFonts w:ascii="Times New Roman" w:hAnsi="Times New Roman" w:eastAsia="宋体"/>
              <w:sz w:val="24"/>
            </w:rPr>
            <w:t>4</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100F0B10">
          <w:pPr>
            <w:pStyle w:val="7"/>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_Toc30125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 xml:space="preserve">四、 </w:t>
          </w:r>
          <w:r>
            <w:rPr>
              <w:rFonts w:ascii="Times New Roman" w:hAnsi="Times New Roman" w:eastAsia="宋体"/>
              <w:sz w:val="24"/>
            </w:rPr>
            <w:t>主要试验验证及试行情况</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_Toc30125 \h </w:instrText>
          </w:r>
          <w:r>
            <w:rPr>
              <w:rFonts w:ascii="Times New Roman" w:hAnsi="Times New Roman" w:eastAsia="宋体"/>
              <w:sz w:val="24"/>
            </w:rPr>
            <w:fldChar w:fldCharType="separate"/>
          </w:r>
          <w:r>
            <w:rPr>
              <w:rFonts w:ascii="Times New Roman" w:hAnsi="Times New Roman" w:eastAsia="宋体"/>
              <w:sz w:val="24"/>
            </w:rPr>
            <w:t>4</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6F87C694">
          <w:pPr>
            <w:pStyle w:val="8"/>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_Toc8814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4.1试验验证方法</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_Toc8814 \h </w:instrText>
          </w:r>
          <w:r>
            <w:rPr>
              <w:rFonts w:ascii="Times New Roman" w:hAnsi="Times New Roman" w:eastAsia="宋体"/>
              <w:sz w:val="24"/>
            </w:rPr>
            <w:fldChar w:fldCharType="separate"/>
          </w:r>
          <w:r>
            <w:rPr>
              <w:rFonts w:ascii="Times New Roman" w:hAnsi="Times New Roman" w:eastAsia="宋体"/>
              <w:sz w:val="24"/>
            </w:rPr>
            <w:t>4</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5DE165D6">
          <w:pPr>
            <w:pStyle w:val="8"/>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_Toc30673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4.2试行方案设置与验证案例</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_Toc30673 \h </w:instrText>
          </w:r>
          <w:r>
            <w:rPr>
              <w:rFonts w:ascii="Times New Roman" w:hAnsi="Times New Roman" w:eastAsia="宋体"/>
              <w:sz w:val="24"/>
            </w:rPr>
            <w:fldChar w:fldCharType="separate"/>
          </w:r>
          <w:r>
            <w:rPr>
              <w:rFonts w:ascii="Times New Roman" w:hAnsi="Times New Roman" w:eastAsia="宋体"/>
              <w:sz w:val="24"/>
            </w:rPr>
            <w:t>5</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5E14BEC0">
          <w:pPr>
            <w:pStyle w:val="8"/>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_Toc25894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4.3验证结果</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_Toc25894 \h </w:instrText>
          </w:r>
          <w:r>
            <w:rPr>
              <w:rFonts w:ascii="Times New Roman" w:hAnsi="Times New Roman" w:eastAsia="宋体"/>
              <w:sz w:val="24"/>
            </w:rPr>
            <w:fldChar w:fldCharType="separate"/>
          </w:r>
          <w:r>
            <w:rPr>
              <w:rFonts w:ascii="Times New Roman" w:hAnsi="Times New Roman" w:eastAsia="宋体"/>
              <w:sz w:val="24"/>
            </w:rPr>
            <w:t>6</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433275B0">
          <w:pPr>
            <w:pStyle w:val="7"/>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_Toc4952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 xml:space="preserve">五、 </w:t>
          </w:r>
          <w:r>
            <w:rPr>
              <w:rFonts w:ascii="Times New Roman" w:hAnsi="Times New Roman" w:eastAsia="宋体"/>
              <w:sz w:val="24"/>
            </w:rPr>
            <w:t>与国内外相关标准的关系分析</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_Toc4952 \h </w:instrText>
          </w:r>
          <w:r>
            <w:rPr>
              <w:rFonts w:ascii="Times New Roman" w:hAnsi="Times New Roman" w:eastAsia="宋体"/>
              <w:sz w:val="24"/>
            </w:rPr>
            <w:fldChar w:fldCharType="separate"/>
          </w:r>
          <w:r>
            <w:rPr>
              <w:rFonts w:ascii="Times New Roman" w:hAnsi="Times New Roman" w:eastAsia="宋体"/>
              <w:sz w:val="24"/>
            </w:rPr>
            <w:t>7</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2D9994E9">
          <w:pPr>
            <w:pStyle w:val="7"/>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_Toc10787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 xml:space="preserve">六、 </w:t>
          </w:r>
          <w:r>
            <w:rPr>
              <w:rFonts w:ascii="Times New Roman" w:hAnsi="Times New Roman" w:eastAsia="宋体"/>
              <w:sz w:val="24"/>
            </w:rPr>
            <w:t>标准实施的效益分析</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_Toc10787 \h </w:instrText>
          </w:r>
          <w:r>
            <w:rPr>
              <w:rFonts w:ascii="Times New Roman" w:hAnsi="Times New Roman" w:eastAsia="宋体"/>
              <w:sz w:val="24"/>
            </w:rPr>
            <w:fldChar w:fldCharType="separate"/>
          </w:r>
          <w:r>
            <w:rPr>
              <w:rFonts w:ascii="Times New Roman" w:hAnsi="Times New Roman" w:eastAsia="宋体"/>
              <w:sz w:val="24"/>
            </w:rPr>
            <w:t>8</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6F13DF08">
          <w:pPr>
            <w:pStyle w:val="8"/>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_Toc13779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6.1评价方法与系统边界</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_Toc13779 \h </w:instrText>
          </w:r>
          <w:r>
            <w:rPr>
              <w:rFonts w:ascii="Times New Roman" w:hAnsi="Times New Roman" w:eastAsia="宋体"/>
              <w:sz w:val="24"/>
            </w:rPr>
            <w:fldChar w:fldCharType="separate"/>
          </w:r>
          <w:r>
            <w:rPr>
              <w:rFonts w:ascii="Times New Roman" w:hAnsi="Times New Roman" w:eastAsia="宋体"/>
              <w:sz w:val="24"/>
            </w:rPr>
            <w:t>8</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328860C5">
          <w:pPr>
            <w:pStyle w:val="8"/>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_Toc17916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6.2修复技术降碳效益</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_Toc17916 \h </w:instrText>
          </w:r>
          <w:r>
            <w:rPr>
              <w:rFonts w:ascii="Times New Roman" w:hAnsi="Times New Roman" w:eastAsia="宋体"/>
              <w:sz w:val="24"/>
            </w:rPr>
            <w:fldChar w:fldCharType="separate"/>
          </w:r>
          <w:r>
            <w:rPr>
              <w:rFonts w:ascii="Times New Roman" w:hAnsi="Times New Roman" w:eastAsia="宋体"/>
              <w:sz w:val="24"/>
            </w:rPr>
            <w:t>9</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4F02A3F8">
          <w:pPr>
            <w:pStyle w:val="8"/>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_Toc20868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6.3协同效益</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_Toc20868 \h </w:instrText>
          </w:r>
          <w:r>
            <w:rPr>
              <w:rFonts w:ascii="Times New Roman" w:hAnsi="Times New Roman" w:eastAsia="宋体"/>
              <w:sz w:val="24"/>
            </w:rPr>
            <w:fldChar w:fldCharType="separate"/>
          </w:r>
          <w:r>
            <w:rPr>
              <w:rFonts w:ascii="Times New Roman" w:hAnsi="Times New Roman" w:eastAsia="宋体"/>
              <w:sz w:val="24"/>
            </w:rPr>
            <w:t>10</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11D2A5FA">
          <w:pPr>
            <w:pStyle w:val="7"/>
            <w:keepNext w:val="0"/>
            <w:keepLines w:val="0"/>
            <w:pageBreakBefore w:val="0"/>
            <w:widowControl w:val="0"/>
            <w:tabs>
              <w:tab w:val="right" w:leader="dot" w:pos="8306"/>
            </w:tabs>
            <w:kinsoku/>
            <w:wordWrap/>
            <w:overflowPunct/>
            <w:topLinePunct w:val="0"/>
            <w:bidi w:val="0"/>
            <w:spacing w:line="360" w:lineRule="auto"/>
            <w:textAlignment w:val="auto"/>
            <w:rPr>
              <w:rFonts w:ascii="Times New Roman" w:hAnsi="Times New Roman" w:eastAsia="宋体"/>
              <w:sz w:val="24"/>
            </w:rPr>
          </w:pPr>
          <w:r>
            <w:rPr>
              <w:rFonts w:ascii="Times New Roman" w:hAnsi="Times New Roman" w:eastAsia="宋体" w:cs="Times New Roman"/>
              <w:kern w:val="0"/>
              <w:sz w:val="24"/>
              <w:szCs w:val="28"/>
            </w:rPr>
            <w:fldChar w:fldCharType="begin"/>
          </w:r>
          <w:r>
            <w:rPr>
              <w:rFonts w:ascii="Times New Roman" w:hAnsi="Times New Roman" w:eastAsia="宋体" w:cs="Times New Roman"/>
              <w:kern w:val="0"/>
              <w:sz w:val="24"/>
              <w:szCs w:val="28"/>
            </w:rPr>
            <w:instrText xml:space="preserve"> HYPERLINK \l _Toc14802 </w:instrText>
          </w:r>
          <w:r>
            <w:rPr>
              <w:rFonts w:ascii="Times New Roman" w:hAnsi="Times New Roman" w:eastAsia="宋体" w:cs="Times New Roman"/>
              <w:kern w:val="0"/>
              <w:sz w:val="24"/>
              <w:szCs w:val="28"/>
            </w:rPr>
            <w:fldChar w:fldCharType="separate"/>
          </w:r>
          <w:r>
            <w:rPr>
              <w:rFonts w:hint="eastAsia" w:ascii="Times New Roman" w:hAnsi="Times New Roman" w:eastAsia="宋体"/>
              <w:sz w:val="24"/>
            </w:rPr>
            <w:t xml:space="preserve">七、 </w:t>
          </w:r>
          <w:r>
            <w:rPr>
              <w:rFonts w:ascii="Times New Roman" w:hAnsi="Times New Roman" w:eastAsia="宋体"/>
              <w:sz w:val="24"/>
            </w:rPr>
            <w:t>标准实施的建议</w:t>
          </w:r>
          <w:r>
            <w:rPr>
              <w:rFonts w:ascii="Times New Roman" w:hAnsi="Times New Roman" w:eastAsia="宋体"/>
              <w:sz w:val="24"/>
            </w:rPr>
            <w:tab/>
          </w:r>
          <w:r>
            <w:rPr>
              <w:rFonts w:ascii="Times New Roman" w:hAnsi="Times New Roman" w:eastAsia="宋体"/>
              <w:sz w:val="24"/>
            </w:rPr>
            <w:fldChar w:fldCharType="begin"/>
          </w:r>
          <w:r>
            <w:rPr>
              <w:rFonts w:ascii="Times New Roman" w:hAnsi="Times New Roman" w:eastAsia="宋体"/>
              <w:sz w:val="24"/>
            </w:rPr>
            <w:instrText xml:space="preserve"> PAGEREF _Toc14802 \h </w:instrText>
          </w:r>
          <w:r>
            <w:rPr>
              <w:rFonts w:ascii="Times New Roman" w:hAnsi="Times New Roman" w:eastAsia="宋体"/>
              <w:sz w:val="24"/>
            </w:rPr>
            <w:fldChar w:fldCharType="separate"/>
          </w:r>
          <w:r>
            <w:rPr>
              <w:rFonts w:ascii="Times New Roman" w:hAnsi="Times New Roman" w:eastAsia="宋体"/>
              <w:sz w:val="24"/>
            </w:rPr>
            <w:t>10</w:t>
          </w:r>
          <w:r>
            <w:rPr>
              <w:rFonts w:ascii="Times New Roman" w:hAnsi="Times New Roman" w:eastAsia="宋体"/>
              <w:sz w:val="24"/>
            </w:rPr>
            <w:fldChar w:fldCharType="end"/>
          </w:r>
          <w:r>
            <w:rPr>
              <w:rFonts w:ascii="Times New Roman" w:hAnsi="Times New Roman" w:eastAsia="宋体" w:cs="Times New Roman"/>
              <w:kern w:val="0"/>
              <w:sz w:val="24"/>
              <w:szCs w:val="28"/>
            </w:rPr>
            <w:fldChar w:fldCharType="end"/>
          </w:r>
        </w:p>
        <w:p w14:paraId="2DDB165F">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ascii="Times New Roman" w:hAnsi="Times New Roman" w:eastAsia="宋体" w:cs="Times New Roman"/>
              <w:kern w:val="0"/>
              <w:sz w:val="21"/>
              <w:szCs w:val="28"/>
              <w:lang w:val="en-US" w:eastAsia="zh-CN" w:bidi="ar-SA"/>
            </w:rPr>
          </w:pPr>
          <w:r>
            <w:rPr>
              <w:rFonts w:ascii="Times New Roman" w:hAnsi="Times New Roman" w:eastAsia="宋体" w:cs="Times New Roman"/>
              <w:kern w:val="0"/>
              <w:sz w:val="24"/>
              <w:szCs w:val="28"/>
            </w:rPr>
            <w:fldChar w:fldCharType="end"/>
          </w:r>
        </w:p>
      </w:sdtContent>
    </w:sdt>
    <w:p w14:paraId="38BE1D7D">
      <w:pPr>
        <w:autoSpaceDE w:val="0"/>
        <w:autoSpaceDN w:val="0"/>
        <w:adjustRightInd w:val="0"/>
        <w:snapToGrid w:val="0"/>
        <w:spacing w:line="360" w:lineRule="auto"/>
        <w:jc w:val="center"/>
        <w:rPr>
          <w:rFonts w:ascii="Times New Roman" w:hAnsi="Times New Roman" w:eastAsia="宋体" w:cs="Times New Roman"/>
          <w:kern w:val="0"/>
          <w:sz w:val="21"/>
          <w:szCs w:val="28"/>
          <w:lang w:val="en-US" w:eastAsia="zh-CN" w:bidi="ar-SA"/>
        </w:rPr>
        <w:sectPr>
          <w:footerReference r:id="rId6" w:type="first"/>
          <w:footerReference r:id="rId5" w:type="default"/>
          <w:pgSz w:w="11906" w:h="16838"/>
          <w:pgMar w:top="1440" w:right="1800" w:bottom="1440" w:left="1800" w:header="851" w:footer="992" w:gutter="0"/>
          <w:cols w:space="425" w:num="1"/>
          <w:titlePg/>
          <w:docGrid w:type="lines" w:linePitch="312" w:charSpace="0"/>
        </w:sectPr>
      </w:pPr>
    </w:p>
    <w:p w14:paraId="700FACDD">
      <w:pPr>
        <w:pStyle w:val="2"/>
        <w:keepNext/>
        <w:keepLines/>
        <w:pageBreakBefore w:val="0"/>
        <w:widowControl w:val="0"/>
        <w:numPr>
          <w:ilvl w:val="0"/>
          <w:numId w:val="1"/>
        </w:numPr>
        <w:kinsoku/>
        <w:wordWrap/>
        <w:overflowPunct/>
        <w:topLinePunct w:val="0"/>
        <w:autoSpaceDE/>
        <w:autoSpaceDN/>
        <w:bidi w:val="0"/>
        <w:adjustRightInd/>
        <w:snapToGrid/>
        <w:ind w:left="6" w:firstLine="0"/>
        <w:textAlignment w:val="auto"/>
      </w:pPr>
      <w:bookmarkStart w:id="0" w:name="_Toc23564"/>
      <w:r>
        <w:t>项目背景及工作概况</w:t>
      </w:r>
      <w:bookmarkEnd w:id="0"/>
    </w:p>
    <w:p w14:paraId="2FCC87FA">
      <w:pPr>
        <w:pStyle w:val="3"/>
        <w:numPr>
          <w:ilvl w:val="1"/>
          <w:numId w:val="2"/>
        </w:numPr>
        <w:bidi w:val="0"/>
      </w:pPr>
      <w:bookmarkStart w:id="1" w:name="_Toc17384"/>
      <w:r>
        <w:rPr>
          <w:rFonts w:hint="eastAsia"/>
        </w:rPr>
        <w:t>任务来源</w:t>
      </w:r>
      <w:bookmarkEnd w:id="1"/>
    </w:p>
    <w:p w14:paraId="03526C13">
      <w:pPr>
        <w:spacing w:line="360" w:lineRule="auto"/>
        <w:ind w:firstLine="480" w:firstLineChars="200"/>
        <w:rPr>
          <w:rFonts w:ascii="Times New Roman" w:hAnsi="Times New Roman"/>
          <w:sz w:val="24"/>
        </w:rPr>
      </w:pPr>
      <w:r>
        <w:rPr>
          <w:rFonts w:hint="eastAsia" w:ascii="Times New Roman" w:hAnsi="Times New Roman"/>
          <w:sz w:val="24"/>
        </w:rPr>
        <w:t>项目组2022年10月起开始实施国家重点研发计划项目“场地污染修复技术绿色低碳全过程评估技术”，主要研究目标为建立全生命周期碳排放测算的理论、方法与评价技术框架，构建修复技术绿色、经济和低碳评估数据库，提出绿色低碳全过程评估的指标体系与评估方法，形成可复制、可推广的场地污染修复技术绿色低碳全过程评估技术体系，为国家“碳达峰碳中和”战略背景下的场地土壤和地下水环境减污降碳协同增效提供决策支撑。项目其中一项产出成果为《污染地块绿色低碳修复技术指南》。</w:t>
      </w:r>
    </w:p>
    <w:p w14:paraId="604714B5">
      <w:pPr>
        <w:spacing w:line="360" w:lineRule="auto"/>
        <w:ind w:firstLine="480" w:firstLineChars="200"/>
        <w:rPr>
          <w:rFonts w:ascii="Times New Roman" w:hAnsi="Times New Roman"/>
          <w:sz w:val="24"/>
        </w:rPr>
      </w:pPr>
      <w:r>
        <w:rPr>
          <w:rFonts w:hint="eastAsia" w:ascii="Times New Roman" w:hAnsi="Times New Roman"/>
          <w:sz w:val="24"/>
        </w:rPr>
        <w:t>2026年6月30日，中国环境科学学会发布了《关于2026年中国环境科学学会团体标准（第四批）立项的公告》，公示了《污染地块绿色低碳修复技术指南》的编制任务。清华大学承担该规范的编制工作。参编单位有中国环境科学研究院、北京市生态环境保护科学研究院。</w:t>
      </w:r>
    </w:p>
    <w:p w14:paraId="2981F623">
      <w:pPr>
        <w:pStyle w:val="3"/>
        <w:numPr>
          <w:ilvl w:val="1"/>
          <w:numId w:val="2"/>
        </w:numPr>
        <w:bidi w:val="0"/>
      </w:pPr>
      <w:bookmarkStart w:id="2" w:name="_Toc32133"/>
      <w:r>
        <w:rPr>
          <w:rFonts w:hint="eastAsia"/>
        </w:rPr>
        <w:t>主要工作过程</w:t>
      </w:r>
      <w:bookmarkEnd w:id="2"/>
    </w:p>
    <w:p w14:paraId="20443681">
      <w:pPr>
        <w:numPr>
          <w:ilvl w:val="0"/>
          <w:numId w:val="3"/>
        </w:numPr>
        <w:spacing w:line="360" w:lineRule="auto"/>
        <w:ind w:left="0" w:firstLine="480" w:firstLineChars="200"/>
        <w:rPr>
          <w:rFonts w:ascii="Times New Roman" w:hAnsi="Times New Roman"/>
          <w:sz w:val="24"/>
        </w:rPr>
      </w:pPr>
      <w:r>
        <w:rPr>
          <w:rFonts w:ascii="Times New Roman" w:hAnsi="Times New Roman"/>
          <w:sz w:val="24"/>
        </w:rPr>
        <w:t>成立编制组。20</w:t>
      </w:r>
      <w:r>
        <w:rPr>
          <w:rFonts w:hint="eastAsia" w:ascii="Times New Roman" w:hAnsi="Times New Roman"/>
          <w:sz w:val="24"/>
        </w:rPr>
        <w:t>24</w:t>
      </w:r>
      <w:r>
        <w:rPr>
          <w:rFonts w:ascii="Times New Roman" w:hAnsi="Times New Roman"/>
          <w:sz w:val="24"/>
        </w:rPr>
        <w:t>年</w:t>
      </w:r>
      <w:r>
        <w:rPr>
          <w:rFonts w:hint="eastAsia" w:ascii="Times New Roman" w:hAnsi="Times New Roman"/>
          <w:sz w:val="24"/>
        </w:rPr>
        <w:t>11</w:t>
      </w:r>
      <w:r>
        <w:rPr>
          <w:rFonts w:ascii="Times New Roman" w:hAnsi="Times New Roman"/>
          <w:sz w:val="24"/>
        </w:rPr>
        <w:t>月，主编单位组织线上召开了《</w:t>
      </w:r>
      <w:r>
        <w:rPr>
          <w:rFonts w:hint="eastAsia" w:ascii="Times New Roman" w:hAnsi="Times New Roman"/>
          <w:sz w:val="24"/>
        </w:rPr>
        <w:t>污染地块绿色低碳修复技术指南</w:t>
      </w:r>
      <w:r>
        <w:rPr>
          <w:rFonts w:ascii="Times New Roman" w:hAnsi="Times New Roman"/>
          <w:sz w:val="24"/>
        </w:rPr>
        <w:t>》编制启动会，成立标准编制小组，并就主编单位草拟的《</w:t>
      </w:r>
      <w:r>
        <w:rPr>
          <w:rFonts w:hint="eastAsia" w:ascii="Times New Roman" w:hAnsi="Times New Roman"/>
          <w:sz w:val="24"/>
        </w:rPr>
        <w:t>污染地块绿色低碳修复技术指南</w:t>
      </w:r>
      <w:r>
        <w:rPr>
          <w:rFonts w:ascii="Times New Roman" w:hAnsi="Times New Roman"/>
          <w:sz w:val="24"/>
        </w:rPr>
        <w:t>编制大纲》的</w:t>
      </w:r>
      <w:r>
        <w:rPr>
          <w:rFonts w:hint="eastAsia" w:ascii="Times New Roman" w:hAnsi="Times New Roman"/>
          <w:sz w:val="24"/>
        </w:rPr>
        <w:t>框架</w:t>
      </w:r>
      <w:r>
        <w:rPr>
          <w:rFonts w:ascii="Times New Roman" w:hAnsi="Times New Roman"/>
          <w:sz w:val="24"/>
        </w:rPr>
        <w:t>与内容，进行了充分的研讨与交流。</w:t>
      </w:r>
    </w:p>
    <w:p w14:paraId="35725421">
      <w:pPr>
        <w:numPr>
          <w:ilvl w:val="0"/>
          <w:numId w:val="3"/>
        </w:numPr>
        <w:spacing w:line="360" w:lineRule="auto"/>
        <w:ind w:left="0" w:firstLine="480" w:firstLineChars="200"/>
        <w:rPr>
          <w:rFonts w:ascii="Times New Roman" w:hAnsi="Times New Roman"/>
          <w:sz w:val="24"/>
        </w:rPr>
      </w:pPr>
      <w:r>
        <w:rPr>
          <w:rFonts w:ascii="Times New Roman" w:hAnsi="Times New Roman"/>
          <w:sz w:val="24"/>
        </w:rPr>
        <w:t>完成立项。</w:t>
      </w:r>
      <w:r>
        <w:rPr>
          <w:rFonts w:ascii="Times New Roman" w:hAnsi="Times New Roman"/>
          <w:color w:val="auto"/>
          <w:sz w:val="24"/>
        </w:rPr>
        <w:t>202</w:t>
      </w:r>
      <w:r>
        <w:rPr>
          <w:rFonts w:hint="eastAsia" w:ascii="Times New Roman" w:hAnsi="Times New Roman"/>
          <w:color w:val="auto"/>
          <w:sz w:val="24"/>
        </w:rPr>
        <w:t>6</w:t>
      </w:r>
      <w:r>
        <w:rPr>
          <w:rFonts w:ascii="Times New Roman" w:hAnsi="Times New Roman"/>
          <w:color w:val="auto"/>
          <w:sz w:val="24"/>
        </w:rPr>
        <w:t>年</w:t>
      </w:r>
      <w:r>
        <w:rPr>
          <w:rFonts w:hint="eastAsia" w:ascii="Times New Roman" w:hAnsi="Times New Roman"/>
          <w:color w:val="auto"/>
          <w:sz w:val="24"/>
        </w:rPr>
        <w:t>4</w:t>
      </w:r>
      <w:r>
        <w:rPr>
          <w:rFonts w:ascii="Times New Roman" w:hAnsi="Times New Roman"/>
          <w:color w:val="auto"/>
          <w:sz w:val="24"/>
        </w:rPr>
        <w:t>月，</w:t>
      </w:r>
      <w:r>
        <w:rPr>
          <w:rFonts w:ascii="Times New Roman" w:hAnsi="Times New Roman"/>
          <w:sz w:val="24"/>
        </w:rPr>
        <w:t>中国</w:t>
      </w:r>
      <w:r>
        <w:rPr>
          <w:rFonts w:hint="eastAsia" w:ascii="Times New Roman" w:hAnsi="Times New Roman"/>
          <w:sz w:val="24"/>
        </w:rPr>
        <w:t>环境科学学会</w:t>
      </w:r>
      <w:r>
        <w:rPr>
          <w:rFonts w:ascii="Times New Roman" w:hAnsi="Times New Roman"/>
          <w:sz w:val="24"/>
        </w:rPr>
        <w:t>组织召开了《</w:t>
      </w:r>
      <w:r>
        <w:rPr>
          <w:rFonts w:hint="eastAsia" w:ascii="Times New Roman" w:hAnsi="Times New Roman"/>
          <w:sz w:val="24"/>
        </w:rPr>
        <w:t>污染地块绿色低碳修复技术指南</w:t>
      </w:r>
      <w:r>
        <w:rPr>
          <w:rFonts w:ascii="Times New Roman" w:hAnsi="Times New Roman"/>
          <w:sz w:val="24"/>
        </w:rPr>
        <w:t>》立项申请咨询会。申请单位对标准立项的必要性、可行性、</w:t>
      </w:r>
      <w:r>
        <w:rPr>
          <w:rFonts w:hint="eastAsia" w:ascii="Times New Roman" w:hAnsi="Times New Roman"/>
          <w:sz w:val="24"/>
        </w:rPr>
        <w:t>适用</w:t>
      </w:r>
      <w:r>
        <w:rPr>
          <w:rFonts w:ascii="Times New Roman" w:hAnsi="Times New Roman"/>
          <w:sz w:val="24"/>
        </w:rPr>
        <w:t>范围和拟编制的内容等进行了汇报。</w:t>
      </w:r>
      <w:r>
        <w:rPr>
          <w:rFonts w:hint="eastAsia" w:ascii="Times New Roman" w:hAnsi="Times New Roman"/>
          <w:sz w:val="24"/>
        </w:rPr>
        <w:t>专家咨询组经质询和讨论，认为该标准编制目标明确、技术路线基本合理，符合污染地块修复绿色化、低碳化发展的实际需求，一致同意通过立项咨询论证，并建议尽快履行立项程序，推进标准编制工作。</w:t>
      </w:r>
    </w:p>
    <w:p w14:paraId="0F6591BD">
      <w:pPr>
        <w:numPr>
          <w:ilvl w:val="0"/>
          <w:numId w:val="3"/>
        </w:numPr>
        <w:spacing w:line="360" w:lineRule="auto"/>
        <w:ind w:left="0" w:firstLine="480" w:firstLineChars="200"/>
        <w:rPr>
          <w:rFonts w:ascii="Times New Roman" w:hAnsi="Times New Roman"/>
          <w:sz w:val="24"/>
        </w:rPr>
      </w:pPr>
      <w:r>
        <w:rPr>
          <w:rFonts w:ascii="Times New Roman" w:hAnsi="Times New Roman"/>
          <w:sz w:val="24"/>
        </w:rPr>
        <w:t>完成初稿。2024年</w:t>
      </w:r>
      <w:r>
        <w:rPr>
          <w:rFonts w:hint="eastAsia" w:ascii="Times New Roman" w:hAnsi="Times New Roman"/>
          <w:sz w:val="24"/>
        </w:rPr>
        <w:t>11</w:t>
      </w:r>
      <w:r>
        <w:rPr>
          <w:rFonts w:ascii="Times New Roman" w:hAnsi="Times New Roman"/>
          <w:sz w:val="24"/>
        </w:rPr>
        <w:t>月</w:t>
      </w:r>
      <w:r>
        <w:rPr>
          <w:rFonts w:hint="eastAsia" w:ascii="Times New Roman" w:hAnsi="Times New Roman"/>
          <w:sz w:val="24"/>
          <w:lang w:val="en-US" w:eastAsia="zh-CN"/>
        </w:rPr>
        <w:t>-</w:t>
      </w:r>
      <w:r>
        <w:rPr>
          <w:rFonts w:ascii="Times New Roman" w:hAnsi="Times New Roman"/>
          <w:sz w:val="24"/>
        </w:rPr>
        <w:t>202</w:t>
      </w:r>
      <w:r>
        <w:rPr>
          <w:rFonts w:hint="eastAsia" w:ascii="Times New Roman" w:hAnsi="Times New Roman"/>
          <w:sz w:val="24"/>
          <w:lang w:val="en-US" w:eastAsia="zh-CN"/>
        </w:rPr>
        <w:t>6</w:t>
      </w:r>
      <w:r>
        <w:rPr>
          <w:rFonts w:ascii="Times New Roman" w:hAnsi="Times New Roman"/>
          <w:sz w:val="24"/>
        </w:rPr>
        <w:t>年</w:t>
      </w:r>
      <w:r>
        <w:rPr>
          <w:rFonts w:hint="eastAsia" w:ascii="Times New Roman" w:hAnsi="Times New Roman"/>
          <w:sz w:val="24"/>
          <w:lang w:val="en-US" w:eastAsia="zh-CN"/>
        </w:rPr>
        <w:t>3</w:t>
      </w:r>
      <w:r>
        <w:rPr>
          <w:rFonts w:ascii="Times New Roman" w:hAnsi="Times New Roman"/>
          <w:sz w:val="24"/>
        </w:rPr>
        <w:t>月，</w:t>
      </w:r>
      <w:r>
        <w:rPr>
          <w:rFonts w:hint="eastAsia" w:ascii="Times New Roman" w:hAnsi="Times New Roman"/>
          <w:sz w:val="24"/>
        </w:rPr>
        <w:t>编制组持续开展标准编制的前期研究工作。</w:t>
      </w:r>
      <w:r>
        <w:rPr>
          <w:rFonts w:ascii="Times New Roman" w:hAnsi="Times New Roman"/>
          <w:sz w:val="24"/>
        </w:rPr>
        <w:t>主编单位根据立项</w:t>
      </w:r>
      <w:r>
        <w:rPr>
          <w:rFonts w:hint="eastAsia" w:ascii="Times New Roman" w:hAnsi="Times New Roman"/>
          <w:sz w:val="24"/>
        </w:rPr>
        <w:t>时的</w:t>
      </w:r>
      <w:r>
        <w:rPr>
          <w:rFonts w:ascii="Times New Roman" w:hAnsi="Times New Roman"/>
          <w:sz w:val="24"/>
        </w:rPr>
        <w:t>专家意见</w:t>
      </w:r>
      <w:r>
        <w:rPr>
          <w:rFonts w:hint="eastAsia" w:ascii="Times New Roman" w:hAnsi="Times New Roman"/>
          <w:sz w:val="24"/>
        </w:rPr>
        <w:t>，对编制大纲进行</w:t>
      </w:r>
      <w:r>
        <w:rPr>
          <w:rFonts w:ascii="Times New Roman" w:hAnsi="Times New Roman"/>
          <w:sz w:val="24"/>
        </w:rPr>
        <w:t>修改完善，并对各技术要点</w:t>
      </w:r>
      <w:r>
        <w:rPr>
          <w:rFonts w:hint="eastAsia" w:ascii="Times New Roman" w:hAnsi="Times New Roman"/>
          <w:sz w:val="24"/>
        </w:rPr>
        <w:t>进行</w:t>
      </w:r>
      <w:r>
        <w:rPr>
          <w:rFonts w:ascii="Times New Roman" w:hAnsi="Times New Roman"/>
          <w:sz w:val="24"/>
        </w:rPr>
        <w:t>补充</w:t>
      </w:r>
      <w:r>
        <w:rPr>
          <w:rFonts w:hint="eastAsia" w:ascii="Times New Roman" w:hAnsi="Times New Roman"/>
          <w:sz w:val="24"/>
        </w:rPr>
        <w:t>和细化</w:t>
      </w:r>
      <w:r>
        <w:rPr>
          <w:rFonts w:ascii="Times New Roman" w:hAnsi="Times New Roman"/>
          <w:sz w:val="24"/>
        </w:rPr>
        <w:t>。</w:t>
      </w:r>
      <w:r>
        <w:rPr>
          <w:rFonts w:hint="eastAsia" w:ascii="Times New Roman" w:hAnsi="Times New Roman"/>
          <w:sz w:val="24"/>
        </w:rPr>
        <w:t>在此期间，</w:t>
      </w:r>
      <w:r>
        <w:rPr>
          <w:rFonts w:ascii="Times New Roman" w:hAnsi="Times New Roman"/>
          <w:sz w:val="24"/>
        </w:rPr>
        <w:t>主编单位会同参编单位</w:t>
      </w:r>
      <w:r>
        <w:rPr>
          <w:rFonts w:hint="eastAsia" w:ascii="Times New Roman" w:hAnsi="Times New Roman"/>
          <w:sz w:val="24"/>
        </w:rPr>
        <w:t>系统收集和分析国内外污染地块修复、低碳修复、生命周期评价等方面的政策文件、技术标准、指南文件和工程实践案例。在充分调研的基础上，编制组进一步明确了本指南的技术路线、适用范围、工作进度和任务分工。2025年10月编制组形成指南初稿讨论稿，明确标准编制思路、拟开展的主要工作、时间进度安排等。2025年11月，主编单位组织召开编制组内部交流会，就初稿内容进行交流讨论。会后，编制组根据会议意见对初稿进行了修改完善，并于2026年3月完成指南初稿及编制说明。</w:t>
      </w:r>
    </w:p>
    <w:p w14:paraId="4D203F86">
      <w:pPr>
        <w:numPr>
          <w:ilvl w:val="0"/>
          <w:numId w:val="3"/>
        </w:numPr>
        <w:spacing w:line="360" w:lineRule="auto"/>
        <w:ind w:left="0" w:firstLine="480" w:firstLineChars="200"/>
        <w:rPr>
          <w:rFonts w:ascii="Times New Roman" w:hAnsi="Times New Roman"/>
          <w:sz w:val="24"/>
        </w:rPr>
      </w:pPr>
      <w:r>
        <w:rPr>
          <w:rFonts w:ascii="Times New Roman" w:hAnsi="Times New Roman"/>
          <w:sz w:val="24"/>
        </w:rPr>
        <w:t>召开初稿审查会。</w:t>
      </w:r>
      <w:r>
        <w:rPr>
          <w:rFonts w:hint="eastAsia" w:ascii="Times New Roman" w:hAnsi="Times New Roman"/>
          <w:sz w:val="24"/>
        </w:rPr>
        <w:t>2026年4月，主编单位组织召开《污染地块绿色低碳修复技术指南》初稿审查会。编制组就指南编制背景、编制原则、技术路线、适用范围、主要技术内容以及指南编制过程中重点研究的问题进行了汇报。与会专家和代表对指南初稿进行了逐章审查并提出了修改意见。编制组对审查意见进行了认真梳理和研究，并据此对指南文本及编制说明进行了修改完善。</w:t>
      </w:r>
    </w:p>
    <w:p w14:paraId="3CC9A92F">
      <w:pPr>
        <w:numPr>
          <w:ilvl w:val="0"/>
          <w:numId w:val="3"/>
        </w:numPr>
        <w:spacing w:line="360" w:lineRule="auto"/>
        <w:ind w:left="0" w:firstLine="480" w:firstLineChars="200"/>
        <w:rPr>
          <w:rFonts w:ascii="Times New Roman" w:hAnsi="Times New Roman"/>
          <w:sz w:val="24"/>
        </w:rPr>
      </w:pPr>
      <w:r>
        <w:rPr>
          <w:rFonts w:ascii="Times New Roman" w:hAnsi="Times New Roman"/>
          <w:sz w:val="24"/>
        </w:rPr>
        <w:t>形成征求意见稿。</w:t>
      </w:r>
      <w:r>
        <w:rPr>
          <w:rFonts w:hint="eastAsia" w:ascii="Times New Roman" w:hAnsi="Times New Roman"/>
          <w:sz w:val="24"/>
        </w:rPr>
        <w:t>2026年4月-7月，编制组根据初稿审查会提出的意见，对指南的总体结构和技术内容进行了进一步调整和完善。在充分吸收各方意见的基础上，于2026年7月形成《污染地块绿色低碳修复技术指南》征求意见稿及其编制说明。</w:t>
      </w:r>
    </w:p>
    <w:p w14:paraId="107228E5">
      <w:pPr>
        <w:numPr>
          <w:ilvl w:val="0"/>
          <w:numId w:val="3"/>
        </w:numPr>
        <w:spacing w:line="360" w:lineRule="auto"/>
        <w:ind w:left="0" w:firstLine="480" w:firstLineChars="200"/>
        <w:rPr>
          <w:rFonts w:ascii="Times New Roman" w:hAnsi="Times New Roman"/>
          <w:sz w:val="24"/>
        </w:rPr>
      </w:pPr>
      <w:r>
        <w:rPr>
          <w:rFonts w:ascii="Times New Roman" w:hAnsi="Times New Roman"/>
          <w:sz w:val="24"/>
        </w:rPr>
        <w:t>公开征求意见情况。</w:t>
      </w:r>
      <w:r>
        <w:rPr>
          <w:rFonts w:hint="eastAsia" w:ascii="Times New Roman" w:hAnsi="Times New Roman"/>
          <w:sz w:val="24"/>
        </w:rPr>
        <w:t>2026年7月，按照中国环境科学学会团体标准制修订工作程序，面向社会公开发布《污染地块绿色低碳修复技术指南》征求意见稿，正式启动公开征求意见工作。征求意见对象主要包括生态环境主管部门、科研院所、高等院校、污染地块责任单位、修复工程设计与施工单位、环境咨询机构、监测检测机构及相关行业专家。公开征求意见结束后，编制组将对收到的意见和建议逐条进行整理、分析和研究，形成征求意见汇总处理表，并根据采纳情况对指南文本和编制说明作进一步修改完善，为后续技术审查和指南报批工作提供基础。</w:t>
      </w:r>
    </w:p>
    <w:p w14:paraId="2BB31BE5">
      <w:pPr>
        <w:pStyle w:val="2"/>
        <w:keepNext/>
        <w:keepLines/>
        <w:pageBreakBefore w:val="0"/>
        <w:widowControl w:val="0"/>
        <w:numPr>
          <w:ilvl w:val="0"/>
          <w:numId w:val="1"/>
        </w:numPr>
        <w:kinsoku/>
        <w:wordWrap/>
        <w:overflowPunct/>
        <w:topLinePunct w:val="0"/>
        <w:autoSpaceDE/>
        <w:autoSpaceDN/>
        <w:bidi w:val="0"/>
        <w:adjustRightInd/>
        <w:snapToGrid/>
        <w:ind w:left="0" w:firstLine="0"/>
        <w:textAlignment w:val="auto"/>
      </w:pPr>
      <w:bookmarkStart w:id="3" w:name="_Toc7629"/>
      <w:r>
        <w:t>标准制订原则</w:t>
      </w:r>
      <w:bookmarkEnd w:id="3"/>
    </w:p>
    <w:p w14:paraId="71967FEA">
      <w:pPr>
        <w:spacing w:line="360" w:lineRule="auto"/>
        <w:ind w:firstLine="480" w:firstLineChars="200"/>
        <w:rPr>
          <w:rFonts w:ascii="Times New Roman" w:hAnsi="Times New Roman"/>
          <w:sz w:val="24"/>
        </w:rPr>
      </w:pPr>
      <w:r>
        <w:rPr>
          <w:rFonts w:ascii="Times New Roman" w:hAnsi="Times New Roman"/>
          <w:sz w:val="24"/>
        </w:rPr>
        <w:t>科学性原则。基于科学的方法学和标准，确保</w:t>
      </w:r>
      <w:r>
        <w:rPr>
          <w:rFonts w:hint="eastAsia" w:ascii="Times New Roman" w:hAnsi="Times New Roman"/>
          <w:sz w:val="24"/>
        </w:rPr>
        <w:t>技术推荐和管理措施应以成熟的技术方法、工程实践和生命周期评价结果为依据，在保障修复效果和环境安全的前提下，实现污染风险控制与碳排放降低协同推进</w:t>
      </w:r>
      <w:r>
        <w:rPr>
          <w:rFonts w:ascii="Times New Roman" w:hAnsi="Times New Roman"/>
          <w:sz w:val="24"/>
        </w:rPr>
        <w:t>。</w:t>
      </w:r>
    </w:p>
    <w:p w14:paraId="4C757FC2">
      <w:pPr>
        <w:spacing w:line="360" w:lineRule="auto"/>
        <w:ind w:firstLine="480" w:firstLineChars="200"/>
        <w:rPr>
          <w:rFonts w:ascii="Times New Roman" w:hAnsi="Times New Roman"/>
          <w:sz w:val="24"/>
        </w:rPr>
      </w:pPr>
      <w:r>
        <w:rPr>
          <w:rFonts w:ascii="Times New Roman" w:hAnsi="Times New Roman"/>
          <w:sz w:val="24"/>
        </w:rPr>
        <w:t>衔接性原则。本标准主要与GB/T 24040</w:t>
      </w:r>
      <w:r>
        <w:rPr>
          <w:rFonts w:hint="eastAsia" w:ascii="Times New Roman" w:hAnsi="Times New Roman"/>
          <w:sz w:val="24"/>
        </w:rPr>
        <w:t>《</w:t>
      </w:r>
      <w:r>
        <w:rPr>
          <w:rFonts w:ascii="Times New Roman" w:hAnsi="Times New Roman"/>
          <w:sz w:val="24"/>
        </w:rPr>
        <w:t>环境管理 生命周期评价 原则与框架</w:t>
      </w:r>
      <w:r>
        <w:rPr>
          <w:rFonts w:hint="eastAsia" w:ascii="Times New Roman" w:hAnsi="Times New Roman"/>
          <w:sz w:val="24"/>
        </w:rPr>
        <w:t>》</w:t>
      </w:r>
      <w:r>
        <w:rPr>
          <w:rFonts w:ascii="Times New Roman" w:hAnsi="Times New Roman"/>
          <w:sz w:val="24"/>
        </w:rPr>
        <w:t>、GB/T 24044</w:t>
      </w:r>
      <w:r>
        <w:rPr>
          <w:rFonts w:hint="eastAsia" w:ascii="Times New Roman" w:hAnsi="Times New Roman"/>
          <w:sz w:val="24"/>
        </w:rPr>
        <w:t>《</w:t>
      </w:r>
      <w:r>
        <w:rPr>
          <w:rFonts w:ascii="Times New Roman" w:hAnsi="Times New Roman"/>
          <w:sz w:val="24"/>
        </w:rPr>
        <w:t>环境管理 生命周期评价 要求与指南</w:t>
      </w:r>
      <w:r>
        <w:rPr>
          <w:rFonts w:hint="eastAsia" w:ascii="Times New Roman" w:hAnsi="Times New Roman"/>
          <w:sz w:val="24"/>
        </w:rPr>
        <w:t>》</w:t>
      </w:r>
      <w:r>
        <w:rPr>
          <w:rFonts w:ascii="Times New Roman" w:hAnsi="Times New Roman"/>
          <w:sz w:val="24"/>
        </w:rPr>
        <w:t>以及</w:t>
      </w:r>
      <w:r>
        <w:rPr>
          <w:rFonts w:hint="eastAsia" w:ascii="Times New Roman" w:hAnsi="Times New Roman"/>
          <w:sz w:val="24"/>
        </w:rPr>
        <w:t>建设用地土壤污染状况调查、风险评估、修复、监测和效果评估等相关技术标准相衔接。在执行现有污染地块风险管控和修复要求的基础上，将全生命周期理念融入修复方案比选、工程设计、施工建设、运行维护、效果评估和后期管理等环节，形成与现行标准相互补充、协调一致的技术体系。</w:t>
      </w:r>
    </w:p>
    <w:p w14:paraId="3237DE38">
      <w:pPr>
        <w:spacing w:line="360" w:lineRule="auto"/>
        <w:ind w:firstLine="480" w:firstLineChars="200"/>
        <w:rPr>
          <w:rFonts w:ascii="Times New Roman" w:hAnsi="Times New Roman"/>
          <w:sz w:val="24"/>
        </w:rPr>
      </w:pPr>
      <w:r>
        <w:rPr>
          <w:rFonts w:ascii="Times New Roman" w:hAnsi="Times New Roman"/>
          <w:sz w:val="24"/>
        </w:rPr>
        <w:t>规范性</w:t>
      </w:r>
      <w:r>
        <w:rPr>
          <w:rFonts w:hint="eastAsia" w:ascii="Times New Roman" w:hAnsi="Times New Roman"/>
          <w:sz w:val="24"/>
        </w:rPr>
        <w:t>和可操作性</w:t>
      </w:r>
      <w:r>
        <w:rPr>
          <w:rFonts w:ascii="Times New Roman" w:hAnsi="Times New Roman"/>
          <w:sz w:val="24"/>
        </w:rPr>
        <w:t>原则。</w:t>
      </w:r>
      <w:r>
        <w:rPr>
          <w:rFonts w:hint="eastAsia" w:ascii="Times New Roman" w:hAnsi="Times New Roman"/>
          <w:sz w:val="24"/>
        </w:rPr>
        <w:t>依据相关法律法规、标准和污染地块修复工程管理要求，统一相关术语、工作程序、技术要求和降碳最佳管理措施。结合重金属、有机物和复合污染地块的特点，明确不同修复技术的适用条件、实施要求和低碳优化措施，突出典型单项技术与集成修复技术的工程应用，为修复方案比选、设计实施和运行管理提供可执行的技术依据</w:t>
      </w:r>
      <w:r>
        <w:rPr>
          <w:rFonts w:ascii="Times New Roman" w:hAnsi="Times New Roman"/>
          <w:sz w:val="24"/>
        </w:rPr>
        <w:t>。</w:t>
      </w:r>
    </w:p>
    <w:p w14:paraId="2DBE4FC4">
      <w:pPr>
        <w:pStyle w:val="2"/>
        <w:keepNext/>
        <w:keepLines/>
        <w:pageBreakBefore w:val="0"/>
        <w:widowControl w:val="0"/>
        <w:numPr>
          <w:ilvl w:val="0"/>
          <w:numId w:val="1"/>
        </w:numPr>
        <w:kinsoku/>
        <w:wordWrap/>
        <w:overflowPunct/>
        <w:topLinePunct w:val="0"/>
        <w:autoSpaceDE/>
        <w:autoSpaceDN/>
        <w:bidi w:val="0"/>
        <w:adjustRightInd/>
        <w:snapToGrid/>
        <w:ind w:left="0" w:firstLine="0"/>
        <w:textAlignment w:val="auto"/>
      </w:pPr>
      <w:bookmarkStart w:id="4" w:name="_Toc13193"/>
      <w:r>
        <w:t>标准主要内容及依据</w:t>
      </w:r>
      <w:bookmarkEnd w:id="4"/>
    </w:p>
    <w:p w14:paraId="66D444BE">
      <w:pPr>
        <w:pStyle w:val="3"/>
        <w:bidi w:val="0"/>
      </w:pPr>
      <w:bookmarkStart w:id="5" w:name="_Toc13515"/>
      <w:r>
        <w:rPr>
          <w:rFonts w:hint="eastAsia"/>
        </w:rPr>
        <w:t>3.1 标准主要内容</w:t>
      </w:r>
      <w:bookmarkEnd w:id="5"/>
    </w:p>
    <w:p w14:paraId="6EE88365">
      <w:pPr>
        <w:spacing w:line="360" w:lineRule="auto"/>
        <w:ind w:firstLine="480" w:firstLineChars="200"/>
        <w:rPr>
          <w:rFonts w:ascii="Times New Roman" w:hAnsi="Times New Roman"/>
          <w:sz w:val="24"/>
        </w:rPr>
      </w:pPr>
      <w:r>
        <w:rPr>
          <w:rFonts w:hint="eastAsia" w:ascii="Times New Roman" w:hAnsi="Times New Roman"/>
          <w:sz w:val="24"/>
        </w:rPr>
        <w:t>《污染地块绿色低碳修复技术指南》以保障修复效果和环境安全为前提，以资源节约、能源高效利用和碳排放控制为主线，规定了污染地块绿色低碳修复的基本原则、工作程序、技术选择和实施要求。本标准明确了适用范围及相关术语，提出源头控制、风险管控、生态保护、资源循环利用和全生命周期碳排放控制等基本原则，并将绿色低碳要求贯穿场地调查、风险评估、方案比选、工程实施、运行维护、效果评估和后期管理全过程。并针对重金属污染、有机污染和复合污染地块，提出分区分类、分阶段的修复技术选择原则，并按照原料准备、系统建设、技术实施及监测、废物处置等阶段，提出材料选用、设备配置、能源利用、药剂投加、运输组织、废物处置和资源化利用等绿色低碳管理要求。同时，针对自然衰减、生物修复、植物修复、固化稳定化、阻隔、土壤淋洗、抽出处理、化学氧化还原、热脱附、气相抽提和电动集成修复等典型技术，提出降碳最佳管理措施，并通过典型案例和技术筛选矩阵，为污染地块绿色低碳修复方案比选和工程实施提供参考。</w:t>
      </w:r>
    </w:p>
    <w:p w14:paraId="1504FBAA">
      <w:pPr>
        <w:pStyle w:val="3"/>
        <w:bidi w:val="0"/>
      </w:pPr>
      <w:bookmarkStart w:id="6" w:name="_Toc14103"/>
      <w:r>
        <w:rPr>
          <w:rFonts w:hint="eastAsia"/>
        </w:rPr>
        <w:t>3.2 标准编制依据</w:t>
      </w:r>
      <w:bookmarkEnd w:id="6"/>
    </w:p>
    <w:p w14:paraId="62EAC4FC">
      <w:pPr>
        <w:spacing w:line="360" w:lineRule="auto"/>
        <w:ind w:left="420" w:leftChars="200"/>
        <w:rPr>
          <w:rFonts w:ascii="Times New Roman" w:hAnsi="Times New Roman"/>
          <w:sz w:val="24"/>
        </w:rPr>
      </w:pPr>
      <w:r>
        <w:rPr>
          <w:rFonts w:ascii="Times New Roman" w:hAnsi="Times New Roman"/>
          <w:sz w:val="24"/>
        </w:rPr>
        <w:t>本规范编制依据包括：</w:t>
      </w:r>
    </w:p>
    <w:p w14:paraId="0D1E824D">
      <w:pPr>
        <w:spacing w:line="360" w:lineRule="auto"/>
        <w:ind w:left="420" w:leftChars="200"/>
        <w:rPr>
          <w:rFonts w:ascii="Times New Roman" w:hAnsi="Times New Roman"/>
          <w:sz w:val="24"/>
        </w:rPr>
      </w:pPr>
      <w:r>
        <w:rPr>
          <w:rFonts w:ascii="Times New Roman" w:hAnsi="Times New Roman"/>
          <w:sz w:val="24"/>
        </w:rPr>
        <w:t>GB/T 24040 环境管理 生命周期评价 原则与框架</w:t>
      </w:r>
    </w:p>
    <w:p w14:paraId="1BEE7AB4">
      <w:pPr>
        <w:spacing w:line="360" w:lineRule="auto"/>
        <w:ind w:left="420" w:leftChars="200"/>
        <w:rPr>
          <w:rFonts w:ascii="Times New Roman" w:hAnsi="Times New Roman"/>
          <w:sz w:val="24"/>
        </w:rPr>
      </w:pPr>
      <w:r>
        <w:rPr>
          <w:rFonts w:ascii="Times New Roman" w:hAnsi="Times New Roman"/>
          <w:sz w:val="24"/>
        </w:rPr>
        <w:t>GB/T 24044 环境管理 生命周期评价 要求与指南</w:t>
      </w:r>
    </w:p>
    <w:p w14:paraId="46A12CDA">
      <w:pPr>
        <w:spacing w:line="360" w:lineRule="auto"/>
        <w:ind w:left="420" w:leftChars="200"/>
        <w:rPr>
          <w:rFonts w:ascii="Times New Roman" w:hAnsi="Times New Roman"/>
          <w:sz w:val="24"/>
        </w:rPr>
      </w:pPr>
      <w:r>
        <w:rPr>
          <w:rFonts w:ascii="Times New Roman" w:hAnsi="Times New Roman"/>
          <w:sz w:val="24"/>
        </w:rPr>
        <w:t>GB 36600 土壤环境质量 建设用地土壤污染风险管控标准（试行）</w:t>
      </w:r>
    </w:p>
    <w:p w14:paraId="7D8BFF15">
      <w:pPr>
        <w:spacing w:line="360" w:lineRule="auto"/>
        <w:ind w:left="420" w:leftChars="200"/>
        <w:rPr>
          <w:rFonts w:ascii="Times New Roman" w:hAnsi="Times New Roman"/>
          <w:sz w:val="24"/>
        </w:rPr>
      </w:pPr>
      <w:r>
        <w:rPr>
          <w:rFonts w:ascii="Times New Roman" w:hAnsi="Times New Roman"/>
          <w:sz w:val="24"/>
        </w:rPr>
        <w:t>HJ 25.1</w:t>
      </w:r>
      <w:r>
        <w:rPr>
          <w:rFonts w:ascii="Times New Roman" w:hAnsi="Times New Roman"/>
          <w:sz w:val="24"/>
        </w:rPr>
        <w:tab/>
      </w:r>
      <w:r>
        <w:rPr>
          <w:rFonts w:ascii="Times New Roman" w:hAnsi="Times New Roman"/>
          <w:sz w:val="24"/>
        </w:rPr>
        <w:t>建设用地土壤污染状况调查技术导则</w:t>
      </w:r>
    </w:p>
    <w:p w14:paraId="1043960D">
      <w:pPr>
        <w:spacing w:line="360" w:lineRule="auto"/>
        <w:ind w:left="420" w:leftChars="200"/>
        <w:rPr>
          <w:rFonts w:ascii="Times New Roman" w:hAnsi="Times New Roman"/>
          <w:sz w:val="24"/>
        </w:rPr>
      </w:pPr>
      <w:r>
        <w:rPr>
          <w:rFonts w:ascii="Times New Roman" w:hAnsi="Times New Roman"/>
          <w:sz w:val="24"/>
        </w:rPr>
        <w:t>HJ 25.2</w:t>
      </w:r>
      <w:r>
        <w:rPr>
          <w:rFonts w:ascii="Times New Roman" w:hAnsi="Times New Roman"/>
          <w:sz w:val="24"/>
        </w:rPr>
        <w:tab/>
      </w:r>
      <w:r>
        <w:rPr>
          <w:rFonts w:ascii="Times New Roman" w:hAnsi="Times New Roman"/>
          <w:sz w:val="24"/>
        </w:rPr>
        <w:t>建设用地土壤污染风险管控和修复监测技术导则</w:t>
      </w:r>
    </w:p>
    <w:p w14:paraId="460E1AF2">
      <w:pPr>
        <w:spacing w:line="360" w:lineRule="auto"/>
        <w:ind w:left="420" w:leftChars="200"/>
        <w:rPr>
          <w:rFonts w:ascii="Times New Roman" w:hAnsi="Times New Roman"/>
          <w:sz w:val="24"/>
        </w:rPr>
      </w:pPr>
      <w:r>
        <w:rPr>
          <w:rFonts w:ascii="Times New Roman" w:hAnsi="Times New Roman"/>
          <w:sz w:val="24"/>
        </w:rPr>
        <w:t>HJ 25.3</w:t>
      </w:r>
      <w:r>
        <w:rPr>
          <w:rFonts w:ascii="Times New Roman" w:hAnsi="Times New Roman"/>
          <w:sz w:val="24"/>
        </w:rPr>
        <w:tab/>
      </w:r>
      <w:r>
        <w:rPr>
          <w:rFonts w:ascii="Times New Roman" w:hAnsi="Times New Roman"/>
          <w:sz w:val="24"/>
        </w:rPr>
        <w:t>建设用地土壤污染风险评估技术导则</w:t>
      </w:r>
    </w:p>
    <w:p w14:paraId="612BB5D0">
      <w:pPr>
        <w:spacing w:line="360" w:lineRule="auto"/>
        <w:ind w:left="420" w:leftChars="200"/>
        <w:rPr>
          <w:rFonts w:ascii="Times New Roman" w:hAnsi="Times New Roman"/>
          <w:sz w:val="24"/>
        </w:rPr>
      </w:pPr>
      <w:r>
        <w:rPr>
          <w:rFonts w:ascii="Times New Roman" w:hAnsi="Times New Roman"/>
          <w:sz w:val="24"/>
        </w:rPr>
        <w:t>HJ 25.4</w:t>
      </w:r>
      <w:r>
        <w:rPr>
          <w:rFonts w:ascii="Times New Roman" w:hAnsi="Times New Roman"/>
          <w:sz w:val="24"/>
        </w:rPr>
        <w:tab/>
      </w:r>
      <w:r>
        <w:rPr>
          <w:rFonts w:ascii="Times New Roman" w:hAnsi="Times New Roman"/>
          <w:sz w:val="24"/>
        </w:rPr>
        <w:t>建设用地土壤修复技术导则</w:t>
      </w:r>
    </w:p>
    <w:p w14:paraId="083A69F6">
      <w:pPr>
        <w:spacing w:line="360" w:lineRule="auto"/>
        <w:ind w:left="420" w:leftChars="200"/>
        <w:rPr>
          <w:rFonts w:ascii="Times New Roman" w:hAnsi="Times New Roman"/>
          <w:sz w:val="24"/>
        </w:rPr>
      </w:pPr>
      <w:r>
        <w:rPr>
          <w:rFonts w:ascii="Times New Roman" w:hAnsi="Times New Roman"/>
          <w:sz w:val="24"/>
        </w:rPr>
        <w:t>HJ 25.5</w:t>
      </w:r>
      <w:r>
        <w:rPr>
          <w:rFonts w:ascii="Times New Roman" w:hAnsi="Times New Roman"/>
          <w:sz w:val="24"/>
        </w:rPr>
        <w:tab/>
      </w:r>
      <w:r>
        <w:rPr>
          <w:rFonts w:ascii="Times New Roman" w:hAnsi="Times New Roman"/>
          <w:sz w:val="24"/>
        </w:rPr>
        <w:t>污染地块风险管控与土壤修复效果评估技术导则</w:t>
      </w:r>
    </w:p>
    <w:p w14:paraId="2233706B">
      <w:pPr>
        <w:spacing w:line="360" w:lineRule="auto"/>
        <w:ind w:left="420" w:leftChars="200"/>
        <w:rPr>
          <w:rFonts w:ascii="Times New Roman" w:hAnsi="Times New Roman"/>
          <w:sz w:val="24"/>
        </w:rPr>
      </w:pPr>
      <w:r>
        <w:rPr>
          <w:rFonts w:ascii="Times New Roman" w:hAnsi="Times New Roman"/>
          <w:sz w:val="24"/>
        </w:rPr>
        <w:t>HJ 25.6</w:t>
      </w:r>
      <w:r>
        <w:rPr>
          <w:rFonts w:ascii="Times New Roman" w:hAnsi="Times New Roman"/>
          <w:sz w:val="24"/>
        </w:rPr>
        <w:tab/>
      </w:r>
      <w:r>
        <w:rPr>
          <w:rFonts w:ascii="Times New Roman" w:hAnsi="Times New Roman"/>
          <w:sz w:val="24"/>
        </w:rPr>
        <w:t>污染地块地下水修复和风险管控技术导则</w:t>
      </w:r>
    </w:p>
    <w:p w14:paraId="61265D4E">
      <w:pPr>
        <w:spacing w:line="360" w:lineRule="auto"/>
        <w:ind w:left="420" w:leftChars="200"/>
        <w:rPr>
          <w:rFonts w:ascii="Times New Roman" w:hAnsi="Times New Roman"/>
          <w:sz w:val="24"/>
        </w:rPr>
      </w:pPr>
      <w:r>
        <w:rPr>
          <w:rFonts w:ascii="Times New Roman" w:hAnsi="Times New Roman"/>
          <w:sz w:val="24"/>
        </w:rPr>
        <w:t>HJ 682</w:t>
      </w:r>
      <w:r>
        <w:rPr>
          <w:rFonts w:ascii="Times New Roman" w:hAnsi="Times New Roman"/>
          <w:sz w:val="24"/>
        </w:rPr>
        <w:tab/>
      </w:r>
      <w:r>
        <w:rPr>
          <w:rFonts w:ascii="Times New Roman" w:hAnsi="Times New Roman"/>
          <w:sz w:val="24"/>
        </w:rPr>
        <w:t>建设用地土壤污染风险管控和修复术语</w:t>
      </w:r>
    </w:p>
    <w:p w14:paraId="705F26C4">
      <w:pPr>
        <w:spacing w:line="360" w:lineRule="auto"/>
        <w:ind w:left="420" w:leftChars="200"/>
        <w:rPr>
          <w:rFonts w:ascii="Times New Roman" w:hAnsi="Times New Roman"/>
          <w:sz w:val="24"/>
        </w:rPr>
      </w:pPr>
      <w:r>
        <w:rPr>
          <w:rFonts w:ascii="Times New Roman" w:hAnsi="Times New Roman"/>
          <w:sz w:val="24"/>
        </w:rPr>
        <w:t>工业企业场地环境调查评估与修复工作指南（试行）</w:t>
      </w:r>
    </w:p>
    <w:p w14:paraId="6C3EE2EA">
      <w:pPr>
        <w:spacing w:line="360" w:lineRule="auto"/>
        <w:ind w:left="420" w:leftChars="200"/>
        <w:rPr>
          <w:rFonts w:ascii="Times New Roman" w:hAnsi="Times New Roman"/>
          <w:sz w:val="24"/>
        </w:rPr>
      </w:pPr>
      <w:r>
        <w:rPr>
          <w:rFonts w:ascii="Times New Roman" w:hAnsi="Times New Roman"/>
          <w:sz w:val="24"/>
        </w:rPr>
        <w:t>污染地块土壤环境管理办法（试行）环境保护部令 第42号</w:t>
      </w:r>
    </w:p>
    <w:p w14:paraId="672C3AE6">
      <w:pPr>
        <w:spacing w:line="360" w:lineRule="auto"/>
        <w:ind w:left="420" w:leftChars="200"/>
        <w:rPr>
          <w:rFonts w:ascii="Times New Roman" w:hAnsi="Times New Roman"/>
          <w:sz w:val="24"/>
        </w:rPr>
      </w:pPr>
      <w:r>
        <w:rPr>
          <w:rFonts w:ascii="Times New Roman" w:hAnsi="Times New Roman"/>
          <w:sz w:val="24"/>
        </w:rPr>
        <w:t>建设用地土壤环境调查评估技术指南环境保护部公告 2023年第72号</w:t>
      </w:r>
    </w:p>
    <w:p w14:paraId="02A124A4">
      <w:pPr>
        <w:spacing w:line="360" w:lineRule="auto"/>
        <w:ind w:left="420" w:leftChars="200"/>
        <w:rPr>
          <w:rFonts w:hint="eastAsia" w:ascii="Times New Roman" w:hAnsi="Times New Roman"/>
          <w:sz w:val="24"/>
        </w:rPr>
      </w:pPr>
      <w:r>
        <w:rPr>
          <w:rFonts w:hint="eastAsia" w:ascii="Times New Roman" w:hAnsi="Times New Roman"/>
          <w:sz w:val="24"/>
        </w:rPr>
        <w:t>关于促进土壤污染绿色低碳风险管控和修复的指导意见 2023年第19号</w:t>
      </w:r>
    </w:p>
    <w:p w14:paraId="34F9539B">
      <w:pPr>
        <w:spacing w:line="360" w:lineRule="auto"/>
        <w:ind w:left="420" w:leftChars="200"/>
        <w:rPr>
          <w:rFonts w:ascii="Times New Roman" w:hAnsi="Times New Roman"/>
          <w:sz w:val="24"/>
        </w:rPr>
      </w:pPr>
      <w:bookmarkStart w:id="17" w:name="_GoBack"/>
      <w:bookmarkEnd w:id="17"/>
      <w:r>
        <w:rPr>
          <w:rFonts w:ascii="Times New Roman" w:hAnsi="Times New Roman"/>
          <w:sz w:val="24"/>
        </w:rPr>
        <w:t>T/CAEPI 26-2020 污染地块绿色可持续修复通则</w:t>
      </w:r>
    </w:p>
    <w:p w14:paraId="600A079D">
      <w:pPr>
        <w:pStyle w:val="2"/>
        <w:keepNext/>
        <w:keepLines/>
        <w:pageBreakBefore w:val="0"/>
        <w:widowControl w:val="0"/>
        <w:numPr>
          <w:ilvl w:val="0"/>
          <w:numId w:val="1"/>
        </w:numPr>
        <w:kinsoku/>
        <w:wordWrap/>
        <w:overflowPunct/>
        <w:topLinePunct w:val="0"/>
        <w:autoSpaceDE/>
        <w:autoSpaceDN/>
        <w:bidi w:val="0"/>
        <w:adjustRightInd/>
        <w:snapToGrid/>
        <w:ind w:left="0" w:firstLine="0"/>
        <w:textAlignment w:val="auto"/>
      </w:pPr>
      <w:bookmarkStart w:id="7" w:name="_Toc30125"/>
      <w:r>
        <w:t>主要试验验证及试行情况</w:t>
      </w:r>
      <w:bookmarkEnd w:id="7"/>
    </w:p>
    <w:p w14:paraId="10C2940D">
      <w:pPr>
        <w:pStyle w:val="3"/>
        <w:bidi w:val="0"/>
      </w:pPr>
      <w:bookmarkStart w:id="8" w:name="_Toc8814"/>
      <w:r>
        <w:rPr>
          <w:rFonts w:hint="eastAsia"/>
        </w:rPr>
        <w:t>4.1试验验证方法</w:t>
      </w:r>
      <w:bookmarkEnd w:id="8"/>
    </w:p>
    <w:p w14:paraId="13B67A29">
      <w:pPr>
        <w:spacing w:line="360" w:lineRule="auto"/>
        <w:ind w:firstLine="480" w:firstLineChars="200"/>
        <w:rPr>
          <w:rFonts w:ascii="Times New Roman" w:hAnsi="Times New Roman"/>
          <w:sz w:val="24"/>
        </w:rPr>
      </w:pPr>
      <w:r>
        <w:rPr>
          <w:rFonts w:hint="eastAsia" w:ascii="Times New Roman" w:hAnsi="Times New Roman"/>
          <w:sz w:val="24"/>
        </w:rPr>
        <w:t>本指南的编制依托于国家重点研发计划项目“场地污染修复技术绿色低碳全过程评估技术”（2022年10月起实施）的研究成果。在指南草案编制过程中，为验证绿色低碳修复技术及降碳最佳管理措施的科学性和适用性，起草组以基于典型单项修复技术最佳碳管理措施的场地修复和集成修复技术最佳碳管理措施的场地修复两个实际工程案例为基础开展试验验证。验证主要采用以下方法：一是基于实际工程案例进行全生命周期碳排放核算与评价；二是设置多情景对比方案，分析不同技术路线下的环境影响差异；三是识别关键碳排放环节并验证降碳管理措施的有效性。</w:t>
      </w:r>
    </w:p>
    <w:p w14:paraId="5A793CA7">
      <w:pPr>
        <w:spacing w:line="360" w:lineRule="auto"/>
        <w:ind w:firstLine="480" w:firstLineChars="200"/>
        <w:rPr>
          <w:rFonts w:ascii="Times New Roman" w:hAnsi="Times New Roman"/>
          <w:sz w:val="24"/>
        </w:rPr>
      </w:pPr>
      <w:r>
        <w:rPr>
          <w:rFonts w:hint="eastAsia" w:ascii="Times New Roman" w:hAnsi="Times New Roman"/>
          <w:sz w:val="24"/>
        </w:rPr>
        <w:t>全生命周期碳排放核算采用ReCiPe2016评价方法，涵盖气候变化、酸化、富营养化、人体毒性、颗粒物形成、生态毒性、资源消耗等环境影响指标，核算边界覆盖原料生产、系统建设、技术实施及监测、废物处置全生命周期阶段。</w:t>
      </w:r>
    </w:p>
    <w:p w14:paraId="7818B0A0">
      <w:pPr>
        <w:pStyle w:val="3"/>
        <w:bidi w:val="0"/>
      </w:pPr>
      <w:bookmarkStart w:id="9" w:name="_Toc30673"/>
      <w:r>
        <w:rPr>
          <w:rFonts w:hint="eastAsia"/>
        </w:rPr>
        <w:t>4.2试行方案设置与验证案例</w:t>
      </w:r>
      <w:bookmarkEnd w:id="9"/>
    </w:p>
    <w:p w14:paraId="663CE1C9">
      <w:pPr>
        <w:spacing w:line="360" w:lineRule="auto"/>
        <w:ind w:firstLine="482" w:firstLineChars="200"/>
        <w:rPr>
          <w:rFonts w:ascii="Times New Roman" w:hAnsi="Times New Roman"/>
          <w:b/>
          <w:bCs/>
          <w:sz w:val="24"/>
        </w:rPr>
      </w:pPr>
      <w:r>
        <w:rPr>
          <w:rFonts w:hint="eastAsia" w:ascii="Times New Roman" w:hAnsi="Times New Roman"/>
          <w:b/>
          <w:bCs/>
          <w:sz w:val="24"/>
        </w:rPr>
        <w:t>(1) 单项修复技术验证案例</w:t>
      </w:r>
    </w:p>
    <w:p w14:paraId="48AEB901">
      <w:pPr>
        <w:spacing w:line="360" w:lineRule="auto"/>
        <w:ind w:firstLine="480" w:firstLineChars="200"/>
        <w:rPr>
          <w:rFonts w:ascii="Times New Roman" w:hAnsi="Times New Roman"/>
          <w:sz w:val="24"/>
        </w:rPr>
      </w:pPr>
      <w:r>
        <w:rPr>
          <w:rFonts w:hint="eastAsia" w:ascii="Times New Roman" w:hAnsi="Times New Roman"/>
          <w:sz w:val="24"/>
        </w:rPr>
        <w:t>案例选取山东某化工产业园地下水有机污染地块，以抽出处理技术为单项技术示例。根据地下水环境状况详细调查结果，园区地下水中多项有机指标超过《地下水质量标准》（GB/T 14848-2017）Ⅲ类限值，主要涉及三氯甲烷、四氯化碳、苯、甲苯、二氯甲烷、1,2-二氯乙烷、1,1,2-三氯乙烷、1,2-二氯丙烷、氯乙烯、顺式-1,2-二氯乙烯、三氯乙烯、四氯乙烯和氯苯等挥发性或半挥发性有机污染物。围绕“井群布设—抽水强度—运行周期—抽提总量”的耦合关系设计5种模拟方案。方案设计遵循以下原则：一是优先利用既有详查监测井，减少新增钻探和建井材料消耗；二是井位布设应避让企业生产活动和重要设施，降低施工扰动；三是单井抽水量应结合水文地质条件、中试结果和污染羽控制效果确定；四是对浓度高值区和低浓度边界区实施差异化抽水，避免全区同强度长期运行。基于上述原则，利用GMS软件进行地下水污染风险管控模拟，得到各方案抽提井数量、单井抽水量、运行时间及抽提总量等工程数据。各方案设置如下：方案一只利用既有3口监测井并新增2口井、采用144 m³/d的单井抽水量，抽提50年抽提量达792万方时，依然无法达到修复和管控目标；方案二设置19口抽提井、单井抽水量216 m³/d，达到Ⅳ类水所需时间为1100天，抽水总量306.3万方；方案三设置21口抽提井、单井抽水量144 m³/d，达到Ⅳ类水所需时间为1200天，抽水总量254.2万方；方案四设置21口抽提井、周边单井抽水量144 m³/d、浓度高值区抽水量288 m³/d，达到Ⅳ类水所需时间为1100天，抽水总量293.8万方；方案五设置21口抽提井、单井抽水量96 m³/d，达到Ⅳ类水所需时间为1450天，抽水总量209.3万方。方案一仅利用</w:t>
      </w:r>
      <w:r>
        <w:rPr>
          <w:rFonts w:hint="eastAsia" w:ascii="Times New Roman" w:hAnsi="Times New Roman"/>
          <w:sz w:val="24"/>
          <w:lang w:val="en-US" w:eastAsia="zh-CN"/>
        </w:rPr>
        <w:t>3口</w:t>
      </w:r>
      <w:r>
        <w:rPr>
          <w:rFonts w:hint="eastAsia" w:ascii="Times New Roman" w:hAnsi="Times New Roman"/>
          <w:sz w:val="24"/>
        </w:rPr>
        <w:t>既有井长期运行，虽然初始建设量最小，但污染羽控制效率不足，抽提50年仍无法达到修复和管控目标；方案二至方案五通过增加井群数量并优化抽水强度，运行周期缩短至1100~1450天。</w:t>
      </w:r>
    </w:p>
    <w:p w14:paraId="71FC4529">
      <w:pPr>
        <w:spacing w:line="360" w:lineRule="auto"/>
        <w:ind w:firstLine="482" w:firstLineChars="200"/>
        <w:rPr>
          <w:rFonts w:ascii="Times New Roman" w:hAnsi="Times New Roman"/>
          <w:b/>
          <w:bCs/>
          <w:sz w:val="24"/>
        </w:rPr>
      </w:pPr>
      <w:r>
        <w:rPr>
          <w:rFonts w:hint="eastAsia" w:ascii="Times New Roman" w:hAnsi="Times New Roman"/>
          <w:b/>
          <w:bCs/>
          <w:sz w:val="24"/>
        </w:rPr>
        <w:t>(2) 集成修复技术验证案例</w:t>
      </w:r>
    </w:p>
    <w:p w14:paraId="75F62203">
      <w:pPr>
        <w:spacing w:line="360" w:lineRule="auto"/>
        <w:ind w:firstLine="480" w:firstLineChars="200"/>
        <w:rPr>
          <w:rFonts w:ascii="Times New Roman" w:hAnsi="Times New Roman"/>
          <w:sz w:val="24"/>
        </w:rPr>
      </w:pPr>
      <w:r>
        <w:rPr>
          <w:rFonts w:hint="eastAsia" w:ascii="Times New Roman" w:hAnsi="Times New Roman"/>
          <w:sz w:val="24"/>
        </w:rPr>
        <w:t>案例选取某有机污染化工地块，历史上曾开展化工生产活动，停产后已完成危险化学品清理和主要生产设施拆除。根据调查结果，场地土壤、地下水、土壤气体和环境空气中均检出挥发性有机污染物，规划用途为公园绿地，主要关注苯等有机污染物的健康风险。场地浅层至中深层地下水系统较为复杂，发育多层含水层及相对弱透水层，赋水介质以粉砂、砂层等为主。结合土地再利用方向和风险管控要求，将风险管控区按照污染风险等级划分为重污染区（对应污染物浓度较高、源区特征明显且需优先削减的区域）、中度污染区（对应污染物浓度中等、需采取主动修复或强化控制的区域）和轻污染区（主要为风险管控区内污染程度相对较低、可结合监测自然衰减实施长期管控的区域）。围绕“污染风险分区——技术组合—运行强度—后期监测”的耦合关系设计3种修复方案：方案一采用高强度主动修复方式，高污染区采用原位热脱附技术，中污染区采用多相抽提技术，低污染区采用原位化学氧化技术；方案二采用中等强度组合修复方式，高污染区采用多相抽提技术，中污染区采用原位化学氧化技术，低污染区采用监测自然衰减技术；方案三采用低强度自然衰减方式，主要通过土壤植被恢复和地下水监测自然衰减实现长期风险管控。方案设计遵循以下原则：一是针对高污染源区或高风险区域优先采用污染负荷削减效率较高的技术；二是对中低浓度区域实施较低扰动、低能耗的修复或风险管控措施；三是将监测自然衰减作为低污染区和修复后拖尾阶段的重要衔接单元；四是避免全场采用单一高强度、高能耗技术。</w:t>
      </w:r>
    </w:p>
    <w:p w14:paraId="7E83D17C">
      <w:pPr>
        <w:pStyle w:val="3"/>
        <w:bidi w:val="0"/>
      </w:pPr>
      <w:bookmarkStart w:id="10" w:name="_Toc25894"/>
      <w:r>
        <w:rPr>
          <w:rFonts w:hint="eastAsia"/>
        </w:rPr>
        <w:t>4.3验证结果</w:t>
      </w:r>
      <w:bookmarkEnd w:id="10"/>
    </w:p>
    <w:p w14:paraId="220880C1">
      <w:pPr>
        <w:spacing w:line="360" w:lineRule="auto"/>
        <w:ind w:firstLine="482" w:firstLineChars="200"/>
        <w:rPr>
          <w:rFonts w:ascii="Times New Roman" w:hAnsi="Times New Roman"/>
          <w:b/>
          <w:bCs/>
          <w:sz w:val="24"/>
        </w:rPr>
      </w:pPr>
      <w:r>
        <w:rPr>
          <w:rFonts w:hint="eastAsia" w:ascii="Times New Roman" w:hAnsi="Times New Roman"/>
          <w:b/>
          <w:bCs/>
          <w:sz w:val="24"/>
        </w:rPr>
        <w:t>(1) 全生命周期环境影响评价结果</w:t>
      </w:r>
    </w:p>
    <w:p w14:paraId="3B402595">
      <w:pPr>
        <w:spacing w:line="360" w:lineRule="auto"/>
        <w:ind w:firstLine="480" w:firstLineChars="200"/>
        <w:rPr>
          <w:rFonts w:ascii="Times New Roman" w:hAnsi="Times New Roman"/>
          <w:sz w:val="24"/>
        </w:rPr>
      </w:pPr>
      <w:r>
        <w:rPr>
          <w:rFonts w:hint="eastAsia" w:ascii="Times New Roman" w:hAnsi="Times New Roman"/>
          <w:sz w:val="24"/>
        </w:rPr>
        <w:t>在单项修复技术验证中，</w:t>
      </w:r>
      <w:r>
        <w:rPr>
          <w:rFonts w:ascii="Times New Roman" w:hAnsi="Times New Roman"/>
          <w:sz w:val="24"/>
        </w:rPr>
        <w:t>5</w:t>
      </w:r>
      <w:r>
        <w:rPr>
          <w:rFonts w:hint="eastAsia" w:ascii="Times New Roman" w:hAnsi="Times New Roman"/>
          <w:sz w:val="24"/>
        </w:rPr>
        <w:t>个方案使用</w:t>
      </w:r>
      <w:r>
        <w:rPr>
          <w:rFonts w:ascii="Times New Roman" w:hAnsi="Times New Roman"/>
          <w:sz w:val="24"/>
        </w:rPr>
        <w:t>ReCiPe2016</w:t>
      </w:r>
      <w:r>
        <w:rPr>
          <w:rFonts w:hint="eastAsia" w:ascii="Times New Roman" w:hAnsi="Times New Roman"/>
          <w:sz w:val="24"/>
        </w:rPr>
        <w:t>方法的终点环境影响（人体健康、生态系统、资源消耗）和碳排放差异明显：方案一终点环境影响最高，为</w:t>
      </w:r>
      <w:r>
        <w:rPr>
          <w:rFonts w:ascii="Times New Roman" w:hAnsi="Times New Roman"/>
          <w:sz w:val="24"/>
        </w:rPr>
        <w:t>3011.03 kPt</w:t>
      </w:r>
      <w:r>
        <w:rPr>
          <w:rFonts w:hint="eastAsia" w:ascii="Times New Roman" w:hAnsi="Times New Roman"/>
          <w:sz w:val="24"/>
        </w:rPr>
        <w:t>，碳排放达</w:t>
      </w:r>
      <w:r>
        <w:rPr>
          <w:rFonts w:ascii="Times New Roman" w:hAnsi="Times New Roman"/>
          <w:sz w:val="24"/>
        </w:rPr>
        <w:t>16.68×10³ t CO₂ eq</w:t>
      </w:r>
      <w:r>
        <w:rPr>
          <w:rFonts w:hint="eastAsia" w:ascii="Times New Roman" w:hAnsi="Times New Roman"/>
          <w:sz w:val="24"/>
        </w:rPr>
        <w:t>；方案二通过增加抽提井数量并优化井群布设，显著缩短了运行周期，整体环境影响明显低于方案一，终点环境影响降至</w:t>
      </w:r>
      <w:r>
        <w:rPr>
          <w:rFonts w:ascii="Times New Roman" w:hAnsi="Times New Roman"/>
          <w:sz w:val="24"/>
        </w:rPr>
        <w:t>992.04 kPt</w:t>
      </w:r>
      <w:r>
        <w:rPr>
          <w:rFonts w:hint="eastAsia" w:ascii="Times New Roman" w:hAnsi="Times New Roman"/>
          <w:sz w:val="24"/>
        </w:rPr>
        <w:t>，较方案一降低约</w:t>
      </w:r>
      <w:r>
        <w:rPr>
          <w:rFonts w:ascii="Times New Roman" w:hAnsi="Times New Roman"/>
          <w:sz w:val="24"/>
        </w:rPr>
        <w:t>67%</w:t>
      </w:r>
      <w:r>
        <w:rPr>
          <w:rFonts w:hint="eastAsia" w:ascii="Times New Roman" w:hAnsi="Times New Roman"/>
          <w:sz w:val="24"/>
        </w:rPr>
        <w:t>，在人体健康、生态系统和资源消耗三类终点指标中均表现最优，碳排放为</w:t>
      </w:r>
      <w:r>
        <w:rPr>
          <w:rFonts w:ascii="Times New Roman" w:hAnsi="Times New Roman"/>
          <w:sz w:val="24"/>
        </w:rPr>
        <w:t>4.87×10³ t CO₂ eq</w:t>
      </w:r>
      <w:r>
        <w:rPr>
          <w:rFonts w:hint="eastAsia" w:ascii="Times New Roman" w:hAnsi="Times New Roman"/>
          <w:sz w:val="24"/>
        </w:rPr>
        <w:t>，较方案一降低约</w:t>
      </w:r>
      <w:r>
        <w:rPr>
          <w:rFonts w:ascii="Times New Roman" w:hAnsi="Times New Roman"/>
          <w:sz w:val="24"/>
        </w:rPr>
        <w:t>70.8%</w:t>
      </w:r>
      <w:r>
        <w:rPr>
          <w:rFonts w:hint="eastAsia" w:ascii="Times New Roman" w:hAnsi="Times New Roman"/>
          <w:sz w:val="24"/>
        </w:rPr>
        <w:t>。方案四为方案三的优化方案，在浓度高值区提高抽水强度，运行时间缩短至1100天，终点环境影响为1024.76 kPt，仅略高于方案二，可作为高浓度区域实施分区强化抽水的备选方案。方案五因单井抽水量较低，运行时间延长至1450天，环境影响高于方案二、方案三和方案四。验证结果证明，在满足风险管控目标的前提下，采用精细化方案设计能够显著降低抽出处理全过程碳排放。</w:t>
      </w:r>
    </w:p>
    <w:p w14:paraId="26EEAB2F">
      <w:pPr>
        <w:spacing w:line="360" w:lineRule="auto"/>
        <w:ind w:firstLine="480" w:firstLineChars="200"/>
        <w:rPr>
          <w:rFonts w:ascii="Times New Roman" w:hAnsi="Times New Roman"/>
          <w:sz w:val="24"/>
        </w:rPr>
      </w:pPr>
      <w:r>
        <w:rPr>
          <w:rFonts w:hint="eastAsia" w:ascii="Times New Roman" w:hAnsi="Times New Roman"/>
          <w:sz w:val="24"/>
        </w:rPr>
        <w:t>在集成修复技术验证中，</w:t>
      </w:r>
      <w:r>
        <w:rPr>
          <w:rFonts w:ascii="Times New Roman" w:hAnsi="Times New Roman"/>
          <w:sz w:val="24"/>
        </w:rPr>
        <w:t>3</w:t>
      </w:r>
      <w:r>
        <w:rPr>
          <w:rFonts w:hint="eastAsia" w:ascii="Times New Roman" w:hAnsi="Times New Roman"/>
          <w:sz w:val="24"/>
        </w:rPr>
        <w:t>种方案使用</w:t>
      </w:r>
      <w:r>
        <w:rPr>
          <w:rFonts w:ascii="Times New Roman" w:hAnsi="Times New Roman"/>
          <w:sz w:val="24"/>
        </w:rPr>
        <w:t>ReCiPe2016</w:t>
      </w:r>
      <w:r>
        <w:rPr>
          <w:rFonts w:hint="eastAsia" w:ascii="Times New Roman" w:hAnsi="Times New Roman"/>
          <w:sz w:val="24"/>
        </w:rPr>
        <w:t>方法的温室气体排放量差异明显：方案一碳排放最高，为</w:t>
      </w:r>
      <w:r>
        <w:rPr>
          <w:rFonts w:ascii="Times New Roman" w:hAnsi="Times New Roman"/>
          <w:sz w:val="24"/>
        </w:rPr>
        <w:t>6.08×10⁸ kg CO₂ eq</w:t>
      </w:r>
      <w:r>
        <w:rPr>
          <w:rFonts w:hint="eastAsia" w:ascii="Times New Roman" w:hAnsi="Times New Roman"/>
          <w:sz w:val="24"/>
        </w:rPr>
        <w:t>；方案二通过降低高强度修复技术的使用范围，并在低污染区引入监测自然衰减，整体环境影响较方案一明显下降，碳排放为</w:t>
      </w:r>
      <w:r>
        <w:rPr>
          <w:rFonts w:ascii="Times New Roman" w:hAnsi="Times New Roman"/>
          <w:sz w:val="24"/>
        </w:rPr>
        <w:t>1.10×10⁸ kg CO₂ eq</w:t>
      </w:r>
      <w:r>
        <w:rPr>
          <w:rFonts w:hint="eastAsia" w:ascii="Times New Roman" w:hAnsi="Times New Roman"/>
          <w:sz w:val="24"/>
        </w:rPr>
        <w:t>，较方案一降低约</w:t>
      </w:r>
      <w:r>
        <w:rPr>
          <w:rFonts w:ascii="Times New Roman" w:hAnsi="Times New Roman"/>
          <w:sz w:val="24"/>
        </w:rPr>
        <w:t>81.9%</w:t>
      </w:r>
      <w:r>
        <w:rPr>
          <w:rFonts w:hint="eastAsia" w:ascii="Times New Roman" w:hAnsi="Times New Roman"/>
          <w:sz w:val="24"/>
        </w:rPr>
        <w:t>；方案三以植被恢复和监测自然衰减为主，材料能源投入最少，中点环境影响最低，碳排放为</w:t>
      </w:r>
      <w:r>
        <w:rPr>
          <w:rFonts w:ascii="Times New Roman" w:hAnsi="Times New Roman"/>
          <w:sz w:val="24"/>
        </w:rPr>
        <w:t>1.80×10⁶ kg CO₂ eq</w:t>
      </w:r>
      <w:r>
        <w:rPr>
          <w:rFonts w:hint="eastAsia" w:ascii="Times New Roman" w:hAnsi="Times New Roman"/>
          <w:sz w:val="24"/>
        </w:rPr>
        <w:t>，较方案一降低约</w:t>
      </w:r>
      <w:r>
        <w:rPr>
          <w:rFonts w:ascii="Times New Roman" w:hAnsi="Times New Roman"/>
          <w:sz w:val="24"/>
        </w:rPr>
        <w:t>99.7%</w:t>
      </w:r>
      <w:r>
        <w:rPr>
          <w:rFonts w:hint="eastAsia" w:ascii="Times New Roman" w:hAnsi="Times New Roman"/>
          <w:sz w:val="24"/>
        </w:rPr>
        <w:t>。</w:t>
      </w:r>
    </w:p>
    <w:p w14:paraId="2D29ECB0">
      <w:pPr>
        <w:spacing w:line="360" w:lineRule="auto"/>
        <w:ind w:firstLine="482" w:firstLineChars="200"/>
        <w:rPr>
          <w:rFonts w:ascii="Times New Roman" w:hAnsi="Times New Roman"/>
          <w:b/>
          <w:bCs/>
          <w:sz w:val="24"/>
        </w:rPr>
      </w:pPr>
      <w:r>
        <w:rPr>
          <w:rFonts w:hint="eastAsia" w:ascii="Times New Roman" w:hAnsi="Times New Roman"/>
          <w:b/>
          <w:bCs/>
          <w:sz w:val="24"/>
        </w:rPr>
        <w:t>(2) 关键碳排放环节识别</w:t>
      </w:r>
    </w:p>
    <w:p w14:paraId="3DEAB5BA">
      <w:pPr>
        <w:spacing w:line="360" w:lineRule="auto"/>
        <w:ind w:firstLine="480" w:firstLineChars="200"/>
        <w:rPr>
          <w:rFonts w:ascii="Times New Roman" w:hAnsi="Times New Roman"/>
          <w:sz w:val="24"/>
        </w:rPr>
      </w:pPr>
      <w:r>
        <w:rPr>
          <w:rFonts w:hint="eastAsia" w:ascii="Times New Roman" w:hAnsi="Times New Roman"/>
          <w:sz w:val="24"/>
        </w:rPr>
        <w:t>在抽出处理技术中，电力消耗、建井材料、管道材料、废水处理和运输活动是关键贡献环节。方案一因抽提井数量少、污染羽控制效率不足，长期运行的累计抽提总量和废水处理量显著增加，碳排放最高；方案二至方案五通过优化井群布设显著缩短运行周期，碳排放较方案一降低超过60%。在集成修复中，方案一在原位热脱附、多相抽提和化学氧化等主动修复单元运行强度较高，能源消耗、药剂投入和尾气废水处理需求较大，在18个中点影响类别中的17个类别占据主导地位；方案二和方案三通过降低高强度修复技术使用范围，环境负荷明显下降。验证结果证明了本指南关于“源区高效削减、中低浓度区域低碳修复、拖尾阶段自然衰减或生态恢复”集成修复原则的科学性，以及材料替代、能源优化、精准修复等降碳管理措施的有效性。</w:t>
      </w:r>
    </w:p>
    <w:p w14:paraId="33737DA9">
      <w:pPr>
        <w:pStyle w:val="2"/>
        <w:keepNext/>
        <w:keepLines/>
        <w:pageBreakBefore w:val="0"/>
        <w:widowControl w:val="0"/>
        <w:numPr>
          <w:ilvl w:val="0"/>
          <w:numId w:val="1"/>
        </w:numPr>
        <w:kinsoku/>
        <w:wordWrap/>
        <w:overflowPunct/>
        <w:topLinePunct w:val="0"/>
        <w:autoSpaceDE/>
        <w:autoSpaceDN/>
        <w:bidi w:val="0"/>
        <w:adjustRightInd/>
        <w:snapToGrid/>
        <w:ind w:left="0" w:firstLine="0"/>
        <w:textAlignment w:val="auto"/>
      </w:pPr>
      <w:bookmarkStart w:id="11" w:name="_Toc4952"/>
      <w:r>
        <w:t>与国内外相关标准的关系分析</w:t>
      </w:r>
      <w:bookmarkEnd w:id="11"/>
    </w:p>
    <w:p w14:paraId="0430584A">
      <w:pPr>
        <w:spacing w:line="360" w:lineRule="auto"/>
        <w:ind w:firstLine="480" w:firstLineChars="200"/>
        <w:rPr>
          <w:rFonts w:ascii="Times New Roman" w:hAnsi="Times New Roman"/>
          <w:sz w:val="24"/>
        </w:rPr>
      </w:pPr>
      <w:r>
        <w:rPr>
          <w:rFonts w:hint="eastAsia" w:ascii="Times New Roman" w:hAnsi="Times New Roman"/>
          <w:sz w:val="24"/>
        </w:rPr>
        <w:t>国外绿色低碳修复标准和指南体系起步较早，已逐步形成以全过程管理、生命周期评价、多维度决策和最佳管理措施为主要特征的技术框架。美国USEPA发布的绿色修复战略强调全过程能源效率、材料再利用与温室气体减排，ASTM E2876-13提出了污染场地修复中可持续管理实践。ISO 18504:2017建立了可持续土壤修复流程与评估框架，英国SuRF-UK指南则从环境、经济和社会三个维度开展多准则评估。上述标准和指南为本标准的全生命周期管理、碳排放控制、方案比选和降碳最佳管理措施提供了重要参考。</w:t>
      </w:r>
    </w:p>
    <w:p w14:paraId="354C9338">
      <w:pPr>
        <w:spacing w:line="360" w:lineRule="auto"/>
        <w:ind w:firstLine="480" w:firstLineChars="200"/>
        <w:rPr>
          <w:rFonts w:ascii="Times New Roman" w:hAnsi="Times New Roman"/>
          <w:sz w:val="24"/>
        </w:rPr>
      </w:pPr>
      <w:r>
        <w:rPr>
          <w:rFonts w:hint="eastAsia" w:ascii="Times New Roman" w:hAnsi="Times New Roman"/>
          <w:sz w:val="24"/>
        </w:rPr>
        <w:t>我国已发布建设用地土壤污染调查、风险评估、修复、监测和效果评估等系列技术标准，并出台了污染地块绿色可持续修复相关团体标准，为污染地块风险管控与修复工作提供了基本依据。但现有标准主要侧重污染风险控制、修复技术实施和修复效果评估，对能源与材料消耗、温室气体排放、资源循环利用以及不同修复技术全过程降碳措施的规定仍不够系统，尚未形成专门面向污染地块绿色低碳修复的完整技术指导体系。</w:t>
      </w:r>
    </w:p>
    <w:p w14:paraId="257DE694">
      <w:pPr>
        <w:spacing w:line="360" w:lineRule="auto"/>
        <w:ind w:firstLine="480" w:firstLineChars="200"/>
        <w:rPr>
          <w:rFonts w:ascii="Times New Roman" w:hAnsi="Times New Roman"/>
          <w:sz w:val="24"/>
        </w:rPr>
      </w:pPr>
      <w:r>
        <w:rPr>
          <w:rFonts w:hint="eastAsia" w:ascii="Times New Roman" w:hAnsi="Times New Roman"/>
          <w:sz w:val="24"/>
        </w:rPr>
        <w:t>本标准在借鉴国外绿色修复理念、生命周期评价方法和最佳管理措施的基础上，结合我国污染地块类型、修复技术应用条件、工程管理模式和碳排放控制需求，提出适用于我国污染地块修复的绿色低碳技术要求。标准重点规定不同污染类型的低碳修复技术路径，以及原料准备、系统建设、技术实施及监测、废物处置等阶段的降碳管理措施，突出分区分类修复、低碳技术优先、运行参数动态优化和资源循环利用。</w:t>
      </w:r>
    </w:p>
    <w:p w14:paraId="2D6E01DD">
      <w:pPr>
        <w:spacing w:line="360" w:lineRule="auto"/>
        <w:ind w:firstLine="480" w:firstLineChars="200"/>
        <w:rPr>
          <w:rFonts w:ascii="Times New Roman" w:hAnsi="Times New Roman"/>
          <w:sz w:val="24"/>
        </w:rPr>
      </w:pPr>
      <w:r>
        <w:rPr>
          <w:rFonts w:hint="eastAsia" w:ascii="Times New Roman" w:hAnsi="Times New Roman"/>
          <w:sz w:val="24"/>
        </w:rPr>
        <w:t>本标准与现行污染地块调查、风险评估、修复设计、监测及效果评估标准相互衔接，不替代现有标准规定的环境调查、风险管控和修复达标要求，而是在保障修复效果和环境安全的前提下，对修复全过程的资源能源消耗和碳排放控制进行补充和完善。本标准的制定有助于填补我国污染地块绿色低碳修复专项技术标准的不足，推动污染地块修复由单一污染风险控制向减污、降碳、节能和资源循环利用协同转变。</w:t>
      </w:r>
    </w:p>
    <w:p w14:paraId="793B5F40">
      <w:pPr>
        <w:pStyle w:val="2"/>
        <w:keepNext/>
        <w:keepLines/>
        <w:pageBreakBefore w:val="0"/>
        <w:widowControl w:val="0"/>
        <w:numPr>
          <w:ilvl w:val="0"/>
          <w:numId w:val="1"/>
        </w:numPr>
        <w:kinsoku/>
        <w:wordWrap/>
        <w:overflowPunct/>
        <w:topLinePunct w:val="0"/>
        <w:autoSpaceDE/>
        <w:autoSpaceDN/>
        <w:bidi w:val="0"/>
        <w:adjustRightInd/>
        <w:snapToGrid/>
        <w:ind w:left="0" w:firstLine="0"/>
        <w:textAlignment w:val="auto"/>
      </w:pPr>
      <w:bookmarkStart w:id="12" w:name="_Toc10787"/>
      <w:r>
        <w:t>标准实施的效益分析</w:t>
      </w:r>
      <w:bookmarkEnd w:id="12"/>
    </w:p>
    <w:p w14:paraId="3BF20920">
      <w:pPr>
        <w:pStyle w:val="3"/>
        <w:bidi w:val="0"/>
      </w:pPr>
      <w:bookmarkStart w:id="13" w:name="_Toc13779"/>
      <w:r>
        <w:rPr>
          <w:rFonts w:hint="eastAsia"/>
        </w:rPr>
        <w:t>6.1评价方法与系统边界</w:t>
      </w:r>
      <w:bookmarkEnd w:id="13"/>
    </w:p>
    <w:p w14:paraId="4F54DEED">
      <w:pPr>
        <w:spacing w:line="360" w:lineRule="auto"/>
        <w:ind w:firstLine="480" w:firstLineChars="200"/>
        <w:rPr>
          <w:rFonts w:ascii="Times New Roman" w:hAnsi="Times New Roman"/>
          <w:sz w:val="24"/>
        </w:rPr>
      </w:pPr>
      <w:r>
        <w:rPr>
          <w:rFonts w:hint="eastAsia" w:ascii="Times New Roman" w:hAnsi="Times New Roman"/>
          <w:sz w:val="24"/>
        </w:rPr>
        <w:t>本指南推荐的绿色低碳修复技术效益分析基于两个验证案例的全生命周期评价结果，核算边界覆盖修复工程全生命周期四个阶段：原料生产阶段（材料生产与运输）、系统建设阶段（设备安装与工程建设）、技术实施及监测阶段（设备运行、能源消耗、药剂投加、过程监测）、废物处置阶段（废弃物回收、资源化与安全处置）。评价指标包括终点环境影响（人体健康、生态系统、资源消耗）和碳排放（以</w:t>
      </w:r>
      <w:r>
        <w:rPr>
          <w:rFonts w:ascii="Times New Roman" w:hAnsi="Times New Roman"/>
          <w:sz w:val="24"/>
        </w:rPr>
        <w:t>CO₂ eq</w:t>
      </w:r>
      <w:r>
        <w:rPr>
          <w:rFonts w:hint="eastAsia" w:ascii="Times New Roman" w:hAnsi="Times New Roman"/>
          <w:sz w:val="24"/>
        </w:rPr>
        <w:t>计）两类核心指标。</w:t>
      </w:r>
    </w:p>
    <w:p w14:paraId="05F8FCD3">
      <w:pPr>
        <w:pStyle w:val="3"/>
        <w:bidi w:val="0"/>
      </w:pPr>
      <w:bookmarkStart w:id="14" w:name="_Toc17916"/>
      <w:r>
        <w:rPr>
          <w:rFonts w:hint="eastAsia"/>
        </w:rPr>
        <w:t>6.2修复技术降碳效益</w:t>
      </w:r>
      <w:bookmarkEnd w:id="14"/>
    </w:p>
    <w:p w14:paraId="3C07CC25">
      <w:pPr>
        <w:spacing w:line="360" w:lineRule="auto"/>
        <w:ind w:firstLine="480" w:firstLineChars="200"/>
        <w:rPr>
          <w:rFonts w:ascii="Times New Roman" w:hAnsi="Times New Roman"/>
          <w:sz w:val="24"/>
        </w:rPr>
      </w:pPr>
      <w:r>
        <w:rPr>
          <w:rFonts w:hint="eastAsia" w:ascii="Times New Roman" w:hAnsi="Times New Roman"/>
          <w:sz w:val="24"/>
        </w:rPr>
        <w:t>以抽出处理技术为例，通过优化井群布设、实施差异化抽水和动态调整运行参数，可实现显著降碳。方案一碳排放为</w:t>
      </w:r>
      <w:r>
        <w:rPr>
          <w:rFonts w:ascii="Times New Roman" w:hAnsi="Times New Roman"/>
          <w:sz w:val="24"/>
        </w:rPr>
        <w:t>16.68×10³ t CO₂ eq</w:t>
      </w:r>
      <w:r>
        <w:rPr>
          <w:rFonts w:hint="eastAsia" w:ascii="Times New Roman" w:hAnsi="Times New Roman"/>
          <w:sz w:val="24"/>
        </w:rPr>
        <w:t>；方案二（合理增加井群数量至</w:t>
      </w:r>
      <w:r>
        <w:rPr>
          <w:rFonts w:ascii="Times New Roman" w:hAnsi="Times New Roman"/>
          <w:sz w:val="24"/>
        </w:rPr>
        <w:t>19</w:t>
      </w:r>
      <w:r>
        <w:rPr>
          <w:rFonts w:hint="eastAsia" w:ascii="Times New Roman" w:hAnsi="Times New Roman"/>
          <w:sz w:val="24"/>
        </w:rPr>
        <w:t>口，优化抽水强度至</w:t>
      </w:r>
      <w:r>
        <w:rPr>
          <w:rFonts w:ascii="Times New Roman" w:hAnsi="Times New Roman"/>
          <w:sz w:val="24"/>
        </w:rPr>
        <w:t>216 m³/d</w:t>
      </w:r>
      <w:r>
        <w:rPr>
          <w:rFonts w:hint="eastAsia" w:ascii="Times New Roman" w:hAnsi="Times New Roman"/>
          <w:sz w:val="24"/>
        </w:rPr>
        <w:t>，运行</w:t>
      </w:r>
      <w:r>
        <w:rPr>
          <w:rFonts w:ascii="Times New Roman" w:hAnsi="Times New Roman"/>
          <w:sz w:val="24"/>
        </w:rPr>
        <w:t>1100</w:t>
      </w:r>
      <w:r>
        <w:rPr>
          <w:rFonts w:hint="eastAsia" w:ascii="Times New Roman" w:hAnsi="Times New Roman"/>
          <w:sz w:val="24"/>
        </w:rPr>
        <w:t>天）碳排放为</w:t>
      </w:r>
      <w:r>
        <w:rPr>
          <w:rFonts w:ascii="Times New Roman" w:hAnsi="Times New Roman"/>
          <w:sz w:val="24"/>
        </w:rPr>
        <w:t>4.87×10³ t CO₂ eq</w:t>
      </w:r>
      <w:r>
        <w:rPr>
          <w:rFonts w:hint="eastAsia" w:ascii="Times New Roman" w:hAnsi="Times New Roman"/>
          <w:sz w:val="24"/>
        </w:rPr>
        <w:t>。方案二较方案一碳排放降低约</w:t>
      </w:r>
      <w:r>
        <w:rPr>
          <w:rFonts w:ascii="Times New Roman" w:hAnsi="Times New Roman"/>
          <w:sz w:val="24"/>
        </w:rPr>
        <w:t>70.8%</w:t>
      </w:r>
      <w:r>
        <w:rPr>
          <w:rFonts w:hint="eastAsia" w:ascii="Times New Roman" w:hAnsi="Times New Roman"/>
          <w:sz w:val="24"/>
        </w:rPr>
        <w:t>，终点环境影响降低约</w:t>
      </w:r>
      <w:r>
        <w:rPr>
          <w:rFonts w:ascii="Times New Roman" w:hAnsi="Times New Roman"/>
          <w:sz w:val="24"/>
        </w:rPr>
        <w:t>67%</w:t>
      </w:r>
      <w:r>
        <w:rPr>
          <w:rFonts w:hint="eastAsia" w:ascii="Times New Roman" w:hAnsi="Times New Roman"/>
          <w:sz w:val="24"/>
        </w:rPr>
        <w:t>。方案四（</w:t>
      </w:r>
      <w:r>
        <w:rPr>
          <w:rFonts w:ascii="Times New Roman" w:hAnsi="Times New Roman"/>
          <w:sz w:val="24"/>
        </w:rPr>
        <w:t>21</w:t>
      </w:r>
      <w:r>
        <w:rPr>
          <w:rFonts w:hint="eastAsia" w:ascii="Times New Roman" w:hAnsi="Times New Roman"/>
          <w:sz w:val="24"/>
        </w:rPr>
        <w:t>口井，浓度高值区差异化强化抽水）碳排放为</w:t>
      </w:r>
      <w:r>
        <w:rPr>
          <w:rFonts w:ascii="Times New Roman" w:hAnsi="Times New Roman"/>
          <w:sz w:val="24"/>
        </w:rPr>
        <w:t>5.51×10³ t CO₂ eq</w:t>
      </w:r>
      <w:r>
        <w:rPr>
          <w:rFonts w:hint="eastAsia" w:ascii="Times New Roman" w:hAnsi="Times New Roman"/>
          <w:sz w:val="24"/>
        </w:rPr>
        <w:t>，较方案一降低约</w:t>
      </w:r>
      <w:r>
        <w:rPr>
          <w:rFonts w:ascii="Times New Roman" w:hAnsi="Times New Roman"/>
          <w:sz w:val="24"/>
        </w:rPr>
        <w:t>67%</w:t>
      </w:r>
      <w:r>
        <w:rPr>
          <w:rFonts w:hint="eastAsia" w:ascii="Times New Roman" w:hAnsi="Times New Roman"/>
          <w:sz w:val="24"/>
        </w:rPr>
        <w:t>，可作为高浓度区域强化控制的备选方案。验证结果表明，采用本指南推荐的抽出处理技术降碳最佳管理措施（优先利用现有井点、差异化抽水、选用高效潜泵和变频控制、动态监测与阶段性评估），碳排放可较常规方案降低约70%。</w:t>
      </w:r>
    </w:p>
    <w:p w14:paraId="122F88B4">
      <w:pPr>
        <w:spacing w:line="360" w:lineRule="auto"/>
        <w:ind w:firstLine="480" w:firstLineChars="200"/>
        <w:rPr>
          <w:rFonts w:ascii="Times New Roman" w:hAnsi="Times New Roman"/>
          <w:sz w:val="24"/>
        </w:rPr>
      </w:pPr>
      <w:r>
        <w:rPr>
          <w:rFonts w:hint="eastAsia" w:ascii="Times New Roman" w:hAnsi="Times New Roman"/>
          <w:sz w:val="24"/>
        </w:rPr>
        <w:t>以有机污染地块集成修复为例，采用“分区分类、分阶段”集成修复策略，可大幅降低修复过程碳排放。方案一（全场高强度主动修复：原位热脱附</w:t>
      </w:r>
      <w:r>
        <w:rPr>
          <w:rFonts w:ascii="Times New Roman" w:hAnsi="Times New Roman"/>
          <w:sz w:val="24"/>
        </w:rPr>
        <w:t>+</w:t>
      </w:r>
      <w:r>
        <w:rPr>
          <w:rFonts w:hint="eastAsia" w:ascii="Times New Roman" w:hAnsi="Times New Roman"/>
          <w:sz w:val="24"/>
        </w:rPr>
        <w:t>多相抽提</w:t>
      </w:r>
      <w:r>
        <w:rPr>
          <w:rFonts w:ascii="Times New Roman" w:hAnsi="Times New Roman"/>
          <w:sz w:val="24"/>
        </w:rPr>
        <w:t>+</w:t>
      </w:r>
      <w:r>
        <w:rPr>
          <w:rFonts w:hint="eastAsia" w:ascii="Times New Roman" w:hAnsi="Times New Roman"/>
          <w:sz w:val="24"/>
        </w:rPr>
        <w:t>原位化学氧化）碳排放为</w:t>
      </w:r>
      <w:r>
        <w:rPr>
          <w:rFonts w:ascii="Times New Roman" w:hAnsi="Times New Roman"/>
          <w:sz w:val="24"/>
        </w:rPr>
        <w:t>6.08×10⁸ kg CO₂ eq</w:t>
      </w:r>
      <w:r>
        <w:rPr>
          <w:rFonts w:hint="eastAsia" w:ascii="Times New Roman" w:hAnsi="Times New Roman"/>
          <w:sz w:val="24"/>
        </w:rPr>
        <w:t>；方案二（分区组合修复：高污染区多相抽提</w:t>
      </w:r>
      <w:r>
        <w:rPr>
          <w:rFonts w:ascii="Times New Roman" w:hAnsi="Times New Roman"/>
          <w:sz w:val="24"/>
        </w:rPr>
        <w:t>+</w:t>
      </w:r>
      <w:r>
        <w:rPr>
          <w:rFonts w:hint="eastAsia" w:ascii="Times New Roman" w:hAnsi="Times New Roman"/>
          <w:sz w:val="24"/>
        </w:rPr>
        <w:t>中污染区原位化学氧化</w:t>
      </w:r>
      <w:r>
        <w:rPr>
          <w:rFonts w:ascii="Times New Roman" w:hAnsi="Times New Roman"/>
          <w:sz w:val="24"/>
        </w:rPr>
        <w:t>+</w:t>
      </w:r>
      <w:r>
        <w:rPr>
          <w:rFonts w:hint="eastAsia" w:ascii="Times New Roman" w:hAnsi="Times New Roman"/>
          <w:sz w:val="24"/>
        </w:rPr>
        <w:t>低污染区监测自然衰减）碳排放为</w:t>
      </w:r>
      <w:r>
        <w:rPr>
          <w:rFonts w:ascii="Times New Roman" w:hAnsi="Times New Roman"/>
          <w:sz w:val="24"/>
        </w:rPr>
        <w:t>1.10×10⁸ kg CO₂ eq</w:t>
      </w:r>
      <w:r>
        <w:rPr>
          <w:rFonts w:hint="eastAsia" w:ascii="Times New Roman" w:hAnsi="Times New Roman"/>
          <w:sz w:val="24"/>
        </w:rPr>
        <w:t>，较方案一降低约</w:t>
      </w:r>
      <w:r>
        <w:rPr>
          <w:rFonts w:ascii="Times New Roman" w:hAnsi="Times New Roman"/>
          <w:sz w:val="24"/>
        </w:rPr>
        <w:t>81.9%</w:t>
      </w:r>
      <w:r>
        <w:rPr>
          <w:rFonts w:hint="eastAsia" w:ascii="Times New Roman" w:hAnsi="Times New Roman"/>
          <w:sz w:val="24"/>
        </w:rPr>
        <w:t>；方案三（低强度自然衰减：植被恢复</w:t>
      </w:r>
      <w:r>
        <w:rPr>
          <w:rFonts w:ascii="Times New Roman" w:hAnsi="Times New Roman"/>
          <w:sz w:val="24"/>
        </w:rPr>
        <w:t>+</w:t>
      </w:r>
      <w:r>
        <w:rPr>
          <w:rFonts w:hint="eastAsia" w:ascii="Times New Roman" w:hAnsi="Times New Roman"/>
          <w:sz w:val="24"/>
        </w:rPr>
        <w:t>监测自然衰减）碳排放为</w:t>
      </w:r>
      <w:r>
        <w:rPr>
          <w:rFonts w:ascii="Times New Roman" w:hAnsi="Times New Roman"/>
          <w:sz w:val="24"/>
        </w:rPr>
        <w:t>1.80×10⁶ kg CO₂ eq</w:t>
      </w:r>
      <w:r>
        <w:rPr>
          <w:rFonts w:hint="eastAsia" w:ascii="Times New Roman" w:hAnsi="Times New Roman"/>
          <w:sz w:val="24"/>
        </w:rPr>
        <w:t>，较方案一降低约</w:t>
      </w:r>
      <w:r>
        <w:rPr>
          <w:rFonts w:ascii="Times New Roman" w:hAnsi="Times New Roman"/>
          <w:sz w:val="24"/>
        </w:rPr>
        <w:t>99.7%</w:t>
      </w:r>
      <w:r>
        <w:rPr>
          <w:rFonts w:hint="eastAsia" w:ascii="Times New Roman" w:hAnsi="Times New Roman"/>
          <w:sz w:val="24"/>
        </w:rPr>
        <w:t>。验证结果证明，在满足风险管控和修复目标的前提下，采用分区分类、分阶段的集成修复方案，可显著降低高强度主动修复单元的使用范围和运行负荷。方案二与方案一对比，碳排放降低约81.9%，且能够在污染削减效率和低碳管理之间取得相对平衡，可作为兼顾修复要求与低碳目标的推荐方案。方案三虽碳排放最低，但修复周期和风险削减效率需结合场地再开发时序综合判断。</w:t>
      </w:r>
    </w:p>
    <w:p w14:paraId="449C0C06">
      <w:pPr>
        <w:spacing w:line="360" w:lineRule="auto"/>
        <w:ind w:firstLine="480" w:firstLineChars="200"/>
        <w:rPr>
          <w:rFonts w:ascii="Times New Roman" w:hAnsi="Times New Roman"/>
          <w:sz w:val="24"/>
        </w:rPr>
      </w:pPr>
      <w:r>
        <w:rPr>
          <w:rFonts w:hint="eastAsia" w:ascii="Times New Roman" w:hAnsi="Times New Roman"/>
          <w:sz w:val="24"/>
        </w:rPr>
        <w:t>综上，采用本指南推荐的绿色低碳修复技术及降碳最佳管理措施后，修复工程碳排放总量较传统高强度方案可降低约70%~99.7%。具体降碳幅度因场地条件、污染物类型、修复技术组合和实施规模而异，但各验证案例一致表明：优化井群布设、实施分区差异化修复、避免全场单一高强度技术、在低污染区引入监测自然衰减等降碳管理措施，是显著降低修复过程碳排放的有效路径。</w:t>
      </w:r>
    </w:p>
    <w:p w14:paraId="31862995">
      <w:pPr>
        <w:pStyle w:val="3"/>
        <w:bidi w:val="0"/>
      </w:pPr>
      <w:bookmarkStart w:id="15" w:name="_Toc20868"/>
      <w:r>
        <w:rPr>
          <w:rFonts w:hint="eastAsia"/>
        </w:rPr>
        <w:t>6.3协同效益</w:t>
      </w:r>
      <w:bookmarkEnd w:id="15"/>
    </w:p>
    <w:p w14:paraId="3E830050">
      <w:pPr>
        <w:spacing w:line="360" w:lineRule="auto"/>
        <w:ind w:firstLine="480" w:firstLineChars="200"/>
        <w:rPr>
          <w:rFonts w:ascii="Times New Roman" w:hAnsi="Times New Roman"/>
          <w:sz w:val="24"/>
        </w:rPr>
      </w:pPr>
      <w:r>
        <w:rPr>
          <w:rFonts w:hint="eastAsia" w:ascii="Times New Roman" w:hAnsi="Times New Roman"/>
          <w:sz w:val="24"/>
        </w:rPr>
        <w:t>本指南实施带来的多重协同效益：一是资源节约，抽出处理技术案例中优先利用既有详查监测井减少新增钻探和建井材料消耗；集成修复技术案例中方案二和方案三通过降低高强度主动修复技术的使用范围，减少了药剂投入、能源消耗和尾气废水处理需求。二是生态效益，集成修复技术案例中方案三以植被恢复和监测自然衰减为主，工程扰动和材料投入较少，有利于保护土壤结构和生态功能。三是经济节约，集成修复技术案例中方案二较方案一碳排放降低约81.9%的同时，相应的能源消耗、药剂投入和废物处置成本亦同步下降。</w:t>
      </w:r>
    </w:p>
    <w:p w14:paraId="1E6F6F8A">
      <w:pPr>
        <w:pStyle w:val="2"/>
        <w:keepNext/>
        <w:keepLines/>
        <w:pageBreakBefore w:val="0"/>
        <w:widowControl w:val="0"/>
        <w:numPr>
          <w:ilvl w:val="0"/>
          <w:numId w:val="1"/>
        </w:numPr>
        <w:kinsoku/>
        <w:wordWrap/>
        <w:overflowPunct/>
        <w:topLinePunct w:val="0"/>
        <w:autoSpaceDE/>
        <w:autoSpaceDN/>
        <w:bidi w:val="0"/>
        <w:adjustRightInd/>
        <w:snapToGrid/>
        <w:ind w:left="0" w:firstLine="0"/>
        <w:textAlignment w:val="auto"/>
      </w:pPr>
      <w:bookmarkStart w:id="16" w:name="_Toc14802"/>
      <w:r>
        <w:t>标准实施的建议</w:t>
      </w:r>
      <w:bookmarkEnd w:id="16"/>
    </w:p>
    <w:p w14:paraId="78379FDC">
      <w:pPr>
        <w:spacing w:line="360" w:lineRule="auto"/>
        <w:ind w:firstLine="480" w:firstLineChars="200"/>
        <w:rPr>
          <w:rFonts w:ascii="Times New Roman" w:hAnsi="Times New Roman"/>
          <w:sz w:val="24"/>
          <w:highlight w:val="yellow"/>
        </w:rPr>
      </w:pPr>
      <w:r>
        <w:rPr>
          <w:rFonts w:hint="eastAsia" w:ascii="Times New Roman" w:hAnsi="Times New Roman"/>
          <w:sz w:val="24"/>
        </w:rPr>
        <w:t>本标准发布后，建议由中国环境</w:t>
      </w:r>
      <w:r>
        <w:rPr>
          <w:rFonts w:hint="eastAsia" w:ascii="Times New Roman" w:hAnsi="Times New Roman"/>
          <w:sz w:val="24"/>
          <w:lang w:val="en-US" w:eastAsia="zh-CN"/>
        </w:rPr>
        <w:t>科学学会</w:t>
      </w:r>
      <w:r>
        <w:rPr>
          <w:rFonts w:hint="eastAsia" w:ascii="Times New Roman" w:hAnsi="Times New Roman"/>
          <w:sz w:val="24"/>
        </w:rPr>
        <w:t>牵头组织，联合标准编制单位面向生态环境主管部门、高校和科研院所学者、全生命周期评价从业人员、碳核算从业人员及污染场地修复从业人员等多元主体，分层分类开展标准宣传与推广活动，并与中国环境科学学会密切配合，协同推进标准条款的执行与实施准备工作。在此基础上，建议相关部门研究制定配套政策文件，将绿色低碳修复要求逐步纳入污染地块修复方案审查和项目管理流程，为标准落地实施提供制度保障。同时，建议编制单位组织编制标准宣贯培训教材，面向不同使用主体开展针对性技术培训，重点解读绿色低碳修复工作程序、全生命周期碳排放核算方法、降碳最佳管理措施的操作要求，以及典型案例的分析方法，帮助相关单位和技术人员正确理解和应用本规范。此外，建议在全国选取若干典型污染地块（涵盖有机污染、重金属污染及复合污染等不同类型，覆盖工业用地、公园绿地等不同再利用方向）开展试点示范工作，组织相关技术人员实地参与方案设计、数据收集、碳排放核算和效果评估等环节，深化对标准条文的理解，积累本地化应用经验，为标准的全面推广和后续修订提供实践依据。</w:t>
      </w:r>
    </w:p>
    <w:p w14:paraId="0B887CE7"/>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157311"/>
      <w:docPartObj>
        <w:docPartGallery w:val="autotext"/>
      </w:docPartObj>
    </w:sdtPr>
    <w:sdtContent>
      <w:p w14:paraId="213A9F06">
        <w:pPr>
          <w:pStyle w:val="5"/>
          <w:jc w:val="center"/>
        </w:pPr>
      </w:p>
    </w:sdtContent>
  </w:sdt>
  <w:p w14:paraId="73912490">
    <w:pPr>
      <w:tabs>
        <w:tab w:val="center" w:pos="4153"/>
        <w:tab w:val="right" w:pos="8306"/>
      </w:tabs>
      <w:snapToGrid w:val="0"/>
      <w:jc w:val="left"/>
      <w:rPr>
        <w:rFonts w:ascii="Times New Roman" w:hAnsi="Times New Roman" w:eastAsia="宋体"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5205A">
    <w:pPr>
      <w:tabs>
        <w:tab w:val="center" w:pos="4153"/>
        <w:tab w:val="right" w:pos="8306"/>
      </w:tabs>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309FF">
                          <w:pPr>
                            <w:tabs>
                              <w:tab w:val="center" w:pos="4153"/>
                              <w:tab w:val="right" w:pos="8306"/>
                            </w:tabs>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1</w:t>
                          </w:r>
                          <w:r>
                            <w:rPr>
                              <w:rFonts w:ascii="Times New Roman" w:hAnsi="Times New Roman"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5CC309FF">
                    <w:pPr>
                      <w:tabs>
                        <w:tab w:val="center" w:pos="4153"/>
                        <w:tab w:val="right" w:pos="8306"/>
                      </w:tabs>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1</w:t>
                    </w:r>
                    <w:r>
                      <w:rPr>
                        <w:rFonts w:ascii="Times New Roman" w:hAnsi="Times New Roman" w:eastAsia="宋体" w:cs="Times New Roman"/>
                        <w:sz w:val="18"/>
                        <w:szCs w:val="18"/>
                      </w:rPr>
                      <w:fldChar w:fldCharType="end"/>
                    </w:r>
                  </w:p>
                </w:txbxContent>
              </v:textbox>
            </v:shape>
          </w:pict>
        </mc:Fallback>
      </mc:AlternateContent>
    </w:r>
    <w:r>
      <w:rPr>
        <w:rFonts w:ascii="Times New Roman" w:hAnsi="Times New Roman" w:eastAsia="宋体"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250427">
                          <w:pPr>
                            <w:rPr>
                              <w:rFonts w:ascii="Times New Roman" w:hAnsi="Times New Roman" w:eastAsia="宋体" w:cs="Times New Roma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73250427">
                    <w:pPr>
                      <w:rPr>
                        <w:rFonts w:ascii="Times New Roman" w:hAnsi="Times New Roman" w:eastAsia="宋体" w:cs="Times New Roma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6165"/>
      <w:docPartObj>
        <w:docPartGallery w:val="autotext"/>
      </w:docPartObj>
    </w:sdtPr>
    <w:sdtContent>
      <w:p w14:paraId="7D684760">
        <w:pPr>
          <w:pStyle w:val="5"/>
          <w:jc w:val="center"/>
        </w:pPr>
      </w:p>
    </w:sdtContent>
  </w:sdt>
  <w:p w14:paraId="4FE5F739">
    <w:pPr>
      <w:tabs>
        <w:tab w:val="center" w:pos="4153"/>
        <w:tab w:val="right" w:pos="8306"/>
      </w:tabs>
      <w:snapToGrid w:val="0"/>
      <w:jc w:val="left"/>
      <w:rPr>
        <w:rFonts w:ascii="Times New Roman" w:hAnsi="Times New Roman" w:eastAsia="宋体" w:cs="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5540C">
    <w:pPr>
      <w:tabs>
        <w:tab w:val="center" w:pos="4153"/>
        <w:tab w:val="right" w:pos="8306"/>
      </w:tabs>
      <w:snapToGrid w:val="0"/>
      <w:jc w:val="left"/>
      <w:rPr>
        <w:rFonts w:ascii="Times New Roman" w:hAnsi="Times New Roman" w:eastAsia="宋体" w:cs="Times New Roman"/>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734D52">
                          <w:pPr>
                            <w:rPr>
                              <w:rFonts w:ascii="Times New Roman" w:hAnsi="Times New Roman" w:eastAsia="宋体" w:cs="Times New Roma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4F734D52">
                    <w:pPr>
                      <w:rPr>
                        <w:rFonts w:ascii="Times New Roman" w:hAnsi="Times New Roman" w:eastAsia="宋体" w:cs="Times New Roma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97FA6">
    <w:pPr>
      <w:pStyle w:val="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1982"/>
                            <w:docPartObj>
                              <w:docPartGallery w:val="autotext"/>
                            </w:docPartObj>
                          </w:sdtPr>
                          <w:sdtContent>
                            <w:p w14:paraId="60B600C4">
                              <w:pPr>
                                <w:pStyle w:val="5"/>
                                <w:jc w:val="center"/>
                              </w:pPr>
                              <w:r>
                                <w:fldChar w:fldCharType="begin"/>
                              </w:r>
                              <w:r>
                                <w:instrText xml:space="preserve">PAGE   \* MERGEFORMAT</w:instrText>
                              </w:r>
                              <w:r>
                                <w:fldChar w:fldCharType="separate"/>
                              </w:r>
                              <w:r>
                                <w:rPr>
                                  <w:lang w:val="zh-CN"/>
                                </w:rPr>
                                <w:t>2</w:t>
                              </w:r>
                              <w:r>
                                <w:fldChar w:fldCharType="end"/>
                              </w:r>
                            </w:p>
                          </w:sdtContent>
                        </w:sdt>
                        <w:p w14:paraId="71328CD2"/>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81982"/>
                      <w:docPartObj>
                        <w:docPartGallery w:val="autotext"/>
                      </w:docPartObj>
                    </w:sdtPr>
                    <w:sdtContent>
                      <w:p w14:paraId="60B600C4">
                        <w:pPr>
                          <w:pStyle w:val="5"/>
                          <w:jc w:val="center"/>
                        </w:pPr>
                        <w:r>
                          <w:fldChar w:fldCharType="begin"/>
                        </w:r>
                        <w:r>
                          <w:instrText xml:space="preserve">PAGE   \* MERGEFORMAT</w:instrText>
                        </w:r>
                        <w:r>
                          <w:fldChar w:fldCharType="separate"/>
                        </w:r>
                        <w:r>
                          <w:rPr>
                            <w:lang w:val="zh-CN"/>
                          </w:rPr>
                          <w:t>2</w:t>
                        </w:r>
                        <w:r>
                          <w:fldChar w:fldCharType="end"/>
                        </w:r>
                      </w:p>
                    </w:sdtContent>
                  </w:sdt>
                  <w:p w14:paraId="71328CD2"/>
                </w:txbxContent>
              </v:textbox>
            </v:shape>
          </w:pict>
        </mc:Fallback>
      </mc:AlternateContent>
    </w:r>
  </w:p>
  <w:p w14:paraId="591DD5F2">
    <w:pPr>
      <w:tabs>
        <w:tab w:val="center" w:pos="4153"/>
        <w:tab w:val="right" w:pos="8306"/>
      </w:tabs>
      <w:snapToGrid w:val="0"/>
      <w:jc w:val="left"/>
      <w:rPr>
        <w:rFonts w:ascii="Times New Roman" w:hAnsi="Times New Roman" w:eastAsia="宋体" w:cs="Times New Roman"/>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0F072D"/>
    <w:multiLevelType w:val="singleLevel"/>
    <w:tmpl w:val="950F072D"/>
    <w:lvl w:ilvl="0" w:tentative="0">
      <w:start w:val="1"/>
      <w:numFmt w:val="chineseCounting"/>
      <w:suff w:val="nothing"/>
      <w:lvlText w:val="%1、"/>
      <w:lvlJc w:val="left"/>
      <w:pPr>
        <w:ind w:left="6" w:firstLine="420"/>
      </w:pPr>
      <w:rPr>
        <w:rFonts w:hint="eastAsia"/>
      </w:rPr>
    </w:lvl>
  </w:abstractNum>
  <w:abstractNum w:abstractNumId="1">
    <w:nsid w:val="9BCE9A8C"/>
    <w:multiLevelType w:val="singleLevel"/>
    <w:tmpl w:val="9BCE9A8C"/>
    <w:lvl w:ilvl="0" w:tentative="0">
      <w:start w:val="1"/>
      <w:numFmt w:val="decimal"/>
      <w:lvlText w:val="(%1)"/>
      <w:lvlJc w:val="left"/>
      <w:pPr>
        <w:ind w:left="425" w:hanging="425"/>
      </w:pPr>
      <w:rPr>
        <w:rFonts w:hint="default"/>
      </w:rPr>
    </w:lvl>
  </w:abstractNum>
  <w:abstractNum w:abstractNumId="2">
    <w:nsid w:val="430CD31E"/>
    <w:multiLevelType w:val="multilevel"/>
    <w:tmpl w:val="430CD31E"/>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sjAzNTc1MzE0sTC3NLdU0lEKTi0uzszPAykwrgUA8xu+QywAAAA="/>
  </w:docVars>
  <w:rsids>
    <w:rsidRoot w:val="00172A27"/>
    <w:rsid w:val="00017726"/>
    <w:rsid w:val="00044FCA"/>
    <w:rsid w:val="000701BC"/>
    <w:rsid w:val="00172A27"/>
    <w:rsid w:val="001867CC"/>
    <w:rsid w:val="001F2909"/>
    <w:rsid w:val="00300AAA"/>
    <w:rsid w:val="003137B0"/>
    <w:rsid w:val="003C1047"/>
    <w:rsid w:val="004C5ABD"/>
    <w:rsid w:val="005625DC"/>
    <w:rsid w:val="00566599"/>
    <w:rsid w:val="005735DA"/>
    <w:rsid w:val="005E2AD5"/>
    <w:rsid w:val="005F55DD"/>
    <w:rsid w:val="00816A54"/>
    <w:rsid w:val="00875673"/>
    <w:rsid w:val="008D5D6E"/>
    <w:rsid w:val="008F4C91"/>
    <w:rsid w:val="00975AA2"/>
    <w:rsid w:val="009D5A18"/>
    <w:rsid w:val="00A65250"/>
    <w:rsid w:val="00A92DAF"/>
    <w:rsid w:val="00BB4566"/>
    <w:rsid w:val="00BF5ABA"/>
    <w:rsid w:val="00CF5FD9"/>
    <w:rsid w:val="00D37A1F"/>
    <w:rsid w:val="00D46797"/>
    <w:rsid w:val="00EA3335"/>
    <w:rsid w:val="00F02AF5"/>
    <w:rsid w:val="1B5D72CC"/>
    <w:rsid w:val="387B5184"/>
    <w:rsid w:val="5B474BD0"/>
    <w:rsid w:val="5C292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outlineLvl w:val="0"/>
    </w:pPr>
    <w:rPr>
      <w:rFonts w:ascii="Times New Roman" w:hAnsi="Times New Roman" w:eastAsia="黑体"/>
      <w:b/>
      <w:kern w:val="44"/>
      <w:sz w:val="30"/>
    </w:rPr>
  </w:style>
  <w:style w:type="paragraph" w:styleId="3">
    <w:name w:val="heading 2"/>
    <w:basedOn w:val="1"/>
    <w:next w:val="1"/>
    <w:unhideWhenUsed/>
    <w:qFormat/>
    <w:uiPriority w:val="0"/>
    <w:pPr>
      <w:keepNext/>
      <w:keepLines/>
      <w:spacing w:before="260" w:beforeLines="0" w:beforeAutospacing="0" w:after="260" w:afterLines="0" w:afterAutospacing="0" w:line="360" w:lineRule="auto"/>
      <w:outlineLvl w:val="1"/>
    </w:pPr>
    <w:rPr>
      <w:rFonts w:ascii="Times New Roman" w:hAnsi="Times New Roman" w:eastAsia="宋体"/>
      <w:b/>
      <w:sz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qFormat/>
    <w:uiPriority w:val="0"/>
    <w:pPr>
      <w:tabs>
        <w:tab w:val="center" w:pos="4153"/>
        <w:tab w:val="right" w:pos="8306"/>
      </w:tabs>
      <w:snapToGrid w:val="0"/>
      <w:jc w:val="center"/>
    </w:pPr>
    <w:rPr>
      <w:sz w:val="18"/>
      <w:szCs w:val="18"/>
    </w:rPr>
  </w:style>
  <w:style w:type="paragraph" w:styleId="7">
    <w:name w:val="toc 1"/>
    <w:basedOn w:val="1"/>
    <w:next w:val="1"/>
    <w:uiPriority w:val="0"/>
  </w:style>
  <w:style w:type="paragraph" w:styleId="8">
    <w:name w:val="toc 2"/>
    <w:basedOn w:val="1"/>
    <w:next w:val="1"/>
    <w:uiPriority w:val="0"/>
    <w:pPr>
      <w:ind w:left="420" w:leftChars="200"/>
    </w:pPr>
  </w:style>
  <w:style w:type="character" w:styleId="11">
    <w:name w:val="annotation reference"/>
    <w:basedOn w:val="10"/>
    <w:qFormat/>
    <w:uiPriority w:val="0"/>
    <w:rPr>
      <w:sz w:val="21"/>
      <w:szCs w:val="21"/>
    </w:rPr>
  </w:style>
  <w:style w:type="paragraph" w:styleId="12">
    <w:name w:val="List Paragraph"/>
    <w:basedOn w:val="1"/>
    <w:unhideWhenUsed/>
    <w:qFormat/>
    <w:uiPriority w:val="99"/>
    <w:pPr>
      <w:ind w:firstLine="420" w:firstLineChars="200"/>
    </w:pPr>
  </w:style>
  <w:style w:type="character" w:customStyle="1" w:styleId="13">
    <w:name w:val="页眉 字符"/>
    <w:basedOn w:val="10"/>
    <w:link w:val="6"/>
    <w:qFormat/>
    <w:uiPriority w:val="0"/>
    <w:rPr>
      <w:kern w:val="2"/>
      <w:sz w:val="18"/>
      <w:szCs w:val="18"/>
    </w:rPr>
  </w:style>
  <w:style w:type="character" w:customStyle="1" w:styleId="14">
    <w:name w:val="页脚 字符"/>
    <w:basedOn w:val="10"/>
    <w:link w:val="5"/>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A7F358-D8DA-447F-A634-2A37F679F131}">
  <ds:schemaRefs/>
</ds:datastoreItem>
</file>

<file path=docProps/app.xml><?xml version="1.0" encoding="utf-8"?>
<Properties xmlns="http://schemas.openxmlformats.org/officeDocument/2006/extended-properties" xmlns:vt="http://schemas.openxmlformats.org/officeDocument/2006/docPropsVTypes">
  <Template>Normal</Template>
  <Pages>12</Pages>
  <Words>7978</Words>
  <Characters>8527</Characters>
  <Lines>60</Lines>
  <Paragraphs>17</Paragraphs>
  <TotalTime>8</TotalTime>
  <ScaleCrop>false</ScaleCrop>
  <LinksUpToDate>false</LinksUpToDate>
  <CharactersWithSpaces>8677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2026-07-15T06:32:00Z</dcterms:created>
  <dc:creator>XuHan</dc:creator>
  <cp:lastModifiedBy>XuHan</cp:lastModifiedBy>
  <dcterms:modified xsi:type="dcterms:W3CDTF">2026-08-11T07:31:19Z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922A6C77BA494F29B5889711E6451E58_13</vt:lpwstr>
  </property>
  <property fmtid="{D5CDD505-2E9C-101B-9397-08002B2CF9AE}" pid="4" name="KSOTemplateDocerSaveRecord">
    <vt:lpwstr>eyJoZGlkIjoiM2NkMzE3ZTVhNWE1YTU4OGJiNmM0YjEyZGQ5OWY0Y2MiLCJ1c2VySWQiOiIxNjg3Mjc2ODYxIn0=</vt:lpwstr>
  </property>
</Properties>
</file>