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9379" w:type="dxa"/>
        <w:tblInd w:w="0" w:type="dxa"/>
        <w:tblLayout w:type="fixed"/>
        <w:tblCellMar>
          <w:top w:w="0" w:type="dxa"/>
          <w:left w:w="0" w:type="dxa"/>
          <w:bottom w:w="0" w:type="dxa"/>
          <w:right w:w="0" w:type="dxa"/>
        </w:tblCellMar>
      </w:tblPr>
      <w:tblGrid>
        <w:gridCol w:w="509"/>
        <w:gridCol w:w="8870"/>
      </w:tblGrid>
      <w:tr w14:paraId="061B2FB7">
        <w:tblPrEx>
          <w:tblCellMar>
            <w:top w:w="0" w:type="dxa"/>
            <w:left w:w="0" w:type="dxa"/>
            <w:bottom w:w="0" w:type="dxa"/>
            <w:right w:w="0" w:type="dxa"/>
          </w:tblCellMar>
        </w:tblPrEx>
        <w:trPr>
          <w:trHeight w:val="194" w:hRule="atLeast"/>
        </w:trPr>
        <w:tc>
          <w:tcPr>
            <w:tcW w:w="509" w:type="dxa"/>
          </w:tcPr>
          <w:p w14:paraId="2EBC384E">
            <w:pPr>
              <w:pStyle w:val="9"/>
              <w:framePr w:w="9447" w:h="1272" w:hRule="exact" w:wrap="notBeside" w:vAnchor="page" w:hAnchor="page" w:x="1372" w:y="568"/>
              <w:tabs>
                <w:tab w:val="clear" w:pos="4153"/>
                <w:tab w:val="clear" w:pos="8306"/>
              </w:tabs>
              <w:jc w:val="left"/>
              <w:rPr>
                <w:rFonts w:hint="eastAsia" w:ascii="黑体" w:hAnsi="黑体" w:eastAsia="黑体"/>
                <w:sz w:val="21"/>
                <w:szCs w:val="21"/>
                <w:highlight w:val="none"/>
              </w:rPr>
            </w:pPr>
            <w:r>
              <w:rPr>
                <w:rFonts w:eastAsia="黑体"/>
                <w:sz w:val="21"/>
                <w:szCs w:val="21"/>
                <w:highlight w:val="none"/>
              </w:rPr>
              <w:t>ICS</w:t>
            </w:r>
            <w:r>
              <w:rPr>
                <w:rFonts w:ascii="黑体" w:hAnsi="黑体" w:eastAsia="黑体"/>
                <w:sz w:val="21"/>
                <w:szCs w:val="21"/>
                <w:highlight w:val="none"/>
              </w:rPr>
              <w:t xml:space="preserve">  </w:t>
            </w:r>
          </w:p>
        </w:tc>
        <w:tc>
          <w:tcPr>
            <w:tcW w:w="8870" w:type="dxa"/>
          </w:tcPr>
          <w:p w14:paraId="05C8DEE2">
            <w:pPr>
              <w:pStyle w:val="9"/>
              <w:framePr w:w="9447" w:h="1272" w:hRule="exact" w:wrap="notBeside" w:vAnchor="page" w:hAnchor="page" w:x="1372" w:y="568"/>
              <w:tabs>
                <w:tab w:val="clear" w:pos="4153"/>
                <w:tab w:val="clear" w:pos="8306"/>
              </w:tabs>
              <w:jc w:val="both"/>
              <w:rPr>
                <w:rFonts w:hint="eastAsia" w:ascii="黑体" w:hAnsi="黑体" w:eastAsia="黑体"/>
                <w:sz w:val="21"/>
                <w:szCs w:val="21"/>
                <w:highlight w:val="none"/>
              </w:rPr>
            </w:pPr>
            <w:r>
              <w:rPr>
                <w:rFonts w:ascii="黑体" w:hAnsi="黑体" w:eastAsia="黑体"/>
                <w:sz w:val="21"/>
                <w:szCs w:val="21"/>
                <w:highlight w:val="none"/>
              </w:rPr>
              <w:fldChar w:fldCharType="begin">
                <w:ffData>
                  <w:name w:val="ICS"/>
                  <w:enabled/>
                  <w:calcOnExit w:val="0"/>
                  <w:textInput>
                    <w:default w:val="点击此处添加ICS号"/>
                  </w:textInput>
                </w:ffData>
              </w:fldChar>
            </w:r>
            <w:bookmarkStart w:id="0" w:name="ICS"/>
            <w:r>
              <w:rPr>
                <w:rFonts w:ascii="黑体" w:hAnsi="黑体" w:eastAsia="黑体"/>
                <w:sz w:val="21"/>
                <w:szCs w:val="21"/>
                <w:highlight w:val="none"/>
              </w:rPr>
              <w:instrText xml:space="preserve"> FORMTEXT </w:instrText>
            </w:r>
            <w:r>
              <w:rPr>
                <w:rFonts w:ascii="黑体" w:hAnsi="黑体" w:eastAsia="黑体"/>
                <w:sz w:val="21"/>
                <w:szCs w:val="21"/>
                <w:highlight w:val="none"/>
              </w:rPr>
              <w:fldChar w:fldCharType="separate"/>
            </w:r>
            <w:r>
              <w:rPr>
                <w:rFonts w:ascii="黑体" w:hAnsi="黑体" w:eastAsia="黑体"/>
                <w:sz w:val="21"/>
                <w:szCs w:val="21"/>
                <w:highlight w:val="none"/>
              </w:rPr>
              <w:t>     </w:t>
            </w:r>
            <w:r>
              <w:rPr>
                <w:rFonts w:ascii="黑体" w:hAnsi="黑体" w:eastAsia="黑体"/>
                <w:sz w:val="21"/>
                <w:szCs w:val="21"/>
                <w:highlight w:val="none"/>
              </w:rPr>
              <w:fldChar w:fldCharType="end"/>
            </w:r>
            <w:bookmarkEnd w:id="0"/>
          </w:p>
        </w:tc>
      </w:tr>
      <w:tr w14:paraId="1CD00C34">
        <w:tblPrEx>
          <w:tblCellMar>
            <w:top w:w="0" w:type="dxa"/>
            <w:left w:w="0" w:type="dxa"/>
            <w:bottom w:w="0" w:type="dxa"/>
            <w:right w:w="0" w:type="dxa"/>
          </w:tblCellMar>
        </w:tblPrEx>
        <w:trPr>
          <w:trHeight w:val="277" w:hRule="atLeast"/>
        </w:trPr>
        <w:tc>
          <w:tcPr>
            <w:tcW w:w="509" w:type="dxa"/>
            <w:vMerge w:val="restart"/>
          </w:tcPr>
          <w:p w14:paraId="5C022804">
            <w:pPr>
              <w:framePr w:w="9447" w:h="1272" w:hRule="exact" w:wrap="notBeside" w:vAnchor="page" w:hAnchor="page" w:x="1372" w:y="568"/>
              <w:rPr>
                <w:highlight w:val="none"/>
              </w:rPr>
            </w:pPr>
            <w:r>
              <w:rPr>
                <w:rFonts w:hint="eastAsia" w:eastAsia="黑体"/>
                <w:szCs w:val="21"/>
                <w:highlight w:val="none"/>
              </w:rPr>
              <w:t>CSS</w:t>
            </w:r>
          </w:p>
        </w:tc>
        <w:tc>
          <w:tcPr>
            <w:tcW w:w="8870" w:type="dxa"/>
          </w:tcPr>
          <w:p w14:paraId="59C6058E">
            <w:pPr>
              <w:pStyle w:val="10"/>
              <w:framePr w:w="9447" w:h="1272" w:hRule="exact" w:wrap="notBeside" w:vAnchor="page" w:hAnchor="page" w:x="1372" w:y="568"/>
              <w:rPr>
                <w:rFonts w:hint="eastAsia" w:ascii="黑体" w:hAnsi="黑体" w:eastAsia="黑体"/>
                <w:szCs w:val="21"/>
                <w:highlight w:val="none"/>
              </w:rPr>
            </w:pPr>
            <w:r>
              <w:rPr>
                <w:rFonts w:ascii="黑体" w:hAnsi="黑体" w:eastAsia="黑体"/>
                <w:szCs w:val="21"/>
                <w:highlight w:val="none"/>
              </w:rPr>
              <w:fldChar w:fldCharType="begin">
                <w:ffData>
                  <w:name w:val="CSDN"/>
                  <w:enabled/>
                  <w:calcOnExit w:val="0"/>
                  <w:textInput>
                    <w:default w:val="点击此处添加CCS号"/>
                  </w:textInput>
                </w:ffData>
              </w:fldChar>
            </w:r>
            <w:bookmarkStart w:id="1" w:name="CSDN"/>
            <w:r>
              <w:rPr>
                <w:rFonts w:ascii="黑体" w:hAnsi="黑体" w:eastAsia="黑体"/>
                <w:szCs w:val="21"/>
                <w:highlight w:val="none"/>
              </w:rPr>
              <w:instrText xml:space="preserve"> FORMTEXT </w:instrText>
            </w:r>
            <w:r>
              <w:rPr>
                <w:rFonts w:ascii="黑体" w:hAnsi="黑体" w:eastAsia="黑体"/>
                <w:szCs w:val="21"/>
                <w:highlight w:val="none"/>
              </w:rPr>
              <w:fldChar w:fldCharType="separate"/>
            </w:r>
            <w:r>
              <w:rPr>
                <w:rFonts w:ascii="黑体" w:hAnsi="黑体" w:eastAsia="黑体"/>
                <w:szCs w:val="21"/>
                <w:highlight w:val="none"/>
              </w:rPr>
              <w:t>点击此处添加CCS号</w:t>
            </w:r>
            <w:r>
              <w:rPr>
                <w:rFonts w:ascii="黑体" w:hAnsi="黑体" w:eastAsia="黑体"/>
                <w:szCs w:val="21"/>
                <w:highlight w:val="none"/>
              </w:rPr>
              <w:fldChar w:fldCharType="end"/>
            </w:r>
            <w:bookmarkEnd w:id="1"/>
          </w:p>
        </w:tc>
      </w:tr>
      <w:tr w14:paraId="3604E58E">
        <w:tblPrEx>
          <w:tblCellMar>
            <w:top w:w="0" w:type="dxa"/>
            <w:left w:w="0" w:type="dxa"/>
            <w:bottom w:w="0" w:type="dxa"/>
            <w:right w:w="0" w:type="dxa"/>
          </w:tblCellMar>
        </w:tblPrEx>
        <w:trPr>
          <w:trHeight w:val="651" w:hRule="atLeast"/>
        </w:trPr>
        <w:tc>
          <w:tcPr>
            <w:tcW w:w="509" w:type="dxa"/>
            <w:vMerge w:val="continue"/>
          </w:tcPr>
          <w:p w14:paraId="7470E4C7">
            <w:pPr>
              <w:pStyle w:val="9"/>
              <w:framePr w:w="9447" w:h="1272" w:hRule="exact" w:wrap="notBeside" w:vAnchor="page" w:hAnchor="page" w:x="1372" w:y="568"/>
              <w:tabs>
                <w:tab w:val="clear" w:pos="4153"/>
                <w:tab w:val="clear" w:pos="8306"/>
              </w:tabs>
              <w:spacing w:before="40"/>
              <w:jc w:val="left"/>
              <w:rPr>
                <w:rFonts w:eastAsia="黑体"/>
                <w:sz w:val="21"/>
                <w:szCs w:val="21"/>
                <w:highlight w:val="none"/>
              </w:rPr>
            </w:pPr>
            <w:bookmarkStart w:id="2" w:name="_Hlk26473981"/>
          </w:p>
        </w:tc>
        <w:tc>
          <w:tcPr>
            <w:tcW w:w="8870" w:type="dxa"/>
          </w:tcPr>
          <w:p w14:paraId="2A05A7D8">
            <w:pPr>
              <w:pStyle w:val="10"/>
              <w:framePr w:w="9447" w:h="1272" w:hRule="exact" w:wrap="notBeside" w:vAnchor="page" w:hAnchor="page" w:x="1372" w:y="568"/>
              <w:rPr>
                <w:highlight w:val="none"/>
              </w:rPr>
            </w:pPr>
          </w:p>
        </w:tc>
      </w:tr>
    </w:tbl>
    <w:p w14:paraId="74E75B7D">
      <w:pPr>
        <w:pStyle w:val="29"/>
        <w:framePr w:wrap="around"/>
        <w:rPr>
          <w:rFonts w:hint="eastAsia" w:ascii="黑体" w:hAnsi="黑体" w:eastAsia="黑体"/>
          <w:b w:val="0"/>
          <w:bCs w:val="0"/>
          <w:w w:val="100"/>
          <w:sz w:val="48"/>
          <w:szCs w:val="48"/>
          <w:highlight w:val="none"/>
        </w:rPr>
      </w:pPr>
      <w:r>
        <w:rPr>
          <w:rFonts w:hint="eastAsia" w:ascii="黑体" w:eastAsia="黑体"/>
          <w:b w:val="0"/>
          <w:w w:val="100"/>
          <w:sz w:val="48"/>
          <w:highlight w:val="none"/>
        </w:rPr>
        <w:t>团体</w:t>
      </w:r>
      <w:r>
        <w:rPr>
          <w:rFonts w:hint="eastAsia" w:ascii="黑体" w:hAnsi="黑体" w:eastAsia="黑体"/>
          <w:b w:val="0"/>
          <w:bCs w:val="0"/>
          <w:w w:val="100"/>
          <w:sz w:val="48"/>
          <w:szCs w:val="48"/>
          <w:highlight w:val="none"/>
        </w:rPr>
        <w:t>标准</w:t>
      </w:r>
    </w:p>
    <w:bookmarkEnd w:id="2"/>
    <w:p w14:paraId="6AADC19E">
      <w:pPr>
        <w:pStyle w:val="30"/>
        <w:rPr>
          <w:highlight w:val="none"/>
        </w:rPr>
      </w:pPr>
      <w:r>
        <w:rPr>
          <w:highlight w:val="none"/>
        </w:rPr>
        <w:t>T/</w:t>
      </w:r>
      <w:r>
        <w:rPr>
          <w:highlight w:val="none"/>
        </w:rPr>
        <w:fldChar w:fldCharType="begin">
          <w:ffData>
            <w:name w:val="文字1"/>
            <w:enabled/>
            <w:calcOnExit w:val="0"/>
            <w:textInput>
              <w:default w:val="CSES"/>
            </w:textInput>
          </w:ffData>
        </w:fldChar>
      </w:r>
      <w:bookmarkStart w:id="3" w:name="文字1"/>
      <w:r>
        <w:rPr>
          <w:highlight w:val="none"/>
        </w:rPr>
        <w:instrText xml:space="preserve"> FORMTEXT </w:instrText>
      </w:r>
      <w:r>
        <w:rPr>
          <w:highlight w:val="none"/>
        </w:rPr>
        <w:fldChar w:fldCharType="separate"/>
      </w:r>
      <w:r>
        <w:rPr>
          <w:highlight w:val="none"/>
        </w:rPr>
        <w:t>CSES</w:t>
      </w:r>
      <w:r>
        <w:rPr>
          <w:highlight w:val="none"/>
        </w:rPr>
        <w:fldChar w:fldCharType="end"/>
      </w:r>
      <w:bookmarkEnd w:id="3"/>
      <w:r>
        <w:rPr>
          <w:highlight w:val="none"/>
        </w:rPr>
        <w:t xml:space="preserve"> </w:t>
      </w:r>
      <w:r>
        <w:rPr>
          <w:highlight w:val="none"/>
        </w:rPr>
        <w:fldChar w:fldCharType="begin">
          <w:ffData>
            <w:name w:val="NSTD_CODE_F"/>
            <w:enabled/>
            <w:calcOnExit w:val="0"/>
            <w:textInput>
              <w:default w:val="XXXX"/>
            </w:textInput>
          </w:ffData>
        </w:fldChar>
      </w:r>
      <w:bookmarkStart w:id="4" w:name="NSTD_CODE_F"/>
      <w:r>
        <w:rPr>
          <w:highlight w:val="none"/>
        </w:rPr>
        <w:instrText xml:space="preserve"> FORMTEXT </w:instrText>
      </w:r>
      <w:r>
        <w:rPr>
          <w:highlight w:val="none"/>
        </w:rPr>
        <w:fldChar w:fldCharType="separate"/>
      </w:r>
      <w:r>
        <w:rPr>
          <w:highlight w:val="none"/>
        </w:rPr>
        <w:t>XXXX</w:t>
      </w:r>
      <w:r>
        <w:rPr>
          <w:highlight w:val="none"/>
        </w:rPr>
        <w:fldChar w:fldCharType="end"/>
      </w:r>
      <w:bookmarkEnd w:id="4"/>
      <w:r>
        <w:rPr>
          <w:rFonts w:hAnsi="黑体"/>
          <w:highlight w:val="none"/>
        </w:rPr>
        <w:t>—</w:t>
      </w:r>
      <w:r>
        <w:rPr>
          <w:highlight w:val="none"/>
        </w:rPr>
        <w:fldChar w:fldCharType="begin">
          <w:ffData>
            <w:name w:val="NSTD_CODE_B"/>
            <w:enabled/>
            <w:calcOnExit w:val="0"/>
            <w:textInput>
              <w:default w:val="XXXX"/>
            </w:textInput>
          </w:ffData>
        </w:fldChar>
      </w:r>
      <w:bookmarkStart w:id="5" w:name="NSTD_CODE_B"/>
      <w:r>
        <w:rPr>
          <w:highlight w:val="none"/>
        </w:rPr>
        <w:instrText xml:space="preserve"> FORMTEXT </w:instrText>
      </w:r>
      <w:r>
        <w:rPr>
          <w:highlight w:val="none"/>
        </w:rPr>
        <w:fldChar w:fldCharType="separate"/>
      </w:r>
      <w:r>
        <w:rPr>
          <w:highlight w:val="none"/>
        </w:rPr>
        <w:t>XXXX</w:t>
      </w:r>
      <w:r>
        <w:rPr>
          <w:highlight w:val="none"/>
        </w:rPr>
        <w:fldChar w:fldCharType="end"/>
      </w:r>
      <w:bookmarkEnd w:id="5"/>
    </w:p>
    <w:p w14:paraId="26E9CA4E">
      <w:pPr>
        <w:pStyle w:val="32"/>
        <w:rPr>
          <w:rFonts w:hint="eastAsia" w:hAnsi="黑体"/>
          <w:highlight w:val="none"/>
        </w:rPr>
      </w:pPr>
    </w:p>
    <w:p w14:paraId="7202C822">
      <w:pPr>
        <w:rPr>
          <w:rFonts w:hint="eastAsia" w:ascii="黑体" w:hAnsi="黑体" w:eastAsia="黑体"/>
          <w:kern w:val="0"/>
          <w:sz w:val="10"/>
          <w:szCs w:val="10"/>
          <w:highlight w:val="none"/>
        </w:rPr>
      </w:pPr>
      <w:r>
        <w:rPr>
          <w:rFonts w:hint="eastAsia" w:ascii="黑体" w:hAnsi="黑体" w:eastAsia="黑体"/>
          <w:kern w:val="0"/>
          <w:sz w:val="10"/>
          <w:szCs w:val="10"/>
          <w:highlight w:val="none"/>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2700020</wp:posOffset>
                </wp:positionV>
                <wp:extent cx="6120130" cy="0"/>
                <wp:effectExtent l="0" t="0" r="0" b="0"/>
                <wp:wrapNone/>
                <wp:docPr id="73"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70.9pt;margin-top:212.6pt;height:0pt;width:481.9pt;mso-position-horizontal-relative:page;mso-position-vertical-relative:page;z-index:251660288;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3+I8zYAAAA&#10;DAEAAA8AAAAAAAAAAQAgAAAAIgAAAGRycy9kb3ducmV2LnhtbFBLAQIUABQAAAAIAIdO4kD8zsUq&#10;5AEAAKsDAAAOAAAAAAAAAAEAIAAAACcBAABkcnMvZTJvRG9jLnhtbFBLBQYAAAAABgAGAFkBAAB9&#10;BQAAAAA=&#10;">
                <v:fill on="f" focussize="0,0"/>
                <v:stroke color="#000000" joinstyle="round"/>
                <v:imagedata o:title=""/>
                <o:lock v:ext="edit" aspectratio="f"/>
              </v:line>
            </w:pict>
          </mc:Fallback>
        </mc:AlternateContent>
      </w:r>
    </w:p>
    <w:p w14:paraId="6FC4AA39">
      <w:pPr>
        <w:pStyle w:val="29"/>
        <w:framePr w:w="9639" w:h="6976" w:hRule="exact" w:hSpace="0" w:vSpace="0" w:wrap="around" w:hAnchor="page" w:y="6408"/>
        <w:jc w:val="center"/>
        <w:rPr>
          <w:rFonts w:hint="eastAsia" w:ascii="黑体" w:hAnsi="黑体" w:eastAsia="黑体"/>
          <w:b w:val="0"/>
          <w:bCs w:val="0"/>
          <w:w w:val="100"/>
          <w:highlight w:val="none"/>
        </w:rPr>
      </w:pPr>
    </w:p>
    <w:p w14:paraId="66C33FDF">
      <w:pPr>
        <w:pStyle w:val="33"/>
        <w:framePr w:h="6974" w:hRule="exact" w:wrap="around" w:x="1419" w:anchorLock="1"/>
        <w:rPr>
          <w:rFonts w:hint="eastAsia"/>
          <w:highlight w:val="none"/>
        </w:rPr>
      </w:pPr>
      <w:bookmarkStart w:id="6" w:name="OLE_LINK10"/>
      <w:bookmarkStart w:id="7" w:name="CSTD_NAME"/>
      <w:r>
        <w:rPr>
          <w:rFonts w:hint="eastAsia"/>
          <w:highlight w:val="none"/>
        </w:rPr>
        <w:t>污染地块绿色低碳修复技术指南</w:t>
      </w:r>
    </w:p>
    <w:bookmarkEnd w:id="6"/>
    <w:p w14:paraId="6B762EE4">
      <w:pPr>
        <w:pStyle w:val="33"/>
        <w:framePr w:h="6974" w:hRule="exact" w:wrap="around" w:x="1419" w:anchorLock="1"/>
        <w:rPr>
          <w:rFonts w:hint="eastAsia"/>
          <w:sz w:val="28"/>
          <w:szCs w:val="28"/>
          <w:highlight w:val="none"/>
        </w:rPr>
      </w:pPr>
      <w:r>
        <w:rPr>
          <w:sz w:val="28"/>
          <w:szCs w:val="28"/>
          <w:highlight w:val="none"/>
        </w:rPr>
        <w:t>Technical Guide for Green and Low</w:t>
      </w:r>
      <w:r>
        <w:rPr>
          <w:rFonts w:hint="eastAsia"/>
          <w:sz w:val="28"/>
          <w:szCs w:val="28"/>
          <w:highlight w:val="none"/>
        </w:rPr>
        <w:t>-</w:t>
      </w:r>
      <w:r>
        <w:rPr>
          <w:sz w:val="28"/>
          <w:szCs w:val="28"/>
          <w:highlight w:val="none"/>
        </w:rPr>
        <w:t xml:space="preserve">carbon </w:t>
      </w:r>
      <w:r>
        <w:rPr>
          <w:rFonts w:hint="eastAsia"/>
          <w:sz w:val="28"/>
          <w:szCs w:val="28"/>
          <w:highlight w:val="none"/>
        </w:rPr>
        <w:t>R</w:t>
      </w:r>
      <w:r>
        <w:rPr>
          <w:sz w:val="28"/>
          <w:szCs w:val="28"/>
          <w:highlight w:val="none"/>
        </w:rPr>
        <w:t>emediation</w:t>
      </w:r>
    </w:p>
    <w:p w14:paraId="2FF1DBB6">
      <w:pPr>
        <w:pStyle w:val="33"/>
        <w:framePr w:h="6974" w:hRule="exact" w:wrap="around" w:x="1419" w:anchorLock="1"/>
        <w:rPr>
          <w:rFonts w:ascii="Times New Roman" w:hAnsi="Times New Roman" w:eastAsia="宋体"/>
          <w:bCs w:val="0"/>
          <w:kern w:val="2"/>
          <w:sz w:val="21"/>
          <w:szCs w:val="24"/>
          <w:highlight w:val="none"/>
        </w:rPr>
      </w:pPr>
      <w:r>
        <w:rPr>
          <w:sz w:val="28"/>
          <w:szCs w:val="28"/>
          <w:highlight w:val="none"/>
        </w:rPr>
        <w:t xml:space="preserve"> of </w:t>
      </w:r>
      <w:r>
        <w:rPr>
          <w:rFonts w:hint="eastAsia"/>
          <w:sz w:val="28"/>
          <w:szCs w:val="28"/>
          <w:highlight w:val="none"/>
        </w:rPr>
        <w:t>C</w:t>
      </w:r>
      <w:r>
        <w:rPr>
          <w:sz w:val="28"/>
          <w:szCs w:val="28"/>
          <w:highlight w:val="none"/>
        </w:rPr>
        <w:t xml:space="preserve">ontaminated </w:t>
      </w:r>
      <w:r>
        <w:rPr>
          <w:rFonts w:hint="eastAsia"/>
          <w:sz w:val="28"/>
          <w:szCs w:val="28"/>
          <w:highlight w:val="none"/>
        </w:rPr>
        <w:t>S</w:t>
      </w:r>
      <w:r>
        <w:rPr>
          <w:sz w:val="28"/>
          <w:szCs w:val="28"/>
          <w:highlight w:val="none"/>
        </w:rPr>
        <w:t>ites</w:t>
      </w:r>
      <w:r>
        <w:rPr>
          <w:rFonts w:ascii="Times New Roman" w:hAnsi="Times New Roman" w:eastAsia="宋体"/>
          <w:bCs w:val="0"/>
          <w:kern w:val="2"/>
          <w:sz w:val="21"/>
          <w:szCs w:val="24"/>
          <w:highlight w:val="none"/>
        </w:rPr>
        <w:fldChar w:fldCharType="begin">
          <w:ffData>
            <w:name w:val="CSTD_NAME"/>
            <w:enabled/>
            <w:calcOnExit w:val="0"/>
            <w:textInput/>
          </w:ffData>
        </w:fldChar>
      </w:r>
      <w:r>
        <w:rPr>
          <w:rFonts w:ascii="Times New Roman" w:hAnsi="Times New Roman" w:eastAsia="宋体"/>
          <w:bCs w:val="0"/>
          <w:kern w:val="2"/>
          <w:sz w:val="21"/>
          <w:szCs w:val="24"/>
          <w:highlight w:val="none"/>
        </w:rPr>
        <w:instrText xml:space="preserve">FORMTEXT</w:instrText>
      </w:r>
      <w:r>
        <w:rPr>
          <w:rFonts w:ascii="Times New Roman" w:hAnsi="Times New Roman" w:eastAsia="宋体"/>
          <w:bCs w:val="0"/>
          <w:kern w:val="2"/>
          <w:sz w:val="21"/>
          <w:szCs w:val="24"/>
          <w:highlight w:val="none"/>
        </w:rPr>
        <w:fldChar w:fldCharType="separate"/>
      </w:r>
      <w:r>
        <w:rPr>
          <w:rFonts w:ascii="Times New Roman" w:hAnsi="Times New Roman" w:eastAsia="宋体"/>
          <w:bCs w:val="0"/>
          <w:kern w:val="2"/>
          <w:sz w:val="21"/>
          <w:szCs w:val="24"/>
          <w:highlight w:val="none"/>
        </w:rPr>
        <w:fldChar w:fldCharType="end"/>
      </w:r>
      <w:bookmarkEnd w:id="7"/>
    </w:p>
    <w:p w14:paraId="6C86AAC2">
      <w:pPr>
        <w:framePr w:w="9639" w:h="6974" w:hRule="exact" w:wrap="around" w:vAnchor="page" w:hAnchor="page" w:x="1419" w:y="6408" w:anchorLock="1"/>
        <w:ind w:left="-1418"/>
        <w:rPr>
          <w:highlight w:val="none"/>
        </w:rPr>
      </w:pPr>
    </w:p>
    <w:p w14:paraId="0551C5EC">
      <w:pPr>
        <w:pStyle w:val="34"/>
        <w:framePr w:w="9639" w:h="6974" w:hRule="exact" w:wrap="around" w:vAnchor="page" w:hAnchor="page" w:x="1419" w:y="6408" w:anchorLock="1"/>
        <w:spacing w:before="440" w:after="160"/>
        <w:textAlignment w:val="bottom"/>
        <w:rPr>
          <w:rFonts w:hint="eastAsia" w:ascii="黑体" w:hAnsi="黑体" w:eastAsia="黑体"/>
          <w:szCs w:val="32"/>
          <w:highlight w:val="none"/>
        </w:rPr>
      </w:pPr>
      <w:r>
        <w:rPr>
          <w:rFonts w:hint="eastAsia" w:ascii="黑体" w:hAnsi="黑体" w:eastAsia="黑体"/>
          <w:szCs w:val="32"/>
          <w:highlight w:val="none"/>
        </w:rPr>
        <w:t>（征求意见稿）</w:t>
      </w:r>
    </w:p>
    <w:p w14:paraId="2D22A283">
      <w:pPr>
        <w:pStyle w:val="34"/>
        <w:framePr w:w="9639" w:h="6974" w:hRule="exact" w:wrap="around" w:vAnchor="page" w:hAnchor="page" w:x="1419" w:y="6408" w:anchorLock="1"/>
        <w:spacing w:before="180" w:line="240" w:lineRule="atLeast"/>
        <w:textAlignment w:val="bottom"/>
        <w:rPr>
          <w:sz w:val="21"/>
          <w:szCs w:val="28"/>
          <w:highlight w:val="none"/>
        </w:rPr>
      </w:pPr>
      <w:r>
        <w:rPr>
          <w:sz w:val="21"/>
          <w:szCs w:val="28"/>
          <w:highlight w:val="none"/>
        </w:rPr>
        <w:fldChar w:fldCharType="begin">
          <w:ffData>
            <w:name w:val="CMPLSH_DATE"/>
            <w:enabled/>
            <w:calcOnExit w:val="0"/>
            <w:textInput/>
          </w:ffData>
        </w:fldChar>
      </w:r>
      <w:bookmarkStart w:id="8" w:name="CMPLSH_DATE"/>
      <w:r>
        <w:rPr>
          <w:sz w:val="21"/>
          <w:szCs w:val="28"/>
          <w:highlight w:val="none"/>
        </w:rPr>
        <w:instrText xml:space="preserve"> FORMTEXT </w:instrText>
      </w:r>
      <w:r>
        <w:rPr>
          <w:sz w:val="21"/>
          <w:szCs w:val="28"/>
          <w:highlight w:val="none"/>
        </w:rPr>
        <w:fldChar w:fldCharType="separate"/>
      </w:r>
      <w:r>
        <w:rPr>
          <w:sz w:val="21"/>
          <w:szCs w:val="28"/>
          <w:highlight w:val="none"/>
        </w:rPr>
        <w:t>     </w:t>
      </w:r>
      <w:r>
        <w:rPr>
          <w:sz w:val="21"/>
          <w:szCs w:val="28"/>
          <w:highlight w:val="none"/>
        </w:rPr>
        <w:fldChar w:fldCharType="end"/>
      </w:r>
      <w:bookmarkEnd w:id="8"/>
    </w:p>
    <w:p w14:paraId="24C142C6">
      <w:pPr>
        <w:pStyle w:val="35"/>
        <w:framePr w:wrap="around" w:y="14176"/>
        <w:rPr>
          <w:highlight w:val="none"/>
        </w:rPr>
      </w:pPr>
      <w:r>
        <w:rPr>
          <w:rFonts w:ascii="黑体"/>
          <w:highlight w:val="none"/>
        </w:rPr>
        <w:fldChar w:fldCharType="begin">
          <w:ffData>
            <w:name w:val="PLSH_DATE_Y"/>
            <w:enabled/>
            <w:calcOnExit w:val="0"/>
            <w:textInput>
              <w:default w:val="XXXX"/>
              <w:maxLength w:val="4"/>
            </w:textInput>
          </w:ffData>
        </w:fldChar>
      </w:r>
      <w:bookmarkStart w:id="9" w:name="PLSH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9"/>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M"/>
            <w:enabled/>
            <w:calcOnExit w:val="0"/>
            <w:textInput>
              <w:default w:val="XX"/>
              <w:maxLength w:val="2"/>
            </w:textInput>
          </w:ffData>
        </w:fldChar>
      </w:r>
      <w:bookmarkStart w:id="10"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0"/>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D"/>
            <w:enabled/>
            <w:calcOnExit w:val="0"/>
            <w:textInput>
              <w:default w:val="XX"/>
              <w:maxLength w:val="2"/>
            </w:textInput>
          </w:ffData>
        </w:fldChar>
      </w:r>
      <w:bookmarkStart w:id="11"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1"/>
      <w:r>
        <w:rPr>
          <w:rFonts w:hint="eastAsia"/>
          <w:highlight w:val="none"/>
        </w:rPr>
        <w:t>发布</w:t>
      </w:r>
    </w:p>
    <w:p w14:paraId="252B6ED6">
      <w:pPr>
        <w:pStyle w:val="37"/>
        <w:framePr w:wrap="around" w:y="14176"/>
        <w:rPr>
          <w:highlight w:val="none"/>
        </w:rPr>
      </w:pPr>
      <w:r>
        <w:rPr>
          <w:rFonts w:ascii="黑体"/>
          <w:highlight w:val="none"/>
        </w:rPr>
        <w:fldChar w:fldCharType="begin">
          <w:ffData>
            <w:name w:val="CROT_DATE_Y"/>
            <w:enabled/>
            <w:calcOnExit w:val="0"/>
            <w:textInput>
              <w:default w:val="XXXX"/>
              <w:maxLength w:val="4"/>
            </w:textInput>
          </w:ffData>
        </w:fldChar>
      </w:r>
      <w:bookmarkStart w:id="12" w:name="CROT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2"/>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M"/>
            <w:enabled/>
            <w:calcOnExit w:val="0"/>
            <w:textInput>
              <w:default w:val="XX"/>
              <w:maxLength w:val="2"/>
            </w:textInput>
          </w:ffData>
        </w:fldChar>
      </w:r>
      <w:bookmarkStart w:id="13"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3"/>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D"/>
            <w:enabled/>
            <w:calcOnExit w:val="0"/>
            <w:textInput>
              <w:default w:val="XX"/>
              <w:maxLength w:val="2"/>
            </w:textInput>
          </w:ffData>
        </w:fldChar>
      </w:r>
      <w:bookmarkStart w:id="14"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4"/>
      <w:r>
        <w:rPr>
          <w:rFonts w:hint="eastAsia"/>
          <w:highlight w:val="none"/>
        </w:rPr>
        <w:t>实施</w:t>
      </w:r>
    </w:p>
    <w:p w14:paraId="0E47D778">
      <w:pPr>
        <w:pStyle w:val="39"/>
        <w:framePr w:h="584" w:hRule="exact" w:hSpace="181" w:vSpace="181" w:wrap="around" w:y="14800"/>
        <w:rPr>
          <w:rFonts w:hint="eastAsia" w:hAnsi="黑体"/>
          <w:highlight w:val="none"/>
        </w:rPr>
      </w:pPr>
      <w:r>
        <w:rPr>
          <w:rFonts w:hAnsi="黑体"/>
          <w:w w:val="100"/>
          <w:sz w:val="28"/>
          <w:highlight w:val="none"/>
        </w:rPr>
        <w:fldChar w:fldCharType="begin">
          <w:ffData>
            <w:name w:val="fm"/>
            <w:enabled/>
            <w:calcOnExit w:val="0"/>
            <w:textInput>
              <w:default w:val="中国环境科学学会"/>
            </w:textInput>
          </w:ffData>
        </w:fldChar>
      </w:r>
      <w:bookmarkStart w:id="15" w:name="fm"/>
      <w:r>
        <w:rPr>
          <w:rFonts w:hAnsi="黑体"/>
          <w:w w:val="100"/>
          <w:sz w:val="28"/>
          <w:highlight w:val="none"/>
        </w:rPr>
        <w:instrText xml:space="preserve"> FORMTEXT </w:instrText>
      </w:r>
      <w:r>
        <w:rPr>
          <w:rFonts w:hAnsi="黑体"/>
          <w:w w:val="100"/>
          <w:sz w:val="28"/>
          <w:highlight w:val="none"/>
        </w:rPr>
        <w:fldChar w:fldCharType="separate"/>
      </w:r>
      <w:r>
        <w:rPr>
          <w:rFonts w:hAnsi="黑体"/>
          <w:w w:val="100"/>
          <w:sz w:val="28"/>
          <w:highlight w:val="none"/>
        </w:rPr>
        <w:t>中国环境科学学会</w:t>
      </w:r>
      <w:r>
        <w:rPr>
          <w:rFonts w:hAnsi="黑体"/>
          <w:w w:val="100"/>
          <w:sz w:val="28"/>
          <w:highlight w:val="none"/>
        </w:rPr>
        <w:fldChar w:fldCharType="end"/>
      </w:r>
      <w:bookmarkEnd w:id="15"/>
      <w:r>
        <w:rPr>
          <w:rFonts w:ascii="Times New Roman"/>
          <w:w w:val="100"/>
          <w:sz w:val="28"/>
          <w:highlight w:val="none"/>
        </w:rPr>
        <w:t>  </w:t>
      </w:r>
      <w:r>
        <w:rPr>
          <w:rStyle w:val="41"/>
          <w:rFonts w:hint="eastAsia" w:hAnsi="黑体"/>
          <w:position w:val="0"/>
          <w:highlight w:val="none"/>
        </w:rPr>
        <w:t>发</w:t>
      </w:r>
      <w:r>
        <w:rPr>
          <w:rStyle w:val="41"/>
          <w:rFonts w:hint="eastAsia" w:hAnsi="黑体"/>
          <w:spacing w:val="0"/>
          <w:position w:val="0"/>
          <w:highlight w:val="none"/>
        </w:rPr>
        <w:t>布</w:t>
      </w:r>
    </w:p>
    <w:p w14:paraId="7521D442">
      <w:pPr>
        <w:rPr>
          <w:rFonts w:hint="eastAsia" w:ascii="宋体" w:hAnsi="宋体"/>
          <w:sz w:val="28"/>
          <w:szCs w:val="28"/>
          <w:highlight w:val="none"/>
        </w:rPr>
        <w:sectPr>
          <w:headerReference r:id="rId4" w:type="first"/>
          <w:footerReference r:id="rId6" w:type="first"/>
          <w:headerReference r:id="rId3" w:type="default"/>
          <w:footerReference r:id="rId5" w:type="even"/>
          <w:pgSz w:w="11906" w:h="16838"/>
          <w:pgMar w:top="567" w:right="1134" w:bottom="1134" w:left="1134" w:header="1418" w:footer="1134" w:gutter="284"/>
          <w:cols w:space="425" w:num="1"/>
          <w:titlePg/>
          <w:docGrid w:linePitch="312" w:charSpace="0"/>
        </w:sectPr>
      </w:pPr>
      <w:r>
        <w:rPr>
          <w:rFonts w:hint="eastAsia" w:ascii="宋体" w:hAnsi="宋体"/>
          <w:sz w:val="28"/>
          <w:szCs w:val="28"/>
          <w:highlight w:val="none"/>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9252585</wp:posOffset>
                </wp:positionV>
                <wp:extent cx="6120130" cy="0"/>
                <wp:effectExtent l="0" t="0" r="0" b="0"/>
                <wp:wrapNone/>
                <wp:docPr id="5"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70.85pt;margin-top:728.55pt;height:0pt;width:481.9pt;mso-position-horizontal-relative:page;mso-position-vertical-relative:page;z-index:251661312;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BW9Oey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TZN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5qdGL1wAAAA4B&#10;AAAPAAAAAAAAAAEAIAAAACIAAABkcnMvZG93bnJldi54bWxQSwECFAAUAAAACACHTuJAVvTnsuMB&#10;AACqAwAADgAAAAAAAAABACAAAAAmAQAAZHJzL2Uyb0RvYy54bWxQSwUGAAAAAAYABgBZAQAAewUA&#10;AAAA&#10;">
                <v:fill on="f" focussize="0,0"/>
                <v:stroke color="#000000" joinstyle="round"/>
                <v:imagedata o:title=""/>
                <o:lock v:ext="edit" aspectratio="f"/>
                <w10:anchorlock/>
              </v:line>
            </w:pict>
          </mc:Fallback>
        </mc:AlternateContent>
      </w:r>
    </w:p>
    <w:p w14:paraId="2DD8D4A0">
      <w:pPr>
        <w:pStyle w:val="42"/>
        <w:spacing w:after="360"/>
        <w:rPr>
          <w:highlight w:val="none"/>
        </w:rPr>
      </w:pPr>
      <w:bookmarkStart w:id="16" w:name="BookMark1"/>
      <w:r>
        <w:rPr>
          <w:rFonts w:hint="eastAsia"/>
          <w:spacing w:val="320"/>
          <w:highlight w:val="none"/>
        </w:rPr>
        <w:t>目</w:t>
      </w:r>
      <w:r>
        <w:rPr>
          <w:rFonts w:hint="eastAsia"/>
          <w:highlight w:val="none"/>
        </w:rPr>
        <w:t>次</w:t>
      </w:r>
    </w:p>
    <w:p w14:paraId="6C2101BF">
      <w:pPr>
        <w:pStyle w:val="10"/>
        <w:tabs>
          <w:tab w:val="right" w:leader="dot" w:pos="9354"/>
        </w:tabs>
        <w:rPr>
          <w:highlight w:val="none"/>
        </w:rPr>
      </w:pPr>
      <w:r>
        <w:rPr>
          <w:highlight w:val="none"/>
        </w:rPr>
        <w:fldChar w:fldCharType="begin"/>
      </w:r>
      <w:r>
        <w:rPr>
          <w:highlight w:val="none"/>
        </w:rPr>
        <w:instrText xml:space="preserve"> TOC \o "1-1" \h \t "标准文件_一级条标题,2,标准文件_附录一级条标题,2," </w:instrText>
      </w:r>
      <w:r>
        <w:rPr>
          <w:highlight w:val="none"/>
        </w:rPr>
        <w:fldChar w:fldCharType="separate"/>
      </w:r>
      <w:r>
        <w:rPr>
          <w:highlight w:val="none"/>
        </w:rPr>
        <w:fldChar w:fldCharType="begin"/>
      </w:r>
      <w:r>
        <w:rPr>
          <w:highlight w:val="none"/>
        </w:rPr>
        <w:instrText xml:space="preserve"> HYPERLINK \l _Toc889 </w:instrText>
      </w:r>
      <w:r>
        <w:rPr>
          <w:highlight w:val="none"/>
        </w:rPr>
        <w:fldChar w:fldCharType="separate"/>
      </w:r>
      <w:r>
        <w:rPr>
          <w:spacing w:val="320"/>
          <w:highlight w:val="none"/>
        </w:rPr>
        <w:t>前</w:t>
      </w:r>
      <w:r>
        <w:rPr>
          <w:highlight w:val="none"/>
        </w:rPr>
        <w:t>言</w:t>
      </w:r>
      <w:r>
        <w:rPr>
          <w:highlight w:val="none"/>
        </w:rPr>
        <w:tab/>
      </w:r>
      <w:r>
        <w:rPr>
          <w:highlight w:val="none"/>
        </w:rPr>
        <w:fldChar w:fldCharType="begin"/>
      </w:r>
      <w:r>
        <w:rPr>
          <w:highlight w:val="none"/>
        </w:rPr>
        <w:instrText xml:space="preserve"> PAGEREF _Toc889 \h </w:instrText>
      </w:r>
      <w:r>
        <w:rPr>
          <w:highlight w:val="none"/>
        </w:rPr>
        <w:fldChar w:fldCharType="separate"/>
      </w:r>
      <w:r>
        <w:rPr>
          <w:highlight w:val="none"/>
        </w:rPr>
        <w:t>III</w:t>
      </w:r>
      <w:r>
        <w:rPr>
          <w:highlight w:val="none"/>
        </w:rPr>
        <w:fldChar w:fldCharType="end"/>
      </w:r>
      <w:r>
        <w:rPr>
          <w:highlight w:val="none"/>
        </w:rPr>
        <w:fldChar w:fldCharType="end"/>
      </w:r>
    </w:p>
    <w:p w14:paraId="486FB46B">
      <w:pPr>
        <w:pStyle w:val="10"/>
        <w:tabs>
          <w:tab w:val="right" w:leader="dot" w:pos="9354"/>
        </w:tabs>
        <w:rPr>
          <w:highlight w:val="none"/>
        </w:rPr>
      </w:pPr>
      <w:r>
        <w:rPr>
          <w:highlight w:val="none"/>
        </w:rPr>
        <w:fldChar w:fldCharType="begin"/>
      </w:r>
      <w:r>
        <w:rPr>
          <w:highlight w:val="none"/>
        </w:rPr>
        <w:instrText xml:space="preserve"> HYPERLINK \l _Toc16368 </w:instrText>
      </w:r>
      <w:r>
        <w:rPr>
          <w:highlight w:val="none"/>
        </w:rPr>
        <w:fldChar w:fldCharType="separate"/>
      </w:r>
      <w:r>
        <w:rPr>
          <w:spacing w:val="320"/>
          <w:highlight w:val="none"/>
        </w:rPr>
        <w:t>引</w:t>
      </w:r>
      <w:r>
        <w:rPr>
          <w:highlight w:val="none"/>
        </w:rPr>
        <w:t>言</w:t>
      </w:r>
      <w:r>
        <w:rPr>
          <w:highlight w:val="none"/>
        </w:rPr>
        <w:tab/>
      </w:r>
      <w:r>
        <w:rPr>
          <w:highlight w:val="none"/>
        </w:rPr>
        <w:fldChar w:fldCharType="begin"/>
      </w:r>
      <w:r>
        <w:rPr>
          <w:highlight w:val="none"/>
        </w:rPr>
        <w:instrText xml:space="preserve"> PAGEREF _Toc16368 \h </w:instrText>
      </w:r>
      <w:r>
        <w:rPr>
          <w:highlight w:val="none"/>
        </w:rPr>
        <w:fldChar w:fldCharType="separate"/>
      </w:r>
      <w:r>
        <w:rPr>
          <w:highlight w:val="none"/>
        </w:rPr>
        <w:t>IV</w:t>
      </w:r>
      <w:r>
        <w:rPr>
          <w:highlight w:val="none"/>
        </w:rPr>
        <w:fldChar w:fldCharType="end"/>
      </w:r>
      <w:r>
        <w:rPr>
          <w:highlight w:val="none"/>
        </w:rPr>
        <w:fldChar w:fldCharType="end"/>
      </w:r>
    </w:p>
    <w:p w14:paraId="5A8A08BE">
      <w:pPr>
        <w:pStyle w:val="10"/>
        <w:tabs>
          <w:tab w:val="right" w:leader="dot" w:pos="9354"/>
        </w:tabs>
        <w:rPr>
          <w:highlight w:val="none"/>
        </w:rPr>
      </w:pPr>
      <w:r>
        <w:rPr>
          <w:highlight w:val="none"/>
        </w:rPr>
        <w:fldChar w:fldCharType="begin"/>
      </w:r>
      <w:r>
        <w:rPr>
          <w:highlight w:val="none"/>
        </w:rPr>
        <w:instrText xml:space="preserve"> HYPERLINK \l _Toc6493 </w:instrText>
      </w:r>
      <w:r>
        <w:rPr>
          <w:highlight w:val="none"/>
        </w:rPr>
        <w:fldChar w:fldCharType="separate"/>
      </w:r>
      <w:r>
        <w:rPr>
          <w:rFonts w:hint="eastAsia" w:ascii="黑体" w:eastAsia="黑体"/>
          <w:i w:val="0"/>
          <w:highlight w:val="none"/>
        </w:rPr>
        <w:t xml:space="preserve">1 </w:t>
      </w:r>
      <w:r>
        <w:rPr>
          <w:rFonts w:hint="eastAsia" w:ascii="Times New Roman"/>
          <w:highlight w:val="none"/>
        </w:rPr>
        <w:t>范围</w:t>
      </w:r>
      <w:r>
        <w:rPr>
          <w:highlight w:val="none"/>
        </w:rPr>
        <w:tab/>
      </w:r>
      <w:r>
        <w:rPr>
          <w:highlight w:val="none"/>
        </w:rPr>
        <w:fldChar w:fldCharType="begin"/>
      </w:r>
      <w:r>
        <w:rPr>
          <w:highlight w:val="none"/>
        </w:rPr>
        <w:instrText xml:space="preserve"> PAGEREF _Toc6493 \h </w:instrText>
      </w:r>
      <w:r>
        <w:rPr>
          <w:highlight w:val="none"/>
        </w:rPr>
        <w:fldChar w:fldCharType="separate"/>
      </w:r>
      <w:r>
        <w:rPr>
          <w:highlight w:val="none"/>
        </w:rPr>
        <w:t>1</w:t>
      </w:r>
      <w:r>
        <w:rPr>
          <w:highlight w:val="none"/>
        </w:rPr>
        <w:fldChar w:fldCharType="end"/>
      </w:r>
      <w:r>
        <w:rPr>
          <w:highlight w:val="none"/>
        </w:rPr>
        <w:fldChar w:fldCharType="end"/>
      </w:r>
    </w:p>
    <w:p w14:paraId="439D3F32">
      <w:pPr>
        <w:pStyle w:val="10"/>
        <w:tabs>
          <w:tab w:val="right" w:leader="dot" w:pos="9354"/>
        </w:tabs>
        <w:rPr>
          <w:highlight w:val="none"/>
        </w:rPr>
      </w:pPr>
      <w:r>
        <w:rPr>
          <w:highlight w:val="none"/>
        </w:rPr>
        <w:fldChar w:fldCharType="begin"/>
      </w:r>
      <w:r>
        <w:rPr>
          <w:highlight w:val="none"/>
        </w:rPr>
        <w:instrText xml:space="preserve"> HYPERLINK \l _Toc9740 </w:instrText>
      </w:r>
      <w:r>
        <w:rPr>
          <w:highlight w:val="none"/>
        </w:rPr>
        <w:fldChar w:fldCharType="separate"/>
      </w:r>
      <w:r>
        <w:rPr>
          <w:rFonts w:hint="eastAsia" w:ascii="黑体" w:eastAsia="黑体"/>
          <w:i w:val="0"/>
          <w:highlight w:val="none"/>
        </w:rPr>
        <w:t xml:space="preserve">2 </w:t>
      </w:r>
      <w:r>
        <w:rPr>
          <w:rFonts w:hint="eastAsia" w:ascii="Times New Roman"/>
          <w:highlight w:val="none"/>
        </w:rPr>
        <w:t>规范性引用文件</w:t>
      </w:r>
      <w:r>
        <w:rPr>
          <w:highlight w:val="none"/>
        </w:rPr>
        <w:tab/>
      </w:r>
      <w:r>
        <w:rPr>
          <w:highlight w:val="none"/>
        </w:rPr>
        <w:fldChar w:fldCharType="begin"/>
      </w:r>
      <w:r>
        <w:rPr>
          <w:highlight w:val="none"/>
        </w:rPr>
        <w:instrText xml:space="preserve"> PAGEREF _Toc9740 \h </w:instrText>
      </w:r>
      <w:r>
        <w:rPr>
          <w:highlight w:val="none"/>
        </w:rPr>
        <w:fldChar w:fldCharType="separate"/>
      </w:r>
      <w:r>
        <w:rPr>
          <w:highlight w:val="none"/>
        </w:rPr>
        <w:t>1</w:t>
      </w:r>
      <w:r>
        <w:rPr>
          <w:highlight w:val="none"/>
        </w:rPr>
        <w:fldChar w:fldCharType="end"/>
      </w:r>
      <w:r>
        <w:rPr>
          <w:highlight w:val="none"/>
        </w:rPr>
        <w:fldChar w:fldCharType="end"/>
      </w:r>
    </w:p>
    <w:p w14:paraId="2F6BB3E2">
      <w:pPr>
        <w:pStyle w:val="10"/>
        <w:tabs>
          <w:tab w:val="right" w:leader="dot" w:pos="9354"/>
        </w:tabs>
        <w:rPr>
          <w:highlight w:val="none"/>
        </w:rPr>
      </w:pPr>
      <w:r>
        <w:rPr>
          <w:highlight w:val="none"/>
        </w:rPr>
        <w:fldChar w:fldCharType="begin"/>
      </w:r>
      <w:r>
        <w:rPr>
          <w:highlight w:val="none"/>
        </w:rPr>
        <w:instrText xml:space="preserve"> HYPERLINK \l _Toc9414 </w:instrText>
      </w:r>
      <w:r>
        <w:rPr>
          <w:highlight w:val="none"/>
        </w:rPr>
        <w:fldChar w:fldCharType="separate"/>
      </w:r>
      <w:r>
        <w:rPr>
          <w:rFonts w:hint="eastAsia" w:ascii="黑体" w:eastAsia="黑体"/>
          <w:i w:val="0"/>
          <w:highlight w:val="none"/>
        </w:rPr>
        <w:t xml:space="preserve">3 </w:t>
      </w:r>
      <w:r>
        <w:rPr>
          <w:rFonts w:hint="eastAsia" w:ascii="Times New Roman"/>
          <w:szCs w:val="21"/>
          <w:highlight w:val="none"/>
        </w:rPr>
        <w:t>术语和定义</w:t>
      </w:r>
      <w:r>
        <w:rPr>
          <w:highlight w:val="none"/>
        </w:rPr>
        <w:tab/>
      </w:r>
      <w:r>
        <w:rPr>
          <w:highlight w:val="none"/>
        </w:rPr>
        <w:fldChar w:fldCharType="begin"/>
      </w:r>
      <w:r>
        <w:rPr>
          <w:highlight w:val="none"/>
        </w:rPr>
        <w:instrText xml:space="preserve"> PAGEREF _Toc9414 \h </w:instrText>
      </w:r>
      <w:r>
        <w:rPr>
          <w:highlight w:val="none"/>
        </w:rPr>
        <w:fldChar w:fldCharType="separate"/>
      </w:r>
      <w:r>
        <w:rPr>
          <w:highlight w:val="none"/>
        </w:rPr>
        <w:t>1</w:t>
      </w:r>
      <w:r>
        <w:rPr>
          <w:highlight w:val="none"/>
        </w:rPr>
        <w:fldChar w:fldCharType="end"/>
      </w:r>
      <w:r>
        <w:rPr>
          <w:highlight w:val="none"/>
        </w:rPr>
        <w:fldChar w:fldCharType="end"/>
      </w:r>
    </w:p>
    <w:p w14:paraId="16B8EA86">
      <w:pPr>
        <w:pStyle w:val="10"/>
        <w:tabs>
          <w:tab w:val="right" w:leader="dot" w:pos="9354"/>
        </w:tabs>
        <w:rPr>
          <w:highlight w:val="none"/>
        </w:rPr>
      </w:pPr>
      <w:r>
        <w:rPr>
          <w:highlight w:val="none"/>
        </w:rPr>
        <w:fldChar w:fldCharType="begin"/>
      </w:r>
      <w:r>
        <w:rPr>
          <w:highlight w:val="none"/>
        </w:rPr>
        <w:instrText xml:space="preserve"> HYPERLINK \l _Toc22987 </w:instrText>
      </w:r>
      <w:r>
        <w:rPr>
          <w:highlight w:val="none"/>
        </w:rPr>
        <w:fldChar w:fldCharType="separate"/>
      </w:r>
      <w:r>
        <w:rPr>
          <w:rFonts w:hint="eastAsia" w:ascii="黑体" w:eastAsia="黑体"/>
          <w:i w:val="0"/>
          <w:szCs w:val="21"/>
          <w:highlight w:val="none"/>
        </w:rPr>
        <w:t xml:space="preserve">4 </w:t>
      </w:r>
      <w:r>
        <w:rPr>
          <w:rFonts w:hint="eastAsia" w:ascii="Times New Roman"/>
          <w:szCs w:val="21"/>
          <w:highlight w:val="none"/>
        </w:rPr>
        <w:t>修复基本原则与工作程序</w:t>
      </w:r>
      <w:r>
        <w:rPr>
          <w:highlight w:val="none"/>
        </w:rPr>
        <w:tab/>
      </w:r>
      <w:r>
        <w:rPr>
          <w:highlight w:val="none"/>
        </w:rPr>
        <w:fldChar w:fldCharType="begin"/>
      </w:r>
      <w:r>
        <w:rPr>
          <w:highlight w:val="none"/>
        </w:rPr>
        <w:instrText xml:space="preserve"> PAGEREF _Toc22987 \h </w:instrText>
      </w:r>
      <w:r>
        <w:rPr>
          <w:highlight w:val="none"/>
        </w:rPr>
        <w:fldChar w:fldCharType="separate"/>
      </w:r>
      <w:r>
        <w:rPr>
          <w:highlight w:val="none"/>
        </w:rPr>
        <w:t>3</w:t>
      </w:r>
      <w:r>
        <w:rPr>
          <w:highlight w:val="none"/>
        </w:rPr>
        <w:fldChar w:fldCharType="end"/>
      </w:r>
      <w:r>
        <w:rPr>
          <w:highlight w:val="none"/>
        </w:rPr>
        <w:fldChar w:fldCharType="end"/>
      </w:r>
    </w:p>
    <w:p w14:paraId="4CF65F29">
      <w:pPr>
        <w:pStyle w:val="12"/>
        <w:tabs>
          <w:tab w:val="right" w:leader="dot" w:pos="9354"/>
          <w:tab w:val="clear" w:pos="9344"/>
        </w:tabs>
        <w:rPr>
          <w:highlight w:val="none"/>
        </w:rPr>
      </w:pPr>
      <w:r>
        <w:rPr>
          <w:highlight w:val="none"/>
        </w:rPr>
        <w:fldChar w:fldCharType="begin"/>
      </w:r>
      <w:r>
        <w:rPr>
          <w:highlight w:val="none"/>
        </w:rPr>
        <w:instrText xml:space="preserve"> HYPERLINK \l _Toc23180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1"/>
          <w:highlight w:val="none"/>
          <w:vertAlign w:val="baseline"/>
        </w:rPr>
        <w:t xml:space="preserve">4.1 </w:t>
      </w:r>
      <w:r>
        <w:rPr>
          <w:rFonts w:hint="eastAsia" w:ascii="Times New Roman"/>
          <w:szCs w:val="21"/>
          <w:highlight w:val="none"/>
        </w:rPr>
        <w:t>基本原则</w:t>
      </w:r>
      <w:r>
        <w:rPr>
          <w:highlight w:val="none"/>
        </w:rPr>
        <w:tab/>
      </w:r>
      <w:r>
        <w:rPr>
          <w:highlight w:val="none"/>
        </w:rPr>
        <w:fldChar w:fldCharType="begin"/>
      </w:r>
      <w:r>
        <w:rPr>
          <w:highlight w:val="none"/>
        </w:rPr>
        <w:instrText xml:space="preserve"> PAGEREF _Toc23180 \h </w:instrText>
      </w:r>
      <w:r>
        <w:rPr>
          <w:highlight w:val="none"/>
        </w:rPr>
        <w:fldChar w:fldCharType="separate"/>
      </w:r>
      <w:r>
        <w:rPr>
          <w:highlight w:val="none"/>
        </w:rPr>
        <w:t>3</w:t>
      </w:r>
      <w:r>
        <w:rPr>
          <w:highlight w:val="none"/>
        </w:rPr>
        <w:fldChar w:fldCharType="end"/>
      </w:r>
      <w:r>
        <w:rPr>
          <w:highlight w:val="none"/>
        </w:rPr>
        <w:fldChar w:fldCharType="end"/>
      </w:r>
    </w:p>
    <w:p w14:paraId="23907F27">
      <w:pPr>
        <w:pStyle w:val="12"/>
        <w:tabs>
          <w:tab w:val="right" w:leader="dot" w:pos="9354"/>
          <w:tab w:val="clear" w:pos="9344"/>
        </w:tabs>
        <w:rPr>
          <w:highlight w:val="none"/>
        </w:rPr>
      </w:pPr>
      <w:r>
        <w:rPr>
          <w:highlight w:val="none"/>
        </w:rPr>
        <w:fldChar w:fldCharType="begin"/>
      </w:r>
      <w:r>
        <w:rPr>
          <w:highlight w:val="none"/>
        </w:rPr>
        <w:instrText xml:space="preserve"> HYPERLINK \l _Toc5213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1"/>
          <w:highlight w:val="none"/>
          <w:vertAlign w:val="baseline"/>
        </w:rPr>
        <w:t xml:space="preserve">4.2 </w:t>
      </w:r>
      <w:r>
        <w:rPr>
          <w:rFonts w:hint="eastAsia" w:ascii="Times New Roman"/>
          <w:szCs w:val="21"/>
          <w:highlight w:val="none"/>
        </w:rPr>
        <w:t>修复工作程序</w:t>
      </w:r>
      <w:r>
        <w:rPr>
          <w:highlight w:val="none"/>
        </w:rPr>
        <w:tab/>
      </w:r>
      <w:r>
        <w:rPr>
          <w:highlight w:val="none"/>
        </w:rPr>
        <w:fldChar w:fldCharType="begin"/>
      </w:r>
      <w:r>
        <w:rPr>
          <w:highlight w:val="none"/>
        </w:rPr>
        <w:instrText xml:space="preserve"> PAGEREF _Toc5213 \h </w:instrText>
      </w:r>
      <w:r>
        <w:rPr>
          <w:highlight w:val="none"/>
        </w:rPr>
        <w:fldChar w:fldCharType="separate"/>
      </w:r>
      <w:r>
        <w:rPr>
          <w:highlight w:val="none"/>
        </w:rPr>
        <w:t>3</w:t>
      </w:r>
      <w:r>
        <w:rPr>
          <w:highlight w:val="none"/>
        </w:rPr>
        <w:fldChar w:fldCharType="end"/>
      </w:r>
      <w:r>
        <w:rPr>
          <w:highlight w:val="none"/>
        </w:rPr>
        <w:fldChar w:fldCharType="end"/>
      </w:r>
    </w:p>
    <w:p w14:paraId="463EC790">
      <w:pPr>
        <w:pStyle w:val="10"/>
        <w:tabs>
          <w:tab w:val="right" w:leader="dot" w:pos="9354"/>
        </w:tabs>
        <w:rPr>
          <w:highlight w:val="none"/>
        </w:rPr>
      </w:pPr>
      <w:r>
        <w:rPr>
          <w:highlight w:val="none"/>
        </w:rPr>
        <w:fldChar w:fldCharType="begin"/>
      </w:r>
      <w:r>
        <w:rPr>
          <w:highlight w:val="none"/>
        </w:rPr>
        <w:instrText xml:space="preserve"> HYPERLINK \l _Toc10718 </w:instrText>
      </w:r>
      <w:r>
        <w:rPr>
          <w:highlight w:val="none"/>
        </w:rPr>
        <w:fldChar w:fldCharType="separate"/>
      </w:r>
      <w:r>
        <w:rPr>
          <w:rFonts w:hint="eastAsia" w:ascii="黑体" w:eastAsia="黑体"/>
          <w:i w:val="0"/>
          <w:highlight w:val="none"/>
        </w:rPr>
        <w:t xml:space="preserve">5 </w:t>
      </w:r>
      <w:r>
        <w:rPr>
          <w:rFonts w:hint="eastAsia" w:ascii="Times New Roman"/>
          <w:highlight w:val="none"/>
        </w:rPr>
        <w:t>污染场地绿色低碳修复技术推荐</w:t>
      </w:r>
      <w:r>
        <w:rPr>
          <w:highlight w:val="none"/>
        </w:rPr>
        <w:tab/>
      </w:r>
      <w:r>
        <w:rPr>
          <w:highlight w:val="none"/>
        </w:rPr>
        <w:fldChar w:fldCharType="begin"/>
      </w:r>
      <w:r>
        <w:rPr>
          <w:highlight w:val="none"/>
        </w:rPr>
        <w:instrText xml:space="preserve"> PAGEREF _Toc10718 \h </w:instrText>
      </w:r>
      <w:r>
        <w:rPr>
          <w:highlight w:val="none"/>
        </w:rPr>
        <w:fldChar w:fldCharType="separate"/>
      </w:r>
      <w:r>
        <w:rPr>
          <w:highlight w:val="none"/>
        </w:rPr>
        <w:t>4</w:t>
      </w:r>
      <w:r>
        <w:rPr>
          <w:highlight w:val="none"/>
        </w:rPr>
        <w:fldChar w:fldCharType="end"/>
      </w:r>
      <w:r>
        <w:rPr>
          <w:highlight w:val="none"/>
        </w:rPr>
        <w:fldChar w:fldCharType="end"/>
      </w:r>
    </w:p>
    <w:p w14:paraId="26E60FDA">
      <w:pPr>
        <w:pStyle w:val="12"/>
        <w:tabs>
          <w:tab w:val="right" w:leader="dot" w:pos="9354"/>
          <w:tab w:val="clear" w:pos="9344"/>
        </w:tabs>
        <w:rPr>
          <w:highlight w:val="none"/>
        </w:rPr>
      </w:pPr>
      <w:r>
        <w:rPr>
          <w:highlight w:val="none"/>
        </w:rPr>
        <w:fldChar w:fldCharType="begin"/>
      </w:r>
      <w:r>
        <w:rPr>
          <w:highlight w:val="none"/>
        </w:rPr>
        <w:instrText xml:space="preserve"> HYPERLINK \l _Toc31472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5.1 </w:t>
      </w:r>
      <w:r>
        <w:rPr>
          <w:rFonts w:hint="eastAsia" w:ascii="Times New Roman"/>
          <w:highlight w:val="none"/>
        </w:rPr>
        <w:t>一般规定</w:t>
      </w:r>
      <w:r>
        <w:rPr>
          <w:highlight w:val="none"/>
        </w:rPr>
        <w:tab/>
      </w:r>
      <w:r>
        <w:rPr>
          <w:highlight w:val="none"/>
        </w:rPr>
        <w:fldChar w:fldCharType="begin"/>
      </w:r>
      <w:r>
        <w:rPr>
          <w:highlight w:val="none"/>
        </w:rPr>
        <w:instrText xml:space="preserve"> PAGEREF _Toc31472 \h </w:instrText>
      </w:r>
      <w:r>
        <w:rPr>
          <w:highlight w:val="none"/>
        </w:rPr>
        <w:fldChar w:fldCharType="separate"/>
      </w:r>
      <w:r>
        <w:rPr>
          <w:highlight w:val="none"/>
        </w:rPr>
        <w:t>4</w:t>
      </w:r>
      <w:r>
        <w:rPr>
          <w:highlight w:val="none"/>
        </w:rPr>
        <w:fldChar w:fldCharType="end"/>
      </w:r>
      <w:r>
        <w:rPr>
          <w:highlight w:val="none"/>
        </w:rPr>
        <w:fldChar w:fldCharType="end"/>
      </w:r>
    </w:p>
    <w:p w14:paraId="415D7EB9">
      <w:pPr>
        <w:pStyle w:val="12"/>
        <w:tabs>
          <w:tab w:val="right" w:leader="dot" w:pos="9354"/>
          <w:tab w:val="clear" w:pos="9344"/>
        </w:tabs>
        <w:rPr>
          <w:highlight w:val="none"/>
        </w:rPr>
      </w:pPr>
      <w:r>
        <w:rPr>
          <w:highlight w:val="none"/>
        </w:rPr>
        <w:fldChar w:fldCharType="begin"/>
      </w:r>
      <w:r>
        <w:rPr>
          <w:highlight w:val="none"/>
        </w:rPr>
        <w:instrText xml:space="preserve"> HYPERLINK \l _Toc939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5.2 </w:t>
      </w:r>
      <w:r>
        <w:rPr>
          <w:rFonts w:hint="eastAsia" w:ascii="Times New Roman"/>
          <w:highlight w:val="none"/>
        </w:rPr>
        <w:t>重金属污染场地</w:t>
      </w:r>
      <w:r>
        <w:rPr>
          <w:highlight w:val="none"/>
        </w:rPr>
        <w:tab/>
      </w:r>
      <w:r>
        <w:rPr>
          <w:highlight w:val="none"/>
        </w:rPr>
        <w:fldChar w:fldCharType="begin"/>
      </w:r>
      <w:r>
        <w:rPr>
          <w:highlight w:val="none"/>
        </w:rPr>
        <w:instrText xml:space="preserve"> PAGEREF _Toc939 \h </w:instrText>
      </w:r>
      <w:r>
        <w:rPr>
          <w:highlight w:val="none"/>
        </w:rPr>
        <w:fldChar w:fldCharType="separate"/>
      </w:r>
      <w:r>
        <w:rPr>
          <w:highlight w:val="none"/>
        </w:rPr>
        <w:t>4</w:t>
      </w:r>
      <w:r>
        <w:rPr>
          <w:highlight w:val="none"/>
        </w:rPr>
        <w:fldChar w:fldCharType="end"/>
      </w:r>
      <w:r>
        <w:rPr>
          <w:highlight w:val="none"/>
        </w:rPr>
        <w:fldChar w:fldCharType="end"/>
      </w:r>
    </w:p>
    <w:p w14:paraId="53B319C3">
      <w:pPr>
        <w:pStyle w:val="12"/>
        <w:tabs>
          <w:tab w:val="right" w:leader="dot" w:pos="9354"/>
          <w:tab w:val="clear" w:pos="9344"/>
        </w:tabs>
        <w:rPr>
          <w:highlight w:val="none"/>
        </w:rPr>
      </w:pPr>
      <w:r>
        <w:rPr>
          <w:highlight w:val="none"/>
        </w:rPr>
        <w:fldChar w:fldCharType="begin"/>
      </w:r>
      <w:r>
        <w:rPr>
          <w:highlight w:val="none"/>
        </w:rPr>
        <w:instrText xml:space="preserve"> HYPERLINK \l _Toc9106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5.3 </w:t>
      </w:r>
      <w:r>
        <w:rPr>
          <w:rFonts w:hint="eastAsia" w:ascii="Times New Roman"/>
          <w:highlight w:val="none"/>
        </w:rPr>
        <w:t>有机污染场地</w:t>
      </w:r>
      <w:r>
        <w:rPr>
          <w:highlight w:val="none"/>
        </w:rPr>
        <w:tab/>
      </w:r>
      <w:r>
        <w:rPr>
          <w:highlight w:val="none"/>
        </w:rPr>
        <w:fldChar w:fldCharType="begin"/>
      </w:r>
      <w:r>
        <w:rPr>
          <w:highlight w:val="none"/>
        </w:rPr>
        <w:instrText xml:space="preserve"> PAGEREF _Toc9106 \h </w:instrText>
      </w:r>
      <w:r>
        <w:rPr>
          <w:highlight w:val="none"/>
        </w:rPr>
        <w:fldChar w:fldCharType="separate"/>
      </w:r>
      <w:r>
        <w:rPr>
          <w:highlight w:val="none"/>
        </w:rPr>
        <w:t>5</w:t>
      </w:r>
      <w:r>
        <w:rPr>
          <w:highlight w:val="none"/>
        </w:rPr>
        <w:fldChar w:fldCharType="end"/>
      </w:r>
      <w:r>
        <w:rPr>
          <w:highlight w:val="none"/>
        </w:rPr>
        <w:fldChar w:fldCharType="end"/>
      </w:r>
    </w:p>
    <w:p w14:paraId="5FB0D6E9">
      <w:pPr>
        <w:pStyle w:val="12"/>
        <w:tabs>
          <w:tab w:val="right" w:leader="dot" w:pos="9354"/>
          <w:tab w:val="clear" w:pos="9344"/>
        </w:tabs>
        <w:rPr>
          <w:highlight w:val="none"/>
        </w:rPr>
      </w:pPr>
      <w:r>
        <w:rPr>
          <w:highlight w:val="none"/>
        </w:rPr>
        <w:fldChar w:fldCharType="begin"/>
      </w:r>
      <w:r>
        <w:rPr>
          <w:highlight w:val="none"/>
        </w:rPr>
        <w:instrText xml:space="preserve"> HYPERLINK \l _Toc19399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5.4 </w:t>
      </w:r>
      <w:r>
        <w:rPr>
          <w:rFonts w:hint="eastAsia" w:ascii="Times New Roman"/>
          <w:highlight w:val="none"/>
        </w:rPr>
        <w:t>复合污染场地</w:t>
      </w:r>
      <w:r>
        <w:rPr>
          <w:highlight w:val="none"/>
        </w:rPr>
        <w:tab/>
      </w:r>
      <w:r>
        <w:rPr>
          <w:highlight w:val="none"/>
        </w:rPr>
        <w:fldChar w:fldCharType="begin"/>
      </w:r>
      <w:r>
        <w:rPr>
          <w:highlight w:val="none"/>
        </w:rPr>
        <w:instrText xml:space="preserve"> PAGEREF _Toc19399 \h </w:instrText>
      </w:r>
      <w:r>
        <w:rPr>
          <w:highlight w:val="none"/>
        </w:rPr>
        <w:fldChar w:fldCharType="separate"/>
      </w:r>
      <w:r>
        <w:rPr>
          <w:highlight w:val="none"/>
        </w:rPr>
        <w:t>5</w:t>
      </w:r>
      <w:r>
        <w:rPr>
          <w:highlight w:val="none"/>
        </w:rPr>
        <w:fldChar w:fldCharType="end"/>
      </w:r>
      <w:r>
        <w:rPr>
          <w:highlight w:val="none"/>
        </w:rPr>
        <w:fldChar w:fldCharType="end"/>
      </w:r>
    </w:p>
    <w:p w14:paraId="68BA288F">
      <w:pPr>
        <w:pStyle w:val="10"/>
        <w:tabs>
          <w:tab w:val="right" w:leader="dot" w:pos="9354"/>
        </w:tabs>
        <w:rPr>
          <w:highlight w:val="none"/>
        </w:rPr>
      </w:pPr>
      <w:r>
        <w:rPr>
          <w:highlight w:val="none"/>
        </w:rPr>
        <w:fldChar w:fldCharType="begin"/>
      </w:r>
      <w:r>
        <w:rPr>
          <w:highlight w:val="none"/>
        </w:rPr>
        <w:instrText xml:space="preserve"> HYPERLINK \l _Toc22748 </w:instrText>
      </w:r>
      <w:r>
        <w:rPr>
          <w:highlight w:val="none"/>
        </w:rPr>
        <w:fldChar w:fldCharType="separate"/>
      </w:r>
      <w:r>
        <w:rPr>
          <w:rFonts w:hint="eastAsia" w:ascii="黑体" w:eastAsia="黑体"/>
          <w:i w:val="0"/>
          <w:highlight w:val="none"/>
        </w:rPr>
        <w:t xml:space="preserve">6 </w:t>
      </w:r>
      <w:r>
        <w:rPr>
          <w:rFonts w:hint="eastAsia" w:ascii="Times New Roman"/>
          <w:highlight w:val="none"/>
        </w:rPr>
        <w:t>污染场地绿色低碳修复实施要求</w:t>
      </w:r>
      <w:r>
        <w:rPr>
          <w:highlight w:val="none"/>
        </w:rPr>
        <w:tab/>
      </w:r>
      <w:r>
        <w:rPr>
          <w:highlight w:val="none"/>
        </w:rPr>
        <w:fldChar w:fldCharType="begin"/>
      </w:r>
      <w:r>
        <w:rPr>
          <w:highlight w:val="none"/>
        </w:rPr>
        <w:instrText xml:space="preserve"> PAGEREF _Toc22748 \h </w:instrText>
      </w:r>
      <w:r>
        <w:rPr>
          <w:highlight w:val="none"/>
        </w:rPr>
        <w:fldChar w:fldCharType="separate"/>
      </w:r>
      <w:r>
        <w:rPr>
          <w:highlight w:val="none"/>
        </w:rPr>
        <w:t>6</w:t>
      </w:r>
      <w:r>
        <w:rPr>
          <w:highlight w:val="none"/>
        </w:rPr>
        <w:fldChar w:fldCharType="end"/>
      </w:r>
      <w:r>
        <w:rPr>
          <w:highlight w:val="none"/>
        </w:rPr>
        <w:fldChar w:fldCharType="end"/>
      </w:r>
    </w:p>
    <w:p w14:paraId="2D653446">
      <w:pPr>
        <w:pStyle w:val="12"/>
        <w:tabs>
          <w:tab w:val="right" w:leader="dot" w:pos="9354"/>
          <w:tab w:val="clear" w:pos="9344"/>
        </w:tabs>
        <w:rPr>
          <w:highlight w:val="none"/>
        </w:rPr>
      </w:pPr>
      <w:r>
        <w:rPr>
          <w:highlight w:val="none"/>
        </w:rPr>
        <w:fldChar w:fldCharType="begin"/>
      </w:r>
      <w:r>
        <w:rPr>
          <w:highlight w:val="none"/>
        </w:rPr>
        <w:instrText xml:space="preserve"> HYPERLINK \l _Toc2091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6.1 </w:t>
      </w:r>
      <w:r>
        <w:rPr>
          <w:rFonts w:hint="eastAsia" w:ascii="Times New Roman"/>
          <w:highlight w:val="none"/>
        </w:rPr>
        <w:t>绿色低碳修复总体原则</w:t>
      </w:r>
      <w:r>
        <w:rPr>
          <w:highlight w:val="none"/>
        </w:rPr>
        <w:tab/>
      </w:r>
      <w:r>
        <w:rPr>
          <w:highlight w:val="none"/>
        </w:rPr>
        <w:fldChar w:fldCharType="begin"/>
      </w:r>
      <w:r>
        <w:rPr>
          <w:highlight w:val="none"/>
        </w:rPr>
        <w:instrText xml:space="preserve"> PAGEREF _Toc2091 \h </w:instrText>
      </w:r>
      <w:r>
        <w:rPr>
          <w:highlight w:val="none"/>
        </w:rPr>
        <w:fldChar w:fldCharType="separate"/>
      </w:r>
      <w:r>
        <w:rPr>
          <w:highlight w:val="none"/>
        </w:rPr>
        <w:t>6</w:t>
      </w:r>
      <w:r>
        <w:rPr>
          <w:highlight w:val="none"/>
        </w:rPr>
        <w:fldChar w:fldCharType="end"/>
      </w:r>
      <w:r>
        <w:rPr>
          <w:highlight w:val="none"/>
        </w:rPr>
        <w:fldChar w:fldCharType="end"/>
      </w:r>
    </w:p>
    <w:p w14:paraId="596A16DE">
      <w:pPr>
        <w:pStyle w:val="12"/>
        <w:tabs>
          <w:tab w:val="right" w:leader="dot" w:pos="9354"/>
          <w:tab w:val="clear" w:pos="9344"/>
        </w:tabs>
        <w:rPr>
          <w:highlight w:val="none"/>
        </w:rPr>
      </w:pPr>
      <w:r>
        <w:rPr>
          <w:highlight w:val="none"/>
        </w:rPr>
        <w:fldChar w:fldCharType="begin"/>
      </w:r>
      <w:r>
        <w:rPr>
          <w:highlight w:val="none"/>
        </w:rPr>
        <w:instrText xml:space="preserve"> HYPERLINK \l _Toc32646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6.2 </w:t>
      </w:r>
      <w:r>
        <w:rPr>
          <w:rFonts w:hint="eastAsia" w:ascii="Times New Roman"/>
          <w:highlight w:val="none"/>
        </w:rPr>
        <w:t>典型单项修复技术最佳管理措施</w:t>
      </w:r>
      <w:r>
        <w:rPr>
          <w:rFonts w:ascii="Times New Roman"/>
          <w:highlight w:val="none"/>
        </w:rPr>
        <w:t xml:space="preserve"> </w:t>
      </w:r>
      <w:r>
        <w:rPr>
          <w:highlight w:val="none"/>
        </w:rPr>
        <w:tab/>
      </w:r>
      <w:r>
        <w:rPr>
          <w:highlight w:val="none"/>
        </w:rPr>
        <w:fldChar w:fldCharType="begin"/>
      </w:r>
      <w:r>
        <w:rPr>
          <w:highlight w:val="none"/>
        </w:rPr>
        <w:instrText xml:space="preserve"> PAGEREF _Toc32646 \h </w:instrText>
      </w:r>
      <w:r>
        <w:rPr>
          <w:highlight w:val="none"/>
        </w:rPr>
        <w:fldChar w:fldCharType="separate"/>
      </w:r>
      <w:r>
        <w:rPr>
          <w:highlight w:val="none"/>
        </w:rPr>
        <w:t>7</w:t>
      </w:r>
      <w:r>
        <w:rPr>
          <w:highlight w:val="none"/>
        </w:rPr>
        <w:fldChar w:fldCharType="end"/>
      </w:r>
      <w:r>
        <w:rPr>
          <w:highlight w:val="none"/>
        </w:rPr>
        <w:fldChar w:fldCharType="end"/>
      </w:r>
    </w:p>
    <w:p w14:paraId="40FD96DE">
      <w:pPr>
        <w:pStyle w:val="12"/>
        <w:tabs>
          <w:tab w:val="right" w:leader="dot" w:pos="9354"/>
          <w:tab w:val="clear" w:pos="9344"/>
        </w:tabs>
        <w:rPr>
          <w:highlight w:val="none"/>
        </w:rPr>
      </w:pPr>
      <w:r>
        <w:rPr>
          <w:highlight w:val="none"/>
        </w:rPr>
        <w:fldChar w:fldCharType="begin"/>
      </w:r>
      <w:r>
        <w:rPr>
          <w:highlight w:val="none"/>
        </w:rPr>
        <w:instrText xml:space="preserve"> HYPERLINK \l _Toc11982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rPr>
        <w:t xml:space="preserve">6.3 </w:t>
      </w:r>
      <w:r>
        <w:rPr>
          <w:rFonts w:hint="eastAsia" w:ascii="Times New Roman"/>
          <w:highlight w:val="none"/>
        </w:rPr>
        <w:t>集成修复技术最佳管理措施</w:t>
      </w:r>
      <w:r>
        <w:rPr>
          <w:highlight w:val="none"/>
        </w:rPr>
        <w:tab/>
      </w:r>
      <w:r>
        <w:rPr>
          <w:highlight w:val="none"/>
        </w:rPr>
        <w:fldChar w:fldCharType="begin"/>
      </w:r>
      <w:r>
        <w:rPr>
          <w:highlight w:val="none"/>
        </w:rPr>
        <w:instrText xml:space="preserve"> PAGEREF _Toc11982 \h </w:instrText>
      </w:r>
      <w:r>
        <w:rPr>
          <w:highlight w:val="none"/>
        </w:rPr>
        <w:fldChar w:fldCharType="separate"/>
      </w:r>
      <w:r>
        <w:rPr>
          <w:highlight w:val="none"/>
        </w:rPr>
        <w:t>11</w:t>
      </w:r>
      <w:r>
        <w:rPr>
          <w:highlight w:val="none"/>
        </w:rPr>
        <w:fldChar w:fldCharType="end"/>
      </w:r>
      <w:r>
        <w:rPr>
          <w:highlight w:val="none"/>
        </w:rPr>
        <w:fldChar w:fldCharType="end"/>
      </w:r>
    </w:p>
    <w:p w14:paraId="386D8D94">
      <w:pPr>
        <w:pStyle w:val="10"/>
        <w:tabs>
          <w:tab w:val="right" w:leader="dot" w:pos="9354"/>
        </w:tabs>
        <w:rPr>
          <w:highlight w:val="none"/>
        </w:rPr>
      </w:pPr>
      <w:r>
        <w:rPr>
          <w:highlight w:val="none"/>
        </w:rPr>
        <w:fldChar w:fldCharType="begin"/>
      </w:r>
      <w:r>
        <w:rPr>
          <w:highlight w:val="none"/>
        </w:rPr>
        <w:instrText xml:space="preserve"> HYPERLINK \l _Toc12636 </w:instrText>
      </w:r>
      <w:r>
        <w:rPr>
          <w:highlight w:val="none"/>
        </w:rPr>
        <w:fldChar w:fldCharType="separate"/>
      </w:r>
      <w:r>
        <w:rPr>
          <w:rFonts w:hint="default" w:ascii="Times New Roman" w:hAnsi="Times New Roman" w:cs="Times New Roman"/>
          <w:spacing w:val="100"/>
          <w:highlight w:val="none"/>
        </w:rPr>
        <w:t xml:space="preserve">附录A </w:t>
      </w:r>
      <w:r>
        <w:rPr>
          <w:rFonts w:ascii="Times New Roman"/>
          <w:highlight w:val="none"/>
        </w:rPr>
        <w:t xml:space="preserve">  </w:t>
      </w:r>
      <w:r>
        <w:rPr>
          <w:highlight w:val="none"/>
        </w:rPr>
        <w:tab/>
      </w:r>
      <w:r>
        <w:rPr>
          <w:highlight w:val="none"/>
        </w:rPr>
        <w:fldChar w:fldCharType="begin"/>
      </w:r>
      <w:r>
        <w:rPr>
          <w:highlight w:val="none"/>
        </w:rPr>
        <w:instrText xml:space="preserve"> PAGEREF _Toc12636 \h </w:instrText>
      </w:r>
      <w:r>
        <w:rPr>
          <w:highlight w:val="none"/>
        </w:rPr>
        <w:fldChar w:fldCharType="separate"/>
      </w:r>
      <w:r>
        <w:rPr>
          <w:highlight w:val="none"/>
        </w:rPr>
        <w:t>12</w:t>
      </w:r>
      <w:r>
        <w:rPr>
          <w:highlight w:val="none"/>
        </w:rPr>
        <w:fldChar w:fldCharType="end"/>
      </w:r>
      <w:r>
        <w:rPr>
          <w:highlight w:val="none"/>
        </w:rPr>
        <w:fldChar w:fldCharType="end"/>
      </w:r>
    </w:p>
    <w:p w14:paraId="784C501F">
      <w:pPr>
        <w:pStyle w:val="10"/>
        <w:tabs>
          <w:tab w:val="right" w:leader="dot" w:pos="9354"/>
        </w:tabs>
        <w:rPr>
          <w:highlight w:val="none"/>
        </w:rPr>
      </w:pPr>
      <w:r>
        <w:rPr>
          <w:highlight w:val="none"/>
        </w:rPr>
        <w:fldChar w:fldCharType="begin"/>
      </w:r>
      <w:r>
        <w:rPr>
          <w:highlight w:val="none"/>
        </w:rPr>
        <w:instrText xml:space="preserve"> HYPERLINK \l _Toc18228 </w:instrText>
      </w:r>
      <w:r>
        <w:rPr>
          <w:highlight w:val="none"/>
        </w:rPr>
        <w:fldChar w:fldCharType="separate"/>
      </w:r>
      <w:r>
        <w:rPr>
          <w:rFonts w:hint="default" w:ascii="Times New Roman" w:hAnsi="Times New Roman" w:cs="Times New Roman"/>
          <w:spacing w:val="100"/>
          <w:highlight w:val="none"/>
        </w:rPr>
        <w:t xml:space="preserve">附录B </w:t>
      </w:r>
      <w:r>
        <w:rPr>
          <w:highlight w:val="none"/>
        </w:rPr>
        <w:tab/>
      </w:r>
      <w:r>
        <w:rPr>
          <w:highlight w:val="none"/>
        </w:rPr>
        <w:fldChar w:fldCharType="begin"/>
      </w:r>
      <w:r>
        <w:rPr>
          <w:highlight w:val="none"/>
        </w:rPr>
        <w:instrText xml:space="preserve"> PAGEREF _Toc18228 \h </w:instrText>
      </w:r>
      <w:r>
        <w:rPr>
          <w:highlight w:val="none"/>
        </w:rPr>
        <w:fldChar w:fldCharType="separate"/>
      </w:r>
      <w:r>
        <w:rPr>
          <w:highlight w:val="none"/>
        </w:rPr>
        <w:t>1</w:t>
      </w:r>
      <w:r>
        <w:rPr>
          <w:highlight w:val="none"/>
        </w:rPr>
        <w:fldChar w:fldCharType="end"/>
      </w:r>
      <w:r>
        <w:rPr>
          <w:highlight w:val="none"/>
        </w:rPr>
        <w:fldChar w:fldCharType="end"/>
      </w:r>
    </w:p>
    <w:p w14:paraId="199A6BFC">
      <w:pPr>
        <w:pStyle w:val="10"/>
        <w:tabs>
          <w:tab w:val="right" w:leader="dot" w:pos="9354"/>
        </w:tabs>
        <w:rPr>
          <w:highlight w:val="none"/>
        </w:rPr>
      </w:pPr>
      <w:r>
        <w:rPr>
          <w:highlight w:val="none"/>
        </w:rPr>
        <w:fldChar w:fldCharType="begin"/>
      </w:r>
      <w:r>
        <w:rPr>
          <w:highlight w:val="none"/>
        </w:rPr>
        <w:instrText xml:space="preserve"> HYPERLINK \l _Toc271 </w:instrText>
      </w:r>
      <w:r>
        <w:rPr>
          <w:highlight w:val="none"/>
        </w:rPr>
        <w:fldChar w:fldCharType="separate"/>
      </w:r>
      <w:r>
        <w:rPr>
          <w:rFonts w:hint="default"/>
          <w:highlight w:val="none"/>
        </w:rPr>
        <w:t>基于典型单项修复技术最佳碳管理措施的场地修复案例</w:t>
      </w:r>
      <w:r>
        <w:rPr>
          <w:highlight w:val="none"/>
        </w:rPr>
        <w:tab/>
      </w:r>
      <w:r>
        <w:rPr>
          <w:highlight w:val="none"/>
        </w:rPr>
        <w:fldChar w:fldCharType="begin"/>
      </w:r>
      <w:r>
        <w:rPr>
          <w:highlight w:val="none"/>
        </w:rPr>
        <w:instrText xml:space="preserve"> PAGEREF _Toc271 \h </w:instrText>
      </w:r>
      <w:r>
        <w:rPr>
          <w:highlight w:val="none"/>
        </w:rPr>
        <w:fldChar w:fldCharType="separate"/>
      </w:r>
      <w:r>
        <w:rPr>
          <w:highlight w:val="none"/>
        </w:rPr>
        <w:t>1</w:t>
      </w:r>
      <w:r>
        <w:rPr>
          <w:highlight w:val="none"/>
        </w:rPr>
        <w:fldChar w:fldCharType="end"/>
      </w:r>
      <w:r>
        <w:rPr>
          <w:highlight w:val="none"/>
        </w:rPr>
        <w:fldChar w:fldCharType="end"/>
      </w:r>
    </w:p>
    <w:p w14:paraId="78C8F741">
      <w:pPr>
        <w:pStyle w:val="12"/>
        <w:tabs>
          <w:tab w:val="right" w:leader="dot" w:pos="9354"/>
          <w:tab w:val="clear" w:pos="9344"/>
        </w:tabs>
        <w:rPr>
          <w:highlight w:val="none"/>
        </w:rPr>
      </w:pPr>
      <w:r>
        <w:rPr>
          <w:highlight w:val="none"/>
        </w:rPr>
        <w:fldChar w:fldCharType="begin"/>
      </w:r>
      <w:r>
        <w:rPr>
          <w:highlight w:val="none"/>
        </w:rPr>
        <w:instrText xml:space="preserve"> HYPERLINK \l _Toc9604 </w:instrText>
      </w:r>
      <w:r>
        <w:rPr>
          <w:highlight w:val="none"/>
        </w:rPr>
        <w:fldChar w:fldCharType="separate"/>
      </w:r>
      <w:r>
        <w:rPr>
          <w:rFonts w:hint="eastAsia" w:ascii="黑体" w:eastAsia="黑体"/>
          <w:i w:val="0"/>
          <w:highlight w:val="none"/>
        </w:rPr>
        <w:t xml:space="preserve">B.1 </w:t>
      </w:r>
      <w:r>
        <w:rPr>
          <w:rFonts w:hint="eastAsia" w:ascii="Times New Roman"/>
          <w:highlight w:val="none"/>
        </w:rPr>
        <w:t>案例场地概况</w:t>
      </w:r>
      <w:r>
        <w:rPr>
          <w:highlight w:val="none"/>
        </w:rPr>
        <w:tab/>
      </w:r>
      <w:r>
        <w:rPr>
          <w:highlight w:val="none"/>
        </w:rPr>
        <w:fldChar w:fldCharType="begin"/>
      </w:r>
      <w:r>
        <w:rPr>
          <w:highlight w:val="none"/>
        </w:rPr>
        <w:instrText xml:space="preserve"> PAGEREF _Toc9604 \h </w:instrText>
      </w:r>
      <w:r>
        <w:rPr>
          <w:highlight w:val="none"/>
        </w:rPr>
        <w:fldChar w:fldCharType="separate"/>
      </w:r>
      <w:r>
        <w:rPr>
          <w:highlight w:val="none"/>
        </w:rPr>
        <w:t>1</w:t>
      </w:r>
      <w:r>
        <w:rPr>
          <w:highlight w:val="none"/>
        </w:rPr>
        <w:fldChar w:fldCharType="end"/>
      </w:r>
      <w:r>
        <w:rPr>
          <w:highlight w:val="none"/>
        </w:rPr>
        <w:fldChar w:fldCharType="end"/>
      </w:r>
    </w:p>
    <w:p w14:paraId="43943162">
      <w:pPr>
        <w:pStyle w:val="12"/>
        <w:tabs>
          <w:tab w:val="right" w:leader="dot" w:pos="9354"/>
          <w:tab w:val="clear" w:pos="9344"/>
        </w:tabs>
        <w:rPr>
          <w:highlight w:val="none"/>
        </w:rPr>
      </w:pPr>
      <w:r>
        <w:rPr>
          <w:highlight w:val="none"/>
        </w:rPr>
        <w:fldChar w:fldCharType="begin"/>
      </w:r>
      <w:r>
        <w:rPr>
          <w:highlight w:val="none"/>
        </w:rPr>
        <w:instrText xml:space="preserve"> HYPERLINK \l _Toc13700 </w:instrText>
      </w:r>
      <w:r>
        <w:rPr>
          <w:highlight w:val="none"/>
        </w:rPr>
        <w:fldChar w:fldCharType="separate"/>
      </w:r>
      <w:r>
        <w:rPr>
          <w:rFonts w:hint="eastAsia" w:ascii="黑体" w:eastAsia="黑体"/>
          <w:i w:val="0"/>
          <w:highlight w:val="none"/>
        </w:rPr>
        <w:t xml:space="preserve">B.2 </w:t>
      </w:r>
      <w:r>
        <w:rPr>
          <w:rFonts w:hint="eastAsia" w:ascii="Times New Roman"/>
          <w:highlight w:val="none"/>
        </w:rPr>
        <w:t>绿色低碳修复方案设计</w:t>
      </w:r>
      <w:r>
        <w:rPr>
          <w:highlight w:val="none"/>
        </w:rPr>
        <w:tab/>
      </w:r>
      <w:r>
        <w:rPr>
          <w:highlight w:val="none"/>
        </w:rPr>
        <w:fldChar w:fldCharType="begin"/>
      </w:r>
      <w:r>
        <w:rPr>
          <w:highlight w:val="none"/>
        </w:rPr>
        <w:instrText xml:space="preserve"> PAGEREF _Toc13700 \h </w:instrText>
      </w:r>
      <w:r>
        <w:rPr>
          <w:highlight w:val="none"/>
        </w:rPr>
        <w:fldChar w:fldCharType="separate"/>
      </w:r>
      <w:r>
        <w:rPr>
          <w:highlight w:val="none"/>
        </w:rPr>
        <w:t>1</w:t>
      </w:r>
      <w:r>
        <w:rPr>
          <w:highlight w:val="none"/>
        </w:rPr>
        <w:fldChar w:fldCharType="end"/>
      </w:r>
      <w:r>
        <w:rPr>
          <w:highlight w:val="none"/>
        </w:rPr>
        <w:fldChar w:fldCharType="end"/>
      </w:r>
    </w:p>
    <w:p w14:paraId="747A42CC">
      <w:pPr>
        <w:pStyle w:val="12"/>
        <w:tabs>
          <w:tab w:val="right" w:leader="dot" w:pos="9354"/>
          <w:tab w:val="clear" w:pos="9344"/>
        </w:tabs>
        <w:rPr>
          <w:highlight w:val="none"/>
        </w:rPr>
      </w:pPr>
      <w:r>
        <w:rPr>
          <w:highlight w:val="none"/>
        </w:rPr>
        <w:fldChar w:fldCharType="begin"/>
      </w:r>
      <w:r>
        <w:rPr>
          <w:highlight w:val="none"/>
        </w:rPr>
        <w:instrText xml:space="preserve"> HYPERLINK \l _Toc29467 </w:instrText>
      </w:r>
      <w:r>
        <w:rPr>
          <w:highlight w:val="none"/>
        </w:rPr>
        <w:fldChar w:fldCharType="separate"/>
      </w:r>
      <w:r>
        <w:rPr>
          <w:rFonts w:hint="eastAsia" w:ascii="黑体" w:eastAsia="黑体"/>
          <w:i w:val="0"/>
          <w:highlight w:val="none"/>
        </w:rPr>
        <w:t xml:space="preserve">B.3 </w:t>
      </w:r>
      <w:r>
        <w:rPr>
          <w:rFonts w:hint="eastAsia" w:ascii="Times New Roman"/>
          <w:highlight w:val="none"/>
        </w:rPr>
        <w:t>不同修复情景绿色低碳评价</w:t>
      </w:r>
      <w:r>
        <w:rPr>
          <w:highlight w:val="none"/>
        </w:rPr>
        <w:tab/>
      </w:r>
      <w:r>
        <w:rPr>
          <w:highlight w:val="none"/>
        </w:rPr>
        <w:fldChar w:fldCharType="begin"/>
      </w:r>
      <w:r>
        <w:rPr>
          <w:highlight w:val="none"/>
        </w:rPr>
        <w:instrText xml:space="preserve"> PAGEREF _Toc29467 \h </w:instrText>
      </w:r>
      <w:r>
        <w:rPr>
          <w:highlight w:val="none"/>
        </w:rPr>
        <w:fldChar w:fldCharType="separate"/>
      </w:r>
      <w:r>
        <w:rPr>
          <w:highlight w:val="none"/>
        </w:rPr>
        <w:t>1</w:t>
      </w:r>
      <w:r>
        <w:rPr>
          <w:highlight w:val="none"/>
        </w:rPr>
        <w:fldChar w:fldCharType="end"/>
      </w:r>
      <w:r>
        <w:rPr>
          <w:highlight w:val="none"/>
        </w:rPr>
        <w:fldChar w:fldCharType="end"/>
      </w:r>
    </w:p>
    <w:p w14:paraId="6F1F4D13">
      <w:pPr>
        <w:pStyle w:val="12"/>
        <w:tabs>
          <w:tab w:val="right" w:leader="dot" w:pos="9354"/>
          <w:tab w:val="clear" w:pos="9344"/>
        </w:tabs>
        <w:rPr>
          <w:highlight w:val="none"/>
        </w:rPr>
      </w:pPr>
      <w:r>
        <w:rPr>
          <w:highlight w:val="none"/>
        </w:rPr>
        <w:fldChar w:fldCharType="begin"/>
      </w:r>
      <w:r>
        <w:rPr>
          <w:highlight w:val="none"/>
        </w:rPr>
        <w:instrText xml:space="preserve"> HYPERLINK \l _Toc130 </w:instrText>
      </w:r>
      <w:r>
        <w:rPr>
          <w:highlight w:val="none"/>
        </w:rPr>
        <w:fldChar w:fldCharType="separate"/>
      </w:r>
      <w:r>
        <w:rPr>
          <w:rFonts w:hint="eastAsia" w:ascii="黑体" w:eastAsia="黑体"/>
          <w:i w:val="0"/>
          <w:highlight w:val="none"/>
        </w:rPr>
        <w:t xml:space="preserve">B.4 </w:t>
      </w:r>
      <w:r>
        <w:rPr>
          <w:rFonts w:hint="eastAsia" w:ascii="Times New Roman"/>
          <w:highlight w:val="none"/>
        </w:rPr>
        <w:t>推荐技术路线与低碳管理措施</w:t>
      </w:r>
      <w:r>
        <w:rPr>
          <w:highlight w:val="none"/>
        </w:rPr>
        <w:tab/>
      </w:r>
      <w:r>
        <w:rPr>
          <w:highlight w:val="none"/>
        </w:rPr>
        <w:fldChar w:fldCharType="begin"/>
      </w:r>
      <w:r>
        <w:rPr>
          <w:highlight w:val="none"/>
        </w:rPr>
        <w:instrText xml:space="preserve"> PAGEREF _Toc130 \h </w:instrText>
      </w:r>
      <w:r>
        <w:rPr>
          <w:highlight w:val="none"/>
        </w:rPr>
        <w:fldChar w:fldCharType="separate"/>
      </w:r>
      <w:r>
        <w:rPr>
          <w:highlight w:val="none"/>
        </w:rPr>
        <w:t>3</w:t>
      </w:r>
      <w:r>
        <w:rPr>
          <w:highlight w:val="none"/>
        </w:rPr>
        <w:fldChar w:fldCharType="end"/>
      </w:r>
      <w:r>
        <w:rPr>
          <w:highlight w:val="none"/>
        </w:rPr>
        <w:fldChar w:fldCharType="end"/>
      </w:r>
    </w:p>
    <w:p w14:paraId="6C0F6BBF">
      <w:pPr>
        <w:pStyle w:val="12"/>
        <w:tabs>
          <w:tab w:val="right" w:leader="dot" w:pos="9354"/>
          <w:tab w:val="clear" w:pos="9344"/>
        </w:tabs>
        <w:rPr>
          <w:highlight w:val="none"/>
        </w:rPr>
      </w:pPr>
      <w:r>
        <w:rPr>
          <w:highlight w:val="none"/>
        </w:rPr>
        <w:fldChar w:fldCharType="begin"/>
      </w:r>
      <w:r>
        <w:rPr>
          <w:highlight w:val="none"/>
        </w:rPr>
        <w:instrText xml:space="preserve"> HYPERLINK \l _Toc6395 </w:instrText>
      </w:r>
      <w:r>
        <w:rPr>
          <w:highlight w:val="none"/>
        </w:rPr>
        <w:fldChar w:fldCharType="separate"/>
      </w:r>
      <w:r>
        <w:rPr>
          <w:rFonts w:hint="eastAsia" w:ascii="黑体" w:eastAsia="黑体"/>
          <w:i w:val="0"/>
          <w:highlight w:val="none"/>
        </w:rPr>
        <w:t xml:space="preserve">B.5 </w:t>
      </w:r>
      <w:r>
        <w:rPr>
          <w:rFonts w:hint="eastAsia" w:ascii="Times New Roman"/>
          <w:highlight w:val="none"/>
        </w:rPr>
        <w:t>案例启示</w:t>
      </w:r>
      <w:r>
        <w:rPr>
          <w:highlight w:val="none"/>
        </w:rPr>
        <w:tab/>
      </w:r>
      <w:r>
        <w:rPr>
          <w:highlight w:val="none"/>
        </w:rPr>
        <w:fldChar w:fldCharType="begin"/>
      </w:r>
      <w:r>
        <w:rPr>
          <w:highlight w:val="none"/>
        </w:rPr>
        <w:instrText xml:space="preserve"> PAGEREF _Toc6395 \h </w:instrText>
      </w:r>
      <w:r>
        <w:rPr>
          <w:highlight w:val="none"/>
        </w:rPr>
        <w:fldChar w:fldCharType="separate"/>
      </w:r>
      <w:r>
        <w:rPr>
          <w:highlight w:val="none"/>
        </w:rPr>
        <w:t>3</w:t>
      </w:r>
      <w:r>
        <w:rPr>
          <w:highlight w:val="none"/>
        </w:rPr>
        <w:fldChar w:fldCharType="end"/>
      </w:r>
      <w:r>
        <w:rPr>
          <w:highlight w:val="none"/>
        </w:rPr>
        <w:fldChar w:fldCharType="end"/>
      </w:r>
    </w:p>
    <w:p w14:paraId="05897FF8">
      <w:pPr>
        <w:pStyle w:val="10"/>
        <w:tabs>
          <w:tab w:val="right" w:leader="dot" w:pos="9354"/>
        </w:tabs>
        <w:rPr>
          <w:highlight w:val="none"/>
        </w:rPr>
      </w:pPr>
      <w:r>
        <w:rPr>
          <w:highlight w:val="none"/>
        </w:rPr>
        <w:fldChar w:fldCharType="begin"/>
      </w:r>
      <w:r>
        <w:rPr>
          <w:highlight w:val="none"/>
        </w:rPr>
        <w:instrText xml:space="preserve"> HYPERLINK \l _Toc5107 </w:instrText>
      </w:r>
      <w:r>
        <w:rPr>
          <w:highlight w:val="none"/>
        </w:rPr>
        <w:fldChar w:fldCharType="separate"/>
      </w:r>
      <w:r>
        <w:rPr>
          <w:rFonts w:hint="default" w:ascii="Times New Roman" w:hAnsi="Times New Roman" w:cs="Times New Roman"/>
          <w:spacing w:val="100"/>
          <w:highlight w:val="none"/>
        </w:rPr>
        <w:t xml:space="preserve">附录C </w:t>
      </w:r>
      <w:r>
        <w:rPr>
          <w:highlight w:val="none"/>
        </w:rPr>
        <w:t xml:space="preserve"> </w:t>
      </w:r>
      <w:r>
        <w:rPr>
          <w:rFonts w:hint="eastAsia"/>
          <w:highlight w:val="none"/>
        </w:rPr>
        <w:t>基于集成修复技术最佳碳管理措施的场地修复案例</w:t>
      </w:r>
      <w:r>
        <w:rPr>
          <w:highlight w:val="none"/>
        </w:rPr>
        <w:tab/>
      </w:r>
      <w:r>
        <w:rPr>
          <w:highlight w:val="none"/>
        </w:rPr>
        <w:fldChar w:fldCharType="begin"/>
      </w:r>
      <w:r>
        <w:rPr>
          <w:highlight w:val="none"/>
        </w:rPr>
        <w:instrText xml:space="preserve"> PAGEREF _Toc5107 \h </w:instrText>
      </w:r>
      <w:r>
        <w:rPr>
          <w:highlight w:val="none"/>
        </w:rPr>
        <w:fldChar w:fldCharType="separate"/>
      </w:r>
      <w:r>
        <w:rPr>
          <w:highlight w:val="none"/>
        </w:rPr>
        <w:t>5</w:t>
      </w:r>
      <w:r>
        <w:rPr>
          <w:highlight w:val="none"/>
        </w:rPr>
        <w:fldChar w:fldCharType="end"/>
      </w:r>
      <w:r>
        <w:rPr>
          <w:highlight w:val="none"/>
        </w:rPr>
        <w:fldChar w:fldCharType="end"/>
      </w:r>
    </w:p>
    <w:p w14:paraId="3C6671A0">
      <w:pPr>
        <w:pStyle w:val="12"/>
        <w:tabs>
          <w:tab w:val="right" w:leader="dot" w:pos="9354"/>
          <w:tab w:val="clear" w:pos="9344"/>
        </w:tabs>
        <w:rPr>
          <w:highlight w:val="none"/>
        </w:rPr>
      </w:pPr>
      <w:r>
        <w:rPr>
          <w:highlight w:val="none"/>
        </w:rPr>
        <w:fldChar w:fldCharType="begin"/>
      </w:r>
      <w:r>
        <w:rPr>
          <w:highlight w:val="none"/>
        </w:rPr>
        <w:instrText xml:space="preserve"> HYPERLINK \l _Toc656 </w:instrText>
      </w:r>
      <w:r>
        <w:rPr>
          <w:highlight w:val="none"/>
        </w:rPr>
        <w:fldChar w:fldCharType="separate"/>
      </w:r>
      <w:r>
        <w:rPr>
          <w:rFonts w:hint="eastAsia" w:ascii="黑体" w:eastAsia="黑体"/>
          <w:i w:val="0"/>
          <w:highlight w:val="none"/>
        </w:rPr>
        <w:t xml:space="preserve">C.1 </w:t>
      </w:r>
      <w:r>
        <w:rPr>
          <w:rFonts w:hint="eastAsia" w:ascii="Times New Roman"/>
          <w:highlight w:val="none"/>
        </w:rPr>
        <w:t>案例场地概况</w:t>
      </w:r>
      <w:r>
        <w:rPr>
          <w:highlight w:val="none"/>
        </w:rPr>
        <w:tab/>
      </w:r>
      <w:r>
        <w:rPr>
          <w:highlight w:val="none"/>
        </w:rPr>
        <w:fldChar w:fldCharType="begin"/>
      </w:r>
      <w:r>
        <w:rPr>
          <w:highlight w:val="none"/>
        </w:rPr>
        <w:instrText xml:space="preserve"> PAGEREF _Toc656 \h </w:instrText>
      </w:r>
      <w:r>
        <w:rPr>
          <w:highlight w:val="none"/>
        </w:rPr>
        <w:fldChar w:fldCharType="separate"/>
      </w:r>
      <w:r>
        <w:rPr>
          <w:highlight w:val="none"/>
        </w:rPr>
        <w:t>5</w:t>
      </w:r>
      <w:r>
        <w:rPr>
          <w:highlight w:val="none"/>
        </w:rPr>
        <w:fldChar w:fldCharType="end"/>
      </w:r>
      <w:r>
        <w:rPr>
          <w:highlight w:val="none"/>
        </w:rPr>
        <w:fldChar w:fldCharType="end"/>
      </w:r>
    </w:p>
    <w:p w14:paraId="14B7D342">
      <w:pPr>
        <w:pStyle w:val="12"/>
        <w:tabs>
          <w:tab w:val="right" w:leader="dot" w:pos="9354"/>
          <w:tab w:val="clear" w:pos="9344"/>
        </w:tabs>
        <w:rPr>
          <w:highlight w:val="none"/>
        </w:rPr>
      </w:pPr>
      <w:r>
        <w:rPr>
          <w:highlight w:val="none"/>
        </w:rPr>
        <w:fldChar w:fldCharType="begin"/>
      </w:r>
      <w:r>
        <w:rPr>
          <w:highlight w:val="none"/>
        </w:rPr>
        <w:instrText xml:space="preserve"> HYPERLINK \l _Toc21016 </w:instrText>
      </w:r>
      <w:r>
        <w:rPr>
          <w:highlight w:val="none"/>
        </w:rPr>
        <w:fldChar w:fldCharType="separate"/>
      </w:r>
      <w:r>
        <w:rPr>
          <w:rFonts w:hint="eastAsia" w:ascii="黑体" w:eastAsia="黑体"/>
          <w:i w:val="0"/>
          <w:highlight w:val="none"/>
        </w:rPr>
        <w:t xml:space="preserve">C.2 </w:t>
      </w:r>
      <w:r>
        <w:rPr>
          <w:rFonts w:hint="eastAsia" w:ascii="Times New Roman"/>
          <w:highlight w:val="none"/>
        </w:rPr>
        <w:t>绿色低碳修复方案设计</w:t>
      </w:r>
      <w:r>
        <w:rPr>
          <w:highlight w:val="none"/>
        </w:rPr>
        <w:tab/>
      </w:r>
      <w:r>
        <w:rPr>
          <w:highlight w:val="none"/>
        </w:rPr>
        <w:fldChar w:fldCharType="begin"/>
      </w:r>
      <w:r>
        <w:rPr>
          <w:highlight w:val="none"/>
        </w:rPr>
        <w:instrText xml:space="preserve"> PAGEREF _Toc21016 \h </w:instrText>
      </w:r>
      <w:r>
        <w:rPr>
          <w:highlight w:val="none"/>
        </w:rPr>
        <w:fldChar w:fldCharType="separate"/>
      </w:r>
      <w:r>
        <w:rPr>
          <w:highlight w:val="none"/>
        </w:rPr>
        <w:t>5</w:t>
      </w:r>
      <w:r>
        <w:rPr>
          <w:highlight w:val="none"/>
        </w:rPr>
        <w:fldChar w:fldCharType="end"/>
      </w:r>
      <w:r>
        <w:rPr>
          <w:highlight w:val="none"/>
        </w:rPr>
        <w:fldChar w:fldCharType="end"/>
      </w:r>
    </w:p>
    <w:p w14:paraId="0C803A25">
      <w:pPr>
        <w:pStyle w:val="12"/>
        <w:tabs>
          <w:tab w:val="right" w:leader="dot" w:pos="9354"/>
          <w:tab w:val="clear" w:pos="9344"/>
        </w:tabs>
        <w:rPr>
          <w:highlight w:val="none"/>
        </w:rPr>
      </w:pPr>
      <w:r>
        <w:rPr>
          <w:highlight w:val="none"/>
        </w:rPr>
        <w:fldChar w:fldCharType="begin"/>
      </w:r>
      <w:r>
        <w:rPr>
          <w:highlight w:val="none"/>
        </w:rPr>
        <w:instrText xml:space="preserve"> HYPERLINK \l _Toc9107 </w:instrText>
      </w:r>
      <w:r>
        <w:rPr>
          <w:highlight w:val="none"/>
        </w:rPr>
        <w:fldChar w:fldCharType="separate"/>
      </w:r>
      <w:r>
        <w:rPr>
          <w:rFonts w:hint="eastAsia" w:ascii="黑体" w:eastAsia="黑体"/>
          <w:i w:val="0"/>
          <w:highlight w:val="none"/>
        </w:rPr>
        <w:t xml:space="preserve">C.3 </w:t>
      </w:r>
      <w:r>
        <w:rPr>
          <w:rFonts w:hint="eastAsia" w:ascii="Times New Roman"/>
          <w:highlight w:val="none"/>
        </w:rPr>
        <w:t>不同修复方案绿色低碳评价</w:t>
      </w:r>
      <w:r>
        <w:rPr>
          <w:highlight w:val="none"/>
        </w:rPr>
        <w:tab/>
      </w:r>
      <w:r>
        <w:rPr>
          <w:highlight w:val="none"/>
        </w:rPr>
        <w:fldChar w:fldCharType="begin"/>
      </w:r>
      <w:r>
        <w:rPr>
          <w:highlight w:val="none"/>
        </w:rPr>
        <w:instrText xml:space="preserve"> PAGEREF _Toc9107 \h </w:instrText>
      </w:r>
      <w:r>
        <w:rPr>
          <w:highlight w:val="none"/>
        </w:rPr>
        <w:fldChar w:fldCharType="separate"/>
      </w:r>
      <w:r>
        <w:rPr>
          <w:highlight w:val="none"/>
        </w:rPr>
        <w:t>5</w:t>
      </w:r>
      <w:r>
        <w:rPr>
          <w:highlight w:val="none"/>
        </w:rPr>
        <w:fldChar w:fldCharType="end"/>
      </w:r>
      <w:r>
        <w:rPr>
          <w:highlight w:val="none"/>
        </w:rPr>
        <w:fldChar w:fldCharType="end"/>
      </w:r>
    </w:p>
    <w:p w14:paraId="76A2B8DC">
      <w:pPr>
        <w:pStyle w:val="12"/>
        <w:tabs>
          <w:tab w:val="right" w:leader="dot" w:pos="9354"/>
          <w:tab w:val="clear" w:pos="9344"/>
        </w:tabs>
        <w:rPr>
          <w:highlight w:val="none"/>
        </w:rPr>
      </w:pPr>
      <w:r>
        <w:rPr>
          <w:highlight w:val="none"/>
        </w:rPr>
        <w:fldChar w:fldCharType="begin"/>
      </w:r>
      <w:r>
        <w:rPr>
          <w:highlight w:val="none"/>
        </w:rPr>
        <w:instrText xml:space="preserve"> HYPERLINK \l _Toc30809 </w:instrText>
      </w:r>
      <w:r>
        <w:rPr>
          <w:highlight w:val="none"/>
        </w:rPr>
        <w:fldChar w:fldCharType="separate"/>
      </w:r>
      <w:r>
        <w:rPr>
          <w:rFonts w:hint="eastAsia" w:ascii="黑体" w:eastAsia="黑体"/>
          <w:i w:val="0"/>
          <w:highlight w:val="none"/>
        </w:rPr>
        <w:t xml:space="preserve">C.4 </w:t>
      </w:r>
      <w:r>
        <w:rPr>
          <w:rFonts w:hint="eastAsia" w:ascii="Times New Roman"/>
          <w:highlight w:val="none"/>
        </w:rPr>
        <w:t>推荐技术路线与低碳管理措施</w:t>
      </w:r>
      <w:r>
        <w:rPr>
          <w:highlight w:val="none"/>
        </w:rPr>
        <w:tab/>
      </w:r>
      <w:r>
        <w:rPr>
          <w:highlight w:val="none"/>
        </w:rPr>
        <w:fldChar w:fldCharType="begin"/>
      </w:r>
      <w:r>
        <w:rPr>
          <w:highlight w:val="none"/>
        </w:rPr>
        <w:instrText xml:space="preserve"> PAGEREF _Toc30809 \h </w:instrText>
      </w:r>
      <w:r>
        <w:rPr>
          <w:highlight w:val="none"/>
        </w:rPr>
        <w:fldChar w:fldCharType="separate"/>
      </w:r>
      <w:r>
        <w:rPr>
          <w:highlight w:val="none"/>
        </w:rPr>
        <w:t>8</w:t>
      </w:r>
      <w:r>
        <w:rPr>
          <w:highlight w:val="none"/>
        </w:rPr>
        <w:fldChar w:fldCharType="end"/>
      </w:r>
      <w:r>
        <w:rPr>
          <w:highlight w:val="none"/>
        </w:rPr>
        <w:fldChar w:fldCharType="end"/>
      </w:r>
    </w:p>
    <w:p w14:paraId="54FE4571">
      <w:pPr>
        <w:pStyle w:val="12"/>
        <w:tabs>
          <w:tab w:val="right" w:leader="dot" w:pos="9354"/>
          <w:tab w:val="clear" w:pos="9344"/>
        </w:tabs>
        <w:rPr>
          <w:highlight w:val="none"/>
        </w:rPr>
      </w:pPr>
      <w:r>
        <w:rPr>
          <w:highlight w:val="none"/>
        </w:rPr>
        <w:fldChar w:fldCharType="begin"/>
      </w:r>
      <w:r>
        <w:rPr>
          <w:highlight w:val="none"/>
        </w:rPr>
        <w:instrText xml:space="preserve"> HYPERLINK \l _Toc16921 </w:instrText>
      </w:r>
      <w:r>
        <w:rPr>
          <w:highlight w:val="none"/>
        </w:rPr>
        <w:fldChar w:fldCharType="separate"/>
      </w:r>
      <w:r>
        <w:rPr>
          <w:rFonts w:hint="eastAsia" w:ascii="黑体" w:eastAsia="黑体"/>
          <w:i w:val="0"/>
          <w:highlight w:val="none"/>
        </w:rPr>
        <w:t xml:space="preserve">C.5 </w:t>
      </w:r>
      <w:r>
        <w:rPr>
          <w:rFonts w:hint="eastAsia" w:ascii="Times New Roman"/>
          <w:highlight w:val="none"/>
        </w:rPr>
        <w:t>案例启示</w:t>
      </w:r>
      <w:r>
        <w:rPr>
          <w:highlight w:val="none"/>
        </w:rPr>
        <w:tab/>
      </w:r>
      <w:r>
        <w:rPr>
          <w:highlight w:val="none"/>
        </w:rPr>
        <w:fldChar w:fldCharType="begin"/>
      </w:r>
      <w:r>
        <w:rPr>
          <w:highlight w:val="none"/>
        </w:rPr>
        <w:instrText xml:space="preserve"> PAGEREF _Toc16921 \h </w:instrText>
      </w:r>
      <w:r>
        <w:rPr>
          <w:highlight w:val="none"/>
        </w:rPr>
        <w:fldChar w:fldCharType="separate"/>
      </w:r>
      <w:r>
        <w:rPr>
          <w:highlight w:val="none"/>
        </w:rPr>
        <w:t>8</w:t>
      </w:r>
      <w:r>
        <w:rPr>
          <w:highlight w:val="none"/>
        </w:rPr>
        <w:fldChar w:fldCharType="end"/>
      </w:r>
      <w:r>
        <w:rPr>
          <w:highlight w:val="none"/>
        </w:rPr>
        <w:fldChar w:fldCharType="end"/>
      </w:r>
    </w:p>
    <w:p w14:paraId="1825ECE6">
      <w:pPr>
        <w:pStyle w:val="10"/>
        <w:tabs>
          <w:tab w:val="right" w:leader="dot" w:pos="9354"/>
        </w:tabs>
        <w:rPr>
          <w:highlight w:val="none"/>
        </w:rPr>
      </w:pPr>
      <w:r>
        <w:rPr>
          <w:highlight w:val="none"/>
        </w:rPr>
        <w:fldChar w:fldCharType="begin"/>
      </w:r>
      <w:r>
        <w:rPr>
          <w:highlight w:val="none"/>
        </w:rPr>
        <w:instrText xml:space="preserve"> HYPERLINK \l _Toc24983 </w:instrText>
      </w:r>
      <w:r>
        <w:rPr>
          <w:highlight w:val="none"/>
        </w:rPr>
        <w:fldChar w:fldCharType="separate"/>
      </w:r>
      <w:r>
        <w:rPr>
          <w:rFonts w:hint="eastAsia" w:ascii="Times New Roman"/>
          <w:spacing w:val="105"/>
          <w:highlight w:val="none"/>
        </w:rPr>
        <w:t>参考文</w:t>
      </w:r>
      <w:r>
        <w:rPr>
          <w:rFonts w:hint="eastAsia" w:ascii="Times New Roman"/>
          <w:highlight w:val="none"/>
        </w:rPr>
        <w:t>献</w:t>
      </w:r>
      <w:r>
        <w:rPr>
          <w:highlight w:val="none"/>
        </w:rPr>
        <w:tab/>
      </w:r>
      <w:r>
        <w:rPr>
          <w:highlight w:val="none"/>
        </w:rPr>
        <w:fldChar w:fldCharType="begin"/>
      </w:r>
      <w:r>
        <w:rPr>
          <w:highlight w:val="none"/>
        </w:rPr>
        <w:instrText xml:space="preserve"> PAGEREF _Toc24983 \h </w:instrText>
      </w:r>
      <w:r>
        <w:rPr>
          <w:highlight w:val="none"/>
        </w:rPr>
        <w:fldChar w:fldCharType="separate"/>
      </w:r>
      <w:r>
        <w:rPr>
          <w:highlight w:val="none"/>
        </w:rPr>
        <w:t>9</w:t>
      </w:r>
      <w:r>
        <w:rPr>
          <w:highlight w:val="none"/>
        </w:rPr>
        <w:fldChar w:fldCharType="end"/>
      </w:r>
      <w:r>
        <w:rPr>
          <w:highlight w:val="none"/>
        </w:rPr>
        <w:fldChar w:fldCharType="end"/>
      </w:r>
    </w:p>
    <w:p w14:paraId="282EC806">
      <w:pPr>
        <w:pStyle w:val="42"/>
        <w:spacing w:after="360"/>
        <w:rPr>
          <w:highlight w:val="none"/>
        </w:rPr>
        <w:sectPr>
          <w:headerReference r:id="rId7" w:type="default"/>
          <w:footerReference r:id="rId9" w:type="default"/>
          <w:headerReference r:id="rId8" w:type="even"/>
          <w:footerReference r:id="rId10" w:type="even"/>
          <w:pgSz w:w="11906" w:h="16838"/>
          <w:pgMar w:top="2410" w:right="1134" w:bottom="1134" w:left="1134" w:header="1418" w:footer="1134" w:gutter="284"/>
          <w:pgNumType w:fmt="upperRoman" w:start="1"/>
          <w:cols w:space="425" w:num="1"/>
          <w:formProt w:val="0"/>
          <w:docGrid w:linePitch="312" w:charSpace="0"/>
        </w:sectPr>
      </w:pPr>
      <w:r>
        <w:rPr>
          <w:highlight w:val="none"/>
        </w:rPr>
        <w:fldChar w:fldCharType="end"/>
      </w:r>
    </w:p>
    <w:bookmarkEnd w:id="16"/>
    <w:p w14:paraId="25BC452E">
      <w:pPr>
        <w:pStyle w:val="43"/>
        <w:spacing w:after="360"/>
        <w:rPr>
          <w:highlight w:val="none"/>
        </w:rPr>
      </w:pPr>
      <w:bookmarkStart w:id="17" w:name="_Toc233794355"/>
      <w:bookmarkStart w:id="18" w:name="_Toc889"/>
      <w:bookmarkStart w:id="19" w:name="BookMark2"/>
      <w:r>
        <w:rPr>
          <w:spacing w:val="320"/>
          <w:highlight w:val="none"/>
        </w:rPr>
        <w:t>前</w:t>
      </w:r>
      <w:r>
        <w:rPr>
          <w:highlight w:val="none"/>
        </w:rPr>
        <w:t>言</w:t>
      </w:r>
      <w:bookmarkEnd w:id="17"/>
      <w:bookmarkEnd w:id="18"/>
    </w:p>
    <w:p w14:paraId="42B6B5A0">
      <w:pPr>
        <w:pStyle w:val="31"/>
        <w:ind w:firstLine="420"/>
        <w:rPr>
          <w:highlight w:val="none"/>
        </w:rPr>
      </w:pPr>
      <w:r>
        <w:rPr>
          <w:rFonts w:hint="eastAsia"/>
          <w:highlight w:val="none"/>
        </w:rPr>
        <w:t>本文件按照GB/T 1.1—2020《标准化工作导则  第1部分：标准化文件的结构和起草规则》的规定起草。</w:t>
      </w:r>
    </w:p>
    <w:p w14:paraId="766292A3">
      <w:pPr>
        <w:pStyle w:val="31"/>
        <w:ind w:firstLine="420"/>
        <w:rPr>
          <w:highlight w:val="none"/>
        </w:rPr>
      </w:pPr>
      <w:r>
        <w:rPr>
          <w:rFonts w:hint="eastAsia"/>
          <w:highlight w:val="none"/>
        </w:rPr>
        <w:t>本文件的某些内容可能涉及专利。本文件的发布机构不承担识别专利的责任。</w:t>
      </w:r>
    </w:p>
    <w:p w14:paraId="3EA07D69">
      <w:pPr>
        <w:pStyle w:val="31"/>
        <w:ind w:firstLine="420"/>
        <w:rPr>
          <w:highlight w:val="none"/>
        </w:rPr>
      </w:pPr>
      <w:r>
        <w:rPr>
          <w:rFonts w:hint="eastAsia"/>
          <w:highlight w:val="none"/>
        </w:rPr>
        <w:t>本文件由清华大学提出。</w:t>
      </w:r>
    </w:p>
    <w:p w14:paraId="2DF80B46">
      <w:pPr>
        <w:pStyle w:val="31"/>
        <w:ind w:firstLine="420"/>
        <w:rPr>
          <w:highlight w:val="none"/>
        </w:rPr>
      </w:pPr>
      <w:r>
        <w:rPr>
          <w:rFonts w:hint="eastAsia"/>
          <w:highlight w:val="none"/>
        </w:rPr>
        <w:t>本文件由中国环境科学学会归口。</w:t>
      </w:r>
    </w:p>
    <w:p w14:paraId="1FD54603">
      <w:pPr>
        <w:pStyle w:val="31"/>
        <w:ind w:firstLine="420"/>
        <w:rPr>
          <w:highlight w:val="none"/>
        </w:rPr>
      </w:pPr>
      <w:r>
        <w:rPr>
          <w:rFonts w:hint="eastAsia"/>
          <w:highlight w:val="none"/>
        </w:rPr>
        <w:t>本文件起草单位：清华大学、中国环境科学研究院、北京市生态环境保护科学研究院。</w:t>
      </w:r>
    </w:p>
    <w:p w14:paraId="53EBA2CD">
      <w:pPr>
        <w:pStyle w:val="31"/>
        <w:ind w:firstLine="420"/>
        <w:rPr>
          <w:highlight w:val="none"/>
        </w:rPr>
      </w:pPr>
      <w:r>
        <w:rPr>
          <w:rFonts w:hint="eastAsia"/>
          <w:highlight w:val="none"/>
        </w:rPr>
        <w:t>本文件主要起草人：侯德义、张芳、许涵、秦牧涵、杜雨琪、张慧颖、凡禧、冯晨、张平、钟茂生、颜湘华、王兴润、杜志鹏、史开宇。</w:t>
      </w:r>
    </w:p>
    <w:p w14:paraId="11D177C7">
      <w:pPr>
        <w:pStyle w:val="31"/>
        <w:ind w:firstLine="420"/>
        <w:rPr>
          <w:highlight w:val="none"/>
        </w:rPr>
      </w:pPr>
    </w:p>
    <w:p w14:paraId="2BECD6F3">
      <w:pPr>
        <w:pStyle w:val="31"/>
        <w:ind w:firstLine="420"/>
        <w:rPr>
          <w:highlight w:val="none"/>
        </w:rPr>
        <w:sectPr>
          <w:headerReference r:id="rId11" w:type="default"/>
          <w:footerReference r:id="rId13" w:type="default"/>
          <w:headerReference r:id="rId12" w:type="even"/>
          <w:footerReference r:id="rId14" w:type="even"/>
          <w:pgSz w:w="11906" w:h="16838"/>
          <w:pgMar w:top="2410" w:right="1134" w:bottom="1134" w:left="1134" w:header="1418" w:footer="1134" w:gutter="284"/>
          <w:pgNumType w:fmt="upperRoman"/>
          <w:cols w:space="425" w:num="1"/>
          <w:formProt w:val="0"/>
          <w:docGrid w:linePitch="312" w:charSpace="0"/>
        </w:sectPr>
      </w:pPr>
    </w:p>
    <w:bookmarkEnd w:id="19"/>
    <w:p w14:paraId="37FEF0F5">
      <w:pPr>
        <w:pStyle w:val="43"/>
        <w:spacing w:after="360"/>
        <w:rPr>
          <w:highlight w:val="none"/>
        </w:rPr>
      </w:pPr>
      <w:bookmarkStart w:id="20" w:name="_Toc16368"/>
      <w:bookmarkStart w:id="21" w:name="_Toc233794356"/>
      <w:bookmarkStart w:id="22" w:name="BookMark3"/>
      <w:r>
        <w:rPr>
          <w:spacing w:val="320"/>
          <w:highlight w:val="none"/>
        </w:rPr>
        <w:t>引</w:t>
      </w:r>
      <w:r>
        <w:rPr>
          <w:highlight w:val="none"/>
        </w:rPr>
        <w:t>言</w:t>
      </w:r>
      <w:bookmarkEnd w:id="20"/>
      <w:bookmarkEnd w:id="21"/>
    </w:p>
    <w:p w14:paraId="4A6EC830">
      <w:pPr>
        <w:pStyle w:val="31"/>
        <w:ind w:firstLine="420"/>
        <w:rPr>
          <w:highlight w:val="none"/>
        </w:rPr>
      </w:pPr>
      <w:r>
        <w:rPr>
          <w:rFonts w:hint="eastAsia"/>
          <w:highlight w:val="none"/>
        </w:rPr>
        <w:t>随着城市化与工业化进程的加快，土壤与地下水污染问题日益突出，污染地块修复已成为提升居住环境质量、保障生态安全与推动土地资源可持续利用的重要任务。在“碳达峰”“碳中和”战略背景下，传统修复过程中的高能耗、高碳排放问题日益受到关注，绿色低碳修复理念应运而生。</w:t>
      </w:r>
    </w:p>
    <w:p w14:paraId="1702A378">
      <w:pPr>
        <w:pStyle w:val="31"/>
        <w:ind w:firstLine="420"/>
        <w:rPr>
          <w:highlight w:val="none"/>
        </w:rPr>
      </w:pPr>
      <w:r>
        <w:rPr>
          <w:rFonts w:hint="eastAsia"/>
          <w:highlight w:val="none"/>
        </w:rPr>
        <w:t>本标准旨在指导污染地块在修复全过程中贯彻绿色低碳理念，通过技术路径优化、资源高效配置与全过程碳排放控制，实现污染治理与减污降碳协同增效。标准制定了绿色低碳修复的基本原则与工作程序，提出了有机污染与重金属污染的典型低碳修复技术路径，并针对关键修复环节提出降碳最佳管理措施建议。</w:t>
      </w:r>
    </w:p>
    <w:p w14:paraId="5B45F7C0">
      <w:pPr>
        <w:pStyle w:val="31"/>
        <w:ind w:firstLine="420"/>
        <w:rPr>
          <w:highlight w:val="none"/>
        </w:rPr>
      </w:pPr>
      <w:r>
        <w:rPr>
          <w:rFonts w:hint="eastAsia"/>
          <w:highlight w:val="none"/>
        </w:rPr>
        <w:t>本标准可为各类污染地块修复提供绿色低碳实施依据，也可为政策制定、项目评估与技术筛选提供参考。</w:t>
      </w:r>
    </w:p>
    <w:p w14:paraId="263E73B1">
      <w:pPr>
        <w:pStyle w:val="31"/>
        <w:ind w:firstLine="420"/>
        <w:rPr>
          <w:highlight w:val="none"/>
        </w:rPr>
      </w:pPr>
    </w:p>
    <w:p w14:paraId="44E91934">
      <w:pPr>
        <w:pStyle w:val="31"/>
        <w:ind w:firstLine="420"/>
        <w:rPr>
          <w:highlight w:val="none"/>
        </w:rPr>
      </w:pPr>
    </w:p>
    <w:p w14:paraId="3D78B9CE">
      <w:pPr>
        <w:pStyle w:val="31"/>
        <w:ind w:firstLine="420"/>
        <w:rPr>
          <w:highlight w:val="none"/>
        </w:rPr>
      </w:pPr>
    </w:p>
    <w:p w14:paraId="5B7CEC7A">
      <w:pPr>
        <w:pStyle w:val="31"/>
        <w:ind w:firstLine="420"/>
        <w:rPr>
          <w:highlight w:val="none"/>
        </w:rPr>
        <w:sectPr>
          <w:headerReference r:id="rId15" w:type="default"/>
          <w:footerReference r:id="rId17" w:type="default"/>
          <w:headerReference r:id="rId16" w:type="even"/>
          <w:footerReference r:id="rId18" w:type="even"/>
          <w:pgSz w:w="11906" w:h="16838"/>
          <w:pgMar w:top="2410" w:right="1134" w:bottom="1134" w:left="1134" w:header="1418" w:footer="1134" w:gutter="284"/>
          <w:pgNumType w:fmt="upperRoman"/>
          <w:cols w:space="425" w:num="1"/>
          <w:formProt w:val="0"/>
          <w:docGrid w:linePitch="312" w:charSpace="0"/>
        </w:sectPr>
      </w:pPr>
    </w:p>
    <w:bookmarkEnd w:id="22"/>
    <w:p w14:paraId="6288D996">
      <w:pPr>
        <w:spacing w:line="20" w:lineRule="exact"/>
        <w:jc w:val="center"/>
        <w:rPr>
          <w:rFonts w:hint="eastAsia" w:ascii="黑体" w:hAnsi="黑体" w:eastAsia="黑体"/>
          <w:sz w:val="32"/>
          <w:szCs w:val="32"/>
          <w:highlight w:val="none"/>
        </w:rPr>
      </w:pPr>
      <w:bookmarkStart w:id="23" w:name="BookMark4"/>
    </w:p>
    <w:p w14:paraId="37104475">
      <w:pPr>
        <w:spacing w:line="20" w:lineRule="exact"/>
        <w:jc w:val="center"/>
        <w:rPr>
          <w:rFonts w:hint="eastAsia" w:ascii="黑体" w:hAnsi="黑体" w:eastAsia="黑体"/>
          <w:sz w:val="32"/>
          <w:szCs w:val="32"/>
          <w:highlight w:val="none"/>
        </w:rPr>
      </w:pPr>
    </w:p>
    <w:p w14:paraId="061F04BD">
      <w:pPr>
        <w:pStyle w:val="44"/>
        <w:spacing w:after="528" w:afterLines="220"/>
        <w:rPr>
          <w:rFonts w:hint="eastAsia" w:ascii="Times New Roman" w:hAnsi="Times New Roman"/>
          <w:highlight w:val="none"/>
        </w:rPr>
      </w:pPr>
      <w:bookmarkStart w:id="24" w:name="NEW_STAND_NAME"/>
      <w:r>
        <w:rPr>
          <w:rFonts w:hint="eastAsia" w:ascii="Times New Roman" w:hAnsi="Times New Roman"/>
          <w:highlight w:val="none"/>
        </w:rPr>
        <w:t>污染地块绿色低碳修复技术指南</w:t>
      </w:r>
    </w:p>
    <w:bookmarkEnd w:id="24"/>
    <w:p w14:paraId="6F057E08">
      <w:pPr>
        <w:pStyle w:val="45"/>
        <w:spacing w:before="240" w:after="240"/>
        <w:rPr>
          <w:rFonts w:ascii="Times New Roman"/>
          <w:highlight w:val="none"/>
        </w:rPr>
      </w:pPr>
      <w:bookmarkStart w:id="25" w:name="_Toc6493"/>
      <w:bookmarkStart w:id="26" w:name="_Toc233794357"/>
      <w:bookmarkStart w:id="27" w:name="_Toc77262523"/>
      <w:bookmarkStart w:id="28" w:name="_Toc24884211"/>
      <w:bookmarkStart w:id="29" w:name="_Toc26648465"/>
      <w:bookmarkStart w:id="30" w:name="_Toc17233325"/>
      <w:bookmarkStart w:id="31" w:name="_Toc26718930"/>
      <w:bookmarkStart w:id="32" w:name="_Toc26986530"/>
      <w:bookmarkStart w:id="33" w:name="_Toc26986771"/>
      <w:bookmarkStart w:id="34" w:name="_Toc24884218"/>
      <w:bookmarkStart w:id="35" w:name="_Toc17233333"/>
      <w:r>
        <w:rPr>
          <w:rFonts w:hint="eastAsia" w:ascii="Times New Roman"/>
          <w:highlight w:val="none"/>
        </w:rPr>
        <w:t>范围</w:t>
      </w:r>
      <w:bookmarkEnd w:id="25"/>
      <w:bookmarkEnd w:id="26"/>
      <w:bookmarkEnd w:id="27"/>
      <w:bookmarkEnd w:id="28"/>
      <w:bookmarkEnd w:id="29"/>
      <w:bookmarkEnd w:id="30"/>
      <w:bookmarkEnd w:id="31"/>
      <w:bookmarkEnd w:id="32"/>
      <w:bookmarkEnd w:id="33"/>
      <w:bookmarkEnd w:id="34"/>
      <w:bookmarkEnd w:id="35"/>
    </w:p>
    <w:p w14:paraId="40C0DBA9">
      <w:pPr>
        <w:pStyle w:val="31"/>
        <w:ind w:firstLine="420"/>
        <w:rPr>
          <w:rFonts w:ascii="Times New Roman"/>
          <w:highlight w:val="none"/>
        </w:rPr>
      </w:pPr>
      <w:bookmarkStart w:id="36" w:name="_Toc26648466"/>
      <w:bookmarkStart w:id="37" w:name="_Toc24884212"/>
      <w:bookmarkStart w:id="38" w:name="_Toc17233334"/>
      <w:bookmarkStart w:id="39" w:name="_Toc24884219"/>
      <w:bookmarkStart w:id="40" w:name="_Toc17233326"/>
      <w:r>
        <w:rPr>
          <w:rFonts w:hint="eastAsia" w:ascii="Times New Roman"/>
          <w:highlight w:val="none"/>
        </w:rPr>
        <w:t>本标准规定了实现土壤与地下水污染绿色低碳修复的工作原则、降碳最佳管理措施、实施内容及技术要求。</w:t>
      </w:r>
    </w:p>
    <w:p w14:paraId="41B7CBD2">
      <w:pPr>
        <w:pStyle w:val="31"/>
        <w:ind w:firstLine="420"/>
        <w:rPr>
          <w:rFonts w:ascii="Times New Roman"/>
          <w:highlight w:val="none"/>
        </w:rPr>
      </w:pPr>
      <w:r>
        <w:rPr>
          <w:rFonts w:hint="eastAsia" w:ascii="Times New Roman"/>
          <w:highlight w:val="none"/>
        </w:rPr>
        <w:t>本标准适用于经风险评估确认需治理和修复的土壤与地下水污染地块，涵盖重金属和有机污染污染场地的绿色低碳修复过程，包括污染土壤和地下水的修复及相关配套活动。</w:t>
      </w:r>
    </w:p>
    <w:p w14:paraId="43130092">
      <w:pPr>
        <w:pStyle w:val="31"/>
        <w:ind w:firstLine="420"/>
        <w:rPr>
          <w:rFonts w:ascii="Times New Roman"/>
          <w:highlight w:val="none"/>
        </w:rPr>
      </w:pPr>
      <w:r>
        <w:rPr>
          <w:rFonts w:hint="eastAsia" w:ascii="Times New Roman"/>
          <w:highlight w:val="none"/>
        </w:rPr>
        <w:t>城市规划、用地规划等项目中涉及的绿色低碳修复内容亦可参考本标准。</w:t>
      </w:r>
    </w:p>
    <w:p w14:paraId="4B09AD3E">
      <w:pPr>
        <w:pStyle w:val="31"/>
        <w:ind w:firstLine="420"/>
        <w:rPr>
          <w:rFonts w:ascii="Times New Roman"/>
          <w:highlight w:val="none"/>
        </w:rPr>
      </w:pPr>
      <w:r>
        <w:rPr>
          <w:rFonts w:hint="eastAsia" w:ascii="Times New Roman"/>
          <w:highlight w:val="none"/>
        </w:rPr>
        <w:t>本标准不适用于放射性污染或致病性生物污染土壤与地下水的修复及其相关活动。</w:t>
      </w:r>
    </w:p>
    <w:p w14:paraId="4D47F2F2">
      <w:pPr>
        <w:pStyle w:val="45"/>
        <w:spacing w:before="240" w:after="240"/>
        <w:rPr>
          <w:rFonts w:ascii="Times New Roman"/>
          <w:highlight w:val="none"/>
        </w:rPr>
      </w:pPr>
      <w:bookmarkStart w:id="41" w:name="_Toc9740"/>
      <w:bookmarkStart w:id="42" w:name="_Toc26986772"/>
      <w:bookmarkStart w:id="43" w:name="_Toc26718931"/>
      <w:bookmarkStart w:id="44" w:name="_Toc77262524"/>
      <w:bookmarkStart w:id="45" w:name="_Toc233794358"/>
      <w:bookmarkStart w:id="46" w:name="_Toc26986531"/>
      <w:r>
        <w:rPr>
          <w:rFonts w:hint="eastAsia" w:ascii="Times New Roman"/>
          <w:highlight w:val="none"/>
        </w:rPr>
        <w:t>规范性引用文件</w:t>
      </w:r>
      <w:bookmarkEnd w:id="36"/>
      <w:bookmarkEnd w:id="37"/>
      <w:bookmarkEnd w:id="38"/>
      <w:bookmarkEnd w:id="39"/>
      <w:bookmarkEnd w:id="40"/>
      <w:bookmarkEnd w:id="41"/>
      <w:bookmarkEnd w:id="42"/>
      <w:bookmarkEnd w:id="43"/>
      <w:bookmarkEnd w:id="44"/>
      <w:bookmarkEnd w:id="45"/>
      <w:bookmarkEnd w:id="46"/>
    </w:p>
    <w:p w14:paraId="5C401C6F">
      <w:pPr>
        <w:pStyle w:val="31"/>
        <w:ind w:firstLine="420"/>
        <w:rPr>
          <w:rFonts w:ascii="Times New Roman"/>
          <w:highlight w:val="none"/>
        </w:rPr>
      </w:pPr>
      <w:r>
        <w:rPr>
          <w:rFonts w:hint="eastAsia" w:ascii="Times New Roman"/>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28FA518">
      <w:pPr>
        <w:pStyle w:val="31"/>
        <w:ind w:firstLine="420"/>
        <w:rPr>
          <w:rFonts w:ascii="Times New Roman"/>
          <w:highlight w:val="none"/>
        </w:rPr>
      </w:pPr>
      <w:r>
        <w:rPr>
          <w:rFonts w:hint="eastAsia" w:ascii="Times New Roman"/>
          <w:highlight w:val="none"/>
        </w:rPr>
        <w:t>GB/T 24040 环境管理 生命周期评价 原则与框架</w:t>
      </w:r>
    </w:p>
    <w:p w14:paraId="7BBD4A3B">
      <w:pPr>
        <w:pStyle w:val="31"/>
        <w:ind w:firstLine="420"/>
        <w:rPr>
          <w:rFonts w:ascii="Times New Roman"/>
          <w:highlight w:val="none"/>
        </w:rPr>
      </w:pPr>
      <w:r>
        <w:rPr>
          <w:rFonts w:hint="eastAsia" w:ascii="Times New Roman"/>
          <w:highlight w:val="none"/>
        </w:rPr>
        <w:t>GB/T 24044 环境管理 生命周期评价 要求与指南</w:t>
      </w:r>
    </w:p>
    <w:p w14:paraId="27D5A256">
      <w:pPr>
        <w:pStyle w:val="31"/>
        <w:ind w:firstLine="420"/>
        <w:rPr>
          <w:rFonts w:ascii="Times New Roman"/>
          <w:highlight w:val="none"/>
        </w:rPr>
      </w:pPr>
      <w:r>
        <w:rPr>
          <w:rFonts w:ascii="Times New Roman"/>
          <w:highlight w:val="none"/>
        </w:rPr>
        <w:t xml:space="preserve">GB 36600 </w:t>
      </w:r>
      <w:r>
        <w:rPr>
          <w:rFonts w:hint="eastAsia" w:ascii="Times New Roman"/>
          <w:highlight w:val="none"/>
        </w:rPr>
        <w:t>土壤环境质量 建设用地土壤污染风险管控标准（试行）</w:t>
      </w:r>
    </w:p>
    <w:p w14:paraId="49C17C1B">
      <w:pPr>
        <w:pStyle w:val="31"/>
        <w:ind w:firstLine="420"/>
        <w:rPr>
          <w:rFonts w:ascii="Times New Roman"/>
          <w:highlight w:val="none"/>
        </w:rPr>
      </w:pPr>
      <w:r>
        <w:rPr>
          <w:rFonts w:ascii="Times New Roman"/>
          <w:highlight w:val="none"/>
        </w:rPr>
        <w:t>HJ 25.1</w:t>
      </w:r>
      <w:r>
        <w:rPr>
          <w:rFonts w:ascii="Times New Roman"/>
          <w:highlight w:val="none"/>
        </w:rPr>
        <w:tab/>
      </w:r>
      <w:r>
        <w:rPr>
          <w:rFonts w:hint="eastAsia" w:ascii="Times New Roman"/>
          <w:highlight w:val="none"/>
        </w:rPr>
        <w:t>建设用地土壤污染状况调查技术导则</w:t>
      </w:r>
    </w:p>
    <w:p w14:paraId="1EC300DC">
      <w:pPr>
        <w:pStyle w:val="31"/>
        <w:ind w:firstLine="420"/>
        <w:rPr>
          <w:rFonts w:ascii="Times New Roman"/>
          <w:highlight w:val="none"/>
        </w:rPr>
      </w:pPr>
      <w:r>
        <w:rPr>
          <w:rFonts w:ascii="Times New Roman"/>
          <w:highlight w:val="none"/>
        </w:rPr>
        <w:t>HJ 25.2</w:t>
      </w:r>
      <w:r>
        <w:rPr>
          <w:rFonts w:ascii="Times New Roman"/>
          <w:highlight w:val="none"/>
        </w:rPr>
        <w:tab/>
      </w:r>
      <w:r>
        <w:rPr>
          <w:rFonts w:hint="eastAsia" w:ascii="Times New Roman"/>
          <w:highlight w:val="none"/>
        </w:rPr>
        <w:t>建设用地土壤污染风险管控和修复监测技术导则</w:t>
      </w:r>
    </w:p>
    <w:p w14:paraId="3A04C4B9">
      <w:pPr>
        <w:pStyle w:val="31"/>
        <w:ind w:firstLine="420"/>
        <w:rPr>
          <w:rFonts w:ascii="Times New Roman"/>
          <w:highlight w:val="none"/>
        </w:rPr>
      </w:pPr>
      <w:r>
        <w:rPr>
          <w:rFonts w:ascii="Times New Roman"/>
          <w:highlight w:val="none"/>
        </w:rPr>
        <w:t>HJ 25.3</w:t>
      </w:r>
      <w:r>
        <w:rPr>
          <w:rFonts w:ascii="Times New Roman"/>
          <w:highlight w:val="none"/>
        </w:rPr>
        <w:tab/>
      </w:r>
      <w:r>
        <w:rPr>
          <w:rFonts w:hint="eastAsia" w:ascii="Times New Roman"/>
          <w:highlight w:val="none"/>
        </w:rPr>
        <w:t>建设用地土壤污染风险评估技术导则</w:t>
      </w:r>
    </w:p>
    <w:p w14:paraId="63FBCE03">
      <w:pPr>
        <w:pStyle w:val="31"/>
        <w:ind w:firstLine="420"/>
        <w:rPr>
          <w:rFonts w:ascii="Times New Roman"/>
          <w:highlight w:val="none"/>
        </w:rPr>
      </w:pPr>
      <w:r>
        <w:rPr>
          <w:rFonts w:ascii="Times New Roman"/>
          <w:highlight w:val="none"/>
        </w:rPr>
        <w:t>HJ 25.4</w:t>
      </w:r>
      <w:r>
        <w:rPr>
          <w:rFonts w:ascii="Times New Roman"/>
          <w:highlight w:val="none"/>
        </w:rPr>
        <w:tab/>
      </w:r>
      <w:r>
        <w:rPr>
          <w:rFonts w:hint="eastAsia" w:ascii="Times New Roman"/>
          <w:highlight w:val="none"/>
        </w:rPr>
        <w:t>建设用地土壤修复技术导则</w:t>
      </w:r>
    </w:p>
    <w:p w14:paraId="4E1B3D01">
      <w:pPr>
        <w:pStyle w:val="31"/>
        <w:ind w:firstLine="420"/>
        <w:rPr>
          <w:rFonts w:ascii="Times New Roman"/>
          <w:highlight w:val="none"/>
        </w:rPr>
      </w:pPr>
      <w:r>
        <w:rPr>
          <w:rFonts w:ascii="Times New Roman"/>
          <w:highlight w:val="none"/>
        </w:rPr>
        <w:t>HJ 25.5</w:t>
      </w:r>
      <w:r>
        <w:rPr>
          <w:rFonts w:ascii="Times New Roman"/>
          <w:highlight w:val="none"/>
        </w:rPr>
        <w:tab/>
      </w:r>
      <w:r>
        <w:rPr>
          <w:rFonts w:hint="eastAsia" w:ascii="Times New Roman"/>
          <w:highlight w:val="none"/>
        </w:rPr>
        <w:t>污染地块风险管控与土壤修复效果评估技术导则</w:t>
      </w:r>
    </w:p>
    <w:p w14:paraId="06002922">
      <w:pPr>
        <w:pStyle w:val="31"/>
        <w:ind w:firstLine="420"/>
        <w:rPr>
          <w:rFonts w:ascii="Times New Roman"/>
          <w:highlight w:val="none"/>
        </w:rPr>
      </w:pPr>
      <w:r>
        <w:rPr>
          <w:rFonts w:ascii="Times New Roman"/>
          <w:highlight w:val="none"/>
        </w:rPr>
        <w:t>HJ 25.6</w:t>
      </w:r>
      <w:r>
        <w:rPr>
          <w:rFonts w:ascii="Times New Roman"/>
          <w:highlight w:val="none"/>
        </w:rPr>
        <w:tab/>
      </w:r>
      <w:r>
        <w:rPr>
          <w:rFonts w:hint="eastAsia" w:ascii="Times New Roman"/>
          <w:highlight w:val="none"/>
        </w:rPr>
        <w:t>污染地块地下水修复和风险管控技术导则</w:t>
      </w:r>
    </w:p>
    <w:p w14:paraId="4F36A1B1">
      <w:pPr>
        <w:pStyle w:val="31"/>
        <w:ind w:firstLine="420"/>
        <w:rPr>
          <w:rFonts w:ascii="Times New Roman"/>
          <w:highlight w:val="none"/>
        </w:rPr>
      </w:pPr>
      <w:r>
        <w:rPr>
          <w:rFonts w:ascii="Times New Roman"/>
          <w:highlight w:val="none"/>
        </w:rPr>
        <w:t>HJ 682</w:t>
      </w:r>
      <w:r>
        <w:rPr>
          <w:rFonts w:ascii="Times New Roman"/>
          <w:highlight w:val="none"/>
        </w:rPr>
        <w:tab/>
      </w:r>
      <w:r>
        <w:rPr>
          <w:rFonts w:hint="eastAsia" w:ascii="Times New Roman"/>
          <w:highlight w:val="none"/>
        </w:rPr>
        <w:t>建设用地土壤污染风险管控和修复术语</w:t>
      </w:r>
    </w:p>
    <w:p w14:paraId="7DE5E0CF">
      <w:pPr>
        <w:pStyle w:val="31"/>
        <w:ind w:firstLine="420"/>
        <w:rPr>
          <w:rFonts w:ascii="Times New Roman"/>
          <w:highlight w:val="none"/>
        </w:rPr>
      </w:pPr>
      <w:r>
        <w:rPr>
          <w:rFonts w:hint="eastAsia" w:ascii="Times New Roman"/>
          <w:highlight w:val="none"/>
        </w:rPr>
        <w:t>工业企业场地环境调查评估与修复工作指南（试行）</w:t>
      </w:r>
    </w:p>
    <w:p w14:paraId="76EE5969">
      <w:pPr>
        <w:pStyle w:val="31"/>
        <w:ind w:firstLine="420"/>
        <w:rPr>
          <w:rFonts w:ascii="Times New Roman"/>
          <w:highlight w:val="none"/>
        </w:rPr>
      </w:pPr>
      <w:r>
        <w:rPr>
          <w:rFonts w:hint="eastAsia" w:ascii="Times New Roman"/>
          <w:highlight w:val="none"/>
        </w:rPr>
        <w:t>污染地块土壤环境管理办法（试行）环境保护部令 第42号</w:t>
      </w:r>
    </w:p>
    <w:p w14:paraId="30E906DC">
      <w:pPr>
        <w:pStyle w:val="31"/>
        <w:ind w:firstLine="420"/>
        <w:rPr>
          <w:rFonts w:ascii="Times New Roman"/>
          <w:highlight w:val="none"/>
        </w:rPr>
      </w:pPr>
      <w:r>
        <w:rPr>
          <w:rFonts w:hint="eastAsia" w:ascii="Times New Roman"/>
          <w:highlight w:val="none"/>
        </w:rPr>
        <w:t>建设用地土壤环境调查评估技术指南环境保护部公告 2023年第72号</w:t>
      </w:r>
    </w:p>
    <w:p w14:paraId="1C0E37E9">
      <w:pPr>
        <w:pStyle w:val="31"/>
        <w:ind w:firstLine="420"/>
        <w:rPr>
          <w:rFonts w:ascii="Times New Roman"/>
          <w:highlight w:val="none"/>
        </w:rPr>
      </w:pPr>
      <w:r>
        <w:rPr>
          <w:rFonts w:hint="eastAsia" w:ascii="Times New Roman"/>
          <w:highlight w:val="none"/>
        </w:rPr>
        <w:t>关于促进土壤污染绿色低碳风险管控和修复的指导意见</w:t>
      </w:r>
      <w:r>
        <w:rPr>
          <w:rFonts w:ascii="Times New Roman"/>
          <w:highlight w:val="none"/>
        </w:rPr>
        <w:t xml:space="preserve"> 2023</w:t>
      </w:r>
      <w:r>
        <w:rPr>
          <w:rFonts w:hint="eastAsia" w:ascii="Times New Roman"/>
          <w:highlight w:val="none"/>
        </w:rPr>
        <w:t>年第1</w:t>
      </w:r>
      <w:r>
        <w:rPr>
          <w:rFonts w:ascii="Times New Roman"/>
          <w:highlight w:val="none"/>
        </w:rPr>
        <w:t>9</w:t>
      </w:r>
      <w:r>
        <w:rPr>
          <w:rFonts w:hint="eastAsia" w:ascii="Times New Roman"/>
          <w:highlight w:val="none"/>
        </w:rPr>
        <w:t>号</w:t>
      </w:r>
    </w:p>
    <w:p w14:paraId="76B8E72E">
      <w:pPr>
        <w:pStyle w:val="31"/>
        <w:ind w:firstLine="420"/>
        <w:rPr>
          <w:rFonts w:ascii="Times New Roman"/>
          <w:highlight w:val="none"/>
        </w:rPr>
      </w:pPr>
      <w:r>
        <w:rPr>
          <w:rFonts w:ascii="Times New Roman"/>
          <w:highlight w:val="none"/>
        </w:rPr>
        <w:t xml:space="preserve">T/CAEPI 26-2020 </w:t>
      </w:r>
      <w:r>
        <w:rPr>
          <w:rFonts w:hint="eastAsia" w:ascii="Times New Roman"/>
          <w:highlight w:val="none"/>
        </w:rPr>
        <w:t>污染地块绿色可持续修复通则</w:t>
      </w:r>
    </w:p>
    <w:p w14:paraId="2E89D7EF">
      <w:pPr>
        <w:pStyle w:val="45"/>
        <w:spacing w:before="240" w:after="240"/>
        <w:rPr>
          <w:rFonts w:ascii="Times New Roman"/>
          <w:highlight w:val="none"/>
        </w:rPr>
      </w:pPr>
      <w:bookmarkStart w:id="47" w:name="_Toc9414"/>
      <w:bookmarkStart w:id="48" w:name="_Toc233794359"/>
      <w:bookmarkStart w:id="49" w:name="_Toc77262525"/>
      <w:r>
        <w:rPr>
          <w:rFonts w:hint="eastAsia" w:ascii="Times New Roman"/>
          <w:szCs w:val="21"/>
          <w:highlight w:val="none"/>
        </w:rPr>
        <w:t>术语和定义</w:t>
      </w:r>
      <w:bookmarkEnd w:id="47"/>
      <w:bookmarkEnd w:id="48"/>
      <w:bookmarkEnd w:id="49"/>
    </w:p>
    <w:p w14:paraId="792DA7FD">
      <w:pPr>
        <w:pStyle w:val="31"/>
        <w:ind w:firstLine="420"/>
        <w:rPr>
          <w:rFonts w:ascii="Times New Roman"/>
          <w:highlight w:val="none"/>
        </w:rPr>
      </w:pPr>
      <w:bookmarkStart w:id="50" w:name="_Toc26986532"/>
      <w:bookmarkEnd w:id="50"/>
      <w:r>
        <w:rPr>
          <w:rFonts w:hint="eastAsia" w:ascii="Times New Roman"/>
          <w:highlight w:val="none"/>
        </w:rPr>
        <w:t>下列术语和定义适用于本文件。</w:t>
      </w:r>
    </w:p>
    <w:p w14:paraId="4257060C">
      <w:pPr>
        <w:pStyle w:val="46"/>
        <w:spacing w:before="120" w:after="120"/>
        <w:rPr>
          <w:rFonts w:ascii="Times New Roman"/>
          <w:highlight w:val="none"/>
        </w:rPr>
      </w:pPr>
      <w:bookmarkStart w:id="51" w:name="_Toc231808689"/>
      <w:bookmarkEnd w:id="51"/>
      <w:bookmarkStart w:id="52" w:name="_Toc232954781"/>
      <w:bookmarkEnd w:id="52"/>
      <w:bookmarkStart w:id="53" w:name="_Toc11058"/>
      <w:bookmarkEnd w:id="53"/>
      <w:bookmarkStart w:id="54" w:name="_Toc233794360"/>
    </w:p>
    <w:p w14:paraId="67928FA4">
      <w:pPr>
        <w:pStyle w:val="46"/>
        <w:numPr>
          <w:ilvl w:val="255"/>
          <w:numId w:val="0"/>
        </w:numPr>
        <w:spacing w:before="120" w:after="120"/>
        <w:ind w:firstLine="420"/>
        <w:rPr>
          <w:rFonts w:ascii="Times New Roman"/>
          <w:highlight w:val="none"/>
        </w:rPr>
      </w:pPr>
      <w:bookmarkStart w:id="55" w:name="_Toc32082"/>
      <w:r>
        <w:rPr>
          <w:rFonts w:hint="eastAsia" w:ascii="Times New Roman" w:hAnsi="Times New Roman"/>
          <w:highlight w:val="none"/>
        </w:rPr>
        <w:t>污染地块 contaminated site</w:t>
      </w:r>
      <w:bookmarkEnd w:id="54"/>
      <w:r>
        <w:rPr>
          <w:rFonts w:hint="eastAsia" w:ascii="Times New Roman" w:hAnsi="Times New Roman"/>
          <w:highlight w:val="none"/>
        </w:rPr>
        <w:t xml:space="preserve"> </w:t>
      </w:r>
      <w:bookmarkEnd w:id="55"/>
    </w:p>
    <w:p w14:paraId="7C9D74CB">
      <w:pPr>
        <w:pStyle w:val="31"/>
        <w:ind w:firstLine="420"/>
        <w:rPr>
          <w:rFonts w:hint="eastAsia" w:ascii="Times New Roman" w:hAnsi="Times New Roman"/>
          <w:highlight w:val="none"/>
        </w:rPr>
      </w:pPr>
      <w:r>
        <w:rPr>
          <w:rFonts w:hint="eastAsia" w:ascii="Times New Roman" w:hAnsi="Times New Roman"/>
          <w:highlight w:val="none"/>
        </w:rPr>
        <w:t>经风险评估确认，土壤或地下水中污染物浓度超过国家或地方相关标准，且对人体健康或生态环境构成不可接受风险的地块，又称污染场地。污染物类型包括但不限于重金属、有机污染物及其他有害物质。</w:t>
      </w:r>
    </w:p>
    <w:p w14:paraId="11A2436F">
      <w:pPr>
        <w:pStyle w:val="31"/>
        <w:ind w:firstLine="420"/>
        <w:rPr>
          <w:rFonts w:hint="eastAsia" w:ascii="Times New Roman" w:hAnsi="Times New Roman"/>
          <w:highlight w:val="none"/>
        </w:rPr>
      </w:pPr>
      <w:r>
        <w:rPr>
          <w:rFonts w:hint="eastAsia" w:ascii="Times New Roman" w:hAnsi="Times New Roman"/>
          <w:highlight w:val="none"/>
        </w:rPr>
        <w:t>[来源：</w:t>
      </w:r>
      <w:r>
        <w:rPr>
          <w:rFonts w:ascii="Times New Roman"/>
          <w:highlight w:val="none"/>
        </w:rPr>
        <w:t>T/CAEPI 26-2020</w:t>
      </w:r>
      <w:r>
        <w:rPr>
          <w:rFonts w:hint="eastAsia" w:ascii="Times New Roman"/>
          <w:highlight w:val="none"/>
        </w:rPr>
        <w:t>，</w:t>
      </w:r>
      <w:r>
        <w:rPr>
          <w:rFonts w:ascii="Times New Roman"/>
          <w:highlight w:val="none"/>
        </w:rPr>
        <w:t>3.2</w:t>
      </w:r>
      <w:r>
        <w:rPr>
          <w:rFonts w:hint="eastAsia" w:ascii="Times New Roman"/>
          <w:highlight w:val="none"/>
        </w:rPr>
        <w:t>，有修改</w:t>
      </w:r>
      <w:r>
        <w:rPr>
          <w:rFonts w:hint="eastAsia" w:ascii="Times New Roman" w:hAnsi="Times New Roman"/>
          <w:highlight w:val="none"/>
        </w:rPr>
        <w:t>]</w:t>
      </w:r>
    </w:p>
    <w:p w14:paraId="34E22C68">
      <w:pPr>
        <w:pStyle w:val="46"/>
        <w:spacing w:before="120" w:after="120"/>
        <w:rPr>
          <w:rFonts w:hint="eastAsia" w:ascii="Times New Roman" w:hAnsi="Times New Roman" w:eastAsia="宋体"/>
          <w:highlight w:val="none"/>
        </w:rPr>
      </w:pPr>
      <w:bookmarkStart w:id="56" w:name="_Toc231808690"/>
      <w:bookmarkEnd w:id="56"/>
      <w:bookmarkStart w:id="57" w:name="_Toc232954782"/>
      <w:bookmarkEnd w:id="57"/>
      <w:bookmarkStart w:id="58" w:name="_Toc20281"/>
      <w:bookmarkEnd w:id="58"/>
      <w:bookmarkStart w:id="59" w:name="_Toc233794361"/>
    </w:p>
    <w:p w14:paraId="3F96975E">
      <w:pPr>
        <w:pStyle w:val="46"/>
        <w:numPr>
          <w:ilvl w:val="255"/>
          <w:numId w:val="0"/>
        </w:numPr>
        <w:spacing w:before="120" w:after="120"/>
        <w:ind w:firstLine="420"/>
        <w:rPr>
          <w:rFonts w:hint="eastAsia" w:ascii="Times New Roman" w:hAnsi="Times New Roman" w:eastAsia="宋体"/>
          <w:highlight w:val="none"/>
        </w:rPr>
      </w:pPr>
      <w:bookmarkStart w:id="60" w:name="_Toc22370"/>
      <w:r>
        <w:rPr>
          <w:rFonts w:hint="eastAsia" w:ascii="Times New Roman" w:hAnsi="Times New Roman"/>
          <w:highlight w:val="none"/>
        </w:rPr>
        <w:t>绿色低碳修复 green and low-carbon remediation</w:t>
      </w:r>
      <w:bookmarkEnd w:id="59"/>
      <w:bookmarkEnd w:id="60"/>
    </w:p>
    <w:p w14:paraId="0F39C24D">
      <w:pPr>
        <w:pStyle w:val="31"/>
        <w:ind w:firstLine="420"/>
        <w:rPr>
          <w:rFonts w:ascii="Times New Roman"/>
          <w:highlight w:val="none"/>
        </w:rPr>
      </w:pPr>
      <w:r>
        <w:rPr>
          <w:rFonts w:hint="eastAsia" w:ascii="Times New Roman"/>
          <w:highlight w:val="none"/>
        </w:rPr>
        <w:t>以减少温室气体排放和资源消耗为目标，应用在土壤和地下水修复中的一系列技术和措施，旨在实现环境、经济效益的最大化，同时满足修复的效果要求。</w:t>
      </w:r>
    </w:p>
    <w:p w14:paraId="7D34D46E">
      <w:pPr>
        <w:pStyle w:val="46"/>
        <w:spacing w:before="120" w:after="120"/>
        <w:rPr>
          <w:rFonts w:ascii="Times New Roman"/>
          <w:highlight w:val="none"/>
        </w:rPr>
      </w:pPr>
      <w:bookmarkStart w:id="61" w:name="_Toc231808691"/>
      <w:bookmarkEnd w:id="61"/>
      <w:bookmarkStart w:id="62" w:name="_Toc316"/>
      <w:bookmarkEnd w:id="62"/>
      <w:bookmarkStart w:id="63" w:name="_Toc232954783"/>
      <w:bookmarkEnd w:id="63"/>
      <w:bookmarkStart w:id="64" w:name="_Toc233794362"/>
    </w:p>
    <w:p w14:paraId="35DFAC96">
      <w:pPr>
        <w:pStyle w:val="46"/>
        <w:numPr>
          <w:ilvl w:val="255"/>
          <w:numId w:val="0"/>
        </w:numPr>
        <w:spacing w:before="120" w:after="120"/>
        <w:ind w:firstLine="420"/>
        <w:rPr>
          <w:rFonts w:ascii="Times New Roman"/>
          <w:highlight w:val="none"/>
        </w:rPr>
      </w:pPr>
      <w:bookmarkStart w:id="65" w:name="_Toc18654"/>
      <w:r>
        <w:rPr>
          <w:rFonts w:hint="eastAsia" w:ascii="Times New Roman" w:hAnsi="Times New Roman"/>
          <w:highlight w:val="none"/>
        </w:rPr>
        <w:t>降碳最佳管理措施</w:t>
      </w:r>
      <w:r>
        <w:rPr>
          <w:rFonts w:ascii="Times New Roman"/>
          <w:highlight w:val="none"/>
        </w:rPr>
        <w:t xml:space="preserve"> </w:t>
      </w:r>
      <w:r>
        <w:rPr>
          <w:rFonts w:hint="eastAsia" w:ascii="Times New Roman" w:hAnsi="Times New Roman"/>
          <w:highlight w:val="none"/>
        </w:rPr>
        <w:t>best management practice for carbon reduction</w:t>
      </w:r>
      <w:bookmarkEnd w:id="64"/>
      <w:bookmarkEnd w:id="65"/>
    </w:p>
    <w:p w14:paraId="60ECBB33">
      <w:pPr>
        <w:pStyle w:val="31"/>
        <w:ind w:firstLine="420"/>
        <w:rPr>
          <w:rFonts w:ascii="Times New Roman"/>
          <w:highlight w:val="none"/>
        </w:rPr>
      </w:pPr>
      <w:r>
        <w:rPr>
          <w:rFonts w:hint="eastAsia" w:ascii="Times New Roman"/>
          <w:highlight w:val="none"/>
        </w:rPr>
        <w:t>针对各修复技术在不同阶段的碳排放关键点所设计的具体管理措施，涵盖低碳材料选用、节能设备应用、动态监控与优化等，旨在实现修复</w:t>
      </w:r>
      <w:r>
        <w:rPr>
          <w:rFonts w:hint="eastAsia" w:ascii="Times New Roman"/>
          <w:highlight w:val="none"/>
          <w:lang w:val="en-US" w:eastAsia="zh-CN"/>
        </w:rPr>
        <w:t>全</w:t>
      </w:r>
      <w:r>
        <w:rPr>
          <w:rFonts w:hint="eastAsia" w:ascii="Times New Roman"/>
          <w:highlight w:val="none"/>
        </w:rPr>
        <w:t>过程的碳减排与环境效益最大化。</w:t>
      </w:r>
    </w:p>
    <w:p w14:paraId="6B7D5D46">
      <w:pPr>
        <w:pStyle w:val="46"/>
        <w:spacing w:before="120" w:after="120"/>
        <w:rPr>
          <w:rFonts w:ascii="Times New Roman"/>
          <w:highlight w:val="none"/>
        </w:rPr>
      </w:pPr>
      <w:bookmarkStart w:id="66" w:name="_Toc232954784"/>
      <w:bookmarkEnd w:id="66"/>
      <w:bookmarkStart w:id="67" w:name="_Toc231808692"/>
      <w:bookmarkEnd w:id="67"/>
      <w:bookmarkStart w:id="68" w:name="_Toc15831"/>
      <w:bookmarkEnd w:id="68"/>
      <w:bookmarkStart w:id="69" w:name="_Toc233794363"/>
    </w:p>
    <w:p w14:paraId="74D68305">
      <w:pPr>
        <w:pStyle w:val="46"/>
        <w:numPr>
          <w:ilvl w:val="255"/>
          <w:numId w:val="0"/>
        </w:numPr>
        <w:spacing w:before="120" w:after="120"/>
        <w:ind w:firstLine="420"/>
        <w:rPr>
          <w:rFonts w:ascii="Times New Roman"/>
          <w:highlight w:val="none"/>
        </w:rPr>
      </w:pPr>
      <w:bookmarkStart w:id="70" w:name="_Toc26877"/>
      <w:r>
        <w:rPr>
          <w:rFonts w:hint="eastAsia" w:ascii="Times New Roman" w:hAnsi="Times New Roman"/>
          <w:highlight w:val="none"/>
        </w:rPr>
        <w:t>系统边界 system boundary</w:t>
      </w:r>
      <w:bookmarkEnd w:id="69"/>
      <w:bookmarkEnd w:id="70"/>
      <w:r>
        <w:rPr>
          <w:rFonts w:hint="eastAsia" w:ascii="Times New Roman" w:hAnsi="Times New Roman"/>
          <w:highlight w:val="none"/>
        </w:rPr>
        <w:t xml:space="preserve"> </w:t>
      </w:r>
    </w:p>
    <w:p w14:paraId="646D3B71">
      <w:pPr>
        <w:pStyle w:val="31"/>
        <w:ind w:firstLine="420"/>
        <w:rPr>
          <w:rFonts w:ascii="Times New Roman"/>
          <w:highlight w:val="none"/>
        </w:rPr>
      </w:pPr>
      <w:r>
        <w:rPr>
          <w:rFonts w:hint="eastAsia" w:ascii="Times New Roman"/>
          <w:highlight w:val="none"/>
        </w:rPr>
        <w:t>修复活动的范围和界限，用于确定绿色低碳修复技术所涉及的全部步骤、活动和流程，包括原料生产、系统建设、技术实施和废物处置等环节。</w:t>
      </w:r>
    </w:p>
    <w:p w14:paraId="4AC5C4FC">
      <w:pPr>
        <w:pStyle w:val="31"/>
        <w:ind w:firstLine="420"/>
        <w:rPr>
          <w:rFonts w:ascii="Times New Roman"/>
          <w:highlight w:val="none"/>
        </w:rPr>
      </w:pPr>
      <w:r>
        <w:rPr>
          <w:rFonts w:hint="eastAsia" w:ascii="Times New Roman" w:hAnsi="Times New Roman"/>
          <w:highlight w:val="none"/>
        </w:rPr>
        <w:t>[来源：</w:t>
      </w:r>
      <w:r>
        <w:rPr>
          <w:rFonts w:ascii="Times New Roman"/>
          <w:highlight w:val="none"/>
        </w:rPr>
        <w:t>ISO 14040:2006</w:t>
      </w:r>
      <w:r>
        <w:rPr>
          <w:rFonts w:hint="eastAsia" w:ascii="Times New Roman"/>
          <w:highlight w:val="none"/>
        </w:rPr>
        <w:t>，</w:t>
      </w:r>
      <w:r>
        <w:rPr>
          <w:rFonts w:ascii="Times New Roman"/>
          <w:highlight w:val="none"/>
        </w:rPr>
        <w:t>3.32</w:t>
      </w:r>
      <w:r>
        <w:rPr>
          <w:rFonts w:hint="eastAsia" w:ascii="Times New Roman"/>
          <w:highlight w:val="none"/>
        </w:rPr>
        <w:t>，有修改</w:t>
      </w:r>
      <w:r>
        <w:rPr>
          <w:rFonts w:hint="eastAsia" w:ascii="Times New Roman" w:hAnsi="Times New Roman"/>
          <w:highlight w:val="none"/>
        </w:rPr>
        <w:t>]</w:t>
      </w:r>
    </w:p>
    <w:p w14:paraId="57BEE616">
      <w:pPr>
        <w:pStyle w:val="46"/>
        <w:spacing w:before="120" w:after="120"/>
        <w:rPr>
          <w:rFonts w:ascii="Times New Roman"/>
          <w:highlight w:val="none"/>
        </w:rPr>
      </w:pPr>
      <w:bookmarkStart w:id="71" w:name="_Toc232954785"/>
      <w:bookmarkEnd w:id="71"/>
      <w:bookmarkStart w:id="72" w:name="_Toc231808693"/>
      <w:bookmarkEnd w:id="72"/>
      <w:bookmarkStart w:id="73" w:name="_Toc16456"/>
      <w:bookmarkEnd w:id="73"/>
      <w:bookmarkStart w:id="74" w:name="_Toc233794364"/>
    </w:p>
    <w:p w14:paraId="4D8E5C28">
      <w:pPr>
        <w:pStyle w:val="46"/>
        <w:numPr>
          <w:ilvl w:val="255"/>
          <w:numId w:val="0"/>
        </w:numPr>
        <w:spacing w:before="120" w:after="120"/>
        <w:ind w:firstLine="420"/>
        <w:rPr>
          <w:rFonts w:ascii="Times New Roman"/>
          <w:highlight w:val="none"/>
        </w:rPr>
      </w:pPr>
      <w:bookmarkStart w:id="75" w:name="_Toc2912"/>
      <w:r>
        <w:rPr>
          <w:rFonts w:hint="eastAsia" w:ascii="Times New Roman" w:hAnsi="Times New Roman"/>
          <w:highlight w:val="none"/>
        </w:rPr>
        <w:t>碳足迹 carbon footprint</w:t>
      </w:r>
      <w:bookmarkEnd w:id="74"/>
      <w:bookmarkEnd w:id="75"/>
    </w:p>
    <w:p w14:paraId="697238E7">
      <w:pPr>
        <w:pStyle w:val="31"/>
        <w:ind w:firstLine="420"/>
        <w:rPr>
          <w:rFonts w:ascii="Times New Roman"/>
          <w:highlight w:val="none"/>
        </w:rPr>
      </w:pPr>
      <w:r>
        <w:rPr>
          <w:rFonts w:hint="eastAsia" w:ascii="Times New Roman"/>
          <w:highlight w:val="none"/>
        </w:rPr>
        <w:t>修复过程中因能源、物料消耗及废弃物排放等产生的温室气体排放总量，通常以二氧化碳当量（</w:t>
      </w:r>
      <w:r>
        <w:rPr>
          <w:rFonts w:ascii="Times New Roman"/>
          <w:highlight w:val="none"/>
        </w:rPr>
        <w:t>CO</w:t>
      </w:r>
      <w:r>
        <w:rPr>
          <w:rFonts w:ascii="Times New Roman"/>
          <w:highlight w:val="none"/>
          <w:vertAlign w:val="subscript"/>
        </w:rPr>
        <w:t>2</w:t>
      </w:r>
      <w:r>
        <w:rPr>
          <w:rFonts w:ascii="Times New Roman"/>
          <w:highlight w:val="none"/>
        </w:rPr>
        <w:t>-eq</w:t>
      </w:r>
      <w:r>
        <w:rPr>
          <w:rFonts w:hint="eastAsia" w:ascii="Times New Roman"/>
          <w:highlight w:val="none"/>
        </w:rPr>
        <w:t>）表示，是衡量低碳修复成效的重要指标。</w:t>
      </w:r>
    </w:p>
    <w:p w14:paraId="30CF0104">
      <w:pPr>
        <w:pStyle w:val="46"/>
        <w:spacing w:before="120" w:after="120"/>
        <w:rPr>
          <w:rFonts w:ascii="Times New Roman"/>
          <w:highlight w:val="none"/>
        </w:rPr>
      </w:pPr>
      <w:bookmarkStart w:id="76" w:name="_Toc26013"/>
      <w:bookmarkEnd w:id="76"/>
      <w:bookmarkStart w:id="77" w:name="_Toc232954786"/>
      <w:bookmarkEnd w:id="77"/>
      <w:bookmarkStart w:id="78" w:name="_Toc231808694"/>
      <w:bookmarkEnd w:id="78"/>
      <w:bookmarkStart w:id="79" w:name="_Toc233794365"/>
    </w:p>
    <w:p w14:paraId="5DFDF5F8">
      <w:pPr>
        <w:pStyle w:val="46"/>
        <w:numPr>
          <w:ilvl w:val="255"/>
          <w:numId w:val="0"/>
        </w:numPr>
        <w:spacing w:before="120" w:after="120"/>
        <w:ind w:firstLine="420"/>
        <w:rPr>
          <w:rFonts w:ascii="Times New Roman"/>
          <w:highlight w:val="none"/>
        </w:rPr>
      </w:pPr>
      <w:bookmarkStart w:id="80" w:name="_Toc22792"/>
      <w:r>
        <w:rPr>
          <w:rFonts w:hint="eastAsia" w:ascii="Times New Roman" w:hAnsi="Times New Roman"/>
          <w:highlight w:val="none"/>
        </w:rPr>
        <w:t>全生命周期 life cycle</w:t>
      </w:r>
      <w:bookmarkEnd w:id="79"/>
      <w:bookmarkEnd w:id="80"/>
    </w:p>
    <w:p w14:paraId="72D21530">
      <w:pPr>
        <w:pStyle w:val="31"/>
        <w:ind w:firstLine="420"/>
        <w:rPr>
          <w:rFonts w:ascii="Times New Roman"/>
          <w:highlight w:val="none"/>
        </w:rPr>
      </w:pPr>
      <w:r>
        <w:rPr>
          <w:rFonts w:hint="eastAsia" w:ascii="Times New Roman"/>
          <w:highlight w:val="none"/>
        </w:rPr>
        <w:t>产品或服务系统中前后衔接的一系列阶段，从自然界或自然资源中获取原材料，直至最终处置，包括原材料准备、系统建设、修复实施、废弃物处置等，贯穿修复活动的全过程。</w:t>
      </w:r>
    </w:p>
    <w:p w14:paraId="620168CD">
      <w:pPr>
        <w:pStyle w:val="31"/>
        <w:ind w:firstLine="420"/>
        <w:rPr>
          <w:rFonts w:ascii="Times New Roman"/>
          <w:highlight w:val="none"/>
        </w:rPr>
      </w:pPr>
      <w:r>
        <w:rPr>
          <w:rFonts w:hint="eastAsia" w:ascii="Times New Roman" w:hAnsi="Times New Roman"/>
          <w:highlight w:val="none"/>
        </w:rPr>
        <w:t>[来源：</w:t>
      </w:r>
      <w:r>
        <w:rPr>
          <w:rFonts w:ascii="Times New Roman"/>
          <w:highlight w:val="none"/>
        </w:rPr>
        <w:t>ISO 14040:2006</w:t>
      </w:r>
      <w:r>
        <w:rPr>
          <w:rFonts w:hint="eastAsia" w:ascii="Times New Roman"/>
          <w:highlight w:val="none"/>
        </w:rPr>
        <w:t>，</w:t>
      </w:r>
      <w:r>
        <w:rPr>
          <w:rFonts w:ascii="Times New Roman"/>
          <w:highlight w:val="none"/>
        </w:rPr>
        <w:t>3.1</w:t>
      </w:r>
      <w:r>
        <w:rPr>
          <w:rFonts w:hint="eastAsia" w:ascii="Times New Roman"/>
          <w:highlight w:val="none"/>
        </w:rPr>
        <w:t>，有修改</w:t>
      </w:r>
      <w:r>
        <w:rPr>
          <w:rFonts w:hint="eastAsia" w:ascii="Times New Roman" w:hAnsi="Times New Roman"/>
          <w:highlight w:val="none"/>
        </w:rPr>
        <w:t>]</w:t>
      </w:r>
    </w:p>
    <w:p w14:paraId="211C1FF0">
      <w:pPr>
        <w:pStyle w:val="46"/>
        <w:spacing w:before="120" w:after="120"/>
        <w:rPr>
          <w:rFonts w:ascii="Times New Roman"/>
          <w:highlight w:val="none"/>
        </w:rPr>
      </w:pPr>
      <w:bookmarkStart w:id="81" w:name="_Toc232954787"/>
      <w:bookmarkEnd w:id="81"/>
      <w:bookmarkStart w:id="82" w:name="_Toc231808695"/>
      <w:bookmarkEnd w:id="82"/>
      <w:bookmarkStart w:id="83" w:name="_Toc6743"/>
      <w:bookmarkEnd w:id="83"/>
      <w:bookmarkStart w:id="84" w:name="_Toc233794366"/>
    </w:p>
    <w:p w14:paraId="0083DA70">
      <w:pPr>
        <w:pStyle w:val="46"/>
        <w:numPr>
          <w:ilvl w:val="255"/>
          <w:numId w:val="0"/>
        </w:numPr>
        <w:spacing w:before="120" w:after="120"/>
        <w:ind w:firstLine="420"/>
        <w:rPr>
          <w:rFonts w:ascii="Times New Roman"/>
          <w:highlight w:val="none"/>
        </w:rPr>
      </w:pPr>
      <w:bookmarkStart w:id="85" w:name="_Toc24039"/>
      <w:r>
        <w:rPr>
          <w:rFonts w:hint="eastAsia" w:ascii="Times New Roman" w:hAnsi="Times New Roman"/>
          <w:highlight w:val="none"/>
        </w:rPr>
        <w:t>原料生产阶段 raw material production stage</w:t>
      </w:r>
      <w:bookmarkEnd w:id="84"/>
      <w:bookmarkEnd w:id="85"/>
    </w:p>
    <w:p w14:paraId="5D5FA1E0">
      <w:pPr>
        <w:pStyle w:val="31"/>
        <w:ind w:firstLine="420"/>
        <w:rPr>
          <w:rFonts w:ascii="Times New Roman"/>
          <w:highlight w:val="none"/>
        </w:rPr>
      </w:pPr>
      <w:r>
        <w:rPr>
          <w:rFonts w:hint="eastAsia" w:ascii="Times New Roman"/>
          <w:highlight w:val="none"/>
        </w:rPr>
        <w:t>在修复技术实施前，对所需原材料的生产、采购和运输等过程，包括低碳原料选择、绿色运输方式和资源化材料的利用。</w:t>
      </w:r>
    </w:p>
    <w:p w14:paraId="4C5BF0BE">
      <w:pPr>
        <w:pStyle w:val="46"/>
        <w:spacing w:before="120" w:after="120"/>
        <w:rPr>
          <w:rFonts w:ascii="Times New Roman"/>
          <w:highlight w:val="none"/>
        </w:rPr>
      </w:pPr>
      <w:bookmarkStart w:id="86" w:name="_Toc232954788"/>
      <w:bookmarkEnd w:id="86"/>
      <w:bookmarkStart w:id="87" w:name="_Toc11822"/>
      <w:bookmarkEnd w:id="87"/>
      <w:bookmarkStart w:id="88" w:name="_Toc231808696"/>
      <w:bookmarkEnd w:id="88"/>
      <w:bookmarkStart w:id="89" w:name="_Toc233794367"/>
    </w:p>
    <w:p w14:paraId="38D1E824">
      <w:pPr>
        <w:pStyle w:val="46"/>
        <w:numPr>
          <w:ilvl w:val="255"/>
          <w:numId w:val="0"/>
        </w:numPr>
        <w:spacing w:before="120" w:after="120"/>
        <w:ind w:firstLine="420"/>
        <w:rPr>
          <w:rFonts w:ascii="Times New Roman"/>
          <w:highlight w:val="none"/>
        </w:rPr>
      </w:pPr>
      <w:bookmarkStart w:id="90" w:name="_Toc6180"/>
      <w:r>
        <w:rPr>
          <w:rFonts w:hint="eastAsia" w:ascii="Times New Roman" w:hAnsi="Times New Roman"/>
          <w:highlight w:val="none"/>
        </w:rPr>
        <w:t>系统建设阶段 system construction stage</w:t>
      </w:r>
      <w:bookmarkEnd w:id="89"/>
      <w:bookmarkEnd w:id="90"/>
    </w:p>
    <w:p w14:paraId="67C3833E">
      <w:pPr>
        <w:pStyle w:val="31"/>
        <w:ind w:firstLine="420"/>
        <w:rPr>
          <w:rFonts w:ascii="Times New Roman"/>
          <w:highlight w:val="none"/>
        </w:rPr>
      </w:pPr>
      <w:r>
        <w:rPr>
          <w:rFonts w:hint="eastAsia" w:ascii="Times New Roman"/>
          <w:highlight w:val="none"/>
        </w:rPr>
        <w:t>修复技术实施前期的系统搭建与设备安装阶段，包括材料选用、设备节能配置及高效布局等措施。</w:t>
      </w:r>
    </w:p>
    <w:p w14:paraId="5B877AC5">
      <w:pPr>
        <w:pStyle w:val="46"/>
        <w:spacing w:before="120" w:after="120"/>
        <w:rPr>
          <w:rFonts w:ascii="Times New Roman"/>
          <w:highlight w:val="none"/>
        </w:rPr>
      </w:pPr>
      <w:bookmarkStart w:id="91" w:name="_Toc232954789"/>
      <w:bookmarkEnd w:id="91"/>
      <w:bookmarkStart w:id="92" w:name="_Toc231808697"/>
      <w:bookmarkEnd w:id="92"/>
      <w:bookmarkStart w:id="93" w:name="_Toc1747"/>
      <w:bookmarkEnd w:id="93"/>
      <w:bookmarkStart w:id="94" w:name="_Toc233794368"/>
    </w:p>
    <w:p w14:paraId="528EDD61">
      <w:pPr>
        <w:pStyle w:val="46"/>
        <w:numPr>
          <w:ilvl w:val="255"/>
          <w:numId w:val="0"/>
        </w:numPr>
        <w:spacing w:before="120" w:after="120"/>
        <w:ind w:firstLine="420"/>
        <w:rPr>
          <w:rFonts w:ascii="Times New Roman"/>
          <w:highlight w:val="none"/>
        </w:rPr>
      </w:pPr>
      <w:bookmarkStart w:id="95" w:name="_Toc15941"/>
      <w:r>
        <w:rPr>
          <w:rFonts w:hint="eastAsia" w:ascii="Times New Roman" w:hAnsi="Times New Roman"/>
          <w:highlight w:val="none"/>
        </w:rPr>
        <w:t>技术实施及监测阶段 technology implementation and monitoring stage</w:t>
      </w:r>
      <w:bookmarkEnd w:id="94"/>
      <w:bookmarkEnd w:id="95"/>
      <w:r>
        <w:rPr>
          <w:rFonts w:hint="eastAsia" w:ascii="Times New Roman" w:hAnsi="Times New Roman"/>
          <w:highlight w:val="none"/>
        </w:rPr>
        <w:t xml:space="preserve"> </w:t>
      </w:r>
    </w:p>
    <w:p w14:paraId="4DCFB5BE">
      <w:pPr>
        <w:pStyle w:val="31"/>
        <w:ind w:firstLine="420"/>
        <w:rPr>
          <w:rFonts w:ascii="Times New Roman"/>
          <w:highlight w:val="none"/>
        </w:rPr>
      </w:pPr>
      <w:r>
        <w:rPr>
          <w:rFonts w:hint="eastAsia" w:ascii="Times New Roman"/>
          <w:highlight w:val="none"/>
        </w:rPr>
        <w:t>修复技术具体操作执行及过程监测阶段，包括设备运行、能源消耗和实时监测等环节的精细化操作、动态监控和过程优化。</w:t>
      </w:r>
    </w:p>
    <w:p w14:paraId="080A9271">
      <w:pPr>
        <w:pStyle w:val="46"/>
        <w:spacing w:before="120" w:after="120"/>
        <w:rPr>
          <w:rFonts w:ascii="Times New Roman"/>
          <w:highlight w:val="none"/>
        </w:rPr>
      </w:pPr>
      <w:bookmarkStart w:id="96" w:name="_Toc232954790"/>
      <w:bookmarkEnd w:id="96"/>
      <w:bookmarkStart w:id="97" w:name="_Toc231808698"/>
      <w:bookmarkEnd w:id="97"/>
      <w:bookmarkStart w:id="98" w:name="_Toc12771"/>
      <w:bookmarkEnd w:id="98"/>
      <w:bookmarkStart w:id="99" w:name="_Toc233794369"/>
    </w:p>
    <w:p w14:paraId="347C1C41">
      <w:pPr>
        <w:pStyle w:val="46"/>
        <w:numPr>
          <w:ilvl w:val="255"/>
          <w:numId w:val="0"/>
        </w:numPr>
        <w:spacing w:before="120" w:after="120"/>
        <w:ind w:firstLine="420"/>
        <w:rPr>
          <w:rFonts w:ascii="Times New Roman"/>
          <w:highlight w:val="none"/>
        </w:rPr>
      </w:pPr>
      <w:bookmarkStart w:id="100" w:name="_Toc23514"/>
      <w:r>
        <w:rPr>
          <w:rFonts w:hint="eastAsia" w:ascii="Times New Roman" w:hAnsi="Times New Roman"/>
          <w:highlight w:val="none"/>
        </w:rPr>
        <w:t>废物处置阶段 waste disposal stage</w:t>
      </w:r>
      <w:bookmarkEnd w:id="99"/>
      <w:bookmarkEnd w:id="100"/>
    </w:p>
    <w:p w14:paraId="1854C87A">
      <w:pPr>
        <w:pStyle w:val="31"/>
        <w:ind w:firstLine="420"/>
        <w:rPr>
          <w:rFonts w:ascii="Times New Roman"/>
          <w:highlight w:val="none"/>
        </w:rPr>
      </w:pPr>
      <w:r>
        <w:rPr>
          <w:rFonts w:hint="eastAsia" w:ascii="Times New Roman"/>
          <w:highlight w:val="none"/>
        </w:rPr>
        <w:t>修复技术完成后的废物管理阶段，涵盖废弃物的回收、资源化和安全处置。</w:t>
      </w:r>
    </w:p>
    <w:p w14:paraId="65C8F6B5">
      <w:pPr>
        <w:pStyle w:val="46"/>
        <w:spacing w:before="120" w:after="120"/>
        <w:rPr>
          <w:rFonts w:ascii="Times New Roman"/>
          <w:highlight w:val="none"/>
        </w:rPr>
      </w:pPr>
      <w:bookmarkStart w:id="101" w:name="_Toc232954791"/>
      <w:bookmarkEnd w:id="101"/>
      <w:bookmarkStart w:id="102" w:name="_Toc6002"/>
      <w:bookmarkEnd w:id="102"/>
      <w:bookmarkStart w:id="103" w:name="_Toc231808699"/>
      <w:bookmarkEnd w:id="103"/>
      <w:bookmarkStart w:id="104" w:name="_Toc233794370"/>
    </w:p>
    <w:p w14:paraId="079BA227">
      <w:pPr>
        <w:pStyle w:val="46"/>
        <w:numPr>
          <w:ilvl w:val="255"/>
          <w:numId w:val="0"/>
        </w:numPr>
        <w:spacing w:before="120" w:after="120"/>
        <w:ind w:firstLine="420"/>
        <w:rPr>
          <w:rFonts w:ascii="Times New Roman"/>
          <w:highlight w:val="none"/>
        </w:rPr>
      </w:pPr>
      <w:bookmarkStart w:id="105" w:name="_Toc8293"/>
      <w:r>
        <w:rPr>
          <w:rFonts w:hint="eastAsia" w:ascii="Times New Roman" w:hAnsi="Times New Roman"/>
          <w:highlight w:val="none"/>
        </w:rPr>
        <w:t>资源循环利用 resource recycling</w:t>
      </w:r>
      <w:bookmarkEnd w:id="104"/>
      <w:bookmarkEnd w:id="105"/>
    </w:p>
    <w:p w14:paraId="78A85DA0">
      <w:pPr>
        <w:pStyle w:val="31"/>
        <w:ind w:firstLine="420"/>
        <w:rPr>
          <w:rFonts w:ascii="Times New Roman"/>
          <w:highlight w:val="none"/>
        </w:rPr>
      </w:pPr>
      <w:r>
        <w:rPr>
          <w:rFonts w:hint="eastAsia" w:ascii="Times New Roman"/>
          <w:highlight w:val="none"/>
        </w:rPr>
        <w:t>在修复过程中对废弃物或副产品进行收集、处理和再利用，以减少修复活动对原生资源的消耗。</w:t>
      </w:r>
    </w:p>
    <w:p w14:paraId="6E1CAA73">
      <w:pPr>
        <w:pStyle w:val="45"/>
        <w:spacing w:before="240" w:after="240"/>
        <w:rPr>
          <w:rFonts w:ascii="Times New Roman"/>
          <w:szCs w:val="21"/>
          <w:highlight w:val="none"/>
        </w:rPr>
      </w:pPr>
      <w:bookmarkStart w:id="106" w:name="_Toc232954792"/>
      <w:bookmarkEnd w:id="106"/>
      <w:bookmarkStart w:id="107" w:name="_Toc231808700"/>
      <w:bookmarkEnd w:id="107"/>
      <w:bookmarkStart w:id="108" w:name="_Toc22987"/>
      <w:bookmarkStart w:id="109" w:name="_Toc233794372"/>
      <w:r>
        <w:rPr>
          <w:rFonts w:hint="eastAsia" w:ascii="Times New Roman"/>
          <w:szCs w:val="21"/>
          <w:highlight w:val="none"/>
        </w:rPr>
        <w:t>修复基本原则与工作程序</w:t>
      </w:r>
      <w:bookmarkEnd w:id="108"/>
      <w:bookmarkEnd w:id="109"/>
    </w:p>
    <w:p w14:paraId="5CC3EA32">
      <w:pPr>
        <w:pStyle w:val="46"/>
        <w:spacing w:before="120" w:after="120"/>
        <w:rPr>
          <w:rFonts w:ascii="Times New Roman"/>
          <w:szCs w:val="21"/>
          <w:highlight w:val="none"/>
        </w:rPr>
      </w:pPr>
      <w:bookmarkStart w:id="110" w:name="_Toc233794373"/>
      <w:bookmarkStart w:id="111" w:name="_Toc23180"/>
      <w:bookmarkStart w:id="112" w:name="_Toc77263531"/>
      <w:r>
        <w:rPr>
          <w:rFonts w:hint="eastAsia" w:ascii="Times New Roman"/>
          <w:szCs w:val="21"/>
          <w:highlight w:val="none"/>
        </w:rPr>
        <w:t>基本原则</w:t>
      </w:r>
      <w:bookmarkEnd w:id="110"/>
      <w:bookmarkEnd w:id="111"/>
    </w:p>
    <w:p w14:paraId="7EE41FF1">
      <w:pPr>
        <w:pStyle w:val="47"/>
        <w:spacing w:before="120" w:after="120"/>
        <w:rPr>
          <w:rFonts w:hint="eastAsia"/>
          <w:sz w:val="21"/>
          <w:szCs w:val="21"/>
          <w:highlight w:val="none"/>
        </w:rPr>
      </w:pPr>
      <w:r>
        <w:rPr>
          <w:rFonts w:hint="eastAsia"/>
          <w:sz w:val="21"/>
          <w:szCs w:val="21"/>
          <w:highlight w:val="none"/>
        </w:rPr>
        <w:t>绿色低碳与源头风险管控原则</w:t>
      </w:r>
    </w:p>
    <w:p w14:paraId="2377CA55">
      <w:pPr>
        <w:pStyle w:val="31"/>
        <w:spacing w:beforeLines="0" w:afterLines="0"/>
        <w:ind w:firstLine="420"/>
        <w:rPr>
          <w:rFonts w:hint="eastAsia"/>
          <w:sz w:val="21"/>
          <w:szCs w:val="21"/>
          <w:highlight w:val="none"/>
        </w:rPr>
      </w:pPr>
      <w:r>
        <w:rPr>
          <w:rFonts w:hint="eastAsia"/>
          <w:sz w:val="21"/>
          <w:szCs w:val="21"/>
          <w:highlight w:val="none"/>
        </w:rPr>
        <w:t>应以场地环境调查与风险评估结果为基础，科学识别污染范围、类型与程度，优先关注污染源和高风险区域，合理设定修复目标与策略。在保障人群健康与环境安全的前提下，优先保护生态功能敏感区域，修复全过程应开展碳足迹核算，识别主要碳排放环节，采取减碳优化措施，推动绿色低碳工艺应用，降低修复过程温室气体排放水平。</w:t>
      </w:r>
    </w:p>
    <w:p w14:paraId="65532CCF">
      <w:pPr>
        <w:pStyle w:val="47"/>
        <w:spacing w:before="120" w:after="120"/>
        <w:rPr>
          <w:rFonts w:hint="eastAsia"/>
          <w:sz w:val="21"/>
          <w:szCs w:val="21"/>
          <w:highlight w:val="none"/>
        </w:rPr>
      </w:pPr>
      <w:r>
        <w:rPr>
          <w:rFonts w:hint="eastAsia"/>
          <w:sz w:val="21"/>
          <w:szCs w:val="21"/>
          <w:highlight w:val="none"/>
        </w:rPr>
        <w:t>资源循环节约与过程优化原则</w:t>
      </w:r>
    </w:p>
    <w:p w14:paraId="5FA6AE29">
      <w:pPr>
        <w:pStyle w:val="31"/>
        <w:spacing w:beforeLines="0" w:afterLines="0"/>
        <w:ind w:firstLine="420"/>
        <w:rPr>
          <w:rFonts w:hint="eastAsia"/>
          <w:sz w:val="21"/>
          <w:szCs w:val="21"/>
          <w:highlight w:val="none"/>
        </w:rPr>
      </w:pPr>
      <w:r>
        <w:rPr>
          <w:rFonts w:hint="eastAsia"/>
          <w:sz w:val="21"/>
          <w:szCs w:val="21"/>
          <w:highlight w:val="none"/>
        </w:rPr>
        <w:t>修复过程中应注重资源节约与过程优化，合理控制能源、水和材料消耗，鼓励采用绿色低碳技术与设备，优先利用再生材料与就地资源化路径，提升修复全过程的资源利用效率。综合考虑生态恢复、土地再利用、城市更新等目标，推动修复项目与区域发展之间的系统协同与优化。</w:t>
      </w:r>
    </w:p>
    <w:p w14:paraId="6E9B0853">
      <w:pPr>
        <w:pStyle w:val="47"/>
        <w:spacing w:before="120" w:after="120"/>
        <w:rPr>
          <w:rFonts w:hint="eastAsia"/>
          <w:sz w:val="21"/>
          <w:szCs w:val="21"/>
          <w:highlight w:val="none"/>
        </w:rPr>
      </w:pPr>
      <w:r>
        <w:rPr>
          <w:rFonts w:hint="eastAsia"/>
          <w:sz w:val="21"/>
          <w:szCs w:val="21"/>
          <w:highlight w:val="none"/>
        </w:rPr>
        <w:t>社会共治与公开透明原则</w:t>
      </w:r>
    </w:p>
    <w:p w14:paraId="4722D9E1">
      <w:pPr>
        <w:pStyle w:val="31"/>
        <w:spacing w:beforeLines="0" w:afterLines="0"/>
        <w:ind w:firstLine="420"/>
        <w:rPr>
          <w:rFonts w:hint="eastAsia"/>
          <w:sz w:val="21"/>
          <w:szCs w:val="21"/>
          <w:highlight w:val="none"/>
        </w:rPr>
      </w:pPr>
      <w:r>
        <w:rPr>
          <w:rFonts w:hint="eastAsia"/>
          <w:sz w:val="21"/>
          <w:szCs w:val="21"/>
          <w:highlight w:val="none"/>
        </w:rPr>
        <w:t>修复项目全过程应注重公众参与和社会监督，广泛听取政府、地方、公众等相关方意见，提升修复措施的社会认可度与治理协同性，实现环境效益、经济效益与社会效益的统一。</w:t>
      </w:r>
    </w:p>
    <w:p w14:paraId="31040543">
      <w:pPr>
        <w:pStyle w:val="46"/>
        <w:spacing w:before="120" w:after="120"/>
        <w:rPr>
          <w:rFonts w:ascii="Times New Roman"/>
          <w:szCs w:val="21"/>
          <w:highlight w:val="none"/>
        </w:rPr>
      </w:pPr>
      <w:bookmarkStart w:id="113" w:name="_Toc233794374"/>
      <w:bookmarkStart w:id="114" w:name="_Toc5213"/>
      <w:r>
        <w:rPr>
          <w:rFonts w:hint="eastAsia" w:ascii="Times New Roman"/>
          <w:szCs w:val="21"/>
          <w:highlight w:val="none"/>
        </w:rPr>
        <w:t>修复工作程序</w:t>
      </w:r>
      <w:bookmarkEnd w:id="113"/>
      <w:bookmarkEnd w:id="114"/>
    </w:p>
    <w:p w14:paraId="5AE65319">
      <w:pPr>
        <w:pStyle w:val="31"/>
        <w:ind w:firstLine="420"/>
        <w:rPr>
          <w:rFonts w:ascii="Times New Roman"/>
          <w:szCs w:val="21"/>
          <w:highlight w:val="none"/>
        </w:rPr>
      </w:pPr>
      <w:r>
        <w:rPr>
          <w:rFonts w:hint="eastAsia" w:ascii="Times New Roman"/>
          <w:szCs w:val="21"/>
          <w:highlight w:val="none"/>
        </w:rPr>
        <w:t>实施绿色低碳修复的工作程序如图1所示。本标准重点聚焦于修复实施阶段，具体涵盖原料准备、系统建设、技术实施及监测、废物处置四个主要环节。场地调查与风险评估等前期工作，以及修复后土地再开发阶段的绿色低碳要求，不纳入本标准主要内容，可参照相关标准或另行规定。</w:t>
      </w:r>
    </w:p>
    <w:p w14:paraId="024AB376">
      <w:pPr>
        <w:pStyle w:val="31"/>
        <w:ind w:firstLine="420"/>
        <w:rPr>
          <w:rFonts w:ascii="Times New Roman"/>
          <w:szCs w:val="21"/>
          <w:highlight w:val="none"/>
        </w:rPr>
      </w:pPr>
      <w:r>
        <w:rPr>
          <w:rFonts w:hint="eastAsia" w:ascii="Times New Roman"/>
          <w:szCs w:val="21"/>
          <w:highlight w:val="none"/>
        </w:rPr>
        <w:t>在修复技术方案筛选阶段，应结合污染特征、场地用途及周边环境条件，采用生命周期评价法对不同技术路径进行碳排放预评估，优先选用绿色、低碳、资源节约型的修复技术方案。在修复工程实施过程中，鼓励在各环节落实绿色低碳最佳管理措施，如采用低能耗设备、优化运输路径、提升废弃物资源化比例等。修复完成后，可结合修复达标情况，同步总结碳排放控制效果，提出优化建议，以持续完善绿色低碳修复的技术路径和管理机制。</w:t>
      </w:r>
    </w:p>
    <w:p w14:paraId="06D35A5C">
      <w:pPr>
        <w:pStyle w:val="31"/>
        <w:ind w:firstLine="180" w:firstLineChars="100"/>
        <w:rPr>
          <w:sz w:val="18"/>
          <w:szCs w:val="18"/>
          <w:highlight w:val="none"/>
          <w:lang w:val="zh-CN"/>
        </w:rPr>
      </w:pPr>
    </w:p>
    <w:p w14:paraId="753E4081">
      <w:pPr>
        <w:pStyle w:val="31"/>
        <w:keepNext w:val="0"/>
        <w:keepLines w:val="0"/>
        <w:pageBreakBefore w:val="0"/>
        <w:widowControl/>
        <w:kinsoku/>
        <w:wordWrap/>
        <w:overflowPunct/>
        <w:topLinePunct w:val="0"/>
        <w:autoSpaceDE w:val="0"/>
        <w:autoSpaceDN w:val="0"/>
        <w:bidi w:val="0"/>
        <w:adjustRightInd/>
        <w:snapToGrid/>
        <w:spacing w:after="157" w:afterLines="50"/>
        <w:ind w:firstLine="0" w:firstLineChars="0"/>
        <w:jc w:val="center"/>
        <w:textAlignment w:val="auto"/>
        <w:rPr>
          <w:highlight w:val="none"/>
          <w:lang w:val="zh-CN"/>
        </w:rPr>
      </w:pPr>
      <w:r>
        <w:drawing>
          <wp:inline distT="0" distB="0" distL="114300" distR="114300">
            <wp:extent cx="5274310" cy="2726055"/>
            <wp:effectExtent l="0" t="0" r="1397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4"/>
                    <a:stretch>
                      <a:fillRect/>
                    </a:stretch>
                  </pic:blipFill>
                  <pic:spPr>
                    <a:xfrm>
                      <a:off x="0" y="0"/>
                      <a:ext cx="5274310" cy="2726055"/>
                    </a:xfrm>
                    <a:prstGeom prst="rect">
                      <a:avLst/>
                    </a:prstGeom>
                    <a:noFill/>
                    <a:ln>
                      <a:noFill/>
                    </a:ln>
                  </pic:spPr>
                </pic:pic>
              </a:graphicData>
            </a:graphic>
          </wp:inline>
        </w:drawing>
      </w:r>
    </w:p>
    <w:p w14:paraId="703D97D3">
      <w:pPr>
        <w:pStyle w:val="31"/>
        <w:ind w:firstLine="210" w:firstLineChars="100"/>
        <w:jc w:val="center"/>
        <w:rPr>
          <w:highlight w:val="none"/>
        </w:rPr>
      </w:pPr>
      <w:r>
        <w:rPr>
          <w:rFonts w:hint="eastAsia"/>
          <w:highlight w:val="none"/>
        </w:rPr>
        <w:t>图1 污染地块绿色低碳修复工作流程图</w:t>
      </w:r>
    </w:p>
    <w:bookmarkEnd w:id="112"/>
    <w:p w14:paraId="05F67E34">
      <w:pPr>
        <w:pStyle w:val="45"/>
        <w:spacing w:before="240" w:after="240"/>
        <w:rPr>
          <w:rFonts w:ascii="Times New Roman"/>
          <w:highlight w:val="none"/>
        </w:rPr>
      </w:pPr>
      <w:bookmarkStart w:id="115" w:name="_Toc10718"/>
      <w:bookmarkStart w:id="116" w:name="_Toc233794375"/>
      <w:r>
        <w:rPr>
          <w:rFonts w:hint="eastAsia" w:ascii="Times New Roman"/>
          <w:highlight w:val="none"/>
        </w:rPr>
        <w:t>污染场地绿色低碳修复技术推荐</w:t>
      </w:r>
      <w:bookmarkEnd w:id="115"/>
      <w:bookmarkEnd w:id="116"/>
    </w:p>
    <w:p w14:paraId="5C5450CE">
      <w:pPr>
        <w:pStyle w:val="46"/>
        <w:spacing w:before="120" w:after="120"/>
        <w:rPr>
          <w:rFonts w:ascii="Times New Roman"/>
          <w:highlight w:val="none"/>
        </w:rPr>
      </w:pPr>
      <w:bookmarkStart w:id="117" w:name="_Toc233794376"/>
      <w:bookmarkStart w:id="118" w:name="_Toc31472"/>
      <w:r>
        <w:rPr>
          <w:rFonts w:hint="eastAsia" w:ascii="Times New Roman"/>
          <w:highlight w:val="none"/>
        </w:rPr>
        <w:t>一般规定</w:t>
      </w:r>
      <w:bookmarkEnd w:id="117"/>
      <w:bookmarkEnd w:id="118"/>
    </w:p>
    <w:p w14:paraId="5E320318">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修复技术选择应综合考虑污染物类型、污染程度、赋存形态、空间分布、场地水文地质条件、土地再利用方式、工期要求和风险管控目标，优先选择绿色、低碳、资源节约且技术可行的修复方案。修复方案应以全生命周期碳排放控制为导向，重点识别能源消耗、材料与药剂消耗、土方开挖与运输、设备运行、尾气处理、废水处理、废物处置及资源化利用等环节的碳排放来源。</w:t>
      </w:r>
    </w:p>
    <w:p w14:paraId="01C7AA80">
      <w:pPr>
        <w:pStyle w:val="47"/>
        <w:spacing w:before="120" w:after="120"/>
        <w:rPr>
          <w:rFonts w:ascii="Times New Roman"/>
          <w:highlight w:val="none"/>
        </w:rPr>
      </w:pPr>
      <w:r>
        <w:rPr>
          <w:rFonts w:hint="eastAsia" w:ascii="Times New Roman" w:hAnsi="Times New Roman" w:eastAsia="宋体"/>
          <w:highlight w:val="none"/>
        </w:rPr>
        <w:t>对污染程度差异明显、污染介质复杂或污染物类型多样的地块，宜采用分区分类、分阶段修复策略。高浓度源区宜采用高效削减或风险控制技术；中低浓度区域、污染羽外围区及修复后拖尾阶段宜优先采用自然衰减、生物修复、植物修复、阻隔控制等低能耗、低扰动技术。修复工程宜优先采用原位修复、</w:t>
      </w:r>
      <w:bookmarkStart w:id="164" w:name="_GoBack"/>
      <w:bookmarkEnd w:id="164"/>
      <w:r>
        <w:rPr>
          <w:rFonts w:hint="eastAsia" w:ascii="Times New Roman" w:hAnsi="Times New Roman" w:eastAsia="宋体"/>
          <w:highlight w:val="none"/>
        </w:rPr>
        <w:t>场内处理、场内回填和资源化利用方式，减少污染土壤清挖、倒运、外运和异地处置。确需异位处理或场外处置的，应优化运输路线、运输距离、运输频次和装载效率。</w:t>
      </w:r>
    </w:p>
    <w:p w14:paraId="37C0EE6F">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本指南中污染场地污染程度应以污染物实测浓度相对于风险管控标准的超标程度为依据，</w:t>
      </w:r>
      <w:r>
        <w:rPr>
          <w:rFonts w:hint="eastAsia" w:ascii="Times New Roman" w:eastAsia="宋体"/>
          <w:highlight w:val="none"/>
          <w:lang w:val="en-US" w:eastAsia="zh-CN"/>
        </w:rPr>
        <w:t>可采用</w:t>
      </w:r>
      <w:r>
        <w:rPr>
          <w:rFonts w:hint="eastAsia" w:ascii="Times New Roman" w:hAnsi="Times New Roman" w:eastAsia="宋体"/>
          <w:highlight w:val="none"/>
        </w:rPr>
        <w:t>单因子污染指数或内梅罗综合污染指数</w:t>
      </w:r>
      <w:r>
        <w:rPr>
          <w:rFonts w:hint="eastAsia" w:ascii="Times New Roman" w:eastAsia="宋体"/>
          <w:highlight w:val="none"/>
          <w:lang w:val="en-US" w:eastAsia="zh-CN"/>
        </w:rPr>
        <w:t>法</w:t>
      </w:r>
      <w:r>
        <w:rPr>
          <w:rFonts w:hint="eastAsia" w:ascii="Times New Roman" w:hAnsi="Times New Roman" w:eastAsia="宋体"/>
          <w:highlight w:val="none"/>
        </w:rPr>
        <w:t>进行定量判定</w:t>
      </w:r>
      <w:r>
        <w:rPr>
          <w:rFonts w:hint="eastAsia" w:ascii="Times New Roman" w:eastAsia="宋体"/>
          <w:highlight w:val="none"/>
          <w:lang w:eastAsia="zh-CN"/>
        </w:rPr>
        <w:t>。</w:t>
      </w:r>
      <w:r>
        <w:rPr>
          <w:rFonts w:hint="eastAsia" w:ascii="Times New Roman" w:hAnsi="Times New Roman" w:eastAsia="宋体"/>
          <w:highlight w:val="none"/>
        </w:rPr>
        <w:t>对于单一目标污染物，单因子污染指数</w:t>
      </w:r>
      <w:r>
        <w:rPr>
          <w:rFonts w:hint="eastAsia" w:ascii="Times New Roman" w:eastAsia="宋体"/>
          <w:highlight w:val="none"/>
          <w:lang w:eastAsia="zh-CN"/>
        </w:rPr>
        <w:t>（</w:t>
      </w:r>
      <m:oMath>
        <m:sSub>
          <m:sSubPr>
            <m:ctrlPr>
              <w:rPr>
                <w:rFonts w:ascii="Cambria Math" w:hAnsi="Cambria Math"/>
                <w:i/>
                <w:highlight w:val="none"/>
              </w:rPr>
            </m:ctrlPr>
          </m:sSubPr>
          <m:e>
            <m:r>
              <m:rPr/>
              <w:rPr>
                <w:rFonts w:hint="default" w:ascii="Cambria Math" w:hAnsi="Cambria Math"/>
                <w:highlight w:val="none"/>
                <w:lang w:val="en-US" w:eastAsia="zh-CN"/>
              </w:rPr>
              <m:t>P</m:t>
            </m:r>
            <m:ctrlPr>
              <w:rPr>
                <w:rFonts w:ascii="Cambria Math" w:hAnsi="Cambria Math"/>
                <w:i/>
                <w:highlight w:val="none"/>
              </w:rPr>
            </m:ctrlPr>
          </m:e>
          <m:sub>
            <m:r>
              <m:rPr/>
              <w:rPr>
                <w:rFonts w:hint="default" w:ascii="Cambria Math" w:hAnsi="Cambria Math"/>
                <w:highlight w:val="none"/>
                <w:lang w:val="en-US" w:eastAsia="zh-CN"/>
              </w:rPr>
              <m:t>i</m:t>
            </m:r>
            <m:ctrlPr>
              <w:rPr>
                <w:rFonts w:ascii="Cambria Math" w:hAnsi="Cambria Math"/>
                <w:i/>
                <w:highlight w:val="none"/>
              </w:rPr>
            </m:ctrlPr>
          </m:sub>
        </m:sSub>
      </m:oMath>
      <w:r>
        <w:rPr>
          <w:rFonts w:hint="eastAsia" w:ascii="Times New Roman" w:eastAsia="宋体"/>
          <w:highlight w:val="none"/>
          <w:lang w:eastAsia="zh-CN"/>
        </w:rPr>
        <w:t>）</w:t>
      </w:r>
      <w:r>
        <w:rPr>
          <w:rFonts w:hint="eastAsia" w:ascii="Times New Roman" w:hAnsi="Times New Roman" w:eastAsia="宋体"/>
          <w:highlight w:val="none"/>
        </w:rPr>
        <w:t>为污染物代表性浓度与其场地修复目标值之比；对于存在两种及以上目标污染物的评价单元，宜采用内梅罗综合污染指数</w:t>
      </w:r>
      <w:r>
        <w:rPr>
          <w:rFonts w:hint="eastAsia" w:ascii="Times New Roman" w:eastAsia="宋体"/>
          <w:highlight w:val="none"/>
          <w:lang w:eastAsia="zh-CN"/>
        </w:rPr>
        <w:t>（</w:t>
      </w:r>
      <m:oMath>
        <m:sSub>
          <m:sSubPr>
            <m:ctrlPr>
              <w:rPr>
                <w:rFonts w:ascii="Cambria Math" w:hAnsi="Cambria Math"/>
                <w:i/>
                <w:highlight w:val="none"/>
              </w:rPr>
            </m:ctrlPr>
          </m:sSubPr>
          <m:e>
            <m:r>
              <m:rPr/>
              <w:rPr>
                <w:rFonts w:hint="default" w:ascii="Cambria Math" w:hAnsi="Cambria Math"/>
                <w:highlight w:val="none"/>
                <w:lang w:val="en-US" w:eastAsia="zh-CN"/>
              </w:rPr>
              <m:t>P</m:t>
            </m:r>
            <m:ctrlPr>
              <w:rPr>
                <w:rFonts w:ascii="Cambria Math" w:hAnsi="Cambria Math"/>
                <w:i/>
                <w:highlight w:val="none"/>
              </w:rPr>
            </m:ctrlPr>
          </m:e>
          <m:sub>
            <m:r>
              <m:rPr/>
              <w:rPr>
                <w:rFonts w:hint="default" w:ascii="Cambria Math" w:hAnsi="Cambria Math"/>
                <w:highlight w:val="none"/>
                <w:lang w:val="en-US" w:eastAsia="zh-CN"/>
              </w:rPr>
              <m:t>N</m:t>
            </m:r>
            <m:ctrlPr>
              <w:rPr>
                <w:rFonts w:ascii="Cambria Math" w:hAnsi="Cambria Math"/>
                <w:i/>
                <w:highlight w:val="none"/>
              </w:rPr>
            </m:ctrlPr>
          </m:sub>
        </m:sSub>
      </m:oMath>
      <w:r>
        <w:rPr>
          <w:rFonts w:hint="eastAsia" w:ascii="Times New Roman" w:eastAsia="宋体"/>
          <w:highlight w:val="none"/>
          <w:lang w:eastAsia="zh-CN"/>
        </w:rPr>
        <w:t>）</w:t>
      </w:r>
      <w:r>
        <w:rPr>
          <w:rFonts w:hint="eastAsia" w:ascii="Times New Roman" w:hAnsi="Times New Roman" w:eastAsia="宋体"/>
          <w:highlight w:val="none"/>
        </w:rPr>
        <w:t>进行评价。</w:t>
      </w:r>
      <m:oMath>
        <m:sSub>
          <m:sSubPr>
            <m:ctrlPr>
              <w:rPr>
                <w:rFonts w:ascii="Cambria Math" w:hAnsi="Cambria Math"/>
                <w:i/>
                <w:highlight w:val="none"/>
              </w:rPr>
            </m:ctrlPr>
          </m:sSubPr>
          <m:e>
            <m:r>
              <m:rPr/>
              <w:rPr>
                <w:rFonts w:hint="default" w:ascii="Cambria Math" w:hAnsi="Cambria Math"/>
                <w:highlight w:val="none"/>
                <w:lang w:val="en-US" w:eastAsia="zh-CN"/>
              </w:rPr>
              <m:t>P</m:t>
            </m:r>
            <m:ctrlPr>
              <w:rPr>
                <w:rFonts w:ascii="Cambria Math" w:hAnsi="Cambria Math"/>
                <w:i/>
                <w:highlight w:val="none"/>
              </w:rPr>
            </m:ctrlPr>
          </m:e>
          <m:sub>
            <m:r>
              <m:rPr/>
              <w:rPr>
                <w:rFonts w:hint="default" w:ascii="Cambria Math" w:hAnsi="Cambria Math"/>
                <w:highlight w:val="none"/>
                <w:lang w:val="en-US" w:eastAsia="zh-CN"/>
              </w:rPr>
              <m:t>N</m:t>
            </m:r>
            <m:ctrlPr>
              <w:rPr>
                <w:rFonts w:ascii="Cambria Math" w:hAnsi="Cambria Math"/>
                <w:i/>
                <w:highlight w:val="none"/>
              </w:rPr>
            </m:ctrlPr>
          </m:sub>
        </m:sSub>
        <m:r>
          <m:rPr/>
          <w:rPr>
            <w:rFonts w:ascii="Cambria Math" w:hAnsi="Cambria Math"/>
            <w:highlight w:val="none"/>
          </w:rPr>
          <m:t>≤</m:t>
        </m:r>
        <m:r>
          <m:rPr/>
          <w:rPr>
            <w:rFonts w:hint="default" w:ascii="Cambria Math" w:hAnsi="Cambria Math"/>
            <w:highlight w:val="none"/>
            <w:lang w:val="en-US" w:eastAsia="zh-CN"/>
          </w:rPr>
          <m:t>0.7</m:t>
        </m:r>
      </m:oMath>
      <w:r>
        <w:rPr>
          <w:rFonts w:hint="eastAsia" w:ascii="Times New Roman" w:hAnsi="Times New Roman" w:eastAsia="宋体"/>
          <w:highlight w:val="none"/>
        </w:rPr>
        <w:t>时，</w:t>
      </w:r>
      <w:r>
        <w:rPr>
          <w:rFonts w:hint="eastAsia" w:ascii="Times New Roman" w:eastAsia="宋体"/>
          <w:highlight w:val="none"/>
          <w:lang w:val="en-US" w:eastAsia="zh-CN"/>
        </w:rPr>
        <w:t>认为污染场地尚不需开展修复；</w:t>
      </w:r>
      <m:oMath>
        <m:sSub>
          <m:sSubPr>
            <m:ctrlPr>
              <w:rPr>
                <w:rFonts w:ascii="Cambria Math" w:hAnsi="Cambria Math"/>
                <w:i/>
                <w:highlight w:val="none"/>
                <w:lang w:val="en-US"/>
              </w:rPr>
            </m:ctrlPr>
          </m:sSubPr>
          <m:e>
            <m:r>
              <m:rPr/>
              <w:rPr>
                <w:rFonts w:hint="default" w:ascii="Cambria Math" w:hAnsi="Cambria Math"/>
                <w:highlight w:val="none"/>
                <w:lang w:val="en-US" w:eastAsia="zh-CN"/>
              </w:rPr>
              <m:t>0.7</m:t>
            </m:r>
            <m:r>
              <m:rPr/>
              <w:rPr>
                <w:rFonts w:ascii="Cambria Math" w:hAnsi="Cambria Math"/>
                <w:highlight w:val="none"/>
                <w:lang w:val="en-US"/>
              </w:rPr>
              <m:t>&lt;</m:t>
            </m:r>
            <m:r>
              <m:rPr/>
              <w:rPr>
                <w:rFonts w:hint="default" w:ascii="Cambria Math" w:hAnsi="Cambria Math"/>
                <w:highlight w:val="none"/>
                <w:lang w:val="en-US" w:eastAsia="zh-CN"/>
              </w:rPr>
              <m:t>P</m:t>
            </m:r>
            <m:ctrlPr>
              <w:rPr>
                <w:rFonts w:ascii="Cambria Math" w:hAnsi="Cambria Math"/>
                <w:i/>
                <w:highlight w:val="none"/>
                <w:lang w:val="en-US"/>
              </w:rPr>
            </m:ctrlPr>
          </m:e>
          <m:sub>
            <m:r>
              <m:rPr/>
              <w:rPr>
                <w:rFonts w:hint="default" w:ascii="Cambria Math" w:hAnsi="Cambria Math"/>
                <w:highlight w:val="none"/>
                <w:lang w:val="en-US" w:eastAsia="zh-CN"/>
              </w:rPr>
              <m:t>N</m:t>
            </m:r>
            <m:ctrlPr>
              <w:rPr>
                <w:rFonts w:ascii="Cambria Math" w:hAnsi="Cambria Math"/>
                <w:i/>
                <w:highlight w:val="none"/>
                <w:lang w:val="en-US"/>
              </w:rPr>
            </m:ctrlPr>
          </m:sub>
        </m:sSub>
        <m:r>
          <m:rPr/>
          <w:rPr>
            <w:rFonts w:ascii="Cambria Math" w:hAnsi="Cambria Math"/>
            <w:highlight w:val="none"/>
            <w:lang w:val="en-US"/>
          </w:rPr>
          <m:t>≤</m:t>
        </m:r>
        <m:r>
          <m:rPr/>
          <w:rPr>
            <w:rFonts w:hint="default" w:ascii="Cambria Math" w:hAnsi="Cambria Math"/>
            <w:highlight w:val="none"/>
            <w:lang w:val="en-US" w:eastAsia="zh-CN"/>
          </w:rPr>
          <m:t>1</m:t>
        </m:r>
      </m:oMath>
      <w:r>
        <w:rPr>
          <w:rFonts w:hint="default" w:ascii="Times New Roman" w:eastAsia="宋体"/>
          <w:highlight w:val="none"/>
          <w:lang w:val="en-US" w:eastAsia="zh-CN"/>
        </w:rPr>
        <w:t>时，污染场地</w:t>
      </w:r>
      <w:r>
        <w:rPr>
          <w:rFonts w:hint="eastAsia" w:ascii="Times New Roman" w:eastAsia="宋体"/>
          <w:highlight w:val="none"/>
          <w:lang w:val="en-US" w:eastAsia="zh-CN"/>
        </w:rPr>
        <w:t>需加强监测</w:t>
      </w:r>
      <w:r>
        <w:rPr>
          <w:rFonts w:hint="eastAsia" w:ascii="Times New Roman" w:eastAsia="宋体"/>
          <w:highlight w:val="none"/>
          <w:lang w:eastAsia="zh-CN"/>
        </w:rPr>
        <w:t>；</w:t>
      </w:r>
      <m:oMath>
        <m:r>
          <m:rPr/>
          <w:rPr>
            <w:rFonts w:hint="default" w:ascii="Cambria Math" w:hAnsi="Cambria Math" w:eastAsia="宋体" w:cs="Times New Roman"/>
            <w:sz w:val="21"/>
            <w:highlight w:val="none"/>
            <w:lang w:val="en-US" w:eastAsia="zh-CN" w:bidi="ar-SA"/>
          </w:rPr>
          <m:t>1</m:t>
        </m:r>
        <m:r>
          <m:rPr/>
          <w:rPr>
            <w:rFonts w:hint="default" w:ascii="Cambria Math" w:hAnsi="Cambria Math" w:eastAsia="宋体" w:cs="Cambria Math"/>
            <w:sz w:val="21"/>
            <w:highlight w:val="none"/>
            <w:lang w:val="en-US" w:eastAsia="zh-CN" w:bidi="ar-SA"/>
          </w:rPr>
          <m:t>&lt;</m:t>
        </m:r>
        <m:sSub>
          <m:sSubPr>
            <m:ctrlPr>
              <w:rPr>
                <w:rFonts w:hint="default" w:ascii="Cambria Math" w:hAnsi="Cambria Math" w:eastAsia="宋体" w:cs="Cambria Math"/>
                <w:i/>
                <w:sz w:val="21"/>
                <w:highlight w:val="none"/>
                <w:lang w:val="en-US" w:eastAsia="zh-CN" w:bidi="ar-SA"/>
              </w:rPr>
            </m:ctrlPr>
          </m:sSubPr>
          <m:e>
            <m:r>
              <m:rPr/>
              <w:rPr>
                <w:rFonts w:hint="default" w:ascii="Cambria Math" w:hAnsi="Cambria Math" w:eastAsia="宋体" w:cs="Cambria Math"/>
                <w:sz w:val="21"/>
                <w:highlight w:val="none"/>
                <w:lang w:val="en-US" w:eastAsia="zh-CN" w:bidi="ar-SA"/>
              </w:rPr>
              <m:t>P</m:t>
            </m:r>
            <m:ctrlPr>
              <w:rPr>
                <w:rFonts w:hint="default" w:ascii="Cambria Math" w:hAnsi="Cambria Math" w:eastAsia="宋体" w:cs="Cambria Math"/>
                <w:i/>
                <w:sz w:val="21"/>
                <w:highlight w:val="none"/>
                <w:lang w:val="en-US" w:eastAsia="zh-CN" w:bidi="ar-SA"/>
              </w:rPr>
            </m:ctrlPr>
          </m:e>
          <m:sub>
            <m:r>
              <m:rPr/>
              <w:rPr>
                <w:rFonts w:hint="default" w:ascii="Cambria Math" w:hAnsi="Cambria Math" w:eastAsia="宋体" w:cs="Cambria Math"/>
                <w:sz w:val="21"/>
                <w:highlight w:val="none"/>
                <w:lang w:val="en-US" w:eastAsia="zh-CN" w:bidi="ar-SA"/>
              </w:rPr>
              <m:t>N</m:t>
            </m:r>
            <m:ctrlPr>
              <w:rPr>
                <w:rFonts w:hint="default" w:ascii="Cambria Math" w:hAnsi="Cambria Math" w:eastAsia="宋体" w:cs="Cambria Math"/>
                <w:i/>
                <w:sz w:val="21"/>
                <w:highlight w:val="none"/>
                <w:lang w:val="en-US" w:eastAsia="zh-CN" w:bidi="ar-SA"/>
              </w:rPr>
            </m:ctrlPr>
          </m:sub>
        </m:sSub>
        <m:r>
          <m:rPr/>
          <w:rPr>
            <w:rFonts w:ascii="Cambria Math" w:hAnsi="Cambria Math" w:cs="Cambria Math"/>
            <w:sz w:val="21"/>
            <w:highlight w:val="none"/>
            <w:lang w:val="en-US" w:bidi="ar-SA"/>
          </w:rPr>
          <m:t>≤</m:t>
        </m:r>
        <m:r>
          <m:rPr/>
          <w:rPr>
            <w:rFonts w:hint="default" w:ascii="Cambria Math" w:hAnsi="Cambria Math" w:eastAsia="宋体" w:cs="Cambria Math"/>
            <w:sz w:val="21"/>
            <w:highlight w:val="none"/>
            <w:lang w:val="en-US" w:eastAsia="zh-CN" w:bidi="ar-SA"/>
          </w:rPr>
          <m:t>2</m:t>
        </m:r>
      </m:oMath>
      <w:r>
        <w:rPr>
          <w:rFonts w:hint="eastAsia" w:ascii="Times New Roman" w:hAnsi="Times New Roman" w:eastAsia="宋体"/>
          <w:highlight w:val="none"/>
        </w:rPr>
        <w:t>时</w:t>
      </w:r>
      <w:r>
        <w:rPr>
          <w:rFonts w:hint="eastAsia" w:ascii="Times New Roman" w:eastAsia="宋体"/>
          <w:highlight w:val="none"/>
          <w:lang w:eastAsia="zh-CN"/>
        </w:rPr>
        <w:t>，</w:t>
      </w:r>
      <w:r>
        <w:rPr>
          <w:rFonts w:hint="eastAsia" w:ascii="Times New Roman" w:eastAsia="宋体"/>
          <w:highlight w:val="none"/>
          <w:lang w:val="en-US" w:eastAsia="zh-CN"/>
        </w:rPr>
        <w:t>污染场地</w:t>
      </w:r>
      <w:r>
        <w:rPr>
          <w:rFonts w:hint="eastAsia" w:ascii="Times New Roman" w:hAnsi="Times New Roman" w:eastAsia="宋体"/>
          <w:highlight w:val="none"/>
        </w:rPr>
        <w:t>可划分为低污染水平；</w:t>
      </w:r>
      <m:oMath>
        <m:r>
          <m:rPr/>
          <w:rPr>
            <w:rFonts w:hint="default" w:ascii="Cambria Math" w:hAnsi="Cambria Math" w:eastAsia="宋体" w:cs="Times New Roman"/>
            <w:sz w:val="21"/>
            <w:highlight w:val="none"/>
            <w:lang w:val="en-US" w:eastAsia="zh-CN" w:bidi="ar-SA"/>
          </w:rPr>
          <m:t>2</m:t>
        </m:r>
        <m:r>
          <m:rPr/>
          <w:rPr>
            <w:rFonts w:hint="default" w:ascii="Cambria Math" w:hAnsi="Cambria Math" w:eastAsia="宋体" w:cs="Cambria Math"/>
            <w:sz w:val="21"/>
            <w:highlight w:val="none"/>
            <w:lang w:val="en-US" w:eastAsia="zh-CN" w:bidi="ar-SA"/>
          </w:rPr>
          <m:t>&lt;</m:t>
        </m:r>
        <m:sSub>
          <m:sSubPr>
            <m:ctrlPr>
              <w:rPr>
                <w:rFonts w:hint="default" w:ascii="Cambria Math" w:hAnsi="Cambria Math" w:eastAsia="宋体" w:cs="Cambria Math"/>
                <w:i/>
                <w:sz w:val="21"/>
                <w:highlight w:val="none"/>
                <w:lang w:val="en-US" w:eastAsia="zh-CN" w:bidi="ar-SA"/>
              </w:rPr>
            </m:ctrlPr>
          </m:sSubPr>
          <m:e>
            <m:r>
              <m:rPr/>
              <w:rPr>
                <w:rFonts w:hint="default" w:ascii="Cambria Math" w:hAnsi="Cambria Math" w:eastAsia="宋体" w:cs="Cambria Math"/>
                <w:sz w:val="21"/>
                <w:highlight w:val="none"/>
                <w:lang w:val="en-US" w:eastAsia="zh-CN" w:bidi="ar-SA"/>
              </w:rPr>
              <m:t>P</m:t>
            </m:r>
            <m:ctrlPr>
              <w:rPr>
                <w:rFonts w:hint="default" w:ascii="Cambria Math" w:hAnsi="Cambria Math" w:eastAsia="宋体" w:cs="Cambria Math"/>
                <w:i/>
                <w:sz w:val="21"/>
                <w:highlight w:val="none"/>
                <w:lang w:val="en-US" w:eastAsia="zh-CN" w:bidi="ar-SA"/>
              </w:rPr>
            </m:ctrlPr>
          </m:e>
          <m:sub>
            <m:r>
              <m:rPr/>
              <w:rPr>
                <w:rFonts w:hint="default" w:ascii="Cambria Math" w:hAnsi="Cambria Math" w:eastAsia="宋体" w:cs="Cambria Math"/>
                <w:sz w:val="21"/>
                <w:highlight w:val="none"/>
                <w:lang w:val="en-US" w:eastAsia="zh-CN" w:bidi="ar-SA"/>
              </w:rPr>
              <m:t>N</m:t>
            </m:r>
            <m:ctrlPr>
              <w:rPr>
                <w:rFonts w:hint="default" w:ascii="Cambria Math" w:hAnsi="Cambria Math" w:eastAsia="宋体" w:cs="Cambria Math"/>
                <w:i/>
                <w:sz w:val="21"/>
                <w:highlight w:val="none"/>
                <w:lang w:val="en-US" w:eastAsia="zh-CN" w:bidi="ar-SA"/>
              </w:rPr>
            </m:ctrlPr>
          </m:sub>
        </m:sSub>
        <m:r>
          <m:rPr/>
          <w:rPr>
            <w:rFonts w:ascii="Cambria Math" w:hAnsi="Cambria Math" w:cs="Cambria Math"/>
            <w:sz w:val="21"/>
            <w:highlight w:val="none"/>
            <w:lang w:val="en-US" w:bidi="ar-SA"/>
          </w:rPr>
          <m:t>≤</m:t>
        </m:r>
        <m:r>
          <m:rPr/>
          <w:rPr>
            <w:rFonts w:hint="default" w:ascii="Cambria Math" w:hAnsi="Cambria Math" w:eastAsia="宋体" w:cs="Cambria Math"/>
            <w:sz w:val="21"/>
            <w:highlight w:val="none"/>
            <w:lang w:val="en-US" w:eastAsia="zh-CN" w:bidi="ar-SA"/>
          </w:rPr>
          <m:t>3</m:t>
        </m:r>
      </m:oMath>
      <w:r>
        <w:rPr>
          <w:rFonts w:hint="default" w:hAnsi="Cambria Math" w:eastAsia="宋体" w:cs="Cambria Math"/>
          <w:i w:val="0"/>
          <w:sz w:val="21"/>
          <w:highlight w:val="none"/>
          <w:lang w:val="en-US" w:eastAsia="zh-CN" w:bidi="ar-SA"/>
        </w:rPr>
        <w:t>时，</w:t>
      </w:r>
      <w:r>
        <w:rPr>
          <w:rFonts w:hint="eastAsia" w:ascii="Times New Roman" w:hAnsi="Times New Roman" w:eastAsia="宋体"/>
          <w:highlight w:val="none"/>
        </w:rPr>
        <w:t>可划分为中污染水平；</w:t>
      </w:r>
      <m:oMath>
        <m:sSub>
          <m:sSubPr>
            <m:ctrlPr>
              <w:rPr>
                <w:rFonts w:ascii="Cambria Math" w:hAnsi="Cambria Math"/>
                <w:i/>
                <w:highlight w:val="none"/>
              </w:rPr>
            </m:ctrlPr>
          </m:sSubPr>
          <m:e>
            <m:r>
              <m:rPr/>
              <w:rPr>
                <w:rFonts w:hint="default" w:ascii="Cambria Math" w:hAnsi="Cambria Math"/>
                <w:highlight w:val="none"/>
                <w:lang w:val="en-US" w:eastAsia="zh-CN"/>
              </w:rPr>
              <m:t>P</m:t>
            </m:r>
            <m:ctrlPr>
              <w:rPr>
                <w:rFonts w:ascii="Cambria Math" w:hAnsi="Cambria Math"/>
                <w:i/>
                <w:highlight w:val="none"/>
              </w:rPr>
            </m:ctrlPr>
          </m:e>
          <m:sub>
            <m:r>
              <m:rPr/>
              <w:rPr>
                <w:rFonts w:hint="default" w:ascii="Cambria Math" w:hAnsi="Cambria Math"/>
                <w:highlight w:val="none"/>
                <w:lang w:val="en-US" w:eastAsia="zh-CN"/>
              </w:rPr>
              <m:t>N</m:t>
            </m:r>
            <m:ctrlPr>
              <w:rPr>
                <w:rFonts w:ascii="Cambria Math" w:hAnsi="Cambria Math"/>
                <w:i/>
                <w:highlight w:val="none"/>
              </w:rPr>
            </m:ctrlPr>
          </m:sub>
        </m:sSub>
        <m:r>
          <m:rPr/>
          <w:rPr>
            <w:rFonts w:hint="default" w:ascii="Cambria Math" w:hAnsi="Cambria Math" w:cs="Cambria Math"/>
            <w:highlight w:val="none"/>
          </w:rPr>
          <m:t>&gt;</m:t>
        </m:r>
        <m:r>
          <m:rPr/>
          <w:rPr>
            <w:rFonts w:hint="default" w:ascii="Cambria Math" w:hAnsi="Cambria Math"/>
            <w:highlight w:val="none"/>
            <w:lang w:val="en-US" w:eastAsia="zh-CN"/>
          </w:rPr>
          <m:t>3</m:t>
        </m:r>
      </m:oMath>
      <w:r>
        <w:rPr>
          <w:rFonts w:hint="eastAsia" w:ascii="Times New Roman" w:hAnsi="Times New Roman" w:eastAsia="宋体"/>
          <w:highlight w:val="none"/>
        </w:rPr>
        <w:t>时，可划分为高污染水平。</w:t>
      </w:r>
      <w:r>
        <w:rPr>
          <w:rFonts w:hint="eastAsia" w:ascii="Times New Roman" w:eastAsia="宋体"/>
          <w:highlight w:val="none"/>
          <w:lang w:val="en-US" w:eastAsia="zh-CN"/>
        </w:rPr>
        <w:t>采用内梅罗综合污染指数判定污染程度时，应结合场地实际进行综合研判，对于砷、铍、铬（六价）等毒性较强的污染物，即使综合指数未达高污染水平，仍应优先关注其单项指数及其健康风险，在修复技术选择时从严要求。</w:t>
      </w:r>
    </w:p>
    <w:p w14:paraId="63E4AF1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highlight w:val="none"/>
        </w:rPr>
      </w:pPr>
      <w:r>
        <w:rPr>
          <w:rFonts w:hint="eastAsia" w:ascii="Times New Roman" w:eastAsia="宋体"/>
          <w:highlight w:val="none"/>
          <w:lang w:val="en-US" w:eastAsia="zh-CN"/>
        </w:rPr>
        <w:t>单因子污染指数（</w:t>
      </w:r>
      <m:oMath>
        <m:sSub>
          <m:sSubPr>
            <m:ctrlPr>
              <w:rPr>
                <w:rFonts w:ascii="Cambria Math" w:hAnsi="Cambria Math"/>
                <w:i/>
                <w:highlight w:val="none"/>
                <w:lang w:val="en-US"/>
              </w:rPr>
            </m:ctrlPr>
          </m:sSubPr>
          <m:e>
            <m:r>
              <m:rPr/>
              <w:rPr>
                <w:rFonts w:hint="default" w:ascii="Cambria Math" w:hAnsi="Cambria Math"/>
                <w:highlight w:val="none"/>
                <w:lang w:val="en-US" w:eastAsia="zh-CN"/>
              </w:rPr>
              <m:t>P</m:t>
            </m:r>
            <m:ctrlPr>
              <w:rPr>
                <w:rFonts w:ascii="Cambria Math" w:hAnsi="Cambria Math"/>
                <w:i/>
                <w:highlight w:val="none"/>
                <w:lang w:val="en-US"/>
              </w:rPr>
            </m:ctrlPr>
          </m:e>
          <m:sub>
            <m:r>
              <m:rPr/>
              <w:rPr>
                <w:rFonts w:hint="default" w:ascii="Cambria Math" w:hAnsi="Cambria Math"/>
                <w:highlight w:val="none"/>
                <w:lang w:val="en-US" w:eastAsia="zh-CN"/>
              </w:rPr>
              <m:t>i</m:t>
            </m:r>
            <m:ctrlPr>
              <w:rPr>
                <w:rFonts w:ascii="Cambria Math" w:hAnsi="Cambria Math"/>
                <w:i/>
                <w:highlight w:val="none"/>
                <w:lang w:val="en-US"/>
              </w:rPr>
            </m:ctrlPr>
          </m:sub>
        </m:sSub>
      </m:oMath>
      <w:r>
        <w:rPr>
          <w:rFonts w:hint="eastAsia" w:ascii="Times New Roman" w:eastAsia="宋体"/>
          <w:highlight w:val="none"/>
          <w:lang w:val="en-US" w:eastAsia="zh-CN"/>
        </w:rPr>
        <w:t>）按按式（1）计算：</w:t>
      </w:r>
    </w:p>
    <w:p w14:paraId="7F7C8D94">
      <w:pPr>
        <w:pStyle w:val="31"/>
        <w:keepNext w:val="0"/>
        <w:keepLines w:val="0"/>
        <w:pageBreakBefore w:val="0"/>
        <w:widowControl/>
        <w:tabs>
          <w:tab w:val="center" w:pos="4620"/>
          <w:tab w:val="right" w:pos="9240"/>
        </w:tabs>
        <w:kinsoku/>
        <w:wordWrap/>
        <w:overflowPunct/>
        <w:topLinePunct w:val="0"/>
        <w:autoSpaceDE w:val="0"/>
        <w:autoSpaceDN w:val="0"/>
        <w:bidi w:val="0"/>
        <w:adjustRightInd/>
        <w:snapToGrid/>
        <w:textAlignment w:val="auto"/>
        <w:rPr>
          <w:rFonts w:hint="eastAsia" w:hAnsi="Cambria Math"/>
          <w:i w:val="0"/>
          <w:lang w:val="en-US" w:eastAsia="zh-CN"/>
        </w:rPr>
      </w:pPr>
      <w:r>
        <w:rPr>
          <w:rFonts w:hint="eastAsia" w:hAnsi="Cambria Math"/>
          <w:i w:val="0"/>
          <w:lang w:val="en-US" w:eastAsia="zh-CN"/>
        </w:rPr>
        <w:tab/>
      </w:r>
      <m:oMath>
        <m:sSub>
          <m:sSubPr>
            <m:ctrlPr>
              <w:rPr>
                <w:rFonts w:ascii="Cambria Math" w:hAnsi="Cambria Math"/>
                <w:i/>
                <w:sz w:val="24"/>
                <w:szCs w:val="22"/>
              </w:rPr>
            </m:ctrlPr>
          </m:sSubPr>
          <m:e>
            <m:r>
              <m:rPr/>
              <w:rPr>
                <w:rFonts w:hint="default" w:ascii="Cambria Math" w:hAnsi="Cambria Math"/>
                <w:sz w:val="24"/>
                <w:szCs w:val="22"/>
                <w:lang w:val="en-US" w:eastAsia="zh-CN"/>
              </w:rPr>
              <m:t>P</m:t>
            </m:r>
            <m:ctrlPr>
              <w:rPr>
                <w:rFonts w:ascii="Cambria Math" w:hAnsi="Cambria Math"/>
                <w:i/>
                <w:sz w:val="24"/>
                <w:szCs w:val="22"/>
              </w:rPr>
            </m:ctrlPr>
          </m:e>
          <m:sub>
            <m:r>
              <m:rPr/>
              <w:rPr>
                <w:rFonts w:hint="default" w:ascii="Cambria Math" w:hAnsi="Cambria Math"/>
                <w:sz w:val="24"/>
                <w:szCs w:val="22"/>
                <w:lang w:val="en-US" w:eastAsia="zh-CN"/>
              </w:rPr>
              <m:t>i</m:t>
            </m:r>
            <m:ctrlPr>
              <w:rPr>
                <w:rFonts w:ascii="Cambria Math" w:hAnsi="Cambria Math"/>
                <w:i/>
                <w:sz w:val="24"/>
                <w:szCs w:val="22"/>
              </w:rPr>
            </m:ctrlPr>
          </m:sub>
        </m:sSub>
        <m:r>
          <m:rPr/>
          <w:rPr>
            <w:rFonts w:hint="default" w:ascii="Cambria Math" w:hAnsi="Cambria Math"/>
            <w:sz w:val="24"/>
            <w:szCs w:val="22"/>
            <w:lang w:val="en-US" w:eastAsia="zh-CN"/>
          </w:rPr>
          <m:t>=</m:t>
        </m:r>
        <m:f>
          <m:fPr>
            <m:ctrlPr>
              <w:rPr>
                <w:rFonts w:hint="default" w:ascii="Cambria Math" w:hAnsi="Cambria Math"/>
                <w:i/>
                <w:sz w:val="24"/>
                <w:szCs w:val="22"/>
                <w:lang w:val="en-US" w:eastAsia="zh-CN"/>
              </w:rPr>
            </m:ctrlPr>
          </m:fPr>
          <m:num>
            <m:sSub>
              <m:sSubPr>
                <m:ctrlPr>
                  <w:rPr>
                    <w:rFonts w:hint="default" w:ascii="Cambria Math" w:hAnsi="Cambria Math"/>
                    <w:i/>
                    <w:sz w:val="24"/>
                    <w:szCs w:val="22"/>
                    <w:lang w:val="en-US" w:eastAsia="zh-CN"/>
                  </w:rPr>
                </m:ctrlPr>
              </m:sSubPr>
              <m:e>
                <m:r>
                  <m:rPr/>
                  <w:rPr>
                    <w:rFonts w:hint="default" w:ascii="Cambria Math" w:hAnsi="Cambria Math"/>
                    <w:sz w:val="24"/>
                    <w:szCs w:val="22"/>
                    <w:lang w:val="en-US" w:eastAsia="zh-CN"/>
                  </w:rPr>
                  <m:t>C</m:t>
                </m:r>
                <m:ctrlPr>
                  <w:rPr>
                    <w:rFonts w:hint="default" w:ascii="Cambria Math" w:hAnsi="Cambria Math"/>
                    <w:i/>
                    <w:sz w:val="24"/>
                    <w:szCs w:val="22"/>
                    <w:lang w:val="en-US" w:eastAsia="zh-CN"/>
                  </w:rPr>
                </m:ctrlPr>
              </m:e>
              <m:sub>
                <m:r>
                  <m:rPr/>
                  <w:rPr>
                    <w:rFonts w:hint="default" w:ascii="Cambria Math" w:hAnsi="Cambria Math"/>
                    <w:sz w:val="24"/>
                    <w:szCs w:val="22"/>
                    <w:lang w:val="en-US" w:eastAsia="zh-CN"/>
                  </w:rPr>
                  <m:t>i</m:t>
                </m:r>
                <m:ctrlPr>
                  <w:rPr>
                    <w:rFonts w:hint="default" w:ascii="Cambria Math" w:hAnsi="Cambria Math"/>
                    <w:i/>
                    <w:sz w:val="24"/>
                    <w:szCs w:val="22"/>
                    <w:lang w:val="en-US" w:eastAsia="zh-CN"/>
                  </w:rPr>
                </m:ctrlPr>
              </m:sub>
            </m:sSub>
            <m:ctrlPr>
              <w:rPr>
                <w:rFonts w:hint="default" w:ascii="Cambria Math" w:hAnsi="Cambria Math"/>
                <w:i/>
                <w:sz w:val="24"/>
                <w:szCs w:val="22"/>
                <w:lang w:val="en-US" w:eastAsia="zh-CN"/>
              </w:rPr>
            </m:ctrlPr>
          </m:num>
          <m:den>
            <m:sSub>
              <m:sSubPr>
                <m:ctrlPr>
                  <w:rPr>
                    <w:rFonts w:hint="default" w:ascii="Cambria Math" w:hAnsi="Cambria Math"/>
                    <w:i/>
                    <w:sz w:val="24"/>
                    <w:szCs w:val="22"/>
                    <w:lang w:val="en-US" w:eastAsia="zh-CN"/>
                  </w:rPr>
                </m:ctrlPr>
              </m:sSubPr>
              <m:e>
                <m:r>
                  <m:rPr/>
                  <w:rPr>
                    <w:rFonts w:hint="default" w:ascii="Cambria Math" w:hAnsi="Cambria Math"/>
                    <w:sz w:val="24"/>
                    <w:szCs w:val="22"/>
                    <w:lang w:val="en-US" w:eastAsia="zh-CN"/>
                  </w:rPr>
                  <m:t>S</m:t>
                </m:r>
                <m:ctrlPr>
                  <w:rPr>
                    <w:rFonts w:hint="default" w:ascii="Cambria Math" w:hAnsi="Cambria Math"/>
                    <w:i/>
                    <w:sz w:val="24"/>
                    <w:szCs w:val="22"/>
                    <w:lang w:val="en-US" w:eastAsia="zh-CN"/>
                  </w:rPr>
                </m:ctrlPr>
              </m:e>
              <m:sub>
                <m:r>
                  <m:rPr/>
                  <w:rPr>
                    <w:rFonts w:hint="default" w:ascii="Cambria Math" w:hAnsi="Cambria Math"/>
                    <w:sz w:val="24"/>
                    <w:szCs w:val="22"/>
                    <w:lang w:val="en-US" w:eastAsia="zh-CN"/>
                  </w:rPr>
                  <m:t>i</m:t>
                </m:r>
                <m:ctrlPr>
                  <w:rPr>
                    <w:rFonts w:hint="default" w:ascii="Cambria Math" w:hAnsi="Cambria Math"/>
                    <w:i/>
                    <w:sz w:val="24"/>
                    <w:szCs w:val="22"/>
                    <w:lang w:val="en-US" w:eastAsia="zh-CN"/>
                  </w:rPr>
                </m:ctrlPr>
              </m:sub>
            </m:sSub>
            <m:ctrlPr>
              <w:rPr>
                <w:rFonts w:hint="default" w:ascii="Cambria Math" w:hAnsi="Cambria Math"/>
                <w:i/>
                <w:sz w:val="24"/>
                <w:szCs w:val="22"/>
                <w:lang w:val="en-US" w:eastAsia="zh-CN"/>
              </w:rPr>
            </m:ctrlPr>
          </m:den>
        </m:f>
      </m:oMath>
      <w:r>
        <w:rPr>
          <w:rFonts w:hint="eastAsia" w:hAnsi="Cambria Math"/>
          <w:i w:val="0"/>
          <w:sz w:val="24"/>
          <w:szCs w:val="22"/>
          <w:lang w:val="en-US" w:eastAsia="zh-CN"/>
        </w:rPr>
        <w:t xml:space="preserve"> </w:t>
      </w:r>
      <w:r>
        <w:rPr>
          <w:rFonts w:hint="eastAsia" w:hAnsi="Cambria Math"/>
          <w:i w:val="0"/>
          <w:lang w:val="en-US" w:eastAsia="zh-CN"/>
        </w:rPr>
        <w:tab/>
      </w:r>
      <w:r>
        <w:rPr>
          <w:rFonts w:hint="default" w:ascii="Times New Roman" w:hAnsi="Times New Roman" w:cs="Times New Roman"/>
          <w:i w:val="0"/>
          <w:lang w:val="en-US" w:eastAsia="zh-CN"/>
        </w:rPr>
        <w:t>(1)</w:t>
      </w:r>
    </w:p>
    <w:p w14:paraId="7C552657">
      <w:pPr>
        <w:pStyle w:val="31"/>
        <w:keepNext w:val="0"/>
        <w:keepLines w:val="0"/>
        <w:pageBreakBefore w:val="0"/>
        <w:widowControl/>
        <w:tabs>
          <w:tab w:val="center" w:pos="4620"/>
          <w:tab w:val="right" w:pos="9240"/>
        </w:tabs>
        <w:kinsoku/>
        <w:wordWrap/>
        <w:overflowPunct/>
        <w:topLinePunct w:val="0"/>
        <w:autoSpaceDE w:val="0"/>
        <w:autoSpaceDN w:val="0"/>
        <w:bidi w:val="0"/>
        <w:adjustRightInd/>
        <w:snapToGrid/>
        <w:textAlignment w:val="auto"/>
        <w:rPr>
          <w:rFonts w:hint="default" w:hAnsi="Cambria Math"/>
          <w:i w:val="0"/>
          <w:lang w:val="en-US" w:eastAsia="zh-CN"/>
        </w:rPr>
      </w:pPr>
      <w:r>
        <w:rPr>
          <w:rFonts w:hint="default" w:hAnsi="Cambria Math"/>
          <w:i w:val="0"/>
          <w:lang w:val="en-US" w:eastAsia="zh-CN"/>
        </w:rPr>
        <w:t>式中</w:t>
      </w:r>
      <w:r>
        <w:rPr>
          <w:rFonts w:hint="eastAsia" w:hAnsi="Cambria Math"/>
          <w:i w:val="0"/>
          <w:lang w:val="en-US" w:eastAsia="zh-CN"/>
        </w:rPr>
        <w:t>,</w:t>
      </w:r>
      <m:oMath>
        <m:sSub>
          <m:sSubPr>
            <m:ctrlPr>
              <w:rPr>
                <w:rFonts w:ascii="Cambria Math" w:hAnsi="Cambria Math"/>
                <w:i/>
                <w:sz w:val="24"/>
                <w:szCs w:val="22"/>
              </w:rPr>
            </m:ctrlPr>
          </m:sSubPr>
          <m:e>
            <m:r>
              <m:rPr/>
              <w:rPr>
                <w:rFonts w:hint="default" w:ascii="Cambria Math" w:hAnsi="Cambria Math"/>
                <w:sz w:val="24"/>
                <w:szCs w:val="22"/>
                <w:lang w:val="en-US" w:eastAsia="zh-CN"/>
              </w:rPr>
              <m:t>P</m:t>
            </m:r>
            <m:ctrlPr>
              <w:rPr>
                <w:rFonts w:ascii="Cambria Math" w:hAnsi="Cambria Math"/>
                <w:i/>
                <w:sz w:val="24"/>
                <w:szCs w:val="22"/>
              </w:rPr>
            </m:ctrlPr>
          </m:e>
          <m:sub>
            <m:r>
              <m:rPr/>
              <w:rPr>
                <w:rFonts w:hint="default" w:ascii="Cambria Math" w:hAnsi="Cambria Math"/>
                <w:sz w:val="24"/>
                <w:szCs w:val="22"/>
                <w:lang w:val="en-US" w:eastAsia="zh-CN"/>
              </w:rPr>
              <m:t>i</m:t>
            </m:r>
            <m:ctrlPr>
              <w:rPr>
                <w:rFonts w:ascii="Cambria Math" w:hAnsi="Cambria Math"/>
                <w:i/>
                <w:sz w:val="24"/>
                <w:szCs w:val="22"/>
              </w:rPr>
            </m:ctrlPr>
          </m:sub>
        </m:sSub>
      </m:oMath>
      <w:r>
        <w:rPr>
          <w:rFonts w:hint="eastAsia" w:hAnsi="Cambria Math"/>
          <w:i w:val="0"/>
          <w:sz w:val="24"/>
          <w:szCs w:val="22"/>
          <w:lang w:val="en-US" w:eastAsia="zh-CN"/>
        </w:rPr>
        <w:t>为</w:t>
      </w:r>
      <w:r>
        <w:rPr>
          <w:rFonts w:hint="default" w:hAnsi="Cambria Math"/>
          <w:i w:val="0"/>
          <w:lang w:val="en-US" w:eastAsia="zh-CN"/>
        </w:rPr>
        <w:t>第</w:t>
      </w:r>
      <m:oMath>
        <m:r>
          <m:rPr/>
          <w:rPr>
            <w:rFonts w:hint="default" w:ascii="Cambria Math" w:hAnsi="Cambria Math" w:cs="Times New Roman"/>
            <w:sz w:val="21"/>
            <w:lang w:val="en-US" w:eastAsia="zh-CN" w:bidi="ar-SA"/>
          </w:rPr>
          <m:t>i</m:t>
        </m:r>
      </m:oMath>
      <w:r>
        <w:rPr>
          <w:rFonts w:hint="default" w:hAnsi="Cambria Math"/>
          <w:i w:val="0"/>
          <w:lang w:val="en-US" w:eastAsia="zh-CN"/>
        </w:rPr>
        <w:t>项污染物的单因子污染指数；</w:t>
      </w:r>
      <m:oMath>
        <m:sSub>
          <m:sSubPr>
            <m:ctrlPr>
              <w:rPr>
                <w:rFonts w:ascii="Cambria Math" w:hAnsi="Cambria Math"/>
                <w:i/>
                <w:sz w:val="24"/>
                <w:szCs w:val="22"/>
              </w:rPr>
            </m:ctrlPr>
          </m:sSubPr>
          <m:e>
            <m:r>
              <m:rPr/>
              <w:rPr>
                <w:rFonts w:hint="default" w:ascii="Cambria Math" w:hAnsi="Cambria Math"/>
                <w:sz w:val="24"/>
                <w:szCs w:val="22"/>
                <w:lang w:val="en-US" w:eastAsia="zh-CN"/>
              </w:rPr>
              <m:t>C</m:t>
            </m:r>
            <m:ctrlPr>
              <w:rPr>
                <w:rFonts w:ascii="Cambria Math" w:hAnsi="Cambria Math"/>
                <w:i/>
                <w:sz w:val="24"/>
                <w:szCs w:val="22"/>
              </w:rPr>
            </m:ctrlPr>
          </m:e>
          <m:sub>
            <m:r>
              <m:rPr/>
              <w:rPr>
                <w:rFonts w:hint="default" w:ascii="Cambria Math" w:hAnsi="Cambria Math"/>
                <w:sz w:val="24"/>
                <w:szCs w:val="22"/>
                <w:lang w:val="en-US" w:eastAsia="zh-CN"/>
              </w:rPr>
              <m:t>i</m:t>
            </m:r>
            <m:ctrlPr>
              <w:rPr>
                <w:rFonts w:ascii="Cambria Math" w:hAnsi="Cambria Math"/>
                <w:i/>
                <w:sz w:val="24"/>
                <w:szCs w:val="22"/>
              </w:rPr>
            </m:ctrlPr>
          </m:sub>
        </m:sSub>
      </m:oMath>
      <w:r>
        <w:rPr>
          <w:rFonts w:hint="eastAsia" w:hAnsi="Cambria Math"/>
          <w:i w:val="0"/>
          <w:lang w:val="en-US" w:eastAsia="zh-CN"/>
        </w:rPr>
        <w:t>为</w:t>
      </w:r>
      <w:r>
        <w:rPr>
          <w:rFonts w:hint="default" w:hAnsi="Cambria Math"/>
          <w:i w:val="0"/>
          <w:lang w:val="en-US" w:eastAsia="zh-CN"/>
        </w:rPr>
        <w:t>土壤中第</w:t>
      </w:r>
      <m:oMath>
        <m:r>
          <m:rPr/>
          <w:rPr>
            <w:rFonts w:hint="default" w:ascii="Cambria Math" w:hAnsi="Cambria Math" w:cs="Times New Roman"/>
            <w:sz w:val="21"/>
            <w:lang w:val="en-US" w:eastAsia="zh-CN" w:bidi="ar-SA"/>
          </w:rPr>
          <m:t>i</m:t>
        </m:r>
      </m:oMath>
      <w:r>
        <w:rPr>
          <w:rFonts w:hint="default" w:hAnsi="Cambria Math"/>
          <w:i w:val="0"/>
          <w:lang w:val="en-US" w:eastAsia="zh-CN"/>
        </w:rPr>
        <w:t>项污染物的实测浓度，单位为毫克每千克（</w:t>
      </w:r>
      <w:r>
        <w:rPr>
          <w:rFonts w:hint="default" w:ascii="Times New Roman" w:hAnsi="Times New Roman" w:cs="Times New Roman"/>
          <w:i w:val="0"/>
          <w:lang w:val="en-US" w:eastAsia="zh-CN"/>
        </w:rPr>
        <w:t>mg/kg</w:t>
      </w:r>
      <w:r>
        <w:rPr>
          <w:rFonts w:hint="default" w:hAnsi="Cambria Math"/>
          <w:i w:val="0"/>
          <w:lang w:val="en-US" w:eastAsia="zh-CN"/>
        </w:rPr>
        <w:t>）；</w:t>
      </w:r>
      <m:oMath>
        <m:sSub>
          <m:sSubPr>
            <m:ctrlPr>
              <w:rPr>
                <w:rFonts w:ascii="Cambria Math" w:hAnsi="Cambria Math"/>
                <w:i/>
                <w:sz w:val="24"/>
                <w:szCs w:val="22"/>
              </w:rPr>
            </m:ctrlPr>
          </m:sSubPr>
          <m:e>
            <m:r>
              <m:rPr/>
              <w:rPr>
                <w:rFonts w:hint="default" w:ascii="Cambria Math" w:hAnsi="Cambria Math"/>
                <w:sz w:val="24"/>
                <w:szCs w:val="22"/>
                <w:lang w:val="en-US" w:eastAsia="zh-CN"/>
              </w:rPr>
              <m:t>S</m:t>
            </m:r>
            <m:ctrlPr>
              <w:rPr>
                <w:rFonts w:ascii="Cambria Math" w:hAnsi="Cambria Math"/>
                <w:i/>
                <w:sz w:val="24"/>
                <w:szCs w:val="22"/>
              </w:rPr>
            </m:ctrlPr>
          </m:e>
          <m:sub>
            <m:r>
              <m:rPr/>
              <w:rPr>
                <w:rFonts w:hint="default" w:ascii="Cambria Math" w:hAnsi="Cambria Math"/>
                <w:sz w:val="24"/>
                <w:szCs w:val="22"/>
                <w:lang w:val="en-US" w:eastAsia="zh-CN"/>
              </w:rPr>
              <m:t>i</m:t>
            </m:r>
            <m:ctrlPr>
              <w:rPr>
                <w:rFonts w:ascii="Cambria Math" w:hAnsi="Cambria Math"/>
                <w:i/>
                <w:sz w:val="24"/>
                <w:szCs w:val="22"/>
              </w:rPr>
            </m:ctrlPr>
          </m:sub>
        </m:sSub>
      </m:oMath>
      <w:r>
        <w:rPr>
          <w:rFonts w:hint="default" w:hAnsi="Cambria Math"/>
          <w:i w:val="0"/>
          <w:lang w:val="en-US" w:eastAsia="zh-CN"/>
        </w:rPr>
        <w:t>第</w:t>
      </w:r>
      <m:oMath>
        <m:r>
          <m:rPr/>
          <w:rPr>
            <w:rFonts w:hint="default" w:ascii="Cambria Math" w:hAnsi="Cambria Math" w:cs="Times New Roman"/>
            <w:sz w:val="21"/>
            <w:lang w:val="en-US" w:eastAsia="zh-CN" w:bidi="ar-SA"/>
          </w:rPr>
          <m:t>i</m:t>
        </m:r>
      </m:oMath>
      <w:r>
        <w:rPr>
          <w:rFonts w:hint="default" w:hAnsi="Cambria Math"/>
          <w:i w:val="0"/>
          <w:lang w:val="en-US" w:eastAsia="zh-CN"/>
        </w:rPr>
        <w:t>项污染物的评价标准值，依据《土壤环境质量 建设用地土壤污染风险管控标准（试行）》（</w:t>
      </w:r>
      <w:r>
        <w:rPr>
          <w:rFonts w:hint="default" w:ascii="Times New Roman" w:hAnsi="Times New Roman" w:cs="Times New Roman"/>
          <w:i w:val="0"/>
          <w:lang w:val="en-US" w:eastAsia="zh-CN"/>
        </w:rPr>
        <w:t>GB 36600</w:t>
      </w:r>
      <w:r>
        <w:rPr>
          <w:rFonts w:hint="default" w:hAnsi="Cambria Math"/>
          <w:i w:val="0"/>
          <w:lang w:val="en-US" w:eastAsia="zh-CN"/>
        </w:rPr>
        <w:t>）中对应用地类型的筛选值确定。</w:t>
      </w:r>
    </w:p>
    <w:p w14:paraId="10B9604D">
      <w:pPr>
        <w:pStyle w:val="31"/>
        <w:keepNext w:val="0"/>
        <w:keepLines w:val="0"/>
        <w:pageBreakBefore w:val="0"/>
        <w:widowControl/>
        <w:tabs>
          <w:tab w:val="center" w:pos="4620"/>
          <w:tab w:val="right" w:pos="9240"/>
        </w:tabs>
        <w:kinsoku/>
        <w:wordWrap/>
        <w:overflowPunct/>
        <w:topLinePunct w:val="0"/>
        <w:autoSpaceDE w:val="0"/>
        <w:autoSpaceDN w:val="0"/>
        <w:bidi w:val="0"/>
        <w:adjustRightInd/>
        <w:snapToGrid/>
        <w:textAlignment w:val="auto"/>
        <w:rPr>
          <w:rFonts w:hint="eastAsia" w:hAnsi="Cambria Math"/>
          <w:i w:val="0"/>
          <w:lang w:val="en-US" w:eastAsia="zh-CN"/>
        </w:rPr>
      </w:pPr>
      <w:r>
        <w:rPr>
          <w:rFonts w:hint="default" w:hAnsi="Cambria Math"/>
          <w:i w:val="0"/>
          <w:lang w:val="en-US" w:eastAsia="zh-CN"/>
        </w:rPr>
        <w:t>内梅罗综合污染指数（</w:t>
      </w:r>
      <m:oMath>
        <m:sSub>
          <m:sSubPr>
            <m:ctrlPr>
              <w:rPr>
                <w:rFonts w:ascii="Cambria Math" w:hAnsi="Cambria Math"/>
                <w:i/>
                <w:lang w:val="en-US"/>
              </w:rPr>
            </m:ctrlPr>
          </m:sSubPr>
          <m:e>
            <m:r>
              <m:rPr/>
              <w:rPr>
                <w:rFonts w:hint="default" w:ascii="Cambria Math" w:hAnsi="Cambria Math"/>
                <w:lang w:val="en-US" w:eastAsia="zh-CN"/>
              </w:rPr>
              <m:t>P</m:t>
            </m:r>
            <m:ctrlPr>
              <w:rPr>
                <w:rFonts w:ascii="Cambria Math" w:hAnsi="Cambria Math"/>
                <w:i/>
                <w:lang w:val="en-US"/>
              </w:rPr>
            </m:ctrlPr>
          </m:e>
          <m:sub>
            <m:r>
              <m:rPr/>
              <w:rPr>
                <w:rFonts w:hint="default" w:ascii="Cambria Math" w:hAnsi="Cambria Math"/>
                <w:lang w:val="en-US" w:eastAsia="zh-CN"/>
              </w:rPr>
              <m:t>N</m:t>
            </m:r>
            <m:ctrlPr>
              <w:rPr>
                <w:rFonts w:ascii="Cambria Math" w:hAnsi="Cambria Math"/>
                <w:i/>
                <w:lang w:val="en-US"/>
              </w:rPr>
            </m:ctrlPr>
          </m:sub>
        </m:sSub>
      </m:oMath>
      <w:r>
        <w:rPr>
          <w:rFonts w:hint="default" w:hAnsi="Cambria Math"/>
          <w:i w:val="0"/>
          <w:lang w:val="en-US" w:eastAsia="zh-CN"/>
        </w:rPr>
        <w:t>）按式（</w:t>
      </w:r>
      <w:r>
        <w:rPr>
          <w:rFonts w:hint="default" w:ascii="Times New Roman" w:hAnsi="Times New Roman" w:cs="Times New Roman"/>
          <w:i w:val="0"/>
          <w:lang w:val="en-US" w:eastAsia="zh-CN"/>
        </w:rPr>
        <w:t>2</w:t>
      </w:r>
      <w:r>
        <w:rPr>
          <w:rFonts w:hint="default" w:hAnsi="Cambria Math"/>
          <w:i w:val="0"/>
          <w:lang w:val="en-US" w:eastAsia="zh-CN"/>
        </w:rPr>
        <w:t>）计算</w:t>
      </w:r>
      <w:r>
        <w:rPr>
          <w:rFonts w:hint="eastAsia" w:hAnsi="Cambria Math"/>
          <w:i w:val="0"/>
          <w:lang w:val="en-US" w:eastAsia="zh-CN"/>
        </w:rPr>
        <w:t>：</w:t>
      </w:r>
    </w:p>
    <w:p w14:paraId="569E3881">
      <w:pPr>
        <w:pStyle w:val="31"/>
        <w:keepNext w:val="0"/>
        <w:keepLines w:val="0"/>
        <w:pageBreakBefore w:val="0"/>
        <w:widowControl/>
        <w:tabs>
          <w:tab w:val="center" w:pos="4620"/>
          <w:tab w:val="right" w:pos="9240"/>
        </w:tabs>
        <w:kinsoku/>
        <w:wordWrap/>
        <w:overflowPunct/>
        <w:topLinePunct w:val="0"/>
        <w:autoSpaceDE w:val="0"/>
        <w:autoSpaceDN w:val="0"/>
        <w:bidi w:val="0"/>
        <w:adjustRightInd/>
        <w:snapToGrid/>
        <w:textAlignment w:val="auto"/>
        <w:rPr>
          <w:rFonts w:hint="eastAsia" w:hAnsi="Cambria Math"/>
          <w:i w:val="0"/>
          <w:lang w:val="en-US" w:eastAsia="zh-CN"/>
        </w:rPr>
      </w:pPr>
      <w:r>
        <w:rPr>
          <w:rFonts w:hint="eastAsia" w:hAnsi="Cambria Math"/>
          <w:i w:val="0"/>
          <w:lang w:val="en-US" w:eastAsia="zh-CN"/>
        </w:rPr>
        <w:tab/>
      </w:r>
      <m:oMath>
        <m:sSub>
          <m:sSubPr>
            <m:ctrlPr>
              <w:rPr>
                <w:rFonts w:ascii="Cambria Math" w:hAnsi="Cambria Math"/>
                <w:i/>
                <w:sz w:val="24"/>
                <w:szCs w:val="22"/>
                <w:lang w:val="en-US"/>
              </w:rPr>
            </m:ctrlPr>
          </m:sSubPr>
          <m:e>
            <m:r>
              <m:rPr/>
              <w:rPr>
                <w:rFonts w:hint="default" w:ascii="Cambria Math" w:hAnsi="Cambria Math"/>
                <w:sz w:val="24"/>
                <w:szCs w:val="22"/>
                <w:lang w:val="en-US" w:eastAsia="zh-CN"/>
              </w:rPr>
              <m:t>P</m:t>
            </m:r>
            <m:ctrlPr>
              <w:rPr>
                <w:rFonts w:ascii="Cambria Math" w:hAnsi="Cambria Math"/>
                <w:i/>
                <w:sz w:val="24"/>
                <w:szCs w:val="22"/>
                <w:lang w:val="en-US"/>
              </w:rPr>
            </m:ctrlPr>
          </m:e>
          <m:sub>
            <m:r>
              <m:rPr/>
              <w:rPr>
                <w:rFonts w:hint="default" w:ascii="Cambria Math" w:hAnsi="Cambria Math"/>
                <w:sz w:val="24"/>
                <w:szCs w:val="22"/>
                <w:lang w:val="en-US" w:eastAsia="zh-CN"/>
              </w:rPr>
              <m:t>N</m:t>
            </m:r>
            <m:ctrlPr>
              <w:rPr>
                <w:rFonts w:ascii="Cambria Math" w:hAnsi="Cambria Math"/>
                <w:i/>
                <w:sz w:val="24"/>
                <w:szCs w:val="22"/>
                <w:lang w:val="en-US"/>
              </w:rPr>
            </m:ctrlPr>
          </m:sub>
        </m:sSub>
        <m:r>
          <m:rPr/>
          <w:rPr>
            <w:rFonts w:hint="default" w:ascii="Cambria Math" w:hAnsi="Cambria Math"/>
            <w:sz w:val="24"/>
            <w:szCs w:val="22"/>
            <w:lang w:val="en-US" w:eastAsia="zh-CN"/>
          </w:rPr>
          <m:t>=</m:t>
        </m:r>
        <m:rad>
          <m:radPr>
            <m:degHide m:val="1"/>
            <m:ctrlPr>
              <w:rPr>
                <w:rFonts w:hint="default" w:ascii="Cambria Math" w:hAnsi="Cambria Math"/>
                <w:i/>
                <w:sz w:val="24"/>
                <w:szCs w:val="22"/>
                <w:lang w:val="en-US" w:eastAsia="zh-CN"/>
              </w:rPr>
            </m:ctrlPr>
          </m:radPr>
          <m:deg>
            <m:ctrlPr>
              <w:rPr>
                <w:rFonts w:hint="default" w:ascii="Cambria Math" w:hAnsi="Cambria Math"/>
                <w:i/>
                <w:sz w:val="24"/>
                <w:szCs w:val="22"/>
                <w:lang w:val="en-US" w:eastAsia="zh-CN"/>
              </w:rPr>
            </m:ctrlPr>
          </m:deg>
          <m:e>
            <m:f>
              <m:fPr>
                <m:ctrlPr>
                  <w:rPr>
                    <w:rFonts w:hint="default" w:ascii="Cambria Math" w:hAnsi="Cambria Math"/>
                    <w:i/>
                    <w:sz w:val="24"/>
                    <w:szCs w:val="22"/>
                    <w:lang w:val="en-US" w:eastAsia="zh-CN"/>
                  </w:rPr>
                </m:ctrlPr>
              </m:fPr>
              <m:num>
                <m:sSubSup>
                  <m:sSubSupPr>
                    <m:ctrlPr>
                      <w:rPr>
                        <w:rFonts w:hint="default" w:ascii="Cambria Math" w:hAnsi="Cambria Math"/>
                        <w:i/>
                        <w:sz w:val="24"/>
                        <w:szCs w:val="22"/>
                        <w:lang w:val="en-US" w:eastAsia="zh-CN"/>
                      </w:rPr>
                    </m:ctrlPr>
                  </m:sSubSupPr>
                  <m:e>
                    <m:r>
                      <m:rPr/>
                      <w:rPr>
                        <w:rFonts w:hint="default" w:ascii="Cambria Math" w:hAnsi="Cambria Math"/>
                        <w:sz w:val="24"/>
                        <w:szCs w:val="22"/>
                        <w:lang w:val="en-US" w:eastAsia="zh-CN"/>
                      </w:rPr>
                      <m:t>P</m:t>
                    </m:r>
                    <m:ctrlPr>
                      <w:rPr>
                        <w:rFonts w:hint="default" w:ascii="Cambria Math" w:hAnsi="Cambria Math"/>
                        <w:i/>
                        <w:sz w:val="24"/>
                        <w:szCs w:val="22"/>
                        <w:lang w:val="en-US" w:eastAsia="zh-CN"/>
                      </w:rPr>
                    </m:ctrlPr>
                  </m:e>
                  <m:sub>
                    <m:r>
                      <m:rPr/>
                      <w:rPr>
                        <w:rFonts w:hint="default" w:ascii="Cambria Math" w:hAnsi="Cambria Math"/>
                        <w:sz w:val="24"/>
                        <w:szCs w:val="22"/>
                        <w:lang w:val="en-US" w:eastAsia="zh-CN"/>
                      </w:rPr>
                      <m:t>avg</m:t>
                    </m:r>
                    <m:ctrlPr>
                      <w:rPr>
                        <w:rFonts w:hint="default" w:ascii="Cambria Math" w:hAnsi="Cambria Math"/>
                        <w:i/>
                        <w:sz w:val="24"/>
                        <w:szCs w:val="22"/>
                        <w:lang w:val="en-US" w:eastAsia="zh-CN"/>
                      </w:rPr>
                    </m:ctrlPr>
                  </m:sub>
                  <m:sup>
                    <m:r>
                      <m:rPr/>
                      <w:rPr>
                        <w:rFonts w:hint="default" w:ascii="Cambria Math" w:hAnsi="Cambria Math"/>
                        <w:sz w:val="24"/>
                        <w:szCs w:val="22"/>
                        <w:lang w:val="en-US" w:eastAsia="zh-CN"/>
                      </w:rPr>
                      <m:t>2</m:t>
                    </m:r>
                    <m:ctrlPr>
                      <w:rPr>
                        <w:rFonts w:hint="default" w:ascii="Cambria Math" w:hAnsi="Cambria Math"/>
                        <w:i/>
                        <w:sz w:val="24"/>
                        <w:szCs w:val="22"/>
                        <w:lang w:val="en-US" w:eastAsia="zh-CN"/>
                      </w:rPr>
                    </m:ctrlPr>
                  </m:sup>
                </m:sSubSup>
                <m:r>
                  <m:rPr/>
                  <w:rPr>
                    <w:rFonts w:hint="default" w:ascii="Cambria Math" w:hAnsi="Cambria Math"/>
                    <w:sz w:val="24"/>
                    <w:szCs w:val="22"/>
                    <w:lang w:val="en-US" w:eastAsia="zh-CN"/>
                  </w:rPr>
                  <m:t>+</m:t>
                </m:r>
                <m:sSubSup>
                  <m:sSubSupPr>
                    <m:ctrlPr>
                      <w:rPr>
                        <w:rFonts w:hint="default" w:ascii="Cambria Math" w:hAnsi="Cambria Math"/>
                        <w:i/>
                        <w:sz w:val="24"/>
                        <w:szCs w:val="22"/>
                        <w:lang w:val="en-US" w:eastAsia="zh-CN"/>
                      </w:rPr>
                    </m:ctrlPr>
                  </m:sSubSupPr>
                  <m:e>
                    <m:r>
                      <m:rPr/>
                      <w:rPr>
                        <w:rFonts w:hint="default" w:ascii="Cambria Math" w:hAnsi="Cambria Math"/>
                        <w:sz w:val="24"/>
                        <w:szCs w:val="22"/>
                        <w:lang w:val="en-US" w:eastAsia="zh-CN"/>
                      </w:rPr>
                      <m:t>P</m:t>
                    </m:r>
                    <m:ctrlPr>
                      <w:rPr>
                        <w:rFonts w:hint="default" w:ascii="Cambria Math" w:hAnsi="Cambria Math"/>
                        <w:i/>
                        <w:sz w:val="24"/>
                        <w:szCs w:val="22"/>
                        <w:lang w:val="en-US" w:eastAsia="zh-CN"/>
                      </w:rPr>
                    </m:ctrlPr>
                  </m:e>
                  <m:sub>
                    <m:r>
                      <m:rPr/>
                      <w:rPr>
                        <w:rFonts w:hint="default" w:ascii="Cambria Math" w:hAnsi="Cambria Math"/>
                        <w:sz w:val="24"/>
                        <w:szCs w:val="22"/>
                        <w:lang w:val="en-US" w:eastAsia="zh-CN"/>
                      </w:rPr>
                      <m:t>max</m:t>
                    </m:r>
                    <m:ctrlPr>
                      <w:rPr>
                        <w:rFonts w:hint="default" w:ascii="Cambria Math" w:hAnsi="Cambria Math"/>
                        <w:i/>
                        <w:sz w:val="24"/>
                        <w:szCs w:val="22"/>
                        <w:lang w:val="en-US" w:eastAsia="zh-CN"/>
                      </w:rPr>
                    </m:ctrlPr>
                  </m:sub>
                  <m:sup>
                    <m:r>
                      <m:rPr/>
                      <w:rPr>
                        <w:rFonts w:hint="default" w:ascii="Cambria Math" w:hAnsi="Cambria Math"/>
                        <w:sz w:val="24"/>
                        <w:szCs w:val="22"/>
                        <w:lang w:val="en-US" w:eastAsia="zh-CN"/>
                      </w:rPr>
                      <m:t>2</m:t>
                    </m:r>
                    <m:ctrlPr>
                      <w:rPr>
                        <w:rFonts w:hint="default" w:ascii="Cambria Math" w:hAnsi="Cambria Math"/>
                        <w:i/>
                        <w:sz w:val="24"/>
                        <w:szCs w:val="22"/>
                        <w:lang w:val="en-US" w:eastAsia="zh-CN"/>
                      </w:rPr>
                    </m:ctrlPr>
                  </m:sup>
                </m:sSubSup>
                <m:ctrlPr>
                  <w:rPr>
                    <w:rFonts w:hint="default" w:ascii="Cambria Math" w:hAnsi="Cambria Math"/>
                    <w:i/>
                    <w:sz w:val="24"/>
                    <w:szCs w:val="22"/>
                    <w:lang w:val="en-US" w:eastAsia="zh-CN"/>
                  </w:rPr>
                </m:ctrlPr>
              </m:num>
              <m:den>
                <m:r>
                  <m:rPr/>
                  <w:rPr>
                    <w:rFonts w:hint="default" w:ascii="Cambria Math" w:hAnsi="Cambria Math"/>
                    <w:sz w:val="24"/>
                    <w:szCs w:val="22"/>
                    <w:lang w:val="en-US" w:eastAsia="zh-CN"/>
                  </w:rPr>
                  <m:t>2</m:t>
                </m:r>
                <m:ctrlPr>
                  <w:rPr>
                    <w:rFonts w:hint="default" w:ascii="Cambria Math" w:hAnsi="Cambria Math"/>
                    <w:i/>
                    <w:sz w:val="24"/>
                    <w:szCs w:val="22"/>
                    <w:lang w:val="en-US" w:eastAsia="zh-CN"/>
                  </w:rPr>
                </m:ctrlPr>
              </m:den>
            </m:f>
            <m:ctrlPr>
              <w:rPr>
                <w:rFonts w:hint="default" w:ascii="Cambria Math" w:hAnsi="Cambria Math"/>
                <w:i/>
                <w:sz w:val="24"/>
                <w:szCs w:val="22"/>
                <w:lang w:val="en-US" w:eastAsia="zh-CN"/>
              </w:rPr>
            </m:ctrlPr>
          </m:e>
        </m:rad>
      </m:oMath>
      <w:r>
        <w:rPr>
          <w:rFonts w:hint="eastAsia" w:hAnsi="Cambria Math"/>
          <w:i w:val="0"/>
          <w:sz w:val="24"/>
          <w:szCs w:val="22"/>
          <w:lang w:val="en-US" w:eastAsia="zh-CN"/>
        </w:rPr>
        <w:t xml:space="preserve"> </w:t>
      </w:r>
      <w:r>
        <w:rPr>
          <w:rFonts w:hint="eastAsia" w:hAnsi="Cambria Math"/>
          <w:i w:val="0"/>
          <w:lang w:val="en-US" w:eastAsia="zh-CN"/>
        </w:rPr>
        <w:tab/>
      </w:r>
      <w:r>
        <w:rPr>
          <w:rFonts w:hint="default" w:ascii="Times New Roman" w:hAnsi="Times New Roman" w:cs="Times New Roman"/>
          <w:i w:val="0"/>
          <w:lang w:val="en-US" w:eastAsia="zh-CN"/>
        </w:rPr>
        <w:t>(</w:t>
      </w:r>
      <w:r>
        <w:rPr>
          <w:rFonts w:hint="default" w:ascii="Times New Roman" w:hAnsi="Times New Roman" w:cs="Times New Roman"/>
          <w:i w:val="0"/>
          <w:lang w:val="en-US" w:eastAsia="zh-CN"/>
        </w:rPr>
        <w:t>2)</w:t>
      </w:r>
    </w:p>
    <w:p w14:paraId="3F4CB6C6">
      <w:pPr>
        <w:pStyle w:val="31"/>
        <w:keepNext w:val="0"/>
        <w:keepLines w:val="0"/>
        <w:pageBreakBefore w:val="0"/>
        <w:widowControl/>
        <w:tabs>
          <w:tab w:val="center" w:pos="4620"/>
          <w:tab w:val="right" w:pos="9240"/>
        </w:tabs>
        <w:kinsoku/>
        <w:wordWrap/>
        <w:overflowPunct/>
        <w:topLinePunct w:val="0"/>
        <w:autoSpaceDE w:val="0"/>
        <w:autoSpaceDN w:val="0"/>
        <w:bidi w:val="0"/>
        <w:adjustRightInd/>
        <w:snapToGrid/>
        <w:textAlignment w:val="auto"/>
        <w:rPr>
          <w:rFonts w:hint="default" w:hAnsi="Cambria Math"/>
          <w:i w:val="0"/>
          <w:lang w:val="en-US" w:eastAsia="zh-CN"/>
        </w:rPr>
      </w:pPr>
      <w:r>
        <w:rPr>
          <w:rFonts w:hint="default" w:hAnsi="Cambria Math"/>
          <w:i w:val="0"/>
          <w:lang w:val="en-US" w:eastAsia="zh-CN"/>
        </w:rPr>
        <w:t>式中</w:t>
      </w:r>
      <w:r>
        <w:rPr>
          <w:rFonts w:hint="eastAsia" w:hAnsi="Cambria Math"/>
          <w:i w:val="0"/>
          <w:lang w:val="en-US" w:eastAsia="zh-CN"/>
        </w:rPr>
        <w:t>,</w:t>
      </w:r>
      <m:oMath>
        <m:sSub>
          <m:sSubPr>
            <m:ctrlPr>
              <w:rPr>
                <w:rFonts w:ascii="Cambria Math" w:hAnsi="Cambria Math"/>
                <w:i/>
                <w:sz w:val="24"/>
                <w:szCs w:val="22"/>
                <w:lang w:val="en-US"/>
              </w:rPr>
            </m:ctrlPr>
          </m:sSubPr>
          <m:e>
            <m:r>
              <m:rPr/>
              <w:rPr>
                <w:rFonts w:hint="default" w:ascii="Cambria Math" w:hAnsi="Cambria Math"/>
                <w:sz w:val="24"/>
                <w:szCs w:val="22"/>
                <w:lang w:val="en-US" w:eastAsia="zh-CN"/>
              </w:rPr>
              <m:t>P</m:t>
            </m:r>
            <m:ctrlPr>
              <w:rPr>
                <w:rFonts w:ascii="Cambria Math" w:hAnsi="Cambria Math"/>
                <w:i/>
                <w:sz w:val="24"/>
                <w:szCs w:val="22"/>
                <w:lang w:val="en-US"/>
              </w:rPr>
            </m:ctrlPr>
          </m:e>
          <m:sub>
            <m:r>
              <m:rPr/>
              <w:rPr>
                <w:rFonts w:hint="default" w:ascii="Cambria Math" w:hAnsi="Cambria Math"/>
                <w:sz w:val="24"/>
                <w:szCs w:val="22"/>
                <w:lang w:val="en-US" w:eastAsia="zh-CN"/>
              </w:rPr>
              <m:t>N</m:t>
            </m:r>
            <m:ctrlPr>
              <w:rPr>
                <w:rFonts w:ascii="Cambria Math" w:hAnsi="Cambria Math"/>
                <w:i/>
                <w:sz w:val="24"/>
                <w:szCs w:val="22"/>
                <w:lang w:val="en-US"/>
              </w:rPr>
            </m:ctrlPr>
          </m:sub>
        </m:sSub>
      </m:oMath>
      <w:r>
        <w:rPr>
          <w:rFonts w:hint="eastAsia" w:hAnsi="Cambria Math"/>
          <w:i w:val="0"/>
          <w:lang w:val="en-US" w:eastAsia="zh-CN"/>
        </w:rPr>
        <w:t>为</w:t>
      </w:r>
      <w:r>
        <w:rPr>
          <w:rFonts w:hint="default" w:hAnsi="Cambria Math"/>
          <w:i w:val="0"/>
          <w:lang w:val="en-US" w:eastAsia="zh-CN"/>
        </w:rPr>
        <w:t>内梅罗综合污染指数；</w:t>
      </w:r>
      <m:oMath>
        <m:sSub>
          <m:sSubPr>
            <m:ctrlPr>
              <w:rPr>
                <w:rFonts w:ascii="Cambria Math" w:hAnsi="Cambria Math"/>
                <w:i/>
                <w:sz w:val="24"/>
                <w:szCs w:val="22"/>
                <w:lang w:val="en-US"/>
              </w:rPr>
            </m:ctrlPr>
          </m:sSubPr>
          <m:e>
            <m:r>
              <m:rPr/>
              <w:rPr>
                <w:rFonts w:hint="default" w:ascii="Cambria Math" w:hAnsi="Cambria Math"/>
                <w:sz w:val="24"/>
                <w:szCs w:val="22"/>
                <w:lang w:val="en-US" w:eastAsia="zh-CN"/>
              </w:rPr>
              <m:t>P</m:t>
            </m:r>
            <m:ctrlPr>
              <w:rPr>
                <w:rFonts w:ascii="Cambria Math" w:hAnsi="Cambria Math"/>
                <w:i/>
                <w:sz w:val="24"/>
                <w:szCs w:val="22"/>
                <w:lang w:val="en-US"/>
              </w:rPr>
            </m:ctrlPr>
          </m:e>
          <m:sub>
            <m:r>
              <m:rPr/>
              <w:rPr>
                <w:rFonts w:hint="default" w:ascii="Cambria Math" w:hAnsi="Cambria Math"/>
                <w:sz w:val="24"/>
                <w:szCs w:val="22"/>
                <w:lang w:val="en-US" w:eastAsia="zh-CN"/>
              </w:rPr>
              <m:t>avg</m:t>
            </m:r>
            <m:ctrlPr>
              <w:rPr>
                <w:rFonts w:ascii="Cambria Math" w:hAnsi="Cambria Math"/>
                <w:i/>
                <w:sz w:val="24"/>
                <w:szCs w:val="22"/>
                <w:lang w:val="en-US"/>
              </w:rPr>
            </m:ctrlPr>
          </m:sub>
        </m:sSub>
      </m:oMath>
      <w:r>
        <w:rPr>
          <w:rFonts w:hint="eastAsia" w:hAnsi="Cambria Math"/>
          <w:i w:val="0"/>
          <w:lang w:val="en-US" w:eastAsia="zh-CN"/>
        </w:rPr>
        <w:t>为</w:t>
      </w:r>
      <w:r>
        <w:rPr>
          <w:rFonts w:hint="default" w:hAnsi="Cambria Math"/>
          <w:i w:val="0"/>
          <w:lang w:val="en-US" w:eastAsia="zh-CN"/>
        </w:rPr>
        <w:t>各污染物单因子污染指数的算术平均值；</w:t>
      </w:r>
      <m:oMath>
        <m:sSub>
          <m:sSubPr>
            <m:ctrlPr>
              <w:rPr>
                <w:rFonts w:ascii="Cambria Math" w:hAnsi="Cambria Math"/>
                <w:i/>
                <w:sz w:val="24"/>
                <w:szCs w:val="22"/>
                <w:lang w:val="en-US"/>
              </w:rPr>
            </m:ctrlPr>
          </m:sSubPr>
          <m:e>
            <m:r>
              <m:rPr/>
              <w:rPr>
                <w:rFonts w:hint="default" w:ascii="Cambria Math" w:hAnsi="Cambria Math"/>
                <w:sz w:val="24"/>
                <w:szCs w:val="22"/>
                <w:lang w:val="en-US" w:eastAsia="zh-CN"/>
              </w:rPr>
              <m:t>P</m:t>
            </m:r>
            <m:ctrlPr>
              <w:rPr>
                <w:rFonts w:ascii="Cambria Math" w:hAnsi="Cambria Math"/>
                <w:i/>
                <w:sz w:val="24"/>
                <w:szCs w:val="22"/>
                <w:lang w:val="en-US"/>
              </w:rPr>
            </m:ctrlPr>
          </m:e>
          <m:sub>
            <m:r>
              <m:rPr/>
              <w:rPr>
                <w:rFonts w:hint="default" w:ascii="Cambria Math" w:hAnsi="Cambria Math"/>
                <w:sz w:val="24"/>
                <w:szCs w:val="22"/>
                <w:lang w:val="en-US" w:eastAsia="zh-CN"/>
              </w:rPr>
              <m:t>max</m:t>
            </m:r>
            <m:ctrlPr>
              <w:rPr>
                <w:rFonts w:ascii="Cambria Math" w:hAnsi="Cambria Math"/>
                <w:i/>
                <w:sz w:val="24"/>
                <w:szCs w:val="22"/>
                <w:lang w:val="en-US"/>
              </w:rPr>
            </m:ctrlPr>
          </m:sub>
        </m:sSub>
      </m:oMath>
      <w:r>
        <w:rPr>
          <w:rFonts w:hint="eastAsia" w:hAnsi="Cambria Math"/>
          <w:i w:val="0"/>
          <w:lang w:val="en-US" w:eastAsia="zh-CN"/>
        </w:rPr>
        <w:t>为</w:t>
      </w:r>
      <w:r>
        <w:rPr>
          <w:rFonts w:hint="default" w:hAnsi="Cambria Math"/>
          <w:i w:val="0"/>
          <w:lang w:val="en-US" w:eastAsia="zh-CN"/>
        </w:rPr>
        <w:t>各污染物单因子污染指数中的最大值。</w:t>
      </w:r>
    </w:p>
    <w:p w14:paraId="571CEC5A">
      <w:pPr>
        <w:pStyle w:val="47"/>
        <w:spacing w:before="120" w:after="120"/>
        <w:rPr>
          <w:rFonts w:ascii="Times New Roman"/>
          <w:highlight w:val="none"/>
        </w:rPr>
      </w:pPr>
      <w:r>
        <w:rPr>
          <w:rFonts w:hint="eastAsia" w:ascii="Times New Roman" w:hAnsi="Times New Roman" w:eastAsia="宋体"/>
          <w:highlight w:val="none"/>
        </w:rPr>
        <w:t>修复项目宜建立“能源消耗</w:t>
      </w:r>
      <w:r>
        <w:rPr>
          <w:rFonts w:hint="eastAsia" w:ascii="Times New Roman" w:eastAsia="宋体"/>
          <w:highlight w:val="none"/>
          <w:lang w:val="en-US" w:eastAsia="zh-CN"/>
        </w:rPr>
        <w:t>-</w:t>
      </w:r>
      <w:r>
        <w:rPr>
          <w:rFonts w:hint="eastAsia" w:ascii="Times New Roman" w:hAnsi="Times New Roman" w:eastAsia="宋体"/>
          <w:highlight w:val="none"/>
        </w:rPr>
        <w:t>材料消耗</w:t>
      </w:r>
      <w:r>
        <w:rPr>
          <w:rFonts w:hint="eastAsia" w:ascii="Times New Roman" w:eastAsia="宋体"/>
          <w:highlight w:val="none"/>
          <w:lang w:val="en-US" w:eastAsia="zh-CN"/>
        </w:rPr>
        <w:t>-</w:t>
      </w:r>
      <w:r>
        <w:rPr>
          <w:rFonts w:hint="eastAsia" w:ascii="Times New Roman" w:hAnsi="Times New Roman" w:eastAsia="宋体"/>
          <w:highlight w:val="none"/>
        </w:rPr>
        <w:t>废物产生</w:t>
      </w:r>
      <w:r>
        <w:rPr>
          <w:rFonts w:hint="eastAsia" w:ascii="Times New Roman" w:eastAsia="宋体"/>
          <w:highlight w:val="none"/>
          <w:lang w:val="en-US" w:eastAsia="zh-CN"/>
        </w:rPr>
        <w:t>-</w:t>
      </w:r>
      <w:r>
        <w:rPr>
          <w:rFonts w:hint="eastAsia" w:ascii="Times New Roman" w:hAnsi="Times New Roman" w:eastAsia="宋体"/>
          <w:highlight w:val="none"/>
        </w:rPr>
        <w:t>碳排放</w:t>
      </w:r>
      <w:r>
        <w:rPr>
          <w:rFonts w:hint="eastAsia" w:ascii="Times New Roman" w:eastAsia="宋体"/>
          <w:highlight w:val="none"/>
          <w:lang w:val="en-US" w:eastAsia="zh-CN"/>
        </w:rPr>
        <w:t>-修复效果</w:t>
      </w:r>
      <w:r>
        <w:rPr>
          <w:rFonts w:hint="eastAsia" w:ascii="Times New Roman" w:hAnsi="Times New Roman" w:eastAsia="宋体"/>
          <w:highlight w:val="none"/>
        </w:rPr>
        <w:t>”的过程记录和动态评价机制，为绿色低碳修复效果评估和后续同类项目方案优化提供依据。</w:t>
      </w:r>
    </w:p>
    <w:p w14:paraId="0BA42CFD">
      <w:pPr>
        <w:pStyle w:val="46"/>
        <w:spacing w:before="120" w:after="120"/>
        <w:rPr>
          <w:rFonts w:ascii="Times New Roman"/>
          <w:highlight w:val="none"/>
        </w:rPr>
      </w:pPr>
      <w:bookmarkStart w:id="119" w:name="_Toc939"/>
      <w:bookmarkStart w:id="120" w:name="_Toc233794377"/>
      <w:r>
        <w:rPr>
          <w:rFonts w:hint="eastAsia" w:ascii="Times New Roman"/>
          <w:highlight w:val="none"/>
        </w:rPr>
        <w:t>重金属污染场地</w:t>
      </w:r>
      <w:bookmarkEnd w:id="119"/>
      <w:bookmarkEnd w:id="120"/>
    </w:p>
    <w:p w14:paraId="345E95CA">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对于重金属</w:t>
      </w:r>
      <w:r>
        <w:rPr>
          <w:rFonts w:hint="eastAsia" w:ascii="Times New Roman" w:eastAsia="宋体"/>
          <w:highlight w:val="none"/>
          <w:lang w:val="en-US" w:eastAsia="zh-CN"/>
        </w:rPr>
        <w:t>低</w:t>
      </w:r>
      <w:r>
        <w:rPr>
          <w:rFonts w:hint="eastAsia" w:ascii="Times New Roman" w:hAnsi="Times New Roman" w:eastAsia="宋体"/>
          <w:highlight w:val="none"/>
        </w:rPr>
        <w:t>污染</w:t>
      </w:r>
      <w:r>
        <w:rPr>
          <w:rFonts w:hint="eastAsia" w:ascii="Times New Roman" w:eastAsia="宋体"/>
          <w:highlight w:val="none"/>
          <w:lang w:val="en-US" w:eastAsia="zh-CN"/>
        </w:rPr>
        <w:t>水平</w:t>
      </w:r>
      <w:r>
        <w:rPr>
          <w:rFonts w:hint="eastAsia" w:ascii="Times New Roman" w:hAnsi="Times New Roman" w:eastAsia="宋体"/>
          <w:highlight w:val="none"/>
        </w:rPr>
        <w:t>的工业污染场地，尤其是土壤透气性良好、无严重地下水污染风险且修复周期相对宽裕的场地，可采用植物修复技术、固化/稳定化或覆盖阻隔等绿色低碳技术，通过植物吸收富集、根际固定或固化/稳定材料固定降低重金属环境风险。同时，结合土壤改良剂（如石灰、生物炭）调节土壤pH值，提升修复效率。对于短期内需控制暴露风险或修复目标值要求较高的区域，可结合表层覆盖、局部阻隔或稳定化措施，提高风险控制效果。</w:t>
      </w:r>
    </w:p>
    <w:p w14:paraId="2BA542D9">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对于中等到较高</w:t>
      </w:r>
      <w:r>
        <w:rPr>
          <w:rFonts w:hint="eastAsia" w:ascii="Times New Roman" w:eastAsia="宋体"/>
          <w:highlight w:val="none"/>
          <w:lang w:val="en-US" w:eastAsia="zh-CN"/>
        </w:rPr>
        <w:t>污染水平</w:t>
      </w:r>
      <w:r>
        <w:rPr>
          <w:rFonts w:hint="eastAsia" w:ascii="Times New Roman" w:hAnsi="Times New Roman" w:eastAsia="宋体"/>
          <w:highlight w:val="none"/>
        </w:rPr>
        <w:t>且以可交换态和碳酸盐结合态存在的重金属污染的工业污染场地，尤其是砂质、砾质土壤，或污染物主要富集于特定粒级，且修复目标值要求较高或修复周期较紧的区域，可采用土壤淋洗、电动修复或挖掘填埋等技术，</w:t>
      </w:r>
      <w:r>
        <w:rPr>
          <w:rFonts w:hint="eastAsia" w:ascii="Times New Roman" w:eastAsia="宋体"/>
          <w:highlight w:val="none"/>
        </w:rPr>
        <w:t>通过筛分、分级</w:t>
      </w:r>
      <w:r>
        <w:rPr>
          <w:rFonts w:hint="eastAsia" w:ascii="Times New Roman" w:hAnsi="Times New Roman" w:eastAsia="宋体"/>
          <w:highlight w:val="none"/>
        </w:rPr>
        <w:t>、施加电场</w:t>
      </w:r>
      <w:r>
        <w:rPr>
          <w:rFonts w:hint="eastAsia" w:ascii="Times New Roman" w:eastAsia="宋体"/>
          <w:highlight w:val="none"/>
        </w:rPr>
        <w:t>等物理</w:t>
      </w:r>
      <w:r>
        <w:rPr>
          <w:rFonts w:hint="eastAsia" w:ascii="Times New Roman" w:hAnsi="Times New Roman" w:eastAsia="宋体"/>
          <w:highlight w:val="none"/>
        </w:rPr>
        <w:t>或化学</w:t>
      </w:r>
      <w:r>
        <w:rPr>
          <w:rFonts w:hint="eastAsia" w:ascii="Times New Roman" w:eastAsia="宋体"/>
          <w:highlight w:val="none"/>
        </w:rPr>
        <w:t>分离方式实现污染土壤减量化</w:t>
      </w:r>
      <w:r>
        <w:rPr>
          <w:rFonts w:hint="eastAsia" w:ascii="Times New Roman" w:hAnsi="Times New Roman" w:eastAsia="宋体"/>
          <w:highlight w:val="none"/>
        </w:rPr>
        <w:t>。对于污染迁移风险可控或修复周期较宽裕，或不具备土壤开挖和异位处理条件的区域，也可采用固化/稳定化、植物修复等技术。</w:t>
      </w:r>
    </w:p>
    <w:p w14:paraId="7E0237D9">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对于中等到较高</w:t>
      </w:r>
      <w:r>
        <w:rPr>
          <w:rFonts w:hint="eastAsia" w:ascii="Times New Roman" w:eastAsia="宋体"/>
          <w:highlight w:val="none"/>
          <w:lang w:val="en-US" w:eastAsia="zh-CN"/>
        </w:rPr>
        <w:t>污染水平</w:t>
      </w:r>
      <w:r>
        <w:rPr>
          <w:rFonts w:hint="eastAsia" w:ascii="Times New Roman" w:hAnsi="Times New Roman" w:eastAsia="宋体"/>
          <w:highlight w:val="none"/>
        </w:rPr>
        <w:t>且以硫化物、氧化物或硅酸盐结合态存在的重金属污染的工业污染场地，尤其是土壤质地过黏、渗透性差，污染物集中分布且地表水资源敏感的区域，可采用固化/稳定化、覆盖阻隔、垂直阻隔或挖掘填埋等技术。可通过添加稳定剂（如磷酸盐、硫酸盐、环保型水泥基材料等）将重金属固定为低溶解性形态，降低其迁移性和生物可利用性。对于以风险控制为主要目标、修复周期较长的场地，可采用稳定化与植被恢复、覆盖阻隔与长期监测等组合方式，兼顾修复效果、低碳要求和长期稳定性。</w:t>
      </w:r>
    </w:p>
    <w:p w14:paraId="362588CD">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重金属污染的地下水，应根据污染羽的范围、水动力条件、地下水修复目标值和运行维护周期选择合适的修复技术。如浅层流速缓慢且污染羽明确的区域，宜采用渗透性反应墙或原位注入技术，设置含零价铁、改性活性炭或氧化铁等反应介质的反应墙，吸附并固定重金属离子；对于流速较快或污染羽范围较大或短期内需控制污染扩散的区域，可考虑采用抽出处理、渗透性反应墙等技术，并结合生物或化学过滤去除重金属离子。</w:t>
      </w:r>
    </w:p>
    <w:p w14:paraId="58FDFBCF">
      <w:pPr>
        <w:pStyle w:val="46"/>
        <w:spacing w:before="120" w:after="120"/>
        <w:rPr>
          <w:rFonts w:ascii="Times New Roman"/>
          <w:highlight w:val="none"/>
        </w:rPr>
      </w:pPr>
      <w:bookmarkStart w:id="121" w:name="_Toc233794378"/>
      <w:bookmarkStart w:id="122" w:name="_Toc9106"/>
      <w:r>
        <w:rPr>
          <w:rFonts w:hint="eastAsia" w:ascii="Times New Roman"/>
          <w:highlight w:val="none"/>
        </w:rPr>
        <w:t>有机污染场地</w:t>
      </w:r>
      <w:bookmarkEnd w:id="121"/>
      <w:bookmarkEnd w:id="122"/>
    </w:p>
    <w:p w14:paraId="22B21E26">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在低</w:t>
      </w:r>
      <w:r>
        <w:rPr>
          <w:rFonts w:hint="eastAsia" w:ascii="Times New Roman" w:eastAsia="宋体"/>
          <w:highlight w:val="none"/>
          <w:lang w:val="en-US" w:eastAsia="zh-CN"/>
        </w:rPr>
        <w:t>污染</w:t>
      </w:r>
      <w:r>
        <w:rPr>
          <w:rFonts w:hint="eastAsia" w:ascii="Times New Roman" w:hAnsi="Times New Roman" w:eastAsia="宋体"/>
          <w:highlight w:val="none"/>
        </w:rPr>
        <w:t>有机污染场地，若污染物迁移性较弱、风险可控且修复周期相对宽裕，宜采用监测自然衰减技术或强化自然衰减技术，通过长期监测和场地管理，结合微生物的自然降解作用，逐步降低污染物浓度至安全水平，适用于石油烃、苯系物等可生物降解的污染物。</w:t>
      </w:r>
    </w:p>
    <w:p w14:paraId="263B6B80">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若污染物主要集中在土壤表层或中低</w:t>
      </w:r>
      <w:r>
        <w:rPr>
          <w:rFonts w:hint="eastAsia" w:ascii="Times New Roman" w:eastAsia="宋体"/>
          <w:highlight w:val="none"/>
          <w:lang w:val="en-US" w:eastAsia="zh-CN"/>
        </w:rPr>
        <w:t>污染程度</w:t>
      </w:r>
      <w:r>
        <w:rPr>
          <w:rFonts w:hint="eastAsia" w:ascii="Times New Roman" w:hAnsi="Times New Roman" w:eastAsia="宋体"/>
          <w:highlight w:val="none"/>
        </w:rPr>
        <w:t>，且场地具备较好的微生物活性和通气条件，宜采用原位生物修复、植物-微生物联合修复技术。可通过添加营养剂（如氮、磷等）、电子受体或调节水分和氧气条件，激活土壤微生物活性，促进污染物的生物降解。对于修复目标值要求高或达标周期较短的场地，可与化学氧化或气相抽提等技术联合使用。</w:t>
      </w:r>
    </w:p>
    <w:p w14:paraId="5097E338">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针对中等污染的土壤场地，尤其是污染物降解难度较高、修复周期要求较短或需较快降低污染风险的区域，宜采用原位化学氧化技术，通过注入氧化剂（如过硫酸盐、臭氧等），将污染物氧化为无毒或低毒产物，适用于氯代烃、多环芳烃等难降解有机污染物。实施过程中应根据修复目标值、污染深度和土壤渗透性优化药剂投加量和注入方式，并可与生物修复、气相抽提或监测自然衰减技术联用，减少药剂过量投加和二次环境影响。</w:t>
      </w:r>
    </w:p>
    <w:p w14:paraId="6DF4AD63">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若污染</w:t>
      </w:r>
      <w:r>
        <w:rPr>
          <w:rFonts w:hint="eastAsia" w:ascii="Times New Roman" w:eastAsia="宋体"/>
          <w:highlight w:val="none"/>
          <w:lang w:val="en-US" w:eastAsia="zh-CN"/>
        </w:rPr>
        <w:t>程度</w:t>
      </w:r>
      <w:r>
        <w:rPr>
          <w:rFonts w:hint="eastAsia" w:ascii="Times New Roman" w:hAnsi="Times New Roman" w:eastAsia="宋体"/>
          <w:highlight w:val="none"/>
        </w:rPr>
        <w:t>高、</w:t>
      </w:r>
      <w:r>
        <w:rPr>
          <w:rFonts w:hint="eastAsia" w:ascii="Times New Roman" w:eastAsia="宋体"/>
          <w:highlight w:val="none"/>
          <w:lang w:val="en-US" w:eastAsia="zh-CN"/>
        </w:rPr>
        <w:t>污染物</w:t>
      </w:r>
      <w:r>
        <w:rPr>
          <w:rFonts w:hint="eastAsia" w:ascii="Times New Roman" w:hAnsi="Times New Roman" w:eastAsia="宋体"/>
          <w:highlight w:val="none"/>
        </w:rPr>
        <w:t>赋存量大且难以通过生物途径降解，尤其是修复目标值较严格或场地再开发时间较紧的区域，宜采用原位或异位热脱附等技术，利用高效加热装置分离污染物，并结合尾气回收和余热利用系统，降低修复能耗，适用于多环芳烃等高浓度难降解场地。对于污染范围较小的热点区域，可采用挖掘填埋、热脱附与后续生物修复或自然衰减技术相结合的方式。</w:t>
      </w:r>
    </w:p>
    <w:p w14:paraId="5EACAB32">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若污染</w:t>
      </w:r>
      <w:r>
        <w:rPr>
          <w:rFonts w:hint="eastAsia" w:ascii="Times New Roman" w:eastAsia="宋体"/>
          <w:highlight w:val="none"/>
          <w:lang w:val="en-US" w:eastAsia="zh-CN"/>
        </w:rPr>
        <w:t>程度</w:t>
      </w:r>
      <w:r>
        <w:rPr>
          <w:rFonts w:hint="eastAsia" w:ascii="Times New Roman" w:hAnsi="Times New Roman" w:eastAsia="宋体"/>
          <w:highlight w:val="none"/>
        </w:rPr>
        <w:t>高、迁移性强，宜采用气相抽提技术或多相抽提技术，通过抽提快速消减污染负荷，同时结合尾气处理系统减少二次污染。</w:t>
      </w:r>
    </w:p>
    <w:p w14:paraId="21307D4D">
      <w:pPr>
        <w:pStyle w:val="46"/>
        <w:spacing w:before="120" w:after="120"/>
        <w:rPr>
          <w:rFonts w:ascii="Times New Roman"/>
          <w:highlight w:val="none"/>
        </w:rPr>
      </w:pPr>
      <w:bookmarkStart w:id="123" w:name="_Toc19399"/>
      <w:bookmarkStart w:id="124" w:name="_Toc233794379"/>
      <w:r>
        <w:rPr>
          <w:rFonts w:hint="eastAsia" w:ascii="Times New Roman"/>
          <w:highlight w:val="none"/>
        </w:rPr>
        <w:t>复合污染场地</w:t>
      </w:r>
      <w:bookmarkEnd w:id="123"/>
      <w:bookmarkEnd w:id="124"/>
    </w:p>
    <w:p w14:paraId="5C43A82C">
      <w:pPr>
        <w:pStyle w:val="47"/>
        <w:spacing w:before="120" w:after="120"/>
        <w:rPr>
          <w:rFonts w:ascii="Times New Roman"/>
          <w:highlight w:val="none"/>
        </w:rPr>
      </w:pPr>
      <w:r>
        <w:rPr>
          <w:rFonts w:hint="eastAsia" w:ascii="Times New Roman" w:hAnsi="Times New Roman" w:eastAsia="宋体"/>
          <w:highlight w:val="none"/>
        </w:rPr>
        <w:t>对于重金属与有机污染物共存的复合污染场地，应在充分识别污染物种类、赋存形态、空间分布及相互作用关系、修复目标值及修复周期要求的基础上，采用分区分类、分阶段或多技术协同的绿色低碳修复方案。修复技术选择应兼顾重金属迁移性控制和有机污染物降解去除，避免引发污染物活化、迁移或二次污染。</w:t>
      </w:r>
    </w:p>
    <w:p w14:paraId="2A97787A">
      <w:pPr>
        <w:pStyle w:val="47"/>
        <w:spacing w:before="120" w:after="120"/>
        <w:rPr>
          <w:rFonts w:ascii="Times New Roman"/>
          <w:highlight w:val="none"/>
        </w:rPr>
      </w:pPr>
      <w:r>
        <w:rPr>
          <w:rFonts w:hint="eastAsia" w:ascii="Times New Roman" w:hAnsi="Times New Roman" w:eastAsia="宋体"/>
          <w:highlight w:val="none"/>
        </w:rPr>
        <w:t>对于低</w:t>
      </w:r>
      <w:r>
        <w:rPr>
          <w:rFonts w:hint="eastAsia" w:ascii="Times New Roman" w:eastAsia="宋体"/>
          <w:highlight w:val="none"/>
          <w:lang w:val="en-US" w:eastAsia="zh-CN"/>
        </w:rPr>
        <w:t>污染</w:t>
      </w:r>
      <w:r>
        <w:rPr>
          <w:rFonts w:hint="eastAsia" w:ascii="Times New Roman" w:hAnsi="Times New Roman" w:eastAsia="宋体"/>
          <w:highlight w:val="none"/>
        </w:rPr>
        <w:t>、污染分布较分散且生态风险较低的复合污染场地，尤其是土壤结构良好、污染物迁移性较弱且修复周期相对宽裕的区域，可采用植物修复、微生物修复、固化/稳定化和强化自然衰减相结合的修复技术。通过种植耐受性较强的植物，配合营养调控、土壤改良剂及功能微生物的投加，促进有机污染物降解，同时降低重金属的迁移性和生物可利用性。</w:t>
      </w:r>
    </w:p>
    <w:p w14:paraId="0FF5A7A8">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以重金属为主要风险因子，同时伴有中低浓度可生物降解有机污染物的复合污染场地，可根据修复目标值和风险控制要求，采用固化/稳定化、生物修复、植物修复、覆盖阻隔相结合的技术。通过添加磷酸盐、铁锰氧化物、生物炭、改性黏土矿物等稳定材料固定重金属，并结合营养剂或微生物强化措施促进有机污染物降解，实现污染风险协同控制。对于短期内需控制暴露风险的区域，可辅以覆盖阻隔或局部稳定化技术。</w:t>
      </w:r>
    </w:p>
    <w:p w14:paraId="5E2D8882">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有机污染物浓度较高，且重金属污染主要表现为低迁移性或局部富集的复合污染土壤，可采用热脱附、气相抽提、多相抽提、原位化学氧化或挖掘填埋等技术，优先去除挥发性、半挥发性有机污染物，并对处理后土壤中的重金属开展稳定化、资源化利用或安全处置。修复过程中宜配套尾气收集处理、余热回收和过程能耗控制措施，以降低修复过程碳排放和二次污染风险。</w:t>
      </w:r>
    </w:p>
    <w:p w14:paraId="13DAD113">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对于重金属和有机</w:t>
      </w:r>
      <w:r>
        <w:rPr>
          <w:rFonts w:hint="eastAsia" w:ascii="Times New Roman" w:eastAsia="宋体"/>
          <w:highlight w:val="none"/>
          <w:lang w:val="en-US" w:eastAsia="zh-CN"/>
        </w:rPr>
        <w:t>物</w:t>
      </w:r>
      <w:r>
        <w:rPr>
          <w:rFonts w:hint="eastAsia" w:ascii="Times New Roman" w:hAnsi="Times New Roman" w:eastAsia="宋体"/>
          <w:highlight w:val="none"/>
        </w:rPr>
        <w:t>均呈中等到较高</w:t>
      </w:r>
      <w:r>
        <w:rPr>
          <w:rFonts w:hint="eastAsia" w:ascii="Times New Roman" w:eastAsia="宋体"/>
          <w:highlight w:val="none"/>
          <w:lang w:val="en-US" w:eastAsia="zh-CN"/>
        </w:rPr>
        <w:t>污染</w:t>
      </w:r>
      <w:r>
        <w:rPr>
          <w:rFonts w:hint="eastAsia" w:ascii="Times New Roman" w:hAnsi="Times New Roman" w:eastAsia="宋体"/>
          <w:highlight w:val="none"/>
        </w:rPr>
        <w:t>，且污染物主要集中在特定土层或局部区域的复合污染场地，可采用土壤淋洗、化学氧化/还原和固定/稳定化等组合技术。应根据污染物赋存形态、土壤渗透性、修复目标值和达标周期合理选择淋洗剂、氧化剂、还原剂或稳定剂，优先选用环境友好型药剂，并对淋洗废液、反应残液及高浓度污染土壤进行分类收集和处理，防止污染物再释放。</w:t>
      </w:r>
    </w:p>
    <w:p w14:paraId="4C938451">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复合污染地下水，应根据污染羽范围、水动力条件、污染物类型、地下水修复目标和受体敏感性选择协同修复技术。对于浅层、流速较慢且污染羽明确的区域，可采用复合型渗透性反应墙或原位注入技术，设置零价铁、改性活性炭、生物炭、铁锰氧化物或其他功能材料组成的反应介质，实现重金属吸附固定和有机污染物降解；对于污染羽范围较大或水动力条件复杂的区域，可采用抽出处理、原位反应带、强化生物修复等组合技术进行风险控制。</w:t>
      </w:r>
    </w:p>
    <w:p w14:paraId="5247FD07">
      <w:pPr>
        <w:pStyle w:val="47"/>
        <w:spacing w:before="120" w:after="120"/>
        <w:rPr>
          <w:rFonts w:hint="eastAsia" w:ascii="Times New Roman" w:hAnsi="Times New Roman" w:eastAsia="宋体"/>
          <w:highlight w:val="none"/>
        </w:rPr>
      </w:pPr>
      <w:r>
        <w:rPr>
          <w:rFonts w:hint="eastAsia" w:ascii="Times New Roman" w:hAnsi="Times New Roman" w:eastAsia="宋体"/>
          <w:highlight w:val="none"/>
        </w:rPr>
        <w:t>对于污染物类型复杂、修复过程中易发生相互影响的复合污染场地，应加强小试、中试和过程监测，重点关注pH值、氧化还原条件、有机质含量及地下水水位变化对重金属形态转化和有机污染物降解效率的影响。修复实施过程中宜开展药剂投加量优化、能耗核算、二次污染控制和碳排放评估，优先选择扰动小、资源消耗低、可实现协同减污降碳的修复技术路线。</w:t>
      </w:r>
    </w:p>
    <w:p w14:paraId="2EC2DB12">
      <w:pPr>
        <w:pStyle w:val="45"/>
        <w:spacing w:before="240" w:after="240"/>
        <w:rPr>
          <w:rFonts w:ascii="Times New Roman"/>
          <w:highlight w:val="none"/>
        </w:rPr>
      </w:pPr>
      <w:bookmarkStart w:id="125" w:name="_Toc22748"/>
      <w:bookmarkStart w:id="126" w:name="_Toc233794380"/>
      <w:r>
        <w:rPr>
          <w:rFonts w:hint="eastAsia" w:ascii="Times New Roman"/>
          <w:highlight w:val="none"/>
        </w:rPr>
        <w:t>污染场地绿色低碳修复实施要求</w:t>
      </w:r>
      <w:bookmarkEnd w:id="125"/>
      <w:bookmarkEnd w:id="126"/>
    </w:p>
    <w:p w14:paraId="045B201A">
      <w:pPr>
        <w:pStyle w:val="46"/>
        <w:spacing w:before="120" w:after="120"/>
        <w:rPr>
          <w:rFonts w:ascii="Times New Roman"/>
          <w:highlight w:val="none"/>
        </w:rPr>
      </w:pPr>
      <w:bookmarkStart w:id="127" w:name="_Toc2091"/>
      <w:bookmarkStart w:id="128" w:name="_Toc233794381"/>
      <w:bookmarkStart w:id="129" w:name="OLE_LINK1"/>
      <w:r>
        <w:rPr>
          <w:rFonts w:hint="eastAsia" w:ascii="Times New Roman"/>
          <w:highlight w:val="none"/>
        </w:rPr>
        <w:t>绿色低碳修复总体原则</w:t>
      </w:r>
      <w:bookmarkEnd w:id="127"/>
      <w:bookmarkEnd w:id="128"/>
    </w:p>
    <w:bookmarkEnd w:id="129"/>
    <w:p w14:paraId="36EB41C3">
      <w:pPr>
        <w:pStyle w:val="31"/>
        <w:ind w:firstLine="420"/>
        <w:rPr>
          <w:rFonts w:ascii="Times New Roman"/>
          <w:highlight w:val="none"/>
        </w:rPr>
      </w:pPr>
      <w:r>
        <w:rPr>
          <w:rFonts w:hint="eastAsia" w:ascii="Times New Roman"/>
          <w:highlight w:val="none"/>
        </w:rPr>
        <w:t>遵循“过程减量-能效提升-资源循环”三重原则，按“原料准备-系统建设-技术实施及监测-废物处置”的全生命周期阶段实施碳排放管控。</w:t>
      </w:r>
    </w:p>
    <w:p w14:paraId="7A46B824">
      <w:pPr>
        <w:pStyle w:val="47"/>
        <w:spacing w:before="120" w:after="120"/>
        <w:rPr>
          <w:rFonts w:ascii="Times New Roman"/>
          <w:highlight w:val="none"/>
        </w:rPr>
      </w:pPr>
      <w:bookmarkStart w:id="130" w:name="OLE_LINK2"/>
      <w:r>
        <w:rPr>
          <w:rFonts w:hint="eastAsia" w:ascii="Times New Roman"/>
          <w:highlight w:val="none"/>
        </w:rPr>
        <w:t>原料准备阶段</w:t>
      </w:r>
    </w:p>
    <w:bookmarkEnd w:id="130"/>
    <w:p w14:paraId="0613494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修复过程中应优先选用低碳、低毒、环境友好型材料和药剂，尽可能采用回收材料（如再生塑料管道、可循环使用的土壤淋洗试剂），减少高碳材料和高环境负荷药剂的使用。</w:t>
      </w:r>
    </w:p>
    <w:p w14:paraId="2CEEB03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优先选择本地化材料、就近处置设施和场内资源化路径。运输车辆宜采用高装载率、低油耗或新能源车辆，并加强车辆维护和运输过程密闭管理。</w:t>
      </w:r>
    </w:p>
    <w:p w14:paraId="5BEAE0C8">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对水泥、石灰、活性炭、氧化剂、还原剂、淋洗剂、营养剂等用量较大的材料或药剂，应通过小试、中试或现场试验确定最低有效投加量，避免过量投加导致材料浪费、土体增容、二次污染或后续处置负担增加。</w:t>
      </w:r>
    </w:p>
    <w:p w14:paraId="5CBE3857">
      <w:pPr>
        <w:pStyle w:val="47"/>
        <w:spacing w:before="120" w:after="120"/>
        <w:rPr>
          <w:rFonts w:ascii="Times New Roman"/>
          <w:highlight w:val="none"/>
        </w:rPr>
      </w:pPr>
      <w:r>
        <w:rPr>
          <w:rFonts w:hint="eastAsia" w:ascii="Times New Roman"/>
          <w:highlight w:val="none"/>
        </w:rPr>
        <w:t>系统建设阶段</w:t>
      </w:r>
    </w:p>
    <w:p w14:paraId="088439BA">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修复工程设计宜采用模块化、可拆卸、可重复利用的设备和构筑物，减少一次性材料消耗和施工废弃物产生。</w:t>
      </w:r>
    </w:p>
    <w:p w14:paraId="53A7390F">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清挖、筛分、破碎、搅拌、注入、抽提、压滤、加热等建设环节应合理配置设备能力，宜选用高效节能设备，避免设备长期低效能运行或重复施工。</w:t>
      </w:r>
    </w:p>
    <w:p w14:paraId="5144DFE5">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建设阶段应优化土方开挖、临时堆存、场内倒运、外运处置和回填流程，减少重复倒运、无效开挖和长距离运输。</w:t>
      </w:r>
    </w:p>
    <w:p w14:paraId="5A4E4029">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现场办公、照明、监测、清洗、喷淋、临时供电等活动宜采用节能设备和清洁能源，减少非主体修复环节能源消耗。</w:t>
      </w:r>
    </w:p>
    <w:p w14:paraId="07005B49">
      <w:pPr>
        <w:pStyle w:val="47"/>
        <w:spacing w:before="120" w:after="120"/>
        <w:rPr>
          <w:rFonts w:ascii="Times New Roman"/>
          <w:highlight w:val="none"/>
        </w:rPr>
      </w:pPr>
      <w:r>
        <w:rPr>
          <w:rFonts w:hint="eastAsia" w:ascii="Times New Roman"/>
          <w:highlight w:val="none"/>
        </w:rPr>
        <w:t>技术实施及监测阶段</w:t>
      </w:r>
    </w:p>
    <w:p w14:paraId="33BAB2B2">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修复技术运行过程中应根据污染物浓度变化、去除速率、药剂利用率、能耗水平和修复目标完成情况动态调整运行参数。</w:t>
      </w:r>
    </w:p>
    <w:p w14:paraId="1C6632D4">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具备条件的项目宜使用绿色电力、余热回收或低碳燃料等方式供能，降低运行阶段碳排放。</w:t>
      </w:r>
    </w:p>
    <w:p w14:paraId="17B8B287">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当污染物浓度进入拖尾阶段、单位污染物削减能耗明显升高、药剂利用率下降或设备长期低效能运行时，应及时优化工艺参数，或将高强度主动修复技术调整为生物修复、植物修复、强化自然衰减或监测自然衰减等低碳维持技术。</w:t>
      </w:r>
    </w:p>
    <w:p w14:paraId="23A5B1C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监测方案宜根据修复阶段和风险水平动态调整。污染变化趋势稳定后，可优化监测点位、监测频次和监测指标，并可采用自动监测、远程传输、无人巡检等方式减少人工巡检和采样运输产生的碳排放。</w:t>
      </w:r>
    </w:p>
    <w:p w14:paraId="26A1AC68">
      <w:pPr>
        <w:pStyle w:val="47"/>
        <w:spacing w:before="120" w:after="120"/>
        <w:rPr>
          <w:rFonts w:ascii="Times New Roman"/>
          <w:highlight w:val="none"/>
        </w:rPr>
      </w:pPr>
      <w:r>
        <w:rPr>
          <w:rFonts w:hint="eastAsia" w:ascii="Times New Roman"/>
          <w:highlight w:val="none"/>
        </w:rPr>
        <w:t>废物处置阶段</w:t>
      </w:r>
    </w:p>
    <w:p w14:paraId="235FE375">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修复过程中产生的污染土壤、筛分细料、淋洗泥饼、废活性炭、废滤料、废液、污泥、植物残体、尾气处理残渣等，应按照污染特征和环境风险分类收集、分类贮存和分类处置。</w:t>
      </w:r>
    </w:p>
    <w:p w14:paraId="30A5B288">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经处理达标且满足环境安全要求的土壤，宜优先用于场内回填、地形塑造、生态恢复、路基填料或覆盖材料。</w:t>
      </w:r>
    </w:p>
    <w:p w14:paraId="5FBED9A1">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对确需外运处置的废物，应合理选择处置单位和运输路线，宜优先就近处置，减少长距离运输碳排放。</w:t>
      </w:r>
    </w:p>
    <w:p w14:paraId="37AFE79B">
      <w:pPr>
        <w:pStyle w:val="46"/>
        <w:spacing w:before="120" w:after="120"/>
        <w:rPr>
          <w:rFonts w:ascii="Times New Roman"/>
          <w:highlight w:val="none"/>
        </w:rPr>
      </w:pPr>
      <w:bookmarkStart w:id="131" w:name="_Toc233794382"/>
      <w:bookmarkStart w:id="132" w:name="_Toc32646"/>
      <w:bookmarkStart w:id="133" w:name="OLE_LINK7"/>
      <w:r>
        <w:rPr>
          <w:rFonts w:hint="eastAsia" w:ascii="Times New Roman"/>
          <w:highlight w:val="none"/>
        </w:rPr>
        <w:t>单项典型修复技术</w:t>
      </w:r>
      <w:r>
        <w:rPr>
          <w:rFonts w:hint="eastAsia" w:ascii="Times New Roman"/>
          <w:highlight w:val="none"/>
          <w:lang w:val="en-US" w:eastAsia="zh-CN"/>
        </w:rPr>
        <w:t>降碳</w:t>
      </w:r>
      <w:r>
        <w:rPr>
          <w:rFonts w:hint="eastAsia" w:ascii="Times New Roman"/>
          <w:highlight w:val="none"/>
        </w:rPr>
        <w:t>最佳</w:t>
      </w:r>
      <w:r>
        <w:rPr>
          <w:rFonts w:hint="eastAsia" w:ascii="Times New Roman"/>
          <w:highlight w:val="none"/>
          <w:lang w:val="en-US" w:eastAsia="zh-CN"/>
        </w:rPr>
        <w:t>管理</w:t>
      </w:r>
      <w:r>
        <w:rPr>
          <w:rFonts w:hint="eastAsia" w:ascii="Times New Roman"/>
          <w:highlight w:val="none"/>
        </w:rPr>
        <w:t>措施</w:t>
      </w:r>
      <w:bookmarkEnd w:id="131"/>
      <w:r>
        <w:rPr>
          <w:rFonts w:ascii="Times New Roman"/>
          <w:highlight w:val="none"/>
        </w:rPr>
        <w:t xml:space="preserve"> </w:t>
      </w:r>
      <w:bookmarkEnd w:id="132"/>
    </w:p>
    <w:p w14:paraId="7254F148">
      <w:pPr>
        <w:pStyle w:val="47"/>
        <w:spacing w:before="120" w:after="120"/>
        <w:rPr>
          <w:rFonts w:ascii="Times New Roman"/>
          <w:highlight w:val="none"/>
        </w:rPr>
      </w:pPr>
      <w:r>
        <w:rPr>
          <w:rFonts w:hint="eastAsia" w:ascii="Times New Roman"/>
          <w:highlight w:val="none"/>
        </w:rPr>
        <w:t>一般要求</w:t>
      </w:r>
    </w:p>
    <w:bookmarkEnd w:id="133"/>
    <w:p w14:paraId="3FB95E67">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单项典型修复技术降碳最佳管理措施应结合污染物类型、适用介质、技术边界、能耗与碳排放来源确定。</w:t>
      </w:r>
    </w:p>
    <w:p w14:paraId="45676A03">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对以风险管控为主要目标的地块，宜采用监测自然衰减、强化自然衰减、生物修复、植物修复、固化/稳定化、阻隔、渗透反应墙等低扰动或低运行能耗技术。</w:t>
      </w:r>
    </w:p>
    <w:p w14:paraId="2B5AD1B4">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对以实现土壤地下水环境质量改善为主要目标的地块，宜综合考虑污染物浓度和修复目标，合理采用土壤淋洗、化学氧化/还原、抽出处理、气相抽提、多相抽提、热脱附、电动修复等技术。</w:t>
      </w:r>
    </w:p>
    <w:p w14:paraId="562BAD59">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对焚烧、水泥窑协同处置、热脱附等高能耗或高碳排放技术，应优先用于高毒性、高浓度、难降解或缺乏低碳替代方案的污染物处理，不宜在低浓度或大范围污染区域全场采用。</w:t>
      </w:r>
    </w:p>
    <w:p w14:paraId="64A609B2">
      <w:pPr>
        <w:pStyle w:val="47"/>
        <w:spacing w:before="120" w:after="120"/>
        <w:rPr>
          <w:rFonts w:ascii="Times New Roman"/>
          <w:highlight w:val="none"/>
        </w:rPr>
      </w:pPr>
      <w:r>
        <w:rPr>
          <w:rFonts w:hint="eastAsia" w:ascii="Times New Roman"/>
          <w:highlight w:val="none"/>
        </w:rPr>
        <w:t>监测自然衰减技术和强化自然衰减技术</w:t>
      </w:r>
    </w:p>
    <w:p w14:paraId="50CECDC0">
      <w:pPr>
        <w:pStyle w:val="48"/>
        <w:spacing w:before="120" w:after="120"/>
        <w:rPr>
          <w:rFonts w:hint="eastAsia" w:ascii="Times New Roman" w:hAnsi="Times New Roman" w:eastAsia="宋体"/>
          <w:highlight w:val="none"/>
        </w:rPr>
      </w:pPr>
      <w:bookmarkStart w:id="134" w:name="OLE_LINK4"/>
      <w:r>
        <w:rPr>
          <w:rFonts w:hint="eastAsia" w:ascii="Times New Roman" w:hAnsi="Times New Roman" w:eastAsia="宋体"/>
          <w:highlight w:val="none"/>
        </w:rPr>
        <w:t>对低风险、污染物浓度稳定下降、无紧急暴露风险的场地，宜采用监测自然衰减技术。</w:t>
      </w:r>
    </w:p>
    <w:bookmarkEnd w:id="134"/>
    <w:p w14:paraId="28B821A8">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实施前应开展自然衰减潜力评估，识别污染物矿化降解、吸附、沉淀、稀释、挥发、氧化还原转化等过程，明确衰减速率、影响范围和长期风险。</w:t>
      </w:r>
    </w:p>
    <w:p w14:paraId="3AEFFAE1">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在技术实施及监测阶段，宜优化监测井布设和监测频次，在衰减趋势稳定后适当降低采样频率；可采用自动监测、远程传输、无人巡检等方式减少人工交通和现场采样产生的碳排放。</w:t>
      </w:r>
    </w:p>
    <w:p w14:paraId="23786334">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当自然衰减速率不足但具备低扰动强化条件时，可采用强化自然衰减技术，少量投加生物炭、磷灰石、石灰、有机质、零价铁等改良材料，提高污染物固定、降解或转化效率。</w:t>
      </w:r>
    </w:p>
    <w:p w14:paraId="5C829715">
      <w:pPr>
        <w:pStyle w:val="47"/>
        <w:spacing w:before="120" w:after="120"/>
        <w:rPr>
          <w:rFonts w:ascii="Times New Roman"/>
          <w:highlight w:val="none"/>
        </w:rPr>
      </w:pPr>
      <w:r>
        <w:rPr>
          <w:rFonts w:hint="eastAsia" w:ascii="Times New Roman"/>
          <w:highlight w:val="none"/>
        </w:rPr>
        <w:t>原位生物修复技术</w:t>
      </w:r>
    </w:p>
    <w:p w14:paraId="18EAEEA0">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对石油烃、BTEX、部分氯代烃等可生物降解有机污染物，宜采用原位生物修复、生物通风或生物堆等低能耗技术。</w:t>
      </w:r>
    </w:p>
    <w:p w14:paraId="07D13C7B">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优先利用土著微生物和场地原有生态条件，在原料准备与系统搭建阶段，通过调控含水率、氧气、营养盐、电子受体或电子供体等方式提高降解效率，减少外源菌剂、营养剂和化学药剂使用量。</w:t>
      </w:r>
    </w:p>
    <w:p w14:paraId="0109F1AF">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在技术实施阶段，生物通风、生物堆和堆肥系统宜采用间歇曝气、低压供气和智能控制方式，避免连续高强度鼓风造成能源浪费。生物堆建设宜采用场内污染土壤、场内覆盖材料和可循环管路，减少外购材料和运输。处理达标后的土壤优先场内回填或生态恢复。</w:t>
      </w:r>
    </w:p>
    <w:p w14:paraId="7589867C">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对高浓度有机污染场地，可先采用热脱附、气相抽提或化学氧化等技术削减源强，再衔接生物修复完成低浓度残留处理。</w:t>
      </w:r>
    </w:p>
    <w:p w14:paraId="37F940EE">
      <w:pPr>
        <w:pStyle w:val="47"/>
        <w:spacing w:before="120" w:after="120"/>
        <w:rPr>
          <w:rFonts w:ascii="Times New Roman"/>
          <w:highlight w:val="none"/>
        </w:rPr>
      </w:pPr>
      <w:r>
        <w:rPr>
          <w:rFonts w:hint="eastAsia" w:ascii="Times New Roman"/>
          <w:highlight w:val="none"/>
        </w:rPr>
        <w:t>植物修复技术</w:t>
      </w:r>
    </w:p>
    <w:p w14:paraId="703CAF78">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对低至中等浓度重金属污染、有机污染或复合污染土壤，在修复周期允许且植物能够正常生长的条件下，宜采用植物提取、植物稳定、根际降解等植物修复技术。</w:t>
      </w:r>
    </w:p>
    <w:p w14:paraId="63247398">
      <w:pPr>
        <w:pStyle w:val="48"/>
        <w:spacing w:before="120" w:after="120"/>
        <w:rPr>
          <w:rFonts w:hint="eastAsia" w:ascii="Times New Roman" w:hAnsi="Times New Roman" w:eastAsia="宋体"/>
          <w:highlight w:val="none"/>
        </w:rPr>
      </w:pPr>
      <w:r>
        <w:rPr>
          <w:rFonts w:hint="eastAsia" w:ascii="Times New Roman" w:eastAsia="宋体"/>
          <w:highlight w:val="none"/>
          <w:lang w:val="en-US" w:eastAsia="zh-CN"/>
        </w:rPr>
        <w:t>原料</w:t>
      </w:r>
      <w:r>
        <w:rPr>
          <w:rFonts w:hint="eastAsia" w:ascii="Times New Roman" w:hAnsi="Times New Roman" w:eastAsia="宋体"/>
          <w:highlight w:val="none"/>
        </w:rPr>
        <w:t>准备阶段应查明污染类型、程度及土壤肥力状况，宜选择本地适生、耐污能力强、非入侵性植物品种，减少苗木培育、运输和养护过程资源消耗。</w:t>
      </w:r>
    </w:p>
    <w:p w14:paraId="087388BB">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修复实施阶段宜利用自然降水、精准灌溉和低能耗养护方式，减少灌溉、施肥和机械维护产生的碳排放。</w:t>
      </w:r>
    </w:p>
    <w:p w14:paraId="535120BC">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可采用堆肥、生物炭、有机废弃物资源化产物等作为土壤改良材料，替代部分化肥或高碳材料。</w:t>
      </w:r>
    </w:p>
    <w:p w14:paraId="6A61ABFA">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废物处置环节，对富集重金属的植物残体，应分类收集并安全处置；具备条件时，可开展生物质能源化、热解制炭或金属回收。</w:t>
      </w:r>
    </w:p>
    <w:p w14:paraId="400F944D">
      <w:pPr>
        <w:pStyle w:val="47"/>
        <w:spacing w:before="120" w:after="120"/>
        <w:rPr>
          <w:rFonts w:ascii="Times New Roman"/>
          <w:highlight w:val="none"/>
        </w:rPr>
      </w:pPr>
      <w:r>
        <w:rPr>
          <w:rFonts w:hint="eastAsia" w:ascii="Times New Roman"/>
          <w:highlight w:val="none"/>
        </w:rPr>
        <w:t>固化/稳定化技术</w:t>
      </w:r>
    </w:p>
    <w:p w14:paraId="30B918D4">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对以重金属浸出风险控制为主要目标的土壤，宜采用固化/稳定化技术降低污染物迁移性和生物有效性。</w:t>
      </w:r>
    </w:p>
    <w:p w14:paraId="47FA4219">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原料准备阶段应查明重金属种类、赋存形态及浸出浓度，通过小试、中试和浸出毒性试验确定固化剂或稳定剂的最低有效投加量，避免过量投加造成材料浪费、土体增容和后续处置量增加。</w:t>
      </w:r>
    </w:p>
    <w:p w14:paraId="66C6A50D">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原料宜采用粉煤灰、矿渣、钢渣、赤泥、磷石膏、生物炭、黏土矿物、磷酸盐材料等低碳或资源化材料，减少水泥、石灰等高碳胶凝材料用量。</w:t>
      </w:r>
    </w:p>
    <w:p w14:paraId="6DB6DA1B">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修复实施及监测阶段，宜采用原位搅拌或场内处理方式，减少污染土壤外运。当采用异位固化/稳定化时，应优化搅拌、养护、堆存和回填流程，并定期监测处理效果及浸出毒性变化。</w:t>
      </w:r>
    </w:p>
    <w:p w14:paraId="1ADA3DB7">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w:t>
      </w:r>
      <w:r>
        <w:rPr>
          <w:rFonts w:hint="eastAsia" w:ascii="Times New Roman" w:eastAsia="宋体"/>
          <w:highlight w:val="none"/>
          <w:lang w:val="en-US" w:eastAsia="zh-CN"/>
        </w:rPr>
        <w:t>阶段，</w:t>
      </w:r>
      <w:r>
        <w:rPr>
          <w:rFonts w:hint="eastAsia" w:ascii="Times New Roman" w:hAnsi="Times New Roman" w:eastAsia="宋体"/>
          <w:highlight w:val="none"/>
        </w:rPr>
        <w:t>异位固化/稳定化处理后的土壤如满足工程利用和环境安全要求，可作为场内回填土、路基填料或覆盖材料使用。</w:t>
      </w:r>
    </w:p>
    <w:p w14:paraId="417E4B5B">
      <w:pPr>
        <w:pStyle w:val="47"/>
        <w:spacing w:before="120" w:after="120"/>
        <w:rPr>
          <w:rFonts w:ascii="Times New Roman"/>
          <w:highlight w:val="none"/>
        </w:rPr>
      </w:pPr>
      <w:r>
        <w:rPr>
          <w:rFonts w:hint="eastAsia" w:ascii="Times New Roman"/>
          <w:highlight w:val="none"/>
        </w:rPr>
        <w:t>阻隔技术</w:t>
      </w:r>
    </w:p>
    <w:p w14:paraId="251DAC8A">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对污染范围或污染羽边界较明确、地下水流向相对稳定，且以切断污染物迁移通道、阻断暴露途径或控制污染羽扩散为主要目标的场地，宜采用阻隔技术。</w:t>
      </w:r>
    </w:p>
    <w:p w14:paraId="4E1D16E0">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原料准备阶段宜采用天然性较高、环境相容性好、耐久性强的材料，如场内合格低渗土、黏土、膨润土、改性黏土等；在满足防渗性能和环境安全要求的前提下，可合理利用场内合格土、再生骨料、再生混凝土等本地化或资源化材料，减少外购材料和运输碳排放。</w:t>
      </w:r>
    </w:p>
    <w:p w14:paraId="4D035D8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修复实施及监测阶段宜结合地下水水位、水质、渗流方向和墙体完整性监测，及时识别渗漏、或防渗性能衰减等问题，并根据监测结果开展维护修复。</w:t>
      </w:r>
    </w:p>
    <w:p w14:paraId="1527C8D5">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废物处置环节对阻隔系统施工及维护过程中产生的废弃材料、开挖余土等，应分类收集并妥善处置。</w:t>
      </w:r>
    </w:p>
    <w:p w14:paraId="32503D1D">
      <w:pPr>
        <w:pStyle w:val="47"/>
        <w:spacing w:before="120" w:after="120"/>
        <w:rPr>
          <w:rFonts w:ascii="Times New Roman"/>
          <w:highlight w:val="none"/>
        </w:rPr>
      </w:pPr>
      <w:bookmarkStart w:id="135" w:name="OLE_LINK5"/>
      <w:r>
        <w:rPr>
          <w:rFonts w:hint="eastAsia" w:ascii="Times New Roman"/>
          <w:highlight w:val="none"/>
        </w:rPr>
        <w:t>渗透反应墙技术</w:t>
      </w:r>
    </w:p>
    <w:p w14:paraId="17E4C3F2">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对地下水污染羽边界较明确、地下水流向相对稳定、污染物可通过吸附、氧化、还原、沉淀、离子交换或生物降解等过程去除或固定的场地，宜采用渗透反应墙技术。</w:t>
      </w:r>
    </w:p>
    <w:p w14:paraId="4B45620B">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原料准备阶段</w:t>
      </w:r>
      <w:r>
        <w:rPr>
          <w:rFonts w:hint="eastAsia" w:ascii="Times New Roman" w:eastAsia="宋体"/>
          <w:highlight w:val="none"/>
          <w:lang w:eastAsia="zh-CN"/>
        </w:rPr>
        <w:t>，</w:t>
      </w:r>
      <w:r>
        <w:rPr>
          <w:rFonts w:hint="eastAsia" w:ascii="Times New Roman" w:hAnsi="Times New Roman" w:eastAsia="宋体"/>
          <w:highlight w:val="none"/>
        </w:rPr>
        <w:t>反应介质宜采用零价铁、废铁屑、生物炭、沸石、铁锰氧化物、磷灰石、改性黏土等低碳、可再生、资源化或天然材料，介质选择应综合考虑污染物类型、反应效率、使用寿命、水力性能、材料来源、再生利用潜力和二次污染风险。反应介质粒径级配应兼顾反应活性和渗透性能，避免因颗粒过细、沉淀生成、生物膜过度发育或悬浮物截留造成堵塞。对易产生沉淀或堵塞风险的场地，宜预留检修、补充或更换介质条件。</w:t>
      </w:r>
    </w:p>
    <w:p w14:paraId="06D9FB8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系统搭建</w:t>
      </w:r>
      <w:r>
        <w:rPr>
          <w:rFonts w:hint="eastAsia" w:ascii="Times New Roman" w:eastAsia="宋体"/>
          <w:highlight w:val="none"/>
          <w:lang w:val="en-US" w:eastAsia="zh-CN"/>
        </w:rPr>
        <w:t>阶段，</w:t>
      </w:r>
      <w:r>
        <w:rPr>
          <w:rFonts w:hint="eastAsia" w:ascii="Times New Roman" w:hAnsi="Times New Roman" w:eastAsia="宋体"/>
          <w:highlight w:val="none"/>
        </w:rPr>
        <w:t>渗透反应墙应布设于污染羽迁移路径上，使受污染地下水能够充分通过反应介质并与其接触反应。反应墙的布设位置、墙体厚度、埋深、长度和反应介质用量应结合污染羽宽度、含水层厚度、地下水流速、污染物浓度和反应动力学参数进行优化。渗透反应墙应重点保障水力连通性和渗透性。反应介质及墙体整体渗透系数宜高于周边含水层，避免因渗透性不足导致地下水绕流、壅水或扰动污染羽迁移方向。必要时可设置导流结构，促进地下水均匀通过反应墙。</w:t>
      </w:r>
    </w:p>
    <w:p w14:paraId="7392E685">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应监测上游、墙体内部和下游地下水水位、水质、污染物浓度及关键水化学指标，及时识别绕流、堵塞、反应介质耗竭或去除效率下降等问题，并根据监测结果优化维护、更换或补充反应介质。</w:t>
      </w:r>
    </w:p>
    <w:p w14:paraId="65A267E9">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废物处置环节对更换下来的失活反应介质、清淤产生的沉淀物及施工余土，应分类收集并进行浸出毒性鉴别，根据鉴别结果采取资源化利用或安全处置措施，防止二次污染。</w:t>
      </w:r>
    </w:p>
    <w:bookmarkEnd w:id="135"/>
    <w:p w14:paraId="22EDC25F">
      <w:pPr>
        <w:pStyle w:val="47"/>
        <w:spacing w:before="120" w:after="120"/>
        <w:rPr>
          <w:rFonts w:ascii="Times New Roman"/>
          <w:highlight w:val="none"/>
        </w:rPr>
      </w:pPr>
      <w:r>
        <w:rPr>
          <w:rFonts w:hint="eastAsia" w:ascii="Times New Roman"/>
          <w:highlight w:val="none"/>
        </w:rPr>
        <w:t>土壤淋洗技术</w:t>
      </w:r>
    </w:p>
    <w:p w14:paraId="16466A71">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对砂质、砾质或污染物主要富集于特定粒级的重金属污染土壤，宜采用土壤淋洗技术实现污染物减量化。</w:t>
      </w:r>
    </w:p>
    <w:p w14:paraId="6A2618F5">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原料准备阶段宜</w:t>
      </w:r>
      <w:r>
        <w:rPr>
          <w:rFonts w:hint="eastAsia" w:ascii="Times New Roman" w:eastAsia="宋体"/>
          <w:highlight w:val="none"/>
          <w:lang w:val="en-US" w:eastAsia="zh-CN"/>
        </w:rPr>
        <w:t>选</w:t>
      </w:r>
      <w:r>
        <w:rPr>
          <w:rFonts w:hint="eastAsia" w:ascii="Times New Roman" w:hAnsi="Times New Roman" w:eastAsia="宋体"/>
          <w:highlight w:val="none"/>
        </w:rPr>
        <w:t>用柠檬酸、草酸、鼠李糖脂、皂角苷、茶皂素等环境友好型或可降解淋洗剂，减少高碳、高持久性化学试剂使用。</w:t>
      </w:r>
    </w:p>
    <w:p w14:paraId="3B1A7590">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系统搭建阶段宜建立闭路循环淋洗系统，通过沉淀、过滤、离子交换、膜分离等方式回收淋洗剂和循环用水。</w:t>
      </w:r>
    </w:p>
    <w:p w14:paraId="266E1FCF">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修复实施及监测阶段宜通过筛分、分级、水力旋流等方式识别污染物富集粒级，对高污染细颗粒重点处理，对达标粗颗粒优先回填。</w:t>
      </w:r>
    </w:p>
    <w:p w14:paraId="425AAD7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w:t>
      </w:r>
      <w:r>
        <w:rPr>
          <w:rFonts w:hint="eastAsia" w:ascii="Times New Roman" w:eastAsia="宋体"/>
          <w:highlight w:val="none"/>
          <w:lang w:val="en-US" w:eastAsia="zh-CN"/>
        </w:rPr>
        <w:t>阶段</w:t>
      </w:r>
      <w:r>
        <w:rPr>
          <w:rFonts w:hint="eastAsia" w:ascii="Times New Roman" w:hAnsi="Times New Roman" w:eastAsia="宋体"/>
          <w:highlight w:val="none"/>
        </w:rPr>
        <w:t>淋洗废液、泥饼和富集污染物应分类收集处理；具备条件时，宜回收铜、锌、镍等有价金属。</w:t>
      </w:r>
    </w:p>
    <w:p w14:paraId="2BBD71AB">
      <w:pPr>
        <w:pStyle w:val="47"/>
        <w:spacing w:before="120" w:after="120"/>
        <w:rPr>
          <w:rFonts w:ascii="Times New Roman"/>
          <w:highlight w:val="none"/>
        </w:rPr>
      </w:pPr>
      <w:r>
        <w:rPr>
          <w:rFonts w:hint="eastAsia" w:ascii="Times New Roman"/>
          <w:highlight w:val="none"/>
        </w:rPr>
        <w:t>抽出处理技术</w:t>
      </w:r>
    </w:p>
    <w:p w14:paraId="1DBE72E2">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对地下水污染羽需快速控制或防止扩散的场地，</w:t>
      </w:r>
      <w:r>
        <w:rPr>
          <w:rFonts w:hint="eastAsia" w:ascii="Times New Roman" w:eastAsia="宋体"/>
          <w:highlight w:val="none"/>
          <w:lang w:val="en-US" w:eastAsia="zh-CN"/>
        </w:rPr>
        <w:t>宜</w:t>
      </w:r>
      <w:r>
        <w:rPr>
          <w:rFonts w:hint="eastAsia" w:ascii="Times New Roman" w:hAnsi="Times New Roman" w:eastAsia="宋体"/>
          <w:highlight w:val="none"/>
        </w:rPr>
        <w:t>采用抽出处理技术。</w:t>
      </w:r>
    </w:p>
    <w:p w14:paraId="2E49FFB3">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抽出井布设和抽水量应通过水文地质模型确定，避免过度抽提、无效抽提和污染羽外逸。</w:t>
      </w:r>
    </w:p>
    <w:p w14:paraId="67E34753">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修复实施及监测阶段宜采用高效泵、变频控制和分区抽提方式，</w:t>
      </w:r>
      <w:r>
        <w:rPr>
          <w:rFonts w:hint="eastAsia" w:ascii="Times New Roman" w:eastAsia="宋体"/>
          <w:highlight w:val="none"/>
          <w:lang w:val="en-US" w:eastAsia="zh-CN"/>
        </w:rPr>
        <w:t>并</w:t>
      </w:r>
      <w:r>
        <w:rPr>
          <w:rFonts w:hint="eastAsia" w:ascii="Times New Roman" w:hAnsi="Times New Roman" w:eastAsia="宋体"/>
          <w:highlight w:val="none"/>
        </w:rPr>
        <w:t>对抽出水量、水质、污染物浓度及水位变化进行动态跟踪，根据污染物浓度、水位和水质变化动态调整抽提速率。</w:t>
      </w:r>
    </w:p>
    <w:p w14:paraId="0A8C00A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阶段，抽出水处理工艺宜优先选择低能耗、低药耗和低污泥产生量的技术。处理达标后的水可用于回灌、场内洒水、绿化或其他合规用途。废活性炭、污泥、沉淀物等二次废物应分类收集、再生利用或安全处置。</w:t>
      </w:r>
    </w:p>
    <w:p w14:paraId="380183D2">
      <w:pPr>
        <w:pStyle w:val="47"/>
        <w:spacing w:before="120" w:after="120"/>
        <w:rPr>
          <w:rFonts w:ascii="Times New Roman"/>
          <w:highlight w:val="none"/>
        </w:rPr>
      </w:pPr>
      <w:r>
        <w:rPr>
          <w:rFonts w:hint="eastAsia" w:ascii="Times New Roman"/>
          <w:highlight w:val="none"/>
        </w:rPr>
        <w:t>原位化学氧化/还原技术</w:t>
      </w:r>
    </w:p>
    <w:p w14:paraId="2D2AECE0">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对难降解有机污染物或可通过价态转化降低毒性的污染物，宜采用原位化学氧化或原位化学还原技术。</w:t>
      </w:r>
    </w:p>
    <w:p w14:paraId="38F50807">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原料准备阶段，宜根据污染物类型、赋存状态、含水层渗透性、地下水水化学条件和目标影响半径，选用以零价铁、硫代硫酸钠等为基础的还原剂或具有缓释、分散稳定和长效反应特性的改性还原材料，减少高纯药剂使用和重复注入以降低二次环境影响。用于注入的颗粒型还原材料应综合考虑粒径、比表面积、反应活性、悬浮稳定性和地下迁移性，宜通过小试、中试或现场试验确定适宜粒径级配、投加浓度和注入方式；不宜单纯追求过细粒径，防止颗粒团聚、沉降、孔隙堵塞、迁移半径不足或还原剂过快消耗。</w:t>
      </w:r>
    </w:p>
    <w:p w14:paraId="1902A352">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修复实施及监测阶段宜采用精准注入、分区注入、缓释材料或多轮低剂量投加方式，减少一次性过量投药造成的药剂浪费、二次污染和碳排放增加</w:t>
      </w:r>
      <w:r>
        <w:rPr>
          <w:rFonts w:hint="eastAsia" w:ascii="Times New Roman" w:eastAsia="宋体"/>
          <w:highlight w:val="none"/>
          <w:lang w:eastAsia="zh-CN"/>
        </w:rPr>
        <w:t>，并控制活化方式、温度、pH和注入压力。</w:t>
      </w:r>
    </w:p>
    <w:p w14:paraId="2AB115E1">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w:t>
      </w:r>
      <w:r>
        <w:rPr>
          <w:rFonts w:hint="eastAsia" w:ascii="Times New Roman" w:eastAsia="宋体"/>
          <w:highlight w:val="none"/>
          <w:lang w:val="en-US" w:eastAsia="zh-CN"/>
        </w:rPr>
        <w:t>阶段宜</w:t>
      </w:r>
      <w:r>
        <w:rPr>
          <w:rFonts w:hint="eastAsia" w:ascii="Times New Roman" w:hAnsi="Times New Roman" w:eastAsia="宋体"/>
          <w:highlight w:val="none"/>
        </w:rPr>
        <w:t>对修复过程中产生的废弃药剂包装物、残留反应副产物等应分类收集并安全处置。</w:t>
      </w:r>
    </w:p>
    <w:p w14:paraId="66A12430">
      <w:pPr>
        <w:pStyle w:val="47"/>
        <w:spacing w:before="120" w:after="120"/>
        <w:rPr>
          <w:rFonts w:ascii="Times New Roman"/>
          <w:highlight w:val="none"/>
        </w:rPr>
      </w:pPr>
      <w:r>
        <w:rPr>
          <w:rFonts w:hint="eastAsia" w:ascii="Times New Roman"/>
          <w:highlight w:val="none"/>
        </w:rPr>
        <w:t>热脱附技术</w:t>
      </w:r>
    </w:p>
    <w:p w14:paraId="4EF64244">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对高浓度、难降解有机污染物源区或常规低能耗技术难以达标的场地，</w:t>
      </w:r>
      <w:r>
        <w:rPr>
          <w:rFonts w:hint="eastAsia" w:ascii="Times New Roman" w:eastAsia="宋体"/>
          <w:highlight w:val="none"/>
          <w:lang w:val="en-US" w:eastAsia="zh-CN"/>
        </w:rPr>
        <w:t>宜</w:t>
      </w:r>
      <w:r>
        <w:rPr>
          <w:rFonts w:hint="eastAsia" w:ascii="Times New Roman" w:hAnsi="Times New Roman" w:eastAsia="宋体"/>
          <w:highlight w:val="none"/>
        </w:rPr>
        <w:t>采用热脱附技术。</w:t>
      </w:r>
    </w:p>
    <w:p w14:paraId="6D96B18F">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系统搭建</w:t>
      </w:r>
      <w:r>
        <w:rPr>
          <w:rFonts w:hint="eastAsia" w:ascii="Times New Roman" w:eastAsia="宋体"/>
          <w:highlight w:val="none"/>
          <w:lang w:val="en-US" w:eastAsia="zh-CN"/>
        </w:rPr>
        <w:t>阶段宜</w:t>
      </w:r>
      <w:r>
        <w:rPr>
          <w:rFonts w:hint="eastAsia" w:ascii="Times New Roman" w:hAnsi="Times New Roman" w:eastAsia="宋体"/>
          <w:highlight w:val="none"/>
        </w:rPr>
        <w:t>根据场地条件和修复需求，对原位热脱附与异位热脱附进行综合比选。原位热脱附宜用于污染深度较深、开挖扰动大或存在挥发性、半挥发性有机污染物及非水相液体的源区，依据污染物挥发性、沸点、吸附特性和修复目标，采用分区加热、分阶段升温和最低有效温度控制方式，不宜对低浓度区域实施全场高强度加热。异位热脱附宜用于污染土壤可安全开挖、污染范围相对集中且需短期内实现污染物去除的场地。处理前宜开展含水率控制、筛分、预干化和物料均质化，降低无效加热能耗；具备条件时宜优先采用场内处理，减少长距离运输和二次转运。</w:t>
      </w:r>
    </w:p>
    <w:p w14:paraId="462CC6D5">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优先采用高效加热方式，并结合绿电、可再生能源、余热回收和热交换系统降低化石能源消耗。应对加热温度、处理时间、污染物去除率及尾气排放等关键指标进行动态监测，根据监测结果调整运行参数，确保处理效果和能效水平。</w:t>
      </w:r>
    </w:p>
    <w:p w14:paraId="69A24A0E">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废物处置阶段应</w:t>
      </w:r>
      <w:r>
        <w:rPr>
          <w:rFonts w:hint="eastAsia" w:ascii="Times New Roman" w:eastAsia="宋体"/>
          <w:highlight w:val="none"/>
          <w:lang w:val="en-US" w:eastAsia="zh-CN"/>
        </w:rPr>
        <w:t>对</w:t>
      </w:r>
      <w:r>
        <w:rPr>
          <w:rFonts w:hint="eastAsia" w:ascii="Times New Roman" w:hAnsi="Times New Roman" w:eastAsia="宋体"/>
          <w:highlight w:val="none"/>
        </w:rPr>
        <w:t>热脱附尾气进行冷凝、吸附、催化氧化、燃烧或其他达标处理</w:t>
      </w:r>
      <w:r>
        <w:rPr>
          <w:rFonts w:hint="eastAsia" w:ascii="Times New Roman" w:eastAsia="宋体"/>
          <w:highlight w:val="none"/>
          <w:lang w:eastAsia="zh-CN"/>
        </w:rPr>
        <w:t>，</w:t>
      </w:r>
      <w:r>
        <w:rPr>
          <w:rFonts w:hint="eastAsia" w:ascii="Times New Roman" w:hAnsi="Times New Roman" w:eastAsia="宋体"/>
          <w:highlight w:val="none"/>
        </w:rPr>
        <w:t>获得的可回收污染物、冷凝液或余热应优先资源化利用。</w:t>
      </w:r>
    </w:p>
    <w:p w14:paraId="11FFFAEB">
      <w:pPr>
        <w:pStyle w:val="47"/>
        <w:spacing w:before="120" w:after="120"/>
        <w:rPr>
          <w:rFonts w:ascii="Times New Roman"/>
          <w:highlight w:val="none"/>
        </w:rPr>
      </w:pPr>
      <w:r>
        <w:rPr>
          <w:rFonts w:hint="eastAsia" w:ascii="Times New Roman"/>
          <w:highlight w:val="none"/>
        </w:rPr>
        <w:t>气相抽提/多相抽提技术</w:t>
      </w:r>
    </w:p>
    <w:p w14:paraId="2449B834">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对土壤透气性较好、污染物挥发性较强且主要分布于包气带的有机污染场地，宜采用气相抽提技术；对污染涉及包气带、毛细带及浅层饱和带，并伴有污染地下水或可抽提游离相的场地，</w:t>
      </w:r>
      <w:r>
        <w:rPr>
          <w:rFonts w:hint="eastAsia" w:ascii="Times New Roman" w:eastAsia="宋体"/>
          <w:highlight w:val="none"/>
          <w:lang w:val="en-US" w:eastAsia="zh-CN"/>
        </w:rPr>
        <w:t>宜</w:t>
      </w:r>
      <w:r>
        <w:rPr>
          <w:rFonts w:hint="eastAsia" w:ascii="Times New Roman" w:hAnsi="Times New Roman" w:eastAsia="宋体"/>
          <w:highlight w:val="none"/>
        </w:rPr>
        <w:t>采用多相抽提技术。</w:t>
      </w:r>
    </w:p>
    <w:p w14:paraId="3B2C6A86">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系统搭建阶段，抽提井网应根据土壤透气性、影响半径、污染物挥发性和地下水位条件优化布设，减少无效抽提范围。</w:t>
      </w:r>
    </w:p>
    <w:p w14:paraId="31FF6308">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修复实施及监测阶段宜采用高效真空泵、变频风机和间歇抽提模式，并对土壤气污染物浓度、真空度和流量等关键指标进行跟踪监测，根据监测结果优化运行参数，确保抽提效率。</w:t>
      </w:r>
    </w:p>
    <w:p w14:paraId="302EA1FB">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w:t>
      </w:r>
      <w:r>
        <w:rPr>
          <w:rFonts w:hint="eastAsia" w:ascii="Times New Roman" w:eastAsia="宋体"/>
          <w:highlight w:val="none"/>
          <w:lang w:val="en-US" w:eastAsia="zh-CN"/>
        </w:rPr>
        <w:t>阶段</w:t>
      </w:r>
      <w:r>
        <w:rPr>
          <w:rFonts w:hint="eastAsia" w:ascii="Times New Roman" w:hAnsi="Times New Roman" w:eastAsia="宋体"/>
          <w:highlight w:val="none"/>
        </w:rPr>
        <w:t>应根据污染物浓度和组成，选择适宜的活性炭吸附、冷凝回收、催化氧化、生物滤池等工艺进行尾气处理。使用可再生吸附材料时应优先再生利用。产生的废水、废油和废气应分类处理</w:t>
      </w:r>
      <w:r>
        <w:rPr>
          <w:rFonts w:hint="eastAsia" w:ascii="Times New Roman" w:eastAsia="宋体"/>
          <w:highlight w:val="none"/>
          <w:lang w:eastAsia="zh-CN"/>
        </w:rPr>
        <w:t>，</w:t>
      </w:r>
      <w:r>
        <w:rPr>
          <w:rFonts w:hint="eastAsia" w:ascii="Times New Roman" w:hAnsi="Times New Roman" w:eastAsia="宋体"/>
          <w:highlight w:val="none"/>
        </w:rPr>
        <w:t xml:space="preserve">可回收油相或溶剂时，应优先回收利用。 </w:t>
      </w:r>
    </w:p>
    <w:p w14:paraId="0808F1B4">
      <w:pPr>
        <w:pStyle w:val="47"/>
        <w:spacing w:before="120" w:after="120"/>
        <w:rPr>
          <w:rFonts w:ascii="Times New Roman"/>
          <w:highlight w:val="none"/>
        </w:rPr>
      </w:pPr>
      <w:r>
        <w:rPr>
          <w:rFonts w:hint="eastAsia" w:ascii="Times New Roman"/>
          <w:highlight w:val="none"/>
        </w:rPr>
        <w:t>电动修复技术</w:t>
      </w:r>
    </w:p>
    <w:p w14:paraId="5A2D3FDC">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对低渗透黏土、粉质黏土或传统注入、抽提难以覆盖的重金属污染场地，</w:t>
      </w:r>
      <w:r>
        <w:rPr>
          <w:rFonts w:hint="eastAsia" w:ascii="Times New Roman" w:eastAsia="宋体"/>
          <w:highlight w:val="none"/>
          <w:lang w:val="en-US" w:eastAsia="zh-CN"/>
        </w:rPr>
        <w:t>宜</w:t>
      </w:r>
      <w:r>
        <w:rPr>
          <w:rFonts w:hint="eastAsia" w:ascii="Times New Roman" w:hAnsi="Times New Roman" w:eastAsia="宋体"/>
          <w:highlight w:val="none"/>
        </w:rPr>
        <w:t>采用电动修复技术。</w:t>
      </w:r>
    </w:p>
    <w:p w14:paraId="14F7C0FA">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系统搭建阶段宜通过小试、数值模拟等方式确定电压梯度、电极间距、通电周期、pH缓冲方式和水分控制条件，减少无效耗电。</w:t>
      </w:r>
    </w:p>
    <w:p w14:paraId="7FB2F96E">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修复实施及监测阶段宜采用脉冲供电、间歇供电、分区通电或阶段性通电方式替代长期连续通电，并宜优先使用可再生电力。宜持续监测电压、电流、能耗、土壤温度、含水率、pH、</w:t>
      </w:r>
      <w:r>
        <w:rPr>
          <w:rFonts w:hint="eastAsia" w:ascii="Times New Roman" w:eastAsia="宋体"/>
          <w:highlight w:val="none"/>
          <w:lang w:val="en-US" w:eastAsia="zh-CN"/>
        </w:rPr>
        <w:t>氧化还原电位</w:t>
      </w:r>
      <w:r>
        <w:rPr>
          <w:rFonts w:hint="eastAsia" w:ascii="Times New Roman" w:hAnsi="Times New Roman" w:eastAsia="宋体"/>
          <w:highlight w:val="none"/>
        </w:rPr>
        <w:t>和电极区污染物变化情况，防止土壤过热、酸碱前沿失控或电极钝化，根据监测结果及时调整供电策略和pH缓冲措施。</w:t>
      </w:r>
    </w:p>
    <w:p w14:paraId="1017DD29">
      <w:pPr>
        <w:pStyle w:val="48"/>
        <w:spacing w:before="120" w:after="120"/>
        <w:rPr>
          <w:rFonts w:hint="eastAsia" w:ascii="Times New Roman" w:hAnsi="Times New Roman" w:eastAsia="宋体"/>
          <w:highlight w:val="none"/>
        </w:rPr>
      </w:pPr>
      <w:r>
        <w:rPr>
          <w:rFonts w:hint="eastAsia" w:ascii="Times New Roman" w:hAnsi="Times New Roman" w:eastAsia="宋体"/>
          <w:highlight w:val="none"/>
        </w:rPr>
        <w:t>废物处置环节对电极区富集的污染物、更换下来的电极材料及pH缓冲废液等，应分类收集并根据其性质采取资源化利用或安全处置措施，防止二次污染。</w:t>
      </w:r>
    </w:p>
    <w:p w14:paraId="6292780B">
      <w:pPr>
        <w:pStyle w:val="46"/>
        <w:spacing w:before="120" w:after="120"/>
        <w:rPr>
          <w:rFonts w:ascii="Times New Roman"/>
          <w:highlight w:val="none"/>
        </w:rPr>
      </w:pPr>
      <w:bookmarkStart w:id="136" w:name="_Toc233794383"/>
      <w:bookmarkStart w:id="137" w:name="_Toc11982"/>
      <w:r>
        <w:rPr>
          <w:rFonts w:hint="eastAsia" w:ascii="Times New Roman"/>
          <w:highlight w:val="none"/>
        </w:rPr>
        <w:t>集成修复技术</w:t>
      </w:r>
      <w:r>
        <w:rPr>
          <w:rFonts w:hint="eastAsia" w:ascii="Times New Roman"/>
          <w:highlight w:val="none"/>
          <w:lang w:val="en-US" w:eastAsia="zh-CN"/>
        </w:rPr>
        <w:t>降碳</w:t>
      </w:r>
      <w:r>
        <w:rPr>
          <w:rFonts w:hint="eastAsia" w:ascii="Times New Roman"/>
          <w:highlight w:val="none"/>
        </w:rPr>
        <w:t>最佳管理措施</w:t>
      </w:r>
      <w:bookmarkEnd w:id="136"/>
      <w:bookmarkEnd w:id="137"/>
    </w:p>
    <w:p w14:paraId="28141B6F">
      <w:pPr>
        <w:pStyle w:val="47"/>
        <w:spacing w:before="120" w:after="120"/>
        <w:ind w:firstLine="420"/>
        <w:rPr>
          <w:rFonts w:ascii="Times New Roman"/>
          <w:highlight w:val="none"/>
        </w:rPr>
      </w:pPr>
      <w:r>
        <w:rPr>
          <w:rFonts w:hint="eastAsia" w:ascii="Times New Roman" w:hAnsi="Times New Roman" w:eastAsia="宋体"/>
          <w:highlight w:val="none"/>
        </w:rPr>
        <w:t>对污染物类型复杂、污染浓度差异大或单一技术难以兼顾修复效率与低碳目标的地块，宜采用集成修复技术。</w:t>
      </w:r>
    </w:p>
    <w:p w14:paraId="266D3835">
      <w:pPr>
        <w:pStyle w:val="47"/>
        <w:spacing w:before="120" w:after="120"/>
        <w:ind w:firstLine="420"/>
        <w:rPr>
          <w:rFonts w:hint="eastAsia" w:ascii="Times New Roman" w:hAnsi="Times New Roman" w:eastAsia="宋体"/>
          <w:highlight w:val="none"/>
        </w:rPr>
      </w:pPr>
      <w:r>
        <w:rPr>
          <w:rFonts w:hint="eastAsia" w:ascii="Times New Roman" w:hAnsi="Times New Roman" w:eastAsia="宋体"/>
          <w:highlight w:val="none"/>
        </w:rPr>
        <w:t>集成修复技术宜遵循“源区高效削减、中低浓度区域低碳修复、拖尾阶段自然衰减或生态恢复”的原则，避免全场采用单一高强度、高能耗技术。</w:t>
      </w:r>
    </w:p>
    <w:p w14:paraId="47121CA6">
      <w:pPr>
        <w:pStyle w:val="47"/>
        <w:spacing w:before="120" w:after="120"/>
        <w:ind w:firstLine="420"/>
        <w:rPr>
          <w:rFonts w:hint="eastAsia" w:ascii="Times New Roman" w:hAnsi="Times New Roman" w:eastAsia="宋体"/>
          <w:highlight w:val="none"/>
        </w:rPr>
      </w:pPr>
      <w:bookmarkStart w:id="138" w:name="OLE_LINK6"/>
      <w:r>
        <w:rPr>
          <w:rFonts w:hint="eastAsia" w:ascii="Times New Roman" w:hAnsi="Times New Roman" w:eastAsia="宋体"/>
          <w:highlight w:val="none"/>
        </w:rPr>
        <w:t>集成修复技术宜遵循“前期快速削减、中期强化控制、后期低碳维持”的分阶段修复原则。前期宜针对高浓度源区或高风险区域采用高效主动修复技术，快速降低污染负荷和暴露风险；中期宜结合污染物浓度变化、去除速率和风险控制效果，优化运行参数或调整技术单元；后期宜优先采用生物修复、植物修复、强化自然衰减或监测自然衰减等低能耗方式，控制残留污染和拖尾反弹。</w:t>
      </w:r>
    </w:p>
    <w:p w14:paraId="1CE1EC84">
      <w:pPr>
        <w:pStyle w:val="47"/>
        <w:spacing w:before="120" w:after="120"/>
        <w:ind w:firstLine="420"/>
        <w:rPr>
          <w:rFonts w:hint="eastAsia" w:ascii="Times New Roman" w:hAnsi="Times New Roman" w:eastAsia="宋体"/>
          <w:highlight w:val="none"/>
        </w:rPr>
      </w:pPr>
      <w:r>
        <w:rPr>
          <w:rFonts w:hint="eastAsia" w:ascii="Times New Roman" w:hAnsi="Times New Roman" w:eastAsia="宋体"/>
          <w:highlight w:val="none"/>
        </w:rPr>
        <w:t>集成修复技术应明确不同技术单元的功能定位和衔接关系。快速削减类技术宜用于污染源强削减和短期风险控制，抽提、阻隔、稳定化等技术宜用于污染迁移控制和暴露途径阻断，生物修复、植物修复和自然衰减类技术宜用于残留污染处理、生态恢复和长期风险管控，避免不同技术简单叠加或功能重复。</w:t>
      </w:r>
    </w:p>
    <w:p w14:paraId="223B401F">
      <w:pPr>
        <w:pStyle w:val="47"/>
        <w:spacing w:before="120" w:after="120"/>
        <w:ind w:firstLine="420"/>
        <w:rPr>
          <w:rFonts w:hint="eastAsia" w:ascii="Times New Roman" w:hAnsi="Times New Roman" w:eastAsia="宋体"/>
          <w:highlight w:val="none"/>
        </w:rPr>
      </w:pPr>
      <w:r>
        <w:rPr>
          <w:rFonts w:hint="eastAsia" w:ascii="Times New Roman" w:hAnsi="Times New Roman" w:eastAsia="宋体"/>
          <w:highlight w:val="none"/>
        </w:rPr>
        <w:t>集成修复方案宜根据污染物类型、赋存形态、污染分布、水文地质条件、修复目标、工期要求和碳排放贡献，合理确定技术组合、实施顺序和运行强度。技术衔接过程中应兼顾修复效率、资源消耗和长期稳定性，实现短期风险控制、污染物减量和长期生态恢复协同。</w:t>
      </w:r>
    </w:p>
    <w:p w14:paraId="1C8DC246">
      <w:pPr>
        <w:pStyle w:val="31"/>
        <w:rPr>
          <w:rFonts w:hint="eastAsia" w:ascii="Times New Roman" w:hAnsi="Times New Roman" w:eastAsia="宋体"/>
          <w:highlight w:val="none"/>
        </w:rPr>
      </w:pPr>
    </w:p>
    <w:p w14:paraId="6264DCDF">
      <w:pPr>
        <w:pStyle w:val="31"/>
        <w:rPr>
          <w:rFonts w:hint="eastAsia" w:ascii="Times New Roman" w:hAnsi="Times New Roman" w:eastAsia="宋体"/>
          <w:highlight w:val="none"/>
        </w:rPr>
      </w:pPr>
    </w:p>
    <w:p w14:paraId="3DACEBB7">
      <w:pPr>
        <w:pStyle w:val="31"/>
        <w:rPr>
          <w:rFonts w:hint="eastAsia" w:ascii="Times New Roman" w:hAnsi="Times New Roman" w:eastAsia="宋体"/>
          <w:highlight w:val="none"/>
        </w:rPr>
      </w:pPr>
    </w:p>
    <w:p w14:paraId="4DC1424C">
      <w:pPr>
        <w:pStyle w:val="31"/>
        <w:rPr>
          <w:rFonts w:hint="eastAsia" w:ascii="Times New Roman" w:hAnsi="Times New Roman" w:eastAsia="宋体"/>
          <w:highlight w:val="none"/>
        </w:rPr>
      </w:pPr>
    </w:p>
    <w:p w14:paraId="58FAB1BD">
      <w:pPr>
        <w:pStyle w:val="31"/>
        <w:rPr>
          <w:rFonts w:hint="eastAsia" w:ascii="Times New Roman" w:hAnsi="Times New Roman" w:eastAsia="宋体"/>
          <w:highlight w:val="none"/>
        </w:rPr>
      </w:pPr>
    </w:p>
    <w:p w14:paraId="41CF8DA4">
      <w:pPr>
        <w:pStyle w:val="31"/>
        <w:rPr>
          <w:rFonts w:hint="eastAsia" w:ascii="Times New Roman" w:hAnsi="Times New Roman" w:eastAsia="宋体"/>
          <w:highlight w:val="none"/>
        </w:rPr>
      </w:pPr>
    </w:p>
    <w:p w14:paraId="3A80F692">
      <w:pPr>
        <w:pStyle w:val="31"/>
        <w:rPr>
          <w:rFonts w:hint="eastAsia" w:ascii="Times New Roman" w:hAnsi="Times New Roman" w:eastAsia="宋体"/>
          <w:highlight w:val="none"/>
        </w:rPr>
      </w:pPr>
    </w:p>
    <w:p w14:paraId="3ED500DE">
      <w:pPr>
        <w:pStyle w:val="31"/>
        <w:rPr>
          <w:rFonts w:hint="default" w:ascii="Times New Roman" w:hAnsi="Times New Roman" w:eastAsia="宋体"/>
          <w:highlight w:val="none"/>
        </w:rPr>
        <w:sectPr>
          <w:headerReference r:id="rId19" w:type="default"/>
          <w:footerReference r:id="rId21" w:type="default"/>
          <w:headerReference r:id="rId20" w:type="even"/>
          <w:footerReference r:id="rId22" w:type="even"/>
          <w:pgSz w:w="11906" w:h="16838"/>
          <w:pgMar w:top="2410" w:right="1134" w:bottom="1134" w:left="1134" w:header="1418" w:footer="1134" w:gutter="284"/>
          <w:pgNumType w:start="1"/>
          <w:cols w:space="425" w:num="1"/>
          <w:formProt w:val="0"/>
          <w:docGrid w:linePitch="312" w:charSpace="0"/>
        </w:sectPr>
      </w:pPr>
    </w:p>
    <w:bookmarkEnd w:id="23"/>
    <w:bookmarkEnd w:id="138"/>
    <w:p w14:paraId="6739438E">
      <w:pPr>
        <w:pStyle w:val="51"/>
        <w:rPr>
          <w:rFonts w:hint="eastAsia" w:ascii="Times New Roman" w:hAnsi="Times New Roman"/>
          <w:vanish w:val="0"/>
          <w:highlight w:val="none"/>
        </w:rPr>
      </w:pPr>
      <w:bookmarkStart w:id="139" w:name="BookMark5"/>
    </w:p>
    <w:p w14:paraId="1AE19846">
      <w:pPr>
        <w:pStyle w:val="52"/>
        <w:rPr>
          <w:rFonts w:ascii="Times New Roman"/>
          <w:vanish w:val="0"/>
          <w:highlight w:val="none"/>
        </w:rPr>
      </w:pPr>
    </w:p>
    <w:p w14:paraId="38C18BB2">
      <w:pPr>
        <w:pStyle w:val="53"/>
        <w:spacing w:before="60" w:after="120"/>
        <w:rPr>
          <w:rFonts w:ascii="Times New Roman"/>
          <w:highlight w:val="none"/>
        </w:rPr>
      </w:pPr>
      <w:bookmarkStart w:id="140" w:name="_Toc12636"/>
      <w:r>
        <w:rPr>
          <w:rFonts w:ascii="Times New Roman"/>
          <w:highlight w:val="none"/>
        </w:rPr>
        <w:br w:type="textWrapping"/>
      </w:r>
      <w:bookmarkStart w:id="141" w:name="_Toc233794384"/>
      <w:r>
        <w:rPr>
          <w:rFonts w:hint="eastAsia" w:ascii="Times New Roman"/>
          <w:highlight w:val="none"/>
        </w:rPr>
        <w:t>（资料性）</w:t>
      </w:r>
      <w:r>
        <w:rPr>
          <w:rFonts w:ascii="Times New Roman"/>
          <w:highlight w:val="none"/>
        </w:rPr>
        <w:br w:type="textWrapping"/>
      </w:r>
      <w:bookmarkEnd w:id="140"/>
    </w:p>
    <w:p w14:paraId="50CAD359">
      <w:pPr>
        <w:pStyle w:val="31"/>
        <w:ind w:firstLine="0" w:firstLineChars="0"/>
        <w:jc w:val="center"/>
        <w:rPr>
          <w:rFonts w:hint="eastAsia"/>
          <w:highlight w:val="none"/>
        </w:rPr>
      </w:pPr>
      <w:r>
        <w:rPr>
          <w:rFonts w:hint="eastAsia"/>
          <w:highlight w:val="none"/>
        </w:rPr>
        <w:t>表</w:t>
      </w:r>
      <w:r>
        <w:rPr>
          <w:rFonts w:hint="eastAsia"/>
          <w:highlight w:val="none"/>
          <w:lang w:val="en-US" w:eastAsia="zh-CN"/>
        </w:rPr>
        <w:t>A-1</w:t>
      </w:r>
      <w:r>
        <w:rPr>
          <w:rFonts w:hint="eastAsia"/>
          <w:highlight w:val="none"/>
        </w:rPr>
        <w:t xml:space="preserve"> 污染地块绿色低碳修复技术筛选矩阵</w:t>
      </w:r>
    </w:p>
    <w:p w14:paraId="146658F8">
      <w:pPr>
        <w:pStyle w:val="31"/>
        <w:ind w:firstLine="0" w:firstLineChars="0"/>
        <w:jc w:val="center"/>
        <w:rPr>
          <w:rFonts w:hint="eastAsia"/>
          <w:highlight w:val="none"/>
        </w:rPr>
      </w:pPr>
    </w:p>
    <w:tbl>
      <w:tblPr>
        <w:tblStyle w:val="15"/>
        <w:tblW w:w="5000" w:type="pct"/>
        <w:tblInd w:w="0" w:type="dxa"/>
        <w:tblLayout w:type="fixed"/>
        <w:tblCellMar>
          <w:top w:w="0" w:type="dxa"/>
          <w:left w:w="108" w:type="dxa"/>
          <w:bottom w:w="0" w:type="dxa"/>
          <w:right w:w="108" w:type="dxa"/>
        </w:tblCellMar>
      </w:tblPr>
      <w:tblGrid>
        <w:gridCol w:w="1135"/>
        <w:gridCol w:w="521"/>
        <w:gridCol w:w="547"/>
        <w:gridCol w:w="600"/>
        <w:gridCol w:w="443"/>
        <w:gridCol w:w="469"/>
        <w:gridCol w:w="443"/>
        <w:gridCol w:w="665"/>
        <w:gridCol w:w="665"/>
        <w:gridCol w:w="691"/>
        <w:gridCol w:w="691"/>
        <w:gridCol w:w="690"/>
        <w:gridCol w:w="887"/>
        <w:gridCol w:w="908"/>
      </w:tblGrid>
      <w:tr w14:paraId="3DBE5276">
        <w:tblPrEx>
          <w:tblCellMar>
            <w:top w:w="0" w:type="dxa"/>
            <w:left w:w="108" w:type="dxa"/>
            <w:bottom w:w="0" w:type="dxa"/>
            <w:right w:w="108" w:type="dxa"/>
          </w:tblCellMar>
        </w:tblPrEx>
        <w:trPr>
          <w:trHeight w:val="288" w:hRule="atLeast"/>
        </w:trPr>
        <w:tc>
          <w:tcPr>
            <w:tcW w:w="606" w:type="pct"/>
            <w:vMerge w:val="restart"/>
            <w:tcBorders>
              <w:top w:val="single" w:color="auto" w:sz="4" w:space="0"/>
              <w:left w:val="single" w:color="auto" w:sz="4" w:space="0"/>
              <w:right w:val="single" w:color="auto" w:sz="4" w:space="0"/>
            </w:tcBorders>
            <w:noWrap/>
            <w:vAlign w:val="center"/>
          </w:tcPr>
          <w:p w14:paraId="751DBC9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修复技术</w:t>
            </w:r>
          </w:p>
        </w:tc>
        <w:tc>
          <w:tcPr>
            <w:tcW w:w="891" w:type="pct"/>
            <w:gridSpan w:val="3"/>
            <w:tcBorders>
              <w:top w:val="single" w:color="auto" w:sz="4" w:space="0"/>
              <w:left w:val="nil"/>
              <w:bottom w:val="single" w:color="auto" w:sz="4" w:space="0"/>
              <w:right w:val="single" w:color="auto" w:sz="4" w:space="0"/>
            </w:tcBorders>
            <w:noWrap/>
            <w:vAlign w:val="center"/>
          </w:tcPr>
          <w:p w14:paraId="07B22B1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污染物类型</w:t>
            </w:r>
          </w:p>
        </w:tc>
        <w:tc>
          <w:tcPr>
            <w:tcW w:w="724" w:type="pct"/>
            <w:gridSpan w:val="3"/>
            <w:tcBorders>
              <w:top w:val="single" w:color="auto" w:sz="4" w:space="0"/>
              <w:left w:val="nil"/>
              <w:bottom w:val="single" w:color="auto" w:sz="4" w:space="0"/>
              <w:right w:val="single" w:color="auto" w:sz="4" w:space="0"/>
            </w:tcBorders>
            <w:noWrap/>
            <w:vAlign w:val="center"/>
          </w:tcPr>
          <w:p w14:paraId="6DC9A4A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污染程度</w:t>
            </w:r>
          </w:p>
        </w:tc>
        <w:tc>
          <w:tcPr>
            <w:tcW w:w="1449" w:type="pct"/>
            <w:gridSpan w:val="4"/>
            <w:tcBorders>
              <w:top w:val="single" w:color="auto" w:sz="4" w:space="0"/>
              <w:left w:val="nil"/>
              <w:bottom w:val="single" w:color="auto" w:sz="4" w:space="0"/>
              <w:right w:val="single" w:color="auto" w:sz="4" w:space="0"/>
            </w:tcBorders>
            <w:noWrap/>
            <w:vAlign w:val="center"/>
          </w:tcPr>
          <w:p w14:paraId="23E69C7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水文地质条件</w:t>
            </w:r>
          </w:p>
        </w:tc>
        <w:tc>
          <w:tcPr>
            <w:tcW w:w="1328" w:type="pct"/>
            <w:gridSpan w:val="3"/>
            <w:tcBorders>
              <w:top w:val="single" w:color="auto" w:sz="4" w:space="0"/>
              <w:left w:val="nil"/>
              <w:bottom w:val="single" w:color="auto" w:sz="4" w:space="0"/>
              <w:right w:val="single" w:color="auto" w:sz="4" w:space="0"/>
            </w:tcBorders>
            <w:noWrap/>
            <w:vAlign w:val="center"/>
          </w:tcPr>
          <w:p w14:paraId="14A834D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修复目标</w:t>
            </w:r>
          </w:p>
        </w:tc>
      </w:tr>
      <w:tr w14:paraId="0B842B3A">
        <w:tblPrEx>
          <w:tblCellMar>
            <w:top w:w="0" w:type="dxa"/>
            <w:left w:w="108" w:type="dxa"/>
            <w:bottom w:w="0" w:type="dxa"/>
            <w:right w:w="108" w:type="dxa"/>
          </w:tblCellMar>
        </w:tblPrEx>
        <w:trPr>
          <w:trHeight w:val="170" w:hRule="atLeast"/>
        </w:trPr>
        <w:tc>
          <w:tcPr>
            <w:tcW w:w="606" w:type="pct"/>
            <w:vMerge w:val="continue"/>
            <w:tcBorders>
              <w:left w:val="single" w:color="auto" w:sz="4" w:space="0"/>
              <w:bottom w:val="single" w:color="auto" w:sz="4" w:space="0"/>
              <w:right w:val="single" w:color="auto" w:sz="4" w:space="0"/>
            </w:tcBorders>
            <w:noWrap/>
            <w:vAlign w:val="center"/>
          </w:tcPr>
          <w:p w14:paraId="02F4E346">
            <w:pPr>
              <w:widowControl/>
              <w:jc w:val="center"/>
              <w:textAlignment w:val="center"/>
              <w:rPr>
                <w:rFonts w:hint="eastAsia" w:ascii="宋体" w:hAnsi="宋体" w:cs="宋体"/>
                <w:color w:val="000000"/>
                <w:sz w:val="22"/>
                <w:szCs w:val="22"/>
                <w:highlight w:val="none"/>
              </w:rPr>
            </w:pPr>
          </w:p>
        </w:tc>
        <w:tc>
          <w:tcPr>
            <w:tcW w:w="278" w:type="pct"/>
            <w:tcBorders>
              <w:top w:val="nil"/>
              <w:left w:val="nil"/>
              <w:bottom w:val="single" w:color="auto" w:sz="4" w:space="0"/>
              <w:right w:val="single" w:color="auto" w:sz="4" w:space="0"/>
            </w:tcBorders>
            <w:noWrap/>
            <w:vAlign w:val="center"/>
          </w:tcPr>
          <w:p w14:paraId="44DEF8B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重金属</w:t>
            </w:r>
          </w:p>
        </w:tc>
        <w:tc>
          <w:tcPr>
            <w:tcW w:w="292" w:type="pct"/>
            <w:tcBorders>
              <w:top w:val="nil"/>
              <w:left w:val="nil"/>
              <w:bottom w:val="single" w:color="auto" w:sz="4" w:space="0"/>
              <w:right w:val="single" w:color="auto" w:sz="4" w:space="0"/>
            </w:tcBorders>
            <w:noWrap/>
            <w:vAlign w:val="center"/>
          </w:tcPr>
          <w:p w14:paraId="3E47E2BF">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有机污染</w:t>
            </w:r>
          </w:p>
        </w:tc>
        <w:tc>
          <w:tcPr>
            <w:tcW w:w="320" w:type="pct"/>
            <w:tcBorders>
              <w:top w:val="nil"/>
              <w:left w:val="nil"/>
              <w:bottom w:val="single" w:color="auto" w:sz="4" w:space="0"/>
              <w:right w:val="single" w:color="auto" w:sz="4" w:space="0"/>
            </w:tcBorders>
            <w:noWrap/>
            <w:vAlign w:val="center"/>
          </w:tcPr>
          <w:p w14:paraId="068C7D2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复合污染</w:t>
            </w:r>
          </w:p>
        </w:tc>
        <w:tc>
          <w:tcPr>
            <w:tcW w:w="236" w:type="pct"/>
            <w:tcBorders>
              <w:top w:val="nil"/>
              <w:left w:val="nil"/>
              <w:bottom w:val="single" w:color="auto" w:sz="4" w:space="0"/>
              <w:right w:val="single" w:color="auto" w:sz="4" w:space="0"/>
            </w:tcBorders>
            <w:noWrap/>
            <w:vAlign w:val="center"/>
          </w:tcPr>
          <w:p w14:paraId="0F3B815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低</w:t>
            </w:r>
          </w:p>
        </w:tc>
        <w:tc>
          <w:tcPr>
            <w:tcW w:w="250" w:type="pct"/>
            <w:tcBorders>
              <w:top w:val="nil"/>
              <w:left w:val="nil"/>
              <w:bottom w:val="single" w:color="auto" w:sz="4" w:space="0"/>
              <w:right w:val="single" w:color="auto" w:sz="4" w:space="0"/>
            </w:tcBorders>
            <w:noWrap/>
            <w:vAlign w:val="center"/>
          </w:tcPr>
          <w:p w14:paraId="2BD1A5A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中</w:t>
            </w:r>
          </w:p>
        </w:tc>
        <w:tc>
          <w:tcPr>
            <w:tcW w:w="236" w:type="pct"/>
            <w:tcBorders>
              <w:top w:val="nil"/>
              <w:left w:val="nil"/>
              <w:bottom w:val="single" w:color="auto" w:sz="4" w:space="0"/>
              <w:right w:val="single" w:color="auto" w:sz="4" w:space="0"/>
            </w:tcBorders>
            <w:noWrap/>
            <w:vAlign w:val="center"/>
          </w:tcPr>
          <w:p w14:paraId="41ACAFD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高</w:t>
            </w:r>
          </w:p>
        </w:tc>
        <w:tc>
          <w:tcPr>
            <w:tcW w:w="355" w:type="pct"/>
            <w:tcBorders>
              <w:top w:val="nil"/>
              <w:left w:val="nil"/>
              <w:bottom w:val="single" w:color="auto" w:sz="4" w:space="0"/>
              <w:right w:val="single" w:color="auto" w:sz="4" w:space="0"/>
            </w:tcBorders>
            <w:noWrap/>
            <w:vAlign w:val="center"/>
          </w:tcPr>
          <w:p w14:paraId="3AC64C2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高渗透性</w:t>
            </w:r>
          </w:p>
        </w:tc>
        <w:tc>
          <w:tcPr>
            <w:tcW w:w="355" w:type="pct"/>
            <w:tcBorders>
              <w:top w:val="nil"/>
              <w:left w:val="nil"/>
              <w:bottom w:val="single" w:color="auto" w:sz="4" w:space="0"/>
              <w:right w:val="single" w:color="auto" w:sz="4" w:space="0"/>
            </w:tcBorders>
            <w:noWrap/>
            <w:vAlign w:val="center"/>
          </w:tcPr>
          <w:p w14:paraId="4832F8D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低渗透性</w:t>
            </w:r>
          </w:p>
        </w:tc>
        <w:tc>
          <w:tcPr>
            <w:tcW w:w="369" w:type="pct"/>
            <w:tcBorders>
              <w:top w:val="nil"/>
              <w:left w:val="nil"/>
              <w:bottom w:val="single" w:color="auto" w:sz="4" w:space="0"/>
              <w:right w:val="single" w:color="auto" w:sz="4" w:space="0"/>
            </w:tcBorders>
            <w:noWrap/>
            <w:vAlign w:val="center"/>
          </w:tcPr>
          <w:p w14:paraId="7C70970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地下水流速快</w:t>
            </w:r>
          </w:p>
        </w:tc>
        <w:tc>
          <w:tcPr>
            <w:tcW w:w="369" w:type="pct"/>
            <w:tcBorders>
              <w:top w:val="nil"/>
              <w:left w:val="nil"/>
              <w:bottom w:val="single" w:color="auto" w:sz="4" w:space="0"/>
              <w:right w:val="single" w:color="auto" w:sz="4" w:space="0"/>
            </w:tcBorders>
            <w:noWrap/>
            <w:vAlign w:val="center"/>
          </w:tcPr>
          <w:p w14:paraId="6D2AC4C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地下水流速慢</w:t>
            </w:r>
          </w:p>
        </w:tc>
        <w:tc>
          <w:tcPr>
            <w:tcW w:w="368" w:type="pct"/>
            <w:tcBorders>
              <w:top w:val="nil"/>
              <w:left w:val="nil"/>
              <w:bottom w:val="single" w:color="auto" w:sz="4" w:space="0"/>
              <w:right w:val="single" w:color="auto" w:sz="4" w:space="0"/>
            </w:tcBorders>
            <w:noWrap/>
            <w:vAlign w:val="center"/>
          </w:tcPr>
          <w:p w14:paraId="1DF6276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修复周期宽裕</w:t>
            </w:r>
          </w:p>
        </w:tc>
        <w:tc>
          <w:tcPr>
            <w:tcW w:w="473" w:type="pct"/>
            <w:tcBorders>
              <w:top w:val="nil"/>
              <w:left w:val="nil"/>
              <w:bottom w:val="single" w:color="auto" w:sz="4" w:space="0"/>
              <w:right w:val="single" w:color="auto" w:sz="4" w:space="0"/>
            </w:tcBorders>
            <w:noWrap/>
            <w:vAlign w:val="center"/>
          </w:tcPr>
          <w:p w14:paraId="44FEFD0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修复周期紧/要求高</w:t>
            </w:r>
          </w:p>
        </w:tc>
        <w:tc>
          <w:tcPr>
            <w:tcW w:w="485" w:type="pct"/>
            <w:tcBorders>
              <w:top w:val="nil"/>
              <w:left w:val="nil"/>
              <w:bottom w:val="single" w:color="auto" w:sz="4" w:space="0"/>
              <w:right w:val="single" w:color="auto" w:sz="4" w:space="0"/>
            </w:tcBorders>
            <w:noWrap/>
            <w:vAlign w:val="center"/>
          </w:tcPr>
          <w:p w14:paraId="570C7AF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短期快速风险控制</w:t>
            </w:r>
          </w:p>
        </w:tc>
      </w:tr>
      <w:tr w14:paraId="75D18714">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4EA61E9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固化/稳定化</w:t>
            </w:r>
          </w:p>
        </w:tc>
        <w:tc>
          <w:tcPr>
            <w:tcW w:w="278" w:type="pct"/>
            <w:tcBorders>
              <w:top w:val="nil"/>
              <w:left w:val="nil"/>
              <w:bottom w:val="single" w:color="auto" w:sz="4" w:space="0"/>
              <w:right w:val="single" w:color="auto" w:sz="4" w:space="0"/>
            </w:tcBorders>
            <w:noWrap/>
            <w:vAlign w:val="center"/>
          </w:tcPr>
          <w:p w14:paraId="74600E4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3F4CDC8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50F555C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6E5222A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056C5BB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0DE97F7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448068A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8ECD7B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5B9FCF7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312008E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6A1009C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350D01A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4D2C712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1987FD04">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3C7E632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原位生物修复</w:t>
            </w:r>
          </w:p>
        </w:tc>
        <w:tc>
          <w:tcPr>
            <w:tcW w:w="278" w:type="pct"/>
            <w:tcBorders>
              <w:top w:val="nil"/>
              <w:left w:val="nil"/>
              <w:bottom w:val="single" w:color="auto" w:sz="4" w:space="0"/>
              <w:right w:val="single" w:color="auto" w:sz="4" w:space="0"/>
            </w:tcBorders>
            <w:noWrap/>
            <w:vAlign w:val="center"/>
          </w:tcPr>
          <w:p w14:paraId="1AF53F5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58C857E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07C6693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0A0EDB7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0A07D9C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5AB1877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4B37CBF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5F778B1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4550A16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1927EBF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08C014A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4362709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0F92BBD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1861705A">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3DDB270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植物修复</w:t>
            </w:r>
          </w:p>
        </w:tc>
        <w:tc>
          <w:tcPr>
            <w:tcW w:w="278" w:type="pct"/>
            <w:tcBorders>
              <w:top w:val="nil"/>
              <w:left w:val="nil"/>
              <w:bottom w:val="single" w:color="auto" w:sz="4" w:space="0"/>
              <w:right w:val="single" w:color="auto" w:sz="4" w:space="0"/>
            </w:tcBorders>
            <w:noWrap/>
            <w:vAlign w:val="center"/>
          </w:tcPr>
          <w:p w14:paraId="6385A3E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2988CB4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675CC6E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21CF0E5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16DB5A9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1A46C7C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716905F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536D93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5DC523B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66FE876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5C839A5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395321D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2691CD9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1BE8E12D">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3879CD8C">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kern w:val="0"/>
                <w:sz w:val="22"/>
                <w:szCs w:val="22"/>
                <w:highlight w:val="none"/>
                <w:lang w:bidi="ar"/>
              </w:rPr>
              <w:t>阻隔</w:t>
            </w:r>
            <w:r>
              <w:rPr>
                <w:rFonts w:hint="eastAsia" w:ascii="宋体" w:hAnsi="宋体" w:cs="宋体"/>
                <w:color w:val="000000"/>
                <w:kern w:val="0"/>
                <w:sz w:val="22"/>
                <w:szCs w:val="22"/>
                <w:highlight w:val="none"/>
                <w:lang w:val="en-US" w:eastAsia="zh-CN" w:bidi="ar"/>
              </w:rPr>
              <w:t>技术</w:t>
            </w:r>
          </w:p>
        </w:tc>
        <w:tc>
          <w:tcPr>
            <w:tcW w:w="278" w:type="pct"/>
            <w:tcBorders>
              <w:top w:val="nil"/>
              <w:left w:val="nil"/>
              <w:bottom w:val="single" w:color="auto" w:sz="4" w:space="0"/>
              <w:right w:val="single" w:color="auto" w:sz="4" w:space="0"/>
            </w:tcBorders>
            <w:noWrap/>
            <w:vAlign w:val="center"/>
          </w:tcPr>
          <w:p w14:paraId="42B0A41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180A7EE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5F76D3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019EDB1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01804FD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11A549E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7BE2941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33D0271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3D5E0D2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22ABD30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0AA610F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5E67752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48F2511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629E8A1B">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5877A48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气相抽提</w:t>
            </w:r>
          </w:p>
        </w:tc>
        <w:tc>
          <w:tcPr>
            <w:tcW w:w="278" w:type="pct"/>
            <w:tcBorders>
              <w:top w:val="nil"/>
              <w:left w:val="nil"/>
              <w:bottom w:val="single" w:color="auto" w:sz="4" w:space="0"/>
              <w:right w:val="single" w:color="auto" w:sz="4" w:space="0"/>
            </w:tcBorders>
            <w:noWrap/>
            <w:vAlign w:val="center"/>
          </w:tcPr>
          <w:p w14:paraId="136005A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18CF210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1F7F892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121F932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4A6721B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6CB2209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1B35996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3C94131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7C7E376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61CF2D1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4348EFB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06EA875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1AA9E97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20B4140B">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45919DA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原位化学氧化/还原</w:t>
            </w:r>
          </w:p>
        </w:tc>
        <w:tc>
          <w:tcPr>
            <w:tcW w:w="278" w:type="pct"/>
            <w:tcBorders>
              <w:top w:val="nil"/>
              <w:left w:val="nil"/>
              <w:bottom w:val="single" w:color="auto" w:sz="4" w:space="0"/>
              <w:right w:val="single" w:color="auto" w:sz="4" w:space="0"/>
            </w:tcBorders>
            <w:noWrap/>
            <w:vAlign w:val="center"/>
          </w:tcPr>
          <w:p w14:paraId="744C527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4BFADE7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5BB1A7E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7D4624F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74B6BD0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0148FF5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EDAE83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10FF89E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69B79C7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09DE225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0C7AE67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0DDCD29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5532DAF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4D78AC50">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2964FCC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监测自然衰减/强化自然衰减</w:t>
            </w:r>
          </w:p>
        </w:tc>
        <w:tc>
          <w:tcPr>
            <w:tcW w:w="278" w:type="pct"/>
            <w:tcBorders>
              <w:top w:val="nil"/>
              <w:left w:val="nil"/>
              <w:bottom w:val="single" w:color="auto" w:sz="4" w:space="0"/>
              <w:right w:val="single" w:color="auto" w:sz="4" w:space="0"/>
            </w:tcBorders>
            <w:noWrap/>
            <w:vAlign w:val="center"/>
          </w:tcPr>
          <w:p w14:paraId="578A5A7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4FD27FC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2E76926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28D7EDD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5464616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6B44A79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320FF3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02D2F1D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09E726F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303D0F4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4085F05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67D3108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62DC59D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652F1516">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1BFA36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土壤淋洗</w:t>
            </w:r>
          </w:p>
        </w:tc>
        <w:tc>
          <w:tcPr>
            <w:tcW w:w="278" w:type="pct"/>
            <w:tcBorders>
              <w:top w:val="nil"/>
              <w:left w:val="nil"/>
              <w:bottom w:val="single" w:color="auto" w:sz="4" w:space="0"/>
              <w:right w:val="single" w:color="auto" w:sz="4" w:space="0"/>
            </w:tcBorders>
            <w:noWrap/>
            <w:vAlign w:val="center"/>
          </w:tcPr>
          <w:p w14:paraId="7A3BE80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0685E6B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4ACE54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31DC5FAF">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7BCC544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2469665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6E70332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152451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317A791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14694D2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56B8540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32E3389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4DFAF3F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5BA5FA61">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2B70427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热脱附</w:t>
            </w:r>
          </w:p>
        </w:tc>
        <w:tc>
          <w:tcPr>
            <w:tcW w:w="278" w:type="pct"/>
            <w:tcBorders>
              <w:top w:val="nil"/>
              <w:left w:val="nil"/>
              <w:bottom w:val="single" w:color="auto" w:sz="4" w:space="0"/>
              <w:right w:val="single" w:color="auto" w:sz="4" w:space="0"/>
            </w:tcBorders>
            <w:noWrap/>
            <w:vAlign w:val="center"/>
          </w:tcPr>
          <w:p w14:paraId="668F068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1F8B80F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9D6213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43D9727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0338CAF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1D1A413F">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6F71860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4130027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6ADC05F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2F725B4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15E7968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69F375A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515834C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5A9C583A">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28EA6EF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渗透性反应墙</w:t>
            </w:r>
          </w:p>
        </w:tc>
        <w:tc>
          <w:tcPr>
            <w:tcW w:w="278" w:type="pct"/>
            <w:tcBorders>
              <w:top w:val="nil"/>
              <w:left w:val="nil"/>
              <w:bottom w:val="single" w:color="auto" w:sz="4" w:space="0"/>
              <w:right w:val="single" w:color="auto" w:sz="4" w:space="0"/>
            </w:tcBorders>
            <w:noWrap/>
            <w:vAlign w:val="center"/>
          </w:tcPr>
          <w:p w14:paraId="616AF53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3BD98F3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EB9EC5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3A3C530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10468F6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6660F9D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192A5A7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174EC2E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3887A6E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5AA21FB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0D3CAF35">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66521EC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2198B5B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3C2A1FA8">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7E96868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原位注入</w:t>
            </w:r>
          </w:p>
        </w:tc>
        <w:tc>
          <w:tcPr>
            <w:tcW w:w="278" w:type="pct"/>
            <w:tcBorders>
              <w:top w:val="nil"/>
              <w:left w:val="nil"/>
              <w:bottom w:val="single" w:color="auto" w:sz="4" w:space="0"/>
              <w:right w:val="single" w:color="auto" w:sz="4" w:space="0"/>
            </w:tcBorders>
            <w:noWrap/>
            <w:vAlign w:val="center"/>
          </w:tcPr>
          <w:p w14:paraId="6E5F856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09FFDD5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A82AE3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71076B0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5A43424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0159B52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7BF4F09F">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5C0EACC9">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59D9CD1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04D33AF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536EDD5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382028A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4A58B9A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3AD9B28C">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2F3A520F">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抽出处理</w:t>
            </w:r>
          </w:p>
        </w:tc>
        <w:tc>
          <w:tcPr>
            <w:tcW w:w="278" w:type="pct"/>
            <w:tcBorders>
              <w:top w:val="nil"/>
              <w:left w:val="nil"/>
              <w:bottom w:val="single" w:color="auto" w:sz="4" w:space="0"/>
              <w:right w:val="single" w:color="auto" w:sz="4" w:space="0"/>
            </w:tcBorders>
            <w:noWrap/>
            <w:vAlign w:val="center"/>
          </w:tcPr>
          <w:p w14:paraId="0EA19C0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7F87AD2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A1B15C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108B393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1D36C91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23AEAEF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732EDD1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4EECD34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6D36C3D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43866F5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13028A0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7788CB1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3EC39F8D">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6335F57E">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0C76465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多相抽提</w:t>
            </w:r>
          </w:p>
        </w:tc>
        <w:tc>
          <w:tcPr>
            <w:tcW w:w="278" w:type="pct"/>
            <w:tcBorders>
              <w:top w:val="nil"/>
              <w:left w:val="nil"/>
              <w:bottom w:val="single" w:color="auto" w:sz="4" w:space="0"/>
              <w:right w:val="single" w:color="auto" w:sz="4" w:space="0"/>
            </w:tcBorders>
            <w:noWrap/>
            <w:vAlign w:val="center"/>
          </w:tcPr>
          <w:p w14:paraId="28E1AE9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783BF5CC">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71B02A5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7AC02B1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484BB79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28A2524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18211B8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1EE9DD5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6F0B1D80">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5F13F93A">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452D3F47">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1591AE1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0790907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r w14:paraId="754C6C94">
        <w:tblPrEx>
          <w:tblCellMar>
            <w:top w:w="0" w:type="dxa"/>
            <w:left w:w="108" w:type="dxa"/>
            <w:bottom w:w="0" w:type="dxa"/>
            <w:right w:w="108" w:type="dxa"/>
          </w:tblCellMar>
        </w:tblPrEx>
        <w:trPr>
          <w:trHeight w:val="288" w:hRule="atLeast"/>
        </w:trPr>
        <w:tc>
          <w:tcPr>
            <w:tcW w:w="606" w:type="pct"/>
            <w:tcBorders>
              <w:top w:val="nil"/>
              <w:left w:val="single" w:color="auto" w:sz="4" w:space="0"/>
              <w:bottom w:val="single" w:color="auto" w:sz="4" w:space="0"/>
              <w:right w:val="single" w:color="auto" w:sz="4" w:space="0"/>
            </w:tcBorders>
            <w:noWrap/>
            <w:vAlign w:val="center"/>
          </w:tcPr>
          <w:p w14:paraId="613CD48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电动修复</w:t>
            </w:r>
          </w:p>
        </w:tc>
        <w:tc>
          <w:tcPr>
            <w:tcW w:w="278" w:type="pct"/>
            <w:tcBorders>
              <w:top w:val="nil"/>
              <w:left w:val="nil"/>
              <w:bottom w:val="single" w:color="auto" w:sz="4" w:space="0"/>
              <w:right w:val="single" w:color="auto" w:sz="4" w:space="0"/>
            </w:tcBorders>
            <w:noWrap/>
            <w:vAlign w:val="center"/>
          </w:tcPr>
          <w:p w14:paraId="75834F98">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92" w:type="pct"/>
            <w:tcBorders>
              <w:top w:val="nil"/>
              <w:left w:val="nil"/>
              <w:bottom w:val="single" w:color="auto" w:sz="4" w:space="0"/>
              <w:right w:val="single" w:color="auto" w:sz="4" w:space="0"/>
            </w:tcBorders>
            <w:noWrap/>
            <w:vAlign w:val="center"/>
          </w:tcPr>
          <w:p w14:paraId="4DE319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20" w:type="pct"/>
            <w:tcBorders>
              <w:top w:val="nil"/>
              <w:left w:val="nil"/>
              <w:bottom w:val="single" w:color="auto" w:sz="4" w:space="0"/>
              <w:right w:val="single" w:color="auto" w:sz="4" w:space="0"/>
            </w:tcBorders>
            <w:noWrap/>
            <w:vAlign w:val="center"/>
          </w:tcPr>
          <w:p w14:paraId="54FC572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75B7AC4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50" w:type="pct"/>
            <w:tcBorders>
              <w:top w:val="nil"/>
              <w:left w:val="nil"/>
              <w:bottom w:val="single" w:color="auto" w:sz="4" w:space="0"/>
              <w:right w:val="single" w:color="auto" w:sz="4" w:space="0"/>
            </w:tcBorders>
            <w:noWrap/>
            <w:vAlign w:val="center"/>
          </w:tcPr>
          <w:p w14:paraId="19593DD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236" w:type="pct"/>
            <w:tcBorders>
              <w:top w:val="nil"/>
              <w:left w:val="nil"/>
              <w:bottom w:val="single" w:color="auto" w:sz="4" w:space="0"/>
              <w:right w:val="single" w:color="auto" w:sz="4" w:space="0"/>
            </w:tcBorders>
            <w:noWrap/>
            <w:vAlign w:val="center"/>
          </w:tcPr>
          <w:p w14:paraId="141B6CF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0A8047B">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55" w:type="pct"/>
            <w:tcBorders>
              <w:top w:val="nil"/>
              <w:left w:val="nil"/>
              <w:bottom w:val="single" w:color="auto" w:sz="4" w:space="0"/>
              <w:right w:val="single" w:color="auto" w:sz="4" w:space="0"/>
            </w:tcBorders>
            <w:noWrap/>
            <w:vAlign w:val="center"/>
          </w:tcPr>
          <w:p w14:paraId="2854492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4ABF4391">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9" w:type="pct"/>
            <w:tcBorders>
              <w:top w:val="nil"/>
              <w:left w:val="nil"/>
              <w:bottom w:val="single" w:color="auto" w:sz="4" w:space="0"/>
              <w:right w:val="single" w:color="auto" w:sz="4" w:space="0"/>
            </w:tcBorders>
            <w:noWrap/>
            <w:vAlign w:val="center"/>
          </w:tcPr>
          <w:p w14:paraId="415770CE">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368" w:type="pct"/>
            <w:tcBorders>
              <w:top w:val="nil"/>
              <w:left w:val="nil"/>
              <w:bottom w:val="single" w:color="auto" w:sz="4" w:space="0"/>
              <w:right w:val="single" w:color="auto" w:sz="4" w:space="0"/>
            </w:tcBorders>
            <w:noWrap/>
            <w:vAlign w:val="center"/>
          </w:tcPr>
          <w:p w14:paraId="37352846">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73" w:type="pct"/>
            <w:tcBorders>
              <w:top w:val="nil"/>
              <w:left w:val="nil"/>
              <w:bottom w:val="single" w:color="auto" w:sz="4" w:space="0"/>
              <w:right w:val="single" w:color="auto" w:sz="4" w:space="0"/>
            </w:tcBorders>
            <w:noWrap/>
            <w:vAlign w:val="center"/>
          </w:tcPr>
          <w:p w14:paraId="5DB27FF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c>
          <w:tcPr>
            <w:tcW w:w="485" w:type="pct"/>
            <w:tcBorders>
              <w:top w:val="nil"/>
              <w:left w:val="nil"/>
              <w:bottom w:val="single" w:color="auto" w:sz="4" w:space="0"/>
              <w:right w:val="single" w:color="auto" w:sz="4" w:space="0"/>
            </w:tcBorders>
            <w:noWrap/>
            <w:vAlign w:val="center"/>
          </w:tcPr>
          <w:p w14:paraId="731BBDD2">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w:t>
            </w:r>
          </w:p>
        </w:tc>
      </w:tr>
    </w:tbl>
    <w:p w14:paraId="4A23A527">
      <w:pPr>
        <w:spacing w:before="60" w:after="120"/>
        <w:rPr>
          <w:highlight w:val="none"/>
        </w:rPr>
      </w:pPr>
      <w:r>
        <w:rPr>
          <w:rFonts w:hint="eastAsia"/>
          <w:highlight w:val="none"/>
        </w:rPr>
        <w:t xml:space="preserve">注：● 优先推荐　　○ </w:t>
      </w:r>
      <w:r>
        <w:rPr>
          <w:rFonts w:hint="eastAsia"/>
          <w:highlight w:val="none"/>
          <w:lang w:val="en-US" w:eastAsia="zh-CN"/>
        </w:rPr>
        <w:t>有条件</w:t>
      </w:r>
      <w:r>
        <w:rPr>
          <w:rFonts w:hint="eastAsia"/>
          <w:highlight w:val="none"/>
        </w:rPr>
        <w:t>适用　— 一般不优先</w:t>
      </w:r>
    </w:p>
    <w:p w14:paraId="3B148233">
      <w:pPr>
        <w:pStyle w:val="53"/>
        <w:numPr>
          <w:ilvl w:val="255"/>
          <w:numId w:val="0"/>
        </w:numPr>
        <w:spacing w:before="60" w:after="120"/>
        <w:rPr>
          <w:rFonts w:hint="eastAsia" w:ascii="Times New Roman"/>
          <w:highlight w:val="none"/>
        </w:rPr>
        <w:sectPr>
          <w:pgSz w:w="11906" w:h="16838"/>
          <w:pgMar w:top="2410" w:right="1134" w:bottom="1134" w:left="1134" w:header="1418" w:footer="1134" w:gutter="284"/>
          <w:pgNumType w:start="1"/>
          <w:cols w:space="425" w:num="1"/>
          <w:formProt w:val="0"/>
          <w:docGrid w:linePitch="312" w:charSpace="0"/>
        </w:sectPr>
      </w:pPr>
    </w:p>
    <w:p w14:paraId="0742E49A">
      <w:pPr>
        <w:pStyle w:val="53"/>
        <w:spacing w:before="0" w:after="0"/>
        <w:rPr>
          <w:highlight w:val="none"/>
        </w:rPr>
      </w:pPr>
      <w:bookmarkStart w:id="142" w:name="_Toc18228"/>
      <w:bookmarkEnd w:id="142"/>
    </w:p>
    <w:p w14:paraId="5B9B684E">
      <w:pPr>
        <w:pStyle w:val="53"/>
        <w:numPr>
          <w:ilvl w:val="-1"/>
          <w:numId w:val="0"/>
        </w:numPr>
        <w:spacing w:before="0" w:after="0"/>
        <w:jc w:val="center"/>
        <w:rPr>
          <w:highlight w:val="none"/>
        </w:rPr>
      </w:pPr>
      <w:bookmarkStart w:id="143" w:name="_Toc271"/>
      <w:r>
        <w:rPr>
          <w:rFonts w:hint="default"/>
          <w:highlight w:val="none"/>
        </w:rPr>
        <w:t>基于典型单项修复技术降碳最佳管理措施的场地修复案例</w:t>
      </w:r>
      <w:bookmarkEnd w:id="143"/>
    </w:p>
    <w:p w14:paraId="73FD5EFC">
      <w:pPr>
        <w:pStyle w:val="54"/>
        <w:numPr>
          <w:ilvl w:val="1"/>
          <w:numId w:val="7"/>
        </w:numPr>
        <w:spacing w:before="120" w:after="120"/>
        <w:rPr>
          <w:rFonts w:ascii="Times New Roman"/>
          <w:highlight w:val="none"/>
        </w:rPr>
      </w:pPr>
      <w:bookmarkStart w:id="144" w:name="_Toc9604"/>
      <w:r>
        <w:rPr>
          <w:rFonts w:hint="eastAsia" w:ascii="Times New Roman"/>
          <w:highlight w:val="none"/>
        </w:rPr>
        <w:t>案例场地概况</w:t>
      </w:r>
      <w:bookmarkEnd w:id="144"/>
    </w:p>
    <w:p w14:paraId="5A31E3E7">
      <w:pPr>
        <w:ind w:firstLine="420" w:firstLineChars="200"/>
        <w:rPr>
          <w:kern w:val="0"/>
          <w:szCs w:val="20"/>
          <w:highlight w:val="none"/>
        </w:rPr>
      </w:pPr>
      <w:r>
        <w:rPr>
          <w:kern w:val="0"/>
          <w:szCs w:val="20"/>
          <w:highlight w:val="none"/>
        </w:rPr>
        <w:t>本案例选取山东</w:t>
      </w:r>
      <w:r>
        <w:rPr>
          <w:rFonts w:hint="eastAsia"/>
          <w:kern w:val="0"/>
          <w:szCs w:val="20"/>
          <w:highlight w:val="none"/>
        </w:rPr>
        <w:t>某</w:t>
      </w:r>
      <w:r>
        <w:rPr>
          <w:kern w:val="0"/>
          <w:szCs w:val="20"/>
          <w:highlight w:val="none"/>
        </w:rPr>
        <w:t>化工产业园作为</w:t>
      </w:r>
      <w:r>
        <w:rPr>
          <w:rFonts w:hint="eastAsia"/>
          <w:kern w:val="0"/>
          <w:szCs w:val="20"/>
          <w:highlight w:val="none"/>
        </w:rPr>
        <w:t>地下水抽出处理技术的典型</w:t>
      </w:r>
      <w:r>
        <w:rPr>
          <w:kern w:val="0"/>
          <w:szCs w:val="20"/>
          <w:highlight w:val="none"/>
        </w:rPr>
        <w:t>情景</w:t>
      </w:r>
      <w:r>
        <w:rPr>
          <w:rFonts w:hint="eastAsia"/>
          <w:kern w:val="0"/>
          <w:szCs w:val="20"/>
          <w:highlight w:val="none"/>
        </w:rPr>
        <w:t>，</w:t>
      </w:r>
      <w:r>
        <w:rPr>
          <w:kern w:val="0"/>
          <w:szCs w:val="20"/>
          <w:highlight w:val="none"/>
        </w:rPr>
        <w:t>用于说明抽出处理等单项修复技术在绿色低碳管理要求下的情景设计、环境影响评价和低碳管理措施筛选方法。</w:t>
      </w:r>
    </w:p>
    <w:p w14:paraId="47010696">
      <w:pPr>
        <w:ind w:firstLine="420" w:firstLineChars="200"/>
        <w:rPr>
          <w:kern w:val="0"/>
          <w:szCs w:val="20"/>
          <w:highlight w:val="none"/>
        </w:rPr>
      </w:pPr>
      <w:r>
        <w:rPr>
          <w:kern w:val="0"/>
          <w:szCs w:val="20"/>
          <w:highlight w:val="none"/>
        </w:rPr>
        <w:t>根据地下水环境状况详细调查结果，园区地下水中多项有机指标超过《地下水质量标准》（GB/T 14848</w:t>
      </w:r>
      <w:r>
        <w:rPr>
          <w:rFonts w:hint="eastAsia"/>
          <w:kern w:val="0"/>
          <w:szCs w:val="20"/>
          <w:highlight w:val="none"/>
        </w:rPr>
        <w:t>-</w:t>
      </w:r>
      <w:r>
        <w:rPr>
          <w:kern w:val="0"/>
          <w:szCs w:val="20"/>
          <w:highlight w:val="none"/>
        </w:rPr>
        <w:t>2017）Ⅲ类限值，主要涉及三氯甲烷、四氯化碳、苯、甲苯、二氯甲烷、1,2-二氯乙烷、1,1,2-三氯乙烷、1,2-二氯丙烷、氯乙烯、顺式-1,2-二氯乙烯、三氯乙烯、四氯乙烯和氯苯等挥发性或半挥发性有机污染物。地块</w:t>
      </w:r>
      <w:r>
        <w:rPr>
          <w:rFonts w:hint="eastAsia"/>
          <w:kern w:val="0"/>
          <w:szCs w:val="20"/>
          <w:highlight w:val="none"/>
        </w:rPr>
        <w:t>未来</w:t>
      </w:r>
      <w:r>
        <w:rPr>
          <w:kern w:val="0"/>
          <w:szCs w:val="20"/>
          <w:highlight w:val="none"/>
        </w:rPr>
        <w:t>规划用途以工业用地为主，浅层地下水不作为饮用水开发利用，主要关注来自地下水挥发性污染物的室内外空气吸入暴露途径。结合污染物浓度分布、地下水流场和风险管控需要，案例将抽出处理作为典型单项技术，比较不同井群布设和抽水强度下的绿色低碳表现。</w:t>
      </w:r>
    </w:p>
    <w:p w14:paraId="0D667107">
      <w:pPr>
        <w:pStyle w:val="54"/>
        <w:numPr>
          <w:ilvl w:val="1"/>
          <w:numId w:val="7"/>
        </w:numPr>
        <w:spacing w:before="120" w:after="120"/>
        <w:rPr>
          <w:rFonts w:ascii="Times New Roman"/>
          <w:highlight w:val="none"/>
        </w:rPr>
      </w:pPr>
      <w:bookmarkStart w:id="145" w:name="_Toc13700"/>
      <w:r>
        <w:rPr>
          <w:rFonts w:hint="eastAsia" w:ascii="Times New Roman"/>
          <w:highlight w:val="none"/>
        </w:rPr>
        <w:t>绿色低碳修复方案设计</w:t>
      </w:r>
      <w:bookmarkEnd w:id="145"/>
    </w:p>
    <w:p w14:paraId="2E0AC66D">
      <w:pPr>
        <w:ind w:firstLine="420" w:firstLineChars="200"/>
        <w:rPr>
          <w:kern w:val="0"/>
          <w:szCs w:val="20"/>
          <w:highlight w:val="none"/>
        </w:rPr>
      </w:pPr>
      <w:r>
        <w:rPr>
          <w:kern w:val="0"/>
          <w:szCs w:val="20"/>
          <w:highlight w:val="none"/>
        </w:rPr>
        <w:t>本案例以地下水抽出处理为单项技术示例，围绕“井群布设—抽水强度—运行周期—抽提总量”的耦合关系设计不同管控</w:t>
      </w:r>
      <w:r>
        <w:rPr>
          <w:rFonts w:hint="eastAsia"/>
          <w:kern w:val="0"/>
          <w:szCs w:val="20"/>
          <w:highlight w:val="none"/>
        </w:rPr>
        <w:t>方案</w:t>
      </w:r>
      <w:r>
        <w:rPr>
          <w:kern w:val="0"/>
          <w:szCs w:val="20"/>
          <w:highlight w:val="none"/>
        </w:rPr>
        <w:t>。抽出处理系统一般包括抽提井、潜水泵、输水管道、控制系统、水处理设施及监测系统等。抽出地下水经管道收集至污水处理设施处理后，可根据水质情况外排、回用或进入园区污水处理系统。</w:t>
      </w:r>
    </w:p>
    <w:p w14:paraId="6E6B15DE">
      <w:pPr>
        <w:ind w:firstLine="420" w:firstLineChars="200"/>
        <w:rPr>
          <w:kern w:val="0"/>
          <w:szCs w:val="20"/>
          <w:highlight w:val="none"/>
        </w:rPr>
      </w:pPr>
      <w:r>
        <w:rPr>
          <w:kern w:val="0"/>
          <w:szCs w:val="20"/>
          <w:highlight w:val="none"/>
        </w:rPr>
        <w:t>管控</w:t>
      </w:r>
      <w:r>
        <w:rPr>
          <w:rFonts w:hint="eastAsia"/>
          <w:kern w:val="0"/>
          <w:szCs w:val="20"/>
          <w:highlight w:val="none"/>
        </w:rPr>
        <w:t>方案</w:t>
      </w:r>
      <w:r>
        <w:rPr>
          <w:kern w:val="0"/>
          <w:szCs w:val="20"/>
          <w:highlight w:val="none"/>
        </w:rPr>
        <w:t>设计遵循以下原则：一是优先利用既有详查监测井，减少新增钻探和建井材料消耗；二是井位布设应避让企业生产活动和重要设施，降低施工扰动；三是单井抽水量应结合水文地质条件、中试结果和污染羽控制效果确定；四是对浓度高值区和低浓度边界区实施差异化抽水，避免全区同强度长期运行。基于上述原则，确定5种模拟场景，利用GMS软件进行地下水污染风险管控模拟，</w:t>
      </w:r>
      <w:r>
        <w:rPr>
          <w:rFonts w:hint="eastAsia"/>
          <w:kern w:val="0"/>
          <w:szCs w:val="20"/>
          <w:highlight w:val="none"/>
        </w:rPr>
        <w:t>可得各抽提方案情况，如表</w:t>
      </w:r>
      <w:r>
        <w:rPr>
          <w:rFonts w:hint="eastAsia"/>
          <w:kern w:val="0"/>
          <w:szCs w:val="20"/>
          <w:highlight w:val="none"/>
          <w:lang w:val="en-US" w:eastAsia="zh-CN"/>
        </w:rPr>
        <w:t>B-</w:t>
      </w:r>
      <w:r>
        <w:rPr>
          <w:rFonts w:hint="eastAsia"/>
          <w:kern w:val="0"/>
          <w:szCs w:val="20"/>
          <w:highlight w:val="none"/>
        </w:rPr>
        <w:t>1所示</w:t>
      </w:r>
      <w:r>
        <w:rPr>
          <w:kern w:val="0"/>
          <w:szCs w:val="20"/>
          <w:highlight w:val="none"/>
        </w:rPr>
        <w:t>。对不同情景的运行时间和抽提总量进行比较</w:t>
      </w:r>
      <w:r>
        <w:rPr>
          <w:rFonts w:hint="eastAsia"/>
          <w:kern w:val="0"/>
          <w:szCs w:val="20"/>
          <w:highlight w:val="none"/>
        </w:rPr>
        <w:t>可知</w:t>
      </w:r>
      <w:r>
        <w:rPr>
          <w:kern w:val="0"/>
          <w:szCs w:val="20"/>
          <w:highlight w:val="none"/>
        </w:rPr>
        <w:t>，仅依赖</w:t>
      </w:r>
      <w:r>
        <w:rPr>
          <w:rFonts w:hint="eastAsia"/>
          <w:kern w:val="0"/>
          <w:szCs w:val="20"/>
          <w:highlight w:val="none"/>
          <w:lang w:val="en-US" w:eastAsia="zh-CN"/>
        </w:rPr>
        <w:t>3口</w:t>
      </w:r>
      <w:r>
        <w:rPr>
          <w:kern w:val="0"/>
          <w:szCs w:val="20"/>
          <w:highlight w:val="none"/>
        </w:rPr>
        <w:t>既有井长期运行虽然初始建设量较小，但污染羽控制效率不足，长期运行带来的累计能耗和废水处理量显著增加；合理增加井群数量并优化抽水强度，有利于降低全周期环境影响。</w:t>
      </w:r>
    </w:p>
    <w:p w14:paraId="1D32D06C">
      <w:pPr>
        <w:jc w:val="center"/>
        <w:rPr>
          <w:highlight w:val="none"/>
        </w:rPr>
      </w:pPr>
      <w:r>
        <w:rPr>
          <w:highlight w:val="none"/>
        </w:rPr>
        <w:t>表</w:t>
      </w:r>
      <w:r>
        <w:rPr>
          <w:rFonts w:hint="eastAsia"/>
          <w:highlight w:val="none"/>
          <w:lang w:val="en-US" w:eastAsia="zh-CN"/>
        </w:rPr>
        <w:t>B-</w:t>
      </w:r>
      <w:r>
        <w:rPr>
          <w:rFonts w:hint="eastAsia"/>
          <w:highlight w:val="none"/>
        </w:rPr>
        <w:t>1</w:t>
      </w:r>
      <w:r>
        <w:rPr>
          <w:highlight w:val="none"/>
        </w:rPr>
        <w:t xml:space="preserve"> 各抽提方案的情况对比</w:t>
      </w:r>
    </w:p>
    <w:tbl>
      <w:tblPr>
        <w:tblStyle w:val="71"/>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48"/>
        <w:gridCol w:w="1134"/>
        <w:gridCol w:w="1134"/>
        <w:gridCol w:w="1134"/>
        <w:gridCol w:w="1134"/>
        <w:gridCol w:w="3483"/>
      </w:tblGrid>
      <w:tr w14:paraId="1F0E35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blHeader/>
          <w:jc w:val="center"/>
        </w:trPr>
        <w:tc>
          <w:tcPr>
            <w:tcW w:w="848" w:type="dxa"/>
            <w:tcBorders>
              <w:top w:val="single" w:color="auto" w:sz="12" w:space="0"/>
              <w:bottom w:val="single" w:color="auto" w:sz="8" w:space="0"/>
            </w:tcBorders>
            <w:vAlign w:val="center"/>
          </w:tcPr>
          <w:p w14:paraId="417292EE">
            <w:pPr>
              <w:adjustRightInd w:val="0"/>
              <w:snapToGrid w:val="0"/>
              <w:jc w:val="center"/>
              <w:rPr>
                <w:b/>
                <w:bCs/>
                <w:sz w:val="20"/>
                <w:szCs w:val="20"/>
                <w:highlight w:val="none"/>
              </w:rPr>
            </w:pPr>
            <w:r>
              <w:rPr>
                <w:b/>
                <w:bCs/>
                <w:spacing w:val="-2"/>
                <w:sz w:val="20"/>
                <w:szCs w:val="20"/>
                <w:highlight w:val="none"/>
              </w:rPr>
              <w:t>编号</w:t>
            </w:r>
          </w:p>
        </w:tc>
        <w:tc>
          <w:tcPr>
            <w:tcW w:w="1134" w:type="dxa"/>
            <w:tcBorders>
              <w:top w:val="single" w:color="auto" w:sz="12" w:space="0"/>
              <w:bottom w:val="single" w:color="auto" w:sz="8" w:space="0"/>
            </w:tcBorders>
            <w:vAlign w:val="center"/>
          </w:tcPr>
          <w:p w14:paraId="637B8A2D">
            <w:pPr>
              <w:adjustRightInd w:val="0"/>
              <w:snapToGrid w:val="0"/>
              <w:jc w:val="center"/>
              <w:rPr>
                <w:b/>
                <w:bCs/>
                <w:sz w:val="20"/>
                <w:szCs w:val="20"/>
                <w:highlight w:val="none"/>
              </w:rPr>
            </w:pPr>
            <w:r>
              <w:rPr>
                <w:b/>
                <w:bCs/>
                <w:spacing w:val="-2"/>
                <w:sz w:val="20"/>
                <w:szCs w:val="20"/>
                <w:highlight w:val="none"/>
              </w:rPr>
              <w:t>抽提井数量</w:t>
            </w:r>
            <w:r>
              <w:rPr>
                <w:b/>
                <w:bCs/>
                <w:spacing w:val="-10"/>
                <w:sz w:val="20"/>
                <w:szCs w:val="20"/>
                <w:highlight w:val="none"/>
              </w:rPr>
              <w:t>（个）</w:t>
            </w:r>
          </w:p>
        </w:tc>
        <w:tc>
          <w:tcPr>
            <w:tcW w:w="1134" w:type="dxa"/>
            <w:tcBorders>
              <w:top w:val="single" w:color="auto" w:sz="12" w:space="0"/>
              <w:bottom w:val="single" w:color="auto" w:sz="8" w:space="0"/>
            </w:tcBorders>
            <w:vAlign w:val="center"/>
          </w:tcPr>
          <w:p w14:paraId="1570D8C3">
            <w:pPr>
              <w:adjustRightInd w:val="0"/>
              <w:snapToGrid w:val="0"/>
              <w:jc w:val="center"/>
              <w:rPr>
                <w:b/>
                <w:bCs/>
                <w:sz w:val="20"/>
                <w:szCs w:val="20"/>
                <w:highlight w:val="none"/>
              </w:rPr>
            </w:pPr>
            <w:r>
              <w:rPr>
                <w:b/>
                <w:bCs/>
                <w:spacing w:val="-3"/>
                <w:sz w:val="20"/>
                <w:szCs w:val="20"/>
                <w:highlight w:val="none"/>
              </w:rPr>
              <w:t>单井抽水量</w:t>
            </w:r>
            <w:r>
              <w:rPr>
                <w:b/>
                <w:bCs/>
                <w:spacing w:val="-11"/>
                <w:sz w:val="20"/>
                <w:szCs w:val="20"/>
                <w:highlight w:val="none"/>
              </w:rPr>
              <w:t>（</w:t>
            </w:r>
            <w:r>
              <w:rPr>
                <w:b/>
                <w:bCs/>
                <w:spacing w:val="-15"/>
                <w:sz w:val="20"/>
                <w:szCs w:val="20"/>
                <w:highlight w:val="none"/>
              </w:rPr>
              <w:t>m</w:t>
            </w:r>
            <w:r>
              <w:rPr>
                <w:b/>
                <w:bCs/>
                <w:spacing w:val="-15"/>
                <w:sz w:val="20"/>
                <w:szCs w:val="20"/>
                <w:highlight w:val="none"/>
                <w:vertAlign w:val="superscript"/>
              </w:rPr>
              <w:t>3</w:t>
            </w:r>
            <w:r>
              <w:rPr>
                <w:b/>
                <w:bCs/>
                <w:spacing w:val="-11"/>
                <w:sz w:val="20"/>
                <w:szCs w:val="20"/>
                <w:highlight w:val="none"/>
              </w:rPr>
              <w:t>/d）</w:t>
            </w:r>
          </w:p>
        </w:tc>
        <w:tc>
          <w:tcPr>
            <w:tcW w:w="1134" w:type="dxa"/>
            <w:tcBorders>
              <w:top w:val="single" w:color="auto" w:sz="12" w:space="0"/>
              <w:bottom w:val="single" w:color="auto" w:sz="8" w:space="0"/>
            </w:tcBorders>
            <w:vAlign w:val="center"/>
          </w:tcPr>
          <w:p w14:paraId="25386059">
            <w:pPr>
              <w:adjustRightInd w:val="0"/>
              <w:snapToGrid w:val="0"/>
              <w:jc w:val="center"/>
              <w:rPr>
                <w:b/>
                <w:bCs/>
                <w:sz w:val="20"/>
                <w:szCs w:val="20"/>
                <w:highlight w:val="none"/>
              </w:rPr>
            </w:pPr>
            <w:r>
              <w:rPr>
                <w:b/>
                <w:bCs/>
                <w:spacing w:val="-3"/>
                <w:sz w:val="20"/>
                <w:szCs w:val="20"/>
                <w:highlight w:val="none"/>
              </w:rPr>
              <w:t>所需时间</w:t>
            </w:r>
            <w:r>
              <w:rPr>
                <w:b/>
                <w:bCs/>
                <w:spacing w:val="-7"/>
                <w:sz w:val="20"/>
                <w:szCs w:val="20"/>
                <w:highlight w:val="none"/>
              </w:rPr>
              <w:t>（d）</w:t>
            </w:r>
          </w:p>
        </w:tc>
        <w:tc>
          <w:tcPr>
            <w:tcW w:w="1134" w:type="dxa"/>
            <w:tcBorders>
              <w:top w:val="single" w:color="auto" w:sz="12" w:space="0"/>
              <w:bottom w:val="single" w:color="auto" w:sz="8" w:space="0"/>
            </w:tcBorders>
            <w:vAlign w:val="center"/>
          </w:tcPr>
          <w:p w14:paraId="7ED4EFF3">
            <w:pPr>
              <w:adjustRightInd w:val="0"/>
              <w:snapToGrid w:val="0"/>
              <w:jc w:val="center"/>
              <w:rPr>
                <w:b/>
                <w:bCs/>
                <w:spacing w:val="-2"/>
                <w:sz w:val="20"/>
                <w:szCs w:val="20"/>
                <w:highlight w:val="none"/>
              </w:rPr>
            </w:pPr>
            <w:r>
              <w:rPr>
                <w:b/>
                <w:bCs/>
                <w:spacing w:val="-2"/>
                <w:sz w:val="20"/>
                <w:szCs w:val="20"/>
                <w:highlight w:val="none"/>
              </w:rPr>
              <w:t>抽提总量</w:t>
            </w:r>
          </w:p>
          <w:p w14:paraId="4A063144">
            <w:pPr>
              <w:adjustRightInd w:val="0"/>
              <w:snapToGrid w:val="0"/>
              <w:jc w:val="center"/>
              <w:rPr>
                <w:b/>
                <w:bCs/>
                <w:sz w:val="20"/>
                <w:szCs w:val="20"/>
                <w:highlight w:val="none"/>
              </w:rPr>
            </w:pPr>
            <w:r>
              <w:rPr>
                <w:b/>
                <w:bCs/>
                <w:spacing w:val="-21"/>
                <w:sz w:val="20"/>
                <w:szCs w:val="20"/>
                <w:highlight w:val="none"/>
              </w:rPr>
              <w:t>（万m</w:t>
            </w:r>
            <w:r>
              <w:rPr>
                <w:b/>
                <w:bCs/>
                <w:spacing w:val="-21"/>
                <w:sz w:val="20"/>
                <w:szCs w:val="20"/>
                <w:highlight w:val="none"/>
                <w:vertAlign w:val="superscript"/>
              </w:rPr>
              <w:t>3</w:t>
            </w:r>
            <w:r>
              <w:rPr>
                <w:b/>
                <w:bCs/>
                <w:spacing w:val="-21"/>
                <w:sz w:val="20"/>
                <w:szCs w:val="20"/>
                <w:highlight w:val="none"/>
              </w:rPr>
              <w:t>）</w:t>
            </w:r>
          </w:p>
        </w:tc>
        <w:tc>
          <w:tcPr>
            <w:tcW w:w="3483" w:type="dxa"/>
            <w:tcBorders>
              <w:top w:val="single" w:color="auto" w:sz="12" w:space="0"/>
              <w:bottom w:val="single" w:color="auto" w:sz="8" w:space="0"/>
            </w:tcBorders>
            <w:vAlign w:val="center"/>
          </w:tcPr>
          <w:p w14:paraId="6A9CDE6F">
            <w:pPr>
              <w:adjustRightInd w:val="0"/>
              <w:snapToGrid w:val="0"/>
              <w:jc w:val="center"/>
              <w:rPr>
                <w:b/>
                <w:bCs/>
                <w:sz w:val="20"/>
                <w:szCs w:val="20"/>
                <w:highlight w:val="none"/>
              </w:rPr>
            </w:pPr>
            <w:r>
              <w:rPr>
                <w:b/>
                <w:bCs/>
                <w:spacing w:val="-3"/>
                <w:sz w:val="20"/>
                <w:szCs w:val="20"/>
                <w:highlight w:val="none"/>
              </w:rPr>
              <w:t>说明</w:t>
            </w:r>
          </w:p>
        </w:tc>
      </w:tr>
      <w:tr w14:paraId="564130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48" w:type="dxa"/>
            <w:tcBorders>
              <w:top w:val="single" w:color="auto" w:sz="8" w:space="0"/>
            </w:tcBorders>
            <w:vAlign w:val="center"/>
          </w:tcPr>
          <w:p w14:paraId="7F1E75F3">
            <w:pPr>
              <w:adjustRightInd w:val="0"/>
              <w:snapToGrid w:val="0"/>
              <w:jc w:val="center"/>
              <w:rPr>
                <w:sz w:val="20"/>
                <w:szCs w:val="20"/>
                <w:highlight w:val="none"/>
              </w:rPr>
            </w:pPr>
            <w:r>
              <w:rPr>
                <w:sz w:val="20"/>
                <w:szCs w:val="20"/>
                <w:highlight w:val="none"/>
              </w:rPr>
              <w:t>方案1</w:t>
            </w:r>
          </w:p>
        </w:tc>
        <w:tc>
          <w:tcPr>
            <w:tcW w:w="1134" w:type="dxa"/>
            <w:tcBorders>
              <w:top w:val="single" w:color="auto" w:sz="8" w:space="0"/>
            </w:tcBorders>
            <w:vAlign w:val="center"/>
          </w:tcPr>
          <w:p w14:paraId="4E9FDBF8">
            <w:pPr>
              <w:adjustRightInd w:val="0"/>
              <w:snapToGrid w:val="0"/>
              <w:jc w:val="center"/>
              <w:rPr>
                <w:sz w:val="20"/>
                <w:szCs w:val="20"/>
                <w:highlight w:val="none"/>
              </w:rPr>
            </w:pPr>
            <w:r>
              <w:rPr>
                <w:sz w:val="20"/>
                <w:szCs w:val="20"/>
                <w:highlight w:val="none"/>
              </w:rPr>
              <w:t>5</w:t>
            </w:r>
          </w:p>
        </w:tc>
        <w:tc>
          <w:tcPr>
            <w:tcW w:w="1134" w:type="dxa"/>
            <w:tcBorders>
              <w:top w:val="single" w:color="auto" w:sz="8" w:space="0"/>
            </w:tcBorders>
            <w:vAlign w:val="center"/>
          </w:tcPr>
          <w:p w14:paraId="65C69A20">
            <w:pPr>
              <w:adjustRightInd w:val="0"/>
              <w:snapToGrid w:val="0"/>
              <w:jc w:val="center"/>
              <w:rPr>
                <w:sz w:val="20"/>
                <w:szCs w:val="20"/>
                <w:highlight w:val="none"/>
              </w:rPr>
            </w:pPr>
            <w:r>
              <w:rPr>
                <w:spacing w:val="-6"/>
                <w:sz w:val="20"/>
                <w:szCs w:val="20"/>
                <w:highlight w:val="none"/>
              </w:rPr>
              <w:t>144</w:t>
            </w:r>
          </w:p>
        </w:tc>
        <w:tc>
          <w:tcPr>
            <w:tcW w:w="1134" w:type="dxa"/>
            <w:tcBorders>
              <w:top w:val="single" w:color="auto" w:sz="8" w:space="0"/>
            </w:tcBorders>
            <w:vAlign w:val="center"/>
          </w:tcPr>
          <w:p w14:paraId="0F13A016">
            <w:pPr>
              <w:adjustRightInd w:val="0"/>
              <w:snapToGrid w:val="0"/>
              <w:jc w:val="center"/>
              <w:rPr>
                <w:sz w:val="20"/>
                <w:szCs w:val="20"/>
                <w:highlight w:val="none"/>
              </w:rPr>
            </w:pPr>
            <w:r>
              <w:rPr>
                <w:sz w:val="20"/>
                <w:szCs w:val="20"/>
                <w:highlight w:val="none"/>
              </w:rPr>
              <w:t>/</w:t>
            </w:r>
          </w:p>
        </w:tc>
        <w:tc>
          <w:tcPr>
            <w:tcW w:w="1134" w:type="dxa"/>
            <w:tcBorders>
              <w:top w:val="single" w:color="auto" w:sz="8" w:space="0"/>
            </w:tcBorders>
            <w:vAlign w:val="center"/>
          </w:tcPr>
          <w:p w14:paraId="7EF11307">
            <w:pPr>
              <w:adjustRightInd w:val="0"/>
              <w:snapToGrid w:val="0"/>
              <w:jc w:val="center"/>
              <w:rPr>
                <w:sz w:val="20"/>
                <w:szCs w:val="20"/>
                <w:highlight w:val="none"/>
              </w:rPr>
            </w:pPr>
            <w:r>
              <w:rPr>
                <w:spacing w:val="-1"/>
                <w:sz w:val="20"/>
                <w:szCs w:val="20"/>
                <w:highlight w:val="none"/>
              </w:rPr>
              <w:t>792.0</w:t>
            </w:r>
          </w:p>
        </w:tc>
        <w:tc>
          <w:tcPr>
            <w:tcW w:w="3483" w:type="dxa"/>
            <w:tcBorders>
              <w:top w:val="single" w:color="auto" w:sz="8" w:space="0"/>
            </w:tcBorders>
            <w:vAlign w:val="center"/>
          </w:tcPr>
          <w:p w14:paraId="0173E5BD">
            <w:pPr>
              <w:adjustRightInd w:val="0"/>
              <w:snapToGrid w:val="0"/>
              <w:jc w:val="center"/>
              <w:rPr>
                <w:sz w:val="20"/>
                <w:szCs w:val="20"/>
                <w:highlight w:val="none"/>
              </w:rPr>
            </w:pPr>
            <w:r>
              <w:rPr>
                <w:spacing w:val="-1"/>
                <w:sz w:val="20"/>
                <w:szCs w:val="20"/>
                <w:highlight w:val="none"/>
              </w:rPr>
              <w:t>在大污染羽内只</w:t>
            </w:r>
            <w:r>
              <w:rPr>
                <w:rFonts w:hint="eastAsia"/>
                <w:spacing w:val="-1"/>
                <w:sz w:val="20"/>
                <w:highlight w:val="none"/>
              </w:rPr>
              <w:t>采用现有</w:t>
            </w:r>
            <w:r>
              <w:rPr>
                <w:spacing w:val="-5"/>
                <w:sz w:val="20"/>
                <w:szCs w:val="20"/>
                <w:highlight w:val="none"/>
              </w:rPr>
              <w:t>3口监测井，</w:t>
            </w:r>
            <w:r>
              <w:rPr>
                <w:sz w:val="20"/>
                <w:szCs w:val="20"/>
                <w:highlight w:val="none"/>
              </w:rPr>
              <w:t>两个小污染羽分别布设一</w:t>
            </w:r>
            <w:r>
              <w:rPr>
                <w:spacing w:val="-4"/>
                <w:sz w:val="20"/>
                <w:szCs w:val="20"/>
                <w:highlight w:val="none"/>
              </w:rPr>
              <w:t>口新井，当抽提时间达</w:t>
            </w:r>
            <w:r>
              <w:rPr>
                <w:spacing w:val="-3"/>
                <w:sz w:val="20"/>
                <w:szCs w:val="20"/>
                <w:highlight w:val="none"/>
              </w:rPr>
              <w:t>50年，抽提量达792万方</w:t>
            </w:r>
            <w:r>
              <w:rPr>
                <w:spacing w:val="-2"/>
                <w:sz w:val="20"/>
                <w:szCs w:val="20"/>
                <w:highlight w:val="none"/>
              </w:rPr>
              <w:t>时，依然无法达到修复和</w:t>
            </w:r>
            <w:r>
              <w:rPr>
                <w:spacing w:val="-6"/>
                <w:sz w:val="20"/>
                <w:szCs w:val="20"/>
                <w:highlight w:val="none"/>
              </w:rPr>
              <w:t>管控目标。</w:t>
            </w:r>
          </w:p>
        </w:tc>
      </w:tr>
      <w:tr w14:paraId="054958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48" w:type="dxa"/>
            <w:vAlign w:val="center"/>
          </w:tcPr>
          <w:p w14:paraId="1DE4974A">
            <w:pPr>
              <w:adjustRightInd w:val="0"/>
              <w:snapToGrid w:val="0"/>
              <w:jc w:val="center"/>
              <w:rPr>
                <w:sz w:val="20"/>
                <w:szCs w:val="20"/>
                <w:highlight w:val="none"/>
              </w:rPr>
            </w:pPr>
            <w:r>
              <w:rPr>
                <w:spacing w:val="-1"/>
                <w:sz w:val="20"/>
                <w:szCs w:val="20"/>
                <w:highlight w:val="none"/>
              </w:rPr>
              <w:t>方案2</w:t>
            </w:r>
          </w:p>
        </w:tc>
        <w:tc>
          <w:tcPr>
            <w:tcW w:w="1134" w:type="dxa"/>
            <w:vAlign w:val="center"/>
          </w:tcPr>
          <w:p w14:paraId="658CABE0">
            <w:pPr>
              <w:adjustRightInd w:val="0"/>
              <w:snapToGrid w:val="0"/>
              <w:jc w:val="center"/>
              <w:rPr>
                <w:sz w:val="20"/>
                <w:szCs w:val="20"/>
                <w:highlight w:val="none"/>
              </w:rPr>
            </w:pPr>
            <w:r>
              <w:rPr>
                <w:spacing w:val="-6"/>
                <w:sz w:val="20"/>
                <w:szCs w:val="20"/>
                <w:highlight w:val="none"/>
              </w:rPr>
              <w:t>19</w:t>
            </w:r>
          </w:p>
        </w:tc>
        <w:tc>
          <w:tcPr>
            <w:tcW w:w="1134" w:type="dxa"/>
            <w:vAlign w:val="center"/>
          </w:tcPr>
          <w:p w14:paraId="60AAA0D7">
            <w:pPr>
              <w:adjustRightInd w:val="0"/>
              <w:snapToGrid w:val="0"/>
              <w:jc w:val="center"/>
              <w:rPr>
                <w:sz w:val="20"/>
                <w:szCs w:val="20"/>
                <w:highlight w:val="none"/>
              </w:rPr>
            </w:pPr>
            <w:r>
              <w:rPr>
                <w:spacing w:val="-1"/>
                <w:sz w:val="20"/>
                <w:szCs w:val="20"/>
                <w:highlight w:val="none"/>
              </w:rPr>
              <w:t>216</w:t>
            </w:r>
          </w:p>
        </w:tc>
        <w:tc>
          <w:tcPr>
            <w:tcW w:w="1134" w:type="dxa"/>
            <w:vAlign w:val="center"/>
          </w:tcPr>
          <w:p w14:paraId="0CE94A99">
            <w:pPr>
              <w:adjustRightInd w:val="0"/>
              <w:snapToGrid w:val="0"/>
              <w:jc w:val="center"/>
              <w:rPr>
                <w:sz w:val="20"/>
                <w:szCs w:val="20"/>
                <w:highlight w:val="none"/>
              </w:rPr>
            </w:pPr>
            <w:r>
              <w:rPr>
                <w:spacing w:val="-7"/>
                <w:sz w:val="20"/>
                <w:szCs w:val="20"/>
                <w:highlight w:val="none"/>
              </w:rPr>
              <w:t>1100</w:t>
            </w:r>
          </w:p>
        </w:tc>
        <w:tc>
          <w:tcPr>
            <w:tcW w:w="1134" w:type="dxa"/>
            <w:vAlign w:val="center"/>
          </w:tcPr>
          <w:p w14:paraId="6CDF9809">
            <w:pPr>
              <w:adjustRightInd w:val="0"/>
              <w:snapToGrid w:val="0"/>
              <w:jc w:val="center"/>
              <w:rPr>
                <w:sz w:val="20"/>
                <w:szCs w:val="20"/>
                <w:highlight w:val="none"/>
              </w:rPr>
            </w:pPr>
            <w:r>
              <w:rPr>
                <w:spacing w:val="-1"/>
                <w:sz w:val="20"/>
                <w:szCs w:val="20"/>
                <w:highlight w:val="none"/>
              </w:rPr>
              <w:t>306.3</w:t>
            </w:r>
          </w:p>
        </w:tc>
        <w:tc>
          <w:tcPr>
            <w:tcW w:w="3483" w:type="dxa"/>
            <w:vAlign w:val="center"/>
          </w:tcPr>
          <w:p w14:paraId="58D883E9">
            <w:pPr>
              <w:adjustRightInd w:val="0"/>
              <w:snapToGrid w:val="0"/>
              <w:jc w:val="center"/>
              <w:rPr>
                <w:sz w:val="20"/>
                <w:szCs w:val="20"/>
                <w:highlight w:val="none"/>
              </w:rPr>
            </w:pPr>
            <w:r>
              <w:rPr>
                <w:spacing w:val="-7"/>
                <w:sz w:val="20"/>
                <w:szCs w:val="20"/>
                <w:highlight w:val="none"/>
              </w:rPr>
              <w:t>监测井19口，单井抽水量</w:t>
            </w:r>
            <w:r>
              <w:rPr>
                <w:spacing w:val="-3"/>
                <w:sz w:val="20"/>
                <w:szCs w:val="20"/>
                <w:highlight w:val="none"/>
              </w:rPr>
              <w:t>216</w:t>
            </w:r>
            <w:r>
              <w:rPr>
                <w:rFonts w:hint="eastAsia"/>
                <w:spacing w:val="-3"/>
                <w:sz w:val="20"/>
                <w:highlight w:val="none"/>
              </w:rPr>
              <w:t xml:space="preserve"> </w:t>
            </w:r>
            <w:r>
              <w:rPr>
                <w:spacing w:val="-3"/>
                <w:sz w:val="20"/>
                <w:szCs w:val="20"/>
                <w:highlight w:val="none"/>
              </w:rPr>
              <w:t>m</w:t>
            </w:r>
            <w:r>
              <w:rPr>
                <w:spacing w:val="-3"/>
                <w:sz w:val="20"/>
                <w:szCs w:val="20"/>
                <w:highlight w:val="none"/>
                <w:vertAlign w:val="superscript"/>
              </w:rPr>
              <w:t>3</w:t>
            </w:r>
            <w:r>
              <w:rPr>
                <w:spacing w:val="-3"/>
                <w:sz w:val="20"/>
                <w:szCs w:val="20"/>
                <w:highlight w:val="none"/>
              </w:rPr>
              <w:t>/</w:t>
            </w:r>
            <w:r>
              <w:rPr>
                <w:spacing w:val="-3"/>
                <w:sz w:val="20"/>
                <w:highlight w:val="none"/>
              </w:rPr>
              <w:t>天</w:t>
            </w:r>
            <w:r>
              <w:rPr>
                <w:spacing w:val="-3"/>
                <w:sz w:val="20"/>
                <w:szCs w:val="20"/>
                <w:highlight w:val="none"/>
              </w:rPr>
              <w:t>，达到Ⅳ类水所</w:t>
            </w:r>
            <w:r>
              <w:rPr>
                <w:spacing w:val="-6"/>
                <w:sz w:val="20"/>
                <w:szCs w:val="20"/>
                <w:highlight w:val="none"/>
              </w:rPr>
              <w:t>需时间为1100</w:t>
            </w:r>
            <w:r>
              <w:rPr>
                <w:rFonts w:hint="eastAsia"/>
                <w:spacing w:val="-6"/>
                <w:sz w:val="20"/>
                <w:highlight w:val="none"/>
              </w:rPr>
              <w:t xml:space="preserve"> </w:t>
            </w:r>
            <w:r>
              <w:rPr>
                <w:spacing w:val="-6"/>
                <w:sz w:val="20"/>
                <w:highlight w:val="none"/>
              </w:rPr>
              <w:t>天</w:t>
            </w:r>
            <w:r>
              <w:rPr>
                <w:spacing w:val="-6"/>
                <w:sz w:val="20"/>
                <w:szCs w:val="20"/>
                <w:highlight w:val="none"/>
              </w:rPr>
              <w:t>，抽水总</w:t>
            </w:r>
            <w:r>
              <w:rPr>
                <w:spacing w:val="-3"/>
                <w:sz w:val="20"/>
                <w:szCs w:val="20"/>
                <w:highlight w:val="none"/>
              </w:rPr>
              <w:t>量306.3万方。</w:t>
            </w:r>
          </w:p>
        </w:tc>
      </w:tr>
      <w:tr w14:paraId="1F7E39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48" w:type="dxa"/>
            <w:vAlign w:val="center"/>
          </w:tcPr>
          <w:p w14:paraId="69C8FB68">
            <w:pPr>
              <w:adjustRightInd w:val="0"/>
              <w:snapToGrid w:val="0"/>
              <w:jc w:val="center"/>
              <w:rPr>
                <w:sz w:val="20"/>
                <w:szCs w:val="20"/>
                <w:highlight w:val="none"/>
              </w:rPr>
            </w:pPr>
            <w:r>
              <w:rPr>
                <w:spacing w:val="-1"/>
                <w:sz w:val="20"/>
                <w:szCs w:val="20"/>
                <w:highlight w:val="none"/>
              </w:rPr>
              <w:t>方案3</w:t>
            </w:r>
          </w:p>
        </w:tc>
        <w:tc>
          <w:tcPr>
            <w:tcW w:w="1134" w:type="dxa"/>
            <w:vAlign w:val="center"/>
          </w:tcPr>
          <w:p w14:paraId="5E61BA0B">
            <w:pPr>
              <w:adjustRightInd w:val="0"/>
              <w:snapToGrid w:val="0"/>
              <w:jc w:val="center"/>
              <w:rPr>
                <w:sz w:val="20"/>
                <w:szCs w:val="20"/>
                <w:highlight w:val="none"/>
              </w:rPr>
            </w:pPr>
            <w:r>
              <w:rPr>
                <w:spacing w:val="-1"/>
                <w:sz w:val="20"/>
                <w:szCs w:val="20"/>
                <w:highlight w:val="none"/>
              </w:rPr>
              <w:t>21</w:t>
            </w:r>
          </w:p>
        </w:tc>
        <w:tc>
          <w:tcPr>
            <w:tcW w:w="1134" w:type="dxa"/>
            <w:vAlign w:val="center"/>
          </w:tcPr>
          <w:p w14:paraId="662B1C19">
            <w:pPr>
              <w:adjustRightInd w:val="0"/>
              <w:snapToGrid w:val="0"/>
              <w:jc w:val="center"/>
              <w:rPr>
                <w:sz w:val="20"/>
                <w:szCs w:val="20"/>
                <w:highlight w:val="none"/>
              </w:rPr>
            </w:pPr>
            <w:r>
              <w:rPr>
                <w:spacing w:val="-6"/>
                <w:sz w:val="20"/>
                <w:szCs w:val="20"/>
                <w:highlight w:val="none"/>
              </w:rPr>
              <w:t>144</w:t>
            </w:r>
          </w:p>
        </w:tc>
        <w:tc>
          <w:tcPr>
            <w:tcW w:w="1134" w:type="dxa"/>
            <w:vAlign w:val="center"/>
          </w:tcPr>
          <w:p w14:paraId="1EE1DEB3">
            <w:pPr>
              <w:adjustRightInd w:val="0"/>
              <w:snapToGrid w:val="0"/>
              <w:jc w:val="center"/>
              <w:rPr>
                <w:sz w:val="20"/>
                <w:szCs w:val="20"/>
                <w:highlight w:val="none"/>
              </w:rPr>
            </w:pPr>
            <w:r>
              <w:rPr>
                <w:spacing w:val="-5"/>
                <w:sz w:val="20"/>
                <w:szCs w:val="20"/>
                <w:highlight w:val="none"/>
              </w:rPr>
              <w:t>1200</w:t>
            </w:r>
          </w:p>
        </w:tc>
        <w:tc>
          <w:tcPr>
            <w:tcW w:w="1134" w:type="dxa"/>
            <w:vAlign w:val="center"/>
          </w:tcPr>
          <w:p w14:paraId="5A2936EB">
            <w:pPr>
              <w:adjustRightInd w:val="0"/>
              <w:snapToGrid w:val="0"/>
              <w:jc w:val="center"/>
              <w:rPr>
                <w:sz w:val="20"/>
                <w:szCs w:val="20"/>
                <w:highlight w:val="none"/>
              </w:rPr>
            </w:pPr>
            <w:r>
              <w:rPr>
                <w:spacing w:val="-1"/>
                <w:sz w:val="20"/>
                <w:szCs w:val="20"/>
                <w:highlight w:val="none"/>
              </w:rPr>
              <w:t>254.2</w:t>
            </w:r>
          </w:p>
        </w:tc>
        <w:tc>
          <w:tcPr>
            <w:tcW w:w="3483" w:type="dxa"/>
            <w:vAlign w:val="center"/>
          </w:tcPr>
          <w:p w14:paraId="7A2CB08E">
            <w:pPr>
              <w:adjustRightInd w:val="0"/>
              <w:snapToGrid w:val="0"/>
              <w:jc w:val="center"/>
              <w:rPr>
                <w:sz w:val="20"/>
                <w:szCs w:val="20"/>
                <w:highlight w:val="none"/>
              </w:rPr>
            </w:pPr>
            <w:r>
              <w:rPr>
                <w:spacing w:val="-5"/>
                <w:sz w:val="20"/>
                <w:szCs w:val="20"/>
                <w:highlight w:val="none"/>
              </w:rPr>
              <w:t>监测井21口，单井抽水量</w:t>
            </w:r>
            <w:r>
              <w:rPr>
                <w:spacing w:val="-4"/>
                <w:sz w:val="20"/>
                <w:szCs w:val="20"/>
                <w:highlight w:val="none"/>
              </w:rPr>
              <w:t>144</w:t>
            </w:r>
            <w:r>
              <w:rPr>
                <w:rFonts w:hint="eastAsia"/>
                <w:spacing w:val="-4"/>
                <w:sz w:val="20"/>
                <w:highlight w:val="none"/>
              </w:rPr>
              <w:t xml:space="preserve"> </w:t>
            </w:r>
            <w:r>
              <w:rPr>
                <w:spacing w:val="-3"/>
                <w:sz w:val="20"/>
                <w:szCs w:val="20"/>
                <w:highlight w:val="none"/>
              </w:rPr>
              <w:t>m</w:t>
            </w:r>
            <w:r>
              <w:rPr>
                <w:spacing w:val="-3"/>
                <w:sz w:val="20"/>
                <w:szCs w:val="20"/>
                <w:highlight w:val="none"/>
                <w:vertAlign w:val="superscript"/>
              </w:rPr>
              <w:t>3</w:t>
            </w:r>
            <w:r>
              <w:rPr>
                <w:spacing w:val="-4"/>
                <w:sz w:val="20"/>
                <w:szCs w:val="20"/>
                <w:highlight w:val="none"/>
              </w:rPr>
              <w:t>/</w:t>
            </w:r>
            <w:r>
              <w:rPr>
                <w:spacing w:val="-4"/>
                <w:sz w:val="20"/>
                <w:highlight w:val="none"/>
              </w:rPr>
              <w:t>天</w:t>
            </w:r>
            <w:r>
              <w:rPr>
                <w:spacing w:val="-4"/>
                <w:sz w:val="20"/>
                <w:szCs w:val="20"/>
                <w:highlight w:val="none"/>
              </w:rPr>
              <w:t>，达到Ⅳ类水所</w:t>
            </w:r>
            <w:r>
              <w:rPr>
                <w:spacing w:val="-5"/>
                <w:sz w:val="20"/>
                <w:szCs w:val="20"/>
                <w:highlight w:val="none"/>
              </w:rPr>
              <w:t>需时间为1200</w:t>
            </w:r>
            <w:r>
              <w:rPr>
                <w:spacing w:val="-5"/>
                <w:sz w:val="20"/>
                <w:highlight w:val="none"/>
              </w:rPr>
              <w:t>天</w:t>
            </w:r>
            <w:r>
              <w:rPr>
                <w:spacing w:val="-5"/>
                <w:sz w:val="20"/>
                <w:szCs w:val="20"/>
                <w:highlight w:val="none"/>
              </w:rPr>
              <w:t>，抽水总</w:t>
            </w:r>
            <w:r>
              <w:rPr>
                <w:spacing w:val="-3"/>
                <w:sz w:val="20"/>
                <w:szCs w:val="20"/>
                <w:highlight w:val="none"/>
              </w:rPr>
              <w:t>量254.2万方。</w:t>
            </w:r>
          </w:p>
        </w:tc>
      </w:tr>
      <w:tr w14:paraId="2248AD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48" w:type="dxa"/>
            <w:vAlign w:val="center"/>
          </w:tcPr>
          <w:p w14:paraId="48826E4E">
            <w:pPr>
              <w:adjustRightInd w:val="0"/>
              <w:snapToGrid w:val="0"/>
              <w:jc w:val="center"/>
              <w:rPr>
                <w:sz w:val="20"/>
                <w:szCs w:val="20"/>
                <w:highlight w:val="none"/>
              </w:rPr>
            </w:pPr>
            <w:r>
              <w:rPr>
                <w:spacing w:val="-1"/>
                <w:sz w:val="20"/>
                <w:szCs w:val="20"/>
                <w:highlight w:val="none"/>
              </w:rPr>
              <w:t>方案4</w:t>
            </w:r>
          </w:p>
        </w:tc>
        <w:tc>
          <w:tcPr>
            <w:tcW w:w="1134" w:type="dxa"/>
            <w:vAlign w:val="center"/>
          </w:tcPr>
          <w:p w14:paraId="4ECE7B4E">
            <w:pPr>
              <w:adjustRightInd w:val="0"/>
              <w:snapToGrid w:val="0"/>
              <w:jc w:val="center"/>
              <w:rPr>
                <w:sz w:val="20"/>
                <w:szCs w:val="20"/>
                <w:highlight w:val="none"/>
              </w:rPr>
            </w:pPr>
            <w:r>
              <w:rPr>
                <w:spacing w:val="-1"/>
                <w:sz w:val="20"/>
                <w:szCs w:val="20"/>
                <w:highlight w:val="none"/>
              </w:rPr>
              <w:t>21</w:t>
            </w:r>
          </w:p>
        </w:tc>
        <w:tc>
          <w:tcPr>
            <w:tcW w:w="1134" w:type="dxa"/>
            <w:vAlign w:val="center"/>
          </w:tcPr>
          <w:p w14:paraId="625D386D">
            <w:pPr>
              <w:adjustRightInd w:val="0"/>
              <w:snapToGrid w:val="0"/>
              <w:jc w:val="center"/>
              <w:rPr>
                <w:sz w:val="20"/>
                <w:szCs w:val="20"/>
                <w:highlight w:val="none"/>
              </w:rPr>
            </w:pPr>
            <w:r>
              <w:rPr>
                <w:spacing w:val="-4"/>
                <w:sz w:val="20"/>
                <w:szCs w:val="20"/>
                <w:highlight w:val="none"/>
              </w:rPr>
              <w:t>288</w:t>
            </w:r>
          </w:p>
        </w:tc>
        <w:tc>
          <w:tcPr>
            <w:tcW w:w="1134" w:type="dxa"/>
            <w:vAlign w:val="center"/>
          </w:tcPr>
          <w:p w14:paraId="2D4A8650">
            <w:pPr>
              <w:adjustRightInd w:val="0"/>
              <w:snapToGrid w:val="0"/>
              <w:jc w:val="center"/>
              <w:rPr>
                <w:sz w:val="20"/>
                <w:szCs w:val="20"/>
                <w:highlight w:val="none"/>
              </w:rPr>
            </w:pPr>
            <w:r>
              <w:rPr>
                <w:spacing w:val="-7"/>
                <w:sz w:val="20"/>
                <w:szCs w:val="20"/>
                <w:highlight w:val="none"/>
              </w:rPr>
              <w:t>1100</w:t>
            </w:r>
          </w:p>
        </w:tc>
        <w:tc>
          <w:tcPr>
            <w:tcW w:w="1134" w:type="dxa"/>
            <w:vAlign w:val="center"/>
          </w:tcPr>
          <w:p w14:paraId="1F0F874D">
            <w:pPr>
              <w:adjustRightInd w:val="0"/>
              <w:snapToGrid w:val="0"/>
              <w:jc w:val="center"/>
              <w:rPr>
                <w:sz w:val="20"/>
                <w:szCs w:val="20"/>
                <w:highlight w:val="none"/>
              </w:rPr>
            </w:pPr>
            <w:r>
              <w:rPr>
                <w:spacing w:val="-1"/>
                <w:sz w:val="20"/>
                <w:szCs w:val="20"/>
                <w:highlight w:val="none"/>
              </w:rPr>
              <w:t>293.8</w:t>
            </w:r>
          </w:p>
        </w:tc>
        <w:tc>
          <w:tcPr>
            <w:tcW w:w="3483" w:type="dxa"/>
            <w:vAlign w:val="center"/>
          </w:tcPr>
          <w:p w14:paraId="31C65F74">
            <w:pPr>
              <w:adjustRightInd w:val="0"/>
              <w:snapToGrid w:val="0"/>
              <w:jc w:val="center"/>
              <w:rPr>
                <w:sz w:val="20"/>
                <w:szCs w:val="20"/>
                <w:highlight w:val="none"/>
              </w:rPr>
            </w:pPr>
            <w:r>
              <w:rPr>
                <w:spacing w:val="-5"/>
                <w:sz w:val="20"/>
                <w:szCs w:val="20"/>
                <w:highlight w:val="none"/>
              </w:rPr>
              <w:t>监测井21口，周边单井抽水量144</w:t>
            </w:r>
            <w:r>
              <w:rPr>
                <w:rFonts w:hint="eastAsia"/>
                <w:spacing w:val="-5"/>
                <w:sz w:val="20"/>
                <w:highlight w:val="none"/>
              </w:rPr>
              <w:t xml:space="preserve"> </w:t>
            </w:r>
            <w:r>
              <w:rPr>
                <w:spacing w:val="-3"/>
                <w:sz w:val="20"/>
                <w:szCs w:val="20"/>
                <w:highlight w:val="none"/>
              </w:rPr>
              <w:t>m</w:t>
            </w:r>
            <w:r>
              <w:rPr>
                <w:spacing w:val="-3"/>
                <w:sz w:val="20"/>
                <w:szCs w:val="20"/>
                <w:highlight w:val="none"/>
                <w:vertAlign w:val="superscript"/>
              </w:rPr>
              <w:t>3</w:t>
            </w:r>
            <w:r>
              <w:rPr>
                <w:spacing w:val="-3"/>
                <w:sz w:val="20"/>
                <w:szCs w:val="20"/>
                <w:highlight w:val="none"/>
              </w:rPr>
              <w:t>/</w:t>
            </w:r>
            <w:r>
              <w:rPr>
                <w:spacing w:val="-5"/>
                <w:sz w:val="20"/>
                <w:highlight w:val="none"/>
              </w:rPr>
              <w:t>天</w:t>
            </w:r>
            <w:r>
              <w:rPr>
                <w:spacing w:val="-5"/>
                <w:sz w:val="20"/>
                <w:szCs w:val="20"/>
                <w:highlight w:val="none"/>
              </w:rPr>
              <w:t>，浓度高值</w:t>
            </w:r>
            <w:r>
              <w:rPr>
                <w:spacing w:val="-4"/>
                <w:sz w:val="20"/>
                <w:szCs w:val="20"/>
                <w:highlight w:val="none"/>
              </w:rPr>
              <w:t>区抽水量288</w:t>
            </w:r>
            <w:r>
              <w:rPr>
                <w:rFonts w:hint="eastAsia"/>
                <w:spacing w:val="-4"/>
                <w:sz w:val="20"/>
                <w:highlight w:val="none"/>
              </w:rPr>
              <w:t xml:space="preserve"> </w:t>
            </w:r>
            <w:r>
              <w:rPr>
                <w:spacing w:val="-4"/>
                <w:sz w:val="20"/>
                <w:szCs w:val="20"/>
                <w:highlight w:val="none"/>
              </w:rPr>
              <w:t>m³/</w:t>
            </w:r>
            <w:r>
              <w:rPr>
                <w:spacing w:val="-4"/>
                <w:sz w:val="20"/>
                <w:highlight w:val="none"/>
              </w:rPr>
              <w:t>天</w:t>
            </w:r>
            <w:r>
              <w:rPr>
                <w:spacing w:val="-4"/>
                <w:sz w:val="20"/>
                <w:szCs w:val="20"/>
                <w:highlight w:val="none"/>
              </w:rPr>
              <w:t>，达到Ⅳ类</w:t>
            </w:r>
            <w:r>
              <w:rPr>
                <w:spacing w:val="-3"/>
                <w:sz w:val="20"/>
                <w:szCs w:val="20"/>
                <w:highlight w:val="none"/>
              </w:rPr>
              <w:t>水所需时间为1100</w:t>
            </w:r>
            <w:r>
              <w:rPr>
                <w:spacing w:val="-3"/>
                <w:sz w:val="20"/>
                <w:highlight w:val="none"/>
              </w:rPr>
              <w:t>天</w:t>
            </w:r>
            <w:r>
              <w:rPr>
                <w:spacing w:val="-3"/>
                <w:sz w:val="20"/>
                <w:szCs w:val="20"/>
                <w:highlight w:val="none"/>
              </w:rPr>
              <w:t>,抽水总量293.8万方。</w:t>
            </w:r>
          </w:p>
        </w:tc>
      </w:tr>
      <w:tr w14:paraId="5D41F0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48" w:type="dxa"/>
            <w:vAlign w:val="center"/>
          </w:tcPr>
          <w:p w14:paraId="593E5299">
            <w:pPr>
              <w:adjustRightInd w:val="0"/>
              <w:snapToGrid w:val="0"/>
              <w:jc w:val="center"/>
              <w:rPr>
                <w:sz w:val="20"/>
                <w:szCs w:val="20"/>
                <w:highlight w:val="none"/>
              </w:rPr>
            </w:pPr>
            <w:r>
              <w:rPr>
                <w:spacing w:val="-1"/>
                <w:sz w:val="20"/>
                <w:szCs w:val="20"/>
                <w:highlight w:val="none"/>
              </w:rPr>
              <w:t>方案5</w:t>
            </w:r>
          </w:p>
        </w:tc>
        <w:tc>
          <w:tcPr>
            <w:tcW w:w="1134" w:type="dxa"/>
            <w:vAlign w:val="center"/>
          </w:tcPr>
          <w:p w14:paraId="46F3AC18">
            <w:pPr>
              <w:adjustRightInd w:val="0"/>
              <w:snapToGrid w:val="0"/>
              <w:jc w:val="center"/>
              <w:rPr>
                <w:sz w:val="20"/>
                <w:szCs w:val="20"/>
                <w:highlight w:val="none"/>
              </w:rPr>
            </w:pPr>
            <w:r>
              <w:rPr>
                <w:spacing w:val="-1"/>
                <w:sz w:val="20"/>
                <w:szCs w:val="20"/>
                <w:highlight w:val="none"/>
              </w:rPr>
              <w:t>21</w:t>
            </w:r>
          </w:p>
        </w:tc>
        <w:tc>
          <w:tcPr>
            <w:tcW w:w="1134" w:type="dxa"/>
            <w:vAlign w:val="center"/>
          </w:tcPr>
          <w:p w14:paraId="0D1DFFDF">
            <w:pPr>
              <w:adjustRightInd w:val="0"/>
              <w:snapToGrid w:val="0"/>
              <w:jc w:val="center"/>
              <w:rPr>
                <w:sz w:val="20"/>
                <w:szCs w:val="20"/>
                <w:highlight w:val="none"/>
              </w:rPr>
            </w:pPr>
            <w:r>
              <w:rPr>
                <w:spacing w:val="-2"/>
                <w:sz w:val="20"/>
                <w:szCs w:val="20"/>
                <w:highlight w:val="none"/>
              </w:rPr>
              <w:t>96</w:t>
            </w:r>
          </w:p>
        </w:tc>
        <w:tc>
          <w:tcPr>
            <w:tcW w:w="1134" w:type="dxa"/>
            <w:vAlign w:val="center"/>
          </w:tcPr>
          <w:p w14:paraId="52EDB7BF">
            <w:pPr>
              <w:adjustRightInd w:val="0"/>
              <w:snapToGrid w:val="0"/>
              <w:jc w:val="center"/>
              <w:rPr>
                <w:sz w:val="20"/>
                <w:szCs w:val="20"/>
                <w:highlight w:val="none"/>
              </w:rPr>
            </w:pPr>
            <w:r>
              <w:rPr>
                <w:spacing w:val="-5"/>
                <w:sz w:val="20"/>
                <w:szCs w:val="20"/>
                <w:highlight w:val="none"/>
              </w:rPr>
              <w:t>1450</w:t>
            </w:r>
          </w:p>
        </w:tc>
        <w:tc>
          <w:tcPr>
            <w:tcW w:w="1134" w:type="dxa"/>
            <w:vAlign w:val="center"/>
          </w:tcPr>
          <w:p w14:paraId="04AEFAE6">
            <w:pPr>
              <w:adjustRightInd w:val="0"/>
              <w:snapToGrid w:val="0"/>
              <w:jc w:val="center"/>
              <w:rPr>
                <w:sz w:val="20"/>
                <w:szCs w:val="20"/>
                <w:highlight w:val="none"/>
              </w:rPr>
            </w:pPr>
            <w:r>
              <w:rPr>
                <w:spacing w:val="-1"/>
                <w:sz w:val="20"/>
                <w:szCs w:val="20"/>
                <w:highlight w:val="none"/>
              </w:rPr>
              <w:t>209.3</w:t>
            </w:r>
          </w:p>
        </w:tc>
        <w:tc>
          <w:tcPr>
            <w:tcW w:w="3483" w:type="dxa"/>
            <w:vAlign w:val="center"/>
          </w:tcPr>
          <w:p w14:paraId="47DBFB3B">
            <w:pPr>
              <w:adjustRightInd w:val="0"/>
              <w:snapToGrid w:val="0"/>
              <w:jc w:val="center"/>
              <w:rPr>
                <w:sz w:val="20"/>
                <w:szCs w:val="20"/>
                <w:highlight w:val="none"/>
              </w:rPr>
            </w:pPr>
            <w:r>
              <w:rPr>
                <w:spacing w:val="-5"/>
                <w:sz w:val="20"/>
                <w:szCs w:val="20"/>
                <w:highlight w:val="none"/>
              </w:rPr>
              <w:t>监测井21口，单井抽水量</w:t>
            </w:r>
            <w:r>
              <w:rPr>
                <w:spacing w:val="-4"/>
                <w:sz w:val="20"/>
                <w:szCs w:val="20"/>
                <w:highlight w:val="none"/>
              </w:rPr>
              <w:t>96</w:t>
            </w:r>
            <w:r>
              <w:rPr>
                <w:rFonts w:hint="eastAsia"/>
                <w:spacing w:val="-4"/>
                <w:sz w:val="20"/>
                <w:highlight w:val="none"/>
              </w:rPr>
              <w:t xml:space="preserve"> </w:t>
            </w:r>
            <w:r>
              <w:rPr>
                <w:spacing w:val="-3"/>
                <w:sz w:val="20"/>
                <w:szCs w:val="20"/>
                <w:highlight w:val="none"/>
              </w:rPr>
              <w:t>m</w:t>
            </w:r>
            <w:r>
              <w:rPr>
                <w:spacing w:val="-3"/>
                <w:sz w:val="20"/>
                <w:szCs w:val="20"/>
                <w:highlight w:val="none"/>
                <w:vertAlign w:val="superscript"/>
              </w:rPr>
              <w:t>3</w:t>
            </w:r>
            <w:r>
              <w:rPr>
                <w:spacing w:val="-4"/>
                <w:sz w:val="20"/>
                <w:szCs w:val="20"/>
                <w:highlight w:val="none"/>
              </w:rPr>
              <w:t>/</w:t>
            </w:r>
            <w:r>
              <w:rPr>
                <w:spacing w:val="-4"/>
                <w:sz w:val="20"/>
                <w:highlight w:val="none"/>
              </w:rPr>
              <w:t>天</w:t>
            </w:r>
            <w:r>
              <w:rPr>
                <w:spacing w:val="-4"/>
                <w:sz w:val="20"/>
                <w:szCs w:val="20"/>
                <w:highlight w:val="none"/>
              </w:rPr>
              <w:t>，达到Ⅳ类水所</w:t>
            </w:r>
            <w:r>
              <w:rPr>
                <w:spacing w:val="-5"/>
                <w:sz w:val="20"/>
                <w:szCs w:val="20"/>
                <w:highlight w:val="none"/>
              </w:rPr>
              <w:t>需时间为1450</w:t>
            </w:r>
            <w:r>
              <w:rPr>
                <w:spacing w:val="-5"/>
                <w:sz w:val="20"/>
                <w:highlight w:val="none"/>
              </w:rPr>
              <w:t>天</w:t>
            </w:r>
            <w:r>
              <w:rPr>
                <w:spacing w:val="-5"/>
                <w:sz w:val="20"/>
                <w:szCs w:val="20"/>
                <w:highlight w:val="none"/>
              </w:rPr>
              <w:t>，抽水总</w:t>
            </w:r>
            <w:r>
              <w:rPr>
                <w:spacing w:val="-3"/>
                <w:sz w:val="20"/>
                <w:szCs w:val="20"/>
                <w:highlight w:val="none"/>
              </w:rPr>
              <w:t>量209.3万方。</w:t>
            </w:r>
          </w:p>
        </w:tc>
      </w:tr>
    </w:tbl>
    <w:p w14:paraId="45BB32C7">
      <w:pPr>
        <w:autoSpaceDE w:val="0"/>
        <w:autoSpaceDN w:val="0"/>
        <w:ind w:firstLine="420" w:firstLineChars="200"/>
        <w:rPr>
          <w:szCs w:val="20"/>
          <w:highlight w:val="none"/>
        </w:rPr>
      </w:pPr>
    </w:p>
    <w:p w14:paraId="3997E7E4">
      <w:pPr>
        <w:pStyle w:val="54"/>
        <w:numPr>
          <w:ilvl w:val="1"/>
          <w:numId w:val="7"/>
        </w:numPr>
        <w:spacing w:before="120" w:after="120"/>
        <w:rPr>
          <w:rFonts w:ascii="Times New Roman"/>
          <w:highlight w:val="none"/>
        </w:rPr>
      </w:pPr>
      <w:bookmarkStart w:id="146" w:name="_Toc29467"/>
      <w:r>
        <w:rPr>
          <w:rFonts w:hint="eastAsia" w:ascii="Times New Roman"/>
          <w:highlight w:val="none"/>
        </w:rPr>
        <w:t>不同修复情景绿色低碳评价</w:t>
      </w:r>
      <w:bookmarkEnd w:id="146"/>
    </w:p>
    <w:p w14:paraId="13A7E960">
      <w:pPr>
        <w:spacing w:before="160" w:after="80"/>
        <w:rPr>
          <w:bCs/>
          <w:sz w:val="18"/>
          <w:szCs w:val="21"/>
          <w:highlight w:val="none"/>
        </w:rPr>
      </w:pPr>
      <w:r>
        <w:rPr>
          <w:rFonts w:hint="eastAsia" w:eastAsia="黑体"/>
          <w:bCs/>
          <w:sz w:val="20"/>
          <w:szCs w:val="21"/>
          <w:highlight w:val="none"/>
          <w:lang w:val="en-US" w:eastAsia="zh-CN"/>
        </w:rPr>
        <w:t>B</w:t>
      </w:r>
      <w:r>
        <w:rPr>
          <w:rFonts w:hint="eastAsia" w:ascii="Times New Roman" w:hAnsi="Times New Roman" w:eastAsia="黑体"/>
          <w:bCs/>
          <w:sz w:val="20"/>
          <w:szCs w:val="21"/>
          <w:highlight w:val="none"/>
        </w:rPr>
        <w:t>.3.1 评价范围与系统边界</w:t>
      </w:r>
    </w:p>
    <w:p w14:paraId="2BB0CFA8">
      <w:pPr>
        <w:ind w:firstLine="420" w:firstLineChars="200"/>
        <w:rPr>
          <w:highlight w:val="none"/>
        </w:rPr>
      </w:pPr>
      <w:r>
        <w:rPr>
          <w:highlight w:val="none"/>
        </w:rPr>
        <w:t>本案例采用生命周期评价思路，对不同抽出处理方案的环境影响进行比较。评价范围覆盖抽出处理系统建设和运行阶段，包括设备和材料生产、材料运输、抽出井和管道建设、抽出运行、水处理过程、废物运输及处置等环节。评价重点是识别不同技术参数下的主要碳排放和环境影响贡献环节，为低碳管理措施筛选提供依据</w:t>
      </w:r>
      <w:r>
        <w:rPr>
          <w:rFonts w:hint="eastAsia"/>
          <w:highlight w:val="none"/>
        </w:rPr>
        <w:t>。</w:t>
      </w:r>
    </w:p>
    <w:p w14:paraId="391B3A52">
      <w:pPr>
        <w:rPr>
          <w:bCs/>
          <w:sz w:val="18"/>
          <w:szCs w:val="21"/>
          <w:highlight w:val="none"/>
        </w:rPr>
      </w:pPr>
      <w:r>
        <w:rPr>
          <w:rFonts w:hint="eastAsia" w:eastAsia="黑体"/>
          <w:bCs/>
          <w:sz w:val="20"/>
          <w:szCs w:val="21"/>
          <w:highlight w:val="none"/>
          <w:lang w:val="en-US" w:eastAsia="zh-CN"/>
        </w:rPr>
        <w:t>B</w:t>
      </w:r>
      <w:r>
        <w:rPr>
          <w:rFonts w:hint="eastAsia" w:ascii="Times New Roman" w:hAnsi="Times New Roman" w:eastAsia="黑体"/>
          <w:bCs/>
          <w:sz w:val="20"/>
          <w:szCs w:val="21"/>
          <w:highlight w:val="none"/>
        </w:rPr>
        <w:t>.3.2 清单数据</w:t>
      </w:r>
    </w:p>
    <w:p w14:paraId="649930E8">
      <w:pPr>
        <w:ind w:firstLine="420" w:firstLineChars="200"/>
        <w:rPr>
          <w:highlight w:val="none"/>
        </w:rPr>
      </w:pPr>
      <w:r>
        <w:rPr>
          <w:highlight w:val="none"/>
        </w:rPr>
        <w:t>生命周期清单数据来源包括地下水风险管控方案、现场实测数据、市场询价、资料查询和相关文献等。清单主要包括建井材料、管道材料、柴油、电力、运输量、废土和废水等。本</w:t>
      </w:r>
      <w:r>
        <w:rPr>
          <w:rFonts w:hint="eastAsia"/>
          <w:highlight w:val="none"/>
        </w:rPr>
        <w:t>案例</w:t>
      </w:r>
      <w:r>
        <w:rPr>
          <w:highlight w:val="none"/>
        </w:rPr>
        <w:t>的生命周期清单</w:t>
      </w:r>
      <w:r>
        <w:rPr>
          <w:rFonts w:hint="eastAsia"/>
          <w:highlight w:val="none"/>
        </w:rPr>
        <w:t>如</w:t>
      </w:r>
      <w:r>
        <w:rPr>
          <w:highlight w:val="none"/>
        </w:rPr>
        <w:t>表</w:t>
      </w:r>
      <w:r>
        <w:rPr>
          <w:rFonts w:hint="eastAsia"/>
          <w:highlight w:val="none"/>
          <w:lang w:val="en-US" w:eastAsia="zh-CN"/>
        </w:rPr>
        <w:t>B-</w:t>
      </w:r>
      <w:r>
        <w:rPr>
          <w:rFonts w:hint="eastAsia"/>
          <w:highlight w:val="none"/>
        </w:rPr>
        <w:t>2所示</w:t>
      </w:r>
      <w:r>
        <w:rPr>
          <w:highlight w:val="none"/>
        </w:rPr>
        <w:t>。</w:t>
      </w:r>
    </w:p>
    <w:p w14:paraId="63F61B4E">
      <w:pPr>
        <w:jc w:val="center"/>
        <w:rPr>
          <w:sz w:val="20"/>
          <w:highlight w:val="none"/>
        </w:rPr>
      </w:pPr>
      <w:r>
        <w:rPr>
          <w:sz w:val="20"/>
          <w:highlight w:val="none"/>
        </w:rPr>
        <w:t>表</w:t>
      </w:r>
      <w:r>
        <w:rPr>
          <w:rFonts w:hint="eastAsia"/>
          <w:sz w:val="20"/>
          <w:highlight w:val="none"/>
          <w:lang w:val="en-US" w:eastAsia="zh-CN"/>
        </w:rPr>
        <w:t>B-</w:t>
      </w:r>
      <w:r>
        <w:rPr>
          <w:rFonts w:hint="eastAsia"/>
          <w:sz w:val="20"/>
          <w:highlight w:val="none"/>
        </w:rPr>
        <w:t>2</w:t>
      </w:r>
      <w:r>
        <w:rPr>
          <w:sz w:val="20"/>
          <w:highlight w:val="none"/>
        </w:rPr>
        <w:t xml:space="preserve"> 不同抽出处理</w:t>
      </w:r>
      <w:r>
        <w:rPr>
          <w:rFonts w:hint="eastAsia"/>
          <w:sz w:val="20"/>
          <w:highlight w:val="none"/>
        </w:rPr>
        <w:t>方案</w:t>
      </w:r>
      <w:r>
        <w:rPr>
          <w:sz w:val="20"/>
          <w:highlight w:val="none"/>
        </w:rPr>
        <w:t>生命周期清单</w:t>
      </w:r>
    </w:p>
    <w:tbl>
      <w:tblPr>
        <w:tblStyle w:val="15"/>
        <w:tblW w:w="4998"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20"/>
        <w:gridCol w:w="1317"/>
        <w:gridCol w:w="1328"/>
        <w:gridCol w:w="1328"/>
        <w:gridCol w:w="1328"/>
        <w:gridCol w:w="1329"/>
      </w:tblGrid>
      <w:tr w14:paraId="26AEF0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blHeader/>
        </w:trPr>
        <w:tc>
          <w:tcPr>
            <w:tcW w:w="1454" w:type="pct"/>
            <w:tcBorders>
              <w:bottom w:val="single" w:color="auto" w:sz="8" w:space="0"/>
            </w:tcBorders>
            <w:noWrap/>
            <w:vAlign w:val="center"/>
          </w:tcPr>
          <w:p w14:paraId="7382762B">
            <w:pPr>
              <w:adjustRightInd w:val="0"/>
              <w:jc w:val="center"/>
              <w:rPr>
                <w:sz w:val="20"/>
                <w:szCs w:val="20"/>
                <w:highlight w:val="none"/>
              </w:rPr>
            </w:pPr>
          </w:p>
        </w:tc>
        <w:tc>
          <w:tcPr>
            <w:tcW w:w="704" w:type="pct"/>
            <w:tcBorders>
              <w:bottom w:val="single" w:color="auto" w:sz="8" w:space="0"/>
            </w:tcBorders>
            <w:noWrap/>
            <w:vAlign w:val="center"/>
          </w:tcPr>
          <w:p w14:paraId="6EFC52F8">
            <w:pPr>
              <w:adjustRightInd w:val="0"/>
              <w:jc w:val="center"/>
              <w:textAlignment w:val="center"/>
              <w:rPr>
                <w:sz w:val="20"/>
                <w:szCs w:val="20"/>
                <w:highlight w:val="none"/>
              </w:rPr>
            </w:pPr>
            <w:r>
              <w:rPr>
                <w:sz w:val="20"/>
                <w:szCs w:val="20"/>
                <w:highlight w:val="none"/>
                <w:lang w:bidi="ar"/>
              </w:rPr>
              <w:t>方案1</w:t>
            </w:r>
          </w:p>
        </w:tc>
        <w:tc>
          <w:tcPr>
            <w:tcW w:w="710" w:type="pct"/>
            <w:tcBorders>
              <w:bottom w:val="single" w:color="auto" w:sz="8" w:space="0"/>
            </w:tcBorders>
            <w:noWrap/>
            <w:vAlign w:val="center"/>
          </w:tcPr>
          <w:p w14:paraId="6107DDF7">
            <w:pPr>
              <w:adjustRightInd w:val="0"/>
              <w:jc w:val="center"/>
              <w:textAlignment w:val="center"/>
              <w:rPr>
                <w:sz w:val="20"/>
                <w:szCs w:val="20"/>
                <w:highlight w:val="none"/>
              </w:rPr>
            </w:pPr>
            <w:r>
              <w:rPr>
                <w:sz w:val="20"/>
                <w:szCs w:val="20"/>
                <w:highlight w:val="none"/>
                <w:lang w:bidi="ar"/>
              </w:rPr>
              <w:t>方案2</w:t>
            </w:r>
          </w:p>
        </w:tc>
        <w:tc>
          <w:tcPr>
            <w:tcW w:w="710" w:type="pct"/>
            <w:tcBorders>
              <w:bottom w:val="single" w:color="auto" w:sz="8" w:space="0"/>
            </w:tcBorders>
            <w:noWrap/>
            <w:vAlign w:val="center"/>
          </w:tcPr>
          <w:p w14:paraId="05DB3FE6">
            <w:pPr>
              <w:adjustRightInd w:val="0"/>
              <w:jc w:val="center"/>
              <w:textAlignment w:val="center"/>
              <w:rPr>
                <w:sz w:val="20"/>
                <w:szCs w:val="20"/>
                <w:highlight w:val="none"/>
              </w:rPr>
            </w:pPr>
            <w:r>
              <w:rPr>
                <w:sz w:val="20"/>
                <w:szCs w:val="20"/>
                <w:highlight w:val="none"/>
                <w:lang w:bidi="ar"/>
              </w:rPr>
              <w:t>方案3</w:t>
            </w:r>
          </w:p>
        </w:tc>
        <w:tc>
          <w:tcPr>
            <w:tcW w:w="710" w:type="pct"/>
            <w:tcBorders>
              <w:bottom w:val="single" w:color="auto" w:sz="8" w:space="0"/>
            </w:tcBorders>
            <w:noWrap/>
            <w:vAlign w:val="center"/>
          </w:tcPr>
          <w:p w14:paraId="472F1500">
            <w:pPr>
              <w:adjustRightInd w:val="0"/>
              <w:jc w:val="center"/>
              <w:textAlignment w:val="center"/>
              <w:rPr>
                <w:sz w:val="20"/>
                <w:szCs w:val="20"/>
                <w:highlight w:val="none"/>
              </w:rPr>
            </w:pPr>
            <w:r>
              <w:rPr>
                <w:sz w:val="20"/>
                <w:szCs w:val="20"/>
                <w:highlight w:val="none"/>
                <w:lang w:bidi="ar"/>
              </w:rPr>
              <w:t>方案4</w:t>
            </w:r>
          </w:p>
        </w:tc>
        <w:tc>
          <w:tcPr>
            <w:tcW w:w="710" w:type="pct"/>
            <w:tcBorders>
              <w:bottom w:val="single" w:color="auto" w:sz="8" w:space="0"/>
            </w:tcBorders>
            <w:noWrap/>
            <w:vAlign w:val="center"/>
          </w:tcPr>
          <w:p w14:paraId="74456E8C">
            <w:pPr>
              <w:adjustRightInd w:val="0"/>
              <w:jc w:val="center"/>
              <w:textAlignment w:val="center"/>
              <w:rPr>
                <w:sz w:val="20"/>
                <w:szCs w:val="20"/>
                <w:highlight w:val="none"/>
              </w:rPr>
            </w:pPr>
            <w:r>
              <w:rPr>
                <w:sz w:val="20"/>
                <w:szCs w:val="20"/>
                <w:highlight w:val="none"/>
                <w:lang w:bidi="ar"/>
              </w:rPr>
              <w:t>方案5</w:t>
            </w:r>
          </w:p>
        </w:tc>
      </w:tr>
      <w:tr w14:paraId="45C7B7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205FE4C4">
            <w:pPr>
              <w:adjustRightInd w:val="0"/>
              <w:jc w:val="center"/>
              <w:textAlignment w:val="center"/>
              <w:rPr>
                <w:sz w:val="20"/>
                <w:szCs w:val="20"/>
                <w:highlight w:val="none"/>
              </w:rPr>
            </w:pPr>
            <w:r>
              <w:rPr>
                <w:sz w:val="20"/>
                <w:szCs w:val="20"/>
                <w:highlight w:val="none"/>
                <w:lang w:bidi="ar"/>
              </w:rPr>
              <w:t>膨润土（t）</w:t>
            </w:r>
          </w:p>
        </w:tc>
        <w:tc>
          <w:tcPr>
            <w:tcW w:w="704" w:type="pct"/>
            <w:tcBorders>
              <w:tl2br w:val="nil"/>
              <w:tr2bl w:val="nil"/>
            </w:tcBorders>
            <w:noWrap/>
            <w:vAlign w:val="center"/>
          </w:tcPr>
          <w:p w14:paraId="19D7F84A">
            <w:pPr>
              <w:adjustRightInd w:val="0"/>
              <w:jc w:val="center"/>
              <w:textAlignment w:val="center"/>
              <w:rPr>
                <w:sz w:val="20"/>
                <w:szCs w:val="20"/>
                <w:highlight w:val="none"/>
              </w:rPr>
            </w:pPr>
            <w:r>
              <w:rPr>
                <w:sz w:val="20"/>
                <w:szCs w:val="20"/>
                <w:highlight w:val="none"/>
                <w:lang w:bidi="ar"/>
              </w:rPr>
              <w:t>2.09</w:t>
            </w:r>
          </w:p>
        </w:tc>
        <w:tc>
          <w:tcPr>
            <w:tcW w:w="710" w:type="pct"/>
            <w:tcBorders>
              <w:tl2br w:val="nil"/>
              <w:tr2bl w:val="nil"/>
            </w:tcBorders>
            <w:noWrap/>
            <w:vAlign w:val="center"/>
          </w:tcPr>
          <w:p w14:paraId="0D5CF47F">
            <w:pPr>
              <w:adjustRightInd w:val="0"/>
              <w:jc w:val="center"/>
              <w:textAlignment w:val="center"/>
              <w:rPr>
                <w:sz w:val="20"/>
                <w:szCs w:val="20"/>
                <w:highlight w:val="none"/>
              </w:rPr>
            </w:pPr>
            <w:r>
              <w:rPr>
                <w:sz w:val="20"/>
                <w:szCs w:val="20"/>
                <w:highlight w:val="none"/>
                <w:lang w:bidi="ar"/>
              </w:rPr>
              <w:t>7.93</w:t>
            </w:r>
          </w:p>
        </w:tc>
        <w:tc>
          <w:tcPr>
            <w:tcW w:w="710" w:type="pct"/>
            <w:tcBorders>
              <w:tl2br w:val="nil"/>
              <w:tr2bl w:val="nil"/>
            </w:tcBorders>
            <w:noWrap/>
            <w:vAlign w:val="center"/>
          </w:tcPr>
          <w:p w14:paraId="421C55CC">
            <w:pPr>
              <w:adjustRightInd w:val="0"/>
              <w:jc w:val="center"/>
              <w:textAlignment w:val="center"/>
              <w:rPr>
                <w:sz w:val="20"/>
                <w:szCs w:val="20"/>
                <w:highlight w:val="none"/>
              </w:rPr>
            </w:pPr>
            <w:r>
              <w:rPr>
                <w:sz w:val="20"/>
                <w:szCs w:val="20"/>
                <w:highlight w:val="none"/>
                <w:lang w:bidi="ar"/>
              </w:rPr>
              <w:t>8.76</w:t>
            </w:r>
          </w:p>
        </w:tc>
        <w:tc>
          <w:tcPr>
            <w:tcW w:w="710" w:type="pct"/>
            <w:tcBorders>
              <w:tl2br w:val="nil"/>
              <w:tr2bl w:val="nil"/>
            </w:tcBorders>
            <w:noWrap/>
            <w:vAlign w:val="center"/>
          </w:tcPr>
          <w:p w14:paraId="54144CA6">
            <w:pPr>
              <w:adjustRightInd w:val="0"/>
              <w:jc w:val="center"/>
              <w:textAlignment w:val="center"/>
              <w:rPr>
                <w:sz w:val="20"/>
                <w:szCs w:val="20"/>
                <w:highlight w:val="none"/>
              </w:rPr>
            </w:pPr>
            <w:r>
              <w:rPr>
                <w:sz w:val="20"/>
                <w:szCs w:val="20"/>
                <w:highlight w:val="none"/>
                <w:lang w:bidi="ar"/>
              </w:rPr>
              <w:t>8.76</w:t>
            </w:r>
          </w:p>
        </w:tc>
        <w:tc>
          <w:tcPr>
            <w:tcW w:w="710" w:type="pct"/>
            <w:tcBorders>
              <w:tl2br w:val="nil"/>
              <w:tr2bl w:val="nil"/>
            </w:tcBorders>
            <w:noWrap/>
            <w:vAlign w:val="center"/>
          </w:tcPr>
          <w:p w14:paraId="29CD5878">
            <w:pPr>
              <w:adjustRightInd w:val="0"/>
              <w:jc w:val="center"/>
              <w:textAlignment w:val="center"/>
              <w:rPr>
                <w:sz w:val="20"/>
                <w:szCs w:val="20"/>
                <w:highlight w:val="none"/>
              </w:rPr>
            </w:pPr>
            <w:r>
              <w:rPr>
                <w:sz w:val="20"/>
                <w:szCs w:val="20"/>
                <w:highlight w:val="none"/>
                <w:lang w:bidi="ar"/>
              </w:rPr>
              <w:t>8.76</w:t>
            </w:r>
          </w:p>
        </w:tc>
      </w:tr>
      <w:tr w14:paraId="484067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19C8538A">
            <w:pPr>
              <w:adjustRightInd w:val="0"/>
              <w:jc w:val="center"/>
              <w:textAlignment w:val="center"/>
              <w:rPr>
                <w:sz w:val="20"/>
                <w:szCs w:val="20"/>
                <w:highlight w:val="none"/>
              </w:rPr>
            </w:pPr>
            <w:r>
              <w:rPr>
                <w:sz w:val="20"/>
                <w:szCs w:val="20"/>
                <w:highlight w:val="none"/>
                <w:lang w:bidi="ar"/>
              </w:rPr>
              <w:t>石英砂（t）</w:t>
            </w:r>
          </w:p>
        </w:tc>
        <w:tc>
          <w:tcPr>
            <w:tcW w:w="704" w:type="pct"/>
            <w:tcBorders>
              <w:tl2br w:val="nil"/>
              <w:tr2bl w:val="nil"/>
            </w:tcBorders>
            <w:noWrap/>
            <w:vAlign w:val="center"/>
          </w:tcPr>
          <w:p w14:paraId="3539889C">
            <w:pPr>
              <w:adjustRightInd w:val="0"/>
              <w:jc w:val="center"/>
              <w:textAlignment w:val="center"/>
              <w:rPr>
                <w:sz w:val="20"/>
                <w:szCs w:val="20"/>
                <w:highlight w:val="none"/>
              </w:rPr>
            </w:pPr>
            <w:r>
              <w:rPr>
                <w:sz w:val="20"/>
                <w:szCs w:val="20"/>
                <w:highlight w:val="none"/>
                <w:lang w:bidi="ar"/>
              </w:rPr>
              <w:t>22.52</w:t>
            </w:r>
          </w:p>
        </w:tc>
        <w:tc>
          <w:tcPr>
            <w:tcW w:w="710" w:type="pct"/>
            <w:tcBorders>
              <w:tl2br w:val="nil"/>
              <w:tr2bl w:val="nil"/>
            </w:tcBorders>
            <w:noWrap/>
            <w:vAlign w:val="center"/>
          </w:tcPr>
          <w:p w14:paraId="7B3A9A57">
            <w:pPr>
              <w:adjustRightInd w:val="0"/>
              <w:jc w:val="center"/>
              <w:textAlignment w:val="center"/>
              <w:rPr>
                <w:sz w:val="20"/>
                <w:szCs w:val="20"/>
                <w:highlight w:val="none"/>
              </w:rPr>
            </w:pPr>
            <w:r>
              <w:rPr>
                <w:sz w:val="20"/>
                <w:szCs w:val="20"/>
                <w:highlight w:val="none"/>
                <w:lang w:bidi="ar"/>
              </w:rPr>
              <w:t>85.59</w:t>
            </w:r>
          </w:p>
        </w:tc>
        <w:tc>
          <w:tcPr>
            <w:tcW w:w="710" w:type="pct"/>
            <w:tcBorders>
              <w:tl2br w:val="nil"/>
              <w:tr2bl w:val="nil"/>
            </w:tcBorders>
            <w:noWrap/>
            <w:vAlign w:val="center"/>
          </w:tcPr>
          <w:p w14:paraId="123FFB5D">
            <w:pPr>
              <w:adjustRightInd w:val="0"/>
              <w:jc w:val="center"/>
              <w:textAlignment w:val="center"/>
              <w:rPr>
                <w:sz w:val="20"/>
                <w:szCs w:val="20"/>
                <w:highlight w:val="none"/>
              </w:rPr>
            </w:pPr>
            <w:r>
              <w:rPr>
                <w:sz w:val="20"/>
                <w:szCs w:val="20"/>
                <w:highlight w:val="none"/>
                <w:lang w:bidi="ar"/>
              </w:rPr>
              <w:t>94.60</w:t>
            </w:r>
          </w:p>
        </w:tc>
        <w:tc>
          <w:tcPr>
            <w:tcW w:w="710" w:type="pct"/>
            <w:tcBorders>
              <w:tl2br w:val="nil"/>
              <w:tr2bl w:val="nil"/>
            </w:tcBorders>
            <w:noWrap/>
            <w:vAlign w:val="center"/>
          </w:tcPr>
          <w:p w14:paraId="3B9AC6B9">
            <w:pPr>
              <w:adjustRightInd w:val="0"/>
              <w:jc w:val="center"/>
              <w:textAlignment w:val="center"/>
              <w:rPr>
                <w:sz w:val="20"/>
                <w:szCs w:val="20"/>
                <w:highlight w:val="none"/>
              </w:rPr>
            </w:pPr>
            <w:r>
              <w:rPr>
                <w:sz w:val="20"/>
                <w:szCs w:val="20"/>
                <w:highlight w:val="none"/>
                <w:lang w:bidi="ar"/>
              </w:rPr>
              <w:t>94.60</w:t>
            </w:r>
          </w:p>
        </w:tc>
        <w:tc>
          <w:tcPr>
            <w:tcW w:w="710" w:type="pct"/>
            <w:tcBorders>
              <w:tl2br w:val="nil"/>
              <w:tr2bl w:val="nil"/>
            </w:tcBorders>
            <w:noWrap/>
            <w:vAlign w:val="center"/>
          </w:tcPr>
          <w:p w14:paraId="3BC679EE">
            <w:pPr>
              <w:adjustRightInd w:val="0"/>
              <w:jc w:val="center"/>
              <w:textAlignment w:val="center"/>
              <w:rPr>
                <w:sz w:val="20"/>
                <w:szCs w:val="20"/>
                <w:highlight w:val="none"/>
              </w:rPr>
            </w:pPr>
            <w:r>
              <w:rPr>
                <w:sz w:val="20"/>
                <w:szCs w:val="20"/>
                <w:highlight w:val="none"/>
                <w:lang w:bidi="ar"/>
              </w:rPr>
              <w:t>94.60</w:t>
            </w:r>
          </w:p>
        </w:tc>
      </w:tr>
      <w:tr w14:paraId="4976C6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69C86FAE">
            <w:pPr>
              <w:adjustRightInd w:val="0"/>
              <w:jc w:val="center"/>
              <w:textAlignment w:val="center"/>
              <w:rPr>
                <w:sz w:val="20"/>
                <w:szCs w:val="20"/>
                <w:highlight w:val="none"/>
              </w:rPr>
            </w:pPr>
            <w:r>
              <w:rPr>
                <w:sz w:val="20"/>
                <w:szCs w:val="20"/>
                <w:highlight w:val="none"/>
                <w:lang w:bidi="ar"/>
              </w:rPr>
              <w:t>混凝土（t）</w:t>
            </w:r>
          </w:p>
        </w:tc>
        <w:tc>
          <w:tcPr>
            <w:tcW w:w="704" w:type="pct"/>
            <w:tcBorders>
              <w:tl2br w:val="nil"/>
              <w:tr2bl w:val="nil"/>
            </w:tcBorders>
            <w:noWrap/>
            <w:vAlign w:val="center"/>
          </w:tcPr>
          <w:p w14:paraId="49715D92">
            <w:pPr>
              <w:adjustRightInd w:val="0"/>
              <w:jc w:val="center"/>
              <w:textAlignment w:val="center"/>
              <w:rPr>
                <w:sz w:val="20"/>
                <w:szCs w:val="20"/>
                <w:highlight w:val="none"/>
              </w:rPr>
            </w:pPr>
            <w:r>
              <w:rPr>
                <w:sz w:val="20"/>
                <w:szCs w:val="20"/>
                <w:highlight w:val="none"/>
                <w:lang w:bidi="ar"/>
              </w:rPr>
              <w:t>3.13</w:t>
            </w:r>
          </w:p>
        </w:tc>
        <w:tc>
          <w:tcPr>
            <w:tcW w:w="710" w:type="pct"/>
            <w:tcBorders>
              <w:tl2br w:val="nil"/>
              <w:tr2bl w:val="nil"/>
            </w:tcBorders>
            <w:noWrap/>
            <w:vAlign w:val="center"/>
          </w:tcPr>
          <w:p w14:paraId="1D1F9171">
            <w:pPr>
              <w:adjustRightInd w:val="0"/>
              <w:jc w:val="center"/>
              <w:textAlignment w:val="center"/>
              <w:rPr>
                <w:sz w:val="20"/>
                <w:szCs w:val="20"/>
                <w:highlight w:val="none"/>
              </w:rPr>
            </w:pPr>
            <w:r>
              <w:rPr>
                <w:sz w:val="20"/>
                <w:szCs w:val="20"/>
                <w:highlight w:val="none"/>
                <w:lang w:bidi="ar"/>
              </w:rPr>
              <w:t>11.89</w:t>
            </w:r>
          </w:p>
        </w:tc>
        <w:tc>
          <w:tcPr>
            <w:tcW w:w="710" w:type="pct"/>
            <w:tcBorders>
              <w:tl2br w:val="nil"/>
              <w:tr2bl w:val="nil"/>
            </w:tcBorders>
            <w:noWrap/>
            <w:vAlign w:val="center"/>
          </w:tcPr>
          <w:p w14:paraId="5F1B6900">
            <w:pPr>
              <w:adjustRightInd w:val="0"/>
              <w:jc w:val="center"/>
              <w:textAlignment w:val="center"/>
              <w:rPr>
                <w:sz w:val="20"/>
                <w:szCs w:val="20"/>
                <w:highlight w:val="none"/>
              </w:rPr>
            </w:pPr>
            <w:r>
              <w:rPr>
                <w:sz w:val="20"/>
                <w:szCs w:val="20"/>
                <w:highlight w:val="none"/>
                <w:lang w:bidi="ar"/>
              </w:rPr>
              <w:t>13.14</w:t>
            </w:r>
          </w:p>
        </w:tc>
        <w:tc>
          <w:tcPr>
            <w:tcW w:w="710" w:type="pct"/>
            <w:tcBorders>
              <w:tl2br w:val="nil"/>
              <w:tr2bl w:val="nil"/>
            </w:tcBorders>
            <w:noWrap/>
            <w:vAlign w:val="center"/>
          </w:tcPr>
          <w:p w14:paraId="399813BF">
            <w:pPr>
              <w:adjustRightInd w:val="0"/>
              <w:jc w:val="center"/>
              <w:textAlignment w:val="center"/>
              <w:rPr>
                <w:sz w:val="20"/>
                <w:szCs w:val="20"/>
                <w:highlight w:val="none"/>
              </w:rPr>
            </w:pPr>
            <w:r>
              <w:rPr>
                <w:sz w:val="20"/>
                <w:szCs w:val="20"/>
                <w:highlight w:val="none"/>
                <w:lang w:bidi="ar"/>
              </w:rPr>
              <w:t>13.14</w:t>
            </w:r>
          </w:p>
        </w:tc>
        <w:tc>
          <w:tcPr>
            <w:tcW w:w="710" w:type="pct"/>
            <w:tcBorders>
              <w:tl2br w:val="nil"/>
              <w:tr2bl w:val="nil"/>
            </w:tcBorders>
            <w:noWrap/>
            <w:vAlign w:val="center"/>
          </w:tcPr>
          <w:p w14:paraId="1A3A4BB3">
            <w:pPr>
              <w:adjustRightInd w:val="0"/>
              <w:jc w:val="center"/>
              <w:textAlignment w:val="center"/>
              <w:rPr>
                <w:sz w:val="20"/>
                <w:szCs w:val="20"/>
                <w:highlight w:val="none"/>
              </w:rPr>
            </w:pPr>
            <w:r>
              <w:rPr>
                <w:sz w:val="20"/>
                <w:szCs w:val="20"/>
                <w:highlight w:val="none"/>
                <w:lang w:bidi="ar"/>
              </w:rPr>
              <w:t>13.14</w:t>
            </w:r>
          </w:p>
        </w:tc>
      </w:tr>
      <w:tr w14:paraId="28AEBB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6C9D965E">
            <w:pPr>
              <w:adjustRightInd w:val="0"/>
              <w:jc w:val="center"/>
              <w:textAlignment w:val="center"/>
              <w:rPr>
                <w:sz w:val="20"/>
                <w:szCs w:val="20"/>
                <w:highlight w:val="none"/>
              </w:rPr>
            </w:pPr>
            <w:r>
              <w:rPr>
                <w:sz w:val="20"/>
                <w:szCs w:val="20"/>
                <w:highlight w:val="none"/>
                <w:lang w:bidi="ar"/>
              </w:rPr>
              <w:t>碳钢管（t）</w:t>
            </w:r>
          </w:p>
        </w:tc>
        <w:tc>
          <w:tcPr>
            <w:tcW w:w="704" w:type="pct"/>
            <w:tcBorders>
              <w:tl2br w:val="nil"/>
              <w:tr2bl w:val="nil"/>
            </w:tcBorders>
            <w:noWrap/>
            <w:vAlign w:val="center"/>
          </w:tcPr>
          <w:p w14:paraId="749E952C">
            <w:pPr>
              <w:adjustRightInd w:val="0"/>
              <w:jc w:val="center"/>
              <w:textAlignment w:val="center"/>
              <w:rPr>
                <w:sz w:val="20"/>
                <w:szCs w:val="20"/>
                <w:highlight w:val="none"/>
              </w:rPr>
            </w:pPr>
            <w:r>
              <w:rPr>
                <w:sz w:val="20"/>
                <w:szCs w:val="20"/>
                <w:highlight w:val="none"/>
                <w:lang w:bidi="ar"/>
              </w:rPr>
              <w:t>30.92</w:t>
            </w:r>
          </w:p>
        </w:tc>
        <w:tc>
          <w:tcPr>
            <w:tcW w:w="710" w:type="pct"/>
            <w:tcBorders>
              <w:tl2br w:val="nil"/>
              <w:tr2bl w:val="nil"/>
            </w:tcBorders>
            <w:noWrap/>
            <w:vAlign w:val="center"/>
          </w:tcPr>
          <w:p w14:paraId="02CDB119">
            <w:pPr>
              <w:adjustRightInd w:val="0"/>
              <w:jc w:val="center"/>
              <w:textAlignment w:val="center"/>
              <w:rPr>
                <w:sz w:val="20"/>
                <w:szCs w:val="20"/>
                <w:highlight w:val="none"/>
              </w:rPr>
            </w:pPr>
            <w:r>
              <w:rPr>
                <w:sz w:val="20"/>
                <w:szCs w:val="20"/>
                <w:highlight w:val="none"/>
                <w:lang w:bidi="ar"/>
              </w:rPr>
              <w:t>117.51</w:t>
            </w:r>
          </w:p>
        </w:tc>
        <w:tc>
          <w:tcPr>
            <w:tcW w:w="710" w:type="pct"/>
            <w:tcBorders>
              <w:tl2br w:val="nil"/>
              <w:tr2bl w:val="nil"/>
            </w:tcBorders>
            <w:noWrap/>
            <w:vAlign w:val="center"/>
          </w:tcPr>
          <w:p w14:paraId="280FC627">
            <w:pPr>
              <w:adjustRightInd w:val="0"/>
              <w:jc w:val="center"/>
              <w:textAlignment w:val="center"/>
              <w:rPr>
                <w:sz w:val="20"/>
                <w:szCs w:val="20"/>
                <w:highlight w:val="none"/>
              </w:rPr>
            </w:pPr>
            <w:r>
              <w:rPr>
                <w:sz w:val="20"/>
                <w:szCs w:val="20"/>
                <w:highlight w:val="none"/>
                <w:lang w:bidi="ar"/>
              </w:rPr>
              <w:t>129.88</w:t>
            </w:r>
          </w:p>
        </w:tc>
        <w:tc>
          <w:tcPr>
            <w:tcW w:w="710" w:type="pct"/>
            <w:tcBorders>
              <w:tl2br w:val="nil"/>
              <w:tr2bl w:val="nil"/>
            </w:tcBorders>
            <w:noWrap/>
            <w:vAlign w:val="center"/>
          </w:tcPr>
          <w:p w14:paraId="0031973F">
            <w:pPr>
              <w:adjustRightInd w:val="0"/>
              <w:jc w:val="center"/>
              <w:textAlignment w:val="center"/>
              <w:rPr>
                <w:sz w:val="20"/>
                <w:szCs w:val="20"/>
                <w:highlight w:val="none"/>
              </w:rPr>
            </w:pPr>
            <w:r>
              <w:rPr>
                <w:sz w:val="20"/>
                <w:szCs w:val="20"/>
                <w:highlight w:val="none"/>
                <w:lang w:bidi="ar"/>
              </w:rPr>
              <w:t>129.88</w:t>
            </w:r>
          </w:p>
        </w:tc>
        <w:tc>
          <w:tcPr>
            <w:tcW w:w="710" w:type="pct"/>
            <w:tcBorders>
              <w:tl2br w:val="nil"/>
              <w:tr2bl w:val="nil"/>
            </w:tcBorders>
            <w:noWrap/>
            <w:vAlign w:val="center"/>
          </w:tcPr>
          <w:p w14:paraId="09840489">
            <w:pPr>
              <w:adjustRightInd w:val="0"/>
              <w:jc w:val="center"/>
              <w:textAlignment w:val="center"/>
              <w:rPr>
                <w:sz w:val="20"/>
                <w:szCs w:val="20"/>
                <w:highlight w:val="none"/>
              </w:rPr>
            </w:pPr>
            <w:r>
              <w:rPr>
                <w:sz w:val="20"/>
                <w:szCs w:val="20"/>
                <w:highlight w:val="none"/>
                <w:lang w:bidi="ar"/>
              </w:rPr>
              <w:t>129.88</w:t>
            </w:r>
          </w:p>
        </w:tc>
      </w:tr>
      <w:tr w14:paraId="0ACDA85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525D4EBA">
            <w:pPr>
              <w:adjustRightInd w:val="0"/>
              <w:jc w:val="center"/>
              <w:textAlignment w:val="center"/>
              <w:rPr>
                <w:sz w:val="20"/>
                <w:szCs w:val="20"/>
                <w:highlight w:val="none"/>
              </w:rPr>
            </w:pPr>
            <w:r>
              <w:rPr>
                <w:sz w:val="20"/>
                <w:szCs w:val="20"/>
                <w:highlight w:val="none"/>
                <w:lang w:bidi="ar"/>
              </w:rPr>
              <w:t>柴油（L）</w:t>
            </w:r>
          </w:p>
        </w:tc>
        <w:tc>
          <w:tcPr>
            <w:tcW w:w="704" w:type="pct"/>
            <w:tcBorders>
              <w:tl2br w:val="nil"/>
              <w:tr2bl w:val="nil"/>
            </w:tcBorders>
            <w:noWrap/>
            <w:vAlign w:val="center"/>
          </w:tcPr>
          <w:p w14:paraId="60A2099A">
            <w:pPr>
              <w:adjustRightInd w:val="0"/>
              <w:jc w:val="center"/>
              <w:textAlignment w:val="center"/>
              <w:rPr>
                <w:sz w:val="20"/>
                <w:szCs w:val="20"/>
                <w:highlight w:val="none"/>
              </w:rPr>
            </w:pPr>
            <w:r>
              <w:rPr>
                <w:sz w:val="20"/>
                <w:szCs w:val="20"/>
                <w:highlight w:val="none"/>
                <w:lang w:bidi="ar"/>
              </w:rPr>
              <w:t>8400</w:t>
            </w:r>
          </w:p>
        </w:tc>
        <w:tc>
          <w:tcPr>
            <w:tcW w:w="710" w:type="pct"/>
            <w:tcBorders>
              <w:tl2br w:val="nil"/>
              <w:tr2bl w:val="nil"/>
            </w:tcBorders>
            <w:noWrap/>
            <w:vAlign w:val="center"/>
          </w:tcPr>
          <w:p w14:paraId="43573ACD">
            <w:pPr>
              <w:adjustRightInd w:val="0"/>
              <w:jc w:val="center"/>
              <w:textAlignment w:val="center"/>
              <w:rPr>
                <w:sz w:val="20"/>
                <w:szCs w:val="20"/>
                <w:highlight w:val="none"/>
              </w:rPr>
            </w:pPr>
            <w:r>
              <w:rPr>
                <w:sz w:val="20"/>
                <w:szCs w:val="20"/>
                <w:highlight w:val="none"/>
                <w:lang w:bidi="ar"/>
              </w:rPr>
              <w:t>31920</w:t>
            </w:r>
          </w:p>
        </w:tc>
        <w:tc>
          <w:tcPr>
            <w:tcW w:w="710" w:type="pct"/>
            <w:tcBorders>
              <w:tl2br w:val="nil"/>
              <w:tr2bl w:val="nil"/>
            </w:tcBorders>
            <w:noWrap/>
            <w:vAlign w:val="center"/>
          </w:tcPr>
          <w:p w14:paraId="0477ACDC">
            <w:pPr>
              <w:adjustRightInd w:val="0"/>
              <w:jc w:val="center"/>
              <w:textAlignment w:val="center"/>
              <w:rPr>
                <w:sz w:val="20"/>
                <w:szCs w:val="20"/>
                <w:highlight w:val="none"/>
              </w:rPr>
            </w:pPr>
            <w:r>
              <w:rPr>
                <w:sz w:val="20"/>
                <w:szCs w:val="20"/>
                <w:highlight w:val="none"/>
                <w:lang w:bidi="ar"/>
              </w:rPr>
              <w:t>35280</w:t>
            </w:r>
          </w:p>
        </w:tc>
        <w:tc>
          <w:tcPr>
            <w:tcW w:w="710" w:type="pct"/>
            <w:tcBorders>
              <w:tl2br w:val="nil"/>
              <w:tr2bl w:val="nil"/>
            </w:tcBorders>
            <w:noWrap/>
            <w:vAlign w:val="center"/>
          </w:tcPr>
          <w:p w14:paraId="7E2F13FD">
            <w:pPr>
              <w:adjustRightInd w:val="0"/>
              <w:jc w:val="center"/>
              <w:textAlignment w:val="center"/>
              <w:rPr>
                <w:sz w:val="20"/>
                <w:szCs w:val="20"/>
                <w:highlight w:val="none"/>
              </w:rPr>
            </w:pPr>
            <w:r>
              <w:rPr>
                <w:sz w:val="20"/>
                <w:szCs w:val="20"/>
                <w:highlight w:val="none"/>
                <w:lang w:bidi="ar"/>
              </w:rPr>
              <w:t>35280</w:t>
            </w:r>
          </w:p>
        </w:tc>
        <w:tc>
          <w:tcPr>
            <w:tcW w:w="710" w:type="pct"/>
            <w:tcBorders>
              <w:tl2br w:val="nil"/>
              <w:tr2bl w:val="nil"/>
            </w:tcBorders>
            <w:noWrap/>
            <w:vAlign w:val="center"/>
          </w:tcPr>
          <w:p w14:paraId="6F1EC738">
            <w:pPr>
              <w:adjustRightInd w:val="0"/>
              <w:jc w:val="center"/>
              <w:textAlignment w:val="center"/>
              <w:rPr>
                <w:sz w:val="20"/>
                <w:szCs w:val="20"/>
                <w:highlight w:val="none"/>
              </w:rPr>
            </w:pPr>
            <w:r>
              <w:rPr>
                <w:sz w:val="20"/>
                <w:szCs w:val="20"/>
                <w:highlight w:val="none"/>
                <w:lang w:bidi="ar"/>
              </w:rPr>
              <w:t>35280</w:t>
            </w:r>
          </w:p>
        </w:tc>
      </w:tr>
      <w:tr w14:paraId="3D2FAF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454" w:type="pct"/>
            <w:tcBorders>
              <w:tl2br w:val="nil"/>
              <w:tr2bl w:val="nil"/>
            </w:tcBorders>
            <w:noWrap/>
            <w:vAlign w:val="center"/>
          </w:tcPr>
          <w:p w14:paraId="0EC06C06">
            <w:pPr>
              <w:adjustRightInd w:val="0"/>
              <w:jc w:val="center"/>
              <w:textAlignment w:val="center"/>
              <w:rPr>
                <w:sz w:val="20"/>
                <w:szCs w:val="20"/>
                <w:highlight w:val="none"/>
              </w:rPr>
            </w:pPr>
            <w:r>
              <w:rPr>
                <w:sz w:val="20"/>
                <w:szCs w:val="20"/>
                <w:highlight w:val="none"/>
                <w:lang w:bidi="ar"/>
              </w:rPr>
              <w:t>高密度聚乙烯（t）</w:t>
            </w:r>
          </w:p>
        </w:tc>
        <w:tc>
          <w:tcPr>
            <w:tcW w:w="704" w:type="pct"/>
            <w:tcBorders>
              <w:tl2br w:val="nil"/>
              <w:tr2bl w:val="nil"/>
            </w:tcBorders>
            <w:noWrap/>
            <w:vAlign w:val="center"/>
          </w:tcPr>
          <w:p w14:paraId="06FCE82B">
            <w:pPr>
              <w:adjustRightInd w:val="0"/>
              <w:jc w:val="center"/>
              <w:textAlignment w:val="center"/>
              <w:rPr>
                <w:sz w:val="20"/>
                <w:szCs w:val="20"/>
                <w:highlight w:val="none"/>
              </w:rPr>
            </w:pPr>
            <w:r>
              <w:rPr>
                <w:sz w:val="20"/>
                <w:szCs w:val="20"/>
                <w:highlight w:val="none"/>
                <w:lang w:bidi="ar"/>
              </w:rPr>
              <w:t>82.32</w:t>
            </w:r>
          </w:p>
        </w:tc>
        <w:tc>
          <w:tcPr>
            <w:tcW w:w="710" w:type="pct"/>
            <w:tcBorders>
              <w:tl2br w:val="nil"/>
              <w:tr2bl w:val="nil"/>
            </w:tcBorders>
            <w:noWrap/>
            <w:vAlign w:val="center"/>
          </w:tcPr>
          <w:p w14:paraId="2F635FC3">
            <w:pPr>
              <w:adjustRightInd w:val="0"/>
              <w:jc w:val="center"/>
              <w:textAlignment w:val="center"/>
              <w:rPr>
                <w:sz w:val="20"/>
                <w:szCs w:val="20"/>
                <w:highlight w:val="none"/>
              </w:rPr>
            </w:pPr>
            <w:r>
              <w:rPr>
                <w:sz w:val="20"/>
                <w:szCs w:val="20"/>
                <w:highlight w:val="none"/>
                <w:lang w:bidi="ar"/>
              </w:rPr>
              <w:t>82.32</w:t>
            </w:r>
          </w:p>
        </w:tc>
        <w:tc>
          <w:tcPr>
            <w:tcW w:w="710" w:type="pct"/>
            <w:tcBorders>
              <w:tl2br w:val="nil"/>
              <w:tr2bl w:val="nil"/>
            </w:tcBorders>
            <w:noWrap/>
            <w:vAlign w:val="center"/>
          </w:tcPr>
          <w:p w14:paraId="125D80C7">
            <w:pPr>
              <w:adjustRightInd w:val="0"/>
              <w:jc w:val="center"/>
              <w:textAlignment w:val="center"/>
              <w:rPr>
                <w:sz w:val="20"/>
                <w:szCs w:val="20"/>
                <w:highlight w:val="none"/>
              </w:rPr>
            </w:pPr>
            <w:r>
              <w:rPr>
                <w:sz w:val="20"/>
                <w:szCs w:val="20"/>
                <w:highlight w:val="none"/>
                <w:lang w:bidi="ar"/>
              </w:rPr>
              <w:t>82.32</w:t>
            </w:r>
          </w:p>
        </w:tc>
        <w:tc>
          <w:tcPr>
            <w:tcW w:w="710" w:type="pct"/>
            <w:tcBorders>
              <w:tl2br w:val="nil"/>
              <w:tr2bl w:val="nil"/>
            </w:tcBorders>
            <w:noWrap/>
            <w:vAlign w:val="center"/>
          </w:tcPr>
          <w:p w14:paraId="282209F7">
            <w:pPr>
              <w:adjustRightInd w:val="0"/>
              <w:jc w:val="center"/>
              <w:textAlignment w:val="center"/>
              <w:rPr>
                <w:sz w:val="20"/>
                <w:szCs w:val="20"/>
                <w:highlight w:val="none"/>
              </w:rPr>
            </w:pPr>
            <w:r>
              <w:rPr>
                <w:sz w:val="20"/>
                <w:szCs w:val="20"/>
                <w:highlight w:val="none"/>
                <w:lang w:bidi="ar"/>
              </w:rPr>
              <w:t>82.32</w:t>
            </w:r>
          </w:p>
        </w:tc>
        <w:tc>
          <w:tcPr>
            <w:tcW w:w="710" w:type="pct"/>
            <w:tcBorders>
              <w:tl2br w:val="nil"/>
              <w:tr2bl w:val="nil"/>
            </w:tcBorders>
            <w:noWrap/>
            <w:vAlign w:val="center"/>
          </w:tcPr>
          <w:p w14:paraId="3CE520FF">
            <w:pPr>
              <w:adjustRightInd w:val="0"/>
              <w:jc w:val="center"/>
              <w:textAlignment w:val="center"/>
              <w:rPr>
                <w:sz w:val="20"/>
                <w:szCs w:val="20"/>
                <w:highlight w:val="none"/>
              </w:rPr>
            </w:pPr>
            <w:r>
              <w:rPr>
                <w:sz w:val="20"/>
                <w:szCs w:val="20"/>
                <w:highlight w:val="none"/>
                <w:lang w:bidi="ar"/>
              </w:rPr>
              <w:t>82.32</w:t>
            </w:r>
          </w:p>
        </w:tc>
      </w:tr>
      <w:tr w14:paraId="4273D8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454" w:type="pct"/>
            <w:tcBorders>
              <w:tl2br w:val="nil"/>
              <w:tr2bl w:val="nil"/>
            </w:tcBorders>
            <w:noWrap/>
            <w:vAlign w:val="center"/>
          </w:tcPr>
          <w:p w14:paraId="6969CBCD">
            <w:pPr>
              <w:adjustRightInd w:val="0"/>
              <w:jc w:val="center"/>
              <w:textAlignment w:val="center"/>
              <w:rPr>
                <w:sz w:val="20"/>
                <w:szCs w:val="20"/>
                <w:highlight w:val="none"/>
                <w:lang w:bidi="ar"/>
              </w:rPr>
            </w:pPr>
            <w:r>
              <w:rPr>
                <w:sz w:val="20"/>
                <w:szCs w:val="20"/>
                <w:highlight w:val="none"/>
                <w:lang w:bidi="ar"/>
              </w:rPr>
              <w:t>卡车运输（t*km）</w:t>
            </w:r>
          </w:p>
        </w:tc>
        <w:tc>
          <w:tcPr>
            <w:tcW w:w="704" w:type="pct"/>
            <w:tcBorders>
              <w:tl2br w:val="nil"/>
              <w:tr2bl w:val="nil"/>
            </w:tcBorders>
            <w:noWrap/>
            <w:vAlign w:val="center"/>
          </w:tcPr>
          <w:p w14:paraId="1ABC6432">
            <w:pPr>
              <w:adjustRightInd w:val="0"/>
              <w:jc w:val="center"/>
              <w:textAlignment w:val="center"/>
              <w:rPr>
                <w:sz w:val="20"/>
                <w:szCs w:val="20"/>
                <w:highlight w:val="none"/>
                <w:lang w:bidi="ar"/>
              </w:rPr>
            </w:pPr>
            <w:r>
              <w:rPr>
                <w:sz w:val="20"/>
                <w:szCs w:val="20"/>
                <w:highlight w:val="none"/>
                <w:lang w:bidi="ar"/>
              </w:rPr>
              <w:t>7049.10</w:t>
            </w:r>
          </w:p>
        </w:tc>
        <w:tc>
          <w:tcPr>
            <w:tcW w:w="710" w:type="pct"/>
            <w:tcBorders>
              <w:tl2br w:val="nil"/>
              <w:tr2bl w:val="nil"/>
            </w:tcBorders>
            <w:noWrap/>
            <w:vAlign w:val="center"/>
          </w:tcPr>
          <w:p w14:paraId="485C9B25">
            <w:pPr>
              <w:adjustRightInd w:val="0"/>
              <w:jc w:val="center"/>
              <w:textAlignment w:val="center"/>
              <w:rPr>
                <w:sz w:val="20"/>
                <w:szCs w:val="20"/>
                <w:highlight w:val="none"/>
                <w:lang w:bidi="ar"/>
              </w:rPr>
            </w:pPr>
            <w:r>
              <w:rPr>
                <w:sz w:val="20"/>
                <w:szCs w:val="20"/>
                <w:highlight w:val="none"/>
                <w:lang w:bidi="ar"/>
              </w:rPr>
              <w:t>15261.77</w:t>
            </w:r>
          </w:p>
        </w:tc>
        <w:tc>
          <w:tcPr>
            <w:tcW w:w="710" w:type="pct"/>
            <w:tcBorders>
              <w:tl2br w:val="nil"/>
              <w:tr2bl w:val="nil"/>
            </w:tcBorders>
            <w:noWrap/>
            <w:vAlign w:val="center"/>
          </w:tcPr>
          <w:p w14:paraId="23B8B123">
            <w:pPr>
              <w:adjustRightInd w:val="0"/>
              <w:jc w:val="center"/>
              <w:textAlignment w:val="center"/>
              <w:rPr>
                <w:sz w:val="20"/>
                <w:szCs w:val="20"/>
                <w:highlight w:val="none"/>
                <w:lang w:bidi="ar"/>
              </w:rPr>
            </w:pPr>
            <w:r>
              <w:rPr>
                <w:sz w:val="20"/>
                <w:szCs w:val="20"/>
                <w:highlight w:val="none"/>
                <w:lang w:bidi="ar"/>
              </w:rPr>
              <w:t>16435.01</w:t>
            </w:r>
          </w:p>
        </w:tc>
        <w:tc>
          <w:tcPr>
            <w:tcW w:w="710" w:type="pct"/>
            <w:tcBorders>
              <w:tl2br w:val="nil"/>
              <w:tr2bl w:val="nil"/>
            </w:tcBorders>
            <w:noWrap/>
            <w:vAlign w:val="center"/>
          </w:tcPr>
          <w:p w14:paraId="7F704542">
            <w:pPr>
              <w:adjustRightInd w:val="0"/>
              <w:jc w:val="center"/>
              <w:textAlignment w:val="center"/>
              <w:rPr>
                <w:sz w:val="20"/>
                <w:szCs w:val="20"/>
                <w:highlight w:val="none"/>
                <w:lang w:bidi="ar"/>
              </w:rPr>
            </w:pPr>
            <w:r>
              <w:rPr>
                <w:sz w:val="20"/>
                <w:szCs w:val="20"/>
                <w:highlight w:val="none"/>
                <w:lang w:bidi="ar"/>
              </w:rPr>
              <w:t>16435.01</w:t>
            </w:r>
          </w:p>
        </w:tc>
        <w:tc>
          <w:tcPr>
            <w:tcW w:w="710" w:type="pct"/>
            <w:tcBorders>
              <w:tl2br w:val="nil"/>
              <w:tr2bl w:val="nil"/>
            </w:tcBorders>
            <w:noWrap/>
            <w:vAlign w:val="center"/>
          </w:tcPr>
          <w:p w14:paraId="111DE200">
            <w:pPr>
              <w:adjustRightInd w:val="0"/>
              <w:jc w:val="center"/>
              <w:textAlignment w:val="center"/>
              <w:rPr>
                <w:sz w:val="20"/>
                <w:szCs w:val="20"/>
                <w:highlight w:val="none"/>
                <w:lang w:bidi="ar"/>
              </w:rPr>
            </w:pPr>
            <w:r>
              <w:rPr>
                <w:sz w:val="20"/>
                <w:szCs w:val="20"/>
                <w:highlight w:val="none"/>
                <w:lang w:bidi="ar"/>
              </w:rPr>
              <w:t>16435.01</w:t>
            </w:r>
          </w:p>
        </w:tc>
      </w:tr>
      <w:tr w14:paraId="3FD5CE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7147FFD9">
            <w:pPr>
              <w:adjustRightInd w:val="0"/>
              <w:jc w:val="center"/>
              <w:textAlignment w:val="center"/>
              <w:rPr>
                <w:sz w:val="20"/>
                <w:szCs w:val="20"/>
                <w:highlight w:val="none"/>
                <w:lang w:bidi="ar"/>
              </w:rPr>
            </w:pPr>
            <w:r>
              <w:rPr>
                <w:sz w:val="20"/>
                <w:szCs w:val="20"/>
                <w:highlight w:val="none"/>
                <w:lang w:bidi="ar"/>
              </w:rPr>
              <w:t>耗电量</w:t>
            </w:r>
            <w:r>
              <w:rPr>
                <w:rFonts w:hint="eastAsia"/>
                <w:sz w:val="20"/>
                <w:szCs w:val="20"/>
                <w:highlight w:val="none"/>
                <w:lang w:bidi="ar"/>
              </w:rPr>
              <w:t>（kWh）</w:t>
            </w:r>
          </w:p>
        </w:tc>
        <w:tc>
          <w:tcPr>
            <w:tcW w:w="1200" w:type="dxa"/>
            <w:tcBorders>
              <w:tl2br w:val="nil"/>
              <w:tr2bl w:val="nil"/>
            </w:tcBorders>
            <w:noWrap/>
            <w:vAlign w:val="center"/>
          </w:tcPr>
          <w:p w14:paraId="722F2B7A">
            <w:pPr>
              <w:adjustRightInd w:val="0"/>
              <w:jc w:val="center"/>
              <w:textAlignment w:val="center"/>
              <w:rPr>
                <w:sz w:val="20"/>
                <w:szCs w:val="20"/>
                <w:highlight w:val="none"/>
                <w:lang w:bidi="ar"/>
              </w:rPr>
            </w:pPr>
            <w:r>
              <w:rPr>
                <w:sz w:val="20"/>
                <w:szCs w:val="20"/>
                <w:highlight w:val="none"/>
                <w:lang w:bidi="ar"/>
              </w:rPr>
              <w:t>15372000</w:t>
            </w:r>
          </w:p>
        </w:tc>
        <w:tc>
          <w:tcPr>
            <w:tcW w:w="1210" w:type="dxa"/>
            <w:tcBorders>
              <w:tl2br w:val="nil"/>
              <w:tr2bl w:val="nil"/>
            </w:tcBorders>
            <w:noWrap/>
            <w:vAlign w:val="center"/>
          </w:tcPr>
          <w:p w14:paraId="16A3ED12">
            <w:pPr>
              <w:adjustRightInd w:val="0"/>
              <w:jc w:val="center"/>
              <w:textAlignment w:val="center"/>
              <w:rPr>
                <w:sz w:val="20"/>
                <w:szCs w:val="20"/>
                <w:highlight w:val="none"/>
                <w:lang w:bidi="ar"/>
              </w:rPr>
            </w:pPr>
            <w:r>
              <w:rPr>
                <w:sz w:val="20"/>
                <w:szCs w:val="20"/>
                <w:highlight w:val="none"/>
                <w:lang w:bidi="ar"/>
              </w:rPr>
              <w:t>3830400</w:t>
            </w:r>
          </w:p>
        </w:tc>
        <w:tc>
          <w:tcPr>
            <w:tcW w:w="1210" w:type="dxa"/>
            <w:tcBorders>
              <w:tl2br w:val="nil"/>
              <w:tr2bl w:val="nil"/>
            </w:tcBorders>
            <w:noWrap/>
            <w:vAlign w:val="center"/>
          </w:tcPr>
          <w:p w14:paraId="29CA87DC">
            <w:pPr>
              <w:adjustRightInd w:val="0"/>
              <w:jc w:val="center"/>
              <w:textAlignment w:val="center"/>
              <w:rPr>
                <w:sz w:val="20"/>
                <w:szCs w:val="20"/>
                <w:highlight w:val="none"/>
                <w:lang w:bidi="ar"/>
              </w:rPr>
            </w:pPr>
            <w:r>
              <w:rPr>
                <w:sz w:val="20"/>
                <w:szCs w:val="20"/>
                <w:highlight w:val="none"/>
                <w:lang w:bidi="ar"/>
              </w:rPr>
              <w:t>4233600</w:t>
            </w:r>
          </w:p>
        </w:tc>
        <w:tc>
          <w:tcPr>
            <w:tcW w:w="1210" w:type="dxa"/>
            <w:tcBorders>
              <w:tl2br w:val="nil"/>
              <w:tr2bl w:val="nil"/>
            </w:tcBorders>
            <w:noWrap/>
            <w:vAlign w:val="center"/>
          </w:tcPr>
          <w:p w14:paraId="59CABEDD">
            <w:pPr>
              <w:adjustRightInd w:val="0"/>
              <w:jc w:val="center"/>
              <w:textAlignment w:val="center"/>
              <w:rPr>
                <w:sz w:val="20"/>
                <w:szCs w:val="20"/>
                <w:highlight w:val="none"/>
                <w:lang w:bidi="ar"/>
              </w:rPr>
            </w:pPr>
            <w:r>
              <w:rPr>
                <w:sz w:val="20"/>
                <w:szCs w:val="20"/>
                <w:highlight w:val="none"/>
                <w:lang w:bidi="ar"/>
              </w:rPr>
              <w:t>3880800</w:t>
            </w:r>
          </w:p>
        </w:tc>
        <w:tc>
          <w:tcPr>
            <w:tcW w:w="1211" w:type="dxa"/>
            <w:tcBorders>
              <w:tl2br w:val="nil"/>
              <w:tr2bl w:val="nil"/>
            </w:tcBorders>
            <w:noWrap/>
            <w:vAlign w:val="center"/>
          </w:tcPr>
          <w:p w14:paraId="52090A1D">
            <w:pPr>
              <w:adjustRightInd w:val="0"/>
              <w:jc w:val="center"/>
              <w:textAlignment w:val="center"/>
              <w:rPr>
                <w:sz w:val="20"/>
                <w:szCs w:val="20"/>
                <w:highlight w:val="none"/>
                <w:lang w:bidi="ar"/>
              </w:rPr>
            </w:pPr>
            <w:r>
              <w:rPr>
                <w:sz w:val="20"/>
                <w:szCs w:val="20"/>
                <w:highlight w:val="none"/>
                <w:lang w:bidi="ar"/>
              </w:rPr>
              <w:t>5115600</w:t>
            </w:r>
          </w:p>
        </w:tc>
      </w:tr>
      <w:tr w14:paraId="129986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0863E282">
            <w:pPr>
              <w:adjustRightInd w:val="0"/>
              <w:jc w:val="center"/>
              <w:textAlignment w:val="center"/>
              <w:rPr>
                <w:sz w:val="20"/>
                <w:szCs w:val="20"/>
                <w:highlight w:val="none"/>
              </w:rPr>
            </w:pPr>
            <w:r>
              <w:rPr>
                <w:sz w:val="20"/>
                <w:szCs w:val="20"/>
                <w:highlight w:val="none"/>
                <w:lang w:bidi="ar"/>
              </w:rPr>
              <w:t>废土（t）</w:t>
            </w:r>
          </w:p>
        </w:tc>
        <w:tc>
          <w:tcPr>
            <w:tcW w:w="704" w:type="pct"/>
            <w:tcBorders>
              <w:tl2br w:val="nil"/>
              <w:tr2bl w:val="nil"/>
            </w:tcBorders>
            <w:noWrap/>
            <w:vAlign w:val="center"/>
          </w:tcPr>
          <w:p w14:paraId="7AF552AA">
            <w:pPr>
              <w:adjustRightInd w:val="0"/>
              <w:jc w:val="center"/>
              <w:textAlignment w:val="center"/>
              <w:rPr>
                <w:sz w:val="20"/>
                <w:szCs w:val="20"/>
                <w:highlight w:val="none"/>
              </w:rPr>
            </w:pPr>
            <w:r>
              <w:rPr>
                <w:sz w:val="20"/>
                <w:szCs w:val="20"/>
                <w:highlight w:val="none"/>
                <w:lang w:bidi="ar"/>
              </w:rPr>
              <w:t>63.25</w:t>
            </w:r>
          </w:p>
        </w:tc>
        <w:tc>
          <w:tcPr>
            <w:tcW w:w="710" w:type="pct"/>
            <w:tcBorders>
              <w:tl2br w:val="nil"/>
              <w:tr2bl w:val="nil"/>
            </w:tcBorders>
            <w:noWrap/>
            <w:vAlign w:val="center"/>
          </w:tcPr>
          <w:p w14:paraId="307141DD">
            <w:pPr>
              <w:adjustRightInd w:val="0"/>
              <w:jc w:val="center"/>
              <w:textAlignment w:val="center"/>
              <w:rPr>
                <w:sz w:val="20"/>
                <w:szCs w:val="20"/>
                <w:highlight w:val="none"/>
              </w:rPr>
            </w:pPr>
            <w:r>
              <w:rPr>
                <w:sz w:val="20"/>
                <w:szCs w:val="20"/>
                <w:highlight w:val="none"/>
                <w:lang w:bidi="ar"/>
              </w:rPr>
              <w:t>240.35</w:t>
            </w:r>
          </w:p>
        </w:tc>
        <w:tc>
          <w:tcPr>
            <w:tcW w:w="710" w:type="pct"/>
            <w:tcBorders>
              <w:tl2br w:val="nil"/>
              <w:tr2bl w:val="nil"/>
            </w:tcBorders>
            <w:noWrap/>
            <w:vAlign w:val="center"/>
          </w:tcPr>
          <w:p w14:paraId="03F889BD">
            <w:pPr>
              <w:adjustRightInd w:val="0"/>
              <w:jc w:val="center"/>
              <w:textAlignment w:val="center"/>
              <w:rPr>
                <w:sz w:val="20"/>
                <w:szCs w:val="20"/>
                <w:highlight w:val="none"/>
              </w:rPr>
            </w:pPr>
            <w:r>
              <w:rPr>
                <w:sz w:val="20"/>
                <w:szCs w:val="20"/>
                <w:highlight w:val="none"/>
                <w:lang w:bidi="ar"/>
              </w:rPr>
              <w:t>265.65</w:t>
            </w:r>
          </w:p>
        </w:tc>
        <w:tc>
          <w:tcPr>
            <w:tcW w:w="710" w:type="pct"/>
            <w:tcBorders>
              <w:tl2br w:val="nil"/>
              <w:tr2bl w:val="nil"/>
            </w:tcBorders>
            <w:noWrap/>
            <w:vAlign w:val="center"/>
          </w:tcPr>
          <w:p w14:paraId="70C8D1F4">
            <w:pPr>
              <w:adjustRightInd w:val="0"/>
              <w:jc w:val="center"/>
              <w:textAlignment w:val="center"/>
              <w:rPr>
                <w:sz w:val="20"/>
                <w:szCs w:val="20"/>
                <w:highlight w:val="none"/>
              </w:rPr>
            </w:pPr>
            <w:r>
              <w:rPr>
                <w:sz w:val="20"/>
                <w:szCs w:val="20"/>
                <w:highlight w:val="none"/>
                <w:lang w:bidi="ar"/>
              </w:rPr>
              <w:t>265.65</w:t>
            </w:r>
          </w:p>
        </w:tc>
        <w:tc>
          <w:tcPr>
            <w:tcW w:w="710" w:type="pct"/>
            <w:tcBorders>
              <w:tl2br w:val="nil"/>
              <w:tr2bl w:val="nil"/>
            </w:tcBorders>
            <w:noWrap/>
            <w:vAlign w:val="center"/>
          </w:tcPr>
          <w:p w14:paraId="632B639E">
            <w:pPr>
              <w:adjustRightInd w:val="0"/>
              <w:jc w:val="center"/>
              <w:textAlignment w:val="center"/>
              <w:rPr>
                <w:sz w:val="20"/>
                <w:szCs w:val="20"/>
                <w:highlight w:val="none"/>
              </w:rPr>
            </w:pPr>
            <w:r>
              <w:rPr>
                <w:sz w:val="20"/>
                <w:szCs w:val="20"/>
                <w:highlight w:val="none"/>
                <w:lang w:bidi="ar"/>
              </w:rPr>
              <w:t>265.65</w:t>
            </w:r>
          </w:p>
        </w:tc>
      </w:tr>
      <w:tr w14:paraId="50FF12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26C8ED9C">
            <w:pPr>
              <w:adjustRightInd w:val="0"/>
              <w:jc w:val="center"/>
              <w:textAlignment w:val="center"/>
              <w:rPr>
                <w:sz w:val="20"/>
                <w:szCs w:val="20"/>
                <w:highlight w:val="none"/>
              </w:rPr>
            </w:pPr>
            <w:r>
              <w:rPr>
                <w:sz w:val="20"/>
                <w:szCs w:val="20"/>
                <w:highlight w:val="none"/>
                <w:lang w:bidi="ar"/>
              </w:rPr>
              <w:t>废水（t）</w:t>
            </w:r>
          </w:p>
        </w:tc>
        <w:tc>
          <w:tcPr>
            <w:tcW w:w="704" w:type="pct"/>
            <w:tcBorders>
              <w:tl2br w:val="nil"/>
              <w:tr2bl w:val="nil"/>
            </w:tcBorders>
            <w:noWrap/>
            <w:vAlign w:val="center"/>
          </w:tcPr>
          <w:p w14:paraId="055033BF">
            <w:pPr>
              <w:adjustRightInd w:val="0"/>
              <w:jc w:val="center"/>
              <w:textAlignment w:val="center"/>
              <w:rPr>
                <w:sz w:val="20"/>
                <w:szCs w:val="20"/>
                <w:highlight w:val="none"/>
              </w:rPr>
            </w:pPr>
            <w:r>
              <w:rPr>
                <w:sz w:val="20"/>
                <w:szCs w:val="20"/>
                <w:highlight w:val="none"/>
                <w:lang w:bidi="ar"/>
              </w:rPr>
              <w:t>7920000</w:t>
            </w:r>
          </w:p>
        </w:tc>
        <w:tc>
          <w:tcPr>
            <w:tcW w:w="710" w:type="pct"/>
            <w:tcBorders>
              <w:tl2br w:val="nil"/>
              <w:tr2bl w:val="nil"/>
            </w:tcBorders>
            <w:noWrap/>
            <w:vAlign w:val="center"/>
          </w:tcPr>
          <w:p w14:paraId="70DDD118">
            <w:pPr>
              <w:adjustRightInd w:val="0"/>
              <w:jc w:val="center"/>
              <w:textAlignment w:val="center"/>
              <w:rPr>
                <w:sz w:val="20"/>
                <w:szCs w:val="20"/>
                <w:highlight w:val="none"/>
              </w:rPr>
            </w:pPr>
            <w:r>
              <w:rPr>
                <w:sz w:val="20"/>
                <w:szCs w:val="20"/>
                <w:highlight w:val="none"/>
                <w:lang w:bidi="ar"/>
              </w:rPr>
              <w:t>3063000</w:t>
            </w:r>
          </w:p>
        </w:tc>
        <w:tc>
          <w:tcPr>
            <w:tcW w:w="710" w:type="pct"/>
            <w:tcBorders>
              <w:tl2br w:val="nil"/>
              <w:tr2bl w:val="nil"/>
            </w:tcBorders>
            <w:noWrap/>
            <w:vAlign w:val="center"/>
          </w:tcPr>
          <w:p w14:paraId="08AB7418">
            <w:pPr>
              <w:adjustRightInd w:val="0"/>
              <w:jc w:val="center"/>
              <w:textAlignment w:val="center"/>
              <w:rPr>
                <w:sz w:val="20"/>
                <w:szCs w:val="20"/>
                <w:highlight w:val="none"/>
              </w:rPr>
            </w:pPr>
            <w:r>
              <w:rPr>
                <w:sz w:val="20"/>
                <w:szCs w:val="20"/>
                <w:highlight w:val="none"/>
                <w:lang w:bidi="ar"/>
              </w:rPr>
              <w:t>2542000</w:t>
            </w:r>
          </w:p>
        </w:tc>
        <w:tc>
          <w:tcPr>
            <w:tcW w:w="710" w:type="pct"/>
            <w:tcBorders>
              <w:tl2br w:val="nil"/>
              <w:tr2bl w:val="nil"/>
            </w:tcBorders>
            <w:noWrap/>
            <w:vAlign w:val="center"/>
          </w:tcPr>
          <w:p w14:paraId="34915F43">
            <w:pPr>
              <w:adjustRightInd w:val="0"/>
              <w:jc w:val="center"/>
              <w:textAlignment w:val="center"/>
              <w:rPr>
                <w:sz w:val="20"/>
                <w:szCs w:val="20"/>
                <w:highlight w:val="none"/>
              </w:rPr>
            </w:pPr>
            <w:r>
              <w:rPr>
                <w:sz w:val="20"/>
                <w:szCs w:val="20"/>
                <w:highlight w:val="none"/>
                <w:lang w:bidi="ar"/>
              </w:rPr>
              <w:t>2938000</w:t>
            </w:r>
          </w:p>
        </w:tc>
        <w:tc>
          <w:tcPr>
            <w:tcW w:w="710" w:type="pct"/>
            <w:tcBorders>
              <w:tl2br w:val="nil"/>
              <w:tr2bl w:val="nil"/>
            </w:tcBorders>
            <w:noWrap/>
            <w:vAlign w:val="center"/>
          </w:tcPr>
          <w:p w14:paraId="48005D10">
            <w:pPr>
              <w:adjustRightInd w:val="0"/>
              <w:jc w:val="center"/>
              <w:textAlignment w:val="center"/>
              <w:rPr>
                <w:sz w:val="20"/>
                <w:szCs w:val="20"/>
                <w:highlight w:val="none"/>
              </w:rPr>
            </w:pPr>
            <w:r>
              <w:rPr>
                <w:sz w:val="20"/>
                <w:szCs w:val="20"/>
                <w:highlight w:val="none"/>
                <w:lang w:bidi="ar"/>
              </w:rPr>
              <w:t>2093000</w:t>
            </w:r>
          </w:p>
        </w:tc>
      </w:tr>
      <w:tr w14:paraId="256109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54" w:type="pct"/>
            <w:tcBorders>
              <w:tl2br w:val="nil"/>
              <w:tr2bl w:val="nil"/>
            </w:tcBorders>
            <w:noWrap/>
            <w:vAlign w:val="center"/>
          </w:tcPr>
          <w:p w14:paraId="6482AEC0">
            <w:pPr>
              <w:adjustRightInd w:val="0"/>
              <w:jc w:val="center"/>
              <w:textAlignment w:val="center"/>
              <w:rPr>
                <w:sz w:val="20"/>
                <w:szCs w:val="20"/>
                <w:highlight w:val="none"/>
              </w:rPr>
            </w:pPr>
            <w:r>
              <w:rPr>
                <w:sz w:val="20"/>
                <w:szCs w:val="20"/>
                <w:highlight w:val="none"/>
                <w:lang w:bidi="ar"/>
              </w:rPr>
              <w:t>废土运输（t*km）</w:t>
            </w:r>
          </w:p>
        </w:tc>
        <w:tc>
          <w:tcPr>
            <w:tcW w:w="1200" w:type="dxa"/>
            <w:tcBorders>
              <w:tl2br w:val="nil"/>
              <w:tr2bl w:val="nil"/>
            </w:tcBorders>
            <w:noWrap/>
            <w:vAlign w:val="center"/>
          </w:tcPr>
          <w:p w14:paraId="0476E421">
            <w:pPr>
              <w:adjustRightInd w:val="0"/>
              <w:jc w:val="center"/>
              <w:textAlignment w:val="center"/>
              <w:rPr>
                <w:sz w:val="20"/>
                <w:szCs w:val="20"/>
                <w:highlight w:val="none"/>
                <w:lang w:bidi="ar"/>
              </w:rPr>
            </w:pPr>
            <w:r>
              <w:rPr>
                <w:sz w:val="20"/>
                <w:szCs w:val="20"/>
                <w:highlight w:val="none"/>
                <w:lang w:bidi="ar"/>
              </w:rPr>
              <w:t>632.51</w:t>
            </w:r>
          </w:p>
        </w:tc>
        <w:tc>
          <w:tcPr>
            <w:tcW w:w="1210" w:type="dxa"/>
            <w:tcBorders>
              <w:tl2br w:val="nil"/>
              <w:tr2bl w:val="nil"/>
            </w:tcBorders>
            <w:noWrap/>
            <w:vAlign w:val="center"/>
          </w:tcPr>
          <w:p w14:paraId="601A7A70">
            <w:pPr>
              <w:adjustRightInd w:val="0"/>
              <w:jc w:val="center"/>
              <w:textAlignment w:val="center"/>
              <w:rPr>
                <w:sz w:val="20"/>
                <w:szCs w:val="20"/>
                <w:highlight w:val="none"/>
                <w:lang w:bidi="ar"/>
              </w:rPr>
            </w:pPr>
            <w:r>
              <w:rPr>
                <w:sz w:val="20"/>
                <w:szCs w:val="20"/>
                <w:highlight w:val="none"/>
                <w:lang w:bidi="ar"/>
              </w:rPr>
              <w:t>2403.54</w:t>
            </w:r>
          </w:p>
        </w:tc>
        <w:tc>
          <w:tcPr>
            <w:tcW w:w="1210" w:type="dxa"/>
            <w:tcBorders>
              <w:tl2br w:val="nil"/>
              <w:tr2bl w:val="nil"/>
            </w:tcBorders>
            <w:noWrap/>
            <w:vAlign w:val="center"/>
          </w:tcPr>
          <w:p w14:paraId="72D7FA38">
            <w:pPr>
              <w:adjustRightInd w:val="0"/>
              <w:jc w:val="center"/>
              <w:textAlignment w:val="center"/>
              <w:rPr>
                <w:sz w:val="20"/>
                <w:szCs w:val="20"/>
                <w:highlight w:val="none"/>
                <w:lang w:bidi="ar"/>
              </w:rPr>
            </w:pPr>
            <w:r>
              <w:rPr>
                <w:sz w:val="20"/>
                <w:szCs w:val="20"/>
                <w:highlight w:val="none"/>
                <w:lang w:bidi="ar"/>
              </w:rPr>
              <w:t>2656.54</w:t>
            </w:r>
          </w:p>
        </w:tc>
        <w:tc>
          <w:tcPr>
            <w:tcW w:w="1210" w:type="dxa"/>
            <w:tcBorders>
              <w:tl2br w:val="nil"/>
              <w:tr2bl w:val="nil"/>
            </w:tcBorders>
            <w:noWrap/>
            <w:vAlign w:val="center"/>
          </w:tcPr>
          <w:p w14:paraId="62A726E2">
            <w:pPr>
              <w:adjustRightInd w:val="0"/>
              <w:jc w:val="center"/>
              <w:textAlignment w:val="center"/>
              <w:rPr>
                <w:sz w:val="20"/>
                <w:szCs w:val="20"/>
                <w:highlight w:val="none"/>
                <w:lang w:bidi="ar"/>
              </w:rPr>
            </w:pPr>
            <w:r>
              <w:rPr>
                <w:sz w:val="20"/>
                <w:szCs w:val="20"/>
                <w:highlight w:val="none"/>
                <w:lang w:bidi="ar"/>
              </w:rPr>
              <w:t>2656.54</w:t>
            </w:r>
          </w:p>
        </w:tc>
        <w:tc>
          <w:tcPr>
            <w:tcW w:w="1211" w:type="dxa"/>
            <w:tcBorders>
              <w:tl2br w:val="nil"/>
              <w:tr2bl w:val="nil"/>
            </w:tcBorders>
            <w:noWrap/>
            <w:vAlign w:val="center"/>
          </w:tcPr>
          <w:p w14:paraId="418BA5B6">
            <w:pPr>
              <w:adjustRightInd w:val="0"/>
              <w:jc w:val="center"/>
              <w:textAlignment w:val="center"/>
              <w:rPr>
                <w:sz w:val="20"/>
                <w:szCs w:val="20"/>
                <w:highlight w:val="none"/>
                <w:lang w:bidi="ar"/>
              </w:rPr>
            </w:pPr>
            <w:r>
              <w:rPr>
                <w:sz w:val="20"/>
                <w:szCs w:val="20"/>
                <w:highlight w:val="none"/>
                <w:lang w:bidi="ar"/>
              </w:rPr>
              <w:t>2656.54</w:t>
            </w:r>
          </w:p>
        </w:tc>
      </w:tr>
    </w:tbl>
    <w:p w14:paraId="16B205BE">
      <w:pPr>
        <w:spacing w:before="160" w:after="80"/>
        <w:rPr>
          <w:bCs/>
          <w:sz w:val="18"/>
          <w:szCs w:val="21"/>
          <w:highlight w:val="none"/>
        </w:rPr>
      </w:pPr>
      <w:r>
        <w:rPr>
          <w:rFonts w:hint="eastAsia" w:eastAsia="黑体"/>
          <w:bCs/>
          <w:sz w:val="20"/>
          <w:szCs w:val="21"/>
          <w:highlight w:val="none"/>
          <w:lang w:val="en-US" w:eastAsia="zh-CN"/>
        </w:rPr>
        <w:t>B</w:t>
      </w:r>
      <w:r>
        <w:rPr>
          <w:rFonts w:hint="eastAsia" w:ascii="Times New Roman" w:hAnsi="Times New Roman" w:eastAsia="黑体"/>
          <w:bCs/>
          <w:sz w:val="20"/>
          <w:szCs w:val="21"/>
          <w:highlight w:val="none"/>
        </w:rPr>
        <w:t>.3.3 评价结果与关键贡献环节</w:t>
      </w:r>
    </w:p>
    <w:p w14:paraId="4692F748">
      <w:pPr>
        <w:ind w:firstLine="420" w:firstLineChars="200"/>
        <w:rPr>
          <w:szCs w:val="22"/>
          <w:highlight w:val="none"/>
        </w:rPr>
      </w:pPr>
      <w:r>
        <w:rPr>
          <w:szCs w:val="22"/>
          <w:highlight w:val="none"/>
        </w:rPr>
        <w:t>本</w:t>
      </w:r>
      <w:r>
        <w:rPr>
          <w:rFonts w:hint="eastAsia"/>
          <w:szCs w:val="22"/>
          <w:highlight w:val="none"/>
        </w:rPr>
        <w:t>案例</w:t>
      </w:r>
      <w:r>
        <w:rPr>
          <w:szCs w:val="22"/>
          <w:highlight w:val="none"/>
        </w:rPr>
        <w:t>使用ReCiPe</w:t>
      </w:r>
      <w:r>
        <w:rPr>
          <w:rFonts w:hint="eastAsia"/>
          <w:szCs w:val="22"/>
          <w:highlight w:val="none"/>
        </w:rPr>
        <w:t>2016</w:t>
      </w:r>
      <w:r>
        <w:rPr>
          <w:szCs w:val="22"/>
          <w:highlight w:val="none"/>
        </w:rPr>
        <w:t>方法对5个地下水抽出处理方案开展全生命周期评价。ReCiPe</w:t>
      </w:r>
      <w:r>
        <w:rPr>
          <w:rFonts w:hint="eastAsia"/>
          <w:szCs w:val="22"/>
          <w:highlight w:val="none"/>
        </w:rPr>
        <w:t>2016</w:t>
      </w:r>
      <w:r>
        <w:rPr>
          <w:szCs w:val="22"/>
          <w:highlight w:val="none"/>
        </w:rPr>
        <w:t>方法包括中点（Midpoint）和终点（Endpoint）两类指标，</w:t>
      </w:r>
      <w:r>
        <w:rPr>
          <w:rFonts w:hint="eastAsia"/>
          <w:szCs w:val="22"/>
          <w:highlight w:val="none"/>
        </w:rPr>
        <w:t>其中中点指标包括气候变化、酸化、富营养化、人体毒性、颗粒物形成、生态毒性、资源消耗等18类，终点指标包括人体健康、生态系统和资源消耗3类。</w:t>
      </w:r>
    </w:p>
    <w:p w14:paraId="0F2553E9">
      <w:pPr>
        <w:ind w:firstLine="420" w:firstLineChars="200"/>
        <w:rPr>
          <w:szCs w:val="22"/>
          <w:highlight w:val="none"/>
        </w:rPr>
      </w:pPr>
      <w:r>
        <w:rPr>
          <w:szCs w:val="22"/>
          <w:highlight w:val="none"/>
        </w:rPr>
        <w:t>由图</w:t>
      </w:r>
      <w:r>
        <w:rPr>
          <w:rFonts w:hint="eastAsia"/>
          <w:szCs w:val="22"/>
          <w:highlight w:val="none"/>
          <w:lang w:val="en-US" w:eastAsia="zh-CN"/>
        </w:rPr>
        <w:t>B-</w:t>
      </w:r>
      <w:r>
        <w:rPr>
          <w:rFonts w:hint="eastAsia"/>
          <w:szCs w:val="22"/>
          <w:highlight w:val="none"/>
        </w:rPr>
        <w:t>1</w:t>
      </w:r>
      <w:r>
        <w:rPr>
          <w:szCs w:val="22"/>
          <w:highlight w:val="none"/>
        </w:rPr>
        <w:t>可知，5个方案的终点环境影响差异明显。方案1虽然初始建设工程量较小，但由于抽提井数量少、污染羽控制效率不足，需长期运行，累计抽提总量和废水处理量显著增加，导致总环境影响最高，达到3011.03</w:t>
      </w:r>
      <w:r>
        <w:rPr>
          <w:rFonts w:hint="eastAsia"/>
          <w:szCs w:val="22"/>
          <w:highlight w:val="none"/>
        </w:rPr>
        <w:t xml:space="preserve"> </w:t>
      </w:r>
      <w:r>
        <w:rPr>
          <w:szCs w:val="22"/>
          <w:highlight w:val="none"/>
        </w:rPr>
        <w:t>kPt。方案2、方案3、方案4和方案5通过增加抽提井数量和优化井群布设，显著缩短了运行周期，整体环境影响明显低于方案1。其中，方案2的总环境影响最低，为992.04</w:t>
      </w:r>
      <w:r>
        <w:rPr>
          <w:rFonts w:hint="eastAsia"/>
          <w:szCs w:val="22"/>
          <w:highlight w:val="none"/>
        </w:rPr>
        <w:t xml:space="preserve"> </w:t>
      </w:r>
      <w:r>
        <w:rPr>
          <w:szCs w:val="22"/>
          <w:highlight w:val="none"/>
        </w:rPr>
        <w:t>kPt，较方案1降低约67%，在人体健康、生态系统和资源消耗三类终点指标中均表现最优。方案4是在方案3基础上对浓度高值区提高抽水强度的优化方案。与方案3相比，方案4的运行时间缩短至1100</w:t>
      </w:r>
      <w:r>
        <w:rPr>
          <w:rFonts w:hint="eastAsia"/>
          <w:szCs w:val="22"/>
          <w:highlight w:val="none"/>
        </w:rPr>
        <w:t>天</w:t>
      </w:r>
      <w:r>
        <w:rPr>
          <w:szCs w:val="22"/>
          <w:highlight w:val="none"/>
        </w:rPr>
        <w:t>，耗电量较低，终点环境影响也有所降低；其总环境影响为1024.76</w:t>
      </w:r>
      <w:r>
        <w:rPr>
          <w:rFonts w:hint="eastAsia"/>
          <w:szCs w:val="22"/>
          <w:highlight w:val="none"/>
        </w:rPr>
        <w:t xml:space="preserve"> </w:t>
      </w:r>
      <w:r>
        <w:rPr>
          <w:szCs w:val="22"/>
          <w:highlight w:val="none"/>
        </w:rPr>
        <w:t>kPt，仅略高于方案2。因此，方案4可作为高浓度区域实施分区强化抽水的备选方案。方案5虽然单井抽水量较低、抽提总量较小，但运行时间延长至1450</w:t>
      </w:r>
      <w:r>
        <w:rPr>
          <w:rFonts w:hint="eastAsia"/>
          <w:szCs w:val="22"/>
          <w:highlight w:val="none"/>
        </w:rPr>
        <w:t>天</w:t>
      </w:r>
      <w:r>
        <w:rPr>
          <w:szCs w:val="22"/>
          <w:highlight w:val="none"/>
        </w:rPr>
        <w:t>，耗电量增加，导致环境影响高于方案2、方案3和方案4。</w:t>
      </w:r>
    </w:p>
    <w:p w14:paraId="2610C173">
      <w:pPr>
        <w:spacing w:line="360" w:lineRule="auto"/>
        <w:jc w:val="center"/>
        <w:rPr>
          <w:b/>
          <w:sz w:val="24"/>
          <w:szCs w:val="20"/>
          <w:highlight w:val="none"/>
        </w:rPr>
      </w:pPr>
      <w:r>
        <w:rPr>
          <w:b/>
          <w:sz w:val="24"/>
          <w:szCs w:val="20"/>
          <w:highlight w:val="none"/>
        </w:rPr>
        <w:drawing>
          <wp:inline distT="0" distB="0" distL="114300" distR="114300">
            <wp:extent cx="4456430" cy="2461260"/>
            <wp:effectExtent l="0" t="0" r="1270" b="0"/>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DA2E45">
      <w:pPr>
        <w:jc w:val="center"/>
        <w:rPr>
          <w:highlight w:val="none"/>
        </w:rPr>
      </w:pPr>
      <w:r>
        <w:rPr>
          <w:highlight w:val="none"/>
        </w:rPr>
        <w:t>图</w:t>
      </w:r>
      <w:r>
        <w:rPr>
          <w:rFonts w:hint="eastAsia"/>
          <w:highlight w:val="none"/>
          <w:lang w:val="en-US" w:eastAsia="zh-CN"/>
        </w:rPr>
        <w:t>B-</w:t>
      </w:r>
      <w:r>
        <w:rPr>
          <w:rFonts w:hint="eastAsia"/>
          <w:highlight w:val="none"/>
        </w:rPr>
        <w:t>1 各地下水污染风险管控方案的环境影响Endpoint评分图</w:t>
      </w:r>
    </w:p>
    <w:p w14:paraId="2C2DF093">
      <w:pPr>
        <w:ind w:firstLine="420" w:firstLineChars="200"/>
        <w:rPr>
          <w:szCs w:val="21"/>
          <w:highlight w:val="none"/>
        </w:rPr>
      </w:pPr>
      <w:r>
        <w:rPr>
          <w:szCs w:val="21"/>
          <w:highlight w:val="none"/>
        </w:rPr>
        <w:t>由图</w:t>
      </w:r>
      <w:r>
        <w:rPr>
          <w:rFonts w:hint="eastAsia"/>
          <w:szCs w:val="21"/>
          <w:highlight w:val="none"/>
          <w:lang w:val="en-US" w:eastAsia="zh-CN"/>
        </w:rPr>
        <w:t>B-</w:t>
      </w:r>
      <w:r>
        <w:rPr>
          <w:rFonts w:hint="eastAsia"/>
          <w:szCs w:val="21"/>
          <w:highlight w:val="none"/>
        </w:rPr>
        <w:t>2</w:t>
      </w:r>
      <w:r>
        <w:rPr>
          <w:szCs w:val="21"/>
          <w:highlight w:val="none"/>
        </w:rPr>
        <w:t>可知，5种地下水污染风险管控方案的碳排放差异明显。方案1因抽提井数量较少、污染羽控制效率不足，需长期运行，碳排放最高，为16.68×10</w:t>
      </w:r>
      <w:r>
        <w:rPr>
          <w:szCs w:val="21"/>
          <w:highlight w:val="none"/>
          <w:vertAlign w:val="superscript"/>
        </w:rPr>
        <w:t>3</w:t>
      </w:r>
      <w:r>
        <w:rPr>
          <w:szCs w:val="21"/>
          <w:highlight w:val="none"/>
        </w:rPr>
        <w:t xml:space="preserve"> t CO₂ eq；方案2</w:t>
      </w:r>
      <w:r>
        <w:rPr>
          <w:rFonts w:hint="eastAsia"/>
          <w:szCs w:val="21"/>
          <w:highlight w:val="none"/>
        </w:rPr>
        <w:t>-</w:t>
      </w:r>
      <w:r>
        <w:rPr>
          <w:szCs w:val="21"/>
          <w:highlight w:val="none"/>
        </w:rPr>
        <w:t>方案5通过优化井群布设、抽水强度和运行周期，碳排放降至4.87～6.35×10</w:t>
      </w:r>
      <w:r>
        <w:rPr>
          <w:szCs w:val="21"/>
          <w:highlight w:val="none"/>
          <w:vertAlign w:val="superscript"/>
        </w:rPr>
        <w:t>3</w:t>
      </w:r>
      <w:r>
        <w:rPr>
          <w:szCs w:val="21"/>
          <w:highlight w:val="none"/>
        </w:rPr>
        <w:t xml:space="preserve"> t CO₂ eq，较方案1碳排放降低</w:t>
      </w:r>
      <w:r>
        <w:rPr>
          <w:rFonts w:hint="eastAsia"/>
          <w:szCs w:val="21"/>
          <w:highlight w:val="none"/>
        </w:rPr>
        <w:t>超过</w:t>
      </w:r>
      <w:r>
        <w:rPr>
          <w:szCs w:val="21"/>
          <w:highlight w:val="none"/>
        </w:rPr>
        <w:t>60%。结果表明，在满足风险管控目标的前提下，采用精细化方案设计能够显著降低抽出处理全过程碳排放，其中方案2碳排放最低，可作为本案例优先推荐的低碳方案。</w:t>
      </w:r>
    </w:p>
    <w:p w14:paraId="7972F344">
      <w:pPr>
        <w:jc w:val="center"/>
        <w:rPr>
          <w:szCs w:val="21"/>
          <w:highlight w:val="none"/>
        </w:rPr>
      </w:pPr>
      <w:r>
        <w:rPr>
          <w:highlight w:val="none"/>
        </w:rPr>
        <w:drawing>
          <wp:inline distT="0" distB="0" distL="0" distR="0">
            <wp:extent cx="3595370" cy="1985010"/>
            <wp:effectExtent l="0" t="0" r="5080" b="0"/>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EB7CED">
      <w:pPr>
        <w:jc w:val="center"/>
        <w:rPr>
          <w:highlight w:val="none"/>
        </w:rPr>
      </w:pPr>
      <w:r>
        <w:rPr>
          <w:highlight w:val="none"/>
        </w:rPr>
        <w:t>图</w:t>
      </w:r>
      <w:r>
        <w:rPr>
          <w:rFonts w:hint="eastAsia"/>
          <w:highlight w:val="none"/>
          <w:lang w:val="en-US" w:eastAsia="zh-CN"/>
        </w:rPr>
        <w:t>B-</w:t>
      </w:r>
      <w:r>
        <w:rPr>
          <w:rFonts w:hint="eastAsia"/>
          <w:highlight w:val="none"/>
        </w:rPr>
        <w:t>2 各地下水污染风险管控方案的碳排放情况</w:t>
      </w:r>
    </w:p>
    <w:p w14:paraId="6A246870">
      <w:pPr>
        <w:pStyle w:val="54"/>
        <w:numPr>
          <w:ilvl w:val="1"/>
          <w:numId w:val="7"/>
        </w:numPr>
        <w:spacing w:before="120" w:after="120"/>
        <w:rPr>
          <w:rFonts w:ascii="Times New Roman"/>
          <w:highlight w:val="none"/>
        </w:rPr>
      </w:pPr>
      <w:bookmarkStart w:id="147" w:name="_Toc130"/>
      <w:r>
        <w:rPr>
          <w:rFonts w:hint="eastAsia" w:ascii="Times New Roman"/>
          <w:highlight w:val="none"/>
        </w:rPr>
        <w:t>推荐技术路线与低碳管理措施</w:t>
      </w:r>
      <w:bookmarkEnd w:id="147"/>
    </w:p>
    <w:p w14:paraId="11C77073">
      <w:pPr>
        <w:ind w:firstLine="420" w:firstLineChars="200"/>
        <w:rPr>
          <w:highlight w:val="none"/>
        </w:rPr>
      </w:pPr>
      <w:r>
        <w:rPr>
          <w:highlight w:val="none"/>
        </w:rPr>
        <w:t>综合污染羽控制效果、运行时间、抽提总量和生命周期环境影响，方案2可作为本案例优先推荐方案；方案4在高值区实施差异化强化抽水，运行时间与方案2相当，可作为局部高浓度区域强化控制的备选方案。对于类似化工园区地下水有机污染地块，不宜仅因初始建设量小而采用少量抽提井长期运行方式，以免放大全周期能耗和废水处理负荷。</w:t>
      </w:r>
    </w:p>
    <w:p w14:paraId="2B31A480">
      <w:pPr>
        <w:ind w:firstLine="420" w:firstLineChars="200"/>
        <w:rPr>
          <w:highlight w:val="none"/>
        </w:rPr>
      </w:pPr>
      <w:r>
        <w:rPr>
          <w:highlight w:val="none"/>
        </w:rPr>
        <w:t>针对抽出处理技术，宜优先优化井群布设并利用现有合规井点；对高值区、迁移边界区和低浓度残留区实施差异化抽水；选用高效潜水泵、变频控制和自动化系统；结合园区污水处理设施开展分质处理和回用；优化管线、井深和施工组织，减少材料消耗、钻探废土和车辆运输；建立动态监测和阶段性评估机制，及时调整抽水强度并退出低效运行单元。</w:t>
      </w:r>
    </w:p>
    <w:p w14:paraId="2A80893C">
      <w:pPr>
        <w:pStyle w:val="54"/>
        <w:numPr>
          <w:ilvl w:val="1"/>
          <w:numId w:val="7"/>
        </w:numPr>
        <w:spacing w:before="120" w:after="120"/>
        <w:rPr>
          <w:rFonts w:ascii="Times New Roman"/>
          <w:highlight w:val="none"/>
        </w:rPr>
      </w:pPr>
      <w:bookmarkStart w:id="148" w:name="_Toc6395"/>
      <w:r>
        <w:rPr>
          <w:rFonts w:hint="eastAsia" w:ascii="Times New Roman"/>
          <w:highlight w:val="none"/>
        </w:rPr>
        <w:t>案例启示</w:t>
      </w:r>
      <w:bookmarkEnd w:id="148"/>
    </w:p>
    <w:p w14:paraId="201D8842">
      <w:pPr>
        <w:widowControl/>
        <w:ind w:firstLine="420" w:firstLineChars="200"/>
        <w:jc w:val="left"/>
        <w:rPr>
          <w:rFonts w:ascii="黑体" w:eastAsia="黑体"/>
          <w:spacing w:val="105"/>
          <w:kern w:val="0"/>
          <w:highlight w:val="none"/>
        </w:rPr>
      </w:pPr>
      <w:r>
        <w:rPr>
          <w:highlight w:val="none"/>
        </w:rPr>
        <w:t>本案例表明，抽出处理等长期运行型技术的绿色低碳评价应从全周期角度开展，重点关注电力消耗、建井材料、管道材料、废水处理和运输活动等关键贡献环节。单项技术方案筛选不宜仅比较初始建设工程量，还应综合考虑污染控制效果、运行周期和长期资源能源消耗。推荐方案应同步提出最佳低碳管理措施，确保低碳要求落实到设计、施工、运行维护和后期管理全过程。本案例</w:t>
      </w:r>
      <w:r>
        <w:rPr>
          <w:rFonts w:hint="eastAsia"/>
          <w:highlight w:val="none"/>
        </w:rPr>
        <w:t>仅</w:t>
      </w:r>
      <w:r>
        <w:rPr>
          <w:highlight w:val="none"/>
        </w:rPr>
        <w:t>作为同类污染地块开展绿色低碳修复方案比选的参考，不</w:t>
      </w:r>
      <w:r>
        <w:rPr>
          <w:rFonts w:hint="eastAsia"/>
          <w:highlight w:val="none"/>
        </w:rPr>
        <w:t>可</w:t>
      </w:r>
      <w:r>
        <w:rPr>
          <w:highlight w:val="none"/>
        </w:rPr>
        <w:t>替代详细调查、专项设计和现场试验。</w:t>
      </w:r>
      <w:r>
        <w:rPr>
          <w:highlight w:val="none"/>
        </w:rPr>
        <w:br w:type="page"/>
      </w:r>
    </w:p>
    <w:bookmarkEnd w:id="141"/>
    <w:p w14:paraId="22D49C5C">
      <w:pPr>
        <w:pStyle w:val="53"/>
        <w:bidi w:val="0"/>
        <w:rPr>
          <w:rFonts w:hint="eastAsia"/>
        </w:rPr>
      </w:pPr>
      <w:bookmarkStart w:id="149" w:name="_Toc233794385"/>
      <w:bookmarkStart w:id="150" w:name="_Toc656"/>
      <w:bookmarkStart w:id="151" w:name="OLE_LINK3"/>
    </w:p>
    <w:p w14:paraId="7880D2E2">
      <w:pPr>
        <w:pStyle w:val="54"/>
        <w:numPr>
          <w:ilvl w:val="1"/>
          <w:numId w:val="0"/>
        </w:numPr>
        <w:spacing w:before="120" w:after="120"/>
        <w:ind w:leftChars="0"/>
        <w:jc w:val="center"/>
        <w:rPr>
          <w:rFonts w:ascii="Times New Roman"/>
          <w:highlight w:val="none"/>
        </w:rPr>
      </w:pPr>
      <w:r>
        <w:rPr>
          <w:rFonts w:hint="eastAsia" w:ascii="Times New Roman"/>
          <w:highlight w:val="none"/>
        </w:rPr>
        <w:t>基于集成修复技术</w:t>
      </w:r>
      <w:r>
        <w:rPr>
          <w:rFonts w:hint="eastAsia" w:ascii="Times New Roman"/>
          <w:highlight w:val="none"/>
          <w:lang w:val="en-US" w:eastAsia="zh-CN"/>
        </w:rPr>
        <w:t>降碳</w:t>
      </w:r>
      <w:r>
        <w:rPr>
          <w:rFonts w:hint="eastAsia" w:ascii="Times New Roman"/>
          <w:highlight w:val="none"/>
        </w:rPr>
        <w:t>最佳管理措施的场地修复案例</w:t>
      </w:r>
    </w:p>
    <w:p w14:paraId="4B855D98">
      <w:pPr>
        <w:pStyle w:val="54"/>
        <w:numPr>
          <w:ilvl w:val="1"/>
          <w:numId w:val="7"/>
        </w:numPr>
        <w:spacing w:before="120" w:after="120"/>
        <w:rPr>
          <w:rFonts w:ascii="Times New Roman"/>
          <w:highlight w:val="none"/>
        </w:rPr>
      </w:pPr>
      <w:r>
        <w:rPr>
          <w:rFonts w:hint="eastAsia" w:ascii="Times New Roman"/>
          <w:highlight w:val="none"/>
        </w:rPr>
        <w:t>案例场地概况</w:t>
      </w:r>
      <w:bookmarkEnd w:id="149"/>
      <w:bookmarkEnd w:id="150"/>
    </w:p>
    <w:bookmarkEnd w:id="151"/>
    <w:p w14:paraId="56646BA1">
      <w:pPr>
        <w:pStyle w:val="31"/>
        <w:ind w:firstLine="420"/>
        <w:rPr>
          <w:rFonts w:ascii="Times New Roman"/>
          <w:highlight w:val="none"/>
        </w:rPr>
      </w:pPr>
      <w:r>
        <w:rPr>
          <w:rFonts w:hint="eastAsia" w:ascii="Times New Roman"/>
          <w:highlight w:val="none"/>
        </w:rPr>
        <w:t>本案例选取某有机污染化工地块作为集成修复技术方案筛选案例。该地块历史上曾开展化工生产活动，停产后已完成危险化学品清理和主要生产设施拆除等工作。案例用于说明有机污染地块在绿色低碳管理要求下，开展分区分类修复方案设计、碳排放评价和低碳管理措施筛选的方法。</w:t>
      </w:r>
    </w:p>
    <w:p w14:paraId="6581F067">
      <w:pPr>
        <w:pStyle w:val="31"/>
        <w:ind w:firstLine="420"/>
        <w:rPr>
          <w:rFonts w:ascii="Times New Roman"/>
          <w:highlight w:val="none"/>
        </w:rPr>
      </w:pPr>
      <w:r>
        <w:rPr>
          <w:rFonts w:hint="eastAsia" w:ascii="Times New Roman"/>
          <w:highlight w:val="none"/>
        </w:rPr>
        <w:t>根据土壤和地下水污染状况调查结果，场地土壤、地下水、土壤气体和环境空气中均检出挥发性有机污染物。该场地规划用途为公园绿地，主要关注苯等有机污染物可能产生的健康风险，潜在暴露途径包括经口摄入、皮肤接触、呼吸土壤尘和呼吸室外空气等。局部生产及仓储区域土壤和地下水风险水平超过可接受范围。</w:t>
      </w:r>
    </w:p>
    <w:p w14:paraId="44F0955B">
      <w:pPr>
        <w:pStyle w:val="31"/>
        <w:ind w:firstLine="420"/>
        <w:rPr>
          <w:rFonts w:ascii="Times New Roman"/>
          <w:highlight w:val="none"/>
        </w:rPr>
      </w:pPr>
      <w:r>
        <w:rPr>
          <w:rFonts w:hint="eastAsia" w:ascii="Times New Roman"/>
          <w:highlight w:val="none"/>
        </w:rPr>
        <w:t>场地浅层至中深层地下水系统较为复杂，发育多层含水层及相对弱透水层，含水层赋水介质以粉砂、砂层等为主。上述地层结构和地下水分布条件影响污染物迁移、抽提影响半径、药剂注入覆盖范围及自然衰减效果，是修复方案分区设计和技术组合选择的重要依据。典型地层结构见图</w:t>
      </w:r>
      <w:r>
        <w:rPr>
          <w:rFonts w:hint="eastAsia" w:ascii="Times New Roman"/>
          <w:highlight w:val="none"/>
          <w:lang w:val="en-US" w:eastAsia="zh-CN"/>
        </w:rPr>
        <w:t>C-1</w:t>
      </w:r>
      <w:r>
        <w:rPr>
          <w:rFonts w:hint="eastAsia" w:ascii="Times New Roman"/>
          <w:highlight w:val="none"/>
        </w:rPr>
        <w:t>。</w:t>
      </w:r>
    </w:p>
    <w:p w14:paraId="5C9E9A26">
      <w:pPr>
        <w:pStyle w:val="31"/>
        <w:ind w:firstLine="420"/>
        <w:jc w:val="center"/>
        <w:rPr>
          <w:rFonts w:ascii="Times New Roman"/>
          <w:highlight w:val="none"/>
        </w:rPr>
      </w:pPr>
      <w:r>
        <w:rPr>
          <w:rFonts w:ascii="Times New Roman"/>
          <w:highlight w:val="none"/>
        </w:rPr>
        <w:drawing>
          <wp:inline distT="0" distB="0" distL="0" distR="0">
            <wp:extent cx="3393440" cy="2085340"/>
            <wp:effectExtent l="0" t="0" r="0" b="0"/>
            <wp:docPr id="14765302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30265" name="图片 5"/>
                    <pic:cNvPicPr>
                      <a:picLocks noChangeAspect="1"/>
                    </pic:cNvPicPr>
                  </pic:nvPicPr>
                  <pic:blipFill>
                    <a:blip r:embed="rId27"/>
                    <a:stretch>
                      <a:fillRect/>
                    </a:stretch>
                  </pic:blipFill>
                  <pic:spPr>
                    <a:xfrm>
                      <a:off x="0" y="0"/>
                      <a:ext cx="3416175" cy="2099227"/>
                    </a:xfrm>
                    <a:prstGeom prst="rect">
                      <a:avLst/>
                    </a:prstGeom>
                  </pic:spPr>
                </pic:pic>
              </a:graphicData>
            </a:graphic>
          </wp:inline>
        </w:drawing>
      </w:r>
    </w:p>
    <w:p w14:paraId="4B8C98B1">
      <w:pPr>
        <w:pStyle w:val="31"/>
        <w:ind w:firstLine="420"/>
        <w:jc w:val="center"/>
        <w:rPr>
          <w:rFonts w:ascii="Times New Roman"/>
          <w:highlight w:val="none"/>
        </w:rPr>
      </w:pPr>
      <w:r>
        <w:rPr>
          <w:rFonts w:hint="eastAsia" w:ascii="Times New Roman"/>
          <w:highlight w:val="none"/>
        </w:rPr>
        <w:t>图</w:t>
      </w:r>
      <w:r>
        <w:rPr>
          <w:rFonts w:hint="eastAsia" w:ascii="Times New Roman"/>
          <w:highlight w:val="none"/>
          <w:lang w:val="en-US" w:eastAsia="zh-CN"/>
        </w:rPr>
        <w:t>C-1</w:t>
      </w:r>
      <w:r>
        <w:rPr>
          <w:rFonts w:hint="eastAsia" w:ascii="Times New Roman"/>
          <w:highlight w:val="none"/>
        </w:rPr>
        <w:t xml:space="preserve"> 某有机污染地块典型地层结构示意图</w:t>
      </w:r>
    </w:p>
    <w:p w14:paraId="6BCAA5ED">
      <w:pPr>
        <w:pStyle w:val="54"/>
        <w:numPr>
          <w:ilvl w:val="1"/>
          <w:numId w:val="7"/>
        </w:numPr>
        <w:spacing w:before="120" w:after="120"/>
        <w:rPr>
          <w:rFonts w:ascii="Times New Roman"/>
          <w:highlight w:val="none"/>
        </w:rPr>
      </w:pPr>
      <w:bookmarkStart w:id="152" w:name="_Toc21016"/>
      <w:bookmarkStart w:id="153" w:name="_Toc233794386"/>
      <w:r>
        <w:rPr>
          <w:rFonts w:hint="eastAsia" w:ascii="Times New Roman"/>
          <w:highlight w:val="none"/>
        </w:rPr>
        <w:t>绿色低碳修复方案设计</w:t>
      </w:r>
      <w:bookmarkEnd w:id="152"/>
      <w:bookmarkEnd w:id="153"/>
    </w:p>
    <w:p w14:paraId="584C56F4">
      <w:pPr>
        <w:pStyle w:val="31"/>
        <w:ind w:firstLine="420"/>
        <w:rPr>
          <w:rFonts w:ascii="Times New Roman"/>
          <w:highlight w:val="none"/>
        </w:rPr>
      </w:pPr>
      <w:r>
        <w:rPr>
          <w:rFonts w:hint="eastAsia" w:ascii="Times New Roman"/>
          <w:highlight w:val="none"/>
        </w:rPr>
        <w:t>结合土地再利用方向和风险管控要求，案例将风险管控区按照污染风险等级划分为重污染区、中度污染区和轻污染区。其中，重污染区主要对应污染物浓度较高、源区特征明显且需优先削减的区域；中度污染区主要对应污染物浓度中等、需采取主动修复或强化控制的区域；轻污染区主要为风险管控区内污染程度相对较低、可结合监测自然衰减实施长期管控的区域。</w:t>
      </w:r>
    </w:p>
    <w:p w14:paraId="03B0B12D">
      <w:pPr>
        <w:pStyle w:val="31"/>
        <w:ind w:firstLine="420"/>
        <w:rPr>
          <w:rFonts w:ascii="Times New Roman"/>
          <w:highlight w:val="none"/>
        </w:rPr>
      </w:pPr>
      <w:r>
        <w:rPr>
          <w:rFonts w:hint="eastAsia" w:ascii="Times New Roman"/>
          <w:highlight w:val="none"/>
        </w:rPr>
        <w:t>本案例围绕“污染风险分区—技术组合—运行强度—后期监测”的耦合关系设计3种修复方案。方案1采用高强度主动修复方式，高污染区采用原位热脱附技术，中污染区采用多相抽提技术，低污染区采用原位化学氧化技术；方案2采用中等强度组合修复方式，高污染区采用多相抽提技术，中污染区采用原位化学氧化技术，低污染区采用监测自然衰减技术；方案3采用低强度自然衰减方式，主要通过土壤植被恢复和地下水监测自然衰减实现长期风险管控。</w:t>
      </w:r>
    </w:p>
    <w:p w14:paraId="2C89B95B">
      <w:pPr>
        <w:pStyle w:val="31"/>
        <w:ind w:firstLine="420"/>
        <w:rPr>
          <w:rFonts w:ascii="Times New Roman"/>
          <w:highlight w:val="none"/>
        </w:rPr>
      </w:pPr>
      <w:r>
        <w:rPr>
          <w:rFonts w:hint="eastAsia" w:ascii="Times New Roman"/>
          <w:highlight w:val="none"/>
        </w:rPr>
        <w:t>方案设计遵循以下原则：一是针对高污染源区或高风险区域优先采用污染负荷削减效率较高的技术；二是对中低浓度区域实施较低扰动、低能耗的修复或风险管控措施；三是将监测自然衰减作为低污染区和修复后拖尾阶段的重要衔接单元；四是避免在全场范围内采用单一高强度、高能耗技术，降低不必要的能源消耗和二次污染负荷。</w:t>
      </w:r>
    </w:p>
    <w:p w14:paraId="3A989FC4">
      <w:pPr>
        <w:pStyle w:val="54"/>
        <w:numPr>
          <w:ilvl w:val="1"/>
          <w:numId w:val="7"/>
        </w:numPr>
        <w:spacing w:before="120" w:after="120"/>
        <w:rPr>
          <w:rFonts w:ascii="Times New Roman"/>
          <w:highlight w:val="none"/>
        </w:rPr>
      </w:pPr>
      <w:bookmarkStart w:id="154" w:name="_Toc233794387"/>
      <w:bookmarkStart w:id="155" w:name="_Toc9107"/>
      <w:r>
        <w:rPr>
          <w:rFonts w:hint="eastAsia" w:ascii="Times New Roman"/>
          <w:highlight w:val="none"/>
        </w:rPr>
        <w:t>不同修复方案绿色低碳评价</w:t>
      </w:r>
      <w:bookmarkEnd w:id="154"/>
      <w:bookmarkEnd w:id="155"/>
    </w:p>
    <w:p w14:paraId="0C35F587">
      <w:pPr>
        <w:spacing w:before="160" w:after="80"/>
        <w:rPr>
          <w:rFonts w:hint="eastAsia" w:ascii="Times New Roman" w:hAnsi="Times New Roman" w:eastAsia="黑体"/>
          <w:bCs/>
          <w:sz w:val="20"/>
          <w:szCs w:val="21"/>
          <w:highlight w:val="none"/>
        </w:rPr>
      </w:pPr>
      <w:r>
        <w:rPr>
          <w:rFonts w:hint="eastAsia" w:eastAsia="黑体"/>
          <w:bCs/>
          <w:sz w:val="20"/>
          <w:szCs w:val="21"/>
          <w:highlight w:val="none"/>
          <w:lang w:eastAsia="zh-CN"/>
        </w:rPr>
        <w:t>C</w:t>
      </w:r>
      <w:r>
        <w:rPr>
          <w:rFonts w:hint="eastAsia" w:ascii="Times New Roman" w:hAnsi="Times New Roman" w:eastAsia="黑体"/>
          <w:bCs/>
          <w:sz w:val="20"/>
          <w:szCs w:val="21"/>
          <w:highlight w:val="none"/>
        </w:rPr>
        <w:t>.3.1 评价范围与系统边界</w:t>
      </w:r>
    </w:p>
    <w:p w14:paraId="0D18EEEC">
      <w:pPr>
        <w:pStyle w:val="31"/>
        <w:ind w:firstLine="420"/>
        <w:rPr>
          <w:rFonts w:ascii="Times New Roman"/>
          <w:highlight w:val="none"/>
        </w:rPr>
      </w:pPr>
      <w:r>
        <w:rPr>
          <w:rFonts w:hint="eastAsia" w:ascii="Times New Roman"/>
          <w:highlight w:val="none"/>
        </w:rPr>
        <w:t>本案例采用生命周期评价思路，对3种集成修复方案的碳排放和环境影响进行比较。评价范围覆盖修复系统建设、技术实施、运行维护和后期监测等阶段，主要包括设备和材料生产、材料运输、井管及管线建设、热处理或抽提运行、药剂注入、废气和废水处理、植被恢复、监测活动及废物处置等环节。3种修复方案的生命周期评价边界见图</w:t>
      </w:r>
      <w:r>
        <w:rPr>
          <w:rFonts w:hint="eastAsia" w:ascii="Times New Roman"/>
          <w:highlight w:val="none"/>
          <w:lang w:val="en-US" w:eastAsia="zh-CN"/>
        </w:rPr>
        <w:t>C-2</w:t>
      </w:r>
      <w:r>
        <w:rPr>
          <w:rFonts w:hint="eastAsia" w:ascii="Times New Roman"/>
          <w:highlight w:val="none"/>
        </w:rPr>
        <w:t>。</w:t>
      </w:r>
    </w:p>
    <w:p w14:paraId="10929407">
      <w:pPr>
        <w:pStyle w:val="31"/>
        <w:ind w:firstLine="0" w:firstLineChars="0"/>
        <w:jc w:val="center"/>
        <w:rPr>
          <w:rFonts w:ascii="Times New Roman"/>
          <w:highlight w:val="none"/>
        </w:rPr>
      </w:pPr>
      <w:r>
        <w:rPr>
          <w:rFonts w:ascii="Times New Roman"/>
          <w:highlight w:val="none"/>
        </w:rPr>
        <w:drawing>
          <wp:inline distT="0" distB="0" distL="0" distR="0">
            <wp:extent cx="3009900" cy="2566035"/>
            <wp:effectExtent l="0" t="0" r="0" b="5715"/>
            <wp:docPr id="1292344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44804" name="图片 1"/>
                    <pic:cNvPicPr>
                      <a:picLocks noChangeAspect="1"/>
                    </pic:cNvPicPr>
                  </pic:nvPicPr>
                  <pic:blipFill>
                    <a:blip r:embed="rId28"/>
                    <a:stretch>
                      <a:fillRect/>
                    </a:stretch>
                  </pic:blipFill>
                  <pic:spPr>
                    <a:xfrm>
                      <a:off x="0" y="0"/>
                      <a:ext cx="3043925" cy="2595179"/>
                    </a:xfrm>
                    <a:prstGeom prst="rect">
                      <a:avLst/>
                    </a:prstGeom>
                  </pic:spPr>
                </pic:pic>
              </a:graphicData>
            </a:graphic>
          </wp:inline>
        </w:drawing>
      </w:r>
    </w:p>
    <w:p w14:paraId="62457E2C">
      <w:pPr>
        <w:pStyle w:val="31"/>
        <w:ind w:firstLine="0" w:firstLineChars="0"/>
        <w:jc w:val="center"/>
        <w:rPr>
          <w:rFonts w:ascii="Times New Roman"/>
          <w:highlight w:val="none"/>
        </w:rPr>
      </w:pPr>
      <w:r>
        <w:rPr>
          <w:rFonts w:ascii="Times New Roman"/>
          <w:highlight w:val="none"/>
        </w:rPr>
        <w:drawing>
          <wp:inline distT="0" distB="0" distL="0" distR="0">
            <wp:extent cx="2219325" cy="1035685"/>
            <wp:effectExtent l="0" t="0" r="0" b="0"/>
            <wp:docPr id="553905187" name="图片 1" descr="日程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05187" name="图片 1" descr="日程表&#10;&#10;AI 生成的内容可能不正确。"/>
                    <pic:cNvPicPr>
                      <a:picLocks noChangeAspect="1"/>
                    </pic:cNvPicPr>
                  </pic:nvPicPr>
                  <pic:blipFill>
                    <a:blip r:embed="rId29"/>
                    <a:stretch>
                      <a:fillRect/>
                    </a:stretch>
                  </pic:blipFill>
                  <pic:spPr>
                    <a:xfrm>
                      <a:off x="0" y="0"/>
                      <a:ext cx="2248901" cy="1050106"/>
                    </a:xfrm>
                    <a:prstGeom prst="rect">
                      <a:avLst/>
                    </a:prstGeom>
                  </pic:spPr>
                </pic:pic>
              </a:graphicData>
            </a:graphic>
          </wp:inline>
        </w:drawing>
      </w:r>
    </w:p>
    <w:p w14:paraId="1F064F94">
      <w:pPr>
        <w:pStyle w:val="31"/>
        <w:ind w:firstLine="0" w:firstLineChars="0"/>
        <w:jc w:val="center"/>
        <w:rPr>
          <w:rFonts w:ascii="Times New Roman"/>
          <w:highlight w:val="none"/>
        </w:rPr>
      </w:pPr>
      <w:r>
        <w:rPr>
          <w:rFonts w:ascii="Times New Roman"/>
          <w:highlight w:val="none"/>
        </w:rPr>
        <w:drawing>
          <wp:inline distT="0" distB="0" distL="0" distR="0">
            <wp:extent cx="3533775" cy="3688080"/>
            <wp:effectExtent l="0" t="0" r="9525" b="7620"/>
            <wp:docPr id="17321811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81147" name="图片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578690" cy="3734892"/>
                    </a:xfrm>
                    <a:prstGeom prst="rect">
                      <a:avLst/>
                    </a:prstGeom>
                    <a:noFill/>
                  </pic:spPr>
                </pic:pic>
              </a:graphicData>
            </a:graphic>
          </wp:inline>
        </w:drawing>
      </w:r>
    </w:p>
    <w:p w14:paraId="5027A254">
      <w:pPr>
        <w:pStyle w:val="31"/>
        <w:ind w:firstLine="0" w:firstLineChars="0"/>
        <w:jc w:val="center"/>
        <w:rPr>
          <w:rFonts w:ascii="Times New Roman"/>
          <w:highlight w:val="none"/>
        </w:rPr>
      </w:pPr>
      <w:r>
        <w:rPr>
          <w:rFonts w:ascii="Times New Roman"/>
          <w:highlight w:val="none"/>
        </w:rPr>
        <w:drawing>
          <wp:inline distT="0" distB="0" distL="0" distR="0">
            <wp:extent cx="4528820" cy="2299970"/>
            <wp:effectExtent l="0" t="0" r="5080" b="5080"/>
            <wp:docPr id="1777708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0826" name="图片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539933" cy="2305634"/>
                    </a:xfrm>
                    <a:prstGeom prst="rect">
                      <a:avLst/>
                    </a:prstGeom>
                    <a:noFill/>
                  </pic:spPr>
                </pic:pic>
              </a:graphicData>
            </a:graphic>
          </wp:inline>
        </w:drawing>
      </w:r>
    </w:p>
    <w:p w14:paraId="1B8B47E2">
      <w:pPr>
        <w:pStyle w:val="31"/>
        <w:ind w:firstLine="0" w:firstLineChars="0"/>
        <w:jc w:val="center"/>
        <w:rPr>
          <w:rFonts w:ascii="Times New Roman"/>
          <w:highlight w:val="none"/>
        </w:rPr>
      </w:pPr>
      <w:r>
        <w:rPr>
          <w:rFonts w:hint="eastAsia" w:ascii="Times New Roman"/>
          <w:highlight w:val="none"/>
        </w:rPr>
        <w:t>图</w:t>
      </w:r>
      <w:r>
        <w:rPr>
          <w:rFonts w:hint="eastAsia" w:ascii="Times New Roman"/>
          <w:highlight w:val="none"/>
          <w:lang w:val="en-US" w:eastAsia="zh-CN"/>
        </w:rPr>
        <w:t>C-2</w:t>
      </w:r>
      <w:r>
        <w:rPr>
          <w:rFonts w:hint="eastAsia" w:ascii="Times New Roman"/>
          <w:highlight w:val="none"/>
        </w:rPr>
        <w:t xml:space="preserve"> 三种修复方案的生命周期评价边界（a-修复方案一；b-修复方案二；c-修复方案三）</w:t>
      </w:r>
    </w:p>
    <w:p w14:paraId="49517AFF">
      <w:pPr>
        <w:spacing w:before="160" w:after="80"/>
        <w:rPr>
          <w:rFonts w:hint="eastAsia" w:ascii="Times New Roman" w:hAnsi="Times New Roman" w:eastAsia="黑体"/>
          <w:bCs/>
          <w:sz w:val="20"/>
          <w:szCs w:val="21"/>
          <w:highlight w:val="none"/>
        </w:rPr>
      </w:pPr>
      <w:r>
        <w:rPr>
          <w:rFonts w:hint="eastAsia" w:eastAsia="黑体"/>
          <w:bCs/>
          <w:sz w:val="20"/>
          <w:szCs w:val="21"/>
          <w:highlight w:val="none"/>
          <w:lang w:eastAsia="zh-CN"/>
        </w:rPr>
        <w:t>C</w:t>
      </w:r>
      <w:r>
        <w:rPr>
          <w:rFonts w:hint="eastAsia" w:ascii="Times New Roman" w:hAnsi="Times New Roman" w:eastAsia="黑体"/>
          <w:bCs/>
          <w:sz w:val="20"/>
          <w:szCs w:val="21"/>
          <w:highlight w:val="none"/>
        </w:rPr>
        <w:t>.3.2 评价结果与关键贡献环节</w:t>
      </w:r>
    </w:p>
    <w:p w14:paraId="55E876EE">
      <w:pPr>
        <w:pStyle w:val="31"/>
        <w:ind w:firstLine="420"/>
        <w:rPr>
          <w:rFonts w:ascii="Times New Roman"/>
          <w:highlight w:val="none"/>
        </w:rPr>
      </w:pPr>
      <w:r>
        <w:rPr>
          <w:rFonts w:hint="eastAsia" w:ascii="Times New Roman"/>
          <w:highlight w:val="none"/>
        </w:rPr>
        <w:t>本案例使用ReCiPe2016方法对3种集成修复方案开展全生命周期评价。ReCiPe2016方法包括中点（Midpoint）和终点（Endpoint）两类指标，其中中点指标包括气候变化、酸化、富营养化、人体毒性、颗粒物形成、生态毒性、资源消耗等18类，终点指标包括人体健康、生态系统和资源消耗3类，本案例重点关注其中的气候变化、酸化、富营养化、人体毒性、颗粒物形成、生态毒性和资源消耗等与修复活动密切相关的环境影响指标。</w:t>
      </w:r>
    </w:p>
    <w:p w14:paraId="522770AF">
      <w:pPr>
        <w:pStyle w:val="31"/>
        <w:ind w:firstLine="420"/>
        <w:rPr>
          <w:rFonts w:ascii="Times New Roman"/>
          <w:highlight w:val="none"/>
        </w:rPr>
      </w:pPr>
      <w:r>
        <w:rPr>
          <w:rFonts w:hint="eastAsia" w:ascii="Times New Roman"/>
          <w:highlight w:val="none"/>
        </w:rPr>
        <w:t>由图</w:t>
      </w:r>
      <w:r>
        <w:rPr>
          <w:rFonts w:hint="eastAsia" w:ascii="Times New Roman"/>
          <w:highlight w:val="none"/>
          <w:lang w:val="en-US" w:eastAsia="zh-CN"/>
        </w:rPr>
        <w:t>C-3</w:t>
      </w:r>
      <w:r>
        <w:rPr>
          <w:rFonts w:hint="eastAsia" w:ascii="Times New Roman"/>
          <w:highlight w:val="none"/>
        </w:rPr>
        <w:t>可知，3种修复方案的中点环境影响差异明显。方案1在18个中点影响类别中的17个类别占据主导地位，主要原因是原位热脱附、多相抽提和化学氧化等主动修复单元运行强度较高，能源消耗、药剂投入和尾气废水处理需求较大。方案2通过降低高强度修复技术的使用范围，并在低污染区引入监测自然衰减，整体环境影响较方案1明显下降。方案3以植被恢复和监测自然衰减为主，材料和能源投入较少，中点环境影响最低，但其修复周期和风险削减效率需结合场地再开发时序和风险管控要求综合判断。</w:t>
      </w:r>
    </w:p>
    <w:p w14:paraId="4E1ADCD0">
      <w:pPr>
        <w:pStyle w:val="31"/>
        <w:ind w:firstLine="0" w:firstLineChars="0"/>
        <w:jc w:val="center"/>
        <w:rPr>
          <w:rFonts w:ascii="Times New Roman"/>
          <w:highlight w:val="none"/>
        </w:rPr>
      </w:pPr>
      <w:r>
        <w:rPr>
          <w:rFonts w:ascii="Times New Roman"/>
          <w:highlight w:val="none"/>
        </w:rPr>
        <w:drawing>
          <wp:inline distT="0" distB="0" distL="0" distR="0">
            <wp:extent cx="2801620" cy="1405255"/>
            <wp:effectExtent l="0" t="0" r="0" b="4445"/>
            <wp:docPr id="21364390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39058" name="图片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837583" cy="1423718"/>
                    </a:xfrm>
                    <a:prstGeom prst="rect">
                      <a:avLst/>
                    </a:prstGeom>
                    <a:noFill/>
                  </pic:spPr>
                </pic:pic>
              </a:graphicData>
            </a:graphic>
          </wp:inline>
        </w:drawing>
      </w:r>
      <w:r>
        <w:rPr>
          <w:rFonts w:ascii="Times New Roman"/>
          <w:highlight w:val="none"/>
        </w:rPr>
        <w:drawing>
          <wp:inline distT="0" distB="0" distL="0" distR="0">
            <wp:extent cx="2686050" cy="1407160"/>
            <wp:effectExtent l="0" t="0" r="0" b="2540"/>
            <wp:docPr id="11423997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99724" name="图片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729022" cy="1429668"/>
                    </a:xfrm>
                    <a:prstGeom prst="rect">
                      <a:avLst/>
                    </a:prstGeom>
                    <a:noFill/>
                  </pic:spPr>
                </pic:pic>
              </a:graphicData>
            </a:graphic>
          </wp:inline>
        </w:drawing>
      </w:r>
    </w:p>
    <w:p w14:paraId="7795FF56">
      <w:pPr>
        <w:pStyle w:val="31"/>
        <w:ind w:firstLine="0" w:firstLineChars="0"/>
        <w:jc w:val="center"/>
        <w:rPr>
          <w:rFonts w:ascii="Times New Roman"/>
          <w:highlight w:val="none"/>
        </w:rPr>
      </w:pPr>
      <w:r>
        <w:rPr>
          <w:rFonts w:ascii="Times New Roman"/>
          <w:highlight w:val="none"/>
        </w:rPr>
        <w:drawing>
          <wp:inline distT="0" distB="0" distL="0" distR="0">
            <wp:extent cx="2781935" cy="805815"/>
            <wp:effectExtent l="0" t="0" r="0" b="0"/>
            <wp:docPr id="21277837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83742" name="图片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860004" cy="828412"/>
                    </a:xfrm>
                    <a:prstGeom prst="rect">
                      <a:avLst/>
                    </a:prstGeom>
                    <a:noFill/>
                  </pic:spPr>
                </pic:pic>
              </a:graphicData>
            </a:graphic>
          </wp:inline>
        </w:drawing>
      </w:r>
      <w:r>
        <w:rPr>
          <w:rFonts w:ascii="Times New Roman"/>
          <w:highlight w:val="none"/>
        </w:rPr>
        <w:drawing>
          <wp:inline distT="0" distB="0" distL="0" distR="0">
            <wp:extent cx="2675890" cy="801370"/>
            <wp:effectExtent l="0" t="0" r="0" b="0"/>
            <wp:docPr id="10215908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90817" name="图片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820979" cy="844662"/>
                    </a:xfrm>
                    <a:prstGeom prst="rect">
                      <a:avLst/>
                    </a:prstGeom>
                    <a:noFill/>
                  </pic:spPr>
                </pic:pic>
              </a:graphicData>
            </a:graphic>
          </wp:inline>
        </w:drawing>
      </w:r>
    </w:p>
    <w:p w14:paraId="50717609">
      <w:pPr>
        <w:pStyle w:val="31"/>
        <w:ind w:firstLine="0" w:firstLineChars="0"/>
        <w:jc w:val="center"/>
        <w:rPr>
          <w:rFonts w:ascii="Times New Roman"/>
          <w:highlight w:val="none"/>
        </w:rPr>
      </w:pPr>
      <w:r>
        <w:rPr>
          <w:rFonts w:hint="eastAsia" w:ascii="Times New Roman"/>
          <w:highlight w:val="none"/>
        </w:rPr>
        <w:t>图</w:t>
      </w:r>
      <w:r>
        <w:rPr>
          <w:rFonts w:hint="eastAsia" w:ascii="Times New Roman"/>
          <w:highlight w:val="none"/>
          <w:lang w:val="en-US" w:eastAsia="zh-CN"/>
        </w:rPr>
        <w:t>C-3</w:t>
      </w:r>
      <w:r>
        <w:rPr>
          <w:rFonts w:hint="eastAsia" w:ascii="Times New Roman"/>
          <w:highlight w:val="none"/>
        </w:rPr>
        <w:t xml:space="preserve"> 不同修复方案的中点环境影响对比</w:t>
      </w:r>
    </w:p>
    <w:p w14:paraId="2BCA1169">
      <w:pPr>
        <w:pStyle w:val="31"/>
        <w:ind w:firstLine="420"/>
        <w:rPr>
          <w:rFonts w:ascii="Times New Roman"/>
          <w:highlight w:val="none"/>
        </w:rPr>
      </w:pPr>
      <w:r>
        <w:rPr>
          <w:rFonts w:hint="eastAsia" w:ascii="Times New Roman"/>
          <w:highlight w:val="none"/>
        </w:rPr>
        <w:t>由图</w:t>
      </w:r>
      <w:r>
        <w:rPr>
          <w:rFonts w:hint="eastAsia" w:ascii="Times New Roman"/>
          <w:highlight w:val="none"/>
          <w:lang w:val="en-US" w:eastAsia="zh-CN"/>
        </w:rPr>
        <w:t>C-4</w:t>
      </w:r>
      <w:r>
        <w:rPr>
          <w:rFonts w:hint="eastAsia" w:ascii="Times New Roman"/>
          <w:highlight w:val="none"/>
        </w:rPr>
        <w:t>可知，3种修复方案的温室气体排放量差异明显。方案1碳排放最高，为6.08×10⁸ kg CO</w:t>
      </w:r>
      <w:r>
        <w:rPr>
          <w:rFonts w:hint="eastAsia" w:ascii="Times New Roman"/>
          <w:highlight w:val="none"/>
          <w:vertAlign w:val="subscript"/>
          <w:lang w:val="en-US" w:eastAsia="zh-CN"/>
        </w:rPr>
        <w:t>2</w:t>
      </w:r>
      <w:r>
        <w:rPr>
          <w:rFonts w:hint="eastAsia" w:ascii="Times New Roman"/>
          <w:highlight w:val="none"/>
        </w:rPr>
        <w:t xml:space="preserve"> eq；方案2碳排放为1.10×10⁸ kg CO</w:t>
      </w:r>
      <w:r>
        <w:rPr>
          <w:rFonts w:hint="eastAsia" w:ascii="Times New Roman"/>
          <w:highlight w:val="none"/>
          <w:vertAlign w:val="subscript"/>
          <w:lang w:val="en-US" w:eastAsia="zh-CN"/>
        </w:rPr>
        <w:t>2</w:t>
      </w:r>
      <w:r>
        <w:rPr>
          <w:rFonts w:hint="eastAsia" w:ascii="Times New Roman"/>
          <w:highlight w:val="none"/>
        </w:rPr>
        <w:t xml:space="preserve"> eq，较方案1降低约81.9%；方案3碳排放最低，为1.80×10⁶ kg CO</w:t>
      </w:r>
      <w:r>
        <w:rPr>
          <w:rFonts w:hint="eastAsia" w:ascii="Times New Roman"/>
          <w:highlight w:val="none"/>
          <w:vertAlign w:val="subscript"/>
          <w:lang w:val="en-US" w:eastAsia="zh-CN"/>
        </w:rPr>
        <w:t>2</w:t>
      </w:r>
      <w:r>
        <w:rPr>
          <w:rFonts w:hint="eastAsia" w:ascii="Times New Roman"/>
          <w:highlight w:val="none"/>
        </w:rPr>
        <w:t xml:space="preserve"> eq，较方案1降低约99.7%。结果表明，在满足风险管控和修复目标的前提下，采用分区分类、分阶段的集成修复方案，可显著降低高强度主动修复单元的使用范围和运行负荷，是实现污染地块修复过程减污降碳协同的重要途径。</w:t>
      </w:r>
    </w:p>
    <w:p w14:paraId="020AB055">
      <w:pPr>
        <w:pStyle w:val="31"/>
        <w:ind w:firstLine="420"/>
        <w:jc w:val="center"/>
        <w:rPr>
          <w:rFonts w:ascii="Times New Roman"/>
          <w:highlight w:val="none"/>
        </w:rPr>
      </w:pPr>
      <w:r>
        <w:rPr>
          <w:rFonts w:ascii="Times New Roman"/>
          <w:highlight w:val="none"/>
        </w:rPr>
        <w:drawing>
          <wp:inline distT="0" distB="0" distL="0" distR="0">
            <wp:extent cx="2590800" cy="2097405"/>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36"/>
                    <a:stretch>
                      <a:fillRect/>
                    </a:stretch>
                  </pic:blipFill>
                  <pic:spPr>
                    <a:xfrm>
                      <a:off x="0" y="0"/>
                      <a:ext cx="2607398" cy="2111300"/>
                    </a:xfrm>
                    <a:prstGeom prst="rect">
                      <a:avLst/>
                    </a:prstGeom>
                  </pic:spPr>
                </pic:pic>
              </a:graphicData>
            </a:graphic>
          </wp:inline>
        </w:drawing>
      </w:r>
    </w:p>
    <w:p w14:paraId="6F1B4F6B">
      <w:pPr>
        <w:pStyle w:val="31"/>
        <w:ind w:firstLine="420"/>
        <w:jc w:val="center"/>
        <w:rPr>
          <w:rFonts w:ascii="Times New Roman"/>
          <w:highlight w:val="none"/>
        </w:rPr>
      </w:pPr>
      <w:r>
        <w:rPr>
          <w:rFonts w:hint="eastAsia" w:ascii="Times New Roman"/>
          <w:highlight w:val="none"/>
        </w:rPr>
        <w:t>图</w:t>
      </w:r>
      <w:r>
        <w:rPr>
          <w:rFonts w:hint="eastAsia" w:ascii="Times New Roman"/>
          <w:highlight w:val="none"/>
          <w:lang w:val="en-US" w:eastAsia="zh-CN"/>
        </w:rPr>
        <w:t>C-4</w:t>
      </w:r>
      <w:r>
        <w:rPr>
          <w:rFonts w:hint="eastAsia" w:ascii="Times New Roman"/>
          <w:highlight w:val="none"/>
        </w:rPr>
        <w:t xml:space="preserve"> 方案1—方案3的温室气体排放量（H-高污染区；M-中污染区；L-低污染区）</w:t>
      </w:r>
    </w:p>
    <w:p w14:paraId="05C2B1F7">
      <w:pPr>
        <w:pStyle w:val="54"/>
        <w:numPr>
          <w:ilvl w:val="1"/>
          <w:numId w:val="7"/>
        </w:numPr>
        <w:spacing w:before="120" w:after="120"/>
        <w:rPr>
          <w:rFonts w:ascii="Times New Roman"/>
          <w:highlight w:val="none"/>
        </w:rPr>
      </w:pPr>
      <w:bookmarkStart w:id="156" w:name="_Toc233794388"/>
      <w:bookmarkStart w:id="157" w:name="_Toc30809"/>
      <w:r>
        <w:rPr>
          <w:rFonts w:hint="eastAsia" w:ascii="Times New Roman"/>
          <w:highlight w:val="none"/>
        </w:rPr>
        <w:t>推荐技术路线与低碳管理措施</w:t>
      </w:r>
      <w:bookmarkEnd w:id="156"/>
      <w:bookmarkEnd w:id="157"/>
    </w:p>
    <w:p w14:paraId="1931FF1D">
      <w:pPr>
        <w:pStyle w:val="31"/>
        <w:ind w:firstLine="420"/>
        <w:rPr>
          <w:rFonts w:ascii="Times New Roman"/>
          <w:highlight w:val="none"/>
        </w:rPr>
      </w:pPr>
      <w:r>
        <w:rPr>
          <w:rFonts w:hint="eastAsia" w:ascii="Times New Roman"/>
          <w:highlight w:val="none"/>
        </w:rPr>
        <w:t>综合污染风险水平、修复目标、土地再利用时序、工程实施周期和全生命周期碳排放结果，三种修复方案均具有一定适用条件，应根据场地管理目标和风险控制需求进行选择。</w:t>
      </w:r>
    </w:p>
    <w:p w14:paraId="2E14BFB9">
      <w:pPr>
        <w:pStyle w:val="31"/>
        <w:ind w:firstLine="420"/>
        <w:rPr>
          <w:rFonts w:ascii="Times New Roman"/>
          <w:highlight w:val="none"/>
        </w:rPr>
      </w:pPr>
      <w:r>
        <w:rPr>
          <w:rFonts w:hint="eastAsia" w:ascii="Times New Roman"/>
          <w:highlight w:val="none"/>
        </w:rPr>
        <w:t>当场地再开发时间较紧、局部高污染源区需在短期内快速削减污染负荷，或存在较高暴露风险和污染迁移风险时，可优先考虑方案1。该方案以原位热脱附、多相抽提和原位化学氧化等主动修复技术为主，污染削减效率较高，适用于对修复时效要求较高的区域。但该方案能源消耗、药剂投入和尾气废水处理需求较大，宜控制其实施范围，重点用于高浓度源区或关键风险单元，不宜在全场范围内长期高强度实施。</w:t>
      </w:r>
    </w:p>
    <w:p w14:paraId="6D0BDAEB">
      <w:pPr>
        <w:pStyle w:val="31"/>
        <w:ind w:firstLine="420"/>
        <w:rPr>
          <w:rFonts w:ascii="Times New Roman"/>
          <w:highlight w:val="none"/>
        </w:rPr>
      </w:pPr>
      <w:r>
        <w:rPr>
          <w:rFonts w:hint="eastAsia" w:ascii="Times New Roman"/>
          <w:highlight w:val="none"/>
        </w:rPr>
        <w:t>当场地既需较快降低污染风险，又需兼顾碳排放控制、资源消耗和长期管理成本时，可考虑方案2。该方案在高污染区和中污染区保留必要的主动修复单元，同时在低污染区采用监测自然衰减，能够在污染削减效率和低碳管理之间取得相对平衡。对于污染分布差异明显、修复周期要求适中、需要分区分类实施的有机污染地块，方案2可作为较为均衡的技术组合。</w:t>
      </w:r>
    </w:p>
    <w:p w14:paraId="7ADA6AD8">
      <w:pPr>
        <w:pStyle w:val="31"/>
        <w:ind w:firstLine="420"/>
        <w:rPr>
          <w:rFonts w:ascii="Times New Roman"/>
          <w:highlight w:val="none"/>
        </w:rPr>
      </w:pPr>
      <w:r>
        <w:rPr>
          <w:rFonts w:hint="eastAsia" w:ascii="Times New Roman"/>
          <w:highlight w:val="none"/>
        </w:rPr>
        <w:t>当场地污染风险总体可控、土地再利用时序相对宽裕，且管理目标以长期风险管控、生态恢复和低碳运行维护为主时，可考虑方案3。该方案以土壤植被恢复和地下水监测自然衰减为主，工程扰动、能源消耗和碳排放较低，适用于轻污染区、修复后拖尾阶段或不急于开展高强度工程修复的区域。实施该方案时，应建立长期监测和风险预警机制，持续跟踪污染物浓度变化、污染羽稳定性和潜在暴露风险，确保风险处于可接受范围内。</w:t>
      </w:r>
    </w:p>
    <w:p w14:paraId="2841DBE1">
      <w:pPr>
        <w:pStyle w:val="54"/>
        <w:numPr>
          <w:ilvl w:val="1"/>
          <w:numId w:val="7"/>
        </w:numPr>
        <w:spacing w:before="120" w:after="120"/>
        <w:rPr>
          <w:rFonts w:ascii="Times New Roman"/>
          <w:highlight w:val="none"/>
        </w:rPr>
      </w:pPr>
      <w:bookmarkStart w:id="158" w:name="_Toc233794389"/>
      <w:bookmarkStart w:id="159" w:name="_Toc16921"/>
      <w:r>
        <w:rPr>
          <w:rFonts w:hint="eastAsia" w:ascii="Times New Roman"/>
          <w:highlight w:val="none"/>
        </w:rPr>
        <w:t>案例启示</w:t>
      </w:r>
      <w:bookmarkEnd w:id="158"/>
      <w:bookmarkEnd w:id="159"/>
    </w:p>
    <w:p w14:paraId="019D0083">
      <w:pPr>
        <w:pStyle w:val="31"/>
        <w:ind w:firstLine="420"/>
        <w:rPr>
          <w:rFonts w:ascii="Times New Roman"/>
          <w:highlight w:val="none"/>
        </w:rPr>
      </w:pPr>
      <w:r>
        <w:rPr>
          <w:rFonts w:hint="eastAsia" w:ascii="Times New Roman"/>
          <w:highlight w:val="none"/>
        </w:rPr>
        <w:t>本案例表明，集成修复技术的绿色低碳方案筛选应从全生命周期角度开展，综合考虑修复目标、修复期限、风险水平、污染分区、土地再利用时序和碳排放贡献等因素。不同修复方案并不存在绝对优劣关系，关键在于是否与场地管理目标相匹配：对于短期风险削减目标较强的场地，可采用主动修复强度较高的技术组合；对于需兼顾修复效率和低碳要求的场地，可采用主动修复与自然衰减相结合的分区组合方案；对于风险总体可控、修复周期较宽裕的区域，可采用低扰动、低能耗的长期风险管控方案。</w:t>
      </w:r>
    </w:p>
    <w:p w14:paraId="7F2956C9">
      <w:pPr>
        <w:pStyle w:val="31"/>
        <w:ind w:firstLine="420"/>
        <w:rPr>
          <w:rFonts w:ascii="Times New Roman"/>
          <w:highlight w:val="none"/>
        </w:rPr>
      </w:pPr>
      <w:r>
        <w:rPr>
          <w:rFonts w:hint="eastAsia" w:ascii="Times New Roman"/>
          <w:highlight w:val="none"/>
        </w:rPr>
        <w:t>集成修复方案筛选不宜仅比较污染削减效率、碳排放量或单项技术先进性，还应关注不同技术在污染源削减、迁移控制、暴露阻断、生态恢复和长期管控中的功能差异。对于污染程度差异明显的地块，宜采用“源区强化削减—中低浓度区域低碳修复—拖尾阶段长期监测与自然衰减”的分区分类、分阶段技术路线，避免全场采用单一高强度修复技术造成能源和材料浪费。</w:t>
      </w:r>
    </w:p>
    <w:p w14:paraId="6FF35BDF">
      <w:pPr>
        <w:pStyle w:val="31"/>
        <w:ind w:firstLine="420"/>
        <w:rPr>
          <w:rFonts w:ascii="Times New Roman"/>
          <w:highlight w:val="none"/>
        </w:rPr>
      </w:pPr>
      <w:r>
        <w:rPr>
          <w:rFonts w:hint="eastAsia" w:ascii="Times New Roman"/>
          <w:highlight w:val="none"/>
        </w:rPr>
        <w:t>本案例可为同类有机污染地块开展绿色低碳修复方案比选提供参考。在实际工程中，应结合详细调查、风险评估、修复目标、工期要求、用地规划和现场试验结果，对技术组合、实施范围和运行参数进行动态优化，确保修复效果、风险控制和低碳管理协同实现。</w:t>
      </w:r>
    </w:p>
    <w:p w14:paraId="66187352">
      <w:pPr>
        <w:widowControl/>
        <w:jc w:val="left"/>
        <w:rPr>
          <w:highlight w:val="none"/>
        </w:rPr>
      </w:pPr>
    </w:p>
    <w:p w14:paraId="530CEDA0">
      <w:pPr>
        <w:widowControl/>
        <w:jc w:val="left"/>
        <w:rPr>
          <w:rFonts w:ascii="Times New Roman"/>
          <w:kern w:val="0"/>
          <w:szCs w:val="20"/>
          <w:highlight w:val="none"/>
        </w:rPr>
      </w:pPr>
      <w:r>
        <w:rPr>
          <w:highlight w:val="none"/>
        </w:rPr>
        <w:br w:type="page"/>
      </w:r>
    </w:p>
    <w:bookmarkEnd w:id="139"/>
    <w:p w14:paraId="3204EEFD">
      <w:pPr>
        <w:pStyle w:val="55"/>
        <w:spacing w:before="96" w:after="120"/>
        <w:rPr>
          <w:rFonts w:ascii="Times New Roman"/>
          <w:highlight w:val="none"/>
        </w:rPr>
      </w:pPr>
      <w:bookmarkStart w:id="160" w:name="_Toc24983"/>
      <w:bookmarkStart w:id="161" w:name="_Toc233794400"/>
      <w:bookmarkStart w:id="162" w:name="BookMark6"/>
      <w:r>
        <w:rPr>
          <w:rFonts w:hint="eastAsia" w:ascii="Times New Roman"/>
          <w:spacing w:val="105"/>
          <w:highlight w:val="none"/>
        </w:rPr>
        <w:t>参考文</w:t>
      </w:r>
      <w:r>
        <w:rPr>
          <w:rFonts w:hint="eastAsia" w:ascii="Times New Roman"/>
          <w:highlight w:val="none"/>
        </w:rPr>
        <w:t>献</w:t>
      </w:r>
      <w:bookmarkEnd w:id="160"/>
      <w:bookmarkEnd w:id="161"/>
    </w:p>
    <w:p w14:paraId="430E646A">
      <w:pPr>
        <w:pStyle w:val="31"/>
        <w:ind w:firstLine="420"/>
        <w:rPr>
          <w:rFonts w:hint="eastAsia" w:ascii="Times New Roman"/>
          <w:highlight w:val="none"/>
        </w:rPr>
      </w:pPr>
      <w:r>
        <w:rPr>
          <w:rFonts w:ascii="Times New Roman"/>
          <w:highlight w:val="none"/>
        </w:rPr>
        <w:t>[1]</w:t>
      </w:r>
      <w:r>
        <w:rPr>
          <w:rFonts w:hint="eastAsia" w:ascii="Times New Roman"/>
          <w:highlight w:val="none"/>
          <w:lang w:val="en-US" w:eastAsia="zh-CN"/>
        </w:rPr>
        <w:t xml:space="preserve"> </w:t>
      </w:r>
      <w:r>
        <w:rPr>
          <w:rFonts w:hint="eastAsia" w:ascii="Times New Roman"/>
          <w:highlight w:val="none"/>
        </w:rPr>
        <w:t>张小刚,张芳,李书鹏,等.污染场地原位热修复技术与能效分析[J].地学前缘,2022,29(3):200-206.</w:t>
      </w:r>
    </w:p>
    <w:p w14:paraId="159A89F9">
      <w:pPr>
        <w:pStyle w:val="31"/>
        <w:ind w:firstLine="420"/>
        <w:rPr>
          <w:rFonts w:hint="eastAsia" w:ascii="Times New Roman"/>
          <w:highlight w:val="none"/>
        </w:rPr>
      </w:pPr>
      <w:r>
        <w:rPr>
          <w:rFonts w:hint="eastAsia" w:ascii="Times New Roman"/>
          <w:highlight w:val="none"/>
        </w:rPr>
        <w:t>[2]侯德义,张凯凯,王刘炜,等.工业场地重金属污染土壤治理现状与展望[J].环境保护,2021,49(20):9-15.</w:t>
      </w:r>
    </w:p>
    <w:p w14:paraId="60F9B34A">
      <w:pPr>
        <w:pStyle w:val="31"/>
        <w:ind w:firstLine="420"/>
        <w:rPr>
          <w:rFonts w:hint="eastAsia" w:ascii="Times New Roman"/>
          <w:highlight w:val="none"/>
        </w:rPr>
      </w:pPr>
      <w:r>
        <w:rPr>
          <w:rFonts w:hint="eastAsia" w:ascii="Times New Roman"/>
          <w:highlight w:val="none"/>
        </w:rPr>
        <w:t>[3]</w:t>
      </w:r>
      <w:r>
        <w:rPr>
          <w:rFonts w:hint="eastAsia" w:ascii="Times New Roman"/>
          <w:highlight w:val="none"/>
          <w:lang w:val="en-US" w:eastAsia="zh-CN"/>
        </w:rPr>
        <w:t xml:space="preserve"> </w:t>
      </w:r>
      <w:r>
        <w:rPr>
          <w:rFonts w:hint="eastAsia" w:ascii="Times New Roman"/>
          <w:highlight w:val="none"/>
        </w:rPr>
        <w:t>侯德义.我国工业场地地下水污染防治十大科技难题[J].环境科学研究,2022,35(9):2015-2025.</w:t>
      </w:r>
    </w:p>
    <w:p w14:paraId="660849E6">
      <w:pPr>
        <w:pStyle w:val="31"/>
        <w:ind w:firstLine="420"/>
        <w:rPr>
          <w:highlight w:val="none"/>
        </w:rPr>
      </w:pPr>
      <w:r>
        <w:rPr>
          <w:rFonts w:hint="eastAsia" w:ascii="Times New Roman"/>
          <w:highlight w:val="none"/>
        </w:rPr>
        <w:t>[4]</w:t>
      </w:r>
      <w:r>
        <w:rPr>
          <w:rFonts w:hint="eastAsia" w:ascii="Times New Roman"/>
          <w:highlight w:val="none"/>
          <w:lang w:val="en-US" w:eastAsia="zh-CN"/>
        </w:rPr>
        <w:t xml:space="preserve"> </w:t>
      </w:r>
      <w:r>
        <w:rPr>
          <w:rFonts w:hint="eastAsia" w:ascii="Times New Roman"/>
          <w:highlight w:val="none"/>
        </w:rPr>
        <w:t>王刘炜,王会霞,赵晋灵,等.重金属复合污染土壤稳定化基体材料筛选[J].环境科学学报,2023,43(2):309-316.</w:t>
      </w:r>
    </w:p>
    <w:bookmarkEnd w:id="162"/>
    <w:p w14:paraId="6707F350">
      <w:pPr>
        <w:pStyle w:val="31"/>
        <w:ind w:firstLine="420"/>
        <w:rPr>
          <w:highlight w:val="none"/>
        </w:rPr>
      </w:pPr>
    </w:p>
    <w:p w14:paraId="370E4072">
      <w:pPr>
        <w:pStyle w:val="31"/>
        <w:ind w:firstLine="0" w:firstLineChars="0"/>
        <w:jc w:val="center"/>
        <w:rPr>
          <w:highlight w:val="none"/>
        </w:rPr>
      </w:pPr>
      <w:bookmarkStart w:id="163" w:name="BookMark8"/>
      <w:r>
        <w:rPr>
          <w:highlight w:val="none"/>
        </w:rPr>
        <w:drawing>
          <wp:inline distT="0" distB="0" distL="0" distR="0">
            <wp:extent cx="1487170" cy="31813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487170" cy="318135"/>
                    </a:xfrm>
                    <a:prstGeom prst="rect">
                      <a:avLst/>
                    </a:prstGeom>
                    <a:noFill/>
                    <a:ln>
                      <a:noFill/>
                    </a:ln>
                  </pic:spPr>
                </pic:pic>
              </a:graphicData>
            </a:graphic>
          </wp:inline>
        </w:drawing>
      </w:r>
      <w:bookmarkEnd w:id="163"/>
    </w:p>
    <w:p w14:paraId="38CB1CF9">
      <w:pPr>
        <w:widowControl/>
        <w:spacing w:line="380" w:lineRule="exact"/>
        <w:rPr>
          <w:rFonts w:hint="eastAsia" w:ascii="宋体" w:hAnsi="宋体"/>
          <w:szCs w:val="21"/>
          <w:highlight w:val="none"/>
        </w:rPr>
      </w:pPr>
    </w:p>
    <w:sectPr>
      <w:pgSz w:w="11906" w:h="16838"/>
      <w:pgMar w:top="2410" w:right="1134" w:bottom="1134" w:left="1134" w:header="1418" w:footer="1134" w:gutter="284"/>
      <w:pgNumType w:start="1"/>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50BE5">
    <w:pPr>
      <w:pStyle w:val="8"/>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37BA2">
    <w:pPr>
      <w:pStyle w:val="59"/>
    </w:pPr>
    <w:r>
      <w:fldChar w:fldCharType="begin"/>
    </w:r>
    <w:r>
      <w:instrText xml:space="preserve"> PAGE   \* MERGEFORMAT \* MERGEFORMAT </w:instrText>
    </w:r>
    <w:r>
      <w:fldChar w:fldCharType="separate"/>
    </w:r>
    <w: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9537D">
    <w:pPr>
      <w:pStyle w:val="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AB677">
    <w:pPr>
      <w:pStyle w:val="58"/>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452F5">
    <w:pPr>
      <w:pStyle w:val="59"/>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92A40">
    <w:pPr>
      <w:pStyle w:val="58"/>
    </w:pPr>
    <w:r>
      <w:fldChar w:fldCharType="begin"/>
    </w:r>
    <w:r>
      <w:instrText xml:space="preserve">PAGE   \* MERGEFORMAT</w:instrText>
    </w:r>
    <w:r>
      <w:fldChar w:fldCharType="separate"/>
    </w:r>
    <w:r>
      <w:rPr>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EDF42">
    <w:pPr>
      <w:pStyle w:val="59"/>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6AB0A">
    <w:pPr>
      <w:pStyle w:val="58"/>
    </w:pPr>
    <w:r>
      <w:fldChar w:fldCharType="begin"/>
    </w:r>
    <w:r>
      <w:instrText xml:space="preserve">PAGE   \* MERGEFORMAT</w:instrText>
    </w:r>
    <w:r>
      <w:fldChar w:fldCharType="separate"/>
    </w:r>
    <w:r>
      <w:rPr>
        <w:lang w:val="zh-CN"/>
      </w:rPr>
      <w:t>III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5B385">
    <w:pPr>
      <w:pStyle w:val="59"/>
    </w:pPr>
    <w:r>
      <w:fldChar w:fldCharType="begin"/>
    </w:r>
    <w:r>
      <w:instrText xml:space="preserve"> PAGE   \* MERGEFORMAT \* MERGEFORMAT </w:instrText>
    </w:r>
    <w:r>
      <w:fldChar w:fldCharType="separate"/>
    </w:r>
    <w:r>
      <w:t>II</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AD1A0">
    <w:pPr>
      <w:pStyle w:val="5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87729">
                          <w:pPr>
                            <w:pStyle w:val="58"/>
                          </w:pPr>
                          <w:r>
                            <w:fldChar w:fldCharType="begin"/>
                          </w:r>
                          <w:r>
                            <w:instrText xml:space="preserve">PAGE   \* MERGEFORMAT</w:instrText>
                          </w:r>
                          <w:r>
                            <w:fldChar w:fldCharType="separate"/>
                          </w:r>
                          <w:r>
                            <w:rPr>
                              <w:lang w:val="zh-CN"/>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B187729">
                    <w:pPr>
                      <w:pStyle w:val="58"/>
                    </w:pPr>
                    <w:r>
                      <w:fldChar w:fldCharType="begin"/>
                    </w:r>
                    <w:r>
                      <w:instrText xml:space="preserve">PAGE   \* MERGEFORMAT</w:instrText>
                    </w:r>
                    <w:r>
                      <w:fldChar w:fldCharType="separate"/>
                    </w:r>
                    <w:r>
                      <w:rPr>
                        <w:lang w:val="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ABB58">
    <w:pPr>
      <w:pStyle w:val="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9C8AD">
    <w:pPr>
      <w:pStyle w:val="5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1044F">
    <w:pPr>
      <w:pStyle w:val="9"/>
      <w:pBdr>
        <w:bottom w:val="none" w:color="auto" w:sz="0" w:space="1"/>
      </w:pBdr>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418AF">
    <w:pPr>
      <w:pStyle w:val="56"/>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A009E">
    <w:pPr>
      <w:pStyle w:val="5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747F9">
    <w:pPr>
      <w:pStyle w:val="56"/>
      <w:jc w:val="left"/>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7D9E">
    <w:pPr>
      <w:pStyle w:val="5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DD452">
    <w:pPr>
      <w:pStyle w:val="56"/>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CB9B">
    <w:pPr>
      <w:pStyle w:val="57"/>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6966E">
    <w:pPr>
      <w:pStyle w:val="56"/>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D3FEA"/>
    <w:multiLevelType w:val="multilevel"/>
    <w:tmpl w:val="07ED3FEA"/>
    <w:lvl w:ilvl="0" w:tentative="0">
      <w:start w:val="1"/>
      <w:numFmt w:val="none"/>
      <w:pStyle w:val="43"/>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Calibri" w:eastAsia="黑体"/>
        <w:b w:val="0"/>
        <w:i w:val="0"/>
        <w:sz w:val="21"/>
      </w:rPr>
    </w:lvl>
    <w:lvl w:ilvl="2" w:tentative="0">
      <w:start w:val="1"/>
      <w:numFmt w:val="decimal"/>
      <w:suff w:val="nothing"/>
      <w:lvlText w:val="%10.%2.%3 "/>
      <w:lvlJc w:val="left"/>
      <w:pPr>
        <w:ind w:left="0" w:firstLine="0"/>
      </w:pPr>
      <w:rPr>
        <w:rFonts w:hint="eastAsia" w:ascii="黑体" w:hAnsi="Calibri" w:eastAsia="黑体"/>
        <w:b w:val="0"/>
        <w:i w:val="0"/>
        <w:sz w:val="21"/>
      </w:rPr>
    </w:lvl>
    <w:lvl w:ilvl="3" w:tentative="0">
      <w:start w:val="1"/>
      <w:numFmt w:val="decimal"/>
      <w:suff w:val="nothing"/>
      <w:lvlText w:val="%10.%2.%3.%4 "/>
      <w:lvlJc w:val="left"/>
      <w:pPr>
        <w:ind w:left="0" w:firstLine="0"/>
      </w:pPr>
      <w:rPr>
        <w:rFonts w:hint="eastAsia" w:ascii="黑体" w:hAnsi="Calibri" w:eastAsia="黑体"/>
        <w:b w:val="0"/>
        <w:i w:val="0"/>
        <w:sz w:val="21"/>
      </w:rPr>
    </w:lvl>
    <w:lvl w:ilvl="4" w:tentative="0">
      <w:start w:val="1"/>
      <w:numFmt w:val="decimal"/>
      <w:suff w:val="nothing"/>
      <w:lvlText w:val="%10.%2.%3.%4.%5 "/>
      <w:lvlJc w:val="left"/>
      <w:pPr>
        <w:ind w:left="0" w:firstLine="0"/>
      </w:pPr>
      <w:rPr>
        <w:rFonts w:hint="eastAsia" w:ascii="黑体" w:hAnsi="Calibri" w:eastAsia="黑体"/>
        <w:b w:val="0"/>
        <w:i w:val="0"/>
        <w:sz w:val="21"/>
      </w:rPr>
    </w:lvl>
    <w:lvl w:ilvl="5" w:tentative="0">
      <w:start w:val="1"/>
      <w:numFmt w:val="decimal"/>
      <w:suff w:val="nothing"/>
      <w:lvlText w:val="%10.%2.%3.%4.%5.%6 "/>
      <w:lvlJc w:val="left"/>
      <w:pPr>
        <w:ind w:left="0" w:firstLine="0"/>
      </w:pPr>
      <w:rPr>
        <w:rFonts w:hint="eastAsia" w:ascii="黑体" w:hAnsi="Calibri"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4C50F90"/>
    <w:multiLevelType w:val="multilevel"/>
    <w:tmpl w:val="44C50F90"/>
    <w:lvl w:ilvl="0" w:tentative="0">
      <w:start w:val="1"/>
      <w:numFmt w:val="lowerLetter"/>
      <w:pStyle w:val="49"/>
      <w:lvlText w:val="%1)"/>
      <w:lvlJc w:val="left"/>
      <w:pPr>
        <w:tabs>
          <w:tab w:val="left" w:pos="851"/>
        </w:tabs>
        <w:ind w:left="851" w:hanging="426"/>
      </w:pPr>
      <w:rPr>
        <w:rFonts w:hint="eastAsia" w:ascii="宋体" w:hAnsi="Times New Roman" w:eastAsia="宋体"/>
        <w:sz w:val="21"/>
      </w:rPr>
    </w:lvl>
    <w:lvl w:ilvl="1" w:tentative="0">
      <w:start w:val="1"/>
      <w:numFmt w:val="decimal"/>
      <w:pStyle w:val="5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8802D1C"/>
    <w:multiLevelType w:val="multilevel"/>
    <w:tmpl w:val="48802D1C"/>
    <w:lvl w:ilvl="0" w:tentative="0">
      <w:start w:val="1"/>
      <w:numFmt w:val="upperLetter"/>
      <w:pStyle w:val="51"/>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5603797C"/>
    <w:multiLevelType w:val="multilevel"/>
    <w:tmpl w:val="5603797C"/>
    <w:lvl w:ilvl="0" w:tentative="0">
      <w:start w:val="1"/>
      <w:numFmt w:val="upperLetter"/>
      <w:pStyle w:val="52"/>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57D3FBC"/>
    <w:multiLevelType w:val="multilevel"/>
    <w:tmpl w:val="657D3FBC"/>
    <w:lvl w:ilvl="0" w:tentative="0">
      <w:start w:val="1"/>
      <w:numFmt w:val="upperLetter"/>
      <w:pStyle w:val="53"/>
      <w:suff w:val="nothing"/>
      <w:lvlText w:val="附录%1"/>
      <w:lvlJc w:val="left"/>
      <w:pPr>
        <w:ind w:left="2269" w:firstLine="0"/>
      </w:pPr>
      <w:rPr>
        <w:rFonts w:hint="default" w:ascii="Times New Roman" w:hAnsi="Times New Roman" w:cs="Times New Roman"/>
        <w:spacing w:val="100"/>
      </w:rPr>
    </w:lvl>
    <w:lvl w:ilvl="1" w:tentative="0">
      <w:start w:val="1"/>
      <w:numFmt w:val="decimal"/>
      <w:pStyle w:val="54"/>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5"/>
      <w:suff w:val="nothing"/>
      <w:lvlText w:val="%1%2　"/>
      <w:lvlJc w:val="left"/>
      <w:pPr>
        <w:ind w:left="0" w:firstLine="0"/>
      </w:pPr>
      <w:rPr>
        <w:rFonts w:hint="eastAsia" w:ascii="黑体" w:eastAsia="黑体"/>
        <w:b w:val="0"/>
        <w:i w:val="0"/>
        <w:sz w:val="21"/>
      </w:rPr>
    </w:lvl>
    <w:lvl w:ilvl="2" w:tentative="0">
      <w:start w:val="1"/>
      <w:numFmt w:val="decimal"/>
      <w:pStyle w:val="4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7"/>
      <w:suff w:val="nothing"/>
      <w:lvlText w:val="%1%2.%3.%4　"/>
      <w:lvlJc w:val="left"/>
      <w:pPr>
        <w:ind w:left="0" w:firstLine="0"/>
      </w:pPr>
      <w:rPr>
        <w:rFonts w:hint="eastAsia" w:ascii="黑体" w:eastAsia="黑体"/>
        <w:b w:val="0"/>
        <w:i w:val="0"/>
        <w:sz w:val="21"/>
      </w:rPr>
    </w:lvl>
    <w:lvl w:ilvl="4" w:tentative="0">
      <w:start w:val="1"/>
      <w:numFmt w:val="decimal"/>
      <w:pStyle w:val="4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5"/>
  </w:num>
  <w:num w:numId="3">
    <w:abstractNumId w:val="1"/>
  </w:num>
  <w:num w:numId="4">
    <w:abstractNumId w:val="2"/>
  </w:num>
  <w:num w:numId="5">
    <w:abstractNumId w:val="3"/>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jA3NDW1tDQ3MDE0srBQ0lEKTi0uzszPAykwrgUATdv/zCwAAAA="/>
    <w:docVar w:name="commondata" w:val="eyJoZGlkIjoiNjllYTE1NmZlM2NmYmIzMTA3Y2Q5NDNhMGNkZTFhMzgifQ=="/>
  </w:docVars>
  <w:rsids>
    <w:rsidRoot w:val="00172A27"/>
    <w:rsid w:val="000026B9"/>
    <w:rsid w:val="0000459E"/>
    <w:rsid w:val="00011625"/>
    <w:rsid w:val="000121A4"/>
    <w:rsid w:val="0002049D"/>
    <w:rsid w:val="00021FF8"/>
    <w:rsid w:val="000223CF"/>
    <w:rsid w:val="000223EA"/>
    <w:rsid w:val="000232C9"/>
    <w:rsid w:val="00024CFA"/>
    <w:rsid w:val="00045B39"/>
    <w:rsid w:val="000467F4"/>
    <w:rsid w:val="000575C9"/>
    <w:rsid w:val="00064832"/>
    <w:rsid w:val="00077868"/>
    <w:rsid w:val="000841FC"/>
    <w:rsid w:val="00085284"/>
    <w:rsid w:val="00085E77"/>
    <w:rsid w:val="00086477"/>
    <w:rsid w:val="00086644"/>
    <w:rsid w:val="00086FD9"/>
    <w:rsid w:val="00094BD9"/>
    <w:rsid w:val="000A20E8"/>
    <w:rsid w:val="000A3101"/>
    <w:rsid w:val="000A35A6"/>
    <w:rsid w:val="000A5F03"/>
    <w:rsid w:val="000A763A"/>
    <w:rsid w:val="000B200F"/>
    <w:rsid w:val="000D5D13"/>
    <w:rsid w:val="000D5EF7"/>
    <w:rsid w:val="000E44DD"/>
    <w:rsid w:val="000E4766"/>
    <w:rsid w:val="000F07A1"/>
    <w:rsid w:val="000F7BC9"/>
    <w:rsid w:val="00100FFB"/>
    <w:rsid w:val="00115098"/>
    <w:rsid w:val="00115384"/>
    <w:rsid w:val="00122E66"/>
    <w:rsid w:val="00131634"/>
    <w:rsid w:val="00134C6F"/>
    <w:rsid w:val="00143113"/>
    <w:rsid w:val="00151D94"/>
    <w:rsid w:val="00152CF2"/>
    <w:rsid w:val="00152DE2"/>
    <w:rsid w:val="00155577"/>
    <w:rsid w:val="00166D42"/>
    <w:rsid w:val="001816B3"/>
    <w:rsid w:val="00181EDD"/>
    <w:rsid w:val="00182A83"/>
    <w:rsid w:val="00185EFC"/>
    <w:rsid w:val="00187620"/>
    <w:rsid w:val="00191B91"/>
    <w:rsid w:val="00194978"/>
    <w:rsid w:val="00196275"/>
    <w:rsid w:val="00196A4C"/>
    <w:rsid w:val="00196AAD"/>
    <w:rsid w:val="001B3652"/>
    <w:rsid w:val="001C448F"/>
    <w:rsid w:val="001D04B2"/>
    <w:rsid w:val="001D2732"/>
    <w:rsid w:val="001D425E"/>
    <w:rsid w:val="001D49AD"/>
    <w:rsid w:val="001E072C"/>
    <w:rsid w:val="001E0932"/>
    <w:rsid w:val="001E4580"/>
    <w:rsid w:val="001E7E4F"/>
    <w:rsid w:val="00200AB1"/>
    <w:rsid w:val="00204426"/>
    <w:rsid w:val="0021116B"/>
    <w:rsid w:val="00211DB7"/>
    <w:rsid w:val="00212C72"/>
    <w:rsid w:val="00213D29"/>
    <w:rsid w:val="00215D2D"/>
    <w:rsid w:val="00222B54"/>
    <w:rsid w:val="00224CF9"/>
    <w:rsid w:val="0022598A"/>
    <w:rsid w:val="0022702F"/>
    <w:rsid w:val="00227CBD"/>
    <w:rsid w:val="002344F0"/>
    <w:rsid w:val="002347B3"/>
    <w:rsid w:val="002347DD"/>
    <w:rsid w:val="00235764"/>
    <w:rsid w:val="00242AC7"/>
    <w:rsid w:val="00244636"/>
    <w:rsid w:val="002508A9"/>
    <w:rsid w:val="00253C1C"/>
    <w:rsid w:val="002547DE"/>
    <w:rsid w:val="002552C1"/>
    <w:rsid w:val="00255CA0"/>
    <w:rsid w:val="00270286"/>
    <w:rsid w:val="00272447"/>
    <w:rsid w:val="00285DEA"/>
    <w:rsid w:val="00291659"/>
    <w:rsid w:val="002A1D9F"/>
    <w:rsid w:val="002B2F49"/>
    <w:rsid w:val="002B36C4"/>
    <w:rsid w:val="002B503D"/>
    <w:rsid w:val="002B7A50"/>
    <w:rsid w:val="002C2FA1"/>
    <w:rsid w:val="002C35B2"/>
    <w:rsid w:val="002C4E16"/>
    <w:rsid w:val="002D05F7"/>
    <w:rsid w:val="002D5B59"/>
    <w:rsid w:val="002E5E4A"/>
    <w:rsid w:val="002F2FA5"/>
    <w:rsid w:val="002F3CA2"/>
    <w:rsid w:val="002F7D15"/>
    <w:rsid w:val="00305BCC"/>
    <w:rsid w:val="00306AE0"/>
    <w:rsid w:val="00315DA5"/>
    <w:rsid w:val="00316A9B"/>
    <w:rsid w:val="00322992"/>
    <w:rsid w:val="00342D7F"/>
    <w:rsid w:val="0034497A"/>
    <w:rsid w:val="0034591E"/>
    <w:rsid w:val="00354B2C"/>
    <w:rsid w:val="00364312"/>
    <w:rsid w:val="00370570"/>
    <w:rsid w:val="003778B0"/>
    <w:rsid w:val="00377A55"/>
    <w:rsid w:val="00390EF9"/>
    <w:rsid w:val="00391376"/>
    <w:rsid w:val="00391560"/>
    <w:rsid w:val="003A16B9"/>
    <w:rsid w:val="003A3CD8"/>
    <w:rsid w:val="003A4CA8"/>
    <w:rsid w:val="003B172B"/>
    <w:rsid w:val="003C1F3A"/>
    <w:rsid w:val="003C7568"/>
    <w:rsid w:val="003C7907"/>
    <w:rsid w:val="003D140B"/>
    <w:rsid w:val="003D20BE"/>
    <w:rsid w:val="003D30B8"/>
    <w:rsid w:val="003E0D02"/>
    <w:rsid w:val="003E3B49"/>
    <w:rsid w:val="003E3DE1"/>
    <w:rsid w:val="003E73CB"/>
    <w:rsid w:val="003F3364"/>
    <w:rsid w:val="003F6207"/>
    <w:rsid w:val="00410193"/>
    <w:rsid w:val="00412195"/>
    <w:rsid w:val="0041589D"/>
    <w:rsid w:val="00416F78"/>
    <w:rsid w:val="0042133A"/>
    <w:rsid w:val="0042710B"/>
    <w:rsid w:val="00427B44"/>
    <w:rsid w:val="00433902"/>
    <w:rsid w:val="00434EBE"/>
    <w:rsid w:val="004407FE"/>
    <w:rsid w:val="00443678"/>
    <w:rsid w:val="004444BA"/>
    <w:rsid w:val="004462A7"/>
    <w:rsid w:val="00447C53"/>
    <w:rsid w:val="004505D4"/>
    <w:rsid w:val="00451A1C"/>
    <w:rsid w:val="00454042"/>
    <w:rsid w:val="00460A40"/>
    <w:rsid w:val="00462E96"/>
    <w:rsid w:val="00463A17"/>
    <w:rsid w:val="004679D5"/>
    <w:rsid w:val="00472B53"/>
    <w:rsid w:val="00472C43"/>
    <w:rsid w:val="004764C2"/>
    <w:rsid w:val="00477241"/>
    <w:rsid w:val="00477BE0"/>
    <w:rsid w:val="00487125"/>
    <w:rsid w:val="0049112B"/>
    <w:rsid w:val="004A1556"/>
    <w:rsid w:val="004A5F25"/>
    <w:rsid w:val="004B06CB"/>
    <w:rsid w:val="004B0D77"/>
    <w:rsid w:val="004B4E48"/>
    <w:rsid w:val="004B787D"/>
    <w:rsid w:val="004C366E"/>
    <w:rsid w:val="004C4273"/>
    <w:rsid w:val="004C6728"/>
    <w:rsid w:val="004D0326"/>
    <w:rsid w:val="004D0B11"/>
    <w:rsid w:val="004D1FF6"/>
    <w:rsid w:val="004D39BA"/>
    <w:rsid w:val="004E4DD6"/>
    <w:rsid w:val="004E5501"/>
    <w:rsid w:val="004F2546"/>
    <w:rsid w:val="004F57B7"/>
    <w:rsid w:val="00501FAE"/>
    <w:rsid w:val="005046AE"/>
    <w:rsid w:val="005136BF"/>
    <w:rsid w:val="005201C3"/>
    <w:rsid w:val="0052398B"/>
    <w:rsid w:val="00526041"/>
    <w:rsid w:val="00527D14"/>
    <w:rsid w:val="00533657"/>
    <w:rsid w:val="005359DA"/>
    <w:rsid w:val="00540C01"/>
    <w:rsid w:val="00544F55"/>
    <w:rsid w:val="00554535"/>
    <w:rsid w:val="00562A49"/>
    <w:rsid w:val="00580BB8"/>
    <w:rsid w:val="005815F7"/>
    <w:rsid w:val="00591AB0"/>
    <w:rsid w:val="005943F8"/>
    <w:rsid w:val="0059616D"/>
    <w:rsid w:val="005A32C0"/>
    <w:rsid w:val="005A3AE1"/>
    <w:rsid w:val="005A3E71"/>
    <w:rsid w:val="005A62F9"/>
    <w:rsid w:val="005A6C71"/>
    <w:rsid w:val="005B36AE"/>
    <w:rsid w:val="005B394D"/>
    <w:rsid w:val="005C5408"/>
    <w:rsid w:val="005D1425"/>
    <w:rsid w:val="005D254A"/>
    <w:rsid w:val="005D25AF"/>
    <w:rsid w:val="005D3454"/>
    <w:rsid w:val="005D4487"/>
    <w:rsid w:val="005E6214"/>
    <w:rsid w:val="005F0A66"/>
    <w:rsid w:val="005F11DC"/>
    <w:rsid w:val="005F2070"/>
    <w:rsid w:val="006005E6"/>
    <w:rsid w:val="00601BD8"/>
    <w:rsid w:val="0060436C"/>
    <w:rsid w:val="00622142"/>
    <w:rsid w:val="0062624C"/>
    <w:rsid w:val="00632E64"/>
    <w:rsid w:val="0063572B"/>
    <w:rsid w:val="006367B1"/>
    <w:rsid w:val="006372F3"/>
    <w:rsid w:val="00640D9C"/>
    <w:rsid w:val="00640F74"/>
    <w:rsid w:val="0064206D"/>
    <w:rsid w:val="00642AAC"/>
    <w:rsid w:val="006431FD"/>
    <w:rsid w:val="00646CB2"/>
    <w:rsid w:val="00650DF2"/>
    <w:rsid w:val="00655321"/>
    <w:rsid w:val="0067238D"/>
    <w:rsid w:val="006763D4"/>
    <w:rsid w:val="00681686"/>
    <w:rsid w:val="00685005"/>
    <w:rsid w:val="0068514F"/>
    <w:rsid w:val="0069501A"/>
    <w:rsid w:val="006A030E"/>
    <w:rsid w:val="006A724A"/>
    <w:rsid w:val="006C47FA"/>
    <w:rsid w:val="006E6165"/>
    <w:rsid w:val="006F06BD"/>
    <w:rsid w:val="00705D40"/>
    <w:rsid w:val="007067C3"/>
    <w:rsid w:val="00710796"/>
    <w:rsid w:val="007138FD"/>
    <w:rsid w:val="00722BB4"/>
    <w:rsid w:val="00723054"/>
    <w:rsid w:val="00723C67"/>
    <w:rsid w:val="00735D67"/>
    <w:rsid w:val="00737F85"/>
    <w:rsid w:val="00747833"/>
    <w:rsid w:val="00756BD7"/>
    <w:rsid w:val="0076074C"/>
    <w:rsid w:val="00764DD0"/>
    <w:rsid w:val="00765B3A"/>
    <w:rsid w:val="00780C98"/>
    <w:rsid w:val="00786E13"/>
    <w:rsid w:val="007900DC"/>
    <w:rsid w:val="00791EAF"/>
    <w:rsid w:val="00792E7F"/>
    <w:rsid w:val="0079796A"/>
    <w:rsid w:val="007A3127"/>
    <w:rsid w:val="007A5D16"/>
    <w:rsid w:val="007C2FA8"/>
    <w:rsid w:val="007C32AC"/>
    <w:rsid w:val="007E2ED8"/>
    <w:rsid w:val="007F171C"/>
    <w:rsid w:val="007F4A1C"/>
    <w:rsid w:val="007F56B1"/>
    <w:rsid w:val="00800F10"/>
    <w:rsid w:val="00801004"/>
    <w:rsid w:val="00817D4F"/>
    <w:rsid w:val="008218B0"/>
    <w:rsid w:val="00822AB3"/>
    <w:rsid w:val="00831BE8"/>
    <w:rsid w:val="00831EA8"/>
    <w:rsid w:val="00845C1E"/>
    <w:rsid w:val="008518B5"/>
    <w:rsid w:val="00861D72"/>
    <w:rsid w:val="00867D1D"/>
    <w:rsid w:val="00873293"/>
    <w:rsid w:val="00880D39"/>
    <w:rsid w:val="00881CCA"/>
    <w:rsid w:val="00882F90"/>
    <w:rsid w:val="008B1A46"/>
    <w:rsid w:val="008B28B8"/>
    <w:rsid w:val="008B53A3"/>
    <w:rsid w:val="008B5E84"/>
    <w:rsid w:val="008C034C"/>
    <w:rsid w:val="008C752C"/>
    <w:rsid w:val="008D1F31"/>
    <w:rsid w:val="008D2730"/>
    <w:rsid w:val="008F26BE"/>
    <w:rsid w:val="008F7A45"/>
    <w:rsid w:val="00902C7E"/>
    <w:rsid w:val="0090635C"/>
    <w:rsid w:val="00906973"/>
    <w:rsid w:val="0091174F"/>
    <w:rsid w:val="00911C7A"/>
    <w:rsid w:val="0091740B"/>
    <w:rsid w:val="0091768E"/>
    <w:rsid w:val="00920653"/>
    <w:rsid w:val="009243B6"/>
    <w:rsid w:val="00925D68"/>
    <w:rsid w:val="0092694A"/>
    <w:rsid w:val="00927A87"/>
    <w:rsid w:val="00936C40"/>
    <w:rsid w:val="00943D9B"/>
    <w:rsid w:val="009455BC"/>
    <w:rsid w:val="009477BF"/>
    <w:rsid w:val="009579C0"/>
    <w:rsid w:val="009621F2"/>
    <w:rsid w:val="009663DB"/>
    <w:rsid w:val="00967F69"/>
    <w:rsid w:val="009726FD"/>
    <w:rsid w:val="00976747"/>
    <w:rsid w:val="009858D2"/>
    <w:rsid w:val="0098686D"/>
    <w:rsid w:val="00992178"/>
    <w:rsid w:val="00995234"/>
    <w:rsid w:val="009976AB"/>
    <w:rsid w:val="009A36B1"/>
    <w:rsid w:val="009A7714"/>
    <w:rsid w:val="009A7F16"/>
    <w:rsid w:val="009B379E"/>
    <w:rsid w:val="009B5456"/>
    <w:rsid w:val="009B7029"/>
    <w:rsid w:val="009B7C10"/>
    <w:rsid w:val="009D273B"/>
    <w:rsid w:val="009E0027"/>
    <w:rsid w:val="009E0BA6"/>
    <w:rsid w:val="009F0C49"/>
    <w:rsid w:val="009F3D0F"/>
    <w:rsid w:val="009F6ED5"/>
    <w:rsid w:val="00A00982"/>
    <w:rsid w:val="00A00D13"/>
    <w:rsid w:val="00A0550B"/>
    <w:rsid w:val="00A06BDE"/>
    <w:rsid w:val="00A06D37"/>
    <w:rsid w:val="00A07DFE"/>
    <w:rsid w:val="00A13C52"/>
    <w:rsid w:val="00A1485E"/>
    <w:rsid w:val="00A156EE"/>
    <w:rsid w:val="00A17BA9"/>
    <w:rsid w:val="00A24C20"/>
    <w:rsid w:val="00A26F00"/>
    <w:rsid w:val="00A30678"/>
    <w:rsid w:val="00A3154F"/>
    <w:rsid w:val="00A31E7B"/>
    <w:rsid w:val="00A33271"/>
    <w:rsid w:val="00A3531C"/>
    <w:rsid w:val="00A36AC7"/>
    <w:rsid w:val="00A3781D"/>
    <w:rsid w:val="00A42BF5"/>
    <w:rsid w:val="00A53AAE"/>
    <w:rsid w:val="00A5566C"/>
    <w:rsid w:val="00A60672"/>
    <w:rsid w:val="00A63B6F"/>
    <w:rsid w:val="00A67EF9"/>
    <w:rsid w:val="00A7072C"/>
    <w:rsid w:val="00A70CEE"/>
    <w:rsid w:val="00A73CA3"/>
    <w:rsid w:val="00AA24E8"/>
    <w:rsid w:val="00AA36EF"/>
    <w:rsid w:val="00AA5108"/>
    <w:rsid w:val="00AA71AD"/>
    <w:rsid w:val="00AB1C22"/>
    <w:rsid w:val="00AB6730"/>
    <w:rsid w:val="00AB68F3"/>
    <w:rsid w:val="00AC13CB"/>
    <w:rsid w:val="00AD185F"/>
    <w:rsid w:val="00AD25CB"/>
    <w:rsid w:val="00AD34F4"/>
    <w:rsid w:val="00AD652E"/>
    <w:rsid w:val="00AF2C3E"/>
    <w:rsid w:val="00AF3B9B"/>
    <w:rsid w:val="00AF46E9"/>
    <w:rsid w:val="00AF5A58"/>
    <w:rsid w:val="00AF7637"/>
    <w:rsid w:val="00B06F8E"/>
    <w:rsid w:val="00B16452"/>
    <w:rsid w:val="00B2361A"/>
    <w:rsid w:val="00B3207B"/>
    <w:rsid w:val="00B35E76"/>
    <w:rsid w:val="00B3738F"/>
    <w:rsid w:val="00B4117E"/>
    <w:rsid w:val="00B419E8"/>
    <w:rsid w:val="00B42D51"/>
    <w:rsid w:val="00B440FC"/>
    <w:rsid w:val="00B47418"/>
    <w:rsid w:val="00B47CC0"/>
    <w:rsid w:val="00B63817"/>
    <w:rsid w:val="00B65D09"/>
    <w:rsid w:val="00B66DBC"/>
    <w:rsid w:val="00B71B66"/>
    <w:rsid w:val="00B81B6B"/>
    <w:rsid w:val="00B8397F"/>
    <w:rsid w:val="00B83A7D"/>
    <w:rsid w:val="00B8545F"/>
    <w:rsid w:val="00B91F82"/>
    <w:rsid w:val="00B953F2"/>
    <w:rsid w:val="00B95935"/>
    <w:rsid w:val="00B9643B"/>
    <w:rsid w:val="00BA0285"/>
    <w:rsid w:val="00BA35E3"/>
    <w:rsid w:val="00BA7F7C"/>
    <w:rsid w:val="00BB197D"/>
    <w:rsid w:val="00BC223C"/>
    <w:rsid w:val="00BC7ACC"/>
    <w:rsid w:val="00BD0656"/>
    <w:rsid w:val="00BD32F2"/>
    <w:rsid w:val="00BD44AD"/>
    <w:rsid w:val="00BD45BC"/>
    <w:rsid w:val="00BD482D"/>
    <w:rsid w:val="00BD79BE"/>
    <w:rsid w:val="00BD7B1A"/>
    <w:rsid w:val="00BF447A"/>
    <w:rsid w:val="00C03793"/>
    <w:rsid w:val="00C050CC"/>
    <w:rsid w:val="00C05EEC"/>
    <w:rsid w:val="00C15CC1"/>
    <w:rsid w:val="00C22D33"/>
    <w:rsid w:val="00C23A91"/>
    <w:rsid w:val="00C251D9"/>
    <w:rsid w:val="00C308FF"/>
    <w:rsid w:val="00C32D19"/>
    <w:rsid w:val="00C41E75"/>
    <w:rsid w:val="00C43C08"/>
    <w:rsid w:val="00C44659"/>
    <w:rsid w:val="00C46500"/>
    <w:rsid w:val="00C51726"/>
    <w:rsid w:val="00C63F09"/>
    <w:rsid w:val="00C65E3C"/>
    <w:rsid w:val="00C71DC3"/>
    <w:rsid w:val="00C7568F"/>
    <w:rsid w:val="00C803A5"/>
    <w:rsid w:val="00C85045"/>
    <w:rsid w:val="00C9567F"/>
    <w:rsid w:val="00C9633B"/>
    <w:rsid w:val="00C96BFF"/>
    <w:rsid w:val="00CA2BCD"/>
    <w:rsid w:val="00CB7D28"/>
    <w:rsid w:val="00CC0874"/>
    <w:rsid w:val="00CC1CBC"/>
    <w:rsid w:val="00CD2785"/>
    <w:rsid w:val="00CD7893"/>
    <w:rsid w:val="00CE3331"/>
    <w:rsid w:val="00CE670B"/>
    <w:rsid w:val="00CE6906"/>
    <w:rsid w:val="00CE7320"/>
    <w:rsid w:val="00CF6039"/>
    <w:rsid w:val="00D02A61"/>
    <w:rsid w:val="00D031EA"/>
    <w:rsid w:val="00D14668"/>
    <w:rsid w:val="00D175DC"/>
    <w:rsid w:val="00D20A2D"/>
    <w:rsid w:val="00D212FA"/>
    <w:rsid w:val="00D24AD9"/>
    <w:rsid w:val="00D35C76"/>
    <w:rsid w:val="00D43698"/>
    <w:rsid w:val="00D4434A"/>
    <w:rsid w:val="00D507F5"/>
    <w:rsid w:val="00D53168"/>
    <w:rsid w:val="00D56236"/>
    <w:rsid w:val="00D569D2"/>
    <w:rsid w:val="00D57084"/>
    <w:rsid w:val="00D604E2"/>
    <w:rsid w:val="00D64F6D"/>
    <w:rsid w:val="00D80017"/>
    <w:rsid w:val="00D87BEB"/>
    <w:rsid w:val="00DA0308"/>
    <w:rsid w:val="00DA17C9"/>
    <w:rsid w:val="00DA3E35"/>
    <w:rsid w:val="00DB4EC0"/>
    <w:rsid w:val="00DC0955"/>
    <w:rsid w:val="00DC793A"/>
    <w:rsid w:val="00DD0C5F"/>
    <w:rsid w:val="00DD49CD"/>
    <w:rsid w:val="00DE0A71"/>
    <w:rsid w:val="00DE0E29"/>
    <w:rsid w:val="00DF0A75"/>
    <w:rsid w:val="00DF3269"/>
    <w:rsid w:val="00DF5343"/>
    <w:rsid w:val="00DF71E5"/>
    <w:rsid w:val="00E034C3"/>
    <w:rsid w:val="00E04500"/>
    <w:rsid w:val="00E100D7"/>
    <w:rsid w:val="00E10E90"/>
    <w:rsid w:val="00E218F3"/>
    <w:rsid w:val="00E226F2"/>
    <w:rsid w:val="00E2276E"/>
    <w:rsid w:val="00E27E47"/>
    <w:rsid w:val="00E309E9"/>
    <w:rsid w:val="00E321D8"/>
    <w:rsid w:val="00E36752"/>
    <w:rsid w:val="00E40037"/>
    <w:rsid w:val="00E40EA9"/>
    <w:rsid w:val="00E4542C"/>
    <w:rsid w:val="00E464EC"/>
    <w:rsid w:val="00E729FE"/>
    <w:rsid w:val="00E75B02"/>
    <w:rsid w:val="00E762B1"/>
    <w:rsid w:val="00E84EE0"/>
    <w:rsid w:val="00E86237"/>
    <w:rsid w:val="00E87D04"/>
    <w:rsid w:val="00E9445D"/>
    <w:rsid w:val="00E95BD3"/>
    <w:rsid w:val="00E966CD"/>
    <w:rsid w:val="00EA42E6"/>
    <w:rsid w:val="00EA572B"/>
    <w:rsid w:val="00EA5DCA"/>
    <w:rsid w:val="00EA67A3"/>
    <w:rsid w:val="00EB466B"/>
    <w:rsid w:val="00EC2025"/>
    <w:rsid w:val="00EE20FD"/>
    <w:rsid w:val="00EE4FAA"/>
    <w:rsid w:val="00EE5118"/>
    <w:rsid w:val="00EE70D1"/>
    <w:rsid w:val="00EF5A97"/>
    <w:rsid w:val="00EF7A86"/>
    <w:rsid w:val="00F015EF"/>
    <w:rsid w:val="00F07C08"/>
    <w:rsid w:val="00F132A7"/>
    <w:rsid w:val="00F20A11"/>
    <w:rsid w:val="00F32283"/>
    <w:rsid w:val="00F32FC7"/>
    <w:rsid w:val="00F330C3"/>
    <w:rsid w:val="00F34728"/>
    <w:rsid w:val="00F37839"/>
    <w:rsid w:val="00F37AA0"/>
    <w:rsid w:val="00F421AC"/>
    <w:rsid w:val="00F4367E"/>
    <w:rsid w:val="00F44DF5"/>
    <w:rsid w:val="00F5164F"/>
    <w:rsid w:val="00F53B53"/>
    <w:rsid w:val="00F602CB"/>
    <w:rsid w:val="00F62123"/>
    <w:rsid w:val="00F62628"/>
    <w:rsid w:val="00F6458C"/>
    <w:rsid w:val="00F717F6"/>
    <w:rsid w:val="00F71902"/>
    <w:rsid w:val="00F7433C"/>
    <w:rsid w:val="00F86114"/>
    <w:rsid w:val="00F92D44"/>
    <w:rsid w:val="00F951AE"/>
    <w:rsid w:val="00FA30DF"/>
    <w:rsid w:val="00FA5710"/>
    <w:rsid w:val="00FB0178"/>
    <w:rsid w:val="00FB030A"/>
    <w:rsid w:val="00FB0F7B"/>
    <w:rsid w:val="00FB4547"/>
    <w:rsid w:val="00FB61C3"/>
    <w:rsid w:val="00FE3EEB"/>
    <w:rsid w:val="00FE5115"/>
    <w:rsid w:val="00FE7EDD"/>
    <w:rsid w:val="00FF5578"/>
    <w:rsid w:val="01215FB6"/>
    <w:rsid w:val="01913FB9"/>
    <w:rsid w:val="02195805"/>
    <w:rsid w:val="022B0E5C"/>
    <w:rsid w:val="0257299E"/>
    <w:rsid w:val="02E1776D"/>
    <w:rsid w:val="03603A91"/>
    <w:rsid w:val="03D64DF8"/>
    <w:rsid w:val="050634BB"/>
    <w:rsid w:val="05850883"/>
    <w:rsid w:val="05D71EE1"/>
    <w:rsid w:val="06620BC5"/>
    <w:rsid w:val="078B414B"/>
    <w:rsid w:val="083D3697"/>
    <w:rsid w:val="08856B8C"/>
    <w:rsid w:val="09815806"/>
    <w:rsid w:val="0A1B17B6"/>
    <w:rsid w:val="0A6F565E"/>
    <w:rsid w:val="0B113010"/>
    <w:rsid w:val="0B7D3DAB"/>
    <w:rsid w:val="0B945BEF"/>
    <w:rsid w:val="0BDB13BB"/>
    <w:rsid w:val="0C344DB1"/>
    <w:rsid w:val="0C632FA1"/>
    <w:rsid w:val="0D332FB3"/>
    <w:rsid w:val="0DAD4E1B"/>
    <w:rsid w:val="0DD0450D"/>
    <w:rsid w:val="0FBC2D1E"/>
    <w:rsid w:val="10125409"/>
    <w:rsid w:val="10183FC4"/>
    <w:rsid w:val="10993662"/>
    <w:rsid w:val="10FD1C16"/>
    <w:rsid w:val="11292A0B"/>
    <w:rsid w:val="118B5473"/>
    <w:rsid w:val="128D6FC9"/>
    <w:rsid w:val="13207E3D"/>
    <w:rsid w:val="13385187"/>
    <w:rsid w:val="14432035"/>
    <w:rsid w:val="147F2942"/>
    <w:rsid w:val="14FD0F64"/>
    <w:rsid w:val="15C251DC"/>
    <w:rsid w:val="166A7DB4"/>
    <w:rsid w:val="169F376F"/>
    <w:rsid w:val="182E0907"/>
    <w:rsid w:val="196B4F3A"/>
    <w:rsid w:val="1A004525"/>
    <w:rsid w:val="1B4909F4"/>
    <w:rsid w:val="1C177904"/>
    <w:rsid w:val="1C6E1C1A"/>
    <w:rsid w:val="1C8C02F2"/>
    <w:rsid w:val="1C9E2F2B"/>
    <w:rsid w:val="1DF919B7"/>
    <w:rsid w:val="1EFA59E6"/>
    <w:rsid w:val="20C20786"/>
    <w:rsid w:val="216E75E5"/>
    <w:rsid w:val="21F04DE8"/>
    <w:rsid w:val="21F724EE"/>
    <w:rsid w:val="220D77DF"/>
    <w:rsid w:val="2236120F"/>
    <w:rsid w:val="23FF584D"/>
    <w:rsid w:val="240927AD"/>
    <w:rsid w:val="24651B54"/>
    <w:rsid w:val="24B44889"/>
    <w:rsid w:val="2500187D"/>
    <w:rsid w:val="25616E98"/>
    <w:rsid w:val="25727B50"/>
    <w:rsid w:val="26213625"/>
    <w:rsid w:val="26AC26D3"/>
    <w:rsid w:val="274C2B57"/>
    <w:rsid w:val="290C6A42"/>
    <w:rsid w:val="29211DC2"/>
    <w:rsid w:val="29D532D8"/>
    <w:rsid w:val="2AA93E47"/>
    <w:rsid w:val="2ADC0696"/>
    <w:rsid w:val="2BFE33B8"/>
    <w:rsid w:val="2C406468"/>
    <w:rsid w:val="2C8D7E9A"/>
    <w:rsid w:val="2CE322DA"/>
    <w:rsid w:val="2D3B5B48"/>
    <w:rsid w:val="2D8D3ECA"/>
    <w:rsid w:val="2E293936"/>
    <w:rsid w:val="2E8E7EF9"/>
    <w:rsid w:val="2F2D326E"/>
    <w:rsid w:val="2F7E3ACA"/>
    <w:rsid w:val="2F803CE6"/>
    <w:rsid w:val="2FDA5B1C"/>
    <w:rsid w:val="30907F59"/>
    <w:rsid w:val="30C45E54"/>
    <w:rsid w:val="30DD2A72"/>
    <w:rsid w:val="31965DB2"/>
    <w:rsid w:val="31FE08CF"/>
    <w:rsid w:val="323D5EBE"/>
    <w:rsid w:val="33BB2208"/>
    <w:rsid w:val="348953EB"/>
    <w:rsid w:val="354632DC"/>
    <w:rsid w:val="37134D04"/>
    <w:rsid w:val="371C452D"/>
    <w:rsid w:val="373508A1"/>
    <w:rsid w:val="37AB38CA"/>
    <w:rsid w:val="37BF7375"/>
    <w:rsid w:val="38341B11"/>
    <w:rsid w:val="38663A14"/>
    <w:rsid w:val="38AA3B82"/>
    <w:rsid w:val="38CC1D4A"/>
    <w:rsid w:val="39BA6046"/>
    <w:rsid w:val="3A287FFA"/>
    <w:rsid w:val="3B9052B1"/>
    <w:rsid w:val="3BA352BE"/>
    <w:rsid w:val="3BB23479"/>
    <w:rsid w:val="3BC3758B"/>
    <w:rsid w:val="3CF90C34"/>
    <w:rsid w:val="3DB66B25"/>
    <w:rsid w:val="3E012496"/>
    <w:rsid w:val="3E155F41"/>
    <w:rsid w:val="3E213750"/>
    <w:rsid w:val="3F8C2233"/>
    <w:rsid w:val="3FBD419A"/>
    <w:rsid w:val="3FD132AD"/>
    <w:rsid w:val="420267DC"/>
    <w:rsid w:val="44142F4A"/>
    <w:rsid w:val="443609BF"/>
    <w:rsid w:val="44BA15F0"/>
    <w:rsid w:val="45034D45"/>
    <w:rsid w:val="45837C34"/>
    <w:rsid w:val="45F36B68"/>
    <w:rsid w:val="46C823CD"/>
    <w:rsid w:val="46D0332E"/>
    <w:rsid w:val="46E666CD"/>
    <w:rsid w:val="48301FD6"/>
    <w:rsid w:val="48DE1EE7"/>
    <w:rsid w:val="4941408E"/>
    <w:rsid w:val="498B5309"/>
    <w:rsid w:val="49915C40"/>
    <w:rsid w:val="4AAE7501"/>
    <w:rsid w:val="4BFCC419"/>
    <w:rsid w:val="4D183358"/>
    <w:rsid w:val="4D5246DB"/>
    <w:rsid w:val="4EE31744"/>
    <w:rsid w:val="4EE36D28"/>
    <w:rsid w:val="4F2204BE"/>
    <w:rsid w:val="4F4040E5"/>
    <w:rsid w:val="50047BC4"/>
    <w:rsid w:val="51D610EC"/>
    <w:rsid w:val="52052DD0"/>
    <w:rsid w:val="520E2B94"/>
    <w:rsid w:val="528B637A"/>
    <w:rsid w:val="52F23B2B"/>
    <w:rsid w:val="542D49AA"/>
    <w:rsid w:val="54801040"/>
    <w:rsid w:val="54992FD0"/>
    <w:rsid w:val="54DA5642"/>
    <w:rsid w:val="55BF6A67"/>
    <w:rsid w:val="55F915DE"/>
    <w:rsid w:val="566A72EE"/>
    <w:rsid w:val="56837A94"/>
    <w:rsid w:val="573256AF"/>
    <w:rsid w:val="58C63C68"/>
    <w:rsid w:val="591946E0"/>
    <w:rsid w:val="5A5F2AC3"/>
    <w:rsid w:val="5B2555BE"/>
    <w:rsid w:val="5BA70422"/>
    <w:rsid w:val="5C1F1E23"/>
    <w:rsid w:val="5CAE15E3"/>
    <w:rsid w:val="5E9A6B46"/>
    <w:rsid w:val="5F9B7E31"/>
    <w:rsid w:val="606E3563"/>
    <w:rsid w:val="607C7302"/>
    <w:rsid w:val="608E59B3"/>
    <w:rsid w:val="60FE4BD9"/>
    <w:rsid w:val="61112140"/>
    <w:rsid w:val="61646714"/>
    <w:rsid w:val="61EE6949"/>
    <w:rsid w:val="6211064A"/>
    <w:rsid w:val="62247B9C"/>
    <w:rsid w:val="62857471"/>
    <w:rsid w:val="632048BD"/>
    <w:rsid w:val="63691DC0"/>
    <w:rsid w:val="63F3438F"/>
    <w:rsid w:val="664D3C1B"/>
    <w:rsid w:val="666B1BCA"/>
    <w:rsid w:val="6739419F"/>
    <w:rsid w:val="681349F0"/>
    <w:rsid w:val="6888718C"/>
    <w:rsid w:val="69535168"/>
    <w:rsid w:val="695452C0"/>
    <w:rsid w:val="6A49294B"/>
    <w:rsid w:val="6BF608B1"/>
    <w:rsid w:val="6C42752C"/>
    <w:rsid w:val="6D4B73BB"/>
    <w:rsid w:val="6D836174"/>
    <w:rsid w:val="6ECB7DD2"/>
    <w:rsid w:val="6F40256E"/>
    <w:rsid w:val="6F800BBD"/>
    <w:rsid w:val="6F806E0F"/>
    <w:rsid w:val="6F9208F0"/>
    <w:rsid w:val="70BE53AC"/>
    <w:rsid w:val="70FE623D"/>
    <w:rsid w:val="71926986"/>
    <w:rsid w:val="73F05BE5"/>
    <w:rsid w:val="747607E0"/>
    <w:rsid w:val="7476433D"/>
    <w:rsid w:val="75137DDD"/>
    <w:rsid w:val="758D0E71"/>
    <w:rsid w:val="776B2153"/>
    <w:rsid w:val="77B43AFA"/>
    <w:rsid w:val="783764D9"/>
    <w:rsid w:val="78B04D36"/>
    <w:rsid w:val="78E55F35"/>
    <w:rsid w:val="79BD2A0E"/>
    <w:rsid w:val="7A6208F2"/>
    <w:rsid w:val="7A8A6D94"/>
    <w:rsid w:val="7A9C2623"/>
    <w:rsid w:val="7AC65BFC"/>
    <w:rsid w:val="7C305719"/>
    <w:rsid w:val="7DA10DF3"/>
    <w:rsid w:val="7DAA5057"/>
    <w:rsid w:val="7DED1B13"/>
    <w:rsid w:val="7E8944B1"/>
    <w:rsid w:val="BECA6D96"/>
    <w:rsid w:val="F61BFC7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2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67"/>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8"/>
    <w:semiHidden/>
    <w:unhideWhenUsed/>
    <w:qFormat/>
    <w:locked/>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60"/>
    <w:unhideWhenUsed/>
    <w:qFormat/>
    <w:uiPriority w:val="99"/>
    <w:pPr>
      <w:jc w:val="left"/>
    </w:pPr>
  </w:style>
  <w:style w:type="paragraph" w:styleId="6">
    <w:name w:val="Date"/>
    <w:basedOn w:val="1"/>
    <w:next w:val="1"/>
    <w:link w:val="70"/>
    <w:semiHidden/>
    <w:unhideWhenUsed/>
    <w:qFormat/>
    <w:uiPriority w:val="99"/>
    <w:pPr>
      <w:ind w:left="100" w:leftChars="2500"/>
    </w:pPr>
  </w:style>
  <w:style w:type="paragraph" w:styleId="7">
    <w:name w:val="Balloon Text"/>
    <w:basedOn w:val="1"/>
    <w:link w:val="27"/>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sz w:val="18"/>
      <w:szCs w:val="20"/>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20"/>
    </w:rPr>
  </w:style>
  <w:style w:type="paragraph" w:styleId="10">
    <w:name w:val="toc 1"/>
    <w:basedOn w:val="1"/>
    <w:next w:val="1"/>
    <w:unhideWhenUsed/>
    <w:qFormat/>
    <w:locked/>
    <w:uiPriority w:val="39"/>
    <w:rPr>
      <w:rFonts w:ascii="宋体"/>
    </w:rPr>
  </w:style>
  <w:style w:type="paragraph" w:styleId="11">
    <w:name w:val="Body Text Indent 3"/>
    <w:basedOn w:val="1"/>
    <w:link w:val="26"/>
    <w:qFormat/>
    <w:uiPriority w:val="99"/>
    <w:pPr>
      <w:widowControl/>
      <w:adjustRightInd w:val="0"/>
      <w:snapToGrid w:val="0"/>
      <w:spacing w:line="360" w:lineRule="auto"/>
      <w:ind w:firstLine="555"/>
      <w:jc w:val="left"/>
    </w:pPr>
    <w:rPr>
      <w:sz w:val="28"/>
      <w:szCs w:val="27"/>
    </w:rPr>
  </w:style>
  <w:style w:type="paragraph" w:styleId="12">
    <w:name w:val="toc 2"/>
    <w:basedOn w:val="1"/>
    <w:next w:val="1"/>
    <w:unhideWhenUsed/>
    <w:qFormat/>
    <w:locked/>
    <w:uiPriority w:val="39"/>
    <w:pPr>
      <w:tabs>
        <w:tab w:val="right" w:leader="dot" w:pos="9344"/>
      </w:tabs>
      <w:spacing w:line="300" w:lineRule="exact"/>
      <w:ind w:left="210"/>
    </w:pPr>
    <w:rPr>
      <w:rFonts w:ascii="宋体"/>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5"/>
    <w:next w:val="5"/>
    <w:link w:val="61"/>
    <w:semiHidden/>
    <w:unhideWhenUsed/>
    <w:qFormat/>
    <w:uiPriority w:val="99"/>
    <w:rPr>
      <w:b/>
      <w:bCs/>
    </w:rPr>
  </w:style>
  <w:style w:type="table" w:styleId="16">
    <w:name w:val="Table Grid"/>
    <w:basedOn w:val="15"/>
    <w:qFormat/>
    <w:locked/>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locked/>
    <w:uiPriority w:val="22"/>
    <w:rPr>
      <w:b/>
      <w:bCs/>
    </w:rPr>
  </w:style>
  <w:style w:type="character" w:styleId="19">
    <w:name w:val="Emphasis"/>
    <w:basedOn w:val="17"/>
    <w:qFormat/>
    <w:locked/>
    <w:uiPriority w:val="20"/>
    <w:rPr>
      <w:i/>
      <w:iCs/>
    </w:rPr>
  </w:style>
  <w:style w:type="character" w:styleId="20">
    <w:name w:val="Hyperlink"/>
    <w:qFormat/>
    <w:uiPriority w:val="99"/>
    <w:rPr>
      <w:rFonts w:ascii="宋体" w:hAnsi="Times New Roman" w:eastAsia="宋体"/>
      <w:color w:val="auto"/>
      <w:spacing w:val="0"/>
      <w:w w:val="100"/>
      <w:position w:val="0"/>
      <w:sz w:val="21"/>
      <w:u w:val="none"/>
      <w:vertAlign w:val="baseline"/>
    </w:rPr>
  </w:style>
  <w:style w:type="character" w:styleId="21">
    <w:name w:val="annotation reference"/>
    <w:semiHidden/>
    <w:unhideWhenUsed/>
    <w:qFormat/>
    <w:uiPriority w:val="99"/>
    <w:rPr>
      <w:sz w:val="21"/>
      <w:szCs w:val="21"/>
    </w:rPr>
  </w:style>
  <w:style w:type="character" w:customStyle="1" w:styleId="22">
    <w:name w:val="Footer Char"/>
    <w:qFormat/>
    <w:locked/>
    <w:uiPriority w:val="99"/>
    <w:rPr>
      <w:kern w:val="2"/>
      <w:sz w:val="18"/>
    </w:rPr>
  </w:style>
  <w:style w:type="character" w:customStyle="1" w:styleId="23">
    <w:name w:val="Header Char"/>
    <w:qFormat/>
    <w:locked/>
    <w:uiPriority w:val="99"/>
    <w:rPr>
      <w:kern w:val="2"/>
      <w:sz w:val="18"/>
    </w:rPr>
  </w:style>
  <w:style w:type="character" w:customStyle="1" w:styleId="24">
    <w:name w:val="页眉 字符"/>
    <w:link w:val="9"/>
    <w:semiHidden/>
    <w:qFormat/>
    <w:locked/>
    <w:uiPriority w:val="99"/>
    <w:rPr>
      <w:rFonts w:cs="Times New Roman"/>
      <w:sz w:val="18"/>
      <w:szCs w:val="18"/>
    </w:rPr>
  </w:style>
  <w:style w:type="character" w:customStyle="1" w:styleId="25">
    <w:name w:val="页脚 字符"/>
    <w:link w:val="8"/>
    <w:semiHidden/>
    <w:qFormat/>
    <w:locked/>
    <w:uiPriority w:val="99"/>
    <w:rPr>
      <w:rFonts w:cs="Times New Roman"/>
      <w:sz w:val="18"/>
      <w:szCs w:val="18"/>
    </w:rPr>
  </w:style>
  <w:style w:type="character" w:customStyle="1" w:styleId="26">
    <w:name w:val="正文文本缩进 3 字符"/>
    <w:link w:val="11"/>
    <w:semiHidden/>
    <w:qFormat/>
    <w:locked/>
    <w:uiPriority w:val="99"/>
    <w:rPr>
      <w:rFonts w:cs="Times New Roman"/>
      <w:sz w:val="16"/>
      <w:szCs w:val="16"/>
    </w:rPr>
  </w:style>
  <w:style w:type="character" w:customStyle="1" w:styleId="27">
    <w:name w:val="批注框文本 字符"/>
    <w:link w:val="7"/>
    <w:qFormat/>
    <w:locked/>
    <w:uiPriority w:val="99"/>
    <w:rPr>
      <w:rFonts w:cs="Times New Roman"/>
      <w:kern w:val="2"/>
      <w:sz w:val="18"/>
      <w:szCs w:val="18"/>
    </w:rPr>
  </w:style>
  <w:style w:type="paragraph" w:customStyle="1" w:styleId="28">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30">
    <w:name w:val="标准文件_文件编号"/>
    <w:basedOn w:val="31"/>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3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2">
    <w:name w:val="标准文件_替换文件编号"/>
    <w:basedOn w:val="30"/>
    <w:qFormat/>
    <w:uiPriority w:val="0"/>
    <w:pPr>
      <w:spacing w:before="57"/>
    </w:pPr>
    <w:rPr>
      <w:sz w:val="21"/>
    </w:rPr>
  </w:style>
  <w:style w:type="paragraph" w:customStyle="1" w:styleId="33">
    <w:name w:val="标准文件_文件名称"/>
    <w:basedOn w:val="31"/>
    <w:next w:val="31"/>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34">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35">
    <w:name w:val="其他发布日期"/>
    <w:basedOn w:val="36"/>
    <w:qFormat/>
    <w:uiPriority w:val="0"/>
    <w:pPr>
      <w:framePr w:w="3997" w:h="471" w:hRule="exact" w:hSpace="0" w:vSpace="181" w:wrap="around" w:vAnchor="page" w:hAnchor="page" w:x="1419" w:y="14097"/>
    </w:pPr>
  </w:style>
  <w:style w:type="paragraph" w:customStyle="1" w:styleId="3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7">
    <w:name w:val="其他实施日期"/>
    <w:basedOn w:val="38"/>
    <w:qFormat/>
    <w:uiPriority w:val="0"/>
    <w:pPr>
      <w:framePr w:w="3997" w:h="471" w:hRule="exact" w:vSpace="181" w:wrap="around" w:vAnchor="page" w:hAnchor="page" w:x="7089" w:y="14097"/>
    </w:pPr>
  </w:style>
  <w:style w:type="paragraph" w:customStyle="1" w:styleId="38">
    <w:name w:val="实施日期"/>
    <w:basedOn w:val="36"/>
    <w:qFormat/>
    <w:uiPriority w:val="0"/>
    <w:pPr>
      <w:framePr w:hSpace="0" w:wrap="around" w:xAlign="right"/>
      <w:jc w:val="right"/>
    </w:pPr>
  </w:style>
  <w:style w:type="paragraph" w:customStyle="1" w:styleId="39">
    <w:name w:val="其他发布部门"/>
    <w:basedOn w:val="40"/>
    <w:qFormat/>
    <w:uiPriority w:val="0"/>
    <w:pPr>
      <w:framePr w:wrap="around"/>
      <w:spacing w:line="0" w:lineRule="atLeast"/>
    </w:pPr>
    <w:rPr>
      <w:rFonts w:ascii="黑体" w:eastAsia="黑体"/>
      <w:b w:val="0"/>
    </w:rPr>
  </w:style>
  <w:style w:type="paragraph" w:customStyle="1" w:styleId="40">
    <w:name w:val="发布部门"/>
    <w:next w:val="3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41">
    <w:name w:val="发布"/>
    <w:qFormat/>
    <w:uiPriority w:val="0"/>
    <w:rPr>
      <w:rFonts w:ascii="黑体" w:eastAsia="黑体"/>
      <w:spacing w:val="85"/>
      <w:w w:val="100"/>
      <w:position w:val="3"/>
      <w:sz w:val="28"/>
      <w:szCs w:val="28"/>
    </w:rPr>
  </w:style>
  <w:style w:type="paragraph" w:customStyle="1" w:styleId="42">
    <w:name w:val="标准文件_目录标题"/>
    <w:basedOn w:val="1"/>
    <w:qFormat/>
    <w:uiPriority w:val="0"/>
    <w:pPr>
      <w:spacing w:after="150" w:afterLines="150"/>
      <w:jc w:val="center"/>
    </w:pPr>
    <w:rPr>
      <w:rFonts w:ascii="黑体" w:eastAsia="黑体"/>
      <w:sz w:val="32"/>
    </w:rPr>
  </w:style>
  <w:style w:type="paragraph" w:customStyle="1" w:styleId="43">
    <w:name w:val="标准文件_前言、引言标题"/>
    <w:next w:val="1"/>
    <w:qFormat/>
    <w:uiPriority w:val="0"/>
    <w:pPr>
      <w:numPr>
        <w:ilvl w:val="0"/>
        <w:numId w:val="1"/>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44">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45">
    <w:name w:val="标准文件_章标题"/>
    <w:next w:val="31"/>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6">
    <w:name w:val="标准文件_一级条标题"/>
    <w:basedOn w:val="45"/>
    <w:next w:val="31"/>
    <w:qFormat/>
    <w:uiPriority w:val="0"/>
    <w:pPr>
      <w:numPr>
        <w:ilvl w:val="2"/>
      </w:numPr>
      <w:spacing w:before="50" w:beforeLines="50" w:after="50" w:afterLines="50"/>
      <w:outlineLvl w:val="1"/>
    </w:pPr>
  </w:style>
  <w:style w:type="paragraph" w:customStyle="1" w:styleId="47">
    <w:name w:val="标准文件_二级条标题"/>
    <w:next w:val="31"/>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8">
    <w:name w:val="标准文件_三级条标题"/>
    <w:basedOn w:val="47"/>
    <w:next w:val="31"/>
    <w:qFormat/>
    <w:uiPriority w:val="0"/>
    <w:pPr>
      <w:widowControl/>
      <w:numPr>
        <w:ilvl w:val="4"/>
      </w:numPr>
      <w:outlineLvl w:val="3"/>
    </w:pPr>
  </w:style>
  <w:style w:type="paragraph" w:customStyle="1" w:styleId="49">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50">
    <w:name w:val="标准文件_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51">
    <w:name w:val="标准文件_附录图标号"/>
    <w:basedOn w:val="31"/>
    <w:next w:val="31"/>
    <w:qFormat/>
    <w:uiPriority w:val="0"/>
    <w:pPr>
      <w:numPr>
        <w:ilvl w:val="0"/>
        <w:numId w:val="4"/>
      </w:numPr>
      <w:spacing w:line="14" w:lineRule="exact"/>
      <w:ind w:firstLine="0" w:firstLineChars="0"/>
      <w:jc w:val="center"/>
    </w:pPr>
    <w:rPr>
      <w:rFonts w:ascii="黑体" w:hAnsi="黑体" w:eastAsia="黑体"/>
      <w:vanish/>
      <w:sz w:val="2"/>
      <w:szCs w:val="21"/>
    </w:rPr>
  </w:style>
  <w:style w:type="paragraph" w:customStyle="1" w:styleId="52">
    <w:name w:val="标准文件_附录表标号"/>
    <w:basedOn w:val="31"/>
    <w:next w:val="31"/>
    <w:qFormat/>
    <w:uiPriority w:val="0"/>
    <w:pPr>
      <w:numPr>
        <w:ilvl w:val="0"/>
        <w:numId w:val="5"/>
      </w:numPr>
      <w:spacing w:line="14" w:lineRule="exact"/>
      <w:ind w:firstLine="0" w:firstLineChars="0"/>
      <w:jc w:val="center"/>
    </w:pPr>
    <w:rPr>
      <w:rFonts w:eastAsia="黑体"/>
      <w:vanish/>
      <w:sz w:val="2"/>
    </w:rPr>
  </w:style>
  <w:style w:type="paragraph" w:customStyle="1" w:styleId="53">
    <w:name w:val="标准文件_附录标识"/>
    <w:next w:val="31"/>
    <w:qFormat/>
    <w:uiPriority w:val="0"/>
    <w:pPr>
      <w:numPr>
        <w:ilvl w:val="0"/>
        <w:numId w:val="6"/>
      </w:numPr>
      <w:shd w:val="clear" w:color="FFFFFF" w:fill="FFFFFF"/>
      <w:tabs>
        <w:tab w:val="left" w:pos="6406"/>
      </w:tabs>
      <w:spacing w:before="25" w:beforeLines="25" w:after="50" w:afterLines="50"/>
      <w:ind w:left="0"/>
      <w:jc w:val="center"/>
      <w:outlineLvl w:val="0"/>
    </w:pPr>
    <w:rPr>
      <w:rFonts w:ascii="黑体" w:hAnsi="黑体" w:eastAsia="黑体" w:cs="Times New Roman"/>
      <w:sz w:val="21"/>
      <w:lang w:val="en-US" w:eastAsia="zh-CN" w:bidi="ar-SA"/>
    </w:rPr>
  </w:style>
  <w:style w:type="paragraph" w:customStyle="1" w:styleId="54">
    <w:name w:val="标准文件_附录一级条标题"/>
    <w:next w:val="31"/>
    <w:qFormat/>
    <w:uiPriority w:val="0"/>
    <w:pPr>
      <w:widowControl w:val="0"/>
      <w:numPr>
        <w:ilvl w:val="1"/>
        <w:numId w:val="6"/>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55">
    <w:name w:val="标准文件_参考文献标题"/>
    <w:basedOn w:val="1"/>
    <w:next w:val="1"/>
    <w:qFormat/>
    <w:uiPriority w:val="0"/>
    <w:pPr>
      <w:widowControl/>
      <w:shd w:val="clear" w:color="FFFFFF" w:fill="FFFFFF"/>
      <w:spacing w:before="40" w:beforeLines="40" w:after="50" w:afterLines="50"/>
      <w:jc w:val="center"/>
      <w:outlineLvl w:val="0"/>
    </w:pPr>
    <w:rPr>
      <w:rFonts w:ascii="黑体" w:eastAsia="黑体"/>
      <w:kern w:val="0"/>
    </w:rPr>
  </w:style>
  <w:style w:type="paragraph" w:customStyle="1" w:styleId="56">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57">
    <w:name w:val="标准文件_页眉偶数页"/>
    <w:basedOn w:val="56"/>
    <w:next w:val="1"/>
    <w:qFormat/>
    <w:uiPriority w:val="0"/>
    <w:pPr>
      <w:jc w:val="left"/>
    </w:pPr>
  </w:style>
  <w:style w:type="paragraph" w:customStyle="1" w:styleId="58">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9">
    <w:name w:val="标准文件_页脚偶数页"/>
    <w:qFormat/>
    <w:uiPriority w:val="0"/>
    <w:pPr>
      <w:ind w:left="198"/>
    </w:pPr>
    <w:rPr>
      <w:rFonts w:ascii="宋体" w:hAnsi="Times New Roman" w:eastAsia="宋体" w:cs="Times New Roman"/>
      <w:sz w:val="18"/>
      <w:lang w:val="en-US" w:eastAsia="zh-CN" w:bidi="ar-SA"/>
    </w:rPr>
  </w:style>
  <w:style w:type="character" w:customStyle="1" w:styleId="60">
    <w:name w:val="批注文字 字符"/>
    <w:link w:val="5"/>
    <w:qFormat/>
    <w:uiPriority w:val="99"/>
    <w:rPr>
      <w:kern w:val="2"/>
      <w:sz w:val="21"/>
      <w:szCs w:val="24"/>
    </w:rPr>
  </w:style>
  <w:style w:type="character" w:customStyle="1" w:styleId="61">
    <w:name w:val="批注主题 字符"/>
    <w:link w:val="14"/>
    <w:semiHidden/>
    <w:qFormat/>
    <w:uiPriority w:val="99"/>
    <w:rPr>
      <w:b/>
      <w:bCs/>
      <w:kern w:val="2"/>
      <w:sz w:val="21"/>
      <w:szCs w:val="24"/>
    </w:rPr>
  </w:style>
  <w:style w:type="character" w:customStyle="1" w:styleId="62">
    <w:name w:val="标题 1 字符"/>
    <w:basedOn w:val="17"/>
    <w:link w:val="2"/>
    <w:qFormat/>
    <w:uiPriority w:val="0"/>
    <w:rPr>
      <w:b/>
      <w:bCs/>
      <w:kern w:val="44"/>
      <w:sz w:val="44"/>
      <w:szCs w:val="44"/>
    </w:rPr>
  </w:style>
  <w:style w:type="paragraph" w:customStyle="1" w:styleId="6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4">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65">
    <w:name w:val="cf01"/>
    <w:basedOn w:val="17"/>
    <w:qFormat/>
    <w:uiPriority w:val="0"/>
    <w:rPr>
      <w:rFonts w:hint="eastAsia" w:ascii="Microsoft YaHei UI" w:hAnsi="Microsoft YaHei UI" w:eastAsia="Microsoft YaHei UI"/>
      <w:sz w:val="18"/>
      <w:szCs w:val="18"/>
    </w:rPr>
  </w:style>
  <w:style w:type="character" w:customStyle="1" w:styleId="66">
    <w:name w:val="cf21"/>
    <w:basedOn w:val="17"/>
    <w:qFormat/>
    <w:uiPriority w:val="0"/>
    <w:rPr>
      <w:rFonts w:hint="eastAsia" w:ascii="Microsoft YaHei UI" w:hAnsi="Microsoft YaHei UI" w:eastAsia="Microsoft YaHei UI"/>
      <w:sz w:val="18"/>
      <w:szCs w:val="18"/>
    </w:rPr>
  </w:style>
  <w:style w:type="character" w:customStyle="1" w:styleId="67">
    <w:name w:val="标题 2 字符"/>
    <w:basedOn w:val="17"/>
    <w:link w:val="3"/>
    <w:semiHidden/>
    <w:qFormat/>
    <w:uiPriority w:val="0"/>
    <w:rPr>
      <w:rFonts w:asciiTheme="majorHAnsi" w:hAnsiTheme="majorHAnsi" w:eastAsiaTheme="majorEastAsia" w:cstheme="majorBidi"/>
      <w:b/>
      <w:bCs/>
      <w:kern w:val="2"/>
      <w:sz w:val="32"/>
      <w:szCs w:val="32"/>
    </w:rPr>
  </w:style>
  <w:style w:type="character" w:customStyle="1" w:styleId="68">
    <w:name w:val="标题 3 字符"/>
    <w:basedOn w:val="17"/>
    <w:link w:val="4"/>
    <w:semiHidden/>
    <w:qFormat/>
    <w:uiPriority w:val="0"/>
    <w:rPr>
      <w:b/>
      <w:bCs/>
      <w:kern w:val="2"/>
      <w:sz w:val="32"/>
      <w:szCs w:val="32"/>
    </w:rPr>
  </w:style>
  <w:style w:type="paragraph" w:customStyle="1" w:styleId="69">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70">
    <w:name w:val="日期 字符"/>
    <w:basedOn w:val="17"/>
    <w:link w:val="6"/>
    <w:semiHidden/>
    <w:qFormat/>
    <w:uiPriority w:val="99"/>
    <w:rPr>
      <w:kern w:val="2"/>
      <w:sz w:val="21"/>
      <w:szCs w:val="24"/>
    </w:rPr>
  </w:style>
  <w:style w:type="table" w:customStyle="1" w:styleId="71">
    <w:name w:val="Table Normal3"/>
    <w:semiHidden/>
    <w:unhideWhenUsed/>
    <w:qFormat/>
    <w:uiPriority w:val="0"/>
    <w:tblPr>
      <w:tblCellMar>
        <w:top w:w="0" w:type="dxa"/>
        <w:left w:w="0" w:type="dxa"/>
        <w:bottom w:w="0" w:type="dxa"/>
        <w:right w:w="0" w:type="dxa"/>
      </w:tblCellMar>
    </w:tblPr>
  </w:style>
  <w:style w:type="paragraph" w:customStyle="1" w:styleId="7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73">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74">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75">
    <w:name w:val="修订6"/>
    <w:hidden/>
    <w:unhideWhenUsed/>
    <w:qFormat/>
    <w:uiPriority w:val="99"/>
    <w:rPr>
      <w:rFonts w:ascii="Times New Roman" w:hAnsi="Times New Roman" w:eastAsia="宋体" w:cs="Times New Roman"/>
      <w:kern w:val="2"/>
      <w:sz w:val="21"/>
      <w:szCs w:val="24"/>
      <w:lang w:val="en-US" w:eastAsia="zh-CN" w:bidi="ar-SA"/>
    </w:rPr>
  </w:style>
  <w:style w:type="character" w:customStyle="1" w:styleId="76">
    <w:name w:val="font41"/>
    <w:basedOn w:val="17"/>
    <w:qFormat/>
    <w:uiPriority w:val="0"/>
    <w:rPr>
      <w:rFonts w:hint="default" w:ascii="Times New Roman" w:hAnsi="Times New Roman" w:cs="Times New Roman"/>
      <w:b/>
      <w:bCs/>
      <w:color w:val="1F1F1F"/>
      <w:sz w:val="28"/>
      <w:szCs w:val="28"/>
      <w:u w:val="none"/>
    </w:rPr>
  </w:style>
  <w:style w:type="character" w:customStyle="1" w:styleId="77">
    <w:name w:val="font31"/>
    <w:basedOn w:val="17"/>
    <w:qFormat/>
    <w:uiPriority w:val="0"/>
    <w:rPr>
      <w:rFonts w:hint="eastAsia" w:ascii="宋体" w:hAnsi="宋体" w:eastAsia="宋体" w:cs="宋体"/>
      <w:b/>
      <w:bCs/>
      <w:color w:val="1F1F1F"/>
      <w:sz w:val="28"/>
      <w:szCs w:val="28"/>
      <w:u w:val="none"/>
    </w:rPr>
  </w:style>
  <w:style w:type="character" w:customStyle="1" w:styleId="78">
    <w:name w:val="font51"/>
    <w:basedOn w:val="17"/>
    <w:qFormat/>
    <w:uiPriority w:val="0"/>
    <w:rPr>
      <w:rFonts w:hint="default" w:ascii="Times New Roman" w:hAnsi="Times New Roman" w:cs="Times New Roman"/>
      <w:b/>
      <w:bCs/>
      <w:color w:val="000000"/>
      <w:sz w:val="28"/>
      <w:szCs w:val="28"/>
      <w:u w:val="none"/>
    </w:rPr>
  </w:style>
  <w:style w:type="character" w:customStyle="1" w:styleId="79">
    <w:name w:val="font21"/>
    <w:basedOn w:val="17"/>
    <w:qFormat/>
    <w:uiPriority w:val="0"/>
    <w:rPr>
      <w:rFonts w:hint="eastAsia" w:ascii="宋体" w:hAnsi="宋体" w:eastAsia="宋体" w:cs="宋体"/>
      <w:b/>
      <w:bCs/>
      <w:color w:val="000000"/>
      <w:sz w:val="28"/>
      <w:szCs w:val="28"/>
      <w:u w:val="none"/>
    </w:rPr>
  </w:style>
  <w:style w:type="paragraph" w:customStyle="1" w:styleId="8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2.jpeg"/><Relationship Id="rId36" Type="http://schemas.openxmlformats.org/officeDocument/2006/relationships/image" Target="media/image11.png"/><Relationship Id="rId35" Type="http://schemas.openxmlformats.org/officeDocument/2006/relationships/image" Target="media/image10.png"/><Relationship Id="rId34" Type="http://schemas.openxmlformats.org/officeDocument/2006/relationships/image" Target="media/image9.png"/><Relationship Id="rId33" Type="http://schemas.openxmlformats.org/officeDocument/2006/relationships/image" Target="media/image8.png"/><Relationship Id="rId32" Type="http://schemas.openxmlformats.org/officeDocument/2006/relationships/image" Target="media/image7.png"/><Relationship Id="rId31" Type="http://schemas.openxmlformats.org/officeDocument/2006/relationships/image" Target="media/image6.png"/><Relationship Id="rId30" Type="http://schemas.openxmlformats.org/officeDocument/2006/relationships/image" Target="media/image5.png"/><Relationship Id="rId3" Type="http://schemas.openxmlformats.org/officeDocument/2006/relationships/header" Target="header1.xml"/><Relationship Id="rId29" Type="http://schemas.openxmlformats.org/officeDocument/2006/relationships/image" Target="media/image4.png"/><Relationship Id="rId28" Type="http://schemas.openxmlformats.org/officeDocument/2006/relationships/image" Target="media/image3.png"/><Relationship Id="rId27" Type="http://schemas.openxmlformats.org/officeDocument/2006/relationships/image" Target="media/image2.png"/><Relationship Id="rId26" Type="http://schemas.openxmlformats.org/officeDocument/2006/relationships/chart" Target="charts/chart2.xml"/><Relationship Id="rId25" Type="http://schemas.openxmlformats.org/officeDocument/2006/relationships/chart" Target="charts/chart1.xml"/><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zhangqi\Desktop\&#23425;&#3845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[宁阳.xlsx]Sheet1!$A$8:$B$8</c:f>
              <c:strCache>
                <c:ptCount val="1"/>
                <c:pt idx="0">
                  <c:v>人体健康 kPt</c:v>
                </c:pt>
              </c:strCache>
            </c:strRef>
          </c:tx>
          <c:spPr>
            <a:solidFill>
              <a:schemeClr val="accent1"/>
            </a:solidFill>
            <a:ln>
              <a:solidFill>
                <a:schemeClr val="bg1"/>
              </a:solidFill>
            </a:ln>
            <a:effectLst/>
          </c:spPr>
          <c:invertIfNegative val="0"/>
          <c:dLbls>
            <c:delete val="1"/>
          </c:dLbls>
          <c:cat>
            <c:strRef>
              <c:f>[宁阳.xlsx]Sheet1!$C$7:$G$7</c:f>
              <c:strCache>
                <c:ptCount val="5"/>
                <c:pt idx="0">
                  <c:v>方案1</c:v>
                </c:pt>
                <c:pt idx="1">
                  <c:v>方案2</c:v>
                </c:pt>
                <c:pt idx="2">
                  <c:v>方案3</c:v>
                </c:pt>
                <c:pt idx="3">
                  <c:v>方案4</c:v>
                </c:pt>
                <c:pt idx="4">
                  <c:v>方案5</c:v>
                </c:pt>
              </c:strCache>
            </c:strRef>
          </c:cat>
          <c:val>
            <c:numRef>
              <c:f>[宁阳.xlsx]Sheet1!$C$8:$G$8</c:f>
              <c:numCache>
                <c:formatCode>0.00_);[Red]\(0.00\)</c:formatCode>
                <c:ptCount val="5"/>
                <c:pt idx="0">
                  <c:v>1829.3892</c:v>
                </c:pt>
                <c:pt idx="1">
                  <c:v>580.73936</c:v>
                </c:pt>
                <c:pt idx="2">
                  <c:v>639.01517</c:v>
                </c:pt>
                <c:pt idx="3">
                  <c:v>598.32707</c:v>
                </c:pt>
                <c:pt idx="4">
                  <c:v>745.34858</c:v>
                </c:pt>
              </c:numCache>
            </c:numRef>
          </c:val>
        </c:ser>
        <c:ser>
          <c:idx val="1"/>
          <c:order val="1"/>
          <c:tx>
            <c:strRef>
              <c:f>[宁阳.xlsx]Sheet1!$A$9:$B$9</c:f>
              <c:strCache>
                <c:ptCount val="1"/>
                <c:pt idx="0">
                  <c:v>生态系统 kPt</c:v>
                </c:pt>
              </c:strCache>
            </c:strRef>
          </c:tx>
          <c:spPr>
            <a:solidFill>
              <a:schemeClr val="accent2"/>
            </a:solidFill>
            <a:ln>
              <a:solidFill>
                <a:schemeClr val="bg1"/>
              </a:solidFill>
            </a:ln>
            <a:effectLst/>
          </c:spPr>
          <c:invertIfNegative val="0"/>
          <c:dLbls>
            <c:delete val="1"/>
          </c:dLbls>
          <c:cat>
            <c:strRef>
              <c:f>[宁阳.xlsx]Sheet1!$C$7:$G$7</c:f>
              <c:strCache>
                <c:ptCount val="5"/>
                <c:pt idx="0">
                  <c:v>方案1</c:v>
                </c:pt>
                <c:pt idx="1">
                  <c:v>方案2</c:v>
                </c:pt>
                <c:pt idx="2">
                  <c:v>方案3</c:v>
                </c:pt>
                <c:pt idx="3">
                  <c:v>方案4</c:v>
                </c:pt>
                <c:pt idx="4">
                  <c:v>方案5</c:v>
                </c:pt>
              </c:strCache>
            </c:strRef>
          </c:cat>
          <c:val>
            <c:numRef>
              <c:f>[宁阳.xlsx]Sheet1!$C$9:$G$9</c:f>
              <c:numCache>
                <c:formatCode>0.00_);[Red]\(0.00\)</c:formatCode>
                <c:ptCount val="5"/>
                <c:pt idx="0">
                  <c:v>734.0944</c:v>
                </c:pt>
                <c:pt idx="1">
                  <c:v>232.79503</c:v>
                </c:pt>
                <c:pt idx="2">
                  <c:v>256.37247</c:v>
                </c:pt>
                <c:pt idx="3">
                  <c:v>240.00612</c:v>
                </c:pt>
                <c:pt idx="4">
                  <c:v>299.14395</c:v>
                </c:pt>
              </c:numCache>
            </c:numRef>
          </c:val>
        </c:ser>
        <c:ser>
          <c:idx val="2"/>
          <c:order val="2"/>
          <c:tx>
            <c:strRef>
              <c:f>[宁阳.xlsx]Sheet1!$A$10:$B$10</c:f>
              <c:strCache>
                <c:ptCount val="1"/>
                <c:pt idx="0">
                  <c:v>资源消耗 kPt</c:v>
                </c:pt>
              </c:strCache>
            </c:strRef>
          </c:tx>
          <c:spPr>
            <a:solidFill>
              <a:schemeClr val="accent3"/>
            </a:solidFill>
            <a:ln>
              <a:solidFill>
                <a:schemeClr val="bg1"/>
              </a:solidFill>
            </a:ln>
            <a:effectLst/>
          </c:spPr>
          <c:invertIfNegative val="0"/>
          <c:dLbls>
            <c:delete val="1"/>
          </c:dLbls>
          <c:cat>
            <c:strRef>
              <c:f>[宁阳.xlsx]Sheet1!$C$7:$G$7</c:f>
              <c:strCache>
                <c:ptCount val="5"/>
                <c:pt idx="0">
                  <c:v>方案1</c:v>
                </c:pt>
                <c:pt idx="1">
                  <c:v>方案2</c:v>
                </c:pt>
                <c:pt idx="2">
                  <c:v>方案3</c:v>
                </c:pt>
                <c:pt idx="3">
                  <c:v>方案4</c:v>
                </c:pt>
                <c:pt idx="4">
                  <c:v>方案5</c:v>
                </c:pt>
              </c:strCache>
            </c:strRef>
          </c:cat>
          <c:val>
            <c:numRef>
              <c:f>[宁阳.xlsx]Sheet1!$C$10:$G$10</c:f>
              <c:numCache>
                <c:formatCode>0.00_);[Red]\(0.00\)</c:formatCode>
                <c:ptCount val="5"/>
                <c:pt idx="0">
                  <c:v>447.54725</c:v>
                </c:pt>
                <c:pt idx="1">
                  <c:v>178.50077</c:v>
                </c:pt>
                <c:pt idx="2">
                  <c:v>196.05095</c:v>
                </c:pt>
                <c:pt idx="3">
                  <c:v>186.42522</c:v>
                </c:pt>
                <c:pt idx="4">
                  <c:v>221.20661</c:v>
                </c:pt>
              </c:numCache>
            </c:numRef>
          </c:val>
        </c:ser>
        <c:dLbls>
          <c:showLegendKey val="0"/>
          <c:showVal val="0"/>
          <c:showCatName val="0"/>
          <c:showSerName val="0"/>
          <c:showPercent val="0"/>
          <c:showBubbleSize val="0"/>
        </c:dLbls>
        <c:gapWidth val="95"/>
        <c:overlap val="100"/>
        <c:axId val="530334732"/>
        <c:axId val="477399723"/>
      </c:barChart>
      <c:catAx>
        <c:axId val="5303347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7399723"/>
        <c:crosses val="autoZero"/>
        <c:auto val="1"/>
        <c:lblAlgn val="ctr"/>
        <c:lblOffset val="100"/>
        <c:noMultiLvlLbl val="0"/>
      </c:catAx>
      <c:valAx>
        <c:axId val="477399723"/>
        <c:scaling>
          <c:orientation val="minMax"/>
          <c:max val="3200"/>
          <c:min val="0"/>
        </c:scaling>
        <c:delete val="0"/>
        <c:axPos val="l"/>
        <c:numFmt formatCode="0_);[Red]\(0\)" sourceLinked="0"/>
        <c:majorTickMark val="in"/>
        <c:minorTickMark val="none"/>
        <c:tickLblPos val="nextTo"/>
        <c:spPr>
          <a:noFill/>
          <a:ln>
            <a:solidFill>
              <a:sysClr val="windowText" lastClr="000000">
                <a:lumMod val="95000"/>
                <a:lumOff val="5000"/>
              </a:sysClr>
            </a:solidFill>
          </a:ln>
          <a:effectLst/>
        </c:spPr>
        <c:txPr>
          <a:bodyPr rot="-60000000" spcFirstLastPara="0" vertOverflow="ellipsis" vert="horz" wrap="square" anchor="ctr" anchorCtr="1"/>
          <a:lstStyle/>
          <a:p>
            <a:pPr>
              <a:defRPr lang="zh-CN"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p>
        </c:txPr>
        <c:crossAx val="530334732"/>
        <c:crosses val="autoZero"/>
        <c:crossBetween val="between"/>
        <c:majorUnit val="800"/>
        <c:minorUnit val="500"/>
      </c:valAx>
      <c:dTable>
        <c:showHorzBorder val="1"/>
        <c:showVertBorder val="1"/>
        <c:showOutline val="1"/>
        <c:showKeys val="1"/>
        <c:spPr>
          <a:noFill/>
          <a:ln w="9525" cap="flat" cmpd="sng" algn="ctr">
            <a:solidFill>
              <a:sysClr val="windowText" lastClr="000000">
                <a:lumMod val="95000"/>
                <a:lumOff val="5000"/>
              </a:sysClr>
            </a:solidFill>
            <a:round/>
          </a:ln>
          <a:effectLst/>
        </c:spPr>
        <c:txPr>
          <a:bodyPr rot="0" spcFirstLastPara="0" vertOverflow="ellipsis" vert="horz" wrap="square" anchor="ctr" anchorCtr="1"/>
          <a:lstStyle/>
          <a:p>
            <a:pPr>
              <a:defRPr lang="zh-CN" sz="900" b="0" i="0" u="none" strike="noStrike" kern="1200" baseline="0">
                <a:solidFill>
                  <a:schemeClr val="tx1">
                    <a:lumMod val="95000"/>
                    <a:lumOff val="5000"/>
                  </a:schemeClr>
                </a:solidFill>
                <a:latin typeface="+mn-ea"/>
                <a:ea typeface="+mn-ea"/>
                <a:cs typeface="+mn-cs"/>
              </a:defRPr>
            </a:pPr>
          </a:p>
        </c:txPr>
      </c:dTable>
      <c:spPr>
        <a:noFill/>
        <a:ln>
          <a:solidFill>
            <a:sysClr val="windowText" lastClr="000000">
              <a:lumMod val="95000"/>
              <a:lumOff val="5000"/>
            </a:sysClr>
          </a:solidFill>
        </a:ln>
        <a:effectLst/>
      </c:spPr>
    </c:plotArea>
    <c:plotVisOnly val="1"/>
    <c:dispBlanksAs val="gap"/>
    <c:showDLblsOverMax val="0"/>
    <c:extLst>
      <c:ext uri="{0b15fc19-7d7d-44ad-8c2d-2c3a37ce22c3}">
        <chartProps xmlns="https://web.wps.cn/et/2018/main" chartId="{6ee8e048-23dd-4604-bd2f-2b9023f9e312}"/>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679144491791"/>
          <c:y val="0.0472176202718537"/>
          <c:w val="0.834537684773749"/>
          <c:h val="0.8285495701587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Sheet1!$C$9:$G$9</c:f>
              <c:strCache>
                <c:ptCount val="5"/>
                <c:pt idx="0">
                  <c:v>方案1</c:v>
                </c:pt>
                <c:pt idx="1">
                  <c:v>方案2</c:v>
                </c:pt>
                <c:pt idx="2">
                  <c:v>方案3</c:v>
                </c:pt>
                <c:pt idx="3">
                  <c:v>方案4</c:v>
                </c:pt>
                <c:pt idx="4">
                  <c:v>方案5</c:v>
                </c:pt>
              </c:strCache>
            </c:strRef>
          </c:cat>
          <c:val>
            <c:numRef>
              <c:f>Sheet1!$C$10:$G$10</c:f>
              <c:numCache>
                <c:formatCode>0.00</c:formatCode>
                <c:ptCount val="5"/>
                <c:pt idx="0">
                  <c:v>16.684092</c:v>
                </c:pt>
                <c:pt idx="1">
                  <c:v>4.8735738</c:v>
                </c:pt>
                <c:pt idx="2">
                  <c:v>5.3661931</c:v>
                </c:pt>
                <c:pt idx="3">
                  <c:v>4.9914134</c:v>
                </c:pt>
                <c:pt idx="4">
                  <c:v>6.3456346</c:v>
                </c:pt>
              </c:numCache>
            </c:numRef>
          </c:val>
        </c:ser>
        <c:dLbls>
          <c:showLegendKey val="0"/>
          <c:showVal val="0"/>
          <c:showCatName val="0"/>
          <c:showSerName val="0"/>
          <c:showPercent val="0"/>
          <c:showBubbleSize val="0"/>
        </c:dLbls>
        <c:gapWidth val="219"/>
        <c:overlap val="-27"/>
        <c:axId val="2063319183"/>
        <c:axId val="2063333583"/>
      </c:barChart>
      <c:catAx>
        <c:axId val="2063319183"/>
        <c:scaling>
          <c:orientation val="minMax"/>
        </c:scaling>
        <c:delete val="0"/>
        <c:axPos val="b"/>
        <c:numFmt formatCode="General" sourceLinked="1"/>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lang="zh-CN" sz="1000" b="0" i="0" u="none" strike="noStrike" kern="1200" baseline="0">
                <a:solidFill>
                  <a:schemeClr val="tx1">
                    <a:lumMod val="95000"/>
                    <a:lumOff val="5000"/>
                  </a:schemeClr>
                </a:solidFill>
                <a:latin typeface="宋体" panose="02010600030101010101" charset="-122"/>
                <a:ea typeface="宋体" panose="02010600030101010101" charset="-122"/>
                <a:cs typeface="+mn-cs"/>
              </a:defRPr>
            </a:pPr>
          </a:p>
        </c:txPr>
        <c:crossAx val="2063333583"/>
        <c:crosses val="autoZero"/>
        <c:auto val="1"/>
        <c:lblAlgn val="ctr"/>
        <c:lblOffset val="100"/>
        <c:noMultiLvlLbl val="0"/>
      </c:catAx>
      <c:valAx>
        <c:axId val="2063333583"/>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chemeClr val="tx1">
                        <a:lumMod val="95000"/>
                        <a:lumOff val="5000"/>
                      </a:schemeClr>
                    </a:solidFill>
                    <a:latin typeface="Times New Roman" panose="02020603050405020304" charset="0"/>
                    <a:ea typeface="宋体" panose="02010600030101010101" charset="-122"/>
                    <a:cs typeface="Times New Roman" panose="02020603050405020304" charset="0"/>
                  </a:defRPr>
                </a:pPr>
                <a:r>
                  <a:rPr lang="zh-CN" altLang="en-US" sz="10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碳排放（</a:t>
                </a:r>
                <a:r>
                  <a:rPr lang="en-US" altLang="zh-CN" sz="9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a:t>
                </a:r>
                <a:r>
                  <a:rPr lang="en-US" altLang="zh-CN" sz="10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10</a:t>
                </a:r>
                <a:r>
                  <a:rPr lang="en-US" altLang="zh-CN" sz="1000" baseline="300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3</a:t>
                </a:r>
                <a:r>
                  <a:rPr lang="en-US" altLang="zh-CN" sz="10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 t</a:t>
                </a:r>
                <a:r>
                  <a:rPr lang="en-US" altLang="zh-CN" sz="1000" baseline="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 CO</a:t>
                </a:r>
                <a:r>
                  <a:rPr lang="en-US" altLang="zh-CN" sz="1000" baseline="-250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2</a:t>
                </a:r>
                <a:r>
                  <a:rPr lang="en-US" altLang="zh-CN" sz="1000" baseline="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 eq</a:t>
                </a:r>
                <a:r>
                  <a:rPr lang="zh-CN" altLang="en-US" sz="1000">
                    <a:solidFill>
                      <a:schemeClr val="tx1">
                        <a:lumMod val="95000"/>
                        <a:lumOff val="5000"/>
                      </a:schemeClr>
                    </a:solidFill>
                    <a:latin typeface="Times New Roman" panose="02020603050405020304" charset="0"/>
                    <a:ea typeface="宋体" panose="02010600030101010101" charset="-122"/>
                    <a:cs typeface="Times New Roman" panose="02020603050405020304" charset="0"/>
                  </a:rPr>
                  <a:t>）</a:t>
                </a:r>
                <a:endParaRPr lang="zh-CN" altLang="en-US" sz="1000">
                  <a:solidFill>
                    <a:schemeClr val="tx1">
                      <a:lumMod val="95000"/>
                      <a:lumOff val="5000"/>
                    </a:schemeClr>
                  </a:solidFill>
                  <a:latin typeface="Times New Roman" panose="02020603050405020304" charset="0"/>
                  <a:ea typeface="宋体" panose="02010600030101010101" charset="-122"/>
                  <a:cs typeface="Times New Roman" panose="02020603050405020304" charset="0"/>
                </a:endParaRPr>
              </a:p>
            </c:rich>
          </c:tx>
          <c:layout/>
          <c:overlay val="0"/>
          <c:spPr>
            <a:noFill/>
            <a:ln>
              <a:noFill/>
            </a:ln>
            <a:effectLst/>
          </c:spPr>
        </c:title>
        <c:numFmt formatCode="#,##0_);[Red]\(#,##0\)" sourceLinked="0"/>
        <c:majorTickMark val="in"/>
        <c:minorTickMark val="none"/>
        <c:tickLblPos val="nextTo"/>
        <c:spPr>
          <a:noFill/>
          <a:ln>
            <a:solidFill>
              <a:schemeClr val="tx1">
                <a:lumMod val="95000"/>
                <a:lumOff val="5000"/>
              </a:schemeClr>
            </a:solidFill>
          </a:ln>
          <a:effectLst/>
        </c:spPr>
        <c:txPr>
          <a:bodyPr rot="-60000000" spcFirstLastPara="1" vertOverflow="ellipsis" vert="horz" wrap="square" anchor="ctr" anchorCtr="1"/>
          <a:lstStyle/>
          <a:p>
            <a:pPr>
              <a:defRPr lang="zh-CN" sz="10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p>
        </c:txPr>
        <c:crossAx val="2063319183"/>
        <c:crosses val="autoZero"/>
        <c:crossBetween val="between"/>
        <c:majorUnit val="4"/>
      </c:valAx>
      <c:spPr>
        <a:noFill/>
        <a:ln>
          <a:solidFill>
            <a:schemeClr val="tx1">
              <a:lumMod val="95000"/>
              <a:lumOff val="5000"/>
            </a:schemeClr>
          </a:solidFill>
        </a:ln>
        <a:effectLst/>
      </c:spPr>
    </c:plotArea>
    <c:plotVisOnly val="1"/>
    <c:dispBlanksAs val="gap"/>
    <c:showDLblsOverMax val="0"/>
    <c:extLst>
      <c:ext uri="{0b15fc19-7d7d-44ad-8c2d-2c3a37ce22c3}">
        <chartProps xmlns="https://web.wps.cn/et/2018/main" chartId="{e31ca74b-95a2-4005-8338-9315d2a1fa39}"/>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8DF8DF-F7E8-4F09-9261-E67291443120}">
  <ds:schemaRefs/>
</ds:datastoreItem>
</file>

<file path=docProps/app.xml><?xml version="1.0" encoding="utf-8"?>
<Properties xmlns="http://schemas.openxmlformats.org/officeDocument/2006/extended-properties" xmlns:vt="http://schemas.openxmlformats.org/officeDocument/2006/docPropsVTypes">
  <Template>Normal</Template>
  <Pages>25</Pages>
  <Words>14117</Words>
  <Characters>14671</Characters>
  <Lines>173</Lines>
  <Paragraphs>48</Paragraphs>
  <TotalTime>126</TotalTime>
  <ScaleCrop>false</ScaleCrop>
  <LinksUpToDate>false</LinksUpToDate>
  <CharactersWithSpaces>14849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2026-07-15T07:50:00Z</dcterms:created>
  <dc:creator>ma</dc:creator>
  <cp:lastModifiedBy>XuHan</cp:lastModifiedBy>
  <cp:lastPrinted>2015-05-26T17:07:00Z</cp:lastPrinted>
  <dcterms:modified xsi:type="dcterms:W3CDTF">2026-08-17T06:52:12Z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800B75B24FB540C3A1B8A372FEA95F86_13</vt:lpwstr>
  </property>
  <property fmtid="{D5CDD505-2E9C-101B-9397-08002B2CF9AE}" pid="4" name="KSOTemplateDocerSaveRecord">
    <vt:lpwstr>eyJoZGlkIjoiM2NkMzE3ZTVhNWE1YTU4OGJiNmM0YjEyZGQ5OWY0Y2MiLCJ1c2VySWQiOiIxNjg3Mjc2ODYxIn0=</vt:lpwstr>
  </property>
</Properties>
</file>