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eastAsia="宋体" w:cs="Times New Roman"/>
          <w:b/>
          <w:sz w:val="24"/>
          <w:szCs w:val="24"/>
        </w:rPr>
      </w:pPr>
      <w:r>
        <w:rPr>
          <w:rFonts w:hint="eastAsia" w:eastAsia="宋体" w:cs="Times New Roman"/>
          <w:b/>
          <w:sz w:val="24"/>
          <w:szCs w:val="24"/>
        </w:rPr>
        <w:t xml:space="preserve">附件2：                  </w:t>
      </w:r>
      <w:r>
        <w:rPr>
          <w:rFonts w:hint="eastAsia" w:eastAsia="宋体" w:cs="Times New Roman"/>
          <w:b/>
          <w:sz w:val="24"/>
          <w:szCs w:val="24"/>
          <w:lang w:val="en-US" w:eastAsia="zh-CN"/>
        </w:rPr>
        <w:t>申报</w:t>
      </w:r>
      <w:r>
        <w:rPr>
          <w:rFonts w:hint="eastAsia" w:eastAsia="宋体" w:cs="Times New Roman"/>
          <w:b/>
          <w:sz w:val="24"/>
          <w:szCs w:val="24"/>
        </w:rPr>
        <w:t>单位基本情况表</w:t>
      </w:r>
    </w:p>
    <w:tbl>
      <w:tblPr>
        <w:tblStyle w:val="4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038"/>
        <w:gridCol w:w="1928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单位名称（中文）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单位名称（英文）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单位地址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登记注册类型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Cs w:val="21"/>
              </w:rPr>
              <w:object>
                <v:shape id="_x0000_i1025" o:spt="201" type="#_x0000_t201" style="height:18pt;width:12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4" w:name="CheckBox6" w:shapeid="_x0000_i1025"/>
              </w:object>
            </w:r>
            <w:r>
              <w:rPr>
                <w:rFonts w:hint="eastAsia" w:eastAsia="宋体" w:cs="Times New Roman"/>
                <w:sz w:val="21"/>
                <w:szCs w:val="21"/>
              </w:rPr>
              <w:t>内资（国有、集体、股份合作、国有联营、集体联营、国有独资公司、有限责任公司、股份有限公司、私营独资、其它）</w:t>
            </w:r>
          </w:p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Cs w:val="21"/>
              </w:rPr>
              <w:object>
                <v:shape id="_x0000_i1026" o:spt="201" type="#_x0000_t201" style="height:18pt;width:12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7" w:shapeid="_x0000_i1026"/>
              </w:object>
            </w:r>
            <w:r>
              <w:rPr>
                <w:rFonts w:hint="eastAsia" w:eastAsia="宋体" w:cs="Times New Roman"/>
                <w:sz w:val="21"/>
                <w:szCs w:val="21"/>
              </w:rPr>
              <w:t>港澳台商投资（与港澳台商合资经营、与港澳台商合作经营、港澳台商独资、港澳台商投资股份有限公司）</w:t>
            </w:r>
          </w:p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Cs w:val="21"/>
              </w:rPr>
              <w:object>
                <v:shape id="_x0000_i1027" o:spt="201" type="#_x0000_t201" style="height:18pt;width:12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8" w:shapeid="_x0000_i1027"/>
              </w:object>
            </w:r>
            <w:r>
              <w:rPr>
                <w:rFonts w:hint="eastAsia" w:eastAsia="宋体" w:cs="Times New Roman"/>
                <w:sz w:val="21"/>
                <w:szCs w:val="21"/>
              </w:rPr>
              <w:t>外商投资（中外合资经营、中外合作经营、外资企业、外商投资股份有限公司）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控股情况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 xml:space="preserve">国有控股  </w:t>
            </w: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>集体控股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 xml:space="preserve">私人控股  </w:t>
            </w: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 xml:space="preserve">港澳台商控股  </w:t>
            </w: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>外商控股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从业人员数</w:t>
            </w:r>
          </w:p>
        </w:tc>
        <w:tc>
          <w:tcPr>
            <w:tcW w:w="3038" w:type="dxa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                      人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研发人员数</w:t>
            </w:r>
          </w:p>
        </w:tc>
        <w:tc>
          <w:tcPr>
            <w:tcW w:w="2774" w:type="dxa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 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主营业务</w:t>
            </w:r>
          </w:p>
        </w:tc>
        <w:tc>
          <w:tcPr>
            <w:tcW w:w="3038" w:type="dxa"/>
            <w:vMerge w:val="restart"/>
            <w:vAlign w:val="center"/>
          </w:tcPr>
          <w:p>
            <w:pPr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>（包括主营业务范围及主营业务收入等）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主要产品平均利润</w:t>
            </w:r>
          </w:p>
        </w:tc>
        <w:tc>
          <w:tcPr>
            <w:tcW w:w="277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800" w:type="dxa"/>
            <w:vMerge w:val="continue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038" w:type="dxa"/>
            <w:vMerge w:val="continue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新产品平均利润</w:t>
            </w:r>
          </w:p>
        </w:tc>
        <w:tc>
          <w:tcPr>
            <w:tcW w:w="277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360" w:lineRule="auto"/>
              <w:jc w:val="left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</w:rPr>
              <w:t>研发投入额（元）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（单位研发投入总额）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left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</w:rPr>
              <w:t>研发投入占比</w:t>
            </w:r>
          </w:p>
        </w:tc>
        <w:tc>
          <w:tcPr>
            <w:tcW w:w="2774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产学研及上下游结合情况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180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新产品推广措施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</w:rPr>
              <w:t>单位实验室类型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 省部级以上科技中心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 省部级以上工程中心</w:t>
            </w:r>
          </w:p>
          <w:p>
            <w:pPr>
              <w:spacing w:line="276" w:lineRule="auto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□ 国家重点实验室</w:t>
            </w:r>
          </w:p>
          <w:p>
            <w:pPr>
              <w:spacing w:line="276" w:lineRule="auto"/>
              <w:rPr>
                <w:rFonts w:hint="default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</w:rPr>
              <w:t>单位实验室</w:t>
            </w: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或新材料研究院名称</w:t>
            </w:r>
          </w:p>
        </w:tc>
        <w:tc>
          <w:tcPr>
            <w:tcW w:w="2774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sz w:val="21"/>
                <w:szCs w:val="21"/>
              </w:rPr>
              <w:t>单位质量管理体系通过何种认证</w:t>
            </w:r>
          </w:p>
        </w:tc>
        <w:tc>
          <w:tcPr>
            <w:tcW w:w="3038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单位实验室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通过何种认证</w:t>
            </w:r>
          </w:p>
        </w:tc>
        <w:tc>
          <w:tcPr>
            <w:tcW w:w="2774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是否愿意参加产品展览、展示等相关活动</w:t>
            </w:r>
          </w:p>
        </w:tc>
        <w:tc>
          <w:tcPr>
            <w:tcW w:w="4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是 □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是否愿意参加产品宣传、推广等相关活动</w:t>
            </w:r>
          </w:p>
        </w:tc>
        <w:tc>
          <w:tcPr>
            <w:tcW w:w="4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是 □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联系人</w:t>
            </w:r>
          </w:p>
        </w:tc>
        <w:tc>
          <w:tcPr>
            <w:tcW w:w="3038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联系邮箱</w:t>
            </w:r>
          </w:p>
        </w:tc>
        <w:tc>
          <w:tcPr>
            <w:tcW w:w="2774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联系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3038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联系传真</w:t>
            </w:r>
          </w:p>
        </w:tc>
        <w:tc>
          <w:tcPr>
            <w:tcW w:w="2774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其它相关信息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</w:tbl>
    <w:p>
      <w:r>
        <w:rPr>
          <w:rFonts w:hint="eastAsia" w:eastAsia="宋体" w:cs="Times New Roman"/>
          <w:b/>
          <w:sz w:val="24"/>
          <w:szCs w:val="24"/>
        </w:rPr>
        <w:t>注：电子版表格可登陆</w:t>
      </w:r>
      <w:r>
        <w:rPr>
          <w:rFonts w:hint="eastAsia"/>
          <w:sz w:val="28"/>
          <w:szCs w:val="21"/>
        </w:rPr>
        <w:t>http://www.fiberstrends.com/</w:t>
      </w:r>
      <w:r>
        <w:rPr>
          <w:rFonts w:hint="eastAsia" w:eastAsia="宋体" w:cs="Times New Roman"/>
          <w:b/>
          <w:sz w:val="24"/>
          <w:szCs w:val="24"/>
        </w:rPr>
        <w:t>下载，内容可</w:t>
      </w:r>
      <w:bookmarkStart w:id="0" w:name="_GoBack"/>
      <w:bookmarkEnd w:id="0"/>
      <w:r>
        <w:rPr>
          <w:rFonts w:hint="eastAsia" w:eastAsia="宋体" w:cs="Times New Roman"/>
          <w:b/>
          <w:sz w:val="24"/>
          <w:szCs w:val="24"/>
        </w:rPr>
        <w:t>另附页说明。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89"/>
    <w:rsid w:val="00314529"/>
    <w:rsid w:val="009613FC"/>
    <w:rsid w:val="00C71489"/>
    <w:rsid w:val="3D404439"/>
    <w:rsid w:val="421F4337"/>
    <w:rsid w:val="7CC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513</Characters>
  <Lines>6</Lines>
  <Paragraphs>1</Paragraphs>
  <TotalTime>20</TotalTime>
  <ScaleCrop>false</ScaleCrop>
  <LinksUpToDate>false</LinksUpToDate>
  <CharactersWithSpaces>626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2021-04-01T07:15:00Z</dcterms:created>
  <dc:creator>王永生</dc:creator>
  <cp:lastModifiedBy>王永生</cp:lastModifiedBy>
  <dcterms:modified xsi:type="dcterms:W3CDTF">2022-04-11T06:19:56Z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E606BE58DEAB4AAAAA5867118A858C33</vt:lpwstr>
  </property>
</Properties>
</file>