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73" w:rsidRPr="00D70432" w:rsidRDefault="00122F73" w:rsidP="00122F73">
      <w:pPr>
        <w:ind w:left="720" w:firstLine="0"/>
        <w:rPr>
          <w:rFonts w:hint="eastAsia"/>
          <w:noProof/>
          <w:color w:val="000000"/>
        </w:rPr>
      </w:pPr>
    </w:p>
    <w:p w:rsidR="00122F73" w:rsidRPr="00AF65B3" w:rsidRDefault="00122F73" w:rsidP="00122F73">
      <w:pPr>
        <w:pStyle w:val="1"/>
        <w:rPr>
          <w:rFonts w:hint="eastAsia"/>
        </w:rPr>
      </w:pPr>
      <w:bookmarkStart w:id="0" w:name="_Toc476473323"/>
      <w:bookmarkStart w:id="1" w:name="_GoBack"/>
      <w:r w:rsidRPr="00AF65B3">
        <w:rPr>
          <w:rFonts w:hint="eastAsia"/>
        </w:rPr>
        <w:t>2016年中国氨纶行业运行分析</w:t>
      </w:r>
      <w:r w:rsidRPr="00AF65B3">
        <w:br/>
      </w:r>
      <w:r w:rsidRPr="00AF65B3">
        <w:rPr>
          <w:rFonts w:hint="eastAsia"/>
        </w:rPr>
        <w:t>与2017年运行预测</w:t>
      </w:r>
      <w:bookmarkEnd w:id="0"/>
    </w:p>
    <w:bookmarkEnd w:id="1"/>
    <w:p w:rsidR="00122F73" w:rsidRPr="00AF65B3" w:rsidRDefault="00122F73" w:rsidP="00122F73">
      <w:pPr>
        <w:pStyle w:val="00"/>
        <w:rPr>
          <w:color w:val="000000"/>
        </w:rPr>
      </w:pPr>
    </w:p>
    <w:p w:rsidR="00122F73" w:rsidRPr="00AF65B3" w:rsidRDefault="00122F73" w:rsidP="00122F73">
      <w:pPr>
        <w:pStyle w:val="2"/>
        <w:rPr>
          <w:rFonts w:hint="eastAsia"/>
        </w:rPr>
      </w:pPr>
      <w:bookmarkStart w:id="2" w:name="_Toc476473324"/>
      <w:r w:rsidRPr="00AF65B3">
        <w:rPr>
          <w:rFonts w:hint="eastAsia"/>
        </w:rPr>
        <w:t>中国化学纤维工业协会氨纶专业委员会</w:t>
      </w:r>
      <w:r>
        <w:rPr>
          <w:rFonts w:hint="eastAsia"/>
        </w:rPr>
        <w:t xml:space="preserve">  </w:t>
      </w:r>
      <w:r w:rsidRPr="00AF65B3">
        <w:rPr>
          <w:rFonts w:hint="eastAsia"/>
        </w:rPr>
        <w:t>戎中钰</w:t>
      </w:r>
      <w:r>
        <w:rPr>
          <w:rFonts w:hint="eastAsia"/>
        </w:rPr>
        <w:t xml:space="preserve">  </w:t>
      </w:r>
      <w:r w:rsidRPr="00AF65B3">
        <w:rPr>
          <w:rFonts w:hint="eastAsia"/>
        </w:rPr>
        <w:t>李</w:t>
      </w:r>
      <w:r>
        <w:rPr>
          <w:rFonts w:hint="eastAsia"/>
        </w:rPr>
        <w:t xml:space="preserve">  </w:t>
      </w:r>
      <w:r w:rsidRPr="00AF65B3">
        <w:rPr>
          <w:rFonts w:hint="eastAsia"/>
        </w:rPr>
        <w:t>斌</w:t>
      </w:r>
      <w:r>
        <w:rPr>
          <w:rFonts w:hint="eastAsia"/>
        </w:rPr>
        <w:t xml:space="preserve">  </w:t>
      </w:r>
      <w:r w:rsidRPr="00AF65B3">
        <w:rPr>
          <w:rFonts w:hint="eastAsia"/>
        </w:rPr>
        <w:t>李增俊</w:t>
      </w:r>
      <w:bookmarkEnd w:id="2"/>
    </w:p>
    <w:p w:rsidR="00122F73" w:rsidRPr="0083639A" w:rsidRDefault="00122F73" w:rsidP="00122F73">
      <w:pPr>
        <w:pStyle w:val="00"/>
        <w:rPr>
          <w:color w:val="000000"/>
        </w:rPr>
      </w:pPr>
    </w:p>
    <w:p w:rsidR="00122F73" w:rsidRPr="00AF65B3" w:rsidRDefault="00122F73" w:rsidP="00122F73">
      <w:pPr>
        <w:pStyle w:val="001"/>
        <w:rPr>
          <w:rFonts w:hint="eastAsia"/>
        </w:rPr>
      </w:pPr>
      <w:r w:rsidRPr="00AF65B3">
        <w:rPr>
          <w:rFonts w:hint="eastAsia"/>
        </w:rPr>
        <w:t>2016</w:t>
      </w:r>
      <w:r w:rsidRPr="00AF65B3">
        <w:rPr>
          <w:rFonts w:hint="eastAsia"/>
        </w:rPr>
        <w:t>年，我国化纤行业整体运行平稳，波动减少，下游需求稳中有升，产能增量更加</w:t>
      </w:r>
      <w:r>
        <w:rPr>
          <w:rFonts w:hint="eastAsia"/>
        </w:rPr>
        <w:t>理性</w:t>
      </w:r>
      <w:r w:rsidRPr="00AF65B3">
        <w:rPr>
          <w:rFonts w:hint="eastAsia"/>
        </w:rPr>
        <w:t>，整体保持盈利水平。</w:t>
      </w:r>
      <w:r>
        <w:rPr>
          <w:rFonts w:hint="eastAsia"/>
        </w:rPr>
        <w:t>氨纶产品</w:t>
      </w:r>
      <w:r w:rsidRPr="00AF65B3">
        <w:rPr>
          <w:rFonts w:hint="eastAsia"/>
        </w:rPr>
        <w:t>在</w:t>
      </w:r>
      <w:r w:rsidRPr="00AF65B3">
        <w:rPr>
          <w:rFonts w:hint="eastAsia"/>
        </w:rPr>
        <w:t>G20</w:t>
      </w:r>
      <w:r w:rsidRPr="00AF65B3">
        <w:rPr>
          <w:rFonts w:hint="eastAsia"/>
        </w:rPr>
        <w:t>峰会期间准确把握了停开机时间，并合理制定了销售策略，使这段时期成为优化市场供需的有利契机。此外，随着下游用户对功能性、差别化品种的要求不断提高，行业在新产品开发方面的积极性也普遍上涨。</w:t>
      </w:r>
    </w:p>
    <w:p w:rsidR="00122F73" w:rsidRPr="00AF65B3" w:rsidRDefault="00122F73" w:rsidP="00122F73">
      <w:pPr>
        <w:pStyle w:val="001"/>
      </w:pPr>
      <w:r w:rsidRPr="00AF65B3">
        <w:t>201</w:t>
      </w:r>
      <w:r w:rsidRPr="00AF65B3">
        <w:rPr>
          <w:rFonts w:hint="eastAsia"/>
        </w:rPr>
        <w:t>6</w:t>
      </w:r>
      <w:r w:rsidRPr="00AF65B3">
        <w:t>年</w:t>
      </w:r>
      <w:r>
        <w:rPr>
          <w:rFonts w:hint="eastAsia"/>
        </w:rPr>
        <w:t>氨纶</w:t>
      </w:r>
      <w:r w:rsidRPr="00AF65B3">
        <w:rPr>
          <w:rFonts w:hint="eastAsia"/>
        </w:rPr>
        <w:t>的主要品种</w:t>
      </w:r>
      <w:r w:rsidRPr="00AF65B3">
        <w:t>价格</w:t>
      </w:r>
      <w:r>
        <w:rPr>
          <w:rFonts w:hint="eastAsia"/>
        </w:rPr>
        <w:t>在一路下跌</w:t>
      </w:r>
      <w:r w:rsidRPr="00AF65B3">
        <w:rPr>
          <w:rFonts w:hint="eastAsia"/>
        </w:rPr>
        <w:t>，</w:t>
      </w:r>
      <w:r>
        <w:rPr>
          <w:rFonts w:hint="eastAsia"/>
        </w:rPr>
        <w:t>反</w:t>
      </w:r>
      <w:r w:rsidRPr="00AF65B3">
        <w:rPr>
          <w:rFonts w:hint="eastAsia"/>
        </w:rPr>
        <w:t>于年底前开始回升；在</w:t>
      </w:r>
      <w:r w:rsidRPr="00AF65B3">
        <w:rPr>
          <w:rFonts w:hint="eastAsia"/>
        </w:rPr>
        <w:t>2015</w:t>
      </w:r>
      <w:r w:rsidRPr="00AF65B3">
        <w:rPr>
          <w:rFonts w:hint="eastAsia"/>
        </w:rPr>
        <w:t>年整体库存增加的情况下，</w:t>
      </w:r>
      <w:r w:rsidRPr="00AF65B3">
        <w:rPr>
          <w:rFonts w:hint="eastAsia"/>
        </w:rPr>
        <w:t>2016</w:t>
      </w:r>
      <w:r w:rsidRPr="00AF65B3">
        <w:rPr>
          <w:rFonts w:hint="eastAsia"/>
        </w:rPr>
        <w:t>年计划的新增产能并未全部投产，在</w:t>
      </w:r>
      <w:r w:rsidRPr="00AF65B3">
        <w:t>氨纶产量最大的浙江</w:t>
      </w:r>
      <w:r w:rsidRPr="00AF65B3">
        <w:rPr>
          <w:rFonts w:hint="eastAsia"/>
        </w:rPr>
        <w:t>地区受</w:t>
      </w:r>
      <w:r w:rsidRPr="00AF65B3">
        <w:rPr>
          <w:rFonts w:hint="eastAsia"/>
        </w:rPr>
        <w:t>G20</w:t>
      </w:r>
      <w:r w:rsidRPr="00AF65B3">
        <w:rPr>
          <w:rFonts w:hint="eastAsia"/>
        </w:rPr>
        <w:t>峰会影响（企业停产、物流受限），库存快速消化，供需格局趋于</w:t>
      </w:r>
      <w:r>
        <w:rPr>
          <w:rFonts w:hint="eastAsia"/>
        </w:rPr>
        <w:t>平衡</w:t>
      </w:r>
      <w:r w:rsidRPr="00AF65B3">
        <w:rPr>
          <w:rFonts w:hint="eastAsia"/>
        </w:rPr>
        <w:t>；但</w:t>
      </w:r>
      <w:r w:rsidRPr="00AF65B3">
        <w:t>在增长的产量</w:t>
      </w:r>
      <w:r w:rsidRPr="00AF65B3">
        <w:rPr>
          <w:rFonts w:hint="eastAsia"/>
        </w:rPr>
        <w:t>中</w:t>
      </w:r>
      <w:r w:rsidRPr="00AF65B3">
        <w:t>，</w:t>
      </w:r>
      <w:r w:rsidRPr="00AF65B3">
        <w:rPr>
          <w:rFonts w:hint="eastAsia"/>
        </w:rPr>
        <w:t>依然以同质化产品为主，差异化程度不高；进口基本稳定，出口持续呈增长态势，</w:t>
      </w:r>
      <w:r w:rsidRPr="00AF65B3">
        <w:t>经济效益</w:t>
      </w:r>
      <w:r w:rsidRPr="00AF65B3">
        <w:rPr>
          <w:rFonts w:hint="eastAsia"/>
        </w:rPr>
        <w:t>高于化纤行业整体水平</w:t>
      </w:r>
      <w:r>
        <w:rPr>
          <w:rFonts w:hint="eastAsia"/>
        </w:rPr>
        <w:t>但显下降趋势</w:t>
      </w:r>
      <w:r w:rsidRPr="00AF65B3">
        <w:t>。</w:t>
      </w:r>
    </w:p>
    <w:p w:rsidR="00122F73" w:rsidRPr="00AF65B3" w:rsidRDefault="00122F73" w:rsidP="00122F73">
      <w:pPr>
        <w:pStyle w:val="001"/>
      </w:pPr>
      <w:r w:rsidRPr="00AF65B3">
        <w:t>201</w:t>
      </w:r>
      <w:r w:rsidRPr="00AF65B3">
        <w:rPr>
          <w:rFonts w:hint="eastAsia"/>
        </w:rPr>
        <w:t>6</w:t>
      </w:r>
      <w:r>
        <w:rPr>
          <w:rFonts w:hint="eastAsia"/>
        </w:rPr>
        <w:t>年</w:t>
      </w:r>
      <w:r w:rsidRPr="00AF65B3">
        <w:rPr>
          <w:rFonts w:hint="eastAsia"/>
        </w:rPr>
        <w:t>氨纶行业实现利润总额</w:t>
      </w:r>
      <w:r w:rsidRPr="00AF65B3">
        <w:rPr>
          <w:rFonts w:hint="eastAsia"/>
        </w:rPr>
        <w:t>12.96</w:t>
      </w:r>
      <w:r w:rsidRPr="00AF65B3">
        <w:rPr>
          <w:rFonts w:hint="eastAsia"/>
        </w:rPr>
        <w:t>亿元，同比下降</w:t>
      </w:r>
      <w:r w:rsidRPr="00AF65B3">
        <w:rPr>
          <w:rFonts w:hint="eastAsia"/>
        </w:rPr>
        <w:t>43.50</w:t>
      </w:r>
      <w:r w:rsidRPr="00AF65B3">
        <w:t>%</w:t>
      </w:r>
      <w:r w:rsidRPr="00AF65B3">
        <w:rPr>
          <w:rFonts w:hint="eastAsia"/>
        </w:rPr>
        <w:t>，利润率为</w:t>
      </w:r>
      <w:r w:rsidRPr="00AF65B3">
        <w:rPr>
          <w:rFonts w:hint="eastAsia"/>
        </w:rPr>
        <w:t>5.79</w:t>
      </w:r>
      <w:r w:rsidRPr="00AF65B3">
        <w:t>%</w:t>
      </w:r>
      <w:r w:rsidRPr="00AF65B3">
        <w:rPr>
          <w:rFonts w:hint="eastAsia"/>
        </w:rPr>
        <w:t>，同比下降</w:t>
      </w:r>
      <w:r w:rsidRPr="00AF65B3">
        <w:rPr>
          <w:rFonts w:hint="eastAsia"/>
        </w:rPr>
        <w:t>4.72</w:t>
      </w:r>
      <w:r w:rsidRPr="00AF65B3">
        <w:rPr>
          <w:rFonts w:hint="eastAsia"/>
        </w:rPr>
        <w:t>个百分点，但依然高于化纤行业的平均水平。氨纶行业主要偿债能力指标及盈利能力指标同比均有所下降，整体再次进入下行周期。</w:t>
      </w:r>
    </w:p>
    <w:p w:rsidR="00122F73" w:rsidRPr="00AF65B3" w:rsidRDefault="00122F73" w:rsidP="00122F73">
      <w:pPr>
        <w:pStyle w:val="000"/>
        <w:rPr>
          <w:rFonts w:hint="eastAsia"/>
        </w:rPr>
      </w:pPr>
      <w:r w:rsidRPr="00AF65B3">
        <w:rPr>
          <w:rFonts w:hint="eastAsia"/>
        </w:rPr>
        <w:t>一、氨纶行业运行基本情况</w:t>
      </w:r>
    </w:p>
    <w:p w:rsidR="00122F73" w:rsidRPr="00AF65B3" w:rsidRDefault="00122F73" w:rsidP="00122F73">
      <w:pPr>
        <w:pStyle w:val="005"/>
        <w:rPr>
          <w:color w:val="000000"/>
        </w:rPr>
      </w:pPr>
      <w:r w:rsidRPr="00AF65B3">
        <w:rPr>
          <w:color w:val="000000"/>
        </w:rPr>
        <w:t>（一）市场行情</w:t>
      </w:r>
    </w:p>
    <w:p w:rsidR="00122F73" w:rsidRPr="00AF65B3" w:rsidRDefault="00122F73" w:rsidP="00122F73">
      <w:pPr>
        <w:pStyle w:val="001"/>
      </w:pPr>
      <w:r w:rsidRPr="00AF65B3">
        <w:t>2016</w:t>
      </w:r>
      <w:r w:rsidRPr="00AF65B3">
        <w:rPr>
          <w:rFonts w:hint="eastAsia"/>
        </w:rPr>
        <w:t>年</w:t>
      </w:r>
      <w:r w:rsidRPr="00AF65B3">
        <w:t>氨纶</w:t>
      </w:r>
      <w:r w:rsidRPr="00AF65B3">
        <w:rPr>
          <w:rFonts w:hint="eastAsia"/>
        </w:rPr>
        <w:t>受</w:t>
      </w:r>
      <w:r w:rsidRPr="00AF65B3">
        <w:t>内部竞争的压力，上半年</w:t>
      </w:r>
      <w:r>
        <w:rPr>
          <w:rFonts w:hint="eastAsia"/>
        </w:rPr>
        <w:t>价格</w:t>
      </w:r>
      <w:r w:rsidRPr="00AF65B3">
        <w:t>延续单边下行，</w:t>
      </w:r>
      <w:r w:rsidRPr="00AF65B3">
        <w:rPr>
          <w:rFonts w:hint="eastAsia"/>
        </w:rPr>
        <w:t>下半年受</w:t>
      </w:r>
      <w:r w:rsidRPr="00AF65B3">
        <w:t>刚需</w:t>
      </w:r>
      <w:r w:rsidRPr="00AF65B3">
        <w:rPr>
          <w:rFonts w:hint="eastAsia"/>
        </w:rPr>
        <w:t>等</w:t>
      </w:r>
      <w:r w:rsidRPr="00AF65B3">
        <w:t>因素影响</w:t>
      </w:r>
      <w:r w:rsidRPr="00AF65B3">
        <w:rPr>
          <w:rFonts w:hint="eastAsia"/>
        </w:rPr>
        <w:t>，</w:t>
      </w:r>
      <w:r w:rsidRPr="00AF65B3">
        <w:t>价格小幅波动。</w:t>
      </w:r>
      <w:r w:rsidRPr="00AF65B3">
        <w:rPr>
          <w:rFonts w:hint="eastAsia"/>
        </w:rPr>
        <w:t>主流</w:t>
      </w:r>
      <w:r w:rsidRPr="00AF65B3">
        <w:rPr>
          <w:rFonts w:hint="eastAsia"/>
        </w:rPr>
        <w:t>40D</w:t>
      </w:r>
      <w:r w:rsidRPr="00AF65B3">
        <w:rPr>
          <w:rFonts w:hint="eastAsia"/>
        </w:rPr>
        <w:t>氨纶价格</w:t>
      </w:r>
      <w:r w:rsidRPr="00AF65B3">
        <w:t>从年初的</w:t>
      </w:r>
      <w:r w:rsidRPr="00AF65B3">
        <w:rPr>
          <w:rFonts w:hint="eastAsia"/>
        </w:rPr>
        <w:t>32000</w:t>
      </w:r>
      <w:r w:rsidRPr="00AF65B3">
        <w:rPr>
          <w:rFonts w:hint="eastAsia"/>
        </w:rPr>
        <w:t>元</w:t>
      </w:r>
      <w:r w:rsidRPr="00AF65B3">
        <w:rPr>
          <w:rFonts w:hint="eastAsia"/>
        </w:rPr>
        <w:t>/</w:t>
      </w:r>
      <w:r w:rsidRPr="00AF65B3">
        <w:rPr>
          <w:rFonts w:hint="eastAsia"/>
        </w:rPr>
        <w:t>吨一路</w:t>
      </w:r>
      <w:r w:rsidRPr="00AF65B3">
        <w:t>下行，</w:t>
      </w:r>
      <w:r w:rsidRPr="00AF65B3">
        <w:rPr>
          <w:rFonts w:hint="eastAsia"/>
        </w:rPr>
        <w:t>至</w:t>
      </w:r>
      <w:r w:rsidRPr="00AF65B3">
        <w:rPr>
          <w:rFonts w:hint="eastAsia"/>
        </w:rPr>
        <w:t>7</w:t>
      </w:r>
      <w:r w:rsidRPr="00AF65B3">
        <w:rPr>
          <w:rFonts w:hint="eastAsia"/>
        </w:rPr>
        <w:t>月份价格</w:t>
      </w:r>
      <w:r w:rsidRPr="00AF65B3">
        <w:t>跌至</w:t>
      </w:r>
      <w:r w:rsidRPr="00AF65B3">
        <w:rPr>
          <w:rFonts w:hint="eastAsia"/>
        </w:rPr>
        <w:t>28000</w:t>
      </w:r>
      <w:r w:rsidRPr="00AF65B3">
        <w:rPr>
          <w:rFonts w:hint="eastAsia"/>
        </w:rPr>
        <w:t>元</w:t>
      </w:r>
      <w:r w:rsidRPr="00AF65B3">
        <w:rPr>
          <w:rFonts w:hint="eastAsia"/>
        </w:rPr>
        <w:t>/</w:t>
      </w:r>
      <w:r w:rsidRPr="00AF65B3">
        <w:rPr>
          <w:rFonts w:hint="eastAsia"/>
        </w:rPr>
        <w:t>吨，在成本</w:t>
      </w:r>
      <w:r w:rsidRPr="00AF65B3">
        <w:t>压力</w:t>
      </w:r>
      <w:r w:rsidRPr="00AF65B3">
        <w:rPr>
          <w:rFonts w:hint="eastAsia"/>
        </w:rPr>
        <w:t>以及</w:t>
      </w:r>
      <w:r w:rsidRPr="00AF65B3">
        <w:rPr>
          <w:rFonts w:hint="eastAsia"/>
        </w:rPr>
        <w:t>G20</w:t>
      </w:r>
      <w:r w:rsidRPr="00AF65B3">
        <w:rPr>
          <w:rFonts w:hint="eastAsia"/>
        </w:rPr>
        <w:t>停产</w:t>
      </w:r>
      <w:r w:rsidRPr="00AF65B3">
        <w:t>及物流</w:t>
      </w:r>
      <w:r w:rsidRPr="00AF65B3">
        <w:rPr>
          <w:rFonts w:hint="eastAsia"/>
        </w:rPr>
        <w:t>运输受限</w:t>
      </w:r>
      <w:r w:rsidRPr="00AF65B3">
        <w:t>的</w:t>
      </w:r>
      <w:r w:rsidRPr="00AF65B3">
        <w:rPr>
          <w:rFonts w:hint="eastAsia"/>
        </w:rPr>
        <w:t>影响</w:t>
      </w:r>
      <w:r w:rsidRPr="00AF65B3">
        <w:t>下，</w:t>
      </w:r>
      <w:r w:rsidRPr="00AF65B3">
        <w:rPr>
          <w:rFonts w:hint="eastAsia"/>
        </w:rPr>
        <w:t>氨纶行业</w:t>
      </w:r>
      <w:r w:rsidRPr="00AF65B3">
        <w:t>快速去库存，</w:t>
      </w:r>
      <w:r w:rsidRPr="00AF65B3">
        <w:rPr>
          <w:rFonts w:hint="eastAsia"/>
        </w:rPr>
        <w:t>从而带动</w:t>
      </w:r>
      <w:r w:rsidRPr="00AF65B3">
        <w:t>价格小幅上涨</w:t>
      </w:r>
      <w:r w:rsidRPr="00AF65B3">
        <w:rPr>
          <w:rFonts w:hint="eastAsia"/>
        </w:rPr>
        <w:t>1000~2000</w:t>
      </w:r>
      <w:r w:rsidRPr="00AF65B3">
        <w:rPr>
          <w:rFonts w:hint="eastAsia"/>
        </w:rPr>
        <w:t>元</w:t>
      </w:r>
      <w:r w:rsidRPr="00AF65B3">
        <w:rPr>
          <w:rFonts w:hint="eastAsia"/>
        </w:rPr>
        <w:t>/</w:t>
      </w:r>
      <w:r w:rsidRPr="00AF65B3">
        <w:rPr>
          <w:rFonts w:hint="eastAsia"/>
        </w:rPr>
        <w:t>吨，但三季度</w:t>
      </w:r>
      <w:r w:rsidRPr="00AF65B3">
        <w:t>的</w:t>
      </w:r>
      <w:r w:rsidRPr="00AF65B3">
        <w:rPr>
          <w:rFonts w:hint="eastAsia"/>
        </w:rPr>
        <w:t>反弹</w:t>
      </w:r>
      <w:r w:rsidRPr="00AF65B3">
        <w:t>持续时间较短</w:t>
      </w:r>
      <w:r w:rsidRPr="00AF65B3">
        <w:rPr>
          <w:rFonts w:hint="eastAsia"/>
        </w:rPr>
        <w:t>。</w:t>
      </w:r>
    </w:p>
    <w:p w:rsidR="00122F73" w:rsidRPr="00AF65B3" w:rsidRDefault="00122F73" w:rsidP="00122F73">
      <w:pPr>
        <w:pStyle w:val="001"/>
        <w:rPr>
          <w:rFonts w:hint="eastAsia"/>
        </w:rPr>
      </w:pPr>
      <w:r w:rsidRPr="00AF65B3">
        <w:t>四季度</w:t>
      </w:r>
      <w:r w:rsidRPr="00AF65B3">
        <w:rPr>
          <w:rFonts w:hint="eastAsia"/>
        </w:rPr>
        <w:t>的传统旺季</w:t>
      </w:r>
      <w:r w:rsidRPr="00AF65B3">
        <w:t>后延，</w:t>
      </w:r>
      <w:r w:rsidRPr="00AF65B3">
        <w:rPr>
          <w:rFonts w:hint="eastAsia"/>
        </w:rPr>
        <w:t>10</w:t>
      </w:r>
      <w:r w:rsidRPr="00AF65B3">
        <w:rPr>
          <w:rFonts w:hint="eastAsia"/>
        </w:rPr>
        <w:t>月</w:t>
      </w:r>
      <w:r w:rsidRPr="00AF65B3">
        <w:t>下</w:t>
      </w:r>
      <w:r w:rsidRPr="00AF65B3">
        <w:rPr>
          <w:rFonts w:hint="eastAsia"/>
        </w:rPr>
        <w:t>半月</w:t>
      </w:r>
      <w:r w:rsidRPr="00AF65B3">
        <w:t>开始</w:t>
      </w:r>
      <w:r w:rsidRPr="00AF65B3">
        <w:rPr>
          <w:rFonts w:hint="eastAsia"/>
        </w:rPr>
        <w:t>，</w:t>
      </w:r>
      <w:r w:rsidRPr="00AF65B3">
        <w:t>氨纶</w:t>
      </w:r>
      <w:r w:rsidRPr="00AF65B3">
        <w:rPr>
          <w:rFonts w:hint="eastAsia"/>
        </w:rPr>
        <w:t>刚需持续</w:t>
      </w:r>
      <w:r w:rsidRPr="00AF65B3">
        <w:t>高位</w:t>
      </w:r>
      <w:r w:rsidRPr="00AF65B3">
        <w:rPr>
          <w:rFonts w:hint="eastAsia"/>
        </w:rPr>
        <w:t>，而且</w:t>
      </w:r>
      <w:r w:rsidRPr="00AF65B3">
        <w:t>在</w:t>
      </w:r>
      <w:r w:rsidRPr="00AF65B3">
        <w:rPr>
          <w:rFonts w:hint="eastAsia"/>
        </w:rPr>
        <w:t>经过</w:t>
      </w:r>
      <w:r w:rsidRPr="00AF65B3">
        <w:rPr>
          <w:rFonts w:hint="eastAsia"/>
        </w:rPr>
        <w:t>G20</w:t>
      </w:r>
      <w:r w:rsidRPr="00AF65B3">
        <w:rPr>
          <w:rFonts w:hint="eastAsia"/>
        </w:rPr>
        <w:t>的</w:t>
      </w:r>
      <w:r w:rsidRPr="00AF65B3">
        <w:t>去库存</w:t>
      </w:r>
      <w:r w:rsidRPr="00AF65B3">
        <w:rPr>
          <w:rFonts w:hint="eastAsia"/>
        </w:rPr>
        <w:t>阶段</w:t>
      </w:r>
      <w:r w:rsidRPr="00AF65B3">
        <w:t>后</w:t>
      </w:r>
      <w:r w:rsidRPr="00AF65B3">
        <w:rPr>
          <w:rFonts w:hint="eastAsia"/>
        </w:rPr>
        <w:t>，</w:t>
      </w:r>
      <w:r w:rsidRPr="00AF65B3">
        <w:t>氨纶厂家</w:t>
      </w:r>
      <w:r w:rsidRPr="00AF65B3">
        <w:rPr>
          <w:rFonts w:hint="eastAsia"/>
        </w:rPr>
        <w:t>产销情况</w:t>
      </w:r>
      <w:r w:rsidRPr="00AF65B3">
        <w:t>持续良好。</w:t>
      </w:r>
      <w:r w:rsidRPr="00AF65B3">
        <w:rPr>
          <w:rFonts w:hint="eastAsia"/>
        </w:rPr>
        <w:t>四季度末，</w:t>
      </w:r>
      <w:r w:rsidRPr="00AF65B3">
        <w:t>在随着成本</w:t>
      </w:r>
      <w:r w:rsidRPr="00AF65B3">
        <w:rPr>
          <w:rFonts w:hint="eastAsia"/>
        </w:rPr>
        <w:t>上涨</w:t>
      </w:r>
      <w:r w:rsidRPr="00AF65B3">
        <w:t>推动，以及</w:t>
      </w:r>
      <w:r w:rsidRPr="00AF65B3">
        <w:rPr>
          <w:rFonts w:hint="eastAsia"/>
        </w:rPr>
        <w:t>涤纶</w:t>
      </w:r>
      <w:r w:rsidRPr="00AF65B3">
        <w:t>、锦纶等化纤产品上涨的</w:t>
      </w:r>
      <w:r w:rsidRPr="00AF65B3">
        <w:rPr>
          <w:rFonts w:hint="eastAsia"/>
        </w:rPr>
        <w:t>大趋势</w:t>
      </w:r>
      <w:r w:rsidRPr="00AF65B3">
        <w:t>下，氨纶</w:t>
      </w:r>
      <w:r w:rsidRPr="00AF65B3">
        <w:rPr>
          <w:rFonts w:hint="eastAsia"/>
        </w:rPr>
        <w:t>价格</w:t>
      </w:r>
      <w:r w:rsidRPr="00AF65B3">
        <w:t>年末</w:t>
      </w:r>
      <w:r w:rsidRPr="00AF65B3">
        <w:rPr>
          <w:rFonts w:hint="eastAsia"/>
        </w:rPr>
        <w:t>也随之</w:t>
      </w:r>
      <w:r w:rsidRPr="00AF65B3">
        <w:t>上涨，</w:t>
      </w:r>
      <w:r w:rsidRPr="00AF65B3">
        <w:rPr>
          <w:rFonts w:hint="eastAsia"/>
        </w:rPr>
        <w:t>涨幅</w:t>
      </w:r>
      <w:r w:rsidRPr="00AF65B3">
        <w:t>在</w:t>
      </w:r>
      <w:r w:rsidRPr="00AF65B3">
        <w:rPr>
          <w:rFonts w:hint="eastAsia"/>
        </w:rPr>
        <w:t>2000~3000</w:t>
      </w:r>
      <w:r w:rsidRPr="00AF65B3">
        <w:rPr>
          <w:rFonts w:hint="eastAsia"/>
        </w:rPr>
        <w:t>元</w:t>
      </w:r>
      <w:r w:rsidRPr="00AF65B3">
        <w:rPr>
          <w:rFonts w:hint="eastAsia"/>
        </w:rPr>
        <w:t>/</w:t>
      </w:r>
      <w:r w:rsidRPr="00AF65B3">
        <w:rPr>
          <w:rFonts w:hint="eastAsia"/>
        </w:rPr>
        <w:t>吨左右（图</w:t>
      </w:r>
      <w:r w:rsidRPr="00AF65B3">
        <w:rPr>
          <w:rFonts w:hint="eastAsia"/>
        </w:rPr>
        <w:t>1</w:t>
      </w:r>
      <w:r w:rsidRPr="00AF65B3">
        <w:rPr>
          <w:rFonts w:hint="eastAsia"/>
        </w:rPr>
        <w:t>）</w:t>
      </w:r>
      <w:r w:rsidRPr="00AF65B3">
        <w:t>。</w:t>
      </w:r>
    </w:p>
    <w:p w:rsidR="00122F73" w:rsidRPr="00AF65B3" w:rsidRDefault="00122F73" w:rsidP="00122F73">
      <w:pPr>
        <w:pStyle w:val="006"/>
        <w:rPr>
          <w:color w:val="000000"/>
        </w:rPr>
      </w:pPr>
      <w:r w:rsidRPr="00DA75E9">
        <w:rPr>
          <w:noProof/>
          <w:color w:val="000000"/>
        </w:rPr>
        <w:lastRenderedPageBreak/>
        <w:drawing>
          <wp:inline distT="0" distB="0" distL="0" distR="0">
            <wp:extent cx="4518660" cy="2720340"/>
            <wp:effectExtent l="0" t="0" r="0" b="3810"/>
            <wp:docPr id="6" name="图片 6" descr="25-2016年氨纶价格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2016年氨纶价格走势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8660" cy="2720340"/>
                    </a:xfrm>
                    <a:prstGeom prst="rect">
                      <a:avLst/>
                    </a:prstGeom>
                    <a:noFill/>
                    <a:ln>
                      <a:noFill/>
                    </a:ln>
                  </pic:spPr>
                </pic:pic>
              </a:graphicData>
            </a:graphic>
          </wp:inline>
        </w:drawing>
      </w:r>
    </w:p>
    <w:p w:rsidR="00122F73" w:rsidRPr="00AF65B3" w:rsidRDefault="00122F73" w:rsidP="00122F73">
      <w:pPr>
        <w:pStyle w:val="003"/>
        <w:rPr>
          <w:color w:val="000000"/>
        </w:rPr>
      </w:pPr>
      <w:r w:rsidRPr="00AF65B3">
        <w:rPr>
          <w:color w:val="000000"/>
        </w:rPr>
        <w:t>资料来源：中国化纤信息网</w:t>
      </w:r>
    </w:p>
    <w:p w:rsidR="00122F73" w:rsidRPr="00AF65B3" w:rsidRDefault="00122F73" w:rsidP="00122F73">
      <w:pPr>
        <w:pStyle w:val="002"/>
        <w:spacing w:before="156" w:after="156"/>
        <w:rPr>
          <w:color w:val="000000"/>
        </w:rPr>
      </w:pPr>
      <w:r w:rsidRPr="00AF65B3">
        <w:rPr>
          <w:rFonts w:hint="eastAsia"/>
          <w:color w:val="000000"/>
        </w:rPr>
        <w:t>图</w:t>
      </w:r>
      <w:r w:rsidRPr="00AF65B3">
        <w:rPr>
          <w:rFonts w:hint="eastAsia"/>
          <w:color w:val="000000"/>
        </w:rPr>
        <w:t>1</w:t>
      </w:r>
      <w:r>
        <w:rPr>
          <w:rFonts w:hint="eastAsia"/>
          <w:color w:val="000000"/>
        </w:rPr>
        <w:t xml:space="preserve">  </w:t>
      </w:r>
      <w:r w:rsidRPr="00AF65B3">
        <w:rPr>
          <w:rFonts w:hint="eastAsia"/>
          <w:color w:val="000000"/>
        </w:rPr>
        <w:t>2016</w:t>
      </w:r>
      <w:r w:rsidRPr="00AF65B3">
        <w:rPr>
          <w:rFonts w:hint="eastAsia"/>
          <w:color w:val="000000"/>
        </w:rPr>
        <w:t>年氨纶价格走势图</w:t>
      </w:r>
    </w:p>
    <w:p w:rsidR="00122F73" w:rsidRPr="00AF65B3" w:rsidRDefault="00122F73" w:rsidP="00122F73">
      <w:pPr>
        <w:pStyle w:val="001"/>
        <w:rPr>
          <w:rFonts w:hint="eastAsia"/>
        </w:rPr>
      </w:pPr>
      <w:bookmarkStart w:id="3" w:name="_Toc405481068"/>
      <w:r>
        <w:rPr>
          <w:rFonts w:hint="eastAsia"/>
        </w:rPr>
        <w:t>如</w:t>
      </w:r>
      <w:r w:rsidRPr="00AF65B3">
        <w:rPr>
          <w:rFonts w:hint="eastAsia"/>
        </w:rPr>
        <w:t>表</w:t>
      </w:r>
      <w:r>
        <w:rPr>
          <w:rFonts w:hint="eastAsia"/>
        </w:rPr>
        <w:t>1</w:t>
      </w:r>
      <w:r w:rsidRPr="00AF65B3">
        <w:t>所示，</w:t>
      </w:r>
      <w:r w:rsidRPr="00AF65B3">
        <w:rPr>
          <w:rFonts w:hint="eastAsia"/>
        </w:rPr>
        <w:t>虽然</w:t>
      </w:r>
      <w:r w:rsidRPr="00AF65B3">
        <w:t>氨纶</w:t>
      </w:r>
      <w:r w:rsidRPr="00AF65B3">
        <w:rPr>
          <w:rFonts w:hint="eastAsia"/>
        </w:rPr>
        <w:t>价格年底</w:t>
      </w:r>
      <w:r w:rsidRPr="00AF65B3">
        <w:t>反弹</w:t>
      </w:r>
      <w:r w:rsidRPr="00AF65B3">
        <w:rPr>
          <w:rFonts w:hint="eastAsia"/>
        </w:rPr>
        <w:t>，</w:t>
      </w:r>
      <w:r w:rsidRPr="00AF65B3">
        <w:t>但</w:t>
      </w:r>
      <w:r w:rsidRPr="00AF65B3">
        <w:rPr>
          <w:rFonts w:hint="eastAsia"/>
        </w:rPr>
        <w:t>由于</w:t>
      </w:r>
      <w:r w:rsidRPr="00AF65B3">
        <w:t>上半年的</w:t>
      </w:r>
      <w:r w:rsidRPr="00AF65B3">
        <w:rPr>
          <w:rFonts w:hint="eastAsia"/>
        </w:rPr>
        <w:t>大幅</w:t>
      </w:r>
      <w:r w:rsidRPr="00AF65B3">
        <w:t>下跌，</w:t>
      </w:r>
      <w:r w:rsidRPr="00AF65B3">
        <w:rPr>
          <w:rFonts w:hint="eastAsia"/>
        </w:rPr>
        <w:t>年内</w:t>
      </w:r>
      <w:r w:rsidRPr="00AF65B3">
        <w:t>主流氨纶</w:t>
      </w:r>
      <w:r w:rsidRPr="00AF65B3">
        <w:rPr>
          <w:rFonts w:hint="eastAsia"/>
        </w:rPr>
        <w:t>价格仍</w:t>
      </w:r>
      <w:r w:rsidRPr="00AF65B3">
        <w:t>有不同程度的</w:t>
      </w:r>
      <w:r>
        <w:rPr>
          <w:rFonts w:hint="eastAsia"/>
        </w:rPr>
        <w:t>下降。</w:t>
      </w:r>
    </w:p>
    <w:p w:rsidR="00122F73" w:rsidRPr="00AF65B3" w:rsidRDefault="00122F73" w:rsidP="00122F73">
      <w:pPr>
        <w:pStyle w:val="002"/>
        <w:spacing w:before="156" w:after="156"/>
        <w:rPr>
          <w:rFonts w:hint="eastAsia"/>
          <w:color w:val="000000"/>
          <w:kern w:val="2"/>
        </w:rPr>
      </w:pPr>
      <w:r w:rsidRPr="00AF65B3">
        <w:rPr>
          <w:color w:val="000000"/>
          <w:kern w:val="2"/>
        </w:rPr>
        <w:t>表</w:t>
      </w:r>
      <w:r w:rsidRPr="00AF65B3">
        <w:rPr>
          <w:color w:val="000000"/>
          <w:kern w:val="2"/>
        </w:rPr>
        <w:t>1</w:t>
      </w:r>
      <w:r>
        <w:rPr>
          <w:color w:val="000000"/>
          <w:kern w:val="2"/>
        </w:rPr>
        <w:t xml:space="preserve">  </w:t>
      </w:r>
      <w:r w:rsidRPr="00AF65B3">
        <w:rPr>
          <w:color w:val="000000"/>
          <w:kern w:val="2"/>
        </w:rPr>
        <w:t>201</w:t>
      </w:r>
      <w:r w:rsidRPr="00AF65B3">
        <w:rPr>
          <w:rFonts w:hint="eastAsia"/>
          <w:color w:val="000000"/>
          <w:kern w:val="2"/>
        </w:rPr>
        <w:t>5</w:t>
      </w:r>
      <w:r w:rsidRPr="00AF65B3">
        <w:rPr>
          <w:color w:val="000000"/>
          <w:kern w:val="2"/>
        </w:rPr>
        <w:t>年氨纶价格</w:t>
      </w:r>
      <w:r w:rsidRPr="00AF65B3">
        <w:rPr>
          <w:rFonts w:hint="eastAsia"/>
          <w:color w:val="000000"/>
          <w:kern w:val="2"/>
        </w:rPr>
        <w:t>变化</w:t>
      </w:r>
      <w:bookmarkEnd w:id="3"/>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1"/>
        <w:gridCol w:w="1799"/>
        <w:gridCol w:w="1799"/>
        <w:gridCol w:w="1799"/>
      </w:tblGrid>
      <w:tr w:rsidR="00122F73" w:rsidRPr="00AF65B3" w:rsidTr="00C10522">
        <w:trPr>
          <w:trHeight w:val="340"/>
          <w:jc w:val="center"/>
        </w:trPr>
        <w:tc>
          <w:tcPr>
            <w:tcW w:w="169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品种</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年初（元</w:t>
            </w:r>
            <w:r w:rsidRPr="00AF65B3">
              <w:rPr>
                <w:rFonts w:ascii="Times New Roman" w:eastAsia="黑体" w:hAnsi="Times New Roman"/>
                <w:color w:val="000000"/>
                <w:sz w:val="18"/>
                <w:szCs w:val="18"/>
              </w:rPr>
              <w:t>/</w:t>
            </w:r>
            <w:r w:rsidRPr="00AF65B3">
              <w:rPr>
                <w:rFonts w:ascii="Times New Roman" w:eastAsia="黑体"/>
                <w:color w:val="000000"/>
                <w:sz w:val="18"/>
                <w:szCs w:val="18"/>
              </w:rPr>
              <w:t>吨）</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年尾（元</w:t>
            </w:r>
            <w:r w:rsidRPr="00AF65B3">
              <w:rPr>
                <w:rFonts w:ascii="Times New Roman" w:eastAsia="黑体" w:hAnsi="Times New Roman"/>
                <w:color w:val="000000"/>
                <w:sz w:val="18"/>
                <w:szCs w:val="18"/>
              </w:rPr>
              <w:t>/</w:t>
            </w:r>
            <w:r w:rsidRPr="00AF65B3">
              <w:rPr>
                <w:rFonts w:ascii="Times New Roman" w:eastAsia="黑体"/>
                <w:color w:val="000000"/>
                <w:sz w:val="18"/>
                <w:szCs w:val="18"/>
              </w:rPr>
              <w:t>吨）</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涨幅（</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40"/>
          <w:jc w:val="center"/>
        </w:trPr>
        <w:tc>
          <w:tcPr>
            <w:tcW w:w="169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20D</w:t>
            </w:r>
            <w:r w:rsidRPr="00AF65B3">
              <w:rPr>
                <w:rFonts w:ascii="Times New Roman" w:hAnsi="Times New Roman"/>
                <w:color w:val="000000"/>
                <w:sz w:val="18"/>
                <w:szCs w:val="18"/>
              </w:rPr>
              <w:t>氨纶</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41000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35500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-13.4</w:t>
            </w:r>
          </w:p>
        </w:tc>
      </w:tr>
      <w:tr w:rsidR="00122F73" w:rsidRPr="00AF65B3" w:rsidTr="00C10522">
        <w:trPr>
          <w:trHeight w:val="340"/>
          <w:jc w:val="center"/>
        </w:trPr>
        <w:tc>
          <w:tcPr>
            <w:tcW w:w="169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30D</w:t>
            </w:r>
            <w:r w:rsidRPr="00AF65B3">
              <w:rPr>
                <w:rFonts w:ascii="Times New Roman" w:hAnsi="Times New Roman"/>
                <w:color w:val="000000"/>
                <w:sz w:val="18"/>
                <w:szCs w:val="18"/>
              </w:rPr>
              <w:t>氨纶</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38000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34500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-9.2</w:t>
            </w:r>
          </w:p>
        </w:tc>
      </w:tr>
      <w:tr w:rsidR="00122F73" w:rsidRPr="00AF65B3" w:rsidTr="00C10522">
        <w:trPr>
          <w:trHeight w:val="340"/>
          <w:jc w:val="center"/>
        </w:trPr>
        <w:tc>
          <w:tcPr>
            <w:tcW w:w="169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40D</w:t>
            </w:r>
            <w:r w:rsidRPr="00AF65B3">
              <w:rPr>
                <w:rFonts w:ascii="Times New Roman" w:hAnsi="Times New Roman"/>
                <w:color w:val="000000"/>
                <w:sz w:val="18"/>
                <w:szCs w:val="18"/>
              </w:rPr>
              <w:t>氨纶</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32500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30000</w:t>
            </w:r>
          </w:p>
        </w:tc>
        <w:tc>
          <w:tcPr>
            <w:tcW w:w="179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-7.7</w:t>
            </w:r>
          </w:p>
        </w:tc>
      </w:tr>
    </w:tbl>
    <w:p w:rsidR="00122F73" w:rsidRPr="00AF65B3" w:rsidRDefault="00122F73" w:rsidP="00122F73">
      <w:pPr>
        <w:pStyle w:val="003"/>
        <w:rPr>
          <w:rFonts w:hint="eastAsia"/>
          <w:color w:val="000000"/>
          <w:kern w:val="2"/>
        </w:rPr>
      </w:pPr>
      <w:r w:rsidRPr="00AF65B3">
        <w:rPr>
          <w:color w:val="000000"/>
          <w:kern w:val="2"/>
        </w:rPr>
        <w:t>资料来源：中国化学纤维工业协会氨纶专业委员会</w:t>
      </w:r>
    </w:p>
    <w:p w:rsidR="00122F73" w:rsidRPr="00AF65B3" w:rsidRDefault="00122F73" w:rsidP="00122F73">
      <w:pPr>
        <w:pStyle w:val="007"/>
        <w:rPr>
          <w:color w:val="000000"/>
          <w:kern w:val="2"/>
        </w:rPr>
      </w:pPr>
    </w:p>
    <w:p w:rsidR="00122F73" w:rsidRPr="00AF65B3" w:rsidRDefault="00122F73" w:rsidP="00122F73">
      <w:pPr>
        <w:pStyle w:val="005"/>
        <w:rPr>
          <w:color w:val="000000"/>
        </w:rPr>
      </w:pPr>
      <w:r w:rsidRPr="00AF65B3">
        <w:rPr>
          <w:color w:val="000000"/>
        </w:rPr>
        <w:t>（二）生产情况</w:t>
      </w:r>
    </w:p>
    <w:p w:rsidR="00122F73" w:rsidRPr="00AF65B3" w:rsidRDefault="00122F73" w:rsidP="00122F73">
      <w:pPr>
        <w:pStyle w:val="001"/>
      </w:pPr>
      <w:r w:rsidRPr="00AF65B3">
        <w:t>201</w:t>
      </w:r>
      <w:r w:rsidRPr="00AF65B3">
        <w:rPr>
          <w:rFonts w:hint="eastAsia"/>
        </w:rPr>
        <w:t>6</w:t>
      </w:r>
      <w:r w:rsidRPr="00AF65B3">
        <w:t>年</w:t>
      </w:r>
      <w:r w:rsidRPr="00AF65B3">
        <w:rPr>
          <w:rFonts w:hint="eastAsia"/>
        </w:rPr>
        <w:t>随着氨纶库存的增加，价格的下跌，部分新增产能并未完全释放，产量虽继续增加，但增幅明显下滑。</w:t>
      </w:r>
      <w:r w:rsidRPr="00AF65B3">
        <w:t>1~11</w:t>
      </w:r>
      <w:r>
        <w:t>月</w:t>
      </w:r>
      <w:r w:rsidRPr="00AF65B3">
        <w:t>氨纶产量为</w:t>
      </w:r>
      <w:r w:rsidRPr="00AF65B3">
        <w:t>48.27</w:t>
      </w:r>
      <w:r w:rsidRPr="00AF65B3">
        <w:t>万吨，与</w:t>
      </w:r>
      <w:r w:rsidRPr="00AF65B3">
        <w:t>201</w:t>
      </w:r>
      <w:r w:rsidRPr="00AF65B3">
        <w:rPr>
          <w:rFonts w:hint="eastAsia"/>
        </w:rPr>
        <w:t>5</w:t>
      </w:r>
      <w:r w:rsidRPr="00AF65B3">
        <w:t>年同期相比增加</w:t>
      </w:r>
      <w:r w:rsidRPr="00AF65B3">
        <w:rPr>
          <w:rFonts w:hint="eastAsia"/>
        </w:rPr>
        <w:t>1.05</w:t>
      </w:r>
      <w:r w:rsidRPr="00AF65B3">
        <w:t>万吨，同比增幅</w:t>
      </w:r>
      <w:r w:rsidRPr="00AF65B3">
        <w:rPr>
          <w:rFonts w:hint="eastAsia"/>
        </w:rPr>
        <w:t>仅</w:t>
      </w:r>
      <w:r w:rsidRPr="00AF65B3">
        <w:rPr>
          <w:rFonts w:hint="eastAsia"/>
        </w:rPr>
        <w:t>2.22</w:t>
      </w:r>
      <w:r w:rsidRPr="00AF65B3">
        <w:t>%</w:t>
      </w:r>
      <w:r>
        <w:rPr>
          <w:rFonts w:hint="eastAsia"/>
        </w:rPr>
        <w:t>，</w:t>
      </w:r>
      <w:r w:rsidRPr="00AF65B3">
        <w:rPr>
          <w:rFonts w:hint="eastAsia"/>
        </w:rPr>
        <w:t>小于</w:t>
      </w:r>
      <w:r w:rsidRPr="00AF65B3">
        <w:rPr>
          <w:rFonts w:hint="eastAsia"/>
        </w:rPr>
        <w:t>2015</w:t>
      </w:r>
      <w:r w:rsidRPr="00AF65B3">
        <w:rPr>
          <w:rFonts w:hint="eastAsia"/>
        </w:rPr>
        <w:t>年同期</w:t>
      </w:r>
      <w:r w:rsidRPr="00AF65B3">
        <w:rPr>
          <w:rFonts w:hint="eastAsia"/>
        </w:rPr>
        <w:t>5.96%</w:t>
      </w:r>
      <w:r w:rsidRPr="00AF65B3">
        <w:rPr>
          <w:rFonts w:hint="eastAsia"/>
        </w:rPr>
        <w:t>的同比增幅（表</w:t>
      </w:r>
      <w:r w:rsidRPr="00AF65B3">
        <w:rPr>
          <w:rFonts w:hint="eastAsia"/>
        </w:rPr>
        <w:t>2</w:t>
      </w:r>
      <w:r w:rsidRPr="00AF65B3">
        <w:rPr>
          <w:rFonts w:hint="eastAsia"/>
        </w:rPr>
        <w:t>）</w:t>
      </w:r>
      <w:r w:rsidRPr="00AF65B3">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2</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w:t>
      </w:r>
      <w:r w:rsidRPr="00AF65B3">
        <w:rPr>
          <w:color w:val="000000"/>
          <w:kern w:val="2"/>
        </w:rPr>
        <w:t>1</w:t>
      </w:r>
      <w:r w:rsidRPr="00AF65B3">
        <w:rPr>
          <w:color w:val="000000"/>
          <w:kern w:val="2"/>
        </w:rPr>
        <w:t>～</w:t>
      </w:r>
      <w:r w:rsidRPr="00AF65B3">
        <w:rPr>
          <w:color w:val="000000"/>
          <w:kern w:val="2"/>
        </w:rPr>
        <w:t>11</w:t>
      </w:r>
      <w:r w:rsidRPr="00AF65B3">
        <w:rPr>
          <w:color w:val="000000"/>
          <w:kern w:val="2"/>
        </w:rPr>
        <w:t>月氨纶产量同比变化情况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681"/>
        <w:gridCol w:w="1749"/>
        <w:gridCol w:w="1602"/>
        <w:gridCol w:w="2056"/>
      </w:tblGrid>
      <w:tr w:rsidR="00122F73" w:rsidRPr="00AF65B3" w:rsidTr="00C10522">
        <w:trPr>
          <w:trHeight w:val="340"/>
          <w:jc w:val="center"/>
        </w:trPr>
        <w:tc>
          <w:tcPr>
            <w:tcW w:w="168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项目</w:t>
            </w:r>
          </w:p>
        </w:tc>
        <w:tc>
          <w:tcPr>
            <w:tcW w:w="174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1~11</w:t>
            </w:r>
            <w:r w:rsidRPr="00AF65B3">
              <w:rPr>
                <w:rFonts w:ascii="Times New Roman" w:eastAsia="黑体"/>
                <w:color w:val="000000"/>
                <w:sz w:val="18"/>
                <w:szCs w:val="18"/>
              </w:rPr>
              <w:t>月</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（万吨）</w:t>
            </w:r>
          </w:p>
        </w:tc>
        <w:tc>
          <w:tcPr>
            <w:tcW w:w="1602"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r w:rsidRPr="00AF65B3">
              <w:rPr>
                <w:rFonts w:ascii="Times New Roman" w:eastAsia="黑体"/>
                <w:color w:val="000000"/>
                <w:sz w:val="18"/>
                <w:szCs w:val="18"/>
              </w:rPr>
              <w:t>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（万吨）</w:t>
            </w:r>
          </w:p>
        </w:tc>
        <w:tc>
          <w:tcPr>
            <w:tcW w:w="2056"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40"/>
          <w:jc w:val="center"/>
        </w:trPr>
        <w:tc>
          <w:tcPr>
            <w:tcW w:w="168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氨纶产量</w:t>
            </w:r>
          </w:p>
        </w:tc>
        <w:tc>
          <w:tcPr>
            <w:tcW w:w="174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48.27</w:t>
            </w:r>
          </w:p>
        </w:tc>
        <w:tc>
          <w:tcPr>
            <w:tcW w:w="1602"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47.22</w:t>
            </w:r>
          </w:p>
        </w:tc>
        <w:tc>
          <w:tcPr>
            <w:tcW w:w="205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2.22</w:t>
            </w:r>
          </w:p>
        </w:tc>
      </w:tr>
    </w:tbl>
    <w:p w:rsidR="00122F73" w:rsidRPr="00AF65B3" w:rsidRDefault="00122F73" w:rsidP="00122F73">
      <w:pPr>
        <w:pStyle w:val="003"/>
        <w:rPr>
          <w:rFonts w:hint="eastAsia"/>
          <w:color w:val="000000"/>
          <w:kern w:val="2"/>
        </w:rPr>
      </w:pPr>
      <w:r w:rsidRPr="00AF65B3">
        <w:rPr>
          <w:color w:val="000000"/>
          <w:kern w:val="2"/>
        </w:rPr>
        <w:t>资料来源：国家统计局</w:t>
      </w:r>
    </w:p>
    <w:p w:rsidR="00122F73" w:rsidRPr="00AF65B3" w:rsidRDefault="00122F73" w:rsidP="00122F73">
      <w:pPr>
        <w:pStyle w:val="007"/>
        <w:rPr>
          <w:rFonts w:hint="eastAsia"/>
          <w:color w:val="000000"/>
          <w:kern w:val="2"/>
        </w:rPr>
      </w:pPr>
    </w:p>
    <w:p w:rsidR="00122F73" w:rsidRPr="00AF65B3" w:rsidRDefault="00122F73" w:rsidP="00122F73">
      <w:pPr>
        <w:pStyle w:val="001"/>
      </w:pPr>
      <w:r w:rsidRPr="00AF65B3">
        <w:t>201</w:t>
      </w:r>
      <w:r w:rsidRPr="00AF65B3">
        <w:rPr>
          <w:rFonts w:hint="eastAsia"/>
        </w:rPr>
        <w:t>6</w:t>
      </w:r>
      <w:r w:rsidRPr="00AF65B3">
        <w:t>年</w:t>
      </w:r>
      <w:r w:rsidRPr="00AF65B3">
        <w:t>1~11</w:t>
      </w:r>
      <w:r w:rsidRPr="00AF65B3">
        <w:t>月，氨纶产量最大的地区</w:t>
      </w:r>
      <w:r w:rsidRPr="00AF65B3">
        <w:rPr>
          <w:rFonts w:hint="eastAsia"/>
        </w:rPr>
        <w:t>依然</w:t>
      </w:r>
      <w:r w:rsidRPr="00AF65B3">
        <w:t>为浙江省，产量</w:t>
      </w:r>
      <w:r w:rsidRPr="00AF65B3">
        <w:rPr>
          <w:rFonts w:hint="eastAsia"/>
        </w:rPr>
        <w:t>22.84</w:t>
      </w:r>
      <w:r w:rsidRPr="00AF65B3">
        <w:t>万吨，</w:t>
      </w:r>
      <w:r w:rsidRPr="00AF65B3">
        <w:rPr>
          <w:rFonts w:hint="eastAsia"/>
        </w:rPr>
        <w:t>同比上升</w:t>
      </w:r>
      <w:r w:rsidRPr="00AF65B3">
        <w:rPr>
          <w:rFonts w:hint="eastAsia"/>
        </w:rPr>
        <w:t>3.76%</w:t>
      </w:r>
      <w:r w:rsidRPr="00AF65B3">
        <w:rPr>
          <w:rFonts w:hint="eastAsia"/>
        </w:rPr>
        <w:t>，</w:t>
      </w:r>
      <w:r w:rsidRPr="00AF65B3">
        <w:t>约占全国产量的一半</w:t>
      </w:r>
      <w:r>
        <w:rPr>
          <w:rFonts w:hint="eastAsia"/>
        </w:rPr>
        <w:t>。</w:t>
      </w:r>
      <w:r w:rsidRPr="00AF65B3">
        <w:rPr>
          <w:rFonts w:hint="eastAsia"/>
        </w:rPr>
        <w:t>河南</w:t>
      </w:r>
      <w:r w:rsidRPr="00AF65B3">
        <w:t>省</w:t>
      </w:r>
      <w:r w:rsidRPr="00AF65B3">
        <w:rPr>
          <w:rFonts w:hint="eastAsia"/>
        </w:rPr>
        <w:t>氨纶产量</w:t>
      </w:r>
      <w:r w:rsidRPr="00AF65B3">
        <w:t>增幅达</w:t>
      </w:r>
      <w:r w:rsidRPr="00AF65B3">
        <w:rPr>
          <w:rFonts w:hint="eastAsia"/>
        </w:rPr>
        <w:t>23.93</w:t>
      </w:r>
      <w:r w:rsidRPr="00AF65B3">
        <w:t>%</w:t>
      </w:r>
      <w:r w:rsidRPr="00AF65B3">
        <w:t>，</w:t>
      </w:r>
      <w:r w:rsidRPr="00AF65B3">
        <w:rPr>
          <w:rFonts w:hint="eastAsia"/>
        </w:rPr>
        <w:t>为全国增幅最高的</w:t>
      </w:r>
      <w:r>
        <w:rPr>
          <w:rFonts w:hint="eastAsia"/>
        </w:rPr>
        <w:t>省份</w:t>
      </w:r>
      <w:r w:rsidRPr="00AF65B3">
        <w:rPr>
          <w:rFonts w:hint="eastAsia"/>
        </w:rPr>
        <w:t>，主要</w:t>
      </w:r>
      <w:r w:rsidRPr="00AF65B3">
        <w:t>是</w:t>
      </w:r>
      <w:r w:rsidRPr="00AF65B3">
        <w:rPr>
          <w:rFonts w:hint="eastAsia"/>
        </w:rPr>
        <w:t>由于新乡化纤新增产能的</w:t>
      </w:r>
      <w:r w:rsidRPr="00AF65B3">
        <w:t>投产，带动了</w:t>
      </w:r>
      <w:r w:rsidRPr="00AF65B3">
        <w:rPr>
          <w:rFonts w:hint="eastAsia"/>
        </w:rPr>
        <w:t>河南省</w:t>
      </w:r>
      <w:r>
        <w:rPr>
          <w:rFonts w:hint="eastAsia"/>
        </w:rPr>
        <w:t>氨纶</w:t>
      </w:r>
      <w:r w:rsidRPr="00AF65B3">
        <w:t>产量的增长</w:t>
      </w:r>
      <w:r w:rsidRPr="00AF65B3">
        <w:rPr>
          <w:rFonts w:hint="eastAsia"/>
        </w:rPr>
        <w:t>（表</w:t>
      </w:r>
      <w:r w:rsidRPr="00AF65B3">
        <w:rPr>
          <w:rFonts w:hint="eastAsia"/>
        </w:rPr>
        <w:t>3</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3</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w:t>
      </w:r>
      <w:r w:rsidRPr="00AF65B3">
        <w:rPr>
          <w:color w:val="000000"/>
          <w:kern w:val="2"/>
        </w:rPr>
        <w:t>1</w:t>
      </w:r>
      <w:r w:rsidRPr="00AF65B3">
        <w:rPr>
          <w:color w:val="000000"/>
          <w:kern w:val="2"/>
        </w:rPr>
        <w:t>～</w:t>
      </w:r>
      <w:r w:rsidRPr="00AF65B3">
        <w:rPr>
          <w:color w:val="000000"/>
          <w:kern w:val="2"/>
        </w:rPr>
        <w:t>11</w:t>
      </w:r>
      <w:r w:rsidRPr="00AF65B3">
        <w:rPr>
          <w:color w:val="000000"/>
          <w:kern w:val="2"/>
        </w:rPr>
        <w:t>月氨纶分地区产量情况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64"/>
        <w:gridCol w:w="2181"/>
        <w:gridCol w:w="2543"/>
      </w:tblGrid>
      <w:tr w:rsidR="00122F73" w:rsidRPr="00AF65B3" w:rsidTr="00C10522">
        <w:trPr>
          <w:trHeight w:val="340"/>
          <w:tblHeader/>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lastRenderedPageBreak/>
              <w:t>分布</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1~11</w:t>
            </w:r>
            <w:r w:rsidRPr="00AF65B3">
              <w:rPr>
                <w:rFonts w:ascii="Times New Roman" w:eastAsia="黑体"/>
                <w:color w:val="000000"/>
                <w:sz w:val="18"/>
                <w:szCs w:val="18"/>
              </w:rPr>
              <w:t>月产量（吨）</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bookmarkStart w:id="4" w:name="OLE_LINK5"/>
            <w:bookmarkStart w:id="5" w:name="OLE_LINK6"/>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bookmarkEnd w:id="4"/>
            <w:bookmarkEnd w:id="5"/>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全</w:t>
            </w:r>
            <w:r>
              <w:rPr>
                <w:rFonts w:ascii="Times New Roman" w:hAnsi="Times New Roman"/>
                <w:color w:val="000000"/>
                <w:sz w:val="18"/>
                <w:szCs w:val="18"/>
              </w:rPr>
              <w:t xml:space="preserve">  </w:t>
            </w:r>
            <w:r w:rsidRPr="00AF65B3">
              <w:rPr>
                <w:rFonts w:ascii="Times New Roman" w:hAnsi="Times New Roman"/>
                <w:color w:val="000000"/>
                <w:sz w:val="18"/>
                <w:szCs w:val="18"/>
              </w:rPr>
              <w:t>国</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482716</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3.76</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Times New Roman" w:hAnsi="Times New Roman"/>
                <w:color w:val="000000"/>
                <w:sz w:val="18"/>
                <w:szCs w:val="18"/>
              </w:rPr>
            </w:pPr>
            <w:r>
              <w:rPr>
                <w:rFonts w:ascii="Times New Roman" w:hAnsi="Times New Roman" w:hint="eastAsia"/>
                <w:color w:val="000000"/>
                <w:sz w:val="18"/>
                <w:szCs w:val="18"/>
              </w:rPr>
              <w:t>其中：</w:t>
            </w:r>
            <w:r w:rsidRPr="00AF65B3">
              <w:rPr>
                <w:rFonts w:ascii="Times New Roman" w:hAnsi="Times New Roman"/>
                <w:color w:val="000000"/>
                <w:sz w:val="18"/>
                <w:szCs w:val="18"/>
              </w:rPr>
              <w:t>浙江省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228436</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3.89</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江苏省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77814</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3.42</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福建省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52508</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-3.76</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广东省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48229</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3.17</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山东省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34313</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6.55</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河南省</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27754</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23.93</w:t>
            </w:r>
          </w:p>
        </w:tc>
      </w:tr>
      <w:tr w:rsidR="00122F73" w:rsidRPr="00AF65B3" w:rsidTr="00C10522">
        <w:trPr>
          <w:trHeight w:val="340"/>
          <w:jc w:val="center"/>
        </w:trPr>
        <w:tc>
          <w:tcPr>
            <w:tcW w:w="2364"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t>上海市</w:t>
            </w:r>
          </w:p>
        </w:tc>
        <w:tc>
          <w:tcPr>
            <w:tcW w:w="218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13662</w:t>
            </w:r>
          </w:p>
        </w:tc>
        <w:tc>
          <w:tcPr>
            <w:tcW w:w="2543"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-3.68</w:t>
            </w:r>
          </w:p>
        </w:tc>
      </w:tr>
    </w:tbl>
    <w:p w:rsidR="00122F73" w:rsidRPr="00AF65B3" w:rsidRDefault="00122F73" w:rsidP="00122F73">
      <w:pPr>
        <w:pStyle w:val="003"/>
        <w:rPr>
          <w:rFonts w:hint="eastAsia"/>
          <w:color w:val="000000"/>
          <w:kern w:val="2"/>
        </w:rPr>
      </w:pPr>
      <w:r w:rsidRPr="00AF65B3">
        <w:rPr>
          <w:color w:val="000000"/>
          <w:kern w:val="2"/>
        </w:rPr>
        <w:t>资料来源：国家统计局</w:t>
      </w:r>
    </w:p>
    <w:p w:rsidR="00122F73" w:rsidRPr="00AF65B3" w:rsidRDefault="00122F73" w:rsidP="00122F73">
      <w:pPr>
        <w:pStyle w:val="007"/>
        <w:rPr>
          <w:rFonts w:hint="eastAsia"/>
          <w:color w:val="000000"/>
          <w:kern w:val="2"/>
        </w:rPr>
      </w:pPr>
    </w:p>
    <w:p w:rsidR="00122F73" w:rsidRPr="00AF65B3" w:rsidRDefault="00122F73" w:rsidP="00122F73">
      <w:pPr>
        <w:pStyle w:val="005"/>
        <w:rPr>
          <w:color w:val="000000"/>
        </w:rPr>
      </w:pPr>
      <w:r w:rsidRPr="00AF65B3">
        <w:rPr>
          <w:color w:val="000000"/>
        </w:rPr>
        <w:t>（三）负荷与库存</w:t>
      </w:r>
    </w:p>
    <w:p w:rsidR="00122F73" w:rsidRPr="00AF65B3" w:rsidRDefault="00122F73" w:rsidP="00122F73">
      <w:pPr>
        <w:pStyle w:val="001"/>
      </w:pPr>
      <w:r w:rsidRPr="00AF65B3">
        <w:t>2016</w:t>
      </w:r>
      <w:r w:rsidRPr="00AF65B3">
        <w:rPr>
          <w:rFonts w:hint="eastAsia"/>
        </w:rPr>
        <w:t>年</w:t>
      </w:r>
      <w:r w:rsidRPr="00AF65B3">
        <w:t>国内</w:t>
      </w:r>
      <w:r w:rsidRPr="00AF65B3">
        <w:rPr>
          <w:rFonts w:hint="eastAsia"/>
        </w:rPr>
        <w:t>氨纶行业</w:t>
      </w:r>
      <w:r w:rsidRPr="00AF65B3">
        <w:t>负荷波动加剧，</w:t>
      </w:r>
      <w:r w:rsidRPr="00AF65B3">
        <w:rPr>
          <w:rFonts w:hint="eastAsia"/>
        </w:rPr>
        <w:t>1~</w:t>
      </w:r>
      <w:r w:rsidRPr="00AF65B3">
        <w:t>2</w:t>
      </w:r>
      <w:r>
        <w:rPr>
          <w:rFonts w:hint="eastAsia"/>
        </w:rPr>
        <w:t>月</w:t>
      </w:r>
      <w:r w:rsidRPr="00AF65B3">
        <w:rPr>
          <w:rFonts w:hint="eastAsia"/>
        </w:rPr>
        <w:t>因春节假期</w:t>
      </w:r>
      <w:r w:rsidRPr="00AF65B3">
        <w:t>影响</w:t>
      </w:r>
      <w:r w:rsidRPr="00AF65B3">
        <w:rPr>
          <w:rFonts w:hint="eastAsia"/>
        </w:rPr>
        <w:t>需求端</w:t>
      </w:r>
      <w:r w:rsidRPr="00AF65B3">
        <w:t>低迷</w:t>
      </w:r>
      <w:r w:rsidRPr="00AF65B3">
        <w:rPr>
          <w:rFonts w:hint="eastAsia"/>
        </w:rPr>
        <w:t>，少部分氨纶</w:t>
      </w:r>
      <w:r w:rsidRPr="00AF65B3">
        <w:t>工厂停</w:t>
      </w:r>
      <w:r w:rsidRPr="00AF65B3">
        <w:rPr>
          <w:rFonts w:hint="eastAsia"/>
        </w:rPr>
        <w:t>减</w:t>
      </w:r>
      <w:r w:rsidRPr="00AF65B3">
        <w:t>产检修，</w:t>
      </w:r>
      <w:r w:rsidRPr="00AF65B3">
        <w:rPr>
          <w:rFonts w:hint="eastAsia"/>
        </w:rPr>
        <w:t>3~4</w:t>
      </w:r>
      <w:r w:rsidRPr="00AF65B3">
        <w:rPr>
          <w:rFonts w:hint="eastAsia"/>
        </w:rPr>
        <w:t>月多数</w:t>
      </w:r>
      <w:r w:rsidRPr="00AF65B3">
        <w:t>装置逐步重启，</w:t>
      </w:r>
      <w:r w:rsidRPr="00AF65B3">
        <w:rPr>
          <w:rFonts w:hint="eastAsia"/>
        </w:rPr>
        <w:t>行业</w:t>
      </w:r>
      <w:r w:rsidRPr="00AF65B3">
        <w:t>负荷回升；</w:t>
      </w:r>
      <w:r w:rsidRPr="00AF65B3">
        <w:rPr>
          <w:rFonts w:hint="eastAsia"/>
        </w:rPr>
        <w:t>8~</w:t>
      </w:r>
      <w:r w:rsidRPr="00AF65B3">
        <w:t>9</w:t>
      </w:r>
      <w:r>
        <w:rPr>
          <w:rFonts w:hint="eastAsia"/>
        </w:rPr>
        <w:t>月</w:t>
      </w:r>
      <w:r w:rsidRPr="00AF65B3">
        <w:t>受</w:t>
      </w:r>
      <w:r w:rsidRPr="00AF65B3">
        <w:rPr>
          <w:rFonts w:hint="eastAsia"/>
        </w:rPr>
        <w:t>G20</w:t>
      </w:r>
      <w:r w:rsidRPr="00AF65B3">
        <w:rPr>
          <w:rFonts w:hint="eastAsia"/>
        </w:rPr>
        <w:t>峰会</w:t>
      </w:r>
      <w:r w:rsidRPr="00AF65B3">
        <w:t>影响，江浙地区</w:t>
      </w:r>
      <w:r w:rsidRPr="00AF65B3">
        <w:rPr>
          <w:rFonts w:hint="eastAsia"/>
        </w:rPr>
        <w:t>集中减停</w:t>
      </w:r>
      <w:r w:rsidRPr="00AF65B3">
        <w:t>产</w:t>
      </w:r>
      <w:r w:rsidRPr="00AF65B3">
        <w:rPr>
          <w:rFonts w:hint="eastAsia"/>
        </w:rPr>
        <w:t>，</w:t>
      </w:r>
      <w:r w:rsidRPr="00AF65B3">
        <w:t>负荷大幅下滑至</w:t>
      </w:r>
      <w:r>
        <w:rPr>
          <w:rFonts w:hint="eastAsia"/>
        </w:rPr>
        <w:t>六</w:t>
      </w:r>
      <w:r w:rsidRPr="00AF65B3">
        <w:rPr>
          <w:rFonts w:hint="eastAsia"/>
        </w:rPr>
        <w:t>成</w:t>
      </w:r>
      <w:r w:rsidRPr="00AF65B3">
        <w:t>附近，</w:t>
      </w:r>
      <w:r w:rsidRPr="00AF65B3">
        <w:rPr>
          <w:rFonts w:hint="eastAsia"/>
        </w:rPr>
        <w:t>低位</w:t>
      </w:r>
      <w:r w:rsidRPr="00AF65B3">
        <w:t>负荷开工维持近</w:t>
      </w:r>
      <w:r w:rsidRPr="00AF65B3">
        <w:rPr>
          <w:rFonts w:hint="eastAsia"/>
        </w:rPr>
        <w:t>20</w:t>
      </w:r>
      <w:r w:rsidRPr="00AF65B3">
        <w:rPr>
          <w:rFonts w:hint="eastAsia"/>
        </w:rPr>
        <w:t>天左右</w:t>
      </w:r>
      <w:r w:rsidRPr="00AF65B3">
        <w:t>，</w:t>
      </w:r>
      <w:r w:rsidRPr="00AF65B3">
        <w:rPr>
          <w:rFonts w:hint="eastAsia"/>
        </w:rPr>
        <w:t>G20</w:t>
      </w:r>
      <w:r w:rsidRPr="00AF65B3">
        <w:rPr>
          <w:rFonts w:hint="eastAsia"/>
        </w:rPr>
        <w:t>峰会</w:t>
      </w:r>
      <w:r w:rsidRPr="00AF65B3">
        <w:t>影响</w:t>
      </w:r>
      <w:r w:rsidRPr="00AF65B3">
        <w:rPr>
          <w:rFonts w:hint="eastAsia"/>
        </w:rPr>
        <w:t>结束</w:t>
      </w:r>
      <w:r w:rsidRPr="00AF65B3">
        <w:t>后</w:t>
      </w:r>
      <w:r w:rsidRPr="00AF65B3">
        <w:rPr>
          <w:rFonts w:hint="eastAsia"/>
        </w:rPr>
        <w:t>，</w:t>
      </w:r>
      <w:r w:rsidRPr="00AF65B3">
        <w:t>氨纶</w:t>
      </w:r>
      <w:r w:rsidRPr="00AF65B3">
        <w:rPr>
          <w:rFonts w:hint="eastAsia"/>
        </w:rPr>
        <w:t>工厂的开工率</w:t>
      </w:r>
      <w:r w:rsidRPr="00AF65B3">
        <w:t>快速回升</w:t>
      </w:r>
      <w:r w:rsidRPr="00AF65B3">
        <w:rPr>
          <w:rFonts w:hint="eastAsia"/>
        </w:rPr>
        <w:t>，四季度氨纶</w:t>
      </w:r>
      <w:r w:rsidRPr="00AF65B3">
        <w:t>行业维持高负荷运行</w:t>
      </w:r>
      <w:r w:rsidRPr="00AF65B3">
        <w:rPr>
          <w:rFonts w:hint="eastAsia"/>
        </w:rPr>
        <w:t>，始终在</w:t>
      </w:r>
      <w:r>
        <w:rPr>
          <w:rFonts w:hint="eastAsia"/>
        </w:rPr>
        <w:t>九</w:t>
      </w:r>
      <w:r w:rsidRPr="00AF65B3">
        <w:rPr>
          <w:rFonts w:hint="eastAsia"/>
        </w:rPr>
        <w:t>成左右</w:t>
      </w:r>
      <w:r w:rsidRPr="00AF65B3">
        <w:t>小幅波动。</w:t>
      </w:r>
      <w:r w:rsidRPr="00AF65B3">
        <w:rPr>
          <w:rFonts w:hint="eastAsia"/>
        </w:rPr>
        <w:t>2016</w:t>
      </w:r>
      <w:r w:rsidRPr="00AF65B3">
        <w:rPr>
          <w:rFonts w:hint="eastAsia"/>
        </w:rPr>
        <w:t>年氨纶</w:t>
      </w:r>
      <w:r w:rsidRPr="00AF65B3">
        <w:t>行业</w:t>
      </w:r>
      <w:r w:rsidRPr="00AF65B3">
        <w:rPr>
          <w:rFonts w:hint="eastAsia"/>
        </w:rPr>
        <w:t>平均开工率约为</w:t>
      </w:r>
      <w:r w:rsidRPr="00AF65B3">
        <w:rPr>
          <w:rFonts w:hint="eastAsia"/>
        </w:rPr>
        <w:t>86</w:t>
      </w:r>
      <w:r w:rsidRPr="00AF65B3">
        <w:t>%</w:t>
      </w:r>
      <w:r w:rsidRPr="00AF65B3">
        <w:t>，</w:t>
      </w:r>
      <w:r w:rsidRPr="00AF65B3">
        <w:rPr>
          <w:rFonts w:hint="eastAsia"/>
        </w:rPr>
        <w:t>较</w:t>
      </w:r>
      <w:r w:rsidRPr="00AF65B3">
        <w:rPr>
          <w:rFonts w:hint="eastAsia"/>
        </w:rPr>
        <w:t>2015</w:t>
      </w:r>
      <w:r w:rsidRPr="00AF65B3">
        <w:t>年小幅下滑</w:t>
      </w:r>
      <w:r w:rsidRPr="00AF65B3">
        <w:rPr>
          <w:rFonts w:hint="eastAsia"/>
        </w:rPr>
        <w:t>（图</w:t>
      </w:r>
      <w:r w:rsidRPr="00AF65B3">
        <w:rPr>
          <w:rFonts w:hint="eastAsia"/>
        </w:rPr>
        <w:t>2</w:t>
      </w:r>
      <w:r w:rsidRPr="00AF65B3">
        <w:rPr>
          <w:rFonts w:hint="eastAsia"/>
        </w:rPr>
        <w:t>）。</w:t>
      </w:r>
    </w:p>
    <w:p w:rsidR="00122F73" w:rsidRPr="00AF65B3" w:rsidRDefault="00122F73" w:rsidP="00122F73">
      <w:pPr>
        <w:pStyle w:val="006"/>
        <w:rPr>
          <w:color w:val="000000"/>
          <w:szCs w:val="21"/>
        </w:rPr>
      </w:pPr>
      <w:r w:rsidRPr="00DA75E9">
        <w:rPr>
          <w:noProof/>
          <w:color w:val="000000"/>
          <w:szCs w:val="21"/>
        </w:rPr>
        <w:drawing>
          <wp:inline distT="0" distB="0" distL="0" distR="0">
            <wp:extent cx="4488180" cy="2697480"/>
            <wp:effectExtent l="0" t="0" r="7620" b="7620"/>
            <wp:docPr id="5" name="图片 5" descr="26-2016年氨纶工厂产品负荷、库存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2016年氨纶工厂产品负荷、库存走势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2697480"/>
                    </a:xfrm>
                    <a:prstGeom prst="rect">
                      <a:avLst/>
                    </a:prstGeom>
                    <a:noFill/>
                    <a:ln>
                      <a:noFill/>
                    </a:ln>
                  </pic:spPr>
                </pic:pic>
              </a:graphicData>
            </a:graphic>
          </wp:inline>
        </w:drawing>
      </w:r>
    </w:p>
    <w:p w:rsidR="00122F73" w:rsidRPr="00AF65B3" w:rsidRDefault="00122F73" w:rsidP="00122F73">
      <w:pPr>
        <w:pStyle w:val="003"/>
        <w:rPr>
          <w:color w:val="000000"/>
        </w:rPr>
      </w:pPr>
      <w:r w:rsidRPr="00AF65B3">
        <w:rPr>
          <w:color w:val="000000"/>
        </w:rPr>
        <w:t>资料来源：中国化纤信息网</w:t>
      </w:r>
    </w:p>
    <w:p w:rsidR="00122F73" w:rsidRPr="00AF65B3" w:rsidRDefault="00122F73" w:rsidP="00122F73">
      <w:pPr>
        <w:pStyle w:val="002"/>
        <w:spacing w:before="156" w:after="156"/>
        <w:rPr>
          <w:color w:val="000000"/>
        </w:rPr>
      </w:pPr>
      <w:r w:rsidRPr="00AF65B3">
        <w:rPr>
          <w:color w:val="000000"/>
        </w:rPr>
        <w:t>图</w:t>
      </w:r>
      <w:r w:rsidRPr="00AF65B3">
        <w:rPr>
          <w:rFonts w:hint="eastAsia"/>
          <w:color w:val="000000"/>
        </w:rPr>
        <w:t>2</w:t>
      </w:r>
      <w:r>
        <w:rPr>
          <w:color w:val="000000"/>
        </w:rPr>
        <w:t xml:space="preserve">  </w:t>
      </w:r>
      <w:r w:rsidRPr="00AF65B3">
        <w:rPr>
          <w:color w:val="000000"/>
        </w:rPr>
        <w:t>201</w:t>
      </w:r>
      <w:r w:rsidRPr="00AF65B3">
        <w:rPr>
          <w:rFonts w:hint="eastAsia"/>
          <w:color w:val="000000"/>
        </w:rPr>
        <w:t>6</w:t>
      </w:r>
      <w:r w:rsidRPr="00AF65B3">
        <w:rPr>
          <w:color w:val="000000"/>
        </w:rPr>
        <w:t>年氨纶工厂产品</w:t>
      </w:r>
      <w:r w:rsidRPr="00AF65B3">
        <w:rPr>
          <w:rFonts w:hint="eastAsia"/>
          <w:color w:val="000000"/>
        </w:rPr>
        <w:t>负荷、</w:t>
      </w:r>
      <w:r w:rsidRPr="00AF65B3">
        <w:rPr>
          <w:color w:val="000000"/>
        </w:rPr>
        <w:t>库存走势图</w:t>
      </w:r>
    </w:p>
    <w:p w:rsidR="00122F73" w:rsidRPr="00AF65B3" w:rsidRDefault="00122F73" w:rsidP="00122F73">
      <w:pPr>
        <w:pStyle w:val="001"/>
      </w:pPr>
      <w:r w:rsidRPr="00AF65B3">
        <w:rPr>
          <w:rFonts w:hint="eastAsia"/>
        </w:rPr>
        <w:t>在</w:t>
      </w:r>
      <w:r w:rsidRPr="00AF65B3">
        <w:t>氨纶行业</w:t>
      </w:r>
      <w:r w:rsidRPr="00AF65B3">
        <w:rPr>
          <w:rFonts w:hint="eastAsia"/>
        </w:rPr>
        <w:t>高负荷</w:t>
      </w:r>
      <w:r w:rsidRPr="00AF65B3">
        <w:t>运行之下</w:t>
      </w:r>
      <w:r w:rsidRPr="00AF65B3">
        <w:rPr>
          <w:rFonts w:hint="eastAsia"/>
        </w:rPr>
        <w:t>，</w:t>
      </w:r>
      <w:r w:rsidRPr="00AF65B3">
        <w:rPr>
          <w:rFonts w:hint="eastAsia"/>
        </w:rPr>
        <w:t>2016</w:t>
      </w:r>
      <w:r w:rsidRPr="00AF65B3">
        <w:rPr>
          <w:rFonts w:hint="eastAsia"/>
        </w:rPr>
        <w:t>年各个不同时间</w:t>
      </w:r>
      <w:r w:rsidRPr="00AF65B3">
        <w:t>段的产销</w:t>
      </w:r>
      <w:r w:rsidRPr="00AF65B3">
        <w:rPr>
          <w:rFonts w:hint="eastAsia"/>
        </w:rPr>
        <w:t>分歧</w:t>
      </w:r>
      <w:r w:rsidRPr="00AF65B3">
        <w:t>明显</w:t>
      </w:r>
      <w:r w:rsidRPr="00AF65B3">
        <w:rPr>
          <w:rFonts w:hint="eastAsia"/>
        </w:rPr>
        <w:t>。上半年持续</w:t>
      </w:r>
      <w:r w:rsidRPr="00AF65B3">
        <w:t>高位</w:t>
      </w:r>
      <w:r w:rsidRPr="00AF65B3">
        <w:rPr>
          <w:rFonts w:hint="eastAsia"/>
        </w:rPr>
        <w:t>运行</w:t>
      </w:r>
      <w:r w:rsidRPr="00AF65B3">
        <w:t>，</w:t>
      </w:r>
      <w:r w:rsidRPr="00AF65B3">
        <w:rPr>
          <w:rFonts w:hint="eastAsia"/>
        </w:rPr>
        <w:t>受</w:t>
      </w:r>
      <w:r w:rsidRPr="00AF65B3">
        <w:rPr>
          <w:rFonts w:hint="eastAsia"/>
        </w:rPr>
        <w:t>3~4</w:t>
      </w:r>
      <w:r>
        <w:rPr>
          <w:rFonts w:hint="eastAsia"/>
        </w:rPr>
        <w:t>月</w:t>
      </w:r>
      <w:r w:rsidRPr="00AF65B3">
        <w:t>传统旺季带动，库存下滑，厂家库存压力略有缓和，但</w:t>
      </w:r>
      <w:r w:rsidRPr="00AF65B3">
        <w:rPr>
          <w:rFonts w:hint="eastAsia"/>
        </w:rPr>
        <w:t>在</w:t>
      </w:r>
      <w:r w:rsidRPr="00AF65B3">
        <w:t>春节持续生产的积压</w:t>
      </w:r>
      <w:r w:rsidRPr="00AF65B3">
        <w:rPr>
          <w:rFonts w:hint="eastAsia"/>
        </w:rPr>
        <w:t>下</w:t>
      </w:r>
      <w:r w:rsidRPr="00AF65B3">
        <w:t>，行业</w:t>
      </w:r>
      <w:r w:rsidRPr="00AF65B3">
        <w:rPr>
          <w:rFonts w:hint="eastAsia"/>
        </w:rPr>
        <w:t>整体</w:t>
      </w:r>
      <w:r w:rsidRPr="00AF65B3">
        <w:t>库存</w:t>
      </w:r>
      <w:r w:rsidRPr="00AF65B3">
        <w:rPr>
          <w:rFonts w:hint="eastAsia"/>
        </w:rPr>
        <w:t>依然偏大</w:t>
      </w:r>
      <w:r w:rsidRPr="00AF65B3">
        <w:t>，且多集中在氨纶</w:t>
      </w:r>
      <w:r w:rsidRPr="00AF65B3">
        <w:rPr>
          <w:rFonts w:hint="eastAsia"/>
        </w:rPr>
        <w:t>企业</w:t>
      </w:r>
      <w:r w:rsidRPr="00AF65B3">
        <w:t>。</w:t>
      </w:r>
      <w:r w:rsidRPr="00AF65B3">
        <w:rPr>
          <w:rFonts w:hint="eastAsia"/>
        </w:rPr>
        <w:t>7~8</w:t>
      </w:r>
      <w:r>
        <w:rPr>
          <w:rFonts w:hint="eastAsia"/>
        </w:rPr>
        <w:t>月</w:t>
      </w:r>
      <w:r w:rsidRPr="00AF65B3">
        <w:rPr>
          <w:rFonts w:hint="eastAsia"/>
        </w:rPr>
        <w:t>受</w:t>
      </w:r>
      <w:r w:rsidRPr="00AF65B3">
        <w:t>G20</w:t>
      </w:r>
      <w:r w:rsidRPr="00AF65B3">
        <w:rPr>
          <w:rFonts w:hint="eastAsia"/>
        </w:rPr>
        <w:t>峰会停产</w:t>
      </w:r>
      <w:r w:rsidRPr="00AF65B3">
        <w:t>及运输限制</w:t>
      </w:r>
      <w:r w:rsidRPr="00AF65B3">
        <w:rPr>
          <w:rFonts w:hint="eastAsia"/>
        </w:rPr>
        <w:t>等情况</w:t>
      </w:r>
      <w:r w:rsidRPr="00AF65B3">
        <w:t>的</w:t>
      </w:r>
      <w:r w:rsidRPr="00AF65B3">
        <w:rPr>
          <w:rFonts w:hint="eastAsia"/>
        </w:rPr>
        <w:t>影响</w:t>
      </w:r>
      <w:r w:rsidRPr="00AF65B3">
        <w:t>，</w:t>
      </w:r>
      <w:r w:rsidRPr="00AF65B3">
        <w:rPr>
          <w:rFonts w:hint="eastAsia"/>
        </w:rPr>
        <w:t>广东</w:t>
      </w:r>
      <w:r w:rsidRPr="00AF65B3">
        <w:t>及江浙市场出现了</w:t>
      </w:r>
      <w:r w:rsidRPr="00AF65B3">
        <w:rPr>
          <w:rFonts w:hint="eastAsia"/>
        </w:rPr>
        <w:t>集中备货</w:t>
      </w:r>
      <w:r w:rsidRPr="00AF65B3">
        <w:t>高峰</w:t>
      </w:r>
      <w:r w:rsidRPr="00AF65B3">
        <w:rPr>
          <w:rFonts w:hint="eastAsia"/>
        </w:rPr>
        <w:t>，</w:t>
      </w:r>
      <w:r w:rsidRPr="00AF65B3">
        <w:t>氨纶去库存</w:t>
      </w:r>
      <w:r w:rsidRPr="00AF65B3">
        <w:rPr>
          <w:rFonts w:hint="eastAsia"/>
        </w:rPr>
        <w:t>效果</w:t>
      </w:r>
      <w:r w:rsidRPr="00AF65B3">
        <w:t>较为明显</w:t>
      </w:r>
      <w:r w:rsidRPr="00AF65B3">
        <w:rPr>
          <w:rFonts w:hint="eastAsia"/>
        </w:rPr>
        <w:t>。</w:t>
      </w:r>
    </w:p>
    <w:p w:rsidR="00122F73" w:rsidRPr="00AF65B3" w:rsidRDefault="00122F73" w:rsidP="00122F73">
      <w:pPr>
        <w:pStyle w:val="001"/>
      </w:pPr>
      <w:r w:rsidRPr="00AF65B3">
        <w:rPr>
          <w:rFonts w:hint="eastAsia"/>
        </w:rPr>
        <w:t>下半年</w:t>
      </w:r>
      <w:r w:rsidRPr="00AF65B3">
        <w:t>的传统</w:t>
      </w:r>
      <w:r w:rsidRPr="00AF65B3">
        <w:rPr>
          <w:rFonts w:hint="eastAsia"/>
        </w:rPr>
        <w:t>产销</w:t>
      </w:r>
      <w:r w:rsidRPr="00AF65B3">
        <w:t>旺季</w:t>
      </w:r>
      <w:r w:rsidRPr="00AF65B3">
        <w:rPr>
          <w:rFonts w:hint="eastAsia"/>
        </w:rPr>
        <w:t>则</w:t>
      </w:r>
      <w:r w:rsidRPr="00AF65B3">
        <w:t>明显延后，</w:t>
      </w:r>
      <w:r w:rsidRPr="00AF65B3">
        <w:rPr>
          <w:rFonts w:hint="eastAsia"/>
        </w:rPr>
        <w:t>直到</w:t>
      </w:r>
      <w:r w:rsidRPr="00AF65B3">
        <w:rPr>
          <w:rFonts w:hint="eastAsia"/>
        </w:rPr>
        <w:t>10</w:t>
      </w:r>
      <w:r>
        <w:rPr>
          <w:rFonts w:hint="eastAsia"/>
        </w:rPr>
        <w:t>月</w:t>
      </w:r>
      <w:r w:rsidRPr="00AF65B3">
        <w:t>下半月</w:t>
      </w:r>
      <w:r w:rsidRPr="00AF65B3">
        <w:rPr>
          <w:rFonts w:hint="eastAsia"/>
        </w:rPr>
        <w:t>才</w:t>
      </w:r>
      <w:r w:rsidRPr="00AF65B3">
        <w:t>开始显现</w:t>
      </w:r>
      <w:r w:rsidRPr="00AF65B3">
        <w:rPr>
          <w:rFonts w:hint="eastAsia"/>
        </w:rPr>
        <w:t>，且</w:t>
      </w:r>
      <w:r w:rsidRPr="00AF65B3">
        <w:t>在经过</w:t>
      </w:r>
      <w:r w:rsidRPr="00AF65B3">
        <w:rPr>
          <w:rFonts w:hint="eastAsia"/>
        </w:rPr>
        <w:t>8~9</w:t>
      </w:r>
      <w:r>
        <w:rPr>
          <w:rFonts w:hint="eastAsia"/>
        </w:rPr>
        <w:t>月</w:t>
      </w:r>
      <w:r w:rsidRPr="00AF65B3">
        <w:t>的减停产影响下，</w:t>
      </w:r>
      <w:r w:rsidRPr="00AF65B3">
        <w:rPr>
          <w:rFonts w:hint="eastAsia"/>
        </w:rPr>
        <w:t>氨纶</w:t>
      </w:r>
      <w:r w:rsidRPr="00AF65B3">
        <w:t>厂家</w:t>
      </w:r>
      <w:r w:rsidRPr="00AF65B3">
        <w:rPr>
          <w:rFonts w:hint="eastAsia"/>
        </w:rPr>
        <w:t>库存累积慢</w:t>
      </w:r>
      <w:r w:rsidRPr="00AF65B3">
        <w:t>，</w:t>
      </w:r>
      <w:r w:rsidRPr="00AF65B3">
        <w:rPr>
          <w:rFonts w:hint="eastAsia"/>
        </w:rPr>
        <w:t>平均库存量在</w:t>
      </w:r>
      <w:r w:rsidRPr="00AF65B3">
        <w:rPr>
          <w:rFonts w:hint="eastAsia"/>
        </w:rPr>
        <w:t>1</w:t>
      </w:r>
      <w:r w:rsidRPr="00AF65B3">
        <w:rPr>
          <w:rFonts w:hint="eastAsia"/>
        </w:rPr>
        <w:t>个月左右波动</w:t>
      </w:r>
      <w:r w:rsidRPr="00AF65B3">
        <w:t>。</w:t>
      </w:r>
      <w:r w:rsidRPr="00AF65B3">
        <w:rPr>
          <w:rFonts w:hint="eastAsia"/>
        </w:rPr>
        <w:t>受</w:t>
      </w:r>
      <w:r w:rsidRPr="00AF65B3">
        <w:rPr>
          <w:rFonts w:hint="eastAsia"/>
        </w:rPr>
        <w:t>1</w:t>
      </w:r>
      <w:r w:rsidRPr="00AF65B3">
        <w:t>2</w:t>
      </w:r>
      <w:r>
        <w:rPr>
          <w:rFonts w:hint="eastAsia"/>
        </w:rPr>
        <w:t>月</w:t>
      </w:r>
      <w:r w:rsidRPr="00AF65B3">
        <w:t>的</w:t>
      </w:r>
      <w:r w:rsidRPr="00AF65B3">
        <w:rPr>
          <w:rFonts w:hint="eastAsia"/>
        </w:rPr>
        <w:t>需求上涨拉</w:t>
      </w:r>
      <w:r w:rsidRPr="00AF65B3">
        <w:t>动，以及</w:t>
      </w:r>
      <w:r w:rsidRPr="00AF65B3">
        <w:rPr>
          <w:rFonts w:hint="eastAsia"/>
        </w:rPr>
        <w:t>贸易商及</w:t>
      </w:r>
      <w:r w:rsidRPr="00AF65B3">
        <w:t>下游企业的</w:t>
      </w:r>
      <w:r w:rsidRPr="00AF65B3">
        <w:rPr>
          <w:rFonts w:hint="eastAsia"/>
        </w:rPr>
        <w:t>看涨</w:t>
      </w:r>
      <w:r w:rsidRPr="00AF65B3">
        <w:t>预期下，</w:t>
      </w:r>
      <w:r w:rsidRPr="00AF65B3">
        <w:rPr>
          <w:rFonts w:hint="eastAsia"/>
        </w:rPr>
        <w:t>库存</w:t>
      </w:r>
      <w:r w:rsidRPr="00AF65B3">
        <w:t>快速消化</w:t>
      </w:r>
      <w:r w:rsidRPr="00AF65B3">
        <w:rPr>
          <w:rFonts w:hint="eastAsia"/>
        </w:rPr>
        <w:t>至</w:t>
      </w:r>
      <w:r w:rsidRPr="00AF65B3">
        <w:rPr>
          <w:rFonts w:hint="eastAsia"/>
        </w:rPr>
        <w:t>20</w:t>
      </w:r>
      <w:r w:rsidRPr="00AF65B3">
        <w:rPr>
          <w:rFonts w:hint="eastAsia"/>
        </w:rPr>
        <w:t>天附近</w:t>
      </w:r>
      <w:r w:rsidRPr="00AF65B3">
        <w:t>，部分</w:t>
      </w:r>
      <w:r w:rsidRPr="00AF65B3">
        <w:rPr>
          <w:rFonts w:hint="eastAsia"/>
        </w:rPr>
        <w:t>货源</w:t>
      </w:r>
      <w:r w:rsidRPr="00AF65B3">
        <w:t>预售无货。</w:t>
      </w:r>
    </w:p>
    <w:p w:rsidR="00122F73" w:rsidRPr="00AF65B3" w:rsidRDefault="00122F73" w:rsidP="00122F73">
      <w:pPr>
        <w:pStyle w:val="005"/>
        <w:rPr>
          <w:color w:val="000000"/>
        </w:rPr>
      </w:pPr>
      <w:r w:rsidRPr="00AF65B3">
        <w:rPr>
          <w:color w:val="000000"/>
        </w:rPr>
        <w:lastRenderedPageBreak/>
        <w:t>（四）进口情况</w:t>
      </w:r>
    </w:p>
    <w:p w:rsidR="00122F73" w:rsidRPr="00AF65B3" w:rsidRDefault="00122F73" w:rsidP="00122F73">
      <w:pPr>
        <w:pStyle w:val="001"/>
        <w:rPr>
          <w:rFonts w:hint="eastAsia"/>
        </w:rPr>
      </w:pPr>
      <w:r w:rsidRPr="00AF65B3">
        <w:rPr>
          <w:rFonts w:hint="eastAsia"/>
        </w:rPr>
        <w:t>2016</w:t>
      </w:r>
      <w:r w:rsidRPr="00AF65B3">
        <w:rPr>
          <w:rFonts w:hint="eastAsia"/>
        </w:rPr>
        <w:t>年氨纶进口</w:t>
      </w:r>
      <w:r w:rsidRPr="00AF65B3">
        <w:rPr>
          <w:rFonts w:hint="eastAsia"/>
        </w:rPr>
        <w:t>2.64</w:t>
      </w:r>
      <w:r w:rsidRPr="00AF65B3">
        <w:rPr>
          <w:rFonts w:hint="eastAsia"/>
        </w:rPr>
        <w:t>万吨，同比增加</w:t>
      </w:r>
      <w:r w:rsidRPr="00AF65B3">
        <w:rPr>
          <w:rFonts w:hint="eastAsia"/>
        </w:rPr>
        <w:t>3.09%</w:t>
      </w:r>
      <w:r w:rsidRPr="00AF65B3">
        <w:rPr>
          <w:rFonts w:hint="eastAsia"/>
        </w:rPr>
        <w:t>。从越南进口同比增加了</w:t>
      </w:r>
      <w:r w:rsidRPr="00AF65B3">
        <w:rPr>
          <w:rFonts w:hint="eastAsia"/>
        </w:rPr>
        <w:t>19.17%</w:t>
      </w:r>
      <w:r w:rsidRPr="00AF65B3">
        <w:rPr>
          <w:rFonts w:hint="eastAsia"/>
        </w:rPr>
        <w:t>，占进口总量的</w:t>
      </w:r>
      <w:r w:rsidRPr="00AF65B3">
        <w:rPr>
          <w:rFonts w:hint="eastAsia"/>
        </w:rPr>
        <w:t>44.69%</w:t>
      </w:r>
      <w:r w:rsidRPr="00AF65B3">
        <w:rPr>
          <w:rFonts w:hint="eastAsia"/>
        </w:rPr>
        <w:t>，近两年</w:t>
      </w:r>
      <w:r w:rsidRPr="00AF65B3">
        <w:t>越南地区氨纶供应能力不断提升</w:t>
      </w:r>
      <w:r w:rsidRPr="00AF65B3">
        <w:rPr>
          <w:rFonts w:hint="eastAsia"/>
        </w:rPr>
        <w:t>，占比已接近</w:t>
      </w:r>
      <w:r w:rsidRPr="00AF65B3">
        <w:t>5</w:t>
      </w:r>
      <w:r w:rsidRPr="00AF65B3">
        <w:rPr>
          <w:rFonts w:hint="eastAsia"/>
        </w:rPr>
        <w:t>成。国货复进口</w:t>
      </w:r>
      <w:r w:rsidRPr="00AF65B3">
        <w:rPr>
          <w:rFonts w:hint="eastAsia"/>
        </w:rPr>
        <w:t>0.24</w:t>
      </w:r>
      <w:r w:rsidRPr="00AF65B3">
        <w:rPr>
          <w:rFonts w:hint="eastAsia"/>
          <w:lang w:val="en-GB"/>
        </w:rPr>
        <w:t>万吨</w:t>
      </w:r>
      <w:r w:rsidRPr="00AF65B3">
        <w:rPr>
          <w:rFonts w:hint="eastAsia"/>
        </w:rPr>
        <w:t>，同比减少了</w:t>
      </w:r>
      <w:r w:rsidRPr="00AF65B3">
        <w:rPr>
          <w:rFonts w:hint="eastAsia"/>
        </w:rPr>
        <w:t>24.69</w:t>
      </w:r>
      <w:r w:rsidRPr="00AF65B3">
        <w:t>%</w:t>
      </w:r>
      <w:r w:rsidRPr="00AF65B3">
        <w:rPr>
          <w:rFonts w:hint="eastAsia"/>
        </w:rPr>
        <w:t>，占进口总量的</w:t>
      </w:r>
      <w:r w:rsidRPr="00AF65B3">
        <w:rPr>
          <w:rFonts w:hint="eastAsia"/>
        </w:rPr>
        <w:t>9.15%</w:t>
      </w:r>
      <w:r w:rsidRPr="00AF65B3">
        <w:rPr>
          <w:rFonts w:hint="eastAsia"/>
        </w:rPr>
        <w:t>；从韩国、新加坡、日本和泰国的进口分别占总进口量的</w:t>
      </w:r>
      <w:r w:rsidRPr="00AF65B3">
        <w:rPr>
          <w:rFonts w:hint="eastAsia"/>
        </w:rPr>
        <w:t>11.46</w:t>
      </w:r>
      <w:r w:rsidRPr="00AF65B3">
        <w:t>%</w:t>
      </w:r>
      <w:r w:rsidRPr="00AF65B3">
        <w:rPr>
          <w:rFonts w:hint="eastAsia"/>
        </w:rPr>
        <w:t>、</w:t>
      </w:r>
      <w:r w:rsidRPr="00AF65B3">
        <w:rPr>
          <w:rFonts w:hint="eastAsia"/>
        </w:rPr>
        <w:t>11.09</w:t>
      </w:r>
      <w:r w:rsidRPr="00AF65B3">
        <w:t>%</w:t>
      </w:r>
      <w:r w:rsidRPr="00AF65B3">
        <w:rPr>
          <w:rFonts w:hint="eastAsia"/>
        </w:rPr>
        <w:t>、</w:t>
      </w:r>
      <w:r w:rsidRPr="00AF65B3">
        <w:rPr>
          <w:rFonts w:hint="eastAsia"/>
        </w:rPr>
        <w:t>9.44</w:t>
      </w:r>
      <w:r w:rsidRPr="00AF65B3">
        <w:t>%</w:t>
      </w:r>
      <w:r w:rsidRPr="00AF65B3">
        <w:rPr>
          <w:rFonts w:hint="eastAsia"/>
        </w:rPr>
        <w:t>和</w:t>
      </w:r>
      <w:r w:rsidRPr="00AF65B3">
        <w:rPr>
          <w:rFonts w:hint="eastAsia"/>
        </w:rPr>
        <w:t>7.43</w:t>
      </w:r>
      <w:r w:rsidRPr="00AF65B3">
        <w:t>%</w:t>
      </w:r>
      <w:r w:rsidRPr="00AF65B3">
        <w:rPr>
          <w:rFonts w:hint="eastAsia"/>
        </w:rPr>
        <w:t>。以上六个国家共占进口总量的</w:t>
      </w:r>
      <w:r w:rsidRPr="00AF65B3">
        <w:rPr>
          <w:rFonts w:hint="eastAsia"/>
        </w:rPr>
        <w:t>93.27%</w:t>
      </w:r>
      <w:r w:rsidRPr="00AF65B3">
        <w:rPr>
          <w:rFonts w:hint="eastAsia"/>
        </w:rPr>
        <w:t>（表</w:t>
      </w:r>
      <w:r w:rsidRPr="00AF65B3">
        <w:rPr>
          <w:rFonts w:hint="eastAsia"/>
        </w:rPr>
        <w:t>4</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4</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年氨纶分国别或地区进口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44"/>
        <w:gridCol w:w="974"/>
        <w:gridCol w:w="974"/>
        <w:gridCol w:w="974"/>
        <w:gridCol w:w="974"/>
        <w:gridCol w:w="974"/>
        <w:gridCol w:w="974"/>
      </w:tblGrid>
      <w:tr w:rsidR="00122F73" w:rsidRPr="00AF65B3" w:rsidTr="00C10522">
        <w:trPr>
          <w:trHeight w:val="312"/>
          <w:tblHeader/>
          <w:jc w:val="center"/>
        </w:trPr>
        <w:tc>
          <w:tcPr>
            <w:tcW w:w="1244" w:type="dxa"/>
            <w:vMerge w:val="restart"/>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国家及地区</w:t>
            </w:r>
          </w:p>
        </w:tc>
        <w:tc>
          <w:tcPr>
            <w:tcW w:w="2922"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进口数量</w:t>
            </w:r>
          </w:p>
        </w:tc>
        <w:tc>
          <w:tcPr>
            <w:tcW w:w="2922"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进口金额</w:t>
            </w:r>
          </w:p>
        </w:tc>
      </w:tr>
      <w:tr w:rsidR="00122F73" w:rsidRPr="00AF65B3" w:rsidTr="00C10522">
        <w:trPr>
          <w:trHeight w:val="312"/>
          <w:tblHeader/>
          <w:jc w:val="center"/>
        </w:trPr>
        <w:tc>
          <w:tcPr>
            <w:tcW w:w="1244" w:type="dxa"/>
            <w:vMerge/>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0"/>
              <w:rPr>
                <w:rFonts w:ascii="Times New Roman" w:hAnsi="Times New Roman"/>
                <w:color w:val="000000"/>
                <w:sz w:val="18"/>
                <w:szCs w:val="18"/>
              </w:rPr>
            </w:pPr>
            <w:r w:rsidRPr="0056200B">
              <w:rPr>
                <w:rFonts w:ascii="Times New Roman" w:hAnsi="Times New Roman"/>
                <w:color w:val="000000"/>
                <w:sz w:val="18"/>
                <w:szCs w:val="18"/>
              </w:rPr>
              <w:t>总计</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26432.3</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25640.2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3.09</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20239.7</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21982.5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-7.93</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0"/>
              <w:rPr>
                <w:rFonts w:ascii="Times New Roman" w:hAnsi="Times New Roman"/>
                <w:color w:val="000000"/>
                <w:sz w:val="18"/>
                <w:szCs w:val="18"/>
              </w:rPr>
            </w:pPr>
            <w:r w:rsidRPr="0056200B">
              <w:rPr>
                <w:rFonts w:ascii="Times New Roman" w:hAnsi="Times New Roman"/>
                <w:color w:val="000000"/>
                <w:sz w:val="18"/>
                <w:szCs w:val="18"/>
              </w:rPr>
              <w:t>其中：越南</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11811.3</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9911.2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19.17</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5233.1</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5806.8</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-9.88</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56200B">
              <w:rPr>
                <w:rFonts w:ascii="Times New Roman" w:hAnsi="Times New Roman"/>
                <w:color w:val="000000"/>
                <w:sz w:val="18"/>
                <w:szCs w:val="18"/>
              </w:rPr>
              <w:t>韩国</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3031.2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2812.2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7.79</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2147.4</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2125.2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1.04</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56200B">
              <w:rPr>
                <w:rFonts w:ascii="Times New Roman" w:hAnsi="Times New Roman"/>
                <w:color w:val="000000"/>
                <w:sz w:val="18"/>
                <w:szCs w:val="18"/>
              </w:rPr>
              <w:t>新加坡</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2931.8</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2710.8</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8.15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3779.8</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3075.3</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22.91</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56200B">
              <w:rPr>
                <w:rFonts w:ascii="Times New Roman" w:hAnsi="Times New Roman"/>
                <w:color w:val="000000"/>
                <w:sz w:val="18"/>
                <w:szCs w:val="18"/>
              </w:rPr>
              <w:t>日本</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2496.2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2525.3</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3632.5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3766.5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-3.56</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56200B">
              <w:rPr>
                <w:rFonts w:ascii="Times New Roman" w:hAnsi="Times New Roman"/>
                <w:color w:val="000000"/>
                <w:sz w:val="18"/>
                <w:szCs w:val="18"/>
              </w:rPr>
              <w:t>中国</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2419.4</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3212.5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-24.69</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2417.4</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3380.5</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-28.49</w:t>
            </w:r>
          </w:p>
        </w:tc>
      </w:tr>
      <w:tr w:rsidR="00122F73" w:rsidRPr="00AF65B3" w:rsidTr="00C10522">
        <w:trPr>
          <w:trHeight w:val="312"/>
          <w:jc w:val="center"/>
        </w:trPr>
        <w:tc>
          <w:tcPr>
            <w:tcW w:w="1244" w:type="dxa"/>
            <w:tcMar>
              <w:left w:w="57" w:type="dxa"/>
              <w:right w:w="57" w:type="dxa"/>
            </w:tcMar>
            <w:vAlign w:val="center"/>
          </w:tcPr>
          <w:p w:rsidR="00122F73" w:rsidRPr="0056200B" w:rsidRDefault="00122F73" w:rsidP="00C10522">
            <w:pPr>
              <w:adjustRightInd w:val="0"/>
              <w:snapToGrid w:val="0"/>
              <w:spacing w:after="0" w:line="240" w:lineRule="auto"/>
              <w:ind w:firstLineChars="300" w:firstLine="540"/>
              <w:rPr>
                <w:rFonts w:ascii="Times New Roman" w:hAnsi="Times New Roman"/>
                <w:color w:val="000000"/>
                <w:sz w:val="18"/>
                <w:szCs w:val="18"/>
              </w:rPr>
            </w:pPr>
            <w:r w:rsidRPr="0056200B">
              <w:rPr>
                <w:rFonts w:ascii="Times New Roman" w:hAnsi="Times New Roman"/>
                <w:color w:val="000000"/>
                <w:sz w:val="18"/>
                <w:szCs w:val="18"/>
              </w:rPr>
              <w:t>泰国</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1964.3</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1962.2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0.11</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1574.2</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1685.6</w:t>
            </w:r>
          </w:p>
        </w:tc>
        <w:tc>
          <w:tcPr>
            <w:tcW w:w="97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-6.61</w:t>
            </w:r>
          </w:p>
        </w:tc>
      </w:tr>
    </w:tbl>
    <w:p w:rsidR="00122F73" w:rsidRPr="00AF65B3" w:rsidRDefault="00122F73" w:rsidP="00122F73">
      <w:pPr>
        <w:pStyle w:val="003"/>
        <w:rPr>
          <w:rFonts w:hint="eastAsia"/>
          <w:color w:val="000000"/>
          <w:kern w:val="2"/>
        </w:rPr>
      </w:pPr>
      <w:r w:rsidRPr="00AF65B3">
        <w:rPr>
          <w:color w:val="000000"/>
          <w:kern w:val="2"/>
        </w:rPr>
        <w:t>资料来源：据中国海关数据整理</w:t>
      </w:r>
    </w:p>
    <w:p w:rsidR="00122F73" w:rsidRPr="00AF65B3" w:rsidRDefault="00122F73" w:rsidP="00122F73">
      <w:pPr>
        <w:pStyle w:val="007"/>
        <w:rPr>
          <w:rFonts w:hint="eastAsia"/>
          <w:color w:val="000000"/>
          <w:kern w:val="2"/>
        </w:rPr>
      </w:pPr>
    </w:p>
    <w:p w:rsidR="00122F73" w:rsidRPr="00AF65B3" w:rsidRDefault="00122F73" w:rsidP="00122F73">
      <w:pPr>
        <w:pStyle w:val="001"/>
        <w:rPr>
          <w:rFonts w:hint="eastAsia"/>
        </w:rPr>
      </w:pPr>
      <w:r w:rsidRPr="00AF65B3">
        <w:rPr>
          <w:rFonts w:hint="eastAsia"/>
        </w:rPr>
        <w:t>2016</w:t>
      </w:r>
      <w:r w:rsidRPr="00AF65B3">
        <w:rPr>
          <w:rFonts w:hint="eastAsia"/>
        </w:rPr>
        <w:t>年，氨纶进口贸易方式中，一般贸易占进口总量的</w:t>
      </w:r>
      <w:r w:rsidRPr="00AF65B3">
        <w:rPr>
          <w:rFonts w:hint="eastAsia"/>
        </w:rPr>
        <w:t>62.63%</w:t>
      </w:r>
      <w:r w:rsidRPr="00AF65B3">
        <w:rPr>
          <w:rFonts w:hint="eastAsia"/>
        </w:rPr>
        <w:t>，同比增加了</w:t>
      </w:r>
      <w:r w:rsidRPr="00AF65B3">
        <w:rPr>
          <w:rFonts w:hint="eastAsia"/>
        </w:rPr>
        <w:t>11.48%</w:t>
      </w:r>
      <w:r w:rsidRPr="00AF65B3">
        <w:rPr>
          <w:rFonts w:hint="eastAsia"/>
        </w:rPr>
        <w:t>，在氨纶产量增加，价格走低情况下，一般贸易量增加需要引起关注；加工贸易占进口总量的比例为</w:t>
      </w:r>
      <w:r w:rsidRPr="00AF65B3">
        <w:rPr>
          <w:rFonts w:hint="eastAsia"/>
        </w:rPr>
        <w:t>37.32%</w:t>
      </w:r>
      <w:r w:rsidRPr="00AF65B3">
        <w:rPr>
          <w:rFonts w:hint="eastAsia"/>
        </w:rPr>
        <w:t>。</w:t>
      </w:r>
      <w:r w:rsidRPr="00AF65B3">
        <w:t>一般贸易进口</w:t>
      </w:r>
      <w:r w:rsidRPr="00AF65B3">
        <w:rPr>
          <w:rFonts w:hint="eastAsia"/>
        </w:rPr>
        <w:t>量依然大于</w:t>
      </w:r>
      <w:r w:rsidRPr="00AF65B3">
        <w:t>加工贸易</w:t>
      </w:r>
      <w:r w:rsidRPr="00AF65B3">
        <w:rPr>
          <w:rFonts w:hint="eastAsia"/>
        </w:rPr>
        <w:t>量</w:t>
      </w:r>
      <w:r w:rsidRPr="00AF65B3">
        <w:t>，</w:t>
      </w:r>
      <w:r w:rsidRPr="00AF65B3">
        <w:rPr>
          <w:rFonts w:hint="eastAsia"/>
        </w:rPr>
        <w:t>保持着</w:t>
      </w:r>
      <w:r w:rsidRPr="00AF65B3">
        <w:t>贸易正常化</w:t>
      </w:r>
      <w:r w:rsidRPr="00AF65B3">
        <w:rPr>
          <w:rFonts w:hint="eastAsia"/>
        </w:rPr>
        <w:t>的状态（表</w:t>
      </w:r>
      <w:r w:rsidRPr="00AF65B3">
        <w:rPr>
          <w:rFonts w:hint="eastAsia"/>
        </w:rPr>
        <w:t>5</w:t>
      </w:r>
      <w:r w:rsidRPr="00AF65B3">
        <w:rPr>
          <w:rFonts w:hint="eastAsia"/>
        </w:rPr>
        <w:t>）</w:t>
      </w:r>
      <w:r w:rsidRPr="00AF65B3">
        <w:t>。</w:t>
      </w:r>
    </w:p>
    <w:p w:rsidR="00122F73" w:rsidRPr="00AF65B3" w:rsidRDefault="00122F73" w:rsidP="00122F73">
      <w:pPr>
        <w:pStyle w:val="002"/>
        <w:spacing w:before="156" w:after="156"/>
        <w:rPr>
          <w:color w:val="000000"/>
        </w:rPr>
      </w:pPr>
      <w:r w:rsidRPr="00AF65B3">
        <w:rPr>
          <w:color w:val="000000"/>
        </w:rPr>
        <w:t>表</w:t>
      </w:r>
      <w:r w:rsidRPr="00AF65B3">
        <w:rPr>
          <w:color w:val="000000"/>
        </w:rPr>
        <w:t>5</w:t>
      </w:r>
      <w:r>
        <w:rPr>
          <w:color w:val="000000"/>
        </w:rPr>
        <w:t xml:space="preserve">  </w:t>
      </w:r>
      <w:r w:rsidRPr="00AF65B3">
        <w:rPr>
          <w:color w:val="000000"/>
        </w:rPr>
        <w:t>2</w:t>
      </w:r>
      <w:r w:rsidRPr="00AF65B3">
        <w:rPr>
          <w:rFonts w:hint="eastAsia"/>
          <w:color w:val="000000"/>
        </w:rPr>
        <w:t>016</w:t>
      </w:r>
      <w:r w:rsidRPr="00AF65B3">
        <w:rPr>
          <w:color w:val="000000"/>
        </w:rPr>
        <w:t>年氨纶分贸易方式进口情况统计</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16"/>
        <w:gridCol w:w="878"/>
        <w:gridCol w:w="878"/>
        <w:gridCol w:w="879"/>
        <w:gridCol w:w="879"/>
        <w:gridCol w:w="879"/>
        <w:gridCol w:w="879"/>
      </w:tblGrid>
      <w:tr w:rsidR="00122F73" w:rsidRPr="00AF65B3" w:rsidTr="00C10522">
        <w:trPr>
          <w:trHeight w:val="312"/>
          <w:tblHeader/>
          <w:jc w:val="center"/>
        </w:trPr>
        <w:tc>
          <w:tcPr>
            <w:tcW w:w="1816" w:type="dxa"/>
            <w:vMerge w:val="restart"/>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项目</w:t>
            </w:r>
          </w:p>
        </w:tc>
        <w:tc>
          <w:tcPr>
            <w:tcW w:w="2635"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进口数量</w:t>
            </w:r>
          </w:p>
        </w:tc>
        <w:tc>
          <w:tcPr>
            <w:tcW w:w="2637"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进口金额</w:t>
            </w:r>
          </w:p>
        </w:tc>
      </w:tr>
      <w:tr w:rsidR="00122F73" w:rsidRPr="00AF65B3" w:rsidTr="00C10522">
        <w:trPr>
          <w:trHeight w:val="312"/>
          <w:tblHeader/>
          <w:jc w:val="center"/>
        </w:trPr>
        <w:tc>
          <w:tcPr>
            <w:tcW w:w="1816" w:type="dxa"/>
            <w:vMerge/>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0"/>
              <w:rPr>
                <w:rFonts w:ascii="宋体" w:hAnsi="宋体"/>
                <w:color w:val="000000"/>
                <w:sz w:val="18"/>
                <w:szCs w:val="18"/>
              </w:rPr>
            </w:pPr>
            <w:r w:rsidRPr="00A63C01">
              <w:rPr>
                <w:rFonts w:ascii="宋体" w:hAnsi="宋体"/>
                <w:color w:val="000000"/>
                <w:sz w:val="18"/>
                <w:szCs w:val="18"/>
              </w:rPr>
              <w:t>总计</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26432.3</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25640.2</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3.09</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20239.7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21982.5</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-7.93</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0"/>
              <w:rPr>
                <w:rFonts w:ascii="宋体" w:hAnsi="宋体"/>
                <w:color w:val="000000"/>
                <w:sz w:val="18"/>
                <w:szCs w:val="18"/>
              </w:rPr>
            </w:pPr>
            <w:r w:rsidRPr="00A63C01">
              <w:rPr>
                <w:rFonts w:ascii="宋体" w:hAnsi="宋体"/>
                <w:color w:val="000000"/>
                <w:sz w:val="18"/>
                <w:szCs w:val="18"/>
              </w:rPr>
              <w:t>一般贸易</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16553.5</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14849.5</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11.48</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10495.4</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10516.5</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-0.20</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0"/>
              <w:rPr>
                <w:rFonts w:ascii="宋体" w:hAnsi="宋体"/>
                <w:color w:val="000000"/>
                <w:sz w:val="18"/>
                <w:szCs w:val="18"/>
              </w:rPr>
            </w:pPr>
            <w:r w:rsidRPr="00A63C01">
              <w:rPr>
                <w:rFonts w:ascii="宋体" w:hAnsi="宋体"/>
                <w:color w:val="000000"/>
                <w:sz w:val="18"/>
                <w:szCs w:val="18"/>
              </w:rPr>
              <w:t>加工贸易</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9864.6</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10736.7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-8.12</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9726.0</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11370.7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-14.46</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0"/>
              <w:rPr>
                <w:rFonts w:ascii="宋体" w:hAnsi="宋体"/>
                <w:color w:val="000000"/>
                <w:sz w:val="18"/>
                <w:szCs w:val="18"/>
              </w:rPr>
            </w:pPr>
            <w:r w:rsidRPr="00A63C01">
              <w:rPr>
                <w:rFonts w:ascii="宋体" w:hAnsi="宋体"/>
                <w:color w:val="000000"/>
                <w:sz w:val="18"/>
                <w:szCs w:val="18"/>
              </w:rPr>
              <w:t>其中：来料加工</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305.9</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428.0</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-28.53</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225.7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279.4</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-19.23</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Chars="300" w:firstLine="540"/>
              <w:rPr>
                <w:rFonts w:ascii="宋体" w:hAnsi="宋体"/>
                <w:color w:val="000000"/>
                <w:sz w:val="18"/>
                <w:szCs w:val="18"/>
              </w:rPr>
            </w:pPr>
            <w:r w:rsidRPr="00A63C01">
              <w:rPr>
                <w:rFonts w:ascii="宋体" w:hAnsi="宋体"/>
                <w:color w:val="000000"/>
                <w:sz w:val="18"/>
                <w:szCs w:val="18"/>
              </w:rPr>
              <w:t>进料加工</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9558.7</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10308.7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-7.28</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9500.3</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11091.3</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-14.34</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Chars="300" w:firstLine="540"/>
              <w:rPr>
                <w:rFonts w:ascii="宋体" w:hAnsi="宋体"/>
                <w:color w:val="000000"/>
                <w:sz w:val="18"/>
                <w:szCs w:val="18"/>
              </w:rPr>
            </w:pPr>
            <w:r w:rsidRPr="00A63C01">
              <w:rPr>
                <w:rFonts w:ascii="宋体" w:hAnsi="宋体"/>
                <w:color w:val="000000"/>
                <w:sz w:val="18"/>
                <w:szCs w:val="18"/>
              </w:rPr>
              <w:t>保税区</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9.1</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50.9</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-82.07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13.7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91.9</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-85.10</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0"/>
              <w:rPr>
                <w:rFonts w:ascii="宋体" w:hAnsi="宋体"/>
                <w:color w:val="000000"/>
                <w:sz w:val="18"/>
                <w:szCs w:val="18"/>
              </w:rPr>
            </w:pPr>
            <w:r w:rsidRPr="00A63C01">
              <w:rPr>
                <w:rFonts w:ascii="宋体" w:hAnsi="宋体"/>
                <w:color w:val="000000"/>
                <w:sz w:val="18"/>
                <w:szCs w:val="18"/>
              </w:rPr>
              <w:t>其中：仓储进出境</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9.1</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40.9</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-77.68</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13.7</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83.4</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-83.57</w:t>
            </w:r>
          </w:p>
        </w:tc>
      </w:tr>
      <w:tr w:rsidR="00122F73" w:rsidRPr="00AF65B3" w:rsidTr="00C10522">
        <w:trPr>
          <w:trHeight w:val="312"/>
          <w:jc w:val="center"/>
        </w:trPr>
        <w:tc>
          <w:tcPr>
            <w:tcW w:w="1816" w:type="dxa"/>
            <w:tcMar>
              <w:left w:w="57" w:type="dxa"/>
              <w:right w:w="57" w:type="dxa"/>
            </w:tcMar>
            <w:vAlign w:val="center"/>
          </w:tcPr>
          <w:p w:rsidR="00122F73" w:rsidRPr="00A63C01" w:rsidRDefault="00122F73" w:rsidP="00C10522">
            <w:pPr>
              <w:adjustRightInd w:val="0"/>
              <w:snapToGrid w:val="0"/>
              <w:spacing w:after="0" w:line="240" w:lineRule="auto"/>
              <w:ind w:firstLineChars="300" w:firstLine="540"/>
              <w:rPr>
                <w:rFonts w:ascii="宋体" w:hAnsi="宋体"/>
                <w:color w:val="000000"/>
                <w:sz w:val="18"/>
                <w:szCs w:val="18"/>
              </w:rPr>
            </w:pPr>
            <w:r w:rsidRPr="00A63C01">
              <w:rPr>
                <w:rFonts w:ascii="宋体" w:hAnsi="宋体"/>
                <w:color w:val="000000"/>
                <w:sz w:val="18"/>
                <w:szCs w:val="18"/>
              </w:rPr>
              <w:t>仓储转口</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0.0</w:t>
            </w:r>
          </w:p>
        </w:tc>
        <w:tc>
          <w:tcPr>
            <w:tcW w:w="878"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10.0</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0.0</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8.5</w:t>
            </w:r>
          </w:p>
        </w:tc>
        <w:tc>
          <w:tcPr>
            <w:tcW w:w="879"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w:t>
            </w:r>
          </w:p>
        </w:tc>
      </w:tr>
    </w:tbl>
    <w:p w:rsidR="00122F73" w:rsidRPr="00AF65B3" w:rsidRDefault="00122F73" w:rsidP="00122F73">
      <w:pPr>
        <w:pStyle w:val="003"/>
        <w:rPr>
          <w:rFonts w:hint="eastAsia"/>
          <w:color w:val="000000"/>
          <w:kern w:val="2"/>
        </w:rPr>
      </w:pPr>
      <w:r w:rsidRPr="00AF65B3">
        <w:rPr>
          <w:color w:val="000000"/>
          <w:kern w:val="2"/>
        </w:rPr>
        <w:t>资料来源：据中国海关数据整理</w:t>
      </w:r>
    </w:p>
    <w:p w:rsidR="00122F73" w:rsidRPr="00AF65B3" w:rsidRDefault="00122F73" w:rsidP="00122F73">
      <w:pPr>
        <w:pStyle w:val="005"/>
        <w:spacing w:line="380" w:lineRule="exact"/>
        <w:rPr>
          <w:color w:val="000000"/>
        </w:rPr>
      </w:pPr>
      <w:r w:rsidRPr="00AF65B3">
        <w:rPr>
          <w:color w:val="000000"/>
        </w:rPr>
        <w:t>（五）出口情况</w:t>
      </w:r>
    </w:p>
    <w:p w:rsidR="00122F73" w:rsidRPr="00AF65B3" w:rsidRDefault="00122F73" w:rsidP="00122F73">
      <w:pPr>
        <w:pStyle w:val="001"/>
        <w:spacing w:line="380" w:lineRule="exact"/>
        <w:rPr>
          <w:rFonts w:hint="eastAsia"/>
        </w:rPr>
      </w:pPr>
      <w:r w:rsidRPr="00AF65B3">
        <w:rPr>
          <w:rFonts w:hint="eastAsia"/>
        </w:rPr>
        <w:t>2016</w:t>
      </w:r>
      <w:r w:rsidRPr="00AF65B3">
        <w:rPr>
          <w:rFonts w:hint="eastAsia"/>
        </w:rPr>
        <w:t>年，氨纶出口总量为</w:t>
      </w:r>
      <w:r w:rsidRPr="00AF65B3">
        <w:rPr>
          <w:rFonts w:hint="eastAsia"/>
        </w:rPr>
        <w:t>5.87</w:t>
      </w:r>
      <w:r w:rsidRPr="00AF65B3">
        <w:rPr>
          <w:rFonts w:hint="eastAsia"/>
        </w:rPr>
        <w:t>万吨，创历史新高，同比增加</w:t>
      </w:r>
      <w:r w:rsidRPr="00AF65B3">
        <w:rPr>
          <w:rFonts w:hint="eastAsia"/>
        </w:rPr>
        <w:t>12.46%</w:t>
      </w:r>
      <w:r w:rsidRPr="00AF65B3">
        <w:rPr>
          <w:rFonts w:hint="eastAsia"/>
        </w:rPr>
        <w:t>。从出口流向上看，随着</w:t>
      </w:r>
      <w:r w:rsidRPr="00A735B7">
        <w:rPr>
          <w:rFonts w:ascii="宋体" w:hAnsi="宋体" w:hint="eastAsia"/>
        </w:rPr>
        <w:t>“</w:t>
      </w:r>
      <w:r w:rsidRPr="00AF65B3">
        <w:rPr>
          <w:rFonts w:hint="eastAsia"/>
        </w:rPr>
        <w:t>一带一路</w:t>
      </w:r>
      <w:r w:rsidRPr="00A735B7">
        <w:rPr>
          <w:rFonts w:ascii="宋体" w:hAnsi="宋体" w:hint="eastAsia"/>
        </w:rPr>
        <w:t>”</w:t>
      </w:r>
      <w:r w:rsidRPr="00AF65B3">
        <w:rPr>
          <w:rFonts w:hint="eastAsia"/>
        </w:rPr>
        <w:t>欧亚丝绸之路的推动，土耳其、韩国、越南、中国</w:t>
      </w:r>
      <w:r>
        <w:rPr>
          <w:rFonts w:hint="eastAsia"/>
        </w:rPr>
        <w:t>中国台湾</w:t>
      </w:r>
      <w:r w:rsidRPr="00AF65B3">
        <w:rPr>
          <w:rFonts w:hint="eastAsia"/>
        </w:rPr>
        <w:t>、墨西哥、巴基斯坦等欧亚纺织市场的出口量同比增长迅速，其中对土耳其的出口量同比增加了</w:t>
      </w:r>
      <w:r w:rsidRPr="00AF65B3">
        <w:rPr>
          <w:rFonts w:hint="eastAsia"/>
        </w:rPr>
        <w:t>42.68%</w:t>
      </w:r>
      <w:r w:rsidRPr="00AF65B3">
        <w:rPr>
          <w:rFonts w:hint="eastAsia"/>
        </w:rPr>
        <w:t>，占总出口量的</w:t>
      </w:r>
      <w:r w:rsidRPr="00AF65B3">
        <w:rPr>
          <w:rFonts w:hint="eastAsia"/>
        </w:rPr>
        <w:t>13.76%</w:t>
      </w:r>
      <w:r w:rsidRPr="00AF65B3">
        <w:rPr>
          <w:rFonts w:hint="eastAsia"/>
        </w:rPr>
        <w:t>。本期排名第六位的是巴基斯坦，出口量为</w:t>
      </w:r>
      <w:r w:rsidRPr="00AF65B3">
        <w:rPr>
          <w:rFonts w:hint="eastAsia"/>
        </w:rPr>
        <w:t>0.3</w:t>
      </w:r>
      <w:r w:rsidRPr="00AF65B3">
        <w:rPr>
          <w:rFonts w:hint="eastAsia"/>
        </w:rPr>
        <w:t>万吨，同比增加了</w:t>
      </w:r>
      <w:r w:rsidRPr="00AF65B3">
        <w:rPr>
          <w:rFonts w:hint="eastAsia"/>
        </w:rPr>
        <w:t>23.70</w:t>
      </w:r>
      <w:r w:rsidRPr="00AF65B3">
        <w:t>%</w:t>
      </w:r>
      <w:r w:rsidRPr="00AF65B3">
        <w:rPr>
          <w:rFonts w:hint="eastAsia"/>
        </w:rPr>
        <w:t>，</w:t>
      </w:r>
      <w:r w:rsidRPr="00AF65B3">
        <w:rPr>
          <w:rFonts w:hint="eastAsia"/>
        </w:rPr>
        <w:lastRenderedPageBreak/>
        <w:t>占出口总量的</w:t>
      </w:r>
      <w:r w:rsidRPr="00AF65B3">
        <w:rPr>
          <w:rFonts w:hint="eastAsia"/>
        </w:rPr>
        <w:t>5.65%</w:t>
      </w:r>
      <w:r w:rsidRPr="00AF65B3">
        <w:rPr>
          <w:rFonts w:hint="eastAsia"/>
        </w:rPr>
        <w:t>，对以上六个国家和地区的出口合计占总出口量的</w:t>
      </w:r>
      <w:r w:rsidRPr="00AF65B3">
        <w:rPr>
          <w:rFonts w:hint="eastAsia"/>
        </w:rPr>
        <w:t>49.22%</w:t>
      </w:r>
      <w:r w:rsidRPr="00AF65B3">
        <w:rPr>
          <w:rFonts w:hint="eastAsia"/>
        </w:rPr>
        <w:t>，出口较为分散。土耳其增量最为显著，主要是由于土耳其地处欧亚交接处，是传统的纺织强国，氨纶需求相对旺盛，而当地氨纶供应相对有限，近两年国内氨纶工厂加大开拓力度，如华峰氨纶已设立土耳其子公司，对促进当地氨纶销售起到了重要的作用（表</w:t>
      </w:r>
      <w:r w:rsidRPr="00AF65B3">
        <w:rPr>
          <w:rFonts w:hint="eastAsia"/>
        </w:rPr>
        <w:t>6</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6</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年氨纶分国别或地区出口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1"/>
        <w:gridCol w:w="826"/>
        <w:gridCol w:w="850"/>
        <w:gridCol w:w="1025"/>
        <w:gridCol w:w="1121"/>
        <w:gridCol w:w="1121"/>
        <w:gridCol w:w="1024"/>
      </w:tblGrid>
      <w:tr w:rsidR="00122F73" w:rsidRPr="00AF65B3" w:rsidTr="00C10522">
        <w:trPr>
          <w:trHeight w:val="340"/>
          <w:tblHeader/>
          <w:jc w:val="center"/>
        </w:trPr>
        <w:tc>
          <w:tcPr>
            <w:tcW w:w="1121" w:type="dxa"/>
            <w:vMerge w:val="restart"/>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国家及地区</w:t>
            </w:r>
          </w:p>
        </w:tc>
        <w:tc>
          <w:tcPr>
            <w:tcW w:w="2701"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出口数量</w:t>
            </w:r>
          </w:p>
        </w:tc>
        <w:tc>
          <w:tcPr>
            <w:tcW w:w="3266"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出口金额</w:t>
            </w:r>
          </w:p>
        </w:tc>
      </w:tr>
      <w:tr w:rsidR="00122F73" w:rsidRPr="00AF65B3" w:rsidTr="00C10522">
        <w:trPr>
          <w:trHeight w:val="340"/>
          <w:tblHeader/>
          <w:jc w:val="center"/>
        </w:trPr>
        <w:tc>
          <w:tcPr>
            <w:tcW w:w="1121" w:type="dxa"/>
            <w:vMerge/>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总计</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58702.3</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52200.1</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12.46</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30709.3</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32491.7</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-5.49</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其中：土耳其</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8078.5</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5662.0</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42.68</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3411.7</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3257.3</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4.74</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Chars="250" w:firstLine="450"/>
              <w:rPr>
                <w:rFonts w:ascii="宋体" w:hAnsi="宋体"/>
                <w:color w:val="000000"/>
                <w:sz w:val="18"/>
                <w:szCs w:val="18"/>
              </w:rPr>
            </w:pPr>
            <w:r w:rsidRPr="00AF65B3">
              <w:rPr>
                <w:rFonts w:ascii="宋体" w:hAnsi="宋体"/>
                <w:color w:val="000000"/>
                <w:sz w:val="18"/>
                <w:szCs w:val="18"/>
              </w:rPr>
              <w:t>韩国</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5917.6</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6561.7</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-9.82</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2783.4</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3706.7</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-24.91</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Chars="250" w:firstLine="450"/>
              <w:rPr>
                <w:rFonts w:ascii="宋体" w:hAnsi="宋体"/>
                <w:color w:val="000000"/>
                <w:sz w:val="18"/>
                <w:szCs w:val="18"/>
              </w:rPr>
            </w:pPr>
            <w:r w:rsidRPr="00AF65B3">
              <w:rPr>
                <w:rFonts w:ascii="宋体" w:hAnsi="宋体"/>
                <w:color w:val="000000"/>
                <w:sz w:val="18"/>
                <w:szCs w:val="18"/>
              </w:rPr>
              <w:t>越南</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4243.8</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3378.5</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25.61</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2037.5</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2014.3</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1.15</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Chars="150" w:firstLine="270"/>
              <w:rPr>
                <w:rFonts w:ascii="宋体" w:hAnsi="宋体"/>
                <w:color w:val="000000"/>
                <w:sz w:val="18"/>
                <w:szCs w:val="18"/>
              </w:rPr>
            </w:pPr>
            <w:r w:rsidRPr="00AF65B3">
              <w:rPr>
                <w:rFonts w:ascii="宋体" w:hAnsi="宋体"/>
                <w:color w:val="000000"/>
                <w:sz w:val="18"/>
                <w:szCs w:val="18"/>
              </w:rPr>
              <w:t>中国台湾</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3959.0</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4439.6</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-10.83</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2378.7</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3156.5</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-24.64</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Chars="250" w:firstLine="450"/>
              <w:rPr>
                <w:rFonts w:ascii="宋体" w:hAnsi="宋体"/>
                <w:color w:val="000000"/>
                <w:sz w:val="18"/>
                <w:szCs w:val="18"/>
              </w:rPr>
            </w:pPr>
            <w:r w:rsidRPr="00AF65B3">
              <w:rPr>
                <w:rFonts w:ascii="宋体" w:hAnsi="宋体"/>
                <w:color w:val="000000"/>
                <w:sz w:val="18"/>
                <w:szCs w:val="18"/>
              </w:rPr>
              <w:t>墨西哥</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3374.1</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2667.2</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26.50</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1244.7</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1253.9</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-0.74</w:t>
            </w:r>
          </w:p>
        </w:tc>
      </w:tr>
      <w:tr w:rsidR="00122F73" w:rsidRPr="00AF65B3" w:rsidTr="00C10522">
        <w:trPr>
          <w:trHeight w:val="397"/>
          <w:jc w:val="center"/>
        </w:trPr>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Chars="150" w:firstLine="270"/>
              <w:rPr>
                <w:rFonts w:ascii="宋体" w:hAnsi="宋体"/>
                <w:color w:val="000000"/>
                <w:sz w:val="18"/>
                <w:szCs w:val="18"/>
              </w:rPr>
            </w:pPr>
            <w:r w:rsidRPr="00AF65B3">
              <w:rPr>
                <w:rFonts w:ascii="宋体" w:hAnsi="宋体"/>
                <w:color w:val="000000"/>
                <w:sz w:val="18"/>
                <w:szCs w:val="18"/>
              </w:rPr>
              <w:t>巴基斯坦</w:t>
            </w:r>
          </w:p>
        </w:tc>
        <w:tc>
          <w:tcPr>
            <w:tcW w:w="826"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3318.6</w:t>
            </w:r>
          </w:p>
        </w:tc>
        <w:tc>
          <w:tcPr>
            <w:tcW w:w="85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2682.9</w:t>
            </w:r>
          </w:p>
        </w:tc>
        <w:tc>
          <w:tcPr>
            <w:tcW w:w="1025"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23.70</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2015.6</w:t>
            </w:r>
          </w:p>
        </w:tc>
        <w:tc>
          <w:tcPr>
            <w:tcW w:w="112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1099.1</w:t>
            </w:r>
          </w:p>
        </w:tc>
        <w:tc>
          <w:tcPr>
            <w:tcW w:w="102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83.38</w:t>
            </w:r>
          </w:p>
        </w:tc>
      </w:tr>
    </w:tbl>
    <w:p w:rsidR="00122F73" w:rsidRPr="00AF65B3" w:rsidRDefault="00122F73" w:rsidP="00122F73">
      <w:pPr>
        <w:pStyle w:val="003"/>
        <w:spacing w:line="380" w:lineRule="exact"/>
        <w:rPr>
          <w:rFonts w:hint="eastAsia"/>
          <w:color w:val="000000"/>
          <w:kern w:val="2"/>
        </w:rPr>
      </w:pPr>
      <w:r w:rsidRPr="00AF65B3">
        <w:rPr>
          <w:color w:val="000000"/>
          <w:kern w:val="2"/>
        </w:rPr>
        <w:t>资料来源：据中国海关数据整理</w:t>
      </w:r>
    </w:p>
    <w:p w:rsidR="00122F73" w:rsidRPr="00AF65B3" w:rsidRDefault="00122F73" w:rsidP="00122F73">
      <w:pPr>
        <w:pStyle w:val="007"/>
        <w:spacing w:line="380" w:lineRule="exact"/>
        <w:rPr>
          <w:color w:val="000000"/>
          <w:kern w:val="2"/>
        </w:rPr>
      </w:pPr>
    </w:p>
    <w:p w:rsidR="00122F73" w:rsidRPr="00AF65B3" w:rsidRDefault="00122F73" w:rsidP="00122F73">
      <w:pPr>
        <w:pStyle w:val="001"/>
        <w:spacing w:line="380" w:lineRule="exact"/>
        <w:rPr>
          <w:rFonts w:hint="eastAsia"/>
          <w:lang w:val="en-US" w:eastAsia="zh-CN"/>
        </w:rPr>
      </w:pPr>
      <w:r w:rsidRPr="00AF65B3">
        <w:rPr>
          <w:rFonts w:hint="eastAsia"/>
        </w:rPr>
        <w:t>2016</w:t>
      </w:r>
      <w:r w:rsidRPr="00AF65B3">
        <w:rPr>
          <w:rFonts w:hint="eastAsia"/>
        </w:rPr>
        <w:t>年，氨纶一般贸易出口量同比增加了</w:t>
      </w:r>
      <w:r w:rsidRPr="00AF65B3">
        <w:rPr>
          <w:rFonts w:hint="eastAsia"/>
        </w:rPr>
        <w:t>19.36%</w:t>
      </w:r>
      <w:r w:rsidRPr="00AF65B3">
        <w:rPr>
          <w:rFonts w:hint="eastAsia"/>
        </w:rPr>
        <w:t>，占出口总量的</w:t>
      </w:r>
      <w:r w:rsidRPr="00AF65B3">
        <w:rPr>
          <w:rFonts w:hint="eastAsia"/>
        </w:rPr>
        <w:t>67.01%</w:t>
      </w:r>
      <w:r w:rsidRPr="00AF65B3">
        <w:rPr>
          <w:rFonts w:hint="eastAsia"/>
        </w:rPr>
        <w:t>，加工贸易出口量同比减少了</w:t>
      </w:r>
      <w:r w:rsidRPr="00AF65B3">
        <w:rPr>
          <w:rFonts w:hint="eastAsia"/>
        </w:rPr>
        <w:t>0.01%</w:t>
      </w:r>
      <w:r w:rsidRPr="00AF65B3">
        <w:rPr>
          <w:rFonts w:hint="eastAsia"/>
        </w:rPr>
        <w:t>，占出口总量的</w:t>
      </w:r>
      <w:r w:rsidRPr="00AF65B3">
        <w:rPr>
          <w:rFonts w:hint="eastAsia"/>
        </w:rPr>
        <w:t>32.58%</w:t>
      </w:r>
      <w:r w:rsidRPr="00AF65B3">
        <w:rPr>
          <w:rFonts w:hint="eastAsia"/>
        </w:rPr>
        <w:t>，反应出了国内氨纶原料品质和供应水平均得到提升（表</w:t>
      </w:r>
      <w:r w:rsidRPr="00AF65B3">
        <w:rPr>
          <w:rFonts w:hint="eastAsia"/>
        </w:rPr>
        <w:t>7</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br w:type="page"/>
      </w:r>
      <w:r w:rsidRPr="00AF65B3">
        <w:rPr>
          <w:color w:val="000000"/>
          <w:kern w:val="2"/>
        </w:rPr>
        <w:lastRenderedPageBreak/>
        <w:t>表</w:t>
      </w:r>
      <w:r w:rsidRPr="00AF65B3">
        <w:rPr>
          <w:color w:val="000000"/>
          <w:kern w:val="2"/>
        </w:rPr>
        <w:t>7</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年氨纶分贸易方式出口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9"/>
        <w:gridCol w:w="931"/>
        <w:gridCol w:w="931"/>
        <w:gridCol w:w="930"/>
        <w:gridCol w:w="931"/>
        <w:gridCol w:w="930"/>
        <w:gridCol w:w="930"/>
        <w:gridCol w:w="6"/>
      </w:tblGrid>
      <w:tr w:rsidR="00122F73" w:rsidRPr="00AF65B3" w:rsidTr="00C10522">
        <w:trPr>
          <w:trHeight w:val="340"/>
          <w:tblHeader/>
          <w:jc w:val="center"/>
        </w:trPr>
        <w:tc>
          <w:tcPr>
            <w:tcW w:w="1499" w:type="dxa"/>
            <w:vMerge w:val="restart"/>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项目</w:t>
            </w:r>
          </w:p>
        </w:tc>
        <w:tc>
          <w:tcPr>
            <w:tcW w:w="2792"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出口数量</w:t>
            </w:r>
          </w:p>
        </w:tc>
        <w:tc>
          <w:tcPr>
            <w:tcW w:w="2797" w:type="dxa"/>
            <w:gridSpan w:val="4"/>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出口金额</w:t>
            </w:r>
          </w:p>
        </w:tc>
      </w:tr>
      <w:tr w:rsidR="00122F73" w:rsidRPr="00AF65B3" w:rsidTr="00C10522">
        <w:trPr>
          <w:gridAfter w:val="1"/>
          <w:trHeight w:val="340"/>
          <w:tblHeader/>
          <w:jc w:val="center"/>
        </w:trPr>
        <w:tc>
          <w:tcPr>
            <w:tcW w:w="1499" w:type="dxa"/>
            <w:vMerge/>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（吨）</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去年同期</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（万美元）</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总计</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58702.3</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52200.1</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12.46</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30709.3</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32491.7</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-5.49</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一般贸易</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39338.0</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32957.9</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19.36</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20816.1</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20323.3</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2.43</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加工贸易</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19127.0</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19128.6</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-0.01</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9730.1</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12065.8</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-19.36</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Pr>
                <w:rFonts w:ascii="宋体" w:hAnsi="宋体" w:hint="eastAsia"/>
                <w:color w:val="000000"/>
                <w:sz w:val="18"/>
                <w:szCs w:val="18"/>
              </w:rPr>
              <w:t>其中：</w:t>
            </w:r>
            <w:r w:rsidRPr="00AF65B3">
              <w:rPr>
                <w:rFonts w:ascii="宋体" w:hAnsi="宋体"/>
                <w:color w:val="000000"/>
                <w:sz w:val="18"/>
                <w:szCs w:val="18"/>
              </w:rPr>
              <w:t>进料加工</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19127.0</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19128.6</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-0.01</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9730.1</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12065.8</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-19.36</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Chars="300" w:firstLine="540"/>
              <w:rPr>
                <w:rFonts w:ascii="宋体" w:hAnsi="宋体"/>
                <w:color w:val="000000"/>
                <w:sz w:val="18"/>
                <w:szCs w:val="18"/>
              </w:rPr>
            </w:pPr>
            <w:r w:rsidRPr="00AF65B3">
              <w:rPr>
                <w:rFonts w:ascii="宋体" w:hAnsi="宋体"/>
                <w:color w:val="000000"/>
                <w:sz w:val="18"/>
                <w:szCs w:val="18"/>
              </w:rPr>
              <w:t>保税区</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71.8</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52.5</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36.68</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75.1</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69.4</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8.17</w:t>
            </w:r>
          </w:p>
        </w:tc>
      </w:tr>
      <w:tr w:rsidR="00122F73" w:rsidRPr="00AF65B3" w:rsidTr="00C10522">
        <w:trPr>
          <w:trHeight w:val="340"/>
          <w:jc w:val="center"/>
        </w:trPr>
        <w:tc>
          <w:tcPr>
            <w:tcW w:w="1499"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宋体" w:hAnsi="宋体"/>
                <w:color w:val="000000"/>
                <w:sz w:val="18"/>
                <w:szCs w:val="18"/>
              </w:rPr>
            </w:pPr>
            <w:r w:rsidRPr="00AF65B3">
              <w:rPr>
                <w:rFonts w:ascii="宋体" w:hAnsi="宋体"/>
                <w:color w:val="000000"/>
                <w:sz w:val="18"/>
                <w:szCs w:val="18"/>
              </w:rPr>
              <w:t>其中：仓储进出境</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65.5</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35.0</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87.04</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71.8</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55.5</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29.51</w:t>
            </w:r>
          </w:p>
        </w:tc>
      </w:tr>
      <w:tr w:rsidR="00122F73" w:rsidRPr="00AF65B3" w:rsidTr="00C10522">
        <w:trPr>
          <w:trHeight w:val="340"/>
          <w:jc w:val="center"/>
        </w:trPr>
        <w:tc>
          <w:tcPr>
            <w:tcW w:w="1499" w:type="dxa"/>
            <w:tcMar>
              <w:left w:w="57" w:type="dxa"/>
              <w:right w:w="57" w:type="dxa"/>
            </w:tcMar>
            <w:vAlign w:val="center"/>
          </w:tcPr>
          <w:p w:rsidR="00122F73" w:rsidRDefault="00122F73" w:rsidP="00C10522">
            <w:pPr>
              <w:adjustRightInd w:val="0"/>
              <w:snapToGrid w:val="0"/>
              <w:spacing w:after="0" w:line="240" w:lineRule="auto"/>
              <w:ind w:firstLineChars="250" w:firstLine="450"/>
              <w:rPr>
                <w:rFonts w:ascii="宋体" w:hAnsi="宋体"/>
                <w:color w:val="000000"/>
                <w:sz w:val="18"/>
                <w:szCs w:val="18"/>
              </w:rPr>
            </w:pPr>
          </w:p>
          <w:p w:rsidR="00122F73" w:rsidRPr="00AF65B3" w:rsidRDefault="00122F73" w:rsidP="00C10522">
            <w:pPr>
              <w:adjustRightInd w:val="0"/>
              <w:snapToGrid w:val="0"/>
              <w:spacing w:after="0" w:line="240" w:lineRule="auto"/>
              <w:ind w:firstLineChars="250" w:firstLine="450"/>
              <w:rPr>
                <w:rFonts w:ascii="宋体" w:hAnsi="宋体"/>
                <w:color w:val="000000"/>
                <w:sz w:val="18"/>
                <w:szCs w:val="18"/>
              </w:rPr>
            </w:pPr>
            <w:r w:rsidRPr="00AF65B3">
              <w:rPr>
                <w:rFonts w:ascii="宋体" w:hAnsi="宋体"/>
                <w:color w:val="000000"/>
                <w:sz w:val="18"/>
                <w:szCs w:val="18"/>
              </w:rPr>
              <w:t>仓储转口</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6.2</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17.5</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-64.34</w:t>
            </w:r>
          </w:p>
        </w:tc>
        <w:tc>
          <w:tcPr>
            <w:tcW w:w="931"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3.3</w:t>
            </w:r>
          </w:p>
        </w:tc>
        <w:tc>
          <w:tcPr>
            <w:tcW w:w="930"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13.9</w:t>
            </w:r>
          </w:p>
        </w:tc>
        <w:tc>
          <w:tcPr>
            <w:tcW w:w="936" w:type="dxa"/>
            <w:gridSpan w:val="2"/>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hAnsi="Times New Roman"/>
                <w:color w:val="000000"/>
                <w:sz w:val="18"/>
                <w:szCs w:val="18"/>
              </w:rPr>
              <w:t>-76.67</w:t>
            </w:r>
          </w:p>
        </w:tc>
      </w:tr>
    </w:tbl>
    <w:p w:rsidR="00122F73" w:rsidRPr="00AF65B3" w:rsidRDefault="00122F73" w:rsidP="00122F73">
      <w:pPr>
        <w:pStyle w:val="003"/>
        <w:rPr>
          <w:rFonts w:hint="eastAsia"/>
          <w:color w:val="000000"/>
          <w:kern w:val="2"/>
        </w:rPr>
      </w:pPr>
      <w:r w:rsidRPr="00AF65B3">
        <w:rPr>
          <w:color w:val="000000"/>
          <w:kern w:val="2"/>
        </w:rPr>
        <w:t>资料来源：据中国海关数据整理</w:t>
      </w:r>
    </w:p>
    <w:p w:rsidR="00122F73" w:rsidRPr="00AF65B3" w:rsidRDefault="00122F73" w:rsidP="00122F73">
      <w:pPr>
        <w:pStyle w:val="007"/>
        <w:rPr>
          <w:rFonts w:hint="eastAsia"/>
          <w:color w:val="000000"/>
          <w:kern w:val="2"/>
        </w:rPr>
      </w:pPr>
    </w:p>
    <w:p w:rsidR="00122F73" w:rsidRPr="00AF65B3" w:rsidRDefault="00122F73" w:rsidP="00122F73">
      <w:pPr>
        <w:pStyle w:val="005"/>
        <w:rPr>
          <w:color w:val="000000"/>
        </w:rPr>
      </w:pPr>
      <w:r w:rsidRPr="00AF65B3">
        <w:rPr>
          <w:color w:val="000000"/>
        </w:rPr>
        <w:t>（六）投资情况</w:t>
      </w:r>
    </w:p>
    <w:p w:rsidR="00122F73" w:rsidRPr="00AF65B3" w:rsidRDefault="00122F73" w:rsidP="00122F73">
      <w:pPr>
        <w:pStyle w:val="001"/>
      </w:pPr>
      <w:r w:rsidRPr="00AF65B3">
        <w:t>201</w:t>
      </w:r>
      <w:r w:rsidRPr="00AF65B3">
        <w:rPr>
          <w:rFonts w:hint="eastAsia"/>
        </w:rPr>
        <w:t>6</w:t>
      </w:r>
      <w:r>
        <w:rPr>
          <w:rFonts w:hint="eastAsia"/>
        </w:rPr>
        <w:t>年</w:t>
      </w:r>
      <w:r w:rsidRPr="00AF65B3">
        <w:rPr>
          <w:rFonts w:hint="eastAsia"/>
        </w:rPr>
        <w:t>氨纶行业实际完成投资额</w:t>
      </w:r>
      <w:r w:rsidRPr="00AF65B3">
        <w:rPr>
          <w:rFonts w:hint="eastAsia"/>
        </w:rPr>
        <w:t>56.77</w:t>
      </w:r>
      <w:r w:rsidRPr="00AF65B3">
        <w:rPr>
          <w:rFonts w:hint="eastAsia"/>
        </w:rPr>
        <w:t>亿元，同比减少</w:t>
      </w:r>
      <w:r w:rsidRPr="00AF65B3">
        <w:rPr>
          <w:rFonts w:hint="eastAsia"/>
        </w:rPr>
        <w:t>10.67</w:t>
      </w:r>
      <w:r w:rsidRPr="00AF65B3">
        <w:t>%</w:t>
      </w:r>
      <w:r w:rsidRPr="00AF65B3">
        <w:rPr>
          <w:rFonts w:hint="eastAsia"/>
        </w:rPr>
        <w:t>，主要是由于全年市场行情低迷，企业利润收窄所致。下半年行情好转，企业投资意愿增强，继续扩充产能。</w:t>
      </w:r>
    </w:p>
    <w:p w:rsidR="00122F73" w:rsidRPr="00AF65B3" w:rsidRDefault="00122F73" w:rsidP="00122F73">
      <w:pPr>
        <w:pStyle w:val="001"/>
        <w:ind w:firstLine="422"/>
        <w:rPr>
          <w:b/>
        </w:rPr>
      </w:pPr>
      <w:r w:rsidRPr="00AF65B3">
        <w:rPr>
          <w:b/>
        </w:rPr>
        <w:t>（七）经济效益</w:t>
      </w:r>
    </w:p>
    <w:p w:rsidR="00122F73" w:rsidRPr="00AF65B3" w:rsidRDefault="00122F73" w:rsidP="00122F73">
      <w:pPr>
        <w:pStyle w:val="001"/>
        <w:rPr>
          <w:rFonts w:hint="eastAsia"/>
        </w:rPr>
      </w:pPr>
      <w:r w:rsidRPr="00AF65B3">
        <w:t>201</w:t>
      </w:r>
      <w:r w:rsidRPr="00AF65B3">
        <w:rPr>
          <w:rFonts w:hint="eastAsia"/>
        </w:rPr>
        <w:t>6</w:t>
      </w:r>
      <w:r>
        <w:rPr>
          <w:rFonts w:hint="eastAsia"/>
        </w:rPr>
        <w:t>年</w:t>
      </w:r>
      <w:r w:rsidRPr="00AF65B3">
        <w:rPr>
          <w:rFonts w:hint="eastAsia"/>
        </w:rPr>
        <w:t>氨纶行业实现利润总额</w:t>
      </w:r>
      <w:r w:rsidRPr="00AF65B3">
        <w:rPr>
          <w:rFonts w:hint="eastAsia"/>
        </w:rPr>
        <w:t>12.96</w:t>
      </w:r>
      <w:r w:rsidRPr="00AF65B3">
        <w:rPr>
          <w:rFonts w:hint="eastAsia"/>
        </w:rPr>
        <w:t>亿元，同比下降</w:t>
      </w:r>
      <w:r w:rsidRPr="00AF65B3">
        <w:rPr>
          <w:rFonts w:hint="eastAsia"/>
        </w:rPr>
        <w:t>43.50</w:t>
      </w:r>
      <w:r w:rsidRPr="00AF65B3">
        <w:t>%</w:t>
      </w:r>
      <w:r w:rsidRPr="00AF65B3">
        <w:rPr>
          <w:rFonts w:hint="eastAsia"/>
        </w:rPr>
        <w:t>，实际利润减少</w:t>
      </w:r>
      <w:r w:rsidRPr="00AF65B3">
        <w:rPr>
          <w:rFonts w:hint="eastAsia"/>
        </w:rPr>
        <w:t>9.98</w:t>
      </w:r>
      <w:r w:rsidRPr="00AF65B3">
        <w:rPr>
          <w:rFonts w:hint="eastAsia"/>
        </w:rPr>
        <w:t>亿元；利润率为</w:t>
      </w:r>
      <w:r w:rsidRPr="00AF65B3">
        <w:rPr>
          <w:rFonts w:hint="eastAsia"/>
        </w:rPr>
        <w:t>5.79</w:t>
      </w:r>
      <w:r w:rsidRPr="00AF65B3">
        <w:t>%</w:t>
      </w:r>
      <w:r w:rsidRPr="00AF65B3">
        <w:rPr>
          <w:rFonts w:hint="eastAsia"/>
        </w:rPr>
        <w:t>，同比下降</w:t>
      </w:r>
      <w:r w:rsidRPr="00AF65B3">
        <w:rPr>
          <w:rFonts w:hint="eastAsia"/>
        </w:rPr>
        <w:t>4.72</w:t>
      </w:r>
      <w:r w:rsidRPr="00AF65B3">
        <w:rPr>
          <w:rFonts w:hint="eastAsia"/>
        </w:rPr>
        <w:t>个百分点，但依然高于化纤行业的平均水平。这主要由于氨纶行业在前两年景气周期时建立了较好的基础，因此整体效益水平还高于行业平均值，但利润率已开始同比下降，随着新一轮产能的释放，预计利润将进一步减少（表</w:t>
      </w:r>
      <w:r w:rsidRPr="00AF65B3">
        <w:rPr>
          <w:rFonts w:hint="eastAsia"/>
        </w:rPr>
        <w:t>8</w:t>
      </w:r>
      <w:r w:rsidRPr="00AF65B3">
        <w:rPr>
          <w:rFonts w:hint="eastAsia"/>
        </w:rPr>
        <w:t>）。</w:t>
      </w:r>
    </w:p>
    <w:p w:rsidR="00122F73" w:rsidRPr="00AF65B3" w:rsidRDefault="00122F73" w:rsidP="00122F73">
      <w:pPr>
        <w:pStyle w:val="002"/>
        <w:spacing w:before="156" w:after="156"/>
        <w:rPr>
          <w:color w:val="000000"/>
        </w:rPr>
      </w:pPr>
      <w:r w:rsidRPr="00AF65B3">
        <w:rPr>
          <w:color w:val="000000"/>
        </w:rPr>
        <w:t>表</w:t>
      </w:r>
      <w:r w:rsidRPr="00AF65B3">
        <w:rPr>
          <w:color w:val="000000"/>
        </w:rPr>
        <w:t>8</w:t>
      </w:r>
      <w:r>
        <w:rPr>
          <w:color w:val="000000"/>
        </w:rPr>
        <w:t xml:space="preserve">  </w:t>
      </w:r>
      <w:r w:rsidRPr="00AF65B3">
        <w:rPr>
          <w:color w:val="000000"/>
        </w:rPr>
        <w:t>201</w:t>
      </w:r>
      <w:r w:rsidRPr="00AF65B3">
        <w:rPr>
          <w:rFonts w:hint="eastAsia"/>
          <w:color w:val="000000"/>
        </w:rPr>
        <w:t>6</w:t>
      </w:r>
      <w:r w:rsidRPr="00AF65B3">
        <w:rPr>
          <w:color w:val="000000"/>
        </w:rPr>
        <w:t>年氨纶行业经济效益情况表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4"/>
        <w:gridCol w:w="944"/>
        <w:gridCol w:w="944"/>
        <w:gridCol w:w="944"/>
        <w:gridCol w:w="944"/>
        <w:gridCol w:w="944"/>
        <w:gridCol w:w="944"/>
      </w:tblGrid>
      <w:tr w:rsidR="00122F73" w:rsidRPr="00AF65B3" w:rsidTr="00C10522">
        <w:trPr>
          <w:trHeight w:val="340"/>
          <w:jc w:val="center"/>
        </w:trPr>
        <w:tc>
          <w:tcPr>
            <w:tcW w:w="1424" w:type="dxa"/>
            <w:vMerge w:val="restart"/>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纤维</w:t>
            </w:r>
            <w:r>
              <w:rPr>
                <w:rFonts w:ascii="Times New Roman" w:eastAsia="黑体" w:hAnsi="Times New Roman"/>
                <w:color w:val="000000"/>
                <w:sz w:val="18"/>
                <w:szCs w:val="18"/>
              </w:rPr>
              <w:t xml:space="preserve">                                                      </w:t>
            </w:r>
            <w:r w:rsidRPr="00AF65B3">
              <w:rPr>
                <w:rFonts w:ascii="Times New Roman" w:eastAsia="黑体"/>
                <w:color w:val="000000"/>
                <w:sz w:val="18"/>
                <w:szCs w:val="18"/>
              </w:rPr>
              <w:t xml:space="preserve">　</w:t>
            </w:r>
          </w:p>
        </w:tc>
        <w:tc>
          <w:tcPr>
            <w:tcW w:w="2832"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利润总额</w:t>
            </w:r>
          </w:p>
        </w:tc>
        <w:tc>
          <w:tcPr>
            <w:tcW w:w="2832" w:type="dxa"/>
            <w:gridSpan w:val="3"/>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利润率</w:t>
            </w:r>
          </w:p>
        </w:tc>
      </w:tr>
      <w:tr w:rsidR="00122F73" w:rsidRPr="00AF65B3" w:rsidTr="00C10522">
        <w:trPr>
          <w:trHeight w:val="340"/>
          <w:jc w:val="center"/>
        </w:trPr>
        <w:tc>
          <w:tcPr>
            <w:tcW w:w="1424" w:type="dxa"/>
            <w:vMerge/>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bookmarkStart w:id="6" w:name="OLE_LINK1"/>
            <w:bookmarkStart w:id="7" w:name="OLE_LINK2"/>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bookmarkEnd w:id="6"/>
          <w:bookmarkEnd w:id="7"/>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（万元）</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（万元）</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同比增减</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（万元）</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r w:rsidRPr="00AF65B3">
              <w:rPr>
                <w:rFonts w:ascii="Times New Roman" w:eastAsia="黑体"/>
                <w:color w:val="000000"/>
                <w:sz w:val="18"/>
                <w:szCs w:val="18"/>
              </w:rPr>
              <w:t>年</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r w:rsidRPr="00AF65B3">
              <w:rPr>
                <w:rFonts w:ascii="Times New Roman" w:eastAsia="黑体" w:hAnsi="Times New Roman"/>
                <w:color w:val="000000"/>
                <w:sz w:val="18"/>
                <w:szCs w:val="18"/>
              </w:rPr>
              <w:t>%</w:t>
            </w:r>
            <w:r w:rsidRPr="00AF65B3">
              <w:rPr>
                <w:rFonts w:ascii="Times New Roman" w:eastAsia="黑体"/>
                <w:color w:val="000000"/>
                <w:sz w:val="18"/>
                <w:szCs w:val="18"/>
              </w:rPr>
              <w:t>）</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同比</w:t>
            </w:r>
          </w:p>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w:t>
            </w:r>
          </w:p>
        </w:tc>
      </w:tr>
      <w:tr w:rsidR="00122F73" w:rsidRPr="00AF65B3" w:rsidTr="00C10522">
        <w:trPr>
          <w:trHeight w:val="340"/>
          <w:jc w:val="center"/>
        </w:trPr>
        <w:tc>
          <w:tcPr>
            <w:tcW w:w="1424" w:type="dxa"/>
            <w:tcMar>
              <w:left w:w="57" w:type="dxa"/>
              <w:right w:w="57" w:type="dxa"/>
            </w:tcMar>
            <w:vAlign w:val="center"/>
          </w:tcPr>
          <w:p w:rsidR="00122F73" w:rsidRPr="00AF65B3" w:rsidRDefault="00122F73"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化学纤维</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3664391</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3057188</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607203</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4.78</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4.14</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r>
              <w:rPr>
                <w:rFonts w:ascii="Times New Roman" w:hAnsi="Times New Roman"/>
                <w:color w:val="000000"/>
                <w:sz w:val="18"/>
                <w:szCs w:val="18"/>
              </w:rPr>
              <w:t xml:space="preserve"> </w:t>
            </w:r>
          </w:p>
        </w:tc>
      </w:tr>
      <w:tr w:rsidR="00122F73" w:rsidRPr="00AF65B3" w:rsidTr="00C10522">
        <w:trPr>
          <w:trHeight w:val="340"/>
          <w:jc w:val="center"/>
        </w:trPr>
        <w:tc>
          <w:tcPr>
            <w:tcW w:w="1424" w:type="dxa"/>
            <w:tcMar>
              <w:left w:w="57"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其中：氨纶</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129623</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229423</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-99801</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5.79</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10.51</w:t>
            </w:r>
            <w:r>
              <w:rPr>
                <w:rFonts w:ascii="Times New Roman" w:hAnsi="Times New Roman"/>
                <w:color w:val="000000"/>
                <w:sz w:val="18"/>
                <w:szCs w:val="18"/>
              </w:rPr>
              <w:t xml:space="preserve"> </w:t>
            </w:r>
          </w:p>
        </w:tc>
        <w:tc>
          <w:tcPr>
            <w:tcW w:w="944" w:type="dxa"/>
            <w:tcMar>
              <w:left w:w="57"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-4.72</w:t>
            </w:r>
            <w:r>
              <w:rPr>
                <w:rFonts w:ascii="Times New Roman" w:hAnsi="Times New Roman"/>
                <w:color w:val="000000"/>
                <w:sz w:val="18"/>
                <w:szCs w:val="18"/>
              </w:rPr>
              <w:t xml:space="preserve"> </w:t>
            </w:r>
          </w:p>
        </w:tc>
      </w:tr>
    </w:tbl>
    <w:p w:rsidR="00122F73" w:rsidRPr="00AF65B3" w:rsidRDefault="00122F73" w:rsidP="00122F73">
      <w:pPr>
        <w:pStyle w:val="003"/>
        <w:rPr>
          <w:color w:val="000000"/>
          <w:kern w:val="2"/>
        </w:rPr>
      </w:pPr>
      <w:r w:rsidRPr="00AF65B3">
        <w:rPr>
          <w:color w:val="000000"/>
          <w:kern w:val="2"/>
        </w:rPr>
        <w:t>资料来源：国家统计局</w:t>
      </w:r>
    </w:p>
    <w:p w:rsidR="00122F73" w:rsidRPr="00AF65B3" w:rsidRDefault="00122F73" w:rsidP="00122F73">
      <w:pPr>
        <w:pStyle w:val="005"/>
        <w:rPr>
          <w:color w:val="000000"/>
        </w:rPr>
      </w:pPr>
      <w:r w:rsidRPr="00AF65B3">
        <w:rPr>
          <w:color w:val="000000"/>
        </w:rPr>
        <w:t>（八）运行质量情况</w:t>
      </w:r>
    </w:p>
    <w:p w:rsidR="00122F73" w:rsidRPr="00AF65B3" w:rsidRDefault="00122F73" w:rsidP="00122F73">
      <w:pPr>
        <w:pStyle w:val="001"/>
      </w:pPr>
      <w:r w:rsidRPr="00AF65B3">
        <w:rPr>
          <w:rFonts w:hint="eastAsia"/>
        </w:rPr>
        <w:t>从行业运行质量指标看，在市场刚需不足，库存增加，价格下跌的情况下，</w:t>
      </w:r>
      <w:r w:rsidRPr="00AF65B3">
        <w:rPr>
          <w:rFonts w:hint="eastAsia"/>
        </w:rPr>
        <w:t>2016</w:t>
      </w:r>
      <w:r w:rsidRPr="00AF65B3">
        <w:rPr>
          <w:rFonts w:hint="eastAsia"/>
        </w:rPr>
        <w:t>年氨纶行业总体运行质量继续处于下行通道，主要偿债能力指标及盈利能力指标同比均有所下降，延续了于</w:t>
      </w:r>
      <w:r w:rsidRPr="00AF65B3">
        <w:rPr>
          <w:rFonts w:hint="eastAsia"/>
        </w:rPr>
        <w:t>2015</w:t>
      </w:r>
      <w:r w:rsidRPr="00AF65B3">
        <w:rPr>
          <w:rFonts w:hint="eastAsia"/>
        </w:rPr>
        <w:t>年开始的下行态势，特别是盈利能力指标的全面降低，氨纶行业整体再次进入下行周期（表</w:t>
      </w:r>
      <w:r w:rsidRPr="00AF65B3">
        <w:rPr>
          <w:rFonts w:hint="eastAsia"/>
        </w:rPr>
        <w:t>9</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9</w:t>
      </w:r>
      <w:r>
        <w:rPr>
          <w:color w:val="000000"/>
          <w:kern w:val="2"/>
        </w:rPr>
        <w:t xml:space="preserve">  </w:t>
      </w:r>
      <w:r w:rsidRPr="00AF65B3">
        <w:rPr>
          <w:color w:val="000000"/>
          <w:kern w:val="2"/>
        </w:rPr>
        <w:t>201</w:t>
      </w:r>
      <w:r w:rsidRPr="00AF65B3">
        <w:rPr>
          <w:rFonts w:hint="eastAsia"/>
          <w:color w:val="000000"/>
          <w:kern w:val="2"/>
        </w:rPr>
        <w:t>6</w:t>
      </w:r>
      <w:r>
        <w:rPr>
          <w:rFonts w:hint="eastAsia"/>
          <w:color w:val="000000"/>
          <w:kern w:val="2"/>
        </w:rPr>
        <w:t xml:space="preserve"> </w:t>
      </w:r>
      <w:r w:rsidRPr="00AF65B3">
        <w:rPr>
          <w:color w:val="000000"/>
          <w:kern w:val="2"/>
        </w:rPr>
        <w:t>年氨纶行业运行质量指标表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05"/>
        <w:gridCol w:w="2021"/>
        <w:gridCol w:w="1320"/>
        <w:gridCol w:w="1321"/>
        <w:gridCol w:w="1321"/>
      </w:tblGrid>
      <w:tr w:rsidR="00122F73" w:rsidRPr="00AF65B3" w:rsidTr="00C10522">
        <w:trPr>
          <w:trHeight w:val="340"/>
          <w:tblHeader/>
          <w:jc w:val="center"/>
        </w:trPr>
        <w:tc>
          <w:tcPr>
            <w:tcW w:w="3126" w:type="dxa"/>
            <w:gridSpan w:val="2"/>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项</w:t>
            </w:r>
            <w:r>
              <w:rPr>
                <w:rFonts w:ascii="Times New Roman" w:eastAsia="黑体" w:hAnsi="Times New Roman"/>
                <w:color w:val="000000"/>
                <w:sz w:val="18"/>
                <w:szCs w:val="18"/>
              </w:rPr>
              <w:t xml:space="preserve">  </w:t>
            </w:r>
            <w:r w:rsidRPr="00AF65B3">
              <w:rPr>
                <w:rFonts w:ascii="Times New Roman" w:eastAsia="黑体"/>
                <w:color w:val="000000"/>
                <w:sz w:val="18"/>
                <w:szCs w:val="18"/>
              </w:rPr>
              <w:t>目</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r w:rsidRPr="00AF65B3">
              <w:rPr>
                <w:rFonts w:ascii="Times New Roman" w:eastAsia="黑体"/>
                <w:color w:val="000000"/>
                <w:sz w:val="18"/>
                <w:szCs w:val="18"/>
              </w:rPr>
              <w:t>年</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rPr>
                <w:rFonts w:ascii="Times New Roman" w:eastAsia="黑体" w:hAnsi="Times New Roman"/>
                <w:color w:val="000000"/>
                <w:sz w:val="18"/>
                <w:szCs w:val="18"/>
              </w:rPr>
            </w:pPr>
            <w:r w:rsidRPr="00AF65B3">
              <w:rPr>
                <w:rFonts w:ascii="Times New Roman" w:eastAsia="黑体"/>
                <w:color w:val="000000"/>
                <w:sz w:val="18"/>
                <w:szCs w:val="18"/>
              </w:rPr>
              <w:t>同比</w:t>
            </w:r>
            <w:r>
              <w:rPr>
                <w:rFonts w:ascii="Times New Roman" w:eastAsia="黑体" w:hint="eastAsia"/>
                <w:color w:val="000000"/>
                <w:sz w:val="18"/>
                <w:szCs w:val="18"/>
              </w:rPr>
              <w:t>（</w:t>
            </w:r>
            <w:r>
              <w:rPr>
                <w:rFonts w:ascii="Times New Roman" w:eastAsia="黑体" w:hint="eastAsia"/>
                <w:color w:val="000000"/>
                <w:sz w:val="18"/>
                <w:szCs w:val="18"/>
              </w:rPr>
              <w:t>%</w:t>
            </w:r>
            <w:r>
              <w:rPr>
                <w:rFonts w:ascii="Times New Roman" w:eastAsia="黑体" w:hint="eastAsia"/>
                <w:color w:val="000000"/>
                <w:sz w:val="18"/>
                <w:szCs w:val="18"/>
              </w:rPr>
              <w:t>）</w:t>
            </w:r>
          </w:p>
        </w:tc>
      </w:tr>
      <w:tr w:rsidR="00122F73" w:rsidRPr="00AF65B3" w:rsidTr="00C10522">
        <w:trPr>
          <w:trHeight w:val="340"/>
          <w:jc w:val="center"/>
        </w:trPr>
        <w:tc>
          <w:tcPr>
            <w:tcW w:w="1105" w:type="dxa"/>
            <w:vMerge w:val="restart"/>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bCs/>
                <w:iCs/>
                <w:color w:val="000000"/>
                <w:sz w:val="18"/>
                <w:szCs w:val="18"/>
              </w:rPr>
              <w:t>偿债能力</w:t>
            </w: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资产负债率（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rPr>
              <w:t>40.32</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rPr>
              <w:t>41.11</w:t>
            </w:r>
            <w:r>
              <w:rPr>
                <w:rFonts w:ascii="Times New Roman" w:hAnsi="Times New Roman"/>
                <w:color w:val="000000"/>
                <w:kern w:val="24"/>
                <w:sz w:val="18"/>
                <w:szCs w:val="18"/>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rPr>
              <w:t>-0.79</w:t>
            </w:r>
            <w:r>
              <w:rPr>
                <w:rFonts w:ascii="Times New Roman" w:hAnsi="Times New Roman"/>
                <w:color w:val="000000"/>
                <w:kern w:val="24"/>
                <w:sz w:val="18"/>
                <w:szCs w:val="18"/>
              </w:rPr>
              <w:t xml:space="preserve"> </w:t>
            </w:r>
          </w:p>
        </w:tc>
      </w:tr>
      <w:tr w:rsidR="00122F73" w:rsidRPr="00AF65B3" w:rsidTr="00C10522">
        <w:trPr>
          <w:trHeight w:val="340"/>
          <w:jc w:val="center"/>
        </w:trPr>
        <w:tc>
          <w:tcPr>
            <w:tcW w:w="1105" w:type="dxa"/>
            <w:vMerge/>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p>
        </w:tc>
        <w:tc>
          <w:tcPr>
            <w:tcW w:w="20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产权比率（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20"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67.55</w:t>
            </w:r>
            <w:r>
              <w:rPr>
                <w:rFonts w:ascii="Times New Roman" w:hAnsi="Times New Roman"/>
                <w:color w:val="000000"/>
                <w:kern w:val="24"/>
                <w:sz w:val="18"/>
                <w:szCs w:val="18"/>
                <w:lang w:bidi="ar"/>
              </w:rPr>
              <w:t xml:space="preserve"> </w:t>
            </w:r>
          </w:p>
        </w:tc>
        <w:tc>
          <w:tcPr>
            <w:tcW w:w="13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69.80</w:t>
            </w:r>
            <w:r>
              <w:rPr>
                <w:rFonts w:ascii="Times New Roman" w:hAnsi="Times New Roman"/>
                <w:color w:val="000000"/>
                <w:kern w:val="24"/>
                <w:sz w:val="18"/>
                <w:szCs w:val="18"/>
                <w:lang w:bidi="ar"/>
              </w:rPr>
              <w:t xml:space="preserve"> </w:t>
            </w:r>
          </w:p>
        </w:tc>
        <w:tc>
          <w:tcPr>
            <w:tcW w:w="13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-2.25</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p>
        </w:tc>
        <w:tc>
          <w:tcPr>
            <w:tcW w:w="20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已获利息倍数</w:t>
            </w:r>
          </w:p>
        </w:tc>
        <w:tc>
          <w:tcPr>
            <w:tcW w:w="1320"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4.95</w:t>
            </w:r>
            <w:r>
              <w:rPr>
                <w:rFonts w:ascii="Times New Roman" w:hAnsi="Times New Roman"/>
                <w:color w:val="000000"/>
                <w:kern w:val="24"/>
                <w:sz w:val="18"/>
                <w:szCs w:val="18"/>
                <w:lang w:bidi="ar"/>
              </w:rPr>
              <w:t xml:space="preserve"> </w:t>
            </w:r>
          </w:p>
        </w:tc>
        <w:tc>
          <w:tcPr>
            <w:tcW w:w="13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6.58</w:t>
            </w:r>
            <w:r>
              <w:rPr>
                <w:rFonts w:ascii="Times New Roman" w:hAnsi="Times New Roman"/>
                <w:color w:val="000000"/>
                <w:kern w:val="24"/>
                <w:sz w:val="18"/>
                <w:szCs w:val="18"/>
                <w:lang w:bidi="ar"/>
              </w:rPr>
              <w:t xml:space="preserve"> </w:t>
            </w:r>
          </w:p>
        </w:tc>
        <w:tc>
          <w:tcPr>
            <w:tcW w:w="1321" w:type="dxa"/>
            <w:shd w:val="clear" w:color="auto" w:fill="auto"/>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rPr>
            </w:pPr>
            <w:r w:rsidRPr="00AF65B3">
              <w:rPr>
                <w:rFonts w:ascii="Times New Roman" w:hAnsi="Times New Roman"/>
                <w:color w:val="000000"/>
                <w:kern w:val="24"/>
                <w:sz w:val="18"/>
                <w:szCs w:val="18"/>
                <w:lang w:bidi="ar"/>
              </w:rPr>
              <w:t>-1.62</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val="restart"/>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bCs/>
                <w:iCs/>
                <w:color w:val="000000"/>
                <w:sz w:val="18"/>
                <w:szCs w:val="18"/>
              </w:rPr>
              <w:t>营运能力</w:t>
            </w: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总资产周转率（次）</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0.64</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0.66</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-0.02</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应收账款周转率（次）</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8.30</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7.16</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1.13</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产成品周转率（次）</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9.82</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7.80</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2.02</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val="restart"/>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textAlignment w:val="center"/>
              <w:rPr>
                <w:rFonts w:ascii="Times New Roman" w:hAnsi="Times New Roman"/>
                <w:color w:val="000000"/>
                <w:kern w:val="24"/>
                <w:sz w:val="18"/>
                <w:szCs w:val="18"/>
              </w:rPr>
            </w:pPr>
            <w:r w:rsidRPr="00AF65B3">
              <w:rPr>
                <w:rFonts w:ascii="Times New Roman"/>
                <w:color w:val="000000"/>
                <w:kern w:val="24"/>
                <w:sz w:val="18"/>
                <w:szCs w:val="18"/>
              </w:rPr>
              <w:t>盈利能力</w:t>
            </w: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textAlignment w:val="center"/>
              <w:rPr>
                <w:rFonts w:ascii="Times New Roman" w:hAnsi="Times New Roman"/>
                <w:color w:val="000000"/>
                <w:kern w:val="24"/>
                <w:sz w:val="18"/>
                <w:szCs w:val="18"/>
              </w:rPr>
            </w:pPr>
            <w:r w:rsidRPr="00AF65B3">
              <w:rPr>
                <w:rFonts w:ascii="Times New Roman"/>
                <w:color w:val="000000"/>
                <w:kern w:val="24"/>
                <w:sz w:val="18"/>
                <w:szCs w:val="18"/>
              </w:rPr>
              <w:t>主营业务利润率（</w:t>
            </w:r>
            <w:r w:rsidRPr="00AF65B3">
              <w:rPr>
                <w:rFonts w:ascii="Times New Roman" w:hAnsi="Times New Roman"/>
                <w:color w:val="000000"/>
                <w:kern w:val="24"/>
                <w:sz w:val="18"/>
                <w:szCs w:val="18"/>
              </w:rPr>
              <w:t>%</w:t>
            </w:r>
            <w:r w:rsidRPr="00AF65B3">
              <w:rPr>
                <w:rFonts w:ascii="Times New Roman"/>
                <w:color w:val="000000"/>
                <w:kern w:val="24"/>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5.79</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10.51</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-4.72</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textAlignment w:val="center"/>
              <w:rPr>
                <w:rFonts w:ascii="Times New Roman" w:hAnsi="Times New Roman"/>
                <w:color w:val="000000"/>
                <w:kern w:val="24"/>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textAlignment w:val="center"/>
              <w:rPr>
                <w:rFonts w:ascii="Times New Roman" w:hAnsi="Times New Roman"/>
                <w:color w:val="000000"/>
                <w:kern w:val="24"/>
                <w:sz w:val="18"/>
                <w:szCs w:val="18"/>
              </w:rPr>
            </w:pPr>
            <w:r w:rsidRPr="00AF65B3">
              <w:rPr>
                <w:rFonts w:ascii="Times New Roman"/>
                <w:color w:val="000000"/>
                <w:kern w:val="24"/>
                <w:sz w:val="18"/>
                <w:szCs w:val="18"/>
              </w:rPr>
              <w:t>成本费用利润率（</w:t>
            </w:r>
            <w:r w:rsidRPr="00AF65B3">
              <w:rPr>
                <w:rFonts w:ascii="Times New Roman" w:hAnsi="Times New Roman"/>
                <w:color w:val="000000"/>
                <w:kern w:val="24"/>
                <w:sz w:val="18"/>
                <w:szCs w:val="18"/>
              </w:rPr>
              <w:t>%</w:t>
            </w:r>
            <w:r w:rsidRPr="00AF65B3">
              <w:rPr>
                <w:rFonts w:ascii="Times New Roman"/>
                <w:color w:val="000000"/>
                <w:kern w:val="24"/>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6.09</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11.55</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-5.46</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textAlignment w:val="center"/>
              <w:rPr>
                <w:rFonts w:ascii="Times New Roman" w:hAnsi="Times New Roman"/>
                <w:color w:val="000000"/>
                <w:kern w:val="24"/>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textAlignment w:val="center"/>
              <w:rPr>
                <w:rFonts w:ascii="Times New Roman" w:hAnsi="Times New Roman"/>
                <w:color w:val="000000"/>
                <w:kern w:val="24"/>
                <w:sz w:val="18"/>
                <w:szCs w:val="18"/>
              </w:rPr>
            </w:pPr>
            <w:r w:rsidRPr="00AF65B3">
              <w:rPr>
                <w:rFonts w:ascii="Times New Roman"/>
                <w:color w:val="000000"/>
                <w:kern w:val="24"/>
                <w:sz w:val="18"/>
                <w:szCs w:val="18"/>
              </w:rPr>
              <w:t>总资产报酬率（</w:t>
            </w:r>
            <w:r w:rsidRPr="00AF65B3">
              <w:rPr>
                <w:rFonts w:ascii="Times New Roman" w:hAnsi="Times New Roman"/>
                <w:color w:val="000000"/>
                <w:kern w:val="24"/>
                <w:sz w:val="18"/>
                <w:szCs w:val="18"/>
              </w:rPr>
              <w:t>%</w:t>
            </w:r>
            <w:r w:rsidRPr="00AF65B3">
              <w:rPr>
                <w:rFonts w:ascii="Times New Roman"/>
                <w:color w:val="000000"/>
                <w:kern w:val="24"/>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4.66</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8.16</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-3.50</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textAlignment w:val="center"/>
              <w:rPr>
                <w:rFonts w:ascii="Times New Roman" w:hAnsi="Times New Roman"/>
                <w:color w:val="000000"/>
                <w:kern w:val="24"/>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textAlignment w:val="center"/>
              <w:rPr>
                <w:rFonts w:ascii="Times New Roman" w:hAnsi="Times New Roman"/>
                <w:color w:val="000000"/>
                <w:kern w:val="24"/>
                <w:sz w:val="18"/>
                <w:szCs w:val="18"/>
              </w:rPr>
            </w:pPr>
            <w:r w:rsidRPr="00AF65B3">
              <w:rPr>
                <w:rFonts w:ascii="Times New Roman"/>
                <w:color w:val="000000"/>
                <w:kern w:val="24"/>
                <w:sz w:val="18"/>
                <w:szCs w:val="18"/>
              </w:rPr>
              <w:t>净资产收益率（</w:t>
            </w:r>
            <w:r w:rsidRPr="00AF65B3">
              <w:rPr>
                <w:rFonts w:ascii="Times New Roman" w:hAnsi="Times New Roman"/>
                <w:color w:val="000000"/>
                <w:kern w:val="24"/>
                <w:sz w:val="18"/>
                <w:szCs w:val="18"/>
              </w:rPr>
              <w:t>%</w:t>
            </w:r>
            <w:r w:rsidRPr="00AF65B3">
              <w:rPr>
                <w:rFonts w:ascii="Times New Roman"/>
                <w:color w:val="000000"/>
                <w:kern w:val="24"/>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6.22</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11.75</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-5.52</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val="restart"/>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bCs/>
                <w:iCs/>
                <w:color w:val="000000"/>
                <w:sz w:val="18"/>
                <w:szCs w:val="18"/>
              </w:rPr>
              <w:t>发展能力</w:t>
            </w: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销售增长率（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2.54</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-5.92</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8.46</w:t>
            </w:r>
            <w:r>
              <w:rPr>
                <w:rFonts w:ascii="Times New Roman" w:hAnsi="Times New Roman"/>
                <w:color w:val="000000"/>
                <w:kern w:val="24"/>
                <w:sz w:val="18"/>
                <w:szCs w:val="18"/>
                <w:lang w:bidi="ar"/>
              </w:rPr>
              <w:t xml:space="preserve"> </w:t>
            </w:r>
          </w:p>
        </w:tc>
      </w:tr>
      <w:tr w:rsidR="00122F73" w:rsidRPr="00AF65B3" w:rsidTr="00C10522">
        <w:trPr>
          <w:trHeight w:val="340"/>
          <w:jc w:val="center"/>
        </w:trPr>
        <w:tc>
          <w:tcPr>
            <w:tcW w:w="1105" w:type="dxa"/>
            <w:vMerge/>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hAnsi="Times New Roman"/>
                <w:color w:val="000000"/>
                <w:sz w:val="18"/>
                <w:szCs w:val="18"/>
              </w:rPr>
            </w:pPr>
          </w:p>
        </w:tc>
        <w:tc>
          <w:tcPr>
            <w:tcW w:w="20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总资产增长率（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20"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5.21</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2.32</w:t>
            </w:r>
            <w:r>
              <w:rPr>
                <w:rFonts w:ascii="Times New Roman" w:hAnsi="Times New Roman"/>
                <w:color w:val="000000"/>
                <w:kern w:val="24"/>
                <w:sz w:val="18"/>
                <w:szCs w:val="18"/>
                <w:lang w:bidi="ar"/>
              </w:rPr>
              <w:t xml:space="preserve"> </w:t>
            </w:r>
          </w:p>
        </w:tc>
        <w:tc>
          <w:tcPr>
            <w:tcW w:w="1321" w:type="dxa"/>
            <w:tcMar>
              <w:top w:w="28" w:type="dxa"/>
              <w:left w:w="57" w:type="dxa"/>
              <w:bottom w:w="28" w:type="dxa"/>
              <w:right w:w="57" w:type="dxa"/>
            </w:tcMar>
            <w:vAlign w:val="center"/>
          </w:tcPr>
          <w:p w:rsidR="00122F73" w:rsidRPr="00AF65B3" w:rsidRDefault="00122F73" w:rsidP="00C10522">
            <w:pPr>
              <w:adjustRightInd w:val="0"/>
              <w:snapToGrid w:val="0"/>
              <w:spacing w:after="0" w:line="240" w:lineRule="auto"/>
              <w:ind w:firstLine="0"/>
              <w:jc w:val="right"/>
              <w:textAlignment w:val="center"/>
              <w:rPr>
                <w:rFonts w:ascii="Times New Roman" w:hAnsi="Times New Roman"/>
                <w:color w:val="000000"/>
                <w:kern w:val="24"/>
                <w:sz w:val="18"/>
                <w:szCs w:val="18"/>
                <w:lang w:bidi="ar"/>
              </w:rPr>
            </w:pPr>
            <w:r w:rsidRPr="00AF65B3">
              <w:rPr>
                <w:rFonts w:ascii="Times New Roman" w:hAnsi="Times New Roman"/>
                <w:color w:val="000000"/>
                <w:kern w:val="24"/>
                <w:sz w:val="18"/>
                <w:szCs w:val="18"/>
                <w:lang w:bidi="ar"/>
              </w:rPr>
              <w:t>2.89</w:t>
            </w:r>
            <w:r>
              <w:rPr>
                <w:rFonts w:ascii="Times New Roman" w:hAnsi="Times New Roman"/>
                <w:color w:val="000000"/>
                <w:kern w:val="24"/>
                <w:sz w:val="18"/>
                <w:szCs w:val="18"/>
                <w:lang w:bidi="ar"/>
              </w:rPr>
              <w:t xml:space="preserve"> </w:t>
            </w:r>
          </w:p>
        </w:tc>
      </w:tr>
    </w:tbl>
    <w:p w:rsidR="00122F73" w:rsidRPr="00AF65B3" w:rsidRDefault="00122F73" w:rsidP="00122F73">
      <w:pPr>
        <w:pStyle w:val="003"/>
        <w:rPr>
          <w:rFonts w:hint="eastAsia"/>
          <w:color w:val="000000"/>
          <w:kern w:val="2"/>
        </w:rPr>
      </w:pPr>
      <w:r w:rsidRPr="00AF65B3">
        <w:rPr>
          <w:color w:val="000000"/>
          <w:kern w:val="2"/>
        </w:rPr>
        <w:t>资料来源：据国家统计局数据整理</w:t>
      </w:r>
    </w:p>
    <w:p w:rsidR="00122F73" w:rsidRPr="00AF65B3" w:rsidRDefault="00122F73" w:rsidP="00122F73">
      <w:pPr>
        <w:pStyle w:val="007"/>
        <w:rPr>
          <w:rFonts w:hint="eastAsia"/>
          <w:color w:val="000000"/>
          <w:kern w:val="2"/>
        </w:rPr>
      </w:pPr>
    </w:p>
    <w:p w:rsidR="00122F73" w:rsidRPr="00AF65B3" w:rsidRDefault="00122F73" w:rsidP="00122F73">
      <w:pPr>
        <w:pStyle w:val="001"/>
        <w:rPr>
          <w:rFonts w:hint="eastAsia"/>
        </w:rPr>
      </w:pPr>
      <w:r w:rsidRPr="00AF65B3">
        <w:rPr>
          <w:rFonts w:hint="eastAsia"/>
        </w:rPr>
        <w:t>2016</w:t>
      </w:r>
      <w:r w:rsidRPr="00AF65B3">
        <w:rPr>
          <w:rFonts w:hint="eastAsia"/>
        </w:rPr>
        <w:t>年</w:t>
      </w:r>
      <w:r>
        <w:rPr>
          <w:rFonts w:hint="eastAsia"/>
        </w:rPr>
        <w:t>在</w:t>
      </w:r>
      <w:r w:rsidRPr="00AF65B3">
        <w:rPr>
          <w:rFonts w:hint="eastAsia"/>
        </w:rPr>
        <w:t>氨纶价格全面下跌，</w:t>
      </w:r>
      <w:r>
        <w:rPr>
          <w:rFonts w:hint="eastAsia"/>
        </w:rPr>
        <w:t>第三、第四季度氨纶主原料、包装、供能、运输等成本均在逐步上涨的</w:t>
      </w:r>
      <w:r w:rsidRPr="00AF65B3">
        <w:rPr>
          <w:rFonts w:hint="eastAsia"/>
        </w:rPr>
        <w:t>影响</w:t>
      </w:r>
      <w:r>
        <w:rPr>
          <w:rFonts w:hint="eastAsia"/>
        </w:rPr>
        <w:t>，</w:t>
      </w:r>
      <w:r w:rsidRPr="00AF65B3">
        <w:rPr>
          <w:rFonts w:hint="eastAsia"/>
        </w:rPr>
        <w:t>40D</w:t>
      </w:r>
      <w:r w:rsidRPr="00AF65B3">
        <w:rPr>
          <w:rFonts w:hint="eastAsia"/>
        </w:rPr>
        <w:t>氨纶出现亏损。但厂家通过技术提升，高效生产细旦氨纶等手段使</w:t>
      </w:r>
      <w:r w:rsidRPr="00AF65B3">
        <w:rPr>
          <w:rFonts w:hint="eastAsia"/>
        </w:rPr>
        <w:t>2016</w:t>
      </w:r>
      <w:r w:rsidRPr="00AF65B3">
        <w:rPr>
          <w:rFonts w:hint="eastAsia"/>
        </w:rPr>
        <w:t>年总体行情保持微利状态。尤其是上市公司等财务成本较低的部分企业，年内的毛利率仍可在</w:t>
      </w:r>
      <w:r w:rsidRPr="00AF65B3">
        <w:rPr>
          <w:rFonts w:hint="eastAsia"/>
        </w:rPr>
        <w:t>10%</w:t>
      </w:r>
      <w:r w:rsidRPr="00AF65B3">
        <w:rPr>
          <w:rFonts w:hint="eastAsia"/>
        </w:rPr>
        <w:t>以上（图</w:t>
      </w:r>
      <w:r w:rsidRPr="00AF65B3">
        <w:rPr>
          <w:rFonts w:hint="eastAsia"/>
        </w:rPr>
        <w:t>3</w:t>
      </w:r>
      <w:r w:rsidRPr="00AF65B3">
        <w:rPr>
          <w:rFonts w:hint="eastAsia"/>
        </w:rPr>
        <w:t>）。</w:t>
      </w:r>
    </w:p>
    <w:p w:rsidR="00122F73" w:rsidRPr="00AF65B3" w:rsidRDefault="00122F73" w:rsidP="00122F73">
      <w:pPr>
        <w:pStyle w:val="006"/>
        <w:rPr>
          <w:rFonts w:hint="eastAsia"/>
          <w:color w:val="000000"/>
        </w:rPr>
      </w:pPr>
      <w:r w:rsidRPr="00DA75E9">
        <w:rPr>
          <w:noProof/>
          <w:color w:val="000000"/>
        </w:rPr>
        <w:drawing>
          <wp:inline distT="0" distB="0" distL="0" distR="0">
            <wp:extent cx="4503420" cy="3040380"/>
            <wp:effectExtent l="0" t="0" r="0" b="7620"/>
            <wp:docPr id="4" name="图片 4" descr="imag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3420" cy="3040380"/>
                    </a:xfrm>
                    <a:prstGeom prst="rect">
                      <a:avLst/>
                    </a:prstGeom>
                    <a:noFill/>
                    <a:ln>
                      <a:noFill/>
                    </a:ln>
                  </pic:spPr>
                </pic:pic>
              </a:graphicData>
            </a:graphic>
          </wp:inline>
        </w:drawing>
      </w:r>
    </w:p>
    <w:p w:rsidR="00122F73" w:rsidRPr="00AF65B3" w:rsidRDefault="00122F73" w:rsidP="00122F73">
      <w:pPr>
        <w:pStyle w:val="003"/>
        <w:ind w:firstLineChars="150" w:firstLine="270"/>
        <w:rPr>
          <w:rFonts w:hint="eastAsia"/>
          <w:color w:val="000000"/>
        </w:rPr>
      </w:pPr>
      <w:r w:rsidRPr="00AF65B3">
        <w:rPr>
          <w:color w:val="000000"/>
        </w:rPr>
        <w:t>资料来源：中国化纤信息网</w:t>
      </w:r>
    </w:p>
    <w:p w:rsidR="00122F73" w:rsidRPr="00AF65B3" w:rsidRDefault="00122F73" w:rsidP="00122F73">
      <w:pPr>
        <w:pStyle w:val="002"/>
        <w:spacing w:before="156" w:after="156"/>
        <w:rPr>
          <w:rFonts w:hint="eastAsia"/>
          <w:color w:val="000000"/>
        </w:rPr>
      </w:pPr>
      <w:r w:rsidRPr="00AF65B3">
        <w:rPr>
          <w:rFonts w:hint="eastAsia"/>
          <w:color w:val="000000"/>
        </w:rPr>
        <w:t>图</w:t>
      </w:r>
      <w:r w:rsidRPr="00AF65B3">
        <w:rPr>
          <w:rFonts w:hint="eastAsia"/>
          <w:color w:val="000000"/>
        </w:rPr>
        <w:t>3</w:t>
      </w:r>
      <w:r>
        <w:rPr>
          <w:rFonts w:hint="eastAsia"/>
          <w:color w:val="000000"/>
        </w:rPr>
        <w:t xml:space="preserve">  </w:t>
      </w:r>
      <w:r>
        <w:rPr>
          <w:rFonts w:hint="eastAsia"/>
          <w:color w:val="000000"/>
          <w:lang w:eastAsia="zh-CN"/>
        </w:rPr>
        <w:t>2016</w:t>
      </w:r>
      <w:r>
        <w:rPr>
          <w:rFonts w:hint="eastAsia"/>
          <w:color w:val="000000"/>
          <w:lang w:eastAsia="zh-CN"/>
        </w:rPr>
        <w:t>年</w:t>
      </w:r>
      <w:r w:rsidRPr="00AF65B3">
        <w:rPr>
          <w:rFonts w:hint="eastAsia"/>
          <w:color w:val="000000"/>
        </w:rPr>
        <w:t>40D</w:t>
      </w:r>
      <w:r w:rsidRPr="00AF65B3">
        <w:rPr>
          <w:rFonts w:hint="eastAsia"/>
          <w:color w:val="000000"/>
        </w:rPr>
        <w:t>氨纶盈利情况图</w:t>
      </w:r>
      <w:r>
        <w:rPr>
          <w:rFonts w:hint="eastAsia"/>
          <w:color w:val="000000"/>
          <w:lang w:eastAsia="zh-CN"/>
        </w:rPr>
        <w:t>（元）</w:t>
      </w:r>
    </w:p>
    <w:p w:rsidR="00122F73" w:rsidRPr="00AF65B3" w:rsidRDefault="00122F73" w:rsidP="00122F73">
      <w:pPr>
        <w:pStyle w:val="000"/>
      </w:pPr>
      <w:r w:rsidRPr="00AF65B3">
        <w:rPr>
          <w:rFonts w:hint="eastAsia"/>
        </w:rPr>
        <w:t>二、</w:t>
      </w:r>
      <w:r w:rsidRPr="002D11A6">
        <w:t>2016</w:t>
      </w:r>
      <w:r w:rsidRPr="00AF65B3">
        <w:rPr>
          <w:rFonts w:hint="eastAsia"/>
        </w:rPr>
        <w:t>氨纶行业运行的主要特点</w:t>
      </w:r>
    </w:p>
    <w:p w:rsidR="00122F73" w:rsidRPr="00AF65B3" w:rsidRDefault="00122F73" w:rsidP="00122F73">
      <w:pPr>
        <w:pStyle w:val="005"/>
        <w:rPr>
          <w:color w:val="000000"/>
        </w:rPr>
      </w:pPr>
      <w:r w:rsidRPr="00AF65B3">
        <w:rPr>
          <w:color w:val="000000"/>
        </w:rPr>
        <w:t>（一）下游需求</w:t>
      </w:r>
      <w:r w:rsidRPr="00AF65B3">
        <w:rPr>
          <w:rFonts w:hint="eastAsia"/>
          <w:color w:val="000000"/>
        </w:rPr>
        <w:t>有所</w:t>
      </w:r>
      <w:r w:rsidRPr="00AF65B3">
        <w:rPr>
          <w:color w:val="000000"/>
        </w:rPr>
        <w:t>回</w:t>
      </w:r>
      <w:r w:rsidRPr="00AF65B3">
        <w:rPr>
          <w:rFonts w:hint="eastAsia"/>
          <w:color w:val="000000"/>
        </w:rPr>
        <w:t>升</w:t>
      </w:r>
    </w:p>
    <w:p w:rsidR="00122F73" w:rsidRPr="00AF65B3" w:rsidRDefault="00122F73" w:rsidP="00122F73">
      <w:pPr>
        <w:pStyle w:val="001"/>
        <w:rPr>
          <w:rFonts w:hint="eastAsia"/>
        </w:rPr>
      </w:pPr>
      <w:r w:rsidRPr="00AF65B3">
        <w:rPr>
          <w:rFonts w:hint="eastAsia"/>
        </w:rPr>
        <w:t>2016</w:t>
      </w:r>
      <w:r>
        <w:rPr>
          <w:rFonts w:hint="eastAsia"/>
        </w:rPr>
        <w:t>年</w:t>
      </w:r>
      <w:r w:rsidRPr="00AF65B3">
        <w:rPr>
          <w:rFonts w:hint="eastAsia"/>
        </w:rPr>
        <w:t>从下游织造行业的运行来看，经编市场表现相对突出，年内开工率多在</w:t>
      </w:r>
      <w:r w:rsidRPr="00AF65B3">
        <w:rPr>
          <w:rFonts w:hint="eastAsia"/>
        </w:rPr>
        <w:t>7~8</w:t>
      </w:r>
      <w:r w:rsidRPr="00AF65B3">
        <w:rPr>
          <w:rFonts w:hint="eastAsia"/>
        </w:rPr>
        <w:t>成左右运行，至年末</w:t>
      </w:r>
      <w:r>
        <w:rPr>
          <w:rFonts w:hint="eastAsia"/>
        </w:rPr>
        <w:t>织造</w:t>
      </w:r>
      <w:r w:rsidRPr="00AF65B3">
        <w:rPr>
          <w:rFonts w:hint="eastAsia"/>
        </w:rPr>
        <w:t>行业的开工方小幅逐步下降。</w:t>
      </w:r>
      <w:r w:rsidRPr="00AF65B3">
        <w:rPr>
          <w:rFonts w:hint="eastAsia"/>
        </w:rPr>
        <w:t>6~8</w:t>
      </w:r>
      <w:r>
        <w:rPr>
          <w:rFonts w:hint="eastAsia"/>
        </w:rPr>
        <w:t>月的淡季开工率</w:t>
      </w:r>
      <w:r w:rsidRPr="00AF65B3">
        <w:rPr>
          <w:rFonts w:hint="eastAsia"/>
        </w:rPr>
        <w:t>为</w:t>
      </w:r>
      <w:r w:rsidRPr="00AF65B3">
        <w:rPr>
          <w:rFonts w:hint="eastAsia"/>
        </w:rPr>
        <w:t>5~6</w:t>
      </w:r>
      <w:r w:rsidRPr="00AF65B3">
        <w:rPr>
          <w:rFonts w:hint="eastAsia"/>
        </w:rPr>
        <w:t>成。</w:t>
      </w:r>
    </w:p>
    <w:p w:rsidR="00122F73" w:rsidRPr="00AF65B3" w:rsidRDefault="00122F73" w:rsidP="00122F73">
      <w:pPr>
        <w:pStyle w:val="001"/>
        <w:rPr>
          <w:rFonts w:hint="eastAsia"/>
        </w:rPr>
      </w:pPr>
      <w:r w:rsidRPr="00AF65B3">
        <w:rPr>
          <w:rFonts w:hint="eastAsia"/>
        </w:rPr>
        <w:t>圆机市场</w:t>
      </w:r>
      <w:r w:rsidRPr="00AF65B3">
        <w:rPr>
          <w:rFonts w:hint="eastAsia"/>
        </w:rPr>
        <w:t>2016</w:t>
      </w:r>
      <w:r w:rsidRPr="00AF65B3">
        <w:rPr>
          <w:rFonts w:hint="eastAsia"/>
        </w:rPr>
        <w:t>年的淡旺季区分相对明显，尤其是</w:t>
      </w:r>
      <w:r w:rsidRPr="00AF65B3">
        <w:rPr>
          <w:rFonts w:hint="eastAsia"/>
        </w:rPr>
        <w:t>8~9</w:t>
      </w:r>
      <w:r>
        <w:rPr>
          <w:rFonts w:hint="eastAsia"/>
        </w:rPr>
        <w:t>月</w:t>
      </w:r>
      <w:r w:rsidRPr="00AF65B3">
        <w:rPr>
          <w:rFonts w:hint="eastAsia"/>
        </w:rPr>
        <w:t>受印染行业停产的影响，圆机</w:t>
      </w:r>
      <w:r w:rsidRPr="00AF65B3">
        <w:rPr>
          <w:rFonts w:hint="eastAsia"/>
        </w:rPr>
        <w:lastRenderedPageBreak/>
        <w:t>厂家的减停增多明显，年内开工率多在</w:t>
      </w:r>
      <w:r w:rsidRPr="00AF65B3">
        <w:rPr>
          <w:rFonts w:hint="eastAsia"/>
        </w:rPr>
        <w:t>4~5</w:t>
      </w:r>
      <w:r w:rsidRPr="00AF65B3">
        <w:rPr>
          <w:rFonts w:hint="eastAsia"/>
        </w:rPr>
        <w:t>成。上半年传统旺季以及四季度的开工高位则在</w:t>
      </w:r>
      <w:r w:rsidRPr="00AF65B3">
        <w:rPr>
          <w:rFonts w:hint="eastAsia"/>
        </w:rPr>
        <w:t>6</w:t>
      </w:r>
      <w:r w:rsidRPr="00AF65B3">
        <w:rPr>
          <w:rFonts w:hint="eastAsia"/>
        </w:rPr>
        <w:t>成附近。</w:t>
      </w:r>
    </w:p>
    <w:p w:rsidR="00122F73" w:rsidRPr="003B5102" w:rsidRDefault="00122F73" w:rsidP="00122F73">
      <w:pPr>
        <w:pStyle w:val="001"/>
        <w:ind w:firstLine="444"/>
        <w:rPr>
          <w:rFonts w:hint="eastAsia"/>
          <w:spacing w:val="6"/>
        </w:rPr>
      </w:pPr>
      <w:r w:rsidRPr="003B5102">
        <w:rPr>
          <w:rFonts w:hint="eastAsia"/>
          <w:spacing w:val="6"/>
        </w:rPr>
        <w:t>机包市场上半年多在低位运行，厂家去库存的诉求相对较高，下半年尤其是</w:t>
      </w:r>
      <w:r w:rsidRPr="003B5102">
        <w:rPr>
          <w:rFonts w:hint="eastAsia"/>
          <w:spacing w:val="6"/>
        </w:rPr>
        <w:t>10</w:t>
      </w:r>
      <w:r w:rsidRPr="003B5102">
        <w:rPr>
          <w:rFonts w:hint="eastAsia"/>
          <w:spacing w:val="6"/>
        </w:rPr>
        <w:t>月后开工快速提升至</w:t>
      </w:r>
      <w:r w:rsidRPr="003B5102">
        <w:rPr>
          <w:rFonts w:hint="eastAsia"/>
          <w:spacing w:val="6"/>
        </w:rPr>
        <w:t>7</w:t>
      </w:r>
      <w:r w:rsidRPr="003B5102">
        <w:rPr>
          <w:rFonts w:hint="eastAsia"/>
          <w:spacing w:val="6"/>
        </w:rPr>
        <w:t>成左右，厂家集中补库存生产，需求提升较快。</w:t>
      </w:r>
    </w:p>
    <w:p w:rsidR="00122F73" w:rsidRPr="00AF65B3" w:rsidRDefault="00122F73" w:rsidP="00122F73">
      <w:pPr>
        <w:pStyle w:val="001"/>
        <w:rPr>
          <w:rFonts w:hint="eastAsia"/>
        </w:rPr>
      </w:pPr>
      <w:r w:rsidRPr="00AF65B3">
        <w:rPr>
          <w:rFonts w:hint="eastAsia"/>
        </w:rPr>
        <w:t>花边市场表现相对低迷，</w:t>
      </w:r>
      <w:r w:rsidRPr="00AF65B3">
        <w:rPr>
          <w:rFonts w:hint="eastAsia"/>
        </w:rPr>
        <w:t>2016</w:t>
      </w:r>
      <w:r>
        <w:rPr>
          <w:rFonts w:hint="eastAsia"/>
        </w:rPr>
        <w:t>年开工</w:t>
      </w:r>
      <w:r w:rsidRPr="00AF65B3">
        <w:rPr>
          <w:rFonts w:hint="eastAsia"/>
        </w:rPr>
        <w:t>在</w:t>
      </w:r>
      <w:r w:rsidRPr="00AF65B3">
        <w:rPr>
          <w:rFonts w:hint="eastAsia"/>
        </w:rPr>
        <w:t>4~5</w:t>
      </w:r>
      <w:r w:rsidRPr="00AF65B3">
        <w:rPr>
          <w:rFonts w:hint="eastAsia"/>
        </w:rPr>
        <w:t>成，厂家设备的替换，部分老旧设备的停减产较多，且市场的订单也偏少。（图</w:t>
      </w:r>
      <w:r w:rsidRPr="00AF65B3">
        <w:rPr>
          <w:rFonts w:hint="eastAsia"/>
        </w:rPr>
        <w:t>4</w:t>
      </w:r>
      <w:r w:rsidRPr="00AF65B3">
        <w:rPr>
          <w:rFonts w:hint="eastAsia"/>
        </w:rPr>
        <w:t>）</w:t>
      </w:r>
    </w:p>
    <w:p w:rsidR="00122F73" w:rsidRPr="00AF65B3" w:rsidRDefault="00122F73" w:rsidP="00122F73">
      <w:pPr>
        <w:pStyle w:val="006"/>
        <w:rPr>
          <w:color w:val="000000"/>
          <w:szCs w:val="21"/>
        </w:rPr>
      </w:pPr>
      <w:r w:rsidRPr="00AF65B3">
        <w:rPr>
          <w:noProof/>
          <w:color w:val="000000"/>
        </w:rPr>
        <w:drawing>
          <wp:inline distT="0" distB="0" distL="0" distR="0">
            <wp:extent cx="4046220" cy="2217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l="621" t="816" r="465" b="4216"/>
                    <a:stretch>
                      <a:fillRect/>
                    </a:stretch>
                  </pic:blipFill>
                  <pic:spPr bwMode="auto">
                    <a:xfrm>
                      <a:off x="0" y="0"/>
                      <a:ext cx="4046220" cy="2217420"/>
                    </a:xfrm>
                    <a:prstGeom prst="rect">
                      <a:avLst/>
                    </a:prstGeom>
                    <a:noFill/>
                    <a:ln>
                      <a:noFill/>
                    </a:ln>
                    <a:effectLst/>
                  </pic:spPr>
                </pic:pic>
              </a:graphicData>
            </a:graphic>
          </wp:inline>
        </w:drawing>
      </w:r>
    </w:p>
    <w:p w:rsidR="00122F73" w:rsidRPr="00AF65B3" w:rsidRDefault="00122F73" w:rsidP="00122F73">
      <w:pPr>
        <w:pStyle w:val="003"/>
        <w:ind w:firstLineChars="200" w:firstLine="360"/>
        <w:rPr>
          <w:rFonts w:hint="eastAsia"/>
          <w:color w:val="000000"/>
        </w:rPr>
      </w:pPr>
      <w:r w:rsidRPr="00AF65B3">
        <w:rPr>
          <w:color w:val="000000"/>
        </w:rPr>
        <w:t>资料来源：中国化纤信息网</w:t>
      </w:r>
    </w:p>
    <w:p w:rsidR="00122F73" w:rsidRPr="00AF65B3" w:rsidRDefault="00122F73" w:rsidP="00122F73">
      <w:pPr>
        <w:pStyle w:val="002"/>
        <w:spacing w:before="156" w:after="156"/>
        <w:rPr>
          <w:rFonts w:hint="eastAsia"/>
          <w:color w:val="000000"/>
        </w:rPr>
      </w:pPr>
      <w:r w:rsidRPr="00AF65B3">
        <w:rPr>
          <w:color w:val="000000"/>
        </w:rPr>
        <w:t>图</w:t>
      </w:r>
      <w:r w:rsidRPr="00AF65B3">
        <w:rPr>
          <w:rFonts w:hint="eastAsia"/>
          <w:color w:val="000000"/>
        </w:rPr>
        <w:t>4</w:t>
      </w:r>
      <w:r>
        <w:rPr>
          <w:rFonts w:hint="eastAsia"/>
          <w:color w:val="000000"/>
        </w:rPr>
        <w:t xml:space="preserve"> </w:t>
      </w:r>
      <w:r>
        <w:rPr>
          <w:color w:val="000000"/>
        </w:rPr>
        <w:t xml:space="preserve"> </w:t>
      </w:r>
      <w:r w:rsidRPr="00AF65B3">
        <w:rPr>
          <w:color w:val="000000"/>
        </w:rPr>
        <w:t>201</w:t>
      </w:r>
      <w:r w:rsidRPr="00AF65B3">
        <w:rPr>
          <w:rFonts w:hint="eastAsia"/>
          <w:color w:val="000000"/>
        </w:rPr>
        <w:t>6</w:t>
      </w:r>
      <w:r w:rsidRPr="00AF65B3">
        <w:rPr>
          <w:color w:val="000000"/>
        </w:rPr>
        <w:t>年</w:t>
      </w:r>
      <w:r w:rsidRPr="00AF65B3">
        <w:rPr>
          <w:rFonts w:hint="eastAsia"/>
          <w:color w:val="000000"/>
        </w:rPr>
        <w:t>下游织造市场开工情况</w:t>
      </w:r>
      <w:r>
        <w:rPr>
          <w:rFonts w:hint="eastAsia"/>
          <w:color w:val="000000"/>
          <w:lang w:eastAsia="zh-CN"/>
        </w:rPr>
        <w:t>（</w:t>
      </w:r>
      <w:r>
        <w:rPr>
          <w:rFonts w:hint="eastAsia"/>
          <w:color w:val="000000"/>
          <w:lang w:eastAsia="zh-CN"/>
        </w:rPr>
        <w:t>%</w:t>
      </w:r>
      <w:r>
        <w:rPr>
          <w:rFonts w:hint="eastAsia"/>
          <w:color w:val="000000"/>
          <w:lang w:eastAsia="zh-CN"/>
        </w:rPr>
        <w:t>）</w:t>
      </w:r>
    </w:p>
    <w:p w:rsidR="00122F73" w:rsidRPr="00AF65B3" w:rsidRDefault="00122F73" w:rsidP="00122F73">
      <w:pPr>
        <w:pStyle w:val="005"/>
        <w:rPr>
          <w:color w:val="000000"/>
        </w:rPr>
      </w:pPr>
      <w:r w:rsidRPr="00AF65B3">
        <w:rPr>
          <w:color w:val="000000"/>
        </w:rPr>
        <w:t>（二）生产成本</w:t>
      </w:r>
      <w:r w:rsidRPr="00AF65B3">
        <w:rPr>
          <w:rFonts w:hint="eastAsia"/>
          <w:color w:val="000000"/>
        </w:rPr>
        <w:t>逐渐升高</w:t>
      </w:r>
    </w:p>
    <w:p w:rsidR="00122F73" w:rsidRPr="00AF65B3" w:rsidRDefault="00122F73" w:rsidP="00122F73">
      <w:pPr>
        <w:pStyle w:val="001"/>
        <w:rPr>
          <w:rFonts w:hint="eastAsia"/>
        </w:rPr>
      </w:pPr>
      <w:r w:rsidRPr="00AF65B3">
        <w:rPr>
          <w:rFonts w:hint="eastAsia"/>
        </w:rPr>
        <w:t>氨纶主原料</w:t>
      </w:r>
      <w:r w:rsidRPr="00AF65B3">
        <w:rPr>
          <w:rFonts w:hint="eastAsia"/>
        </w:rPr>
        <w:t>PTMEG</w:t>
      </w:r>
      <w:r w:rsidRPr="00AF65B3">
        <w:rPr>
          <w:rFonts w:hint="eastAsia"/>
        </w:rPr>
        <w:t>及</w:t>
      </w:r>
      <w:r w:rsidRPr="00AF65B3">
        <w:rPr>
          <w:rFonts w:hint="eastAsia"/>
        </w:rPr>
        <w:t>MDI</w:t>
      </w:r>
      <w:r w:rsidRPr="00AF65B3">
        <w:rPr>
          <w:rFonts w:hint="eastAsia"/>
        </w:rPr>
        <w:t>的价格于</w:t>
      </w:r>
      <w:r w:rsidRPr="00AF65B3">
        <w:rPr>
          <w:rFonts w:hint="eastAsia"/>
        </w:rPr>
        <w:t>2016</w:t>
      </w:r>
      <w:r w:rsidRPr="00AF65B3">
        <w:rPr>
          <w:rFonts w:hint="eastAsia"/>
        </w:rPr>
        <w:t>年内先抑后扬，上半年虽然纯</w:t>
      </w:r>
      <w:r w:rsidRPr="00AF65B3">
        <w:rPr>
          <w:rFonts w:hint="eastAsia"/>
        </w:rPr>
        <w:t>MDI</w:t>
      </w:r>
      <w:r w:rsidRPr="00AF65B3">
        <w:rPr>
          <w:rFonts w:hint="eastAsia"/>
        </w:rPr>
        <w:t>已经开始上涨，但由于</w:t>
      </w:r>
      <w:r w:rsidRPr="00AF65B3">
        <w:rPr>
          <w:rFonts w:hint="eastAsia"/>
        </w:rPr>
        <w:t>PTMEG</w:t>
      </w:r>
      <w:r w:rsidRPr="00AF65B3">
        <w:rPr>
          <w:rFonts w:hint="eastAsia"/>
        </w:rPr>
        <w:t>的连续下跌，总体原料成本仍呈现下行走势，上半年两种主原料的整体跌幅约</w:t>
      </w:r>
      <w:r w:rsidRPr="00AF65B3">
        <w:rPr>
          <w:rFonts w:hint="eastAsia"/>
        </w:rPr>
        <w:t>8%</w:t>
      </w:r>
      <w:r>
        <w:rPr>
          <w:rFonts w:hint="eastAsia"/>
        </w:rPr>
        <w:t>。下半年</w:t>
      </w:r>
      <w:r w:rsidRPr="00AF65B3">
        <w:rPr>
          <w:rFonts w:hint="eastAsia"/>
        </w:rPr>
        <w:t>PTEMG</w:t>
      </w:r>
      <w:r w:rsidRPr="00AF65B3">
        <w:rPr>
          <w:rFonts w:hint="eastAsia"/>
        </w:rPr>
        <w:t>及</w:t>
      </w:r>
      <w:r w:rsidRPr="00AF65B3">
        <w:rPr>
          <w:rFonts w:hint="eastAsia"/>
        </w:rPr>
        <w:t>MDI</w:t>
      </w:r>
      <w:r>
        <w:rPr>
          <w:rFonts w:hint="eastAsia"/>
        </w:rPr>
        <w:t>的价格均出现不同程度的提升，因此</w:t>
      </w:r>
      <w:r w:rsidRPr="00AF65B3">
        <w:rPr>
          <w:rFonts w:hint="eastAsia"/>
        </w:rPr>
        <w:t>下半年氨纶厂家在两种主原料方面的成本涨幅约</w:t>
      </w:r>
      <w:r w:rsidRPr="00AF65B3">
        <w:rPr>
          <w:rFonts w:hint="eastAsia"/>
        </w:rPr>
        <w:t>12%</w:t>
      </w:r>
      <w:r w:rsidRPr="00AF65B3">
        <w:rPr>
          <w:rFonts w:hint="eastAsia"/>
        </w:rPr>
        <w:t>。在成本上涨的情况下，部分氨纶产品效益出现亏损（图</w:t>
      </w:r>
      <w:r w:rsidRPr="00AF65B3">
        <w:rPr>
          <w:rFonts w:hint="eastAsia"/>
        </w:rPr>
        <w:t>5</w:t>
      </w:r>
      <w:r w:rsidRPr="00AF65B3">
        <w:rPr>
          <w:rFonts w:hint="eastAsia"/>
        </w:rPr>
        <w:t>）。</w:t>
      </w:r>
    </w:p>
    <w:p w:rsidR="00122F73" w:rsidRPr="00AF65B3" w:rsidRDefault="00122F73" w:rsidP="00122F73">
      <w:pPr>
        <w:pStyle w:val="006"/>
        <w:rPr>
          <w:color w:val="000000"/>
        </w:rPr>
      </w:pPr>
      <w:r w:rsidRPr="00262ABC">
        <w:rPr>
          <w:noProof/>
          <w:color w:val="000000"/>
        </w:rPr>
        <w:drawing>
          <wp:inline distT="0" distB="0" distL="0" distR="0">
            <wp:extent cx="4602480" cy="1851660"/>
            <wp:effectExtent l="0" t="0" r="7620" b="0"/>
            <wp:docPr id="2" name="图片 2" descr="28-2016年PTMEG、MDI价格走势图(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2016年PTMEG、MDI价格走势图(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2480" cy="1851660"/>
                    </a:xfrm>
                    <a:prstGeom prst="rect">
                      <a:avLst/>
                    </a:prstGeom>
                    <a:noFill/>
                    <a:ln>
                      <a:noFill/>
                    </a:ln>
                  </pic:spPr>
                </pic:pic>
              </a:graphicData>
            </a:graphic>
          </wp:inline>
        </w:drawing>
      </w:r>
    </w:p>
    <w:p w:rsidR="00122F73" w:rsidRPr="00AF65B3" w:rsidRDefault="00122F73" w:rsidP="00122F73">
      <w:pPr>
        <w:pStyle w:val="003"/>
        <w:rPr>
          <w:color w:val="000000"/>
        </w:rPr>
      </w:pPr>
      <w:r w:rsidRPr="00AF65B3">
        <w:rPr>
          <w:color w:val="000000"/>
        </w:rPr>
        <w:t>资料来源：中国化纤信息网</w:t>
      </w:r>
    </w:p>
    <w:p w:rsidR="00122F73" w:rsidRPr="00AF65B3" w:rsidRDefault="00122F73" w:rsidP="00122F73">
      <w:pPr>
        <w:pStyle w:val="002"/>
        <w:spacing w:before="156" w:after="156"/>
        <w:rPr>
          <w:rFonts w:hint="eastAsia"/>
          <w:color w:val="000000"/>
          <w:lang w:eastAsia="zh-CN"/>
        </w:rPr>
      </w:pPr>
      <w:r w:rsidRPr="00AF65B3">
        <w:rPr>
          <w:color w:val="000000"/>
        </w:rPr>
        <w:t>图</w:t>
      </w:r>
      <w:r w:rsidRPr="00AF65B3">
        <w:rPr>
          <w:rFonts w:hint="eastAsia"/>
          <w:color w:val="000000"/>
        </w:rPr>
        <w:t>5</w:t>
      </w:r>
      <w:r>
        <w:rPr>
          <w:color w:val="000000"/>
        </w:rPr>
        <w:t xml:space="preserve">  </w:t>
      </w:r>
      <w:r w:rsidRPr="00AF65B3">
        <w:rPr>
          <w:color w:val="000000"/>
        </w:rPr>
        <w:t>201</w:t>
      </w:r>
      <w:r w:rsidRPr="00AF65B3">
        <w:rPr>
          <w:rFonts w:hint="eastAsia"/>
          <w:color w:val="000000"/>
        </w:rPr>
        <w:t>6</w:t>
      </w:r>
      <w:r w:rsidRPr="00AF65B3">
        <w:rPr>
          <w:color w:val="000000"/>
        </w:rPr>
        <w:t>年</w:t>
      </w:r>
      <w:r w:rsidRPr="00AF65B3">
        <w:rPr>
          <w:color w:val="000000"/>
        </w:rPr>
        <w:t>PTMEG</w:t>
      </w:r>
      <w:r w:rsidRPr="00AF65B3">
        <w:rPr>
          <w:rFonts w:hint="eastAsia"/>
          <w:color w:val="000000"/>
        </w:rPr>
        <w:t>、</w:t>
      </w:r>
      <w:r w:rsidRPr="00AF65B3">
        <w:rPr>
          <w:color w:val="000000"/>
        </w:rPr>
        <w:t>MDI</w:t>
      </w:r>
      <w:r w:rsidRPr="00AF65B3">
        <w:rPr>
          <w:color w:val="000000"/>
        </w:rPr>
        <w:t>价格走势图</w:t>
      </w:r>
      <w:r>
        <w:rPr>
          <w:rFonts w:hint="eastAsia"/>
          <w:color w:val="000000"/>
          <w:lang w:eastAsia="zh-CN"/>
        </w:rPr>
        <w:t>(</w:t>
      </w:r>
      <w:r>
        <w:rPr>
          <w:rFonts w:hint="eastAsia"/>
          <w:color w:val="000000"/>
          <w:lang w:eastAsia="zh-CN"/>
        </w:rPr>
        <w:t>元</w:t>
      </w:r>
      <w:r>
        <w:rPr>
          <w:rFonts w:hint="eastAsia"/>
          <w:color w:val="000000"/>
          <w:lang w:eastAsia="zh-CN"/>
        </w:rPr>
        <w:t>)</w:t>
      </w:r>
    </w:p>
    <w:p w:rsidR="00122F73" w:rsidRPr="00AF65B3" w:rsidRDefault="00122F73" w:rsidP="00122F73">
      <w:pPr>
        <w:pStyle w:val="001"/>
        <w:ind w:firstLine="422"/>
        <w:rPr>
          <w:b/>
        </w:rPr>
      </w:pPr>
      <w:r w:rsidRPr="00AF65B3">
        <w:rPr>
          <w:b/>
        </w:rPr>
        <w:t>（三）</w:t>
      </w:r>
      <w:r w:rsidRPr="00AF65B3">
        <w:rPr>
          <w:rFonts w:hint="eastAsia"/>
          <w:b/>
        </w:rPr>
        <w:t>年内</w:t>
      </w:r>
      <w:r w:rsidRPr="00AF65B3">
        <w:rPr>
          <w:b/>
        </w:rPr>
        <w:t>新增产能趋缓</w:t>
      </w:r>
    </w:p>
    <w:p w:rsidR="00122F73" w:rsidRPr="00AF65B3" w:rsidRDefault="00122F73" w:rsidP="00122F73">
      <w:pPr>
        <w:pStyle w:val="001"/>
        <w:ind w:firstLineChars="0" w:firstLine="0"/>
        <w:rPr>
          <w:rFonts w:hint="eastAsia"/>
        </w:rPr>
      </w:pPr>
      <w:r>
        <w:rPr>
          <w:rFonts w:hint="eastAsia"/>
        </w:rPr>
        <w:t xml:space="preserve">    </w:t>
      </w:r>
      <w:r w:rsidRPr="00AF65B3">
        <w:rPr>
          <w:rFonts w:hint="eastAsia"/>
        </w:rPr>
        <w:t>2016</w:t>
      </w:r>
      <w:r w:rsidRPr="00AF65B3">
        <w:rPr>
          <w:rFonts w:hint="eastAsia"/>
        </w:rPr>
        <w:t>年国内氨纶总产能预计达到</w:t>
      </w:r>
      <w:r w:rsidRPr="00AF65B3">
        <w:rPr>
          <w:rFonts w:hint="eastAsia"/>
        </w:rPr>
        <w:t>68.5</w:t>
      </w:r>
      <w:r w:rsidRPr="00AF65B3">
        <w:rPr>
          <w:rFonts w:hint="eastAsia"/>
        </w:rPr>
        <w:t>万吨，产能增速在</w:t>
      </w:r>
      <w:r w:rsidRPr="00AF65B3">
        <w:rPr>
          <w:rFonts w:hint="eastAsia"/>
        </w:rPr>
        <w:t>10%</w:t>
      </w:r>
      <w:r w:rsidRPr="00AF65B3">
        <w:rPr>
          <w:rFonts w:hint="eastAsia"/>
        </w:rPr>
        <w:t>左右，比</w:t>
      </w:r>
      <w:r w:rsidRPr="00AF65B3">
        <w:rPr>
          <w:rFonts w:hint="eastAsia"/>
        </w:rPr>
        <w:t>2015</w:t>
      </w:r>
      <w:r w:rsidRPr="00AF65B3">
        <w:rPr>
          <w:rFonts w:hint="eastAsia"/>
        </w:rPr>
        <w:t>年低</w:t>
      </w:r>
      <w:r w:rsidRPr="00AF65B3">
        <w:rPr>
          <w:rFonts w:hint="eastAsia"/>
        </w:rPr>
        <w:t>7</w:t>
      </w:r>
      <w:r w:rsidRPr="00AF65B3">
        <w:rPr>
          <w:rFonts w:hint="eastAsia"/>
        </w:rPr>
        <w:t>个百分点。新增产能的部分主要包括华峰氨纶于重庆</w:t>
      </w:r>
      <w:r>
        <w:rPr>
          <w:rFonts w:hint="eastAsia"/>
        </w:rPr>
        <w:t>的项目，新乡化纤超柔项目</w:t>
      </w:r>
      <w:r w:rsidRPr="00AF65B3">
        <w:rPr>
          <w:rFonts w:hint="eastAsia"/>
        </w:rPr>
        <w:t>以及连云港、华海等厂家的新增项目，上述项目的投产使氨纶行业的供应能力增长。但在减停产的影响下，</w:t>
      </w:r>
      <w:r w:rsidRPr="00AF65B3">
        <w:rPr>
          <w:rFonts w:hint="eastAsia"/>
        </w:rPr>
        <w:lastRenderedPageBreak/>
        <w:t>产量的增量相对略缓（图</w:t>
      </w:r>
      <w:r w:rsidRPr="00AF65B3">
        <w:rPr>
          <w:rFonts w:hint="eastAsia"/>
        </w:rPr>
        <w:t>6</w:t>
      </w:r>
      <w:r w:rsidRPr="00AF65B3">
        <w:rPr>
          <w:rFonts w:hint="eastAsia"/>
        </w:rPr>
        <w:t>）。</w:t>
      </w:r>
    </w:p>
    <w:p w:rsidR="00122F73" w:rsidRPr="00AF65B3" w:rsidRDefault="00122F73" w:rsidP="00122F73">
      <w:pPr>
        <w:pStyle w:val="002"/>
        <w:spacing w:before="156" w:after="156"/>
        <w:rPr>
          <w:rFonts w:hint="eastAsia"/>
          <w:color w:val="000000"/>
        </w:rPr>
      </w:pPr>
      <w:r w:rsidRPr="00AF65B3">
        <w:rPr>
          <w:noProof/>
          <w:color w:val="000000"/>
          <w:lang w:val="en-US" w:eastAsia="zh-CN"/>
        </w:rPr>
        <w:drawing>
          <wp:inline distT="0" distB="0" distL="0" distR="0">
            <wp:extent cx="4320540" cy="23393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4"/>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l="423" t="6396" r="3734" b="253"/>
                    <a:stretch>
                      <a:fillRect/>
                    </a:stretch>
                  </pic:blipFill>
                  <pic:spPr bwMode="auto">
                    <a:xfrm>
                      <a:off x="0" y="0"/>
                      <a:ext cx="4320540" cy="2339340"/>
                    </a:xfrm>
                    <a:prstGeom prst="rect">
                      <a:avLst/>
                    </a:prstGeom>
                    <a:noFill/>
                    <a:ln>
                      <a:noFill/>
                    </a:ln>
                  </pic:spPr>
                </pic:pic>
              </a:graphicData>
            </a:graphic>
          </wp:inline>
        </w:drawing>
      </w:r>
    </w:p>
    <w:p w:rsidR="00122F73" w:rsidRPr="00AF65B3" w:rsidRDefault="00122F73" w:rsidP="00122F73">
      <w:pPr>
        <w:pStyle w:val="002"/>
        <w:spacing w:before="156" w:after="156"/>
        <w:rPr>
          <w:color w:val="000000"/>
          <w:kern w:val="2"/>
        </w:rPr>
      </w:pPr>
      <w:r w:rsidRPr="00AF65B3">
        <w:rPr>
          <w:rFonts w:hint="eastAsia"/>
          <w:color w:val="000000"/>
          <w:kern w:val="2"/>
        </w:rPr>
        <w:t>图</w:t>
      </w:r>
      <w:r w:rsidRPr="00AF65B3">
        <w:rPr>
          <w:color w:val="000000"/>
          <w:kern w:val="2"/>
        </w:rPr>
        <w:fldChar w:fldCharType="begin"/>
      </w:r>
      <w:r w:rsidRPr="00AF65B3">
        <w:rPr>
          <w:color w:val="000000"/>
          <w:kern w:val="2"/>
        </w:rPr>
        <w:instrText xml:space="preserve"> </w:instrText>
      </w:r>
      <w:r w:rsidRPr="00AF65B3">
        <w:rPr>
          <w:rFonts w:hint="eastAsia"/>
          <w:color w:val="000000"/>
          <w:kern w:val="2"/>
        </w:rPr>
        <w:instrText xml:space="preserve">SEQ </w:instrText>
      </w:r>
      <w:r w:rsidRPr="00AF65B3">
        <w:rPr>
          <w:rFonts w:hint="eastAsia"/>
          <w:color w:val="000000"/>
          <w:kern w:val="2"/>
        </w:rPr>
        <w:instrText>图</w:instrText>
      </w:r>
      <w:r w:rsidRPr="00AF65B3">
        <w:rPr>
          <w:rFonts w:hint="eastAsia"/>
          <w:color w:val="000000"/>
          <w:kern w:val="2"/>
        </w:rPr>
        <w:instrText xml:space="preserve"> \* ARABIC</w:instrText>
      </w:r>
      <w:r w:rsidRPr="00AF65B3">
        <w:rPr>
          <w:color w:val="000000"/>
          <w:kern w:val="2"/>
        </w:rPr>
        <w:instrText xml:space="preserve"> </w:instrText>
      </w:r>
      <w:r w:rsidRPr="00AF65B3">
        <w:rPr>
          <w:color w:val="000000"/>
          <w:kern w:val="2"/>
        </w:rPr>
        <w:fldChar w:fldCharType="separate"/>
      </w:r>
      <w:r>
        <w:rPr>
          <w:noProof/>
          <w:color w:val="000000"/>
          <w:kern w:val="2"/>
        </w:rPr>
        <w:t>1</w:t>
      </w:r>
      <w:r w:rsidRPr="00AF65B3">
        <w:rPr>
          <w:color w:val="000000"/>
          <w:kern w:val="2"/>
        </w:rPr>
        <w:fldChar w:fldCharType="end"/>
      </w:r>
      <w:r>
        <w:rPr>
          <w:rFonts w:hint="eastAsia"/>
          <w:color w:val="000000"/>
          <w:kern w:val="2"/>
        </w:rPr>
        <w:t xml:space="preserve">  </w:t>
      </w:r>
      <w:r w:rsidRPr="00AF65B3">
        <w:rPr>
          <w:color w:val="000000"/>
          <w:kern w:val="2"/>
        </w:rPr>
        <w:t>氨纶产能走势图</w:t>
      </w:r>
    </w:p>
    <w:p w:rsidR="00122F73" w:rsidRPr="00AF65B3" w:rsidRDefault="00122F73" w:rsidP="00122F73">
      <w:pPr>
        <w:pStyle w:val="001"/>
        <w:rPr>
          <w:rFonts w:hint="eastAsia"/>
        </w:rPr>
      </w:pPr>
      <w:r w:rsidRPr="00AF65B3">
        <w:t>201</w:t>
      </w:r>
      <w:r w:rsidRPr="00AF65B3">
        <w:rPr>
          <w:rFonts w:hint="eastAsia"/>
        </w:rPr>
        <w:t>6</w:t>
      </w:r>
      <w:r w:rsidRPr="00AF65B3">
        <w:t>年国内氨纶新增产能</w:t>
      </w:r>
      <w:r w:rsidRPr="00AF65B3">
        <w:rPr>
          <w:rFonts w:hint="eastAsia"/>
        </w:rPr>
        <w:t>6.6</w:t>
      </w:r>
      <w:r w:rsidRPr="00AF65B3">
        <w:t>万吨，</w:t>
      </w:r>
      <w:r w:rsidRPr="00AF65B3">
        <w:rPr>
          <w:rFonts w:hint="eastAsia"/>
        </w:rPr>
        <w:t>同比下降</w:t>
      </w:r>
      <w:r w:rsidRPr="00AF65B3">
        <w:rPr>
          <w:rFonts w:hint="eastAsia"/>
        </w:rPr>
        <w:t>25.84%</w:t>
      </w:r>
      <w:r w:rsidRPr="00AF65B3">
        <w:t>，</w:t>
      </w:r>
      <w:r w:rsidRPr="00AF65B3">
        <w:rPr>
          <w:rFonts w:hint="eastAsia"/>
        </w:rPr>
        <w:t>新增产能最多的是华峰氨纶在重庆的项目，共计新增</w:t>
      </w:r>
      <w:r w:rsidRPr="00AF65B3">
        <w:rPr>
          <w:rFonts w:hint="eastAsia"/>
        </w:rPr>
        <w:t>3</w:t>
      </w:r>
      <w:r w:rsidRPr="00AF65B3">
        <w:rPr>
          <w:rFonts w:hint="eastAsia"/>
        </w:rPr>
        <w:t>万吨</w:t>
      </w:r>
      <w:r w:rsidRPr="00AF65B3">
        <w:t>。</w:t>
      </w:r>
      <w:r w:rsidRPr="00AF65B3">
        <w:rPr>
          <w:rFonts w:hint="eastAsia"/>
        </w:rPr>
        <w:t>2017</w:t>
      </w:r>
      <w:r w:rsidRPr="00AF65B3">
        <w:rPr>
          <w:rFonts w:hint="eastAsia"/>
        </w:rPr>
        <w:t>年预计新增产能为</w:t>
      </w:r>
      <w:r w:rsidRPr="00AF65B3">
        <w:rPr>
          <w:rFonts w:hint="eastAsia"/>
        </w:rPr>
        <w:t>19</w:t>
      </w:r>
      <w:r w:rsidRPr="00AF65B3">
        <w:rPr>
          <w:rFonts w:hint="eastAsia"/>
        </w:rPr>
        <w:t>万吨，其中扩产较多的包括山东如意在宁夏计划的</w:t>
      </w:r>
      <w:r w:rsidRPr="00AF65B3">
        <w:rPr>
          <w:rFonts w:hint="eastAsia"/>
        </w:rPr>
        <w:t>6</w:t>
      </w:r>
      <w:r w:rsidRPr="00AF65B3">
        <w:rPr>
          <w:rFonts w:hint="eastAsia"/>
        </w:rPr>
        <w:t>万吨新增产能，福建恒申及晓星氨纶均计划新增</w:t>
      </w:r>
      <w:r w:rsidRPr="00AF65B3">
        <w:rPr>
          <w:rFonts w:hint="eastAsia"/>
        </w:rPr>
        <w:t>4</w:t>
      </w:r>
      <w:r w:rsidRPr="00AF65B3">
        <w:rPr>
          <w:rFonts w:hint="eastAsia"/>
        </w:rPr>
        <w:t>万吨产能，浙江雅迪也计划在宁夏新增</w:t>
      </w:r>
      <w:r w:rsidRPr="00AF65B3">
        <w:rPr>
          <w:rFonts w:hint="eastAsia"/>
        </w:rPr>
        <w:t>3</w:t>
      </w:r>
      <w:r w:rsidRPr="00AF65B3">
        <w:rPr>
          <w:rFonts w:hint="eastAsia"/>
        </w:rPr>
        <w:t>万吨，此外，新乡化纤延续近两年的增幅，继续扩充</w:t>
      </w:r>
      <w:r w:rsidRPr="00AF65B3">
        <w:rPr>
          <w:rFonts w:hint="eastAsia"/>
        </w:rPr>
        <w:t>2</w:t>
      </w:r>
      <w:r w:rsidRPr="00AF65B3">
        <w:rPr>
          <w:rFonts w:hint="eastAsia"/>
        </w:rPr>
        <w:t>万吨产能（表</w:t>
      </w:r>
      <w:r w:rsidRPr="00AF65B3">
        <w:rPr>
          <w:rFonts w:hint="eastAsia"/>
        </w:rPr>
        <w:t>10</w:t>
      </w:r>
      <w:r w:rsidRPr="00AF65B3">
        <w:rPr>
          <w:rFonts w:hint="eastAsia"/>
        </w:rPr>
        <w:t>）。</w:t>
      </w:r>
    </w:p>
    <w:p w:rsidR="00122F73" w:rsidRPr="00AF65B3" w:rsidRDefault="00122F73" w:rsidP="00122F73">
      <w:pPr>
        <w:pStyle w:val="002"/>
        <w:spacing w:before="156" w:after="156"/>
        <w:rPr>
          <w:color w:val="000000"/>
          <w:kern w:val="2"/>
        </w:rPr>
      </w:pPr>
      <w:r w:rsidRPr="00AF65B3">
        <w:rPr>
          <w:color w:val="000000"/>
          <w:kern w:val="2"/>
        </w:rPr>
        <w:t>表</w:t>
      </w:r>
      <w:r w:rsidRPr="00AF65B3">
        <w:rPr>
          <w:color w:val="000000"/>
          <w:kern w:val="2"/>
        </w:rPr>
        <w:t>1</w:t>
      </w:r>
      <w:r w:rsidRPr="00AF65B3">
        <w:rPr>
          <w:rFonts w:hint="eastAsia"/>
          <w:color w:val="000000"/>
          <w:kern w:val="2"/>
        </w:rPr>
        <w:t>0</w:t>
      </w:r>
      <w:r>
        <w:rPr>
          <w:color w:val="000000"/>
          <w:kern w:val="2"/>
        </w:rPr>
        <w:t xml:space="preserve">  </w:t>
      </w:r>
      <w:r w:rsidRPr="00AF65B3">
        <w:rPr>
          <w:color w:val="000000"/>
          <w:kern w:val="2"/>
        </w:rPr>
        <w:t>氨纶</w:t>
      </w:r>
      <w:r w:rsidRPr="00AF65B3">
        <w:rPr>
          <w:color w:val="000000"/>
          <w:kern w:val="2"/>
        </w:rPr>
        <w:t>201</w:t>
      </w:r>
      <w:r w:rsidRPr="00AF65B3">
        <w:rPr>
          <w:rFonts w:hint="eastAsia"/>
          <w:color w:val="000000"/>
          <w:kern w:val="2"/>
        </w:rPr>
        <w:t>6</w:t>
      </w:r>
      <w:r w:rsidRPr="00AF65B3">
        <w:rPr>
          <w:color w:val="000000"/>
          <w:kern w:val="2"/>
        </w:rPr>
        <w:t>年及</w:t>
      </w:r>
      <w:r w:rsidRPr="00AF65B3">
        <w:rPr>
          <w:color w:val="000000"/>
          <w:kern w:val="2"/>
        </w:rPr>
        <w:t>201</w:t>
      </w:r>
      <w:r w:rsidRPr="00AF65B3">
        <w:rPr>
          <w:rFonts w:hint="eastAsia"/>
          <w:color w:val="000000"/>
          <w:kern w:val="2"/>
        </w:rPr>
        <w:t>7</w:t>
      </w:r>
      <w:r w:rsidRPr="00AF65B3">
        <w:rPr>
          <w:color w:val="000000"/>
          <w:kern w:val="2"/>
        </w:rPr>
        <w:t>年主要新增产能表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41"/>
        <w:gridCol w:w="2378"/>
        <w:gridCol w:w="2569"/>
      </w:tblGrid>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企业名称</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年（万吨）</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2017</w:t>
            </w:r>
            <w:r w:rsidRPr="00AF65B3">
              <w:rPr>
                <w:rFonts w:ascii="Times New Roman" w:eastAsia="黑体"/>
                <w:color w:val="000000"/>
                <w:sz w:val="18"/>
                <w:szCs w:val="18"/>
              </w:rPr>
              <w:t>年预计（万吨）</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重庆华峰</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3</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浙江华海</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0.8</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晓星氨纶</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4</w:t>
            </w:r>
          </w:p>
        </w:tc>
      </w:tr>
    </w:tbl>
    <w:p w:rsidR="00122F73" w:rsidRPr="00AF65B3" w:rsidRDefault="00122F73" w:rsidP="00122F73">
      <w:pPr>
        <w:pStyle w:val="004"/>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41"/>
        <w:gridCol w:w="2378"/>
        <w:gridCol w:w="2569"/>
      </w:tblGrid>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color w:val="000000"/>
                <w:sz w:val="18"/>
                <w:szCs w:val="18"/>
              </w:rPr>
              <w:t>企业名称</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color w:val="000000"/>
                <w:sz w:val="18"/>
                <w:szCs w:val="18"/>
              </w:rPr>
              <w:t>年（万吨）</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2017</w:t>
            </w:r>
            <w:r w:rsidRPr="00AF65B3">
              <w:rPr>
                <w:rFonts w:ascii="Times New Roman" w:eastAsia="黑体"/>
                <w:color w:val="000000"/>
                <w:sz w:val="18"/>
                <w:szCs w:val="18"/>
              </w:rPr>
              <w:t>年预计（万吨）</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新乡化纤</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2</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2</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福建恒申</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4</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如意宁夏</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6</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雅迪宁夏</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3</w:t>
            </w: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Cs/>
                <w:color w:val="000000"/>
                <w:sz w:val="18"/>
                <w:szCs w:val="18"/>
              </w:rPr>
            </w:pPr>
            <w:r w:rsidRPr="00AF65B3">
              <w:rPr>
                <w:rFonts w:ascii="Times New Roman" w:hAnsi="Times New Roman"/>
                <w:bCs/>
                <w:color w:val="000000"/>
                <w:sz w:val="18"/>
                <w:szCs w:val="18"/>
              </w:rPr>
              <w:t>连云港杜钟氨纶</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r w:rsidRPr="00AF65B3">
              <w:rPr>
                <w:rFonts w:ascii="Times New Roman" w:hAnsi="Times New Roman"/>
                <w:color w:val="000000"/>
                <w:sz w:val="18"/>
                <w:szCs w:val="18"/>
              </w:rPr>
              <w:t>0.8</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color w:val="000000"/>
                <w:sz w:val="18"/>
                <w:szCs w:val="18"/>
              </w:rPr>
            </w:pPr>
          </w:p>
        </w:tc>
      </w:tr>
      <w:tr w:rsidR="00122F73" w:rsidRPr="00AF65B3" w:rsidTr="00C10522">
        <w:trPr>
          <w:trHeight w:val="340"/>
          <w:jc w:val="center"/>
        </w:trPr>
        <w:tc>
          <w:tcPr>
            <w:tcW w:w="2141"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
                <w:bCs/>
                <w:color w:val="000000"/>
                <w:sz w:val="18"/>
                <w:szCs w:val="18"/>
              </w:rPr>
            </w:pPr>
            <w:r w:rsidRPr="00AF65B3">
              <w:rPr>
                <w:rFonts w:ascii="Times New Roman" w:hAnsi="Times New Roman"/>
                <w:b/>
                <w:bCs/>
                <w:color w:val="000000"/>
                <w:sz w:val="18"/>
                <w:szCs w:val="18"/>
              </w:rPr>
              <w:t>总计</w:t>
            </w:r>
          </w:p>
        </w:tc>
        <w:tc>
          <w:tcPr>
            <w:tcW w:w="2378"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
                <w:color w:val="000000"/>
                <w:sz w:val="18"/>
                <w:szCs w:val="18"/>
              </w:rPr>
            </w:pPr>
            <w:r w:rsidRPr="00AF65B3">
              <w:rPr>
                <w:rFonts w:ascii="Times New Roman" w:hAnsi="Times New Roman"/>
                <w:b/>
                <w:color w:val="000000"/>
                <w:sz w:val="18"/>
                <w:szCs w:val="18"/>
              </w:rPr>
              <w:t>6.6</w:t>
            </w:r>
          </w:p>
        </w:tc>
        <w:tc>
          <w:tcPr>
            <w:tcW w:w="2569" w:type="dxa"/>
            <w:tcMar>
              <w:left w:w="57" w:type="dxa"/>
              <w:right w:w="57" w:type="dxa"/>
            </w:tcMar>
            <w:vAlign w:val="center"/>
          </w:tcPr>
          <w:p w:rsidR="00122F73" w:rsidRPr="00AF65B3" w:rsidRDefault="00122F73" w:rsidP="00C10522">
            <w:pPr>
              <w:adjustRightInd w:val="0"/>
              <w:snapToGrid w:val="0"/>
              <w:spacing w:after="0" w:line="240" w:lineRule="auto"/>
              <w:ind w:firstLine="0"/>
              <w:jc w:val="center"/>
              <w:textAlignment w:val="baseline"/>
              <w:rPr>
                <w:rFonts w:ascii="Times New Roman" w:hAnsi="Times New Roman"/>
                <w:b/>
                <w:color w:val="000000"/>
                <w:sz w:val="18"/>
                <w:szCs w:val="18"/>
              </w:rPr>
            </w:pPr>
            <w:r w:rsidRPr="00AF65B3">
              <w:rPr>
                <w:rFonts w:ascii="Times New Roman" w:hAnsi="Times New Roman"/>
                <w:b/>
                <w:color w:val="000000"/>
                <w:sz w:val="18"/>
                <w:szCs w:val="18"/>
              </w:rPr>
              <w:t>19</w:t>
            </w:r>
          </w:p>
        </w:tc>
      </w:tr>
    </w:tbl>
    <w:p w:rsidR="00122F73" w:rsidRPr="00AF65B3" w:rsidRDefault="00122F73" w:rsidP="00122F73">
      <w:pPr>
        <w:pStyle w:val="003"/>
        <w:rPr>
          <w:color w:val="000000"/>
          <w:kern w:val="2"/>
        </w:rPr>
      </w:pPr>
      <w:r w:rsidRPr="00AF65B3">
        <w:rPr>
          <w:color w:val="000000"/>
          <w:kern w:val="2"/>
        </w:rPr>
        <w:t>资料来源：中国化学纤维工业协会氨纶专业委员会</w:t>
      </w:r>
    </w:p>
    <w:p w:rsidR="00122F73" w:rsidRPr="00AF65B3" w:rsidRDefault="00122F73" w:rsidP="00122F73">
      <w:pPr>
        <w:pStyle w:val="007"/>
        <w:rPr>
          <w:rFonts w:hint="eastAsia"/>
          <w:color w:val="000000"/>
        </w:rPr>
      </w:pPr>
    </w:p>
    <w:p w:rsidR="00122F73" w:rsidRPr="00AF65B3" w:rsidRDefault="00122F73" w:rsidP="00122F73">
      <w:pPr>
        <w:pStyle w:val="000"/>
      </w:pPr>
      <w:r w:rsidRPr="00AF65B3">
        <w:t>三、</w:t>
      </w:r>
      <w:r w:rsidRPr="00AF65B3">
        <w:t>201</w:t>
      </w:r>
      <w:r w:rsidRPr="00AF65B3">
        <w:rPr>
          <w:rFonts w:hint="eastAsia"/>
        </w:rPr>
        <w:t>7</w:t>
      </w:r>
      <w:r w:rsidRPr="00AF65B3">
        <w:t>年氨纶行业运行预测</w:t>
      </w:r>
    </w:p>
    <w:p w:rsidR="00122F73" w:rsidRPr="00AF65B3" w:rsidRDefault="00122F73" w:rsidP="00122F73">
      <w:pPr>
        <w:pStyle w:val="001"/>
        <w:rPr>
          <w:rFonts w:hint="eastAsia"/>
        </w:rPr>
      </w:pPr>
      <w:r w:rsidRPr="00AF65B3">
        <w:rPr>
          <w:rFonts w:hint="eastAsia"/>
        </w:rPr>
        <w:t>2017</w:t>
      </w:r>
      <w:r w:rsidRPr="00AF65B3">
        <w:rPr>
          <w:rFonts w:hint="eastAsia"/>
        </w:rPr>
        <w:t>年氨纶产能仍将保持一定增速，新增产能如全部投产或达到</w:t>
      </w:r>
      <w:r w:rsidRPr="00AF65B3">
        <w:rPr>
          <w:rFonts w:hint="eastAsia"/>
        </w:rPr>
        <w:t>19</w:t>
      </w:r>
      <w:r w:rsidRPr="00AF65B3">
        <w:rPr>
          <w:rFonts w:hint="eastAsia"/>
        </w:rPr>
        <w:t>万吨，但根据市场供需情况分析，全部投产的可能性不大，根据初步投产进度的预估，</w:t>
      </w:r>
      <w:r w:rsidRPr="00AF65B3">
        <w:rPr>
          <w:rFonts w:hint="eastAsia"/>
        </w:rPr>
        <w:t>2017</w:t>
      </w:r>
      <w:r w:rsidRPr="00AF65B3">
        <w:rPr>
          <w:rFonts w:hint="eastAsia"/>
        </w:rPr>
        <w:t>年内新增产能或达到</w:t>
      </w:r>
      <w:r w:rsidRPr="00AF65B3">
        <w:rPr>
          <w:rFonts w:hint="eastAsia"/>
        </w:rPr>
        <w:t>10</w:t>
      </w:r>
      <w:r w:rsidRPr="00AF65B3">
        <w:rPr>
          <w:rFonts w:hint="eastAsia"/>
        </w:rPr>
        <w:t>万吨，增速约</w:t>
      </w:r>
      <w:r w:rsidRPr="00AF65B3">
        <w:rPr>
          <w:rFonts w:hint="eastAsia"/>
        </w:rPr>
        <w:t>15%</w:t>
      </w:r>
      <w:r w:rsidRPr="00AF65B3">
        <w:rPr>
          <w:rFonts w:hint="eastAsia"/>
        </w:rPr>
        <w:t>。随着氨纶新增产能的陆续投产，于</w:t>
      </w:r>
      <w:r w:rsidRPr="00AF65B3">
        <w:rPr>
          <w:rFonts w:hint="eastAsia"/>
        </w:rPr>
        <w:t>2016</w:t>
      </w:r>
      <w:r>
        <w:rPr>
          <w:rFonts w:hint="eastAsia"/>
        </w:rPr>
        <w:t>年底回暖的市场又将面临库存增多的压力，但鉴于出口市场的逐渐扩大</w:t>
      </w:r>
      <w:r w:rsidRPr="00AF65B3">
        <w:rPr>
          <w:rFonts w:hint="eastAsia"/>
        </w:rPr>
        <w:t>及差别化氨纶品种的不断丰富，预计主要规格氨纶产品价格不会再次一路走低，</w:t>
      </w:r>
      <w:r>
        <w:rPr>
          <w:rFonts w:hint="eastAsia"/>
        </w:rPr>
        <w:t>反会在</w:t>
      </w:r>
      <w:r w:rsidRPr="00AF65B3">
        <w:rPr>
          <w:rFonts w:hint="eastAsia"/>
        </w:rPr>
        <w:t>平稳中略有下降。</w:t>
      </w:r>
    </w:p>
    <w:p w:rsidR="00122F73" w:rsidRPr="00AF65B3" w:rsidRDefault="00122F73" w:rsidP="00122F73">
      <w:pPr>
        <w:pStyle w:val="001"/>
        <w:rPr>
          <w:rFonts w:hint="eastAsia"/>
        </w:rPr>
      </w:pPr>
      <w:r w:rsidRPr="00AF65B3">
        <w:rPr>
          <w:rFonts w:hint="eastAsia"/>
        </w:rPr>
        <w:t>随着国外市场需求的不断增加，氨纶行业的进出口方面或仍呈现净出口态势，但由于海外市场本身的氨纶扩能也在继续，因此</w:t>
      </w:r>
      <w:r w:rsidRPr="00AF65B3">
        <w:rPr>
          <w:rFonts w:hint="eastAsia"/>
        </w:rPr>
        <w:t>2017</w:t>
      </w:r>
      <w:r w:rsidRPr="00AF65B3">
        <w:rPr>
          <w:rFonts w:hint="eastAsia"/>
        </w:rPr>
        <w:t>年预计氨纶的进出口量会有小幅波动。</w:t>
      </w:r>
    </w:p>
    <w:p w:rsidR="00122F73" w:rsidRPr="00AF65B3" w:rsidRDefault="00122F73" w:rsidP="00122F73">
      <w:pPr>
        <w:pStyle w:val="001"/>
        <w:rPr>
          <w:rFonts w:hint="eastAsia"/>
        </w:rPr>
      </w:pPr>
      <w:r w:rsidRPr="00AF65B3">
        <w:rPr>
          <w:rFonts w:hint="eastAsia"/>
        </w:rPr>
        <w:t>在市场需求方面，随着产量的增多及市场供给量的增加，再加上进出口市场仍将呈现的小幅波动净出口态势，预计</w:t>
      </w:r>
      <w:r w:rsidRPr="00AF65B3">
        <w:rPr>
          <w:rFonts w:hint="eastAsia"/>
        </w:rPr>
        <w:t>2017</w:t>
      </w:r>
      <w:r w:rsidRPr="00AF65B3">
        <w:rPr>
          <w:rFonts w:hint="eastAsia"/>
        </w:rPr>
        <w:t>年氨纶市场的表观需求量约为</w:t>
      </w:r>
      <w:r w:rsidRPr="00AF65B3">
        <w:rPr>
          <w:rFonts w:hint="eastAsia"/>
        </w:rPr>
        <w:t>51</w:t>
      </w:r>
      <w:r w:rsidRPr="00AF65B3">
        <w:rPr>
          <w:rFonts w:hint="eastAsia"/>
        </w:rPr>
        <w:t>万吨，同比增幅约</w:t>
      </w:r>
      <w:r w:rsidRPr="00AF65B3">
        <w:rPr>
          <w:rFonts w:hint="eastAsia"/>
        </w:rPr>
        <w:t>14%</w:t>
      </w:r>
      <w:r w:rsidRPr="00AF65B3">
        <w:rPr>
          <w:rFonts w:hint="eastAsia"/>
        </w:rPr>
        <w:t>。</w:t>
      </w:r>
    </w:p>
    <w:p w:rsidR="00122F73" w:rsidRPr="00AF65B3" w:rsidRDefault="00122F73" w:rsidP="00122F73">
      <w:pPr>
        <w:pStyle w:val="001"/>
        <w:rPr>
          <w:rFonts w:hint="eastAsia"/>
        </w:rPr>
      </w:pPr>
      <w:r w:rsidRPr="00AF65B3">
        <w:rPr>
          <w:rFonts w:hint="eastAsia"/>
        </w:rPr>
        <w:t>功能性、差别化的氨纶品种将在</w:t>
      </w:r>
      <w:r w:rsidRPr="00AF65B3">
        <w:rPr>
          <w:rFonts w:hint="eastAsia"/>
        </w:rPr>
        <w:t>2017</w:t>
      </w:r>
      <w:r w:rsidRPr="00AF65B3">
        <w:rPr>
          <w:rFonts w:hint="eastAsia"/>
        </w:rPr>
        <w:t>年进一步丰富，以生产同质化常规品种为主的企业将逐步向差别化的生产路线上改变。</w:t>
      </w:r>
    </w:p>
    <w:p w:rsidR="00122F73" w:rsidRPr="00AF65B3" w:rsidRDefault="00122F73" w:rsidP="00122F73">
      <w:pPr>
        <w:pStyle w:val="001"/>
        <w:rPr>
          <w:rFonts w:hint="eastAsia"/>
        </w:rPr>
      </w:pPr>
      <w:r w:rsidRPr="00AF65B3">
        <w:rPr>
          <w:rFonts w:hint="eastAsia"/>
        </w:rPr>
        <w:t>此外，国产熔纺氨纶技术已取得重大突破，保定邦泰已开始着手高品质熔纺氨纶的生产，</w:t>
      </w:r>
      <w:r w:rsidRPr="00AF65B3">
        <w:rPr>
          <w:rFonts w:hint="eastAsia"/>
        </w:rPr>
        <w:t>2</w:t>
      </w:r>
      <w:r w:rsidRPr="00AF65B3">
        <w:rPr>
          <w:rFonts w:hint="eastAsia"/>
        </w:rPr>
        <w:t>万吨</w:t>
      </w:r>
      <w:r w:rsidRPr="00AF65B3">
        <w:rPr>
          <w:rFonts w:hint="eastAsia"/>
        </w:rPr>
        <w:t>/</w:t>
      </w:r>
      <w:r w:rsidRPr="00AF65B3">
        <w:rPr>
          <w:rFonts w:hint="eastAsia"/>
        </w:rPr>
        <w:t>年预计下半年投产，熔纺氨纶的市场空缺也有望于</w:t>
      </w:r>
      <w:r w:rsidRPr="00AF65B3">
        <w:rPr>
          <w:rFonts w:hint="eastAsia"/>
        </w:rPr>
        <w:t>2017</w:t>
      </w:r>
      <w:r w:rsidRPr="00AF65B3">
        <w:rPr>
          <w:rFonts w:hint="eastAsia"/>
        </w:rPr>
        <w:t>年得到填补。</w:t>
      </w:r>
    </w:p>
    <w:p w:rsidR="00122F73" w:rsidRPr="00AF65B3" w:rsidRDefault="00122F73" w:rsidP="00122F73">
      <w:pPr>
        <w:pStyle w:val="001"/>
        <w:rPr>
          <w:rFonts w:hint="eastAsia"/>
        </w:rPr>
      </w:pPr>
      <w:r w:rsidRPr="00AF65B3">
        <w:rPr>
          <w:rFonts w:hint="eastAsia"/>
        </w:rPr>
        <w:t>具体预测如下：</w:t>
      </w:r>
    </w:p>
    <w:p w:rsidR="00122F73" w:rsidRPr="00AF65B3" w:rsidRDefault="00122F73" w:rsidP="00122F73">
      <w:pPr>
        <w:pStyle w:val="001"/>
        <w:rPr>
          <w:rFonts w:hint="eastAsia"/>
        </w:rPr>
      </w:pPr>
      <w:r w:rsidRPr="00AF65B3">
        <w:rPr>
          <w:rFonts w:hint="eastAsia"/>
        </w:rPr>
        <w:t>产能：约</w:t>
      </w:r>
      <w:r w:rsidRPr="00AF65B3">
        <w:rPr>
          <w:rFonts w:hint="eastAsia"/>
        </w:rPr>
        <w:t>72.5</w:t>
      </w:r>
      <w:r w:rsidRPr="00AF65B3">
        <w:rPr>
          <w:rFonts w:hint="eastAsia"/>
        </w:rPr>
        <w:t>万吨，增长</w:t>
      </w:r>
      <w:r w:rsidRPr="00AF65B3">
        <w:rPr>
          <w:rFonts w:hint="eastAsia"/>
        </w:rPr>
        <w:t>10%~15%</w:t>
      </w:r>
      <w:r w:rsidRPr="00AF65B3">
        <w:rPr>
          <w:rFonts w:hint="eastAsia"/>
        </w:rPr>
        <w:t>。</w:t>
      </w:r>
    </w:p>
    <w:p w:rsidR="00122F73" w:rsidRPr="00AF65B3" w:rsidRDefault="00122F73" w:rsidP="00122F73">
      <w:pPr>
        <w:pStyle w:val="001"/>
        <w:rPr>
          <w:rFonts w:hint="eastAsia"/>
        </w:rPr>
      </w:pPr>
      <w:r w:rsidRPr="00AF65B3">
        <w:rPr>
          <w:rFonts w:hint="eastAsia"/>
        </w:rPr>
        <w:t>产量：约</w:t>
      </w:r>
      <w:r w:rsidRPr="00AF65B3">
        <w:rPr>
          <w:rFonts w:hint="eastAsia"/>
        </w:rPr>
        <w:t>54.5</w:t>
      </w:r>
      <w:r w:rsidRPr="00AF65B3">
        <w:rPr>
          <w:rFonts w:hint="eastAsia"/>
        </w:rPr>
        <w:t>万吨，增长</w:t>
      </w:r>
      <w:r w:rsidRPr="00AF65B3">
        <w:rPr>
          <w:rFonts w:hint="eastAsia"/>
        </w:rPr>
        <w:t>3%~4%</w:t>
      </w:r>
      <w:r w:rsidRPr="00AF65B3">
        <w:rPr>
          <w:rFonts w:hint="eastAsia"/>
        </w:rPr>
        <w:t>。</w:t>
      </w:r>
    </w:p>
    <w:p w:rsidR="00122F73" w:rsidRPr="00AF65B3" w:rsidRDefault="00122F73" w:rsidP="00122F73">
      <w:pPr>
        <w:pStyle w:val="001"/>
        <w:rPr>
          <w:rFonts w:hint="eastAsia"/>
        </w:rPr>
      </w:pPr>
      <w:r w:rsidRPr="00AF65B3">
        <w:rPr>
          <w:rFonts w:hint="eastAsia"/>
        </w:rPr>
        <w:t>进口量：约</w:t>
      </w:r>
      <w:r w:rsidRPr="00AF65B3">
        <w:rPr>
          <w:rFonts w:hint="eastAsia"/>
        </w:rPr>
        <w:t>2.5</w:t>
      </w:r>
      <w:r w:rsidRPr="00AF65B3">
        <w:rPr>
          <w:rFonts w:hint="eastAsia"/>
        </w:rPr>
        <w:t>万吨，同比基本持平。</w:t>
      </w:r>
    </w:p>
    <w:p w:rsidR="00122F73" w:rsidRPr="00AF65B3" w:rsidRDefault="00122F73" w:rsidP="00122F73">
      <w:pPr>
        <w:pStyle w:val="001"/>
        <w:rPr>
          <w:rFonts w:hint="eastAsia"/>
        </w:rPr>
      </w:pPr>
      <w:r w:rsidRPr="00AF65B3">
        <w:rPr>
          <w:rFonts w:hint="eastAsia"/>
        </w:rPr>
        <w:t>出口量：约</w:t>
      </w:r>
      <w:r w:rsidRPr="00AF65B3">
        <w:rPr>
          <w:rFonts w:hint="eastAsia"/>
        </w:rPr>
        <w:t>6</w:t>
      </w:r>
      <w:r w:rsidRPr="00AF65B3">
        <w:rPr>
          <w:rFonts w:hint="eastAsia"/>
        </w:rPr>
        <w:t>万吨，增长</w:t>
      </w:r>
      <w:r w:rsidRPr="00AF65B3">
        <w:rPr>
          <w:rFonts w:hint="eastAsia"/>
        </w:rPr>
        <w:t>3%~4%</w:t>
      </w:r>
      <w:r w:rsidRPr="00AF65B3">
        <w:rPr>
          <w:rFonts w:hint="eastAsia"/>
        </w:rPr>
        <w:t>。</w:t>
      </w:r>
    </w:p>
    <w:p w:rsidR="00122F73" w:rsidRPr="00AF65B3" w:rsidRDefault="00122F73" w:rsidP="00122F73">
      <w:pPr>
        <w:pStyle w:val="001"/>
        <w:rPr>
          <w:rFonts w:hint="eastAsia"/>
        </w:rPr>
      </w:pPr>
      <w:r w:rsidRPr="00AF65B3">
        <w:rPr>
          <w:rFonts w:hint="eastAsia"/>
        </w:rPr>
        <w:t>表观需求量：约</w:t>
      </w:r>
      <w:r w:rsidRPr="00AF65B3">
        <w:rPr>
          <w:rFonts w:hint="eastAsia"/>
        </w:rPr>
        <w:t>51</w:t>
      </w:r>
      <w:r w:rsidRPr="00AF65B3">
        <w:rPr>
          <w:rFonts w:hint="eastAsia"/>
        </w:rPr>
        <w:t>万吨，增幅约</w:t>
      </w:r>
      <w:r w:rsidRPr="00AF65B3">
        <w:rPr>
          <w:rFonts w:hint="eastAsia"/>
        </w:rPr>
        <w:t>14%</w:t>
      </w:r>
      <w:r w:rsidRPr="00AF65B3">
        <w:rPr>
          <w:rFonts w:hint="eastAsia"/>
        </w:rPr>
        <w:t>。</w:t>
      </w:r>
    </w:p>
    <w:p w:rsidR="00122F73" w:rsidRPr="00AF65B3" w:rsidRDefault="00122F73" w:rsidP="00122F73">
      <w:pPr>
        <w:pStyle w:val="001"/>
        <w:rPr>
          <w:rFonts w:hint="eastAsia"/>
        </w:rPr>
      </w:pPr>
    </w:p>
    <w:p w:rsidR="000548CF" w:rsidRPr="00122F73" w:rsidRDefault="00B71AED"/>
    <w:sectPr w:rsidR="000548CF" w:rsidRPr="00122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ED" w:rsidRDefault="00B71AED" w:rsidP="00122F73">
      <w:pPr>
        <w:spacing w:after="0" w:line="240" w:lineRule="auto"/>
      </w:pPr>
      <w:r>
        <w:separator/>
      </w:r>
    </w:p>
  </w:endnote>
  <w:endnote w:type="continuationSeparator" w:id="0">
    <w:p w:rsidR="00B71AED" w:rsidRDefault="00B71AED" w:rsidP="0012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ED" w:rsidRDefault="00B71AED" w:rsidP="00122F73">
      <w:pPr>
        <w:spacing w:after="0" w:line="240" w:lineRule="auto"/>
      </w:pPr>
      <w:r>
        <w:separator/>
      </w:r>
    </w:p>
  </w:footnote>
  <w:footnote w:type="continuationSeparator" w:id="0">
    <w:p w:rsidR="00B71AED" w:rsidRDefault="00B71AED" w:rsidP="00122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5"/>
    <w:rsid w:val="00122F73"/>
    <w:rsid w:val="001B3BD8"/>
    <w:rsid w:val="005360E5"/>
    <w:rsid w:val="00551295"/>
    <w:rsid w:val="00B7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C281CC-496D-4767-AC3C-45BFE89F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F73"/>
    <w:pPr>
      <w:spacing w:after="160" w:line="360" w:lineRule="auto"/>
      <w:ind w:firstLine="72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F73"/>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122F73"/>
    <w:rPr>
      <w:sz w:val="18"/>
      <w:szCs w:val="18"/>
    </w:rPr>
  </w:style>
  <w:style w:type="paragraph" w:styleId="a4">
    <w:name w:val="footer"/>
    <w:basedOn w:val="a"/>
    <w:link w:val="Char0"/>
    <w:uiPriority w:val="99"/>
    <w:unhideWhenUsed/>
    <w:rsid w:val="00122F73"/>
    <w:pPr>
      <w:widowControl w:val="0"/>
      <w:tabs>
        <w:tab w:val="center" w:pos="4153"/>
        <w:tab w:val="right" w:pos="8306"/>
      </w:tabs>
      <w:snapToGrid w:val="0"/>
      <w:spacing w:after="0" w:line="240" w:lineRule="auto"/>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122F73"/>
    <w:rPr>
      <w:sz w:val="18"/>
      <w:szCs w:val="18"/>
    </w:rPr>
  </w:style>
  <w:style w:type="paragraph" w:customStyle="1" w:styleId="00">
    <w:name w:val="00 文号"/>
    <w:basedOn w:val="a"/>
    <w:rsid w:val="00122F73"/>
    <w:pPr>
      <w:spacing w:after="0" w:line="354" w:lineRule="exact"/>
      <w:ind w:firstLine="0"/>
      <w:jc w:val="center"/>
    </w:pPr>
    <w:rPr>
      <w:rFonts w:ascii="Times New Roman" w:eastAsia="楷体_GB2312" w:hAnsi="Times New Roman"/>
      <w:sz w:val="24"/>
      <w:szCs w:val="24"/>
    </w:rPr>
  </w:style>
  <w:style w:type="paragraph" w:customStyle="1" w:styleId="000">
    <w:name w:val="00 一、"/>
    <w:basedOn w:val="a"/>
    <w:rsid w:val="00122F73"/>
    <w:pPr>
      <w:spacing w:after="0" w:line="354" w:lineRule="exact"/>
      <w:ind w:firstLineChars="200" w:firstLine="420"/>
      <w:jc w:val="both"/>
    </w:pPr>
    <w:rPr>
      <w:rFonts w:ascii="Times New Roman" w:eastAsia="黑体" w:hAnsi="Times New Roman"/>
      <w:color w:val="000000"/>
      <w:sz w:val="21"/>
      <w:szCs w:val="21"/>
    </w:rPr>
  </w:style>
  <w:style w:type="paragraph" w:customStyle="1" w:styleId="001">
    <w:name w:val="00 正文"/>
    <w:basedOn w:val="a"/>
    <w:rsid w:val="00122F73"/>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2">
    <w:name w:val="00 表格标题"/>
    <w:basedOn w:val="a"/>
    <w:link w:val="00Char"/>
    <w:rsid w:val="00122F73"/>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3">
    <w:name w:val="00 资料来源"/>
    <w:basedOn w:val="a"/>
    <w:rsid w:val="00122F73"/>
    <w:pPr>
      <w:adjustRightInd w:val="0"/>
      <w:spacing w:after="0" w:line="240" w:lineRule="auto"/>
      <w:ind w:firstLine="0"/>
    </w:pPr>
    <w:rPr>
      <w:rFonts w:ascii="Times New Roman" w:hAnsi="Times New Roman"/>
      <w:sz w:val="18"/>
      <w:szCs w:val="18"/>
    </w:rPr>
  </w:style>
  <w:style w:type="character" w:customStyle="1" w:styleId="00Char">
    <w:name w:val="00 表格标题 Char"/>
    <w:link w:val="002"/>
    <w:rsid w:val="00122F73"/>
    <w:rPr>
      <w:rFonts w:ascii="Times New Roman" w:eastAsia="黑体" w:hAnsi="宋体" w:cs="Times New Roman"/>
      <w:bCs/>
      <w:kern w:val="0"/>
      <w:sz w:val="18"/>
      <w:szCs w:val="18"/>
      <w:lang w:val="x-none" w:eastAsia="x-none"/>
    </w:rPr>
  </w:style>
  <w:style w:type="paragraph" w:customStyle="1" w:styleId="004">
    <w:name w:val="00 续表"/>
    <w:basedOn w:val="001"/>
    <w:qFormat/>
    <w:rsid w:val="00122F73"/>
    <w:pPr>
      <w:spacing w:line="240" w:lineRule="auto"/>
      <w:ind w:firstLineChars="0" w:firstLine="0"/>
      <w:jc w:val="right"/>
    </w:pPr>
    <w:rPr>
      <w:sz w:val="18"/>
      <w:szCs w:val="18"/>
    </w:rPr>
  </w:style>
  <w:style w:type="paragraph" w:customStyle="1" w:styleId="005">
    <w:name w:val="00 （一）"/>
    <w:basedOn w:val="001"/>
    <w:qFormat/>
    <w:rsid w:val="00122F73"/>
    <w:pPr>
      <w:ind w:firstLine="422"/>
    </w:pPr>
    <w:rPr>
      <w:b/>
      <w:color w:val="auto"/>
    </w:rPr>
  </w:style>
  <w:style w:type="paragraph" w:customStyle="1" w:styleId="006">
    <w:name w:val="00 图"/>
    <w:basedOn w:val="a"/>
    <w:qFormat/>
    <w:rsid w:val="00122F73"/>
    <w:pPr>
      <w:snapToGrid w:val="0"/>
      <w:spacing w:after="0" w:line="240" w:lineRule="auto"/>
      <w:ind w:firstLine="0"/>
      <w:jc w:val="center"/>
    </w:pPr>
  </w:style>
  <w:style w:type="paragraph" w:customStyle="1" w:styleId="007">
    <w:name w:val="00 空行"/>
    <w:basedOn w:val="003"/>
    <w:qFormat/>
    <w:rsid w:val="00122F73"/>
    <w:pPr>
      <w:snapToGrid w:val="0"/>
    </w:pPr>
  </w:style>
  <w:style w:type="paragraph" w:customStyle="1" w:styleId="1">
    <w:name w:val="样式1"/>
    <w:basedOn w:val="a"/>
    <w:rsid w:val="00122F73"/>
    <w:pPr>
      <w:widowControl w:val="0"/>
      <w:spacing w:beforeLines="50" w:before="156" w:after="0" w:line="440" w:lineRule="exact"/>
      <w:ind w:firstLine="0"/>
      <w:jc w:val="center"/>
    </w:pPr>
    <w:rPr>
      <w:rFonts w:ascii="方正小标宋简体" w:eastAsia="方正小标宋简体" w:hAnsi="Times New Roman"/>
      <w:color w:val="000000"/>
      <w:sz w:val="36"/>
      <w:szCs w:val="36"/>
    </w:rPr>
  </w:style>
  <w:style w:type="paragraph" w:customStyle="1" w:styleId="2">
    <w:name w:val="样式2"/>
    <w:basedOn w:val="00"/>
    <w:rsid w:val="00122F73"/>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2017-03-10T08:04:00Z</dcterms:created>
  <dcterms:modified xsi:type="dcterms:W3CDTF">2017-03-10T08:04:00Z</dcterms:modified>
</cp:coreProperties>
</file>