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line="300" w:lineRule="exact"/>
        <w:ind w:right="33"/>
      </w:pPr>
      <w:r>
        <w:t>附件：</w:t>
      </w:r>
    </w:p>
    <w:p>
      <w:pPr>
        <w:spacing w:before="212"/>
        <w:ind w:right="33"/>
        <w:jc w:val="center"/>
        <w:rPr>
          <w:sz w:val="36"/>
        </w:rPr>
      </w:pPr>
      <w:r>
        <w:rPr>
          <w:rFonts w:hint="eastAsia"/>
          <w:sz w:val="36"/>
        </w:rPr>
        <w:t>中国纺联纺织行业拟上市企业调查摸底情况表</w:t>
      </w:r>
    </w:p>
    <w:p>
      <w:pPr>
        <w:pStyle w:val="2"/>
        <w:spacing w:before="10" w:after="1"/>
        <w:ind w:right="33"/>
        <w:rPr>
          <w:rFonts w:ascii="宋体"/>
          <w:sz w:val="7"/>
        </w:rPr>
      </w:pP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611"/>
        <w:gridCol w:w="1155"/>
        <w:gridCol w:w="1208"/>
        <w:gridCol w:w="717"/>
        <w:gridCol w:w="88"/>
        <w:gridCol w:w="287"/>
        <w:gridCol w:w="617"/>
        <w:gridCol w:w="417"/>
        <w:gridCol w:w="717"/>
        <w:gridCol w:w="247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基础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</w:t>
            </w: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before="25" w:line="276" w:lineRule="auto"/>
              <w:ind w:right="33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before="25" w:line="276" w:lineRule="auto"/>
              <w:ind w:right="33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注册资本（万元）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spacing w:before="25" w:line="276" w:lineRule="auto"/>
              <w:ind w:right="33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总股本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>
            <w:pPr>
              <w:spacing w:before="25" w:line="276" w:lineRule="auto"/>
              <w:ind w:right="33"/>
            </w:pPr>
          </w:p>
        </w:tc>
        <w:tc>
          <w:tcPr>
            <w:tcW w:w="2126" w:type="dxa"/>
            <w:gridSpan w:val="5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预期上市板块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□主  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□创业板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□科创板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2126" w:type="dxa"/>
            <w:gridSpan w:val="5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□北交所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股东人数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股权结构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所属领域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□纤维新材料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□先进纺织制品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□细分行业龙头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□绿色制造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□“一带一路”全球化布局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□智能制造与装备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□服务型制造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□纺织专精特新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□“一条龙”企业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3168" w:type="dxa"/>
            <w:gridSpan w:val="4"/>
            <w:vAlign w:val="center"/>
          </w:tcPr>
          <w:p>
            <w:pPr>
              <w:spacing w:before="25" w:line="276" w:lineRule="auto"/>
              <w:ind w:left="171" w:right="33"/>
            </w:pPr>
            <w:r>
              <w:rPr>
                <w:rFonts w:hint="eastAsia"/>
              </w:rPr>
              <w:t>□产业互联网</w:t>
            </w:r>
          </w:p>
        </w:tc>
        <w:tc>
          <w:tcPr>
            <w:tcW w:w="3169" w:type="dxa"/>
            <w:gridSpan w:val="6"/>
            <w:vAlign w:val="center"/>
          </w:tcPr>
          <w:p>
            <w:pPr>
              <w:spacing w:before="25" w:line="276" w:lineRule="auto"/>
              <w:ind w:left="171" w:right="3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业务介绍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（主营业务、主要产品类别）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</w:rPr>
            </w:pPr>
            <w:r>
              <w:rPr>
                <w:rFonts w:hint="eastAsia"/>
              </w:rPr>
              <w:t>企业核心竞争力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主营业务占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所有业务的比例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市场占有率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研发投入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特色优势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  <w:r>
              <w:rPr>
                <w:rFonts w:hint="eastAsia"/>
              </w:rPr>
              <w:t>□创新能力   □可持续发展   □核心团队   □商业模式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技术情况</w:t>
            </w:r>
          </w:p>
        </w:tc>
        <w:tc>
          <w:tcPr>
            <w:tcW w:w="4489" w:type="dxa"/>
            <w:gridSpan w:val="7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63" w:firstLineChars="30"/>
            </w:pPr>
            <w:r>
              <w:rPr>
                <w:rFonts w:hint="eastAsia"/>
              </w:rPr>
              <w:t>拥有国家级技术中心或工程技术研究中心：</w:t>
            </w:r>
          </w:p>
        </w:tc>
        <w:tc>
          <w:tcPr>
            <w:tcW w:w="964" w:type="dxa"/>
            <w:gridSpan w:val="2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□是</w:t>
            </w:r>
          </w:p>
        </w:tc>
        <w:tc>
          <w:tcPr>
            <w:tcW w:w="884" w:type="dxa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4489" w:type="dxa"/>
            <w:gridSpan w:val="7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60" w:firstLineChars="29"/>
            </w:pPr>
            <w:r>
              <w:rPr>
                <w:rFonts w:hint="eastAsia"/>
              </w:rPr>
              <w:t>拥有省级技术中心或工程技术研究中心：</w:t>
            </w:r>
          </w:p>
        </w:tc>
        <w:tc>
          <w:tcPr>
            <w:tcW w:w="964" w:type="dxa"/>
            <w:gridSpan w:val="2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□是</w:t>
            </w:r>
          </w:p>
        </w:tc>
        <w:tc>
          <w:tcPr>
            <w:tcW w:w="884" w:type="dxa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  <w:tc>
          <w:tcPr>
            <w:tcW w:w="2363" w:type="dxa"/>
            <w:gridSpan w:val="2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 xml:space="preserve">拥有国内外发发明专利： </w:t>
            </w:r>
          </w:p>
        </w:tc>
        <w:tc>
          <w:tcPr>
            <w:tcW w:w="717" w:type="dxa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210" w:firstLineChars="100"/>
            </w:pPr>
            <w:r>
              <w:rPr>
                <w:rFonts w:hint="eastAsia"/>
              </w:rPr>
              <w:t>□无</w:t>
            </w:r>
          </w:p>
        </w:tc>
        <w:tc>
          <w:tcPr>
            <w:tcW w:w="992" w:type="dxa"/>
            <w:gridSpan w:val="3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□1-10项</w:t>
            </w:r>
          </w:p>
        </w:tc>
        <w:tc>
          <w:tcPr>
            <w:tcW w:w="1134" w:type="dxa"/>
            <w:gridSpan w:val="2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□11-30项</w:t>
            </w:r>
          </w:p>
        </w:tc>
        <w:tc>
          <w:tcPr>
            <w:tcW w:w="1131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□30项以上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4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行业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地位</w:t>
            </w: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政府、行业所获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荣誉及奖项</w:t>
            </w:r>
          </w:p>
        </w:tc>
        <w:tc>
          <w:tcPr>
            <w:tcW w:w="6337" w:type="dxa"/>
            <w:gridSpan w:val="10"/>
            <w:vAlign w:val="center"/>
          </w:tcPr>
          <w:p>
            <w:pPr>
              <w:spacing w:before="25" w:line="276" w:lineRule="auto"/>
              <w:ind w:left="171"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产融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进展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上市进程</w:t>
            </w:r>
          </w:p>
        </w:tc>
        <w:tc>
          <w:tcPr>
            <w:tcW w:w="4489" w:type="dxa"/>
            <w:gridSpan w:val="7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420" w:firstLineChars="200"/>
            </w:pPr>
            <w:r>
              <w:rPr>
                <w:rFonts w:hint="eastAsia"/>
              </w:rPr>
              <w:t>□企业改制 □辅导上市（</w:t>
            </w:r>
            <w:r>
              <w:t>开始时间</w:t>
            </w:r>
            <w:r>
              <w:rPr>
                <w:rFonts w:hint="eastAsia"/>
              </w:rPr>
              <w:t>_</w:t>
            </w:r>
            <w:r>
              <w:t>__</w:t>
            </w:r>
            <w:r>
              <w:rPr>
                <w:rFonts w:hint="eastAsia"/>
              </w:rPr>
              <w:t>）</w:t>
            </w:r>
          </w:p>
        </w:tc>
        <w:tc>
          <w:tcPr>
            <w:tcW w:w="1848" w:type="dxa"/>
            <w:gridSpan w:val="3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□上市申报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融资需求</w:t>
            </w:r>
          </w:p>
        </w:tc>
        <w:tc>
          <w:tcPr>
            <w:tcW w:w="3455" w:type="dxa"/>
            <w:gridSpan w:val="5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420" w:firstLineChars="200"/>
              <w:jc w:val="center"/>
            </w:pPr>
            <w:r>
              <w:rPr>
                <w:rFonts w:hint="eastAsia"/>
              </w:rPr>
              <w:t>□是</w:t>
            </w:r>
          </w:p>
        </w:tc>
        <w:tc>
          <w:tcPr>
            <w:tcW w:w="2882" w:type="dxa"/>
            <w:gridSpan w:val="5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420" w:firstLineChars="200"/>
            </w:pP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对接需求</w:t>
            </w:r>
          </w:p>
        </w:tc>
        <w:tc>
          <w:tcPr>
            <w:tcW w:w="2363" w:type="dxa"/>
            <w:gridSpan w:val="2"/>
            <w:tcBorders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 w:firstLine="210" w:firstLineChars="100"/>
            </w:pPr>
            <w:r>
              <w:rPr>
                <w:rFonts w:hint="eastAsia"/>
              </w:rPr>
              <w:t>□上交所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□深交所</w:t>
            </w:r>
          </w:p>
        </w:tc>
        <w:tc>
          <w:tcPr>
            <w:tcW w:w="2126" w:type="dxa"/>
            <w:gridSpan w:val="5"/>
            <w:tcBorders>
              <w:left w:val="single" w:color="FFFFFF" w:sz="4" w:space="0"/>
              <w:righ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</w:t>
            </w:r>
            <w:r>
              <w:t>北交所</w:t>
            </w:r>
          </w:p>
        </w:tc>
        <w:tc>
          <w:tcPr>
            <w:tcW w:w="1848" w:type="dxa"/>
            <w:gridSpan w:val="3"/>
            <w:tcBorders>
              <w:left w:val="single" w:color="FFFFFF" w:sz="4" w:space="0"/>
            </w:tcBorders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中介机构：_</w:t>
            </w:r>
            <w: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经营</w:t>
            </w:r>
          </w:p>
          <w:p>
            <w:pPr>
              <w:spacing w:before="25" w:line="276" w:lineRule="auto"/>
              <w:ind w:right="33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/>
                <w:bCs/>
              </w:rPr>
              <w:t>指标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Cs/>
                <w:color w:val="000000"/>
              </w:rPr>
              <w:t>(经审计数据)</w:t>
            </w:r>
          </w:p>
          <w:p>
            <w:pPr>
              <w:spacing w:before="25" w:line="276" w:lineRule="auto"/>
              <w:ind w:right="3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1155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主营业务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收入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（万元）</w:t>
            </w:r>
          </w:p>
        </w:tc>
        <w:tc>
          <w:tcPr>
            <w:tcW w:w="1208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扣非后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净利润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（万元）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净资产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收益率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资产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负债率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经营性活动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产生现金流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2021年</w:t>
            </w:r>
          </w:p>
        </w:tc>
        <w:tc>
          <w:tcPr>
            <w:tcW w:w="1155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208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2022年</w:t>
            </w:r>
          </w:p>
        </w:tc>
        <w:tc>
          <w:tcPr>
            <w:tcW w:w="1155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208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2023年</w:t>
            </w:r>
          </w:p>
        </w:tc>
        <w:tc>
          <w:tcPr>
            <w:tcW w:w="1155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208" w:type="dxa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4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股权融资情况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天使轮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□A轮 □B轮 □C轮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 xml:space="preserve"> □D轮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□Pre-IPO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最后一轮估值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41" w:type="dxa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社会责任及可持续发展情况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耗能、污染排放、再生循环发展、社会责任等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8789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拟申请科创板企业填写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科创</w:t>
            </w:r>
          </w:p>
          <w:p>
            <w:pPr>
              <w:spacing w:before="25" w:line="276" w:lineRule="auto"/>
              <w:ind w:right="33"/>
              <w:jc w:val="center"/>
              <w:rPr>
                <w:bCs/>
                <w:i/>
              </w:rPr>
            </w:pPr>
            <w:r>
              <w:rPr>
                <w:rFonts w:hint="eastAsia"/>
                <w:b/>
                <w:bCs/>
              </w:rPr>
              <w:t>属性</w:t>
            </w:r>
          </w:p>
          <w:p>
            <w:pPr>
              <w:spacing w:before="25" w:line="276" w:lineRule="auto"/>
              <w:ind w:right="33"/>
              <w:jc w:val="center"/>
              <w:rPr>
                <w:bCs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自主知识产权、核心技术介绍，所处生产环节、对应产品，在营业中的占比、知识产权的权属和来源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研发体系介绍，包括研发能力可持续性、技术先进性、研发团队、研发投入占比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是否属于重大研发成果，获奖情况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竞争力介绍，包括行业地位、壁垒情况、市场地位等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科技转化新业务创新能力情况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789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拟申请北交所企业填写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tabs>
                <w:tab w:val="left" w:pos="404"/>
              </w:tabs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北交所属性</w:t>
            </w:r>
          </w:p>
          <w:p>
            <w:pPr>
              <w:tabs>
                <w:tab w:val="left" w:pos="404"/>
              </w:tabs>
              <w:spacing w:before="25" w:line="276" w:lineRule="auto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是否为全国股转系统连续挂牌满12个月的创新层挂牌公司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rFonts w:eastAsia="仿宋"/>
              </w:rPr>
            </w:pPr>
            <w:r>
              <w:rPr>
                <w:rFonts w:hint="eastAsia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最近一年期末净资产具体数额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“专精特新”小巨人称号获得情况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□国家级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□省级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□市级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□行业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市值及财务指标标准</w:t>
            </w:r>
          </w:p>
          <w:p>
            <w:pPr>
              <w:spacing w:before="25" w:line="276" w:lineRule="auto"/>
              <w:ind w:right="33"/>
              <w:jc w:val="center"/>
            </w:pPr>
            <w:r>
              <w:rPr>
                <w:rFonts w:hint="eastAsia"/>
              </w:rPr>
              <w:t>（达到请打钩）</w:t>
            </w:r>
          </w:p>
        </w:tc>
        <w:tc>
          <w:tcPr>
            <w:tcW w:w="3974" w:type="dxa"/>
            <w:gridSpan w:val="8"/>
            <w:vAlign w:val="center"/>
          </w:tcPr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□预计市值不低于2亿元，最近两年净利润均不低于1500万元且加权平均净资产收益率平均不低于8%，或者最近一年净利润不低于2500万元且加权平均净资产收益率不低于8%</w:t>
            </w:r>
          </w:p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□预计市值不低于4亿元，最近两年营业收入平均不低于1亿元，且最近一年营业收入增长率不低于30%，最近一年经营活动产生的现金流量净额为正</w:t>
            </w:r>
          </w:p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□预计市值不低于8亿元，最近一年营业收入不低于2亿元，最近两年研发投入合计占最近两年营业收入合计比例不低于8%</w:t>
            </w:r>
            <w:bookmarkStart w:id="0" w:name="_GoBack"/>
            <w:bookmarkEnd w:id="0"/>
          </w:p>
          <w:p>
            <w:pPr>
              <w:spacing w:before="25" w:line="276" w:lineRule="auto"/>
              <w:ind w:right="33"/>
            </w:pPr>
            <w:r>
              <w:rPr>
                <w:rFonts w:hint="eastAsia"/>
              </w:rPr>
              <w:t>□预计市值不低于15亿元，最近两年研发投入合计不低于5000万元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未来三年规划</w:t>
            </w:r>
          </w:p>
        </w:tc>
        <w:tc>
          <w:tcPr>
            <w:tcW w:w="7948" w:type="dxa"/>
            <w:gridSpan w:val="11"/>
            <w:vAlign w:val="center"/>
          </w:tcPr>
          <w:p>
            <w:pPr>
              <w:spacing w:before="25" w:line="276" w:lineRule="auto"/>
              <w:ind w:left="171" w:right="33"/>
              <w:rPr>
                <w:b/>
                <w:bCs/>
              </w:rPr>
            </w:pPr>
            <w:r>
              <w:rPr>
                <w:rFonts w:hint="eastAsia"/>
                <w:bCs/>
              </w:rPr>
              <w:t>(本栏填写拟投资项目名称、投资总额、预期营收和利润、投资回收期，限600字)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pacing w:before="25" w:line="276" w:lineRule="auto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7948" w:type="dxa"/>
            <w:gridSpan w:val="11"/>
            <w:vAlign w:val="center"/>
          </w:tcPr>
          <w:p>
            <w:pPr>
              <w:spacing w:before="25" w:line="276" w:lineRule="auto"/>
              <w:ind w:left="171" w:right="33"/>
              <w:jc w:val="center"/>
              <w:rPr>
                <w:b/>
                <w:bCs/>
              </w:rPr>
            </w:pPr>
          </w:p>
        </w:tc>
      </w:tr>
    </w:tbl>
    <w:p>
      <w:pPr>
        <w:spacing w:before="25"/>
        <w:ind w:left="171" w:right="33"/>
        <w:rPr>
          <w:rFonts w:hint="eastAsia"/>
          <w:lang w:val="en-US" w:eastAsia="zh-CN"/>
        </w:rPr>
      </w:pPr>
      <w:r>
        <w:t>注：本表不拘于篇幅，填表人可根据实际情况延展</w:t>
      </w:r>
      <w:r>
        <w:rPr>
          <w:rFonts w:hint="eastAsia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YmM1ZWE3NzE0MzNkMTg2MTBhNzcxNmRkYmZlZjgifQ=="/>
  </w:docVars>
  <w:rsids>
    <w:rsidRoot w:val="3E6225AD"/>
    <w:rsid w:val="2A444230"/>
    <w:rsid w:val="3E6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2024-04-01T02:06:00Z</dcterms:created>
  <dc:creator>Administrator</dc:creator>
  <cp:lastModifiedBy>Administrator</cp:lastModifiedBy>
  <dcterms:modified xsi:type="dcterms:W3CDTF">2024-04-10T01:47:08Z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6155A1B71EE14B0990EE34F6E36EFB5F_11</vt:lpwstr>
  </property>
</Properties>
</file>