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方正大标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大标宋_GBK" w:cs="Times New Roman"/>
          <w:color w:val="000000"/>
          <w:kern w:val="0"/>
          <w:sz w:val="32"/>
          <w:szCs w:val="32"/>
          <w:lang w:val="en-US" w:eastAsia="zh-CN" w:bidi="ar"/>
        </w:rPr>
        <w:t>中国纤维流行趋势材料创新与应用论坛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方正大标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大标宋_GBK" w:cs="Times New Roman"/>
          <w:color w:val="000000"/>
          <w:kern w:val="0"/>
          <w:sz w:val="32"/>
          <w:szCs w:val="32"/>
          <w:lang w:val="en-US" w:eastAsia="zh-CN" w:bidi="ar"/>
        </w:rPr>
        <w:t>暨中国轻纺城纺织新材料中心主题对接活动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方正大标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大标宋_GBK" w:cs="Times New Roman"/>
          <w:color w:val="000000"/>
          <w:kern w:val="0"/>
          <w:sz w:val="32"/>
          <w:szCs w:val="32"/>
          <w:lang w:val="en-US" w:eastAsia="zh-CN" w:bidi="ar"/>
        </w:rPr>
        <w:t>参会回执表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506"/>
        <w:gridCol w:w="1090"/>
        <w:gridCol w:w="692"/>
        <w:gridCol w:w="1513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单位名称</w:t>
            </w:r>
          </w:p>
        </w:tc>
        <w:tc>
          <w:tcPr>
            <w:tcW w:w="706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地址</w:t>
            </w:r>
          </w:p>
        </w:tc>
        <w:tc>
          <w:tcPr>
            <w:tcW w:w="7064" w:type="dxa"/>
            <w:gridSpan w:val="5"/>
            <w:tcBorders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参会人员</w:t>
            </w:r>
          </w:p>
        </w:tc>
        <w:tc>
          <w:tcPr>
            <w:tcW w:w="1506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090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69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513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2263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vMerge w:val="continue"/>
            <w:tcBorders>
              <w:left w:val="single" w:color="auto" w:sz="12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506" w:type="dxa"/>
            <w:tcBorders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90" w:type="dxa"/>
            <w:tcBorders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92" w:type="dxa"/>
            <w:tcBorders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13" w:type="dxa"/>
            <w:tcBorders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63" w:type="dxa"/>
            <w:tcBorders>
              <w:bottom w:val="dashSmallGap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vMerge w:val="continue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506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90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92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13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63" w:type="dxa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vMerge w:val="continue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506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90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92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13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63" w:type="dxa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vMerge w:val="continue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506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90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92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13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63" w:type="dxa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exact"/>
          <w:jc w:val="center"/>
        </w:trPr>
        <w:tc>
          <w:tcPr>
            <w:tcW w:w="1458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酒店预订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（请填写入住和退房日期并打√选择房型）</w:t>
            </w:r>
          </w:p>
        </w:tc>
        <w:tc>
          <w:tcPr>
            <w:tcW w:w="7064" w:type="dxa"/>
            <w:gridSpan w:val="5"/>
            <w:tcBorders>
              <w:top w:val="dashSmallGap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入住日期：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日，退房日期：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日</w:t>
            </w: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房型选择：</w:t>
            </w: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1、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绍兴富悦温德姆酒店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浙江省绍兴市柯桥区群贤路981号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）</w:t>
            </w: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□ 双床房 （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  <w:lang w:val="en-US" w:eastAsia="zh-CN"/>
              </w:rPr>
              <w:t>450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元/间/天，含早），数量：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间</w:t>
            </w: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□ 大床房 （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  <w:lang w:val="en-US" w:eastAsia="zh-CN"/>
              </w:rPr>
              <w:t>450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元/间/天，含早），数量：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间</w:t>
            </w:r>
          </w:p>
          <w:p>
            <w:pPr>
              <w:spacing w:line="300" w:lineRule="exact"/>
              <w:ind w:firstLine="46" w:firstLineChars="22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ind w:firstLine="46" w:firstLineChars="22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2、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柯桥富丽华大酒店（绍兴市柯桥区笛扬路1388号）</w:t>
            </w: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□ 双床房 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340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元/间/天，含早），数量：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间</w:t>
            </w: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□ 大床房 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340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元/间/天，含早），数量：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间</w:t>
            </w:r>
          </w:p>
          <w:p>
            <w:pPr>
              <w:spacing w:line="300" w:lineRule="exact"/>
              <w:ind w:firstLine="46" w:firstLineChars="22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exact"/>
              <w:ind w:firstLine="46" w:firstLineChars="22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□ 无需预订，自行安排住宿</w:t>
            </w:r>
          </w:p>
        </w:tc>
      </w:tr>
    </w:tbl>
    <w:p>
      <w:pPr>
        <w:rPr>
          <w:rFonts w:hint="default" w:ascii="Times New Roman" w:hAnsi="Times New Roman" w:eastAsia="仿宋" w:cs="Times New Roman"/>
          <w:szCs w:val="28"/>
        </w:rPr>
      </w:pPr>
      <w:r>
        <w:rPr>
          <w:rFonts w:hint="default" w:ascii="Times New Roman" w:hAnsi="Times New Roman" w:eastAsia="仿宋" w:cs="Times New Roman"/>
          <w:szCs w:val="28"/>
        </w:rPr>
        <w:t>请完整填写此表，并传真或E-mail给我们。会务组会于两个工作日内给您发送确认信息。</w:t>
      </w:r>
    </w:p>
    <w:p>
      <w:pPr>
        <w:rPr>
          <w:rFonts w:hint="default" w:ascii="Times New Roman" w:hAnsi="Times New Roman" w:eastAsia="仿宋" w:cs="Times New Roman"/>
          <w:szCs w:val="28"/>
        </w:rPr>
      </w:pPr>
    </w:p>
    <w:p>
      <w:pPr>
        <w:spacing w:line="300" w:lineRule="exac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仿宋" w:cs="Times New Roman"/>
          <w:b/>
          <w:bCs/>
        </w:rPr>
        <w:t>联系我们：</w:t>
      </w:r>
    </w:p>
    <w:p>
      <w:pPr>
        <w:spacing w:line="300" w:lineRule="exact"/>
        <w:ind w:firstLine="600" w:firstLineChars="200"/>
        <w:rPr>
          <w:rFonts w:hint="default" w:ascii="Times New Roman" w:hAnsi="Times New Roman" w:eastAsia="仿宋" w:cs="Times New Roman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113665</wp:posOffset>
            </wp:positionV>
            <wp:extent cx="1351915" cy="1321435"/>
            <wp:effectExtent l="0" t="0" r="635" b="12065"/>
            <wp:wrapNone/>
            <wp:docPr id="1" name="图片 1" descr="d0b0029b4f7bfc5e3efbbf0c94b6c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b0029b4f7bfc5e3efbbf0c94b6c15"/>
                    <pic:cNvPicPr>
                      <a:picLocks noChangeAspect="1"/>
                    </pic:cNvPicPr>
                  </pic:nvPicPr>
                  <pic:blipFill>
                    <a:blip r:embed="rId4"/>
                    <a:srcRect l="8729" t="7861" r="7584" b="10405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szCs w:val="21"/>
          <w:lang w:val="en-US" w:eastAsia="zh-CN"/>
        </w:rPr>
        <w:t>王  祺，15210592758，ccfawangqi@163.com</w:t>
      </w:r>
    </w:p>
    <w:p>
      <w:pPr>
        <w:spacing w:line="300" w:lineRule="exact"/>
        <w:ind w:firstLine="420" w:firstLineChars="200"/>
        <w:rPr>
          <w:rFonts w:hint="default" w:ascii="Times New Roman" w:hAnsi="Times New Roman" w:eastAsia="仿宋" w:cs="Times New Roman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Cs w:val="21"/>
          <w:lang w:val="en-US" w:eastAsia="zh-CN"/>
        </w:rPr>
        <w:t>窦  娟，15210118964，doutjuan@126.com</w:t>
      </w:r>
    </w:p>
    <w:p>
      <w:pPr>
        <w:spacing w:line="300" w:lineRule="exact"/>
        <w:ind w:firstLine="420" w:firstLineChars="200"/>
        <w:rPr>
          <w:rFonts w:hint="default" w:ascii="Times New Roman" w:hAnsi="Times New Roman" w:eastAsia="仿宋" w:cs="Times New Roman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Cs w:val="21"/>
          <w:lang w:val="en-US" w:eastAsia="zh-CN"/>
        </w:rPr>
        <w:t>王永生，17710368286，ccfawys@126.com</w:t>
      </w:r>
    </w:p>
    <w:p>
      <w:pPr>
        <w:spacing w:line="300" w:lineRule="exact"/>
        <w:ind w:firstLine="420" w:firstLineChars="200"/>
        <w:rPr>
          <w:rFonts w:hint="default" w:ascii="Times New Roman" w:hAnsi="Times New Roman" w:eastAsia="仿宋" w:cs="Times New Roman"/>
          <w:szCs w:val="21"/>
          <w:lang w:val="en-US" w:eastAsia="zh-CN"/>
        </w:rPr>
      </w:pPr>
    </w:p>
    <w:p/>
    <w:p/>
    <w:p>
      <w:bookmarkStart w:id="0" w:name="_GoBack"/>
      <w:bookmarkEnd w:id="0"/>
    </w:p>
    <w:p/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 w:ascii="Times New Roman" w:hAnsi="Times New Roman" w:eastAsia="仿宋" w:cs="Times New Roman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/>
          <w:bCs/>
          <w:szCs w:val="28"/>
          <w:lang w:val="en-US" w:eastAsia="zh-CN"/>
        </w:rPr>
        <w:t xml:space="preserve">  （扫描二维码填写报名信息）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E774DED-14AA-4680-AC0C-126F1049B7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4A60E5D-EE8B-453F-8932-8F376D423A67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3" w:fontKey="{EC9D141F-AC7F-4104-BF34-76FE3001EB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TAyODQzODg1NTFhMDQwNzdmNjEwNTgzZjM5ODIifQ=="/>
  </w:docVars>
  <w:rsids>
    <w:rsidRoot w:val="00000000"/>
    <w:rsid w:val="07E02EE1"/>
    <w:rsid w:val="4AE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2024-04-11T05:31:00Z</dcterms:created>
  <dc:creator>user</dc:creator>
  <cp:lastModifiedBy>王永生</cp:lastModifiedBy>
  <dcterms:modified xsi:type="dcterms:W3CDTF">2024-04-11T05:42:21Z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A8B1F2B1D1E041E3B81D8B6577785C8A_12</vt:lpwstr>
  </property>
</Properties>
</file>