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A196" w14:textId="77777777" w:rsidR="00287A59" w:rsidRDefault="00287A59">
      <w:pPr>
        <w:spacing w:line="360" w:lineRule="auto"/>
        <w:jc w:val="both"/>
        <w:rPr>
          <w:rFonts w:hint="eastAsia"/>
        </w:rPr>
      </w:pPr>
    </w:p>
    <w:p w14:paraId="5CF6D766" w14:textId="77777777" w:rsidR="00287A59" w:rsidRDefault="00000000">
      <w:pPr>
        <w:spacing w:line="360" w:lineRule="auto"/>
        <w:jc w:val="both"/>
        <w:rPr>
          <w:rFonts w:hint="eastAsia"/>
        </w:rPr>
      </w:pPr>
      <w:bookmarkStart w:id="0" w:name="OLE_LINK34"/>
      <w:bookmarkStart w:id="1" w:name="OLE_LINK36"/>
      <w:bookmarkStart w:id="2" w:name="OLE_LINK55"/>
      <w:bookmarkStart w:id="3" w:name="OLE_LINK11"/>
      <w:bookmarkStart w:id="4" w:name="OLE_LINK12"/>
      <w:bookmarkStart w:id="5" w:name="OLE_LINK51"/>
      <w:bookmarkStart w:id="6" w:name="OLE_LINK47"/>
      <w:r>
        <w:rPr>
          <w:noProof/>
        </w:rPr>
        <w:drawing>
          <wp:inline distT="0" distB="0" distL="0" distR="0" wp14:anchorId="5E332718" wp14:editId="6B6FBE73">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6" cstate="print"/>
                    <a:srcRect/>
                    <a:stretch>
                      <a:fillRect/>
                    </a:stretch>
                  </pic:blipFill>
                  <pic:spPr>
                    <a:xfrm>
                      <a:off x="0" y="0"/>
                      <a:ext cx="3220085" cy="4373245"/>
                    </a:xfrm>
                    <a:prstGeom prst="rect">
                      <a:avLst/>
                    </a:prstGeom>
                    <a:ln>
                      <a:noFill/>
                    </a:ln>
                  </pic:spPr>
                </pic:pic>
              </a:graphicData>
            </a:graphic>
          </wp:inline>
        </w:drawing>
      </w:r>
    </w:p>
    <w:p w14:paraId="04B25114" w14:textId="77777777" w:rsidR="00287A59" w:rsidRDefault="00000000">
      <w:pPr>
        <w:spacing w:line="360" w:lineRule="auto"/>
        <w:jc w:val="both"/>
        <w:rPr>
          <w:rFonts w:hint="eastAsia"/>
        </w:rPr>
      </w:pPr>
      <w:bookmarkStart w:id="7" w:name="OLE_LINK86"/>
      <w:bookmarkStart w:id="8" w:name="OLE_LINK83"/>
      <w:bookmarkStart w:id="9" w:name="OLE_LINK33"/>
      <w:bookmarkStart w:id="10" w:name="OLE_LINK7"/>
      <w:bookmarkStart w:id="11" w:name="OLE_LINK72"/>
      <w:r>
        <w:rPr>
          <w:rFonts w:hint="eastAsia"/>
        </w:rPr>
        <w:t>中国化纤手机报2026年第3期（总第</w:t>
      </w:r>
      <w:bookmarkEnd w:id="0"/>
      <w:bookmarkEnd w:id="1"/>
      <w:r>
        <w:t>7</w:t>
      </w:r>
      <w:r>
        <w:rPr>
          <w:rFonts w:hint="eastAsia"/>
        </w:rPr>
        <w:t>74期</w:t>
      </w:r>
      <w:bookmarkEnd w:id="2"/>
      <w:bookmarkEnd w:id="3"/>
      <w:bookmarkEnd w:id="4"/>
      <w:bookmarkEnd w:id="5"/>
      <w:bookmarkEnd w:id="6"/>
      <w:r>
        <w:rPr>
          <w:rFonts w:hint="eastAsia"/>
        </w:rPr>
        <w:t>）</w:t>
      </w:r>
    </w:p>
    <w:bookmarkEnd w:id="7"/>
    <w:bookmarkEnd w:id="8"/>
    <w:bookmarkEnd w:id="9"/>
    <w:bookmarkEnd w:id="10"/>
    <w:bookmarkEnd w:id="11"/>
    <w:p w14:paraId="47DD2AC1" w14:textId="77777777" w:rsidR="00287A59" w:rsidRDefault="00287A59">
      <w:pPr>
        <w:spacing w:line="360" w:lineRule="auto"/>
        <w:jc w:val="both"/>
        <w:rPr>
          <w:rFonts w:hint="eastAsia"/>
        </w:rPr>
      </w:pPr>
    </w:p>
    <w:p w14:paraId="0ABE1AB0" w14:textId="77777777" w:rsidR="00287A59" w:rsidRDefault="00000000">
      <w:pPr>
        <w:spacing w:line="360" w:lineRule="auto"/>
        <w:jc w:val="both"/>
        <w:rPr>
          <w:rFonts w:hint="eastAsia"/>
        </w:rPr>
      </w:pPr>
      <w:r>
        <w:rPr>
          <w:rFonts w:hint="eastAsia"/>
        </w:rPr>
        <w:t>2026年1月22日 星期四</w:t>
      </w:r>
    </w:p>
    <w:p w14:paraId="3A128CFB" w14:textId="77777777" w:rsidR="00287A59" w:rsidRDefault="00000000">
      <w:pPr>
        <w:spacing w:line="360" w:lineRule="auto"/>
        <w:jc w:val="both"/>
        <w:rPr>
          <w:rFonts w:hint="eastAsia"/>
        </w:rPr>
      </w:pPr>
      <w:r>
        <w:rPr>
          <w:rFonts w:hint="eastAsia"/>
        </w:rPr>
        <w:t>主办：中国化学纤维工业协会</w:t>
      </w:r>
    </w:p>
    <w:p w14:paraId="74B7581D" w14:textId="77777777" w:rsidR="00287A59" w:rsidRDefault="00000000">
      <w:pPr>
        <w:spacing w:line="360" w:lineRule="auto"/>
        <w:jc w:val="both"/>
        <w:rPr>
          <w:rFonts w:hint="eastAsia"/>
        </w:rPr>
      </w:pPr>
      <w:r>
        <w:rPr>
          <w:rFonts w:hint="eastAsia"/>
        </w:rPr>
        <w:t>协办：</w:t>
      </w:r>
      <w:proofErr w:type="gramStart"/>
      <w:r>
        <w:rPr>
          <w:rFonts w:hint="eastAsia"/>
        </w:rPr>
        <w:t>隆众资讯</w:t>
      </w:r>
      <w:proofErr w:type="gramEnd"/>
    </w:p>
    <w:p w14:paraId="38BC560F" w14:textId="77777777" w:rsidR="00287A59" w:rsidRDefault="00000000">
      <w:pPr>
        <w:spacing w:line="360" w:lineRule="auto"/>
        <w:jc w:val="both"/>
        <w:rPr>
          <w:rFonts w:hint="eastAsia"/>
        </w:rPr>
      </w:pPr>
      <w:r>
        <w:rPr>
          <w:rFonts w:hint="eastAsia"/>
        </w:rPr>
        <w:t>欢迎浏览</w:t>
      </w:r>
    </w:p>
    <w:p w14:paraId="2C3E4B4D" w14:textId="77777777" w:rsidR="00287A59" w:rsidRDefault="00000000">
      <w:pPr>
        <w:spacing w:line="360" w:lineRule="auto"/>
        <w:jc w:val="both"/>
        <w:rPr>
          <w:rFonts w:hint="eastAsia"/>
        </w:rPr>
      </w:pPr>
      <w:r>
        <w:rPr>
          <w:rFonts w:hint="eastAsia"/>
        </w:rPr>
        <w:t>http://www.ccfa.com.cn</w:t>
      </w:r>
    </w:p>
    <w:p w14:paraId="6CDB983F" w14:textId="77777777" w:rsidR="00287A59" w:rsidRDefault="00000000">
      <w:pPr>
        <w:spacing w:line="360" w:lineRule="auto"/>
        <w:jc w:val="both"/>
        <w:rPr>
          <w:rFonts w:hint="eastAsia"/>
        </w:rPr>
      </w:pPr>
      <w:hyperlink r:id="rId7" w:history="1">
        <w:bookmarkStart w:id="12" w:name="OLE_LINK2"/>
        <w:r>
          <w:rPr>
            <w:rStyle w:val="af3"/>
            <w:rFonts w:hint="eastAsia"/>
          </w:rPr>
          <w:t>h</w:t>
        </w:r>
        <w:bookmarkEnd w:id="12"/>
        <w:r>
          <w:rPr>
            <w:rStyle w:val="af3"/>
            <w:rFonts w:hint="eastAsia"/>
          </w:rPr>
          <w:t>ttp://</w:t>
        </w:r>
        <w:r>
          <w:t xml:space="preserve"> fiber.oilchem.net/</w:t>
        </w:r>
      </w:hyperlink>
    </w:p>
    <w:p w14:paraId="3F6C8978" w14:textId="77777777" w:rsidR="00287A59" w:rsidRDefault="00287A59">
      <w:pPr>
        <w:spacing w:line="360" w:lineRule="auto"/>
        <w:jc w:val="both"/>
        <w:rPr>
          <w:rFonts w:hint="eastAsia"/>
        </w:rPr>
      </w:pPr>
    </w:p>
    <w:p w14:paraId="41E29FAE" w14:textId="77777777" w:rsidR="00287A59" w:rsidRDefault="00000000">
      <w:pPr>
        <w:spacing w:line="360" w:lineRule="auto"/>
        <w:jc w:val="both"/>
        <w:rPr>
          <w:rFonts w:hint="eastAsia"/>
        </w:rPr>
      </w:pPr>
      <w:bookmarkStart w:id="13" w:name="_Hlk6545252"/>
      <w:r>
        <w:rPr>
          <w:rFonts w:hint="eastAsia"/>
        </w:rPr>
        <w:t>【本期导读】</w:t>
      </w:r>
    </w:p>
    <w:p w14:paraId="2E149CF2" w14:textId="35B7CAFE" w:rsidR="00287A59" w:rsidRDefault="00000000">
      <w:pPr>
        <w:widowControl w:val="0"/>
        <w:spacing w:line="360" w:lineRule="auto"/>
        <w:jc w:val="both"/>
        <w:rPr>
          <w:rFonts w:hint="eastAsia"/>
        </w:rPr>
      </w:pPr>
      <w:r>
        <w:rPr>
          <w:rFonts w:hint="eastAsia"/>
        </w:rPr>
        <w:t>●</w:t>
      </w:r>
      <w:r>
        <w:t>2025年化纤行业十大新闻</w:t>
      </w:r>
      <w:r>
        <w:rPr>
          <w:rFonts w:hint="eastAsia"/>
        </w:rPr>
        <w:t>发布</w:t>
      </w:r>
    </w:p>
    <w:p w14:paraId="67D5B55F" w14:textId="77777777" w:rsidR="00287A59" w:rsidRDefault="00000000">
      <w:pPr>
        <w:spacing w:line="360" w:lineRule="auto"/>
        <w:rPr>
          <w:rFonts w:hint="eastAsia"/>
        </w:rPr>
      </w:pPr>
      <w:r>
        <w:rPr>
          <w:rFonts w:hint="eastAsia"/>
        </w:rPr>
        <w:t>●中国化纤协会发布“</w:t>
      </w:r>
      <w:r>
        <w:t>推动超高分子量聚乙烯纤维行业高质量发展倡议书</w:t>
      </w:r>
      <w:r>
        <w:rPr>
          <w:rFonts w:hint="eastAsia"/>
        </w:rPr>
        <w:t>”</w:t>
      </w:r>
    </w:p>
    <w:p w14:paraId="0C9BE5F7" w14:textId="77777777" w:rsidR="00287A59" w:rsidRDefault="00000000">
      <w:pPr>
        <w:adjustRightInd w:val="0"/>
        <w:snapToGrid w:val="0"/>
        <w:spacing w:line="360" w:lineRule="auto"/>
        <w:rPr>
          <w:rFonts w:hint="eastAsia"/>
        </w:rPr>
      </w:pPr>
      <w:r>
        <w:rPr>
          <w:rFonts w:hint="eastAsia"/>
        </w:rPr>
        <w:t>●</w:t>
      </w:r>
      <w:r>
        <w:rPr>
          <w:rFonts w:asciiTheme="minorEastAsia" w:eastAsiaTheme="minorEastAsia" w:hAnsiTheme="minorEastAsia" w:hint="eastAsia"/>
        </w:rPr>
        <w:t>赛得利-纤维空中大讲堂第十季：再生纤维素纤维行业年度话题之夜</w:t>
      </w:r>
    </w:p>
    <w:p w14:paraId="53D1F026" w14:textId="77777777" w:rsidR="00287A59" w:rsidRDefault="00000000">
      <w:pPr>
        <w:spacing w:line="360" w:lineRule="auto"/>
        <w:rPr>
          <w:rFonts w:hint="eastAsia"/>
        </w:rPr>
      </w:pPr>
      <w:r>
        <w:rPr>
          <w:rFonts w:hint="eastAsia"/>
        </w:rPr>
        <w:lastRenderedPageBreak/>
        <w:t>●</w:t>
      </w:r>
      <w:r>
        <w:t>华峰重庆氨纶获评 “灯塔工厂”</w:t>
      </w:r>
    </w:p>
    <w:p w14:paraId="37F6BD38" w14:textId="77777777" w:rsidR="00287A59" w:rsidRDefault="00000000">
      <w:pPr>
        <w:spacing w:line="360" w:lineRule="auto"/>
        <w:rPr>
          <w:rFonts w:hint="eastAsia"/>
        </w:rPr>
      </w:pPr>
      <w:r>
        <w:rPr>
          <w:rFonts w:hint="eastAsia"/>
        </w:rPr>
        <w:t>●“高性能超高分子量聚乙烯纤维生产成套装备”项目通过科技成果鉴定</w:t>
      </w:r>
    </w:p>
    <w:p w14:paraId="0FC5D7E7" w14:textId="77777777" w:rsidR="00287A59" w:rsidRDefault="00000000">
      <w:pPr>
        <w:spacing w:line="360" w:lineRule="auto"/>
        <w:rPr>
          <w:rFonts w:hint="eastAsia"/>
        </w:rPr>
      </w:pPr>
      <w:r>
        <w:rPr>
          <w:rFonts w:hint="eastAsia"/>
        </w:rPr>
        <w:t>●财政部等五部门：实施中小</w:t>
      </w:r>
      <w:proofErr w:type="gramStart"/>
      <w:r>
        <w:rPr>
          <w:rFonts w:hint="eastAsia"/>
        </w:rPr>
        <w:t>微企业</w:t>
      </w:r>
      <w:proofErr w:type="gramEnd"/>
      <w:r>
        <w:rPr>
          <w:rFonts w:hint="eastAsia"/>
        </w:rPr>
        <w:t>贷款贴息政策</w:t>
      </w:r>
    </w:p>
    <w:p w14:paraId="33F86221" w14:textId="77777777" w:rsidR="00287A59" w:rsidRDefault="00287A59">
      <w:pPr>
        <w:adjustRightInd w:val="0"/>
        <w:snapToGrid w:val="0"/>
        <w:spacing w:line="360" w:lineRule="auto"/>
        <w:rPr>
          <w:rFonts w:hint="eastAsia"/>
        </w:rPr>
      </w:pPr>
    </w:p>
    <w:p w14:paraId="5AD96214" w14:textId="77777777" w:rsidR="00287A59" w:rsidRDefault="00000000">
      <w:pPr>
        <w:widowControl w:val="0"/>
        <w:spacing w:line="360" w:lineRule="auto"/>
        <w:jc w:val="both"/>
        <w:rPr>
          <w:rFonts w:hint="eastAsia"/>
        </w:rPr>
      </w:pPr>
      <w:bookmarkStart w:id="14" w:name="_Hlk6545290"/>
      <w:bookmarkEnd w:id="13"/>
      <w:r>
        <w:rPr>
          <w:rFonts w:hint="eastAsia"/>
        </w:rPr>
        <w:t>【行业动态】</w:t>
      </w:r>
    </w:p>
    <w:p w14:paraId="60948E27" w14:textId="2FF521DB" w:rsidR="00287A59" w:rsidRDefault="00000000">
      <w:pPr>
        <w:spacing w:line="360" w:lineRule="auto"/>
        <w:rPr>
          <w:rFonts w:hint="eastAsia"/>
        </w:rPr>
      </w:pPr>
      <w:r>
        <w:rPr>
          <w:rFonts w:hint="eastAsia"/>
        </w:rPr>
        <w:t>●</w:t>
      </w:r>
      <w:r>
        <w:t>2025年化纤行业十大新闻</w:t>
      </w:r>
      <w:r>
        <w:rPr>
          <w:rFonts w:hint="eastAsia"/>
        </w:rPr>
        <w:t>发布</w:t>
      </w:r>
    </w:p>
    <w:p w14:paraId="3E1E55CB" w14:textId="77777777" w:rsidR="00287A59" w:rsidRDefault="00000000">
      <w:pPr>
        <w:spacing w:line="360" w:lineRule="auto"/>
        <w:rPr>
          <w:rFonts w:hint="eastAsia"/>
        </w:rPr>
      </w:pPr>
      <w:r>
        <w:rPr>
          <w:rFonts w:hint="eastAsia"/>
        </w:rPr>
        <w:t>--------</w:t>
      </w:r>
    </w:p>
    <w:p w14:paraId="2CCE2E9B" w14:textId="48203D07" w:rsidR="00287A59" w:rsidRDefault="00000000">
      <w:pPr>
        <w:spacing w:line="360" w:lineRule="auto"/>
        <w:rPr>
          <w:rFonts w:hint="eastAsia"/>
        </w:rPr>
      </w:pPr>
      <w:r>
        <w:rPr>
          <w:rFonts w:hint="eastAsia"/>
        </w:rPr>
        <w:t>1月16日，</w:t>
      </w:r>
      <w:r>
        <w:t>2025年化纤行业十大新闻</w:t>
      </w:r>
      <w:r>
        <w:rPr>
          <w:rFonts w:hint="eastAsia"/>
        </w:rPr>
        <w:t>发布。其中全球化纤界同仁共襄盛会；深化自律，护航化纤行业平稳运行；</w:t>
      </w:r>
      <w:proofErr w:type="gramStart"/>
      <w:r>
        <w:rPr>
          <w:rFonts w:hint="eastAsia"/>
        </w:rPr>
        <w:t>桐昆</w:t>
      </w:r>
      <w:proofErr w:type="gramEnd"/>
      <w:r>
        <w:rPr>
          <w:rFonts w:hint="eastAsia"/>
        </w:rPr>
        <w:t>-中国纤维流行趋势2025/2026</w:t>
      </w:r>
      <w:proofErr w:type="gramStart"/>
      <w:r>
        <w:rPr>
          <w:rFonts w:hint="eastAsia"/>
        </w:rPr>
        <w:t>质尚致</w:t>
      </w:r>
      <w:proofErr w:type="gramEnd"/>
      <w:r>
        <w:rPr>
          <w:rFonts w:hint="eastAsia"/>
        </w:rPr>
        <w:t>远；华峰千</w:t>
      </w:r>
      <w:proofErr w:type="gramStart"/>
      <w:r>
        <w:rPr>
          <w:rFonts w:hint="eastAsia"/>
        </w:rPr>
        <w:t>禧</w:t>
      </w:r>
      <w:proofErr w:type="gramEnd"/>
      <w:r>
        <w:rPr>
          <w:rFonts w:hint="eastAsia"/>
        </w:rPr>
        <w:t>-中国纤维品牌联动</w:t>
      </w:r>
      <w:proofErr w:type="gramStart"/>
      <w:r>
        <w:rPr>
          <w:rFonts w:hint="eastAsia"/>
        </w:rPr>
        <w:t>创享汇</w:t>
      </w:r>
      <w:proofErr w:type="gramEnd"/>
      <w:r>
        <w:rPr>
          <w:rFonts w:hint="eastAsia"/>
        </w:rPr>
        <w:t>共筑纤维品牌新高度；科技+智能驱动化纤创新谱新篇；化纤产业国际化合作迈入新阶段；两会化纤声音:聚焦新质生产力与绿色发展；莱赛尔纤维产业快速增长，上下游协同推动产业链高质量发展；2025yarnexpo纱线展:"</w:t>
      </w:r>
      <w:proofErr w:type="gramStart"/>
      <w:r>
        <w:rPr>
          <w:rFonts w:hint="eastAsia"/>
        </w:rPr>
        <w:t>纤</w:t>
      </w:r>
      <w:proofErr w:type="gramEnd"/>
      <w:r>
        <w:rPr>
          <w:rFonts w:hint="eastAsia"/>
        </w:rPr>
        <w:t>"引纺织高质发展；化纤行业“十五五”规划研究稳步推进等入选。</w:t>
      </w:r>
    </w:p>
    <w:p w14:paraId="7CDEAC53" w14:textId="77777777" w:rsidR="00287A59" w:rsidRDefault="00287A59">
      <w:pPr>
        <w:spacing w:line="360" w:lineRule="auto"/>
        <w:rPr>
          <w:rFonts w:hint="eastAsia"/>
        </w:rPr>
      </w:pPr>
    </w:p>
    <w:p w14:paraId="0585D8F4" w14:textId="77777777" w:rsidR="00287A59" w:rsidRDefault="00000000">
      <w:pPr>
        <w:widowControl w:val="0"/>
        <w:spacing w:line="360" w:lineRule="auto"/>
        <w:jc w:val="both"/>
        <w:rPr>
          <w:rFonts w:hint="eastAsia"/>
        </w:rPr>
      </w:pPr>
      <w:r>
        <w:rPr>
          <w:rFonts w:hint="eastAsia"/>
        </w:rPr>
        <w:t>●中国化纤协会发布“</w:t>
      </w:r>
      <w:r>
        <w:t>推动超高分子量聚乙烯纤维行业高质量发展倡议书</w:t>
      </w:r>
      <w:r>
        <w:rPr>
          <w:rFonts w:hint="eastAsia"/>
        </w:rPr>
        <w:t>”</w:t>
      </w:r>
    </w:p>
    <w:p w14:paraId="7AE0B239" w14:textId="77777777" w:rsidR="00287A59" w:rsidRDefault="00000000">
      <w:pPr>
        <w:adjustRightInd w:val="0"/>
        <w:snapToGrid w:val="0"/>
        <w:spacing w:line="360" w:lineRule="auto"/>
        <w:rPr>
          <w:rFonts w:hint="eastAsia"/>
        </w:rPr>
      </w:pPr>
      <w:r>
        <w:rPr>
          <w:rFonts w:hint="eastAsia"/>
        </w:rPr>
        <w:t>--------</w:t>
      </w:r>
    </w:p>
    <w:p w14:paraId="19222DA5" w14:textId="17D20246" w:rsidR="00287A59" w:rsidRDefault="00000000">
      <w:pPr>
        <w:spacing w:line="360" w:lineRule="auto"/>
        <w:rPr>
          <w:rFonts w:hint="eastAsia"/>
        </w:rPr>
      </w:pPr>
      <w:r>
        <w:rPr>
          <w:rFonts w:hint="eastAsia"/>
        </w:rPr>
        <w:t>为贯彻落实2025年中央经济工作会议精神，合力推动超高分子量聚乙烯纤维行业高质量发展，中国化纤协会联合九州星际、</w:t>
      </w:r>
      <w:proofErr w:type="gramStart"/>
      <w:r>
        <w:rPr>
          <w:rFonts w:hint="eastAsia"/>
        </w:rPr>
        <w:t>神鹤科技</w:t>
      </w:r>
      <w:proofErr w:type="gramEnd"/>
      <w:r>
        <w:rPr>
          <w:rFonts w:hint="eastAsia"/>
        </w:rPr>
        <w:t>、仪征化纤、北京同益中、浙江千</w:t>
      </w:r>
      <w:proofErr w:type="gramStart"/>
      <w:r>
        <w:rPr>
          <w:rFonts w:hint="eastAsia"/>
        </w:rPr>
        <w:t>禧</w:t>
      </w:r>
      <w:proofErr w:type="gramEnd"/>
      <w:r>
        <w:rPr>
          <w:rFonts w:hint="eastAsia"/>
        </w:rPr>
        <w:t>龙</w:t>
      </w:r>
      <w:proofErr w:type="gramStart"/>
      <w:r>
        <w:rPr>
          <w:rFonts w:hint="eastAsia"/>
        </w:rPr>
        <w:t>纤</w:t>
      </w:r>
      <w:proofErr w:type="gramEnd"/>
      <w:r>
        <w:rPr>
          <w:rFonts w:hint="eastAsia"/>
        </w:rPr>
        <w:t>、</w:t>
      </w:r>
      <w:proofErr w:type="gramStart"/>
      <w:r>
        <w:rPr>
          <w:rFonts w:hint="eastAsia"/>
        </w:rPr>
        <w:t>连云港神特新材料</w:t>
      </w:r>
      <w:proofErr w:type="gramEnd"/>
      <w:r>
        <w:rPr>
          <w:rFonts w:hint="eastAsia"/>
        </w:rPr>
        <w:t>、江苏璟</w:t>
      </w:r>
      <w:proofErr w:type="gramStart"/>
      <w:r>
        <w:rPr>
          <w:rFonts w:hint="eastAsia"/>
        </w:rPr>
        <w:t>邦</w:t>
      </w:r>
      <w:proofErr w:type="gramEnd"/>
      <w:r>
        <w:rPr>
          <w:rFonts w:hint="eastAsia"/>
        </w:rPr>
        <w:t>、山东星宇、湖南中泰、南通强生、南山智尚等重点企业，针对当前超高分子量聚乙烯纤维行业实际情况，倡议行业内各企业要树立大局观和长远眼光，坚持合作共赢理念，加强交流与合作，合力推动行业高质量发展。倡议书全文</w:t>
      </w:r>
      <w:proofErr w:type="gramStart"/>
      <w:r>
        <w:rPr>
          <w:rFonts w:hint="eastAsia"/>
        </w:rPr>
        <w:t>见协会网站和微信公众号</w:t>
      </w:r>
      <w:proofErr w:type="gramEnd"/>
      <w:r>
        <w:rPr>
          <w:rFonts w:hint="eastAsia"/>
        </w:rPr>
        <w:t>。</w:t>
      </w:r>
    </w:p>
    <w:p w14:paraId="4F3DCD03" w14:textId="77777777" w:rsidR="00287A59" w:rsidRDefault="00287A59">
      <w:pPr>
        <w:widowControl w:val="0"/>
        <w:spacing w:line="360" w:lineRule="auto"/>
        <w:jc w:val="both"/>
        <w:rPr>
          <w:rFonts w:hint="eastAsia"/>
        </w:rPr>
      </w:pPr>
    </w:p>
    <w:p w14:paraId="10EEBD2A" w14:textId="77777777" w:rsidR="00287A59" w:rsidRDefault="00000000">
      <w:pPr>
        <w:spacing w:line="360" w:lineRule="auto"/>
        <w:rPr>
          <w:rFonts w:hint="eastAsia"/>
        </w:rPr>
      </w:pPr>
      <w:r>
        <w:rPr>
          <w:rFonts w:hint="eastAsia"/>
        </w:rPr>
        <w:t>●</w:t>
      </w:r>
      <w:r>
        <w:rPr>
          <w:rFonts w:asciiTheme="minorEastAsia" w:eastAsiaTheme="minorEastAsia" w:hAnsiTheme="minorEastAsia" w:hint="eastAsia"/>
        </w:rPr>
        <w:t>赛得利-纤维空中大讲堂第十季：再生纤维素纤维行业年度话题之夜</w:t>
      </w:r>
    </w:p>
    <w:p w14:paraId="31DBBC44" w14:textId="77777777" w:rsidR="00287A59" w:rsidRDefault="00000000">
      <w:pPr>
        <w:adjustRightInd w:val="0"/>
        <w:snapToGrid w:val="0"/>
        <w:spacing w:line="360" w:lineRule="auto"/>
        <w:rPr>
          <w:rFonts w:hint="eastAsia"/>
        </w:rPr>
      </w:pPr>
      <w:r>
        <w:rPr>
          <w:rFonts w:hint="eastAsia"/>
        </w:rPr>
        <w:t xml:space="preserve">-------- </w:t>
      </w:r>
    </w:p>
    <w:p w14:paraId="55D24588" w14:textId="77777777" w:rsidR="00287A59"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纤维素纤维行业在2025年受到了行业内外的广泛关注，莱赛尔纤维产业快速增长，</w:t>
      </w:r>
      <w:proofErr w:type="gramStart"/>
      <w:r>
        <w:rPr>
          <w:rFonts w:asciiTheme="minorEastAsia" w:eastAsiaTheme="minorEastAsia" w:hAnsiTheme="minorEastAsia" w:hint="eastAsia"/>
        </w:rPr>
        <w:t>业内多项</w:t>
      </w:r>
      <w:proofErr w:type="gramEnd"/>
      <w:r>
        <w:rPr>
          <w:rFonts w:asciiTheme="minorEastAsia" w:eastAsiaTheme="minorEastAsia" w:hAnsiTheme="minorEastAsia" w:hint="eastAsia"/>
        </w:rPr>
        <w:t>热点话题聚焦在纤维素纤维行业，在岁末年初之际，赛得利-纤维空中大讲堂在众多热点话题中精选了包括再生纤维素纤维行业政策导向与绿色</w:t>
      </w:r>
      <w:r>
        <w:rPr>
          <w:rFonts w:asciiTheme="minorEastAsia" w:eastAsiaTheme="minorEastAsia" w:hAnsiTheme="minorEastAsia" w:hint="eastAsia"/>
        </w:rPr>
        <w:lastRenderedPageBreak/>
        <w:t>转型思考、莱赛尔产能扩张与市场格局展望、产业链上下游协同创新实践及高品质莱赛尔纤维产业链（优品</w:t>
      </w:r>
      <w:proofErr w:type="gramStart"/>
      <w:r>
        <w:rPr>
          <w:rFonts w:asciiTheme="minorEastAsia" w:eastAsiaTheme="minorEastAsia" w:hAnsiTheme="minorEastAsia" w:hint="eastAsia"/>
        </w:rPr>
        <w:t>纤</w:t>
      </w:r>
      <w:proofErr w:type="gramEnd"/>
      <w:r>
        <w:rPr>
          <w:rFonts w:asciiTheme="minorEastAsia" w:eastAsiaTheme="minorEastAsia" w:hAnsiTheme="minorEastAsia" w:hint="eastAsia"/>
        </w:rPr>
        <w:t>选）</w:t>
      </w:r>
      <w:proofErr w:type="gramStart"/>
      <w:r>
        <w:rPr>
          <w:rFonts w:asciiTheme="minorEastAsia" w:eastAsiaTheme="minorEastAsia" w:hAnsiTheme="minorEastAsia" w:hint="eastAsia"/>
        </w:rPr>
        <w:t>构建愿景三个</w:t>
      </w:r>
      <w:proofErr w:type="gramEnd"/>
      <w:r>
        <w:rPr>
          <w:rFonts w:asciiTheme="minorEastAsia" w:eastAsiaTheme="minorEastAsia" w:hAnsiTheme="minorEastAsia" w:hint="eastAsia"/>
        </w:rPr>
        <w:t>代表性话题，并邀请来自行业协会、分析机构与企业代表所组成的业内专家团队在线上通过“年度话题之夜”的方式与大家分享。如果您也关注纤维素纤维行业发展的趋势动态，请不要错过今晚19：40开始的线上访谈活动（19：40-20：00为课前点映环节）。欢迎大家关注中国化纤协会</w:t>
      </w:r>
      <w:proofErr w:type="gramStart"/>
      <w:r>
        <w:rPr>
          <w:rFonts w:asciiTheme="minorEastAsia" w:eastAsiaTheme="minorEastAsia" w:hAnsiTheme="minorEastAsia" w:hint="eastAsia"/>
        </w:rPr>
        <w:t>微信公众号获得</w:t>
      </w:r>
      <w:proofErr w:type="gramEnd"/>
      <w:r>
        <w:rPr>
          <w:rFonts w:asciiTheme="minorEastAsia" w:eastAsiaTheme="minorEastAsia" w:hAnsiTheme="minorEastAsia" w:hint="eastAsia"/>
        </w:rPr>
        <w:t>更多课程最新信息，并通过协会</w:t>
      </w:r>
      <w:proofErr w:type="gramStart"/>
      <w:r>
        <w:rPr>
          <w:rFonts w:asciiTheme="minorEastAsia" w:eastAsiaTheme="minorEastAsia" w:hAnsiTheme="minorEastAsia" w:hint="eastAsia"/>
        </w:rPr>
        <w:t>微信视频</w:t>
      </w:r>
      <w:proofErr w:type="gramEnd"/>
      <w:r>
        <w:rPr>
          <w:rFonts w:asciiTheme="minorEastAsia" w:eastAsiaTheme="minorEastAsia" w:hAnsiTheme="minorEastAsia" w:hint="eastAsia"/>
        </w:rPr>
        <w:t>号及纤维新</w:t>
      </w:r>
      <w:proofErr w:type="gramStart"/>
      <w:r>
        <w:rPr>
          <w:rFonts w:asciiTheme="minorEastAsia" w:eastAsiaTheme="minorEastAsia" w:hAnsiTheme="minorEastAsia" w:hint="eastAsia"/>
        </w:rPr>
        <w:t>视界微信小</w:t>
      </w:r>
      <w:proofErr w:type="gramEnd"/>
      <w:r>
        <w:rPr>
          <w:rFonts w:asciiTheme="minorEastAsia" w:eastAsiaTheme="minorEastAsia" w:hAnsiTheme="minorEastAsia" w:hint="eastAsia"/>
        </w:rPr>
        <w:t>程序在线收看直播。</w:t>
      </w:r>
    </w:p>
    <w:p w14:paraId="7EC26185" w14:textId="77777777" w:rsidR="00287A59" w:rsidRDefault="00287A59">
      <w:pPr>
        <w:spacing w:line="360" w:lineRule="auto"/>
        <w:rPr>
          <w:rFonts w:hint="eastAsia"/>
        </w:rPr>
      </w:pPr>
    </w:p>
    <w:p w14:paraId="022439D6" w14:textId="77777777" w:rsidR="00287A59" w:rsidRDefault="00000000">
      <w:pPr>
        <w:spacing w:line="360" w:lineRule="auto"/>
        <w:rPr>
          <w:rFonts w:hint="eastAsia"/>
        </w:rPr>
      </w:pPr>
      <w:r>
        <w:rPr>
          <w:rFonts w:hint="eastAsia"/>
        </w:rPr>
        <w:t>●</w:t>
      </w:r>
      <w:r>
        <w:t>华峰重庆氨纶获评 “灯塔工厂”</w:t>
      </w:r>
    </w:p>
    <w:p w14:paraId="42CB6670" w14:textId="77777777" w:rsidR="00287A59" w:rsidRDefault="00000000">
      <w:pPr>
        <w:adjustRightInd w:val="0"/>
        <w:snapToGrid w:val="0"/>
        <w:spacing w:line="360" w:lineRule="auto"/>
        <w:rPr>
          <w:rFonts w:hint="eastAsia"/>
        </w:rPr>
      </w:pPr>
      <w:r>
        <w:rPr>
          <w:rFonts w:hint="eastAsia"/>
        </w:rPr>
        <w:t>--------</w:t>
      </w:r>
    </w:p>
    <w:p w14:paraId="1025AA2A" w14:textId="77777777" w:rsidR="00287A59" w:rsidRDefault="00000000">
      <w:pPr>
        <w:spacing w:line="360" w:lineRule="auto"/>
        <w:rPr>
          <w:rFonts w:hint="eastAsia"/>
        </w:rPr>
      </w:pPr>
      <w:r>
        <w:rPr>
          <w:rFonts w:hint="eastAsia"/>
        </w:rPr>
        <w:t>1月15日，世界经济论坛发布新一批“灯塔工厂”名单，华峰重庆氨纶成为全球化纤行业的首座“灯塔工厂”，跻身全球领先行列。华峰重庆氨纶在技术端，攻克了大容量氨纶低耗节能绿色制造技术和创制多头多孔高速高密度氨纶纺丝关键技术，突破了大容量高稳定性聚氨酯聚合关键技术；在生产端，部署了涵盖AI工艺控制、机器视觉、数字</w:t>
      </w:r>
      <w:proofErr w:type="gramStart"/>
      <w:r>
        <w:rPr>
          <w:rFonts w:hint="eastAsia"/>
        </w:rPr>
        <w:t>孪生等</w:t>
      </w:r>
      <w:proofErr w:type="gramEnd"/>
      <w:r>
        <w:rPr>
          <w:rFonts w:hint="eastAsia"/>
        </w:rPr>
        <w:t>在内的62项前沿技术；在管理端，搭建统一数据中台，打通各系统壁垒，并利用大数据精准预测市场，优化排产。据悉，“灯塔工厂”旨在表彰在全球制造业中率先应用第四次工业革命技术、实现生产效率与可持续性双重突破的领军企业。</w:t>
      </w:r>
    </w:p>
    <w:p w14:paraId="0FFDBEB7" w14:textId="77777777" w:rsidR="00287A59" w:rsidRDefault="00287A59">
      <w:pPr>
        <w:spacing w:line="360" w:lineRule="auto"/>
        <w:rPr>
          <w:rFonts w:hint="eastAsia"/>
        </w:rPr>
      </w:pPr>
    </w:p>
    <w:p w14:paraId="148A2177" w14:textId="77777777" w:rsidR="00287A59" w:rsidRDefault="00000000">
      <w:pPr>
        <w:spacing w:line="360" w:lineRule="auto"/>
        <w:rPr>
          <w:rFonts w:hint="eastAsia"/>
        </w:rPr>
      </w:pPr>
      <w:r>
        <w:rPr>
          <w:rFonts w:hint="eastAsia"/>
        </w:rPr>
        <w:t>●“高性能超高分子量聚乙烯纤维生产成套装备”项目通过科技成果鉴定</w:t>
      </w:r>
    </w:p>
    <w:p w14:paraId="12328170" w14:textId="77777777" w:rsidR="00287A59" w:rsidRDefault="00000000">
      <w:pPr>
        <w:spacing w:line="360" w:lineRule="auto"/>
        <w:rPr>
          <w:rFonts w:hint="eastAsia"/>
        </w:rPr>
      </w:pPr>
      <w:r>
        <w:rPr>
          <w:rFonts w:hint="eastAsia"/>
        </w:rPr>
        <w:t>--------</w:t>
      </w:r>
    </w:p>
    <w:p w14:paraId="369C69CC" w14:textId="77777777" w:rsidR="00287A59" w:rsidRDefault="00000000">
      <w:pPr>
        <w:spacing w:line="360" w:lineRule="auto"/>
        <w:rPr>
          <w:rFonts w:hint="eastAsia"/>
        </w:rPr>
      </w:pPr>
      <w:r>
        <w:rPr>
          <w:rFonts w:hint="eastAsia"/>
        </w:rPr>
        <w:t>1月9日，受中国纺联委托，中国纺机协会组织召开了由江苏九州星际、浙江理工大学、</w:t>
      </w:r>
      <w:proofErr w:type="gramStart"/>
      <w:r>
        <w:rPr>
          <w:rFonts w:hint="eastAsia"/>
        </w:rPr>
        <w:t>神鹤科技</w:t>
      </w:r>
      <w:proofErr w:type="gramEnd"/>
      <w:r>
        <w:rPr>
          <w:rFonts w:hint="eastAsia"/>
        </w:rPr>
        <w:t>、九州星际、江苏九州星际高性能纤维联合承担的“高性能超高分子量聚乙烯纤维生产成套装备”项目科技成果鉴定会。鉴定委员会听取了项目的技术总结报告、查新报告和检测报告等汇报，考察了生产现场，审阅了项目鉴定资料，经质询和讨论后，认为该项目整体技术达到国际先进水平。鉴定委员会专家一致同意通过科技成果鉴定，建议进一步加快推广应用。</w:t>
      </w:r>
    </w:p>
    <w:p w14:paraId="29939539" w14:textId="77777777" w:rsidR="00287A59" w:rsidRDefault="00287A59">
      <w:pPr>
        <w:spacing w:line="360" w:lineRule="auto"/>
        <w:rPr>
          <w:rFonts w:hint="eastAsia"/>
        </w:rPr>
      </w:pPr>
    </w:p>
    <w:p w14:paraId="1DD06494" w14:textId="77777777" w:rsidR="00287A59" w:rsidRDefault="00000000">
      <w:pPr>
        <w:spacing w:line="360" w:lineRule="auto"/>
        <w:rPr>
          <w:rFonts w:hint="eastAsia"/>
        </w:rPr>
      </w:pPr>
      <w:r>
        <w:rPr>
          <w:rFonts w:hint="eastAsia"/>
        </w:rPr>
        <w:t>【宏观财经】</w:t>
      </w:r>
    </w:p>
    <w:p w14:paraId="5EAF566F" w14:textId="77777777" w:rsidR="00287A59" w:rsidRDefault="00000000">
      <w:pPr>
        <w:spacing w:line="360" w:lineRule="auto"/>
        <w:rPr>
          <w:rFonts w:hint="eastAsia"/>
        </w:rPr>
      </w:pPr>
      <w:r>
        <w:rPr>
          <w:rFonts w:hint="eastAsia"/>
        </w:rPr>
        <w:lastRenderedPageBreak/>
        <w:t>●财政部等五部门：实施中小</w:t>
      </w:r>
      <w:proofErr w:type="gramStart"/>
      <w:r>
        <w:rPr>
          <w:rFonts w:hint="eastAsia"/>
        </w:rPr>
        <w:t>微企业</w:t>
      </w:r>
      <w:proofErr w:type="gramEnd"/>
      <w:r>
        <w:rPr>
          <w:rFonts w:hint="eastAsia"/>
        </w:rPr>
        <w:t>贷款贴息政策</w:t>
      </w:r>
    </w:p>
    <w:p w14:paraId="0793C3E8" w14:textId="77777777" w:rsidR="00287A59" w:rsidRDefault="00000000">
      <w:pPr>
        <w:spacing w:line="360" w:lineRule="auto"/>
        <w:rPr>
          <w:rFonts w:hint="eastAsia"/>
        </w:rPr>
      </w:pPr>
      <w:r>
        <w:rPr>
          <w:rFonts w:hint="eastAsia"/>
        </w:rPr>
        <w:t>--------</w:t>
      </w:r>
    </w:p>
    <w:p w14:paraId="4ACF5E1E" w14:textId="77777777" w:rsidR="00287A59" w:rsidRDefault="00000000">
      <w:pPr>
        <w:spacing w:line="360" w:lineRule="auto"/>
        <w:rPr>
          <w:rFonts w:hint="eastAsia"/>
        </w:rPr>
      </w:pPr>
      <w:r>
        <w:rPr>
          <w:rFonts w:hint="eastAsia"/>
        </w:rPr>
        <w:t>1月20日，财政部、国家发展改革委、工信部、中国人民银行、金融监管总局发布《关于实施中小微企业贷款贴息政策的通知》。通知指出，对2026年1月1日起经办银行发放的、符合条件的中小微民营企业固定资产贷款和中小微民营企业参与项目使用的新型政策性金融工具资金，中央财政按照贷款本金</w:t>
      </w:r>
      <w:proofErr w:type="gramStart"/>
      <w:r>
        <w:rPr>
          <w:rFonts w:hint="eastAsia"/>
        </w:rPr>
        <w:t>给予年化</w:t>
      </w:r>
      <w:proofErr w:type="gramEnd"/>
      <w:r>
        <w:rPr>
          <w:rFonts w:hint="eastAsia"/>
        </w:rPr>
        <w:t>1.5个百分点、期限不超过2年的贴息支持，单户贴息贷款规模上限5000万元。政策实施期限暂定1年，后续可视情延长。同一笔贷款不得重复享受中央财政其他贴息政策。</w:t>
      </w:r>
    </w:p>
    <w:p w14:paraId="105A7FA4" w14:textId="77777777" w:rsidR="00287A59" w:rsidRDefault="00287A59">
      <w:pPr>
        <w:spacing w:line="360" w:lineRule="auto"/>
        <w:rPr>
          <w:rFonts w:hint="eastAsia"/>
        </w:rPr>
      </w:pPr>
    </w:p>
    <w:p w14:paraId="7ADF68C7" w14:textId="77777777" w:rsidR="00287A59" w:rsidRDefault="00000000">
      <w:pPr>
        <w:spacing w:line="360" w:lineRule="auto"/>
        <w:rPr>
          <w:rFonts w:hint="eastAsia"/>
        </w:rPr>
      </w:pPr>
      <w:r>
        <w:rPr>
          <w:rFonts w:hint="eastAsia"/>
        </w:rPr>
        <w:t>●</w:t>
      </w:r>
      <w:r>
        <w:t>国务院常务会研究促消费举措</w:t>
      </w:r>
    </w:p>
    <w:p w14:paraId="67C38EF4" w14:textId="77777777" w:rsidR="00287A59" w:rsidRDefault="00000000">
      <w:pPr>
        <w:spacing w:line="360" w:lineRule="auto"/>
        <w:rPr>
          <w:rFonts w:hint="eastAsia"/>
        </w:rPr>
      </w:pPr>
      <w:r>
        <w:rPr>
          <w:rFonts w:hint="eastAsia"/>
        </w:rPr>
        <w:t>--------</w:t>
      </w:r>
    </w:p>
    <w:p w14:paraId="54501FCC" w14:textId="5C55D1DF" w:rsidR="00287A59" w:rsidRDefault="00000000">
      <w:pPr>
        <w:spacing w:line="360" w:lineRule="auto"/>
        <w:rPr>
          <w:rFonts w:hint="eastAsia"/>
        </w:rPr>
      </w:pPr>
      <w:r>
        <w:rPr>
          <w:rFonts w:hint="eastAsia"/>
        </w:rPr>
        <w:t>1月16日召开</w:t>
      </w:r>
      <w:r>
        <w:t>国务院常务会</w:t>
      </w:r>
      <w:r>
        <w:rPr>
          <w:rFonts w:hint="eastAsia"/>
        </w:rPr>
        <w:t>。会议指出，去年开展提</w:t>
      </w:r>
      <w:proofErr w:type="gramStart"/>
      <w:r>
        <w:rPr>
          <w:rFonts w:hint="eastAsia"/>
        </w:rPr>
        <w:t>振消费</w:t>
      </w:r>
      <w:proofErr w:type="gramEnd"/>
      <w:r>
        <w:rPr>
          <w:rFonts w:hint="eastAsia"/>
        </w:rPr>
        <w:t>专项行动以来，各地区各部门持续</w:t>
      </w:r>
      <w:proofErr w:type="gramStart"/>
      <w:r>
        <w:rPr>
          <w:rFonts w:hint="eastAsia"/>
        </w:rPr>
        <w:t>用力抓好</w:t>
      </w:r>
      <w:proofErr w:type="gramEnd"/>
      <w:r>
        <w:rPr>
          <w:rFonts w:hint="eastAsia"/>
        </w:rPr>
        <w:t>政策落实，取得积极成效。要深入实施提</w:t>
      </w:r>
      <w:proofErr w:type="gramStart"/>
      <w:r>
        <w:rPr>
          <w:rFonts w:hint="eastAsia"/>
        </w:rPr>
        <w:t>振消费</w:t>
      </w:r>
      <w:proofErr w:type="gramEnd"/>
      <w:r>
        <w:rPr>
          <w:rFonts w:hint="eastAsia"/>
        </w:rPr>
        <w:t>专项行动，充分释放各项政策集成效应，推动惠民生和</w:t>
      </w:r>
      <w:proofErr w:type="gramStart"/>
      <w:r>
        <w:rPr>
          <w:rFonts w:hint="eastAsia"/>
        </w:rPr>
        <w:t>促消费</w:t>
      </w:r>
      <w:proofErr w:type="gramEnd"/>
      <w:r>
        <w:rPr>
          <w:rFonts w:hint="eastAsia"/>
        </w:rPr>
        <w:t>紧密结合，有效增强居民消费内生动力，充分发挥消费拉动经济增长的基础性作用。要加快培育服务消费新增长点，支持新</w:t>
      </w:r>
      <w:proofErr w:type="gramStart"/>
      <w:r>
        <w:rPr>
          <w:rFonts w:hint="eastAsia"/>
        </w:rPr>
        <w:t>业态新模式</w:t>
      </w:r>
      <w:proofErr w:type="gramEnd"/>
      <w:r>
        <w:rPr>
          <w:rFonts w:hint="eastAsia"/>
        </w:rPr>
        <w:t>新场景竞相涌现，增加优质服务供给，解决好信用、标准、安全管理等问题，促进服务消费提质惠民。要完善促消费长效机制，制定和实施好扩大消费“十五五”规划、城乡居民增收计划，加快清理消费领域不合理限制，落实带薪休假制度，促进消费能力和消费意愿持续提升、消费结构和产业结构联动升级，加快建设强大国内市场。</w:t>
      </w:r>
    </w:p>
    <w:p w14:paraId="20E0CA4D" w14:textId="77777777" w:rsidR="00287A59" w:rsidRDefault="00287A59">
      <w:pPr>
        <w:spacing w:line="360" w:lineRule="auto"/>
        <w:rPr>
          <w:rFonts w:hint="eastAsia"/>
        </w:rPr>
      </w:pPr>
    </w:p>
    <w:p w14:paraId="6ABDA2BE" w14:textId="77777777" w:rsidR="00287A59" w:rsidRDefault="00000000">
      <w:pPr>
        <w:spacing w:line="360" w:lineRule="auto"/>
        <w:rPr>
          <w:rFonts w:hint="eastAsia"/>
        </w:rPr>
      </w:pPr>
      <w:r>
        <w:rPr>
          <w:rFonts w:hint="eastAsia"/>
        </w:rPr>
        <w:t>【科技前沿】</w:t>
      </w:r>
    </w:p>
    <w:p w14:paraId="08194AC3" w14:textId="77777777" w:rsidR="00287A59" w:rsidRDefault="00000000">
      <w:pPr>
        <w:spacing w:line="360" w:lineRule="auto"/>
        <w:rPr>
          <w:rFonts w:hint="eastAsia"/>
        </w:rPr>
      </w:pPr>
      <w:r>
        <w:rPr>
          <w:rFonts w:hint="eastAsia"/>
        </w:rPr>
        <w:t>●</w:t>
      </w:r>
      <w:r>
        <w:t>复旦大学科研团队在纤维内实现大规模集成电路</w:t>
      </w:r>
    </w:p>
    <w:p w14:paraId="4D55D85B" w14:textId="77777777" w:rsidR="00287A59" w:rsidRDefault="00000000">
      <w:pPr>
        <w:widowControl w:val="0"/>
        <w:spacing w:line="360" w:lineRule="auto"/>
        <w:jc w:val="both"/>
        <w:rPr>
          <w:rFonts w:hint="eastAsia"/>
        </w:rPr>
      </w:pPr>
      <w:r>
        <w:t>--------</w:t>
      </w:r>
    </w:p>
    <w:p w14:paraId="7159F9C4" w14:textId="77777777" w:rsidR="00287A59" w:rsidRDefault="00000000">
      <w:pPr>
        <w:spacing w:line="360" w:lineRule="auto"/>
        <w:rPr>
          <w:rFonts w:hint="eastAsia"/>
        </w:rPr>
      </w:pPr>
      <w:r>
        <w:rPr>
          <w:rFonts w:hint="eastAsia"/>
        </w:rPr>
        <w:t>1月21日，复旦大学彭慧胜/</w:t>
      </w:r>
      <w:proofErr w:type="gramStart"/>
      <w:r>
        <w:rPr>
          <w:rFonts w:hint="eastAsia"/>
        </w:rPr>
        <w:t>陈培宁团队</w:t>
      </w:r>
      <w:proofErr w:type="gramEnd"/>
      <w:r>
        <w:rPr>
          <w:rFonts w:hint="eastAsia"/>
        </w:rPr>
        <w:t>在《自然》主刊（Nature）发表《基于多层旋叠架构的纤维集成电路》论文。复旦大学彭慧胜/</w:t>
      </w:r>
      <w:proofErr w:type="gramStart"/>
      <w:r>
        <w:rPr>
          <w:rFonts w:hint="eastAsia"/>
        </w:rPr>
        <w:t>陈培宁团队</w:t>
      </w:r>
      <w:proofErr w:type="gramEnd"/>
      <w:r>
        <w:rPr>
          <w:rFonts w:hint="eastAsia"/>
        </w:rPr>
        <w:t>跳出传统芯片集成电路硅基研究范式，建立</w:t>
      </w:r>
      <w:proofErr w:type="gramStart"/>
      <w:r>
        <w:rPr>
          <w:rFonts w:hint="eastAsia"/>
        </w:rPr>
        <w:t>多层旋叠架构</w:t>
      </w:r>
      <w:proofErr w:type="gramEnd"/>
      <w:r>
        <w:rPr>
          <w:rFonts w:hint="eastAsia"/>
        </w:rPr>
        <w:t>设计思想，在弹性高分子纤维内实现了大规模集成电路（简称“纤维芯片”）。“纤维芯片”信息处理能力</w:t>
      </w:r>
      <w:r>
        <w:rPr>
          <w:rFonts w:hint="eastAsia"/>
        </w:rPr>
        <w:lastRenderedPageBreak/>
        <w:t>与一些经典商业芯片相当，且具有高度柔软、适应拉伸扭曲等复杂形变、可编织等独特优势，有望为</w:t>
      </w:r>
      <w:proofErr w:type="gramStart"/>
      <w:r>
        <w:rPr>
          <w:rFonts w:hint="eastAsia"/>
        </w:rPr>
        <w:t>脑机接口</w:t>
      </w:r>
      <w:proofErr w:type="gramEnd"/>
      <w:r>
        <w:rPr>
          <w:rFonts w:hint="eastAsia"/>
        </w:rPr>
        <w:t>、电子织物、虚拟现实等新兴产业变革发展提供关键支撑。</w:t>
      </w:r>
    </w:p>
    <w:p w14:paraId="23CFC4D3" w14:textId="77777777" w:rsidR="00287A59" w:rsidRDefault="00287A59">
      <w:pPr>
        <w:spacing w:line="360" w:lineRule="auto"/>
        <w:rPr>
          <w:rFonts w:hint="eastAsia"/>
        </w:rPr>
      </w:pPr>
    </w:p>
    <w:p w14:paraId="74BE866D" w14:textId="77777777" w:rsidR="00287A59" w:rsidRDefault="00000000">
      <w:pPr>
        <w:spacing w:line="360" w:lineRule="auto"/>
        <w:jc w:val="both"/>
        <w:rPr>
          <w:rFonts w:hint="eastAsia"/>
        </w:rPr>
      </w:pPr>
      <w:bookmarkStart w:id="15" w:name="_Hlk6545358"/>
      <w:bookmarkEnd w:id="14"/>
      <w:r>
        <w:rPr>
          <w:rFonts w:hint="eastAsia"/>
        </w:rPr>
        <w:t>【卓越读书会】</w:t>
      </w:r>
    </w:p>
    <w:p w14:paraId="4C37F124" w14:textId="77777777" w:rsidR="00287A59" w:rsidRDefault="00000000">
      <w:pPr>
        <w:spacing w:line="360" w:lineRule="auto"/>
        <w:rPr>
          <w:rFonts w:ascii="Times New Roman" w:hAnsi="Times New Roman" w:cs="Times New Roman"/>
        </w:rPr>
      </w:pPr>
      <w:r>
        <w:rPr>
          <w:rFonts w:ascii="Times New Roman" w:hAnsi="Times New Roman" w:cs="Times New Roman" w:hint="eastAsia"/>
        </w:rPr>
        <w:t>人工智能并没有再造很多行业的生产工艺和流程，它只是在很多流程中再造了效率和质量评判能力。</w:t>
      </w:r>
    </w:p>
    <w:p w14:paraId="192AE180" w14:textId="77777777" w:rsidR="00287A59" w:rsidRDefault="00000000">
      <w:pPr>
        <w:spacing w:line="360" w:lineRule="auto"/>
        <w:rPr>
          <w:rFonts w:ascii="Times New Roman" w:hAnsi="Times New Roman" w:cs="Times New Roman"/>
        </w:rPr>
      </w:pPr>
      <w:r>
        <w:rPr>
          <w:rFonts w:hint="eastAsia"/>
        </w:rPr>
        <w:t>-------吴晓波：“AI闪耀中国”2025（年度演讲）</w:t>
      </w:r>
    </w:p>
    <w:p w14:paraId="1D19A2CD" w14:textId="77777777" w:rsidR="00287A59" w:rsidRDefault="00287A59">
      <w:pPr>
        <w:spacing w:line="360" w:lineRule="auto"/>
        <w:rPr>
          <w:rFonts w:hint="eastAsia"/>
        </w:rPr>
      </w:pPr>
    </w:p>
    <w:p w14:paraId="7B8747E5" w14:textId="77777777" w:rsidR="00287A59" w:rsidRDefault="00000000">
      <w:pPr>
        <w:widowControl w:val="0"/>
        <w:spacing w:line="360" w:lineRule="auto"/>
        <w:jc w:val="both"/>
        <w:rPr>
          <w:rFonts w:hint="eastAsia"/>
        </w:rPr>
      </w:pPr>
      <w:r>
        <w:rPr>
          <w:rFonts w:hint="eastAsia"/>
        </w:rPr>
        <w:t>【市场快讯】</w:t>
      </w:r>
    </w:p>
    <w:p w14:paraId="0FDE0997" w14:textId="77777777" w:rsidR="00287A59" w:rsidRDefault="00000000">
      <w:pPr>
        <w:spacing w:line="360" w:lineRule="auto"/>
        <w:jc w:val="both"/>
        <w:rPr>
          <w:rFonts w:hint="eastAsia"/>
        </w:rPr>
      </w:pPr>
      <w:r>
        <w:rPr>
          <w:rFonts w:hint="eastAsia"/>
        </w:rPr>
        <w:t>●有光长丝牛津布</w:t>
      </w:r>
    </w:p>
    <w:p w14:paraId="5422A0D3" w14:textId="77777777" w:rsidR="00287A59" w:rsidRDefault="00000000">
      <w:pPr>
        <w:widowControl w:val="0"/>
        <w:spacing w:line="360" w:lineRule="auto"/>
        <w:jc w:val="both"/>
        <w:rPr>
          <w:rFonts w:hint="eastAsia"/>
        </w:rPr>
      </w:pPr>
      <w:r>
        <w:t>--------</w:t>
      </w:r>
    </w:p>
    <w:p w14:paraId="4F80969E" w14:textId="63614209" w:rsidR="00287A59" w:rsidRDefault="00000000">
      <w:pPr>
        <w:spacing w:line="360" w:lineRule="auto"/>
        <w:jc w:val="both"/>
        <w:rPr>
          <w:rFonts w:hint="eastAsia"/>
        </w:rPr>
      </w:pPr>
      <w:r>
        <w:rPr>
          <w:rFonts w:hint="eastAsia"/>
        </w:rPr>
        <w:t>该面料经纬线采用涤纶FDY 600D半光为原料。系平纹组织结构，在喷水织机交织而成。坯布经过预处理、染色等工艺处理后，具有风格独特、牢度性强等优点，其布面幅宽为318cm，重量为200g/平方米，现市场批发价8.80元/米左右。据了解，该面料以不褪色、不变形等优势立足市场，适用于各类气囊布、箱包、帐篷等。据市场经销商反映，此布料以质优款靓占领销市，以实惠布价而赢得客户，有的现货争购，有的选色订货，目前主要销往四川、山东、山西、辽宁、浙江、福建和江苏省常熟等地。</w:t>
      </w:r>
    </w:p>
    <w:p w14:paraId="131F0EAE" w14:textId="77777777" w:rsidR="00287A59" w:rsidRDefault="00287A59">
      <w:pPr>
        <w:spacing w:line="360" w:lineRule="auto"/>
        <w:jc w:val="both"/>
        <w:rPr>
          <w:rFonts w:hint="eastAsia"/>
        </w:rPr>
      </w:pPr>
    </w:p>
    <w:p w14:paraId="2982F68A" w14:textId="77777777" w:rsidR="00287A59" w:rsidRDefault="00000000">
      <w:pPr>
        <w:spacing w:line="360" w:lineRule="auto"/>
        <w:jc w:val="both"/>
      </w:pPr>
      <w:r>
        <w:rPr>
          <w:rFonts w:hint="eastAsia"/>
        </w:rPr>
        <w:t>【现货价格】</w:t>
      </w:r>
    </w:p>
    <w:p w14:paraId="01F5891A" w14:textId="77777777" w:rsidR="00422A86" w:rsidRDefault="00422A86">
      <w:pPr>
        <w:spacing w:line="360" w:lineRule="auto"/>
        <w:jc w:val="both"/>
      </w:pPr>
    </w:p>
    <w:p w14:paraId="247B0FAA" w14:textId="77777777" w:rsidR="00422A86" w:rsidRDefault="00422A86">
      <w:pPr>
        <w:spacing w:line="360" w:lineRule="auto"/>
        <w:jc w:val="both"/>
      </w:pPr>
    </w:p>
    <w:p w14:paraId="57C610BF" w14:textId="77777777" w:rsidR="00422A86" w:rsidRDefault="00422A86">
      <w:pPr>
        <w:spacing w:line="360" w:lineRule="auto"/>
        <w:jc w:val="both"/>
      </w:pPr>
    </w:p>
    <w:p w14:paraId="34CB2F1D" w14:textId="77777777" w:rsidR="00422A86" w:rsidRDefault="00422A86">
      <w:pPr>
        <w:spacing w:line="360" w:lineRule="auto"/>
        <w:jc w:val="both"/>
      </w:pPr>
    </w:p>
    <w:p w14:paraId="04A51E2E" w14:textId="77777777" w:rsidR="00422A86" w:rsidRDefault="00422A86">
      <w:pPr>
        <w:spacing w:line="360" w:lineRule="auto"/>
        <w:jc w:val="both"/>
      </w:pPr>
    </w:p>
    <w:p w14:paraId="47C951E7" w14:textId="77777777" w:rsidR="00422A86" w:rsidRDefault="00422A86">
      <w:pPr>
        <w:spacing w:line="360" w:lineRule="auto"/>
        <w:jc w:val="both"/>
      </w:pPr>
    </w:p>
    <w:p w14:paraId="759EE4BF" w14:textId="77777777" w:rsidR="00422A86" w:rsidRDefault="00422A86">
      <w:pPr>
        <w:spacing w:line="360" w:lineRule="auto"/>
        <w:jc w:val="both"/>
      </w:pPr>
    </w:p>
    <w:p w14:paraId="6A3941E0" w14:textId="77777777" w:rsidR="00422A86" w:rsidRDefault="00422A86">
      <w:pPr>
        <w:spacing w:line="360" w:lineRule="auto"/>
        <w:jc w:val="both"/>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109"/>
        <w:gridCol w:w="788"/>
      </w:tblGrid>
      <w:tr w:rsidR="00287A59" w:rsidRPr="00422A86" w14:paraId="07B788B1" w14:textId="77777777" w:rsidTr="00422A86">
        <w:trPr>
          <w:trHeight w:val="375"/>
        </w:trPr>
        <w:tc>
          <w:tcPr>
            <w:tcW w:w="0" w:type="auto"/>
            <w:vAlign w:val="center"/>
          </w:tcPr>
          <w:p w14:paraId="2038D0FF" w14:textId="43F27F51" w:rsidR="00287A59" w:rsidRPr="00422A86" w:rsidRDefault="00000000" w:rsidP="00422A86">
            <w:pPr>
              <w:adjustRightInd w:val="0"/>
              <w:snapToGrid w:val="0"/>
              <w:spacing w:line="240" w:lineRule="atLeast"/>
              <w:jc w:val="center"/>
              <w:rPr>
                <w:rFonts w:ascii="微软雅黑 Light" w:eastAsia="微软雅黑 Light" w:hAnsi="微软雅黑 Light" w:hint="eastAsia"/>
                <w:b/>
                <w:bCs/>
                <w:sz w:val="21"/>
                <w:szCs w:val="21"/>
              </w:rPr>
            </w:pPr>
            <w:r w:rsidRPr="00422A86">
              <w:rPr>
                <w:rFonts w:ascii="微软雅黑 Light" w:eastAsia="微软雅黑 Light" w:hAnsi="微软雅黑 Light" w:hint="eastAsia"/>
                <w:b/>
                <w:bCs/>
                <w:sz w:val="21"/>
                <w:szCs w:val="21"/>
              </w:rPr>
              <w:lastRenderedPageBreak/>
              <w:t>品种名称</w:t>
            </w:r>
            <w:r w:rsidR="00312604" w:rsidRPr="00422A86">
              <w:rPr>
                <w:rFonts w:ascii="微软雅黑 Light" w:eastAsia="微软雅黑 Light" w:hAnsi="微软雅黑 Light" w:hint="eastAsia"/>
                <w:b/>
                <w:bCs/>
                <w:sz w:val="21"/>
                <w:szCs w:val="21"/>
              </w:rPr>
              <w:t xml:space="preserve">  </w:t>
            </w:r>
          </w:p>
        </w:tc>
        <w:tc>
          <w:tcPr>
            <w:tcW w:w="0" w:type="auto"/>
            <w:vAlign w:val="center"/>
          </w:tcPr>
          <w:p w14:paraId="3EB67757" w14:textId="42367BA7" w:rsidR="00287A59" w:rsidRPr="00422A86" w:rsidRDefault="00000000" w:rsidP="00422A86">
            <w:pPr>
              <w:adjustRightInd w:val="0"/>
              <w:snapToGrid w:val="0"/>
              <w:spacing w:line="240" w:lineRule="atLeast"/>
              <w:jc w:val="center"/>
              <w:rPr>
                <w:rFonts w:ascii="微软雅黑 Light" w:eastAsia="微软雅黑 Light" w:hAnsi="微软雅黑 Light" w:hint="eastAsia"/>
                <w:b/>
                <w:bCs/>
                <w:sz w:val="21"/>
                <w:szCs w:val="21"/>
              </w:rPr>
            </w:pPr>
            <w:r w:rsidRPr="00422A86">
              <w:rPr>
                <w:rFonts w:ascii="微软雅黑 Light" w:eastAsia="微软雅黑 Light" w:hAnsi="微软雅黑 Light" w:hint="eastAsia"/>
                <w:b/>
                <w:bCs/>
                <w:color w:val="000000"/>
                <w:sz w:val="21"/>
                <w:szCs w:val="21"/>
              </w:rPr>
              <w:t>1月22日</w:t>
            </w:r>
            <w:r w:rsidR="00312604" w:rsidRPr="00422A86">
              <w:rPr>
                <w:rFonts w:ascii="微软雅黑 Light" w:eastAsia="微软雅黑 Light" w:hAnsi="微软雅黑 Light" w:hint="eastAsia"/>
                <w:b/>
                <w:bCs/>
                <w:color w:val="000000"/>
                <w:sz w:val="21"/>
                <w:szCs w:val="21"/>
              </w:rPr>
              <w:t xml:space="preserve">  </w:t>
            </w:r>
          </w:p>
        </w:tc>
        <w:tc>
          <w:tcPr>
            <w:tcW w:w="0" w:type="auto"/>
            <w:vAlign w:val="center"/>
          </w:tcPr>
          <w:p w14:paraId="790D20FD" w14:textId="77777777" w:rsidR="00287A59" w:rsidRPr="00422A86" w:rsidRDefault="00000000" w:rsidP="00422A86">
            <w:pPr>
              <w:adjustRightInd w:val="0"/>
              <w:snapToGrid w:val="0"/>
              <w:spacing w:line="240" w:lineRule="atLeast"/>
              <w:jc w:val="center"/>
              <w:rPr>
                <w:rFonts w:ascii="微软雅黑 Light" w:eastAsia="微软雅黑 Light" w:hAnsi="微软雅黑 Light" w:hint="eastAsia"/>
                <w:b/>
                <w:bCs/>
                <w:sz w:val="21"/>
                <w:szCs w:val="21"/>
              </w:rPr>
            </w:pPr>
            <w:r w:rsidRPr="00422A86">
              <w:rPr>
                <w:rFonts w:ascii="微软雅黑 Light" w:eastAsia="微软雅黑 Light" w:hAnsi="微软雅黑 Light" w:hint="eastAsia"/>
                <w:b/>
                <w:bCs/>
                <w:color w:val="000000"/>
                <w:sz w:val="21"/>
                <w:szCs w:val="21"/>
              </w:rPr>
              <w:t>涨跌</w:t>
            </w:r>
          </w:p>
        </w:tc>
      </w:tr>
      <w:tr w:rsidR="00287A59" w:rsidRPr="00422A86" w14:paraId="51EDBF5D" w14:textId="77777777" w:rsidTr="00422A86">
        <w:trPr>
          <w:trHeight w:val="285"/>
        </w:trPr>
        <w:tc>
          <w:tcPr>
            <w:tcW w:w="0" w:type="auto"/>
            <w:noWrap/>
            <w:vAlign w:val="bottom"/>
          </w:tcPr>
          <w:p w14:paraId="2703AEAB" w14:textId="4BADB931"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PX CFR中国</w:t>
            </w:r>
            <w:r w:rsidR="00312604" w:rsidRPr="00422A86">
              <w:rPr>
                <w:rFonts w:ascii="微软雅黑 Light" w:eastAsia="微软雅黑 Light" w:hAnsi="微软雅黑 Light" w:hint="eastAsia"/>
                <w:sz w:val="21"/>
                <w:szCs w:val="21"/>
              </w:rPr>
              <w:t xml:space="preserve">  </w:t>
            </w:r>
          </w:p>
        </w:tc>
        <w:tc>
          <w:tcPr>
            <w:tcW w:w="0" w:type="auto"/>
            <w:vAlign w:val="bottom"/>
          </w:tcPr>
          <w:p w14:paraId="53508AB8" w14:textId="137E6B78"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422A86">
              <w:rPr>
                <w:rFonts w:ascii="微软雅黑 Light" w:eastAsia="微软雅黑 Light" w:hAnsi="微软雅黑 Light" w:hint="eastAsia"/>
                <w:color w:val="000000"/>
                <w:sz w:val="21"/>
                <w:szCs w:val="21"/>
              </w:rPr>
              <w:t>887</w:t>
            </w:r>
            <w:r w:rsidR="00312604" w:rsidRPr="00422A86">
              <w:rPr>
                <w:rFonts w:ascii="微软雅黑 Light" w:eastAsia="微软雅黑 Light" w:hAnsi="微软雅黑 Light" w:hint="eastAsia"/>
                <w:color w:val="000000"/>
                <w:sz w:val="21"/>
                <w:szCs w:val="21"/>
              </w:rPr>
              <w:t xml:space="preserve">  </w:t>
            </w:r>
          </w:p>
        </w:tc>
        <w:tc>
          <w:tcPr>
            <w:tcW w:w="0" w:type="auto"/>
            <w:noWrap/>
            <w:vAlign w:val="center"/>
          </w:tcPr>
          <w:p w14:paraId="53E6A250"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sz w:val="21"/>
                <w:szCs w:val="21"/>
              </w:rPr>
            </w:pPr>
            <w:r w:rsidRPr="00422A86">
              <w:rPr>
                <w:rFonts w:ascii="微软雅黑 Light" w:eastAsia="微软雅黑 Light" w:hAnsi="微软雅黑 Light" w:hint="eastAsia"/>
                <w:color w:val="000000"/>
                <w:sz w:val="21"/>
                <w:szCs w:val="21"/>
              </w:rPr>
              <w:t>-10.33</w:t>
            </w:r>
          </w:p>
        </w:tc>
      </w:tr>
      <w:tr w:rsidR="00287A59" w:rsidRPr="00422A86" w14:paraId="5D310A81" w14:textId="77777777" w:rsidTr="00422A86">
        <w:trPr>
          <w:trHeight w:val="285"/>
        </w:trPr>
        <w:tc>
          <w:tcPr>
            <w:tcW w:w="0" w:type="auto"/>
            <w:noWrap/>
            <w:vAlign w:val="bottom"/>
          </w:tcPr>
          <w:p w14:paraId="28D326A2" w14:textId="26D03B54"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PTA外盘</w:t>
            </w:r>
            <w:r w:rsidR="00312604" w:rsidRPr="00422A86">
              <w:rPr>
                <w:rFonts w:ascii="微软雅黑 Light" w:eastAsia="微软雅黑 Light" w:hAnsi="微软雅黑 Light" w:hint="eastAsia"/>
                <w:sz w:val="21"/>
                <w:szCs w:val="21"/>
              </w:rPr>
              <w:t xml:space="preserve">  </w:t>
            </w:r>
          </w:p>
        </w:tc>
        <w:tc>
          <w:tcPr>
            <w:tcW w:w="0" w:type="auto"/>
            <w:vAlign w:val="bottom"/>
          </w:tcPr>
          <w:p w14:paraId="477DD225" w14:textId="7B87192C"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422A86">
              <w:rPr>
                <w:rFonts w:ascii="微软雅黑 Light" w:eastAsia="微软雅黑 Light" w:hAnsi="微软雅黑 Light" w:hint="eastAsia"/>
                <w:color w:val="000000"/>
                <w:sz w:val="21"/>
                <w:szCs w:val="21"/>
              </w:rPr>
              <w:t>649</w:t>
            </w:r>
            <w:r w:rsidR="00312604" w:rsidRPr="00422A86">
              <w:rPr>
                <w:rFonts w:ascii="微软雅黑 Light" w:eastAsia="微软雅黑 Light" w:hAnsi="微软雅黑 Light" w:hint="eastAsia"/>
                <w:color w:val="000000"/>
                <w:sz w:val="21"/>
                <w:szCs w:val="21"/>
              </w:rPr>
              <w:t xml:space="preserve">  </w:t>
            </w:r>
          </w:p>
        </w:tc>
        <w:tc>
          <w:tcPr>
            <w:tcW w:w="0" w:type="auto"/>
            <w:noWrap/>
            <w:vAlign w:val="center"/>
          </w:tcPr>
          <w:p w14:paraId="40F39F3F"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sz w:val="21"/>
                <w:szCs w:val="21"/>
              </w:rPr>
            </w:pPr>
            <w:r w:rsidRPr="00422A86">
              <w:rPr>
                <w:rFonts w:ascii="微软雅黑 Light" w:eastAsia="微软雅黑 Light" w:hAnsi="微软雅黑 Light" w:hint="eastAsia"/>
                <w:color w:val="000000"/>
                <w:sz w:val="21"/>
                <w:szCs w:val="21"/>
              </w:rPr>
              <w:t>-6</w:t>
            </w:r>
          </w:p>
        </w:tc>
      </w:tr>
      <w:tr w:rsidR="00287A59" w:rsidRPr="00422A86" w14:paraId="59222CAE" w14:textId="77777777" w:rsidTr="00422A86">
        <w:trPr>
          <w:trHeight w:val="285"/>
        </w:trPr>
        <w:tc>
          <w:tcPr>
            <w:tcW w:w="0" w:type="auto"/>
            <w:noWrap/>
            <w:vAlign w:val="bottom"/>
          </w:tcPr>
          <w:p w14:paraId="3D6CCFCE" w14:textId="6EEF5250"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PTA</w:t>
            </w:r>
            <w:r w:rsidR="00312604" w:rsidRPr="00422A86">
              <w:rPr>
                <w:rFonts w:ascii="微软雅黑 Light" w:eastAsia="微软雅黑 Light" w:hAnsi="微软雅黑 Light" w:hint="eastAsia"/>
                <w:sz w:val="21"/>
                <w:szCs w:val="21"/>
              </w:rPr>
              <w:t xml:space="preserve">  </w:t>
            </w:r>
          </w:p>
        </w:tc>
        <w:tc>
          <w:tcPr>
            <w:tcW w:w="0" w:type="auto"/>
            <w:tcBorders>
              <w:bottom w:val="single" w:sz="4" w:space="0" w:color="auto"/>
            </w:tcBorders>
            <w:vAlign w:val="bottom"/>
          </w:tcPr>
          <w:p w14:paraId="126CDC9E" w14:textId="3C0D5364"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422A86">
              <w:rPr>
                <w:rFonts w:ascii="微软雅黑 Light" w:eastAsia="微软雅黑 Light" w:hAnsi="微软雅黑 Light" w:hint="eastAsia"/>
                <w:color w:val="000000"/>
                <w:sz w:val="21"/>
                <w:szCs w:val="21"/>
              </w:rPr>
              <w:t>5157</w:t>
            </w:r>
            <w:r w:rsidR="00312604" w:rsidRPr="00422A86">
              <w:rPr>
                <w:rFonts w:ascii="微软雅黑 Light" w:eastAsia="微软雅黑 Light" w:hAnsi="微软雅黑 Light" w:hint="eastAsia"/>
                <w:color w:val="000000"/>
                <w:sz w:val="21"/>
                <w:szCs w:val="21"/>
              </w:rPr>
              <w:t xml:space="preserve">  </w:t>
            </w:r>
          </w:p>
        </w:tc>
        <w:tc>
          <w:tcPr>
            <w:tcW w:w="0" w:type="auto"/>
            <w:noWrap/>
            <w:vAlign w:val="center"/>
          </w:tcPr>
          <w:p w14:paraId="75585783"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sz w:val="21"/>
                <w:szCs w:val="21"/>
              </w:rPr>
            </w:pPr>
            <w:r w:rsidRPr="00422A86">
              <w:rPr>
                <w:rFonts w:ascii="微软雅黑 Light" w:eastAsia="微软雅黑 Light" w:hAnsi="微软雅黑 Light" w:hint="eastAsia"/>
                <w:color w:val="000000"/>
                <w:sz w:val="21"/>
                <w:szCs w:val="21"/>
              </w:rPr>
              <w:t>110</w:t>
            </w:r>
          </w:p>
        </w:tc>
      </w:tr>
      <w:tr w:rsidR="00287A59" w:rsidRPr="00422A86" w14:paraId="2188BD19" w14:textId="77777777" w:rsidTr="00422A86">
        <w:trPr>
          <w:trHeight w:val="285"/>
        </w:trPr>
        <w:tc>
          <w:tcPr>
            <w:tcW w:w="0" w:type="auto"/>
            <w:noWrap/>
            <w:vAlign w:val="bottom"/>
          </w:tcPr>
          <w:p w14:paraId="0F19053A" w14:textId="1E27C487"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乙二醇外盘</w:t>
            </w:r>
            <w:r w:rsidR="00312604" w:rsidRPr="00422A86">
              <w:rPr>
                <w:rFonts w:ascii="微软雅黑 Light" w:eastAsia="微软雅黑 Light" w:hAnsi="微软雅黑 Light" w:hint="eastAsia"/>
                <w:sz w:val="21"/>
                <w:szCs w:val="21"/>
              </w:rPr>
              <w:t xml:space="preserve">  </w:t>
            </w:r>
          </w:p>
        </w:tc>
        <w:tc>
          <w:tcPr>
            <w:tcW w:w="0" w:type="auto"/>
            <w:vAlign w:val="bottom"/>
          </w:tcPr>
          <w:p w14:paraId="4DEA38C4" w14:textId="7EEAD537"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422A86">
              <w:rPr>
                <w:rFonts w:ascii="微软雅黑 Light" w:eastAsia="微软雅黑 Light" w:hAnsi="微软雅黑 Light" w:hint="eastAsia"/>
                <w:color w:val="000000"/>
                <w:sz w:val="21"/>
                <w:szCs w:val="21"/>
              </w:rPr>
              <w:t>428</w:t>
            </w:r>
            <w:r w:rsidR="00312604" w:rsidRPr="00422A86">
              <w:rPr>
                <w:rFonts w:ascii="微软雅黑 Light" w:eastAsia="微软雅黑 Light" w:hAnsi="微软雅黑 Light" w:hint="eastAsia"/>
                <w:color w:val="000000"/>
                <w:sz w:val="21"/>
                <w:szCs w:val="21"/>
              </w:rPr>
              <w:t xml:space="preserve">  </w:t>
            </w:r>
          </w:p>
        </w:tc>
        <w:tc>
          <w:tcPr>
            <w:tcW w:w="0" w:type="auto"/>
            <w:tcBorders>
              <w:bottom w:val="single" w:sz="4" w:space="0" w:color="auto"/>
            </w:tcBorders>
            <w:noWrap/>
            <w:vAlign w:val="center"/>
          </w:tcPr>
          <w:p w14:paraId="2D90A7F9"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sz w:val="21"/>
                <w:szCs w:val="21"/>
              </w:rPr>
            </w:pPr>
            <w:r w:rsidRPr="00422A86">
              <w:rPr>
                <w:rFonts w:ascii="微软雅黑 Light" w:eastAsia="微软雅黑 Light" w:hAnsi="微软雅黑 Light" w:hint="eastAsia"/>
                <w:color w:val="000000"/>
                <w:sz w:val="21"/>
                <w:szCs w:val="21"/>
              </w:rPr>
              <w:t>-18</w:t>
            </w:r>
          </w:p>
        </w:tc>
      </w:tr>
      <w:tr w:rsidR="00287A59" w:rsidRPr="00422A86" w14:paraId="216C4990" w14:textId="77777777" w:rsidTr="00422A86">
        <w:trPr>
          <w:trHeight w:val="285"/>
        </w:trPr>
        <w:tc>
          <w:tcPr>
            <w:tcW w:w="0" w:type="auto"/>
            <w:noWrap/>
            <w:vAlign w:val="bottom"/>
          </w:tcPr>
          <w:p w14:paraId="15CB200E" w14:textId="1F9A0B82"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乙二醇</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C9986DD" w14:textId="062F2774"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3678</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8D79498"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w:t>
            </w:r>
          </w:p>
        </w:tc>
      </w:tr>
      <w:tr w:rsidR="00287A59" w:rsidRPr="00422A86" w14:paraId="17471886" w14:textId="77777777" w:rsidTr="00422A86">
        <w:trPr>
          <w:trHeight w:val="285"/>
        </w:trPr>
        <w:tc>
          <w:tcPr>
            <w:tcW w:w="0" w:type="auto"/>
            <w:noWrap/>
            <w:vAlign w:val="bottom"/>
          </w:tcPr>
          <w:p w14:paraId="524ED195" w14:textId="7B84A6A5"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聚酯瓶片（水瓶级）</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4CB2AC7" w14:textId="2FCFE145"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6250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134F27A"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190</w:t>
            </w:r>
          </w:p>
        </w:tc>
      </w:tr>
      <w:tr w:rsidR="00287A59" w:rsidRPr="00422A86" w14:paraId="6E848B0D" w14:textId="77777777" w:rsidTr="00422A86">
        <w:trPr>
          <w:trHeight w:val="285"/>
        </w:trPr>
        <w:tc>
          <w:tcPr>
            <w:tcW w:w="0" w:type="auto"/>
            <w:noWrap/>
            <w:vAlign w:val="bottom"/>
          </w:tcPr>
          <w:p w14:paraId="1D849D3B" w14:textId="55E63BE0"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聚酯切片（半光）</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3909E07" w14:textId="44FF9B3D"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5840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E0B31DB"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60</w:t>
            </w:r>
          </w:p>
        </w:tc>
      </w:tr>
      <w:tr w:rsidR="00287A59" w:rsidRPr="00422A86" w14:paraId="576668B0" w14:textId="77777777" w:rsidTr="00422A86">
        <w:trPr>
          <w:trHeight w:val="285"/>
        </w:trPr>
        <w:tc>
          <w:tcPr>
            <w:tcW w:w="0" w:type="auto"/>
            <w:noWrap/>
            <w:vAlign w:val="bottom"/>
          </w:tcPr>
          <w:p w14:paraId="6DD77286" w14:textId="51A844D0"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涤纶短</w:t>
            </w:r>
            <w:proofErr w:type="gramStart"/>
            <w:r w:rsidRPr="00422A86">
              <w:rPr>
                <w:rFonts w:ascii="微软雅黑 Light" w:eastAsia="微软雅黑 Light" w:hAnsi="微软雅黑 Light" w:hint="eastAsia"/>
                <w:sz w:val="21"/>
                <w:szCs w:val="21"/>
              </w:rPr>
              <w:t>纤</w:t>
            </w:r>
            <w:proofErr w:type="gramEnd"/>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7D5161CE" w14:textId="3DFA5DDE"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6530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6222807"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60</w:t>
            </w:r>
          </w:p>
        </w:tc>
      </w:tr>
      <w:tr w:rsidR="00287A59" w:rsidRPr="00422A86" w14:paraId="66DDEAA9" w14:textId="77777777" w:rsidTr="00422A86">
        <w:trPr>
          <w:trHeight w:val="285"/>
        </w:trPr>
        <w:tc>
          <w:tcPr>
            <w:tcW w:w="0" w:type="auto"/>
            <w:noWrap/>
            <w:vAlign w:val="bottom"/>
          </w:tcPr>
          <w:p w14:paraId="0ECB011B" w14:textId="165D33C4"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再生高强</w:t>
            </w:r>
            <w:proofErr w:type="gramStart"/>
            <w:r w:rsidRPr="00422A86">
              <w:rPr>
                <w:rFonts w:ascii="微软雅黑 Light" w:eastAsia="微软雅黑 Light" w:hAnsi="微软雅黑 Light" w:hint="eastAsia"/>
                <w:sz w:val="21"/>
                <w:szCs w:val="21"/>
              </w:rPr>
              <w:t>低伸仿大化</w:t>
            </w:r>
            <w:proofErr w:type="gramEnd"/>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CF62222" w14:textId="3898C0AD"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5450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988241B"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5516A76C" w14:textId="77777777" w:rsidTr="00422A86">
        <w:trPr>
          <w:trHeight w:val="285"/>
        </w:trPr>
        <w:tc>
          <w:tcPr>
            <w:tcW w:w="0" w:type="auto"/>
            <w:noWrap/>
            <w:vAlign w:val="bottom"/>
          </w:tcPr>
          <w:p w14:paraId="6A8040D7" w14:textId="233FF644"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涤纶长丝POY150D/48F</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5446413" w14:textId="2CB21DBE"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6700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BC0234A"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466B4E42" w14:textId="77777777" w:rsidTr="00422A86">
        <w:trPr>
          <w:trHeight w:val="285"/>
        </w:trPr>
        <w:tc>
          <w:tcPr>
            <w:tcW w:w="0" w:type="auto"/>
            <w:noWrap/>
            <w:vAlign w:val="bottom"/>
          </w:tcPr>
          <w:p w14:paraId="6121B665" w14:textId="47F5F1AD"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涤纶长丝FDY150D/96F</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55F2A90" w14:textId="55B85DCB"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6925</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EF0C968"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25</w:t>
            </w:r>
          </w:p>
        </w:tc>
      </w:tr>
      <w:tr w:rsidR="00287A59" w:rsidRPr="00422A86" w14:paraId="63ABC094" w14:textId="77777777" w:rsidTr="00422A86">
        <w:trPr>
          <w:trHeight w:val="285"/>
        </w:trPr>
        <w:tc>
          <w:tcPr>
            <w:tcW w:w="0" w:type="auto"/>
            <w:noWrap/>
            <w:vAlign w:val="bottom"/>
          </w:tcPr>
          <w:p w14:paraId="1DA60BA7" w14:textId="1C045479"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涤纶长丝DTY150D/48F</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619B8B3" w14:textId="33A300BE"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7875</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3CF52E4"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25</w:t>
            </w:r>
          </w:p>
        </w:tc>
      </w:tr>
      <w:tr w:rsidR="00287A59" w:rsidRPr="00422A86" w14:paraId="7480ABEE" w14:textId="77777777" w:rsidTr="00422A86">
        <w:trPr>
          <w:trHeight w:val="285"/>
        </w:trPr>
        <w:tc>
          <w:tcPr>
            <w:tcW w:w="0" w:type="auto"/>
            <w:noWrap/>
            <w:vAlign w:val="bottom"/>
          </w:tcPr>
          <w:p w14:paraId="4F07E01B" w14:textId="69836486"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己内酰胺液体</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7C2D4CB0" w14:textId="7C3B26C2"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9350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0E3F6D1"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225</w:t>
            </w:r>
          </w:p>
        </w:tc>
      </w:tr>
      <w:tr w:rsidR="00287A59" w:rsidRPr="00422A86" w14:paraId="2F44FE12" w14:textId="77777777" w:rsidTr="00422A86">
        <w:trPr>
          <w:trHeight w:val="285"/>
        </w:trPr>
        <w:tc>
          <w:tcPr>
            <w:tcW w:w="0" w:type="auto"/>
            <w:noWrap/>
            <w:vAlign w:val="bottom"/>
          </w:tcPr>
          <w:p w14:paraId="0750BAFB" w14:textId="52680BF3"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聚酰胺6</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F21E9DA" w14:textId="456F7DFE"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9800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31532A7"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150</w:t>
            </w:r>
          </w:p>
        </w:tc>
      </w:tr>
      <w:tr w:rsidR="00287A59" w:rsidRPr="00422A86" w14:paraId="73E08993" w14:textId="77777777" w:rsidTr="00422A86">
        <w:trPr>
          <w:trHeight w:val="285"/>
        </w:trPr>
        <w:tc>
          <w:tcPr>
            <w:tcW w:w="0" w:type="auto"/>
            <w:noWrap/>
            <w:vAlign w:val="bottom"/>
          </w:tcPr>
          <w:p w14:paraId="04D3C45F" w14:textId="036EB821"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锦纶POY85D/24F半消光</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4B211D18" w14:textId="2299EBA6"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11600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065FE7B"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02490DBF" w14:textId="77777777" w:rsidTr="00422A86">
        <w:trPr>
          <w:trHeight w:val="285"/>
        </w:trPr>
        <w:tc>
          <w:tcPr>
            <w:tcW w:w="0" w:type="auto"/>
            <w:noWrap/>
            <w:vAlign w:val="bottom"/>
          </w:tcPr>
          <w:p w14:paraId="080AC4E4" w14:textId="4550A0F9"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锦纶FDY70D/24F半消光</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030154E" w14:textId="301AFBE3"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12400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FAE06D5"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4BE7008A" w14:textId="77777777" w:rsidTr="00422A86">
        <w:trPr>
          <w:trHeight w:val="285"/>
        </w:trPr>
        <w:tc>
          <w:tcPr>
            <w:tcW w:w="0" w:type="auto"/>
            <w:noWrap/>
            <w:vAlign w:val="bottom"/>
          </w:tcPr>
          <w:p w14:paraId="47A10F4F" w14:textId="41F24C29"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锦纶DTY70D/24F半消光</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8D52904" w14:textId="63C26FD4"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13800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493245D"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130EF87B" w14:textId="77777777" w:rsidTr="00422A86">
        <w:trPr>
          <w:trHeight w:val="285"/>
        </w:trPr>
        <w:tc>
          <w:tcPr>
            <w:tcW w:w="0" w:type="auto"/>
            <w:noWrap/>
            <w:vAlign w:val="bottom"/>
          </w:tcPr>
          <w:p w14:paraId="780C989A" w14:textId="1EAD0086"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粘胶短</w:t>
            </w:r>
            <w:proofErr w:type="gramStart"/>
            <w:r w:rsidRPr="00422A86">
              <w:rPr>
                <w:rFonts w:ascii="微软雅黑 Light" w:eastAsia="微软雅黑 Light" w:hAnsi="微软雅黑 Light" w:hint="eastAsia"/>
                <w:sz w:val="21"/>
                <w:szCs w:val="21"/>
              </w:rPr>
              <w:t>纤</w:t>
            </w:r>
            <w:proofErr w:type="gramEnd"/>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647506C" w14:textId="4C13FD7A"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12610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8E4F81B"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060520C4" w14:textId="77777777" w:rsidTr="00422A86">
        <w:trPr>
          <w:trHeight w:val="285"/>
        </w:trPr>
        <w:tc>
          <w:tcPr>
            <w:tcW w:w="0" w:type="auto"/>
            <w:noWrap/>
            <w:vAlign w:val="bottom"/>
          </w:tcPr>
          <w:p w14:paraId="405F43E6" w14:textId="26BF0752"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莱赛尔纤维</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1BCB7C2" w14:textId="57477A47"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12700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FE241DA"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482869C6" w14:textId="77777777" w:rsidTr="00422A86">
        <w:trPr>
          <w:trHeight w:val="285"/>
        </w:trPr>
        <w:tc>
          <w:tcPr>
            <w:tcW w:w="0" w:type="auto"/>
            <w:noWrap/>
            <w:vAlign w:val="bottom"/>
          </w:tcPr>
          <w:p w14:paraId="0DC6A725" w14:textId="5813D107"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粘胶长丝120D</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906E2CD" w14:textId="4346962F"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41500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8379A54"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59F28185" w14:textId="77777777" w:rsidTr="00422A86">
        <w:trPr>
          <w:trHeight w:val="285"/>
        </w:trPr>
        <w:tc>
          <w:tcPr>
            <w:tcW w:w="0" w:type="auto"/>
            <w:noWrap/>
            <w:vAlign w:val="bottom"/>
          </w:tcPr>
          <w:p w14:paraId="516EA1ED" w14:textId="36C66CAC"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腈纶短</w:t>
            </w:r>
            <w:proofErr w:type="gramStart"/>
            <w:r w:rsidRPr="00422A86">
              <w:rPr>
                <w:rFonts w:ascii="微软雅黑 Light" w:eastAsia="微软雅黑 Light" w:hAnsi="微软雅黑 Light" w:hint="eastAsia"/>
                <w:sz w:val="21"/>
                <w:szCs w:val="21"/>
              </w:rPr>
              <w:t>纤</w:t>
            </w:r>
            <w:proofErr w:type="gramEnd"/>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C46E880" w14:textId="3FF26B17"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13160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7524373"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0</w:t>
            </w:r>
          </w:p>
        </w:tc>
      </w:tr>
      <w:tr w:rsidR="00287A59" w:rsidRPr="00422A86" w14:paraId="04FD45A5" w14:textId="77777777" w:rsidTr="00422A86">
        <w:trPr>
          <w:trHeight w:val="285"/>
        </w:trPr>
        <w:tc>
          <w:tcPr>
            <w:tcW w:w="0" w:type="auto"/>
            <w:noWrap/>
            <w:vAlign w:val="bottom"/>
          </w:tcPr>
          <w:p w14:paraId="475FB6FD" w14:textId="4557459F" w:rsidR="00287A59" w:rsidRPr="00422A86" w:rsidRDefault="00000000" w:rsidP="00422A86">
            <w:pPr>
              <w:adjustRightInd w:val="0"/>
              <w:snapToGrid w:val="0"/>
              <w:spacing w:line="240" w:lineRule="atLeast"/>
              <w:jc w:val="center"/>
              <w:rPr>
                <w:rFonts w:ascii="微软雅黑 Light" w:eastAsia="微软雅黑 Light" w:hAnsi="微软雅黑 Light" w:hint="eastAsia"/>
                <w:sz w:val="21"/>
                <w:szCs w:val="21"/>
              </w:rPr>
            </w:pPr>
            <w:r w:rsidRPr="00422A86">
              <w:rPr>
                <w:rFonts w:ascii="微软雅黑 Light" w:eastAsia="微软雅黑 Light" w:hAnsi="微软雅黑 Light" w:hint="eastAsia"/>
                <w:sz w:val="21"/>
                <w:szCs w:val="21"/>
              </w:rPr>
              <w:t>氨纶40D</w:t>
            </w:r>
            <w:r w:rsidR="00312604" w:rsidRPr="00422A86">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DFBE26D" w14:textId="60CA95BF" w:rsidR="00287A59" w:rsidRPr="00422A86" w:rsidRDefault="00000000" w:rsidP="00422A86">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24500</w:t>
            </w:r>
            <w:r w:rsidR="00312604" w:rsidRPr="00422A86">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32A3343" w14:textId="77777777" w:rsidR="00287A59" w:rsidRPr="00422A86" w:rsidRDefault="00000000" w:rsidP="00422A86">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422A86">
              <w:rPr>
                <w:rFonts w:ascii="微软雅黑 Light" w:eastAsia="微软雅黑 Light" w:hAnsi="微软雅黑 Light" w:hint="eastAsia"/>
                <w:color w:val="000000"/>
                <w:sz w:val="21"/>
                <w:szCs w:val="21"/>
              </w:rPr>
              <w:t>1000</w:t>
            </w:r>
          </w:p>
        </w:tc>
      </w:tr>
    </w:tbl>
    <w:p w14:paraId="0365762E" w14:textId="77777777" w:rsidR="00287A59" w:rsidRDefault="00287A59">
      <w:pPr>
        <w:spacing w:line="360" w:lineRule="auto"/>
        <w:jc w:val="both"/>
        <w:rPr>
          <w:rFonts w:asciiTheme="minorEastAsia" w:eastAsiaTheme="minorEastAsia" w:hAnsiTheme="minorEastAsia" w:hint="eastAsia"/>
          <w:sz w:val="21"/>
          <w:szCs w:val="21"/>
        </w:rPr>
      </w:pPr>
    </w:p>
    <w:p w14:paraId="667385C3" w14:textId="77777777" w:rsidR="00287A59"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78DF6A39" w14:textId="77777777" w:rsidR="00287A59" w:rsidRDefault="00287A59">
      <w:pPr>
        <w:spacing w:line="360" w:lineRule="auto"/>
        <w:jc w:val="both"/>
        <w:rPr>
          <w:rFonts w:hint="eastAsia"/>
        </w:rPr>
      </w:pPr>
    </w:p>
    <w:bookmarkEnd w:id="15"/>
    <w:p w14:paraId="2DFB0498" w14:textId="77777777" w:rsidR="00287A59" w:rsidRDefault="00000000">
      <w:pPr>
        <w:adjustRightInd w:val="0"/>
        <w:snapToGrid w:val="0"/>
        <w:spacing w:line="360" w:lineRule="auto"/>
        <w:rPr>
          <w:rFonts w:hint="eastAsia"/>
        </w:rPr>
      </w:pPr>
      <w:r>
        <w:rPr>
          <w:rFonts w:hint="eastAsia"/>
        </w:rPr>
        <w:t>【市场行情】</w:t>
      </w:r>
    </w:p>
    <w:p w14:paraId="11EC06AD" w14:textId="77777777" w:rsidR="00287A59" w:rsidRDefault="00000000">
      <w:pPr>
        <w:pStyle w:val="ad"/>
        <w:adjustRightInd w:val="0"/>
        <w:snapToGrid w:val="0"/>
        <w:spacing w:before="0" w:beforeAutospacing="0" w:after="0" w:afterAutospacing="0" w:line="360" w:lineRule="auto"/>
        <w:rPr>
          <w:rFonts w:hint="eastAsia"/>
          <w:color w:val="000000" w:themeColor="text1"/>
        </w:rPr>
      </w:pPr>
      <w:bookmarkStart w:id="16" w:name="OLE_LINK1"/>
      <w:r>
        <w:rPr>
          <w:rFonts w:hint="eastAsia"/>
          <w:color w:val="000000" w:themeColor="text1"/>
        </w:rPr>
        <w:t>原油：本周国际油价上涨。截至1月21日，WTI价格为60.62美元/桶，较1月15日上涨2.42%；布伦特价格为65.24美元/桶，较1月15日上涨2.32%。本周国际油价上涨，主要的利好因素为：哈萨克斯坦部分油田暂未恢复生产，委内瑞拉原油出口量不及预期，叠加地缘局势的不稳定性仍存，均给予油价支撑。下周来看，伊朗、</w:t>
      </w:r>
      <w:proofErr w:type="gramStart"/>
      <w:r>
        <w:rPr>
          <w:rFonts w:hint="eastAsia"/>
          <w:color w:val="000000" w:themeColor="text1"/>
        </w:rPr>
        <w:t>美委及</w:t>
      </w:r>
      <w:proofErr w:type="gramEnd"/>
      <w:r>
        <w:rPr>
          <w:rFonts w:hint="eastAsia"/>
          <w:color w:val="000000" w:themeColor="text1"/>
        </w:rPr>
        <w:t>叙利亚地缘局势有所缓和，叠加供应过剩、需求改善缓慢的格局未变，多重因素给予油市压力，预计下周国际油价存在小幅下跌空间。</w:t>
      </w:r>
    </w:p>
    <w:p w14:paraId="26C8CAF4"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001EBDA6" w14:textId="2B8571AE"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聚酯涤纶：本周聚酯涤纶市场先跌后涨，周初期受终端减停及聚酯端检修计划增加影响，聚酯原料弱势下跌，瓶片、短</w:t>
      </w:r>
      <w:proofErr w:type="gramStart"/>
      <w:r>
        <w:rPr>
          <w:rFonts w:hint="eastAsia"/>
          <w:color w:val="000000" w:themeColor="text1"/>
        </w:rPr>
        <w:t>纤</w:t>
      </w:r>
      <w:proofErr w:type="gramEnd"/>
      <w:r>
        <w:rPr>
          <w:rFonts w:hint="eastAsia"/>
          <w:color w:val="000000" w:themeColor="text1"/>
        </w:rPr>
        <w:t>等品种相继窄幅下跌；但TA总体供应预期仍偏良性，叠加商品回暖预期带动，周中市场震荡上涨，带动聚酯涤纶品种大幅上行。下周来看，聚酯涤纶及织造减产力度逐渐增加，仍将对聚酯原料市场形成拖累，原料及涤纶市场均存在一定高位回落风险。</w:t>
      </w:r>
    </w:p>
    <w:p w14:paraId="365E35F6"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57490219" w14:textId="77777777"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锦纶长丝市场谨慎整理，业者观望情绪浓厚。成本端受纯苯偏强、己内酰胺企业拟减产支撑，低价货源减少，整体支撑强劲，仅中石化己内酰胺周结价下调带来小幅扰动。锦纶长丝部分规格订单尚可，厂家以交付主力订单为主，但春节临近织造负荷持续下滑；下游织造销售疲软，对高价货源补仓意愿不足。预计下周锦纶企业报盘随成本震荡，成交商谈灵活。</w:t>
      </w:r>
    </w:p>
    <w:p w14:paraId="26E2583E"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54601039" w14:textId="77777777"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氨纶：本周氨纶企业报价普涨500～1000元/吨，核心</w:t>
      </w:r>
      <w:proofErr w:type="gramStart"/>
      <w:r>
        <w:rPr>
          <w:rFonts w:hint="eastAsia"/>
          <w:color w:val="000000" w:themeColor="text1"/>
        </w:rPr>
        <w:t>系行业</w:t>
      </w:r>
      <w:proofErr w:type="gramEnd"/>
      <w:r>
        <w:rPr>
          <w:rFonts w:hint="eastAsia"/>
          <w:color w:val="000000" w:themeColor="text1"/>
        </w:rPr>
        <w:t>供需格局优化。目前行业库存多有消化、压力缓解，下游需求采购意愿增强、现货交投回暖，叠加前期落后产能出清，行业持续亏损下共同助</w:t>
      </w:r>
      <w:proofErr w:type="gramStart"/>
      <w:r>
        <w:rPr>
          <w:rFonts w:hint="eastAsia"/>
          <w:color w:val="000000" w:themeColor="text1"/>
        </w:rPr>
        <w:t>推价格</w:t>
      </w:r>
      <w:proofErr w:type="gramEnd"/>
      <w:r>
        <w:rPr>
          <w:rFonts w:hint="eastAsia"/>
          <w:color w:val="000000" w:themeColor="text1"/>
        </w:rPr>
        <w:t>上行。</w:t>
      </w:r>
      <w:proofErr w:type="gramStart"/>
      <w:r>
        <w:rPr>
          <w:rFonts w:hint="eastAsia"/>
          <w:color w:val="000000" w:themeColor="text1"/>
        </w:rPr>
        <w:t>主原料</w:t>
      </w:r>
      <w:proofErr w:type="gramEnd"/>
      <w:r>
        <w:rPr>
          <w:rFonts w:hint="eastAsia"/>
          <w:color w:val="000000" w:themeColor="text1"/>
        </w:rPr>
        <w:t>PTMEG 淡稳、纯 MDI 下滑</w:t>
      </w:r>
      <w:proofErr w:type="gramStart"/>
      <w:r>
        <w:rPr>
          <w:rFonts w:hint="eastAsia"/>
          <w:color w:val="000000" w:themeColor="text1"/>
        </w:rPr>
        <w:t>致成本</w:t>
      </w:r>
      <w:proofErr w:type="gramEnd"/>
      <w:r>
        <w:rPr>
          <w:rFonts w:hint="eastAsia"/>
          <w:color w:val="000000" w:themeColor="text1"/>
        </w:rPr>
        <w:t>端有所松动，但成本仍处高位。下周来看，供需关系持续缓和，企业后续将维持</w:t>
      </w:r>
      <w:proofErr w:type="gramStart"/>
      <w:r>
        <w:rPr>
          <w:rFonts w:hint="eastAsia"/>
          <w:color w:val="000000" w:themeColor="text1"/>
        </w:rPr>
        <w:t>挺</w:t>
      </w:r>
      <w:proofErr w:type="gramEnd"/>
      <w:r>
        <w:rPr>
          <w:rFonts w:hint="eastAsia"/>
          <w:color w:val="000000" w:themeColor="text1"/>
        </w:rPr>
        <w:t>价策略，市场整体稳中偏强。</w:t>
      </w:r>
    </w:p>
    <w:p w14:paraId="045B4269"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3C0F789B" w14:textId="3966F2DC"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：本周粘胶短</w:t>
      </w:r>
      <w:proofErr w:type="gramStart"/>
      <w:r>
        <w:rPr>
          <w:rFonts w:hint="eastAsia"/>
          <w:color w:val="000000" w:themeColor="text1"/>
        </w:rPr>
        <w:t>纤市场弱稳运行</w:t>
      </w:r>
      <w:proofErr w:type="gramEnd"/>
      <w:r>
        <w:rPr>
          <w:rFonts w:hint="eastAsia"/>
          <w:color w:val="000000" w:themeColor="text1"/>
        </w:rPr>
        <w:t>。原料溶解</w:t>
      </w:r>
      <w:proofErr w:type="gramStart"/>
      <w:r>
        <w:rPr>
          <w:rFonts w:hint="eastAsia"/>
          <w:color w:val="000000" w:themeColor="text1"/>
        </w:rPr>
        <w:t>浆</w:t>
      </w:r>
      <w:proofErr w:type="gramEnd"/>
      <w:r>
        <w:rPr>
          <w:rFonts w:hint="eastAsia"/>
          <w:color w:val="000000" w:themeColor="text1"/>
        </w:rPr>
        <w:t>新价陆续出台，粘胶短</w:t>
      </w:r>
      <w:proofErr w:type="gramStart"/>
      <w:r>
        <w:rPr>
          <w:rFonts w:hint="eastAsia"/>
          <w:color w:val="000000" w:themeColor="text1"/>
        </w:rPr>
        <w:t>纤</w:t>
      </w:r>
      <w:proofErr w:type="gramEnd"/>
      <w:r>
        <w:rPr>
          <w:rFonts w:hint="eastAsia"/>
          <w:color w:val="000000" w:themeColor="text1"/>
        </w:rPr>
        <w:t>成本支撑仍存；周内</w:t>
      </w:r>
      <w:proofErr w:type="gramStart"/>
      <w:r>
        <w:rPr>
          <w:rFonts w:hint="eastAsia"/>
          <w:color w:val="000000" w:themeColor="text1"/>
        </w:rPr>
        <w:t>下游纱企备货</w:t>
      </w:r>
      <w:proofErr w:type="gramEnd"/>
      <w:r>
        <w:rPr>
          <w:rFonts w:hint="eastAsia"/>
          <w:color w:val="000000" w:themeColor="text1"/>
        </w:rPr>
        <w:t>基本结束，粘胶短</w:t>
      </w:r>
      <w:proofErr w:type="gramStart"/>
      <w:r>
        <w:rPr>
          <w:rFonts w:hint="eastAsia"/>
          <w:color w:val="000000" w:themeColor="text1"/>
        </w:rPr>
        <w:t>纤</w:t>
      </w:r>
      <w:proofErr w:type="gramEnd"/>
      <w:r>
        <w:rPr>
          <w:rFonts w:hint="eastAsia"/>
          <w:color w:val="000000" w:themeColor="text1"/>
        </w:rPr>
        <w:t>市场交投氛围逐渐回归平淡，终端布厂按需备货，采购积极性不高；临近年末，上下游市场需求收窄，粘胶短</w:t>
      </w:r>
      <w:proofErr w:type="gramStart"/>
      <w:r>
        <w:rPr>
          <w:rFonts w:hint="eastAsia"/>
          <w:color w:val="000000" w:themeColor="text1"/>
        </w:rPr>
        <w:t>纤</w:t>
      </w:r>
      <w:proofErr w:type="gramEnd"/>
      <w:r>
        <w:rPr>
          <w:rFonts w:hint="eastAsia"/>
          <w:color w:val="000000" w:themeColor="text1"/>
        </w:rPr>
        <w:t>厂家进入发货阶段，市场重心以区间震荡为主。</w:t>
      </w:r>
    </w:p>
    <w:p w14:paraId="3892B092"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6E8C97D8" w14:textId="77777777"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莱赛尔纤维：本周国内莱赛尔纤维市场走势较为坚挺。溶解</w:t>
      </w:r>
      <w:proofErr w:type="gramStart"/>
      <w:r>
        <w:rPr>
          <w:rFonts w:hint="eastAsia"/>
          <w:color w:val="000000" w:themeColor="text1"/>
        </w:rPr>
        <w:t>浆</w:t>
      </w:r>
      <w:proofErr w:type="gramEnd"/>
      <w:r>
        <w:rPr>
          <w:rFonts w:hint="eastAsia"/>
          <w:color w:val="000000" w:themeColor="text1"/>
        </w:rPr>
        <w:t>价格暂稳，莱赛尔纤维成本支撑犹存，国内企业多维持正常生产，供应方面较为稳定。但春节假期临近，</w:t>
      </w:r>
      <w:proofErr w:type="gramStart"/>
      <w:r>
        <w:rPr>
          <w:rFonts w:hint="eastAsia"/>
          <w:color w:val="000000" w:themeColor="text1"/>
        </w:rPr>
        <w:t>纱企原料</w:t>
      </w:r>
      <w:proofErr w:type="gramEnd"/>
      <w:r>
        <w:rPr>
          <w:rFonts w:hint="eastAsia"/>
          <w:color w:val="000000" w:themeColor="text1"/>
        </w:rPr>
        <w:t>备货与</w:t>
      </w:r>
      <w:proofErr w:type="gramStart"/>
      <w:r>
        <w:rPr>
          <w:rFonts w:hint="eastAsia"/>
          <w:color w:val="000000" w:themeColor="text1"/>
        </w:rPr>
        <w:t>询</w:t>
      </w:r>
      <w:proofErr w:type="gramEnd"/>
      <w:r>
        <w:rPr>
          <w:rFonts w:hint="eastAsia"/>
          <w:color w:val="000000" w:themeColor="text1"/>
        </w:rPr>
        <w:t>单积极性提升，莱赛尔纤维企业以排单发货为主，市场走货氛围尚可，部分工厂暂无库存压力，供应略微偏紧，商谈重心略有提高，不过市场成交仍有待观察。预计短期内市场或维持坚挺走势。</w:t>
      </w:r>
    </w:p>
    <w:p w14:paraId="22AA2C43" w14:textId="77777777" w:rsidR="00287A59" w:rsidRDefault="00287A59">
      <w:pPr>
        <w:pStyle w:val="ad"/>
        <w:adjustRightInd w:val="0"/>
        <w:snapToGrid w:val="0"/>
        <w:spacing w:before="0" w:beforeAutospacing="0" w:after="0" w:afterAutospacing="0" w:line="360" w:lineRule="auto"/>
        <w:rPr>
          <w:rFonts w:hint="eastAsia"/>
          <w:color w:val="000000" w:themeColor="text1"/>
        </w:rPr>
      </w:pPr>
    </w:p>
    <w:p w14:paraId="7570C44D" w14:textId="77777777" w:rsidR="00287A59"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lastRenderedPageBreak/>
        <w:t>腈纶：本周国内腈纶市场延续观望态势，尽管成本支撑小幅增强，但尚未有效提振下游采购意愿，业者心态谨慎，市场新单</w:t>
      </w:r>
      <w:proofErr w:type="gramStart"/>
      <w:r>
        <w:rPr>
          <w:rFonts w:hint="eastAsia"/>
          <w:color w:val="000000" w:themeColor="text1"/>
        </w:rPr>
        <w:t>跟进仍以刚需</w:t>
      </w:r>
      <w:proofErr w:type="gramEnd"/>
      <w:r>
        <w:rPr>
          <w:rFonts w:hint="eastAsia"/>
          <w:color w:val="000000" w:themeColor="text1"/>
        </w:rPr>
        <w:t>为主导。考虑到春节前后需求进入传统淡季，下游备货意向不高，工厂出货节奏趋缓，实际成交仍存一定议价空间。预计短期内市场趋稳整理为主，后续需重点关注原料价格走势及</w:t>
      </w:r>
      <w:proofErr w:type="gramStart"/>
      <w:r>
        <w:rPr>
          <w:rFonts w:hint="eastAsia"/>
          <w:color w:val="000000" w:themeColor="text1"/>
        </w:rPr>
        <w:t>需求端新单</w:t>
      </w:r>
      <w:proofErr w:type="gramEnd"/>
      <w:r>
        <w:rPr>
          <w:rFonts w:hint="eastAsia"/>
          <w:color w:val="000000" w:themeColor="text1"/>
        </w:rPr>
        <w:t>跟进情况。</w:t>
      </w:r>
    </w:p>
    <w:bookmarkEnd w:id="16"/>
    <w:p w14:paraId="0227C67F" w14:textId="77777777" w:rsidR="00287A59" w:rsidRDefault="00287A59">
      <w:pPr>
        <w:adjustRightInd w:val="0"/>
        <w:snapToGrid w:val="0"/>
        <w:spacing w:line="360" w:lineRule="auto"/>
        <w:rPr>
          <w:rFonts w:hint="eastAsia"/>
        </w:rPr>
      </w:pPr>
    </w:p>
    <w:p w14:paraId="4AF6A7D0" w14:textId="77777777" w:rsidR="00287A59" w:rsidRDefault="00000000">
      <w:pPr>
        <w:spacing w:line="360" w:lineRule="auto"/>
        <w:rPr>
          <w:rFonts w:hint="eastAsia"/>
        </w:rPr>
      </w:pPr>
      <w:r>
        <w:rPr>
          <w:rFonts w:hint="eastAsia"/>
        </w:rPr>
        <w:t>（本期完）</w:t>
      </w:r>
    </w:p>
    <w:p w14:paraId="7390C0CF" w14:textId="77777777" w:rsidR="00287A59" w:rsidRDefault="00287A59">
      <w:pPr>
        <w:spacing w:line="360" w:lineRule="auto"/>
        <w:rPr>
          <w:rFonts w:hint="eastAsia"/>
        </w:rPr>
      </w:pPr>
    </w:p>
    <w:p w14:paraId="1341CBC6" w14:textId="77777777" w:rsidR="00287A59"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287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111CC"/>
    <w:rsid w:val="00012E1F"/>
    <w:rsid w:val="000135E9"/>
    <w:rsid w:val="00016000"/>
    <w:rsid w:val="000167EA"/>
    <w:rsid w:val="0002472E"/>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EB"/>
    <w:rsid w:val="00065519"/>
    <w:rsid w:val="000679AB"/>
    <w:rsid w:val="00070E4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2795"/>
    <w:rsid w:val="001442EE"/>
    <w:rsid w:val="00144CD5"/>
    <w:rsid w:val="00144E8F"/>
    <w:rsid w:val="0015371B"/>
    <w:rsid w:val="001565D3"/>
    <w:rsid w:val="001575AE"/>
    <w:rsid w:val="00161B8B"/>
    <w:rsid w:val="00162AC3"/>
    <w:rsid w:val="001658CA"/>
    <w:rsid w:val="00172A00"/>
    <w:rsid w:val="00173300"/>
    <w:rsid w:val="001761DA"/>
    <w:rsid w:val="00177419"/>
    <w:rsid w:val="00182138"/>
    <w:rsid w:val="001826EA"/>
    <w:rsid w:val="0018405F"/>
    <w:rsid w:val="00185708"/>
    <w:rsid w:val="00190366"/>
    <w:rsid w:val="00190D32"/>
    <w:rsid w:val="001945A7"/>
    <w:rsid w:val="00197292"/>
    <w:rsid w:val="00197829"/>
    <w:rsid w:val="001A04CE"/>
    <w:rsid w:val="001A17F9"/>
    <w:rsid w:val="001A60F5"/>
    <w:rsid w:val="001A657B"/>
    <w:rsid w:val="001A6F3E"/>
    <w:rsid w:val="001A721B"/>
    <w:rsid w:val="001A7813"/>
    <w:rsid w:val="001B2810"/>
    <w:rsid w:val="001C2266"/>
    <w:rsid w:val="001C5C28"/>
    <w:rsid w:val="001D1892"/>
    <w:rsid w:val="001D2AD3"/>
    <w:rsid w:val="001D3D22"/>
    <w:rsid w:val="001D521E"/>
    <w:rsid w:val="001E3D3B"/>
    <w:rsid w:val="001E4173"/>
    <w:rsid w:val="001E6F00"/>
    <w:rsid w:val="001F3BAA"/>
    <w:rsid w:val="001F7AE9"/>
    <w:rsid w:val="002015A7"/>
    <w:rsid w:val="00203B58"/>
    <w:rsid w:val="002047AC"/>
    <w:rsid w:val="00205B61"/>
    <w:rsid w:val="00212AE0"/>
    <w:rsid w:val="0021595B"/>
    <w:rsid w:val="00215C95"/>
    <w:rsid w:val="00215F5C"/>
    <w:rsid w:val="00216DEC"/>
    <w:rsid w:val="00221F65"/>
    <w:rsid w:val="00222301"/>
    <w:rsid w:val="002226E9"/>
    <w:rsid w:val="00222F5A"/>
    <w:rsid w:val="00233538"/>
    <w:rsid w:val="0023529C"/>
    <w:rsid w:val="00236889"/>
    <w:rsid w:val="00236DBF"/>
    <w:rsid w:val="00240539"/>
    <w:rsid w:val="00243BA9"/>
    <w:rsid w:val="002508D6"/>
    <w:rsid w:val="00254112"/>
    <w:rsid w:val="00254907"/>
    <w:rsid w:val="00254CFE"/>
    <w:rsid w:val="00260C29"/>
    <w:rsid w:val="0026314A"/>
    <w:rsid w:val="00264473"/>
    <w:rsid w:val="00266856"/>
    <w:rsid w:val="002708FA"/>
    <w:rsid w:val="00270BB8"/>
    <w:rsid w:val="00276804"/>
    <w:rsid w:val="00277C65"/>
    <w:rsid w:val="00283B84"/>
    <w:rsid w:val="0028478E"/>
    <w:rsid w:val="00285105"/>
    <w:rsid w:val="002855A2"/>
    <w:rsid w:val="00285E8A"/>
    <w:rsid w:val="00287A59"/>
    <w:rsid w:val="0029294D"/>
    <w:rsid w:val="002931D7"/>
    <w:rsid w:val="00295C56"/>
    <w:rsid w:val="00295FCA"/>
    <w:rsid w:val="002A056A"/>
    <w:rsid w:val="002A1AFB"/>
    <w:rsid w:val="002A2AB9"/>
    <w:rsid w:val="002A3EA2"/>
    <w:rsid w:val="002A7317"/>
    <w:rsid w:val="002B0E1E"/>
    <w:rsid w:val="002B19B1"/>
    <w:rsid w:val="002B257F"/>
    <w:rsid w:val="002B44DE"/>
    <w:rsid w:val="002B463C"/>
    <w:rsid w:val="002B4AB7"/>
    <w:rsid w:val="002B7618"/>
    <w:rsid w:val="002C1926"/>
    <w:rsid w:val="002D23C4"/>
    <w:rsid w:val="002D4FCC"/>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4364"/>
    <w:rsid w:val="00345EB8"/>
    <w:rsid w:val="00347BF5"/>
    <w:rsid w:val="00350F34"/>
    <w:rsid w:val="00351F89"/>
    <w:rsid w:val="00352C55"/>
    <w:rsid w:val="00360A51"/>
    <w:rsid w:val="003613E7"/>
    <w:rsid w:val="00361F8F"/>
    <w:rsid w:val="00365B66"/>
    <w:rsid w:val="003701B5"/>
    <w:rsid w:val="00370FE2"/>
    <w:rsid w:val="00386B6F"/>
    <w:rsid w:val="003902D3"/>
    <w:rsid w:val="00391901"/>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CAE"/>
    <w:rsid w:val="003E182A"/>
    <w:rsid w:val="003E1F85"/>
    <w:rsid w:val="003E295A"/>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7761"/>
    <w:rsid w:val="00422116"/>
    <w:rsid w:val="004223C4"/>
    <w:rsid w:val="00422A86"/>
    <w:rsid w:val="004238E9"/>
    <w:rsid w:val="0042493E"/>
    <w:rsid w:val="00425218"/>
    <w:rsid w:val="00427072"/>
    <w:rsid w:val="00431E33"/>
    <w:rsid w:val="004330DF"/>
    <w:rsid w:val="004377FC"/>
    <w:rsid w:val="00440C59"/>
    <w:rsid w:val="00441485"/>
    <w:rsid w:val="00442F48"/>
    <w:rsid w:val="00443AB6"/>
    <w:rsid w:val="00446B76"/>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2D97"/>
    <w:rsid w:val="004F5578"/>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4988"/>
    <w:rsid w:val="005D2381"/>
    <w:rsid w:val="005D3A4C"/>
    <w:rsid w:val="005D517F"/>
    <w:rsid w:val="005D5384"/>
    <w:rsid w:val="005D6E67"/>
    <w:rsid w:val="005E02B2"/>
    <w:rsid w:val="005E2994"/>
    <w:rsid w:val="005E316B"/>
    <w:rsid w:val="005F2BEF"/>
    <w:rsid w:val="005F68DC"/>
    <w:rsid w:val="00600B60"/>
    <w:rsid w:val="00601326"/>
    <w:rsid w:val="0060307A"/>
    <w:rsid w:val="00604509"/>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4255"/>
    <w:rsid w:val="00644C84"/>
    <w:rsid w:val="00645A8A"/>
    <w:rsid w:val="00650D86"/>
    <w:rsid w:val="00652697"/>
    <w:rsid w:val="0065397A"/>
    <w:rsid w:val="00657464"/>
    <w:rsid w:val="00660C64"/>
    <w:rsid w:val="00662FFD"/>
    <w:rsid w:val="0066422C"/>
    <w:rsid w:val="006712B1"/>
    <w:rsid w:val="00673274"/>
    <w:rsid w:val="0067592C"/>
    <w:rsid w:val="00681A47"/>
    <w:rsid w:val="00681C89"/>
    <w:rsid w:val="00687B80"/>
    <w:rsid w:val="00687BC5"/>
    <w:rsid w:val="00691436"/>
    <w:rsid w:val="006963DF"/>
    <w:rsid w:val="006A011C"/>
    <w:rsid w:val="006A042F"/>
    <w:rsid w:val="006A0F4A"/>
    <w:rsid w:val="006A1B2F"/>
    <w:rsid w:val="006A242F"/>
    <w:rsid w:val="006A79DB"/>
    <w:rsid w:val="006B3ACD"/>
    <w:rsid w:val="006B3B7B"/>
    <w:rsid w:val="006B586E"/>
    <w:rsid w:val="006C21AE"/>
    <w:rsid w:val="006C4086"/>
    <w:rsid w:val="006C4712"/>
    <w:rsid w:val="006C47ED"/>
    <w:rsid w:val="006C4A2E"/>
    <w:rsid w:val="006C5096"/>
    <w:rsid w:val="006C6F95"/>
    <w:rsid w:val="006C77F8"/>
    <w:rsid w:val="006D3ADB"/>
    <w:rsid w:val="006D4AC1"/>
    <w:rsid w:val="006E06DA"/>
    <w:rsid w:val="006E1F66"/>
    <w:rsid w:val="006E394F"/>
    <w:rsid w:val="006E703B"/>
    <w:rsid w:val="006F1229"/>
    <w:rsid w:val="006F2C72"/>
    <w:rsid w:val="006F5C24"/>
    <w:rsid w:val="00701F8C"/>
    <w:rsid w:val="00703912"/>
    <w:rsid w:val="007040F2"/>
    <w:rsid w:val="0070502D"/>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60A2"/>
    <w:rsid w:val="007C7820"/>
    <w:rsid w:val="007D0165"/>
    <w:rsid w:val="007D08EE"/>
    <w:rsid w:val="007D4BA1"/>
    <w:rsid w:val="007E3AA2"/>
    <w:rsid w:val="007F0128"/>
    <w:rsid w:val="007F0374"/>
    <w:rsid w:val="007F1B82"/>
    <w:rsid w:val="007F244C"/>
    <w:rsid w:val="007F5379"/>
    <w:rsid w:val="00800C3A"/>
    <w:rsid w:val="0080360E"/>
    <w:rsid w:val="00804279"/>
    <w:rsid w:val="0080469B"/>
    <w:rsid w:val="00805AB6"/>
    <w:rsid w:val="00805D26"/>
    <w:rsid w:val="00810407"/>
    <w:rsid w:val="0081173F"/>
    <w:rsid w:val="00812506"/>
    <w:rsid w:val="00817192"/>
    <w:rsid w:val="00817238"/>
    <w:rsid w:val="00817C5B"/>
    <w:rsid w:val="00820D3F"/>
    <w:rsid w:val="008243F8"/>
    <w:rsid w:val="00831450"/>
    <w:rsid w:val="008325E0"/>
    <w:rsid w:val="00832BF4"/>
    <w:rsid w:val="00834D02"/>
    <w:rsid w:val="00835458"/>
    <w:rsid w:val="0083547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15CA"/>
    <w:rsid w:val="00936559"/>
    <w:rsid w:val="00937A96"/>
    <w:rsid w:val="00942EF3"/>
    <w:rsid w:val="009453F3"/>
    <w:rsid w:val="009455DF"/>
    <w:rsid w:val="00951010"/>
    <w:rsid w:val="009510A7"/>
    <w:rsid w:val="00952B8D"/>
    <w:rsid w:val="00952FC0"/>
    <w:rsid w:val="00954BD2"/>
    <w:rsid w:val="009617D9"/>
    <w:rsid w:val="0096250D"/>
    <w:rsid w:val="00962D48"/>
    <w:rsid w:val="00964A9D"/>
    <w:rsid w:val="009653B5"/>
    <w:rsid w:val="00966E7E"/>
    <w:rsid w:val="009776EE"/>
    <w:rsid w:val="00983EDA"/>
    <w:rsid w:val="0098407F"/>
    <w:rsid w:val="009843CA"/>
    <w:rsid w:val="00985D4E"/>
    <w:rsid w:val="00986DEC"/>
    <w:rsid w:val="009906A9"/>
    <w:rsid w:val="00990923"/>
    <w:rsid w:val="00992592"/>
    <w:rsid w:val="00993021"/>
    <w:rsid w:val="009934BF"/>
    <w:rsid w:val="009936C7"/>
    <w:rsid w:val="009948CA"/>
    <w:rsid w:val="0099492A"/>
    <w:rsid w:val="0099782B"/>
    <w:rsid w:val="00997F7F"/>
    <w:rsid w:val="009A1363"/>
    <w:rsid w:val="009A6DE7"/>
    <w:rsid w:val="009B0801"/>
    <w:rsid w:val="009B1070"/>
    <w:rsid w:val="009B6FCF"/>
    <w:rsid w:val="009C1587"/>
    <w:rsid w:val="009C1FAC"/>
    <w:rsid w:val="009C2A23"/>
    <w:rsid w:val="009C30BA"/>
    <w:rsid w:val="009C336F"/>
    <w:rsid w:val="009C607E"/>
    <w:rsid w:val="009D550B"/>
    <w:rsid w:val="009D6ABF"/>
    <w:rsid w:val="009E1170"/>
    <w:rsid w:val="009E11E2"/>
    <w:rsid w:val="009E39EB"/>
    <w:rsid w:val="009E5935"/>
    <w:rsid w:val="009E7077"/>
    <w:rsid w:val="009F322C"/>
    <w:rsid w:val="009F3665"/>
    <w:rsid w:val="009F482B"/>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B6B65"/>
    <w:rsid w:val="00AC05EB"/>
    <w:rsid w:val="00AC15B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56E6"/>
    <w:rsid w:val="00B557D4"/>
    <w:rsid w:val="00B56D83"/>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1E2C"/>
    <w:rsid w:val="00BB4442"/>
    <w:rsid w:val="00BB4C01"/>
    <w:rsid w:val="00BB5BC7"/>
    <w:rsid w:val="00BB6801"/>
    <w:rsid w:val="00BB6EB7"/>
    <w:rsid w:val="00BC024E"/>
    <w:rsid w:val="00BC160F"/>
    <w:rsid w:val="00BC1FDE"/>
    <w:rsid w:val="00BC251C"/>
    <w:rsid w:val="00BC2F8C"/>
    <w:rsid w:val="00BC55BE"/>
    <w:rsid w:val="00BD071F"/>
    <w:rsid w:val="00BD225C"/>
    <w:rsid w:val="00BD25A9"/>
    <w:rsid w:val="00BD4AED"/>
    <w:rsid w:val="00BD6209"/>
    <w:rsid w:val="00BD7E43"/>
    <w:rsid w:val="00BE0A6A"/>
    <w:rsid w:val="00BE0D6A"/>
    <w:rsid w:val="00BE1149"/>
    <w:rsid w:val="00BE4FDB"/>
    <w:rsid w:val="00BE63A3"/>
    <w:rsid w:val="00BF0196"/>
    <w:rsid w:val="00C0396D"/>
    <w:rsid w:val="00C04848"/>
    <w:rsid w:val="00C12957"/>
    <w:rsid w:val="00C129E0"/>
    <w:rsid w:val="00C13063"/>
    <w:rsid w:val="00C1393C"/>
    <w:rsid w:val="00C1604A"/>
    <w:rsid w:val="00C2248B"/>
    <w:rsid w:val="00C22826"/>
    <w:rsid w:val="00C238C4"/>
    <w:rsid w:val="00C243FA"/>
    <w:rsid w:val="00C33366"/>
    <w:rsid w:val="00C3646B"/>
    <w:rsid w:val="00C36847"/>
    <w:rsid w:val="00C43686"/>
    <w:rsid w:val="00C43771"/>
    <w:rsid w:val="00C46793"/>
    <w:rsid w:val="00C4728D"/>
    <w:rsid w:val="00C50A97"/>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F1238"/>
    <w:rsid w:val="00CF2233"/>
    <w:rsid w:val="00CF3284"/>
    <w:rsid w:val="00CF62A3"/>
    <w:rsid w:val="00D01A8D"/>
    <w:rsid w:val="00D01CFB"/>
    <w:rsid w:val="00D058B8"/>
    <w:rsid w:val="00D116FB"/>
    <w:rsid w:val="00D135DE"/>
    <w:rsid w:val="00D13BA4"/>
    <w:rsid w:val="00D209B4"/>
    <w:rsid w:val="00D22FD8"/>
    <w:rsid w:val="00D247CB"/>
    <w:rsid w:val="00D24E8D"/>
    <w:rsid w:val="00D2646F"/>
    <w:rsid w:val="00D26EF9"/>
    <w:rsid w:val="00D322D2"/>
    <w:rsid w:val="00D32651"/>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95CC2"/>
    <w:rsid w:val="00DA1F8B"/>
    <w:rsid w:val="00DA44AF"/>
    <w:rsid w:val="00DA48AF"/>
    <w:rsid w:val="00DA54F0"/>
    <w:rsid w:val="00DB08DB"/>
    <w:rsid w:val="00DB454A"/>
    <w:rsid w:val="00DB57F6"/>
    <w:rsid w:val="00DB6859"/>
    <w:rsid w:val="00DB7D0C"/>
    <w:rsid w:val="00DC0385"/>
    <w:rsid w:val="00DC23B1"/>
    <w:rsid w:val="00DC33C3"/>
    <w:rsid w:val="00DC3EFC"/>
    <w:rsid w:val="00DC4500"/>
    <w:rsid w:val="00DC5308"/>
    <w:rsid w:val="00DC75D5"/>
    <w:rsid w:val="00DD4385"/>
    <w:rsid w:val="00DD4BB5"/>
    <w:rsid w:val="00DD501E"/>
    <w:rsid w:val="00DD5C73"/>
    <w:rsid w:val="00DD7443"/>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2D1"/>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3363"/>
    <w:rsid w:val="00E961E1"/>
    <w:rsid w:val="00E97A4E"/>
    <w:rsid w:val="00EA196B"/>
    <w:rsid w:val="00EA70E8"/>
    <w:rsid w:val="00EB26C6"/>
    <w:rsid w:val="00EB64B8"/>
    <w:rsid w:val="00EB6846"/>
    <w:rsid w:val="00EC09A9"/>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3DB4"/>
    <w:rsid w:val="00F05616"/>
    <w:rsid w:val="00F05E58"/>
    <w:rsid w:val="00F067F6"/>
    <w:rsid w:val="00F07704"/>
    <w:rsid w:val="00F07EB6"/>
    <w:rsid w:val="00F1240F"/>
    <w:rsid w:val="00F135EE"/>
    <w:rsid w:val="00F15CB3"/>
    <w:rsid w:val="00F20804"/>
    <w:rsid w:val="00F27BD7"/>
    <w:rsid w:val="00F27C38"/>
    <w:rsid w:val="00F32119"/>
    <w:rsid w:val="00F3268F"/>
    <w:rsid w:val="00F36DCB"/>
    <w:rsid w:val="00F408CD"/>
    <w:rsid w:val="00F43F87"/>
    <w:rsid w:val="00F44053"/>
    <w:rsid w:val="00F44B6C"/>
    <w:rsid w:val="00F45B4F"/>
    <w:rsid w:val="00F45DB3"/>
    <w:rsid w:val="00F473FB"/>
    <w:rsid w:val="00F5111C"/>
    <w:rsid w:val="00F51399"/>
    <w:rsid w:val="00F522E3"/>
    <w:rsid w:val="00F52606"/>
    <w:rsid w:val="00F57CAC"/>
    <w:rsid w:val="00F60E9C"/>
    <w:rsid w:val="00F62534"/>
    <w:rsid w:val="00F70628"/>
    <w:rsid w:val="00F71FEC"/>
    <w:rsid w:val="00F73B8D"/>
    <w:rsid w:val="00F73F85"/>
    <w:rsid w:val="00F74941"/>
    <w:rsid w:val="00F77310"/>
    <w:rsid w:val="00F85B0B"/>
    <w:rsid w:val="00F90D03"/>
    <w:rsid w:val="00F90E5A"/>
    <w:rsid w:val="00FA2271"/>
    <w:rsid w:val="00FB2090"/>
    <w:rsid w:val="00FB244F"/>
    <w:rsid w:val="00FB2ADB"/>
    <w:rsid w:val="00FB2B2F"/>
    <w:rsid w:val="00FB5F79"/>
    <w:rsid w:val="00FB7E72"/>
    <w:rsid w:val="00FC29AC"/>
    <w:rsid w:val="00FC5033"/>
    <w:rsid w:val="00FC5502"/>
    <w:rsid w:val="00FC730F"/>
    <w:rsid w:val="00FC76DE"/>
    <w:rsid w:val="00FD06AF"/>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1B75DAA"/>
    <w:rsid w:val="164A1556"/>
    <w:rsid w:val="186C1260"/>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79797"/>
  <w15:docId w15:val="{B18E95A4-2C6B-4731-AA2A-65592E1F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styleId="af5">
    <w:name w:val="Revision"/>
    <w:hidden/>
    <w:uiPriority w:val="99"/>
    <w:unhideWhenUsed/>
    <w:rsid w:val="0061199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ibo.com/ccfa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29ce1016-0d4a-42e0-b36f-74a5653d1da0</errorID>
      <errorWord>:</errorWord>
      <group>L1_Format</group>
      <groupName>格式问题</groupName>
      <ability>L2_HalfPunc</ability>
      <abilityName>全半角检查</abilityName>
      <candidateList>
        <item>：</item>
      </candidateList>
      <explain>文本全半角错误。</explain>
      <paraID>66779DE3</paraID>
      <start>147</start>
      <end>148</end>
      <status>unmodified</status>
      <modifiedWord/>
      <trackRevisions>false</trackRevisions>
    </reviewItem>
    <reviewItem>
      <errorID>2fd05ab8-8c36-4522-b3e7-931de0c5b34d</errorID>
      <errorWord>:</errorWord>
      <group>L1_Format</group>
      <groupName>格式问题</groupName>
      <ability>L2_HalfPunc</ability>
      <abilityName>全半角检查</abilityName>
      <candidateList>
        <item>：</item>
      </candidateList>
      <explain>文本全半角错误。</explain>
      <paraID>66779DE3</paraID>
      <start>204</start>
      <end>205</end>
      <status>unmodified</status>
      <modifiedWord/>
      <trackRevisions>false</trackRevisions>
    </reviewItem>
    <reviewItem>
      <errorID>4832059f-27d7-4726-bbf6-459414a583cf</errorID>
      <errorWord>"</errorWord>
      <group>L1_Format</group>
      <groupName>格式问题</groupName>
      <ability>L2_HalfPunc</ability>
      <abilityName>全半角检查</abilityName>
      <candidateList>
        <item>“</item>
      </candidateList>
      <explain>文本全半角错误。</explain>
      <paraID>66779DE3</paraID>
      <start>205</start>
      <end>206</end>
      <status>unmodified</status>
      <modifiedWord/>
      <trackRevisions>false</trackRevisions>
    </reviewItem>
    <reviewItem>
      <errorID>ccb1fedb-cbf4-4890-a6a8-a8311a17d058</errorID>
      <errorWord>"</errorWord>
      <group>L1_Format</group>
      <groupName>格式问题</groupName>
      <ability>L2_HalfPunc</ability>
      <abilityName>全半角检查</abilityName>
      <candidateList>
        <item>”</item>
      </candidateList>
      <explain>文本全半角错误。</explain>
      <paraID>66779DE3</paraID>
      <start>207</start>
      <end>208</end>
      <status>unmodified</status>
      <modifiedWord/>
      <trackRevisions>false</trackRevisions>
    </reviewItem>
    <reviewItem>
      <errorID>0c87998e-91e6-4cc7-a578-acc4b35185e6</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66779DE3</paraID>
      <start>220</start>
      <end>234</end>
      <status>modified</status>
      <modifiedWord>“十五五”规划</modifiedWord>
      <trackRevisions>true</trackRevisions>
    </reviewItem>
    <reviewItem>
      <errorID>a2172e58-9542-458a-9834-398bf4e67eea</errorID>
      <errorWord>表所组成</errorWord>
      <group>L1_Grammar</group>
      <groupName>语法问题</groupName>
      <ability>L2_Confusion</ability>
      <abilityName>结构混乱</abilityName>
      <candidateList>
        <item>表</item>
      </candidateList>
      <explain>句子中可能存在两种以上的句法结构，导致结构混乱。</explain>
      <paraID>1A01DA09</paraID>
      <start>185</start>
      <end>189</end>
      <status>unmodified</status>
      <modifiedWord/>
      <trackRevisions>false</trackRevisions>
    </reviewItem>
    <reviewItem>
      <errorID>62e148bb-dced-4de0-8870-c1a6c0508679</errorID>
      <errorWord>：</errorWord>
      <group>L1_Format</group>
      <groupName>格式问题</groupName>
      <ability>L2_HalfPunc</ability>
      <abilityName>全半角检查</abilityName>
      <candidateList>
        <item>:</item>
      </candidateList>
      <explain>文本全半角错误。</explain>
      <paraID>1A01DA09</paraID>
      <start>248</start>
      <end>249</end>
      <status>unmodified</status>
      <modifiedWord/>
      <trackRevisions>false</trackRevisions>
    </reviewItem>
    <reviewItem>
      <errorID>5ee2930e-fdcb-4187-a58d-0cdf4626a9d6</errorID>
      <errorWord>：</errorWord>
      <group>L1_Format</group>
      <groupName>格式问题</groupName>
      <ability>L2_HalfPunc</ability>
      <abilityName>全半角检查</abilityName>
      <candidateList>
        <item>:</item>
      </candidateList>
      <explain>文本全半角错误。</explain>
      <paraID>1A01DA09</paraID>
      <start>263</start>
      <end>264</end>
      <status>unmodified</status>
      <modifiedWord/>
      <trackRevisions>false</trackRevisions>
    </reviewItem>
    <reviewItem>
      <errorID>3e45ce24-dc0a-4e36-a238-e1f96a5bba18</errorID>
      <errorWord>：</errorWord>
      <group>L1_Format</group>
      <groupName>格式问题</groupName>
      <ability>L2_HalfPunc</ability>
      <abilityName>全半角检查</abilityName>
      <candidateList>
        <item>:</item>
      </candidateList>
      <explain>文本全半角错误。</explain>
      <paraID>1A01DA09</paraID>
      <start>269</start>
      <end>270</end>
      <status>unmodified</status>
      <modifiedWord/>
      <trackRevisions>false</trackRevisions>
    </reviewItem>
    <reviewItem>
      <errorID>20a15c76-b85a-47f7-ade2-9dc04f928a49</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77F4E9F0</paraID>
      <start>219</start>
      <end>233</end>
      <status>modified</status>
      <modifiedWord>“十五五”规划</modifiedWord>
      <trackRevisions>true</trackRevisions>
    </reviewItem>
    <reviewItem>
      <errorID>a8a6f396-fd04-48d1-b1f3-e1e57c5003bd</errorID>
      <errorWord>仿大</errorWord>
      <group>L1_Word</group>
      <groupName>字词问题</groupName>
      <ability>L2_Typo</ability>
      <abilityName>字词错误</abilityName>
      <candidateList>
        <item>放大</item>
      </candidateList>
      <explain/>
      <paraID>2DD41C96</paraID>
      <start>6</start>
      <end>8</end>
      <status>unmodified</status>
      <modifiedWord/>
      <trackRevisions>false</trackRevisions>
    </reviewItem>
    <reviewItem>
      <errorID>090c053d-e681-450d-a897-a3bcebedd9c1</errorID>
      <errorWord>行成</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3D698225</paraID>
      <start>140</start>
      <end>144</end>
      <status>modified</status>
      <modifiedWord>形成</modifiedWord>
      <trackRevisions>true</trackRevisions>
    </reviewItem>
    <reviewItem>
      <errorID>0899e570-61c5-40b2-80d8-bf6e2528edce</errorID>
      <errorWord>出台中</errorWord>
      <group>L1_Word</group>
      <groupName>字词问题</groupName>
      <ability>L2_Typo</ability>
      <abilityName>字词错误</abilityName>
      <candidateList>
        <item>出台</item>
      </candidateList>
      <explain/>
      <paraID>5F9D14B3</paraID>
      <start>27</start>
      <end>32</end>
      <status>modified</status>
      <modifiedWord>出台</modifiedWord>
      <trackRevisions>true</trackRevisions>
    </reviewItem>
    <reviewItem>
      <errorID>c99e6157-bcf4-4274-a09e-1db56353a31d</errorID>
      <errorWord>询单</errorWord>
      <group>L1_Word</group>
      <groupName>字词问题</groupName>
      <ability>L2_Typo</ability>
      <abilityName>字词错误</abilityName>
      <candidateList>
        <item>下单</item>
      </candidateList>
      <explain/>
      <paraID>283003C0</paraID>
      <start>80</start>
      <end>82</end>
      <status>unmodified</status>
      <modifiedWord/>
      <trackRevisions>false</trackRevisions>
    </reviewItem>
    <reviewItem>
      <errorID>fcd4ac91-cd58-4a5a-9659-b45673171834</errorID>
      <errorWord>免费赠阅</errorWord>
      <group>L1_Word</group>
      <groupName>字词问题</groupName>
      <ability>L2_Typo</ability>
      <abilityName>字词错误</abilityName>
      <candidateList>
        <item>赠阅</item>
      </candidateList>
      <explain/>
      <paraID>1E5E98D6</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44026AAE-A0BF-4983-944C-3E513FE7553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716</Words>
  <Characters>4082</Characters>
  <Application>Microsoft Office Word</Application>
  <DocSecurity>0</DocSecurity>
  <Lines>34</Lines>
  <Paragraphs>9</Paragraphs>
  <ScaleCrop>false</ScaleCrop>
  <Company>Microsoft</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427</cp:revision>
  <dcterms:created xsi:type="dcterms:W3CDTF">2025-07-31T11:55:00Z</dcterms:created>
  <dcterms:modified xsi:type="dcterms:W3CDTF">2026-01-22T09:33:00Z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E82D3A38FA7F49C48A1A468A92644306_13</vt:lpwstr>
  </property>
  <property fmtid="{D5CDD505-2E9C-101B-9397-08002B2CF9AE}" pid="4" name="KSOTemplateDocerSaveRecord">
    <vt:lpwstr>eyJoZGlkIjoiYmY2MzU0NDc0NWNjMTFiN2E5NTAwMzA2MWVhOGQ3YWQiLCJ1c2VySWQiOiIzNTU0NDA1NzAifQ==</vt:lpwstr>
  </property>
</Properties>
</file>