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3B7B7">
      <w:pPr>
        <w:spacing w:line="360" w:lineRule="auto"/>
        <w:jc w:val="both"/>
        <w:rPr>
          <w:rFonts w:hint="eastAsia"/>
        </w:rPr>
      </w:pPr>
    </w:p>
    <w:p w14:paraId="5F3B9E40">
      <w:pPr>
        <w:spacing w:line="360" w:lineRule="auto"/>
        <w:jc w:val="both"/>
        <w:rPr>
          <w:rFonts w:hint="eastAsia"/>
        </w:rPr>
      </w:pPr>
      <w:bookmarkStart w:id="0" w:name="OLE_LINK36"/>
      <w:bookmarkStart w:id="1" w:name="OLE_LINK34"/>
      <w:bookmarkStart w:id="2" w:name="OLE_LINK51"/>
      <w:bookmarkStart w:id="3" w:name="OLE_LINK47"/>
      <w:bookmarkStart w:id="4" w:name="OLE_LINK55"/>
      <w:bookmarkStart w:id="5" w:name="OLE_LINK12"/>
      <w:bookmarkStart w:id="6" w:name="OLE_LINK11"/>
      <w:r>
        <w:drawing>
          <wp:inline distT="0" distB="0" distL="0" distR="0">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4" cstate="print"/>
                    <a:srcRect/>
                    <a:stretch>
                      <a:fillRect/>
                    </a:stretch>
                  </pic:blipFill>
                  <pic:spPr>
                    <a:xfrm>
                      <a:off x="0" y="0"/>
                      <a:ext cx="3220085" cy="4373245"/>
                    </a:xfrm>
                    <a:prstGeom prst="rect">
                      <a:avLst/>
                    </a:prstGeom>
                    <a:ln>
                      <a:noFill/>
                    </a:ln>
                  </pic:spPr>
                </pic:pic>
              </a:graphicData>
            </a:graphic>
          </wp:inline>
        </w:drawing>
      </w:r>
    </w:p>
    <w:p w14:paraId="0D32F4FD">
      <w:pPr>
        <w:spacing w:line="360" w:lineRule="auto"/>
        <w:jc w:val="both"/>
        <w:rPr>
          <w:rFonts w:hint="eastAsia"/>
        </w:rPr>
      </w:pPr>
      <w:bookmarkStart w:id="7" w:name="OLE_LINK83"/>
      <w:bookmarkStart w:id="8" w:name="OLE_LINK7"/>
      <w:bookmarkStart w:id="9" w:name="OLE_LINK86"/>
      <w:bookmarkStart w:id="10" w:name="OLE_LINK33"/>
      <w:bookmarkStart w:id="11" w:name="OLE_LINK72"/>
      <w:r>
        <w:rPr>
          <w:rFonts w:hint="eastAsia"/>
        </w:rPr>
        <w:t>中国化纤手机报202</w:t>
      </w:r>
      <w:r>
        <w:t>5</w:t>
      </w:r>
      <w:r>
        <w:rPr>
          <w:rFonts w:hint="eastAsia"/>
        </w:rPr>
        <w:t>年第40期（总第</w:t>
      </w:r>
      <w:bookmarkEnd w:id="0"/>
      <w:bookmarkEnd w:id="1"/>
      <w:r>
        <w:t>7</w:t>
      </w:r>
      <w:r>
        <w:rPr>
          <w:rFonts w:hint="eastAsia"/>
        </w:rPr>
        <w:t>64期</w:t>
      </w:r>
      <w:bookmarkEnd w:id="2"/>
      <w:bookmarkEnd w:id="3"/>
      <w:bookmarkEnd w:id="4"/>
      <w:bookmarkEnd w:id="5"/>
      <w:bookmarkEnd w:id="6"/>
      <w:r>
        <w:rPr>
          <w:rFonts w:hint="eastAsia"/>
        </w:rPr>
        <w:t>）</w:t>
      </w:r>
    </w:p>
    <w:bookmarkEnd w:id="7"/>
    <w:bookmarkEnd w:id="8"/>
    <w:bookmarkEnd w:id="9"/>
    <w:bookmarkEnd w:id="10"/>
    <w:bookmarkEnd w:id="11"/>
    <w:p w14:paraId="76ED4B6C">
      <w:pPr>
        <w:spacing w:line="360" w:lineRule="auto"/>
        <w:jc w:val="both"/>
        <w:rPr>
          <w:rFonts w:hint="eastAsia"/>
        </w:rPr>
      </w:pPr>
    </w:p>
    <w:p w14:paraId="08737350">
      <w:pPr>
        <w:spacing w:line="360" w:lineRule="auto"/>
        <w:jc w:val="both"/>
        <w:rPr>
          <w:rFonts w:hint="eastAsia"/>
        </w:rPr>
      </w:pPr>
      <w:r>
        <w:rPr>
          <w:rFonts w:hint="eastAsia"/>
        </w:rPr>
        <w:t>202</w:t>
      </w:r>
      <w:r>
        <w:t>5</w:t>
      </w:r>
      <w:r>
        <w:rPr>
          <w:rFonts w:hint="eastAsia"/>
        </w:rPr>
        <w:t>年11月6日 星期四</w:t>
      </w:r>
    </w:p>
    <w:p w14:paraId="501B67F4">
      <w:pPr>
        <w:spacing w:line="360" w:lineRule="auto"/>
        <w:jc w:val="both"/>
        <w:rPr>
          <w:rFonts w:hint="eastAsia"/>
        </w:rPr>
      </w:pPr>
      <w:r>
        <w:rPr>
          <w:rFonts w:hint="eastAsia"/>
        </w:rPr>
        <w:t>主办：中国化学纤维工业协会</w:t>
      </w:r>
    </w:p>
    <w:p w14:paraId="466FD5B4">
      <w:pPr>
        <w:spacing w:line="360" w:lineRule="auto"/>
        <w:jc w:val="both"/>
        <w:rPr>
          <w:rFonts w:hint="eastAsia"/>
        </w:rPr>
      </w:pPr>
      <w:r>
        <w:rPr>
          <w:rFonts w:hint="eastAsia"/>
        </w:rPr>
        <w:t>协办：隆众资讯</w:t>
      </w:r>
    </w:p>
    <w:p w14:paraId="4B6640F8">
      <w:pPr>
        <w:spacing w:line="360" w:lineRule="auto"/>
        <w:jc w:val="both"/>
        <w:rPr>
          <w:rFonts w:hint="eastAsia"/>
        </w:rPr>
      </w:pPr>
      <w:r>
        <w:rPr>
          <w:rFonts w:hint="eastAsia"/>
        </w:rPr>
        <w:t>欢迎浏览</w:t>
      </w:r>
    </w:p>
    <w:p w14:paraId="2CD7371F">
      <w:pPr>
        <w:spacing w:line="360" w:lineRule="auto"/>
        <w:jc w:val="both"/>
        <w:rPr>
          <w:rFonts w:hint="eastAsia"/>
        </w:rPr>
      </w:pPr>
      <w:r>
        <w:rPr>
          <w:rFonts w:hint="eastAsia"/>
        </w:rPr>
        <w:t>http://www.ccfa.com.cn</w:t>
      </w:r>
    </w:p>
    <w:p w14:paraId="576A6F9C">
      <w:pPr>
        <w:spacing w:line="360" w:lineRule="auto"/>
        <w:jc w:val="both"/>
        <w:rPr>
          <w:rFonts w:hint="eastAsia"/>
        </w:rPr>
      </w:pPr>
      <w:r>
        <w:fldChar w:fldCharType="begin"/>
      </w:r>
      <w:r>
        <w:instrText xml:space="preserve"> HYPERLINK "http://weibo.com/ccfa2012" </w:instrText>
      </w:r>
      <w:r>
        <w:fldChar w:fldCharType="separate"/>
      </w:r>
      <w:bookmarkStart w:id="12" w:name="OLE_LINK2"/>
      <w:r>
        <w:rPr>
          <w:rStyle w:val="18"/>
          <w:rFonts w:hint="eastAsia"/>
        </w:rPr>
        <w:t>h</w:t>
      </w:r>
      <w:bookmarkEnd w:id="12"/>
      <w:r>
        <w:rPr>
          <w:rStyle w:val="18"/>
          <w:rFonts w:hint="eastAsia"/>
        </w:rPr>
        <w:t>ttp://</w:t>
      </w:r>
      <w:r>
        <w:t xml:space="preserve"> fiber.oilchem.net/</w:t>
      </w:r>
      <w:r>
        <w:fldChar w:fldCharType="end"/>
      </w:r>
    </w:p>
    <w:p w14:paraId="29489B39">
      <w:pPr>
        <w:spacing w:line="360" w:lineRule="auto"/>
        <w:jc w:val="both"/>
        <w:rPr>
          <w:rFonts w:hint="eastAsia"/>
        </w:rPr>
      </w:pPr>
    </w:p>
    <w:p w14:paraId="6177B498">
      <w:pPr>
        <w:spacing w:line="360" w:lineRule="auto"/>
        <w:jc w:val="both"/>
        <w:rPr>
          <w:rFonts w:hint="eastAsia"/>
        </w:rPr>
      </w:pPr>
      <w:bookmarkStart w:id="13" w:name="_Hlk6545252"/>
      <w:r>
        <w:rPr>
          <w:rFonts w:hint="eastAsia"/>
        </w:rPr>
        <w:t>【本期导读】</w:t>
      </w:r>
    </w:p>
    <w:p w14:paraId="64E713D5">
      <w:pPr>
        <w:spacing w:line="360" w:lineRule="auto"/>
        <w:rPr>
          <w:ins w:id="0" w:author="冬子" w:date="2025-11-06T16:33:08Z"/>
          <w:rFonts w:hint="eastAsia"/>
        </w:rPr>
      </w:pPr>
      <w:ins w:id="1" w:author="冬子" w:date="2025-11-06T16:33:08Z">
        <w:r>
          <w:rPr>
            <w:rFonts w:hint="eastAsia"/>
          </w:rPr>
          <w:t>●桐昆-中国纤维流行趋势2025/2026总结会在京举行</w:t>
        </w:r>
      </w:ins>
    </w:p>
    <w:p w14:paraId="458C5DDA">
      <w:pPr>
        <w:adjustRightInd w:val="0"/>
        <w:snapToGrid w:val="0"/>
        <w:spacing w:line="360" w:lineRule="auto"/>
        <w:rPr>
          <w:rFonts w:hint="eastAsia"/>
        </w:rPr>
      </w:pPr>
      <w:r>
        <w:rPr>
          <w:rFonts w:hint="eastAsia"/>
        </w:rPr>
        <w:t>●桐昆-中国纤维流行趋势2026/2027专家评审会在京举行</w:t>
      </w:r>
    </w:p>
    <w:p w14:paraId="6C047CCB">
      <w:pPr>
        <w:spacing w:line="360" w:lineRule="auto"/>
        <w:rPr>
          <w:del w:id="2" w:author="冬子" w:date="2025-11-06T16:33:08Z"/>
          <w:rFonts w:hint="eastAsia"/>
        </w:rPr>
      </w:pPr>
      <w:del w:id="3" w:author="冬子" w:date="2025-11-06T16:33:08Z">
        <w:r>
          <w:rPr>
            <w:rFonts w:hint="eastAsia"/>
          </w:rPr>
          <w:delText>●桐昆-中国纤维流行趋势2025/2026总结会在京举行</w:delText>
        </w:r>
      </w:del>
    </w:p>
    <w:p w14:paraId="0AC8A69F">
      <w:pPr>
        <w:spacing w:line="360" w:lineRule="auto"/>
        <w:rPr>
          <w:rFonts w:hint="eastAsia"/>
        </w:rPr>
      </w:pPr>
      <w:r>
        <w:rPr>
          <w:rFonts w:hint="eastAsia"/>
        </w:rPr>
        <w:t>●纺织化纤产业链创新大会（中国轻纺城2025）召开时间调整</w:t>
      </w:r>
    </w:p>
    <w:p w14:paraId="41F19C36">
      <w:pPr>
        <w:spacing w:line="360" w:lineRule="auto"/>
        <w:rPr>
          <w:ins w:id="4" w:author="冬子" w:date="2025-11-06T17:05:16Z"/>
          <w:rFonts w:hint="eastAsia"/>
        </w:rPr>
      </w:pPr>
      <w:r>
        <w:rPr>
          <w:rFonts w:hint="eastAsia"/>
        </w:rPr>
        <w:t>●2025年中国化纤协会芳纶分会年会暨芳纶产业链协同发展论坛即将召开</w:t>
      </w:r>
    </w:p>
    <w:p w14:paraId="45D12127">
      <w:pPr>
        <w:spacing w:line="360" w:lineRule="auto"/>
        <w:rPr>
          <w:rFonts w:hint="eastAsia"/>
        </w:rPr>
      </w:pPr>
      <w:ins w:id="5" w:author="冬子" w:date="2025-11-06T17:05:17Z">
        <w:r>
          <w:rPr>
            <w:rFonts w:hint="eastAsia"/>
          </w:rPr>
          <w:t>●中复神鹰登央视《中华考工记》，揭秘国产碳纤维强劲实力</w:t>
        </w:r>
      </w:ins>
    </w:p>
    <w:p w14:paraId="485811B8">
      <w:pPr>
        <w:spacing w:line="360" w:lineRule="auto"/>
        <w:rPr>
          <w:rFonts w:hint="eastAsia"/>
        </w:rPr>
      </w:pPr>
      <w:r>
        <w:rPr>
          <w:rFonts w:hint="eastAsia"/>
        </w:rPr>
        <w:t>●第二届全国化纤标准化技术委员会（SAC／TC586）成立大会暨化纤行业标准化年会即将召开</w:t>
      </w:r>
    </w:p>
    <w:p w14:paraId="7C59802B">
      <w:pPr>
        <w:spacing w:line="360" w:lineRule="auto"/>
        <w:rPr>
          <w:rFonts w:hint="eastAsia"/>
        </w:rPr>
      </w:pPr>
      <w:r>
        <w:rPr>
          <w:rFonts w:hint="eastAsia"/>
        </w:rPr>
        <w:t>●2025年中国化纤协会循环再利用化学纤维分会年会暨行业可持续发展论坛即将召开</w:t>
      </w:r>
    </w:p>
    <w:p w14:paraId="7F1F5F94">
      <w:pPr>
        <w:adjustRightInd w:val="0"/>
        <w:snapToGrid w:val="0"/>
        <w:spacing w:line="360" w:lineRule="auto"/>
        <w:rPr>
          <w:rFonts w:hint="eastAsia"/>
        </w:rPr>
      </w:pPr>
    </w:p>
    <w:bookmarkEnd w:id="13"/>
    <w:p w14:paraId="71A2ABDF">
      <w:pPr>
        <w:widowControl w:val="0"/>
        <w:spacing w:line="360" w:lineRule="auto"/>
        <w:jc w:val="both"/>
        <w:rPr>
          <w:rFonts w:hint="eastAsia"/>
        </w:rPr>
      </w:pPr>
      <w:bookmarkStart w:id="14" w:name="_Hlk6545290"/>
      <w:r>
        <w:rPr>
          <w:rFonts w:hint="eastAsia"/>
        </w:rPr>
        <w:t>【行业动态】</w:t>
      </w:r>
    </w:p>
    <w:p w14:paraId="111027A9">
      <w:pPr>
        <w:spacing w:line="360" w:lineRule="auto"/>
        <w:rPr>
          <w:ins w:id="6" w:author="冬子" w:date="2025-11-06T16:33:57Z"/>
          <w:rFonts w:hint="eastAsia"/>
        </w:rPr>
      </w:pPr>
      <w:ins w:id="7" w:author="冬子" w:date="2025-11-06T16:33:57Z">
        <w:r>
          <w:rPr>
            <w:rFonts w:hint="eastAsia"/>
          </w:rPr>
          <w:t>●桐昆-中国纤维流行趋势2025/2026总结会在京举行</w:t>
        </w:r>
      </w:ins>
    </w:p>
    <w:p w14:paraId="7FBDD95A">
      <w:pPr>
        <w:spacing w:line="360" w:lineRule="auto"/>
        <w:rPr>
          <w:ins w:id="8" w:author="冬子" w:date="2025-11-06T16:33:57Z"/>
          <w:rFonts w:hint="eastAsia"/>
        </w:rPr>
      </w:pPr>
      <w:ins w:id="9" w:author="冬子" w:date="2025-11-06T16:33:57Z">
        <w:r>
          <w:rPr>
            <w:rFonts w:hint="eastAsia"/>
          </w:rPr>
          <w:t>--------</w:t>
        </w:r>
      </w:ins>
    </w:p>
    <w:p w14:paraId="298DC891">
      <w:pPr>
        <w:spacing w:line="360" w:lineRule="auto"/>
        <w:rPr>
          <w:ins w:id="10" w:author="冬子" w:date="2025-11-06T16:33:57Z"/>
          <w:rFonts w:hint="eastAsia" w:eastAsia="宋体"/>
          <w:lang w:val="en-US" w:eastAsia="zh-CN"/>
          <w:rPrChange w:id="11" w:author="冬子" w:date="2025-11-06T16:44:40Z">
            <w:rPr>
              <w:ins w:id="12" w:author="冬子" w:date="2025-11-06T16:33:57Z"/>
              <w:rFonts w:hint="default" w:eastAsia="宋体"/>
              <w:lang w:val="en-US" w:eastAsia="zh-CN"/>
            </w:rPr>
          </w:rPrChange>
        </w:rPr>
      </w:pPr>
      <w:ins w:id="13" w:author="冬子" w:date="2025-11-06T16:33:57Z">
        <w:r>
          <w:rPr>
            <w:rFonts w:hint="eastAsia"/>
          </w:rPr>
          <w:t>11月2日，桐昆-中国纤维流行趋势2025/2026总结会在北京举行。中国纺联副会长端小平，中国化纤协会副会长靳高岭，东华大学材料学院研究员王华平，及来自产业链上下游相关院校及企业的专家参会。</w:t>
        </w:r>
      </w:ins>
      <w:ins w:id="14" w:author="冬子" w:date="2025-11-06T16:34:15Z">
        <w:r>
          <w:rPr>
            <w:rFonts w:hint="eastAsia"/>
            <w:lang w:val="en-US" w:eastAsia="zh-CN"/>
          </w:rPr>
          <w:t>会上</w:t>
        </w:r>
      </w:ins>
      <w:ins w:id="15" w:author="冬子" w:date="2025-11-06T16:44:17Z">
        <w:r>
          <w:rPr>
            <w:rFonts w:hint="eastAsia"/>
            <w:lang w:val="en-US" w:eastAsia="zh-CN"/>
          </w:rPr>
          <w:t>，</w:t>
        </w:r>
      </w:ins>
      <w:ins w:id="16" w:author="冬子" w:date="2025-11-06T16:33:57Z">
        <w:r>
          <w:rPr>
            <w:rFonts w:hint="eastAsia"/>
          </w:rPr>
          <w:t>中国化纤协会市场推广部主任王永生汇报了桐昆-中国纤维流行趋势2025/2026的发布内容及重点开展的工作，分析了发布效果</w:t>
        </w:r>
      </w:ins>
      <w:ins w:id="17" w:author="冬子" w:date="2025-11-06T16:44:31Z">
        <w:r>
          <w:rPr>
            <w:rFonts w:hint="eastAsia"/>
            <w:lang w:val="en-US" w:eastAsia="zh-CN"/>
            <w:rPrChange w:id="18" w:author="冬子" w:date="2025-11-06T16:44:40Z">
              <w:rPr>
                <w:rFonts w:hint="eastAsia"/>
                <w:lang w:val="en-US" w:eastAsia="zh-CN"/>
              </w:rPr>
            </w:rPrChange>
          </w:rPr>
          <w:t>等</w:t>
        </w:r>
      </w:ins>
      <w:ins w:id="20" w:author="冬子" w:date="2025-11-06T16:33:57Z">
        <w:r>
          <w:rPr>
            <w:rFonts w:hint="eastAsia"/>
          </w:rPr>
          <w:t>。</w:t>
        </w:r>
      </w:ins>
      <w:ins w:id="21" w:author="冬子" w:date="2025-11-06T16:37:54Z">
        <w:r>
          <w:rPr>
            <w:rFonts w:hint="eastAsia" w:ascii="宋体" w:hAnsi="宋体" w:eastAsia="宋体" w:cs="宋体"/>
            <w:i w:val="0"/>
            <w:iCs w:val="0"/>
            <w:caps w:val="0"/>
            <w:spacing w:val="0"/>
            <w:sz w:val="24"/>
            <w:szCs w:val="24"/>
            <w:shd w:val="clear"/>
            <w:rPrChange w:id="22" w:author="冬子" w:date="2025-11-06T16:44:40Z">
              <w:rPr>
                <w:rFonts w:ascii="Microsoft YaHei UI" w:hAnsi="Microsoft YaHei UI" w:eastAsia="Microsoft YaHei UI" w:cs="Microsoft YaHei UI"/>
                <w:i w:val="0"/>
                <w:iCs w:val="0"/>
                <w:caps w:val="0"/>
                <w:color w:val="000000"/>
                <w:spacing w:val="8"/>
                <w:sz w:val="21"/>
                <w:szCs w:val="21"/>
                <w:shd w:val="clear" w:fill="FFFFFF"/>
              </w:rPr>
            </w:rPrChange>
          </w:rPr>
          <w:t>与会领导</w:t>
        </w:r>
      </w:ins>
      <w:ins w:id="24" w:author="冬子" w:date="2025-11-06T16:37:54Z">
        <w:r>
          <w:rPr>
            <w:rFonts w:hint="eastAsia" w:ascii="宋体" w:hAnsi="宋体" w:eastAsia="宋体" w:cs="宋体"/>
            <w:i w:val="0"/>
            <w:iCs w:val="0"/>
            <w:caps w:val="0"/>
            <w:spacing w:val="0"/>
            <w:sz w:val="24"/>
            <w:szCs w:val="24"/>
            <w:shd w:val="clear"/>
            <w:rPrChange w:id="25" w:author="冬子" w:date="2025-11-06T16:44:40Z">
              <w:rPr>
                <w:rFonts w:ascii="Microsoft YaHei UI" w:hAnsi="Microsoft YaHei UI" w:eastAsia="Microsoft YaHei UI" w:cs="Microsoft YaHei UI"/>
                <w:i w:val="0"/>
                <w:iCs w:val="0"/>
                <w:caps w:val="0"/>
                <w:color w:val="000000"/>
                <w:spacing w:val="8"/>
                <w:sz w:val="21"/>
                <w:szCs w:val="21"/>
                <w:shd w:val="clear" w:fill="FFFFFF"/>
              </w:rPr>
            </w:rPrChange>
          </w:rPr>
          <w:t>专家</w:t>
        </w:r>
      </w:ins>
      <w:ins w:id="27" w:author="冬子" w:date="2025-11-06T16:41:58Z">
        <w:r>
          <w:rPr>
            <w:rFonts w:hint="eastAsia" w:ascii="宋体" w:hAnsi="宋体" w:eastAsia="宋体" w:cs="宋体"/>
            <w:i w:val="0"/>
            <w:iCs w:val="0"/>
            <w:caps w:val="0"/>
            <w:spacing w:val="0"/>
            <w:sz w:val="24"/>
            <w:szCs w:val="24"/>
            <w:shd w:val="clear"/>
            <w:lang w:val="en-US" w:eastAsia="zh-CN"/>
            <w:rPrChange w:id="28" w:author="冬子" w:date="2025-11-06T16:44:40Z">
              <w:rPr>
                <w:rFonts w:hint="eastAsia" w:ascii="Microsoft YaHei UI" w:hAnsi="Microsoft YaHei UI" w:eastAsia="Microsoft YaHei UI" w:cs="Microsoft YaHei UI"/>
                <w:i w:val="0"/>
                <w:iCs w:val="0"/>
                <w:caps w:val="0"/>
                <w:color w:val="000000"/>
                <w:spacing w:val="8"/>
                <w:sz w:val="21"/>
                <w:szCs w:val="21"/>
                <w:shd w:val="clear" w:fill="FFFFFF"/>
                <w:lang w:val="en-US" w:eastAsia="zh-CN"/>
              </w:rPr>
            </w:rPrChange>
          </w:rPr>
          <w:t>等</w:t>
        </w:r>
      </w:ins>
      <w:ins w:id="30" w:author="冬子" w:date="2025-11-06T16:40:46Z">
        <w:r>
          <w:rPr>
            <w:rFonts w:hint="eastAsia" w:ascii="宋体" w:hAnsi="宋体" w:eastAsia="宋体" w:cs="宋体"/>
            <w:i w:val="0"/>
            <w:iCs w:val="0"/>
            <w:caps w:val="0"/>
            <w:spacing w:val="0"/>
            <w:sz w:val="24"/>
            <w:szCs w:val="24"/>
            <w:shd w:val="clear"/>
            <w:lang w:val="en-US" w:eastAsia="zh-CN"/>
            <w:rPrChange w:id="31" w:author="冬子" w:date="2025-11-06T16:44:40Z">
              <w:rPr>
                <w:rFonts w:hint="eastAsia" w:ascii="Microsoft YaHei UI" w:hAnsi="Microsoft YaHei UI" w:eastAsia="Microsoft YaHei UI" w:cs="Microsoft YaHei UI"/>
                <w:i w:val="0"/>
                <w:iCs w:val="0"/>
                <w:caps w:val="0"/>
                <w:color w:val="000000"/>
                <w:spacing w:val="8"/>
                <w:sz w:val="21"/>
                <w:szCs w:val="21"/>
                <w:shd w:val="clear" w:fill="FFFFFF"/>
                <w:lang w:val="en-US" w:eastAsia="zh-CN"/>
              </w:rPr>
            </w:rPrChange>
          </w:rPr>
          <w:t>一致</w:t>
        </w:r>
      </w:ins>
      <w:ins w:id="33" w:author="冬子" w:date="2025-11-06T16:40:38Z">
        <w:r>
          <w:rPr>
            <w:rFonts w:hint="eastAsia" w:ascii="宋体" w:hAnsi="宋体" w:eastAsia="宋体" w:cs="宋体"/>
            <w:i w:val="0"/>
            <w:iCs w:val="0"/>
            <w:caps w:val="0"/>
            <w:spacing w:val="0"/>
            <w:sz w:val="24"/>
            <w:szCs w:val="24"/>
            <w:shd w:val="clear"/>
            <w:lang w:val="en-US" w:eastAsia="zh-CN"/>
            <w:rPrChange w:id="34" w:author="冬子" w:date="2025-11-06T16:44:40Z">
              <w:rPr>
                <w:rFonts w:hint="eastAsia" w:ascii="Microsoft YaHei UI" w:hAnsi="Microsoft YaHei UI" w:eastAsia="Microsoft YaHei UI" w:cs="Microsoft YaHei UI"/>
                <w:i w:val="0"/>
                <w:iCs w:val="0"/>
                <w:caps w:val="0"/>
                <w:color w:val="000000"/>
                <w:spacing w:val="8"/>
                <w:sz w:val="21"/>
                <w:szCs w:val="21"/>
                <w:shd w:val="clear" w:fill="FFFFFF"/>
                <w:lang w:val="en-US" w:eastAsia="zh-CN"/>
              </w:rPr>
            </w:rPrChange>
          </w:rPr>
          <w:t>认为</w:t>
        </w:r>
      </w:ins>
      <w:ins w:id="36" w:author="冬子" w:date="2025-11-06T16:37:54Z">
        <w:r>
          <w:rPr>
            <w:rFonts w:hint="eastAsia" w:ascii="宋体" w:hAnsi="宋体" w:eastAsia="宋体" w:cs="宋体"/>
            <w:i w:val="0"/>
            <w:iCs w:val="0"/>
            <w:caps w:val="0"/>
            <w:spacing w:val="0"/>
            <w:sz w:val="24"/>
            <w:szCs w:val="24"/>
            <w:shd w:val="clear"/>
            <w:rPrChange w:id="37" w:author="冬子" w:date="2025-11-06T16:44:40Z">
              <w:rPr>
                <w:rFonts w:ascii="Microsoft YaHei UI" w:hAnsi="Microsoft YaHei UI" w:eastAsia="Microsoft YaHei UI" w:cs="Microsoft YaHei UI"/>
                <w:i w:val="0"/>
                <w:iCs w:val="0"/>
                <w:caps w:val="0"/>
                <w:color w:val="000000"/>
                <w:spacing w:val="8"/>
                <w:sz w:val="21"/>
                <w:szCs w:val="21"/>
                <w:shd w:val="clear" w:fill="FFFFFF"/>
              </w:rPr>
            </w:rPrChange>
          </w:rPr>
          <w:t>桐昆・中国纤维流行趋势 2025/2026 发布在准备、执行及传播上成效明显</w:t>
        </w:r>
      </w:ins>
      <w:ins w:id="39" w:author="冬子" w:date="2025-11-06T16:45:07Z">
        <w:r>
          <w:rPr>
            <w:rFonts w:hint="eastAsia" w:cs="宋体"/>
            <w:i w:val="0"/>
            <w:iCs w:val="0"/>
            <w:caps w:val="0"/>
            <w:spacing w:val="0"/>
            <w:sz w:val="24"/>
            <w:szCs w:val="24"/>
            <w:shd w:val="clear"/>
            <w:lang w:eastAsia="zh-CN"/>
          </w:rPr>
          <w:t>，</w:t>
        </w:r>
      </w:ins>
      <w:ins w:id="40" w:author="冬子" w:date="2025-11-06T16:45:09Z">
        <w:r>
          <w:rPr>
            <w:rFonts w:hint="eastAsia" w:cs="宋体"/>
            <w:i w:val="0"/>
            <w:iCs w:val="0"/>
            <w:caps w:val="0"/>
            <w:spacing w:val="0"/>
            <w:sz w:val="24"/>
            <w:szCs w:val="24"/>
            <w:shd w:val="clear"/>
            <w:lang w:val="en-US" w:eastAsia="zh-CN"/>
          </w:rPr>
          <w:t>并</w:t>
        </w:r>
      </w:ins>
      <w:ins w:id="41" w:author="冬子" w:date="2025-11-06T16:37:54Z">
        <w:r>
          <w:rPr>
            <w:rFonts w:hint="eastAsia" w:ascii="宋体" w:hAnsi="宋体" w:eastAsia="宋体" w:cs="宋体"/>
            <w:i w:val="0"/>
            <w:iCs w:val="0"/>
            <w:caps w:val="0"/>
            <w:spacing w:val="0"/>
            <w:sz w:val="24"/>
            <w:szCs w:val="24"/>
            <w:shd w:val="clear"/>
            <w:rPrChange w:id="42" w:author="冬子" w:date="2025-11-06T16:44:40Z">
              <w:rPr>
                <w:rFonts w:ascii="Microsoft YaHei UI" w:hAnsi="Microsoft YaHei UI" w:eastAsia="Microsoft YaHei UI" w:cs="Microsoft YaHei UI"/>
                <w:i w:val="0"/>
                <w:iCs w:val="0"/>
                <w:caps w:val="0"/>
                <w:color w:val="000000"/>
                <w:spacing w:val="8"/>
                <w:sz w:val="21"/>
                <w:szCs w:val="21"/>
                <w:shd w:val="clear" w:fill="FFFFFF"/>
              </w:rPr>
            </w:rPrChange>
          </w:rPr>
          <w:t>对纤维流行趋势更好发展提出宝贵建议</w:t>
        </w:r>
      </w:ins>
      <w:ins w:id="44" w:author="冬子" w:date="2025-11-06T16:33:57Z">
        <w:r>
          <w:rPr>
            <w:rFonts w:hint="eastAsia"/>
          </w:rPr>
          <w:t>。</w:t>
        </w:r>
      </w:ins>
      <w:ins w:id="45" w:author="冬子" w:date="2025-11-06T16:38:52Z">
        <w:r>
          <w:rPr>
            <w:rFonts w:hint="eastAsia"/>
            <w:lang w:val="en-US" w:eastAsia="zh-CN"/>
            <w:rPrChange w:id="46" w:author="冬子" w:date="2025-11-06T16:44:40Z">
              <w:rPr>
                <w:rFonts w:hint="eastAsia"/>
                <w:lang w:val="en-US" w:eastAsia="zh-CN"/>
              </w:rPr>
            </w:rPrChange>
          </w:rPr>
          <w:t>端小平</w:t>
        </w:r>
      </w:ins>
      <w:ins w:id="48" w:author="冬子" w:date="2025-11-06T16:38:54Z">
        <w:r>
          <w:rPr>
            <w:rFonts w:hint="eastAsia"/>
            <w:lang w:val="en-US" w:eastAsia="zh-CN"/>
            <w:rPrChange w:id="49" w:author="冬子" w:date="2025-11-06T16:44:40Z">
              <w:rPr>
                <w:rFonts w:hint="eastAsia"/>
                <w:lang w:val="en-US" w:eastAsia="zh-CN"/>
              </w:rPr>
            </w:rPrChange>
          </w:rPr>
          <w:t>表示</w:t>
        </w:r>
      </w:ins>
      <w:ins w:id="51" w:author="冬子" w:date="2025-11-06T16:38:55Z">
        <w:r>
          <w:rPr>
            <w:rFonts w:hint="eastAsia"/>
            <w:lang w:val="en-US" w:eastAsia="zh-CN"/>
            <w:rPrChange w:id="52" w:author="冬子" w:date="2025-11-06T16:44:40Z">
              <w:rPr>
                <w:rFonts w:hint="eastAsia"/>
                <w:lang w:val="en-US" w:eastAsia="zh-CN"/>
              </w:rPr>
            </w:rPrChange>
          </w:rPr>
          <w:t>，</w:t>
        </w:r>
      </w:ins>
      <w:ins w:id="54" w:author="冬子" w:date="2025-11-06T16:39:28Z">
        <w:r>
          <w:rPr>
            <w:rFonts w:hint="eastAsia" w:ascii="宋体" w:hAnsi="宋体" w:eastAsia="宋体" w:cs="宋体"/>
            <w:i w:val="0"/>
            <w:iCs w:val="0"/>
            <w:caps w:val="0"/>
            <w:spacing w:val="0"/>
            <w:sz w:val="24"/>
            <w:szCs w:val="24"/>
            <w:shd w:val="clear"/>
            <w:rPrChange w:id="55" w:author="冬子" w:date="2025-11-06T16:44:40Z">
              <w:rPr>
                <w:rFonts w:ascii="Microsoft YaHei UI" w:hAnsi="Microsoft YaHei UI" w:eastAsia="Microsoft YaHei UI" w:cs="Microsoft YaHei UI"/>
                <w:i w:val="0"/>
                <w:iCs w:val="0"/>
                <w:caps w:val="0"/>
                <w:color w:val="000000"/>
                <w:spacing w:val="8"/>
                <w:sz w:val="21"/>
                <w:szCs w:val="21"/>
                <w:shd w:val="clear" w:fill="FFFFFF"/>
              </w:rPr>
            </w:rPrChange>
          </w:rPr>
          <w:t>“年满 14 周岁的中国纤维流行趋势，要积极防范品牌老化，保持年轻化活力；强化对行业高质量发展的引领力；不断提升影响力，并在国际舞台分享趋势研究成果，展现中国纺织化纤工业软实力。”</w:t>
        </w:r>
      </w:ins>
    </w:p>
    <w:p w14:paraId="75570367">
      <w:pPr>
        <w:adjustRightInd w:val="0"/>
        <w:snapToGrid w:val="0"/>
        <w:spacing w:line="360" w:lineRule="auto"/>
        <w:rPr>
          <w:ins w:id="57" w:author="冬子" w:date="2025-11-06T16:33:55Z"/>
          <w:rFonts w:hint="eastAsia"/>
        </w:rPr>
      </w:pPr>
    </w:p>
    <w:p w14:paraId="2DE5FE7E">
      <w:pPr>
        <w:adjustRightInd w:val="0"/>
        <w:snapToGrid w:val="0"/>
        <w:spacing w:line="360" w:lineRule="auto"/>
        <w:rPr>
          <w:rFonts w:hint="eastAsia"/>
        </w:rPr>
      </w:pPr>
      <w:r>
        <w:rPr>
          <w:rFonts w:hint="eastAsia"/>
        </w:rPr>
        <w:t>●桐昆-中国纤维流行趋势2026/2027专家评审会在京举行</w:t>
      </w:r>
    </w:p>
    <w:p w14:paraId="6B60E523">
      <w:pPr>
        <w:spacing w:line="360" w:lineRule="auto"/>
        <w:rPr>
          <w:rFonts w:hint="eastAsia"/>
        </w:rPr>
      </w:pPr>
      <w:r>
        <w:rPr>
          <w:rFonts w:hint="eastAsia"/>
        </w:rPr>
        <w:t>--------</w:t>
      </w:r>
    </w:p>
    <w:p w14:paraId="7F4366D9">
      <w:pPr>
        <w:spacing w:line="360" w:lineRule="auto"/>
        <w:rPr>
          <w:rFonts w:hint="eastAsia"/>
        </w:rPr>
      </w:pPr>
      <w:r>
        <w:rPr>
          <w:rFonts w:hint="eastAsia"/>
        </w:rPr>
        <w:t>11月3日，桐昆-中国纤维流行趋势2026/2027专家评审会在北京举行。中国化纤协会会长陈新伟、副会长靳高岭，中棉行协、东华大学、军事科学院系统工程研究院、北京服装学院、苏州大学、桐昆集团、华峰化学等单位的领导专家，以及30多家下游企业的研发人员</w:t>
      </w:r>
      <w:del w:id="58" w:author="冬子" w:date="2025-11-06T16:46:18Z">
        <w:r>
          <w:rPr>
            <w:rFonts w:hint="eastAsia"/>
          </w:rPr>
          <w:delText>，以“线上+线下”相结合的方式</w:delText>
        </w:r>
      </w:del>
      <w:r>
        <w:rPr>
          <w:rFonts w:hint="eastAsia"/>
        </w:rPr>
        <w:t>参会。</w:t>
      </w:r>
      <w:ins w:id="59" w:author="冬子" w:date="2025-11-06T16:46:24Z">
        <w:r>
          <w:rPr>
            <w:rFonts w:hint="eastAsia"/>
            <w:lang w:val="en-US" w:eastAsia="zh-CN"/>
          </w:rPr>
          <w:t>会上</w:t>
        </w:r>
      </w:ins>
      <w:ins w:id="60" w:author="冬子" w:date="2025-11-06T16:46:25Z">
        <w:r>
          <w:rPr>
            <w:rFonts w:hint="eastAsia"/>
            <w:lang w:val="en-US" w:eastAsia="zh-CN"/>
          </w:rPr>
          <w:t>，</w:t>
        </w:r>
      </w:ins>
      <w:r>
        <w:rPr>
          <w:rFonts w:hint="eastAsia"/>
        </w:rPr>
        <w:t>东华大学材料学院研究员王华平回顾了桐昆-中国纤维流行趋势2026/2027发布的前期筹备工作，对备选主题及篇章方案进行详细解读，并简要介绍了入围产品及其推荐理由等。</w:t>
      </w:r>
      <w:ins w:id="61" w:author="冬子" w:date="2025-11-06T16:48:01Z">
        <w:r>
          <w:rPr>
            <w:rFonts w:ascii="Microsoft YaHei UI" w:hAnsi="Microsoft YaHei UI" w:eastAsia="Microsoft YaHei UI" w:cs="Microsoft YaHei UI"/>
            <w:i w:val="0"/>
            <w:iCs w:val="0"/>
            <w:caps w:val="0"/>
            <w:color w:val="3E3E3E"/>
            <w:spacing w:val="8"/>
            <w:sz w:val="22"/>
            <w:szCs w:val="22"/>
            <w:shd w:val="clear" w:fill="FFFFFF"/>
          </w:rPr>
          <w:t>与会领导专家</w:t>
        </w:r>
      </w:ins>
      <w:ins w:id="62" w:author="冬子" w:date="2025-11-06T16:48:23Z">
        <w:r>
          <w:rPr>
            <w:rFonts w:hint="eastAsia" w:ascii="Microsoft YaHei UI" w:hAnsi="Microsoft YaHei UI" w:eastAsia="Microsoft YaHei UI" w:cs="Microsoft YaHei UI"/>
            <w:i w:val="0"/>
            <w:iCs w:val="0"/>
            <w:caps w:val="0"/>
            <w:color w:val="3E3E3E"/>
            <w:spacing w:val="8"/>
            <w:sz w:val="22"/>
            <w:szCs w:val="22"/>
            <w:shd w:val="clear" w:fill="FFFFFF"/>
            <w:lang w:val="en-US" w:eastAsia="zh-CN"/>
          </w:rPr>
          <w:t>对</w:t>
        </w:r>
      </w:ins>
      <w:ins w:id="63" w:author="冬子" w:date="2025-11-06T16:49:01Z">
        <w:r>
          <w:rPr>
            <w:rFonts w:hint="eastAsia" w:ascii="Microsoft YaHei UI" w:hAnsi="Microsoft YaHei UI" w:eastAsia="Microsoft YaHei UI" w:cs="Microsoft YaHei UI"/>
            <w:i w:val="0"/>
            <w:iCs w:val="0"/>
            <w:caps w:val="0"/>
            <w:color w:val="3E3E3E"/>
            <w:spacing w:val="8"/>
            <w:sz w:val="22"/>
            <w:szCs w:val="22"/>
            <w:shd w:val="clear" w:fill="FFFFFF"/>
            <w:lang w:val="en-US" w:eastAsia="zh-CN"/>
          </w:rPr>
          <w:t>其</w:t>
        </w:r>
      </w:ins>
      <w:ins w:id="64" w:author="冬子" w:date="2025-11-06T16:48:01Z">
        <w:r>
          <w:rPr>
            <w:rFonts w:ascii="Microsoft YaHei UI" w:hAnsi="Microsoft YaHei UI" w:eastAsia="Microsoft YaHei UI" w:cs="Microsoft YaHei UI"/>
            <w:i w:val="0"/>
            <w:iCs w:val="0"/>
            <w:caps w:val="0"/>
            <w:color w:val="3E3E3E"/>
            <w:spacing w:val="8"/>
            <w:sz w:val="22"/>
            <w:szCs w:val="22"/>
            <w:shd w:val="clear" w:fill="FFFFFF"/>
          </w:rPr>
          <w:t>主题篇章、发布内容和形式等提出了宝贵意见和建议</w:t>
        </w:r>
      </w:ins>
      <w:del w:id="65" w:author="冬子" w:date="2025-11-06T16:48:01Z">
        <w:r>
          <w:rPr>
            <w:rFonts w:hint="eastAsia"/>
          </w:rPr>
          <w:delText>桐昆集团质量管理部经理李国元表示，纤维的创新包含产品、工艺、指标、用途等多个维度，要打开产品开发的思路，让老产品有新用途，拉动市场需求，也是一种创新</w:delText>
        </w:r>
      </w:del>
      <w:r>
        <w:rPr>
          <w:rFonts w:hint="eastAsia"/>
        </w:rPr>
        <w:t>。陈新伟强调，要依托中国纤维流行趋势平台，深化科技创新和产业链上下游协同，推动纤维产品向功能化、高端化、低碳化升级，提升中国纤维品牌的国际影响力。</w:t>
      </w:r>
    </w:p>
    <w:p w14:paraId="57CD8BD7">
      <w:pPr>
        <w:spacing w:line="360" w:lineRule="auto"/>
        <w:rPr>
          <w:rFonts w:hint="eastAsia"/>
        </w:rPr>
      </w:pPr>
    </w:p>
    <w:p w14:paraId="780B7501">
      <w:pPr>
        <w:spacing w:line="360" w:lineRule="auto"/>
        <w:rPr>
          <w:del w:id="66" w:author="冬子" w:date="2025-11-06T16:33:49Z"/>
          <w:rFonts w:hint="eastAsia"/>
        </w:rPr>
      </w:pPr>
      <w:del w:id="67" w:author="冬子" w:date="2025-11-06T16:33:49Z">
        <w:r>
          <w:rPr>
            <w:rFonts w:hint="eastAsia"/>
          </w:rPr>
          <w:delText>●桐昆-中国纤维流行趋势2025/2026总结会在京举行</w:delText>
        </w:r>
      </w:del>
    </w:p>
    <w:p w14:paraId="6A94AF48">
      <w:pPr>
        <w:spacing w:line="360" w:lineRule="auto"/>
        <w:rPr>
          <w:del w:id="68" w:author="冬子" w:date="2025-11-06T16:33:49Z"/>
          <w:rFonts w:hint="eastAsia"/>
        </w:rPr>
      </w:pPr>
      <w:del w:id="69" w:author="冬子" w:date="2025-11-06T16:33:49Z">
        <w:r>
          <w:rPr>
            <w:rFonts w:hint="eastAsia"/>
          </w:rPr>
          <w:delText>--------</w:delText>
        </w:r>
      </w:del>
    </w:p>
    <w:p w14:paraId="65154A2D">
      <w:pPr>
        <w:spacing w:line="360" w:lineRule="auto"/>
        <w:rPr>
          <w:del w:id="70" w:author="冬子" w:date="2025-11-06T16:33:49Z"/>
        </w:rPr>
      </w:pPr>
      <w:del w:id="71" w:author="冬子" w:date="2025-11-06T16:33:49Z">
        <w:r>
          <w:rPr>
            <w:rFonts w:hint="eastAsia"/>
          </w:rPr>
          <w:delText>11月2日，桐昆-中国纤维流行趋势2025/2026总结会在北京举行。中国纺联副会长端小平，中国化纤协会副会长靳高岭，东华大学材料学院研究员王华平，以及来自产业链上下游相关院校及企业的专家参加会议。中国化纤协会市场推广部主任王永生汇报了桐昆-中国纤维流行趋势2025/2026的目的、意义、发布内容及重点开展的工作，分析了发布效果，分享了后续工作计划。王华平和桐昆集团质量管理部经理李国元分别对中国纤维流行趋势下一步的重点工作及下一个五年新周期的合作提出建议。靳高岭提出两点思路：一是深化国内外品牌双向联动，重点对接国外品牌开展深度沟通，展示国内优势纤维技术实力；同时联动国内创新面料企业，搭建精准对接通道。二是打造有话题性与记忆点的发布会，兼顾行业与消费需求，一方面深挖纤维产品亮点，吸引面料、品牌等下游伙伴；另一方面联合第三方团队，在活动策划、宣传推广等环节发力，打造兼具行业影响力与大众传播度的记忆点，提升发布会整体传播效果。</w:delText>
        </w:r>
      </w:del>
    </w:p>
    <w:p w14:paraId="7CCB8533">
      <w:pPr>
        <w:spacing w:line="360" w:lineRule="auto"/>
        <w:rPr>
          <w:rFonts w:hint="eastAsia"/>
        </w:rPr>
      </w:pPr>
    </w:p>
    <w:p w14:paraId="53ABB840">
      <w:pPr>
        <w:spacing w:line="360" w:lineRule="auto"/>
        <w:rPr>
          <w:rFonts w:hint="eastAsia"/>
        </w:rPr>
      </w:pPr>
      <w:r>
        <w:rPr>
          <w:rFonts w:hint="eastAsia"/>
        </w:rPr>
        <w:t>●纺织化纤产业链创新大会（中国轻纺城2025）召开时间调整</w:t>
      </w:r>
    </w:p>
    <w:p w14:paraId="7DC85287">
      <w:pPr>
        <w:spacing w:line="360" w:lineRule="auto"/>
        <w:rPr>
          <w:rFonts w:hint="eastAsia"/>
        </w:rPr>
      </w:pPr>
      <w:r>
        <w:rPr>
          <w:rFonts w:hint="eastAsia"/>
        </w:rPr>
        <w:t>--------</w:t>
      </w:r>
    </w:p>
    <w:p w14:paraId="0912F8BC">
      <w:pPr>
        <w:spacing w:line="360" w:lineRule="auto"/>
        <w:rPr>
          <w:rFonts w:hint="eastAsia"/>
        </w:rPr>
      </w:pPr>
      <w:r>
        <w:rPr>
          <w:rFonts w:hint="eastAsia"/>
        </w:rPr>
        <w:t>原定于12月4-5日举办的纺织化纤产业链创新大会（中国轻纺城2025），因故召开时间调整到12月8-9日，地点和会议内容不变。中国化纤协会将全力做好后续服务工作，相关动态敬请关注中国化纤协会官网、微信公众号及手机报。</w:t>
      </w:r>
    </w:p>
    <w:p w14:paraId="37DD0928">
      <w:pPr>
        <w:spacing w:line="360" w:lineRule="auto"/>
        <w:rPr>
          <w:rFonts w:hint="eastAsia"/>
        </w:rPr>
      </w:pPr>
    </w:p>
    <w:p w14:paraId="41D688A7">
      <w:pPr>
        <w:spacing w:line="360" w:lineRule="auto"/>
        <w:rPr>
          <w:rFonts w:hint="eastAsia"/>
        </w:rPr>
      </w:pPr>
      <w:r>
        <w:rPr>
          <w:rFonts w:hint="eastAsia"/>
        </w:rPr>
        <w:t>●2025年中国化纤协会芳纶分会年会暨芳纶产业链协同发展论坛即将召开</w:t>
      </w:r>
    </w:p>
    <w:p w14:paraId="5E453FBD">
      <w:pPr>
        <w:spacing w:line="360" w:lineRule="auto"/>
        <w:rPr>
          <w:rFonts w:hint="eastAsia"/>
        </w:rPr>
      </w:pPr>
      <w:r>
        <w:rPr>
          <w:rFonts w:hint="eastAsia"/>
        </w:rPr>
        <w:t>--------</w:t>
      </w:r>
    </w:p>
    <w:p w14:paraId="21AB2408">
      <w:pPr>
        <w:spacing w:line="360" w:lineRule="auto"/>
        <w:rPr>
          <w:ins w:id="72" w:author="冬子" w:date="2025-11-06T17:05:01Z"/>
          <w:rFonts w:hint="eastAsia"/>
        </w:rPr>
      </w:pPr>
      <w:r>
        <w:rPr>
          <w:rFonts w:hint="eastAsia"/>
        </w:rPr>
        <w:t>为深入落实新质生产力发展要求，扎实推进现代化产业体系建设，进一步搭建好我国芳纶产业交流平台，促进产业链上下游紧密合作和协同发展，由中国化纤协会、泰和新材、宁夏泰和主办，中国化纤协会芳纶分会承办的2025年中国化纤协会芳纶分会年会暨芳纶产业链协同发展论坛定于11月12-13日在宁夏回族自治区银川市召开。会议将邀请行业专家学者、企业家等到会并发表演讲。会议报名请联系：袁野（15117955830，ccfa_yy@126.com）。详细信息见中国化纤协会微信公众号及网站。</w:t>
      </w:r>
    </w:p>
    <w:p w14:paraId="35B42FB7">
      <w:pPr>
        <w:spacing w:line="360" w:lineRule="auto"/>
        <w:rPr>
          <w:ins w:id="73" w:author="冬子" w:date="2025-11-06T17:05:01Z"/>
          <w:rFonts w:hint="eastAsia"/>
        </w:rPr>
      </w:pPr>
    </w:p>
    <w:p w14:paraId="679FC345">
      <w:pPr>
        <w:spacing w:line="360" w:lineRule="auto"/>
        <w:rPr>
          <w:ins w:id="74" w:author="冬子" w:date="2025-11-06T17:05:03Z"/>
          <w:rFonts w:hint="eastAsia"/>
        </w:rPr>
      </w:pPr>
      <w:ins w:id="75" w:author="冬子" w:date="2025-11-06T17:05:03Z">
        <w:r>
          <w:rPr>
            <w:rFonts w:hint="eastAsia"/>
          </w:rPr>
          <w:t>●中复神鹰登央视《中华考工记》，揭秘国产碳纤维强劲实力</w:t>
        </w:r>
      </w:ins>
    </w:p>
    <w:p w14:paraId="2BBF78C6">
      <w:pPr>
        <w:spacing w:line="360" w:lineRule="auto"/>
        <w:rPr>
          <w:ins w:id="76" w:author="冬子" w:date="2025-11-06T17:05:03Z"/>
          <w:rFonts w:hint="eastAsia"/>
        </w:rPr>
      </w:pPr>
      <w:ins w:id="77" w:author="冬子" w:date="2025-11-06T17:05:03Z">
        <w:r>
          <w:rPr>
            <w:rFonts w:hint="eastAsia"/>
          </w:rPr>
          <w:t>--------</w:t>
        </w:r>
      </w:ins>
    </w:p>
    <w:p w14:paraId="26E7A436">
      <w:pPr>
        <w:pBdr>
          <w:top w:val="none" w:color="auto" w:sz="0" w:space="0"/>
          <w:left w:val="none" w:color="auto" w:sz="0" w:space="0"/>
          <w:bottom w:val="none" w:color="auto" w:sz="0" w:space="0"/>
          <w:right w:val="none" w:color="auto" w:sz="0" w:space="0"/>
        </w:pBdr>
        <w:spacing w:line="360" w:lineRule="auto"/>
        <w:rPr>
          <w:rFonts w:hint="eastAsia"/>
        </w:rPr>
        <w:pPrChange w:id="78" w:author="冬子" w:date="2025-11-06T17:25:54Z">
          <w:pPr>
            <w:spacing w:line="360" w:lineRule="auto"/>
          </w:pPr>
        </w:pPrChange>
      </w:pPr>
      <w:ins w:id="79" w:author="冬子" w:date="2025-11-06T17:05:03Z">
        <w:r>
          <w:rPr>
            <w:rFonts w:hint="eastAsia"/>
          </w:rPr>
          <w:t>11月2日，央视《中华考工记》新材料篇重磅开播，中复神鹰作为碳纤维行业代表，以传统智慧与现代创新的跨时空对话，亮出国产碳纤维的硬核实力。</w:t>
        </w:r>
      </w:ins>
      <w:ins w:id="80" w:author="冬子" w:date="2025-11-06T17:21:49Z">
        <w:r>
          <w:rPr>
            <w:rFonts w:hint="eastAsia" w:ascii="宋体" w:hAnsi="宋体" w:eastAsia="宋体" w:cs="宋体"/>
            <w:i w:val="0"/>
            <w:iCs w:val="0"/>
            <w:caps w:val="0"/>
            <w:spacing w:val="0"/>
            <w:kern w:val="0"/>
            <w:sz w:val="24"/>
            <w:szCs w:val="24"/>
            <w:shd w:val="clear"/>
            <w:lang w:val="en-US" w:eastAsia="zh-CN" w:bidi="ar"/>
          </w:rPr>
          <w:t>节目中，T700 级碳纤维经 1200℃灼烧安然无恙，2024 年量产的 T1100 级碳纤维更能拉动 46 吨配重物</w:t>
        </w:r>
      </w:ins>
      <w:ins w:id="81" w:author="冬子" w:date="2025-11-06T17:22:25Z">
        <w:r>
          <w:rPr>
            <w:rFonts w:hint="default" w:ascii="Arial" w:hAnsi="Arial" w:eastAsia="宋体" w:cs="Arial"/>
            <w:i w:val="0"/>
            <w:iCs w:val="0"/>
            <w:caps w:val="0"/>
            <w:spacing w:val="0"/>
            <w:kern w:val="0"/>
            <w:sz w:val="24"/>
            <w:szCs w:val="24"/>
            <w:shd w:val="clear"/>
            <w:lang w:val="en-US" w:eastAsia="zh-CN" w:bidi="ar"/>
          </w:rPr>
          <w:t>…</w:t>
        </w:r>
      </w:ins>
      <w:ins w:id="82" w:author="冬子" w:date="2025-11-06T17:22:31Z">
        <w:r>
          <w:rPr>
            <w:rFonts w:hint="default" w:ascii="Arial" w:hAnsi="Arial" w:eastAsia="宋体" w:cs="Arial"/>
            <w:i w:val="0"/>
            <w:iCs w:val="0"/>
            <w:caps w:val="0"/>
            <w:spacing w:val="0"/>
            <w:kern w:val="0"/>
            <w:sz w:val="24"/>
            <w:szCs w:val="24"/>
            <w:shd w:val="clear"/>
            <w:lang w:val="en-US" w:eastAsia="zh-CN" w:bidi="ar"/>
          </w:rPr>
          <w:t>…</w:t>
        </w:r>
      </w:ins>
      <w:ins w:id="83" w:author="冬子" w:date="2025-11-06T17:05:03Z">
        <w:r>
          <w:rPr>
            <w:rFonts w:hint="eastAsia"/>
          </w:rPr>
          <w:t>中复神鹰通过全场景画面呈现碳纤维的应用，既彰显了技术实力，又拉近了与公众的距离。体育器械、C919大飞机、火箭、地铁列车……碳纤维助力大国重器，也进入寻常百姓家。目前</w:t>
        </w:r>
        <w:bookmarkStart w:id="16" w:name="_GoBack"/>
        <w:bookmarkEnd w:id="16"/>
        <w:r>
          <w:rPr>
            <w:rFonts w:hint="eastAsia"/>
          </w:rPr>
          <w:t>碳纤维已实现从“高冷”到“亲民”的跨越，依托自主规模化生产技术突破，既是航空航天、大飞机等大国重器的“筋骨”，也是新能源汽车、轨道交通等民用领域的轻量化核心支撑，全方位赋能高端制造升级。</w:t>
        </w:r>
      </w:ins>
    </w:p>
    <w:p w14:paraId="3D920FBD">
      <w:pPr>
        <w:spacing w:line="360" w:lineRule="auto"/>
        <w:rPr>
          <w:rFonts w:hint="eastAsia"/>
        </w:rPr>
      </w:pPr>
    </w:p>
    <w:p w14:paraId="08A874A3">
      <w:pPr>
        <w:spacing w:line="360" w:lineRule="auto"/>
        <w:rPr>
          <w:rFonts w:hint="eastAsia"/>
        </w:rPr>
      </w:pPr>
      <w:r>
        <w:rPr>
          <w:rFonts w:hint="eastAsia"/>
        </w:rPr>
        <w:t>●第二届全国化纤标准化技术委员会（SAC／TC586）成立大会暨化纤行业标准化年会即将召开</w:t>
      </w:r>
    </w:p>
    <w:p w14:paraId="418F56F9">
      <w:pPr>
        <w:spacing w:line="360" w:lineRule="auto"/>
        <w:rPr>
          <w:rFonts w:hint="eastAsia"/>
        </w:rPr>
      </w:pPr>
      <w:r>
        <w:rPr>
          <w:rFonts w:hint="eastAsia"/>
        </w:rPr>
        <w:t>--------</w:t>
      </w:r>
    </w:p>
    <w:p w14:paraId="33086C6B">
      <w:pPr>
        <w:spacing w:line="360" w:lineRule="auto"/>
        <w:rPr>
          <w:rFonts w:hint="eastAsia"/>
        </w:rPr>
      </w:pPr>
      <w:r>
        <w:rPr>
          <w:rFonts w:hint="eastAsia"/>
        </w:rPr>
        <w:t>为完成标委会换届、总结标准化工作进展、展望未来方向，全国化纤标准化技术委员会秘书处定于11月25-27日，在福建福州召开第二届全国化纤标准化技术委员会（SAC/TC586）成立大会暨化纤行业标准化年会，同期还将召开化纤标准审稿会。根据国标委相关规定，标委会委员务必出席，履行义务。标委会委员所在会员单位有义务派委员参会。同时诚邀行业标准化专家参加会议，共商化纤标准化发展大计。联系人：张子昕18810090403。详细信息见中国化纤协会网站和微信公众号。</w:t>
      </w:r>
    </w:p>
    <w:p w14:paraId="6534162B">
      <w:pPr>
        <w:spacing w:line="360" w:lineRule="auto"/>
        <w:rPr>
          <w:rFonts w:hint="eastAsia"/>
        </w:rPr>
      </w:pPr>
    </w:p>
    <w:p w14:paraId="2D54402A">
      <w:pPr>
        <w:spacing w:line="360" w:lineRule="auto"/>
        <w:rPr>
          <w:rFonts w:hint="eastAsia"/>
        </w:rPr>
      </w:pPr>
      <w:r>
        <w:rPr>
          <w:rFonts w:hint="eastAsia"/>
        </w:rPr>
        <w:t>●2025年中国化纤协会循环再利用化学纤维分会年会暨行业可持续发展论坛即将召开</w:t>
      </w:r>
    </w:p>
    <w:p w14:paraId="142E566A">
      <w:pPr>
        <w:adjustRightInd w:val="0"/>
        <w:snapToGrid w:val="0"/>
        <w:spacing w:line="360" w:lineRule="auto"/>
        <w:rPr>
          <w:rFonts w:hint="eastAsia"/>
        </w:rPr>
      </w:pPr>
      <w:r>
        <w:rPr>
          <w:rFonts w:hint="eastAsia"/>
        </w:rPr>
        <w:t>--------</w:t>
      </w:r>
    </w:p>
    <w:p w14:paraId="50B5DB1A">
      <w:pPr>
        <w:spacing w:line="360" w:lineRule="auto"/>
        <w:rPr>
          <w:rFonts w:hint="eastAsia"/>
        </w:rPr>
      </w:pPr>
      <w:r>
        <w:rPr>
          <w:rFonts w:hint="eastAsia"/>
        </w:rPr>
        <w:t>中国化纤协会定于12月1-2日在江苏淮安召开“2025年中国化纤协会循环再利用化学纤维分会年会暨行业可持续发展论坛”，诚邀产业链领导、专家、生产企业、科研人员及行业上下游企业同聚淮安洪泽，共商循环再利用化学纤维行业发展大计。会议由中国化纤协会循环再利用化学纤维分会、山东隆众信息技术有限公司承办。会议联系：李德利15810426273，ccfaldl@126.com。详细信息见中国化纤协会微信公众号及网站。</w:t>
      </w:r>
    </w:p>
    <w:p w14:paraId="6BA34FEE">
      <w:pPr>
        <w:spacing w:line="360" w:lineRule="auto"/>
        <w:rPr>
          <w:rFonts w:hint="eastAsia"/>
        </w:rPr>
      </w:pPr>
    </w:p>
    <w:p w14:paraId="6647D8AC">
      <w:pPr>
        <w:spacing w:line="360" w:lineRule="auto"/>
        <w:rPr>
          <w:rFonts w:hint="eastAsia"/>
        </w:rPr>
      </w:pPr>
      <w:r>
        <w:rPr>
          <w:rFonts w:hint="eastAsia"/>
        </w:rPr>
        <w:t>【宏观财经】</w:t>
      </w:r>
    </w:p>
    <w:p w14:paraId="6D502F53">
      <w:pPr>
        <w:spacing w:line="360" w:lineRule="auto"/>
        <w:rPr>
          <w:rFonts w:hint="eastAsia"/>
        </w:rPr>
      </w:pPr>
      <w:r>
        <w:rPr>
          <w:rFonts w:hint="eastAsia"/>
        </w:rPr>
        <w:t>●科技部推动“创新积分制2.0”在全国试行</w:t>
      </w:r>
    </w:p>
    <w:p w14:paraId="3834721F">
      <w:pPr>
        <w:spacing w:line="360" w:lineRule="auto"/>
        <w:rPr>
          <w:rFonts w:hint="eastAsia"/>
        </w:rPr>
      </w:pPr>
      <w:r>
        <w:rPr>
          <w:rFonts w:hint="eastAsia"/>
        </w:rPr>
        <w:t>--------</w:t>
      </w:r>
    </w:p>
    <w:p w14:paraId="70AE9B57">
      <w:pPr>
        <w:spacing w:line="360" w:lineRule="auto"/>
        <w:rPr>
          <w:rFonts w:hint="eastAsia"/>
        </w:rPr>
      </w:pPr>
      <w:r>
        <w:rPr>
          <w:rFonts w:hint="eastAsia"/>
        </w:rPr>
        <w:t>科技部日前发布优化升级的“创新积分制2.0版”，推动其在全国范围内广泛实施。“创新积分制”作为一种新型科技金融政策工具，依据创新积分对企业进行创新能力量化评价，可帮助金融机构等主体更加精准地识别企业科技创新属性，从而引导各类资源向科技型企业聚集。“创新积分制2.0”指标体系由9个定量指标和3个加分项指标构成。指标体系共设置一级指标4项、二级指标12项。一级指标为创新投入、创新产出、创新发展、创新影响，其中创新投入、创新产出、创新发展的基础评价指标100分，创新影响加分项30分。</w:t>
      </w:r>
    </w:p>
    <w:p w14:paraId="67DA26CD">
      <w:pPr>
        <w:spacing w:line="360" w:lineRule="auto"/>
        <w:rPr>
          <w:rFonts w:hint="eastAsia"/>
        </w:rPr>
      </w:pPr>
    </w:p>
    <w:bookmarkEnd w:id="14"/>
    <w:p w14:paraId="370F87A6">
      <w:pPr>
        <w:spacing w:line="360" w:lineRule="auto"/>
        <w:jc w:val="both"/>
        <w:rPr>
          <w:rFonts w:hint="eastAsia"/>
        </w:rPr>
      </w:pPr>
      <w:bookmarkStart w:id="15" w:name="_Hlk6545358"/>
      <w:r>
        <w:rPr>
          <w:rFonts w:hint="eastAsia"/>
        </w:rPr>
        <w:t>【卓越读书会】</w:t>
      </w:r>
    </w:p>
    <w:p w14:paraId="5C3587F5">
      <w:pPr>
        <w:spacing w:line="360" w:lineRule="auto"/>
        <w:rPr>
          <w:rFonts w:ascii="Times New Roman" w:hAnsi="Times New Roman" w:cs="Times New Roman"/>
        </w:rPr>
      </w:pPr>
      <w:del w:id="84" w:author="冬子" w:date="2025-11-06T16:51:30Z">
        <w:r>
          <w:rPr>
            <w:rFonts w:ascii="Times New Roman" w:hAnsi="Times New Roman" w:cs="Times New Roman"/>
          </w:rPr>
          <w:delText>​</w:delText>
        </w:r>
      </w:del>
      <w:r>
        <w:rPr>
          <w:rFonts w:ascii="Times New Roman" w:hAnsi="Times New Roman" w:cs="Times New Roman"/>
        </w:rPr>
        <w:t>生活既充满了各种问题，生活本身却又给予人们答案。真正爱生活的人，总是学会了问题和答案一并都去爱。很多盛开的花朵最后未必能结出果子。但是，没有任何一个秋天，完不成自己的使命。</w:t>
      </w:r>
    </w:p>
    <w:p w14:paraId="7D196448">
      <w:pPr>
        <w:spacing w:line="360" w:lineRule="auto"/>
        <w:rPr>
          <w:rFonts w:hint="eastAsia" w:ascii="Times New Roman" w:hAnsi="Times New Roman" w:cs="Times New Roman"/>
        </w:rPr>
      </w:pPr>
      <w:r>
        <w:rPr>
          <w:rFonts w:hint="eastAsia"/>
        </w:rPr>
        <w:t>-------</w:t>
      </w:r>
      <w:r>
        <w:rPr>
          <w:rFonts w:ascii="Times New Roman" w:hAnsi="Times New Roman" w:cs="Times New Roman"/>
        </w:rPr>
        <w:t>《半山文集》</w:t>
      </w:r>
    </w:p>
    <w:p w14:paraId="5229179D">
      <w:pPr>
        <w:spacing w:line="360" w:lineRule="auto"/>
        <w:rPr>
          <w:rFonts w:hint="eastAsia"/>
        </w:rPr>
      </w:pPr>
    </w:p>
    <w:p w14:paraId="0D7BCCD0">
      <w:pPr>
        <w:widowControl w:val="0"/>
        <w:spacing w:line="360" w:lineRule="auto"/>
        <w:jc w:val="both"/>
        <w:rPr>
          <w:rFonts w:hint="eastAsia"/>
        </w:rPr>
      </w:pPr>
      <w:r>
        <w:rPr>
          <w:rFonts w:hint="eastAsia"/>
        </w:rPr>
        <w:t>【市场快讯】</w:t>
      </w:r>
    </w:p>
    <w:p w14:paraId="616CF4D1">
      <w:pPr>
        <w:spacing w:line="360" w:lineRule="auto"/>
        <w:jc w:val="both"/>
        <w:rPr>
          <w:rFonts w:hint="eastAsia"/>
        </w:rPr>
      </w:pPr>
      <w:r>
        <w:rPr>
          <w:rFonts w:hint="eastAsia"/>
        </w:rPr>
        <w:t>●低弹格子尼丝纺面料销售趋势良好</w:t>
      </w:r>
    </w:p>
    <w:p w14:paraId="2BF8EB0A">
      <w:pPr>
        <w:widowControl w:val="0"/>
        <w:spacing w:line="360" w:lineRule="auto"/>
        <w:jc w:val="both"/>
        <w:rPr>
          <w:rFonts w:hint="eastAsia"/>
        </w:rPr>
      </w:pPr>
      <w:r>
        <w:t>--------</w:t>
      </w:r>
    </w:p>
    <w:p w14:paraId="075DB4CE">
      <w:pPr>
        <w:spacing w:line="360" w:lineRule="auto"/>
        <w:jc w:val="both"/>
        <w:rPr>
          <w:rFonts w:hint="eastAsia"/>
        </w:rPr>
      </w:pPr>
      <w:r>
        <w:rPr>
          <w:rFonts w:hint="eastAsia"/>
        </w:rPr>
        <w:t>该面料经纬采用锦纶DTY 15D*15D为原料，密度为510T，选用提格子组织在喷水织机上织造，坯布经过预处理、染色等工艺加工而成。该面料具有超薄细腻、手感软滑、光感性好、服用性佳等优点，主要用于制作羽绒服、户外服、防晒服等。其坯布幅宽为150cm，克重为60克/平方米，现上市成交价在9.00元/米左右。此布料质地优良、穿着舒适、外观新颖，故有市场消费者欢迎，主要销往武汉、重庆、沈阳、成都、广州等地。</w:t>
      </w:r>
    </w:p>
    <w:p w14:paraId="30EDF1F8">
      <w:pPr>
        <w:spacing w:line="360" w:lineRule="auto"/>
        <w:jc w:val="both"/>
        <w:rPr>
          <w:rFonts w:hint="eastAsia"/>
        </w:rPr>
      </w:pPr>
    </w:p>
    <w:p w14:paraId="3368743D">
      <w:pPr>
        <w:spacing w:line="360" w:lineRule="auto"/>
        <w:jc w:val="both"/>
        <w:rPr>
          <w:rFonts w:hint="eastAsia"/>
        </w:rPr>
      </w:pPr>
      <w:r>
        <w:rPr>
          <w:rFonts w:hint="eastAsia"/>
        </w:rPr>
        <w:t>【现货价格】</w:t>
      </w:r>
    </w:p>
    <w:tbl>
      <w:tblPr>
        <w:tblStyle w:val="13"/>
        <w:tblW w:w="3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7"/>
        <w:gridCol w:w="1799"/>
        <w:gridCol w:w="1020"/>
      </w:tblGrid>
      <w:tr w14:paraId="15F1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905" w:type="pct"/>
            <w:vAlign w:val="center"/>
          </w:tcPr>
          <w:p w14:paraId="206BA402">
            <w:pPr>
              <w:jc w:val="center"/>
              <w:rPr>
                <w:rFonts w:hint="eastAsia" w:asciiTheme="minorEastAsia" w:hAnsiTheme="minorEastAsia" w:eastAsiaTheme="minorEastAsia"/>
                <w:b/>
                <w:bCs/>
                <w:sz w:val="21"/>
                <w:szCs w:val="21"/>
              </w:rPr>
            </w:pPr>
            <w:r>
              <w:rPr>
                <w:rFonts w:hint="eastAsia" w:asciiTheme="minorEastAsia" w:hAnsiTheme="minorEastAsia" w:eastAsiaTheme="minorEastAsia"/>
                <w:b/>
                <w:bCs/>
                <w:sz w:val="21"/>
                <w:szCs w:val="21"/>
              </w:rPr>
              <w:t>品种名称</w:t>
            </w:r>
          </w:p>
        </w:tc>
        <w:tc>
          <w:tcPr>
            <w:tcW w:w="1337" w:type="pct"/>
            <w:vAlign w:val="center"/>
          </w:tcPr>
          <w:p w14:paraId="5C7FA6B5">
            <w:pPr>
              <w:jc w:val="center"/>
              <w:rPr>
                <w:rFonts w:hint="eastAsia" w:asciiTheme="minorEastAsia" w:hAnsiTheme="minorEastAsia" w:eastAsiaTheme="minorEastAsia"/>
                <w:b/>
                <w:bCs/>
                <w:sz w:val="21"/>
                <w:szCs w:val="21"/>
              </w:rPr>
            </w:pPr>
            <w:r>
              <w:rPr>
                <w:rFonts w:hint="eastAsia"/>
                <w:b/>
                <w:bCs/>
                <w:color w:val="000000"/>
                <w:sz w:val="21"/>
                <w:szCs w:val="21"/>
              </w:rPr>
              <w:t>11月6日</w:t>
            </w:r>
          </w:p>
        </w:tc>
        <w:tc>
          <w:tcPr>
            <w:tcW w:w="758" w:type="pct"/>
            <w:vAlign w:val="center"/>
          </w:tcPr>
          <w:p w14:paraId="232678B3">
            <w:pPr>
              <w:jc w:val="center"/>
              <w:rPr>
                <w:rFonts w:hint="eastAsia" w:asciiTheme="minorEastAsia" w:hAnsiTheme="minorEastAsia" w:eastAsiaTheme="minorEastAsia"/>
                <w:b/>
                <w:bCs/>
                <w:sz w:val="21"/>
                <w:szCs w:val="21"/>
              </w:rPr>
            </w:pPr>
            <w:r>
              <w:rPr>
                <w:rFonts w:hint="eastAsia"/>
                <w:b/>
                <w:bCs/>
                <w:color w:val="000000"/>
                <w:sz w:val="21"/>
                <w:szCs w:val="21"/>
              </w:rPr>
              <w:t>涨跌</w:t>
            </w:r>
          </w:p>
        </w:tc>
      </w:tr>
      <w:tr w14:paraId="1308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5ECD054B">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PX CFR中国</w:t>
            </w:r>
          </w:p>
        </w:tc>
        <w:tc>
          <w:tcPr>
            <w:tcW w:w="1337" w:type="pct"/>
            <w:vAlign w:val="bottom"/>
          </w:tcPr>
          <w:p w14:paraId="7A50E708">
            <w:pPr>
              <w:jc w:val="center"/>
              <w:textAlignment w:val="bottom"/>
              <w:rPr>
                <w:rFonts w:hint="eastAsia" w:asciiTheme="minorEastAsia" w:hAnsiTheme="minorEastAsia" w:eastAsiaTheme="minorEastAsia"/>
                <w:sz w:val="21"/>
                <w:szCs w:val="21"/>
                <w:highlight w:val="yellow"/>
              </w:rPr>
            </w:pPr>
            <w:r>
              <w:rPr>
                <w:rFonts w:hint="eastAsia"/>
                <w:color w:val="000000"/>
                <w:sz w:val="21"/>
                <w:szCs w:val="21"/>
              </w:rPr>
              <w:t>816</w:t>
            </w:r>
          </w:p>
        </w:tc>
        <w:tc>
          <w:tcPr>
            <w:tcW w:w="758" w:type="pct"/>
            <w:noWrap/>
            <w:vAlign w:val="center"/>
          </w:tcPr>
          <w:p w14:paraId="294339AE">
            <w:pPr>
              <w:jc w:val="center"/>
              <w:textAlignment w:val="center"/>
              <w:rPr>
                <w:rFonts w:hint="eastAsia" w:asciiTheme="minorEastAsia" w:hAnsiTheme="minorEastAsia" w:eastAsiaTheme="minorEastAsia"/>
                <w:sz w:val="21"/>
                <w:szCs w:val="21"/>
              </w:rPr>
            </w:pPr>
            <w:r>
              <w:rPr>
                <w:rFonts w:hint="eastAsia"/>
                <w:color w:val="000000"/>
                <w:sz w:val="21"/>
                <w:szCs w:val="21"/>
              </w:rPr>
              <w:t>-2</w:t>
            </w:r>
          </w:p>
        </w:tc>
      </w:tr>
      <w:tr w14:paraId="2350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4AB6DB7E">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PTA外盘</w:t>
            </w:r>
          </w:p>
        </w:tc>
        <w:tc>
          <w:tcPr>
            <w:tcW w:w="1337" w:type="pct"/>
            <w:vAlign w:val="bottom"/>
          </w:tcPr>
          <w:p w14:paraId="640F50AE">
            <w:pPr>
              <w:jc w:val="center"/>
              <w:textAlignment w:val="bottom"/>
              <w:rPr>
                <w:rFonts w:hint="eastAsia" w:asciiTheme="minorEastAsia" w:hAnsiTheme="minorEastAsia" w:eastAsiaTheme="minorEastAsia"/>
                <w:sz w:val="21"/>
                <w:szCs w:val="21"/>
                <w:highlight w:val="yellow"/>
              </w:rPr>
            </w:pPr>
            <w:r>
              <w:rPr>
                <w:rFonts w:hint="eastAsia"/>
                <w:color w:val="000000"/>
                <w:sz w:val="21"/>
                <w:szCs w:val="21"/>
              </w:rPr>
              <w:t>614</w:t>
            </w:r>
          </w:p>
        </w:tc>
        <w:tc>
          <w:tcPr>
            <w:tcW w:w="758" w:type="pct"/>
            <w:noWrap/>
            <w:vAlign w:val="center"/>
          </w:tcPr>
          <w:p w14:paraId="50568C49">
            <w:pPr>
              <w:jc w:val="center"/>
              <w:textAlignment w:val="center"/>
              <w:rPr>
                <w:rFonts w:hint="eastAsia" w:asciiTheme="minorEastAsia" w:hAnsiTheme="minorEastAsia" w:eastAsiaTheme="minorEastAsia"/>
                <w:sz w:val="21"/>
                <w:szCs w:val="21"/>
              </w:rPr>
            </w:pPr>
            <w:r>
              <w:rPr>
                <w:rFonts w:hint="eastAsia"/>
                <w:color w:val="000000"/>
                <w:sz w:val="21"/>
                <w:szCs w:val="21"/>
              </w:rPr>
              <w:t>3</w:t>
            </w:r>
          </w:p>
        </w:tc>
      </w:tr>
      <w:tr w14:paraId="59DD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6AD988C3">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PTA</w:t>
            </w:r>
          </w:p>
        </w:tc>
        <w:tc>
          <w:tcPr>
            <w:tcW w:w="1337" w:type="pct"/>
            <w:tcBorders>
              <w:bottom w:val="single" w:color="auto" w:sz="4" w:space="0"/>
            </w:tcBorders>
            <w:vAlign w:val="bottom"/>
          </w:tcPr>
          <w:p w14:paraId="36607FC6">
            <w:pPr>
              <w:jc w:val="center"/>
              <w:textAlignment w:val="bottom"/>
              <w:rPr>
                <w:rFonts w:hint="eastAsia" w:asciiTheme="minorEastAsia" w:hAnsiTheme="minorEastAsia" w:eastAsiaTheme="minorEastAsia"/>
                <w:sz w:val="21"/>
                <w:szCs w:val="21"/>
                <w:highlight w:val="yellow"/>
              </w:rPr>
            </w:pPr>
            <w:r>
              <w:rPr>
                <w:rFonts w:hint="eastAsia"/>
                <w:color w:val="000000"/>
                <w:sz w:val="21"/>
                <w:szCs w:val="21"/>
              </w:rPr>
              <w:t>4540</w:t>
            </w:r>
          </w:p>
        </w:tc>
        <w:tc>
          <w:tcPr>
            <w:tcW w:w="758" w:type="pct"/>
            <w:noWrap/>
            <w:vAlign w:val="center"/>
          </w:tcPr>
          <w:p w14:paraId="7AB055EC">
            <w:pPr>
              <w:jc w:val="center"/>
              <w:textAlignment w:val="center"/>
              <w:rPr>
                <w:rFonts w:hint="eastAsia" w:asciiTheme="minorEastAsia" w:hAnsiTheme="minorEastAsia" w:eastAsiaTheme="minorEastAsia"/>
                <w:sz w:val="21"/>
                <w:szCs w:val="21"/>
              </w:rPr>
            </w:pPr>
            <w:r>
              <w:rPr>
                <w:rFonts w:hint="eastAsia"/>
                <w:color w:val="000000"/>
                <w:sz w:val="21"/>
                <w:szCs w:val="21"/>
              </w:rPr>
              <w:t>10</w:t>
            </w:r>
          </w:p>
        </w:tc>
      </w:tr>
      <w:tr w14:paraId="0B16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1939FE20">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乙二醇外盘</w:t>
            </w:r>
          </w:p>
        </w:tc>
        <w:tc>
          <w:tcPr>
            <w:tcW w:w="1337" w:type="pct"/>
            <w:vAlign w:val="bottom"/>
          </w:tcPr>
          <w:p w14:paraId="60D6CCF7">
            <w:pPr>
              <w:jc w:val="center"/>
              <w:textAlignment w:val="bottom"/>
              <w:rPr>
                <w:rFonts w:hint="eastAsia" w:asciiTheme="minorEastAsia" w:hAnsiTheme="minorEastAsia" w:eastAsiaTheme="minorEastAsia"/>
                <w:sz w:val="21"/>
                <w:szCs w:val="21"/>
                <w:highlight w:val="yellow"/>
              </w:rPr>
            </w:pPr>
            <w:r>
              <w:rPr>
                <w:rFonts w:hint="eastAsia"/>
                <w:color w:val="000000"/>
                <w:sz w:val="21"/>
                <w:szCs w:val="21"/>
              </w:rPr>
              <w:t>470</w:t>
            </w:r>
          </w:p>
        </w:tc>
        <w:tc>
          <w:tcPr>
            <w:tcW w:w="758" w:type="pct"/>
            <w:tcBorders>
              <w:bottom w:val="single" w:color="auto" w:sz="4" w:space="0"/>
            </w:tcBorders>
            <w:noWrap/>
            <w:vAlign w:val="center"/>
          </w:tcPr>
          <w:p w14:paraId="3940EECF">
            <w:pPr>
              <w:jc w:val="center"/>
              <w:textAlignment w:val="center"/>
              <w:rPr>
                <w:rFonts w:hint="eastAsia" w:asciiTheme="minorEastAsia" w:hAnsiTheme="minorEastAsia" w:eastAsiaTheme="minorEastAsia"/>
                <w:sz w:val="21"/>
                <w:szCs w:val="21"/>
              </w:rPr>
            </w:pPr>
            <w:r>
              <w:rPr>
                <w:rFonts w:hint="eastAsia"/>
                <w:color w:val="000000"/>
                <w:sz w:val="21"/>
                <w:szCs w:val="21"/>
              </w:rPr>
              <w:t>-21</w:t>
            </w:r>
          </w:p>
        </w:tc>
      </w:tr>
      <w:tr w14:paraId="23D5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713104AB">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乙二醇</w:t>
            </w:r>
          </w:p>
        </w:tc>
        <w:tc>
          <w:tcPr>
            <w:tcW w:w="1337" w:type="pct"/>
            <w:tcBorders>
              <w:top w:val="single" w:color="auto" w:sz="4" w:space="0"/>
              <w:left w:val="nil"/>
              <w:bottom w:val="single" w:color="auto" w:sz="4" w:space="0"/>
              <w:right w:val="single" w:color="auto" w:sz="4" w:space="0"/>
            </w:tcBorders>
            <w:vAlign w:val="bottom"/>
          </w:tcPr>
          <w:p w14:paraId="008CF741">
            <w:pPr>
              <w:jc w:val="center"/>
              <w:textAlignment w:val="bottom"/>
              <w:rPr>
                <w:rFonts w:hint="eastAsia"/>
                <w:color w:val="000000"/>
                <w:sz w:val="21"/>
                <w:szCs w:val="21"/>
              </w:rPr>
            </w:pPr>
            <w:r>
              <w:rPr>
                <w:rFonts w:hint="eastAsia"/>
                <w:color w:val="000000"/>
                <w:sz w:val="21"/>
                <w:szCs w:val="21"/>
              </w:rPr>
              <w:t>3978</w:t>
            </w:r>
          </w:p>
        </w:tc>
        <w:tc>
          <w:tcPr>
            <w:tcW w:w="758" w:type="pct"/>
            <w:tcBorders>
              <w:top w:val="single" w:color="auto" w:sz="4" w:space="0"/>
              <w:left w:val="single" w:color="auto" w:sz="4" w:space="0"/>
              <w:bottom w:val="single" w:color="auto" w:sz="4" w:space="0"/>
              <w:right w:val="single" w:color="auto" w:sz="4" w:space="0"/>
            </w:tcBorders>
            <w:noWrap/>
            <w:vAlign w:val="center"/>
          </w:tcPr>
          <w:p w14:paraId="12D22B57">
            <w:pPr>
              <w:jc w:val="center"/>
              <w:textAlignment w:val="center"/>
              <w:rPr>
                <w:rFonts w:hint="eastAsia"/>
                <w:color w:val="000000"/>
                <w:sz w:val="21"/>
                <w:szCs w:val="21"/>
              </w:rPr>
            </w:pPr>
            <w:r>
              <w:rPr>
                <w:rFonts w:hint="eastAsia"/>
                <w:color w:val="000000"/>
                <w:sz w:val="21"/>
                <w:szCs w:val="21"/>
              </w:rPr>
              <w:t>-167</w:t>
            </w:r>
          </w:p>
        </w:tc>
      </w:tr>
      <w:tr w14:paraId="1126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4BCCFCB4">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聚酯瓶片（水瓶级）</w:t>
            </w:r>
          </w:p>
        </w:tc>
        <w:tc>
          <w:tcPr>
            <w:tcW w:w="1337" w:type="pct"/>
            <w:tcBorders>
              <w:top w:val="single" w:color="auto" w:sz="4" w:space="0"/>
              <w:left w:val="nil"/>
              <w:bottom w:val="single" w:color="auto" w:sz="4" w:space="0"/>
              <w:right w:val="single" w:color="auto" w:sz="4" w:space="0"/>
            </w:tcBorders>
            <w:vAlign w:val="bottom"/>
          </w:tcPr>
          <w:p w14:paraId="120772CA">
            <w:pPr>
              <w:jc w:val="center"/>
              <w:textAlignment w:val="bottom"/>
              <w:rPr>
                <w:rFonts w:hint="eastAsia"/>
                <w:color w:val="000000"/>
                <w:sz w:val="21"/>
                <w:szCs w:val="21"/>
              </w:rPr>
            </w:pPr>
            <w:r>
              <w:rPr>
                <w:rFonts w:hint="eastAsia"/>
                <w:color w:val="000000"/>
                <w:sz w:val="21"/>
                <w:szCs w:val="21"/>
              </w:rPr>
              <w:t>5730</w:t>
            </w:r>
          </w:p>
        </w:tc>
        <w:tc>
          <w:tcPr>
            <w:tcW w:w="758" w:type="pct"/>
            <w:tcBorders>
              <w:top w:val="single" w:color="auto" w:sz="4" w:space="0"/>
              <w:left w:val="single" w:color="auto" w:sz="4" w:space="0"/>
              <w:bottom w:val="single" w:color="auto" w:sz="4" w:space="0"/>
              <w:right w:val="single" w:color="auto" w:sz="4" w:space="0"/>
            </w:tcBorders>
            <w:noWrap/>
            <w:vAlign w:val="center"/>
          </w:tcPr>
          <w:p w14:paraId="10BBD6AA">
            <w:pPr>
              <w:jc w:val="center"/>
              <w:textAlignment w:val="center"/>
              <w:rPr>
                <w:rFonts w:hint="eastAsia"/>
                <w:color w:val="000000"/>
                <w:sz w:val="21"/>
                <w:szCs w:val="21"/>
              </w:rPr>
            </w:pPr>
            <w:r>
              <w:rPr>
                <w:rFonts w:hint="eastAsia"/>
                <w:color w:val="000000"/>
                <w:sz w:val="21"/>
                <w:szCs w:val="21"/>
              </w:rPr>
              <w:t>10</w:t>
            </w:r>
          </w:p>
        </w:tc>
      </w:tr>
      <w:tr w14:paraId="1446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1E855E2D">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聚酯切片（半光）</w:t>
            </w:r>
          </w:p>
        </w:tc>
        <w:tc>
          <w:tcPr>
            <w:tcW w:w="1337" w:type="pct"/>
            <w:tcBorders>
              <w:top w:val="single" w:color="auto" w:sz="4" w:space="0"/>
              <w:left w:val="nil"/>
              <w:bottom w:val="single" w:color="auto" w:sz="4" w:space="0"/>
              <w:right w:val="single" w:color="auto" w:sz="4" w:space="0"/>
            </w:tcBorders>
            <w:vAlign w:val="bottom"/>
          </w:tcPr>
          <w:p w14:paraId="7D7AA934">
            <w:pPr>
              <w:jc w:val="center"/>
              <w:textAlignment w:val="bottom"/>
              <w:rPr>
                <w:rFonts w:hint="eastAsia"/>
                <w:color w:val="000000"/>
                <w:sz w:val="21"/>
                <w:szCs w:val="21"/>
              </w:rPr>
            </w:pPr>
            <w:r>
              <w:rPr>
                <w:rFonts w:hint="eastAsia"/>
                <w:color w:val="000000"/>
                <w:sz w:val="21"/>
                <w:szCs w:val="21"/>
              </w:rPr>
              <w:t>5550</w:t>
            </w:r>
          </w:p>
        </w:tc>
        <w:tc>
          <w:tcPr>
            <w:tcW w:w="758" w:type="pct"/>
            <w:tcBorders>
              <w:top w:val="single" w:color="auto" w:sz="4" w:space="0"/>
              <w:left w:val="single" w:color="auto" w:sz="4" w:space="0"/>
              <w:bottom w:val="single" w:color="auto" w:sz="4" w:space="0"/>
              <w:right w:val="single" w:color="auto" w:sz="4" w:space="0"/>
            </w:tcBorders>
            <w:noWrap/>
            <w:vAlign w:val="center"/>
          </w:tcPr>
          <w:p w14:paraId="32697F54">
            <w:pPr>
              <w:jc w:val="center"/>
              <w:textAlignment w:val="center"/>
              <w:rPr>
                <w:rFonts w:hint="eastAsia"/>
                <w:color w:val="000000"/>
                <w:sz w:val="21"/>
                <w:szCs w:val="21"/>
              </w:rPr>
            </w:pPr>
            <w:r>
              <w:rPr>
                <w:rFonts w:hint="eastAsia"/>
                <w:color w:val="000000"/>
                <w:sz w:val="21"/>
                <w:szCs w:val="21"/>
              </w:rPr>
              <w:t>-15</w:t>
            </w:r>
          </w:p>
        </w:tc>
      </w:tr>
      <w:tr w14:paraId="27F5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6EB02858">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涤纶短纤</w:t>
            </w:r>
          </w:p>
        </w:tc>
        <w:tc>
          <w:tcPr>
            <w:tcW w:w="1337" w:type="pct"/>
            <w:tcBorders>
              <w:top w:val="single" w:color="auto" w:sz="4" w:space="0"/>
              <w:left w:val="nil"/>
              <w:bottom w:val="single" w:color="auto" w:sz="4" w:space="0"/>
              <w:right w:val="single" w:color="auto" w:sz="4" w:space="0"/>
            </w:tcBorders>
            <w:vAlign w:val="bottom"/>
          </w:tcPr>
          <w:p w14:paraId="7708BA0B">
            <w:pPr>
              <w:jc w:val="center"/>
              <w:textAlignment w:val="bottom"/>
              <w:rPr>
                <w:rFonts w:hint="eastAsia"/>
                <w:color w:val="000000"/>
                <w:sz w:val="21"/>
                <w:szCs w:val="21"/>
              </w:rPr>
            </w:pPr>
            <w:r>
              <w:rPr>
                <w:rFonts w:hint="eastAsia"/>
                <w:color w:val="000000"/>
                <w:sz w:val="21"/>
                <w:szCs w:val="21"/>
              </w:rPr>
              <w:t>6310</w:t>
            </w:r>
          </w:p>
        </w:tc>
        <w:tc>
          <w:tcPr>
            <w:tcW w:w="758" w:type="pct"/>
            <w:tcBorders>
              <w:top w:val="single" w:color="auto" w:sz="4" w:space="0"/>
              <w:left w:val="single" w:color="auto" w:sz="4" w:space="0"/>
              <w:bottom w:val="single" w:color="auto" w:sz="4" w:space="0"/>
              <w:right w:val="single" w:color="auto" w:sz="4" w:space="0"/>
            </w:tcBorders>
            <w:noWrap/>
            <w:vAlign w:val="center"/>
          </w:tcPr>
          <w:p w14:paraId="4559FAC3">
            <w:pPr>
              <w:jc w:val="center"/>
              <w:textAlignment w:val="center"/>
              <w:rPr>
                <w:rFonts w:hint="eastAsia"/>
                <w:color w:val="000000"/>
                <w:sz w:val="21"/>
                <w:szCs w:val="21"/>
              </w:rPr>
            </w:pPr>
            <w:r>
              <w:rPr>
                <w:rFonts w:hint="eastAsia"/>
                <w:color w:val="000000"/>
                <w:sz w:val="21"/>
                <w:szCs w:val="21"/>
              </w:rPr>
              <w:t>-35</w:t>
            </w:r>
          </w:p>
        </w:tc>
      </w:tr>
      <w:tr w14:paraId="5D5E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2007D0BD">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再生高强低伸仿大化</w:t>
            </w:r>
          </w:p>
        </w:tc>
        <w:tc>
          <w:tcPr>
            <w:tcW w:w="1337" w:type="pct"/>
            <w:tcBorders>
              <w:top w:val="single" w:color="auto" w:sz="4" w:space="0"/>
              <w:left w:val="nil"/>
              <w:bottom w:val="single" w:color="auto" w:sz="4" w:space="0"/>
              <w:right w:val="single" w:color="auto" w:sz="4" w:space="0"/>
            </w:tcBorders>
            <w:vAlign w:val="bottom"/>
          </w:tcPr>
          <w:p w14:paraId="66DF9E9A">
            <w:pPr>
              <w:jc w:val="center"/>
              <w:textAlignment w:val="bottom"/>
              <w:rPr>
                <w:rFonts w:hint="eastAsia"/>
                <w:color w:val="000000"/>
                <w:sz w:val="21"/>
                <w:szCs w:val="21"/>
              </w:rPr>
            </w:pPr>
            <w:r>
              <w:rPr>
                <w:rFonts w:hint="eastAsia"/>
                <w:color w:val="000000"/>
                <w:sz w:val="21"/>
                <w:szCs w:val="21"/>
              </w:rPr>
              <w:t>5550</w:t>
            </w:r>
          </w:p>
        </w:tc>
        <w:tc>
          <w:tcPr>
            <w:tcW w:w="758" w:type="pct"/>
            <w:tcBorders>
              <w:top w:val="single" w:color="auto" w:sz="4" w:space="0"/>
              <w:left w:val="single" w:color="auto" w:sz="4" w:space="0"/>
              <w:bottom w:val="single" w:color="auto" w:sz="4" w:space="0"/>
              <w:right w:val="single" w:color="auto" w:sz="4" w:space="0"/>
            </w:tcBorders>
            <w:noWrap/>
            <w:vAlign w:val="center"/>
          </w:tcPr>
          <w:p w14:paraId="0D6B0301">
            <w:pPr>
              <w:jc w:val="center"/>
              <w:textAlignment w:val="center"/>
              <w:rPr>
                <w:rFonts w:hint="eastAsia"/>
                <w:color w:val="000000"/>
                <w:sz w:val="21"/>
                <w:szCs w:val="21"/>
              </w:rPr>
            </w:pPr>
            <w:r>
              <w:rPr>
                <w:rFonts w:hint="eastAsia"/>
                <w:color w:val="000000"/>
                <w:sz w:val="21"/>
                <w:szCs w:val="21"/>
              </w:rPr>
              <w:t>0</w:t>
            </w:r>
          </w:p>
        </w:tc>
      </w:tr>
      <w:tr w14:paraId="7782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1D2506F9">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涤纶长丝POY150D/48F</w:t>
            </w:r>
          </w:p>
        </w:tc>
        <w:tc>
          <w:tcPr>
            <w:tcW w:w="1337" w:type="pct"/>
            <w:tcBorders>
              <w:top w:val="single" w:color="auto" w:sz="4" w:space="0"/>
              <w:left w:val="nil"/>
              <w:bottom w:val="single" w:color="auto" w:sz="4" w:space="0"/>
              <w:right w:val="single" w:color="auto" w:sz="4" w:space="0"/>
            </w:tcBorders>
            <w:vAlign w:val="bottom"/>
          </w:tcPr>
          <w:p w14:paraId="30892FD6">
            <w:pPr>
              <w:jc w:val="center"/>
              <w:textAlignment w:val="bottom"/>
              <w:rPr>
                <w:rFonts w:hint="eastAsia"/>
                <w:color w:val="000000"/>
                <w:sz w:val="21"/>
                <w:szCs w:val="21"/>
              </w:rPr>
            </w:pPr>
            <w:r>
              <w:rPr>
                <w:rFonts w:hint="eastAsia"/>
                <w:color w:val="000000"/>
                <w:sz w:val="21"/>
                <w:szCs w:val="21"/>
              </w:rPr>
              <w:t>6500</w:t>
            </w:r>
          </w:p>
        </w:tc>
        <w:tc>
          <w:tcPr>
            <w:tcW w:w="758" w:type="pct"/>
            <w:tcBorders>
              <w:top w:val="single" w:color="auto" w:sz="4" w:space="0"/>
              <w:left w:val="single" w:color="auto" w:sz="4" w:space="0"/>
              <w:bottom w:val="single" w:color="auto" w:sz="4" w:space="0"/>
              <w:right w:val="single" w:color="auto" w:sz="4" w:space="0"/>
            </w:tcBorders>
            <w:noWrap/>
            <w:vAlign w:val="center"/>
          </w:tcPr>
          <w:p w14:paraId="18079F97">
            <w:pPr>
              <w:jc w:val="center"/>
              <w:textAlignment w:val="center"/>
              <w:rPr>
                <w:rFonts w:hint="eastAsia"/>
                <w:color w:val="000000"/>
                <w:sz w:val="21"/>
                <w:szCs w:val="21"/>
              </w:rPr>
            </w:pPr>
            <w:r>
              <w:rPr>
                <w:rFonts w:hint="eastAsia"/>
                <w:color w:val="000000"/>
                <w:sz w:val="21"/>
                <w:szCs w:val="21"/>
              </w:rPr>
              <w:t>50</w:t>
            </w:r>
          </w:p>
        </w:tc>
      </w:tr>
      <w:tr w14:paraId="5CAF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5735AD7C">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涤纶长丝FDY150D/96F</w:t>
            </w:r>
          </w:p>
        </w:tc>
        <w:tc>
          <w:tcPr>
            <w:tcW w:w="1337" w:type="pct"/>
            <w:tcBorders>
              <w:top w:val="single" w:color="auto" w:sz="4" w:space="0"/>
              <w:left w:val="nil"/>
              <w:bottom w:val="single" w:color="auto" w:sz="4" w:space="0"/>
              <w:right w:val="single" w:color="auto" w:sz="4" w:space="0"/>
            </w:tcBorders>
            <w:vAlign w:val="bottom"/>
          </w:tcPr>
          <w:p w14:paraId="414D61F6">
            <w:pPr>
              <w:jc w:val="center"/>
              <w:textAlignment w:val="bottom"/>
              <w:rPr>
                <w:rFonts w:hint="eastAsia"/>
                <w:color w:val="000000"/>
                <w:sz w:val="21"/>
                <w:szCs w:val="21"/>
              </w:rPr>
            </w:pPr>
            <w:r>
              <w:rPr>
                <w:rFonts w:hint="eastAsia"/>
                <w:color w:val="000000"/>
                <w:sz w:val="21"/>
                <w:szCs w:val="21"/>
              </w:rPr>
              <w:t>6725</w:t>
            </w:r>
          </w:p>
        </w:tc>
        <w:tc>
          <w:tcPr>
            <w:tcW w:w="758" w:type="pct"/>
            <w:tcBorders>
              <w:top w:val="single" w:color="auto" w:sz="4" w:space="0"/>
              <w:left w:val="single" w:color="auto" w:sz="4" w:space="0"/>
              <w:bottom w:val="single" w:color="auto" w:sz="4" w:space="0"/>
              <w:right w:val="single" w:color="auto" w:sz="4" w:space="0"/>
            </w:tcBorders>
            <w:noWrap/>
            <w:vAlign w:val="center"/>
          </w:tcPr>
          <w:p w14:paraId="22A9870F">
            <w:pPr>
              <w:jc w:val="center"/>
              <w:textAlignment w:val="center"/>
              <w:rPr>
                <w:rFonts w:hint="eastAsia"/>
                <w:color w:val="000000"/>
                <w:sz w:val="21"/>
                <w:szCs w:val="21"/>
              </w:rPr>
            </w:pPr>
            <w:r>
              <w:rPr>
                <w:rFonts w:hint="eastAsia"/>
                <w:color w:val="000000"/>
                <w:sz w:val="21"/>
                <w:szCs w:val="21"/>
              </w:rPr>
              <w:t>25</w:t>
            </w:r>
          </w:p>
        </w:tc>
      </w:tr>
      <w:tr w14:paraId="4D82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40DD186F">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涤纶长丝DTY150D/48F</w:t>
            </w:r>
          </w:p>
        </w:tc>
        <w:tc>
          <w:tcPr>
            <w:tcW w:w="1337" w:type="pct"/>
            <w:tcBorders>
              <w:top w:val="single" w:color="auto" w:sz="4" w:space="0"/>
              <w:left w:val="nil"/>
              <w:bottom w:val="single" w:color="auto" w:sz="4" w:space="0"/>
              <w:right w:val="single" w:color="auto" w:sz="4" w:space="0"/>
            </w:tcBorders>
            <w:vAlign w:val="bottom"/>
          </w:tcPr>
          <w:p w14:paraId="7CFF2998">
            <w:pPr>
              <w:jc w:val="center"/>
              <w:textAlignment w:val="bottom"/>
              <w:rPr>
                <w:rFonts w:hint="eastAsia"/>
                <w:color w:val="000000"/>
                <w:sz w:val="21"/>
                <w:szCs w:val="21"/>
              </w:rPr>
            </w:pPr>
            <w:r>
              <w:rPr>
                <w:rFonts w:hint="eastAsia"/>
                <w:color w:val="000000"/>
                <w:sz w:val="21"/>
                <w:szCs w:val="21"/>
              </w:rPr>
              <w:t>7800</w:t>
            </w:r>
          </w:p>
        </w:tc>
        <w:tc>
          <w:tcPr>
            <w:tcW w:w="758" w:type="pct"/>
            <w:tcBorders>
              <w:top w:val="single" w:color="auto" w:sz="4" w:space="0"/>
              <w:left w:val="single" w:color="auto" w:sz="4" w:space="0"/>
              <w:bottom w:val="single" w:color="auto" w:sz="4" w:space="0"/>
              <w:right w:val="single" w:color="auto" w:sz="4" w:space="0"/>
            </w:tcBorders>
            <w:noWrap/>
            <w:vAlign w:val="center"/>
          </w:tcPr>
          <w:p w14:paraId="64453157">
            <w:pPr>
              <w:jc w:val="center"/>
              <w:textAlignment w:val="center"/>
              <w:rPr>
                <w:rFonts w:hint="eastAsia"/>
                <w:color w:val="000000"/>
                <w:sz w:val="21"/>
                <w:szCs w:val="21"/>
              </w:rPr>
            </w:pPr>
            <w:r>
              <w:rPr>
                <w:rFonts w:hint="eastAsia"/>
                <w:color w:val="000000"/>
                <w:sz w:val="21"/>
                <w:szCs w:val="21"/>
              </w:rPr>
              <w:t>50</w:t>
            </w:r>
          </w:p>
        </w:tc>
      </w:tr>
      <w:tr w14:paraId="2712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2C9A95DA">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己内酰胺液体</w:t>
            </w:r>
          </w:p>
        </w:tc>
        <w:tc>
          <w:tcPr>
            <w:tcW w:w="1337" w:type="pct"/>
            <w:tcBorders>
              <w:top w:val="single" w:color="auto" w:sz="4" w:space="0"/>
              <w:left w:val="nil"/>
              <w:bottom w:val="single" w:color="auto" w:sz="4" w:space="0"/>
              <w:right w:val="single" w:color="auto" w:sz="4" w:space="0"/>
            </w:tcBorders>
            <w:vAlign w:val="bottom"/>
          </w:tcPr>
          <w:p w14:paraId="41738E48">
            <w:pPr>
              <w:jc w:val="center"/>
              <w:textAlignment w:val="bottom"/>
              <w:rPr>
                <w:rFonts w:hint="eastAsia"/>
                <w:color w:val="000000"/>
                <w:sz w:val="21"/>
                <w:szCs w:val="21"/>
              </w:rPr>
            </w:pPr>
            <w:r>
              <w:rPr>
                <w:rFonts w:hint="eastAsia"/>
                <w:color w:val="000000"/>
                <w:sz w:val="21"/>
                <w:szCs w:val="21"/>
              </w:rPr>
              <w:t>8150</w:t>
            </w:r>
          </w:p>
        </w:tc>
        <w:tc>
          <w:tcPr>
            <w:tcW w:w="758" w:type="pct"/>
            <w:tcBorders>
              <w:top w:val="single" w:color="auto" w:sz="4" w:space="0"/>
              <w:left w:val="single" w:color="auto" w:sz="4" w:space="0"/>
              <w:bottom w:val="single" w:color="auto" w:sz="4" w:space="0"/>
              <w:right w:val="single" w:color="auto" w:sz="4" w:space="0"/>
            </w:tcBorders>
            <w:noWrap/>
            <w:vAlign w:val="center"/>
          </w:tcPr>
          <w:p w14:paraId="1BBC6F9A">
            <w:pPr>
              <w:jc w:val="center"/>
              <w:textAlignment w:val="center"/>
              <w:rPr>
                <w:rFonts w:hint="eastAsia"/>
                <w:color w:val="000000"/>
                <w:sz w:val="21"/>
                <w:szCs w:val="21"/>
              </w:rPr>
            </w:pPr>
            <w:r>
              <w:rPr>
                <w:rFonts w:hint="eastAsia"/>
                <w:color w:val="000000"/>
                <w:sz w:val="21"/>
                <w:szCs w:val="21"/>
              </w:rPr>
              <w:t>100</w:t>
            </w:r>
          </w:p>
        </w:tc>
      </w:tr>
      <w:tr w14:paraId="530A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0001CB14">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聚酰胺6</w:t>
            </w:r>
          </w:p>
        </w:tc>
        <w:tc>
          <w:tcPr>
            <w:tcW w:w="1337" w:type="pct"/>
            <w:tcBorders>
              <w:top w:val="single" w:color="auto" w:sz="4" w:space="0"/>
              <w:left w:val="nil"/>
              <w:bottom w:val="single" w:color="auto" w:sz="4" w:space="0"/>
              <w:right w:val="single" w:color="auto" w:sz="4" w:space="0"/>
            </w:tcBorders>
            <w:vAlign w:val="bottom"/>
          </w:tcPr>
          <w:p w14:paraId="5FD86DFE">
            <w:pPr>
              <w:jc w:val="center"/>
              <w:textAlignment w:val="bottom"/>
              <w:rPr>
                <w:rFonts w:hint="eastAsia"/>
                <w:color w:val="000000"/>
                <w:sz w:val="21"/>
                <w:szCs w:val="21"/>
              </w:rPr>
            </w:pPr>
            <w:r>
              <w:rPr>
                <w:rFonts w:hint="eastAsia"/>
                <w:color w:val="000000"/>
                <w:sz w:val="21"/>
                <w:szCs w:val="21"/>
              </w:rPr>
              <w:t>8850</w:t>
            </w:r>
          </w:p>
        </w:tc>
        <w:tc>
          <w:tcPr>
            <w:tcW w:w="758" w:type="pct"/>
            <w:tcBorders>
              <w:top w:val="single" w:color="auto" w:sz="4" w:space="0"/>
              <w:left w:val="single" w:color="auto" w:sz="4" w:space="0"/>
              <w:bottom w:val="single" w:color="auto" w:sz="4" w:space="0"/>
              <w:right w:val="single" w:color="auto" w:sz="4" w:space="0"/>
            </w:tcBorders>
            <w:noWrap/>
            <w:vAlign w:val="center"/>
          </w:tcPr>
          <w:p w14:paraId="6BC08061">
            <w:pPr>
              <w:jc w:val="center"/>
              <w:textAlignment w:val="center"/>
              <w:rPr>
                <w:rFonts w:hint="eastAsia"/>
                <w:color w:val="000000"/>
                <w:sz w:val="21"/>
                <w:szCs w:val="21"/>
              </w:rPr>
            </w:pPr>
            <w:r>
              <w:rPr>
                <w:rFonts w:hint="eastAsia"/>
                <w:color w:val="000000"/>
                <w:sz w:val="21"/>
                <w:szCs w:val="21"/>
              </w:rPr>
              <w:t>100</w:t>
            </w:r>
          </w:p>
        </w:tc>
      </w:tr>
      <w:tr w14:paraId="18AB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42051237">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锦纶POY85D/24F半消光</w:t>
            </w:r>
          </w:p>
        </w:tc>
        <w:tc>
          <w:tcPr>
            <w:tcW w:w="1337" w:type="pct"/>
            <w:tcBorders>
              <w:top w:val="single" w:color="auto" w:sz="4" w:space="0"/>
              <w:left w:val="nil"/>
              <w:bottom w:val="single" w:color="auto" w:sz="4" w:space="0"/>
              <w:right w:val="single" w:color="auto" w:sz="4" w:space="0"/>
            </w:tcBorders>
            <w:vAlign w:val="bottom"/>
          </w:tcPr>
          <w:p w14:paraId="57988DF6">
            <w:pPr>
              <w:jc w:val="center"/>
              <w:textAlignment w:val="bottom"/>
              <w:rPr>
                <w:rFonts w:hint="eastAsia"/>
                <w:color w:val="000000"/>
                <w:sz w:val="21"/>
                <w:szCs w:val="21"/>
              </w:rPr>
            </w:pPr>
            <w:r>
              <w:rPr>
                <w:rFonts w:hint="eastAsia"/>
                <w:color w:val="000000"/>
                <w:sz w:val="21"/>
                <w:szCs w:val="21"/>
              </w:rPr>
              <w:t>11250</w:t>
            </w:r>
          </w:p>
        </w:tc>
        <w:tc>
          <w:tcPr>
            <w:tcW w:w="758" w:type="pct"/>
            <w:tcBorders>
              <w:top w:val="single" w:color="auto" w:sz="4" w:space="0"/>
              <w:left w:val="single" w:color="auto" w:sz="4" w:space="0"/>
              <w:bottom w:val="single" w:color="auto" w:sz="4" w:space="0"/>
              <w:right w:val="single" w:color="auto" w:sz="4" w:space="0"/>
            </w:tcBorders>
            <w:noWrap/>
            <w:vAlign w:val="center"/>
          </w:tcPr>
          <w:p w14:paraId="7AEE07BA">
            <w:pPr>
              <w:jc w:val="center"/>
              <w:textAlignment w:val="center"/>
              <w:rPr>
                <w:rFonts w:hint="eastAsia"/>
                <w:color w:val="000000"/>
                <w:sz w:val="21"/>
                <w:szCs w:val="21"/>
              </w:rPr>
            </w:pPr>
            <w:r>
              <w:rPr>
                <w:rFonts w:hint="eastAsia"/>
                <w:color w:val="000000"/>
                <w:sz w:val="21"/>
                <w:szCs w:val="21"/>
              </w:rPr>
              <w:t>0</w:t>
            </w:r>
          </w:p>
        </w:tc>
      </w:tr>
      <w:tr w14:paraId="4C0A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2905" w:type="pct"/>
            <w:noWrap/>
            <w:vAlign w:val="bottom"/>
          </w:tcPr>
          <w:p w14:paraId="03CCF870">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锦纶FDY70D/24F半消光</w:t>
            </w:r>
          </w:p>
        </w:tc>
        <w:tc>
          <w:tcPr>
            <w:tcW w:w="1337" w:type="pct"/>
            <w:tcBorders>
              <w:top w:val="single" w:color="auto" w:sz="4" w:space="0"/>
              <w:left w:val="nil"/>
              <w:bottom w:val="single" w:color="auto" w:sz="4" w:space="0"/>
              <w:right w:val="single" w:color="auto" w:sz="4" w:space="0"/>
            </w:tcBorders>
            <w:vAlign w:val="bottom"/>
          </w:tcPr>
          <w:p w14:paraId="69639A15">
            <w:pPr>
              <w:jc w:val="center"/>
              <w:textAlignment w:val="bottom"/>
              <w:rPr>
                <w:rFonts w:hint="eastAsia"/>
                <w:color w:val="000000"/>
                <w:sz w:val="21"/>
                <w:szCs w:val="21"/>
              </w:rPr>
            </w:pPr>
            <w:r>
              <w:rPr>
                <w:rFonts w:hint="eastAsia"/>
                <w:color w:val="000000"/>
                <w:sz w:val="21"/>
                <w:szCs w:val="21"/>
              </w:rPr>
              <w:t>11850</w:t>
            </w:r>
          </w:p>
        </w:tc>
        <w:tc>
          <w:tcPr>
            <w:tcW w:w="758" w:type="pct"/>
            <w:tcBorders>
              <w:top w:val="single" w:color="auto" w:sz="4" w:space="0"/>
              <w:left w:val="single" w:color="auto" w:sz="4" w:space="0"/>
              <w:bottom w:val="single" w:color="auto" w:sz="4" w:space="0"/>
              <w:right w:val="single" w:color="auto" w:sz="4" w:space="0"/>
            </w:tcBorders>
            <w:noWrap/>
            <w:vAlign w:val="center"/>
          </w:tcPr>
          <w:p w14:paraId="7E779136">
            <w:pPr>
              <w:jc w:val="center"/>
              <w:textAlignment w:val="center"/>
              <w:rPr>
                <w:rFonts w:hint="eastAsia"/>
                <w:color w:val="000000"/>
                <w:sz w:val="21"/>
                <w:szCs w:val="21"/>
              </w:rPr>
            </w:pPr>
            <w:r>
              <w:rPr>
                <w:rFonts w:hint="eastAsia"/>
                <w:color w:val="000000"/>
                <w:sz w:val="21"/>
                <w:szCs w:val="21"/>
              </w:rPr>
              <w:t>0</w:t>
            </w:r>
          </w:p>
        </w:tc>
      </w:tr>
      <w:tr w14:paraId="5E94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511FA136">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锦纶DTY70D/24F半消光</w:t>
            </w:r>
          </w:p>
        </w:tc>
        <w:tc>
          <w:tcPr>
            <w:tcW w:w="1337" w:type="pct"/>
            <w:tcBorders>
              <w:top w:val="single" w:color="auto" w:sz="4" w:space="0"/>
              <w:left w:val="nil"/>
              <w:bottom w:val="single" w:color="auto" w:sz="4" w:space="0"/>
              <w:right w:val="single" w:color="auto" w:sz="4" w:space="0"/>
            </w:tcBorders>
            <w:vAlign w:val="bottom"/>
          </w:tcPr>
          <w:p w14:paraId="45787D5E">
            <w:pPr>
              <w:jc w:val="center"/>
              <w:textAlignment w:val="bottom"/>
              <w:rPr>
                <w:rFonts w:hint="eastAsia"/>
                <w:color w:val="000000"/>
                <w:sz w:val="21"/>
                <w:szCs w:val="21"/>
              </w:rPr>
            </w:pPr>
            <w:r>
              <w:rPr>
                <w:rFonts w:hint="eastAsia"/>
                <w:color w:val="000000"/>
                <w:sz w:val="21"/>
                <w:szCs w:val="21"/>
              </w:rPr>
              <w:t>13650</w:t>
            </w:r>
          </w:p>
        </w:tc>
        <w:tc>
          <w:tcPr>
            <w:tcW w:w="758" w:type="pct"/>
            <w:tcBorders>
              <w:top w:val="single" w:color="auto" w:sz="4" w:space="0"/>
              <w:left w:val="single" w:color="auto" w:sz="4" w:space="0"/>
              <w:bottom w:val="single" w:color="auto" w:sz="4" w:space="0"/>
              <w:right w:val="single" w:color="auto" w:sz="4" w:space="0"/>
            </w:tcBorders>
            <w:noWrap/>
            <w:vAlign w:val="center"/>
          </w:tcPr>
          <w:p w14:paraId="35F6F7FB">
            <w:pPr>
              <w:jc w:val="center"/>
              <w:textAlignment w:val="center"/>
              <w:rPr>
                <w:rFonts w:hint="eastAsia"/>
                <w:color w:val="000000"/>
                <w:sz w:val="21"/>
                <w:szCs w:val="21"/>
              </w:rPr>
            </w:pPr>
            <w:r>
              <w:rPr>
                <w:rFonts w:hint="eastAsia"/>
                <w:color w:val="000000"/>
                <w:sz w:val="21"/>
                <w:szCs w:val="21"/>
              </w:rPr>
              <w:t>0</w:t>
            </w:r>
          </w:p>
        </w:tc>
      </w:tr>
      <w:tr w14:paraId="2C24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743EF9A5">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粘胶短纤</w:t>
            </w:r>
          </w:p>
        </w:tc>
        <w:tc>
          <w:tcPr>
            <w:tcW w:w="1337" w:type="pct"/>
            <w:tcBorders>
              <w:top w:val="single" w:color="auto" w:sz="4" w:space="0"/>
              <w:left w:val="nil"/>
              <w:bottom w:val="single" w:color="auto" w:sz="4" w:space="0"/>
              <w:right w:val="single" w:color="auto" w:sz="4" w:space="0"/>
            </w:tcBorders>
            <w:vAlign w:val="bottom"/>
          </w:tcPr>
          <w:p w14:paraId="2EFC25B4">
            <w:pPr>
              <w:jc w:val="center"/>
              <w:textAlignment w:val="bottom"/>
              <w:rPr>
                <w:rFonts w:hint="eastAsia"/>
                <w:color w:val="000000"/>
                <w:sz w:val="21"/>
                <w:szCs w:val="21"/>
              </w:rPr>
            </w:pPr>
            <w:r>
              <w:rPr>
                <w:rFonts w:hint="eastAsia"/>
                <w:color w:val="000000"/>
                <w:sz w:val="21"/>
                <w:szCs w:val="21"/>
              </w:rPr>
              <w:t>13030</w:t>
            </w:r>
          </w:p>
        </w:tc>
        <w:tc>
          <w:tcPr>
            <w:tcW w:w="758" w:type="pct"/>
            <w:tcBorders>
              <w:top w:val="single" w:color="auto" w:sz="4" w:space="0"/>
              <w:left w:val="single" w:color="auto" w:sz="4" w:space="0"/>
              <w:bottom w:val="single" w:color="auto" w:sz="4" w:space="0"/>
              <w:right w:val="single" w:color="auto" w:sz="4" w:space="0"/>
            </w:tcBorders>
            <w:noWrap/>
            <w:vAlign w:val="center"/>
          </w:tcPr>
          <w:p w14:paraId="0799A393">
            <w:pPr>
              <w:jc w:val="center"/>
              <w:textAlignment w:val="center"/>
              <w:rPr>
                <w:rFonts w:hint="eastAsia"/>
                <w:color w:val="000000"/>
                <w:sz w:val="21"/>
                <w:szCs w:val="21"/>
              </w:rPr>
            </w:pPr>
            <w:r>
              <w:rPr>
                <w:rFonts w:hint="eastAsia"/>
                <w:color w:val="000000"/>
                <w:sz w:val="21"/>
                <w:szCs w:val="21"/>
              </w:rPr>
              <w:t>0</w:t>
            </w:r>
          </w:p>
        </w:tc>
      </w:tr>
      <w:tr w14:paraId="6E9F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2270FE9E">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莱赛尔</w:t>
            </w:r>
          </w:p>
        </w:tc>
        <w:tc>
          <w:tcPr>
            <w:tcW w:w="1337" w:type="pct"/>
            <w:tcBorders>
              <w:top w:val="single" w:color="auto" w:sz="4" w:space="0"/>
              <w:left w:val="nil"/>
              <w:bottom w:val="single" w:color="auto" w:sz="4" w:space="0"/>
              <w:right w:val="single" w:color="auto" w:sz="4" w:space="0"/>
            </w:tcBorders>
            <w:vAlign w:val="bottom"/>
          </w:tcPr>
          <w:p w14:paraId="63E4AF6A">
            <w:pPr>
              <w:jc w:val="center"/>
              <w:textAlignment w:val="bottom"/>
              <w:rPr>
                <w:rFonts w:hint="eastAsia"/>
                <w:color w:val="000000"/>
                <w:sz w:val="21"/>
                <w:szCs w:val="21"/>
              </w:rPr>
            </w:pPr>
            <w:r>
              <w:rPr>
                <w:rFonts w:hint="eastAsia"/>
                <w:color w:val="000000"/>
                <w:sz w:val="21"/>
                <w:szCs w:val="21"/>
              </w:rPr>
              <w:t>12950</w:t>
            </w:r>
          </w:p>
        </w:tc>
        <w:tc>
          <w:tcPr>
            <w:tcW w:w="758" w:type="pct"/>
            <w:tcBorders>
              <w:top w:val="single" w:color="auto" w:sz="4" w:space="0"/>
              <w:left w:val="single" w:color="auto" w:sz="4" w:space="0"/>
              <w:bottom w:val="single" w:color="auto" w:sz="4" w:space="0"/>
              <w:right w:val="single" w:color="auto" w:sz="4" w:space="0"/>
            </w:tcBorders>
            <w:noWrap/>
            <w:vAlign w:val="center"/>
          </w:tcPr>
          <w:p w14:paraId="100A1A4A">
            <w:pPr>
              <w:jc w:val="center"/>
              <w:textAlignment w:val="center"/>
              <w:rPr>
                <w:rFonts w:hint="eastAsia"/>
                <w:color w:val="000000"/>
                <w:sz w:val="21"/>
                <w:szCs w:val="21"/>
              </w:rPr>
            </w:pPr>
            <w:r>
              <w:rPr>
                <w:rFonts w:hint="eastAsia"/>
                <w:color w:val="000000"/>
                <w:sz w:val="21"/>
                <w:szCs w:val="21"/>
              </w:rPr>
              <w:t>0</w:t>
            </w:r>
          </w:p>
        </w:tc>
      </w:tr>
      <w:tr w14:paraId="1C75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6CC493A3">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粘胶长丝120D</w:t>
            </w:r>
          </w:p>
        </w:tc>
        <w:tc>
          <w:tcPr>
            <w:tcW w:w="1337" w:type="pct"/>
            <w:tcBorders>
              <w:top w:val="single" w:color="auto" w:sz="4" w:space="0"/>
              <w:left w:val="nil"/>
              <w:bottom w:val="single" w:color="auto" w:sz="4" w:space="0"/>
              <w:right w:val="single" w:color="auto" w:sz="4" w:space="0"/>
            </w:tcBorders>
            <w:vAlign w:val="bottom"/>
          </w:tcPr>
          <w:p w14:paraId="4C60BDCA">
            <w:pPr>
              <w:jc w:val="center"/>
              <w:textAlignment w:val="bottom"/>
              <w:rPr>
                <w:rFonts w:hint="eastAsia"/>
                <w:color w:val="000000"/>
                <w:sz w:val="21"/>
                <w:szCs w:val="21"/>
              </w:rPr>
            </w:pPr>
            <w:r>
              <w:rPr>
                <w:rFonts w:hint="eastAsia"/>
                <w:color w:val="000000"/>
                <w:sz w:val="21"/>
                <w:szCs w:val="21"/>
              </w:rPr>
              <w:t>41500</w:t>
            </w:r>
          </w:p>
        </w:tc>
        <w:tc>
          <w:tcPr>
            <w:tcW w:w="758" w:type="pct"/>
            <w:tcBorders>
              <w:top w:val="single" w:color="auto" w:sz="4" w:space="0"/>
              <w:left w:val="single" w:color="auto" w:sz="4" w:space="0"/>
              <w:bottom w:val="single" w:color="auto" w:sz="4" w:space="0"/>
              <w:right w:val="single" w:color="auto" w:sz="4" w:space="0"/>
            </w:tcBorders>
            <w:noWrap/>
            <w:vAlign w:val="center"/>
          </w:tcPr>
          <w:p w14:paraId="467548C7">
            <w:pPr>
              <w:jc w:val="center"/>
              <w:textAlignment w:val="center"/>
              <w:rPr>
                <w:rFonts w:hint="eastAsia"/>
                <w:color w:val="000000"/>
                <w:sz w:val="21"/>
                <w:szCs w:val="21"/>
              </w:rPr>
            </w:pPr>
            <w:r>
              <w:rPr>
                <w:rFonts w:hint="eastAsia"/>
                <w:color w:val="000000"/>
                <w:sz w:val="21"/>
                <w:szCs w:val="21"/>
              </w:rPr>
              <w:t>0</w:t>
            </w:r>
          </w:p>
        </w:tc>
      </w:tr>
      <w:tr w14:paraId="741C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6D4705D1">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腈纶短纤</w:t>
            </w:r>
          </w:p>
        </w:tc>
        <w:tc>
          <w:tcPr>
            <w:tcW w:w="1337" w:type="pct"/>
            <w:tcBorders>
              <w:top w:val="single" w:color="auto" w:sz="4" w:space="0"/>
              <w:left w:val="nil"/>
              <w:bottom w:val="single" w:color="auto" w:sz="4" w:space="0"/>
              <w:right w:val="single" w:color="auto" w:sz="4" w:space="0"/>
            </w:tcBorders>
            <w:vAlign w:val="bottom"/>
          </w:tcPr>
          <w:p w14:paraId="58B719B0">
            <w:pPr>
              <w:jc w:val="center"/>
              <w:textAlignment w:val="bottom"/>
              <w:rPr>
                <w:rFonts w:hint="eastAsia"/>
                <w:color w:val="000000"/>
                <w:sz w:val="21"/>
                <w:szCs w:val="21"/>
              </w:rPr>
            </w:pPr>
            <w:r>
              <w:rPr>
                <w:rFonts w:hint="eastAsia"/>
                <w:color w:val="000000"/>
                <w:sz w:val="21"/>
                <w:szCs w:val="21"/>
              </w:rPr>
              <w:t>13915</w:t>
            </w:r>
          </w:p>
        </w:tc>
        <w:tc>
          <w:tcPr>
            <w:tcW w:w="758" w:type="pct"/>
            <w:tcBorders>
              <w:top w:val="single" w:color="auto" w:sz="4" w:space="0"/>
              <w:left w:val="single" w:color="auto" w:sz="4" w:space="0"/>
              <w:bottom w:val="single" w:color="auto" w:sz="4" w:space="0"/>
              <w:right w:val="single" w:color="auto" w:sz="4" w:space="0"/>
            </w:tcBorders>
            <w:noWrap/>
            <w:vAlign w:val="center"/>
          </w:tcPr>
          <w:p w14:paraId="4688406E">
            <w:pPr>
              <w:jc w:val="center"/>
              <w:textAlignment w:val="center"/>
              <w:rPr>
                <w:rFonts w:hint="eastAsia"/>
                <w:color w:val="000000"/>
                <w:sz w:val="21"/>
                <w:szCs w:val="21"/>
              </w:rPr>
            </w:pPr>
            <w:r>
              <w:rPr>
                <w:rFonts w:hint="eastAsia"/>
                <w:color w:val="000000"/>
                <w:sz w:val="21"/>
                <w:szCs w:val="21"/>
              </w:rPr>
              <w:t>60</w:t>
            </w:r>
          </w:p>
        </w:tc>
      </w:tr>
      <w:tr w14:paraId="4843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05" w:type="pct"/>
            <w:noWrap/>
            <w:vAlign w:val="bottom"/>
          </w:tcPr>
          <w:p w14:paraId="09BC935A">
            <w:pPr>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氨纶40D</w:t>
            </w:r>
          </w:p>
        </w:tc>
        <w:tc>
          <w:tcPr>
            <w:tcW w:w="1337" w:type="pct"/>
            <w:tcBorders>
              <w:top w:val="single" w:color="auto" w:sz="4" w:space="0"/>
              <w:left w:val="nil"/>
              <w:bottom w:val="single" w:color="auto" w:sz="4" w:space="0"/>
              <w:right w:val="single" w:color="auto" w:sz="4" w:space="0"/>
            </w:tcBorders>
            <w:vAlign w:val="bottom"/>
          </w:tcPr>
          <w:p w14:paraId="226D9FDD">
            <w:pPr>
              <w:jc w:val="center"/>
              <w:textAlignment w:val="bottom"/>
              <w:rPr>
                <w:rFonts w:hint="eastAsia"/>
                <w:color w:val="000000"/>
                <w:sz w:val="21"/>
                <w:szCs w:val="21"/>
              </w:rPr>
            </w:pPr>
            <w:r>
              <w:rPr>
                <w:rFonts w:hint="eastAsia"/>
                <w:color w:val="000000"/>
                <w:sz w:val="21"/>
                <w:szCs w:val="21"/>
              </w:rPr>
              <w:t>23500</w:t>
            </w:r>
          </w:p>
        </w:tc>
        <w:tc>
          <w:tcPr>
            <w:tcW w:w="758" w:type="pct"/>
            <w:tcBorders>
              <w:top w:val="single" w:color="auto" w:sz="4" w:space="0"/>
              <w:left w:val="single" w:color="auto" w:sz="4" w:space="0"/>
              <w:bottom w:val="single" w:color="auto" w:sz="4" w:space="0"/>
              <w:right w:val="single" w:color="auto" w:sz="4" w:space="0"/>
            </w:tcBorders>
            <w:noWrap/>
            <w:vAlign w:val="center"/>
          </w:tcPr>
          <w:p w14:paraId="6437B5BC">
            <w:pPr>
              <w:jc w:val="center"/>
              <w:textAlignment w:val="center"/>
              <w:rPr>
                <w:rFonts w:hint="eastAsia"/>
                <w:color w:val="000000"/>
                <w:sz w:val="21"/>
                <w:szCs w:val="21"/>
              </w:rPr>
            </w:pPr>
            <w:r>
              <w:rPr>
                <w:rFonts w:hint="eastAsia"/>
                <w:color w:val="000000"/>
                <w:sz w:val="21"/>
                <w:szCs w:val="21"/>
              </w:rPr>
              <w:t>0</w:t>
            </w:r>
          </w:p>
        </w:tc>
      </w:tr>
    </w:tbl>
    <w:p w14:paraId="187A88F0">
      <w:pPr>
        <w:spacing w:line="360" w:lineRule="auto"/>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注：外盘为周三价格，PX、PTA、乙二醇外盘单位为美元/吨，其他产品单位为元/吨。涨跌为本期价格与上期报告对比。</w:t>
      </w:r>
    </w:p>
    <w:p w14:paraId="2FE413DD">
      <w:pPr>
        <w:spacing w:line="360" w:lineRule="auto"/>
        <w:jc w:val="both"/>
        <w:rPr>
          <w:rFonts w:hint="eastAsia"/>
        </w:rPr>
      </w:pPr>
    </w:p>
    <w:bookmarkEnd w:id="15"/>
    <w:p w14:paraId="5BDAD35C">
      <w:pPr>
        <w:adjustRightInd w:val="0"/>
        <w:snapToGrid w:val="0"/>
        <w:spacing w:line="360" w:lineRule="auto"/>
        <w:rPr>
          <w:rFonts w:hint="eastAsia"/>
        </w:rPr>
      </w:pPr>
      <w:r>
        <w:rPr>
          <w:rFonts w:hint="eastAsia"/>
        </w:rPr>
        <w:t>【市场行情】</w:t>
      </w:r>
    </w:p>
    <w:p w14:paraId="7D54E553">
      <w:pPr>
        <w:spacing w:line="360" w:lineRule="auto"/>
      </w:pPr>
      <w:r>
        <w:rPr>
          <w:rFonts w:hint="eastAsia"/>
        </w:rPr>
        <w:t>原油：本周国际油价下跌，且均价下跌。截至11月5日，WTI价格为59.60美元/桶，较10月30日下跌1.60%；布伦特价格为63.52美元/桶，较10月30日下跌2.28%。本周国际油价下跌，主要的利空因素为：全球制造业数据欠佳，市场担忧需求疲软及供应过剩风险，叠加美国商业原油库存大幅增长，对油价形成利空抑制。增产氛围延续叠加需求季节性回落，市场对全球经济增长放缓及供应过剩的忧虑增强，且地缘局势暂无激化的迹象，预计下周国际油价存下跌空间。</w:t>
      </w:r>
    </w:p>
    <w:p w14:paraId="0CD08A10">
      <w:pPr>
        <w:spacing w:line="360" w:lineRule="auto"/>
        <w:rPr>
          <w:rFonts w:hint="eastAsia"/>
        </w:rPr>
      </w:pPr>
    </w:p>
    <w:p w14:paraId="3CEEA075">
      <w:pPr>
        <w:spacing w:line="360" w:lineRule="auto"/>
      </w:pPr>
      <w:r>
        <w:rPr>
          <w:rFonts w:hint="eastAsia"/>
        </w:rPr>
        <w:t>聚酯涤纶：本周聚酯涤纶价格窄幅震荡。原料PTA加工费持续低位下市场普遍认为底部支撑较强，但其他利好暂时缺乏，周内市场利好有限，仅周四市场涨幅较大，但对涤纶价格提振暂时有限。下周来看，PX-PTA底部支撑较强，仍有一定上行空间，不过原油及终端仍然偏空，涤纶价格跟进有限，预计有小幅上涨。</w:t>
      </w:r>
    </w:p>
    <w:p w14:paraId="1E9C9060">
      <w:pPr>
        <w:spacing w:line="360" w:lineRule="auto"/>
        <w:rPr>
          <w:rFonts w:hint="eastAsia"/>
        </w:rPr>
      </w:pPr>
    </w:p>
    <w:p w14:paraId="298E735C">
      <w:pPr>
        <w:spacing w:line="360" w:lineRule="auto"/>
      </w:pPr>
      <w:r>
        <w:rPr>
          <w:rFonts w:hint="eastAsia"/>
        </w:rPr>
        <w:t>锦纶：本周锦纶长丝市场价格整体平稳，上游己内酰胺及切片现货低位盘整，丝企报盘随成本低位震荡；需求端国内以“市场单”为主，下游刚需采购导致产销难放量，仅部分外贸订单有所恢复，业者持谨慎观望态度。预计下周市场仍以窄幅震荡为主，后续关注上游减产情况对锦纶价格的驱动影响。</w:t>
      </w:r>
    </w:p>
    <w:p w14:paraId="31355648">
      <w:pPr>
        <w:spacing w:line="360" w:lineRule="auto"/>
        <w:rPr>
          <w:rFonts w:hint="eastAsia"/>
        </w:rPr>
      </w:pPr>
    </w:p>
    <w:p w14:paraId="58EC5581">
      <w:pPr>
        <w:spacing w:line="360" w:lineRule="auto"/>
      </w:pPr>
      <w:r>
        <w:rPr>
          <w:rFonts w:hint="eastAsia"/>
        </w:rPr>
        <w:t>氨纶：本周氨纶市场价格整体持稳。成本端方面，PTMEG价格保持稳定，而纯MDI价格延续上涨走势，共同为市场提供了尚可的支撑力度。需求端则表现平淡，下游市场需求维持刚需，氨纶工厂出货速度略有放缓，行业库存出现微幅累积。下周来看，在成本端的支撑下，氨纶工厂对外报盘以稳为主，市场价格陷入僵持格局，实单多随行就市商谈。</w:t>
      </w:r>
    </w:p>
    <w:p w14:paraId="02601128">
      <w:pPr>
        <w:spacing w:line="360" w:lineRule="auto"/>
        <w:rPr>
          <w:rFonts w:hint="eastAsia"/>
        </w:rPr>
      </w:pPr>
    </w:p>
    <w:p w14:paraId="7D9921D5">
      <w:pPr>
        <w:spacing w:line="360" w:lineRule="auto"/>
      </w:pPr>
      <w:r>
        <w:rPr>
          <w:rFonts w:hint="eastAsia"/>
        </w:rPr>
        <w:t>粘胶短纤：本周粘胶短纤市场依旧延续弱势。下游布厂新单跟进乏力，工厂成品库存持续高位，致使市场对原料采购意向较低；目前国内主流大厂尚未公布新一期报价，市场缺乏明确定价指引，而部分中小型工厂却在需求端影响下，开始对成交价格进行下调以刺激下游对原料进行采购，但在终端需求疲软制约下，市场成交依旧弱势。综上预计：短期内需求端若无实质性改善，粘胶短纤市场仍将延续下行态势。</w:t>
      </w:r>
    </w:p>
    <w:p w14:paraId="41D125DE">
      <w:pPr>
        <w:spacing w:line="360" w:lineRule="auto"/>
        <w:rPr>
          <w:rFonts w:hint="eastAsia"/>
        </w:rPr>
      </w:pPr>
    </w:p>
    <w:p w14:paraId="76B3DEC3">
      <w:pPr>
        <w:spacing w:line="360" w:lineRule="auto"/>
      </w:pPr>
      <w:r>
        <w:rPr>
          <w:rFonts w:hint="eastAsia"/>
        </w:rPr>
        <w:t>莱赛尔纤维：本周国内莱赛尔纤维市场弱稳运行。成本端，溶解浆价格暂无明显波动，莱赛尔纤维成本尚存一定支撑。供应方面，部分地区莱赛尔纤维装置运行负荷提升，行业产能利用率持续上升，市场现货供应仍在增加。但需求端表现仍相对偏弱，下游纱线出货平平，重心以消耗原有库存为主，莱赛尔纤维企业周内新单跟进不佳，多以执行前期老客户订单为主。需求弱势下，业者操作谨慎，预计莱赛尔纤维市场整体弱稳运行。</w:t>
      </w:r>
    </w:p>
    <w:p w14:paraId="142C2DAE">
      <w:pPr>
        <w:spacing w:line="360" w:lineRule="auto"/>
        <w:rPr>
          <w:rFonts w:hint="eastAsia"/>
        </w:rPr>
      </w:pPr>
    </w:p>
    <w:p w14:paraId="26C8DBD0">
      <w:pPr>
        <w:spacing w:line="360" w:lineRule="auto"/>
        <w:rPr>
          <w:rFonts w:hint="eastAsia"/>
        </w:rPr>
      </w:pPr>
      <w:r>
        <w:rPr>
          <w:rFonts w:hint="eastAsia"/>
        </w:rPr>
        <w:t>腈纶：本周腈纶市场整体持稳，局部价格小幅上涨。近期成本支撑逐步增强，加之齐鲁石化装置尚处检修期的背景影响下，个别厂商试探性上调报价，带动局部成交价格窄幅上探。但终端需求持续疲软，叠加齐鲁石化装置预计将于下周重启，供应端压力或将增加，多重因素制约市场提价动力。短期来看，厂商报价大概率维持稳定，不过为促进出货，实际成交存在小幅让利空间，预计后市腈纶市场将呈现稳中偏弱格局。</w:t>
      </w:r>
    </w:p>
    <w:p w14:paraId="02A593A8">
      <w:pPr>
        <w:spacing w:line="360" w:lineRule="auto"/>
        <w:rPr>
          <w:rFonts w:hint="eastAsia"/>
        </w:rPr>
      </w:pPr>
    </w:p>
    <w:p w14:paraId="251E4663">
      <w:pPr>
        <w:spacing w:line="360" w:lineRule="auto"/>
        <w:rPr>
          <w:rFonts w:hint="eastAsia"/>
        </w:rPr>
      </w:pPr>
      <w:r>
        <w:rPr>
          <w:rFonts w:hint="eastAsia"/>
        </w:rPr>
        <w:t>（本期完）</w:t>
      </w:r>
    </w:p>
    <w:p w14:paraId="157EF9D8">
      <w:pPr>
        <w:spacing w:line="360" w:lineRule="auto"/>
        <w:rPr>
          <w:rFonts w:hint="eastAsia"/>
        </w:rPr>
      </w:pPr>
    </w:p>
    <w:p w14:paraId="43438E96">
      <w:pPr>
        <w:spacing w:line="360" w:lineRule="auto"/>
        <w:jc w:val="both"/>
        <w:rPr>
          <w:rFonts w:hint="eastAsia"/>
        </w:rPr>
      </w:pPr>
      <w:r>
        <w:rPr>
          <w:rFonts w:hint="eastAsia"/>
        </w:rPr>
        <w:t>※本手机报免费赠阅，如需宣传服务，或有任何意见、取消服务等，请致电中国化纤协会010-51292251-823，或在中国化学纤维工业协会微信公众号留言。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冬子">
    <w15:presenceInfo w15:providerId="WPS Office" w15:userId="4099194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DD3"/>
    <w:rsid w:val="000044C2"/>
    <w:rsid w:val="00004963"/>
    <w:rsid w:val="0000557D"/>
    <w:rsid w:val="000071E0"/>
    <w:rsid w:val="000111CC"/>
    <w:rsid w:val="00012E1F"/>
    <w:rsid w:val="00016000"/>
    <w:rsid w:val="000167EA"/>
    <w:rsid w:val="00025423"/>
    <w:rsid w:val="00025697"/>
    <w:rsid w:val="00030DDE"/>
    <w:rsid w:val="00036B09"/>
    <w:rsid w:val="0004084F"/>
    <w:rsid w:val="00044EAF"/>
    <w:rsid w:val="00047FC3"/>
    <w:rsid w:val="00051251"/>
    <w:rsid w:val="00051D9D"/>
    <w:rsid w:val="000520FF"/>
    <w:rsid w:val="000645B4"/>
    <w:rsid w:val="00064EEB"/>
    <w:rsid w:val="00065519"/>
    <w:rsid w:val="000679AB"/>
    <w:rsid w:val="00070E48"/>
    <w:rsid w:val="00075362"/>
    <w:rsid w:val="00076DF4"/>
    <w:rsid w:val="00083965"/>
    <w:rsid w:val="0008438E"/>
    <w:rsid w:val="00084F6F"/>
    <w:rsid w:val="00090500"/>
    <w:rsid w:val="000916A2"/>
    <w:rsid w:val="00091DC0"/>
    <w:rsid w:val="00094CC5"/>
    <w:rsid w:val="00096C92"/>
    <w:rsid w:val="000A2E34"/>
    <w:rsid w:val="000A32B0"/>
    <w:rsid w:val="000A5D47"/>
    <w:rsid w:val="000B1B8C"/>
    <w:rsid w:val="000B31D3"/>
    <w:rsid w:val="000B3A7F"/>
    <w:rsid w:val="000B4A63"/>
    <w:rsid w:val="000B5362"/>
    <w:rsid w:val="000B5FFC"/>
    <w:rsid w:val="000B7438"/>
    <w:rsid w:val="000C116F"/>
    <w:rsid w:val="000C3738"/>
    <w:rsid w:val="000C758E"/>
    <w:rsid w:val="000D05BD"/>
    <w:rsid w:val="000D0B6A"/>
    <w:rsid w:val="000D0E17"/>
    <w:rsid w:val="000D42B8"/>
    <w:rsid w:val="000D4A7E"/>
    <w:rsid w:val="000D721E"/>
    <w:rsid w:val="000E216B"/>
    <w:rsid w:val="000E271F"/>
    <w:rsid w:val="000E2873"/>
    <w:rsid w:val="000E602D"/>
    <w:rsid w:val="000F027D"/>
    <w:rsid w:val="000F1B4A"/>
    <w:rsid w:val="000F42C0"/>
    <w:rsid w:val="000F7408"/>
    <w:rsid w:val="000F74C8"/>
    <w:rsid w:val="00100FD2"/>
    <w:rsid w:val="0010480E"/>
    <w:rsid w:val="0011149F"/>
    <w:rsid w:val="00111C14"/>
    <w:rsid w:val="00113B2D"/>
    <w:rsid w:val="0011669C"/>
    <w:rsid w:val="00116CD6"/>
    <w:rsid w:val="00117E48"/>
    <w:rsid w:val="001218CD"/>
    <w:rsid w:val="00121BC5"/>
    <w:rsid w:val="001227EE"/>
    <w:rsid w:val="00125261"/>
    <w:rsid w:val="00130452"/>
    <w:rsid w:val="001314F8"/>
    <w:rsid w:val="0013229B"/>
    <w:rsid w:val="0013326D"/>
    <w:rsid w:val="00133CAD"/>
    <w:rsid w:val="00134BED"/>
    <w:rsid w:val="00137BBE"/>
    <w:rsid w:val="001409CE"/>
    <w:rsid w:val="0014129A"/>
    <w:rsid w:val="00141B60"/>
    <w:rsid w:val="001424AD"/>
    <w:rsid w:val="001442EE"/>
    <w:rsid w:val="00144E8F"/>
    <w:rsid w:val="001565D3"/>
    <w:rsid w:val="001575AE"/>
    <w:rsid w:val="00161B8B"/>
    <w:rsid w:val="00162AC3"/>
    <w:rsid w:val="001658CA"/>
    <w:rsid w:val="00172A00"/>
    <w:rsid w:val="00173300"/>
    <w:rsid w:val="001761DA"/>
    <w:rsid w:val="00177419"/>
    <w:rsid w:val="001826EA"/>
    <w:rsid w:val="0018405F"/>
    <w:rsid w:val="00185708"/>
    <w:rsid w:val="00190366"/>
    <w:rsid w:val="00197292"/>
    <w:rsid w:val="00197829"/>
    <w:rsid w:val="001A04CE"/>
    <w:rsid w:val="001A17F9"/>
    <w:rsid w:val="001A60F5"/>
    <w:rsid w:val="001A657B"/>
    <w:rsid w:val="001A6F3E"/>
    <w:rsid w:val="001A721B"/>
    <w:rsid w:val="001A7813"/>
    <w:rsid w:val="001C2266"/>
    <w:rsid w:val="001D1892"/>
    <w:rsid w:val="001D2AD3"/>
    <w:rsid w:val="001D521E"/>
    <w:rsid w:val="001E3D3B"/>
    <w:rsid w:val="001E4173"/>
    <w:rsid w:val="001E6F00"/>
    <w:rsid w:val="001F3BAA"/>
    <w:rsid w:val="001F7AE9"/>
    <w:rsid w:val="00203B58"/>
    <w:rsid w:val="002047AC"/>
    <w:rsid w:val="00205B61"/>
    <w:rsid w:val="0021595B"/>
    <w:rsid w:val="00215C95"/>
    <w:rsid w:val="00216DEC"/>
    <w:rsid w:val="00221F65"/>
    <w:rsid w:val="002226E9"/>
    <w:rsid w:val="00222F5A"/>
    <w:rsid w:val="00233538"/>
    <w:rsid w:val="0023529C"/>
    <w:rsid w:val="00236DBF"/>
    <w:rsid w:val="00240539"/>
    <w:rsid w:val="00243BA9"/>
    <w:rsid w:val="002508D6"/>
    <w:rsid w:val="00254112"/>
    <w:rsid w:val="00254907"/>
    <w:rsid w:val="00254CFE"/>
    <w:rsid w:val="00260C29"/>
    <w:rsid w:val="0026314A"/>
    <w:rsid w:val="00264473"/>
    <w:rsid w:val="00266856"/>
    <w:rsid w:val="002708FA"/>
    <w:rsid w:val="00270BB8"/>
    <w:rsid w:val="00277C65"/>
    <w:rsid w:val="00283B84"/>
    <w:rsid w:val="0028478E"/>
    <w:rsid w:val="00285105"/>
    <w:rsid w:val="00285E8A"/>
    <w:rsid w:val="0029294D"/>
    <w:rsid w:val="002931D7"/>
    <w:rsid w:val="00295C56"/>
    <w:rsid w:val="00295FCA"/>
    <w:rsid w:val="002A056A"/>
    <w:rsid w:val="002A1AFB"/>
    <w:rsid w:val="002A3EA2"/>
    <w:rsid w:val="002A7317"/>
    <w:rsid w:val="002B0E1E"/>
    <w:rsid w:val="002B19B1"/>
    <w:rsid w:val="002B257F"/>
    <w:rsid w:val="002B44DE"/>
    <w:rsid w:val="002B4AB7"/>
    <w:rsid w:val="002C1926"/>
    <w:rsid w:val="002D23C4"/>
    <w:rsid w:val="002D4FCC"/>
    <w:rsid w:val="002D6D83"/>
    <w:rsid w:val="002E18EE"/>
    <w:rsid w:val="002E3576"/>
    <w:rsid w:val="002E5CDD"/>
    <w:rsid w:val="002F3CAA"/>
    <w:rsid w:val="002F481E"/>
    <w:rsid w:val="002F5047"/>
    <w:rsid w:val="002F724F"/>
    <w:rsid w:val="002F759A"/>
    <w:rsid w:val="003019CD"/>
    <w:rsid w:val="00307ACA"/>
    <w:rsid w:val="00311E93"/>
    <w:rsid w:val="00315E44"/>
    <w:rsid w:val="00316BBA"/>
    <w:rsid w:val="00320CE8"/>
    <w:rsid w:val="00321DC0"/>
    <w:rsid w:val="00323150"/>
    <w:rsid w:val="003239DB"/>
    <w:rsid w:val="00325755"/>
    <w:rsid w:val="003265E0"/>
    <w:rsid w:val="00331860"/>
    <w:rsid w:val="0033445B"/>
    <w:rsid w:val="00334CFC"/>
    <w:rsid w:val="00337B86"/>
    <w:rsid w:val="00340DCB"/>
    <w:rsid w:val="00344364"/>
    <w:rsid w:val="00345EB8"/>
    <w:rsid w:val="00347BF5"/>
    <w:rsid w:val="00350F34"/>
    <w:rsid w:val="00351F89"/>
    <w:rsid w:val="00352C55"/>
    <w:rsid w:val="00360A51"/>
    <w:rsid w:val="003613E7"/>
    <w:rsid w:val="00361F8F"/>
    <w:rsid w:val="00365B66"/>
    <w:rsid w:val="003701B5"/>
    <w:rsid w:val="00370FE2"/>
    <w:rsid w:val="00386B6F"/>
    <w:rsid w:val="003902D3"/>
    <w:rsid w:val="00391901"/>
    <w:rsid w:val="003944CC"/>
    <w:rsid w:val="00397FD9"/>
    <w:rsid w:val="003A012C"/>
    <w:rsid w:val="003A04B8"/>
    <w:rsid w:val="003A294B"/>
    <w:rsid w:val="003A2A56"/>
    <w:rsid w:val="003A3E20"/>
    <w:rsid w:val="003A5588"/>
    <w:rsid w:val="003B0EAD"/>
    <w:rsid w:val="003B493D"/>
    <w:rsid w:val="003C091D"/>
    <w:rsid w:val="003C0F43"/>
    <w:rsid w:val="003C38ED"/>
    <w:rsid w:val="003C437C"/>
    <w:rsid w:val="003C7C0A"/>
    <w:rsid w:val="003D0C44"/>
    <w:rsid w:val="003D5118"/>
    <w:rsid w:val="003D7CAE"/>
    <w:rsid w:val="003E182A"/>
    <w:rsid w:val="003E1F85"/>
    <w:rsid w:val="003E295A"/>
    <w:rsid w:val="003E7873"/>
    <w:rsid w:val="003E7E15"/>
    <w:rsid w:val="003F3CD6"/>
    <w:rsid w:val="003F42C6"/>
    <w:rsid w:val="003F6198"/>
    <w:rsid w:val="003F633C"/>
    <w:rsid w:val="003F68FD"/>
    <w:rsid w:val="00400EF1"/>
    <w:rsid w:val="0040418A"/>
    <w:rsid w:val="00410058"/>
    <w:rsid w:val="00412DCA"/>
    <w:rsid w:val="00413463"/>
    <w:rsid w:val="0041405E"/>
    <w:rsid w:val="004165BF"/>
    <w:rsid w:val="00417761"/>
    <w:rsid w:val="00422116"/>
    <w:rsid w:val="004223C4"/>
    <w:rsid w:val="00425218"/>
    <w:rsid w:val="00427072"/>
    <w:rsid w:val="004330DF"/>
    <w:rsid w:val="004377FC"/>
    <w:rsid w:val="00440C59"/>
    <w:rsid w:val="00441485"/>
    <w:rsid w:val="00442F48"/>
    <w:rsid w:val="00443AB6"/>
    <w:rsid w:val="00446B76"/>
    <w:rsid w:val="00456AE7"/>
    <w:rsid w:val="00456D11"/>
    <w:rsid w:val="00460FD7"/>
    <w:rsid w:val="00461A2C"/>
    <w:rsid w:val="00464901"/>
    <w:rsid w:val="00467C30"/>
    <w:rsid w:val="004705EA"/>
    <w:rsid w:val="00471685"/>
    <w:rsid w:val="00471992"/>
    <w:rsid w:val="00474319"/>
    <w:rsid w:val="00475D0D"/>
    <w:rsid w:val="00476B7F"/>
    <w:rsid w:val="00476CCA"/>
    <w:rsid w:val="0048136D"/>
    <w:rsid w:val="0048163F"/>
    <w:rsid w:val="00482DD3"/>
    <w:rsid w:val="00484C57"/>
    <w:rsid w:val="00484E3C"/>
    <w:rsid w:val="00486B97"/>
    <w:rsid w:val="00487488"/>
    <w:rsid w:val="00490FDE"/>
    <w:rsid w:val="0049304E"/>
    <w:rsid w:val="00493A94"/>
    <w:rsid w:val="004A0179"/>
    <w:rsid w:val="004A73A7"/>
    <w:rsid w:val="004A759D"/>
    <w:rsid w:val="004B23F2"/>
    <w:rsid w:val="004B25BD"/>
    <w:rsid w:val="004B450A"/>
    <w:rsid w:val="004B4EE0"/>
    <w:rsid w:val="004B5871"/>
    <w:rsid w:val="004B6455"/>
    <w:rsid w:val="004B7D49"/>
    <w:rsid w:val="004B7DD9"/>
    <w:rsid w:val="004C46A1"/>
    <w:rsid w:val="004D06AC"/>
    <w:rsid w:val="004D0AAC"/>
    <w:rsid w:val="004D2A10"/>
    <w:rsid w:val="004D51D7"/>
    <w:rsid w:val="004D5EC9"/>
    <w:rsid w:val="004D6508"/>
    <w:rsid w:val="004E25B1"/>
    <w:rsid w:val="004E4887"/>
    <w:rsid w:val="004F1514"/>
    <w:rsid w:val="004F5578"/>
    <w:rsid w:val="00501828"/>
    <w:rsid w:val="0050258A"/>
    <w:rsid w:val="00504E22"/>
    <w:rsid w:val="00507C04"/>
    <w:rsid w:val="00514004"/>
    <w:rsid w:val="00515FDE"/>
    <w:rsid w:val="0052036F"/>
    <w:rsid w:val="00531E9C"/>
    <w:rsid w:val="0053264A"/>
    <w:rsid w:val="0053338E"/>
    <w:rsid w:val="00537A63"/>
    <w:rsid w:val="00541D87"/>
    <w:rsid w:val="00542AD8"/>
    <w:rsid w:val="00543116"/>
    <w:rsid w:val="00544B68"/>
    <w:rsid w:val="005451AB"/>
    <w:rsid w:val="005475E5"/>
    <w:rsid w:val="005517B3"/>
    <w:rsid w:val="00551B75"/>
    <w:rsid w:val="00560330"/>
    <w:rsid w:val="005611AF"/>
    <w:rsid w:val="005635C2"/>
    <w:rsid w:val="00563D56"/>
    <w:rsid w:val="005657BA"/>
    <w:rsid w:val="00567AA3"/>
    <w:rsid w:val="00570EB1"/>
    <w:rsid w:val="00571253"/>
    <w:rsid w:val="005805DB"/>
    <w:rsid w:val="005869E3"/>
    <w:rsid w:val="005874A4"/>
    <w:rsid w:val="00590A1C"/>
    <w:rsid w:val="00590AB3"/>
    <w:rsid w:val="005919CE"/>
    <w:rsid w:val="005926D7"/>
    <w:rsid w:val="0059399F"/>
    <w:rsid w:val="0059482C"/>
    <w:rsid w:val="00595B87"/>
    <w:rsid w:val="00596606"/>
    <w:rsid w:val="00597FB0"/>
    <w:rsid w:val="005A031E"/>
    <w:rsid w:val="005A3885"/>
    <w:rsid w:val="005A612B"/>
    <w:rsid w:val="005A6E64"/>
    <w:rsid w:val="005A72FF"/>
    <w:rsid w:val="005B1953"/>
    <w:rsid w:val="005B2B2B"/>
    <w:rsid w:val="005C0683"/>
    <w:rsid w:val="005C171B"/>
    <w:rsid w:val="005C1878"/>
    <w:rsid w:val="005C4988"/>
    <w:rsid w:val="005D3A4C"/>
    <w:rsid w:val="005D517F"/>
    <w:rsid w:val="005D5384"/>
    <w:rsid w:val="005E02B2"/>
    <w:rsid w:val="005E2994"/>
    <w:rsid w:val="005E316B"/>
    <w:rsid w:val="005F68DC"/>
    <w:rsid w:val="00600B60"/>
    <w:rsid w:val="00601326"/>
    <w:rsid w:val="0060307A"/>
    <w:rsid w:val="00604509"/>
    <w:rsid w:val="0060663D"/>
    <w:rsid w:val="00607692"/>
    <w:rsid w:val="006146BF"/>
    <w:rsid w:val="0061512D"/>
    <w:rsid w:val="00621FE1"/>
    <w:rsid w:val="0062317B"/>
    <w:rsid w:val="00623671"/>
    <w:rsid w:val="00627E39"/>
    <w:rsid w:val="00631A5F"/>
    <w:rsid w:val="00633E78"/>
    <w:rsid w:val="006364F0"/>
    <w:rsid w:val="00637C73"/>
    <w:rsid w:val="00644255"/>
    <w:rsid w:val="00644C84"/>
    <w:rsid w:val="00645A8A"/>
    <w:rsid w:val="00650D86"/>
    <w:rsid w:val="00652697"/>
    <w:rsid w:val="0065397A"/>
    <w:rsid w:val="00657464"/>
    <w:rsid w:val="00660C64"/>
    <w:rsid w:val="00662FFD"/>
    <w:rsid w:val="0066422C"/>
    <w:rsid w:val="006712B1"/>
    <w:rsid w:val="00673274"/>
    <w:rsid w:val="00681A47"/>
    <w:rsid w:val="00681C89"/>
    <w:rsid w:val="00687B80"/>
    <w:rsid w:val="00691436"/>
    <w:rsid w:val="006963DF"/>
    <w:rsid w:val="006A011C"/>
    <w:rsid w:val="006A042F"/>
    <w:rsid w:val="006A0F4A"/>
    <w:rsid w:val="006A1B2F"/>
    <w:rsid w:val="006A242F"/>
    <w:rsid w:val="006A79DB"/>
    <w:rsid w:val="006B3ACD"/>
    <w:rsid w:val="006B586E"/>
    <w:rsid w:val="006C21AE"/>
    <w:rsid w:val="006C4712"/>
    <w:rsid w:val="006C47ED"/>
    <w:rsid w:val="006C4A2E"/>
    <w:rsid w:val="006C5096"/>
    <w:rsid w:val="006C6F95"/>
    <w:rsid w:val="006C77F8"/>
    <w:rsid w:val="006D4AC1"/>
    <w:rsid w:val="006E06DA"/>
    <w:rsid w:val="006E1F66"/>
    <w:rsid w:val="006E394F"/>
    <w:rsid w:val="006E703B"/>
    <w:rsid w:val="006F1229"/>
    <w:rsid w:val="006F2C72"/>
    <w:rsid w:val="006F5C24"/>
    <w:rsid w:val="00701F8C"/>
    <w:rsid w:val="00703912"/>
    <w:rsid w:val="007040F2"/>
    <w:rsid w:val="0070502D"/>
    <w:rsid w:val="00705783"/>
    <w:rsid w:val="0070760B"/>
    <w:rsid w:val="0071085C"/>
    <w:rsid w:val="00714B44"/>
    <w:rsid w:val="00715553"/>
    <w:rsid w:val="00716A84"/>
    <w:rsid w:val="007225FC"/>
    <w:rsid w:val="00724AC7"/>
    <w:rsid w:val="0072708E"/>
    <w:rsid w:val="00730A4D"/>
    <w:rsid w:val="00733085"/>
    <w:rsid w:val="007336EC"/>
    <w:rsid w:val="00735204"/>
    <w:rsid w:val="007372CF"/>
    <w:rsid w:val="00737D96"/>
    <w:rsid w:val="0074182B"/>
    <w:rsid w:val="00742D67"/>
    <w:rsid w:val="00744943"/>
    <w:rsid w:val="00745E7C"/>
    <w:rsid w:val="00746062"/>
    <w:rsid w:val="00747E40"/>
    <w:rsid w:val="00754F18"/>
    <w:rsid w:val="00757393"/>
    <w:rsid w:val="00760026"/>
    <w:rsid w:val="00762915"/>
    <w:rsid w:val="007635CF"/>
    <w:rsid w:val="00764FCE"/>
    <w:rsid w:val="00765477"/>
    <w:rsid w:val="007657C1"/>
    <w:rsid w:val="00765F89"/>
    <w:rsid w:val="00774DFA"/>
    <w:rsid w:val="007750D5"/>
    <w:rsid w:val="007760C6"/>
    <w:rsid w:val="00776CEA"/>
    <w:rsid w:val="007801F0"/>
    <w:rsid w:val="007816CD"/>
    <w:rsid w:val="00781B10"/>
    <w:rsid w:val="00783920"/>
    <w:rsid w:val="007951CA"/>
    <w:rsid w:val="00796672"/>
    <w:rsid w:val="00797304"/>
    <w:rsid w:val="007A0043"/>
    <w:rsid w:val="007A0BB9"/>
    <w:rsid w:val="007A5776"/>
    <w:rsid w:val="007A6C51"/>
    <w:rsid w:val="007A70E7"/>
    <w:rsid w:val="007B0AE5"/>
    <w:rsid w:val="007B395B"/>
    <w:rsid w:val="007B569F"/>
    <w:rsid w:val="007C07DF"/>
    <w:rsid w:val="007C1661"/>
    <w:rsid w:val="007C189B"/>
    <w:rsid w:val="007C2094"/>
    <w:rsid w:val="007C2E1D"/>
    <w:rsid w:val="007C60A2"/>
    <w:rsid w:val="007D0165"/>
    <w:rsid w:val="007D08EE"/>
    <w:rsid w:val="007D4BA1"/>
    <w:rsid w:val="007E3AA2"/>
    <w:rsid w:val="007F0128"/>
    <w:rsid w:val="007F0374"/>
    <w:rsid w:val="007F1B82"/>
    <w:rsid w:val="007F5379"/>
    <w:rsid w:val="00800C3A"/>
    <w:rsid w:val="0080360E"/>
    <w:rsid w:val="00804279"/>
    <w:rsid w:val="0080469B"/>
    <w:rsid w:val="00805AB6"/>
    <w:rsid w:val="00805D26"/>
    <w:rsid w:val="00810407"/>
    <w:rsid w:val="0081173F"/>
    <w:rsid w:val="00812506"/>
    <w:rsid w:val="00817238"/>
    <w:rsid w:val="00817C5B"/>
    <w:rsid w:val="00820D3F"/>
    <w:rsid w:val="008243F8"/>
    <w:rsid w:val="00831450"/>
    <w:rsid w:val="008325E0"/>
    <w:rsid w:val="00832BF4"/>
    <w:rsid w:val="00834D02"/>
    <w:rsid w:val="00835458"/>
    <w:rsid w:val="00835470"/>
    <w:rsid w:val="00836DB3"/>
    <w:rsid w:val="008414E2"/>
    <w:rsid w:val="00841752"/>
    <w:rsid w:val="008420FB"/>
    <w:rsid w:val="008421AA"/>
    <w:rsid w:val="00845241"/>
    <w:rsid w:val="008554CE"/>
    <w:rsid w:val="00857C7E"/>
    <w:rsid w:val="008609BC"/>
    <w:rsid w:val="00860DD8"/>
    <w:rsid w:val="00860DF7"/>
    <w:rsid w:val="0086173E"/>
    <w:rsid w:val="00862249"/>
    <w:rsid w:val="008628AE"/>
    <w:rsid w:val="00862FFD"/>
    <w:rsid w:val="0086500E"/>
    <w:rsid w:val="0086541D"/>
    <w:rsid w:val="00870890"/>
    <w:rsid w:val="00870B2D"/>
    <w:rsid w:val="008743EE"/>
    <w:rsid w:val="00874F09"/>
    <w:rsid w:val="00875BBE"/>
    <w:rsid w:val="0088202D"/>
    <w:rsid w:val="00885644"/>
    <w:rsid w:val="008912E1"/>
    <w:rsid w:val="00891882"/>
    <w:rsid w:val="00896A55"/>
    <w:rsid w:val="008A25E0"/>
    <w:rsid w:val="008A54DF"/>
    <w:rsid w:val="008B41F5"/>
    <w:rsid w:val="008C1A1E"/>
    <w:rsid w:val="008C280B"/>
    <w:rsid w:val="008C29C3"/>
    <w:rsid w:val="008C3246"/>
    <w:rsid w:val="008C3AC9"/>
    <w:rsid w:val="008C45E4"/>
    <w:rsid w:val="008C77C5"/>
    <w:rsid w:val="008D1134"/>
    <w:rsid w:val="008D181E"/>
    <w:rsid w:val="008D2719"/>
    <w:rsid w:val="008D5707"/>
    <w:rsid w:val="008D6EA4"/>
    <w:rsid w:val="008E2C07"/>
    <w:rsid w:val="008E3711"/>
    <w:rsid w:val="008F016B"/>
    <w:rsid w:val="008F4A4F"/>
    <w:rsid w:val="008F5DB1"/>
    <w:rsid w:val="008F7520"/>
    <w:rsid w:val="00903A5B"/>
    <w:rsid w:val="00905CBE"/>
    <w:rsid w:val="00907639"/>
    <w:rsid w:val="00911D8C"/>
    <w:rsid w:val="009122A9"/>
    <w:rsid w:val="00912A13"/>
    <w:rsid w:val="00921389"/>
    <w:rsid w:val="00924092"/>
    <w:rsid w:val="009245B6"/>
    <w:rsid w:val="009315CA"/>
    <w:rsid w:val="00936559"/>
    <w:rsid w:val="00937A96"/>
    <w:rsid w:val="00942EF3"/>
    <w:rsid w:val="009453F3"/>
    <w:rsid w:val="009455DF"/>
    <w:rsid w:val="00951010"/>
    <w:rsid w:val="009510A7"/>
    <w:rsid w:val="00952B8D"/>
    <w:rsid w:val="00952FC0"/>
    <w:rsid w:val="009617D9"/>
    <w:rsid w:val="0096250D"/>
    <w:rsid w:val="00962D48"/>
    <w:rsid w:val="00966E7E"/>
    <w:rsid w:val="009776EE"/>
    <w:rsid w:val="00983EDA"/>
    <w:rsid w:val="0098407F"/>
    <w:rsid w:val="009843CA"/>
    <w:rsid w:val="00986DEC"/>
    <w:rsid w:val="009906A9"/>
    <w:rsid w:val="00990923"/>
    <w:rsid w:val="00992592"/>
    <w:rsid w:val="00993021"/>
    <w:rsid w:val="009934BF"/>
    <w:rsid w:val="009936C7"/>
    <w:rsid w:val="0099492A"/>
    <w:rsid w:val="0099782B"/>
    <w:rsid w:val="00997F7F"/>
    <w:rsid w:val="009A1363"/>
    <w:rsid w:val="009A6DE7"/>
    <w:rsid w:val="009B0801"/>
    <w:rsid w:val="009B1070"/>
    <w:rsid w:val="009C1FAC"/>
    <w:rsid w:val="009C2A23"/>
    <w:rsid w:val="009C30BA"/>
    <w:rsid w:val="009C336F"/>
    <w:rsid w:val="009C607E"/>
    <w:rsid w:val="009D550B"/>
    <w:rsid w:val="009D6ABF"/>
    <w:rsid w:val="009E1170"/>
    <w:rsid w:val="009E11E2"/>
    <w:rsid w:val="009E39EB"/>
    <w:rsid w:val="009E5935"/>
    <w:rsid w:val="009E7077"/>
    <w:rsid w:val="009F3665"/>
    <w:rsid w:val="009F7123"/>
    <w:rsid w:val="00A02E83"/>
    <w:rsid w:val="00A0313B"/>
    <w:rsid w:val="00A0341C"/>
    <w:rsid w:val="00A0649F"/>
    <w:rsid w:val="00A06B24"/>
    <w:rsid w:val="00A165CC"/>
    <w:rsid w:val="00A2013D"/>
    <w:rsid w:val="00A25641"/>
    <w:rsid w:val="00A27C6B"/>
    <w:rsid w:val="00A31B97"/>
    <w:rsid w:val="00A3248F"/>
    <w:rsid w:val="00A3341A"/>
    <w:rsid w:val="00A40D56"/>
    <w:rsid w:val="00A44CB4"/>
    <w:rsid w:val="00A47A4A"/>
    <w:rsid w:val="00A50034"/>
    <w:rsid w:val="00A54B57"/>
    <w:rsid w:val="00A600A3"/>
    <w:rsid w:val="00A6032F"/>
    <w:rsid w:val="00A6205B"/>
    <w:rsid w:val="00A65A77"/>
    <w:rsid w:val="00A67039"/>
    <w:rsid w:val="00A67C8E"/>
    <w:rsid w:val="00A73277"/>
    <w:rsid w:val="00A732D7"/>
    <w:rsid w:val="00A7696D"/>
    <w:rsid w:val="00A7758C"/>
    <w:rsid w:val="00A8674A"/>
    <w:rsid w:val="00A92474"/>
    <w:rsid w:val="00A928AD"/>
    <w:rsid w:val="00A935E6"/>
    <w:rsid w:val="00A939EE"/>
    <w:rsid w:val="00AA23AB"/>
    <w:rsid w:val="00AA53C6"/>
    <w:rsid w:val="00AB114D"/>
    <w:rsid w:val="00AB444D"/>
    <w:rsid w:val="00AB5DB8"/>
    <w:rsid w:val="00AC05EB"/>
    <w:rsid w:val="00AC15B0"/>
    <w:rsid w:val="00AC5346"/>
    <w:rsid w:val="00AC6A2C"/>
    <w:rsid w:val="00AC7265"/>
    <w:rsid w:val="00AD2BCA"/>
    <w:rsid w:val="00AD3490"/>
    <w:rsid w:val="00AD379E"/>
    <w:rsid w:val="00AD3EB5"/>
    <w:rsid w:val="00AD4396"/>
    <w:rsid w:val="00AD5AE8"/>
    <w:rsid w:val="00AD6EE2"/>
    <w:rsid w:val="00AD70A2"/>
    <w:rsid w:val="00AE77D6"/>
    <w:rsid w:val="00AF1784"/>
    <w:rsid w:val="00AF281F"/>
    <w:rsid w:val="00AF2A8F"/>
    <w:rsid w:val="00B02FA8"/>
    <w:rsid w:val="00B04FED"/>
    <w:rsid w:val="00B071DB"/>
    <w:rsid w:val="00B1259B"/>
    <w:rsid w:val="00B12A0A"/>
    <w:rsid w:val="00B13202"/>
    <w:rsid w:val="00B165B1"/>
    <w:rsid w:val="00B2009B"/>
    <w:rsid w:val="00B236C6"/>
    <w:rsid w:val="00B3374F"/>
    <w:rsid w:val="00B4135A"/>
    <w:rsid w:val="00B41B31"/>
    <w:rsid w:val="00B42C63"/>
    <w:rsid w:val="00B473F5"/>
    <w:rsid w:val="00B50355"/>
    <w:rsid w:val="00B52C8E"/>
    <w:rsid w:val="00B557D4"/>
    <w:rsid w:val="00B61E1D"/>
    <w:rsid w:val="00B63EB9"/>
    <w:rsid w:val="00B63F8F"/>
    <w:rsid w:val="00B74FF2"/>
    <w:rsid w:val="00B758B5"/>
    <w:rsid w:val="00B807FE"/>
    <w:rsid w:val="00B81B7A"/>
    <w:rsid w:val="00B865D3"/>
    <w:rsid w:val="00B87470"/>
    <w:rsid w:val="00B95ED9"/>
    <w:rsid w:val="00B96C38"/>
    <w:rsid w:val="00BA1DB2"/>
    <w:rsid w:val="00BA1DC5"/>
    <w:rsid w:val="00BA2864"/>
    <w:rsid w:val="00BA3317"/>
    <w:rsid w:val="00BA43C2"/>
    <w:rsid w:val="00BA77BB"/>
    <w:rsid w:val="00BB0114"/>
    <w:rsid w:val="00BB0444"/>
    <w:rsid w:val="00BB0E80"/>
    <w:rsid w:val="00BB4442"/>
    <w:rsid w:val="00BB4C01"/>
    <w:rsid w:val="00BB5BC7"/>
    <w:rsid w:val="00BB6801"/>
    <w:rsid w:val="00BB6EB7"/>
    <w:rsid w:val="00BC024E"/>
    <w:rsid w:val="00BC160F"/>
    <w:rsid w:val="00BC251C"/>
    <w:rsid w:val="00BC2F8C"/>
    <w:rsid w:val="00BC55BE"/>
    <w:rsid w:val="00BD071F"/>
    <w:rsid w:val="00BD225C"/>
    <w:rsid w:val="00BD25A9"/>
    <w:rsid w:val="00BD6209"/>
    <w:rsid w:val="00BD7E43"/>
    <w:rsid w:val="00BE0A6A"/>
    <w:rsid w:val="00BE0D6A"/>
    <w:rsid w:val="00BE4FDB"/>
    <w:rsid w:val="00BE63A3"/>
    <w:rsid w:val="00BF0196"/>
    <w:rsid w:val="00C0396D"/>
    <w:rsid w:val="00C04848"/>
    <w:rsid w:val="00C129E0"/>
    <w:rsid w:val="00C13063"/>
    <w:rsid w:val="00C1604A"/>
    <w:rsid w:val="00C2248B"/>
    <w:rsid w:val="00C22826"/>
    <w:rsid w:val="00C238C4"/>
    <w:rsid w:val="00C243FA"/>
    <w:rsid w:val="00C36847"/>
    <w:rsid w:val="00C43686"/>
    <w:rsid w:val="00C43771"/>
    <w:rsid w:val="00C46793"/>
    <w:rsid w:val="00C4728D"/>
    <w:rsid w:val="00C54E79"/>
    <w:rsid w:val="00C55402"/>
    <w:rsid w:val="00C57123"/>
    <w:rsid w:val="00C57DC9"/>
    <w:rsid w:val="00C60E15"/>
    <w:rsid w:val="00C641FC"/>
    <w:rsid w:val="00C66FCE"/>
    <w:rsid w:val="00C73E9B"/>
    <w:rsid w:val="00C75337"/>
    <w:rsid w:val="00C759AA"/>
    <w:rsid w:val="00C8218E"/>
    <w:rsid w:val="00C82370"/>
    <w:rsid w:val="00C829F9"/>
    <w:rsid w:val="00C83DD8"/>
    <w:rsid w:val="00C926E8"/>
    <w:rsid w:val="00C968EF"/>
    <w:rsid w:val="00CA34CD"/>
    <w:rsid w:val="00CA4ACE"/>
    <w:rsid w:val="00CA7BA6"/>
    <w:rsid w:val="00CA7BDF"/>
    <w:rsid w:val="00CA7EBD"/>
    <w:rsid w:val="00CB2E4C"/>
    <w:rsid w:val="00CB3D55"/>
    <w:rsid w:val="00CB6595"/>
    <w:rsid w:val="00CC04EB"/>
    <w:rsid w:val="00CC3146"/>
    <w:rsid w:val="00CC3883"/>
    <w:rsid w:val="00CC4CBA"/>
    <w:rsid w:val="00CC6053"/>
    <w:rsid w:val="00CC67D2"/>
    <w:rsid w:val="00CD2129"/>
    <w:rsid w:val="00CD5047"/>
    <w:rsid w:val="00CE23F9"/>
    <w:rsid w:val="00CE379B"/>
    <w:rsid w:val="00CE4D72"/>
    <w:rsid w:val="00CE50E3"/>
    <w:rsid w:val="00CF1238"/>
    <w:rsid w:val="00CF2233"/>
    <w:rsid w:val="00CF3284"/>
    <w:rsid w:val="00CF62A3"/>
    <w:rsid w:val="00D01A8D"/>
    <w:rsid w:val="00D058B8"/>
    <w:rsid w:val="00D135DE"/>
    <w:rsid w:val="00D13BA4"/>
    <w:rsid w:val="00D209B4"/>
    <w:rsid w:val="00D22FD8"/>
    <w:rsid w:val="00D247CB"/>
    <w:rsid w:val="00D32651"/>
    <w:rsid w:val="00D34FA3"/>
    <w:rsid w:val="00D359A5"/>
    <w:rsid w:val="00D35E39"/>
    <w:rsid w:val="00D3648B"/>
    <w:rsid w:val="00D36BB3"/>
    <w:rsid w:val="00D40184"/>
    <w:rsid w:val="00D40467"/>
    <w:rsid w:val="00D41B15"/>
    <w:rsid w:val="00D42376"/>
    <w:rsid w:val="00D459C5"/>
    <w:rsid w:val="00D45F36"/>
    <w:rsid w:val="00D46990"/>
    <w:rsid w:val="00D50BCB"/>
    <w:rsid w:val="00D52130"/>
    <w:rsid w:val="00D54292"/>
    <w:rsid w:val="00D624DD"/>
    <w:rsid w:val="00D67087"/>
    <w:rsid w:val="00D70820"/>
    <w:rsid w:val="00D70FE0"/>
    <w:rsid w:val="00D742CC"/>
    <w:rsid w:val="00D8161F"/>
    <w:rsid w:val="00D82158"/>
    <w:rsid w:val="00D83580"/>
    <w:rsid w:val="00D8380F"/>
    <w:rsid w:val="00D84238"/>
    <w:rsid w:val="00D852C8"/>
    <w:rsid w:val="00D90798"/>
    <w:rsid w:val="00D929B0"/>
    <w:rsid w:val="00D93DD9"/>
    <w:rsid w:val="00D95226"/>
    <w:rsid w:val="00DA1F8B"/>
    <w:rsid w:val="00DA44AF"/>
    <w:rsid w:val="00DA54F0"/>
    <w:rsid w:val="00DB08DB"/>
    <w:rsid w:val="00DB454A"/>
    <w:rsid w:val="00DB6859"/>
    <w:rsid w:val="00DC0385"/>
    <w:rsid w:val="00DC23B1"/>
    <w:rsid w:val="00DC33C3"/>
    <w:rsid w:val="00DC3EFC"/>
    <w:rsid w:val="00DC4500"/>
    <w:rsid w:val="00DC5308"/>
    <w:rsid w:val="00DC75D5"/>
    <w:rsid w:val="00DD4385"/>
    <w:rsid w:val="00DD4BB5"/>
    <w:rsid w:val="00DD501E"/>
    <w:rsid w:val="00DD5C73"/>
    <w:rsid w:val="00DE4565"/>
    <w:rsid w:val="00DE45C0"/>
    <w:rsid w:val="00DE5051"/>
    <w:rsid w:val="00DF0E3C"/>
    <w:rsid w:val="00DF2511"/>
    <w:rsid w:val="00DF4712"/>
    <w:rsid w:val="00DF4FDE"/>
    <w:rsid w:val="00DF5E26"/>
    <w:rsid w:val="00DF7854"/>
    <w:rsid w:val="00E014F4"/>
    <w:rsid w:val="00E0189B"/>
    <w:rsid w:val="00E01EEC"/>
    <w:rsid w:val="00E04516"/>
    <w:rsid w:val="00E077BD"/>
    <w:rsid w:val="00E107D0"/>
    <w:rsid w:val="00E110C4"/>
    <w:rsid w:val="00E11F19"/>
    <w:rsid w:val="00E130CC"/>
    <w:rsid w:val="00E14402"/>
    <w:rsid w:val="00E17810"/>
    <w:rsid w:val="00E17D57"/>
    <w:rsid w:val="00E21ACC"/>
    <w:rsid w:val="00E21FDD"/>
    <w:rsid w:val="00E2241F"/>
    <w:rsid w:val="00E30790"/>
    <w:rsid w:val="00E30CF3"/>
    <w:rsid w:val="00E36228"/>
    <w:rsid w:val="00E37285"/>
    <w:rsid w:val="00E375FD"/>
    <w:rsid w:val="00E411C2"/>
    <w:rsid w:val="00E422A2"/>
    <w:rsid w:val="00E4524C"/>
    <w:rsid w:val="00E53D35"/>
    <w:rsid w:val="00E55A02"/>
    <w:rsid w:val="00E57A95"/>
    <w:rsid w:val="00E60046"/>
    <w:rsid w:val="00E61F83"/>
    <w:rsid w:val="00E635DD"/>
    <w:rsid w:val="00E81417"/>
    <w:rsid w:val="00E82C52"/>
    <w:rsid w:val="00E846EB"/>
    <w:rsid w:val="00E850B6"/>
    <w:rsid w:val="00E8751C"/>
    <w:rsid w:val="00E8775F"/>
    <w:rsid w:val="00E97A4E"/>
    <w:rsid w:val="00EA196B"/>
    <w:rsid w:val="00EA70E8"/>
    <w:rsid w:val="00EB26C6"/>
    <w:rsid w:val="00EC09A9"/>
    <w:rsid w:val="00EC3C7E"/>
    <w:rsid w:val="00EC4919"/>
    <w:rsid w:val="00EC4CAB"/>
    <w:rsid w:val="00EC6239"/>
    <w:rsid w:val="00EC736F"/>
    <w:rsid w:val="00ED1A0D"/>
    <w:rsid w:val="00ED27AD"/>
    <w:rsid w:val="00ED30CF"/>
    <w:rsid w:val="00ED3349"/>
    <w:rsid w:val="00ED3BE5"/>
    <w:rsid w:val="00ED6950"/>
    <w:rsid w:val="00EE0637"/>
    <w:rsid w:val="00EE0738"/>
    <w:rsid w:val="00EE55B4"/>
    <w:rsid w:val="00EF4F64"/>
    <w:rsid w:val="00F00F2F"/>
    <w:rsid w:val="00F01369"/>
    <w:rsid w:val="00F05616"/>
    <w:rsid w:val="00F05E58"/>
    <w:rsid w:val="00F067F6"/>
    <w:rsid w:val="00F07704"/>
    <w:rsid w:val="00F07EB6"/>
    <w:rsid w:val="00F135EE"/>
    <w:rsid w:val="00F20804"/>
    <w:rsid w:val="00F27C38"/>
    <w:rsid w:val="00F3268F"/>
    <w:rsid w:val="00F408CD"/>
    <w:rsid w:val="00F43F87"/>
    <w:rsid w:val="00F44053"/>
    <w:rsid w:val="00F44B6C"/>
    <w:rsid w:val="00F45DB3"/>
    <w:rsid w:val="00F473FB"/>
    <w:rsid w:val="00F51399"/>
    <w:rsid w:val="00F52606"/>
    <w:rsid w:val="00F57CAC"/>
    <w:rsid w:val="00F60E9C"/>
    <w:rsid w:val="00F62534"/>
    <w:rsid w:val="00F70628"/>
    <w:rsid w:val="00F73B8D"/>
    <w:rsid w:val="00F73F85"/>
    <w:rsid w:val="00F74941"/>
    <w:rsid w:val="00F77310"/>
    <w:rsid w:val="00F85B0B"/>
    <w:rsid w:val="00F90D03"/>
    <w:rsid w:val="00F90E5A"/>
    <w:rsid w:val="00FB2090"/>
    <w:rsid w:val="00FB244F"/>
    <w:rsid w:val="00FB2ADB"/>
    <w:rsid w:val="00FB5F79"/>
    <w:rsid w:val="00FB7E72"/>
    <w:rsid w:val="00FC29AC"/>
    <w:rsid w:val="00FC5033"/>
    <w:rsid w:val="00FC730F"/>
    <w:rsid w:val="00FC76DE"/>
    <w:rsid w:val="00FD20DD"/>
    <w:rsid w:val="00FD3D41"/>
    <w:rsid w:val="00FD4201"/>
    <w:rsid w:val="00FD5ADD"/>
    <w:rsid w:val="00FE01B0"/>
    <w:rsid w:val="00FE03A4"/>
    <w:rsid w:val="00FE3262"/>
    <w:rsid w:val="00FF07A0"/>
    <w:rsid w:val="00FF23A3"/>
    <w:rsid w:val="00FF5CE3"/>
    <w:rsid w:val="00FF72B5"/>
    <w:rsid w:val="036E22AD"/>
    <w:rsid w:val="03CC21CB"/>
    <w:rsid w:val="04377778"/>
    <w:rsid w:val="04B75463"/>
    <w:rsid w:val="061A7DD8"/>
    <w:rsid w:val="07CF4038"/>
    <w:rsid w:val="089303A1"/>
    <w:rsid w:val="0A261F09"/>
    <w:rsid w:val="0A773EF1"/>
    <w:rsid w:val="0B30303F"/>
    <w:rsid w:val="0E701BFE"/>
    <w:rsid w:val="0EF02B6C"/>
    <w:rsid w:val="164A1556"/>
    <w:rsid w:val="18C1177B"/>
    <w:rsid w:val="1B18764C"/>
    <w:rsid w:val="257F09F3"/>
    <w:rsid w:val="26A153DE"/>
    <w:rsid w:val="2A557F75"/>
    <w:rsid w:val="303845C1"/>
    <w:rsid w:val="30890978"/>
    <w:rsid w:val="311A6EF9"/>
    <w:rsid w:val="31442AF1"/>
    <w:rsid w:val="33527747"/>
    <w:rsid w:val="370E2BB4"/>
    <w:rsid w:val="379F0A81"/>
    <w:rsid w:val="394D6D12"/>
    <w:rsid w:val="3C1A2DCC"/>
    <w:rsid w:val="3D826E7B"/>
    <w:rsid w:val="3EEF22EE"/>
    <w:rsid w:val="40833636"/>
    <w:rsid w:val="42726210"/>
    <w:rsid w:val="445157F9"/>
    <w:rsid w:val="452B1BA6"/>
    <w:rsid w:val="49CA530B"/>
    <w:rsid w:val="4EDA586A"/>
    <w:rsid w:val="51165E00"/>
    <w:rsid w:val="51F71892"/>
    <w:rsid w:val="51FA302C"/>
    <w:rsid w:val="561F12B3"/>
    <w:rsid w:val="5AC70DFE"/>
    <w:rsid w:val="5BE508A9"/>
    <w:rsid w:val="5C2018E1"/>
    <w:rsid w:val="5DCA41FA"/>
    <w:rsid w:val="60D40EEC"/>
    <w:rsid w:val="61DE0274"/>
    <w:rsid w:val="61E3083D"/>
    <w:rsid w:val="62516C98"/>
    <w:rsid w:val="640A35A3"/>
    <w:rsid w:val="659F5F6D"/>
    <w:rsid w:val="68A84C56"/>
    <w:rsid w:val="6C184383"/>
    <w:rsid w:val="6C9B47CA"/>
    <w:rsid w:val="6D5E04BB"/>
    <w:rsid w:val="6E0B6D9F"/>
    <w:rsid w:val="72800ED4"/>
    <w:rsid w:val="72EB27F1"/>
    <w:rsid w:val="73397A01"/>
    <w:rsid w:val="73EB6821"/>
    <w:rsid w:val="76C770D1"/>
    <w:rsid w:val="7755292F"/>
    <w:rsid w:val="796A4374"/>
    <w:rsid w:val="7A7D4503"/>
    <w:rsid w:val="7ADC4F19"/>
    <w:rsid w:val="7B3154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semiHidden/>
    <w:unhideWhenUsed/>
    <w:qFormat/>
    <w:uiPriority w:val="9"/>
    <w:pPr>
      <w:spacing w:before="100" w:beforeAutospacing="1" w:after="100" w:afterAutospacing="1"/>
      <w:outlineLvl w:val="1"/>
    </w:pPr>
    <w:rPr>
      <w:b/>
      <w:bCs/>
      <w:sz w:val="36"/>
      <w:szCs w:val="36"/>
    </w:rPr>
  </w:style>
  <w:style w:type="paragraph" w:styleId="4">
    <w:name w:val="heading 4"/>
    <w:basedOn w:val="1"/>
    <w:next w:val="1"/>
    <w:link w:val="4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37"/>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6"/>
    <w:qFormat/>
    <w:uiPriority w:val="99"/>
  </w:style>
  <w:style w:type="paragraph" w:styleId="7">
    <w:name w:val="Date"/>
    <w:basedOn w:val="1"/>
    <w:next w:val="1"/>
    <w:link w:val="30"/>
    <w:qFormat/>
    <w:uiPriority w:val="99"/>
    <w:pPr>
      <w:ind w:left="100" w:leftChars="2500"/>
    </w:pPr>
  </w:style>
  <w:style w:type="paragraph" w:styleId="8">
    <w:name w:val="Balloon Text"/>
    <w:basedOn w:val="1"/>
    <w:link w:val="20"/>
    <w:qFormat/>
    <w:uiPriority w:val="99"/>
    <w:rPr>
      <w:sz w:val="18"/>
      <w:szCs w:val="18"/>
    </w:rPr>
  </w:style>
  <w:style w:type="paragraph" w:styleId="9">
    <w:name w:val="footer"/>
    <w:basedOn w:val="1"/>
    <w:link w:val="22"/>
    <w:qFormat/>
    <w:uiPriority w:val="99"/>
    <w:pPr>
      <w:tabs>
        <w:tab w:val="center" w:pos="4153"/>
        <w:tab w:val="right" w:pos="8306"/>
      </w:tabs>
      <w:snapToGrid w:val="0"/>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100" w:beforeAutospacing="1" w:after="100" w:afterAutospacing="1"/>
    </w:pPr>
  </w:style>
  <w:style w:type="paragraph" w:styleId="12">
    <w:name w:val="annotation subject"/>
    <w:basedOn w:val="6"/>
    <w:next w:val="6"/>
    <w:link w:val="27"/>
    <w:qFormat/>
    <w:uiPriority w:val="99"/>
    <w:rPr>
      <w:b/>
      <w:bCs/>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22"/>
    <w:rPr>
      <w:b/>
      <w:bCs/>
    </w:rPr>
  </w:style>
  <w:style w:type="character" w:styleId="17">
    <w:name w:val="Emphasis"/>
    <w:basedOn w:val="15"/>
    <w:qFormat/>
    <w:uiPriority w:val="20"/>
    <w:rPr>
      <w:i/>
    </w:rPr>
  </w:style>
  <w:style w:type="character" w:styleId="18">
    <w:name w:val="Hyperlink"/>
    <w:qFormat/>
    <w:uiPriority w:val="0"/>
    <w:rPr>
      <w:color w:val="383838"/>
      <w:u w:val="none"/>
    </w:rPr>
  </w:style>
  <w:style w:type="character" w:styleId="19">
    <w:name w:val="annotation reference"/>
    <w:basedOn w:val="15"/>
    <w:qFormat/>
    <w:uiPriority w:val="99"/>
    <w:rPr>
      <w:sz w:val="21"/>
      <w:szCs w:val="21"/>
    </w:rPr>
  </w:style>
  <w:style w:type="character" w:customStyle="1" w:styleId="20">
    <w:name w:val="批注框文本 字符"/>
    <w:basedOn w:val="15"/>
    <w:link w:val="8"/>
    <w:qFormat/>
    <w:uiPriority w:val="99"/>
    <w:rPr>
      <w:rFonts w:ascii="宋体" w:hAnsi="宋体" w:eastAsia="宋体" w:cs="宋体"/>
      <w:kern w:val="0"/>
      <w:sz w:val="18"/>
      <w:szCs w:val="18"/>
    </w:rPr>
  </w:style>
  <w:style w:type="character" w:customStyle="1" w:styleId="21">
    <w:name w:val="页眉 字符"/>
    <w:basedOn w:val="15"/>
    <w:link w:val="10"/>
    <w:qFormat/>
    <w:uiPriority w:val="99"/>
    <w:rPr>
      <w:rFonts w:ascii="宋体" w:hAnsi="宋体" w:eastAsia="宋体" w:cs="宋体"/>
      <w:kern w:val="0"/>
      <w:sz w:val="18"/>
      <w:szCs w:val="18"/>
    </w:rPr>
  </w:style>
  <w:style w:type="character" w:customStyle="1" w:styleId="22">
    <w:name w:val="页脚 字符"/>
    <w:basedOn w:val="15"/>
    <w:link w:val="9"/>
    <w:qFormat/>
    <w:uiPriority w:val="99"/>
    <w:rPr>
      <w:rFonts w:ascii="宋体" w:hAnsi="宋体" w:eastAsia="宋体" w:cs="宋体"/>
      <w:kern w:val="0"/>
      <w:sz w:val="18"/>
      <w:szCs w:val="18"/>
    </w:rPr>
  </w:style>
  <w:style w:type="character" w:customStyle="1" w:styleId="23">
    <w:name w:val="标题 2 字符"/>
    <w:basedOn w:val="15"/>
    <w:link w:val="3"/>
    <w:qFormat/>
    <w:uiPriority w:val="9"/>
    <w:rPr>
      <w:rFonts w:ascii="宋体" w:hAnsi="宋体" w:eastAsia="宋体" w:cs="宋体"/>
      <w:b/>
      <w:bCs/>
      <w:kern w:val="0"/>
      <w:sz w:val="36"/>
      <w:szCs w:val="36"/>
    </w:rPr>
  </w:style>
  <w:style w:type="character" w:customStyle="1" w:styleId="24">
    <w:name w:val="标题 1 字符"/>
    <w:basedOn w:val="15"/>
    <w:link w:val="2"/>
    <w:qFormat/>
    <w:uiPriority w:val="9"/>
    <w:rPr>
      <w:rFonts w:ascii="宋体" w:hAnsi="宋体" w:cs="宋体"/>
      <w:b/>
      <w:bCs/>
      <w:kern w:val="44"/>
      <w:sz w:val="44"/>
      <w:szCs w:val="44"/>
    </w:rPr>
  </w:style>
  <w:style w:type="paragraph" w:customStyle="1" w:styleId="25">
    <w:name w:val="修订1"/>
    <w:qFormat/>
    <w:uiPriority w:val="99"/>
    <w:rPr>
      <w:rFonts w:ascii="宋体" w:hAnsi="宋体" w:eastAsia="宋体" w:cs="宋体"/>
      <w:sz w:val="24"/>
      <w:szCs w:val="24"/>
      <w:lang w:val="en-US" w:eastAsia="zh-CN" w:bidi="ar-SA"/>
    </w:rPr>
  </w:style>
  <w:style w:type="character" w:customStyle="1" w:styleId="26">
    <w:name w:val="批注文字 字符"/>
    <w:basedOn w:val="15"/>
    <w:link w:val="6"/>
    <w:qFormat/>
    <w:uiPriority w:val="99"/>
    <w:rPr>
      <w:rFonts w:ascii="宋体" w:hAnsi="宋体" w:cs="宋体"/>
      <w:sz w:val="24"/>
      <w:szCs w:val="24"/>
    </w:rPr>
  </w:style>
  <w:style w:type="character" w:customStyle="1" w:styleId="27">
    <w:name w:val="批注主题 字符"/>
    <w:basedOn w:val="26"/>
    <w:link w:val="12"/>
    <w:qFormat/>
    <w:uiPriority w:val="99"/>
    <w:rPr>
      <w:rFonts w:ascii="宋体" w:hAnsi="宋体" w:cs="宋体"/>
      <w:b/>
      <w:bCs/>
      <w:sz w:val="24"/>
      <w:szCs w:val="24"/>
    </w:rPr>
  </w:style>
  <w:style w:type="paragraph" w:customStyle="1" w:styleId="28">
    <w:name w:val="修订2"/>
    <w:qFormat/>
    <w:uiPriority w:val="99"/>
    <w:rPr>
      <w:rFonts w:ascii="宋体" w:hAnsi="宋体" w:eastAsia="宋体" w:cs="宋体"/>
      <w:sz w:val="24"/>
      <w:szCs w:val="24"/>
      <w:lang w:val="en-US" w:eastAsia="zh-CN" w:bidi="ar-SA"/>
    </w:rPr>
  </w:style>
  <w:style w:type="paragraph" w:customStyle="1" w:styleId="29">
    <w:name w:val="修订3"/>
    <w:qFormat/>
    <w:uiPriority w:val="99"/>
    <w:rPr>
      <w:rFonts w:ascii="宋体" w:hAnsi="宋体" w:eastAsia="宋体" w:cs="宋体"/>
      <w:sz w:val="24"/>
      <w:szCs w:val="24"/>
      <w:lang w:val="en-US" w:eastAsia="zh-CN" w:bidi="ar-SA"/>
    </w:rPr>
  </w:style>
  <w:style w:type="character" w:customStyle="1" w:styleId="30">
    <w:name w:val="日期 字符"/>
    <w:basedOn w:val="15"/>
    <w:link w:val="7"/>
    <w:qFormat/>
    <w:uiPriority w:val="99"/>
    <w:rPr>
      <w:rFonts w:ascii="宋体" w:hAnsi="宋体" w:cs="宋体"/>
      <w:sz w:val="24"/>
      <w:szCs w:val="24"/>
    </w:rPr>
  </w:style>
  <w:style w:type="paragraph" w:customStyle="1" w:styleId="31">
    <w:name w:val="修订4"/>
    <w:qFormat/>
    <w:uiPriority w:val="99"/>
    <w:rPr>
      <w:rFonts w:ascii="宋体" w:hAnsi="宋体" w:eastAsia="宋体" w:cs="宋体"/>
      <w:sz w:val="24"/>
      <w:szCs w:val="24"/>
      <w:lang w:val="en-US" w:eastAsia="zh-CN" w:bidi="ar-SA"/>
    </w:rPr>
  </w:style>
  <w:style w:type="paragraph" w:customStyle="1" w:styleId="32">
    <w:name w:val="修订5"/>
    <w:hidden/>
    <w:unhideWhenUsed/>
    <w:qFormat/>
    <w:uiPriority w:val="99"/>
    <w:rPr>
      <w:rFonts w:ascii="宋体" w:hAnsi="宋体" w:eastAsia="宋体" w:cs="宋体"/>
      <w:sz w:val="24"/>
      <w:szCs w:val="24"/>
      <w:lang w:val="en-US" w:eastAsia="zh-CN" w:bidi="ar-SA"/>
    </w:rPr>
  </w:style>
  <w:style w:type="paragraph" w:customStyle="1" w:styleId="33">
    <w:name w:val="修订6"/>
    <w:hidden/>
    <w:unhideWhenUsed/>
    <w:qFormat/>
    <w:uiPriority w:val="99"/>
    <w:rPr>
      <w:rFonts w:ascii="宋体" w:hAnsi="宋体" w:eastAsia="宋体" w:cs="宋体"/>
      <w:sz w:val="24"/>
      <w:szCs w:val="24"/>
      <w:lang w:val="en-US" w:eastAsia="zh-CN" w:bidi="ar-SA"/>
    </w:rPr>
  </w:style>
  <w:style w:type="character" w:customStyle="1" w:styleId="34">
    <w:name w:val="未处理的提及1"/>
    <w:basedOn w:val="15"/>
    <w:semiHidden/>
    <w:unhideWhenUsed/>
    <w:qFormat/>
    <w:uiPriority w:val="99"/>
    <w:rPr>
      <w:color w:val="605E5C"/>
      <w:shd w:val="clear" w:color="auto" w:fill="E1DFDD"/>
    </w:rPr>
  </w:style>
  <w:style w:type="paragraph" w:customStyle="1" w:styleId="35">
    <w:name w:val="修订7"/>
    <w:hidden/>
    <w:unhideWhenUsed/>
    <w:qFormat/>
    <w:uiPriority w:val="99"/>
    <w:rPr>
      <w:rFonts w:ascii="宋体" w:hAnsi="宋体" w:eastAsia="宋体" w:cs="宋体"/>
      <w:sz w:val="24"/>
      <w:szCs w:val="24"/>
      <w:lang w:val="en-US" w:eastAsia="zh-CN" w:bidi="ar-SA"/>
    </w:rPr>
  </w:style>
  <w:style w:type="character" w:customStyle="1" w:styleId="36">
    <w:name w:val="未处理的提及2"/>
    <w:basedOn w:val="15"/>
    <w:semiHidden/>
    <w:unhideWhenUsed/>
    <w:qFormat/>
    <w:uiPriority w:val="99"/>
    <w:rPr>
      <w:color w:val="605E5C"/>
      <w:shd w:val="clear" w:color="auto" w:fill="E1DFDD"/>
    </w:rPr>
  </w:style>
  <w:style w:type="character" w:customStyle="1" w:styleId="37">
    <w:name w:val="标题 5 字符"/>
    <w:basedOn w:val="15"/>
    <w:link w:val="5"/>
    <w:semiHidden/>
    <w:qFormat/>
    <w:uiPriority w:val="9"/>
    <w:rPr>
      <w:rFonts w:ascii="宋体" w:hAnsi="宋体" w:cs="宋体"/>
      <w:b/>
      <w:bCs/>
      <w:sz w:val="28"/>
      <w:szCs w:val="28"/>
    </w:rPr>
  </w:style>
  <w:style w:type="paragraph" w:customStyle="1" w:styleId="38">
    <w:name w:val="修订8"/>
    <w:hidden/>
    <w:unhideWhenUsed/>
    <w:qFormat/>
    <w:uiPriority w:val="99"/>
    <w:rPr>
      <w:rFonts w:ascii="宋体" w:hAnsi="宋体" w:eastAsia="宋体" w:cs="宋体"/>
      <w:sz w:val="24"/>
      <w:szCs w:val="24"/>
      <w:lang w:val="en-US" w:eastAsia="zh-CN" w:bidi="ar-SA"/>
    </w:rPr>
  </w:style>
  <w:style w:type="paragraph" w:customStyle="1" w:styleId="39">
    <w:name w:val="修订9"/>
    <w:hidden/>
    <w:unhideWhenUsed/>
    <w:qFormat/>
    <w:uiPriority w:val="99"/>
    <w:rPr>
      <w:rFonts w:ascii="宋体" w:hAnsi="宋体" w:eastAsia="宋体" w:cs="宋体"/>
      <w:sz w:val="24"/>
      <w:szCs w:val="24"/>
      <w:lang w:val="en-US" w:eastAsia="zh-CN" w:bidi="ar-SA"/>
    </w:rPr>
  </w:style>
  <w:style w:type="paragraph" w:customStyle="1" w:styleId="40">
    <w:name w:val="修订10"/>
    <w:hidden/>
    <w:unhideWhenUsed/>
    <w:qFormat/>
    <w:uiPriority w:val="99"/>
    <w:rPr>
      <w:rFonts w:ascii="宋体" w:hAnsi="宋体" w:eastAsia="宋体" w:cs="宋体"/>
      <w:sz w:val="24"/>
      <w:szCs w:val="24"/>
      <w:lang w:val="en-US" w:eastAsia="zh-CN" w:bidi="ar-SA"/>
    </w:rPr>
  </w:style>
  <w:style w:type="paragraph" w:customStyle="1" w:styleId="41">
    <w:name w:val="修订11"/>
    <w:hidden/>
    <w:unhideWhenUsed/>
    <w:qFormat/>
    <w:uiPriority w:val="99"/>
    <w:rPr>
      <w:rFonts w:ascii="宋体" w:hAnsi="宋体" w:eastAsia="宋体" w:cs="宋体"/>
      <w:sz w:val="24"/>
      <w:szCs w:val="24"/>
      <w:lang w:val="en-US" w:eastAsia="zh-CN" w:bidi="ar-SA"/>
    </w:rPr>
  </w:style>
  <w:style w:type="character" w:customStyle="1" w:styleId="42">
    <w:name w:val="未处理的提及3"/>
    <w:basedOn w:val="15"/>
    <w:semiHidden/>
    <w:unhideWhenUsed/>
    <w:qFormat/>
    <w:uiPriority w:val="99"/>
    <w:rPr>
      <w:color w:val="605E5C"/>
      <w:shd w:val="clear" w:color="auto" w:fill="E1DFDD"/>
    </w:rPr>
  </w:style>
  <w:style w:type="paragraph" w:customStyle="1" w:styleId="43">
    <w:name w:val="修订12"/>
    <w:hidden/>
    <w:unhideWhenUsed/>
    <w:qFormat/>
    <w:uiPriority w:val="99"/>
    <w:rPr>
      <w:rFonts w:ascii="宋体" w:hAnsi="宋体" w:eastAsia="宋体" w:cs="宋体"/>
      <w:sz w:val="24"/>
      <w:szCs w:val="24"/>
      <w:lang w:val="en-US" w:eastAsia="zh-CN" w:bidi="ar-SA"/>
    </w:rPr>
  </w:style>
  <w:style w:type="character" w:customStyle="1" w:styleId="44">
    <w:name w:val="标题 4 字符"/>
    <w:basedOn w:val="15"/>
    <w:link w:val="4"/>
    <w:semiHidden/>
    <w:qFormat/>
    <w:uiPriority w:val="9"/>
    <w:rPr>
      <w:rFonts w:asciiTheme="majorHAnsi" w:hAnsiTheme="majorHAnsi" w:eastAsiaTheme="majorEastAsia" w:cstheme="majorBidi"/>
      <w:b/>
      <w:bCs/>
      <w:sz w:val="28"/>
      <w:szCs w:val="28"/>
    </w:rPr>
  </w:style>
  <w:style w:type="character" w:customStyle="1" w:styleId="45">
    <w:name w:val="未处理的提及4"/>
    <w:basedOn w:val="15"/>
    <w:semiHidden/>
    <w:unhideWhenUsed/>
    <w:qFormat/>
    <w:uiPriority w:val="99"/>
    <w:rPr>
      <w:color w:val="605E5C"/>
      <w:shd w:val="clear" w:color="auto" w:fill="E1DFDD"/>
    </w:rPr>
  </w:style>
  <w:style w:type="paragraph" w:customStyle="1" w:styleId="46">
    <w:name w:val="修订13"/>
    <w:hidden/>
    <w:unhideWhenUsed/>
    <w:qFormat/>
    <w:uiPriority w:val="99"/>
    <w:rPr>
      <w:rFonts w:ascii="宋体" w:hAnsi="宋体" w:eastAsia="宋体" w:cs="宋体"/>
      <w:sz w:val="24"/>
      <w:szCs w:val="24"/>
      <w:lang w:val="en-US" w:eastAsia="zh-CN" w:bidi="ar-SA"/>
    </w:rPr>
  </w:style>
  <w:style w:type="paragraph" w:customStyle="1" w:styleId="47">
    <w:name w:val="修订14"/>
    <w:hidden/>
    <w:unhideWhenUsed/>
    <w:qFormat/>
    <w:uiPriority w:val="99"/>
    <w:rPr>
      <w:rFonts w:ascii="宋体" w:hAnsi="宋体" w:eastAsia="宋体" w:cs="宋体"/>
      <w:sz w:val="24"/>
      <w:szCs w:val="24"/>
      <w:lang w:val="en-US" w:eastAsia="zh-CN" w:bidi="ar-SA"/>
    </w:rPr>
  </w:style>
  <w:style w:type="paragraph" w:customStyle="1" w:styleId="48">
    <w:name w:val="修订15"/>
    <w:hidden/>
    <w:unhideWhenUsed/>
    <w:qFormat/>
    <w:uiPriority w:val="99"/>
    <w:rPr>
      <w:rFonts w:ascii="宋体" w:hAnsi="宋体" w:eastAsia="宋体" w:cs="宋体"/>
      <w:sz w:val="24"/>
      <w:szCs w:val="24"/>
      <w:lang w:val="en-US" w:eastAsia="zh-CN" w:bidi="ar-SA"/>
    </w:rPr>
  </w:style>
  <w:style w:type="paragraph" w:customStyle="1" w:styleId="49">
    <w:name w:val="修订16"/>
    <w:hidden/>
    <w:unhideWhenUsed/>
    <w:qFormat/>
    <w:uiPriority w:val="99"/>
    <w:rPr>
      <w:rFonts w:ascii="宋体" w:hAnsi="宋体" w:eastAsia="宋体" w:cs="宋体"/>
      <w:sz w:val="24"/>
      <w:szCs w:val="24"/>
      <w:lang w:val="en-US" w:eastAsia="zh-CN" w:bidi="ar-SA"/>
    </w:rPr>
  </w:style>
  <w:style w:type="paragraph" w:customStyle="1" w:styleId="50">
    <w:name w:val="修订17"/>
    <w:hidden/>
    <w:unhideWhenUsed/>
    <w:qFormat/>
    <w:uiPriority w:val="99"/>
    <w:rPr>
      <w:rFonts w:ascii="宋体" w:hAnsi="宋体" w:eastAsia="宋体" w:cs="宋体"/>
      <w:sz w:val="24"/>
      <w:szCs w:val="24"/>
      <w:lang w:val="en-US" w:eastAsia="zh-CN" w:bidi="ar-SA"/>
    </w:rPr>
  </w:style>
  <w:style w:type="paragraph" w:customStyle="1" w:styleId="51">
    <w:name w:val="Revision"/>
    <w:hidden/>
    <w:unhideWhenUsed/>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B5AD5-5816-438C-AA58-CEDF1E2BA3B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3882</Words>
  <Characters>4433</Characters>
  <Lines>32</Lines>
  <Paragraphs>9</Paragraphs>
  <TotalTime>21</TotalTime>
  <ScaleCrop>false</ScaleCrop>
  <LinksUpToDate>false</LinksUpToDate>
  <CharactersWithSpaces>4437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2025-07-31T11:55:00Z</dcterms:created>
  <dc:creator>zmj</dc:creator>
  <cp:lastModifiedBy>冬子</cp:lastModifiedBy>
  <dcterms:modified xsi:type="dcterms:W3CDTF">2025-11-06T09:26:29Z</dcterms:modified>
  <cp:revision>285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11E67A6E72BA438B8132C120763E18C1_13</vt:lpwstr>
  </property>
  <property fmtid="{D5CDD505-2E9C-101B-9397-08002B2CF9AE}" pid="4" name="KSOTemplateDocerSaveRecord">
    <vt:lpwstr>eyJoZGlkIjoiMDI5YTM4ZGJiYzI0ODZmOGRkNDkyYjZhZjA1NTMxNzgiLCJ1c2VySWQiOiIzNTU0NDA1NzAifQ==</vt:lpwstr>
  </property>
</Properties>
</file>