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0" w:name="OLE_LINK36"/>
      <w:bookmarkStart w:id="1" w:name="OLE_LINK34"/>
      <w:bookmarkStart w:id="2" w:name="OLE_LINK47"/>
      <w:bookmarkStart w:id="3" w:name="OLE_LINK55"/>
      <w:bookmarkStart w:id="4" w:name="OLE_LINK12"/>
      <w:bookmarkStart w:id="5" w:name="OLE_LINK11"/>
      <w:bookmarkStart w:id="6" w:name="OLE_LINK51"/>
      <w:r>
        <w:rPr>
          <w:rFonts w:asciiTheme="minorEastAsia" w:hAnsiTheme="minorEastAsia" w:eastAsiaTheme="minorEastAsia"/>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4"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pPr>
        <w:spacing w:line="360" w:lineRule="auto"/>
        <w:jc w:val="both"/>
        <w:rPr>
          <w:rFonts w:asciiTheme="minorEastAsia" w:hAnsiTheme="minorEastAsia" w:eastAsiaTheme="minorEastAsia"/>
        </w:rPr>
      </w:pPr>
      <w:bookmarkStart w:id="7" w:name="OLE_LINK7"/>
      <w:bookmarkStart w:id="8" w:name="OLE_LINK33"/>
      <w:bookmarkStart w:id="9" w:name="OLE_LINK83"/>
      <w:bookmarkStart w:id="10" w:name="OLE_LINK86"/>
      <w:bookmarkStart w:id="11" w:name="OLE_LINK72"/>
      <w:r>
        <w:rPr>
          <w:rFonts w:hint="eastAsia" w:asciiTheme="minorEastAsia" w:hAnsiTheme="minorEastAsia" w:eastAsiaTheme="minorEastAsia"/>
        </w:rPr>
        <w:t>中国化纤手机报2024年第34期（总第</w:t>
      </w:r>
      <w:bookmarkEnd w:id="0"/>
      <w:bookmarkEnd w:id="1"/>
      <w:r>
        <w:rPr>
          <w:rFonts w:hint="eastAsia" w:asciiTheme="minorEastAsia" w:hAnsiTheme="minorEastAsia" w:eastAsiaTheme="minorEastAsia"/>
        </w:rPr>
        <w:t>712期</w:t>
      </w:r>
      <w:bookmarkEnd w:id="2"/>
      <w:bookmarkEnd w:id="3"/>
      <w:bookmarkEnd w:id="4"/>
      <w:bookmarkEnd w:id="5"/>
      <w:bookmarkEnd w:id="6"/>
      <w:r>
        <w:rPr>
          <w:rFonts w:hint="eastAsia" w:asciiTheme="minorEastAsia" w:hAnsiTheme="minorEastAsia" w:eastAsiaTheme="minorEastAsia"/>
        </w:rPr>
        <w:t>）</w:t>
      </w:r>
    </w:p>
    <w:bookmarkEnd w:id="7"/>
    <w:bookmarkEnd w:id="8"/>
    <w:bookmarkEnd w:id="9"/>
    <w:bookmarkEnd w:id="10"/>
    <w:bookmarkEnd w:id="11"/>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2024年9月26日 星期四</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主办：中国化学纤维工业协会</w:t>
      </w:r>
    </w:p>
    <w:p>
      <w:pPr>
        <w:spacing w:line="360" w:lineRule="auto"/>
        <w:jc w:val="both"/>
        <w:rPr>
          <w:rFonts w:asciiTheme="minorEastAsia" w:hAnsiTheme="minorEastAsia" w:eastAsiaTheme="minorEastAsia"/>
        </w:rPr>
      </w:pPr>
      <w:r>
        <w:rPr>
          <w:rFonts w:hint="eastAsia" w:asciiTheme="minorEastAsia" w:hAnsiTheme="minorEastAsia" w:eastAsiaTheme="minorEastAsia"/>
        </w:rPr>
        <w:t>协办：中纤网</w:t>
      </w:r>
    </w:p>
    <w:p>
      <w:pPr>
        <w:spacing w:line="360" w:lineRule="auto"/>
        <w:jc w:val="both"/>
        <w:rPr>
          <w:rFonts w:asciiTheme="minorEastAsia" w:hAnsiTheme="minorEastAsia" w:eastAsiaTheme="minorEastAsia"/>
        </w:rPr>
      </w:pPr>
      <w:r>
        <w:rPr>
          <w:rFonts w:hint="eastAsia" w:asciiTheme="minorEastAsia" w:hAnsiTheme="minorEastAsia" w:eastAsiaTheme="minorEastAsia"/>
        </w:rPr>
        <w:t>欢迎浏览</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http://www.ccfa.com.cn</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t>
      </w:r>
      <w:r>
        <w:fldChar w:fldCharType="begin"/>
      </w:r>
      <w:r>
        <w:instrText xml:space="preserve"> HYPERLINK "http://www.ccfei.com" </w:instrText>
      </w:r>
      <w:r>
        <w:fldChar w:fldCharType="separate"/>
      </w:r>
      <w:r>
        <w:rPr>
          <w:rStyle w:val="16"/>
          <w:rFonts w:hint="eastAsia" w:asciiTheme="minorEastAsia" w:hAnsiTheme="minorEastAsia" w:eastAsiaTheme="minorEastAsia"/>
        </w:rPr>
        <w:t>www.ccfei.com</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r>
        <w:fldChar w:fldCharType="begin"/>
      </w:r>
      <w:r>
        <w:instrText xml:space="preserve"> HYPERLINK "http://weibo.com/ccfa2012" </w:instrText>
      </w:r>
      <w:r>
        <w:fldChar w:fldCharType="separate"/>
      </w:r>
      <w:bookmarkStart w:id="12" w:name="OLE_LINK2"/>
      <w:r>
        <w:rPr>
          <w:rStyle w:val="16"/>
          <w:rFonts w:hint="eastAsia" w:asciiTheme="minorEastAsia" w:hAnsiTheme="minorEastAsia" w:eastAsiaTheme="minorEastAsia"/>
        </w:rPr>
        <w:t>h</w:t>
      </w:r>
      <w:bookmarkEnd w:id="12"/>
      <w:r>
        <w:rPr>
          <w:rStyle w:val="16"/>
          <w:rFonts w:hint="eastAsia" w:asciiTheme="minorEastAsia" w:hAnsiTheme="minorEastAsia" w:eastAsiaTheme="minorEastAsia"/>
        </w:rPr>
        <w:t>ttp://weibo.com/ccfa2012</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13" w:name="_Hlk6545252"/>
      <w:r>
        <w:rPr>
          <w:rFonts w:hint="eastAsia" w:asciiTheme="minorEastAsia" w:hAnsiTheme="minorEastAsia" w:eastAsiaTheme="minorEastAsia"/>
        </w:rPr>
        <w:t>【本期导读】</w:t>
      </w:r>
    </w:p>
    <w:p>
      <w:pPr>
        <w:widowControl w:val="0"/>
        <w:spacing w:line="360" w:lineRule="auto"/>
        <w:jc w:val="both"/>
      </w:pPr>
      <w:r>
        <w:rPr>
          <w:rFonts w:hint="eastAsia"/>
        </w:rPr>
        <w:t>●</w:t>
      </w:r>
      <w:r>
        <w:t>2024年中国化纤协会生物基化学纤维及原料分会年会召开</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●新课开启——苏州大学洪岩：时尚之质与纤维面料企业新生产力</w:t>
      </w:r>
    </w:p>
    <w:p>
      <w:pPr>
        <w:spacing w:line="360" w:lineRule="auto"/>
        <w:rPr>
          <w:rFonts w:asciiTheme="minorEastAsia" w:hAnsiTheme="minorEastAsia" w:eastAsiaTheme="minorEastAsia"/>
        </w:rPr>
      </w:pPr>
      <w:r>
        <w:rPr>
          <w:rFonts w:hint="eastAsia" w:asciiTheme="minorEastAsia" w:hAnsiTheme="minorEastAsia" w:eastAsiaTheme="minorEastAsia"/>
        </w:rPr>
        <w:t>●绿色引领纺织服装产业高质量发展论坛在绍兴举办</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●化纤长丝设备入选工信部《工业重点行业领域设备更新和技术改造指南》</w:t>
      </w:r>
    </w:p>
    <w:p>
      <w:pPr>
        <w:spacing w:line="360" w:lineRule="auto"/>
        <w:rPr>
          <w:rFonts w:asciiTheme="minorEastAsia" w:hAnsiTheme="minorEastAsia" w:eastAsiaTheme="minorEastAsia"/>
        </w:rPr>
      </w:pPr>
      <w:r>
        <w:rPr>
          <w:rFonts w:hint="eastAsia" w:asciiTheme="minorEastAsia" w:hAnsiTheme="minorEastAsia" w:eastAsiaTheme="minorEastAsia"/>
        </w:rPr>
        <w:t>●甘肃纳塔新材万吨级碳纤维建设项目开工</w:t>
      </w:r>
    </w:p>
    <w:p>
      <w:pPr>
        <w:adjustRightInd w:val="0"/>
        <w:snapToGrid w:val="0"/>
        <w:spacing w:line="360" w:lineRule="auto"/>
      </w:pPr>
    </w:p>
    <w:bookmarkEnd w:id="13"/>
    <w:p>
      <w:pPr>
        <w:widowControl w:val="0"/>
        <w:spacing w:line="360" w:lineRule="auto"/>
        <w:jc w:val="both"/>
        <w:rPr>
          <w:rFonts w:asciiTheme="minorEastAsia" w:hAnsiTheme="minorEastAsia" w:eastAsiaTheme="minorEastAsia"/>
        </w:rPr>
      </w:pPr>
      <w:bookmarkStart w:id="14" w:name="_Hlk6545290"/>
      <w:r>
        <w:rPr>
          <w:rFonts w:hint="eastAsia" w:asciiTheme="minorEastAsia" w:hAnsiTheme="minorEastAsia" w:eastAsiaTheme="minorEastAsia"/>
        </w:rPr>
        <w:t>【行业动态】</w:t>
      </w:r>
    </w:p>
    <w:p>
      <w:pPr>
        <w:pStyle w:val="9"/>
        <w:spacing w:before="0" w:beforeAutospacing="0" w:after="0" w:afterAutospacing="0"/>
      </w:pPr>
    </w:p>
    <w:p>
      <w:pPr>
        <w:spacing w:line="360" w:lineRule="auto"/>
      </w:pPr>
      <w:r>
        <w:rPr>
          <w:rFonts w:hint="eastAsia"/>
        </w:rPr>
        <w:t>●</w:t>
      </w:r>
      <w:r>
        <w:t>2024年中国化纤协会生物基化学纤维及原料分会年会召开</w:t>
      </w:r>
    </w:p>
    <w:p>
      <w:pPr>
        <w:spacing w:line="360" w:lineRule="auto"/>
      </w:pPr>
      <w:r>
        <w:rPr>
          <w:rFonts w:hint="eastAsia"/>
        </w:rPr>
        <w:t>--------</w:t>
      </w:r>
    </w:p>
    <w:p>
      <w:pPr>
        <w:spacing w:line="360" w:lineRule="auto"/>
      </w:pPr>
      <w:r>
        <w:t>9月25日，2024年中国化学纤维工业协会生物基化学纤维及原料分会年会在安徽合肥召开</w:t>
      </w:r>
      <w:r>
        <w:rPr>
          <w:rFonts w:hint="eastAsia"/>
        </w:rPr>
        <w:t>，中国化纤协会会长陈新伟、东华大学教授王华平等领导嘉宾，以及生物基化学纤维及原料产业链相关企业代表参会。中国化纤协会生物基化学纤维及原料分会秘书处杨菲菲介绍了产业发展情况、分会</w:t>
      </w:r>
      <w:r>
        <w:t>2024开展的工作以及未来计划。</w:t>
      </w:r>
      <w:r>
        <w:rPr>
          <w:rFonts w:hint="eastAsia"/>
        </w:rPr>
        <w:t>中国化纤协会生物基化学纤维及原料分会秘书长王永生介绍了聚乳酸纤维应用指导手册的编制思路。参会代表，对聚乳酸纤维应用指导手册编制提出了建议，并围绕行业共性问题展开讨论。陈新伟对生物基化学纤维的发展提出四点建议：加大技术研发投入、加强市场推广、重视品牌宣传、完善行业标准、促进产业链协同发展。</w:t>
      </w:r>
    </w:p>
    <w:p>
      <w:pPr>
        <w:spacing w:line="360" w:lineRule="auto"/>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●新课开启——苏州大学洪岩：时尚之质与纤维面料企业新生产力</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由中国化学纤维工业协会主办，赛得利独家冠名的赛得利-纤维空中大讲堂第九季第二讲即将于</w:t>
      </w:r>
      <w:r>
        <w:rPr>
          <w:rFonts w:asciiTheme="minorEastAsia" w:hAnsiTheme="minorEastAsia" w:eastAsiaTheme="minorEastAsia"/>
        </w:rPr>
        <w:t>9月26日（周四）晚19：40-21：00进行。本次课程的讲师洪岩为苏州大学服装设计与工程系副主任，工学、设计学三学科博士，英国皇家艺术学会会士，法国Carlin品牌与流行趋势机构中国区代表。本次线上公开课的主题为“时尚之质与纤维面料企业新生产力”。纤维与面料企业是纺织服装产业链的重要环节，但长期以来忽视了终端品牌的需求。企业需要重新审视发展战略，将其置于服务时尚的视角中，通过融入时尚语境，实现企业的新发展。本报告借鉴法国Carlin品牌与流行趋势机构的经验，总结战略规划，注入时尚基因，推动企业增量发展。具体内容包括消费洞察、产品企划、视觉企划以及展厅与展会传播设计，系统讲解从了解时尚到传播时尚的全过程。欢迎大家关注中国化纤协会微信公众号获得更多课程最新信息，并通过协会微信视频号及纤维新视界微信小程序在线收看。</w:t>
      </w:r>
    </w:p>
    <w:p>
      <w:pPr>
        <w:spacing w:line="360" w:lineRule="auto"/>
        <w:jc w:val="both"/>
      </w:pPr>
    </w:p>
    <w:p>
      <w:pPr>
        <w:spacing w:line="360" w:lineRule="auto"/>
        <w:rPr>
          <w:rFonts w:asciiTheme="minorEastAsia" w:hAnsiTheme="minorEastAsia" w:eastAsiaTheme="minorEastAsia"/>
        </w:rPr>
      </w:pPr>
      <w:r>
        <w:rPr>
          <w:rFonts w:hint="eastAsia" w:asciiTheme="minorEastAsia" w:hAnsiTheme="minorEastAsia" w:eastAsiaTheme="minorEastAsia"/>
        </w:rPr>
        <w:t>●绿色引领纺织服装产业高质量发展论坛在绍兴举办</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pPr>
      <w:r>
        <w:t>9月25日，由中纺标与中国化纤协会联合主办</w:t>
      </w:r>
      <w:r>
        <w:rPr>
          <w:rFonts w:hint="eastAsia"/>
          <w:lang w:eastAsia="zh-CN"/>
        </w:rPr>
        <w:t>的</w:t>
      </w:r>
      <w:bookmarkStart w:id="16" w:name="_GoBack"/>
      <w:bookmarkEnd w:id="16"/>
      <w:r>
        <w:t>“绿色引领纺织服装产业高质量发展论坛”在浙江绍兴</w:t>
      </w:r>
      <w:r>
        <w:rPr>
          <w:rFonts w:hint="eastAsia"/>
        </w:rPr>
        <w:t>召开</w:t>
      </w:r>
      <w:r>
        <w:t>。</w:t>
      </w:r>
      <w:r>
        <w:rPr>
          <w:rFonts w:hint="eastAsia"/>
        </w:rPr>
        <w:t>中国化纤协会副会长靳高岭等出席活动。</w:t>
      </w:r>
      <w:r>
        <w:t>论坛聚焦绿色纤维认证、可持续发展等热点话题，旨在持续提升纺织服装行业绿色低碳清洁发展水平，加快发展新质生产力，助力纺织行业高质量发展。</w:t>
      </w:r>
      <w:r>
        <w:rPr>
          <w:rFonts w:hint="eastAsia"/>
        </w:rPr>
        <w:t>靳高岭表示，希望与会各方通过深入交流，加强合作，共同促进纺织行业高质量发展。与会嘉宾还围绕如何通过技术创新、管理优化等手段降低生产过程中的能耗与排放，以实现资源的高效循环利用以及构建绿色供应链、推广绿色消费理念等议题展开讨论。</w:t>
      </w:r>
    </w:p>
    <w:p>
      <w:pPr>
        <w:widowControl w:val="0"/>
        <w:spacing w:line="360" w:lineRule="auto"/>
        <w:jc w:val="both"/>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●化纤长丝设备入选工信部《工业重点行业领域设备更新和技术改造指南》</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rPr>
          <w:rFonts w:hint="eastAsia"/>
        </w:rPr>
        <w:t>日前，工业和信息化部发布《工业重点行业领域设备更新和技术改造指南》，对</w:t>
      </w:r>
      <w:r>
        <w:t>27个重点行业提出设备更新目标、政策和标准依据、设备更新重点方向。</w:t>
      </w:r>
      <w:r>
        <w:rPr>
          <w:rFonts w:hint="eastAsia"/>
        </w:rPr>
        <w:t>其中，对纺织行业设备更新目标为：以老旧设备更新和绿色化升级改造为重点，重点聚焦新型纺纱、织造、机织针织设备更新，加快自动化、连续化、绿色节能设备应用；推动聚合、纺丝、牵伸成套设备更新，进一步提升化纤行业智能化水平；推动定型机、染色机、染料助剂自动输配送系统，提升印染行业节能减排、绿色化数字化水平。到</w:t>
      </w:r>
      <w:r>
        <w:t xml:space="preserve"> 2027 年，棉纺行业生产效率显著提升，化纤行业涤纶长丝设备的更新换代率进一步提高，印染行业生产综合成本降低 5%~10%，预计全行业完成更新超 25 万台（套）设备，拉动投资 2500 亿元。</w:t>
      </w:r>
    </w:p>
    <w:p>
      <w:pPr>
        <w:spacing w:line="360" w:lineRule="auto"/>
      </w:pPr>
    </w:p>
    <w:p>
      <w:pPr>
        <w:spacing w:line="360" w:lineRule="auto"/>
        <w:rPr>
          <w:rFonts w:asciiTheme="minorEastAsia" w:hAnsiTheme="minorEastAsia" w:eastAsiaTheme="minorEastAsia"/>
        </w:rPr>
      </w:pPr>
      <w:r>
        <w:rPr>
          <w:rFonts w:hint="eastAsia" w:asciiTheme="minorEastAsia" w:hAnsiTheme="minorEastAsia" w:eastAsiaTheme="minorEastAsia"/>
        </w:rPr>
        <w:t>●甘肃纳塔新材万吨级碳纤维建设项目开工</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t>9月20日，甘肃省首个万吨级的碳纤维生产项目——甘肃纳塔新材料有限公司万吨级碳纤维建设项目在张掖市开工。</w:t>
      </w:r>
      <w:r>
        <w:rPr>
          <w:rFonts w:hint="eastAsia"/>
        </w:rPr>
        <w:t>该项目由甘肃纳塔新材料有限公司投资建设，由上海电气风电集团股份有限公司联合广东蒙泰高新纤维股份有限公司共同推动实施。该项目计划总投资</w:t>
      </w:r>
      <w:r>
        <w:t>27.7亿元，分三期建设，建成后年产PAN碳纤维2.4万吨，预计年产值21.6亿元</w:t>
      </w:r>
      <w:r>
        <w:rPr>
          <w:rFonts w:hint="eastAsia"/>
        </w:rPr>
        <w:t>，其</w:t>
      </w:r>
      <w:r>
        <w:t>产品广泛适用于航空航天、汽车制造等多个高端制造业领域。</w:t>
      </w:r>
    </w:p>
    <w:p>
      <w:pPr>
        <w:spacing w:line="360" w:lineRule="auto"/>
        <w:jc w:val="both"/>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【宏观-财经】</w:t>
      </w:r>
    </w:p>
    <w:bookmarkEnd w:id="14"/>
    <w:p>
      <w:pPr>
        <w:spacing w:line="360" w:lineRule="auto"/>
        <w:rPr>
          <w:rFonts w:asciiTheme="minorEastAsia" w:hAnsiTheme="minorEastAsia" w:eastAsiaTheme="minorEastAsia"/>
        </w:rPr>
      </w:pPr>
      <w:bookmarkStart w:id="15" w:name="_Hlk6545358"/>
      <w:r>
        <w:rPr>
          <w:rFonts w:hint="eastAsia" w:asciiTheme="minorEastAsia" w:hAnsiTheme="minorEastAsia" w:eastAsiaTheme="minorEastAsia"/>
        </w:rPr>
        <w:t>●中共中央政治局会议：</w:t>
      </w:r>
      <w:r>
        <w:rPr>
          <w:rFonts w:asciiTheme="minorEastAsia" w:hAnsiTheme="minorEastAsia" w:eastAsiaTheme="minorEastAsia"/>
        </w:rPr>
        <w:t>为非公有制经济发展营造良好环境</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中共中央政治局</w:t>
      </w:r>
      <w:r>
        <w:rPr>
          <w:rFonts w:asciiTheme="minorEastAsia" w:hAnsiTheme="minorEastAsia" w:eastAsiaTheme="minorEastAsia"/>
        </w:rPr>
        <w:t>9月26日召开会议，分析研究当前经济形势，部署下一步经济工作。会议指出，要帮助企业渡过难关，进一步规范涉企执法、监管行为。要出台民营经济促进法，为非公有制经济发展营造良好环境。要把促消费和惠民生结合起来，促进中低收入群体增收，提升消费结构。要培育新型消费业态。要支持和规范社会力量发展养老、托育产业，抓紧完善生育支持政策体系。要加大引资稳资力度，抓紧推进和实施制造业领域外资准入等改革措施，进一步优化市场化、法治化、国际化一流营商环境。</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【卓越读书会】</w:t>
      </w:r>
    </w:p>
    <w:p>
      <w:pPr>
        <w:spacing w:line="360" w:lineRule="auto"/>
        <w:jc w:val="both"/>
      </w:pPr>
      <w:r>
        <w:rPr>
          <w:rFonts w:hint="eastAsia"/>
        </w:rPr>
        <w:t>如果你停止，就是谷底。如果你还在继续，就是上坡。这是我听过关于人生低谷最好的阐述。</w:t>
      </w:r>
    </w:p>
    <w:p>
      <w:pPr>
        <w:spacing w:line="360" w:lineRule="auto"/>
        <w:jc w:val="both"/>
      </w:pPr>
      <w:r>
        <w:rPr>
          <w:rFonts w:hint="eastAsia"/>
        </w:rPr>
        <w:t>-------刘同</w:t>
      </w:r>
      <w:r>
        <w:t xml:space="preserve"> 《你的孤独，虽败犹荣》</w:t>
      </w:r>
    </w:p>
    <w:p>
      <w:pPr>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【市场快讯】</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●消光</w:t>
      </w:r>
      <w:r>
        <w:rPr>
          <w:rFonts w:asciiTheme="minorEastAsia" w:hAnsiTheme="minorEastAsia" w:eastAsiaTheme="minorEastAsia"/>
        </w:rPr>
        <w:t>T400破卡面料深受消费者的垂爱</w:t>
      </w:r>
    </w:p>
    <w:p>
      <w:pPr>
        <w:widowControl w:val="0"/>
        <w:spacing w:line="360" w:lineRule="auto"/>
        <w:jc w:val="both"/>
        <w:rPr>
          <w:rFonts w:asciiTheme="minorEastAsia" w:hAnsiTheme="minorEastAsia" w:eastAsiaTheme="minorEastAsia"/>
        </w:rPr>
      </w:pPr>
      <w:r>
        <w:rPr>
          <w:rFonts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该面料采用涤纶消光</w:t>
      </w:r>
      <w:r>
        <w:rPr>
          <w:rFonts w:asciiTheme="minorEastAsia" w:hAnsiTheme="minorEastAsia" w:eastAsiaTheme="minorEastAsia"/>
        </w:rPr>
        <w:t>DTY</w:t>
      </w:r>
      <w:r>
        <w:rPr>
          <w:rFonts w:hint="eastAsia" w:asciiTheme="minorEastAsia" w:hAnsiTheme="minorEastAsia" w:eastAsiaTheme="minorEastAsia"/>
        </w:rPr>
        <w:t xml:space="preserve"> </w:t>
      </w:r>
      <w:r>
        <w:rPr>
          <w:rFonts w:asciiTheme="minorEastAsia" w:hAnsiTheme="minorEastAsia" w:eastAsiaTheme="minorEastAsia"/>
        </w:rPr>
        <w:t>75D*T400的75D为原料，按320T密度，以斜纹组织结构在喷水织机上织造，先后经过预处理</w:t>
      </w:r>
      <w:r>
        <w:rPr>
          <w:rFonts w:hint="eastAsia" w:asciiTheme="minorEastAsia" w:hAnsiTheme="minorEastAsia" w:eastAsiaTheme="minorEastAsia"/>
        </w:rPr>
        <w:t>、</w:t>
      </w:r>
      <w:r>
        <w:rPr>
          <w:rFonts w:asciiTheme="minorEastAsia" w:hAnsiTheme="minorEastAsia" w:eastAsiaTheme="minorEastAsia"/>
        </w:rPr>
        <w:t>染色等主要工艺深加工而成。此面料既有回弹性又有时尚感</w:t>
      </w:r>
      <w:r>
        <w:rPr>
          <w:rFonts w:hint="eastAsia" w:asciiTheme="minorEastAsia" w:hAnsiTheme="minorEastAsia" w:eastAsiaTheme="minorEastAsia"/>
        </w:rPr>
        <w:t>，</w:t>
      </w:r>
      <w:r>
        <w:rPr>
          <w:rFonts w:asciiTheme="minorEastAsia" w:hAnsiTheme="minorEastAsia" w:eastAsiaTheme="minorEastAsia"/>
        </w:rPr>
        <w:t>以色泽绚丽、手感柔顺、富有弹性、易于打理、经久耐穿等长处深受消费者的钟爱。其成品幅宽为150cm，</w:t>
      </w:r>
      <w:r>
        <w:rPr>
          <w:rFonts w:hint="eastAsia" w:asciiTheme="minorEastAsia" w:hAnsiTheme="minorEastAsia" w:eastAsiaTheme="minorEastAsia"/>
        </w:rPr>
        <w:t>克</w:t>
      </w:r>
      <w:r>
        <w:rPr>
          <w:rFonts w:asciiTheme="minorEastAsia" w:hAnsiTheme="minorEastAsia" w:eastAsiaTheme="minorEastAsia"/>
        </w:rPr>
        <w:t>重为148g/</w:t>
      </w:r>
      <w:r>
        <w:rPr>
          <w:rFonts w:hint="eastAsia" w:asciiTheme="minorEastAsia" w:hAnsiTheme="minorEastAsia" w:eastAsiaTheme="minorEastAsia"/>
        </w:rPr>
        <w:t>平方米</w:t>
      </w:r>
      <w:r>
        <w:rPr>
          <w:rFonts w:asciiTheme="minorEastAsia" w:hAnsiTheme="minorEastAsia" w:eastAsiaTheme="minorEastAsia"/>
        </w:rPr>
        <w:t>，现市场成交价为9.00元/米左右。</w:t>
      </w:r>
      <w:r>
        <w:rPr>
          <w:rFonts w:hint="eastAsia" w:asciiTheme="minorEastAsia" w:hAnsiTheme="minorEastAsia" w:eastAsiaTheme="minorEastAsia"/>
        </w:rPr>
        <w:t>该面料适于</w:t>
      </w:r>
      <w:r>
        <w:rPr>
          <w:rFonts w:asciiTheme="minorEastAsia" w:hAnsiTheme="minorEastAsia" w:eastAsiaTheme="minorEastAsia"/>
        </w:rPr>
        <w:t>制作户外用品、户外</w:t>
      </w:r>
      <w:r>
        <w:rPr>
          <w:rFonts w:hint="eastAsia" w:asciiTheme="minorEastAsia" w:hAnsiTheme="minorEastAsia" w:eastAsiaTheme="minorEastAsia"/>
        </w:rPr>
        <w:t>服装</w:t>
      </w:r>
      <w:r>
        <w:rPr>
          <w:rFonts w:asciiTheme="minorEastAsia" w:hAnsiTheme="minorEastAsia" w:eastAsiaTheme="minorEastAsia"/>
        </w:rPr>
        <w:t>、休闲服、运动服等。消光T400破卡面料之所以深受消费者的垂爱，主要是迎合人们求新、求美、求舒适的消费心理。</w:t>
      </w:r>
    </w:p>
    <w:p>
      <w:pPr>
        <w:spacing w:line="360" w:lineRule="auto"/>
        <w:jc w:val="both"/>
        <w:rPr>
          <w:rFonts w:asciiTheme="minorEastAsia" w:hAnsiTheme="minorEastAsia" w:eastAsiaTheme="minorEastAsia"/>
        </w:rPr>
      </w:pPr>
    </w:p>
    <w:bookmarkEnd w:id="15"/>
    <w:p>
      <w:pPr>
        <w:spacing w:line="360" w:lineRule="auto"/>
        <w:rPr>
          <w:rFonts w:asciiTheme="minorEastAsia" w:hAnsiTheme="minorEastAsia" w:eastAsiaTheme="minorEastAsia"/>
        </w:rPr>
      </w:pPr>
      <w:r>
        <w:rPr>
          <w:rFonts w:hint="eastAsia" w:asciiTheme="minorEastAsia" w:hAnsiTheme="minorEastAsia" w:eastAsiaTheme="minorEastAsia"/>
        </w:rPr>
        <w:t>（本期完）</w:t>
      </w:r>
    </w:p>
    <w:p>
      <w:pPr>
        <w:spacing w:line="360" w:lineRule="auto"/>
        <w:jc w:val="both"/>
        <w:rPr>
          <w:rFonts w:asciiTheme="minorEastAsia" w:hAnsiTheme="minorEastAsia" w:eastAsiaTheme="minorEastAsia"/>
        </w:rPr>
      </w:pPr>
      <w:r>
        <w:rPr>
          <w:rFonts w:hint="eastAsia" w:asciiTheme="minorEastAsia" w:hAnsiTheme="minorEastAsia" w:eastAsiaTheme="minorEastAsia"/>
        </w:rPr>
        <w:t>※本手机报免费赠阅，如需宣传服务，或有任何意见、取消服务等，请致电中国化纤协会010-51292251-823。</w:t>
      </w:r>
    </w:p>
    <w:p>
      <w:pPr>
        <w:spacing w:line="360" w:lineRule="auto"/>
        <w:jc w:val="both"/>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86E"/>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108"/>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07B0"/>
    <w:rsid w:val="002218A7"/>
    <w:rsid w:val="00221972"/>
    <w:rsid w:val="00221A41"/>
    <w:rsid w:val="00222227"/>
    <w:rsid w:val="002222AB"/>
    <w:rsid w:val="002225D3"/>
    <w:rsid w:val="00222B1B"/>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2F90"/>
    <w:rsid w:val="002A3157"/>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B8C"/>
    <w:rsid w:val="003C2EBD"/>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45"/>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4FEA"/>
    <w:rsid w:val="00475A12"/>
    <w:rsid w:val="00476B09"/>
    <w:rsid w:val="00476E33"/>
    <w:rsid w:val="0047702E"/>
    <w:rsid w:val="00480710"/>
    <w:rsid w:val="00480867"/>
    <w:rsid w:val="004819B5"/>
    <w:rsid w:val="00481DEF"/>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370A"/>
    <w:rsid w:val="00573ACC"/>
    <w:rsid w:val="00573B20"/>
    <w:rsid w:val="00573BB6"/>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BF8"/>
    <w:rsid w:val="0066472C"/>
    <w:rsid w:val="006648DD"/>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6BEF"/>
    <w:rsid w:val="00686D0F"/>
    <w:rsid w:val="00687767"/>
    <w:rsid w:val="00687C26"/>
    <w:rsid w:val="00687FFC"/>
    <w:rsid w:val="00690423"/>
    <w:rsid w:val="006909A7"/>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4D72"/>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6A85"/>
    <w:rsid w:val="00947166"/>
    <w:rsid w:val="009476AD"/>
    <w:rsid w:val="00950744"/>
    <w:rsid w:val="00950E98"/>
    <w:rsid w:val="00950F26"/>
    <w:rsid w:val="00951B0C"/>
    <w:rsid w:val="00951C30"/>
    <w:rsid w:val="00951D2E"/>
    <w:rsid w:val="00953A70"/>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ECB"/>
    <w:rsid w:val="00B5510C"/>
    <w:rsid w:val="00B55B36"/>
    <w:rsid w:val="00B56139"/>
    <w:rsid w:val="00B5645A"/>
    <w:rsid w:val="00B56DA7"/>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2D59"/>
    <w:rsid w:val="00C03845"/>
    <w:rsid w:val="00C03A97"/>
    <w:rsid w:val="00C03CC6"/>
    <w:rsid w:val="00C03DA1"/>
    <w:rsid w:val="00C04E75"/>
    <w:rsid w:val="00C0651B"/>
    <w:rsid w:val="00C0669C"/>
    <w:rsid w:val="00C067D9"/>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30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10BD6"/>
    <w:rsid w:val="00E11EE4"/>
    <w:rsid w:val="00E126BA"/>
    <w:rsid w:val="00E13218"/>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49"/>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1FC1ADB"/>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87C7061"/>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A81C25"/>
    <w:rsid w:val="3BD14399"/>
    <w:rsid w:val="3D000651"/>
    <w:rsid w:val="3D8602A1"/>
    <w:rsid w:val="3E3A74BE"/>
    <w:rsid w:val="3E623335"/>
    <w:rsid w:val="3ED01C84"/>
    <w:rsid w:val="3FD31864"/>
    <w:rsid w:val="404E443A"/>
    <w:rsid w:val="424D085C"/>
    <w:rsid w:val="427476BB"/>
    <w:rsid w:val="44406BAE"/>
    <w:rsid w:val="44C66513"/>
    <w:rsid w:val="45134F88"/>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spacing w:before="100" w:beforeAutospacing="1" w:after="100" w:afterAutospacing="1"/>
      <w:outlineLvl w:val="1"/>
    </w:pPr>
    <w:rPr>
      <w:b/>
      <w:bCs/>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Date"/>
    <w:basedOn w:val="1"/>
    <w:next w:val="1"/>
    <w:link w:val="28"/>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unhideWhenUsed/>
    <w:qFormat/>
    <w:uiPriority w:val="0"/>
    <w:rPr>
      <w:color w:val="383838"/>
      <w:u w:val="non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6"/>
    <w:semiHidden/>
    <w:qFormat/>
    <w:uiPriority w:val="99"/>
    <w:rPr>
      <w:rFonts w:ascii="宋体" w:hAnsi="宋体" w:eastAsia="宋体" w:cs="宋体"/>
      <w:kern w:val="0"/>
      <w:sz w:val="18"/>
      <w:szCs w:val="18"/>
    </w:rPr>
  </w:style>
  <w:style w:type="character" w:customStyle="1" w:styleId="19">
    <w:name w:val="页眉 Char"/>
    <w:basedOn w:val="13"/>
    <w:link w:val="8"/>
    <w:qFormat/>
    <w:uiPriority w:val="99"/>
    <w:rPr>
      <w:rFonts w:ascii="宋体" w:hAnsi="宋体" w:eastAsia="宋体" w:cs="宋体"/>
      <w:kern w:val="0"/>
      <w:sz w:val="18"/>
      <w:szCs w:val="18"/>
    </w:rPr>
  </w:style>
  <w:style w:type="character" w:customStyle="1" w:styleId="20">
    <w:name w:val="页脚 Char"/>
    <w:basedOn w:val="13"/>
    <w:link w:val="7"/>
    <w:qFormat/>
    <w:uiPriority w:val="99"/>
    <w:rPr>
      <w:rFonts w:ascii="宋体" w:hAnsi="宋体" w:eastAsia="宋体" w:cs="宋体"/>
      <w:kern w:val="0"/>
      <w:sz w:val="18"/>
      <w:szCs w:val="18"/>
    </w:rPr>
  </w:style>
  <w:style w:type="character" w:customStyle="1" w:styleId="21">
    <w:name w:val="标题 2 Char"/>
    <w:basedOn w:val="13"/>
    <w:link w:val="3"/>
    <w:qFormat/>
    <w:uiPriority w:val="9"/>
    <w:rPr>
      <w:rFonts w:ascii="宋体" w:hAnsi="宋体" w:eastAsia="宋体" w:cs="宋体"/>
      <w:b/>
      <w:bCs/>
      <w:kern w:val="0"/>
      <w:sz w:val="36"/>
      <w:szCs w:val="36"/>
    </w:rPr>
  </w:style>
  <w:style w:type="character" w:customStyle="1" w:styleId="22">
    <w:name w:val="标题 1 Char"/>
    <w:basedOn w:val="13"/>
    <w:link w:val="2"/>
    <w:qFormat/>
    <w:uiPriority w:val="9"/>
    <w:rPr>
      <w:rFonts w:ascii="宋体" w:hAnsi="宋体" w:cs="宋体"/>
      <w:b/>
      <w:bCs/>
      <w:kern w:val="44"/>
      <w:sz w:val="44"/>
      <w:szCs w:val="44"/>
    </w:rPr>
  </w:style>
  <w:style w:type="paragraph" w:customStyle="1" w:styleId="23">
    <w:name w:val="修订1"/>
    <w:hidden/>
    <w:semiHidden/>
    <w:qFormat/>
    <w:uiPriority w:val="99"/>
    <w:rPr>
      <w:rFonts w:ascii="宋体" w:hAnsi="宋体" w:eastAsia="宋体" w:cs="宋体"/>
      <w:sz w:val="24"/>
      <w:szCs w:val="24"/>
      <w:lang w:val="en-US" w:eastAsia="zh-CN" w:bidi="ar-SA"/>
    </w:rPr>
  </w:style>
  <w:style w:type="character" w:customStyle="1" w:styleId="24">
    <w:name w:val="批注文字 Char"/>
    <w:basedOn w:val="13"/>
    <w:link w:val="4"/>
    <w:semiHidden/>
    <w:qFormat/>
    <w:uiPriority w:val="99"/>
    <w:rPr>
      <w:rFonts w:ascii="宋体" w:hAnsi="宋体" w:cs="宋体"/>
      <w:sz w:val="24"/>
      <w:szCs w:val="24"/>
    </w:rPr>
  </w:style>
  <w:style w:type="character" w:customStyle="1" w:styleId="25">
    <w:name w:val="批注主题 Char"/>
    <w:basedOn w:val="24"/>
    <w:link w:val="10"/>
    <w:semiHidden/>
    <w:qFormat/>
    <w:uiPriority w:val="99"/>
    <w:rPr>
      <w:rFonts w:ascii="宋体" w:hAnsi="宋体" w:cs="宋体"/>
      <w:b/>
      <w:bCs/>
      <w:sz w:val="24"/>
      <w:szCs w:val="24"/>
    </w:rPr>
  </w:style>
  <w:style w:type="paragraph" w:customStyle="1" w:styleId="26">
    <w:name w:val="修订2"/>
    <w:hidden/>
    <w:semiHidden/>
    <w:qFormat/>
    <w:uiPriority w:val="99"/>
    <w:rPr>
      <w:rFonts w:ascii="宋体" w:hAnsi="宋体" w:eastAsia="宋体" w:cs="宋体"/>
      <w:sz w:val="24"/>
      <w:szCs w:val="24"/>
      <w:lang w:val="en-US" w:eastAsia="zh-CN" w:bidi="ar-SA"/>
    </w:rPr>
  </w:style>
  <w:style w:type="paragraph" w:customStyle="1" w:styleId="27">
    <w:name w:val="修订3"/>
    <w:hidden/>
    <w:unhideWhenUsed/>
    <w:qFormat/>
    <w:uiPriority w:val="99"/>
    <w:rPr>
      <w:rFonts w:ascii="宋体" w:hAnsi="宋体" w:eastAsia="宋体" w:cs="宋体"/>
      <w:sz w:val="24"/>
      <w:szCs w:val="24"/>
      <w:lang w:val="en-US" w:eastAsia="zh-CN" w:bidi="ar-SA"/>
    </w:rPr>
  </w:style>
  <w:style w:type="character" w:customStyle="1" w:styleId="28">
    <w:name w:val="日期 Char"/>
    <w:basedOn w:val="13"/>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5F05D-22DD-4AE1-B904-6B5B784620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401</Words>
  <Characters>2290</Characters>
  <Lines>19</Lines>
  <Paragraphs>5</Paragraphs>
  <TotalTime>865</TotalTime>
  <ScaleCrop>false</ScaleCrop>
  <LinksUpToDate>false</LinksUpToDate>
  <CharactersWithSpaces>2686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2024-07-25T11:53:00Z</dcterms:created>
  <dc:creator>zmj</dc:creator>
  <cp:lastModifiedBy>冬子</cp:lastModifiedBy>
  <dcterms:modified xsi:type="dcterms:W3CDTF">2024-09-26T07:49:30Z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