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《能源企业绿色仓储运行管理规范</w:t>
            </w:r>
            <w:bookmarkStart w:id="0" w:name="_GoBack"/>
            <w:bookmarkEnd w:id="0"/>
            <w:r>
              <w:rPr>
                <w:rFonts w:hint="eastAsia"/>
              </w:rPr>
              <w:t>》具体意见和建议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NWY3NjRmMmQ4ZTdmYWE3NDI4Yzk2NDFkMzA1MDg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4A8C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05766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3159C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73F7C26"/>
    <w:rsid w:val="757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纯文本 字符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98</Words>
  <Characters>98</Characters>
  <Lines>1</Lines>
  <Paragraphs>1</Paragraphs>
  <TotalTime>11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J.L Wang</cp:lastModifiedBy>
  <cp:lastPrinted>2022-03-14T02:29:00Z</cp:lastPrinted>
  <dcterms:modified xsi:type="dcterms:W3CDTF">2024-07-10T02:25:09Z</dcterms:modified>
  <dc:title>关于征订《中国能源发展报告（2011）》的函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C1BD27600DEB4E46A34AF9E4F2ECA600</vt:lpwstr>
  </property>
</Properties>
</file>