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37" w:rsidRDefault="00950D8B">
      <w:pPr>
        <w:pStyle w:val="ad"/>
        <w:jc w:val="both"/>
        <w:rPr>
          <w:rFonts w:ascii="仿宋_GB2312" w:eastAsia="仿宋_GB2312" w:hAnsi="仿宋_GB2312" w:cs="仿宋_GB2312"/>
          <w:b w:val="0"/>
          <w:bCs w:val="0"/>
          <w:color w:val="000000"/>
        </w:rPr>
      </w:pPr>
      <w:r>
        <w:rPr>
          <w:rFonts w:ascii="仿宋_GB2312" w:eastAsia="仿宋_GB2312" w:hAnsi="仿宋_GB2312" w:cs="仿宋_GB2312" w:hint="eastAsia"/>
          <w:b w:val="0"/>
          <w:bCs w:val="0"/>
          <w:color w:val="000000"/>
        </w:rPr>
        <w:t>附件</w:t>
      </w:r>
      <w:r>
        <w:rPr>
          <w:rFonts w:ascii="仿宋_GB2312" w:eastAsia="仿宋_GB2312" w:hAnsi="仿宋_GB2312" w:cs="仿宋_GB2312" w:hint="eastAsia"/>
          <w:b w:val="0"/>
          <w:bCs w:val="0"/>
          <w:color w:val="000000"/>
        </w:rPr>
        <w:t>1</w:t>
      </w:r>
    </w:p>
    <w:p w:rsidR="006F0537" w:rsidRDefault="00950D8B">
      <w:pPr>
        <w:spacing w:line="540" w:lineRule="exact"/>
        <w:jc w:val="center"/>
        <w:textAlignment w:val="baseline"/>
        <w:rPr>
          <w:rFonts w:ascii="仿宋_GB2312" w:eastAsia="仿宋_GB2312" w:hAnsi="仿宋_GB2312" w:cs="仿宋_GB2312"/>
          <w:color w:val="000000"/>
          <w:sz w:val="32"/>
          <w:szCs w:val="32"/>
        </w:rPr>
      </w:pPr>
      <w:r>
        <w:rPr>
          <w:rFonts w:ascii="黑体" w:eastAsia="黑体" w:hAnsi="黑体" w:cs="黑体" w:hint="eastAsia"/>
          <w:color w:val="000000"/>
          <w:sz w:val="32"/>
          <w:szCs w:val="32"/>
        </w:rPr>
        <w:t>大赛整体安排</w:t>
      </w:r>
    </w:p>
    <w:p w:rsidR="006F0537" w:rsidRDefault="00950D8B">
      <w:pPr>
        <w:pStyle w:val="ac"/>
        <w:widowControl/>
        <w:numPr>
          <w:ilvl w:val="0"/>
          <w:numId w:val="5"/>
        </w:numPr>
        <w:spacing w:beforeAutospacing="0" w:afterAutospacing="0"/>
        <w:rPr>
          <w:rFonts w:ascii="黑体" w:eastAsia="黑体" w:hAnsi="黑体" w:cs="黑体"/>
          <w:bCs/>
          <w:sz w:val="32"/>
          <w:szCs w:val="32"/>
        </w:rPr>
      </w:pPr>
      <w:r>
        <w:rPr>
          <w:rStyle w:val="af"/>
          <w:rFonts w:ascii="黑体" w:eastAsia="黑体" w:hAnsi="黑体" w:cs="黑体" w:hint="eastAsia"/>
          <w:b w:val="0"/>
          <w:bCs/>
          <w:sz w:val="32"/>
          <w:szCs w:val="32"/>
        </w:rPr>
        <w:t>组织架构</w:t>
      </w:r>
    </w:p>
    <w:p w:rsidR="006F0537" w:rsidRDefault="00950D8B">
      <w:pPr>
        <w:pStyle w:val="a4"/>
        <w:tabs>
          <w:tab w:val="left" w:pos="720"/>
        </w:tabs>
        <w:spacing w:line="360" w:lineRule="auto"/>
        <w:rPr>
          <w:rFonts w:ascii="仿宋_GB2312" w:eastAsia="仿宋_GB2312" w:hAnsi="仿宋_GB2312" w:cs="仿宋_GB2312"/>
          <w:sz w:val="32"/>
          <w:szCs w:val="32"/>
          <w:lang w:val="en-US" w:bidi="ar-SA"/>
        </w:rPr>
      </w:pPr>
      <w:r>
        <w:rPr>
          <w:rFonts w:ascii="仿宋_GB2312" w:eastAsia="仿宋_GB2312" w:hAnsi="仿宋_GB2312" w:cs="仿宋_GB2312" w:hint="eastAsia"/>
          <w:sz w:val="32"/>
          <w:szCs w:val="32"/>
          <w:lang w:val="en-US" w:bidi="ar-SA"/>
        </w:rPr>
        <w:t>主</w:t>
      </w:r>
      <w:r>
        <w:rPr>
          <w:rFonts w:ascii="仿宋_GB2312" w:eastAsia="仿宋_GB2312" w:hAnsi="仿宋_GB2312" w:cs="仿宋_GB2312" w:hint="eastAsia"/>
          <w:sz w:val="32"/>
          <w:szCs w:val="32"/>
          <w:lang w:val="en-US" w:bidi="ar-SA"/>
        </w:rPr>
        <w:t xml:space="preserve">    </w:t>
      </w:r>
      <w:r>
        <w:rPr>
          <w:rFonts w:ascii="仿宋_GB2312" w:eastAsia="仿宋_GB2312" w:hAnsi="仿宋_GB2312" w:cs="仿宋_GB2312" w:hint="eastAsia"/>
          <w:sz w:val="32"/>
          <w:szCs w:val="32"/>
          <w:lang w:val="en-US" w:bidi="ar-SA"/>
        </w:rPr>
        <w:t>办：中国能源研究会</w:t>
      </w:r>
    </w:p>
    <w:p w:rsidR="006F0537" w:rsidRDefault="00950D8B">
      <w:pPr>
        <w:pStyle w:val="a4"/>
        <w:tabs>
          <w:tab w:val="left" w:pos="720"/>
        </w:tabs>
        <w:spacing w:line="360" w:lineRule="auto"/>
        <w:ind w:firstLineChars="500" w:firstLine="1600"/>
        <w:rPr>
          <w:rFonts w:ascii="仿宋_GB2312" w:eastAsia="仿宋_GB2312" w:hAnsi="仿宋_GB2312" w:cs="仿宋_GB2312"/>
          <w:sz w:val="32"/>
          <w:szCs w:val="32"/>
          <w:lang w:val="en-US" w:bidi="ar-SA"/>
        </w:rPr>
      </w:pPr>
      <w:r>
        <w:rPr>
          <w:rFonts w:ascii="仿宋_GB2312" w:eastAsia="仿宋_GB2312" w:hAnsi="仿宋_GB2312" w:cs="仿宋_GB2312" w:hint="eastAsia"/>
          <w:sz w:val="32"/>
          <w:szCs w:val="32"/>
          <w:lang w:val="en-US" w:bidi="ar-SA"/>
        </w:rPr>
        <w:t>中国电机工程学会</w:t>
      </w:r>
    </w:p>
    <w:p w:rsidR="006F0537" w:rsidRDefault="00950D8B">
      <w:pPr>
        <w:pStyle w:val="a4"/>
        <w:tabs>
          <w:tab w:val="left" w:pos="720"/>
        </w:tabs>
        <w:spacing w:line="360" w:lineRule="auto"/>
        <w:rPr>
          <w:rFonts w:ascii="仿宋_GB2312" w:eastAsia="仿宋_GB2312" w:hAnsi="仿宋_GB2312" w:cs="仿宋_GB2312"/>
          <w:sz w:val="32"/>
          <w:szCs w:val="32"/>
          <w:lang w:val="en-US" w:bidi="ar-SA"/>
        </w:rPr>
      </w:pPr>
      <w:r>
        <w:rPr>
          <w:rFonts w:ascii="仿宋_GB2312" w:eastAsia="仿宋_GB2312" w:hAnsi="仿宋_GB2312" w:cs="仿宋_GB2312" w:hint="eastAsia"/>
          <w:sz w:val="32"/>
          <w:szCs w:val="32"/>
          <w:lang w:val="en-US" w:bidi="ar-SA"/>
        </w:rPr>
        <w:t>联合主办</w:t>
      </w:r>
      <w:r>
        <w:rPr>
          <w:rFonts w:ascii="仿宋_GB2312" w:eastAsia="仿宋_GB2312" w:hAnsi="仿宋_GB2312" w:cs="仿宋_GB2312" w:hint="eastAsia"/>
          <w:sz w:val="32"/>
          <w:szCs w:val="32"/>
          <w:lang w:val="en-US" w:bidi="ar-SA"/>
        </w:rPr>
        <w:t>：</w:t>
      </w:r>
      <w:r>
        <w:rPr>
          <w:rFonts w:ascii="仿宋_GB2312" w:eastAsia="仿宋_GB2312" w:hAnsi="仿宋_GB2312" w:cs="仿宋_GB2312" w:hint="eastAsia"/>
          <w:sz w:val="32"/>
          <w:szCs w:val="32"/>
          <w:lang w:val="en-US" w:bidi="ar-SA"/>
        </w:rPr>
        <w:t>中国电力科学研究院有限公司</w:t>
      </w:r>
    </w:p>
    <w:p w:rsidR="006F0537" w:rsidRDefault="00950D8B">
      <w:pPr>
        <w:pStyle w:val="a4"/>
        <w:tabs>
          <w:tab w:val="left" w:pos="720"/>
        </w:tabs>
        <w:spacing w:line="360" w:lineRule="auto"/>
        <w:ind w:firstLineChars="500" w:firstLine="1600"/>
        <w:rPr>
          <w:rFonts w:ascii="仿宋_GB2312" w:eastAsia="仿宋_GB2312" w:hAnsi="仿宋_GB2312" w:cs="仿宋_GB2312"/>
          <w:sz w:val="32"/>
          <w:szCs w:val="32"/>
          <w:lang w:val="en-US" w:bidi="ar-SA"/>
        </w:rPr>
      </w:pPr>
      <w:hyperlink r:id="rId8" w:tgtFrame="https://www.baidu.com/_blank" w:history="1">
        <w:r>
          <w:rPr>
            <w:rFonts w:ascii="仿宋_GB2312" w:eastAsia="仿宋_GB2312" w:hAnsi="仿宋_GB2312" w:cs="仿宋_GB2312" w:hint="eastAsia"/>
            <w:sz w:val="32"/>
            <w:szCs w:val="32"/>
            <w:lang w:val="en-US" w:bidi="ar-SA"/>
          </w:rPr>
          <w:t>国网冀北电力有限公司</w:t>
        </w:r>
      </w:hyperlink>
    </w:p>
    <w:p w:rsidR="006F0537" w:rsidRDefault="00950D8B">
      <w:pPr>
        <w:pStyle w:val="a4"/>
        <w:tabs>
          <w:tab w:val="left" w:pos="720"/>
        </w:tabs>
        <w:spacing w:line="360" w:lineRule="auto"/>
        <w:ind w:firstLineChars="500" w:firstLine="1600"/>
        <w:rPr>
          <w:rFonts w:ascii="仿宋_GB2312" w:eastAsia="仿宋_GB2312" w:hAnsi="仿宋_GB2312" w:cs="仿宋_GB2312"/>
          <w:sz w:val="32"/>
          <w:szCs w:val="32"/>
          <w:lang w:val="en-US" w:bidi="ar-SA"/>
        </w:rPr>
      </w:pPr>
      <w:r>
        <w:rPr>
          <w:rFonts w:ascii="仿宋_GB2312" w:eastAsia="仿宋_GB2312" w:hAnsi="仿宋_GB2312" w:cs="仿宋_GB2312" w:hint="eastAsia"/>
          <w:sz w:val="32"/>
          <w:szCs w:val="32"/>
          <w:lang w:val="en-US" w:bidi="ar-SA"/>
        </w:rPr>
        <w:t>中国三峡武汉科创园</w:t>
      </w:r>
    </w:p>
    <w:p w:rsidR="006F0537" w:rsidRDefault="00950D8B">
      <w:pPr>
        <w:pStyle w:val="a4"/>
        <w:tabs>
          <w:tab w:val="left" w:pos="720"/>
        </w:tabs>
        <w:spacing w:line="360" w:lineRule="auto"/>
        <w:ind w:firstLineChars="500" w:firstLine="1600"/>
        <w:rPr>
          <w:rFonts w:ascii="仿宋_GB2312" w:eastAsia="仿宋_GB2312" w:hAnsi="仿宋_GB2312" w:cs="仿宋_GB2312"/>
          <w:sz w:val="32"/>
          <w:szCs w:val="32"/>
          <w:lang w:val="en-US" w:bidi="ar-SA"/>
        </w:rPr>
      </w:pPr>
      <w:r>
        <w:rPr>
          <w:rFonts w:ascii="仿宋_GB2312" w:eastAsia="仿宋_GB2312" w:hAnsi="仿宋_GB2312" w:cs="仿宋_GB2312" w:hint="eastAsia"/>
          <w:sz w:val="32"/>
          <w:szCs w:val="32"/>
          <w:lang w:val="en-US" w:bidi="ar-SA"/>
        </w:rPr>
        <w:t>国网数字科技控股有限公司</w:t>
      </w:r>
    </w:p>
    <w:p w:rsidR="006F0537" w:rsidRDefault="00950D8B">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办：中国能源研究会人工智能技术专业委员会</w:t>
      </w:r>
    </w:p>
    <w:p w:rsidR="006F0537" w:rsidRDefault="00950D8B">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中国电机工程学会人工智能专业委员会</w:t>
      </w:r>
    </w:p>
    <w:p w:rsidR="006F0537" w:rsidRDefault="00950D8B">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中国能源研究会青年工作委员会</w:t>
      </w:r>
    </w:p>
    <w:p w:rsidR="006F0537" w:rsidRDefault="00950D8B">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中国能源研究会信息通信专业委员会</w:t>
      </w:r>
    </w:p>
    <w:p w:rsidR="006F0537" w:rsidRDefault="00950D8B">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中国能源研究会能源数字经济专业委员会</w:t>
      </w:r>
    </w:p>
    <w:p w:rsidR="006F0537" w:rsidRDefault="00950D8B">
      <w:pPr>
        <w:pStyle w:val="ac"/>
        <w:widowControl/>
        <w:spacing w:beforeAutospacing="0" w:afterAutospacing="0"/>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中能国研（北京）电力科学研究院</w:t>
      </w:r>
    </w:p>
    <w:p w:rsidR="006F0537" w:rsidRDefault="00950D8B">
      <w:pPr>
        <w:pStyle w:val="ac"/>
        <w:widowControl/>
        <w:numPr>
          <w:ilvl w:val="0"/>
          <w:numId w:val="5"/>
        </w:numPr>
        <w:spacing w:beforeAutospacing="0" w:afterAutospacing="0"/>
        <w:rPr>
          <w:rStyle w:val="af"/>
          <w:rFonts w:ascii="黑体" w:eastAsia="黑体" w:hAnsi="黑体" w:cs="黑体"/>
          <w:b w:val="0"/>
          <w:bCs/>
          <w:sz w:val="32"/>
          <w:szCs w:val="32"/>
        </w:rPr>
      </w:pPr>
      <w:r>
        <w:rPr>
          <w:rStyle w:val="af"/>
          <w:rFonts w:ascii="黑体" w:eastAsia="黑体" w:hAnsi="黑体" w:cs="黑体" w:hint="eastAsia"/>
          <w:b w:val="0"/>
          <w:bCs/>
          <w:sz w:val="32"/>
          <w:szCs w:val="32"/>
        </w:rPr>
        <w:t>赛事内容</w:t>
      </w:r>
    </w:p>
    <w:p w:rsidR="006F0537" w:rsidRDefault="00950D8B">
      <w:pPr>
        <w:pStyle w:val="ac"/>
        <w:widowControl/>
        <w:numPr>
          <w:ilvl w:val="0"/>
          <w:numId w:val="6"/>
        </w:numPr>
        <w:spacing w:beforeAutospacing="0" w:afterAutospacing="0"/>
        <w:rPr>
          <w:rFonts w:ascii="仿宋_GB2312" w:eastAsia="仿宋_GB2312" w:hAnsi="仿宋_GB2312" w:cs="仿宋_GB2312"/>
          <w:spacing w:val="19"/>
          <w:sz w:val="32"/>
          <w:szCs w:val="32"/>
        </w:rPr>
      </w:pPr>
      <w:r>
        <w:rPr>
          <w:rFonts w:ascii="仿宋_GB2312" w:eastAsia="仿宋_GB2312" w:hAnsi="仿宋_GB2312" w:cs="仿宋_GB2312" w:hint="eastAsia"/>
          <w:spacing w:val="19"/>
          <w:sz w:val="32"/>
          <w:szCs w:val="32"/>
        </w:rPr>
        <w:t>算法赛</w:t>
      </w:r>
    </w:p>
    <w:p w:rsidR="006F0537" w:rsidRDefault="00950D8B">
      <w:pPr>
        <w:pStyle w:val="ac"/>
        <w:widowControl/>
        <w:spacing w:beforeAutospacing="0" w:afterAutospacing="0"/>
        <w:ind w:firstLineChars="200" w:firstLine="640"/>
        <w:rPr>
          <w:rFonts w:ascii="仿宋_GB2312" w:eastAsia="仿宋_GB2312" w:hAnsi="仿宋_GB2312" w:cs="仿宋_GB2312"/>
          <w:spacing w:val="19"/>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人工智能的电力系统智能调度决策模型</w:t>
      </w:r>
    </w:p>
    <w:p w:rsidR="006F0537" w:rsidRDefault="00950D8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以实现电力系统新能源消纳最大、系统供电可靠、系统运行成本最低目标，应用电力系统设备数据、状态数据、预测数据，基于人工智能技术，构建适用于不同拓扑、源荷运行场景的电力系统智能调度智能决策模型。在提高求解速度</w:t>
      </w:r>
      <w:r>
        <w:rPr>
          <w:rFonts w:ascii="仿宋_GB2312" w:eastAsia="仿宋_GB2312" w:hAnsi="宋体" w:hint="eastAsia"/>
          <w:sz w:val="32"/>
          <w:szCs w:val="32"/>
        </w:rPr>
        <w:lastRenderedPageBreak/>
        <w:t>的同时，保证求解策略的可行性、安全性。</w:t>
      </w:r>
    </w:p>
    <w:p w:rsidR="006F0537" w:rsidRDefault="00950D8B">
      <w:pPr>
        <w:pStyle w:val="ac"/>
        <w:widowControl/>
        <w:spacing w:beforeAutospacing="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基于多模态大模型的电力现场安监管控竞赛</w:t>
      </w:r>
    </w:p>
    <w:p w:rsidR="006F0537" w:rsidRDefault="00950D8B">
      <w:pPr>
        <w:pStyle w:val="ac"/>
        <w:widowControl/>
        <w:spacing w:beforeAutospacing="0" w:afterAutospacing="0"/>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围绕电力安监、基建现场作业环境及视频智能监督需求，针对电力场景下典型违章和风险点辨识，包括：高处作业未佩戴安全带、穿越围栏等多个具体场景，采用多模态大模型进行电力现场安监管控，突破传统模型在安监管控场景下的精度不高的问题，形成安监管控大模型技术创新应用方案，大幅度降低电网安全生产风险，有效保障电网的安全生产与稳定运行。</w:t>
      </w:r>
    </w:p>
    <w:p w:rsidR="006F0537" w:rsidRDefault="00950D8B">
      <w:pPr>
        <w:pStyle w:val="ac"/>
        <w:widowControl/>
        <w:spacing w:beforeAutospacing="0" w:afterAutospacing="0"/>
        <w:ind w:firstLineChars="200" w:firstLine="716"/>
        <w:rPr>
          <w:rFonts w:ascii="仿宋_GB2312" w:eastAsia="仿宋_GB2312" w:hAnsi="仿宋_GB2312" w:cs="仿宋_GB2312"/>
          <w:spacing w:val="19"/>
          <w:sz w:val="32"/>
          <w:szCs w:val="32"/>
        </w:rPr>
      </w:pPr>
      <w:r>
        <w:rPr>
          <w:rFonts w:ascii="仿宋_GB2312" w:eastAsia="仿宋_GB2312" w:hAnsi="仿宋_GB2312" w:cs="仿宋_GB2312" w:hint="eastAsia"/>
          <w:spacing w:val="19"/>
          <w:sz w:val="32"/>
          <w:szCs w:val="32"/>
        </w:rPr>
        <w:t>3.</w:t>
      </w:r>
      <w:r>
        <w:rPr>
          <w:rFonts w:ascii="仿宋_GB2312" w:eastAsia="仿宋_GB2312" w:hAnsi="仿宋_GB2312" w:cs="仿宋_GB2312" w:hint="eastAsia"/>
          <w:spacing w:val="19"/>
          <w:sz w:val="32"/>
          <w:szCs w:val="32"/>
        </w:rPr>
        <w:t>风电场功率预测建模与多实景验证</w:t>
      </w:r>
    </w:p>
    <w:p w:rsidR="006F0537" w:rsidRDefault="00950D8B">
      <w:pPr>
        <w:ind w:firstLineChars="200" w:firstLine="640"/>
        <w:rPr>
          <w:rFonts w:ascii="仿宋_GB2312" w:eastAsia="仿宋_GB2312" w:hAnsi="宋体"/>
          <w:kern w:val="0"/>
          <w:sz w:val="32"/>
          <w:szCs w:val="32"/>
        </w:rPr>
      </w:pPr>
      <w:r>
        <w:rPr>
          <w:rFonts w:ascii="仿宋_GB2312" w:eastAsia="仿宋_GB2312" w:hAnsi="宋体" w:hint="eastAsia"/>
          <w:sz w:val="32"/>
          <w:szCs w:val="32"/>
        </w:rPr>
        <w:t>本赛题以风电场群实际运行数据为基础，参赛队需运用数据分析和人工智能算法等技术手段，根据主办方提供的气象预报数据</w:t>
      </w:r>
      <w:r>
        <w:rPr>
          <w:rFonts w:ascii="仿宋_GB2312" w:eastAsia="仿宋_GB2312" w:hAnsi="宋体" w:hint="eastAsia"/>
          <w:sz w:val="32"/>
          <w:szCs w:val="32"/>
        </w:rPr>
        <w:t>、实测数据、风电场出力、风电机组数据等多种类型数据，构建准确的风电功率预测模型，对该区域内多个风电场站短期发电功率进行预测。</w:t>
      </w:r>
    </w:p>
    <w:p w:rsidR="006F0537" w:rsidRDefault="00950D8B">
      <w:pPr>
        <w:ind w:firstLineChars="200" w:firstLine="640"/>
        <w:rPr>
          <w:rFonts w:ascii="仿宋_GB2312" w:eastAsia="仿宋_GB2312" w:hAnsi="宋体"/>
          <w:kern w:val="0"/>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kern w:val="0"/>
          <w:sz w:val="32"/>
          <w:szCs w:val="32"/>
        </w:rPr>
        <w:t>算法赛事的内容和要求，各参赛单位在部署计算平台并进行适配性调整，包括计算资源分配、视频流对接、可视化展示和用户配置等。各参赛单位可自行对数据样本进行整理和二次标注。</w:t>
      </w:r>
    </w:p>
    <w:p w:rsidR="006F0537" w:rsidRDefault="00950D8B">
      <w:pPr>
        <w:pStyle w:val="ac"/>
        <w:widowControl/>
        <w:numPr>
          <w:ilvl w:val="0"/>
          <w:numId w:val="6"/>
        </w:numPr>
        <w:spacing w:beforeAutospacing="0" w:afterAutospacing="0"/>
        <w:rPr>
          <w:rFonts w:ascii="仿宋_GB2312" w:eastAsia="仿宋_GB2312" w:hAnsi="仿宋_GB2312" w:cs="仿宋_GB2312"/>
          <w:sz w:val="32"/>
          <w:szCs w:val="32"/>
        </w:rPr>
      </w:pPr>
      <w:r>
        <w:rPr>
          <w:rFonts w:ascii="仿宋_GB2312" w:eastAsia="仿宋_GB2312" w:hAnsi="仿宋_GB2312" w:cs="仿宋_GB2312" w:hint="eastAsia"/>
          <w:sz w:val="32"/>
          <w:szCs w:val="32"/>
        </w:rPr>
        <w:t>方案赛</w:t>
      </w:r>
    </w:p>
    <w:p w:rsidR="006F0537" w:rsidRDefault="00950D8B">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方案赛旨在发掘具有创新性、实用性、可复制性和可推广性的人工智能技术创新应用方案，展示能源企业人工智能</w:t>
      </w:r>
      <w:r>
        <w:rPr>
          <w:rFonts w:ascii="仿宋_GB2312" w:eastAsia="仿宋_GB2312" w:hAnsi="仿宋_GB2312" w:cs="仿宋_GB2312" w:hint="eastAsia"/>
          <w:kern w:val="0"/>
          <w:sz w:val="32"/>
          <w:szCs w:val="32"/>
        </w:rPr>
        <w:lastRenderedPageBreak/>
        <w:t>技术最新成果，为新型能源体系发展提供有力支撑。</w:t>
      </w:r>
      <w:r>
        <w:rPr>
          <w:rFonts w:ascii="仿宋_GB2312" w:eastAsia="仿宋_GB2312" w:hAnsi="仿宋_GB2312" w:cs="仿宋_GB2312" w:hint="eastAsia"/>
          <w:color w:val="000000"/>
          <w:sz w:val="32"/>
          <w:szCs w:val="32"/>
        </w:rPr>
        <w:t>赛题方向包括大模型生成、自然语言处理</w:t>
      </w:r>
      <w:r>
        <w:rPr>
          <w:rFonts w:ascii="仿宋_GB2312" w:eastAsia="仿宋_GB2312" w:hAnsi="仿宋_GB2312" w:cs="仿宋_GB2312" w:hint="eastAsia"/>
          <w:color w:val="000000"/>
          <w:sz w:val="32"/>
          <w:szCs w:val="32"/>
        </w:rPr>
        <w:t>NLP</w:t>
      </w:r>
      <w:r>
        <w:rPr>
          <w:rFonts w:ascii="仿宋_GB2312" w:eastAsia="仿宋_GB2312" w:hAnsi="仿宋_GB2312" w:cs="仿宋_GB2312" w:hint="eastAsia"/>
          <w:color w:val="000000"/>
          <w:sz w:val="32"/>
          <w:szCs w:val="32"/>
        </w:rPr>
        <w:t>、知识图谱、多模态、语言识别等人工智能技术在发电、调度、输电、变电、配电、用电、营销、管理、基建、油气、煤炭等领域创新应用。具体包括且不限于：</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能源电力生产环境类</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）智慧场站：可基于计算机视觉、自然语言处理或知识图谱等相关算法结合风电、光伏、水电、火电等实际场站业务开展应用成果类竞赛；</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）智能调度：如融合知识和数据的调度机器人，基于知识图谱建设的智能辅助决策应用，基于机器学习的新能源功率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负荷预测系统等；</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）智能安监：如作业安全识别，故障点识别。</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）智慧新能源：如虚拟电厂、动态微网、水电站在线监测、新能源咨询识别；</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）工业机器人：如智能巡视、智能巡检机器人等。</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）智慧油气田：勘探规划、地质研究、探勘部署、石油工程、圈闭储量管理、油气藏评价、开发方案设计、产能建设、生产监测与优化智能应用场景人工智能技术；</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能源电力运营类应用</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）新能源电力市场分析：根据电力市场中的交易模式、电价体系、交易类型、竞争与监管等内容，分析电力市</w:t>
      </w:r>
      <w:r>
        <w:rPr>
          <w:rFonts w:ascii="仿宋_GB2312" w:eastAsia="仿宋_GB2312" w:hAnsi="仿宋_GB2312" w:cs="仿宋_GB2312" w:hint="eastAsia"/>
          <w:kern w:val="0"/>
          <w:sz w:val="32"/>
          <w:szCs w:val="32"/>
        </w:rPr>
        <w:lastRenderedPageBreak/>
        <w:t>场运营系统的总体结构，在新型电力系统建设时期，电力交易的转型与特征分析；</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）财务领域：如基于</w:t>
      </w:r>
      <w:r>
        <w:rPr>
          <w:rFonts w:ascii="仿宋_GB2312" w:eastAsia="仿宋_GB2312" w:hAnsi="仿宋_GB2312" w:cs="仿宋_GB2312" w:hint="eastAsia"/>
          <w:kern w:val="0"/>
          <w:sz w:val="32"/>
          <w:szCs w:val="32"/>
        </w:rPr>
        <w:t>OCR</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RPA</w:t>
      </w:r>
      <w:r>
        <w:rPr>
          <w:rFonts w:ascii="仿宋_GB2312" w:eastAsia="仿宋_GB2312" w:hAnsi="仿宋_GB2312" w:cs="仿宋_GB2312" w:hint="eastAsia"/>
          <w:kern w:val="0"/>
          <w:sz w:val="32"/>
          <w:szCs w:val="32"/>
        </w:rPr>
        <w:t>的票据识别和财务流程自动化等；</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）舆情管理：如基于自然语言处理的融媒体舆情识别等；</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）智能审计：如基于自然语言处理的审计文档关键信息抽取和文档结构化等；</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）智能办公：如基于自然语言处理的科技项目查重，智能公文写作等。</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客户服务应用</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）智能客服：如基于语音识别和自然语言理解的智能客服系统在电话客服、在线客服和营业厅智能客服场景中的应用，基于知识图谱的电力营销知识服务等；</w:t>
      </w:r>
    </w:p>
    <w:p w:rsidR="006F0537" w:rsidRDefault="00950D8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）用电行为分析：如基于数据分析的智能反窃电等。</w:t>
      </w:r>
    </w:p>
    <w:p w:rsidR="006F0537" w:rsidRDefault="00950D8B">
      <w:pPr>
        <w:pStyle w:val="a0"/>
        <w:ind w:firstLineChars="200" w:firstLine="640"/>
        <w:rPr>
          <w:rFonts w:ascii="仿宋_GB2312" w:eastAsia="仿宋_GB2312" w:hAnsi="仿宋_GB2312" w:cs="仿宋_GB2312"/>
          <w:kern w:val="0"/>
          <w:sz w:val="32"/>
          <w:szCs w:val="32"/>
          <w:lang w:val="en-US"/>
        </w:rPr>
      </w:pPr>
      <w:r>
        <w:rPr>
          <w:rFonts w:ascii="仿宋_GB2312" w:eastAsia="仿宋_GB2312" w:hAnsi="仿宋_GB2312" w:cs="仿宋_GB2312" w:hint="eastAsia"/>
          <w:kern w:val="0"/>
          <w:sz w:val="32"/>
          <w:szCs w:val="32"/>
          <w:lang w:val="en-US"/>
        </w:rPr>
        <w:t>4.</w:t>
      </w:r>
      <w:r>
        <w:rPr>
          <w:rFonts w:ascii="仿宋_GB2312" w:eastAsia="仿宋_GB2312" w:hAnsi="仿宋_GB2312" w:cs="仿宋_GB2312" w:hint="eastAsia"/>
          <w:kern w:val="0"/>
          <w:sz w:val="32"/>
          <w:szCs w:val="32"/>
          <w:lang w:val="en-US"/>
        </w:rPr>
        <w:t>大模型融合</w:t>
      </w:r>
    </w:p>
    <w:p w:rsidR="006F0537" w:rsidRDefault="00950D8B">
      <w:pPr>
        <w:pStyle w:val="a0"/>
        <w:ind w:firstLineChars="200" w:firstLine="640"/>
        <w:rPr>
          <w:rFonts w:ascii="仿宋_GB2312" w:eastAsia="仿宋_GB2312" w:hAnsi="仿宋_GB2312" w:cs="仿宋_GB2312"/>
          <w:kern w:val="0"/>
          <w:sz w:val="32"/>
          <w:szCs w:val="32"/>
          <w:lang w:val="en-US"/>
        </w:rPr>
      </w:pPr>
      <w:r>
        <w:rPr>
          <w:rFonts w:ascii="仿宋_GB2312" w:eastAsia="仿宋_GB2312" w:hAnsi="仿宋_GB2312" w:cs="仿宋_GB2312" w:hint="eastAsia"/>
          <w:kern w:val="0"/>
          <w:sz w:val="32"/>
          <w:szCs w:val="32"/>
          <w:lang w:val="en-US"/>
        </w:rPr>
        <w:t>（</w:t>
      </w:r>
      <w:r>
        <w:rPr>
          <w:rFonts w:ascii="仿宋_GB2312" w:eastAsia="仿宋_GB2312" w:hAnsi="仿宋_GB2312" w:cs="仿宋_GB2312" w:hint="eastAsia"/>
          <w:kern w:val="0"/>
          <w:sz w:val="32"/>
          <w:szCs w:val="32"/>
          <w:lang w:val="en-US"/>
        </w:rPr>
        <w:t>1</w:t>
      </w:r>
      <w:r>
        <w:rPr>
          <w:rFonts w:ascii="仿宋_GB2312" w:eastAsia="仿宋_GB2312" w:hAnsi="仿宋_GB2312" w:cs="仿宋_GB2312" w:hint="eastAsia"/>
          <w:kern w:val="0"/>
          <w:sz w:val="32"/>
          <w:szCs w:val="32"/>
          <w:lang w:val="en-US"/>
        </w:rPr>
        <w:t>）样本数据治</w:t>
      </w:r>
      <w:r>
        <w:rPr>
          <w:rFonts w:ascii="仿宋_GB2312" w:eastAsia="仿宋_GB2312" w:hAnsi="仿宋_GB2312" w:cs="仿宋_GB2312" w:hint="eastAsia"/>
          <w:kern w:val="0"/>
          <w:sz w:val="32"/>
          <w:szCs w:val="32"/>
          <w:lang w:val="en-US"/>
        </w:rPr>
        <w:t>理：如构建半自动化、自动化的数据标注系统；结合机器学习技术自动生成和更新元数据，强化数据资产的可视化和管理；利用预测模型预测数据质量问题，主动介入治理过程；利用检索增强技术来获取有价值的关键知识，减少大模型幻觉对任务性能的影响等。</w:t>
      </w:r>
    </w:p>
    <w:p w:rsidR="006F0537" w:rsidRDefault="00950D8B">
      <w:pPr>
        <w:pStyle w:val="a0"/>
        <w:ind w:firstLineChars="200" w:firstLine="640"/>
        <w:rPr>
          <w:rFonts w:ascii="仿宋_GB2312" w:eastAsia="仿宋_GB2312" w:hAnsi="仿宋_GB2312" w:cs="仿宋_GB2312"/>
          <w:kern w:val="0"/>
          <w:sz w:val="32"/>
          <w:szCs w:val="32"/>
          <w:lang w:val="en-US"/>
        </w:rPr>
      </w:pPr>
      <w:r>
        <w:rPr>
          <w:rFonts w:ascii="仿宋_GB2312" w:eastAsia="仿宋_GB2312" w:hAnsi="仿宋_GB2312" w:cs="仿宋_GB2312" w:hint="eastAsia"/>
          <w:kern w:val="0"/>
          <w:sz w:val="32"/>
          <w:szCs w:val="32"/>
          <w:lang w:val="en-US"/>
        </w:rPr>
        <w:t>（</w:t>
      </w:r>
      <w:r>
        <w:rPr>
          <w:rFonts w:ascii="仿宋_GB2312" w:eastAsia="仿宋_GB2312" w:hAnsi="仿宋_GB2312" w:cs="仿宋_GB2312" w:hint="eastAsia"/>
          <w:kern w:val="0"/>
          <w:sz w:val="32"/>
          <w:szCs w:val="32"/>
          <w:lang w:val="en-US"/>
        </w:rPr>
        <w:t>2</w:t>
      </w:r>
      <w:r>
        <w:rPr>
          <w:rFonts w:ascii="仿宋_GB2312" w:eastAsia="仿宋_GB2312" w:hAnsi="仿宋_GB2312" w:cs="仿宋_GB2312" w:hint="eastAsia"/>
          <w:kern w:val="0"/>
          <w:sz w:val="32"/>
          <w:szCs w:val="32"/>
          <w:lang w:val="en-US"/>
        </w:rPr>
        <w:t>）模型综合能力评估：如向量表征能力、大小模型</w:t>
      </w:r>
      <w:r>
        <w:rPr>
          <w:rFonts w:ascii="仿宋_GB2312" w:eastAsia="仿宋_GB2312" w:hAnsi="仿宋_GB2312" w:cs="仿宋_GB2312" w:hint="eastAsia"/>
          <w:kern w:val="0"/>
          <w:sz w:val="32"/>
          <w:szCs w:val="32"/>
          <w:lang w:val="en-US"/>
        </w:rPr>
        <w:lastRenderedPageBreak/>
        <w:t>融合应用、复杂场景编排能力、大模型自迭代、模型运营管理、大模型越狱攻击及防范等。</w:t>
      </w:r>
    </w:p>
    <w:p w:rsidR="006F0537" w:rsidRDefault="00950D8B">
      <w:pPr>
        <w:pStyle w:val="a0"/>
        <w:ind w:firstLineChars="200" w:firstLine="640"/>
        <w:rPr>
          <w:rFonts w:ascii="仿宋_GB2312" w:eastAsia="仿宋_GB2312" w:hAnsi="仿宋_GB2312" w:cs="仿宋_GB2312"/>
          <w:kern w:val="0"/>
          <w:sz w:val="32"/>
          <w:szCs w:val="32"/>
          <w:lang w:val="en-US"/>
        </w:rPr>
      </w:pPr>
      <w:r>
        <w:rPr>
          <w:rFonts w:ascii="仿宋_GB2312" w:eastAsia="仿宋_GB2312" w:hAnsi="仿宋_GB2312" w:cs="仿宋_GB2312" w:hint="eastAsia"/>
          <w:kern w:val="0"/>
          <w:sz w:val="32"/>
          <w:szCs w:val="32"/>
          <w:lang w:val="en-US"/>
        </w:rPr>
        <w:t>（</w:t>
      </w:r>
      <w:r>
        <w:rPr>
          <w:rFonts w:ascii="仿宋_GB2312" w:eastAsia="仿宋_GB2312" w:hAnsi="仿宋_GB2312" w:cs="仿宋_GB2312"/>
          <w:kern w:val="0"/>
          <w:sz w:val="32"/>
          <w:szCs w:val="32"/>
          <w:lang w:val="en-US"/>
        </w:rPr>
        <w:t>3</w:t>
      </w:r>
      <w:r>
        <w:rPr>
          <w:rFonts w:ascii="仿宋_GB2312" w:eastAsia="仿宋_GB2312" w:hAnsi="仿宋_GB2312" w:cs="仿宋_GB2312" w:hint="eastAsia"/>
          <w:kern w:val="0"/>
          <w:sz w:val="32"/>
          <w:szCs w:val="32"/>
          <w:lang w:val="en-US"/>
        </w:rPr>
        <w:t>）</w:t>
      </w:r>
      <w:r>
        <w:rPr>
          <w:rFonts w:ascii="仿宋_GB2312" w:eastAsia="仿宋_GB2312" w:hAnsi="仿宋_GB2312" w:cs="仿宋_GB2312"/>
          <w:kern w:val="0"/>
          <w:sz w:val="32"/>
          <w:szCs w:val="32"/>
          <w:lang w:val="en-US"/>
        </w:rPr>
        <w:t>敏感数据泄露检测及隐私保护：如评估和量化私密训练数据的泄露风险概率；结合成员推理攻击技术推断并保护预训练数据集中的敏感数据信息；利用提示工程及微</w:t>
      </w:r>
      <w:r>
        <w:rPr>
          <w:rFonts w:ascii="仿宋_GB2312" w:eastAsia="仿宋_GB2312" w:hAnsi="仿宋_GB2312" w:cs="仿宋_GB2312"/>
          <w:kern w:val="0"/>
          <w:sz w:val="32"/>
          <w:szCs w:val="32"/>
          <w:lang w:val="en-US"/>
        </w:rPr>
        <w:t>调策略等技术防范大模型中隐私数据的泄露等。</w:t>
      </w:r>
    </w:p>
    <w:p w:rsidR="006F0537" w:rsidRDefault="00950D8B">
      <w:pPr>
        <w:pStyle w:val="ac"/>
        <w:widowControl/>
        <w:numPr>
          <w:ilvl w:val="0"/>
          <w:numId w:val="5"/>
        </w:numPr>
        <w:spacing w:beforeAutospacing="0" w:afterAutospacing="0"/>
        <w:rPr>
          <w:rStyle w:val="af"/>
          <w:rFonts w:ascii="黑体" w:eastAsia="黑体" w:hAnsi="黑体" w:cs="黑体"/>
          <w:b w:val="0"/>
          <w:bCs/>
          <w:sz w:val="32"/>
          <w:szCs w:val="32"/>
        </w:rPr>
      </w:pPr>
      <w:r>
        <w:rPr>
          <w:rStyle w:val="af"/>
          <w:rFonts w:ascii="黑体" w:eastAsia="黑体" w:hAnsi="黑体" w:cs="黑体" w:hint="eastAsia"/>
          <w:b w:val="0"/>
          <w:bCs/>
          <w:sz w:val="32"/>
          <w:szCs w:val="32"/>
        </w:rPr>
        <w:t>证书设置</w:t>
      </w:r>
    </w:p>
    <w:p w:rsidR="006F0537" w:rsidRDefault="00950D8B">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（一）团队证书</w:t>
      </w:r>
    </w:p>
    <w:p w:rsidR="006F0537" w:rsidRDefault="00950D8B">
      <w:pPr>
        <w:ind w:firstLineChars="200" w:firstLine="640"/>
        <w:rPr>
          <w:rStyle w:val="af"/>
          <w:rFonts w:ascii="黑体" w:eastAsia="黑体" w:hAnsi="黑体" w:cs="黑体"/>
          <w:b w:val="0"/>
          <w:bCs/>
          <w:sz w:val="32"/>
          <w:szCs w:val="32"/>
        </w:rPr>
      </w:pPr>
      <w:r>
        <w:rPr>
          <w:rFonts w:ascii="仿宋_GB2312" w:eastAsia="仿宋_GB2312" w:hAnsi="宋体" w:hint="eastAsia"/>
          <w:sz w:val="32"/>
          <w:szCs w:val="32"/>
        </w:rPr>
        <w:t>证书按赛题赛道独立设置。按晋级原则进入决赛的团队，决赛时按最终得分从高到低对各参赛队进行排名。</w:t>
      </w:r>
    </w:p>
    <w:p w:rsidR="006F0537" w:rsidRDefault="00950D8B">
      <w:pPr>
        <w:ind w:firstLineChars="200" w:firstLine="640"/>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每赛道在决赛中取得综合成绩排名前十的团队将获得卓越技能团队证书，未获得卓越技能团队证书的选手将获得优秀团队技能证书。</w:t>
      </w:r>
    </w:p>
    <w:p w:rsidR="006F0537" w:rsidRDefault="00950D8B">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（二）突出贡献单位</w:t>
      </w:r>
    </w:p>
    <w:p w:rsidR="006F0537" w:rsidRDefault="00950D8B">
      <w:pPr>
        <w:ind w:firstLineChars="200" w:firstLine="640"/>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对大赛组织做出突出贡献单位颁发突出贡献单位证书。</w:t>
      </w:r>
    </w:p>
    <w:p w:rsidR="006F0537" w:rsidRDefault="00950D8B">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（三）突出贡献个人</w:t>
      </w:r>
    </w:p>
    <w:p w:rsidR="006F0537" w:rsidRDefault="00950D8B">
      <w:pPr>
        <w:ind w:firstLineChars="200" w:firstLine="640"/>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对大赛组织做出突出贡献专家颁发突出贡献个人证书。</w:t>
      </w:r>
    </w:p>
    <w:p w:rsidR="006F0537" w:rsidRDefault="00950D8B">
      <w:pPr>
        <w:pStyle w:val="ac"/>
        <w:widowControl/>
        <w:numPr>
          <w:ilvl w:val="0"/>
          <w:numId w:val="5"/>
        </w:numPr>
        <w:spacing w:beforeAutospacing="0" w:afterAutospacing="0"/>
        <w:rPr>
          <w:rStyle w:val="af"/>
          <w:rFonts w:ascii="黑体" w:eastAsia="黑体" w:hAnsi="黑体" w:cs="黑体"/>
          <w:b w:val="0"/>
          <w:bCs/>
          <w:sz w:val="32"/>
          <w:szCs w:val="32"/>
        </w:rPr>
      </w:pPr>
      <w:r>
        <w:rPr>
          <w:rStyle w:val="af"/>
          <w:rFonts w:ascii="黑体" w:eastAsia="黑体" w:hAnsi="黑体" w:cs="黑体" w:hint="eastAsia"/>
          <w:b w:val="0"/>
          <w:bCs/>
          <w:sz w:val="32"/>
          <w:szCs w:val="32"/>
        </w:rPr>
        <w:t>成果应用</w:t>
      </w:r>
    </w:p>
    <w:p w:rsidR="006F0537" w:rsidRDefault="00950D8B">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（一）算法赛将在实际应用场景中及时取得应证；</w:t>
      </w:r>
    </w:p>
    <w:p w:rsidR="006F0537" w:rsidRDefault="00950D8B">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（二）收录于</w:t>
      </w:r>
      <w:r>
        <w:rPr>
          <w:rFonts w:ascii="仿宋_GB2312" w:eastAsia="仿宋_GB2312" w:hAnsi="仿宋_GB2312" w:cs="仿宋_GB2312" w:hint="eastAsia"/>
          <w:snapToGrid w:val="0"/>
          <w:color w:val="000000"/>
          <w:sz w:val="32"/>
          <w:szCs w:val="32"/>
        </w:rPr>
        <w:t>2024</w:t>
      </w:r>
      <w:r>
        <w:rPr>
          <w:rFonts w:ascii="仿宋_GB2312" w:eastAsia="仿宋_GB2312" w:hAnsi="仿宋_GB2312" w:cs="仿宋_GB2312" w:hint="eastAsia"/>
          <w:snapToGrid w:val="0"/>
          <w:color w:val="000000"/>
          <w:sz w:val="32"/>
          <w:szCs w:val="32"/>
        </w:rPr>
        <w:t>年能源人工智能的卓越案例及突出组织单位名单，将获颁证书；</w:t>
      </w:r>
      <w:r>
        <w:rPr>
          <w:rFonts w:ascii="仿宋_GB2312" w:eastAsia="仿宋_GB2312" w:hAnsi="仿宋_GB2312" w:cs="仿宋_GB2312" w:hint="eastAsia"/>
          <w:snapToGrid w:val="0"/>
          <w:color w:val="000000"/>
          <w:sz w:val="32"/>
          <w:szCs w:val="32"/>
        </w:rPr>
        <w:t xml:space="preserve"> </w:t>
      </w:r>
    </w:p>
    <w:p w:rsidR="006F0537" w:rsidRDefault="00950D8B">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lastRenderedPageBreak/>
        <w:t>（三）部分卓越及优秀案例收录于《能源人工智能技术创新应用案例汇编</w:t>
      </w:r>
      <w:r>
        <w:rPr>
          <w:rFonts w:ascii="仿宋_GB2312" w:eastAsia="仿宋_GB2312" w:hAnsi="仿宋_GB2312" w:cs="仿宋_GB2312" w:hint="eastAsia"/>
          <w:snapToGrid w:val="0"/>
          <w:color w:val="000000"/>
          <w:sz w:val="32"/>
          <w:szCs w:val="32"/>
        </w:rPr>
        <w:t xml:space="preserve"> (2024)</w:t>
      </w:r>
      <w:r>
        <w:rPr>
          <w:rFonts w:ascii="仿宋_GB2312" w:eastAsia="仿宋_GB2312" w:hAnsi="仿宋_GB2312" w:cs="仿宋_GB2312" w:hint="eastAsia"/>
          <w:snapToGrid w:val="0"/>
          <w:color w:val="000000"/>
          <w:sz w:val="32"/>
          <w:szCs w:val="32"/>
        </w:rPr>
        <w:t>》；</w:t>
      </w:r>
      <w:r>
        <w:rPr>
          <w:rFonts w:ascii="仿宋_GB2312" w:eastAsia="仿宋_GB2312" w:hAnsi="仿宋_GB2312" w:cs="仿宋_GB2312" w:hint="eastAsia"/>
          <w:snapToGrid w:val="0"/>
          <w:color w:val="000000"/>
          <w:sz w:val="32"/>
          <w:szCs w:val="32"/>
        </w:rPr>
        <w:t xml:space="preserve"> </w:t>
      </w:r>
    </w:p>
    <w:p w:rsidR="006F0537" w:rsidRDefault="00950D8B">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（四）案例申报及参与单位将优先受邀参加</w:t>
      </w:r>
      <w:r>
        <w:rPr>
          <w:rFonts w:ascii="仿宋_GB2312" w:eastAsia="仿宋_GB2312" w:hAnsi="仿宋_GB2312" w:cs="仿宋_GB2312" w:hint="eastAsia"/>
          <w:snapToGrid w:val="0"/>
          <w:color w:val="000000"/>
          <w:sz w:val="32"/>
          <w:szCs w:val="32"/>
        </w:rPr>
        <w:t>2024</w:t>
      </w:r>
      <w:r>
        <w:rPr>
          <w:rFonts w:ascii="仿宋_GB2312" w:eastAsia="仿宋_GB2312" w:hAnsi="仿宋_GB2312" w:cs="仿宋_GB2312" w:hint="eastAsia"/>
          <w:snapToGrid w:val="0"/>
          <w:color w:val="000000"/>
          <w:sz w:val="32"/>
          <w:szCs w:val="32"/>
        </w:rPr>
        <w:t>年能源行业人工智能应用大赛暨新技术大会；</w:t>
      </w:r>
      <w:r>
        <w:rPr>
          <w:rFonts w:ascii="仿宋_GB2312" w:eastAsia="仿宋_GB2312" w:hAnsi="仿宋_GB2312" w:cs="仿宋_GB2312" w:hint="eastAsia"/>
          <w:snapToGrid w:val="0"/>
          <w:color w:val="000000"/>
          <w:sz w:val="32"/>
          <w:szCs w:val="32"/>
        </w:rPr>
        <w:t xml:space="preserve"> </w:t>
      </w:r>
    </w:p>
    <w:p w:rsidR="006F0537" w:rsidRDefault="00950D8B">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（五）遴选部分卓越及优秀案例将通过网站、微信公众号等媒体推广宣传；</w:t>
      </w:r>
      <w:r>
        <w:rPr>
          <w:rFonts w:ascii="仿宋_GB2312" w:eastAsia="仿宋_GB2312" w:hAnsi="仿宋_GB2312" w:cs="仿宋_GB2312" w:hint="eastAsia"/>
          <w:snapToGrid w:val="0"/>
          <w:color w:val="000000"/>
          <w:sz w:val="32"/>
          <w:szCs w:val="32"/>
        </w:rPr>
        <w:t xml:space="preserve"> </w:t>
      </w:r>
    </w:p>
    <w:p w:rsidR="006F0537" w:rsidRDefault="00950D8B">
      <w:pPr>
        <w:widowControl/>
        <w:spacing w:line="360" w:lineRule="auto"/>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（六）遴选部分卓越案例推荐参加能源创新奖评选；</w:t>
      </w:r>
      <w:r>
        <w:rPr>
          <w:rFonts w:ascii="仿宋_GB2312" w:eastAsia="仿宋_GB2312" w:hAnsi="仿宋_GB2312" w:cs="仿宋_GB2312" w:hint="eastAsia"/>
          <w:snapToGrid w:val="0"/>
          <w:color w:val="000000"/>
          <w:sz w:val="32"/>
          <w:szCs w:val="32"/>
        </w:rPr>
        <w:t xml:space="preserve"> </w:t>
      </w:r>
    </w:p>
    <w:p w:rsidR="006F0537" w:rsidRDefault="00950D8B" w:rsidP="00D41FAF">
      <w:pPr>
        <w:pStyle w:val="ac"/>
        <w:widowControl/>
        <w:spacing w:beforeAutospacing="0" w:afterAutospacing="0"/>
        <w:rPr>
          <w:rFonts w:hint="eastAsia"/>
        </w:rPr>
      </w:pPr>
      <w:r>
        <w:rPr>
          <w:rFonts w:ascii="仿宋_GB2312" w:eastAsia="仿宋_GB2312" w:hAnsi="仿宋_GB2312" w:cs="仿宋_GB2312" w:hint="eastAsia"/>
          <w:snapToGrid w:val="0"/>
          <w:color w:val="000000"/>
          <w:sz w:val="32"/>
          <w:szCs w:val="32"/>
        </w:rPr>
        <w:t>（七）遴选部分卓越案例组织专家进行专题研讨。</w:t>
      </w:r>
      <w:bookmarkStart w:id="0" w:name="_GoBack"/>
      <w:bookmarkEnd w:id="0"/>
    </w:p>
    <w:sectPr w:rsidR="006F0537" w:rsidSect="00D41FA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8B" w:rsidRDefault="00950D8B">
      <w:r>
        <w:separator/>
      </w:r>
    </w:p>
  </w:endnote>
  <w:endnote w:type="continuationSeparator" w:id="0">
    <w:p w:rsidR="00950D8B" w:rsidRDefault="0095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3C818DDD-EC5F-4877-A96F-E512D4058DE6}"/>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80175E8A-AAF0-4641-963A-28D22E6A1563}"/>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embedRegular r:id="rId3" w:subsetted="1" w:fontKey="{E5166FA5-1A38-46F9-9E6C-CF0163D3304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37" w:rsidRDefault="00950D8B">
    <w:pPr>
      <w:pStyle w:val="aa"/>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F0537" w:rsidRDefault="00950D8B">
                          <w:pPr>
                            <w:pStyle w:val="aa"/>
                          </w:pPr>
                          <w:r>
                            <w:t xml:space="preserve">— </w:t>
                          </w:r>
                          <w:r>
                            <w:fldChar w:fldCharType="begin"/>
                          </w:r>
                          <w:r>
                            <w:instrText xml:space="preserve"> PAGE  \* MERGEFORMAT </w:instrText>
                          </w:r>
                          <w:r>
                            <w:fldChar w:fldCharType="separate"/>
                          </w:r>
                          <w:r w:rsidR="00D41FAF">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6F0537" w:rsidRDefault="00950D8B">
                    <w:pPr>
                      <w:pStyle w:val="aa"/>
                    </w:pPr>
                    <w:r>
                      <w:t xml:space="preserve">— </w:t>
                    </w:r>
                    <w:r>
                      <w:fldChar w:fldCharType="begin"/>
                    </w:r>
                    <w:r>
                      <w:instrText xml:space="preserve"> PAGE  \* MERGEFORMAT </w:instrText>
                    </w:r>
                    <w:r>
                      <w:fldChar w:fldCharType="separate"/>
                    </w:r>
                    <w:r w:rsidR="00D41FAF">
                      <w:rPr>
                        <w:noProof/>
                      </w:rP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8B" w:rsidRDefault="00950D8B">
      <w:r>
        <w:separator/>
      </w:r>
    </w:p>
  </w:footnote>
  <w:footnote w:type="continuationSeparator" w:id="0">
    <w:p w:rsidR="00950D8B" w:rsidRDefault="00950D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D5F307"/>
    <w:multiLevelType w:val="singleLevel"/>
    <w:tmpl w:val="C8D5F307"/>
    <w:lvl w:ilvl="0">
      <w:start w:val="1"/>
      <w:numFmt w:val="decimal"/>
      <w:lvlText w:val="%1."/>
      <w:lvlJc w:val="left"/>
      <w:pPr>
        <w:tabs>
          <w:tab w:val="left" w:pos="312"/>
        </w:tabs>
      </w:pPr>
    </w:lvl>
  </w:abstractNum>
  <w:abstractNum w:abstractNumId="1" w15:restartNumberingAfterBreak="0">
    <w:nsid w:val="F04EBB34"/>
    <w:multiLevelType w:val="singleLevel"/>
    <w:tmpl w:val="F04EBB34"/>
    <w:lvl w:ilvl="0">
      <w:start w:val="1"/>
      <w:numFmt w:val="chineseCounting"/>
      <w:suff w:val="nothing"/>
      <w:lvlText w:val="（%1）"/>
      <w:lvlJc w:val="left"/>
      <w:pPr>
        <w:ind w:left="-420" w:firstLine="420"/>
      </w:pPr>
      <w:rPr>
        <w:rFonts w:hint="eastAsia"/>
      </w:rPr>
    </w:lvl>
  </w:abstractNum>
  <w:abstractNum w:abstractNumId="2" w15:restartNumberingAfterBreak="0">
    <w:nsid w:val="0AA78A31"/>
    <w:multiLevelType w:val="singleLevel"/>
    <w:tmpl w:val="0AA78A31"/>
    <w:lvl w:ilvl="0">
      <w:start w:val="1"/>
      <w:numFmt w:val="chineseCounting"/>
      <w:suff w:val="nothing"/>
      <w:lvlText w:val="%1、"/>
      <w:lvlJc w:val="left"/>
      <w:pPr>
        <w:ind w:left="-420" w:firstLine="420"/>
      </w:pPr>
      <w:rPr>
        <w:rFonts w:hint="eastAsia"/>
      </w:rPr>
    </w:lvl>
  </w:abstractNum>
  <w:abstractNum w:abstractNumId="3" w15:restartNumberingAfterBreak="0">
    <w:nsid w:val="1EE2658C"/>
    <w:multiLevelType w:val="multilevel"/>
    <w:tmpl w:val="1EE2658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chineseCountingThousand"/>
      <w:suff w:val="nothing"/>
      <w:lvlText w:val="%3、"/>
      <w:lvlJc w:val="left"/>
      <w:pPr>
        <w:ind w:left="1838" w:hanging="420"/>
      </w:pPr>
      <w:rPr>
        <w:b/>
        <w:bCs/>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B5AC60D"/>
    <w:multiLevelType w:val="singleLevel"/>
    <w:tmpl w:val="4B5AC60D"/>
    <w:lvl w:ilvl="0">
      <w:start w:val="1"/>
      <w:numFmt w:val="chineseCounting"/>
      <w:suff w:val="nothing"/>
      <w:lvlText w:val="%1、"/>
      <w:lvlJc w:val="left"/>
      <w:pPr>
        <w:ind w:left="-420" w:firstLine="420"/>
      </w:pPr>
      <w:rPr>
        <w:rFonts w:hint="eastAsia"/>
      </w:rPr>
    </w:lvl>
  </w:abstractNum>
  <w:abstractNum w:abstractNumId="5" w15:restartNumberingAfterBreak="0">
    <w:nsid w:val="59161CF0"/>
    <w:multiLevelType w:val="singleLevel"/>
    <w:tmpl w:val="59161CF0"/>
    <w:lvl w:ilvl="0">
      <w:start w:val="1"/>
      <w:numFmt w:val="chineseCounting"/>
      <w:suff w:val="nothing"/>
      <w:lvlText w:val="（%1）"/>
      <w:lvlJc w:val="left"/>
      <w:pPr>
        <w:ind w:left="-420" w:firstLine="420"/>
      </w:pPr>
      <w:rPr>
        <w:rFonts w:hint="eastAsia"/>
      </w:rPr>
    </w:lvl>
  </w:abstractNum>
  <w:abstractNum w:abstractNumId="6" w15:restartNumberingAfterBreak="0">
    <w:nsid w:val="74366481"/>
    <w:multiLevelType w:val="singleLevel"/>
    <w:tmpl w:val="74366481"/>
    <w:lvl w:ilvl="0">
      <w:start w:val="1"/>
      <w:numFmt w:val="chineseCounting"/>
      <w:suff w:val="nothing"/>
      <w:lvlText w:val="（%1）"/>
      <w:lvlJc w:val="left"/>
      <w:pPr>
        <w:ind w:left="-420" w:firstLine="420"/>
      </w:pPr>
      <w:rPr>
        <w:rFonts w:hint="eastAsia"/>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E33F3F"/>
    <w:rsid w:val="FEBDD06A"/>
    <w:rsid w:val="00014AE9"/>
    <w:rsid w:val="000B1C6D"/>
    <w:rsid w:val="000C580B"/>
    <w:rsid w:val="0039114A"/>
    <w:rsid w:val="00445D91"/>
    <w:rsid w:val="004B2DAC"/>
    <w:rsid w:val="00512379"/>
    <w:rsid w:val="005A77C7"/>
    <w:rsid w:val="005C6551"/>
    <w:rsid w:val="006E3E54"/>
    <w:rsid w:val="006F0537"/>
    <w:rsid w:val="006F5010"/>
    <w:rsid w:val="0086462C"/>
    <w:rsid w:val="008765FC"/>
    <w:rsid w:val="008B38B4"/>
    <w:rsid w:val="00950D8B"/>
    <w:rsid w:val="00953C6F"/>
    <w:rsid w:val="009B4DE1"/>
    <w:rsid w:val="00A005D9"/>
    <w:rsid w:val="00B67C26"/>
    <w:rsid w:val="00C3422B"/>
    <w:rsid w:val="00C60A88"/>
    <w:rsid w:val="00CB5D54"/>
    <w:rsid w:val="00D31257"/>
    <w:rsid w:val="00D377B2"/>
    <w:rsid w:val="00D41FAF"/>
    <w:rsid w:val="00E33F3F"/>
    <w:rsid w:val="00F76F91"/>
    <w:rsid w:val="010D323D"/>
    <w:rsid w:val="01657CDA"/>
    <w:rsid w:val="02875ABA"/>
    <w:rsid w:val="043C60DB"/>
    <w:rsid w:val="050B5E6B"/>
    <w:rsid w:val="05317378"/>
    <w:rsid w:val="054C4145"/>
    <w:rsid w:val="068E3672"/>
    <w:rsid w:val="06E861EF"/>
    <w:rsid w:val="07730889"/>
    <w:rsid w:val="08143BF1"/>
    <w:rsid w:val="084C21AB"/>
    <w:rsid w:val="085A10FD"/>
    <w:rsid w:val="087E03FC"/>
    <w:rsid w:val="08EC77B5"/>
    <w:rsid w:val="09E95B98"/>
    <w:rsid w:val="0A295421"/>
    <w:rsid w:val="0A2B774E"/>
    <w:rsid w:val="0B132723"/>
    <w:rsid w:val="0B3D7525"/>
    <w:rsid w:val="0BE43F91"/>
    <w:rsid w:val="0C7A5A36"/>
    <w:rsid w:val="0D1F49EC"/>
    <w:rsid w:val="0D521911"/>
    <w:rsid w:val="0D7978AA"/>
    <w:rsid w:val="0D7B5A7F"/>
    <w:rsid w:val="0D9A50E8"/>
    <w:rsid w:val="0E38608B"/>
    <w:rsid w:val="0E925B3E"/>
    <w:rsid w:val="0EF10390"/>
    <w:rsid w:val="0F511D3E"/>
    <w:rsid w:val="0F833320"/>
    <w:rsid w:val="114C04A7"/>
    <w:rsid w:val="11E84BAF"/>
    <w:rsid w:val="1209283C"/>
    <w:rsid w:val="124F0ECC"/>
    <w:rsid w:val="126C2B24"/>
    <w:rsid w:val="127060AA"/>
    <w:rsid w:val="145A2206"/>
    <w:rsid w:val="1547022D"/>
    <w:rsid w:val="15D20959"/>
    <w:rsid w:val="16670DD7"/>
    <w:rsid w:val="16742497"/>
    <w:rsid w:val="17233E03"/>
    <w:rsid w:val="1931118D"/>
    <w:rsid w:val="198B408C"/>
    <w:rsid w:val="19B83B42"/>
    <w:rsid w:val="1AA44A44"/>
    <w:rsid w:val="1BCA0C86"/>
    <w:rsid w:val="1D315072"/>
    <w:rsid w:val="1D715E5C"/>
    <w:rsid w:val="1DCE73CE"/>
    <w:rsid w:val="1F5F7A31"/>
    <w:rsid w:val="20C0768F"/>
    <w:rsid w:val="20DB5928"/>
    <w:rsid w:val="21506D34"/>
    <w:rsid w:val="220451A5"/>
    <w:rsid w:val="22347CE4"/>
    <w:rsid w:val="256E42AA"/>
    <w:rsid w:val="2590132F"/>
    <w:rsid w:val="26457810"/>
    <w:rsid w:val="26AE0EE3"/>
    <w:rsid w:val="279D76B2"/>
    <w:rsid w:val="27D6246E"/>
    <w:rsid w:val="288247C7"/>
    <w:rsid w:val="288F0997"/>
    <w:rsid w:val="29046CD5"/>
    <w:rsid w:val="296609FB"/>
    <w:rsid w:val="29EA129C"/>
    <w:rsid w:val="2A0616E6"/>
    <w:rsid w:val="2A134397"/>
    <w:rsid w:val="2AB02DDB"/>
    <w:rsid w:val="2AEA65F8"/>
    <w:rsid w:val="2B130802"/>
    <w:rsid w:val="2B2A62ED"/>
    <w:rsid w:val="2B2F708E"/>
    <w:rsid w:val="2B64168E"/>
    <w:rsid w:val="2B8E716E"/>
    <w:rsid w:val="2C013BC2"/>
    <w:rsid w:val="2C724680"/>
    <w:rsid w:val="2D321736"/>
    <w:rsid w:val="2E416D43"/>
    <w:rsid w:val="301D7FDB"/>
    <w:rsid w:val="30752D67"/>
    <w:rsid w:val="313047C4"/>
    <w:rsid w:val="31C71F0F"/>
    <w:rsid w:val="31E51458"/>
    <w:rsid w:val="3282269E"/>
    <w:rsid w:val="334A6CF0"/>
    <w:rsid w:val="336D18D9"/>
    <w:rsid w:val="33DF0EF0"/>
    <w:rsid w:val="347F2A27"/>
    <w:rsid w:val="34BA61F6"/>
    <w:rsid w:val="359917FE"/>
    <w:rsid w:val="35FA0E40"/>
    <w:rsid w:val="373E4242"/>
    <w:rsid w:val="37846422"/>
    <w:rsid w:val="381A4D87"/>
    <w:rsid w:val="384906DF"/>
    <w:rsid w:val="38BE4EA5"/>
    <w:rsid w:val="38C73128"/>
    <w:rsid w:val="38E565F3"/>
    <w:rsid w:val="38F660C4"/>
    <w:rsid w:val="392244EE"/>
    <w:rsid w:val="3A480109"/>
    <w:rsid w:val="3AEE5216"/>
    <w:rsid w:val="3B4620AC"/>
    <w:rsid w:val="3B577924"/>
    <w:rsid w:val="3B80172C"/>
    <w:rsid w:val="3B9B69D5"/>
    <w:rsid w:val="3BD916DF"/>
    <w:rsid w:val="3C13079F"/>
    <w:rsid w:val="3C4D13F4"/>
    <w:rsid w:val="3C555DA5"/>
    <w:rsid w:val="3C7C494B"/>
    <w:rsid w:val="3CE90893"/>
    <w:rsid w:val="3CFC071D"/>
    <w:rsid w:val="3DFF647D"/>
    <w:rsid w:val="3E39678D"/>
    <w:rsid w:val="3EB11068"/>
    <w:rsid w:val="3F357E17"/>
    <w:rsid w:val="41F90D2E"/>
    <w:rsid w:val="42C14BE7"/>
    <w:rsid w:val="42C221E1"/>
    <w:rsid w:val="43E539D6"/>
    <w:rsid w:val="44085161"/>
    <w:rsid w:val="456164FF"/>
    <w:rsid w:val="478C18EA"/>
    <w:rsid w:val="47EA630C"/>
    <w:rsid w:val="47F6431D"/>
    <w:rsid w:val="495A19E6"/>
    <w:rsid w:val="496F1E2E"/>
    <w:rsid w:val="4B6A5888"/>
    <w:rsid w:val="4C7D5BF9"/>
    <w:rsid w:val="4CDD58E1"/>
    <w:rsid w:val="4CF1216C"/>
    <w:rsid w:val="4DAD3EFF"/>
    <w:rsid w:val="4DAE1980"/>
    <w:rsid w:val="4DCB537B"/>
    <w:rsid w:val="4E42438B"/>
    <w:rsid w:val="4EED611E"/>
    <w:rsid w:val="4F9A5CA8"/>
    <w:rsid w:val="4F9F748B"/>
    <w:rsid w:val="4FD73056"/>
    <w:rsid w:val="504C7CCA"/>
    <w:rsid w:val="50863BC9"/>
    <w:rsid w:val="52925986"/>
    <w:rsid w:val="534D19F5"/>
    <w:rsid w:val="53F8074C"/>
    <w:rsid w:val="545677A1"/>
    <w:rsid w:val="54E9135D"/>
    <w:rsid w:val="572E0AEA"/>
    <w:rsid w:val="57FF46A2"/>
    <w:rsid w:val="58125D20"/>
    <w:rsid w:val="5887504C"/>
    <w:rsid w:val="591E42C6"/>
    <w:rsid w:val="5AB00047"/>
    <w:rsid w:val="5B1F728F"/>
    <w:rsid w:val="5B636B0B"/>
    <w:rsid w:val="5BF87C82"/>
    <w:rsid w:val="5C5E190E"/>
    <w:rsid w:val="5C6E7672"/>
    <w:rsid w:val="5C9E5258"/>
    <w:rsid w:val="5D0D51A4"/>
    <w:rsid w:val="5D7B1653"/>
    <w:rsid w:val="5E531827"/>
    <w:rsid w:val="5ECF227A"/>
    <w:rsid w:val="5EDD3B00"/>
    <w:rsid w:val="5F516C43"/>
    <w:rsid w:val="60F03EC8"/>
    <w:rsid w:val="613F377F"/>
    <w:rsid w:val="622163B3"/>
    <w:rsid w:val="62236FF6"/>
    <w:rsid w:val="62426BFF"/>
    <w:rsid w:val="626F7AE8"/>
    <w:rsid w:val="63E027A1"/>
    <w:rsid w:val="643E2973"/>
    <w:rsid w:val="64614B24"/>
    <w:rsid w:val="646A4041"/>
    <w:rsid w:val="64B42D6C"/>
    <w:rsid w:val="64E97D5C"/>
    <w:rsid w:val="65737239"/>
    <w:rsid w:val="6599362B"/>
    <w:rsid w:val="66A0406D"/>
    <w:rsid w:val="67580A5C"/>
    <w:rsid w:val="67B73FB4"/>
    <w:rsid w:val="680D45C4"/>
    <w:rsid w:val="68476ADF"/>
    <w:rsid w:val="68711CA4"/>
    <w:rsid w:val="69A74365"/>
    <w:rsid w:val="6A63251A"/>
    <w:rsid w:val="6A774C04"/>
    <w:rsid w:val="6B2807E3"/>
    <w:rsid w:val="6BF64D52"/>
    <w:rsid w:val="6BFF7884"/>
    <w:rsid w:val="6C4148E0"/>
    <w:rsid w:val="6E5B46F7"/>
    <w:rsid w:val="6E900B95"/>
    <w:rsid w:val="6EB2342B"/>
    <w:rsid w:val="6F033E9C"/>
    <w:rsid w:val="6F414601"/>
    <w:rsid w:val="6F917C18"/>
    <w:rsid w:val="6FCB0994"/>
    <w:rsid w:val="70037C51"/>
    <w:rsid w:val="70BC6081"/>
    <w:rsid w:val="710D04A7"/>
    <w:rsid w:val="71606B8F"/>
    <w:rsid w:val="731C0AF4"/>
    <w:rsid w:val="74832445"/>
    <w:rsid w:val="752C3CD2"/>
    <w:rsid w:val="76241190"/>
    <w:rsid w:val="76255B63"/>
    <w:rsid w:val="76F771D3"/>
    <w:rsid w:val="77EF11DB"/>
    <w:rsid w:val="79DA7335"/>
    <w:rsid w:val="79F07D66"/>
    <w:rsid w:val="7A286330"/>
    <w:rsid w:val="7ABA457A"/>
    <w:rsid w:val="7AC8121E"/>
    <w:rsid w:val="7B133B27"/>
    <w:rsid w:val="7BEF73A5"/>
    <w:rsid w:val="7C246D74"/>
    <w:rsid w:val="7DC42568"/>
    <w:rsid w:val="7DEC6062"/>
    <w:rsid w:val="7E2D3F5F"/>
    <w:rsid w:val="7F012A6E"/>
    <w:rsid w:val="7F7251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A721EA"/>
  <w15:docId w15:val="{15E7BB57-8C33-4C0C-BE20-A1D1E742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uiPriority="10" w:qFormat="1"/>
    <w:lsdException w:name="Default Paragraph Font" w:semiHidden="1" w:uiPriority="1" w:unhideWhenUsed="1" w:qFormat="1"/>
    <w:lsdException w:name="Body Text" w:uiPriority="1" w:qFormat="1"/>
    <w:lsdException w:name="Subtitle" w:qFormat="1"/>
    <w:lsdException w:name="Body Text First Indent" w:uiPriority="99" w:unhideWhenUsed="1"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60" w:after="60"/>
      <w:outlineLvl w:val="0"/>
    </w:pPr>
    <w:rPr>
      <w:rFonts w:asciiTheme="majorHAnsi" w:eastAsia="黑体" w:hAnsiTheme="majorHAnsi" w:cstheme="majorBidi"/>
      <w:szCs w:val="48"/>
    </w:rPr>
  </w:style>
  <w:style w:type="paragraph" w:styleId="2">
    <w:name w:val="heading 2"/>
    <w:basedOn w:val="a"/>
    <w:next w:val="a"/>
    <w:uiPriority w:val="9"/>
    <w:unhideWhenUsed/>
    <w:qFormat/>
    <w:pPr>
      <w:keepNext/>
      <w:keepLines/>
      <w:outlineLvl w:val="1"/>
    </w:pPr>
    <w:rPr>
      <w:rFonts w:eastAsia="楷体" w:cstheme="majorBidi"/>
      <w:bCs/>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next w:val="a"/>
    <w:uiPriority w:val="1"/>
    <w:qFormat/>
    <w:rPr>
      <w:rFonts w:ascii="宋体" w:eastAsia="宋体" w:hAnsi="宋体" w:cs="宋体"/>
      <w:sz w:val="30"/>
      <w:szCs w:val="30"/>
      <w:lang w:val="zh-CN" w:bidi="zh-CN"/>
    </w:rPr>
  </w:style>
  <w:style w:type="paragraph" w:styleId="a5">
    <w:name w:val="Document Map"/>
    <w:basedOn w:val="a"/>
    <w:link w:val="a6"/>
    <w:qFormat/>
    <w:rPr>
      <w:rFonts w:ascii="宋体" w:eastAsia="宋体"/>
      <w:sz w:val="18"/>
      <w:szCs w:val="18"/>
    </w:rPr>
  </w:style>
  <w:style w:type="paragraph" w:styleId="a7">
    <w:name w:val="annotation text"/>
    <w:basedOn w:val="a"/>
    <w:qFormat/>
    <w:pPr>
      <w:jc w:val="left"/>
    </w:p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qFormat/>
    <w:pPr>
      <w:spacing w:beforeAutospacing="1" w:afterAutospacing="1"/>
      <w:jc w:val="left"/>
    </w:pPr>
    <w:rPr>
      <w:rFonts w:cs="Times New Roman"/>
      <w:kern w:val="0"/>
      <w:sz w:val="24"/>
    </w:rPr>
  </w:style>
  <w:style w:type="paragraph" w:styleId="ad">
    <w:name w:val="Title"/>
    <w:basedOn w:val="a"/>
    <w:next w:val="a"/>
    <w:uiPriority w:val="10"/>
    <w:qFormat/>
    <w:pPr>
      <w:spacing w:before="240" w:after="60"/>
      <w:jc w:val="center"/>
      <w:outlineLvl w:val="0"/>
    </w:pPr>
    <w:rPr>
      <w:rFonts w:ascii="Cambria" w:eastAsia="黑体" w:hAnsi="Cambria" w:cs="Times New Roman"/>
      <w:b/>
      <w:bCs/>
      <w:sz w:val="32"/>
      <w:szCs w:val="32"/>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Pr>
      <w:b/>
    </w:rPr>
  </w:style>
  <w:style w:type="character" w:styleId="af0">
    <w:name w:val="Hyperlink"/>
    <w:basedOn w:val="a1"/>
    <w:qFormat/>
    <w:rPr>
      <w:color w:val="0000FF"/>
      <w:u w:val="single"/>
    </w:rPr>
  </w:style>
  <w:style w:type="character" w:styleId="af1">
    <w:name w:val="annotation reference"/>
    <w:basedOn w:val="a1"/>
    <w:qFormat/>
    <w:rPr>
      <w:sz w:val="21"/>
      <w:szCs w:val="21"/>
    </w:rPr>
  </w:style>
  <w:style w:type="paragraph" w:styleId="af2">
    <w:name w:val="List Paragraph"/>
    <w:basedOn w:val="a"/>
    <w:uiPriority w:val="34"/>
    <w:qFormat/>
    <w:pPr>
      <w:ind w:firstLineChars="200" w:firstLine="420"/>
    </w:pPr>
  </w:style>
  <w:style w:type="paragraph" w:customStyle="1" w:styleId="msolistparagraph0">
    <w:name w:val="msolistparagraph"/>
    <w:basedOn w:val="a"/>
    <w:qFormat/>
    <w:pPr>
      <w:ind w:firstLineChars="200" w:firstLine="420"/>
    </w:pPr>
    <w:rPr>
      <w:rFonts w:ascii="等线" w:eastAsia="等线" w:hAnsi="等线" w:cs="Times New Roman" w:hint="eastAsia"/>
      <w:szCs w:val="22"/>
    </w:rPr>
  </w:style>
  <w:style w:type="paragraph" w:customStyle="1" w:styleId="10">
    <w:name w:val="列出段落1"/>
    <w:basedOn w:val="a"/>
    <w:uiPriority w:val="34"/>
    <w:qFormat/>
    <w:pPr>
      <w:ind w:firstLineChars="200" w:firstLine="420"/>
    </w:pPr>
  </w:style>
  <w:style w:type="paragraph" w:customStyle="1" w:styleId="20">
    <w:name w:val="列表段落2"/>
    <w:basedOn w:val="a"/>
    <w:uiPriority w:val="34"/>
    <w:qFormat/>
    <w:pPr>
      <w:ind w:firstLineChars="200" w:firstLine="420"/>
    </w:pPr>
  </w:style>
  <w:style w:type="paragraph" w:customStyle="1" w:styleId="Bodytext1">
    <w:name w:val="Body text|1"/>
    <w:basedOn w:val="a"/>
    <w:qFormat/>
    <w:pPr>
      <w:spacing w:line="418" w:lineRule="auto"/>
      <w:ind w:firstLine="400"/>
      <w:jc w:val="left"/>
    </w:pPr>
    <w:rPr>
      <w:rFonts w:ascii="宋体" w:eastAsia="宋体" w:hAnsi="宋体" w:cs="宋体"/>
      <w:color w:val="000000"/>
      <w:kern w:val="0"/>
      <w:sz w:val="28"/>
      <w:szCs w:val="28"/>
      <w:lang w:val="zh-TW" w:eastAsia="zh-TW" w:bidi="zh-TW"/>
    </w:rPr>
  </w:style>
  <w:style w:type="character" w:customStyle="1" w:styleId="a6">
    <w:name w:val="文档结构图 字符"/>
    <w:basedOn w:val="a1"/>
    <w:link w:val="a5"/>
    <w:qFormat/>
    <w:rPr>
      <w:rFonts w:ascii="宋体" w:hAnsiTheme="minorHAnsi" w:cstheme="minorBidi"/>
      <w:kern w:val="2"/>
      <w:sz w:val="18"/>
      <w:szCs w:val="18"/>
    </w:rPr>
  </w:style>
  <w:style w:type="character" w:customStyle="1" w:styleId="a9">
    <w:name w:val="批注框文本 字符"/>
    <w:basedOn w:val="a1"/>
    <w:link w:val="a8"/>
    <w:qFormat/>
    <w:rPr>
      <w:rFonts w:asciiTheme="minorHAnsi" w:eastAsiaTheme="minorEastAsia" w:hAnsiTheme="minorHAnsi" w:cstheme="minorBidi"/>
      <w:kern w:val="2"/>
      <w:sz w:val="18"/>
      <w:szCs w:val="18"/>
    </w:rPr>
  </w:style>
  <w:style w:type="paragraph" w:customStyle="1" w:styleId="p0">
    <w:name w:val="p0"/>
    <w:qFormat/>
    <w:pPr>
      <w:spacing w:line="240" w:lineRule="atLeast"/>
      <w:jc w:val="both"/>
    </w:pPr>
    <w:rPr>
      <w:rFonts w:ascii="Calibri" w:eastAsia="仿宋_GB2312" w:hAnsi="Calibri"/>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aidu.com/link?url=s0wk9FOo3JBeS4Rn2bkBCHOb3Ybnx-c_uMYA9nwwf4TzAptag4o5OXr_ThwIyd0l&amp;wd=&amp;eqid=f200e1000030e4c700000002661399a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shaos</dc:creator>
  <cp:lastModifiedBy>申志铎</cp:lastModifiedBy>
  <cp:revision>2</cp:revision>
  <cp:lastPrinted>2024-05-20T06:13:00Z</cp:lastPrinted>
  <dcterms:created xsi:type="dcterms:W3CDTF">2024-09-29T11:21:00Z</dcterms:created>
  <dcterms:modified xsi:type="dcterms:W3CDTF">2024-09-29T11:21:00Z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4D3B2D14D1AD4769B49AFC71B148557E_13</vt:lpwstr>
  </property>
</Properties>
</file>