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E3492">
      <w:pPr>
        <w:framePr w:w="9228" w:hSpace="180" w:vSpace="180" w:wrap="around" w:vAnchor="margin" w:hAnchor="page" w:x="1240" w:y="1" w:anchorLock="1"/>
        <w:ind w:firstLine="420"/>
        <w:jc w:val="left"/>
        <w:textAlignment w:val="center"/>
        <w:rPr>
          <w:rFonts w:ascii="黑体" w:hAnsi="Times New Roman" w:eastAsia="黑体" w:cs="Times New Roman"/>
          <w:kern w:val="0"/>
          <w:szCs w:val="21"/>
          <w:highlight w:val="none"/>
        </w:rPr>
      </w:pPr>
      <w:bookmarkStart w:id="0" w:name="ICS"/>
      <w:r>
        <w:rPr>
          <w:rFonts w:ascii="黑体" w:hAnsi="Times New Roman" w:eastAsia="黑体" w:cs="Times New Roman"/>
          <w:kern w:val="0"/>
          <w:szCs w:val="21"/>
          <w:highlight w:val="none"/>
        </w:rPr>
        <w:fldChar w:fldCharType="begin">
          <w:ffData>
            <w:name w:val="ICS"/>
            <w:enabled/>
            <w:calcOnExit w:val="0"/>
            <w:helpText w:type="text" w:val="请输入正确的ICS号："/>
            <w:textInput>
              <w:default w:val="ICS 35.240"/>
            </w:textInput>
          </w:ffData>
        </w:fldChar>
      </w:r>
      <w:r>
        <w:rPr>
          <w:rFonts w:ascii="黑体" w:hAnsi="Times New Roman" w:eastAsia="黑体" w:cs="Times New Roman"/>
          <w:kern w:val="0"/>
          <w:szCs w:val="21"/>
          <w:highlight w:val="none"/>
        </w:rPr>
        <w:instrText xml:space="preserve">FORMTEXT</w:instrText>
      </w:r>
      <w:r>
        <w:rPr>
          <w:rFonts w:ascii="黑体" w:hAnsi="Times New Roman" w:eastAsia="黑体" w:cs="Times New Roman"/>
          <w:kern w:val="0"/>
          <w:szCs w:val="21"/>
          <w:highlight w:val="none"/>
        </w:rPr>
        <w:fldChar w:fldCharType="separate"/>
      </w:r>
      <w:r>
        <w:rPr>
          <w:rFonts w:ascii="黑体" w:hAnsi="Times New Roman" w:eastAsia="黑体" w:cs="Times New Roman"/>
          <w:kern w:val="0"/>
          <w:szCs w:val="21"/>
          <w:highlight w:val="none"/>
        </w:rPr>
        <w:t>ICS 35.240</w:t>
      </w:r>
      <w:r>
        <w:rPr>
          <w:rFonts w:ascii="黑体" w:hAnsi="Times New Roman" w:eastAsia="黑体" w:cs="Times New Roman"/>
          <w:kern w:val="0"/>
          <w:szCs w:val="21"/>
          <w:highlight w:val="none"/>
        </w:rPr>
        <w:fldChar w:fldCharType="end"/>
      </w:r>
      <w:bookmarkEnd w:id="0"/>
    </w:p>
    <w:p w14:paraId="6EB64AB4">
      <w:pPr>
        <w:framePr w:w="9228" w:hSpace="180" w:vSpace="180" w:wrap="around" w:vAnchor="margin" w:hAnchor="page" w:x="1240" w:y="1" w:anchorLock="1"/>
        <w:ind w:firstLine="420"/>
        <w:jc w:val="left"/>
        <w:textAlignment w:val="center"/>
        <w:rPr>
          <w:rFonts w:ascii="黑体" w:hAnsi="Times New Roman" w:eastAsia="黑体" w:cs="Times New Roman"/>
          <w:kern w:val="0"/>
          <w:szCs w:val="21"/>
          <w:highlight w:val="none"/>
        </w:rPr>
      </w:pPr>
      <w:r>
        <w:rPr>
          <w:rFonts w:hint="eastAsia" w:ascii="黑体" w:hAnsi="Times New Roman" w:eastAsia="黑体" w:cs="Times New Roman"/>
          <w:kern w:val="0"/>
          <w:szCs w:val="21"/>
          <w:highlight w:val="none"/>
          <w:lang w:val="en-US" w:eastAsia="zh-CN"/>
        </w:rPr>
        <w:t xml:space="preserve">CCS </w:t>
      </w:r>
      <w:bookmarkStart w:id="1" w:name="WXFLH"/>
      <w:r>
        <w:rPr>
          <w:rFonts w:hint="eastAsia" w:ascii="黑体" w:hAnsi="Times New Roman" w:eastAsia="黑体" w:cs="Times New Roman"/>
          <w:kern w:val="0"/>
          <w:szCs w:val="21"/>
          <w:highlight w:val="none"/>
          <w:lang w:val="en-US" w:eastAsia="zh-CN"/>
        </w:rPr>
        <w:fldChar w:fldCharType="begin">
          <w:ffData>
            <w:name w:val="WXFLH"/>
            <w:enabled/>
            <w:calcOnExit w:val="0"/>
            <w:helpText w:type="text" w:val="请输入中国标准文献分类号："/>
            <w:textInput>
              <w:default w:val="F01"/>
            </w:textInput>
          </w:ffData>
        </w:fldChar>
      </w:r>
      <w:r>
        <w:rPr>
          <w:rFonts w:hint="eastAsia" w:ascii="黑体" w:hAnsi="Times New Roman" w:eastAsia="黑体" w:cs="Times New Roman"/>
          <w:kern w:val="0"/>
          <w:szCs w:val="21"/>
          <w:highlight w:val="none"/>
          <w:lang w:val="en-US" w:eastAsia="zh-CN"/>
        </w:rPr>
        <w:instrText xml:space="preserve">FORMTEXT</w:instrText>
      </w:r>
      <w:r>
        <w:rPr>
          <w:rFonts w:hint="eastAsia" w:ascii="黑体" w:hAnsi="Times New Roman" w:eastAsia="黑体" w:cs="Times New Roman"/>
          <w:kern w:val="0"/>
          <w:szCs w:val="21"/>
          <w:highlight w:val="none"/>
          <w:lang w:val="en-US" w:eastAsia="zh-CN"/>
        </w:rPr>
        <w:fldChar w:fldCharType="separate"/>
      </w:r>
      <w:r>
        <w:rPr>
          <w:rFonts w:hint="eastAsia" w:ascii="黑体" w:hAnsi="Times New Roman" w:eastAsia="黑体" w:cs="Times New Roman"/>
          <w:kern w:val="0"/>
          <w:szCs w:val="21"/>
          <w:highlight w:val="none"/>
          <w:lang w:val="en-US" w:eastAsia="zh-CN"/>
        </w:rPr>
        <w:t>F01</w:t>
      </w:r>
      <w:r>
        <w:rPr>
          <w:rFonts w:hint="eastAsia" w:ascii="黑体" w:hAnsi="Times New Roman" w:eastAsia="黑体" w:cs="Times New Roman"/>
          <w:kern w:val="0"/>
          <w:szCs w:val="21"/>
          <w:highlight w:val="none"/>
          <w:lang w:val="en-US" w:eastAsia="zh-CN"/>
        </w:rPr>
        <w:fldChar w:fldCharType="end"/>
      </w:r>
      <w:bookmarkEnd w:id="1"/>
      <w:r>
        <w:rPr>
          <w:rFonts w:ascii="黑体" w:hAnsi="Times New Roman" w:eastAsia="黑体" w:cs="Times New Roman"/>
          <w:kern w:val="0"/>
          <w:szCs w:val="21"/>
          <w:highlight w:val="none"/>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3810" r="381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A+r6t8cAgAA&#10;JQQAAA4AAAAAAAAAAQAgAAAAJAEAAGRycy9lMm9Eb2MueG1sUEsFBgAAAAAGAAYAWQEAALIFAAAA&#10;AA==&#10;">
                <v:fill on="t" focussize="0,0"/>
                <v:stroke on="f"/>
                <v:imagedata o:title=""/>
                <o:lock v:ext="edit" aspectratio="f"/>
              </v:rect>
            </w:pict>
          </mc:Fallback>
        </mc:AlternateConten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44"/>
      </w:tblGrid>
      <w:tr w14:paraId="2BE8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424283E0">
            <w:pPr>
              <w:framePr w:w="9228" w:hSpace="180" w:vSpace="180" w:wrap="around" w:vAnchor="margin" w:hAnchor="page" w:x="1240" w:y="1" w:anchorLock="1"/>
              <w:rPr>
                <w:highlight w:val="none"/>
              </w:rPr>
            </w:pPr>
          </w:p>
        </w:tc>
      </w:tr>
    </w:tbl>
    <w:p w14:paraId="4B8819DF">
      <w:pPr>
        <w:framePr w:w="7684" w:h="861" w:hRule="exact" w:hSpace="181" w:vSpace="181" w:wrap="around" w:vAnchor="page" w:hAnchor="page" w:x="2025" w:y="2286" w:anchorLock="1"/>
        <w:widowControl/>
        <w:spacing w:line="0" w:lineRule="atLeast"/>
        <w:ind w:firstLine="1280"/>
        <w:jc w:val="distribute"/>
        <w:rPr>
          <w:rFonts w:ascii="Times New Roman" w:hAnsi="Times New Roman" w:eastAsia="黑体" w:cs="Times New Roman"/>
          <w:spacing w:val="-40"/>
          <w:kern w:val="0"/>
          <w:sz w:val="72"/>
          <w:szCs w:val="72"/>
          <w:highlight w:val="none"/>
        </w:rPr>
      </w:pPr>
      <w:r>
        <w:rPr>
          <w:rFonts w:hint="eastAsia" w:ascii="Times New Roman" w:hAnsi="Times New Roman" w:eastAsia="黑体" w:cs="Times New Roman"/>
          <w:spacing w:val="-40"/>
          <w:kern w:val="0"/>
          <w:sz w:val="72"/>
          <w:szCs w:val="72"/>
          <w:highlight w:val="none"/>
        </w:rPr>
        <w:t>团体标准</w:t>
      </w:r>
    </w:p>
    <w:p w14:paraId="51B7BDFA">
      <w:pPr>
        <w:framePr w:w="9189" w:h="926" w:hRule="exact" w:hSpace="284" w:wrap="around" w:vAnchor="page" w:hAnchor="page" w:x="1383" w:y="3190" w:anchorLock="1"/>
        <w:widowControl/>
        <w:spacing w:before="357" w:line="280" w:lineRule="exact"/>
        <w:ind w:firstLine="560"/>
        <w:jc w:val="right"/>
        <w:rPr>
          <w:rFonts w:ascii="黑体" w:hAnsi="黑体" w:eastAsia="黑体" w:cs="Times New Roman"/>
          <w:kern w:val="0"/>
          <w:sz w:val="28"/>
          <w:szCs w:val="28"/>
          <w:highlight w:val="none"/>
        </w:rPr>
      </w:pPr>
      <w:r>
        <w:rPr>
          <w:rFonts w:ascii="黑体" w:hAnsi="黑体" w:eastAsia="黑体" w:cs="Times New Roman"/>
          <w:kern w:val="0"/>
          <w:sz w:val="21"/>
          <w:szCs w:val="21"/>
          <w:highlight w:val="none"/>
        </w:rPr>
        <w:t>T/</w:t>
      </w:r>
      <w:r>
        <w:rPr>
          <w:rFonts w:ascii="黑体" w:hAnsi="黑体" w:eastAsia="黑体" w:cs="Times New Roman"/>
          <w:kern w:val="0"/>
          <w:sz w:val="21"/>
          <w:szCs w:val="21"/>
          <w:highlight w:val="none"/>
        </w:rPr>
        <w:fldChar w:fldCharType="begin">
          <w:ffData>
            <w:name w:val="StdNo0"/>
            <w:enabled/>
            <w:calcOnExit w:val="0"/>
            <w:textInput>
              <w:default w:val="×××"/>
            </w:textInput>
          </w:ffData>
        </w:fldChar>
      </w:r>
      <w:bookmarkStart w:id="2" w:name="StdNo0"/>
      <w:r>
        <w:rPr>
          <w:rFonts w:ascii="黑体" w:hAnsi="黑体" w:eastAsia="黑体" w:cs="Times New Roman"/>
          <w:kern w:val="0"/>
          <w:sz w:val="21"/>
          <w:szCs w:val="21"/>
          <w:highlight w:val="none"/>
        </w:rPr>
        <w:instrText xml:space="preserve"> FORMTEXT </w:instrText>
      </w:r>
      <w:r>
        <w:rPr>
          <w:rFonts w:ascii="黑体" w:hAnsi="黑体" w:eastAsia="黑体" w:cs="Times New Roman"/>
          <w:kern w:val="0"/>
          <w:sz w:val="21"/>
          <w:szCs w:val="21"/>
          <w:highlight w:val="none"/>
        </w:rPr>
        <w:fldChar w:fldCharType="separate"/>
      </w:r>
      <w:r>
        <w:rPr>
          <w:rFonts w:ascii="黑体" w:hAnsi="黑体" w:eastAsia="黑体" w:cs="Times New Roman"/>
          <w:kern w:val="0"/>
          <w:sz w:val="21"/>
          <w:szCs w:val="21"/>
          <w:highlight w:val="none"/>
        </w:rPr>
        <w:t>×××</w:t>
      </w:r>
      <w:r>
        <w:rPr>
          <w:rFonts w:ascii="黑体" w:hAnsi="黑体" w:eastAsia="黑体" w:cs="Times New Roman"/>
          <w:kern w:val="0"/>
          <w:sz w:val="21"/>
          <w:szCs w:val="21"/>
          <w:highlight w:val="none"/>
        </w:rPr>
        <w:fldChar w:fldCharType="end"/>
      </w:r>
      <w:bookmarkEnd w:id="2"/>
      <w:r>
        <w:rPr>
          <w:rFonts w:ascii="黑体" w:hAnsi="黑体" w:eastAsia="黑体" w:cs="Times New Roman"/>
          <w:kern w:val="0"/>
          <w:sz w:val="21"/>
          <w:szCs w:val="21"/>
          <w:highlight w:val="none"/>
        </w:rPr>
        <w:t xml:space="preserve"> </w:t>
      </w:r>
      <w:r>
        <w:rPr>
          <w:rFonts w:ascii="黑体" w:hAnsi="黑体" w:eastAsia="黑体" w:cs="Times New Roman"/>
          <w:kern w:val="0"/>
          <w:sz w:val="21"/>
          <w:szCs w:val="21"/>
          <w:highlight w:val="none"/>
        </w:rPr>
        <w:fldChar w:fldCharType="begin">
          <w:ffData>
            <w:name w:val="StdNo1"/>
            <w:enabled/>
            <w:calcOnExit w:val="0"/>
            <w:textInput>
              <w:default w:val="××××"/>
            </w:textInput>
          </w:ffData>
        </w:fldChar>
      </w:r>
      <w:bookmarkStart w:id="3" w:name="StdNo1"/>
      <w:r>
        <w:rPr>
          <w:rFonts w:ascii="黑体" w:hAnsi="黑体" w:eastAsia="黑体" w:cs="Times New Roman"/>
          <w:kern w:val="0"/>
          <w:sz w:val="21"/>
          <w:szCs w:val="21"/>
          <w:highlight w:val="none"/>
        </w:rPr>
        <w:instrText xml:space="preserve"> FORMTEXT </w:instrText>
      </w:r>
      <w:r>
        <w:rPr>
          <w:rFonts w:ascii="黑体" w:hAnsi="黑体" w:eastAsia="黑体" w:cs="Times New Roman"/>
          <w:kern w:val="0"/>
          <w:sz w:val="21"/>
          <w:szCs w:val="21"/>
          <w:highlight w:val="none"/>
        </w:rPr>
        <w:fldChar w:fldCharType="separate"/>
      </w:r>
      <w:r>
        <w:rPr>
          <w:rFonts w:ascii="黑体" w:hAnsi="黑体" w:eastAsia="黑体" w:cs="Times New Roman"/>
          <w:kern w:val="0"/>
          <w:sz w:val="21"/>
          <w:szCs w:val="21"/>
          <w:highlight w:val="none"/>
        </w:rPr>
        <w:t>××××</w:t>
      </w:r>
      <w:r>
        <w:rPr>
          <w:rFonts w:ascii="黑体" w:hAnsi="黑体" w:eastAsia="黑体" w:cs="Times New Roman"/>
          <w:kern w:val="0"/>
          <w:sz w:val="21"/>
          <w:szCs w:val="21"/>
          <w:highlight w:val="none"/>
        </w:rPr>
        <w:fldChar w:fldCharType="end"/>
      </w:r>
      <w:bookmarkEnd w:id="3"/>
      <w:r>
        <w:rPr>
          <w:rFonts w:ascii="黑体" w:hAnsi="黑体" w:eastAsia="黑体" w:cs="Times New Roman"/>
          <w:kern w:val="0"/>
          <w:sz w:val="21"/>
          <w:szCs w:val="21"/>
          <w:highlight w:val="none"/>
        </w:rPr>
        <w:t>—</w:t>
      </w:r>
      <w:r>
        <w:rPr>
          <w:rFonts w:ascii="黑体" w:hAnsi="黑体" w:eastAsia="黑体" w:cs="Times New Roman"/>
          <w:kern w:val="0"/>
          <w:sz w:val="21"/>
          <w:szCs w:val="21"/>
          <w:highlight w:val="none"/>
        </w:rPr>
        <w:fldChar w:fldCharType="begin">
          <w:ffData>
            <w:name w:val="StdNo2"/>
            <w:enabled/>
            <w:calcOnExit w:val="0"/>
            <w:textInput>
              <w:default w:val="××××"/>
              <w:maxLength w:val="4"/>
            </w:textInput>
          </w:ffData>
        </w:fldChar>
      </w:r>
      <w:bookmarkStart w:id="4" w:name="StdNo2"/>
      <w:r>
        <w:rPr>
          <w:rFonts w:ascii="黑体" w:hAnsi="黑体" w:eastAsia="黑体" w:cs="Times New Roman"/>
          <w:kern w:val="0"/>
          <w:sz w:val="21"/>
          <w:szCs w:val="21"/>
          <w:highlight w:val="none"/>
        </w:rPr>
        <w:instrText xml:space="preserve"> FORMTEXT </w:instrText>
      </w:r>
      <w:r>
        <w:rPr>
          <w:rFonts w:ascii="黑体" w:hAnsi="黑体" w:eastAsia="黑体" w:cs="Times New Roman"/>
          <w:kern w:val="0"/>
          <w:sz w:val="21"/>
          <w:szCs w:val="21"/>
          <w:highlight w:val="none"/>
        </w:rPr>
        <w:fldChar w:fldCharType="separate"/>
      </w:r>
      <w:r>
        <w:rPr>
          <w:rFonts w:ascii="黑体" w:hAnsi="黑体" w:eastAsia="黑体" w:cs="Times New Roman"/>
          <w:kern w:val="0"/>
          <w:sz w:val="21"/>
          <w:szCs w:val="21"/>
          <w:highlight w:val="none"/>
        </w:rPr>
        <w:t>××××</w:t>
      </w:r>
      <w:r>
        <w:rPr>
          <w:rFonts w:ascii="黑体" w:hAnsi="黑体" w:eastAsia="黑体" w:cs="Times New Roman"/>
          <w:kern w:val="0"/>
          <w:sz w:val="21"/>
          <w:szCs w:val="21"/>
          <w:highlight w:val="none"/>
        </w:rPr>
        <w:fldChar w:fldCharType="end"/>
      </w:r>
      <w:bookmarkEnd w:id="4"/>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36EAD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295F3D51">
            <w:pPr>
              <w:framePr w:w="9189" w:h="926" w:hRule="exact" w:hSpace="284" w:wrap="around" w:vAnchor="page" w:hAnchor="page" w:x="1383" w:y="3190" w:anchorLock="1"/>
              <w:widowControl/>
              <w:spacing w:before="57" w:line="280" w:lineRule="exact"/>
              <w:ind w:firstLine="420"/>
              <w:jc w:val="right"/>
              <w:rPr>
                <w:rFonts w:ascii="宋体" w:hAnsi="Times New Roman" w:eastAsia="宋体" w:cs="Times New Roman"/>
                <w:kern w:val="0"/>
                <w:szCs w:val="21"/>
                <w:highlight w:val="none"/>
              </w:rPr>
            </w:pPr>
            <w:r>
              <w:rPr>
                <w:rFonts w:ascii="宋体" w:hAnsi="Times New Roman" w:eastAsia="宋体" w:cs="Times New Roman"/>
                <w:kern w:val="0"/>
                <w:szCs w:val="21"/>
                <w:highlight w:val="none"/>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1905" t="0" r="0" b="31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sme/4ZAgAAJgQAAA4AAABkcnMvZTJvRG9jLnhtbK1TwY7T&#10;MBC9I/EPlu80SWmXJW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XMio4G/uvb&#10;/c8f39k0atM7X1LKnbvFyM67G5CfPbOwaIXdqGtE6FslauqoiPnZXwXR8VTK1v07qAlabAMkmfYN&#10;dhGQBGD7NI3DaRpqH5ikw6KYvMxzGpSk2Hh8eUF2vEKUD9UOfXijoGPRqDjStBO62N34MKQ+pKTu&#10;weh6pY1JDm7WC4NsJ2gzVuk7ovvzNGNjsoVYNiDGk0QzMhsUWkN9IJYIw3rR4yKjBfzKWU+rVXH/&#10;ZStQcWbeWlLqdTGZxF1MzmT6ak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CLJnv+GQIAACYE&#10;AAAOAAAAAAAAAAEAIAAAACUBAABkcnMvZTJvRG9jLnhtbFBLBQYAAAAABgAGAFkBAACwBQAAAAA=&#10;">
                      <v:fill on="t" focussize="0,0"/>
                      <v:stroke on="f"/>
                      <v:imagedata o:title=""/>
                      <o:lock v:ext="edit" aspectratio="f"/>
                    </v:rect>
                  </w:pict>
                </mc:Fallback>
              </mc:AlternateContent>
            </w:r>
            <w:r>
              <w:rPr>
                <w:rFonts w:ascii="宋体" w:hAnsi="Times New Roman" w:eastAsia="宋体" w:cs="Times New Roman"/>
                <w:kern w:val="0"/>
                <w:szCs w:val="21"/>
                <w:highlight w:val="none"/>
              </w:rPr>
              <w:fldChar w:fldCharType="begin">
                <w:ffData>
                  <w:name w:val="DT"/>
                  <w:enabled/>
                  <w:calcOnExit w:val="0"/>
                  <w:entryMacro w:val="ShowHelp4"/>
                  <w:textInput/>
                </w:ffData>
              </w:fldChar>
            </w:r>
            <w:bookmarkStart w:id="5" w:name="DT"/>
            <w:r>
              <w:rPr>
                <w:rFonts w:ascii="宋体" w:hAnsi="Times New Roman" w:eastAsia="宋体" w:cs="Times New Roman"/>
                <w:kern w:val="0"/>
                <w:szCs w:val="21"/>
                <w:highlight w:val="none"/>
              </w:rPr>
              <w:instrText xml:space="preserve"> FORMTEXT </w:instrText>
            </w:r>
            <w:r>
              <w:rPr>
                <w:rFonts w:ascii="宋体" w:hAnsi="Times New Roman" w:eastAsia="宋体" w:cs="Times New Roman"/>
                <w:kern w:val="0"/>
                <w:szCs w:val="21"/>
                <w:highlight w:val="none"/>
              </w:rPr>
              <w:fldChar w:fldCharType="separate"/>
            </w:r>
            <w:r>
              <w:rPr>
                <w:rFonts w:ascii="宋体" w:hAnsi="Times New Roman" w:eastAsia="宋体" w:cs="Times New Roman"/>
                <w:kern w:val="0"/>
                <w:szCs w:val="21"/>
                <w:highlight w:val="none"/>
              </w:rPr>
              <w:t>     </w:t>
            </w:r>
            <w:r>
              <w:rPr>
                <w:rFonts w:ascii="宋体" w:hAnsi="Times New Roman" w:eastAsia="宋体" w:cs="Times New Roman"/>
                <w:kern w:val="0"/>
                <w:szCs w:val="21"/>
                <w:highlight w:val="none"/>
              </w:rPr>
              <w:fldChar w:fldCharType="end"/>
            </w:r>
            <w:bookmarkEnd w:id="5"/>
          </w:p>
        </w:tc>
      </w:tr>
    </w:tbl>
    <w:p w14:paraId="0F812B13">
      <w:pPr>
        <w:framePr w:w="9189" w:h="926" w:hRule="exact" w:hSpace="284" w:wrap="around" w:vAnchor="page" w:hAnchor="page" w:x="1383" w:y="3190" w:anchorLock="1"/>
        <w:widowControl/>
        <w:spacing w:before="357" w:line="280" w:lineRule="exact"/>
        <w:ind w:firstLine="560"/>
        <w:jc w:val="right"/>
        <w:rPr>
          <w:rFonts w:ascii="黑体" w:hAnsi="黑体" w:eastAsia="黑体" w:cs="Times New Roman"/>
          <w:kern w:val="0"/>
          <w:sz w:val="28"/>
          <w:szCs w:val="28"/>
          <w:highlight w:val="none"/>
        </w:rPr>
      </w:pPr>
    </w:p>
    <w:p w14:paraId="65C308B9">
      <w:pPr>
        <w:framePr w:w="9189" w:h="926" w:hRule="exact" w:hSpace="284" w:wrap="around" w:vAnchor="page" w:hAnchor="page" w:x="1383" w:y="3190" w:anchorLock="1"/>
        <w:widowControl/>
        <w:spacing w:before="357" w:line="280" w:lineRule="exact"/>
        <w:ind w:firstLine="560"/>
        <w:jc w:val="right"/>
        <w:rPr>
          <w:rFonts w:ascii="黑体" w:hAnsi="黑体" w:eastAsia="黑体" w:cs="Times New Roman"/>
          <w:kern w:val="0"/>
          <w:sz w:val="28"/>
          <w:szCs w:val="28"/>
          <w:highlight w:val="none"/>
        </w:rPr>
      </w:pPr>
    </w:p>
    <w:p w14:paraId="6ADF7EC3">
      <w:pPr>
        <w:framePr w:w="9639" w:h="6917" w:hRule="exact" w:wrap="around" w:vAnchor="page" w:hAnchor="page" w:x="1213" w:y="4681" w:anchorLock="1"/>
        <w:spacing w:line="680" w:lineRule="exact"/>
        <w:ind w:firstLine="0" w:firstLineChars="0"/>
        <w:jc w:val="center"/>
        <w:textAlignment w:val="center"/>
        <w:rPr>
          <w:rFonts w:hint="eastAsia" w:ascii="黑体" w:hAnsi="Times New Roman" w:eastAsia="黑体" w:cs="Times New Roman"/>
          <w:kern w:val="0"/>
          <w:sz w:val="52"/>
          <w:szCs w:val="20"/>
          <w:highlight w:val="none"/>
          <w:lang w:val="en-US" w:eastAsia="zh-CN"/>
        </w:rPr>
      </w:pPr>
      <w:r>
        <w:rPr>
          <w:rFonts w:ascii="黑体" w:hAnsi="Times New Roman" w:eastAsia="黑体" w:cs="Times New Roman"/>
          <w:kern w:val="0"/>
          <w:sz w:val="52"/>
          <w:szCs w:val="20"/>
          <w:highlight w:val="none"/>
        </w:rPr>
        <w:t>能源企业</w:t>
      </w:r>
      <w:r>
        <w:rPr>
          <w:rFonts w:hint="eastAsia" w:ascii="黑体" w:hAnsi="Times New Roman" w:eastAsia="黑体" w:cs="Times New Roman"/>
          <w:kern w:val="0"/>
          <w:sz w:val="52"/>
          <w:szCs w:val="20"/>
          <w:highlight w:val="none"/>
        </w:rPr>
        <w:t>绿色</w:t>
      </w:r>
      <w:r>
        <w:rPr>
          <w:rFonts w:ascii="黑体" w:hAnsi="Times New Roman" w:eastAsia="黑体" w:cs="Times New Roman"/>
          <w:kern w:val="0"/>
          <w:sz w:val="52"/>
          <w:szCs w:val="20"/>
          <w:highlight w:val="none"/>
        </w:rPr>
        <w:t>供应链数字化平台技术</w:t>
      </w:r>
      <w:r>
        <w:rPr>
          <w:rFonts w:hint="eastAsia" w:ascii="黑体" w:hAnsi="Times New Roman" w:eastAsia="黑体" w:cs="Times New Roman"/>
          <w:kern w:val="0"/>
          <w:sz w:val="52"/>
          <w:szCs w:val="20"/>
          <w:highlight w:val="none"/>
          <w:lang w:val="en-US" w:eastAsia="zh-CN"/>
        </w:rPr>
        <w:t>要求</w:t>
      </w:r>
    </w:p>
    <w:p w14:paraId="2674E8BF">
      <w:pPr>
        <w:framePr w:w="9639" w:h="6917" w:hRule="exact" w:wrap="around" w:vAnchor="page" w:hAnchor="page" w:x="1213" w:y="4681" w:anchorLock="1"/>
        <w:spacing w:before="370" w:line="400" w:lineRule="exact"/>
        <w:ind w:firstLine="0" w:firstLineChars="0"/>
        <w:jc w:val="center"/>
        <w:textAlignment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 xml:space="preserve">Technical </w:t>
      </w:r>
      <w:r>
        <w:rPr>
          <w:rFonts w:hint="default" w:ascii="Times New Roman" w:hAnsi="Times New Roman" w:eastAsia="黑体" w:cs="Times New Roman"/>
          <w:kern w:val="0"/>
          <w:sz w:val="28"/>
          <w:szCs w:val="28"/>
          <w:highlight w:val="none"/>
          <w:lang w:val="en-US" w:eastAsia="zh-CN"/>
        </w:rPr>
        <w:t>r</w:t>
      </w:r>
      <w:r>
        <w:rPr>
          <w:rFonts w:hint="default" w:ascii="Times New Roman" w:hAnsi="Times New Roman" w:eastAsia="黑体" w:cs="Times New Roman"/>
          <w:kern w:val="0"/>
          <w:sz w:val="28"/>
          <w:szCs w:val="28"/>
          <w:highlight w:val="none"/>
        </w:rPr>
        <w:t xml:space="preserve">equirements for the </w:t>
      </w:r>
      <w:r>
        <w:rPr>
          <w:rFonts w:hint="default" w:ascii="Times New Roman" w:hAnsi="Times New Roman" w:eastAsia="黑体" w:cs="Times New Roman"/>
          <w:kern w:val="0"/>
          <w:sz w:val="28"/>
          <w:szCs w:val="28"/>
          <w:highlight w:val="none"/>
          <w:lang w:val="en-US" w:eastAsia="zh-CN"/>
        </w:rPr>
        <w:t>d</w:t>
      </w:r>
      <w:r>
        <w:rPr>
          <w:rFonts w:hint="default" w:ascii="Times New Roman" w:hAnsi="Times New Roman" w:eastAsia="黑体" w:cs="Times New Roman"/>
          <w:kern w:val="0"/>
          <w:sz w:val="28"/>
          <w:szCs w:val="28"/>
          <w:highlight w:val="none"/>
        </w:rPr>
        <w:t xml:space="preserve">igital </w:t>
      </w:r>
      <w:r>
        <w:rPr>
          <w:rFonts w:hint="default" w:ascii="Times New Roman" w:hAnsi="Times New Roman" w:eastAsia="黑体" w:cs="Times New Roman"/>
          <w:kern w:val="0"/>
          <w:sz w:val="28"/>
          <w:szCs w:val="28"/>
          <w:highlight w:val="none"/>
          <w:lang w:val="en-US" w:eastAsia="zh-CN"/>
        </w:rPr>
        <w:t>p</w:t>
      </w:r>
      <w:r>
        <w:rPr>
          <w:rFonts w:hint="default" w:ascii="Times New Roman" w:hAnsi="Times New Roman" w:eastAsia="黑体" w:cs="Times New Roman"/>
          <w:kern w:val="0"/>
          <w:sz w:val="28"/>
          <w:szCs w:val="28"/>
          <w:highlight w:val="none"/>
        </w:rPr>
        <w:t xml:space="preserve">latform of </w:t>
      </w:r>
      <w:r>
        <w:rPr>
          <w:rFonts w:hint="default" w:ascii="Times New Roman" w:hAnsi="Times New Roman" w:eastAsia="黑体" w:cs="Times New Roman"/>
          <w:kern w:val="0"/>
          <w:sz w:val="28"/>
          <w:szCs w:val="28"/>
          <w:highlight w:val="none"/>
          <w:lang w:val="en-US" w:eastAsia="zh-CN"/>
        </w:rPr>
        <w:t>g</w:t>
      </w:r>
      <w:r>
        <w:rPr>
          <w:rFonts w:hint="default" w:ascii="Times New Roman" w:hAnsi="Times New Roman" w:eastAsia="黑体" w:cs="Times New Roman"/>
          <w:kern w:val="0"/>
          <w:sz w:val="28"/>
          <w:szCs w:val="28"/>
          <w:highlight w:val="none"/>
        </w:rPr>
        <w:t xml:space="preserve">reen </w:t>
      </w:r>
      <w:r>
        <w:rPr>
          <w:rFonts w:hint="default" w:ascii="Times New Roman" w:hAnsi="Times New Roman" w:eastAsia="黑体" w:cs="Times New Roman"/>
          <w:kern w:val="0"/>
          <w:sz w:val="28"/>
          <w:szCs w:val="28"/>
          <w:highlight w:val="none"/>
          <w:lang w:val="en-US" w:eastAsia="zh-CN"/>
        </w:rPr>
        <w:t>s</w:t>
      </w:r>
      <w:r>
        <w:rPr>
          <w:rFonts w:hint="default" w:ascii="Times New Roman" w:hAnsi="Times New Roman" w:eastAsia="黑体" w:cs="Times New Roman"/>
          <w:kern w:val="0"/>
          <w:sz w:val="28"/>
          <w:szCs w:val="28"/>
          <w:highlight w:val="none"/>
        </w:rPr>
        <w:t xml:space="preserve">upply </w:t>
      </w:r>
      <w:r>
        <w:rPr>
          <w:rFonts w:hint="default" w:ascii="Times New Roman" w:hAnsi="Times New Roman" w:eastAsia="黑体" w:cs="Times New Roman"/>
          <w:kern w:val="0"/>
          <w:sz w:val="28"/>
          <w:szCs w:val="28"/>
          <w:highlight w:val="none"/>
          <w:lang w:val="en-US" w:eastAsia="zh-CN"/>
        </w:rPr>
        <w:t>c</w:t>
      </w:r>
      <w:r>
        <w:rPr>
          <w:rFonts w:hint="default" w:ascii="Times New Roman" w:hAnsi="Times New Roman" w:eastAsia="黑体" w:cs="Times New Roman"/>
          <w:kern w:val="0"/>
          <w:sz w:val="28"/>
          <w:szCs w:val="28"/>
          <w:highlight w:val="none"/>
        </w:rPr>
        <w:t xml:space="preserve">hain in </w:t>
      </w:r>
      <w:r>
        <w:rPr>
          <w:rFonts w:hint="default" w:ascii="Times New Roman" w:hAnsi="Times New Roman" w:eastAsia="黑体" w:cs="Times New Roman"/>
          <w:kern w:val="0"/>
          <w:sz w:val="28"/>
          <w:szCs w:val="28"/>
          <w:highlight w:val="none"/>
          <w:lang w:val="en-US" w:eastAsia="zh-CN"/>
        </w:rPr>
        <w:t>e</w:t>
      </w:r>
      <w:r>
        <w:rPr>
          <w:rFonts w:hint="default" w:ascii="Times New Roman" w:hAnsi="Times New Roman" w:eastAsia="黑体" w:cs="Times New Roman"/>
          <w:kern w:val="0"/>
          <w:sz w:val="28"/>
          <w:szCs w:val="28"/>
          <w:highlight w:val="none"/>
        </w:rPr>
        <w:t xml:space="preserve">nergy </w:t>
      </w:r>
      <w:r>
        <w:rPr>
          <w:rFonts w:hint="default" w:ascii="Times New Roman" w:hAnsi="Times New Roman" w:eastAsia="黑体" w:cs="Times New Roman"/>
          <w:kern w:val="0"/>
          <w:sz w:val="28"/>
          <w:szCs w:val="28"/>
          <w:highlight w:val="none"/>
          <w:lang w:val="en-US" w:eastAsia="zh-CN"/>
        </w:rPr>
        <w:t>e</w:t>
      </w:r>
      <w:r>
        <w:rPr>
          <w:rFonts w:hint="default" w:ascii="Times New Roman" w:hAnsi="Times New Roman" w:eastAsia="黑体" w:cs="Times New Roman"/>
          <w:kern w:val="0"/>
          <w:sz w:val="28"/>
          <w:szCs w:val="28"/>
          <w:highlight w:val="none"/>
        </w:rPr>
        <w:t>nterprises</w:t>
      </w:r>
    </w:p>
    <w:p w14:paraId="16B69A78">
      <w:pPr>
        <w:framePr w:w="9639" w:h="6917" w:hRule="exact" w:wrap="around" w:vAnchor="page" w:hAnchor="page" w:x="1213" w:y="4681" w:anchorLock="1"/>
        <w:spacing w:before="370" w:line="400" w:lineRule="exact"/>
        <w:ind w:firstLine="0" w:firstLineChars="0"/>
        <w:jc w:val="center"/>
        <w:textAlignment w:val="center"/>
        <w:rPr>
          <w:rFonts w:ascii="Times New Roman" w:hAnsi="Times New Roman" w:eastAsia="黑体" w:cs="Times New Roman"/>
          <w:kern w:val="0"/>
          <w:sz w:val="28"/>
          <w:szCs w:val="28"/>
          <w:highlight w:val="none"/>
        </w:rPr>
      </w:pPr>
    </w:p>
    <w:p w14:paraId="32DFF245">
      <w:pPr>
        <w:framePr w:w="9639" w:h="6917" w:hRule="exact" w:wrap="around" w:vAnchor="page" w:hAnchor="page" w:x="1213" w:y="4681" w:anchorLock="1"/>
        <w:spacing w:before="440" w:line="400" w:lineRule="exact"/>
        <w:ind w:firstLine="560"/>
        <w:jc w:val="center"/>
        <w:textAlignment w:val="center"/>
        <w:rPr>
          <w:rFonts w:ascii="宋体" w:hAnsi="Times New Roman" w:eastAsia="宋体" w:cs="Times New Roman"/>
          <w:kern w:val="0"/>
          <w:sz w:val="28"/>
          <w:szCs w:val="28"/>
          <w:highlight w:val="none"/>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EB5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9B3D34">
            <w:pPr>
              <w:framePr w:w="9639" w:h="6917" w:hRule="exact" w:wrap="around" w:vAnchor="page" w:hAnchor="page" w:x="1213" w:y="4681" w:anchorLock="1"/>
              <w:spacing w:before="440" w:after="160"/>
              <w:ind w:firstLine="480"/>
              <w:jc w:val="center"/>
              <w:textAlignment w:val="center"/>
              <w:rPr>
                <w:rFonts w:ascii="宋体" w:hAnsi="Times New Roman" w:eastAsia="宋体" w:cs="Times New Roman"/>
                <w:kern w:val="0"/>
                <w:sz w:val="24"/>
                <w:szCs w:val="28"/>
                <w:highlight w:val="none"/>
              </w:rPr>
            </w:pPr>
            <w:r>
              <w:rPr>
                <w:rFonts w:ascii="宋体" w:hAnsi="Times New Roman" w:eastAsia="宋体" w:cs="Times New Roman"/>
                <w:kern w:val="0"/>
                <w:sz w:val="24"/>
                <w:szCs w:val="28"/>
                <w:highlight w:val="none"/>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ia6S1QAAAAoBAAAPAAAA&#10;AAAAAAEAIAAAACIAAABkcnMvZG93bnJldi54bWxQSwECFAAUAAAACACHTuJAlD0aGhgCAAAmBAAA&#10;DgAAAAAAAAABACAAAAAkAQAAZHJzL2Uyb0RvYy54bWxQSwUGAAAAAAYABgBZAQAArgUAAAAA&#10;">
                      <v:fill on="t" focussize="0,0"/>
                      <v:stroke on="f"/>
                      <v:imagedata o:title=""/>
                      <o:lock v:ext="edit" aspectratio="f"/>
                      <w10:anchorlock/>
                    </v:rect>
                  </w:pict>
                </mc:Fallback>
              </mc:AlternateContent>
            </w:r>
            <w:r>
              <w:rPr>
                <w:rFonts w:ascii="宋体" w:hAnsi="Times New Roman" w:eastAsia="宋体" w:cs="Times New Roman"/>
                <w:kern w:val="0"/>
                <w:sz w:val="24"/>
                <w:szCs w:val="28"/>
                <w:highlight w:val="none"/>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GL5dYAAAAJAQAADwAA&#10;AAAAAAABACAAAAAiAAAAZHJzL2Rvd25yZXYueG1sUEsBAhQAFAAAAAgAh07iQG/f3IsYAgAAJgQA&#10;AA4AAAAAAAAAAQAgAAAAJQEAAGRycy9lMm9Eb2MueG1sUEsFBgAAAAAGAAYAWQEAAK8FAAAAAA==&#10;">
                      <v:fill on="t" focussize="0,0"/>
                      <v:stroke on="f"/>
                      <v:imagedata o:title=""/>
                      <o:lock v:ext="edit" aspectratio="f"/>
                    </v:rect>
                  </w:pict>
                </mc:Fallback>
              </mc:AlternateContent>
            </w:r>
          </w:p>
        </w:tc>
      </w:tr>
      <w:tr w14:paraId="7372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D3A3CBA">
            <w:pPr>
              <w:framePr w:w="9639" w:h="6917" w:hRule="exact" w:wrap="around" w:vAnchor="page" w:hAnchor="page" w:x="1213" w:y="4681" w:anchorLock="1"/>
              <w:spacing w:before="180" w:after="160" w:line="180" w:lineRule="exact"/>
              <w:ind w:firstLine="420"/>
              <w:jc w:val="center"/>
              <w:textAlignment w:val="center"/>
              <w:rPr>
                <w:rFonts w:ascii="宋体" w:hAnsi="Times New Roman" w:eastAsia="宋体" w:cs="Times New Roman"/>
                <w:kern w:val="0"/>
                <w:szCs w:val="28"/>
                <w:highlight w:val="none"/>
              </w:rPr>
            </w:pPr>
          </w:p>
        </w:tc>
      </w:tr>
    </w:tbl>
    <w:p w14:paraId="09F4F4AA">
      <w:pPr>
        <w:framePr w:w="3997" w:h="471" w:hRule="exact" w:vSpace="181" w:wrap="around" w:vAnchor="page" w:hAnchor="page" w:x="1132" w:y="14081" w:anchorLock="1"/>
        <w:widowControl/>
        <w:ind w:firstLine="560"/>
        <w:jc w:val="left"/>
        <w:rPr>
          <w:rFonts w:ascii="Times New Roman" w:hAnsi="Times New Roman" w:eastAsia="黑体" w:cs="Times New Roman"/>
          <w:kern w:val="0"/>
          <w:sz w:val="28"/>
          <w:szCs w:val="20"/>
          <w:highlight w:val="none"/>
        </w:rPr>
      </w:pPr>
      <w:r>
        <w:rPr>
          <w:rFonts w:ascii="黑体" w:hAnsi="Times New Roman" w:eastAsia="黑体" w:cs="Times New Roman"/>
          <w:kern w:val="0"/>
          <w:sz w:val="28"/>
          <w:szCs w:val="20"/>
          <w:highlight w:val="none"/>
        </w:rPr>
        <w:fldChar w:fldCharType="begin">
          <w:ffData>
            <w:name w:val="FY"/>
            <w:enabled/>
            <w:calcOnExit w:val="0"/>
            <w:entryMacro w:val="ShowHelp8"/>
            <w:textInput>
              <w:default w:val="××××"/>
              <w:maxLength w:val="4"/>
            </w:textInput>
          </w:ffData>
        </w:fldChar>
      </w:r>
      <w:bookmarkStart w:id="6" w:name="FY"/>
      <w:r>
        <w:rPr>
          <w:rFonts w:ascii="黑体" w:hAnsi="Times New Roman" w:eastAsia="黑体" w:cs="Times New Roman"/>
          <w:kern w:val="0"/>
          <w:sz w:val="28"/>
          <w:szCs w:val="20"/>
          <w:highlight w:val="none"/>
        </w:rPr>
        <w:instrText xml:space="preserve"> FORMTEXT </w:instrText>
      </w:r>
      <w:r>
        <w:rPr>
          <w:rFonts w:ascii="黑体" w:hAnsi="Times New Roman" w:eastAsia="黑体" w:cs="Times New Roman"/>
          <w:kern w:val="0"/>
          <w:sz w:val="28"/>
          <w:szCs w:val="20"/>
          <w:highlight w:val="none"/>
        </w:rPr>
        <w:fldChar w:fldCharType="separate"/>
      </w:r>
      <w:r>
        <w:rPr>
          <w:rFonts w:ascii="黑体" w:hAnsi="Times New Roman" w:eastAsia="黑体" w:cs="Times New Roman"/>
          <w:kern w:val="0"/>
          <w:sz w:val="28"/>
          <w:szCs w:val="20"/>
          <w:highlight w:val="none"/>
        </w:rPr>
        <w:t>××××</w:t>
      </w:r>
      <w:r>
        <w:rPr>
          <w:rFonts w:ascii="黑体" w:hAnsi="Times New Roman" w:eastAsia="黑体" w:cs="Times New Roman"/>
          <w:kern w:val="0"/>
          <w:sz w:val="28"/>
          <w:szCs w:val="20"/>
          <w:highlight w:val="none"/>
        </w:rPr>
        <w:fldChar w:fldCharType="end"/>
      </w:r>
      <w:bookmarkEnd w:id="6"/>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t>-</w:t>
      </w:r>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fldChar w:fldCharType="begin">
          <w:ffData>
            <w:name w:val="FM"/>
            <w:enabled/>
            <w:calcOnExit w:val="0"/>
            <w:entryMacro w:val="ShowHelp8"/>
            <w:textInput>
              <w:default w:val="××"/>
              <w:maxLength w:val="2"/>
            </w:textInput>
          </w:ffData>
        </w:fldChar>
      </w:r>
      <w:r>
        <w:rPr>
          <w:rFonts w:ascii="黑体" w:hAnsi="Times New Roman" w:eastAsia="黑体" w:cs="Times New Roman"/>
          <w:kern w:val="0"/>
          <w:sz w:val="28"/>
          <w:szCs w:val="20"/>
          <w:highlight w:val="none"/>
        </w:rPr>
        <w:instrText xml:space="preserve"> FORMTEXT </w:instrText>
      </w:r>
      <w:r>
        <w:rPr>
          <w:rFonts w:ascii="黑体" w:hAnsi="Times New Roman" w:eastAsia="黑体" w:cs="Times New Roman"/>
          <w:kern w:val="0"/>
          <w:sz w:val="28"/>
          <w:szCs w:val="20"/>
          <w:highlight w:val="none"/>
        </w:rPr>
        <w:fldChar w:fldCharType="separate"/>
      </w:r>
      <w:r>
        <w:rPr>
          <w:rFonts w:ascii="黑体" w:hAnsi="Times New Roman" w:eastAsia="黑体" w:cs="Times New Roman"/>
          <w:kern w:val="0"/>
          <w:sz w:val="28"/>
          <w:szCs w:val="20"/>
          <w:highlight w:val="none"/>
        </w:rPr>
        <w:t>××</w:t>
      </w:r>
      <w:r>
        <w:rPr>
          <w:rFonts w:ascii="黑体" w:hAnsi="Times New Roman" w:eastAsia="黑体" w:cs="Times New Roman"/>
          <w:kern w:val="0"/>
          <w:sz w:val="28"/>
          <w:szCs w:val="20"/>
          <w:highlight w:val="none"/>
        </w:rPr>
        <w:fldChar w:fldCharType="end"/>
      </w:r>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t>-</w:t>
      </w:r>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fldChar w:fldCharType="begin">
          <w:ffData>
            <w:name w:val="FD"/>
            <w:enabled/>
            <w:calcOnExit w:val="0"/>
            <w:entryMacro w:val="ShowHelp8"/>
            <w:textInput>
              <w:default w:val="××"/>
              <w:maxLength w:val="2"/>
            </w:textInput>
          </w:ffData>
        </w:fldChar>
      </w:r>
      <w:bookmarkStart w:id="7" w:name="FD"/>
      <w:r>
        <w:rPr>
          <w:rFonts w:ascii="黑体" w:hAnsi="Times New Roman" w:eastAsia="黑体" w:cs="Times New Roman"/>
          <w:kern w:val="0"/>
          <w:sz w:val="28"/>
          <w:szCs w:val="20"/>
          <w:highlight w:val="none"/>
        </w:rPr>
        <w:instrText xml:space="preserve"> FORMTEXT </w:instrText>
      </w:r>
      <w:r>
        <w:rPr>
          <w:rFonts w:ascii="黑体" w:hAnsi="Times New Roman" w:eastAsia="黑体" w:cs="Times New Roman"/>
          <w:kern w:val="0"/>
          <w:sz w:val="28"/>
          <w:szCs w:val="20"/>
          <w:highlight w:val="none"/>
        </w:rPr>
        <w:fldChar w:fldCharType="separate"/>
      </w:r>
      <w:r>
        <w:rPr>
          <w:rFonts w:ascii="黑体" w:hAnsi="Times New Roman" w:eastAsia="黑体" w:cs="Times New Roman"/>
          <w:kern w:val="0"/>
          <w:sz w:val="28"/>
          <w:szCs w:val="20"/>
          <w:highlight w:val="none"/>
        </w:rPr>
        <w:t>××</w:t>
      </w:r>
      <w:r>
        <w:rPr>
          <w:rFonts w:ascii="黑体" w:hAnsi="Times New Roman" w:eastAsia="黑体" w:cs="Times New Roman"/>
          <w:kern w:val="0"/>
          <w:sz w:val="28"/>
          <w:szCs w:val="20"/>
          <w:highlight w:val="none"/>
        </w:rPr>
        <w:fldChar w:fldCharType="end"/>
      </w:r>
      <w:bookmarkEnd w:id="7"/>
      <w:r>
        <w:rPr>
          <w:rFonts w:hint="eastAsia" w:ascii="Times New Roman" w:hAnsi="Times New Roman" w:eastAsia="黑体" w:cs="Times New Roman"/>
          <w:kern w:val="0"/>
          <w:sz w:val="28"/>
          <w:szCs w:val="20"/>
          <w:highlight w:val="none"/>
        </w:rPr>
        <w:t>发布</w:t>
      </w:r>
      <w:r>
        <w:rPr>
          <w:rFonts w:ascii="Times New Roman" w:hAnsi="Times New Roman" w:eastAsia="黑体" w:cs="Times New Roman"/>
          <w:kern w:val="0"/>
          <w:sz w:val="28"/>
          <w:szCs w:val="20"/>
          <w:highlight w:val="none"/>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-6250940</wp:posOffset>
                </wp:positionV>
                <wp:extent cx="6120130" cy="0"/>
                <wp:effectExtent l="12700" t="13335" r="10795" b="1524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05pt;margin-top:-492.2pt;height:0pt;width:481.9pt;z-index:251663360;mso-width-relative:page;mso-height-relative:page;" filled="f" stroked="t" coordsize="21600,21600" o:gfxdata="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wOQedYA&#10;AAALAQAADwAAAAAAAAABACAAAAAiAAAAZHJzL2Rvd25yZXYueG1sUEsBAhQAFAAAAAgAh07iQIHw&#10;YqboAQAAtgMAAA4AAAAAAAAAAQAgAAAAJQEAAGRycy9lMm9Eb2MueG1sUEsFBgAAAAAGAAYAWQEA&#10;AH8FAAAAAA==&#10;">
                <v:fill on="f" focussize="0,0"/>
                <v:stroke weight="1.5pt" color="#000000" joinstyle="round"/>
                <v:imagedata o:title=""/>
                <o:lock v:ext="edit" aspectratio="f"/>
              </v:line>
            </w:pict>
          </mc:Fallback>
        </mc:AlternateContent>
      </w:r>
    </w:p>
    <w:p w14:paraId="3DB35EE1">
      <w:pPr>
        <w:framePr w:w="3997" w:h="471" w:hRule="exact" w:vSpace="181" w:wrap="around" w:vAnchor="page" w:hAnchor="page" w:x="6749" w:y="14020"/>
        <w:widowControl/>
        <w:ind w:firstLine="560"/>
        <w:jc w:val="right"/>
        <w:rPr>
          <w:rFonts w:ascii="Times New Roman" w:hAnsi="Times New Roman" w:eastAsia="黑体" w:cs="Times New Roman"/>
          <w:kern w:val="0"/>
          <w:sz w:val="28"/>
          <w:szCs w:val="20"/>
          <w:highlight w:val="none"/>
        </w:rPr>
      </w:pPr>
      <w:r>
        <w:rPr>
          <w:rFonts w:ascii="黑体" w:hAnsi="Times New Roman" w:eastAsia="黑体" w:cs="Times New Roman"/>
          <w:kern w:val="0"/>
          <w:sz w:val="28"/>
          <w:szCs w:val="20"/>
          <w:highlight w:val="none"/>
        </w:rPr>
        <w:fldChar w:fldCharType="begin">
          <w:ffData>
            <w:name w:val="SY"/>
            <w:enabled/>
            <w:calcOnExit w:val="0"/>
            <w:entryMacro w:val="ShowHelp9"/>
            <w:textInput>
              <w:default w:val="××××"/>
              <w:maxLength w:val="4"/>
            </w:textInput>
          </w:ffData>
        </w:fldChar>
      </w:r>
      <w:bookmarkStart w:id="8" w:name="SY"/>
      <w:r>
        <w:rPr>
          <w:rFonts w:ascii="黑体" w:hAnsi="Times New Roman" w:eastAsia="黑体" w:cs="Times New Roman"/>
          <w:kern w:val="0"/>
          <w:sz w:val="28"/>
          <w:szCs w:val="20"/>
          <w:highlight w:val="none"/>
        </w:rPr>
        <w:instrText xml:space="preserve"> FORMTEXT </w:instrText>
      </w:r>
      <w:r>
        <w:rPr>
          <w:rFonts w:ascii="黑体" w:hAnsi="Times New Roman" w:eastAsia="黑体" w:cs="Times New Roman"/>
          <w:kern w:val="0"/>
          <w:sz w:val="28"/>
          <w:szCs w:val="20"/>
          <w:highlight w:val="none"/>
        </w:rPr>
        <w:fldChar w:fldCharType="separate"/>
      </w:r>
      <w:r>
        <w:rPr>
          <w:rFonts w:ascii="黑体" w:hAnsi="Times New Roman" w:eastAsia="黑体" w:cs="Times New Roman"/>
          <w:kern w:val="0"/>
          <w:sz w:val="28"/>
          <w:szCs w:val="20"/>
          <w:highlight w:val="none"/>
        </w:rPr>
        <w:t>××××</w:t>
      </w:r>
      <w:r>
        <w:rPr>
          <w:rFonts w:ascii="黑体" w:hAnsi="Times New Roman" w:eastAsia="黑体" w:cs="Times New Roman"/>
          <w:kern w:val="0"/>
          <w:sz w:val="28"/>
          <w:szCs w:val="20"/>
          <w:highlight w:val="none"/>
        </w:rPr>
        <w:fldChar w:fldCharType="end"/>
      </w:r>
      <w:bookmarkEnd w:id="8"/>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t>-</w:t>
      </w:r>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fldChar w:fldCharType="begin">
          <w:ffData>
            <w:name w:val="SM"/>
            <w:enabled/>
            <w:calcOnExit w:val="0"/>
            <w:entryMacro w:val="ShowHelp9"/>
            <w:textInput>
              <w:default w:val="××"/>
              <w:maxLength w:val="2"/>
            </w:textInput>
          </w:ffData>
        </w:fldChar>
      </w:r>
      <w:bookmarkStart w:id="9" w:name="SM"/>
      <w:r>
        <w:rPr>
          <w:rFonts w:ascii="黑体" w:hAnsi="Times New Roman" w:eastAsia="黑体" w:cs="Times New Roman"/>
          <w:kern w:val="0"/>
          <w:sz w:val="28"/>
          <w:szCs w:val="20"/>
          <w:highlight w:val="none"/>
        </w:rPr>
        <w:instrText xml:space="preserve"> FORMTEXT </w:instrText>
      </w:r>
      <w:r>
        <w:rPr>
          <w:rFonts w:ascii="黑体" w:hAnsi="Times New Roman" w:eastAsia="黑体" w:cs="Times New Roman"/>
          <w:kern w:val="0"/>
          <w:sz w:val="28"/>
          <w:szCs w:val="20"/>
          <w:highlight w:val="none"/>
        </w:rPr>
        <w:fldChar w:fldCharType="separate"/>
      </w:r>
      <w:r>
        <w:rPr>
          <w:rFonts w:ascii="黑体" w:hAnsi="Times New Roman" w:eastAsia="黑体" w:cs="Times New Roman"/>
          <w:kern w:val="0"/>
          <w:sz w:val="28"/>
          <w:szCs w:val="20"/>
          <w:highlight w:val="none"/>
        </w:rPr>
        <w:t>××</w:t>
      </w:r>
      <w:r>
        <w:rPr>
          <w:rFonts w:ascii="黑体" w:hAnsi="Times New Roman" w:eastAsia="黑体" w:cs="Times New Roman"/>
          <w:kern w:val="0"/>
          <w:sz w:val="28"/>
          <w:szCs w:val="20"/>
          <w:highlight w:val="none"/>
        </w:rPr>
        <w:fldChar w:fldCharType="end"/>
      </w:r>
      <w:bookmarkEnd w:id="9"/>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t>-</w:t>
      </w:r>
      <w:r>
        <w:rPr>
          <w:rFonts w:ascii="Times New Roman" w:hAnsi="Times New Roman" w:eastAsia="黑体" w:cs="Times New Roman"/>
          <w:kern w:val="0"/>
          <w:sz w:val="28"/>
          <w:szCs w:val="20"/>
          <w:highlight w:val="none"/>
        </w:rPr>
        <w:t xml:space="preserve"> </w:t>
      </w:r>
      <w:r>
        <w:rPr>
          <w:rFonts w:ascii="黑体" w:hAnsi="Times New Roman" w:eastAsia="黑体" w:cs="Times New Roman"/>
          <w:kern w:val="0"/>
          <w:sz w:val="28"/>
          <w:szCs w:val="20"/>
          <w:highlight w:val="none"/>
        </w:rPr>
        <w:fldChar w:fldCharType="begin">
          <w:ffData>
            <w:name w:val="SD"/>
            <w:enabled/>
            <w:calcOnExit w:val="0"/>
            <w:entryMacro w:val="ShowHelp9"/>
            <w:textInput>
              <w:default w:val="××"/>
              <w:maxLength w:val="2"/>
            </w:textInput>
          </w:ffData>
        </w:fldChar>
      </w:r>
      <w:bookmarkStart w:id="10" w:name="SD"/>
      <w:r>
        <w:rPr>
          <w:rFonts w:ascii="黑体" w:hAnsi="Times New Roman" w:eastAsia="黑体" w:cs="Times New Roman"/>
          <w:kern w:val="0"/>
          <w:sz w:val="28"/>
          <w:szCs w:val="20"/>
          <w:highlight w:val="none"/>
        </w:rPr>
        <w:instrText xml:space="preserve"> FORMTEXT </w:instrText>
      </w:r>
      <w:r>
        <w:rPr>
          <w:rFonts w:ascii="黑体" w:hAnsi="Times New Roman" w:eastAsia="黑体" w:cs="Times New Roman"/>
          <w:kern w:val="0"/>
          <w:sz w:val="28"/>
          <w:szCs w:val="20"/>
          <w:highlight w:val="none"/>
        </w:rPr>
        <w:fldChar w:fldCharType="separate"/>
      </w:r>
      <w:r>
        <w:rPr>
          <w:rFonts w:ascii="黑体" w:hAnsi="Times New Roman" w:eastAsia="黑体" w:cs="Times New Roman"/>
          <w:kern w:val="0"/>
          <w:sz w:val="28"/>
          <w:szCs w:val="20"/>
          <w:highlight w:val="none"/>
        </w:rPr>
        <w:t>××</w:t>
      </w:r>
      <w:r>
        <w:rPr>
          <w:rFonts w:ascii="黑体" w:hAnsi="Times New Roman" w:eastAsia="黑体" w:cs="Times New Roman"/>
          <w:kern w:val="0"/>
          <w:sz w:val="28"/>
          <w:szCs w:val="20"/>
          <w:highlight w:val="none"/>
        </w:rPr>
        <w:fldChar w:fldCharType="end"/>
      </w:r>
      <w:bookmarkEnd w:id="10"/>
      <w:r>
        <w:rPr>
          <w:rFonts w:hint="eastAsia" w:ascii="Times New Roman" w:hAnsi="Times New Roman" w:eastAsia="黑体" w:cs="Times New Roman"/>
          <w:kern w:val="0"/>
          <w:sz w:val="28"/>
          <w:szCs w:val="20"/>
          <w:highlight w:val="none"/>
        </w:rPr>
        <w:t>实施</w:t>
      </w:r>
    </w:p>
    <w:p w14:paraId="13DE88F4">
      <w:pPr>
        <w:framePr w:w="7938" w:h="758" w:hRule="exact" w:hSpace="125" w:vSpace="181" w:wrap="around" w:vAnchor="page" w:hAnchor="page" w:x="2150" w:y="15310" w:anchorLock="1"/>
        <w:widowControl/>
        <w:spacing w:line="0" w:lineRule="atLeast"/>
        <w:ind w:firstLine="940"/>
        <w:jc w:val="center"/>
        <w:rPr>
          <w:rFonts w:ascii="黑体" w:hAnsi="Times New Roman" w:eastAsia="黑体" w:cs="Times New Roman"/>
          <w:spacing w:val="20"/>
          <w:w w:val="135"/>
          <w:kern w:val="0"/>
          <w:sz w:val="28"/>
          <w:szCs w:val="20"/>
          <w:highlight w:val="none"/>
        </w:rPr>
      </w:pPr>
      <w:r>
        <w:rPr>
          <w:rFonts w:hint="eastAsia" w:ascii="黑体" w:hAnsi="Times New Roman" w:eastAsia="黑体" w:cs="Times New Roman"/>
          <w:spacing w:val="20"/>
          <w:w w:val="135"/>
          <w:kern w:val="0"/>
          <w:sz w:val="32"/>
          <w:szCs w:val="32"/>
          <w:highlight w:val="none"/>
        </w:rPr>
        <w:t>X X X X X X X</w:t>
      </w:r>
      <w:r>
        <w:rPr>
          <w:rFonts w:ascii="黑体" w:hAnsi="Times New Roman" w:eastAsia="黑体" w:cs="Times New Roman"/>
          <w:spacing w:val="85"/>
          <w:kern w:val="0"/>
          <w:position w:val="3"/>
          <w:sz w:val="28"/>
          <w:szCs w:val="28"/>
          <w:highlight w:val="none"/>
        </w:rPr>
        <w:t xml:space="preserve"> </w:t>
      </w:r>
      <w:r>
        <w:rPr>
          <w:rFonts w:hint="eastAsia" w:ascii="黑体" w:hAnsi="Times New Roman" w:eastAsia="黑体" w:cs="Times New Roman"/>
          <w:spacing w:val="85"/>
          <w:kern w:val="0"/>
          <w:position w:val="3"/>
          <w:sz w:val="28"/>
          <w:szCs w:val="28"/>
          <w:highlight w:val="none"/>
        </w:rPr>
        <w:t>发布</w:t>
      </w:r>
    </w:p>
    <w:p w14:paraId="2E46EC7A">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567" w:right="1418" w:bottom="1134" w:left="1418" w:header="0" w:footer="0" w:gutter="0"/>
          <w:pgNumType w:start="1"/>
          <w:cols w:space="720" w:num="1"/>
          <w:docGrid w:type="lines" w:linePitch="312" w:charSpace="0"/>
        </w:sectPr>
      </w:pPr>
      <w:r>
        <w:rPr>
          <w:rFonts w:ascii="黑体" w:hAnsi="Times New Roman" w:eastAsia="宋体" w:cs="Times New Roman"/>
          <w:kern w:val="0"/>
          <w:szCs w:val="20"/>
          <w:highlight w:val="none"/>
        </w:rPr>
        <mc:AlternateContent>
          <mc:Choice Requires="wps">
            <w:drawing>
              <wp:anchor distT="0" distB="0" distL="114300" distR="114300" simplePos="0" relativeHeight="251664384" behindDoc="0" locked="0" layoutInCell="1" allowOverlap="1">
                <wp:simplePos x="0" y="0"/>
                <wp:positionH relativeFrom="column">
                  <wp:posOffset>-182245</wp:posOffset>
                </wp:positionH>
                <wp:positionV relativeFrom="paragraph">
                  <wp:posOffset>8891905</wp:posOffset>
                </wp:positionV>
                <wp:extent cx="6120130" cy="0"/>
                <wp:effectExtent l="13335" t="12700" r="10160"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35pt;margin-top:700.15pt;height:0pt;width:481.9pt;z-index:251664384;mso-width-relative:page;mso-height-relative:page;" filled="f" stroked="t" coordsize="21600,21600" o:gfxdata="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zNCtp5EQNfmWgSj65SXKjC064UJbCvSEuUvSUK4D9ICbFw9+I2j&#10;8JHyIN4a6v0qpHDy0zQzwGHz0rrct3PWv79t/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9FsP&#10;2AAAAA0BAAAPAAAAAAAAAAEAIAAAACIAAABkcnMvZG93bnJldi54bWxQSwECFAAUAAAACACHTuJA&#10;wy1wMugBAAC1AwAADgAAAAAAAAABACAAAAAnAQAAZHJzL2Uyb0RvYy54bWxQSwUGAAAAAAYABgBZ&#10;AQAAgQUAAAAA&#10;">
                <v:fill on="f" focussize="0,0"/>
                <v:stroke color="#000000" joinstyle="round"/>
                <v:imagedata o:title=""/>
                <o:lock v:ext="edit" aspectratio="f"/>
              </v:line>
            </w:pict>
          </mc:Fallback>
        </mc:AlternateContent>
      </w:r>
    </w:p>
    <w:p w14:paraId="57280CB4">
      <w:pPr>
        <w:keepNext/>
        <w:pageBreakBefore w:val="0"/>
        <w:widowControl/>
        <w:shd w:val="clear" w:color="FFFFFF" w:fill="FFFFFF"/>
        <w:spacing w:before="640" w:after="560" w:line="460" w:lineRule="exact"/>
        <w:ind w:firstLine="640"/>
        <w:jc w:val="center"/>
        <w:outlineLvl w:val="0"/>
        <w:rPr>
          <w:rFonts w:ascii="黑体" w:hAnsi="Times New Roman" w:eastAsia="黑体" w:cs="Times New Roman"/>
          <w:kern w:val="0"/>
          <w:sz w:val="32"/>
          <w:szCs w:val="20"/>
          <w:highlight w:val="none"/>
        </w:rPr>
      </w:pPr>
      <w:bookmarkStart w:id="11" w:name="_Toc525119157"/>
      <w:bookmarkStart w:id="12" w:name="_Toc525302990"/>
      <w:bookmarkStart w:id="13" w:name="_Toc134797687"/>
      <w:bookmarkStart w:id="14" w:name="_Toc12824"/>
      <w:r>
        <w:rPr>
          <w:rFonts w:hint="eastAsia" w:ascii="黑体" w:hAnsi="Times New Roman" w:eastAsia="黑体" w:cs="Times New Roman"/>
          <w:kern w:val="0"/>
          <w:sz w:val="32"/>
          <w:szCs w:val="20"/>
          <w:highlight w:val="none"/>
        </w:rPr>
        <w:t>目</w:t>
      </w:r>
      <w:bookmarkStart w:id="15" w:name="BKML"/>
      <w:r>
        <w:rPr>
          <w:rFonts w:ascii="黑体" w:hAnsi="黑体" w:eastAsia="黑体" w:cs="Times New Roman"/>
          <w:kern w:val="0"/>
          <w:sz w:val="32"/>
          <w:szCs w:val="20"/>
          <w:highlight w:val="none"/>
        </w:rPr>
        <w:t>  </w:t>
      </w:r>
      <w:r>
        <w:rPr>
          <w:rFonts w:hint="eastAsia" w:ascii="黑体" w:hAnsi="Times New Roman" w:eastAsia="黑体" w:cs="Times New Roman"/>
          <w:kern w:val="0"/>
          <w:sz w:val="32"/>
          <w:szCs w:val="20"/>
          <w:highlight w:val="none"/>
        </w:rPr>
        <w:t>次</w:t>
      </w:r>
      <w:bookmarkEnd w:id="11"/>
      <w:bookmarkEnd w:id="12"/>
      <w:bookmarkEnd w:id="13"/>
      <w:bookmarkEnd w:id="14"/>
      <w:bookmarkEnd w:id="15"/>
    </w:p>
    <w:p w14:paraId="66EF2E29">
      <w:pPr>
        <w:pStyle w:val="7"/>
        <w:tabs>
          <w:tab w:val="right" w:leader="dot" w:pos="9298"/>
        </w:tabs>
        <w:spacing w:line="360" w:lineRule="auto"/>
        <w:rPr>
          <w:highlight w:val="none"/>
        </w:rPr>
      </w:pPr>
      <w:r>
        <w:rPr>
          <w:rFonts w:ascii="宋体" w:hAnsi="Times New Roman" w:eastAsia="宋体" w:cs="Times New Roman"/>
          <w:szCs w:val="21"/>
          <w:highlight w:val="none"/>
        </w:rPr>
        <w:fldChar w:fldCharType="begin"/>
      </w:r>
      <w:r>
        <w:rPr>
          <w:rFonts w:ascii="宋体" w:hAnsi="Times New Roman" w:eastAsia="宋体" w:cs="Times New Roman"/>
          <w:szCs w:val="21"/>
          <w:highlight w:val="none"/>
        </w:rPr>
        <w:instrText xml:space="preserve"> TOC \o "1-3" \h \z \u </w:instrText>
      </w:r>
      <w:r>
        <w:rPr>
          <w:rFonts w:ascii="宋体" w:hAnsi="Times New Roman" w:eastAsia="宋体" w:cs="Times New Roman"/>
          <w:szCs w:val="21"/>
          <w:highlight w:val="none"/>
        </w:rPr>
        <w:fldChar w:fldCharType="separate"/>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_Toc30114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前</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言</w:t>
      </w:r>
      <w:r>
        <w:rPr>
          <w:highlight w:val="none"/>
        </w:rPr>
        <w:tab/>
      </w:r>
      <w:r>
        <w:rPr>
          <w:highlight w:val="none"/>
        </w:rPr>
        <w:fldChar w:fldCharType="begin"/>
      </w:r>
      <w:r>
        <w:rPr>
          <w:highlight w:val="none"/>
        </w:rPr>
        <w:instrText xml:space="preserve"> PAGEREF _Toc30114 \h </w:instrText>
      </w:r>
      <w:r>
        <w:rPr>
          <w:highlight w:val="none"/>
        </w:rPr>
        <w:fldChar w:fldCharType="separate"/>
      </w:r>
      <w:r>
        <w:rPr>
          <w:highlight w:val="none"/>
        </w:rPr>
        <w:t>II</w:t>
      </w:r>
      <w:r>
        <w:rPr>
          <w:highlight w:val="none"/>
        </w:rPr>
        <w:fldChar w:fldCharType="end"/>
      </w:r>
      <w:r>
        <w:rPr>
          <w:rFonts w:ascii="Times New Roman" w:hAnsi="Times New Roman" w:eastAsia="宋体" w:cs="Times New Roman"/>
          <w:szCs w:val="24"/>
          <w:highlight w:val="none"/>
        </w:rPr>
        <w:fldChar w:fldCharType="end"/>
      </w:r>
    </w:p>
    <w:p w14:paraId="6BD7C01E">
      <w:pPr>
        <w:pStyle w:val="7"/>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_Toc22229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引</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言</w:t>
      </w:r>
      <w:r>
        <w:rPr>
          <w:highlight w:val="none"/>
        </w:rPr>
        <w:tab/>
      </w:r>
      <w:r>
        <w:rPr>
          <w:highlight w:val="none"/>
        </w:rPr>
        <w:fldChar w:fldCharType="begin"/>
      </w:r>
      <w:r>
        <w:rPr>
          <w:highlight w:val="none"/>
        </w:rPr>
        <w:instrText xml:space="preserve"> PAGEREF _Toc22229 \h </w:instrText>
      </w:r>
      <w:r>
        <w:rPr>
          <w:highlight w:val="none"/>
        </w:rPr>
        <w:fldChar w:fldCharType="separate"/>
      </w:r>
      <w:r>
        <w:rPr>
          <w:highlight w:val="none"/>
        </w:rPr>
        <w:t>III</w:t>
      </w:r>
      <w:r>
        <w:rPr>
          <w:highlight w:val="none"/>
        </w:rPr>
        <w:fldChar w:fldCharType="end"/>
      </w:r>
      <w:r>
        <w:rPr>
          <w:rFonts w:ascii="Times New Roman" w:hAnsi="Times New Roman" w:eastAsia="宋体" w:cs="Times New Roman"/>
          <w:szCs w:val="24"/>
          <w:highlight w:val="none"/>
        </w:rPr>
        <w:fldChar w:fldCharType="end"/>
      </w:r>
    </w:p>
    <w:p w14:paraId="3F0959ED">
      <w:pPr>
        <w:pStyle w:val="7"/>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_Toc26674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能源企业绿色供应链数字化平台技术</w:t>
      </w:r>
      <w:r>
        <w:rPr>
          <w:rFonts w:hint="eastAsia" w:ascii="黑体" w:hAnsi="Times New Roman" w:eastAsia="黑体" w:cs="Times New Roman"/>
          <w:kern w:val="0"/>
          <w:szCs w:val="20"/>
          <w:highlight w:val="none"/>
          <w:lang w:val="en-US" w:eastAsia="zh-CN"/>
        </w:rPr>
        <w:t>要求</w:t>
      </w:r>
      <w:r>
        <w:rPr>
          <w:highlight w:val="none"/>
        </w:rPr>
        <w:tab/>
      </w:r>
      <w:r>
        <w:rPr>
          <w:highlight w:val="none"/>
        </w:rPr>
        <w:fldChar w:fldCharType="begin"/>
      </w:r>
      <w:r>
        <w:rPr>
          <w:highlight w:val="none"/>
        </w:rPr>
        <w:instrText xml:space="preserve"> PAGEREF _Toc26674 \h </w:instrText>
      </w:r>
      <w:r>
        <w:rPr>
          <w:highlight w:val="none"/>
        </w:rPr>
        <w:fldChar w:fldCharType="separate"/>
      </w:r>
      <w:r>
        <w:rPr>
          <w:highlight w:val="none"/>
        </w:rPr>
        <w:t>1</w:t>
      </w:r>
      <w:r>
        <w:rPr>
          <w:highlight w:val="none"/>
        </w:rPr>
        <w:fldChar w:fldCharType="end"/>
      </w:r>
      <w:r>
        <w:rPr>
          <w:rFonts w:ascii="Times New Roman" w:hAnsi="Times New Roman" w:eastAsia="宋体" w:cs="Times New Roman"/>
          <w:szCs w:val="24"/>
          <w:highlight w:val="none"/>
        </w:rPr>
        <w:fldChar w:fldCharType="end"/>
      </w:r>
    </w:p>
    <w:p w14:paraId="3CD92449">
      <w:pPr>
        <w:pStyle w:val="8"/>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_Toc11242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lang w:val="en-US" w:eastAsia="zh-CN"/>
        </w:rPr>
        <w:t xml:space="preserve">1  </w:t>
      </w:r>
      <w:r>
        <w:rPr>
          <w:rFonts w:hint="eastAsia" w:ascii="黑体" w:hAnsi="Times New Roman" w:eastAsia="黑体" w:cs="Times New Roman"/>
          <w:kern w:val="0"/>
          <w:szCs w:val="20"/>
          <w:highlight w:val="none"/>
        </w:rPr>
        <w:t>范围</w:t>
      </w:r>
      <w:r>
        <w:rPr>
          <w:highlight w:val="none"/>
        </w:rPr>
        <w:tab/>
      </w:r>
      <w:r>
        <w:rPr>
          <w:highlight w:val="none"/>
        </w:rPr>
        <w:fldChar w:fldCharType="begin"/>
      </w:r>
      <w:r>
        <w:rPr>
          <w:highlight w:val="none"/>
        </w:rPr>
        <w:instrText xml:space="preserve"> PAGEREF _Toc11242 \h </w:instrText>
      </w:r>
      <w:r>
        <w:rPr>
          <w:highlight w:val="none"/>
        </w:rPr>
        <w:fldChar w:fldCharType="separate"/>
      </w:r>
      <w:r>
        <w:rPr>
          <w:highlight w:val="none"/>
        </w:rPr>
        <w:t>1</w:t>
      </w:r>
      <w:r>
        <w:rPr>
          <w:highlight w:val="none"/>
        </w:rPr>
        <w:fldChar w:fldCharType="end"/>
      </w:r>
      <w:r>
        <w:rPr>
          <w:rFonts w:ascii="Times New Roman" w:hAnsi="Times New Roman" w:eastAsia="宋体" w:cs="Times New Roman"/>
          <w:szCs w:val="24"/>
          <w:highlight w:val="none"/>
        </w:rPr>
        <w:fldChar w:fldCharType="end"/>
      </w:r>
    </w:p>
    <w:p w14:paraId="39C2407E">
      <w:pPr>
        <w:pStyle w:val="8"/>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_Toc30024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2</w:t>
      </w:r>
      <w:r>
        <w:rPr>
          <w:rFonts w:hint="eastAsia" w:ascii="黑体" w:hAnsi="Times New Roman" w:eastAsia="黑体" w:cs="Times New Roman"/>
          <w:kern w:val="0"/>
          <w:szCs w:val="20"/>
          <w:highlight w:val="none"/>
          <w:lang w:val="en-US" w:eastAsia="zh-CN"/>
        </w:rPr>
        <w:t xml:space="preserve">  </w:t>
      </w:r>
      <w:r>
        <w:rPr>
          <w:rFonts w:hint="eastAsia" w:ascii="黑体" w:hAnsi="Times New Roman" w:eastAsia="黑体" w:cs="Times New Roman"/>
          <w:kern w:val="0"/>
          <w:szCs w:val="20"/>
          <w:highlight w:val="none"/>
        </w:rPr>
        <w:t>规范性引用文件</w:t>
      </w:r>
      <w:r>
        <w:rPr>
          <w:highlight w:val="none"/>
        </w:rPr>
        <w:tab/>
      </w:r>
      <w:r>
        <w:rPr>
          <w:highlight w:val="none"/>
        </w:rPr>
        <w:fldChar w:fldCharType="begin"/>
      </w:r>
      <w:r>
        <w:rPr>
          <w:highlight w:val="none"/>
        </w:rPr>
        <w:instrText xml:space="preserve"> PAGEREF _Toc30024 \h </w:instrText>
      </w:r>
      <w:r>
        <w:rPr>
          <w:highlight w:val="none"/>
        </w:rPr>
        <w:fldChar w:fldCharType="separate"/>
      </w:r>
      <w:r>
        <w:rPr>
          <w:highlight w:val="none"/>
        </w:rPr>
        <w:t>1</w:t>
      </w:r>
      <w:r>
        <w:rPr>
          <w:highlight w:val="none"/>
        </w:rPr>
        <w:fldChar w:fldCharType="end"/>
      </w:r>
      <w:r>
        <w:rPr>
          <w:rFonts w:ascii="Times New Roman" w:hAnsi="Times New Roman" w:eastAsia="宋体" w:cs="Times New Roman"/>
          <w:szCs w:val="24"/>
          <w:highlight w:val="none"/>
        </w:rPr>
        <w:fldChar w:fldCharType="end"/>
      </w:r>
    </w:p>
    <w:p w14:paraId="0980F24C">
      <w:pPr>
        <w:pStyle w:val="8"/>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_Toc10191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3</w:t>
      </w:r>
      <w:r>
        <w:rPr>
          <w:rFonts w:hint="eastAsia" w:ascii="黑体" w:hAnsi="Times New Roman" w:eastAsia="黑体" w:cs="Times New Roman"/>
          <w:kern w:val="0"/>
          <w:szCs w:val="20"/>
          <w:highlight w:val="none"/>
          <w:lang w:val="en-US" w:eastAsia="zh-CN"/>
        </w:rPr>
        <w:t xml:space="preserve">  </w:t>
      </w:r>
      <w:r>
        <w:rPr>
          <w:rFonts w:ascii="黑体" w:hAnsi="Times New Roman" w:eastAsia="黑体" w:cs="Times New Roman"/>
          <w:kern w:val="0"/>
          <w:szCs w:val="20"/>
          <w:highlight w:val="none"/>
        </w:rPr>
        <w:t>术语</w:t>
      </w:r>
      <w:r>
        <w:rPr>
          <w:rFonts w:hint="eastAsia" w:ascii="黑体" w:hAnsi="Times New Roman" w:eastAsia="黑体" w:cs="Times New Roman"/>
          <w:kern w:val="0"/>
          <w:szCs w:val="20"/>
          <w:highlight w:val="none"/>
        </w:rPr>
        <w:t>、</w:t>
      </w:r>
      <w:r>
        <w:rPr>
          <w:rFonts w:ascii="黑体" w:hAnsi="Times New Roman" w:eastAsia="黑体" w:cs="Times New Roman"/>
          <w:kern w:val="0"/>
          <w:szCs w:val="20"/>
          <w:highlight w:val="none"/>
        </w:rPr>
        <w:t>定义和缩略语</w:t>
      </w:r>
      <w:r>
        <w:rPr>
          <w:highlight w:val="none"/>
        </w:rPr>
        <w:tab/>
      </w:r>
      <w:r>
        <w:rPr>
          <w:highlight w:val="none"/>
        </w:rPr>
        <w:fldChar w:fldCharType="begin"/>
      </w:r>
      <w:r>
        <w:rPr>
          <w:highlight w:val="none"/>
        </w:rPr>
        <w:instrText xml:space="preserve"> PAGEREF _Toc10191 \h </w:instrText>
      </w:r>
      <w:r>
        <w:rPr>
          <w:highlight w:val="none"/>
        </w:rPr>
        <w:fldChar w:fldCharType="separate"/>
      </w:r>
      <w:r>
        <w:rPr>
          <w:highlight w:val="none"/>
        </w:rPr>
        <w:t>1</w:t>
      </w:r>
      <w:r>
        <w:rPr>
          <w:highlight w:val="none"/>
        </w:rPr>
        <w:fldChar w:fldCharType="end"/>
      </w:r>
      <w:r>
        <w:rPr>
          <w:rFonts w:ascii="Times New Roman" w:hAnsi="Times New Roman" w:eastAsia="宋体" w:cs="Times New Roman"/>
          <w:szCs w:val="24"/>
          <w:highlight w:val="none"/>
        </w:rPr>
        <w:fldChar w:fldCharType="end"/>
      </w:r>
    </w:p>
    <w:p w14:paraId="4963D9D0">
      <w:pPr>
        <w:pStyle w:val="8"/>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_Toc27532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4</w:t>
      </w:r>
      <w:r>
        <w:rPr>
          <w:rFonts w:hint="eastAsia" w:ascii="黑体" w:hAnsi="Times New Roman" w:eastAsia="黑体" w:cs="Times New Roman"/>
          <w:kern w:val="0"/>
          <w:szCs w:val="20"/>
          <w:highlight w:val="none"/>
          <w:lang w:val="en-US" w:eastAsia="zh-CN"/>
        </w:rPr>
        <w:t xml:space="preserve">  能源企业绿色</w:t>
      </w:r>
      <w:r>
        <w:rPr>
          <w:rFonts w:hint="eastAsia" w:ascii="黑体" w:hAnsi="Times New Roman" w:eastAsia="黑体" w:cs="Times New Roman"/>
          <w:kern w:val="0"/>
          <w:szCs w:val="20"/>
          <w:highlight w:val="none"/>
        </w:rPr>
        <w:t>供应链数字化平台</w:t>
      </w:r>
      <w:r>
        <w:rPr>
          <w:rFonts w:hint="eastAsia" w:ascii="黑体" w:hAnsi="Times New Roman" w:eastAsia="黑体" w:cs="Times New Roman"/>
          <w:kern w:val="0"/>
          <w:szCs w:val="20"/>
          <w:highlight w:val="none"/>
          <w:lang w:val="en-US" w:eastAsia="zh-CN"/>
        </w:rPr>
        <w:t>业务要求与服务对象</w:t>
      </w:r>
      <w:r>
        <w:rPr>
          <w:highlight w:val="none"/>
        </w:rPr>
        <w:tab/>
      </w:r>
      <w:r>
        <w:rPr>
          <w:highlight w:val="none"/>
        </w:rPr>
        <w:fldChar w:fldCharType="begin"/>
      </w:r>
      <w:r>
        <w:rPr>
          <w:highlight w:val="none"/>
        </w:rPr>
        <w:instrText xml:space="preserve"> PAGEREF _Toc27532 \h </w:instrText>
      </w:r>
      <w:r>
        <w:rPr>
          <w:highlight w:val="none"/>
        </w:rPr>
        <w:fldChar w:fldCharType="separate"/>
      </w:r>
      <w:r>
        <w:rPr>
          <w:highlight w:val="none"/>
        </w:rPr>
        <w:t>2</w:t>
      </w:r>
      <w:r>
        <w:rPr>
          <w:highlight w:val="none"/>
        </w:rPr>
        <w:fldChar w:fldCharType="end"/>
      </w:r>
      <w:r>
        <w:rPr>
          <w:rFonts w:ascii="Times New Roman" w:hAnsi="Times New Roman" w:eastAsia="宋体" w:cs="Times New Roman"/>
          <w:szCs w:val="24"/>
          <w:highlight w:val="none"/>
        </w:rPr>
        <w:fldChar w:fldCharType="end"/>
      </w:r>
    </w:p>
    <w:p w14:paraId="2112A61B">
      <w:pPr>
        <w:pStyle w:val="8"/>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_Toc27825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 xml:space="preserve">5. </w:t>
      </w:r>
      <w:r>
        <w:rPr>
          <w:rFonts w:hint="eastAsia" w:ascii="黑体" w:hAnsi="Times New Roman" w:eastAsia="黑体" w:cs="Times New Roman"/>
          <w:kern w:val="0"/>
          <w:szCs w:val="20"/>
          <w:highlight w:val="none"/>
          <w:lang w:val="en-US" w:eastAsia="zh-CN"/>
        </w:rPr>
        <w:t xml:space="preserve"> 能源企业绿色</w:t>
      </w:r>
      <w:r>
        <w:rPr>
          <w:rFonts w:hint="eastAsia" w:ascii="黑体" w:hAnsi="Times New Roman" w:eastAsia="黑体" w:cs="Times New Roman"/>
          <w:kern w:val="0"/>
          <w:szCs w:val="20"/>
          <w:highlight w:val="none"/>
        </w:rPr>
        <w:t>供应链数字化平台</w:t>
      </w:r>
      <w:r>
        <w:rPr>
          <w:rFonts w:hint="eastAsia" w:ascii="黑体" w:hAnsi="Times New Roman" w:eastAsia="黑体" w:cs="Times New Roman"/>
          <w:kern w:val="0"/>
          <w:szCs w:val="20"/>
          <w:highlight w:val="none"/>
          <w:lang w:val="en-US" w:eastAsia="zh-CN"/>
        </w:rPr>
        <w:t>功能要求</w:t>
      </w:r>
      <w:r>
        <w:rPr>
          <w:highlight w:val="none"/>
        </w:rPr>
        <w:tab/>
      </w:r>
      <w:r>
        <w:rPr>
          <w:highlight w:val="none"/>
        </w:rPr>
        <w:fldChar w:fldCharType="begin"/>
      </w:r>
      <w:r>
        <w:rPr>
          <w:highlight w:val="none"/>
        </w:rPr>
        <w:instrText xml:space="preserve"> PAGEREF _Toc27825 \h </w:instrText>
      </w:r>
      <w:r>
        <w:rPr>
          <w:highlight w:val="none"/>
        </w:rPr>
        <w:fldChar w:fldCharType="separate"/>
      </w:r>
      <w:r>
        <w:rPr>
          <w:highlight w:val="none"/>
        </w:rPr>
        <w:t>4</w:t>
      </w:r>
      <w:r>
        <w:rPr>
          <w:highlight w:val="none"/>
        </w:rPr>
        <w:fldChar w:fldCharType="end"/>
      </w:r>
      <w:r>
        <w:rPr>
          <w:rFonts w:ascii="Times New Roman" w:hAnsi="Times New Roman" w:eastAsia="宋体" w:cs="Times New Roman"/>
          <w:szCs w:val="24"/>
          <w:highlight w:val="none"/>
        </w:rPr>
        <w:fldChar w:fldCharType="end"/>
      </w:r>
    </w:p>
    <w:p w14:paraId="66C7808B">
      <w:pPr>
        <w:pStyle w:val="7"/>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_Toc24859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附录A</w:t>
      </w:r>
      <w:r>
        <w:rPr>
          <w:highlight w:val="none"/>
        </w:rPr>
        <w:tab/>
      </w:r>
      <w:r>
        <w:rPr>
          <w:highlight w:val="none"/>
        </w:rPr>
        <w:fldChar w:fldCharType="begin"/>
      </w:r>
      <w:r>
        <w:rPr>
          <w:highlight w:val="none"/>
        </w:rPr>
        <w:instrText xml:space="preserve"> PAGEREF _Toc24859 \h </w:instrText>
      </w:r>
      <w:r>
        <w:rPr>
          <w:highlight w:val="none"/>
        </w:rPr>
        <w:fldChar w:fldCharType="separate"/>
      </w:r>
      <w:r>
        <w:rPr>
          <w:highlight w:val="none"/>
        </w:rPr>
        <w:t>10</w:t>
      </w:r>
      <w:r>
        <w:rPr>
          <w:highlight w:val="none"/>
        </w:rPr>
        <w:fldChar w:fldCharType="end"/>
      </w:r>
      <w:r>
        <w:rPr>
          <w:rFonts w:ascii="Times New Roman" w:hAnsi="Times New Roman" w:eastAsia="宋体" w:cs="Times New Roman"/>
          <w:szCs w:val="24"/>
          <w:highlight w:val="none"/>
        </w:rPr>
        <w:fldChar w:fldCharType="end"/>
      </w:r>
    </w:p>
    <w:p w14:paraId="25A2E8E6">
      <w:pPr>
        <w:pStyle w:val="2"/>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_Toc13991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1"/>
          <w:highlight w:val="none"/>
        </w:rPr>
        <w:t>A.1能源企业绿色供应链平台应用模式</w:t>
      </w:r>
      <w:r>
        <w:rPr>
          <w:highlight w:val="none"/>
        </w:rPr>
        <w:tab/>
      </w:r>
      <w:r>
        <w:rPr>
          <w:highlight w:val="none"/>
        </w:rPr>
        <w:fldChar w:fldCharType="begin"/>
      </w:r>
      <w:r>
        <w:rPr>
          <w:highlight w:val="none"/>
        </w:rPr>
        <w:instrText xml:space="preserve"> PAGEREF _Toc13991 \h </w:instrText>
      </w:r>
      <w:r>
        <w:rPr>
          <w:highlight w:val="none"/>
        </w:rPr>
        <w:fldChar w:fldCharType="separate"/>
      </w:r>
      <w:r>
        <w:rPr>
          <w:highlight w:val="none"/>
        </w:rPr>
        <w:t>10</w:t>
      </w:r>
      <w:r>
        <w:rPr>
          <w:highlight w:val="none"/>
        </w:rPr>
        <w:fldChar w:fldCharType="end"/>
      </w:r>
      <w:r>
        <w:rPr>
          <w:rFonts w:ascii="Times New Roman" w:hAnsi="Times New Roman" w:eastAsia="宋体" w:cs="Times New Roman"/>
          <w:szCs w:val="24"/>
          <w:highlight w:val="none"/>
        </w:rPr>
        <w:fldChar w:fldCharType="end"/>
      </w:r>
    </w:p>
    <w:p w14:paraId="31370CB9">
      <w:pPr>
        <w:pStyle w:val="2"/>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_Toc7598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1"/>
          <w:highlight w:val="none"/>
        </w:rPr>
        <w:t>A.2链主式模式</w:t>
      </w:r>
      <w:r>
        <w:rPr>
          <w:highlight w:val="none"/>
        </w:rPr>
        <w:tab/>
      </w:r>
      <w:r>
        <w:rPr>
          <w:highlight w:val="none"/>
        </w:rPr>
        <w:fldChar w:fldCharType="begin"/>
      </w:r>
      <w:r>
        <w:rPr>
          <w:highlight w:val="none"/>
        </w:rPr>
        <w:instrText xml:space="preserve"> PAGEREF _Toc7598 \h </w:instrText>
      </w:r>
      <w:r>
        <w:rPr>
          <w:highlight w:val="none"/>
        </w:rPr>
        <w:fldChar w:fldCharType="separate"/>
      </w:r>
      <w:r>
        <w:rPr>
          <w:highlight w:val="none"/>
        </w:rPr>
        <w:t>10</w:t>
      </w:r>
      <w:r>
        <w:rPr>
          <w:highlight w:val="none"/>
        </w:rPr>
        <w:fldChar w:fldCharType="end"/>
      </w:r>
      <w:r>
        <w:rPr>
          <w:rFonts w:ascii="Times New Roman" w:hAnsi="Times New Roman" w:eastAsia="宋体" w:cs="Times New Roman"/>
          <w:szCs w:val="24"/>
          <w:highlight w:val="none"/>
        </w:rPr>
        <w:fldChar w:fldCharType="end"/>
      </w:r>
    </w:p>
    <w:p w14:paraId="3C283AFB">
      <w:pPr>
        <w:pStyle w:val="7"/>
        <w:tabs>
          <w:tab w:val="right" w:leader="dot" w:pos="9298"/>
        </w:tabs>
        <w:spacing w:line="360" w:lineRule="auto"/>
        <w:rPr>
          <w:highlight w:val="none"/>
        </w:rPr>
      </w:pP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\l _Toc22981 </w:instrText>
      </w:r>
      <w:r>
        <w:rPr>
          <w:rFonts w:ascii="Times New Roman" w:hAnsi="Times New Roman" w:eastAsia="宋体" w:cs="Times New Roman"/>
          <w:szCs w:val="24"/>
          <w:highlight w:val="none"/>
        </w:rPr>
        <w:fldChar w:fldCharType="separate"/>
      </w:r>
      <w:r>
        <w:rPr>
          <w:rFonts w:hint="eastAsia" w:ascii="黑体" w:hAnsi="Times New Roman" w:eastAsia="黑体" w:cs="Times New Roman"/>
          <w:kern w:val="0"/>
          <w:szCs w:val="20"/>
          <w:highlight w:val="none"/>
        </w:rPr>
        <w:t>参</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考</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文</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献</w:t>
      </w:r>
      <w:r>
        <w:rPr>
          <w:highlight w:val="none"/>
        </w:rPr>
        <w:tab/>
      </w:r>
      <w:r>
        <w:rPr>
          <w:highlight w:val="none"/>
        </w:rPr>
        <w:fldChar w:fldCharType="begin"/>
      </w:r>
      <w:r>
        <w:rPr>
          <w:highlight w:val="none"/>
        </w:rPr>
        <w:instrText xml:space="preserve"> PAGEREF _Toc22981 \h </w:instrText>
      </w:r>
      <w:r>
        <w:rPr>
          <w:highlight w:val="none"/>
        </w:rPr>
        <w:fldChar w:fldCharType="separate"/>
      </w:r>
      <w:r>
        <w:rPr>
          <w:highlight w:val="none"/>
        </w:rPr>
        <w:t>11</w:t>
      </w:r>
      <w:r>
        <w:rPr>
          <w:highlight w:val="none"/>
        </w:rPr>
        <w:fldChar w:fldCharType="end"/>
      </w:r>
      <w:r>
        <w:rPr>
          <w:rFonts w:ascii="Times New Roman" w:hAnsi="Times New Roman" w:eastAsia="宋体" w:cs="Times New Roman"/>
          <w:szCs w:val="24"/>
          <w:highlight w:val="none"/>
        </w:rPr>
        <w:fldChar w:fldCharType="end"/>
      </w:r>
    </w:p>
    <w:p w14:paraId="1A6A9F3A">
      <w:pPr>
        <w:spacing w:line="360" w:lineRule="auto"/>
        <w:ind w:firstLine="420"/>
        <w:rPr>
          <w:rFonts w:ascii="Times New Roman" w:hAnsi="Times New Roman" w:eastAsia="宋体" w:cs="Times New Roman"/>
          <w:szCs w:val="24"/>
          <w:highlight w:val="none"/>
        </w:rPr>
      </w:pPr>
      <w:r>
        <w:rPr>
          <w:rFonts w:ascii="Times New Roman" w:hAnsi="Times New Roman" w:eastAsia="宋体" w:cs="Times New Roman"/>
          <w:szCs w:val="24"/>
          <w:highlight w:val="none"/>
        </w:rPr>
        <w:fldChar w:fldCharType="end"/>
      </w:r>
    </w:p>
    <w:p w14:paraId="2092C1F9">
      <w:pPr>
        <w:pBdr>
          <w:bottom w:val="single" w:color="auto" w:sz="6" w:space="1"/>
        </w:pBdr>
        <w:tabs>
          <w:tab w:val="center" w:pos="4153"/>
          <w:tab w:val="right" w:pos="8306"/>
        </w:tabs>
        <w:snapToGrid w:val="0"/>
        <w:ind w:firstLine="360"/>
        <w:jc w:val="center"/>
        <w:rPr>
          <w:rFonts w:ascii="Times New Roman" w:hAnsi="Times New Roman" w:eastAsia="宋体" w:cs="Times New Roman"/>
          <w:sz w:val="18"/>
          <w:szCs w:val="18"/>
          <w:highlight w:val="none"/>
        </w:rPr>
      </w:pPr>
    </w:p>
    <w:p w14:paraId="607066C5">
      <w:pPr>
        <w:keepNext/>
        <w:pageBreakBefore/>
        <w:widowControl/>
        <w:shd w:val="clear" w:color="FFFFFF" w:fill="FFFFFF"/>
        <w:spacing w:before="640" w:after="560"/>
        <w:ind w:firstLine="640"/>
        <w:jc w:val="center"/>
        <w:outlineLvl w:val="0"/>
        <w:rPr>
          <w:rFonts w:ascii="黑体" w:hAnsi="Times New Roman" w:eastAsia="黑体" w:cs="Times New Roman"/>
          <w:kern w:val="0"/>
          <w:sz w:val="32"/>
          <w:szCs w:val="20"/>
          <w:highlight w:val="none"/>
        </w:rPr>
      </w:pPr>
      <w:bookmarkStart w:id="16" w:name="_Toc525119158"/>
      <w:bookmarkStart w:id="17" w:name="_Toc134797688"/>
      <w:bookmarkStart w:id="18" w:name="_Toc524441522"/>
      <w:bookmarkStart w:id="19" w:name="_Toc30114"/>
      <w:r>
        <w:rPr>
          <w:rFonts w:hint="eastAsia" w:ascii="黑体" w:hAnsi="Times New Roman" w:eastAsia="黑体" w:cs="Times New Roman"/>
          <w:kern w:val="0"/>
          <w:sz w:val="32"/>
          <w:szCs w:val="20"/>
          <w:highlight w:val="none"/>
        </w:rPr>
        <w:t>前</w:t>
      </w:r>
      <w:bookmarkStart w:id="20" w:name="BKQY"/>
      <w:r>
        <w:rPr>
          <w:rFonts w:ascii="黑体" w:hAnsi="黑体" w:eastAsia="黑体" w:cs="Times New Roman"/>
          <w:kern w:val="0"/>
          <w:sz w:val="32"/>
          <w:szCs w:val="20"/>
          <w:highlight w:val="none"/>
        </w:rPr>
        <w:t>  </w:t>
      </w:r>
      <w:r>
        <w:rPr>
          <w:rFonts w:hint="eastAsia" w:ascii="黑体" w:hAnsi="Times New Roman" w:eastAsia="黑体" w:cs="Times New Roman"/>
          <w:kern w:val="0"/>
          <w:sz w:val="32"/>
          <w:szCs w:val="20"/>
          <w:highlight w:val="none"/>
        </w:rPr>
        <w:t>言</w:t>
      </w:r>
      <w:bookmarkEnd w:id="16"/>
      <w:bookmarkEnd w:id="17"/>
      <w:bookmarkEnd w:id="18"/>
      <w:bookmarkEnd w:id="19"/>
      <w:bookmarkEnd w:id="20"/>
    </w:p>
    <w:p w14:paraId="21FEE265">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本文件按照GB/T 1.1—2020《标准化工作导则  第1部分：标准化文件的结构和起草规则》的规定起草。</w:t>
      </w:r>
    </w:p>
    <w:p w14:paraId="16FCF1EF">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请注意本文件的某些内容可能涉及专利。本文件的发布机构不承担识别专利的责任。</w:t>
      </w:r>
    </w:p>
    <w:p w14:paraId="426DD60C">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本文件由北京国电通网络技术有限公司提出。</w:t>
      </w:r>
    </w:p>
    <w:p w14:paraId="4492F281">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本文件由中国能源研究会绿色供应链专业委员会归口。</w:t>
      </w:r>
    </w:p>
    <w:p w14:paraId="5615B044">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本文件起草单位：北京国电通网络技术有限公司、国网物资有限公司、国网上海市电力公司、中国广核集团有限公司、国网信息通信产业集团有限公司。</w:t>
      </w:r>
    </w:p>
    <w:p w14:paraId="65E6CFB3">
      <w:pPr>
        <w:widowControl/>
        <w:tabs>
          <w:tab w:val="center" w:pos="4201"/>
          <w:tab w:val="right" w:leader="dot" w:pos="9298"/>
        </w:tabs>
        <w:autoSpaceDE w:val="0"/>
        <w:autoSpaceDN w:val="0"/>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本文件主要起草人：陈曦、代鲁峰、王国伟、张萌、胡永焕、</w:t>
      </w:r>
      <w:r>
        <w:rPr>
          <w:rFonts w:hint="eastAsia" w:ascii="宋体" w:hAnsi="Times New Roman" w:eastAsia="宋体" w:cs="Times New Roman"/>
          <w:kern w:val="0"/>
          <w:szCs w:val="20"/>
          <w:highlight w:val="none"/>
          <w:lang w:val="en-US" w:eastAsia="zh-CN"/>
        </w:rPr>
        <w:t>任玲玲、</w:t>
      </w:r>
      <w:r>
        <w:rPr>
          <w:rFonts w:hint="eastAsia" w:ascii="宋体" w:hAnsi="Times New Roman" w:eastAsia="宋体" w:cs="Times New Roman"/>
          <w:kern w:val="0"/>
          <w:szCs w:val="20"/>
          <w:highlight w:val="none"/>
        </w:rPr>
        <w:t>王帅、丁学英、李治</w:t>
      </w:r>
    </w:p>
    <w:p w14:paraId="1AF9DEA3">
      <w:pPr>
        <w:keepNext/>
        <w:pageBreakBefore/>
        <w:widowControl/>
        <w:shd w:val="clear" w:color="FFFFFF" w:fill="FFFFFF"/>
        <w:spacing w:before="640" w:after="560"/>
        <w:ind w:firstLine="640"/>
        <w:jc w:val="center"/>
        <w:outlineLvl w:val="0"/>
        <w:rPr>
          <w:rFonts w:ascii="黑体" w:hAnsi="Times New Roman" w:eastAsia="黑体" w:cs="Times New Roman"/>
          <w:kern w:val="0"/>
          <w:sz w:val="32"/>
          <w:szCs w:val="20"/>
          <w:highlight w:val="none"/>
        </w:rPr>
      </w:pPr>
      <w:bookmarkStart w:id="21" w:name="_Toc524441523"/>
      <w:bookmarkStart w:id="22" w:name="_Toc22229"/>
      <w:bookmarkStart w:id="23" w:name="_Toc525119159"/>
      <w:bookmarkStart w:id="24" w:name="_Toc134797689"/>
      <w:r>
        <w:rPr>
          <w:rFonts w:hint="eastAsia" w:ascii="黑体" w:hAnsi="Times New Roman" w:eastAsia="黑体" w:cs="Times New Roman"/>
          <w:kern w:val="0"/>
          <w:sz w:val="32"/>
          <w:szCs w:val="20"/>
          <w:highlight w:val="none"/>
        </w:rPr>
        <w:t>引</w:t>
      </w:r>
      <w:bookmarkStart w:id="25" w:name="BKYY"/>
      <w:r>
        <w:rPr>
          <w:rFonts w:ascii="黑体" w:hAnsi="黑体" w:eastAsia="黑体" w:cs="Times New Roman"/>
          <w:kern w:val="0"/>
          <w:sz w:val="32"/>
          <w:szCs w:val="20"/>
          <w:highlight w:val="none"/>
        </w:rPr>
        <w:t>  </w:t>
      </w:r>
      <w:r>
        <w:rPr>
          <w:rFonts w:hint="eastAsia" w:ascii="黑体" w:hAnsi="Times New Roman" w:eastAsia="黑体" w:cs="Times New Roman"/>
          <w:kern w:val="0"/>
          <w:sz w:val="32"/>
          <w:szCs w:val="20"/>
          <w:highlight w:val="none"/>
        </w:rPr>
        <w:t>言</w:t>
      </w:r>
      <w:bookmarkEnd w:id="21"/>
      <w:bookmarkEnd w:id="22"/>
      <w:bookmarkEnd w:id="23"/>
      <w:bookmarkEnd w:id="24"/>
      <w:bookmarkEnd w:id="25"/>
    </w:p>
    <w:p w14:paraId="6052AC5D">
      <w:pPr>
        <w:keepNext w:val="0"/>
        <w:keepLines w:val="0"/>
        <w:widowControl/>
        <w:suppressLineNumbers w:val="0"/>
        <w:bidi w:val="0"/>
        <w:spacing w:before="0" w:beforeAutospacing="0" w:after="0" w:afterAutospacing="0" w:line="18" w:lineRule="atLeast"/>
        <w:ind w:left="0" w:right="0" w:firstLine="0"/>
        <w:jc w:val="left"/>
        <w:rPr>
          <w:rFonts w:hint="default" w:ascii="Segoe UI" w:hAnsi="Segoe UI" w:eastAsia="Segoe UI" w:cs="Segoe UI"/>
          <w:i w:val="0"/>
          <w:iCs w:val="0"/>
          <w:caps w:val="0"/>
          <w:color w:val="000000"/>
          <w:spacing w:val="0"/>
          <w:kern w:val="0"/>
          <w:sz w:val="19"/>
          <w:szCs w:val="19"/>
          <w:highlight w:val="none"/>
          <w:lang w:val="en-US" w:eastAsia="zh-CN" w:bidi="ar"/>
        </w:rPr>
      </w:pPr>
      <w:r>
        <w:rPr>
          <w:rFonts w:hint="default" w:ascii="Segoe UI" w:hAnsi="Segoe UI" w:eastAsia="Segoe UI" w:cs="Segoe UI"/>
          <w:i w:val="0"/>
          <w:iCs w:val="0"/>
          <w:caps w:val="0"/>
          <w:color w:val="000000"/>
          <w:spacing w:val="0"/>
          <w:kern w:val="0"/>
          <w:sz w:val="19"/>
          <w:szCs w:val="19"/>
          <w:highlight w:val="none"/>
          <w:lang w:val="en-US" w:eastAsia="zh-CN" w:bidi="ar"/>
        </w:rPr>
        <w:t>本文件旨在规范能源企业绿色供应链数字化平台建设，促进能源的高效利用与低碳排放，</w:t>
      </w:r>
      <w:r>
        <w:rPr>
          <w:rFonts w:hint="eastAsia" w:ascii="Segoe UI" w:hAnsi="Segoe UI" w:eastAsia="Segoe UI" w:cs="Segoe UI"/>
          <w:i w:val="0"/>
          <w:iCs w:val="0"/>
          <w:caps w:val="0"/>
          <w:color w:val="000000"/>
          <w:spacing w:val="0"/>
          <w:kern w:val="0"/>
          <w:sz w:val="19"/>
          <w:szCs w:val="19"/>
          <w:highlight w:val="none"/>
          <w:lang w:val="en-US" w:eastAsia="zh-CN" w:bidi="ar"/>
        </w:rPr>
        <w:t>构建</w:t>
      </w:r>
      <w:r>
        <w:rPr>
          <w:rFonts w:hint="default" w:ascii="Segoe UI" w:hAnsi="Segoe UI" w:eastAsia="Segoe UI" w:cs="Segoe UI"/>
          <w:i w:val="0"/>
          <w:iCs w:val="0"/>
          <w:caps w:val="0"/>
          <w:color w:val="000000"/>
          <w:spacing w:val="0"/>
          <w:kern w:val="0"/>
          <w:sz w:val="19"/>
          <w:szCs w:val="19"/>
          <w:highlight w:val="none"/>
          <w:lang w:val="en-US" w:eastAsia="zh-CN" w:bidi="ar"/>
        </w:rPr>
        <w:t>企业供应链</w:t>
      </w:r>
      <w:r>
        <w:rPr>
          <w:rFonts w:hint="eastAsia" w:ascii="Segoe UI" w:hAnsi="Segoe UI" w:eastAsia="Segoe UI" w:cs="Segoe UI"/>
          <w:i w:val="0"/>
          <w:iCs w:val="0"/>
          <w:caps w:val="0"/>
          <w:color w:val="000000"/>
          <w:spacing w:val="0"/>
          <w:kern w:val="0"/>
          <w:sz w:val="19"/>
          <w:szCs w:val="19"/>
          <w:highlight w:val="none"/>
          <w:lang w:val="en-US" w:eastAsia="zh-CN" w:bidi="ar"/>
        </w:rPr>
        <w:t>绿色</w:t>
      </w:r>
      <w:r>
        <w:rPr>
          <w:rFonts w:hint="default" w:ascii="Segoe UI" w:hAnsi="Segoe UI" w:eastAsia="Segoe UI" w:cs="Segoe UI"/>
          <w:i w:val="0"/>
          <w:iCs w:val="0"/>
          <w:caps w:val="0"/>
          <w:color w:val="000000"/>
          <w:spacing w:val="0"/>
          <w:kern w:val="0"/>
          <w:sz w:val="19"/>
          <w:szCs w:val="19"/>
          <w:highlight w:val="none"/>
          <w:lang w:val="en-US" w:eastAsia="zh-CN" w:bidi="ar"/>
        </w:rPr>
        <w:t>管理</w:t>
      </w:r>
      <w:r>
        <w:rPr>
          <w:rFonts w:hint="eastAsia" w:ascii="Segoe UI" w:hAnsi="Segoe UI" w:eastAsia="Segoe UI" w:cs="Segoe UI"/>
          <w:i w:val="0"/>
          <w:iCs w:val="0"/>
          <w:caps w:val="0"/>
          <w:color w:val="000000"/>
          <w:spacing w:val="0"/>
          <w:kern w:val="0"/>
          <w:sz w:val="19"/>
          <w:szCs w:val="19"/>
          <w:highlight w:val="none"/>
          <w:lang w:val="en-US" w:eastAsia="zh-CN" w:bidi="ar"/>
        </w:rPr>
        <w:t>新模式，</w:t>
      </w:r>
      <w:r>
        <w:rPr>
          <w:rFonts w:hint="default" w:ascii="Segoe UI" w:hAnsi="Segoe UI" w:eastAsia="Segoe UI" w:cs="Segoe UI"/>
          <w:i w:val="0"/>
          <w:iCs w:val="0"/>
          <w:caps w:val="0"/>
          <w:color w:val="000000"/>
          <w:spacing w:val="0"/>
          <w:kern w:val="0"/>
          <w:sz w:val="19"/>
          <w:szCs w:val="19"/>
          <w:highlight w:val="none"/>
          <w:lang w:val="en-US" w:eastAsia="zh-CN" w:bidi="ar"/>
        </w:rPr>
        <w:t>推进能源行业供应链上下游企业</w:t>
      </w:r>
      <w:r>
        <w:rPr>
          <w:rFonts w:hint="eastAsia" w:ascii="Segoe UI" w:hAnsi="Segoe UI" w:eastAsia="Segoe UI" w:cs="Segoe UI"/>
          <w:i w:val="0"/>
          <w:iCs w:val="0"/>
          <w:caps w:val="0"/>
          <w:color w:val="000000"/>
          <w:spacing w:val="0"/>
          <w:kern w:val="0"/>
          <w:sz w:val="19"/>
          <w:szCs w:val="19"/>
          <w:highlight w:val="none"/>
          <w:lang w:val="en-US" w:eastAsia="zh-CN" w:bidi="ar"/>
        </w:rPr>
        <w:t>将绿色低碳理念融入生产制造，升级</w:t>
      </w:r>
      <w:r>
        <w:rPr>
          <w:rFonts w:hint="default" w:ascii="Segoe UI" w:hAnsi="Segoe UI" w:eastAsia="Segoe UI" w:cs="Segoe UI"/>
          <w:i w:val="0"/>
          <w:iCs w:val="0"/>
          <w:caps w:val="0"/>
          <w:color w:val="000000"/>
          <w:spacing w:val="0"/>
          <w:kern w:val="0"/>
          <w:sz w:val="19"/>
          <w:szCs w:val="19"/>
          <w:highlight w:val="none"/>
          <w:lang w:val="en-US" w:eastAsia="zh-CN" w:bidi="ar"/>
        </w:rPr>
        <w:t>产品质量体系，实现绿色生产与低碳运营</w:t>
      </w:r>
      <w:r>
        <w:rPr>
          <w:rFonts w:hint="eastAsia" w:ascii="Segoe UI" w:hAnsi="Segoe UI" w:eastAsia="Segoe UI" w:cs="Segoe UI"/>
          <w:i w:val="0"/>
          <w:iCs w:val="0"/>
          <w:caps w:val="0"/>
          <w:color w:val="000000"/>
          <w:spacing w:val="0"/>
          <w:kern w:val="0"/>
          <w:sz w:val="19"/>
          <w:szCs w:val="19"/>
          <w:highlight w:val="none"/>
          <w:lang w:val="en-US" w:eastAsia="zh-CN" w:bidi="ar"/>
        </w:rPr>
        <w:t>，从而提升企业竞争力。</w:t>
      </w:r>
    </w:p>
    <w:p w14:paraId="4359612B">
      <w:pPr>
        <w:keepNext w:val="0"/>
        <w:keepLines w:val="0"/>
        <w:widowControl/>
        <w:suppressLineNumbers w:val="0"/>
        <w:bidi w:val="0"/>
        <w:spacing w:before="0" w:beforeAutospacing="0" w:after="0" w:afterAutospacing="0" w:line="18" w:lineRule="atLeast"/>
        <w:ind w:left="0" w:right="0" w:firstLine="0"/>
        <w:jc w:val="left"/>
        <w:rPr>
          <w:rFonts w:hint="default" w:ascii="Segoe UI" w:hAnsi="Segoe UI" w:eastAsia="Segoe UI" w:cs="Segoe UI"/>
          <w:i w:val="0"/>
          <w:iCs w:val="0"/>
          <w:caps w:val="0"/>
          <w:color w:val="000000"/>
          <w:spacing w:val="0"/>
          <w:kern w:val="0"/>
          <w:sz w:val="19"/>
          <w:szCs w:val="19"/>
          <w:highlight w:val="none"/>
          <w:lang w:val="en-US" w:eastAsia="zh-CN" w:bidi="ar"/>
        </w:rPr>
      </w:pPr>
      <w:r>
        <w:rPr>
          <w:rFonts w:hint="default" w:ascii="Segoe UI" w:hAnsi="Segoe UI" w:eastAsia="Segoe UI" w:cs="Segoe UI"/>
          <w:i w:val="0"/>
          <w:iCs w:val="0"/>
          <w:caps w:val="0"/>
          <w:color w:val="000000"/>
          <w:spacing w:val="0"/>
          <w:kern w:val="0"/>
          <w:sz w:val="19"/>
          <w:szCs w:val="19"/>
          <w:highlight w:val="none"/>
          <w:lang w:val="en-US" w:eastAsia="zh-CN" w:bidi="ar"/>
        </w:rPr>
        <w:t>本</w:t>
      </w:r>
      <w:r>
        <w:rPr>
          <w:rFonts w:hint="eastAsia" w:ascii="Segoe UI" w:hAnsi="Segoe UI" w:eastAsia="Segoe UI" w:cs="Segoe UI"/>
          <w:i w:val="0"/>
          <w:iCs w:val="0"/>
          <w:caps w:val="0"/>
          <w:color w:val="000000"/>
          <w:spacing w:val="0"/>
          <w:kern w:val="0"/>
          <w:sz w:val="19"/>
          <w:szCs w:val="19"/>
          <w:highlight w:val="none"/>
          <w:lang w:val="en-US" w:eastAsia="zh-CN" w:bidi="ar"/>
        </w:rPr>
        <w:t>文件制定了能源企业绿色供应链数字化平台建设的目的、范围、体系架构、功能要求以及供应链绿色底座构建技术要求，目的是指导能源企业针对供应链全业务范围，建立全业务绿色低碳技术管控机制，实现传统供应链数字化平台绿色升级，以技术手段促进能源供应链链上企业开展转型。</w:t>
      </w:r>
    </w:p>
    <w:p w14:paraId="428F05C5">
      <w:pPr>
        <w:keepNext w:val="0"/>
        <w:keepLines w:val="0"/>
        <w:widowControl/>
        <w:suppressLineNumbers w:val="0"/>
        <w:bidi w:val="0"/>
        <w:spacing w:before="0" w:beforeAutospacing="0" w:after="0" w:afterAutospacing="0" w:line="18" w:lineRule="atLeast"/>
        <w:ind w:left="0" w:right="0" w:firstLine="0"/>
        <w:jc w:val="left"/>
        <w:rPr>
          <w:highlight w:val="none"/>
        </w:rPr>
      </w:pPr>
      <w:r>
        <w:rPr>
          <w:rFonts w:hint="eastAsia" w:ascii="Segoe UI" w:hAnsi="Segoe UI" w:eastAsia="Segoe UI" w:cs="Segoe UI"/>
          <w:i w:val="0"/>
          <w:iCs w:val="0"/>
          <w:caps w:val="0"/>
          <w:color w:val="000000"/>
          <w:spacing w:val="0"/>
          <w:kern w:val="0"/>
          <w:sz w:val="19"/>
          <w:szCs w:val="19"/>
          <w:highlight w:val="none"/>
          <w:lang w:val="en-US" w:eastAsia="zh-CN" w:bidi="ar"/>
        </w:rPr>
        <w:t>本文件</w:t>
      </w:r>
      <w:r>
        <w:rPr>
          <w:rFonts w:hint="default" w:ascii="Segoe UI" w:hAnsi="Segoe UI" w:eastAsia="Segoe UI" w:cs="Segoe UI"/>
          <w:i w:val="0"/>
          <w:iCs w:val="0"/>
          <w:caps w:val="0"/>
          <w:color w:val="000000"/>
          <w:spacing w:val="0"/>
          <w:kern w:val="0"/>
          <w:sz w:val="19"/>
          <w:szCs w:val="19"/>
          <w:highlight w:val="none"/>
          <w:lang w:val="en-US" w:eastAsia="zh-CN" w:bidi="ar"/>
        </w:rPr>
        <w:t>适用于能源行业面向数字化转型具有建设</w:t>
      </w:r>
      <w:r>
        <w:rPr>
          <w:rFonts w:hint="default" w:ascii="Segoe UI" w:hAnsi="Segoe UI" w:eastAsia="Segoe UI" w:cs="Segoe UI"/>
          <w:i w:val="0"/>
          <w:iCs w:val="0"/>
          <w:caps w:val="0"/>
          <w:color w:val="000000"/>
          <w:spacing w:val="0"/>
          <w:kern w:val="0"/>
          <w:sz w:val="19"/>
          <w:szCs w:val="19"/>
          <w:highlight w:val="none"/>
          <w:lang w:val="en-US" w:eastAsia="zh-CN" w:bidi="ar"/>
        </w:rPr>
        <w:fldChar w:fldCharType="begin"/>
      </w:r>
      <w:r>
        <w:rPr>
          <w:rFonts w:hint="default" w:ascii="Segoe UI" w:hAnsi="Segoe UI" w:eastAsia="Segoe UI" w:cs="Segoe UI"/>
          <w:i w:val="0"/>
          <w:iCs w:val="0"/>
          <w:caps w:val="0"/>
          <w:color w:val="000000"/>
          <w:spacing w:val="0"/>
          <w:kern w:val="0"/>
          <w:sz w:val="19"/>
          <w:szCs w:val="19"/>
          <w:highlight w:val="none"/>
          <w:lang w:val="en-US" w:eastAsia="zh-CN" w:bidi="ar"/>
        </w:rPr>
        <w:instrText xml:space="preserve"> HYPERLINK "coco://sendMessage?ext={"s$wiki_link":"https://m.baike.com/wikiid/7625111452422503983"}&amp;msg=%E4%BE%9B%E5%BA%94%E9%93%BE%E7%AE%A1%E7%90%86" \t "https://www.doubao.com/chat/_blank" </w:instrText>
      </w:r>
      <w:r>
        <w:rPr>
          <w:rFonts w:hint="default" w:ascii="Segoe UI" w:hAnsi="Segoe UI" w:eastAsia="Segoe UI" w:cs="Segoe UI"/>
          <w:i w:val="0"/>
          <w:iCs w:val="0"/>
          <w:caps w:val="0"/>
          <w:color w:val="000000"/>
          <w:spacing w:val="0"/>
          <w:kern w:val="0"/>
          <w:sz w:val="19"/>
          <w:szCs w:val="19"/>
          <w:highlight w:val="none"/>
          <w:lang w:val="en-US" w:eastAsia="zh-CN" w:bidi="ar"/>
        </w:rPr>
        <w:fldChar w:fldCharType="separate"/>
      </w:r>
      <w:r>
        <w:rPr>
          <w:rFonts w:hint="default" w:ascii="Segoe UI" w:hAnsi="Segoe UI" w:eastAsia="Segoe UI" w:cs="Segoe UI"/>
          <w:i w:val="0"/>
          <w:iCs w:val="0"/>
          <w:caps w:val="0"/>
          <w:color w:val="000000"/>
          <w:spacing w:val="0"/>
          <w:kern w:val="0"/>
          <w:sz w:val="19"/>
          <w:szCs w:val="19"/>
          <w:highlight w:val="none"/>
          <w:lang w:val="en-US" w:eastAsia="zh-CN" w:bidi="ar"/>
        </w:rPr>
        <w:t>供应链管理</w:t>
      </w:r>
      <w:r>
        <w:rPr>
          <w:rFonts w:hint="default" w:ascii="Segoe UI" w:hAnsi="Segoe UI" w:eastAsia="Segoe UI" w:cs="Segoe UI"/>
          <w:i w:val="0"/>
          <w:iCs w:val="0"/>
          <w:caps w:val="0"/>
          <w:color w:val="000000"/>
          <w:spacing w:val="0"/>
          <w:kern w:val="0"/>
          <w:sz w:val="19"/>
          <w:szCs w:val="19"/>
          <w:highlight w:val="none"/>
          <w:lang w:val="en-US" w:eastAsia="zh-CN" w:bidi="ar"/>
        </w:rPr>
        <w:fldChar w:fldCharType="end"/>
      </w:r>
      <w:r>
        <w:rPr>
          <w:rFonts w:hint="default" w:ascii="Segoe UI" w:hAnsi="Segoe UI" w:eastAsia="Segoe UI" w:cs="Segoe UI"/>
          <w:i w:val="0"/>
          <w:iCs w:val="0"/>
          <w:caps w:val="0"/>
          <w:color w:val="000000"/>
          <w:spacing w:val="0"/>
          <w:kern w:val="0"/>
          <w:sz w:val="19"/>
          <w:szCs w:val="19"/>
          <w:highlight w:val="none"/>
          <w:lang w:val="en-US" w:eastAsia="zh-CN" w:bidi="ar"/>
        </w:rPr>
        <w:t>平台化需求的企业，尤其是那些致力于绿色发展、低碳转型的企业，以及提供供应链数字化平台咨询、建设的咨询机构、科研单位、建设单位等。</w:t>
      </w:r>
    </w:p>
    <w:p w14:paraId="193635B8">
      <w:pPr>
        <w:widowControl/>
        <w:tabs>
          <w:tab w:val="center" w:pos="4201"/>
          <w:tab w:val="right" w:leader="dot" w:pos="9298"/>
        </w:tabs>
        <w:autoSpaceDE w:val="0"/>
        <w:autoSpaceDN w:val="0"/>
        <w:ind w:firstLine="0" w:firstLineChars="0"/>
        <w:rPr>
          <w:rFonts w:ascii="宋体" w:hAnsi="Times New Roman" w:eastAsia="宋体" w:cs="Times New Roman"/>
          <w:kern w:val="0"/>
          <w:szCs w:val="20"/>
          <w:highlight w:val="none"/>
        </w:rPr>
        <w:sectPr>
          <w:headerReference r:id="rId11" w:type="default"/>
          <w:footerReference r:id="rId12" w:type="default"/>
          <w:pgSz w:w="11906" w:h="16838"/>
          <w:pgMar w:top="567" w:right="1304" w:bottom="1134" w:left="1304" w:header="1418" w:footer="1134" w:gutter="0"/>
          <w:pgNumType w:fmt="upperRoman" w:start="1"/>
          <w:cols w:space="720" w:num="1"/>
          <w:formProt w:val="0"/>
          <w:docGrid w:type="lines" w:linePitch="312" w:charSpace="0"/>
        </w:sectPr>
      </w:pPr>
    </w:p>
    <w:p w14:paraId="097061BB">
      <w:pPr>
        <w:keepNext/>
        <w:pageBreakBefore/>
        <w:widowControl/>
        <w:shd w:val="clear" w:color="FFFFFF" w:fill="FFFFFF"/>
        <w:spacing w:before="640" w:after="560" w:line="460" w:lineRule="exact"/>
        <w:ind w:firstLine="0" w:firstLineChars="0"/>
        <w:jc w:val="center"/>
        <w:outlineLvl w:val="0"/>
        <w:rPr>
          <w:rFonts w:ascii="黑体" w:hAnsi="Times New Roman" w:eastAsia="黑体" w:cs="Times New Roman"/>
          <w:kern w:val="0"/>
          <w:sz w:val="32"/>
          <w:szCs w:val="20"/>
          <w:highlight w:val="none"/>
        </w:rPr>
      </w:pPr>
      <w:bookmarkStart w:id="26" w:name="StandardName"/>
      <w:bookmarkEnd w:id="26"/>
      <w:bookmarkStart w:id="27" w:name="_Toc26674"/>
      <w:bookmarkStart w:id="28" w:name="_Toc134797690"/>
      <w:r>
        <w:rPr>
          <w:rFonts w:hint="eastAsia" w:ascii="黑体" w:hAnsi="Times New Roman" w:eastAsia="黑体" w:cs="Times New Roman"/>
          <w:kern w:val="0"/>
          <w:sz w:val="32"/>
          <w:szCs w:val="20"/>
          <w:highlight w:val="none"/>
        </w:rPr>
        <w:t>能源企业绿色供应链数字化平台技术</w:t>
      </w:r>
      <w:r>
        <w:rPr>
          <w:rFonts w:hint="eastAsia" w:ascii="黑体" w:hAnsi="Times New Roman" w:eastAsia="黑体" w:cs="Times New Roman"/>
          <w:kern w:val="0"/>
          <w:sz w:val="32"/>
          <w:szCs w:val="20"/>
          <w:highlight w:val="none"/>
          <w:lang w:val="en-US" w:eastAsia="zh-CN"/>
        </w:rPr>
        <w:t>要求</w:t>
      </w:r>
      <w:bookmarkEnd w:id="27"/>
      <w:bookmarkEnd w:id="28"/>
    </w:p>
    <w:p w14:paraId="28B2B479">
      <w:pPr>
        <w:widowControl/>
        <w:spacing w:before="312" w:beforeLines="100" w:after="312" w:afterLines="100"/>
        <w:ind w:firstLine="0" w:firstLineChars="0"/>
        <w:outlineLvl w:val="1"/>
        <w:rPr>
          <w:rFonts w:ascii="黑体" w:hAnsi="Times New Roman" w:eastAsia="黑体" w:cs="Times New Roman"/>
          <w:kern w:val="0"/>
          <w:szCs w:val="20"/>
          <w:highlight w:val="none"/>
        </w:rPr>
      </w:pPr>
      <w:bookmarkStart w:id="29" w:name="_Toc525119161"/>
      <w:bookmarkStart w:id="30" w:name="_Toc524441524"/>
      <w:bookmarkStart w:id="31" w:name="_Toc134797691"/>
      <w:bookmarkStart w:id="32" w:name="_Toc11242"/>
      <w:r>
        <w:rPr>
          <w:rFonts w:hint="eastAsia" w:ascii="黑体" w:hAnsi="Times New Roman" w:eastAsia="黑体" w:cs="Times New Roman"/>
          <w:kern w:val="0"/>
          <w:szCs w:val="20"/>
          <w:highlight w:val="none"/>
          <w:lang w:val="en-US" w:eastAsia="zh-CN"/>
        </w:rPr>
        <w:t xml:space="preserve">1  </w:t>
      </w:r>
      <w:r>
        <w:rPr>
          <w:rFonts w:hint="eastAsia" w:ascii="黑体" w:hAnsi="Times New Roman" w:eastAsia="黑体" w:cs="Times New Roman"/>
          <w:kern w:val="0"/>
          <w:szCs w:val="20"/>
          <w:highlight w:val="none"/>
        </w:rPr>
        <w:t>范围</w:t>
      </w:r>
      <w:bookmarkEnd w:id="29"/>
      <w:bookmarkEnd w:id="30"/>
      <w:bookmarkEnd w:id="31"/>
      <w:bookmarkEnd w:id="32"/>
    </w:p>
    <w:p w14:paraId="607D5B48">
      <w:pPr>
        <w:widowControl/>
        <w:tabs>
          <w:tab w:val="center" w:pos="4201"/>
          <w:tab w:val="right" w:leader="dot" w:pos="9298"/>
        </w:tabs>
        <w:autoSpaceDE w:val="0"/>
        <w:autoSpaceDN w:val="0"/>
        <w:spacing w:line="360" w:lineRule="exact"/>
        <w:ind w:firstLine="420"/>
        <w:rPr>
          <w:rFonts w:hint="eastAsia" w:ascii="宋体" w:hAnsi="Times New Roman" w:eastAsia="宋体" w:cs="Times New Roman"/>
          <w:bCs/>
          <w:kern w:val="0"/>
          <w:szCs w:val="20"/>
          <w:highlight w:val="none"/>
        </w:rPr>
      </w:pPr>
      <w:r>
        <w:rPr>
          <w:rFonts w:hint="eastAsia" w:ascii="宋体" w:hAnsi="Times New Roman" w:eastAsia="宋体" w:cs="Times New Roman"/>
          <w:bCs/>
          <w:kern w:val="0"/>
          <w:szCs w:val="20"/>
          <w:highlight w:val="none"/>
          <w:lang w:val="en-US" w:eastAsia="zh-CN"/>
        </w:rPr>
        <w:t>本文件规定了能源企业绿色供应链数字化平台的业务范围、平台架构、平台功能、平台保障等方面的技术要求。</w:t>
      </w:r>
    </w:p>
    <w:p w14:paraId="2DCCFD41">
      <w:pPr>
        <w:widowControl/>
        <w:tabs>
          <w:tab w:val="center" w:pos="4201"/>
          <w:tab w:val="right" w:leader="dot" w:pos="9298"/>
        </w:tabs>
        <w:autoSpaceDE w:val="0"/>
        <w:autoSpaceDN w:val="0"/>
        <w:spacing w:line="360" w:lineRule="exact"/>
        <w:ind w:firstLine="420"/>
        <w:rPr>
          <w:rFonts w:ascii="宋体" w:hAnsi="Times New Roman" w:eastAsia="宋体" w:cs="Times New Roman"/>
          <w:bCs/>
          <w:kern w:val="0"/>
          <w:szCs w:val="20"/>
          <w:highlight w:val="none"/>
        </w:rPr>
      </w:pPr>
      <w:r>
        <w:rPr>
          <w:rFonts w:hint="eastAsia" w:ascii="宋体" w:hAnsi="Times New Roman" w:eastAsia="宋体" w:cs="Times New Roman"/>
          <w:bCs/>
          <w:kern w:val="0"/>
          <w:szCs w:val="20"/>
          <w:highlight w:val="none"/>
          <w:lang w:val="en-US" w:eastAsia="zh-CN"/>
        </w:rPr>
        <w:t>本文件</w:t>
      </w:r>
      <w:r>
        <w:rPr>
          <w:rFonts w:hint="eastAsia" w:ascii="宋体" w:hAnsi="Times New Roman" w:eastAsia="宋体" w:cs="Times New Roman"/>
          <w:bCs/>
          <w:kern w:val="0"/>
          <w:szCs w:val="20"/>
          <w:highlight w:val="none"/>
        </w:rPr>
        <w:t>适用于能源企业</w:t>
      </w:r>
      <w:r>
        <w:rPr>
          <w:rFonts w:hint="eastAsia" w:ascii="宋体" w:hAnsi="Times New Roman" w:eastAsia="宋体" w:cs="Times New Roman"/>
          <w:bCs/>
          <w:kern w:val="0"/>
          <w:szCs w:val="20"/>
          <w:highlight w:val="none"/>
          <w:lang w:val="en-US" w:eastAsia="zh-CN"/>
        </w:rPr>
        <w:t>绿色供应链数字化平台建设</w:t>
      </w:r>
      <w:r>
        <w:rPr>
          <w:rFonts w:hint="eastAsia" w:ascii="宋体" w:hAnsi="Times New Roman" w:eastAsia="宋体" w:cs="Times New Roman"/>
          <w:bCs/>
          <w:kern w:val="0"/>
          <w:szCs w:val="20"/>
          <w:highlight w:val="none"/>
        </w:rPr>
        <w:t>，</w:t>
      </w:r>
      <w:r>
        <w:rPr>
          <w:rFonts w:hint="eastAsia" w:ascii="宋体" w:hAnsi="Times New Roman" w:eastAsia="宋体" w:cs="Times New Roman"/>
          <w:bCs/>
          <w:kern w:val="0"/>
          <w:szCs w:val="20"/>
          <w:highlight w:val="none"/>
          <w:lang w:val="en-US" w:eastAsia="zh-CN"/>
        </w:rPr>
        <w:t>其他行业或组织的绿色供应链数字化平台建设可参照</w:t>
      </w:r>
      <w:r>
        <w:rPr>
          <w:rFonts w:hint="eastAsia" w:ascii="宋体" w:hAnsi="Times New Roman" w:eastAsia="宋体" w:cs="Times New Roman"/>
          <w:bCs/>
          <w:kern w:val="0"/>
          <w:szCs w:val="20"/>
          <w:highlight w:val="none"/>
        </w:rPr>
        <w:t>。</w:t>
      </w:r>
    </w:p>
    <w:p w14:paraId="48B17699">
      <w:pPr>
        <w:widowControl/>
        <w:spacing w:before="312" w:beforeLines="100" w:after="312" w:afterLines="100"/>
        <w:ind w:firstLine="0" w:firstLineChars="0"/>
        <w:outlineLvl w:val="1"/>
        <w:rPr>
          <w:rFonts w:ascii="黑体" w:hAnsi="Times New Roman" w:eastAsia="黑体" w:cs="Times New Roman"/>
          <w:kern w:val="0"/>
          <w:szCs w:val="20"/>
          <w:highlight w:val="none"/>
        </w:rPr>
      </w:pPr>
      <w:bookmarkStart w:id="33" w:name="_Toc134797692"/>
      <w:bookmarkStart w:id="34" w:name="_Toc30024"/>
      <w:bookmarkStart w:id="35" w:name="_Toc525119162"/>
      <w:bookmarkStart w:id="36" w:name="_Toc524441525"/>
      <w:r>
        <w:rPr>
          <w:rFonts w:hint="eastAsia" w:ascii="黑体" w:hAnsi="Times New Roman" w:eastAsia="黑体" w:cs="Times New Roman"/>
          <w:kern w:val="0"/>
          <w:szCs w:val="20"/>
          <w:highlight w:val="none"/>
        </w:rPr>
        <w:t>2</w:t>
      </w:r>
      <w:r>
        <w:rPr>
          <w:rFonts w:hint="eastAsia" w:ascii="黑体" w:hAnsi="Times New Roman" w:eastAsia="黑体" w:cs="Times New Roman"/>
          <w:kern w:val="0"/>
          <w:szCs w:val="20"/>
          <w:highlight w:val="none"/>
          <w:lang w:val="en-US" w:eastAsia="zh-CN"/>
        </w:rPr>
        <w:t xml:space="preserve">  </w:t>
      </w:r>
      <w:r>
        <w:rPr>
          <w:rFonts w:hint="eastAsia" w:ascii="黑体" w:hAnsi="Times New Roman" w:eastAsia="黑体" w:cs="Times New Roman"/>
          <w:kern w:val="0"/>
          <w:szCs w:val="20"/>
          <w:highlight w:val="none"/>
        </w:rPr>
        <w:t>规范性引用文件</w:t>
      </w:r>
      <w:bookmarkEnd w:id="33"/>
      <w:bookmarkEnd w:id="34"/>
      <w:bookmarkEnd w:id="35"/>
    </w:p>
    <w:p w14:paraId="73BB0565">
      <w:pPr>
        <w:widowControl/>
        <w:tabs>
          <w:tab w:val="center" w:pos="4201"/>
          <w:tab w:val="right" w:leader="dot" w:pos="9298"/>
        </w:tabs>
        <w:autoSpaceDE w:val="0"/>
        <w:autoSpaceDN w:val="0"/>
        <w:spacing w:line="360" w:lineRule="exact"/>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下列文件对本标准的应用是必不可少的。凡是注日期的引用文件，仅注日期的版本适用于本文件。凡是不注日期的引用文件，其最新版本（包括所有的修改单）适用于本文件。</w:t>
      </w:r>
    </w:p>
    <w:p w14:paraId="33BF657B">
      <w:pPr>
        <w:widowControl/>
        <w:tabs>
          <w:tab w:val="center" w:pos="4201"/>
          <w:tab w:val="right" w:leader="dot" w:pos="9298"/>
        </w:tabs>
        <w:autoSpaceDE w:val="0"/>
        <w:autoSpaceDN w:val="0"/>
        <w:spacing w:line="360" w:lineRule="exact"/>
        <w:ind w:firstLine="420"/>
        <w:rPr>
          <w:rFonts w:ascii="宋体" w:hAnsi="Times New Roman" w:eastAsia="宋体" w:cs="Times New Roman"/>
          <w:kern w:val="0"/>
          <w:szCs w:val="20"/>
          <w:highlight w:val="none"/>
        </w:rPr>
      </w:pPr>
      <w:r>
        <w:rPr>
          <w:rFonts w:ascii="宋体" w:hAnsi="Times New Roman" w:eastAsia="宋体" w:cs="Times New Roman"/>
          <w:kern w:val="0"/>
          <w:szCs w:val="20"/>
          <w:highlight w:val="none"/>
        </w:rPr>
        <w:t>GB/T 23050-2022:《供应链数字化管理指南》</w:t>
      </w:r>
    </w:p>
    <w:p w14:paraId="159A8018">
      <w:pPr>
        <w:widowControl/>
        <w:tabs>
          <w:tab w:val="center" w:pos="4201"/>
          <w:tab w:val="right" w:leader="dot" w:pos="9298"/>
        </w:tabs>
        <w:autoSpaceDE w:val="0"/>
        <w:autoSpaceDN w:val="0"/>
        <w:spacing w:line="360" w:lineRule="exact"/>
        <w:ind w:firstLine="420"/>
        <w:rPr>
          <w:rFonts w:hint="eastAsia" w:ascii="宋体" w:hAnsi="Times New Roman" w:eastAsia="宋体" w:cs="Times New Roman"/>
          <w:kern w:val="0"/>
          <w:szCs w:val="20"/>
          <w:highlight w:val="none"/>
        </w:rPr>
      </w:pPr>
      <w:r>
        <w:rPr>
          <w:rFonts w:ascii="宋体" w:hAnsi="Times New Roman" w:eastAsia="宋体" w:cs="Times New Roman"/>
          <w:kern w:val="0"/>
          <w:szCs w:val="20"/>
          <w:highlight w:val="none"/>
        </w:rPr>
        <w:t>GB_T 35121-2017:</w:t>
      </w:r>
      <w:r>
        <w:rPr>
          <w:rFonts w:hint="eastAsia" w:ascii="宋体" w:hAnsi="Times New Roman" w:eastAsia="宋体" w:cs="Times New Roman"/>
          <w:kern w:val="0"/>
          <w:szCs w:val="20"/>
          <w:highlight w:val="none"/>
        </w:rPr>
        <w:t>《</w:t>
      </w:r>
      <w:r>
        <w:rPr>
          <w:rFonts w:ascii="宋体" w:hAnsi="Times New Roman" w:eastAsia="宋体" w:cs="Times New Roman"/>
          <w:kern w:val="0"/>
          <w:szCs w:val="20"/>
          <w:highlight w:val="none"/>
        </w:rPr>
        <w:t>全程供应链管理服务平台参考功能框架</w:t>
      </w:r>
      <w:r>
        <w:rPr>
          <w:rFonts w:hint="eastAsia" w:ascii="宋体" w:hAnsi="Times New Roman" w:eastAsia="宋体" w:cs="Times New Roman"/>
          <w:kern w:val="0"/>
          <w:szCs w:val="20"/>
          <w:highlight w:val="none"/>
        </w:rPr>
        <w:t>》</w:t>
      </w:r>
    </w:p>
    <w:p w14:paraId="2620F473">
      <w:pPr>
        <w:widowControl/>
        <w:tabs>
          <w:tab w:val="center" w:pos="4201"/>
          <w:tab w:val="right" w:leader="dot" w:pos="9298"/>
        </w:tabs>
        <w:autoSpaceDE w:val="0"/>
        <w:autoSpaceDN w:val="0"/>
        <w:spacing w:line="360" w:lineRule="exact"/>
        <w:ind w:firstLine="420"/>
        <w:rPr>
          <w:rFonts w:hint="eastAsia" w:ascii="宋体" w:hAnsi="Times New Roman" w:eastAsia="宋体" w:cs="Times New Roman"/>
          <w:kern w:val="0"/>
          <w:szCs w:val="20"/>
          <w:highlight w:val="none"/>
        </w:rPr>
      </w:pPr>
      <w:r>
        <w:rPr>
          <w:rFonts w:hint="eastAsia" w:ascii="宋体" w:hAnsi="Times New Roman" w:eastAsia="宋体" w:cs="Times New Roman"/>
          <w:kern w:val="0"/>
          <w:szCs w:val="20"/>
          <w:highlight w:val="none"/>
        </w:rPr>
        <w:t>GB/T 33635-2017《绿色制造 制造企业绿色供应链管理 导则》</w:t>
      </w:r>
    </w:p>
    <w:p w14:paraId="7905252B">
      <w:pPr>
        <w:widowControl/>
        <w:spacing w:before="312" w:beforeLines="100" w:after="312" w:afterLines="100"/>
        <w:ind w:firstLine="0" w:firstLineChars="0"/>
        <w:outlineLvl w:val="1"/>
        <w:rPr>
          <w:rFonts w:ascii="黑体" w:hAnsi="Times New Roman" w:eastAsia="黑体" w:cs="Times New Roman"/>
          <w:kern w:val="0"/>
          <w:szCs w:val="20"/>
          <w:highlight w:val="none"/>
        </w:rPr>
      </w:pPr>
      <w:bookmarkStart w:id="37" w:name="_Toc525119163"/>
      <w:bookmarkStart w:id="38" w:name="_Toc10191"/>
      <w:bookmarkStart w:id="39" w:name="_Toc134797693"/>
      <w:r>
        <w:rPr>
          <w:rFonts w:hint="eastAsia" w:ascii="黑体" w:hAnsi="Times New Roman" w:eastAsia="黑体" w:cs="Times New Roman"/>
          <w:kern w:val="0"/>
          <w:szCs w:val="20"/>
          <w:highlight w:val="none"/>
        </w:rPr>
        <w:t>3</w:t>
      </w:r>
      <w:r>
        <w:rPr>
          <w:rFonts w:hint="eastAsia" w:ascii="黑体" w:hAnsi="Times New Roman" w:eastAsia="黑体" w:cs="Times New Roman"/>
          <w:kern w:val="0"/>
          <w:szCs w:val="20"/>
          <w:highlight w:val="none"/>
          <w:lang w:val="en-US" w:eastAsia="zh-CN"/>
        </w:rPr>
        <w:t xml:space="preserve">  </w:t>
      </w:r>
      <w:r>
        <w:rPr>
          <w:rFonts w:ascii="黑体" w:hAnsi="Times New Roman" w:eastAsia="黑体" w:cs="Times New Roman"/>
          <w:kern w:val="0"/>
          <w:szCs w:val="20"/>
          <w:highlight w:val="none"/>
        </w:rPr>
        <w:t>术语</w:t>
      </w:r>
      <w:r>
        <w:rPr>
          <w:rFonts w:hint="eastAsia" w:ascii="黑体" w:hAnsi="Times New Roman" w:eastAsia="黑体" w:cs="Times New Roman"/>
          <w:kern w:val="0"/>
          <w:szCs w:val="20"/>
          <w:highlight w:val="none"/>
        </w:rPr>
        <w:t>、</w:t>
      </w:r>
      <w:r>
        <w:rPr>
          <w:rFonts w:ascii="黑体" w:hAnsi="Times New Roman" w:eastAsia="黑体" w:cs="Times New Roman"/>
          <w:kern w:val="0"/>
          <w:szCs w:val="20"/>
          <w:highlight w:val="none"/>
        </w:rPr>
        <w:t>定义</w:t>
      </w:r>
      <w:bookmarkEnd w:id="36"/>
      <w:bookmarkEnd w:id="37"/>
      <w:r>
        <w:rPr>
          <w:rFonts w:ascii="黑体" w:hAnsi="Times New Roman" w:eastAsia="黑体" w:cs="Times New Roman"/>
          <w:kern w:val="0"/>
          <w:szCs w:val="20"/>
          <w:highlight w:val="none"/>
        </w:rPr>
        <w:t>和缩略语</w:t>
      </w:r>
      <w:bookmarkEnd w:id="38"/>
      <w:bookmarkEnd w:id="39"/>
    </w:p>
    <w:p w14:paraId="47627391">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40" w:name="_Toc16328"/>
      <w:bookmarkStart w:id="41" w:name="_Toc134797694"/>
      <w:r>
        <w:rPr>
          <w:rFonts w:hint="eastAsia" w:ascii="黑体" w:hAnsi="Times New Roman" w:eastAsia="黑体" w:cs="Times New Roman"/>
          <w:kern w:val="0"/>
          <w:szCs w:val="21"/>
          <w:highlight w:val="none"/>
        </w:rPr>
        <w:t xml:space="preserve">3.1 </w:t>
      </w:r>
      <w:r>
        <w:rPr>
          <w:rFonts w:hint="eastAsia" w:ascii="黑体" w:hAnsi="Times New Roman" w:eastAsia="黑体" w:cs="Times New Roman"/>
          <w:kern w:val="0"/>
          <w:szCs w:val="21"/>
          <w:highlight w:val="none"/>
          <w:lang w:val="en-US" w:eastAsia="zh-CN"/>
        </w:rPr>
        <w:t xml:space="preserve"> </w:t>
      </w:r>
      <w:r>
        <w:rPr>
          <w:rFonts w:ascii="黑体" w:hAnsi="Times New Roman" w:eastAsia="黑体" w:cs="Times New Roman"/>
          <w:kern w:val="0"/>
          <w:szCs w:val="20"/>
          <w:highlight w:val="none"/>
        </w:rPr>
        <w:t>术语</w:t>
      </w:r>
      <w:r>
        <w:rPr>
          <w:rFonts w:hint="eastAsia" w:ascii="黑体" w:hAnsi="Times New Roman" w:eastAsia="黑体" w:cs="Times New Roman"/>
          <w:kern w:val="0"/>
          <w:szCs w:val="20"/>
          <w:highlight w:val="none"/>
        </w:rPr>
        <w:t>和定义</w:t>
      </w:r>
      <w:bookmarkEnd w:id="40"/>
      <w:bookmarkEnd w:id="41"/>
    </w:p>
    <w:p w14:paraId="1F0A8AB3">
      <w:pPr>
        <w:widowControl/>
        <w:tabs>
          <w:tab w:val="center" w:pos="4201"/>
          <w:tab w:val="right" w:leader="dot" w:pos="9298"/>
        </w:tabs>
        <w:autoSpaceDE w:val="0"/>
        <w:autoSpaceDN w:val="0"/>
        <w:spacing w:line="360" w:lineRule="exact"/>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下列术语和定义适用于本文件。</w:t>
      </w:r>
    </w:p>
    <w:p w14:paraId="69ECAC5F">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 xml:space="preserve">3.1.1 </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 xml:space="preserve">供应链  </w:t>
      </w:r>
      <w:r>
        <w:rPr>
          <w:rFonts w:ascii="Times New Roman" w:hAnsi="Times New Roman" w:eastAsia="黑体" w:cs="Times New Roman"/>
          <w:kern w:val="0"/>
          <w:szCs w:val="21"/>
          <w:highlight w:val="none"/>
        </w:rPr>
        <w:t>supply chain</w:t>
      </w:r>
    </w:p>
    <w:p w14:paraId="74A2DC9C">
      <w:pPr>
        <w:ind w:firstLine="420"/>
        <w:rPr>
          <w:highlight w:val="none"/>
        </w:rPr>
      </w:pPr>
      <w:r>
        <w:rPr>
          <w:rFonts w:hint="eastAsia"/>
          <w:highlight w:val="none"/>
        </w:rPr>
        <w:t>生产及流通过程中，涉及将产品和服务提供给最终用户所形成的网络结构。</w:t>
      </w:r>
    </w:p>
    <w:p w14:paraId="77400DE2">
      <w:pPr>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来源：</w:t>
      </w:r>
      <w:r>
        <w:rPr>
          <w:rFonts w:ascii="Times New Roman" w:hAnsi="Times New Roman" w:cs="Times New Roman"/>
          <w:highlight w:val="none"/>
        </w:rPr>
        <w:t>GB/T 18354-2006，定义2.5]</w:t>
      </w:r>
    </w:p>
    <w:p w14:paraId="7AA1E6F8">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3.1.2</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供应链</w:t>
      </w:r>
      <w:r>
        <w:rPr>
          <w:rFonts w:ascii="黑体" w:hAnsi="Times New Roman" w:eastAsia="黑体" w:cs="Times New Roman"/>
          <w:kern w:val="0"/>
          <w:szCs w:val="21"/>
          <w:highlight w:val="none"/>
        </w:rPr>
        <w:t>管理</w:t>
      </w:r>
      <w:r>
        <w:rPr>
          <w:rFonts w:hint="eastAsia" w:ascii="黑体" w:hAnsi="Times New Roman" w:eastAsia="黑体" w:cs="Times New Roman"/>
          <w:kern w:val="0"/>
          <w:szCs w:val="21"/>
          <w:highlight w:val="none"/>
        </w:rPr>
        <w:t xml:space="preserve">  </w:t>
      </w:r>
      <w:r>
        <w:rPr>
          <w:rFonts w:ascii="Times New Roman" w:hAnsi="Times New Roman" w:eastAsia="黑体" w:cs="Times New Roman"/>
          <w:kern w:val="0"/>
          <w:szCs w:val="21"/>
          <w:highlight w:val="none"/>
        </w:rPr>
        <w:t>supply chain</w:t>
      </w:r>
      <w:r>
        <w:rPr>
          <w:rFonts w:hint="eastAsia" w:ascii="Times New Roman" w:hAnsi="Times New Roman" w:eastAsia="黑体" w:cs="Times New Roman"/>
          <w:kern w:val="0"/>
          <w:szCs w:val="21"/>
          <w:highlight w:val="none"/>
        </w:rPr>
        <w:t xml:space="preserve"> management</w:t>
      </w:r>
    </w:p>
    <w:p w14:paraId="1233F251">
      <w:pPr>
        <w:ind w:firstLine="420"/>
        <w:rPr>
          <w:highlight w:val="none"/>
        </w:rPr>
      </w:pPr>
      <w:r>
        <w:rPr>
          <w:rFonts w:hint="eastAsia"/>
          <w:highlight w:val="none"/>
        </w:rPr>
        <w:t>对供应链涉及的全部活动进行计划、组织、协调与控制。</w:t>
      </w:r>
    </w:p>
    <w:p w14:paraId="5D23E3C9">
      <w:pPr>
        <w:ind w:firstLine="420"/>
        <w:rPr>
          <w:rFonts w:ascii="Times New Roman" w:hAnsi="Times New Roman" w:cs="Times New Roman"/>
          <w:highlight w:val="none"/>
        </w:rPr>
      </w:pPr>
      <w:r>
        <w:rPr>
          <w:rFonts w:ascii="Times New Roman" w:hAnsi="Times New Roman" w:cs="Times New Roman"/>
          <w:highlight w:val="none"/>
        </w:rPr>
        <w:t>[GB/T 18354-2006，定义2.</w:t>
      </w:r>
      <w:r>
        <w:rPr>
          <w:rFonts w:hint="eastAsia" w:ascii="Times New Roman" w:hAnsi="Times New Roman" w:cs="Times New Roman"/>
          <w:highlight w:val="none"/>
        </w:rPr>
        <w:t>6</w:t>
      </w:r>
      <w:r>
        <w:rPr>
          <w:rFonts w:ascii="Times New Roman" w:hAnsi="Times New Roman" w:cs="Times New Roman"/>
          <w:highlight w:val="none"/>
        </w:rPr>
        <w:t>]</w:t>
      </w:r>
    </w:p>
    <w:p w14:paraId="4ADDA229">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3.1.3</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 xml:space="preserve">采购技术标准  </w:t>
      </w:r>
      <w:r>
        <w:rPr>
          <w:rFonts w:hint="eastAsia" w:ascii="Times New Roman" w:hAnsi="Times New Roman" w:eastAsia="黑体" w:cs="Times New Roman"/>
          <w:kern w:val="0"/>
          <w:szCs w:val="21"/>
          <w:highlight w:val="none"/>
        </w:rPr>
        <w:t>p</w:t>
      </w:r>
      <w:r>
        <w:rPr>
          <w:rFonts w:ascii="Times New Roman" w:hAnsi="Times New Roman" w:eastAsia="黑体" w:cs="Times New Roman"/>
          <w:kern w:val="0"/>
          <w:szCs w:val="21"/>
          <w:highlight w:val="none"/>
        </w:rPr>
        <w:t xml:space="preserve">rocurement </w:t>
      </w:r>
      <w:r>
        <w:rPr>
          <w:rFonts w:hint="eastAsia" w:ascii="Times New Roman" w:hAnsi="Times New Roman" w:eastAsia="黑体" w:cs="Times New Roman"/>
          <w:kern w:val="0"/>
          <w:szCs w:val="21"/>
          <w:highlight w:val="none"/>
        </w:rPr>
        <w:t>t</w:t>
      </w:r>
      <w:r>
        <w:rPr>
          <w:rFonts w:ascii="Times New Roman" w:hAnsi="Times New Roman" w:eastAsia="黑体" w:cs="Times New Roman"/>
          <w:kern w:val="0"/>
          <w:szCs w:val="21"/>
          <w:highlight w:val="none"/>
        </w:rPr>
        <w:t xml:space="preserve">echnical </w:t>
      </w:r>
      <w:r>
        <w:rPr>
          <w:rFonts w:hint="eastAsia" w:ascii="Times New Roman" w:hAnsi="Times New Roman" w:eastAsia="黑体" w:cs="Times New Roman"/>
          <w:kern w:val="0"/>
          <w:szCs w:val="21"/>
          <w:highlight w:val="none"/>
        </w:rPr>
        <w:t>s</w:t>
      </w:r>
      <w:r>
        <w:rPr>
          <w:rFonts w:ascii="Times New Roman" w:hAnsi="Times New Roman" w:eastAsia="黑体" w:cs="Times New Roman"/>
          <w:kern w:val="0"/>
          <w:szCs w:val="21"/>
          <w:highlight w:val="none"/>
        </w:rPr>
        <w:t>tandards</w:t>
      </w:r>
    </w:p>
    <w:p w14:paraId="65CB299C">
      <w:pPr>
        <w:ind w:firstLine="420"/>
        <w:rPr>
          <w:highlight w:val="none"/>
        </w:rPr>
      </w:pPr>
      <w:r>
        <w:rPr>
          <w:rFonts w:hint="eastAsia"/>
          <w:highlight w:val="none"/>
        </w:rPr>
        <w:t>针对采购产品的技术需求进行标准化。</w:t>
      </w:r>
    </w:p>
    <w:p w14:paraId="069493D9">
      <w:pPr>
        <w:ind w:firstLine="420"/>
        <w:rPr>
          <w:rFonts w:ascii="Times New Roman" w:hAnsi="Times New Roman" w:cs="Times New Roman"/>
          <w:highlight w:val="none"/>
        </w:rPr>
      </w:pPr>
      <w:r>
        <w:rPr>
          <w:rFonts w:ascii="Times New Roman" w:hAnsi="Times New Roman" w:cs="Times New Roman"/>
          <w:highlight w:val="none"/>
        </w:rPr>
        <w:t>[YD/T 4055-2022，定义2.</w:t>
      </w:r>
      <w:r>
        <w:rPr>
          <w:rFonts w:hint="eastAsia" w:ascii="Times New Roman" w:hAnsi="Times New Roman" w:cs="Times New Roman"/>
          <w:highlight w:val="none"/>
        </w:rPr>
        <w:t>6</w:t>
      </w:r>
      <w:r>
        <w:rPr>
          <w:rFonts w:ascii="Times New Roman" w:hAnsi="Times New Roman" w:cs="Times New Roman"/>
          <w:highlight w:val="none"/>
        </w:rPr>
        <w:t>]</w:t>
      </w:r>
    </w:p>
    <w:p w14:paraId="0D36F848">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3.1.4</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 xml:space="preserve">区块链 </w:t>
      </w:r>
      <w:r>
        <w:rPr>
          <w:rFonts w:ascii="Times New Roman" w:hAnsi="Times New Roman" w:eastAsia="黑体" w:cs="Times New Roman"/>
          <w:kern w:val="0"/>
          <w:szCs w:val="21"/>
          <w:highlight w:val="none"/>
        </w:rPr>
        <w:t>blockchain</w:t>
      </w:r>
    </w:p>
    <w:p w14:paraId="78BCF863">
      <w:pPr>
        <w:ind w:firstLine="420"/>
        <w:rPr>
          <w:highlight w:val="none"/>
        </w:rPr>
      </w:pPr>
      <w:r>
        <w:rPr>
          <w:rFonts w:hint="eastAsia"/>
          <w:highlight w:val="none"/>
        </w:rPr>
        <w:t>一种在对等网络环境下，通过透明和可信规则，构建不可伪造、不可篡改和可追溯的块链式结构，实现和管理事务处理的模式。</w:t>
      </w:r>
    </w:p>
    <w:p w14:paraId="076B2E23">
      <w:pPr>
        <w:ind w:firstLine="420"/>
        <w:rPr>
          <w:rFonts w:ascii="Times New Roman" w:hAnsi="Times New Roman" w:cs="Times New Roman"/>
          <w:highlight w:val="none"/>
        </w:rPr>
      </w:pPr>
      <w:r>
        <w:rPr>
          <w:rFonts w:ascii="Times New Roman" w:hAnsi="Times New Roman" w:cs="Times New Roman"/>
          <w:highlight w:val="none"/>
        </w:rPr>
        <w:t xml:space="preserve">[GB/T </w:t>
      </w:r>
      <w:r>
        <w:rPr>
          <w:rFonts w:hint="eastAsia" w:ascii="Times New Roman" w:hAnsi="Times New Roman" w:cs="Times New Roman"/>
          <w:highlight w:val="none"/>
        </w:rPr>
        <w:t>AAAA</w:t>
      </w:r>
      <w:r>
        <w:rPr>
          <w:rFonts w:ascii="Times New Roman" w:hAnsi="Times New Roman" w:cs="Times New Roman"/>
          <w:highlight w:val="none"/>
        </w:rPr>
        <w:t>-</w:t>
      </w:r>
      <w:r>
        <w:rPr>
          <w:rFonts w:hint="eastAsia" w:ascii="Times New Roman" w:hAnsi="Times New Roman" w:cs="Times New Roman"/>
          <w:highlight w:val="none"/>
        </w:rPr>
        <w:t>AAAA</w:t>
      </w:r>
      <w:r>
        <w:rPr>
          <w:rFonts w:ascii="Times New Roman" w:hAnsi="Times New Roman" w:cs="Times New Roman"/>
          <w:highlight w:val="none"/>
        </w:rPr>
        <w:t>，定义</w:t>
      </w:r>
      <w:r>
        <w:rPr>
          <w:rFonts w:hint="eastAsia" w:ascii="Times New Roman" w:hAnsi="Times New Roman" w:cs="Times New Roman"/>
          <w:highlight w:val="none"/>
        </w:rPr>
        <w:t>3</w:t>
      </w:r>
      <w:r>
        <w:rPr>
          <w:rFonts w:ascii="Times New Roman" w:hAnsi="Times New Roman" w:cs="Times New Roman"/>
          <w:highlight w:val="none"/>
        </w:rPr>
        <w:t>.</w:t>
      </w:r>
      <w:r>
        <w:rPr>
          <w:rFonts w:hint="eastAsia" w:ascii="Times New Roman" w:hAnsi="Times New Roman" w:cs="Times New Roman"/>
          <w:highlight w:val="none"/>
        </w:rPr>
        <w:t>6</w:t>
      </w:r>
      <w:r>
        <w:rPr>
          <w:rFonts w:ascii="Times New Roman" w:hAnsi="Times New Roman" w:cs="Times New Roman"/>
          <w:highlight w:val="none"/>
        </w:rPr>
        <w:t>]</w:t>
      </w:r>
    </w:p>
    <w:p w14:paraId="5D7C4A45">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3.1.5</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人工智能</w:t>
      </w:r>
      <w:r>
        <w:rPr>
          <w:rFonts w:hint="eastAsia" w:ascii="黑体" w:hAnsi="Times New Roman" w:eastAsia="黑体" w:cs="Times New Roman"/>
          <w:kern w:val="0"/>
          <w:szCs w:val="21"/>
          <w:highlight w:val="none"/>
          <w:lang w:val="en-US" w:eastAsia="zh-CN"/>
        </w:rPr>
        <w:t xml:space="preserve"> </w:t>
      </w:r>
      <w:r>
        <w:rPr>
          <w:rFonts w:ascii="Times New Roman" w:hAnsi="Times New Roman" w:eastAsia="黑体" w:cs="Times New Roman"/>
          <w:kern w:val="0"/>
          <w:szCs w:val="21"/>
          <w:highlight w:val="none"/>
        </w:rPr>
        <w:t>artificial intelligence</w:t>
      </w:r>
      <w:r>
        <w:rPr>
          <w:rFonts w:hint="eastAsia" w:ascii="Times New Roman" w:hAnsi="Times New Roman" w:eastAsia="黑体" w:cs="Times New Roman"/>
          <w:kern w:val="0"/>
          <w:szCs w:val="21"/>
          <w:highlight w:val="none"/>
        </w:rPr>
        <w:t xml:space="preserve"> system</w:t>
      </w:r>
    </w:p>
    <w:p w14:paraId="67227A7F">
      <w:pPr>
        <w:ind w:firstLine="420"/>
        <w:rPr>
          <w:highlight w:val="none"/>
        </w:rPr>
      </w:pPr>
      <w:r>
        <w:rPr>
          <w:rFonts w:hint="eastAsia"/>
          <w:highlight w:val="none"/>
        </w:rPr>
        <w:t>针对人类给定的目标，产生诸如内容、预测、推荐或决策等输出的一类工程系统。</w:t>
      </w:r>
    </w:p>
    <w:p w14:paraId="5CF61667">
      <w:pPr>
        <w:ind w:firstLine="420"/>
        <w:rPr>
          <w:rFonts w:ascii="Times New Roman" w:hAnsi="Times New Roman" w:cs="Times New Roman"/>
          <w:highlight w:val="none"/>
        </w:rPr>
      </w:pPr>
      <w:r>
        <w:rPr>
          <w:rFonts w:ascii="Times New Roman" w:hAnsi="Times New Roman" w:cs="Times New Roman"/>
          <w:highlight w:val="none"/>
        </w:rPr>
        <w:t xml:space="preserve">[GB/T </w:t>
      </w:r>
      <w:r>
        <w:rPr>
          <w:rFonts w:hint="eastAsia" w:ascii="Times New Roman" w:hAnsi="Times New Roman" w:cs="Times New Roman"/>
          <w:highlight w:val="none"/>
        </w:rPr>
        <w:t>41867</w:t>
      </w:r>
      <w:r>
        <w:rPr>
          <w:rFonts w:ascii="Times New Roman" w:hAnsi="Times New Roman" w:cs="Times New Roman"/>
          <w:highlight w:val="none"/>
        </w:rPr>
        <w:t>-</w:t>
      </w:r>
      <w:r>
        <w:rPr>
          <w:rFonts w:hint="eastAsia" w:ascii="Times New Roman" w:hAnsi="Times New Roman" w:cs="Times New Roman"/>
          <w:highlight w:val="none"/>
        </w:rPr>
        <w:t>2022</w:t>
      </w:r>
      <w:r>
        <w:rPr>
          <w:rFonts w:ascii="Times New Roman" w:hAnsi="Times New Roman" w:cs="Times New Roman"/>
          <w:highlight w:val="none"/>
        </w:rPr>
        <w:t>，定义</w:t>
      </w:r>
      <w:r>
        <w:rPr>
          <w:rFonts w:hint="eastAsia" w:ascii="Times New Roman" w:hAnsi="Times New Roman" w:cs="Times New Roman"/>
          <w:highlight w:val="none"/>
        </w:rPr>
        <w:t>3</w:t>
      </w:r>
      <w:r>
        <w:rPr>
          <w:rFonts w:ascii="Times New Roman" w:hAnsi="Times New Roman" w:cs="Times New Roman"/>
          <w:highlight w:val="none"/>
        </w:rPr>
        <w:t>.</w:t>
      </w:r>
      <w:r>
        <w:rPr>
          <w:rFonts w:hint="eastAsia" w:ascii="Times New Roman" w:hAnsi="Times New Roman" w:cs="Times New Roman"/>
          <w:highlight w:val="none"/>
        </w:rPr>
        <w:t>1.8</w:t>
      </w:r>
      <w:r>
        <w:rPr>
          <w:rFonts w:ascii="Times New Roman" w:hAnsi="Times New Roman" w:cs="Times New Roman"/>
          <w:highlight w:val="none"/>
        </w:rPr>
        <w:t>]</w:t>
      </w:r>
    </w:p>
    <w:p w14:paraId="4A62DD69">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w:t>
      </w:r>
      <w:r>
        <w:rPr>
          <w:rFonts w:hint="eastAsia" w:ascii="黑体" w:hAnsi="Times New Roman" w:eastAsia="黑体" w:cs="Times New Roman"/>
          <w:kern w:val="0"/>
          <w:szCs w:val="21"/>
          <w:highlight w:val="none"/>
          <w:lang w:val="en-US" w:eastAsia="zh-CN"/>
        </w:rPr>
        <w:t>6  云计算</w:t>
      </w:r>
      <w:r>
        <w:rPr>
          <w:rFonts w:hint="eastAsia" w:ascii="Times New Roman" w:hAnsi="Times New Roman" w:eastAsia="黑体" w:cs="Times New Roman"/>
          <w:kern w:val="0"/>
          <w:szCs w:val="21"/>
          <w:highlight w:val="none"/>
          <w:lang w:val="en-US" w:eastAsia="zh-CN"/>
        </w:rPr>
        <w:t>cloud computing</w:t>
      </w:r>
    </w:p>
    <w:p w14:paraId="21F49D0E">
      <w:pPr>
        <w:ind w:firstLine="420"/>
        <w:rPr>
          <w:rFonts w:hint="eastAsia"/>
          <w:highlight w:val="none"/>
        </w:rPr>
      </w:pPr>
      <w:r>
        <w:rPr>
          <w:rFonts w:hint="eastAsia"/>
          <w:highlight w:val="none"/>
        </w:rPr>
        <w:t>在绿色供应链数字化平台中，用于提供弹性计算资源，支持大规模数据处理和应用部署。</w:t>
      </w:r>
    </w:p>
    <w:p w14:paraId="3687CA62">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w:t>
      </w:r>
      <w:r>
        <w:rPr>
          <w:rFonts w:hint="eastAsia" w:ascii="黑体" w:hAnsi="Times New Roman" w:eastAsia="黑体" w:cs="Times New Roman"/>
          <w:kern w:val="0"/>
          <w:szCs w:val="21"/>
          <w:highlight w:val="none"/>
          <w:lang w:val="en-US" w:eastAsia="zh-CN"/>
        </w:rPr>
        <w:t>7  物联网i</w:t>
      </w:r>
      <w:r>
        <w:rPr>
          <w:rFonts w:hint="eastAsia" w:ascii="Times New Roman" w:hAnsi="Times New Roman" w:eastAsia="黑体" w:cs="Times New Roman"/>
          <w:kern w:val="0"/>
          <w:szCs w:val="21"/>
          <w:highlight w:val="none"/>
          <w:lang w:val="en-US" w:eastAsia="zh-CN"/>
        </w:rPr>
        <w:t>nternet of things</w:t>
      </w:r>
    </w:p>
    <w:p w14:paraId="5544B4F3">
      <w:pPr>
        <w:ind w:firstLine="420"/>
        <w:rPr>
          <w:rFonts w:hint="eastAsia"/>
          <w:highlight w:val="none"/>
          <w:lang w:val="en-US" w:eastAsia="zh-CN"/>
        </w:rPr>
      </w:pPr>
      <w:r>
        <w:rPr>
          <w:rFonts w:hint="eastAsia"/>
          <w:highlight w:val="none"/>
          <w:lang w:val="en-US" w:eastAsia="zh-CN"/>
        </w:rPr>
        <w:t>通过传感器、智能设备等实现电网物资、设备的实时监测和数据采集，为绿色供应链管理提供精准数据支持。</w:t>
      </w:r>
    </w:p>
    <w:p w14:paraId="1FC6D72B">
      <w:pPr>
        <w:widowControl/>
        <w:numPr>
          <w:ilvl w:val="2"/>
          <w:numId w:val="0"/>
        </w:numPr>
        <w:spacing w:before="156" w:beforeLines="50" w:after="156" w:afterLines="50"/>
        <w:ind w:firstLine="0" w:firstLineChars="0"/>
        <w:jc w:val="left"/>
        <w:outlineLvl w:val="3"/>
        <w:rPr>
          <w:rFonts w:ascii="Times New Roman" w:hAnsi="Times New Roman" w:eastAsia="黑体" w:cs="Times New Roman"/>
          <w:kern w:val="0"/>
          <w:szCs w:val="21"/>
          <w:highlight w:val="none"/>
        </w:rPr>
      </w:pPr>
      <w:r>
        <w:rPr>
          <w:rFonts w:hint="eastAsia" w:ascii="黑体" w:hAnsi="Times New Roman" w:eastAsia="黑体" w:cs="Times New Roman"/>
          <w:kern w:val="0"/>
          <w:szCs w:val="21"/>
          <w:highlight w:val="none"/>
        </w:rPr>
        <w:t>3.1.</w:t>
      </w:r>
      <w:r>
        <w:rPr>
          <w:rFonts w:hint="eastAsia" w:ascii="黑体" w:hAnsi="Times New Roman" w:eastAsia="黑体" w:cs="Times New Roman"/>
          <w:kern w:val="0"/>
          <w:szCs w:val="21"/>
          <w:highlight w:val="none"/>
          <w:lang w:val="en-US" w:eastAsia="zh-CN"/>
        </w:rPr>
        <w:t>8  绿色供应链</w:t>
      </w:r>
      <w:r>
        <w:rPr>
          <w:rFonts w:hint="eastAsia" w:ascii="Times New Roman" w:hAnsi="Times New Roman" w:eastAsia="黑体" w:cs="Times New Roman"/>
          <w:kern w:val="0"/>
          <w:szCs w:val="21"/>
          <w:highlight w:val="none"/>
          <w:lang w:val="en-US" w:eastAsia="zh-CN"/>
        </w:rPr>
        <w:t>green supply chain</w:t>
      </w:r>
    </w:p>
    <w:p w14:paraId="026EE2CF">
      <w:pPr>
        <w:ind w:firstLine="420"/>
        <w:rPr>
          <w:rFonts w:hint="eastAsia"/>
          <w:highlight w:val="none"/>
          <w:lang w:val="en-US" w:eastAsia="zh-CN"/>
        </w:rPr>
      </w:pPr>
      <w:r>
        <w:rPr>
          <w:rFonts w:hint="eastAsia"/>
          <w:highlight w:val="none"/>
          <w:lang w:val="en-US" w:eastAsia="zh-CN"/>
        </w:rPr>
        <w:t>通过传感器、智能设备等实现电网物资、设备的实时监测和数据采集，为绿色供应链管理提供精准数据支持。</w:t>
      </w:r>
    </w:p>
    <w:p w14:paraId="5762D3D0">
      <w:pPr>
        <w:widowControl/>
        <w:numPr>
          <w:ilvl w:val="2"/>
          <w:numId w:val="0"/>
        </w:numPr>
        <w:spacing w:before="156" w:beforeLines="50" w:after="156" w:afterLines="50"/>
        <w:ind w:firstLine="0" w:firstLineChars="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3.1.</w:t>
      </w:r>
      <w:r>
        <w:rPr>
          <w:rFonts w:hint="eastAsia" w:ascii="黑体" w:hAnsi="Times New Roman" w:eastAsia="黑体" w:cs="Times New Roman"/>
          <w:kern w:val="0"/>
          <w:szCs w:val="21"/>
          <w:highlight w:val="none"/>
          <w:lang w:val="en-US" w:eastAsia="zh-CN"/>
        </w:rPr>
        <w:t>9  绿色采购</w:t>
      </w:r>
      <w:r>
        <w:rPr>
          <w:rFonts w:hint="eastAsia" w:ascii="Times New Roman" w:hAnsi="Times New Roman" w:eastAsia="黑体" w:cs="Times New Roman"/>
          <w:kern w:val="0"/>
          <w:szCs w:val="21"/>
          <w:highlight w:val="none"/>
          <w:lang w:val="en-US" w:eastAsia="zh-CN"/>
        </w:rPr>
        <w:t>green procurement</w:t>
      </w:r>
    </w:p>
    <w:p w14:paraId="37798D7D">
      <w:pPr>
        <w:ind w:firstLine="420"/>
        <w:rPr>
          <w:rFonts w:hint="eastAsia"/>
          <w:highlight w:val="none"/>
          <w:lang w:val="en-US" w:eastAsia="zh-CN"/>
        </w:rPr>
      </w:pPr>
      <w:r>
        <w:rPr>
          <w:rFonts w:hint="eastAsia"/>
          <w:highlight w:val="none"/>
          <w:lang w:val="en-US" w:eastAsia="zh-CN"/>
        </w:rPr>
        <w:t>绿色采购是指企业或组织在采购活动中，充分考虑环境保护、资源节约和可持续发展等因素，优先选择对环境影响较小、资源利用效率较高的产品和服务。</w:t>
      </w:r>
    </w:p>
    <w:p w14:paraId="7DB6C668">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42" w:name="_Toc134797695"/>
      <w:bookmarkStart w:id="43" w:name="_Toc5853"/>
      <w:bookmarkStart w:id="44" w:name="_Toc134797696"/>
      <w:r>
        <w:rPr>
          <w:rFonts w:hint="eastAsia" w:ascii="黑体" w:hAnsi="Times New Roman" w:eastAsia="黑体" w:cs="Times New Roman"/>
          <w:kern w:val="0"/>
          <w:szCs w:val="21"/>
          <w:highlight w:val="none"/>
        </w:rPr>
        <w:t xml:space="preserve">3.2 </w:t>
      </w:r>
      <w:r>
        <w:rPr>
          <w:rFonts w:hint="eastAsia" w:ascii="黑体" w:hAnsi="Times New Roman" w:eastAsia="黑体" w:cs="Times New Roman"/>
          <w:kern w:val="0"/>
          <w:szCs w:val="21"/>
          <w:highlight w:val="none"/>
          <w:lang w:val="en-US" w:eastAsia="zh-CN"/>
        </w:rPr>
        <w:t xml:space="preserve"> </w:t>
      </w:r>
      <w:bookmarkStart w:id="99" w:name="_GoBack"/>
      <w:bookmarkEnd w:id="99"/>
      <w:r>
        <w:rPr>
          <w:rFonts w:hint="eastAsia" w:ascii="黑体" w:hAnsi="Times New Roman" w:eastAsia="黑体" w:cs="Times New Roman"/>
          <w:kern w:val="0"/>
          <w:szCs w:val="20"/>
          <w:highlight w:val="none"/>
        </w:rPr>
        <w:t>缩略语</w:t>
      </w:r>
      <w:bookmarkEnd w:id="42"/>
      <w:bookmarkEnd w:id="43"/>
    </w:p>
    <w:p w14:paraId="4602A919">
      <w:pPr>
        <w:widowControl/>
        <w:tabs>
          <w:tab w:val="center" w:pos="4201"/>
          <w:tab w:val="right" w:leader="dot" w:pos="9298"/>
        </w:tabs>
        <w:autoSpaceDE w:val="0"/>
        <w:autoSpaceDN w:val="0"/>
        <w:spacing w:line="360" w:lineRule="exact"/>
        <w:ind w:firstLine="420"/>
        <w:rPr>
          <w:rFonts w:ascii="宋体" w:hAnsi="Times New Roman" w:eastAsia="宋体" w:cs="Times New Roman"/>
          <w:kern w:val="0"/>
          <w:szCs w:val="20"/>
          <w:highlight w:val="none"/>
        </w:rPr>
      </w:pPr>
      <w:r>
        <w:rPr>
          <w:rFonts w:hint="eastAsia" w:ascii="宋体" w:hAnsi="Times New Roman" w:eastAsia="宋体" w:cs="Times New Roman"/>
          <w:kern w:val="0"/>
          <w:szCs w:val="20"/>
          <w:highlight w:val="none"/>
        </w:rPr>
        <w:t>下列缩略语适用于本文件。</w:t>
      </w:r>
    </w:p>
    <w:p w14:paraId="2A61A00B">
      <w:pPr>
        <w:widowControl/>
        <w:tabs>
          <w:tab w:val="center" w:pos="4201"/>
          <w:tab w:val="right" w:leader="dot" w:pos="9298"/>
        </w:tabs>
        <w:autoSpaceDE w:val="0"/>
        <w:autoSpaceDN w:val="0"/>
        <w:spacing w:line="360" w:lineRule="exact"/>
        <w:ind w:firstLine="420"/>
        <w:rPr>
          <w:rFonts w:ascii="宋体" w:hAnsi="Times New Roman" w:eastAsia="宋体" w:cs="Times New Roman"/>
          <w:kern w:val="0"/>
          <w:szCs w:val="20"/>
          <w:highlight w:val="none"/>
        </w:rPr>
      </w:pPr>
      <w:r>
        <w:rPr>
          <w:rFonts w:ascii="Times New Roman" w:hAnsi="Times New Roman" w:eastAsia="宋体" w:cs="Times New Roman"/>
          <w:kern w:val="0"/>
          <w:szCs w:val="20"/>
          <w:highlight w:val="none"/>
        </w:rPr>
        <w:t>ERP</w:t>
      </w:r>
      <w:r>
        <w:rPr>
          <w:rFonts w:hint="eastAsia" w:ascii="宋体" w:hAnsi="Times New Roman" w:eastAsia="宋体" w:cs="Times New Roman"/>
          <w:kern w:val="0"/>
          <w:szCs w:val="20"/>
          <w:highlight w:val="none"/>
        </w:rPr>
        <w:t>：企业资源计划（</w:t>
      </w:r>
      <w:r>
        <w:rPr>
          <w:rFonts w:ascii="Times New Roman" w:hAnsi="Times New Roman" w:eastAsia="宋体" w:cs="Times New Roman"/>
          <w:bCs/>
          <w:kern w:val="0"/>
          <w:szCs w:val="20"/>
          <w:highlight w:val="none"/>
        </w:rPr>
        <w:t>E</w:t>
      </w:r>
      <w:r>
        <w:rPr>
          <w:rFonts w:ascii="Times New Roman" w:hAnsi="Times New Roman" w:eastAsia="宋体" w:cs="Times New Roman"/>
          <w:kern w:val="0"/>
          <w:szCs w:val="20"/>
          <w:highlight w:val="none"/>
        </w:rPr>
        <w:t>nterprise </w:t>
      </w:r>
      <w:r>
        <w:rPr>
          <w:rFonts w:ascii="Times New Roman" w:hAnsi="Times New Roman" w:eastAsia="宋体" w:cs="Times New Roman"/>
          <w:bCs/>
          <w:kern w:val="0"/>
          <w:szCs w:val="20"/>
          <w:highlight w:val="none"/>
        </w:rPr>
        <w:t>R</w:t>
      </w:r>
      <w:r>
        <w:rPr>
          <w:rFonts w:ascii="Times New Roman" w:hAnsi="Times New Roman" w:eastAsia="宋体" w:cs="Times New Roman"/>
          <w:kern w:val="0"/>
          <w:szCs w:val="20"/>
          <w:highlight w:val="none"/>
        </w:rPr>
        <w:t>esource </w:t>
      </w:r>
      <w:r>
        <w:rPr>
          <w:rFonts w:ascii="Times New Roman" w:hAnsi="Times New Roman" w:eastAsia="宋体" w:cs="Times New Roman"/>
          <w:bCs/>
          <w:kern w:val="0"/>
          <w:szCs w:val="20"/>
          <w:highlight w:val="none"/>
        </w:rPr>
        <w:t>P</w:t>
      </w:r>
      <w:r>
        <w:rPr>
          <w:rFonts w:ascii="Times New Roman" w:hAnsi="Times New Roman" w:eastAsia="宋体" w:cs="Times New Roman"/>
          <w:kern w:val="0"/>
          <w:szCs w:val="20"/>
          <w:highlight w:val="none"/>
        </w:rPr>
        <w:t>lanning</w:t>
      </w:r>
      <w:r>
        <w:rPr>
          <w:rFonts w:hint="eastAsia" w:ascii="宋体" w:hAnsi="Times New Roman" w:eastAsia="宋体" w:cs="Times New Roman"/>
          <w:kern w:val="0"/>
          <w:szCs w:val="20"/>
          <w:highlight w:val="none"/>
        </w:rPr>
        <w:t>）</w:t>
      </w:r>
    </w:p>
    <w:p w14:paraId="3FD07B79">
      <w:pPr>
        <w:widowControl/>
        <w:tabs>
          <w:tab w:val="center" w:pos="4201"/>
          <w:tab w:val="right" w:leader="dot" w:pos="9298"/>
        </w:tabs>
        <w:autoSpaceDE w:val="0"/>
        <w:autoSpaceDN w:val="0"/>
        <w:spacing w:line="360" w:lineRule="exact"/>
        <w:ind w:firstLine="420"/>
        <w:rPr>
          <w:rFonts w:hint="eastAsia" w:ascii="宋体" w:hAnsi="Times New Roman" w:eastAsia="宋体" w:cs="Times New Roman"/>
          <w:kern w:val="0"/>
          <w:szCs w:val="20"/>
          <w:highlight w:val="none"/>
        </w:rPr>
      </w:pPr>
      <w:r>
        <w:rPr>
          <w:rFonts w:ascii="Times New Roman" w:hAnsi="Times New Roman" w:eastAsia="宋体" w:cs="Times New Roman"/>
          <w:kern w:val="0"/>
          <w:szCs w:val="20"/>
          <w:highlight w:val="none"/>
        </w:rPr>
        <w:t>SaaS</w:t>
      </w:r>
      <w:r>
        <w:rPr>
          <w:rFonts w:hint="eastAsia" w:ascii="宋体" w:hAnsi="Times New Roman" w:eastAsia="宋体" w:cs="Times New Roman"/>
          <w:kern w:val="0"/>
          <w:szCs w:val="20"/>
          <w:highlight w:val="none"/>
        </w:rPr>
        <w:t>：软件即服务（</w:t>
      </w:r>
      <w:r>
        <w:rPr>
          <w:rFonts w:ascii="Times New Roman" w:hAnsi="Times New Roman" w:eastAsia="宋体" w:cs="Times New Roman"/>
          <w:kern w:val="0"/>
          <w:szCs w:val="20"/>
          <w:highlight w:val="none"/>
        </w:rPr>
        <w:t>Software-as-a-Service</w:t>
      </w:r>
      <w:r>
        <w:rPr>
          <w:rFonts w:hint="eastAsia" w:ascii="宋体" w:hAnsi="Times New Roman" w:eastAsia="宋体" w:cs="Times New Roman"/>
          <w:kern w:val="0"/>
          <w:szCs w:val="20"/>
          <w:highlight w:val="none"/>
        </w:rPr>
        <w:t>）</w:t>
      </w:r>
    </w:p>
    <w:p w14:paraId="51212BCF">
      <w:pPr>
        <w:widowControl/>
        <w:spacing w:before="312" w:beforeLines="100" w:after="312" w:afterLines="100"/>
        <w:ind w:firstLine="0" w:firstLineChars="0"/>
        <w:outlineLvl w:val="1"/>
        <w:rPr>
          <w:rFonts w:hint="default" w:ascii="黑体" w:hAnsi="Times New Roman" w:eastAsia="黑体" w:cs="Times New Roman"/>
          <w:kern w:val="0"/>
          <w:szCs w:val="20"/>
          <w:highlight w:val="none"/>
          <w:lang w:val="en-US" w:eastAsia="zh-CN"/>
        </w:rPr>
      </w:pPr>
      <w:bookmarkStart w:id="45" w:name="_Toc27532"/>
      <w:r>
        <w:rPr>
          <w:rFonts w:hint="eastAsia" w:ascii="黑体" w:hAnsi="Times New Roman" w:eastAsia="黑体" w:cs="Times New Roman"/>
          <w:kern w:val="0"/>
          <w:szCs w:val="20"/>
          <w:highlight w:val="none"/>
        </w:rPr>
        <w:t>4</w:t>
      </w:r>
      <w:r>
        <w:rPr>
          <w:rFonts w:hint="eastAsia" w:ascii="黑体" w:hAnsi="Times New Roman" w:eastAsia="黑体" w:cs="Times New Roman"/>
          <w:kern w:val="0"/>
          <w:szCs w:val="20"/>
          <w:highlight w:val="none"/>
          <w:lang w:val="en-US" w:eastAsia="zh-CN"/>
        </w:rPr>
        <w:t xml:space="preserve">  能源企业绿色</w:t>
      </w:r>
      <w:r>
        <w:rPr>
          <w:rFonts w:hint="eastAsia" w:ascii="黑体" w:hAnsi="Times New Roman" w:eastAsia="黑体" w:cs="Times New Roman"/>
          <w:kern w:val="0"/>
          <w:szCs w:val="20"/>
          <w:highlight w:val="none"/>
        </w:rPr>
        <w:t>供应链数字化平台</w:t>
      </w:r>
      <w:r>
        <w:rPr>
          <w:rFonts w:hint="eastAsia" w:ascii="黑体" w:hAnsi="Times New Roman" w:eastAsia="黑体" w:cs="Times New Roman"/>
          <w:kern w:val="0"/>
          <w:szCs w:val="20"/>
          <w:highlight w:val="none"/>
          <w:lang w:val="en-US" w:eastAsia="zh-CN"/>
        </w:rPr>
        <w:t>业务要求与服务对象</w:t>
      </w:r>
      <w:bookmarkEnd w:id="44"/>
      <w:bookmarkEnd w:id="45"/>
    </w:p>
    <w:p w14:paraId="460B5D25">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46" w:name="_Toc31464"/>
      <w:bookmarkStart w:id="47" w:name="_Toc134797697"/>
      <w:r>
        <w:rPr>
          <w:rFonts w:hint="eastAsia" w:ascii="黑体" w:hAnsi="Times New Roman" w:eastAsia="黑体" w:cs="Times New Roman"/>
          <w:kern w:val="0"/>
          <w:szCs w:val="21"/>
          <w:highlight w:val="none"/>
        </w:rPr>
        <w:t xml:space="preserve">4.2 </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业务</w:t>
      </w:r>
      <w:r>
        <w:rPr>
          <w:rFonts w:hint="eastAsia" w:ascii="黑体" w:hAnsi="Times New Roman" w:eastAsia="黑体" w:cs="Times New Roman"/>
          <w:kern w:val="0"/>
          <w:szCs w:val="21"/>
          <w:highlight w:val="none"/>
          <w:lang w:val="en-US" w:eastAsia="zh-CN"/>
        </w:rPr>
        <w:t>要求</w:t>
      </w:r>
      <w:bookmarkEnd w:id="46"/>
      <w:r>
        <w:rPr>
          <w:rFonts w:hint="eastAsia" w:ascii="黑体" w:hAnsi="Times New Roman" w:eastAsia="黑体" w:cs="Times New Roman"/>
          <w:kern w:val="0"/>
          <w:szCs w:val="21"/>
          <w:highlight w:val="none"/>
        </w:rPr>
        <w:t xml:space="preserve"> </w:t>
      </w:r>
    </w:p>
    <w:p w14:paraId="4FA2C6A8">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.1</w:t>
      </w:r>
      <w:r>
        <w:rPr>
          <w:rFonts w:hint="eastAsia" w:ascii="黑体" w:hAnsi="Times New Roman" w:eastAsia="黑体" w:cs="Times New Roman"/>
          <w:kern w:val="0"/>
          <w:szCs w:val="21"/>
          <w:highlight w:val="none"/>
          <w:lang w:val="en-US" w:eastAsia="zh-CN"/>
        </w:rPr>
        <w:t xml:space="preserve">  绿色规划</w:t>
      </w:r>
    </w:p>
    <w:p w14:paraId="05827CBF">
      <w:pPr>
        <w:keepNext w:val="0"/>
        <w:keepLines w:val="0"/>
        <w:pageBreakBefore w:val="0"/>
        <w:widowControl/>
        <w:numPr>
          <w:ilvl w:val="2"/>
          <w:numId w:val="0"/>
        </w:numPr>
        <w:kinsoku/>
        <w:wordWrap/>
        <w:overflowPunct/>
        <w:topLinePunct w:val="0"/>
        <w:autoSpaceDE/>
        <w:autoSpaceDN/>
        <w:bidi w:val="0"/>
        <w:adjustRightInd/>
        <w:snapToGrid/>
        <w:spacing w:before="156" w:beforeLines="50" w:after="156" w:afterLines="50"/>
        <w:ind w:left="0" w:leftChars="0" w:firstLine="420" w:firstLineChars="200"/>
        <w:jc w:val="left"/>
        <w:textAlignment w:val="auto"/>
        <w:outlineLvl w:val="9"/>
        <w:rPr>
          <w:rFonts w:hint="default"/>
          <w:highlight w:val="none"/>
          <w:lang w:val="en-US" w:eastAsia="zh-CN"/>
        </w:rPr>
      </w:pPr>
      <w:r>
        <w:rPr>
          <w:rFonts w:hint="eastAsia"/>
          <w:highlight w:val="none"/>
          <w:lang w:val="en-US" w:eastAsia="zh-CN"/>
        </w:rPr>
        <w:t>应能通过能源企业绿色数字化平台根据历史采购数据、库存、物流数据以及能源企业的当前需求开展绿色项目储备、制定绿色采购生产计划等规划，支撑能源企业在供应链规划设计阶段实现资源绿色优化与配置，确定符合绿色标准的供应商等工作。</w:t>
      </w:r>
    </w:p>
    <w:p w14:paraId="133CF740">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  绿色需求</w:t>
      </w:r>
    </w:p>
    <w:p w14:paraId="2D6DFF9B">
      <w:pPr>
        <w:keepNext w:val="0"/>
        <w:keepLines w:val="0"/>
        <w:pageBreakBefore w:val="0"/>
        <w:widowControl/>
        <w:numPr>
          <w:ilvl w:val="2"/>
          <w:numId w:val="0"/>
        </w:numPr>
        <w:kinsoku/>
        <w:wordWrap/>
        <w:overflowPunct/>
        <w:topLinePunct w:val="0"/>
        <w:autoSpaceDE/>
        <w:autoSpaceDN/>
        <w:bidi w:val="0"/>
        <w:adjustRightInd/>
        <w:snapToGrid/>
        <w:spacing w:before="156" w:beforeLines="50" w:after="156" w:afterLines="50"/>
        <w:ind w:left="0" w:leftChars="0" w:firstLine="420" w:firstLineChars="200"/>
        <w:jc w:val="left"/>
        <w:textAlignment w:val="auto"/>
        <w:outlineLvl w:val="9"/>
        <w:rPr>
          <w:rFonts w:hint="eastAsia"/>
          <w:highlight w:val="none"/>
          <w:lang w:val="en-US" w:eastAsia="zh-CN"/>
        </w:rPr>
      </w:pPr>
      <w:r>
        <w:rPr>
          <w:rFonts w:hint="eastAsia"/>
          <w:highlight w:val="none"/>
          <w:lang w:val="en-US" w:eastAsia="zh-CN"/>
        </w:rPr>
        <w:t>能源企业应能通过能源企业绿色供应链数字化平台实现物资主数据管理、物资采购目录管理、年度需求计划预测、采购计划管理等服务。</w:t>
      </w:r>
    </w:p>
    <w:p w14:paraId="6AC9E954">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3  绿色采购</w:t>
      </w:r>
    </w:p>
    <w:p w14:paraId="6C56F844">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能源企业应能通过能源企业绿色供应链数字化平台开展物资绿色采购，供应商产品绿色环保审核、招投标等服务。</w:t>
      </w:r>
    </w:p>
    <w:p w14:paraId="4011238B">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  绿色生产</w:t>
      </w:r>
    </w:p>
    <w:p w14:paraId="7C9C7D65">
      <w:pPr>
        <w:widowControl/>
        <w:numPr>
          <w:ilvl w:val="2"/>
          <w:numId w:val="0"/>
        </w:numPr>
        <w:spacing w:before="156" w:beforeLines="50" w:after="156" w:afterLines="50"/>
        <w:ind w:left="-2" w:leftChars="-1" w:firstLine="420" w:firstLineChars="200"/>
        <w:jc w:val="left"/>
        <w:outlineLvl w:val="9"/>
        <w:rPr>
          <w:rFonts w:hint="default"/>
          <w:highlight w:val="none"/>
          <w:lang w:val="en-US" w:eastAsia="zh-CN"/>
        </w:rPr>
      </w:pPr>
      <w:r>
        <w:rPr>
          <w:rFonts w:hint="eastAsia"/>
          <w:highlight w:val="none"/>
          <w:lang w:val="en-US" w:eastAsia="zh-CN"/>
        </w:rPr>
        <w:t>能源企业应能通过能源企业绿色供应链数字化平台实现供应商生产制造排产监督、供应商生产进度管理、供应商绿色生产监造、产品测试及出厂监测、绿色生产监测等业务。</w:t>
      </w:r>
    </w:p>
    <w:p w14:paraId="33297D9A">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5  绿色物流</w:t>
      </w:r>
    </w:p>
    <w:p w14:paraId="6E9DEE27">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产物流商应能应能通过能源企业绿色供应链数字化平台开展产品绿色运输配送服务，能源企业应能通过能源企业绿色供应链数字化平台开展产品运输配送调度、运输配送碳核算、产品抽检管理等服务。</w:t>
      </w:r>
    </w:p>
    <w:p w14:paraId="50DDED01">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6  履约执行</w:t>
      </w:r>
    </w:p>
    <w:p w14:paraId="1583F3CA">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能源供应商应能通过能源企业绿色供应链数字化平台开展供应计划管理，能源企业应能通过能源企业绿色供应链数字化平台开展合同管理、仓储管理等服务。</w:t>
      </w:r>
    </w:p>
    <w:p w14:paraId="6D27574C">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7  绿色施工</w:t>
      </w:r>
    </w:p>
    <w:p w14:paraId="7067502E">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能源行业供应商应能通过能源企业绿色供应链数字化平台开展产品安装调试管理服务，能源供应商开展产品投运管理服务。</w:t>
      </w:r>
    </w:p>
    <w:p w14:paraId="4D989F06">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8  运行维护</w:t>
      </w:r>
    </w:p>
    <w:p w14:paraId="30004A47">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能源企业应能通过能源企业绿色供应链数字化平台开展设备检修管理、设备状态管理、设备质保管理等业务。</w:t>
      </w:r>
    </w:p>
    <w:p w14:paraId="18FF80D0">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9  绿色回收</w:t>
      </w:r>
    </w:p>
    <w:p w14:paraId="75343A18">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能源企业应能通过能源企业绿色供应链数字化平台开展能源设备退役退出计划、报废处置、废旧物资再利用、回收商管理等业务。</w:t>
      </w:r>
    </w:p>
    <w:p w14:paraId="313196E5">
      <w:pPr>
        <w:widowControl/>
        <w:numPr>
          <w:ilvl w:val="2"/>
          <w:numId w:val="0"/>
        </w:numPr>
        <w:spacing w:before="156" w:beforeLines="50" w:after="156" w:afterLines="50"/>
        <w:ind w:left="-2" w:leftChars="-1" w:firstLine="420" w:firstLineChars="200"/>
        <w:jc w:val="left"/>
        <w:outlineLvl w:val="3"/>
        <w:rPr>
          <w:rFonts w:hint="default"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10  供应商管理</w:t>
      </w:r>
    </w:p>
    <w:p w14:paraId="4B53EEFB">
      <w:pPr>
        <w:widowControl/>
        <w:numPr>
          <w:ilvl w:val="2"/>
          <w:numId w:val="0"/>
        </w:numPr>
        <w:spacing w:before="156" w:beforeLines="50" w:after="156" w:afterLines="50"/>
        <w:ind w:left="-2" w:leftChars="-1" w:firstLine="420" w:firstLineChars="200"/>
        <w:jc w:val="left"/>
        <w:outlineLvl w:val="9"/>
        <w:rPr>
          <w:rFonts w:hint="default" w:ascii="黑体" w:hAnsi="Times New Roman" w:eastAsia="黑体" w:cs="Times New Roman"/>
          <w:kern w:val="0"/>
          <w:szCs w:val="21"/>
          <w:highlight w:val="none"/>
          <w:lang w:val="en-US" w:eastAsia="zh-CN"/>
        </w:rPr>
      </w:pPr>
      <w:r>
        <w:rPr>
          <w:rFonts w:hint="eastAsia"/>
          <w:highlight w:val="none"/>
          <w:lang w:val="en-US" w:eastAsia="zh-CN"/>
        </w:rPr>
        <w:t>能源企业应能通过能源企业绿色供应链数字化平台开展供应商资质能力核查、不良行为处理、服务能力管理、供应商评价等业务。</w:t>
      </w:r>
    </w:p>
    <w:p w14:paraId="4D58B05A">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48" w:name="_Toc4875"/>
      <w:r>
        <w:rPr>
          <w:rFonts w:hint="eastAsia" w:ascii="黑体" w:hAnsi="Times New Roman" w:eastAsia="黑体" w:cs="Times New Roman"/>
          <w:kern w:val="0"/>
          <w:szCs w:val="21"/>
          <w:highlight w:val="none"/>
        </w:rPr>
        <w:t>4.</w:t>
      </w:r>
      <w:r>
        <w:rPr>
          <w:rFonts w:hint="eastAsia" w:ascii="黑体" w:hAnsi="Times New Roman" w:eastAsia="黑体" w:cs="Times New Roman"/>
          <w:kern w:val="0"/>
          <w:szCs w:val="21"/>
          <w:highlight w:val="none"/>
          <w:lang w:val="en-US" w:eastAsia="zh-CN"/>
        </w:rPr>
        <w:t>2  服务对象</w:t>
      </w:r>
      <w:bookmarkEnd w:id="47"/>
      <w:bookmarkEnd w:id="48"/>
    </w:p>
    <w:p w14:paraId="34419DE0">
      <w:pPr>
        <w:widowControl/>
        <w:numPr>
          <w:ilvl w:val="2"/>
          <w:numId w:val="0"/>
        </w:numPr>
        <w:spacing w:before="156" w:beforeLines="50" w:after="156" w:afterLines="50"/>
        <w:ind w:left="-2" w:leftChars="-1" w:firstLine="420" w:firstLineChars="200"/>
        <w:jc w:val="left"/>
        <w:outlineLvl w:val="3"/>
        <w:rPr>
          <w:rFonts w:hint="eastAsia" w:ascii="黑体" w:hAnsi="黑体" w:eastAsia="黑体" w:cs="Times New Roman"/>
          <w:kern w:val="0"/>
          <w:szCs w:val="21"/>
          <w:highlight w:val="none"/>
        </w:rPr>
      </w:pPr>
      <w:r>
        <w:rPr>
          <w:rFonts w:hint="eastAsia" w:ascii="黑体" w:hAnsi="Times New Roman" w:eastAsia="黑体" w:cs="Times New Roman"/>
          <w:kern w:val="0"/>
          <w:szCs w:val="21"/>
          <w:highlight w:val="none"/>
        </w:rPr>
        <w:t>4.1.1</w:t>
      </w:r>
      <w:r>
        <w:rPr>
          <w:rFonts w:hint="eastAsia" w:ascii="黑体" w:hAnsi="Times New Roman" w:eastAsia="黑体" w:cs="Times New Roman"/>
          <w:kern w:val="0"/>
          <w:szCs w:val="21"/>
          <w:highlight w:val="none"/>
          <w:lang w:val="en-US" w:eastAsia="zh-CN"/>
        </w:rPr>
        <w:t xml:space="preserve">  </w:t>
      </w:r>
      <w:r>
        <w:rPr>
          <w:rFonts w:hint="eastAsia" w:ascii="黑体" w:hAnsi="黑体" w:eastAsia="黑体" w:cs="Times New Roman"/>
          <w:kern w:val="0"/>
          <w:szCs w:val="21"/>
          <w:highlight w:val="none"/>
        </w:rPr>
        <w:t>能源企业</w:t>
      </w:r>
    </w:p>
    <w:p w14:paraId="043B1453">
      <w:pPr>
        <w:ind w:firstLine="420"/>
        <w:rPr>
          <w:rFonts w:hint="default"/>
          <w:highlight w:val="none"/>
          <w:lang w:val="en-US" w:eastAsia="zh-CN"/>
        </w:rPr>
      </w:pPr>
      <w:r>
        <w:rPr>
          <w:highlight w:val="none"/>
        </w:rPr>
        <w:t>能源企业是在能源领域从事生产、加工、转换、分配、储存和销售等活动的经济组织</w:t>
      </w:r>
      <w:r>
        <w:rPr>
          <w:rFonts w:hint="eastAsia"/>
          <w:highlight w:val="none"/>
          <w:lang w:eastAsia="zh-CN"/>
        </w:rPr>
        <w:t>。</w:t>
      </w:r>
      <w:r>
        <w:rPr>
          <w:highlight w:val="none"/>
        </w:rPr>
        <w:t>能源企业</w:t>
      </w:r>
      <w:r>
        <w:rPr>
          <w:rFonts w:hint="eastAsia"/>
          <w:highlight w:val="none"/>
          <w:lang w:val="en-US" w:eastAsia="zh-CN"/>
        </w:rPr>
        <w:t>是能源绿色供应链数字化平台的需求方，处于链主位置。</w:t>
      </w:r>
    </w:p>
    <w:p w14:paraId="43B38A04">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4.1.2</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供应商</w:t>
      </w:r>
    </w:p>
    <w:p w14:paraId="5F19EBF2">
      <w:pPr>
        <w:ind w:firstLine="420"/>
        <w:rPr>
          <w:rFonts w:hint="default"/>
          <w:highlight w:val="none"/>
          <w:lang w:val="en-US" w:eastAsia="zh-CN"/>
        </w:rPr>
      </w:pPr>
      <w:r>
        <w:rPr>
          <w:rFonts w:hint="eastAsia"/>
          <w:highlight w:val="none"/>
          <w:lang w:val="en-US" w:eastAsia="zh-CN"/>
        </w:rPr>
        <w:t>供应商是指为能源企业提供设备生产、制造、咨询设计等服务的各类企业和组织，是能源绿色供应链数字化平台的主要服务对象。</w:t>
      </w:r>
    </w:p>
    <w:p w14:paraId="6631AFB6">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4.1.3</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物流商</w:t>
      </w:r>
    </w:p>
    <w:p w14:paraId="4F2464D3">
      <w:pPr>
        <w:ind w:firstLine="420"/>
        <w:rPr>
          <w:rFonts w:hint="default"/>
          <w:highlight w:val="none"/>
          <w:lang w:val="en-US" w:eastAsia="zh-CN"/>
        </w:rPr>
      </w:pPr>
      <w:r>
        <w:rPr>
          <w:rFonts w:hint="eastAsia"/>
          <w:highlight w:val="none"/>
          <w:lang w:val="en-US" w:eastAsia="zh-CN"/>
        </w:rPr>
        <w:t>物流商是专门从事货物运输、仓储、配送等物流活动的企业或组织，应用能源绿色供应链数字化平台的绿色物流服务功能提供绿色、高效、准确、及时的物流服务。</w:t>
      </w:r>
    </w:p>
    <w:p w14:paraId="08D6B3B2">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4.1.4</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回收商</w:t>
      </w:r>
    </w:p>
    <w:p w14:paraId="5CFBCC8D">
      <w:pPr>
        <w:widowControl/>
        <w:numPr>
          <w:ilvl w:val="2"/>
          <w:numId w:val="0"/>
        </w:numPr>
        <w:spacing w:before="156" w:beforeLines="50" w:after="156" w:afterLines="50"/>
        <w:ind w:left="-2" w:leftChars="-1" w:firstLine="420" w:firstLineChars="200"/>
        <w:jc w:val="left"/>
        <w:outlineLvl w:val="9"/>
        <w:rPr>
          <w:rFonts w:hint="default"/>
          <w:highlight w:val="none"/>
          <w:lang w:val="en-US" w:eastAsia="zh-CN"/>
        </w:rPr>
      </w:pPr>
      <w:r>
        <w:rPr>
          <w:rFonts w:hint="eastAsia"/>
          <w:highlight w:val="none"/>
          <w:lang w:val="en-US" w:eastAsia="zh-CN"/>
        </w:rPr>
        <w:t>回收商是指专注于能源相关产品、设备或材料的回收、再利用和处置的企业或组织，利用能源绿色供应链数字化平台提供绿色低碳、资源回收与利用、环境保护、成本节约等服务。</w:t>
      </w:r>
    </w:p>
    <w:p w14:paraId="0D89CD73">
      <w:pPr>
        <w:widowControl/>
        <w:numPr>
          <w:ilvl w:val="2"/>
          <w:numId w:val="0"/>
        </w:numPr>
        <w:spacing w:before="156" w:beforeLines="50" w:after="156" w:afterLines="50"/>
        <w:ind w:left="-2" w:leftChars="-1" w:firstLine="420" w:firstLineChars="200"/>
        <w:jc w:val="left"/>
        <w:outlineLvl w:val="3"/>
        <w:rPr>
          <w:rFonts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4.1.5</w:t>
      </w:r>
      <w:r>
        <w:rPr>
          <w:rFonts w:hint="eastAsia" w:ascii="黑体" w:hAnsi="Times New Roman" w:eastAsia="黑体" w:cs="Times New Roman"/>
          <w:kern w:val="0"/>
          <w:szCs w:val="21"/>
          <w:highlight w:val="none"/>
          <w:lang w:val="en-US" w:eastAsia="zh-CN"/>
        </w:rPr>
        <w:t xml:space="preserve">  </w:t>
      </w:r>
      <w:r>
        <w:rPr>
          <w:rFonts w:ascii="黑体" w:hAnsi="Times New Roman" w:eastAsia="黑体" w:cs="Times New Roman"/>
          <w:kern w:val="0"/>
          <w:szCs w:val="21"/>
          <w:highlight w:val="none"/>
        </w:rPr>
        <w:t>检测机构</w:t>
      </w:r>
    </w:p>
    <w:p w14:paraId="5A67AAEC">
      <w:pPr>
        <w:widowControl/>
        <w:numPr>
          <w:ilvl w:val="2"/>
          <w:numId w:val="0"/>
        </w:numPr>
        <w:spacing w:before="156" w:beforeLines="50" w:after="156" w:afterLines="50"/>
        <w:ind w:left="-2" w:leftChars="-1" w:firstLine="420" w:firstLineChars="200"/>
        <w:jc w:val="left"/>
        <w:outlineLvl w:val="9"/>
        <w:rPr>
          <w:rFonts w:hint="eastAsia"/>
          <w:highlight w:val="none"/>
          <w:lang w:val="en-US" w:eastAsia="zh-CN"/>
        </w:rPr>
      </w:pPr>
      <w:r>
        <w:rPr>
          <w:rFonts w:hint="eastAsia"/>
          <w:highlight w:val="none"/>
          <w:lang w:val="en-US" w:eastAsia="zh-CN"/>
        </w:rPr>
        <w:t>检测机构是专门负责对能源产品、设备、流程以及相关环节，依据绿色标准和规范，运用专业技术和设备进行检测、评估和验证，并利用能源绿色供应链数字化平台提供客观准确数据和报告的专业组织。</w:t>
      </w:r>
    </w:p>
    <w:p w14:paraId="2062E31A">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4.1.6</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招标代理机构</w:t>
      </w:r>
    </w:p>
    <w:p w14:paraId="2E445D4D">
      <w:pPr>
        <w:widowControl/>
        <w:numPr>
          <w:ilvl w:val="2"/>
          <w:numId w:val="0"/>
        </w:numPr>
        <w:spacing w:before="156" w:beforeLines="50" w:after="156" w:afterLines="50"/>
        <w:ind w:left="-2" w:leftChars="-1" w:firstLine="420" w:firstLineChars="200"/>
        <w:jc w:val="left"/>
        <w:outlineLvl w:val="9"/>
        <w:rPr>
          <w:rFonts w:hint="eastAsia"/>
          <w:highlight w:val="none"/>
          <w:lang w:val="en-US" w:eastAsia="zh-CN"/>
        </w:rPr>
      </w:pPr>
      <w:r>
        <w:rPr>
          <w:rFonts w:hint="eastAsia"/>
          <w:highlight w:val="none"/>
          <w:lang w:val="en-US" w:eastAsia="zh-CN"/>
        </w:rPr>
        <w:t>招标代理机构是利用能源绿色供应链数字化平台专门为各类能源绿色项目的招标活动提供专业服务的组织。</w:t>
      </w:r>
    </w:p>
    <w:p w14:paraId="4299EE5E">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4.1.7</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设计单位</w:t>
      </w:r>
    </w:p>
    <w:p w14:paraId="293CEDAA">
      <w:pPr>
        <w:widowControl/>
        <w:numPr>
          <w:ilvl w:val="2"/>
          <w:numId w:val="0"/>
        </w:numPr>
        <w:spacing w:before="156" w:beforeLines="50" w:after="156" w:afterLines="50"/>
        <w:ind w:left="-2" w:leftChars="-1" w:firstLine="420" w:firstLineChars="200"/>
        <w:jc w:val="left"/>
        <w:outlineLvl w:val="9"/>
        <w:rPr>
          <w:rFonts w:hint="eastAsia"/>
          <w:highlight w:val="none"/>
          <w:lang w:val="en-US" w:eastAsia="zh-CN"/>
        </w:rPr>
      </w:pPr>
      <w:r>
        <w:rPr>
          <w:rFonts w:hint="eastAsia"/>
          <w:highlight w:val="none"/>
          <w:lang w:val="en-US" w:eastAsia="zh-CN"/>
        </w:rPr>
        <w:t>设计单位是利用能源绿色供应链数字化平台专门为能源企业提供规划、设计和工程解决方案的专业机构。</w:t>
      </w:r>
    </w:p>
    <w:p w14:paraId="4BAA8C93">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rPr>
        <w:t>4.1.8</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碳核算及认证服务商</w:t>
      </w:r>
    </w:p>
    <w:p w14:paraId="7B02B9C3">
      <w:pPr>
        <w:widowControl/>
        <w:numPr>
          <w:ilvl w:val="2"/>
          <w:numId w:val="0"/>
        </w:numPr>
        <w:spacing w:before="156" w:beforeLines="50" w:after="156" w:afterLines="50"/>
        <w:ind w:left="-2" w:leftChars="-1" w:firstLine="420" w:firstLineChars="200"/>
        <w:jc w:val="left"/>
        <w:outlineLvl w:val="9"/>
        <w:rPr>
          <w:rFonts w:hint="eastAsia" w:ascii="黑体" w:hAnsi="Times New Roman" w:eastAsia="黑体" w:cs="Times New Roman"/>
          <w:kern w:val="0"/>
          <w:szCs w:val="21"/>
          <w:highlight w:val="none"/>
        </w:rPr>
      </w:pPr>
      <w:r>
        <w:rPr>
          <w:rFonts w:hint="default"/>
          <w:highlight w:val="none"/>
          <w:lang w:val="en-US" w:eastAsia="zh-CN"/>
        </w:rPr>
        <w:t>能源企业碳核算及认证服务商是</w:t>
      </w:r>
      <w:r>
        <w:rPr>
          <w:rFonts w:hint="eastAsia"/>
          <w:highlight w:val="none"/>
          <w:lang w:val="en-US" w:eastAsia="zh-CN"/>
        </w:rPr>
        <w:t>利用能源绿色供应链数字化平台</w:t>
      </w:r>
      <w:r>
        <w:rPr>
          <w:rFonts w:hint="default"/>
          <w:highlight w:val="none"/>
          <w:lang w:val="en-US" w:eastAsia="zh-CN"/>
        </w:rPr>
        <w:t>专门为能源企业提供碳排放数据计算、分析以及碳排放认证服务的专业机构。工作主要包括：依据相关标准和方法学，收集能源企业在生产、运营等各个环节中的能源消耗和排放数据；通过专业的计算模型和工具，精确核算企业的碳排放量；对核算结果进行深入分析，为企业提供碳排放的详细报告，包括排放源的分布、趋势变化等；协助企业制定合理的碳减排目标和策略；按照规定的程序和标准，对企业的碳排放情况进行认证，为企业提供具有公信力的碳排放认证证书。</w:t>
      </w:r>
    </w:p>
    <w:p w14:paraId="0CC6A279">
      <w:pPr>
        <w:widowControl/>
        <w:numPr>
          <w:ilvl w:val="0"/>
          <w:numId w:val="1"/>
        </w:numPr>
        <w:spacing w:before="312" w:beforeLines="100" w:after="312" w:afterLines="100"/>
        <w:ind w:firstLine="0" w:firstLineChars="0"/>
        <w:outlineLvl w:val="1"/>
        <w:rPr>
          <w:rFonts w:ascii="黑体" w:hAnsi="Times New Roman" w:eastAsia="黑体" w:cs="Times New Roman"/>
          <w:kern w:val="0"/>
          <w:szCs w:val="20"/>
          <w:highlight w:val="none"/>
        </w:rPr>
      </w:pPr>
      <w:bookmarkStart w:id="49" w:name="_Toc134797699"/>
      <w:bookmarkStart w:id="50" w:name="_Toc27825"/>
      <w:r>
        <w:rPr>
          <w:rFonts w:hint="eastAsia" w:ascii="黑体" w:hAnsi="Times New Roman" w:eastAsia="黑体" w:cs="Times New Roman"/>
          <w:kern w:val="0"/>
          <w:szCs w:val="20"/>
          <w:highlight w:val="none"/>
          <w:lang w:val="en-US" w:eastAsia="zh-CN"/>
        </w:rPr>
        <w:t xml:space="preserve"> 能源企业绿色</w:t>
      </w:r>
      <w:r>
        <w:rPr>
          <w:rFonts w:hint="eastAsia" w:ascii="黑体" w:hAnsi="Times New Roman" w:eastAsia="黑体" w:cs="Times New Roman"/>
          <w:kern w:val="0"/>
          <w:szCs w:val="20"/>
          <w:highlight w:val="none"/>
        </w:rPr>
        <w:t>供应链数字化平台</w:t>
      </w:r>
      <w:bookmarkEnd w:id="49"/>
      <w:r>
        <w:rPr>
          <w:rFonts w:hint="eastAsia" w:ascii="黑体" w:hAnsi="Times New Roman" w:eastAsia="黑体" w:cs="Times New Roman"/>
          <w:kern w:val="0"/>
          <w:szCs w:val="20"/>
          <w:highlight w:val="none"/>
          <w:lang w:val="en-US" w:eastAsia="zh-CN"/>
        </w:rPr>
        <w:t>功能要求</w:t>
      </w:r>
      <w:bookmarkEnd w:id="50"/>
      <w:r>
        <w:rPr>
          <w:rFonts w:hint="eastAsia" w:ascii="黑体" w:hAnsi="Times New Roman" w:eastAsia="黑体" w:cs="Times New Roman"/>
          <w:kern w:val="0"/>
          <w:szCs w:val="20"/>
          <w:highlight w:val="none"/>
        </w:rPr>
        <w:tab/>
      </w:r>
    </w:p>
    <w:p w14:paraId="40659088">
      <w:pPr>
        <w:widowControl/>
        <w:numPr>
          <w:ilvl w:val="1"/>
          <w:numId w:val="0"/>
        </w:numPr>
        <w:spacing w:before="156" w:beforeLines="50" w:after="156" w:afterLines="50"/>
        <w:ind w:firstLine="0" w:firstLineChars="0"/>
        <w:jc w:val="left"/>
        <w:outlineLvl w:val="2"/>
        <w:rPr>
          <w:rFonts w:hint="eastAsia"/>
          <w:highlight w:val="none"/>
        </w:rPr>
      </w:pPr>
      <w:bookmarkStart w:id="51" w:name="_Toc23425"/>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1</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功能架构</w:t>
      </w:r>
      <w:bookmarkEnd w:id="51"/>
    </w:p>
    <w:p w14:paraId="0FD1F166">
      <w:pPr>
        <w:ind w:firstLine="420"/>
        <w:rPr>
          <w:highlight w:val="none"/>
        </w:rPr>
      </w:pPr>
      <w:r>
        <w:rPr>
          <w:rFonts w:hint="eastAsia"/>
          <w:highlight w:val="none"/>
        </w:rPr>
        <w:t>能源企业绿色供应链数字化平台功能框架如图</w:t>
      </w:r>
      <w:r>
        <w:rPr>
          <w:rFonts w:hint="eastAsia"/>
          <w:highlight w:val="none"/>
          <w:lang w:val="en-US" w:eastAsia="zh-CN"/>
        </w:rPr>
        <w:t>1</w:t>
      </w:r>
      <w:r>
        <w:rPr>
          <w:rFonts w:hint="eastAsia"/>
          <w:highlight w:val="none"/>
        </w:rPr>
        <w:t>所示。</w:t>
      </w:r>
      <w:r>
        <w:rPr>
          <w:rFonts w:hint="eastAsia"/>
          <w:highlight w:val="none"/>
          <w:lang w:val="en-US" w:eastAsia="zh-CN"/>
        </w:rPr>
        <w:t>能源企业</w:t>
      </w:r>
      <w:r>
        <w:rPr>
          <w:highlight w:val="none"/>
        </w:rPr>
        <w:t>绿色供应链</w:t>
      </w:r>
      <w:r>
        <w:rPr>
          <w:rFonts w:hint="eastAsia"/>
          <w:highlight w:val="none"/>
          <w:lang w:val="en-US" w:eastAsia="zh-CN"/>
        </w:rPr>
        <w:t>数字化</w:t>
      </w:r>
      <w:r>
        <w:rPr>
          <w:highlight w:val="none"/>
        </w:rPr>
        <w:t>平台</w:t>
      </w:r>
      <w:r>
        <w:rPr>
          <w:rFonts w:hint="eastAsia"/>
          <w:highlight w:val="none"/>
          <w:lang w:val="en-US" w:eastAsia="zh-CN"/>
        </w:rPr>
        <w:t>应主要包括</w:t>
      </w:r>
      <w:r>
        <w:rPr>
          <w:highlight w:val="none"/>
        </w:rPr>
        <w:t>供应链</w:t>
      </w:r>
      <w:r>
        <w:rPr>
          <w:rFonts w:hint="eastAsia"/>
          <w:highlight w:val="none"/>
          <w:lang w:val="en-US" w:eastAsia="zh-CN"/>
        </w:rPr>
        <w:t>业务平台服务</w:t>
      </w:r>
      <w:r>
        <w:rPr>
          <w:rFonts w:hint="eastAsia"/>
          <w:highlight w:val="none"/>
          <w:lang w:eastAsia="zh-CN"/>
        </w:rPr>
        <w:t>、</w:t>
      </w:r>
      <w:r>
        <w:rPr>
          <w:rFonts w:hint="eastAsia"/>
          <w:highlight w:val="none"/>
          <w:lang w:val="en-US" w:eastAsia="zh-CN"/>
        </w:rPr>
        <w:t>绿色底座、技术底座、数据底座以及平台保障</w:t>
      </w:r>
      <w:r>
        <w:rPr>
          <w:rFonts w:hint="eastAsia"/>
          <w:highlight w:val="none"/>
        </w:rPr>
        <w:t>。</w:t>
      </w:r>
      <w:r>
        <w:rPr>
          <w:highlight w:val="none"/>
        </w:rPr>
        <w:t>平台与能源企业内部各专业业务系统对接实现企业内部物资管理，与</w:t>
      </w:r>
      <w:r>
        <w:rPr>
          <w:rFonts w:hint="eastAsia"/>
          <w:highlight w:val="none"/>
        </w:rPr>
        <w:t>企业外部系统对接实现供应链业务协同。</w:t>
      </w:r>
    </w:p>
    <w:p w14:paraId="60331CB1">
      <w:pPr>
        <w:ind w:firstLine="420"/>
        <w:rPr>
          <w:rFonts w:hint="eastAsia"/>
          <w:highlight w:val="none"/>
          <w:lang w:val="en-US" w:eastAsia="zh-CN"/>
        </w:rPr>
      </w:pPr>
      <w:r>
        <w:rPr>
          <w:rFonts w:hint="eastAsia"/>
          <w:highlight w:val="none"/>
          <w:lang w:val="en-US" w:eastAsia="zh-CN"/>
        </w:rPr>
        <w:t>平台服务宜</w:t>
      </w:r>
      <w:r>
        <w:rPr>
          <w:rFonts w:hint="eastAsia"/>
          <w:highlight w:val="none"/>
        </w:rPr>
        <w:t>包括</w:t>
      </w:r>
      <w:r>
        <w:rPr>
          <w:rFonts w:hint="eastAsia"/>
          <w:highlight w:val="none"/>
          <w:lang w:val="en-US" w:eastAsia="zh-CN"/>
        </w:rPr>
        <w:t>合同服务功能、采购服务功能、合规服务功能、网上商城、标准服务、数智服务、计划服务、质控服务以及物流服务等功能。</w:t>
      </w:r>
    </w:p>
    <w:p w14:paraId="01FC11F9">
      <w:pPr>
        <w:ind w:firstLine="420"/>
        <w:rPr>
          <w:rFonts w:hint="default"/>
          <w:highlight w:val="none"/>
          <w:lang w:val="en-US" w:eastAsia="zh-CN"/>
        </w:rPr>
      </w:pPr>
      <w:r>
        <w:rPr>
          <w:rFonts w:hint="eastAsia"/>
          <w:highlight w:val="none"/>
          <w:lang w:val="en-US" w:eastAsia="zh-CN"/>
        </w:rPr>
        <w:t>绿色底座宜围绕供应链绿色低碳环保需求，基于绿色四库构建绿色服务及绿色应用。其中绿色四库包括绿色低碳评价要素库、绿色采购评审细则库、绿色低碳模型库以及绿色低碳因子库。绿色服务包括绿色低碳认证服务、绿色低碳评价服务、绿色低碳金融服务、绿色低碳标准服务、绿色低碳运营服务、绿色低碳核算服务、绿色低碳评审服务。</w:t>
      </w:r>
    </w:p>
    <w:p w14:paraId="6C837953">
      <w:pPr>
        <w:ind w:firstLine="420"/>
        <w:rPr>
          <w:rFonts w:hint="eastAsia"/>
          <w:highlight w:val="none"/>
          <w:lang w:val="en-US" w:eastAsia="zh-CN"/>
        </w:rPr>
      </w:pPr>
      <w:r>
        <w:rPr>
          <w:rFonts w:hint="eastAsia"/>
          <w:highlight w:val="none"/>
          <w:lang w:val="en-US" w:eastAsia="zh-CN"/>
        </w:rPr>
        <w:t>技术底座宜围绕绿色底座及平台服务构建提供技术支撑，主要包括云计算、人工智能、区块链、物联网、大数据以及数字孪生技术。</w:t>
      </w:r>
    </w:p>
    <w:p w14:paraId="2B85844D">
      <w:pPr>
        <w:ind w:firstLine="420"/>
        <w:rPr>
          <w:rFonts w:hint="default"/>
          <w:highlight w:val="none"/>
          <w:lang w:val="en-US" w:eastAsia="zh-CN"/>
        </w:rPr>
      </w:pPr>
      <w:r>
        <w:rPr>
          <w:rFonts w:hint="eastAsia"/>
          <w:highlight w:val="none"/>
          <w:lang w:val="en-US" w:eastAsia="zh-CN"/>
        </w:rPr>
        <w:t>数据底座为绿色供应链提供数据支撑，宜包含链主企业内部数据及外部数据。内部数据来源包括数据中台、能源大数据中心、绿链云网等；外部数据主要来源政府平台、行业平台以及各供应商平台。</w:t>
      </w:r>
    </w:p>
    <w:p w14:paraId="075B8C06">
      <w:pPr>
        <w:ind w:firstLine="420"/>
        <w:rPr>
          <w:rFonts w:hint="eastAsia"/>
          <w:b/>
          <w:highlight w:val="none"/>
        </w:rPr>
      </w:pPr>
      <w:r>
        <w:rPr>
          <w:rFonts w:hint="eastAsia"/>
          <w:highlight w:val="none"/>
          <w:lang w:val="en-US" w:eastAsia="zh-CN"/>
        </w:rPr>
        <w:t>平台保障宜</w:t>
      </w:r>
      <w:r>
        <w:rPr>
          <w:rFonts w:hint="eastAsia"/>
          <w:highlight w:val="none"/>
        </w:rPr>
        <w:t>围绕平台业务服务运行，提供</w:t>
      </w:r>
      <w:r>
        <w:rPr>
          <w:rFonts w:hint="eastAsia"/>
          <w:highlight w:val="none"/>
          <w:lang w:val="en-US" w:eastAsia="zh-CN"/>
        </w:rPr>
        <w:t>平台安全管理、平台运维管理、平台运营管理服务，保障</w:t>
      </w:r>
      <w:r>
        <w:rPr>
          <w:rFonts w:hint="eastAsia"/>
          <w:highlight w:val="none"/>
        </w:rPr>
        <w:t>各项服务良好运行。</w:t>
      </w:r>
    </w:p>
    <w:p w14:paraId="53B66021">
      <w:pPr>
        <w:ind w:firstLine="0" w:firstLineChars="0"/>
        <w:jc w:val="center"/>
        <w:rPr>
          <w:rFonts w:hint="eastAsia" w:eastAsiaTheme="minorEastAsia"/>
          <w:b/>
          <w:highlight w:val="none"/>
          <w:lang w:eastAsia="zh-CN"/>
        </w:rPr>
      </w:pPr>
      <w:r>
        <w:rPr>
          <w:highlight w:val="none"/>
        </w:rPr>
        <w:drawing>
          <wp:inline distT="0" distB="0" distL="114300" distR="114300">
            <wp:extent cx="5894705" cy="3204210"/>
            <wp:effectExtent l="0" t="0" r="3175"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5894705" cy="3204210"/>
                    </a:xfrm>
                    <a:prstGeom prst="rect">
                      <a:avLst/>
                    </a:prstGeom>
                    <a:noFill/>
                    <a:ln>
                      <a:noFill/>
                    </a:ln>
                  </pic:spPr>
                </pic:pic>
              </a:graphicData>
            </a:graphic>
          </wp:inline>
        </w:drawing>
      </w:r>
    </w:p>
    <w:p w14:paraId="07DD275C">
      <w:pPr>
        <w:ind w:firstLine="0" w:firstLineChars="0"/>
        <w:jc w:val="center"/>
        <w:rPr>
          <w:rFonts w:hint="eastAsia"/>
          <w:b/>
          <w:highlight w:val="none"/>
        </w:rPr>
      </w:pPr>
      <w:r>
        <w:rPr>
          <w:rFonts w:hint="eastAsia"/>
          <w:b/>
          <w:highlight w:val="none"/>
        </w:rPr>
        <w:t>图</w:t>
      </w:r>
      <w:r>
        <w:rPr>
          <w:rFonts w:hint="eastAsia"/>
          <w:b/>
          <w:highlight w:val="none"/>
          <w:lang w:val="en-US" w:eastAsia="zh-CN"/>
        </w:rPr>
        <w:t>1</w:t>
      </w:r>
      <w:r>
        <w:rPr>
          <w:rFonts w:hint="eastAsia"/>
          <w:b/>
          <w:highlight w:val="none"/>
        </w:rPr>
        <w:t xml:space="preserve"> </w:t>
      </w:r>
      <w:r>
        <w:rPr>
          <w:rFonts w:hint="eastAsia"/>
          <w:b/>
          <w:highlight w:val="none"/>
          <w:lang w:val="en-US" w:eastAsia="zh-CN"/>
        </w:rPr>
        <w:t>能源企业绿色</w:t>
      </w:r>
      <w:r>
        <w:rPr>
          <w:rFonts w:hint="eastAsia"/>
          <w:b/>
          <w:highlight w:val="none"/>
        </w:rPr>
        <w:t>供应链数字化平台</w:t>
      </w:r>
      <w:r>
        <w:rPr>
          <w:rFonts w:hint="eastAsia"/>
          <w:b/>
          <w:highlight w:val="none"/>
          <w:lang w:val="en-US" w:eastAsia="zh-CN"/>
        </w:rPr>
        <w:t>功能</w:t>
      </w:r>
      <w:r>
        <w:rPr>
          <w:rFonts w:hint="eastAsia"/>
          <w:b/>
          <w:highlight w:val="none"/>
        </w:rPr>
        <w:t>架构</w:t>
      </w:r>
    </w:p>
    <w:p w14:paraId="65744AC6">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52" w:name="_Toc13822"/>
      <w:bookmarkStart w:id="53" w:name="_Toc134797701"/>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平台</w:t>
      </w:r>
      <w:r>
        <w:rPr>
          <w:rFonts w:hint="eastAsia" w:ascii="黑体" w:hAnsi="Times New Roman" w:eastAsia="黑体" w:cs="Times New Roman"/>
          <w:kern w:val="0"/>
          <w:szCs w:val="21"/>
          <w:highlight w:val="none"/>
        </w:rPr>
        <w:t>服务功能</w:t>
      </w:r>
      <w:bookmarkEnd w:id="52"/>
    </w:p>
    <w:p w14:paraId="14493F26">
      <w:pPr>
        <w:widowControl/>
        <w:numPr>
          <w:ilvl w:val="2"/>
          <w:numId w:val="0"/>
        </w:numPr>
        <w:spacing w:before="156" w:beforeLines="50" w:after="156" w:afterLines="50"/>
        <w:ind w:left="-2" w:leftChars="-1" w:firstLine="420" w:firstLineChars="200"/>
        <w:jc w:val="left"/>
        <w:outlineLvl w:val="3"/>
        <w:rPr>
          <w:rFonts w:hint="default" w:ascii="黑体" w:hAnsi="黑体" w:eastAsia="黑体" w:cs="Times New Roman"/>
          <w:kern w:val="0"/>
          <w:szCs w:val="21"/>
          <w:highlight w:val="none"/>
          <w:lang w:val="en-US"/>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 xml:space="preserve">.1 </w:t>
      </w:r>
      <w:r>
        <w:rPr>
          <w:rFonts w:hint="eastAsia" w:ascii="黑体" w:hAnsi="Times New Roman" w:eastAsia="黑体" w:cs="Times New Roman"/>
          <w:kern w:val="0"/>
          <w:szCs w:val="21"/>
          <w:highlight w:val="none"/>
          <w:lang w:val="en-US" w:eastAsia="zh-CN"/>
        </w:rPr>
        <w:t xml:space="preserve"> 计划服务功能</w:t>
      </w:r>
    </w:p>
    <w:p w14:paraId="4A6541BD">
      <w:pPr>
        <w:keepNext w:val="0"/>
        <w:keepLines w:val="0"/>
        <w:pageBreakBefore w:val="0"/>
        <w:widowControl/>
        <w:numPr>
          <w:ilvl w:val="2"/>
          <w:numId w:val="0"/>
        </w:numPr>
        <w:kinsoku/>
        <w:wordWrap/>
        <w:overflowPunct/>
        <w:topLinePunct w:val="0"/>
        <w:autoSpaceDE/>
        <w:autoSpaceDN/>
        <w:bidi w:val="0"/>
        <w:adjustRightInd/>
        <w:snapToGrid/>
        <w:spacing w:before="156" w:beforeLines="50" w:after="156" w:afterLines="50"/>
        <w:ind w:left="0" w:leftChars="0" w:firstLine="420" w:firstLineChars="200"/>
        <w:jc w:val="left"/>
        <w:textAlignment w:val="auto"/>
        <w:outlineLvl w:val="9"/>
        <w:rPr>
          <w:rFonts w:hint="default"/>
          <w:highlight w:val="none"/>
          <w:lang w:val="en-US" w:eastAsia="zh-CN"/>
        </w:rPr>
      </w:pPr>
      <w:r>
        <w:rPr>
          <w:rFonts w:hint="eastAsia"/>
          <w:highlight w:val="none"/>
          <w:lang w:val="en-US" w:eastAsia="zh-CN"/>
        </w:rPr>
        <w:t>计划服务功能应支撑能源企业开展绿色规划设计、绿色需求计划业务服务，包括采购计划管理、物资采购目录管理、</w:t>
      </w:r>
      <w:r>
        <w:rPr>
          <w:rFonts w:hint="eastAsia"/>
          <w:highlight w:val="none"/>
        </w:rPr>
        <w:t>年度物资需求预测、采购计划制定</w:t>
      </w:r>
      <w:r>
        <w:rPr>
          <w:rFonts w:hint="eastAsia"/>
          <w:highlight w:val="none"/>
          <w:lang w:eastAsia="zh-CN"/>
        </w:rPr>
        <w:t>、</w:t>
      </w:r>
      <w:r>
        <w:rPr>
          <w:rFonts w:hint="eastAsia"/>
          <w:highlight w:val="none"/>
          <w:lang w:val="en-US" w:eastAsia="zh-CN"/>
        </w:rPr>
        <w:t>采购计划统计等功能。计划服务功能在执行相关功能时应自动获取绿色底座的绿色低碳运营服务支撑能源企业制定绿色低碳采购计划。</w:t>
      </w:r>
    </w:p>
    <w:p w14:paraId="56026347">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.2</w:t>
      </w:r>
      <w:r>
        <w:rPr>
          <w:rFonts w:hint="eastAsia" w:ascii="黑体" w:hAnsi="Times New Roman" w:eastAsia="黑体" w:cs="Times New Roman"/>
          <w:kern w:val="0"/>
          <w:szCs w:val="21"/>
          <w:highlight w:val="none"/>
          <w:lang w:val="en-US" w:eastAsia="zh-CN"/>
        </w:rPr>
        <w:t xml:space="preserve">  </w:t>
      </w:r>
      <w:r>
        <w:rPr>
          <w:rFonts w:hint="eastAsia" w:ascii="黑体" w:hAnsi="Times New Roman" w:eastAsia="黑体" w:cs="Times New Roman"/>
          <w:kern w:val="0"/>
          <w:szCs w:val="21"/>
          <w:highlight w:val="none"/>
        </w:rPr>
        <w:t>标准</w:t>
      </w:r>
      <w:r>
        <w:rPr>
          <w:rFonts w:hint="eastAsia" w:ascii="黑体" w:hAnsi="Times New Roman" w:eastAsia="黑体" w:cs="Times New Roman"/>
          <w:kern w:val="0"/>
          <w:szCs w:val="21"/>
          <w:highlight w:val="none"/>
          <w:lang w:val="en-US" w:eastAsia="zh-CN"/>
        </w:rPr>
        <w:t>服务功能</w:t>
      </w:r>
    </w:p>
    <w:p w14:paraId="5F8388E1">
      <w:pPr>
        <w:ind w:firstLine="420"/>
        <w:rPr>
          <w:rFonts w:hint="default" w:eastAsiaTheme="minorEastAsia"/>
          <w:highlight w:val="none"/>
          <w:lang w:val="en-US" w:eastAsia="zh-CN"/>
        </w:rPr>
      </w:pPr>
      <w:r>
        <w:rPr>
          <w:rFonts w:hint="eastAsia"/>
          <w:highlight w:val="none"/>
          <w:lang w:val="en-US" w:eastAsia="zh-CN"/>
        </w:rPr>
        <w:t>标准服务功能应负责制定、固化和下发能源企业绿色供应链各项标准，包括标准制定、标准管理、标准固化与共享执行等功能。标准中心应主动获取并共享执行绿色低碳标准服务中的能源企业绿色标准，如能源设备绿色低碳标准、能源设备生产企业绿色低碳标准等。</w:t>
      </w:r>
    </w:p>
    <w:p w14:paraId="28F34E35">
      <w:pPr>
        <w:widowControl/>
        <w:numPr>
          <w:ilvl w:val="2"/>
          <w:numId w:val="0"/>
        </w:numPr>
        <w:spacing w:before="156" w:beforeLines="50" w:after="156" w:afterLines="50"/>
        <w:ind w:left="-2" w:leftChars="-1" w:firstLine="420" w:firstLineChars="200"/>
        <w:jc w:val="left"/>
        <w:outlineLvl w:val="3"/>
        <w:rPr>
          <w:rFonts w:hint="default"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 xml:space="preserve">.3 </w:t>
      </w:r>
      <w:r>
        <w:rPr>
          <w:rFonts w:hint="eastAsia" w:ascii="黑体" w:hAnsi="Times New Roman" w:eastAsia="黑体" w:cs="Times New Roman"/>
          <w:kern w:val="0"/>
          <w:szCs w:val="21"/>
          <w:highlight w:val="none"/>
          <w:lang w:val="en-US" w:eastAsia="zh-CN"/>
        </w:rPr>
        <w:t xml:space="preserve"> </w:t>
      </w:r>
      <w:r>
        <w:rPr>
          <w:rFonts w:hint="eastAsia" w:ascii="黑体" w:hAnsi="黑体" w:eastAsia="黑体" w:cs="Times New Roman"/>
          <w:kern w:val="0"/>
          <w:szCs w:val="21"/>
          <w:highlight w:val="none"/>
        </w:rPr>
        <w:t>采购</w:t>
      </w:r>
      <w:r>
        <w:rPr>
          <w:rFonts w:hint="eastAsia" w:ascii="黑体" w:hAnsi="黑体" w:eastAsia="黑体" w:cs="Times New Roman"/>
          <w:kern w:val="0"/>
          <w:szCs w:val="21"/>
          <w:highlight w:val="none"/>
          <w:lang w:val="en-US" w:eastAsia="zh-CN"/>
        </w:rPr>
        <w:t>服务功能</w:t>
      </w:r>
    </w:p>
    <w:p w14:paraId="0D8EABF1">
      <w:pPr>
        <w:ind w:left="-2" w:leftChars="-1" w:firstLine="420"/>
        <w:rPr>
          <w:rFonts w:hint="default"/>
          <w:highlight w:val="none"/>
          <w:lang w:val="en-US" w:eastAsia="zh-CN"/>
        </w:rPr>
      </w:pPr>
      <w:r>
        <w:rPr>
          <w:rFonts w:hint="eastAsia"/>
          <w:highlight w:val="none"/>
        </w:rPr>
        <w:t>采购</w:t>
      </w:r>
      <w:r>
        <w:rPr>
          <w:rFonts w:hint="eastAsia"/>
          <w:highlight w:val="none"/>
          <w:lang w:val="en-US" w:eastAsia="zh-CN"/>
        </w:rPr>
        <w:t>服务功能应</w:t>
      </w:r>
      <w:r>
        <w:rPr>
          <w:rFonts w:hint="eastAsia"/>
          <w:highlight w:val="none"/>
        </w:rPr>
        <w:t>包括采购项目准备、招标采购管理、非招标采购管理、</w:t>
      </w:r>
      <w:r>
        <w:rPr>
          <w:rFonts w:hint="eastAsia"/>
          <w:highlight w:val="none"/>
          <w:lang w:val="en-US" w:eastAsia="zh-CN"/>
        </w:rPr>
        <w:t>供应商</w:t>
      </w:r>
      <w:r>
        <w:rPr>
          <w:rFonts w:hint="eastAsia"/>
          <w:highlight w:val="none"/>
        </w:rPr>
        <w:t>资格预审</w:t>
      </w:r>
      <w:r>
        <w:rPr>
          <w:rFonts w:hint="eastAsia"/>
          <w:highlight w:val="none"/>
          <w:lang w:val="en-US" w:eastAsia="zh-CN"/>
        </w:rPr>
        <w:t>等</w:t>
      </w:r>
      <w:r>
        <w:rPr>
          <w:rFonts w:hint="eastAsia"/>
          <w:highlight w:val="none"/>
        </w:rPr>
        <w:t>功能。采购</w:t>
      </w:r>
      <w:r>
        <w:rPr>
          <w:rFonts w:hint="eastAsia"/>
          <w:highlight w:val="none"/>
          <w:lang w:val="en-US" w:eastAsia="zh-CN"/>
        </w:rPr>
        <w:t>服务功能</w:t>
      </w:r>
      <w:r>
        <w:rPr>
          <w:rFonts w:hint="eastAsia"/>
          <w:highlight w:val="none"/>
        </w:rPr>
        <w:t>应</w:t>
      </w:r>
      <w:r>
        <w:rPr>
          <w:rFonts w:hint="eastAsia"/>
          <w:highlight w:val="none"/>
          <w:lang w:val="en-US" w:eastAsia="zh-CN"/>
        </w:rPr>
        <w:t>自动获取绿色采购评审细则对供应商及其能源设备进行绿色评估，支撑开展绿色采购等服务。</w:t>
      </w:r>
    </w:p>
    <w:p w14:paraId="006C2C91">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 xml:space="preserve">.4 </w:t>
      </w:r>
      <w:r>
        <w:rPr>
          <w:rFonts w:hint="eastAsia" w:ascii="黑体" w:hAnsi="Times New Roman" w:eastAsia="黑体" w:cs="Times New Roman"/>
          <w:kern w:val="0"/>
          <w:szCs w:val="21"/>
          <w:highlight w:val="none"/>
          <w:lang w:val="en-US" w:eastAsia="zh-CN"/>
        </w:rPr>
        <w:t xml:space="preserve"> 合同服务功能</w:t>
      </w:r>
    </w:p>
    <w:p w14:paraId="64AFD1C6">
      <w:pPr>
        <w:ind w:left="-2" w:leftChars="-1" w:firstLine="420"/>
        <w:rPr>
          <w:rFonts w:hint="eastAsia" w:ascii="黑体" w:hAnsi="Times New Roman" w:eastAsia="黑体" w:cs="Times New Roman"/>
          <w:kern w:val="0"/>
          <w:szCs w:val="21"/>
          <w:highlight w:val="none"/>
          <w:lang w:val="en-US" w:eastAsia="zh-CN"/>
        </w:rPr>
      </w:pPr>
      <w:r>
        <w:rPr>
          <w:rFonts w:hint="eastAsia"/>
          <w:highlight w:val="none"/>
          <w:lang w:val="en-US" w:eastAsia="zh-CN"/>
        </w:rPr>
        <w:t>合同服务功能应包括</w:t>
      </w:r>
      <w:r>
        <w:rPr>
          <w:rFonts w:hint="eastAsia"/>
          <w:highlight w:val="none"/>
        </w:rPr>
        <w:t>合同模板管理、合同起草及变更管理、合同签订管理、合同履约管理、合同结算管理、支付办理</w:t>
      </w:r>
      <w:r>
        <w:rPr>
          <w:rFonts w:hint="eastAsia"/>
          <w:highlight w:val="none"/>
          <w:lang w:eastAsia="zh-CN"/>
        </w:rPr>
        <w:t>、</w:t>
      </w:r>
      <w:r>
        <w:rPr>
          <w:rFonts w:hint="eastAsia"/>
          <w:highlight w:val="none"/>
        </w:rPr>
        <w:t>评价管理、违约管理</w:t>
      </w:r>
      <w:r>
        <w:rPr>
          <w:rFonts w:hint="eastAsia"/>
          <w:highlight w:val="none"/>
          <w:lang w:val="en-US" w:eastAsia="zh-CN"/>
        </w:rPr>
        <w:t>等功能。合同服务功能应自动获取绿色认证服务、绿色评价服务、绿色低碳运营管理服务等合同审查、合同履约执行管理等服务。</w:t>
      </w:r>
    </w:p>
    <w:p w14:paraId="136C16CE">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合规服务功能</w:t>
      </w:r>
    </w:p>
    <w:p w14:paraId="50AEEDD2">
      <w:pPr>
        <w:ind w:left="-2" w:leftChars="-1" w:firstLine="420"/>
        <w:rPr>
          <w:rFonts w:hint="default" w:ascii="黑体" w:hAnsi="Times New Roman" w:eastAsia="黑体" w:cs="Times New Roman"/>
          <w:kern w:val="0"/>
          <w:szCs w:val="21"/>
          <w:highlight w:val="none"/>
          <w:lang w:val="en-US" w:eastAsia="zh-CN"/>
        </w:rPr>
      </w:pPr>
      <w:r>
        <w:rPr>
          <w:rFonts w:hint="eastAsia"/>
          <w:highlight w:val="none"/>
          <w:lang w:val="en-US" w:eastAsia="zh-CN"/>
        </w:rPr>
        <w:t>合规服务功能应包括绿色供应链</w:t>
      </w:r>
      <w:r>
        <w:rPr>
          <w:rFonts w:hint="eastAsia"/>
          <w:highlight w:val="none"/>
          <w:lang w:eastAsia="zh-CN"/>
        </w:rPr>
        <w:t>风险监控预警、</w:t>
      </w:r>
      <w:r>
        <w:rPr>
          <w:rFonts w:hint="eastAsia"/>
          <w:highlight w:val="none"/>
          <w:lang w:val="en-US" w:eastAsia="zh-CN"/>
        </w:rPr>
        <w:t>评估与监督、供应商合规评估、审计与监督、</w:t>
      </w:r>
      <w:r>
        <w:rPr>
          <w:rFonts w:hint="eastAsia"/>
          <w:highlight w:val="none"/>
        </w:rPr>
        <w:t>运营监督</w:t>
      </w:r>
      <w:r>
        <w:rPr>
          <w:rFonts w:hint="eastAsia"/>
          <w:highlight w:val="none"/>
          <w:lang w:eastAsia="zh-CN"/>
        </w:rPr>
        <w:t>、</w:t>
      </w:r>
      <w:r>
        <w:rPr>
          <w:rFonts w:hint="eastAsia"/>
          <w:highlight w:val="none"/>
        </w:rPr>
        <w:t>专家库管理、专家分类评级管理、专家抽取管理、在线任务委派、监督报告在线审核</w:t>
      </w:r>
      <w:r>
        <w:rPr>
          <w:rFonts w:hint="eastAsia"/>
          <w:highlight w:val="none"/>
          <w:lang w:val="en-US" w:eastAsia="zh-CN"/>
        </w:rPr>
        <w:t>等功能。合规服务功能应自动获取绿色采购评审细则服务、绿色低碳运营管理服务开展服务。</w:t>
      </w:r>
    </w:p>
    <w:p w14:paraId="791B6B97">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6</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数智服务功能</w:t>
      </w:r>
    </w:p>
    <w:p w14:paraId="21EE6C55">
      <w:pPr>
        <w:ind w:left="-2" w:leftChars="-1" w:firstLine="420"/>
        <w:rPr>
          <w:rFonts w:hint="default"/>
          <w:highlight w:val="none"/>
          <w:lang w:val="en-US" w:eastAsia="zh-CN"/>
        </w:rPr>
      </w:pPr>
      <w:r>
        <w:rPr>
          <w:rFonts w:hint="eastAsia"/>
          <w:highlight w:val="none"/>
          <w:lang w:val="en-US" w:eastAsia="zh-CN"/>
        </w:rPr>
        <w:t>数智服务应包括智能决策支撑、驾驶舱、预测与模拟、指标中心等功能。数智服务功能应自动获取绿色采购评审细则服务、绿色低碳运营管理服务、绿色低碳运营管理服务开展绿色运营分析、绿色指标构建等服务。</w:t>
      </w:r>
    </w:p>
    <w:p w14:paraId="0492B433">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7</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物流服务功能</w:t>
      </w:r>
    </w:p>
    <w:p w14:paraId="67D34395">
      <w:pPr>
        <w:widowControl/>
        <w:numPr>
          <w:ilvl w:val="2"/>
          <w:numId w:val="0"/>
        </w:numPr>
        <w:spacing w:before="156" w:beforeLines="50" w:after="156" w:afterLines="50"/>
        <w:ind w:left="-2" w:leftChars="-1" w:firstLine="420" w:firstLineChars="200"/>
        <w:jc w:val="left"/>
        <w:outlineLvl w:val="9"/>
        <w:rPr>
          <w:highlight w:val="none"/>
        </w:rPr>
      </w:pPr>
      <w:r>
        <w:rPr>
          <w:rFonts w:hint="eastAsia"/>
          <w:highlight w:val="none"/>
          <w:lang w:val="en-US" w:eastAsia="zh-CN"/>
        </w:rPr>
        <w:t>物流服务功能应包括</w:t>
      </w:r>
      <w:r>
        <w:rPr>
          <w:rFonts w:hint="eastAsia"/>
          <w:highlight w:val="none"/>
        </w:rPr>
        <w:t>仓储管理</w:t>
      </w:r>
      <w:r>
        <w:rPr>
          <w:rFonts w:hint="eastAsia"/>
          <w:highlight w:val="none"/>
          <w:lang w:eastAsia="zh-CN"/>
        </w:rPr>
        <w:t>、</w:t>
      </w:r>
      <w:r>
        <w:rPr>
          <w:rFonts w:hint="eastAsia"/>
          <w:highlight w:val="none"/>
        </w:rPr>
        <w:t>供需对接、运输监控、配送规划、应急运力、服务评价、碳排放管理等功能。</w:t>
      </w:r>
      <w:r>
        <w:rPr>
          <w:rFonts w:hint="eastAsia"/>
          <w:highlight w:val="none"/>
          <w:lang w:val="en-US" w:eastAsia="zh-CN"/>
        </w:rPr>
        <w:t>物流服务功能应自动调取碳排放核算服务</w:t>
      </w:r>
      <w:r>
        <w:rPr>
          <w:rFonts w:hint="eastAsia"/>
          <w:highlight w:val="none"/>
        </w:rPr>
        <w:t>实现对运输、配送过程</w:t>
      </w:r>
      <w:r>
        <w:rPr>
          <w:rFonts w:hint="eastAsia"/>
          <w:highlight w:val="none"/>
          <w:lang w:val="en-US" w:eastAsia="zh-CN"/>
        </w:rPr>
        <w:t>以及库存管理过程</w:t>
      </w:r>
      <w:r>
        <w:rPr>
          <w:rFonts w:hint="eastAsia"/>
          <w:highlight w:val="none"/>
        </w:rPr>
        <w:t>的碳</w:t>
      </w:r>
      <w:r>
        <w:rPr>
          <w:rFonts w:hint="eastAsia"/>
          <w:highlight w:val="none"/>
          <w:lang w:val="en-US" w:eastAsia="zh-CN"/>
        </w:rPr>
        <w:t>排放进行核算</w:t>
      </w:r>
      <w:r>
        <w:rPr>
          <w:rFonts w:hint="eastAsia"/>
          <w:highlight w:val="none"/>
        </w:rPr>
        <w:t>。</w:t>
      </w:r>
    </w:p>
    <w:p w14:paraId="3AAC5B1E">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8</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质控服务功能</w:t>
      </w:r>
    </w:p>
    <w:p w14:paraId="4E7504F1">
      <w:pPr>
        <w:widowControl/>
        <w:numPr>
          <w:ilvl w:val="2"/>
          <w:numId w:val="0"/>
        </w:numPr>
        <w:spacing w:before="156" w:beforeLines="50" w:after="156" w:afterLines="50"/>
        <w:ind w:left="-2" w:leftChars="-1" w:firstLine="420" w:firstLineChars="200"/>
        <w:jc w:val="left"/>
        <w:outlineLvl w:val="9"/>
        <w:rPr>
          <w:highlight w:val="none"/>
        </w:rPr>
      </w:pPr>
      <w:r>
        <w:rPr>
          <w:rFonts w:hint="eastAsia"/>
          <w:highlight w:val="none"/>
          <w:lang w:val="en-US" w:eastAsia="zh-CN"/>
        </w:rPr>
        <w:t>质控服务功能应包括</w:t>
      </w:r>
      <w:r>
        <w:rPr>
          <w:rFonts w:hint="eastAsia"/>
          <w:highlight w:val="none"/>
        </w:rPr>
        <w:t>物资设备在线监造</w:t>
      </w:r>
      <w:r>
        <w:rPr>
          <w:rFonts w:hint="eastAsia"/>
          <w:highlight w:val="none"/>
          <w:lang w:eastAsia="zh-CN"/>
        </w:rPr>
        <w:t>、</w:t>
      </w:r>
      <w:r>
        <w:rPr>
          <w:rFonts w:hint="eastAsia"/>
          <w:highlight w:val="none"/>
        </w:rPr>
        <w:t>物资抽检管理</w:t>
      </w:r>
      <w:r>
        <w:rPr>
          <w:rFonts w:hint="eastAsia"/>
          <w:highlight w:val="none"/>
          <w:lang w:eastAsia="zh-CN"/>
        </w:rPr>
        <w:t>、</w:t>
      </w:r>
      <w:r>
        <w:rPr>
          <w:rFonts w:hint="eastAsia"/>
          <w:highlight w:val="none"/>
          <w:lang w:val="en-US" w:eastAsia="zh-CN"/>
        </w:rPr>
        <w:t>质量检测与检验、质量监控与评估、质量追溯与召回管理、</w:t>
      </w:r>
      <w:r>
        <w:rPr>
          <w:rFonts w:hint="eastAsia"/>
          <w:highlight w:val="none"/>
        </w:rPr>
        <w:t>运行数据管理</w:t>
      </w:r>
      <w:r>
        <w:rPr>
          <w:rFonts w:hint="eastAsia"/>
          <w:highlight w:val="none"/>
          <w:lang w:eastAsia="zh-CN"/>
        </w:rPr>
        <w:t>、</w:t>
      </w:r>
      <w:r>
        <w:rPr>
          <w:rFonts w:hint="eastAsia"/>
          <w:highlight w:val="none"/>
          <w:lang w:val="en-US" w:eastAsia="zh-CN"/>
        </w:rPr>
        <w:t>供应商绩效评价、</w:t>
      </w:r>
      <w:r>
        <w:rPr>
          <w:highlight w:val="none"/>
        </w:rPr>
        <w:t>供应商管理、供应商资质业绩核实、供应商绿色登记评价、供供应商不良行为处理</w:t>
      </w:r>
      <w:r>
        <w:rPr>
          <w:rFonts w:hint="eastAsia"/>
          <w:highlight w:val="none"/>
          <w:lang w:val="en-US" w:eastAsia="zh-CN"/>
        </w:rPr>
        <w:t>等功能。质控服务功能应自动调取碳排放核算服务、绿色低碳认证服务、绿色低碳评价服务等开展绿色质量认证等服务。</w:t>
      </w:r>
    </w:p>
    <w:p w14:paraId="75BA07BB">
      <w:pPr>
        <w:widowControl/>
        <w:numPr>
          <w:ilvl w:val="2"/>
          <w:numId w:val="0"/>
        </w:numPr>
        <w:spacing w:before="156" w:beforeLines="50" w:after="156" w:afterLines="50"/>
        <w:ind w:left="-2" w:leftChars="-1" w:firstLine="420" w:firstLineChars="200"/>
        <w:jc w:val="left"/>
        <w:outlineLvl w:val="3"/>
        <w:rPr>
          <w:rFonts w:hint="default"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 xml:space="preserve">.9 </w:t>
      </w:r>
      <w:r>
        <w:rPr>
          <w:rFonts w:hint="eastAsia" w:ascii="黑体" w:hAnsi="Times New Roman" w:eastAsia="黑体" w:cs="Times New Roman"/>
          <w:kern w:val="0"/>
          <w:szCs w:val="21"/>
          <w:highlight w:val="none"/>
          <w:lang w:val="en-US" w:eastAsia="zh-CN"/>
        </w:rPr>
        <w:t xml:space="preserve"> 网上商城</w:t>
      </w:r>
    </w:p>
    <w:p w14:paraId="1406A877">
      <w:pPr>
        <w:ind w:firstLine="420"/>
        <w:rPr>
          <w:rFonts w:hint="eastAsia"/>
          <w:highlight w:val="none"/>
          <w:lang w:val="en-US" w:eastAsia="zh-CN"/>
        </w:rPr>
      </w:pPr>
      <w:r>
        <w:rPr>
          <w:rFonts w:hint="eastAsia"/>
          <w:highlight w:val="none"/>
          <w:lang w:val="en-US" w:eastAsia="zh-CN"/>
        </w:rPr>
        <w:t>网上商城应包括商品管理、店铺管理、库存管理、订单管理、</w:t>
      </w:r>
      <w:r>
        <w:rPr>
          <w:rFonts w:hint="eastAsia"/>
          <w:highlight w:val="none"/>
        </w:rPr>
        <w:t>废旧物资管理</w:t>
      </w:r>
      <w:r>
        <w:rPr>
          <w:rFonts w:hint="eastAsia"/>
          <w:highlight w:val="none"/>
          <w:lang w:val="en-US" w:eastAsia="zh-CN"/>
        </w:rPr>
        <w:t>等功能。网上商城应自动调取绿色低碳金融服务、绿色低碳认证服务、绿色低碳评价服务等开展应用。</w:t>
      </w:r>
    </w:p>
    <w:p w14:paraId="77094822">
      <w:pPr>
        <w:widowControl/>
        <w:numPr>
          <w:ilvl w:val="1"/>
          <w:numId w:val="0"/>
        </w:numPr>
        <w:spacing w:before="156" w:beforeLines="50" w:after="156" w:afterLines="50"/>
        <w:jc w:val="left"/>
        <w:outlineLvl w:val="2"/>
        <w:rPr>
          <w:rFonts w:hint="default" w:ascii="黑体" w:hAnsi="Times New Roman" w:eastAsia="黑体" w:cs="Times New Roman"/>
          <w:kern w:val="0"/>
          <w:szCs w:val="21"/>
          <w:highlight w:val="none"/>
          <w:lang w:val="en-US" w:eastAsia="zh-CN"/>
        </w:rPr>
      </w:pPr>
      <w:bookmarkStart w:id="54" w:name="_Toc9006"/>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3</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绿色底座</w:t>
      </w:r>
      <w:bookmarkEnd w:id="54"/>
    </w:p>
    <w:p w14:paraId="0E7077A1">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5.3.1  绿色低碳因子库</w:t>
      </w:r>
    </w:p>
    <w:p w14:paraId="4BF4EA9E">
      <w:pPr>
        <w:ind w:firstLine="420"/>
        <w:rPr>
          <w:rFonts w:hint="eastAsia"/>
          <w:highlight w:val="none"/>
          <w:lang w:val="en-US" w:eastAsia="zh-CN"/>
        </w:rPr>
      </w:pPr>
      <w:r>
        <w:rPr>
          <w:rFonts w:hint="eastAsia"/>
          <w:highlight w:val="none"/>
          <w:lang w:val="en-US" w:eastAsia="zh-CN"/>
        </w:rPr>
        <w:t>绿色低碳因子库应包含能源装备碳排放因子库和能源装备生产企业碳排放因子库，是用于量化和评估各种与绿色、低碳相关因素的数据库。</w:t>
      </w:r>
    </w:p>
    <w:p w14:paraId="0BB95909">
      <w:pPr>
        <w:ind w:firstLine="420"/>
        <w:rPr>
          <w:rFonts w:hint="eastAsia"/>
          <w:highlight w:val="none"/>
          <w:lang w:val="en-US" w:eastAsia="zh-CN"/>
        </w:rPr>
      </w:pPr>
      <w:r>
        <w:rPr>
          <w:rFonts w:hint="eastAsia"/>
          <w:highlight w:val="none"/>
          <w:lang w:val="en-US" w:eastAsia="zh-CN"/>
        </w:rPr>
        <w:t>能源设备碳排放因子库应按照装备采购目录大、中、小类的原则，将每一类能源装备在进行碳足迹核算时所需的全部碳排放因子组合成能源装备碳排放因子库。能源设备碳排放因子范围应覆盖设备碳足迹六大环节中的4个环节：原材料获取、原材料运输、产品生产、产品运输。</w:t>
      </w:r>
    </w:p>
    <w:p w14:paraId="532C105A">
      <w:pPr>
        <w:ind w:firstLine="420"/>
        <w:rPr>
          <w:rFonts w:hint="default"/>
          <w:highlight w:val="none"/>
          <w:lang w:val="en-US" w:eastAsia="zh-CN"/>
        </w:rPr>
      </w:pPr>
      <w:r>
        <w:rPr>
          <w:rFonts w:hint="eastAsia"/>
          <w:highlight w:val="none"/>
          <w:lang w:val="en-US" w:eastAsia="zh-CN"/>
        </w:rPr>
        <w:t>能源设备</w:t>
      </w:r>
      <w:r>
        <w:rPr>
          <w:rFonts w:hint="default"/>
          <w:highlight w:val="none"/>
          <w:lang w:val="en-US" w:eastAsia="zh-CN"/>
        </w:rPr>
        <w:t>生产企业碳排放因子</w:t>
      </w:r>
      <w:r>
        <w:rPr>
          <w:rFonts w:hint="eastAsia"/>
          <w:highlight w:val="none"/>
          <w:lang w:val="en-US" w:eastAsia="zh-CN"/>
        </w:rPr>
        <w:t>库应</w:t>
      </w:r>
      <w:r>
        <w:rPr>
          <w:rFonts w:hint="default"/>
          <w:highlight w:val="none"/>
          <w:lang w:val="en-US" w:eastAsia="zh-CN"/>
        </w:rPr>
        <w:t>包括化石燃料、生产制造</w:t>
      </w:r>
      <w:r>
        <w:rPr>
          <w:rFonts w:hint="eastAsia"/>
          <w:highlight w:val="none"/>
          <w:lang w:val="en-US" w:eastAsia="zh-CN"/>
        </w:rPr>
        <w:t>等</w:t>
      </w:r>
      <w:r>
        <w:rPr>
          <w:rFonts w:hint="default"/>
          <w:highlight w:val="none"/>
          <w:lang w:val="en-US" w:eastAsia="zh-CN"/>
        </w:rPr>
        <w:t>过程</w:t>
      </w:r>
      <w:r>
        <w:rPr>
          <w:rFonts w:hint="eastAsia"/>
          <w:highlight w:val="none"/>
          <w:lang w:val="en-US" w:eastAsia="zh-CN"/>
        </w:rPr>
        <w:t>直接</w:t>
      </w:r>
      <w:r>
        <w:rPr>
          <w:rFonts w:hint="default"/>
          <w:highlight w:val="none"/>
          <w:lang w:val="en-US" w:eastAsia="zh-CN"/>
        </w:rPr>
        <w:t>碳排放</w:t>
      </w:r>
      <w:r>
        <w:rPr>
          <w:rFonts w:hint="eastAsia"/>
          <w:highlight w:val="none"/>
          <w:lang w:val="en-US" w:eastAsia="zh-CN"/>
        </w:rPr>
        <w:t>因子，也包括</w:t>
      </w:r>
      <w:r>
        <w:rPr>
          <w:rFonts w:hint="default"/>
          <w:highlight w:val="none"/>
          <w:lang w:val="en-US" w:eastAsia="zh-CN"/>
        </w:rPr>
        <w:t>外购电力、外购热力</w:t>
      </w:r>
      <w:r>
        <w:rPr>
          <w:rFonts w:hint="eastAsia"/>
          <w:highlight w:val="none"/>
          <w:lang w:val="en-US" w:eastAsia="zh-CN"/>
        </w:rPr>
        <w:t>等间接</w:t>
      </w:r>
      <w:r>
        <w:rPr>
          <w:rFonts w:hint="default"/>
          <w:highlight w:val="none"/>
          <w:lang w:val="en-US" w:eastAsia="zh-CN"/>
        </w:rPr>
        <w:t>碳排放</w:t>
      </w:r>
      <w:r>
        <w:rPr>
          <w:rFonts w:hint="eastAsia"/>
          <w:highlight w:val="none"/>
          <w:lang w:val="en-US" w:eastAsia="zh-CN"/>
        </w:rPr>
        <w:t>因子</w:t>
      </w:r>
      <w:r>
        <w:rPr>
          <w:rFonts w:hint="default"/>
          <w:highlight w:val="none"/>
          <w:lang w:val="en-US" w:eastAsia="zh-CN"/>
        </w:rPr>
        <w:t>。</w:t>
      </w:r>
    </w:p>
    <w:p w14:paraId="0BE83A3D">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5.3.2  绿色低碳模型库</w:t>
      </w:r>
    </w:p>
    <w:p w14:paraId="3BAB579A">
      <w:pPr>
        <w:ind w:firstLine="420"/>
        <w:rPr>
          <w:rFonts w:hint="eastAsia"/>
          <w:highlight w:val="none"/>
          <w:lang w:val="en-US" w:eastAsia="zh-CN"/>
        </w:rPr>
      </w:pPr>
      <w:r>
        <w:rPr>
          <w:rFonts w:hint="eastAsia"/>
          <w:highlight w:val="none"/>
          <w:lang w:val="en-US" w:eastAsia="zh-CN"/>
        </w:rPr>
        <w:t>绿色低碳模型库宜包括能源装备碳足迹核算模型、能源装备企业碳足迹核算模型、碳排放核算模型、绿色低碳评价模型等。</w:t>
      </w:r>
    </w:p>
    <w:p w14:paraId="61217805">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5.3.2  绿色低碳评价要素库</w:t>
      </w:r>
    </w:p>
    <w:p w14:paraId="7DAE82BF">
      <w:pPr>
        <w:ind w:firstLine="420"/>
        <w:rPr>
          <w:rFonts w:hint="eastAsia"/>
          <w:highlight w:val="none"/>
          <w:lang w:val="en-US" w:eastAsia="zh-CN"/>
        </w:rPr>
      </w:pPr>
      <w:r>
        <w:rPr>
          <w:rFonts w:hint="eastAsia"/>
          <w:highlight w:val="none"/>
          <w:lang w:val="en-US" w:eastAsia="zh-CN"/>
        </w:rPr>
        <w:t>绿色低碳评价要素库宜包含能源装备低碳属性评价要素、能源装备生产企业低碳管理评价要素两部分。</w:t>
      </w:r>
    </w:p>
    <w:p w14:paraId="6A5B0A4D">
      <w:pPr>
        <w:ind w:firstLine="420"/>
        <w:rPr>
          <w:rFonts w:hint="eastAsia"/>
          <w:highlight w:val="none"/>
          <w:lang w:val="en-US" w:eastAsia="zh-CN"/>
        </w:rPr>
      </w:pPr>
      <w:r>
        <w:rPr>
          <w:rFonts w:hint="eastAsia"/>
          <w:highlight w:val="none"/>
          <w:lang w:val="en-US" w:eastAsia="zh-CN"/>
        </w:rPr>
        <w:t>能源装备低碳属性评价要素应包括能源装备低碳属性、资源属性、能源属性、品质属性以及环境属性。</w:t>
      </w:r>
    </w:p>
    <w:p w14:paraId="4C405B7F">
      <w:pPr>
        <w:ind w:firstLine="420"/>
        <w:rPr>
          <w:rFonts w:hint="eastAsia"/>
          <w:highlight w:val="none"/>
          <w:lang w:val="en-US" w:eastAsia="zh-CN"/>
        </w:rPr>
      </w:pPr>
      <w:r>
        <w:rPr>
          <w:rFonts w:hint="eastAsia"/>
          <w:highlight w:val="none"/>
          <w:lang w:val="en-US" w:eastAsia="zh-CN"/>
        </w:rPr>
        <w:t>能源装备生产企业低碳管理评价要素应包含低碳管理、基础设施、管理体系、能源资源投入、环境排放、绩效等指标。</w:t>
      </w:r>
    </w:p>
    <w:p w14:paraId="089A45DF">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5.3.3  绿色采购评审细则库</w:t>
      </w:r>
    </w:p>
    <w:p w14:paraId="62DAEDAB">
      <w:pPr>
        <w:ind w:firstLine="420"/>
        <w:rPr>
          <w:rFonts w:hint="eastAsia"/>
          <w:highlight w:val="none"/>
          <w:lang w:val="en-US" w:eastAsia="zh-CN"/>
        </w:rPr>
      </w:pPr>
      <w:r>
        <w:rPr>
          <w:rFonts w:hint="default"/>
          <w:highlight w:val="none"/>
          <w:lang w:val="en-US" w:eastAsia="zh-CN"/>
        </w:rPr>
        <w:t>绿色采购评审细则库</w:t>
      </w:r>
      <w:r>
        <w:rPr>
          <w:rFonts w:hint="eastAsia"/>
          <w:highlight w:val="none"/>
          <w:lang w:val="en-US" w:eastAsia="zh-CN"/>
        </w:rPr>
        <w:t>应</w:t>
      </w:r>
      <w:r>
        <w:rPr>
          <w:rFonts w:hint="default"/>
          <w:highlight w:val="none"/>
          <w:lang w:val="en-US" w:eastAsia="zh-CN"/>
        </w:rPr>
        <w:t>用于评估供应商和采购产品或服务在绿色环保方面的表现</w:t>
      </w:r>
      <w:r>
        <w:rPr>
          <w:rFonts w:hint="eastAsia"/>
          <w:highlight w:val="none"/>
          <w:lang w:val="en-US" w:eastAsia="zh-CN"/>
        </w:rPr>
        <w:t>，宜包含能源装备绿色属性指标评审细则、电网物资碳足迹及碳减排评审细则、能源装备生产企业碳减排评审细则、能源装备生产企业环境信息披露评审细则等。</w:t>
      </w:r>
    </w:p>
    <w:p w14:paraId="2DF7AB01">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5.3.4  绿色低碳标准服务</w:t>
      </w:r>
    </w:p>
    <w:p w14:paraId="4EC756F0">
      <w:pPr>
        <w:ind w:firstLine="420"/>
        <w:rPr>
          <w:rFonts w:hint="eastAsia"/>
          <w:highlight w:val="none"/>
          <w:lang w:val="en-US" w:eastAsia="zh-CN"/>
        </w:rPr>
      </w:pPr>
      <w:r>
        <w:rPr>
          <w:rFonts w:hint="eastAsia"/>
          <w:highlight w:val="none"/>
          <w:lang w:val="en-US" w:eastAsia="zh-CN"/>
        </w:rPr>
        <w:t>绿色低碳标准服务应包括能源装备绿色低碳标准管理、能源装备生产企业绿色低碳标准管理、知识库等服务，支撑标准中心实现全供应链绿色标准共享。</w:t>
      </w:r>
    </w:p>
    <w:p w14:paraId="065BF4A2">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5.3.5  绿色低碳运营管理服务</w:t>
      </w:r>
    </w:p>
    <w:p w14:paraId="68DF72DB">
      <w:pPr>
        <w:ind w:firstLine="420"/>
        <w:rPr>
          <w:rFonts w:hint="eastAsia"/>
          <w:highlight w:val="none"/>
          <w:lang w:val="en-US" w:eastAsia="zh-CN"/>
        </w:rPr>
      </w:pPr>
      <w:r>
        <w:rPr>
          <w:rFonts w:hint="eastAsia"/>
          <w:highlight w:val="none"/>
          <w:lang w:val="en-US" w:eastAsia="zh-CN"/>
        </w:rPr>
        <w:t>绿色低碳运营管理服务应包括能源装备低碳运营管理、能源装备生产企业低碳运营管理、绿色低碳监测分析报告、绿色低碳运营分析报告、绿色低碳指数等服务，支撑数智服务、计划服务、采购服务、物流服务、网上商城开展绿色应用。</w:t>
      </w:r>
    </w:p>
    <w:p w14:paraId="543076D9">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5.3.6  碳排放核算服务</w:t>
      </w:r>
    </w:p>
    <w:p w14:paraId="1B69F276">
      <w:pPr>
        <w:ind w:firstLine="420"/>
        <w:rPr>
          <w:rFonts w:hint="eastAsia"/>
          <w:highlight w:val="none"/>
          <w:lang w:val="en-US" w:eastAsia="zh-CN"/>
        </w:rPr>
      </w:pPr>
      <w:r>
        <w:rPr>
          <w:rFonts w:hint="eastAsia"/>
          <w:highlight w:val="none"/>
          <w:lang w:val="en-US" w:eastAsia="zh-CN"/>
        </w:rPr>
        <w:t>碳排放核算服务应包括能源装备碳足迹核算服务、能源装备生产企业碳排放核算服务以及运输碳排放核算等服务，支撑物流服务、采购服务、质控服务等开展绿色应用。</w:t>
      </w:r>
    </w:p>
    <w:p w14:paraId="61B6A0F1">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5.3.7  绿色采购评审细则服务</w:t>
      </w:r>
    </w:p>
    <w:p w14:paraId="502812E5">
      <w:pPr>
        <w:ind w:firstLine="420"/>
        <w:rPr>
          <w:rFonts w:hint="default"/>
          <w:highlight w:val="none"/>
          <w:lang w:val="en-US" w:eastAsia="zh-CN"/>
        </w:rPr>
      </w:pPr>
      <w:r>
        <w:rPr>
          <w:rFonts w:hint="eastAsia"/>
          <w:highlight w:val="none"/>
          <w:lang w:val="en-US" w:eastAsia="zh-CN"/>
        </w:rPr>
        <w:t>绿色采购评审细则服务应包括能源装备绿色采购评审细则服务、能源装备生产企业绿色采购评审细则服务、绿色采购评审辅助工具等，支撑采购服务、合规服务开展绿色采购策略制定、合规审核等绿色应用。</w:t>
      </w:r>
    </w:p>
    <w:p w14:paraId="099E31E9">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5.3.8  绿色低碳认证服务</w:t>
      </w:r>
    </w:p>
    <w:p w14:paraId="46B6826F">
      <w:pPr>
        <w:ind w:firstLine="420"/>
        <w:rPr>
          <w:rFonts w:hint="default"/>
          <w:highlight w:val="none"/>
          <w:lang w:val="en-US" w:eastAsia="zh-CN"/>
        </w:rPr>
      </w:pPr>
      <w:r>
        <w:rPr>
          <w:rFonts w:hint="eastAsia"/>
          <w:highlight w:val="none"/>
          <w:lang w:val="en-US" w:eastAsia="zh-CN"/>
        </w:rPr>
        <w:t>绿色低碳认证服务应包括绿色低碳认证管理、绿色低碳认证撮合服务、绿色低碳自主认证服务等，支撑数智服务、采购服务、物流服务等开展绿色应用。</w:t>
      </w:r>
    </w:p>
    <w:p w14:paraId="19587FFF">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5.3.9  绿色低碳评价服务</w:t>
      </w:r>
    </w:p>
    <w:p w14:paraId="052F66C6">
      <w:pPr>
        <w:ind w:firstLine="420"/>
        <w:rPr>
          <w:rFonts w:hint="eastAsia"/>
          <w:highlight w:val="none"/>
          <w:lang w:val="en-US" w:eastAsia="zh-CN"/>
        </w:rPr>
      </w:pPr>
      <w:r>
        <w:rPr>
          <w:rFonts w:hint="eastAsia"/>
          <w:highlight w:val="none"/>
          <w:lang w:val="en-US" w:eastAsia="zh-CN"/>
        </w:rPr>
        <w:t>绿色低碳评价服务应包括能源装备低碳评价服务、能源装备生产企业低碳评价服务。</w:t>
      </w:r>
    </w:p>
    <w:p w14:paraId="5C208C32">
      <w:pPr>
        <w:ind w:firstLine="420"/>
        <w:rPr>
          <w:rFonts w:hint="eastAsia"/>
          <w:highlight w:val="none"/>
          <w:lang w:val="en-US" w:eastAsia="zh-CN"/>
        </w:rPr>
      </w:pPr>
      <w:r>
        <w:rPr>
          <w:rFonts w:hint="eastAsia"/>
          <w:highlight w:val="none"/>
          <w:lang w:val="en-US" w:eastAsia="zh-CN"/>
        </w:rPr>
        <w:t>能源装备低碳评价服务宜包括能源装备绿色低碳评价模型配置、数据填报、在线评价、绿色低碳评价报告生成及共享等功能，支撑能源装备生产企业量化能源装备绿色低碳水平。</w:t>
      </w:r>
    </w:p>
    <w:p w14:paraId="1EE909DF">
      <w:pPr>
        <w:ind w:firstLine="420"/>
        <w:rPr>
          <w:rFonts w:hint="default"/>
          <w:highlight w:val="none"/>
          <w:lang w:val="en-US" w:eastAsia="zh-CN"/>
        </w:rPr>
      </w:pPr>
      <w:r>
        <w:rPr>
          <w:rFonts w:hint="eastAsia"/>
          <w:highlight w:val="none"/>
          <w:lang w:val="en-US" w:eastAsia="zh-CN"/>
        </w:rPr>
        <w:t>能源装备生产企业低碳评价服务应包括能源装备生产企业绿色低碳模型配置、数据填报、在线评价、绿色低碳报告生成及共享等功能，支撑能源装备生产企业量化自身绿色低碳水平，并可依托绿色采购评审细则库应用于绿色采购、供应商绩效评价等。</w:t>
      </w:r>
    </w:p>
    <w:p w14:paraId="15037E3E">
      <w:pPr>
        <w:widowControl/>
        <w:numPr>
          <w:ilvl w:val="2"/>
          <w:numId w:val="0"/>
        </w:numPr>
        <w:spacing w:before="156" w:beforeLines="50" w:after="156" w:afterLines="50"/>
        <w:ind w:left="-2" w:leftChars="-1" w:firstLine="420" w:firstLineChars="20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5.3.10  绿色低碳金融服务</w:t>
      </w:r>
    </w:p>
    <w:p w14:paraId="114C18E7">
      <w:pPr>
        <w:ind w:firstLine="420"/>
        <w:rPr>
          <w:rFonts w:hint="default"/>
          <w:highlight w:val="none"/>
          <w:lang w:val="en-US" w:eastAsia="zh-CN"/>
        </w:rPr>
      </w:pPr>
      <w:r>
        <w:rPr>
          <w:rFonts w:hint="eastAsia"/>
          <w:highlight w:val="none"/>
          <w:lang w:val="en-US" w:eastAsia="zh-CN"/>
        </w:rPr>
        <w:t>绿色低碳金融服务宜包括绿色低碳金融机构管理、绿色低碳金融撮合服务、绿色低碳金融服务需求管理、绿色低碳金融评价数据服务等功能。</w:t>
      </w:r>
    </w:p>
    <w:p w14:paraId="519954F7">
      <w:pPr>
        <w:widowControl/>
        <w:numPr>
          <w:ilvl w:val="1"/>
          <w:numId w:val="0"/>
        </w:numPr>
        <w:spacing w:before="156" w:beforeLines="50" w:after="156" w:afterLines="50"/>
        <w:jc w:val="left"/>
        <w:outlineLvl w:val="2"/>
        <w:rPr>
          <w:rFonts w:hint="default" w:ascii="黑体" w:hAnsi="Times New Roman" w:eastAsia="黑体" w:cs="Times New Roman"/>
          <w:kern w:val="0"/>
          <w:szCs w:val="21"/>
          <w:highlight w:val="none"/>
          <w:lang w:val="en-US" w:eastAsia="zh-CN"/>
        </w:rPr>
      </w:pPr>
      <w:bookmarkStart w:id="55" w:name="_Toc20822"/>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技术底座</w:t>
      </w:r>
      <w:bookmarkEnd w:id="55"/>
    </w:p>
    <w:p w14:paraId="5F7E42CD">
      <w:pPr>
        <w:widowControl/>
        <w:numPr>
          <w:ilvl w:val="2"/>
          <w:numId w:val="0"/>
        </w:numPr>
        <w:spacing w:before="156" w:beforeLines="50" w:after="156" w:afterLines="50"/>
        <w:ind w:left="-2" w:leftChars="-1" w:firstLine="420" w:firstLineChars="200"/>
        <w:jc w:val="left"/>
        <w:outlineLvl w:val="3"/>
        <w:rPr>
          <w:rFonts w:hint="eastAsia"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 xml:space="preserve">1  </w:t>
      </w:r>
      <w:r>
        <w:rPr>
          <w:rFonts w:hint="eastAsia" w:ascii="黑体" w:hAnsi="黑体" w:eastAsia="黑体" w:cs="Times New Roman"/>
          <w:kern w:val="0"/>
          <w:szCs w:val="21"/>
          <w:highlight w:val="none"/>
        </w:rPr>
        <w:t>人工智能</w:t>
      </w:r>
    </w:p>
    <w:p w14:paraId="137DE236">
      <w:pPr>
        <w:ind w:firstLine="420"/>
        <w:rPr>
          <w:highlight w:val="none"/>
        </w:rPr>
      </w:pPr>
      <w:r>
        <w:rPr>
          <w:rFonts w:hint="eastAsia"/>
          <w:highlight w:val="none"/>
          <w:lang w:val="en-US" w:eastAsia="zh-CN"/>
        </w:rPr>
        <w:t>能源企业绿色供应链数字化平台技术底座</w:t>
      </w:r>
      <w:r>
        <w:rPr>
          <w:highlight w:val="none"/>
        </w:rPr>
        <w:t>人工智能</w:t>
      </w:r>
      <w:r>
        <w:rPr>
          <w:rFonts w:hint="eastAsia"/>
          <w:highlight w:val="none"/>
          <w:lang w:val="en-US" w:eastAsia="zh-CN"/>
        </w:rPr>
        <w:t>模块</w:t>
      </w:r>
      <w:r>
        <w:rPr>
          <w:rFonts w:hint="eastAsia"/>
          <w:highlight w:val="none"/>
        </w:rPr>
        <w:t>应</w:t>
      </w:r>
      <w:r>
        <w:rPr>
          <w:highlight w:val="none"/>
        </w:rPr>
        <w:t>包括OCR、人脸识别、语音识别、</w:t>
      </w:r>
      <w:r>
        <w:rPr>
          <w:rFonts w:hint="eastAsia"/>
          <w:highlight w:val="none"/>
        </w:rPr>
        <w:t>R</w:t>
      </w:r>
      <w:r>
        <w:rPr>
          <w:highlight w:val="none"/>
        </w:rPr>
        <w:t>PA、</w:t>
      </w:r>
      <w:r>
        <w:rPr>
          <w:rFonts w:hint="eastAsia"/>
          <w:highlight w:val="none"/>
        </w:rPr>
        <w:t>N</w:t>
      </w:r>
      <w:r>
        <w:rPr>
          <w:highlight w:val="none"/>
        </w:rPr>
        <w:t>LP、知识图谱等通用组件；宜建立计算机视觉、自然语言处理、智能语音等通用算法；宜具备供应链管理的专用模型。</w:t>
      </w:r>
    </w:p>
    <w:p w14:paraId="207C5868">
      <w:pPr>
        <w:widowControl/>
        <w:numPr>
          <w:ilvl w:val="2"/>
          <w:numId w:val="0"/>
        </w:numPr>
        <w:spacing w:before="156" w:beforeLines="50" w:after="156" w:afterLines="50"/>
        <w:ind w:left="-2" w:leftChars="-1" w:firstLine="420" w:firstLineChars="200"/>
        <w:jc w:val="left"/>
        <w:outlineLvl w:val="3"/>
        <w:rPr>
          <w:rFonts w:hint="eastAsia"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2</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w:t>
      </w:r>
      <w:r>
        <w:rPr>
          <w:rFonts w:hint="eastAsia" w:ascii="黑体" w:hAnsi="黑体" w:eastAsia="黑体" w:cs="Times New Roman"/>
          <w:kern w:val="0"/>
          <w:szCs w:val="21"/>
          <w:highlight w:val="none"/>
        </w:rPr>
        <w:t>移动</w:t>
      </w:r>
      <w:r>
        <w:rPr>
          <w:rFonts w:hint="eastAsia" w:ascii="黑体" w:hAnsi="黑体" w:eastAsia="黑体" w:cs="Times New Roman"/>
          <w:kern w:val="0"/>
          <w:szCs w:val="21"/>
          <w:highlight w:val="none"/>
          <w:lang w:val="en-US" w:eastAsia="zh-CN"/>
        </w:rPr>
        <w:t>互联网</w:t>
      </w:r>
    </w:p>
    <w:p w14:paraId="546CB37C">
      <w:pPr>
        <w:ind w:firstLine="420"/>
        <w:rPr>
          <w:highlight w:val="none"/>
        </w:rPr>
      </w:pPr>
      <w:r>
        <w:rPr>
          <w:rFonts w:hint="eastAsia"/>
          <w:highlight w:val="none"/>
          <w:lang w:val="en-US" w:eastAsia="zh-CN"/>
        </w:rPr>
        <w:t>能源企业绿色供应链数字化平台技术底座应</w:t>
      </w:r>
      <w:r>
        <w:rPr>
          <w:rFonts w:hint="eastAsia"/>
          <w:highlight w:val="none"/>
        </w:rPr>
        <w:t>移动</w:t>
      </w:r>
      <w:r>
        <w:rPr>
          <w:rFonts w:hint="eastAsia"/>
          <w:highlight w:val="none"/>
          <w:lang w:val="en-US" w:eastAsia="zh-CN"/>
        </w:rPr>
        <w:t>互联网技术模块应</w:t>
      </w:r>
      <w:r>
        <w:rPr>
          <w:rFonts w:hint="eastAsia"/>
          <w:highlight w:val="none"/>
        </w:rPr>
        <w:t>包括认证中心、搜索中心、通讯中心、连接中心、安全中心和开发中心等功能服务。</w:t>
      </w:r>
    </w:p>
    <w:p w14:paraId="3B47DB8F">
      <w:pPr>
        <w:widowControl/>
        <w:numPr>
          <w:ilvl w:val="2"/>
          <w:numId w:val="0"/>
        </w:numPr>
        <w:spacing w:before="156" w:beforeLines="50" w:after="156" w:afterLines="50"/>
        <w:ind w:left="-2" w:leftChars="-1" w:firstLine="420" w:firstLineChars="200"/>
        <w:jc w:val="left"/>
        <w:outlineLvl w:val="3"/>
        <w:rPr>
          <w:rFonts w:ascii="黑体" w:hAnsi="黑体" w:eastAsia="黑体" w:cs="Times New Roman"/>
          <w:kern w:val="0"/>
          <w:szCs w:val="21"/>
          <w:highlight w:val="none"/>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3</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w:t>
      </w:r>
      <w:r>
        <w:rPr>
          <w:rFonts w:hint="eastAsia" w:ascii="黑体" w:hAnsi="黑体" w:eastAsia="黑体" w:cs="Times New Roman"/>
          <w:kern w:val="0"/>
          <w:szCs w:val="21"/>
          <w:highlight w:val="none"/>
        </w:rPr>
        <w:t>区块链</w:t>
      </w:r>
    </w:p>
    <w:p w14:paraId="51291995">
      <w:pPr>
        <w:ind w:firstLine="420"/>
        <w:rPr>
          <w:highlight w:val="none"/>
        </w:rPr>
      </w:pPr>
      <w:r>
        <w:rPr>
          <w:rFonts w:hint="eastAsia"/>
          <w:highlight w:val="none"/>
          <w:lang w:val="en-US" w:eastAsia="zh-CN"/>
        </w:rPr>
        <w:t>能源企业绿色供应链数字化平台技术底座</w:t>
      </w:r>
      <w:r>
        <w:rPr>
          <w:rFonts w:hint="eastAsia"/>
          <w:highlight w:val="none"/>
        </w:rPr>
        <w:t>区块链服务</w:t>
      </w:r>
      <w:r>
        <w:rPr>
          <w:rFonts w:hint="eastAsia"/>
          <w:highlight w:val="none"/>
          <w:lang w:val="en-US" w:eastAsia="zh-CN"/>
        </w:rPr>
        <w:t>模块应</w:t>
      </w:r>
      <w:r>
        <w:rPr>
          <w:rFonts w:hint="eastAsia"/>
          <w:highlight w:val="none"/>
        </w:rPr>
        <w:t>包括区块构建、区块同步、国密算法、一致性验证、可信验证、智能合约等基础功能及区块策略、跨链管理、监控管理等功能。</w:t>
      </w:r>
    </w:p>
    <w:p w14:paraId="025EC0C3">
      <w:pPr>
        <w:widowControl/>
        <w:numPr>
          <w:ilvl w:val="2"/>
          <w:numId w:val="0"/>
        </w:numPr>
        <w:spacing w:before="156" w:beforeLines="50" w:after="156" w:afterLines="50"/>
        <w:ind w:left="-2" w:leftChars="-1" w:firstLine="420" w:firstLineChars="200"/>
        <w:jc w:val="left"/>
        <w:outlineLvl w:val="3"/>
        <w:rPr>
          <w:rFonts w:hint="eastAsia"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w:t>
      </w:r>
      <w:r>
        <w:rPr>
          <w:rFonts w:hint="eastAsia" w:ascii="黑体" w:hAnsi="黑体" w:eastAsia="黑体" w:cs="Times New Roman"/>
          <w:kern w:val="0"/>
          <w:szCs w:val="21"/>
          <w:highlight w:val="none"/>
        </w:rPr>
        <w:t>物联</w:t>
      </w:r>
      <w:r>
        <w:rPr>
          <w:rFonts w:hint="eastAsia" w:ascii="黑体" w:hAnsi="黑体" w:eastAsia="黑体" w:cs="Times New Roman"/>
          <w:kern w:val="0"/>
          <w:szCs w:val="21"/>
          <w:highlight w:val="none"/>
          <w:lang w:val="en-US" w:eastAsia="zh-CN"/>
        </w:rPr>
        <w:t>技术</w:t>
      </w:r>
    </w:p>
    <w:p w14:paraId="755F1267">
      <w:pPr>
        <w:ind w:firstLine="420"/>
        <w:rPr>
          <w:rFonts w:hint="eastAsia"/>
          <w:highlight w:val="none"/>
        </w:rPr>
      </w:pPr>
      <w:r>
        <w:rPr>
          <w:rFonts w:hint="eastAsia"/>
          <w:highlight w:val="none"/>
          <w:lang w:val="en-US" w:eastAsia="zh-CN"/>
        </w:rPr>
        <w:t>能源企业绿色供应链数字化平台技术底座</w:t>
      </w:r>
      <w:r>
        <w:rPr>
          <w:rFonts w:hint="eastAsia"/>
          <w:highlight w:val="none"/>
        </w:rPr>
        <w:t>物联</w:t>
      </w:r>
      <w:r>
        <w:rPr>
          <w:rFonts w:hint="eastAsia"/>
          <w:highlight w:val="none"/>
          <w:lang w:val="en-US" w:eastAsia="zh-CN"/>
        </w:rPr>
        <w:t>技术模块应</w:t>
      </w:r>
      <w:r>
        <w:rPr>
          <w:rFonts w:hint="eastAsia"/>
          <w:highlight w:val="none"/>
        </w:rPr>
        <w:t>包括接入设备管理、连接管理、网络管理、数据解析、数据存储等功能服务。</w:t>
      </w:r>
    </w:p>
    <w:p w14:paraId="2BC4B5FD">
      <w:pPr>
        <w:widowControl/>
        <w:numPr>
          <w:ilvl w:val="2"/>
          <w:numId w:val="0"/>
        </w:numPr>
        <w:spacing w:before="156" w:beforeLines="50" w:after="156" w:afterLines="50"/>
        <w:ind w:left="-2" w:leftChars="-1" w:firstLine="420" w:firstLineChars="200"/>
        <w:jc w:val="left"/>
        <w:outlineLvl w:val="3"/>
        <w:rPr>
          <w:rFonts w:hint="eastAsia"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云计算</w:t>
      </w:r>
    </w:p>
    <w:p w14:paraId="433A6199">
      <w:pPr>
        <w:ind w:firstLine="420"/>
        <w:rPr>
          <w:rFonts w:hint="eastAsia"/>
          <w:highlight w:val="none"/>
        </w:rPr>
      </w:pPr>
      <w:r>
        <w:rPr>
          <w:rFonts w:hint="eastAsia"/>
          <w:highlight w:val="none"/>
          <w:lang w:val="en-US" w:eastAsia="zh-CN"/>
        </w:rPr>
        <w:t>能源企业绿色供应链数字化平台技术底座云计算技术模块应</w:t>
      </w:r>
      <w:r>
        <w:rPr>
          <w:rFonts w:hint="eastAsia"/>
          <w:highlight w:val="none"/>
        </w:rPr>
        <w:t>包括</w:t>
      </w:r>
      <w:r>
        <w:rPr>
          <w:rFonts w:hint="eastAsia"/>
          <w:highlight w:val="none"/>
          <w:lang w:val="en-US" w:eastAsia="zh-CN"/>
        </w:rPr>
        <w:t>数据存储与管理、数据分析与处理服务、SaaS服务、灾备与恢复服务</w:t>
      </w:r>
      <w:r>
        <w:rPr>
          <w:rFonts w:hint="eastAsia"/>
          <w:highlight w:val="none"/>
        </w:rPr>
        <w:t>等功能服务。</w:t>
      </w:r>
    </w:p>
    <w:p w14:paraId="029109DE">
      <w:pPr>
        <w:widowControl/>
        <w:numPr>
          <w:ilvl w:val="2"/>
          <w:numId w:val="0"/>
        </w:numPr>
        <w:spacing w:before="156" w:beforeLines="50" w:after="156" w:afterLines="50"/>
        <w:ind w:left="-2" w:leftChars="-1" w:firstLine="420" w:firstLineChars="200"/>
        <w:jc w:val="left"/>
        <w:outlineLvl w:val="3"/>
        <w:rPr>
          <w:rFonts w:hint="default" w:ascii="黑体" w:hAnsi="黑体"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4</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6</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数字孪生</w:t>
      </w:r>
    </w:p>
    <w:p w14:paraId="7F535987">
      <w:pPr>
        <w:ind w:firstLine="420"/>
        <w:rPr>
          <w:rFonts w:hint="default"/>
          <w:highlight w:val="none"/>
          <w:lang w:val="en-US" w:eastAsia="zh-CN"/>
        </w:rPr>
      </w:pPr>
      <w:r>
        <w:rPr>
          <w:rFonts w:hint="eastAsia"/>
          <w:highlight w:val="none"/>
          <w:lang w:val="en-US" w:eastAsia="zh-CN"/>
        </w:rPr>
        <w:t>能源企业绿色供应链数字化平台技术底座数字孪生模块应</w:t>
      </w:r>
      <w:r>
        <w:rPr>
          <w:rFonts w:hint="eastAsia"/>
          <w:highlight w:val="none"/>
        </w:rPr>
        <w:t>包括</w:t>
      </w:r>
      <w:r>
        <w:rPr>
          <w:rFonts w:hint="eastAsia"/>
          <w:highlight w:val="none"/>
          <w:lang w:val="en-US" w:eastAsia="zh-CN"/>
        </w:rPr>
        <w:t>供应链模型构建、数据监测与可视化、供应链模拟与预测、数据集成与同步等功能服务。</w:t>
      </w:r>
    </w:p>
    <w:p w14:paraId="6F1EBCAD">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56" w:name="_Toc25247"/>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 xml:space="preserve"> 数据底座</w:t>
      </w:r>
      <w:bookmarkEnd w:id="53"/>
      <w:bookmarkEnd w:id="56"/>
    </w:p>
    <w:p w14:paraId="4F73B876">
      <w:pPr>
        <w:widowControl/>
        <w:numPr>
          <w:ilvl w:val="2"/>
          <w:numId w:val="0"/>
        </w:numPr>
        <w:spacing w:before="156" w:beforeLines="50" w:after="156" w:afterLines="50"/>
        <w:ind w:left="-2" w:leftChars="-1" w:firstLine="420" w:firstLineChars="200"/>
        <w:jc w:val="left"/>
        <w:outlineLvl w:val="3"/>
        <w:rPr>
          <w:rFonts w:hint="eastAsia" w:ascii="黑体" w:hAnsi="黑体" w:eastAsia="黑体" w:cs="Times New Roman"/>
          <w:kern w:val="0"/>
          <w:szCs w:val="21"/>
          <w:highlight w:val="none"/>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 xml:space="preserve">.1 </w:t>
      </w:r>
      <w:r>
        <w:rPr>
          <w:rFonts w:hint="eastAsia" w:ascii="黑体" w:hAnsi="Times New Roman" w:eastAsia="黑体" w:cs="Times New Roman"/>
          <w:kern w:val="0"/>
          <w:szCs w:val="21"/>
          <w:highlight w:val="none"/>
          <w:lang w:val="en-US" w:eastAsia="zh-CN"/>
        </w:rPr>
        <w:t xml:space="preserve"> 内部数据</w:t>
      </w:r>
    </w:p>
    <w:p w14:paraId="5383236A">
      <w:pPr>
        <w:widowControl/>
        <w:numPr>
          <w:ilvl w:val="2"/>
          <w:numId w:val="0"/>
        </w:numPr>
        <w:spacing w:before="156" w:beforeLines="50" w:after="156" w:afterLines="50"/>
        <w:ind w:left="-2" w:leftChars="-1" w:firstLine="380" w:firstLineChars="200"/>
        <w:jc w:val="left"/>
        <w:outlineLvl w:val="9"/>
        <w:rPr>
          <w:rFonts w:hint="default" w:ascii="Segoe UI" w:hAnsi="Segoe UI" w:eastAsia="宋体" w:cs="Segoe UI"/>
          <w:i w:val="0"/>
          <w:iCs w:val="0"/>
          <w:caps w:val="0"/>
          <w:spacing w:val="0"/>
          <w:sz w:val="19"/>
          <w:szCs w:val="19"/>
          <w:highlight w:val="none"/>
          <w:shd w:val="clear" w:fill="FFFFFF"/>
          <w:lang w:val="en-US" w:eastAsia="zh-CN"/>
        </w:rPr>
      </w:pPr>
      <w:r>
        <w:rPr>
          <w:rFonts w:hint="eastAsia" w:ascii="Segoe UI" w:hAnsi="Segoe UI" w:eastAsia="宋体" w:cs="Segoe UI"/>
          <w:i w:val="0"/>
          <w:iCs w:val="0"/>
          <w:caps w:val="0"/>
          <w:spacing w:val="0"/>
          <w:sz w:val="19"/>
          <w:szCs w:val="19"/>
          <w:highlight w:val="none"/>
          <w:shd w:val="clear" w:fill="FFFFFF"/>
          <w:lang w:val="en-US" w:eastAsia="zh-CN"/>
        </w:rPr>
        <w:t>内部数据宜包括</w:t>
      </w:r>
      <w:r>
        <w:rPr>
          <w:rFonts w:ascii="Segoe UI" w:hAnsi="Segoe UI" w:eastAsia="Segoe UI" w:cs="Segoe UI"/>
          <w:i w:val="0"/>
          <w:iCs w:val="0"/>
          <w:caps w:val="0"/>
          <w:spacing w:val="0"/>
          <w:sz w:val="19"/>
          <w:szCs w:val="19"/>
          <w:highlight w:val="none"/>
          <w:shd w:val="clear" w:fill="FFFFFF"/>
        </w:rPr>
        <w:t>能源企业 ERP 系统</w:t>
      </w:r>
      <w:r>
        <w:rPr>
          <w:rFonts w:hint="eastAsia" w:ascii="Segoe UI" w:hAnsi="Segoe UI" w:eastAsia="宋体" w:cs="Segoe UI"/>
          <w:i w:val="0"/>
          <w:iCs w:val="0"/>
          <w:caps w:val="0"/>
          <w:spacing w:val="0"/>
          <w:sz w:val="19"/>
          <w:szCs w:val="19"/>
          <w:highlight w:val="none"/>
          <w:shd w:val="clear" w:fill="FFFFFF"/>
          <w:lang w:eastAsia="zh-CN"/>
        </w:rPr>
        <w:t>、</w:t>
      </w:r>
      <w:r>
        <w:rPr>
          <w:rFonts w:hint="eastAsia" w:ascii="Segoe UI" w:hAnsi="Segoe UI" w:eastAsia="宋体" w:cs="Segoe UI"/>
          <w:i w:val="0"/>
          <w:iCs w:val="0"/>
          <w:caps w:val="0"/>
          <w:spacing w:val="0"/>
          <w:sz w:val="19"/>
          <w:szCs w:val="19"/>
          <w:highlight w:val="none"/>
          <w:shd w:val="clear" w:fill="FFFFFF"/>
          <w:lang w:val="en-US" w:eastAsia="zh-CN"/>
        </w:rPr>
        <w:t>设备专业系统、能源大数据平台、绿链云网、数据中台等内部企业系统数据。</w:t>
      </w:r>
    </w:p>
    <w:p w14:paraId="78F1DEE6">
      <w:pPr>
        <w:widowControl/>
        <w:numPr>
          <w:ilvl w:val="2"/>
          <w:numId w:val="0"/>
        </w:numPr>
        <w:spacing w:before="156" w:beforeLines="50" w:after="156" w:afterLines="50"/>
        <w:ind w:left="-2" w:leftChars="-1" w:firstLine="420" w:firstLineChars="200"/>
        <w:jc w:val="left"/>
        <w:outlineLvl w:val="3"/>
        <w:rPr>
          <w:rFonts w:hint="eastAsia" w:ascii="黑体" w:hAnsi="Times New Roman" w:eastAsia="黑体" w:cs="Times New Roman"/>
          <w:kern w:val="0"/>
          <w:szCs w:val="21"/>
          <w:highlight w:val="none"/>
        </w:rPr>
      </w:pP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w:t>
      </w:r>
      <w:r>
        <w:rPr>
          <w:rFonts w:hint="eastAsia" w:ascii="黑体" w:hAnsi="Times New Roman" w:eastAsia="黑体" w:cs="Times New Roman"/>
          <w:kern w:val="0"/>
          <w:szCs w:val="21"/>
          <w:highlight w:val="none"/>
          <w:lang w:val="en-US" w:eastAsia="zh-CN"/>
        </w:rPr>
        <w:t>5</w:t>
      </w:r>
      <w:r>
        <w:rPr>
          <w:rFonts w:hint="eastAsia" w:ascii="黑体" w:hAnsi="Times New Roman" w:eastAsia="黑体" w:cs="Times New Roman"/>
          <w:kern w:val="0"/>
          <w:szCs w:val="21"/>
          <w:highlight w:val="none"/>
        </w:rPr>
        <w:t xml:space="preserve">.2 </w:t>
      </w:r>
      <w:r>
        <w:rPr>
          <w:rFonts w:hint="eastAsia" w:ascii="黑体" w:hAnsi="Times New Roman" w:eastAsia="黑体" w:cs="Times New Roman"/>
          <w:kern w:val="0"/>
          <w:szCs w:val="21"/>
          <w:highlight w:val="none"/>
          <w:lang w:val="en-US" w:eastAsia="zh-CN"/>
        </w:rPr>
        <w:t xml:space="preserve"> 外部数据</w:t>
      </w:r>
    </w:p>
    <w:p w14:paraId="2EB2ED20">
      <w:pPr>
        <w:widowControl/>
        <w:numPr>
          <w:ilvl w:val="2"/>
          <w:numId w:val="0"/>
        </w:numPr>
        <w:spacing w:before="156" w:beforeLines="50" w:after="156" w:afterLines="50"/>
        <w:ind w:left="-2" w:leftChars="-1" w:firstLine="380" w:firstLineChars="200"/>
        <w:jc w:val="left"/>
        <w:outlineLvl w:val="9"/>
        <w:rPr>
          <w:rFonts w:hint="default" w:ascii="Segoe UI" w:hAnsi="Segoe UI" w:eastAsia="宋体" w:cs="Segoe UI"/>
          <w:i w:val="0"/>
          <w:iCs w:val="0"/>
          <w:caps w:val="0"/>
          <w:spacing w:val="0"/>
          <w:sz w:val="19"/>
          <w:szCs w:val="19"/>
          <w:highlight w:val="none"/>
          <w:shd w:val="clear" w:fill="FFFFFF"/>
          <w:lang w:val="en-US" w:eastAsia="zh-CN"/>
        </w:rPr>
      </w:pPr>
      <w:r>
        <w:rPr>
          <w:rFonts w:hint="eastAsia" w:ascii="Segoe UI" w:hAnsi="Segoe UI" w:eastAsia="宋体" w:cs="Segoe UI"/>
          <w:i w:val="0"/>
          <w:iCs w:val="0"/>
          <w:caps w:val="0"/>
          <w:spacing w:val="0"/>
          <w:sz w:val="19"/>
          <w:szCs w:val="19"/>
          <w:highlight w:val="none"/>
          <w:shd w:val="clear" w:fill="FFFFFF"/>
          <w:lang w:val="en-US" w:eastAsia="zh-CN"/>
        </w:rPr>
        <w:t>内部数据宜包括政府平台、行业平台、能源企业供应商生产制造作业系统等数据。</w:t>
      </w:r>
    </w:p>
    <w:p w14:paraId="6EF3EBD2">
      <w:pPr>
        <w:widowControl/>
        <w:spacing w:before="312" w:beforeLines="100" w:after="312" w:afterLines="100"/>
        <w:ind w:firstLine="0" w:firstLineChars="0"/>
        <w:outlineLvl w:val="2"/>
        <w:rPr>
          <w:rFonts w:hint="eastAsia" w:ascii="黑体" w:hAnsi="Times New Roman" w:eastAsia="黑体" w:cs="Times New Roman"/>
          <w:kern w:val="0"/>
          <w:szCs w:val="20"/>
          <w:highlight w:val="none"/>
        </w:rPr>
      </w:pPr>
      <w:bookmarkStart w:id="57" w:name="_Toc9396"/>
      <w:bookmarkStart w:id="58" w:name="_Toc134797706"/>
      <w:r>
        <w:rPr>
          <w:rFonts w:hint="eastAsia" w:ascii="黑体" w:hAnsi="Times New Roman" w:eastAsia="黑体" w:cs="Times New Roman"/>
          <w:kern w:val="0"/>
          <w:szCs w:val="20"/>
          <w:highlight w:val="none"/>
          <w:lang w:val="en-US" w:eastAsia="zh-CN"/>
        </w:rPr>
        <w:t xml:space="preserve">5.6  </w:t>
      </w:r>
      <w:r>
        <w:rPr>
          <w:rFonts w:hint="eastAsia" w:ascii="黑体" w:hAnsi="Times New Roman" w:eastAsia="黑体" w:cs="Times New Roman"/>
          <w:kern w:val="0"/>
          <w:szCs w:val="20"/>
          <w:highlight w:val="none"/>
        </w:rPr>
        <w:t>平台保障</w:t>
      </w:r>
      <w:bookmarkEnd w:id="57"/>
      <w:bookmarkEnd w:id="58"/>
    </w:p>
    <w:p w14:paraId="0CA62977">
      <w:pPr>
        <w:widowControl/>
        <w:numPr>
          <w:ilvl w:val="1"/>
          <w:numId w:val="0"/>
        </w:numPr>
        <w:spacing w:before="156" w:beforeLines="50" w:after="156" w:afterLines="50"/>
        <w:jc w:val="left"/>
        <w:outlineLvl w:val="3"/>
        <w:rPr>
          <w:rFonts w:hint="default" w:ascii="黑体" w:hAnsi="Times New Roman" w:eastAsia="黑体" w:cs="Times New Roman"/>
          <w:kern w:val="0"/>
          <w:szCs w:val="21"/>
          <w:highlight w:val="none"/>
          <w:lang w:val="en-US" w:eastAsia="zh-CN"/>
        </w:rPr>
      </w:pPr>
      <w:bookmarkStart w:id="59" w:name="_Toc134797707"/>
      <w:r>
        <w:rPr>
          <w:rFonts w:hint="eastAsia" w:ascii="黑体" w:hAnsi="Times New Roman" w:eastAsia="黑体" w:cs="Times New Roman"/>
          <w:kern w:val="0"/>
          <w:szCs w:val="21"/>
          <w:highlight w:val="none"/>
          <w:lang w:val="en-US" w:eastAsia="zh-CN"/>
        </w:rPr>
        <w:t>5.6</w:t>
      </w:r>
      <w:r>
        <w:rPr>
          <w:rFonts w:hint="eastAsia" w:ascii="黑体" w:hAnsi="Times New Roman" w:eastAsia="黑体" w:cs="Times New Roman"/>
          <w:kern w:val="0"/>
          <w:szCs w:val="21"/>
          <w:highlight w:val="none"/>
        </w:rPr>
        <w:t xml:space="preserve">.1 </w:t>
      </w:r>
      <w:bookmarkEnd w:id="59"/>
      <w:r>
        <w:rPr>
          <w:rFonts w:hint="eastAsia" w:ascii="黑体" w:hAnsi="Times New Roman" w:eastAsia="黑体" w:cs="Times New Roman"/>
          <w:kern w:val="0"/>
          <w:szCs w:val="21"/>
          <w:highlight w:val="none"/>
          <w:lang w:val="en-US" w:eastAsia="zh-CN"/>
        </w:rPr>
        <w:t xml:space="preserve"> 运维管理</w:t>
      </w:r>
    </w:p>
    <w:p w14:paraId="1C3EAEF6">
      <w:pPr>
        <w:widowControl/>
        <w:numPr>
          <w:ilvl w:val="0"/>
          <w:numId w:val="0"/>
        </w:numPr>
        <w:ind w:firstLine="420" w:firstLineChars="0"/>
        <w:jc w:val="left"/>
        <w:rPr>
          <w:rFonts w:hint="eastAsia"/>
          <w:highlight w:val="none"/>
        </w:rPr>
      </w:pPr>
      <w:r>
        <w:rPr>
          <w:rFonts w:hint="eastAsia"/>
          <w:highlight w:val="none"/>
          <w:lang w:val="en-US" w:eastAsia="zh-CN"/>
        </w:rPr>
        <w:t>运维管理应包括</w:t>
      </w:r>
      <w:r>
        <w:rPr>
          <w:rFonts w:hint="eastAsia" w:asciiTheme="minorHAnsi" w:hAnsiTheme="minorHAnsi" w:eastAsiaTheme="minorEastAsia" w:cstheme="minorBidi"/>
          <w:kern w:val="2"/>
          <w:szCs w:val="22"/>
          <w:highlight w:val="none"/>
        </w:rPr>
        <w:t>开发运行</w:t>
      </w:r>
      <w:r>
        <w:rPr>
          <w:rFonts w:hint="eastAsia" w:cstheme="minorBidi"/>
          <w:kern w:val="2"/>
          <w:szCs w:val="22"/>
          <w:highlight w:val="none"/>
          <w:lang w:val="en-US" w:eastAsia="zh-CN"/>
        </w:rPr>
        <w:t>管理、</w:t>
      </w:r>
      <w:r>
        <w:rPr>
          <w:rFonts w:hint="eastAsia" w:asciiTheme="minorHAnsi" w:hAnsiTheme="minorHAnsi" w:eastAsiaTheme="minorEastAsia" w:cstheme="minorBidi"/>
          <w:kern w:val="2"/>
          <w:szCs w:val="22"/>
          <w:highlight w:val="none"/>
        </w:rPr>
        <w:t>数据服务</w:t>
      </w:r>
      <w:r>
        <w:rPr>
          <w:rFonts w:hint="eastAsia" w:cstheme="minorBidi"/>
          <w:kern w:val="2"/>
          <w:szCs w:val="22"/>
          <w:highlight w:val="none"/>
          <w:lang w:eastAsia="zh-CN"/>
        </w:rPr>
        <w:t>、</w:t>
      </w:r>
      <w:r>
        <w:rPr>
          <w:rFonts w:hint="eastAsia" w:cstheme="minorBidi"/>
          <w:kern w:val="2"/>
          <w:szCs w:val="22"/>
          <w:highlight w:val="none"/>
          <w:lang w:val="en-US" w:eastAsia="zh-CN"/>
        </w:rPr>
        <w:t>集成服务、账号权限服务、运维管理服务等功能。</w:t>
      </w:r>
    </w:p>
    <w:p w14:paraId="5AC36DCD">
      <w:pPr>
        <w:widowControl/>
        <w:numPr>
          <w:ilvl w:val="1"/>
          <w:numId w:val="0"/>
        </w:numPr>
        <w:spacing w:before="156" w:beforeLines="50" w:after="156" w:afterLines="50"/>
        <w:jc w:val="left"/>
        <w:outlineLvl w:val="3"/>
        <w:rPr>
          <w:rFonts w:hint="eastAsia" w:ascii="黑体" w:hAnsi="Times New Roman" w:eastAsia="黑体" w:cs="Times New Roman"/>
          <w:kern w:val="0"/>
          <w:szCs w:val="21"/>
          <w:highlight w:val="none"/>
          <w:lang w:val="en-US" w:eastAsia="zh-CN"/>
        </w:rPr>
      </w:pPr>
      <w:bookmarkStart w:id="60" w:name="_Toc134797708"/>
      <w:r>
        <w:rPr>
          <w:rFonts w:hint="eastAsia" w:ascii="黑体" w:hAnsi="Times New Roman" w:eastAsia="黑体" w:cs="Times New Roman"/>
          <w:kern w:val="0"/>
          <w:szCs w:val="21"/>
          <w:highlight w:val="none"/>
          <w:lang w:val="en-US" w:eastAsia="zh-CN"/>
        </w:rPr>
        <w:t>5.6</w:t>
      </w:r>
      <w:r>
        <w:rPr>
          <w:rFonts w:hint="eastAsia" w:ascii="黑体" w:hAnsi="Times New Roman" w:eastAsia="黑体" w:cs="Times New Roman"/>
          <w:kern w:val="0"/>
          <w:szCs w:val="21"/>
          <w:highlight w:val="none"/>
        </w:rPr>
        <w:t xml:space="preserve">.2 </w:t>
      </w:r>
      <w:bookmarkEnd w:id="60"/>
      <w:r>
        <w:rPr>
          <w:rFonts w:hint="eastAsia" w:ascii="黑体" w:hAnsi="Times New Roman" w:eastAsia="黑体" w:cs="Times New Roman"/>
          <w:kern w:val="0"/>
          <w:szCs w:val="21"/>
          <w:highlight w:val="none"/>
          <w:lang w:val="en-US" w:eastAsia="zh-CN"/>
        </w:rPr>
        <w:t xml:space="preserve"> 安全管理</w:t>
      </w:r>
    </w:p>
    <w:p w14:paraId="5966DAE3">
      <w:pPr>
        <w:ind w:firstLine="420"/>
        <w:rPr>
          <w:rFonts w:hint="default"/>
          <w:highlight w:val="none"/>
          <w:lang w:val="en-US" w:eastAsia="zh-CN"/>
        </w:rPr>
      </w:pPr>
      <w:r>
        <w:rPr>
          <w:rFonts w:hint="eastAsia"/>
          <w:highlight w:val="none"/>
          <w:lang w:val="en-US" w:eastAsia="zh-CN"/>
        </w:rPr>
        <w:t>安全管理应包括数据备份与恢复、网络安全防护、访问控制与身份认证、数据加密等功能。</w:t>
      </w:r>
    </w:p>
    <w:p w14:paraId="6332CBE9">
      <w:pPr>
        <w:widowControl/>
        <w:numPr>
          <w:ilvl w:val="1"/>
          <w:numId w:val="0"/>
        </w:numPr>
        <w:spacing w:before="156" w:beforeLines="50" w:after="156" w:afterLines="50"/>
        <w:jc w:val="left"/>
        <w:outlineLvl w:val="3"/>
        <w:rPr>
          <w:rFonts w:hint="default" w:ascii="黑体" w:hAnsi="Times New Roman" w:eastAsia="黑体" w:cs="Times New Roman"/>
          <w:kern w:val="0"/>
          <w:szCs w:val="21"/>
          <w:highlight w:val="none"/>
          <w:lang w:val="en-US" w:eastAsia="zh-CN"/>
        </w:rPr>
      </w:pPr>
      <w:r>
        <w:rPr>
          <w:rFonts w:hint="eastAsia" w:ascii="黑体" w:hAnsi="Times New Roman" w:eastAsia="黑体" w:cs="Times New Roman"/>
          <w:kern w:val="0"/>
          <w:szCs w:val="21"/>
          <w:highlight w:val="none"/>
          <w:lang w:val="en-US" w:eastAsia="zh-CN"/>
        </w:rPr>
        <w:t>5.6.3</w:t>
      </w:r>
      <w:r>
        <w:rPr>
          <w:rFonts w:hint="eastAsia" w:ascii="黑体" w:hAnsi="Times New Roman" w:eastAsia="黑体" w:cs="Times New Roman"/>
          <w:kern w:val="0"/>
          <w:szCs w:val="21"/>
          <w:highlight w:val="none"/>
        </w:rPr>
        <w:t xml:space="preserve"> </w:t>
      </w:r>
      <w:r>
        <w:rPr>
          <w:rFonts w:hint="eastAsia" w:ascii="黑体" w:hAnsi="Times New Roman" w:eastAsia="黑体" w:cs="Times New Roman"/>
          <w:kern w:val="0"/>
          <w:szCs w:val="21"/>
          <w:highlight w:val="none"/>
          <w:lang w:val="en-US" w:eastAsia="zh-CN"/>
        </w:rPr>
        <w:t>运营管理</w:t>
      </w:r>
    </w:p>
    <w:p w14:paraId="63D378EF">
      <w:pPr>
        <w:ind w:firstLine="420"/>
        <w:rPr>
          <w:rFonts w:hint="eastAsia" w:ascii="黑体" w:hAnsi="Times New Roman" w:eastAsia="黑体" w:cs="Times New Roman"/>
          <w:kern w:val="0"/>
          <w:szCs w:val="21"/>
          <w:highlight w:val="none"/>
        </w:rPr>
      </w:pPr>
      <w:r>
        <w:rPr>
          <w:highlight w:val="none"/>
        </w:rPr>
        <w:t>运营</w:t>
      </w:r>
      <w:r>
        <w:rPr>
          <w:rFonts w:hint="eastAsia"/>
          <w:highlight w:val="none"/>
          <w:lang w:val="en-US" w:eastAsia="zh-CN"/>
        </w:rPr>
        <w:t>管理</w:t>
      </w:r>
      <w:r>
        <w:rPr>
          <w:highlight w:val="none"/>
        </w:rPr>
        <w:t>宜包括平台租户管理、产品管理、技术支持</w:t>
      </w:r>
      <w:r>
        <w:rPr>
          <w:rFonts w:hint="eastAsia"/>
          <w:highlight w:val="none"/>
          <w:lang w:val="en-US" w:eastAsia="zh-CN"/>
        </w:rPr>
        <w:t>等功能</w:t>
      </w:r>
      <w:r>
        <w:rPr>
          <w:highlight w:val="none"/>
        </w:rPr>
        <w:t>，用以实现平台产品的发布、销售、维护及用户费用管理。</w:t>
      </w:r>
    </w:p>
    <w:p w14:paraId="3CB4F538">
      <w:pPr>
        <w:ind w:firstLine="420"/>
        <w:rPr>
          <w:highlight w:val="none"/>
        </w:rPr>
      </w:pPr>
      <w:bookmarkStart w:id="61" w:name="_Toc525119173"/>
      <w:bookmarkEnd w:id="61"/>
      <w:bookmarkStart w:id="62" w:name="_Toc525303006"/>
      <w:bookmarkEnd w:id="62"/>
      <w:r>
        <w:rPr>
          <w:highlight w:val="none"/>
        </w:rPr>
        <w:br w:type="page"/>
      </w:r>
    </w:p>
    <w:p w14:paraId="62AF2EF6">
      <w:pPr>
        <w:keepNext/>
        <w:widowControl/>
        <w:shd w:val="clear" w:color="FFFFFF" w:fill="FFFFFF"/>
        <w:tabs>
          <w:tab w:val="left" w:pos="360"/>
          <w:tab w:val="left" w:pos="6405"/>
        </w:tabs>
        <w:spacing w:before="640" w:after="360" w:line="360" w:lineRule="exact"/>
        <w:ind w:firstLine="420"/>
        <w:jc w:val="center"/>
        <w:outlineLvl w:val="0"/>
        <w:rPr>
          <w:rFonts w:hint="eastAsia" w:ascii="黑体" w:hAnsi="Times New Roman" w:eastAsia="黑体" w:cs="Times New Roman"/>
          <w:kern w:val="0"/>
          <w:szCs w:val="20"/>
          <w:highlight w:val="none"/>
          <w:lang w:eastAsia="zh-CN"/>
        </w:rPr>
      </w:pPr>
      <w:bookmarkStart w:id="63" w:name="_Toc24859"/>
      <w:bookmarkStart w:id="64" w:name="_Toc134797710"/>
      <w:r>
        <w:rPr>
          <w:rFonts w:hint="eastAsia" w:ascii="黑体" w:hAnsi="Times New Roman" w:eastAsia="黑体" w:cs="Times New Roman"/>
          <w:kern w:val="0"/>
          <w:szCs w:val="20"/>
          <w:highlight w:val="none"/>
        </w:rPr>
        <w:t>附录A</w:t>
      </w:r>
      <w:bookmarkEnd w:id="63"/>
      <w:bookmarkStart w:id="65" w:name="_Toc525119175"/>
      <w:bookmarkStart w:id="66" w:name="_Toc524441558"/>
    </w:p>
    <w:bookmarkEnd w:id="64"/>
    <w:p w14:paraId="4B92C14D">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67" w:name="_Toc134797711"/>
      <w:bookmarkStart w:id="68" w:name="_Toc13991"/>
      <w:r>
        <w:rPr>
          <w:rFonts w:hint="eastAsia" w:ascii="黑体" w:hAnsi="Times New Roman" w:eastAsia="黑体" w:cs="Times New Roman"/>
          <w:kern w:val="0"/>
          <w:szCs w:val="21"/>
          <w:highlight w:val="none"/>
        </w:rPr>
        <w:t>A.1能源企业绿色供应链平台应用模式</w:t>
      </w:r>
      <w:bookmarkEnd w:id="67"/>
      <w:bookmarkEnd w:id="68"/>
    </w:p>
    <w:p w14:paraId="0F587BA3">
      <w:pPr>
        <w:ind w:firstLine="420"/>
        <w:rPr>
          <w:highlight w:val="none"/>
        </w:rPr>
      </w:pPr>
      <w:r>
        <w:rPr>
          <w:highlight w:val="none"/>
        </w:rPr>
        <w:t>基于</w:t>
      </w:r>
      <w:r>
        <w:rPr>
          <w:rFonts w:hint="eastAsia"/>
          <w:highlight w:val="none"/>
        </w:rPr>
        <w:t>SaaS的全程供应链管理服务平台有三种应用模式，分别是公共平台模式、政府主导模式和链主式模式[4]。能源企业作为</w:t>
      </w:r>
      <w:r>
        <w:rPr>
          <w:rFonts w:hint="eastAsia"/>
          <w:highlight w:val="none"/>
          <w:lang w:val="en-US" w:eastAsia="zh-CN"/>
        </w:rPr>
        <w:t>能源绿色</w:t>
      </w:r>
      <w:r>
        <w:rPr>
          <w:rFonts w:hint="eastAsia"/>
          <w:highlight w:val="none"/>
        </w:rPr>
        <w:t>供应链的链主，是供应链平台主要建设单位；此外，随着供应链平台发展成熟以及生态圈的构建，供应链平台可以往公共平台模式转变，因此本规范给出链主式模式、公共平台模式两种方式的模型。</w:t>
      </w:r>
    </w:p>
    <w:p w14:paraId="15619F99">
      <w:pPr>
        <w:widowControl/>
        <w:numPr>
          <w:ilvl w:val="1"/>
          <w:numId w:val="0"/>
        </w:numPr>
        <w:spacing w:before="156" w:beforeLines="50" w:after="156" w:afterLines="50"/>
        <w:jc w:val="left"/>
        <w:outlineLvl w:val="2"/>
        <w:rPr>
          <w:rFonts w:ascii="黑体" w:hAnsi="Times New Roman" w:eastAsia="黑体" w:cs="Times New Roman"/>
          <w:kern w:val="0"/>
          <w:szCs w:val="21"/>
          <w:highlight w:val="none"/>
        </w:rPr>
      </w:pPr>
      <w:bookmarkStart w:id="69" w:name="_Toc134797712"/>
      <w:bookmarkStart w:id="70" w:name="_Toc7598"/>
      <w:r>
        <w:rPr>
          <w:rFonts w:hint="eastAsia" w:ascii="黑体" w:hAnsi="Times New Roman" w:eastAsia="黑体" w:cs="Times New Roman"/>
          <w:kern w:val="0"/>
          <w:szCs w:val="21"/>
          <w:highlight w:val="none"/>
        </w:rPr>
        <w:t>A.2链主式模式</w:t>
      </w:r>
      <w:bookmarkEnd w:id="69"/>
      <w:bookmarkEnd w:id="70"/>
    </w:p>
    <w:bookmarkEnd w:id="65"/>
    <w:bookmarkEnd w:id="66"/>
    <w:p w14:paraId="532CB7B2">
      <w:pPr>
        <w:ind w:firstLine="420"/>
        <w:rPr>
          <w:highlight w:val="none"/>
        </w:rPr>
      </w:pPr>
      <w:bookmarkStart w:id="71" w:name="_Toc525119176"/>
      <w:bookmarkEnd w:id="71"/>
      <w:bookmarkStart w:id="72" w:name="_Toc525303009"/>
      <w:bookmarkEnd w:id="72"/>
      <w:r>
        <w:rPr>
          <w:highlight w:val="none"/>
        </w:rPr>
        <w:t>链主式模式由在物资供应链中具有掌控力的能源企业建立并运营，面向供应链参与的企业实体主要包括供应商、第三方服务提供商、企业内部单位等提供服务的平台。该模式主要实现以能源企业供应链管控为主要目的。</w:t>
      </w:r>
    </w:p>
    <w:p w14:paraId="1458DC0B">
      <w:pPr>
        <w:ind w:firstLine="0" w:firstLineChars="0"/>
        <w:rPr>
          <w:highlight w:val="none"/>
        </w:rPr>
      </w:pPr>
      <w:bookmarkStart w:id="73" w:name="_Toc525119177"/>
      <w:bookmarkEnd w:id="73"/>
      <w:bookmarkStart w:id="74" w:name="_Toc525303010"/>
      <w:bookmarkEnd w:id="74"/>
    </w:p>
    <w:p w14:paraId="75A2FB4B">
      <w:pPr>
        <w:keepNext/>
        <w:pageBreakBefore/>
        <w:widowControl/>
        <w:shd w:val="clear" w:color="FFFFFF" w:fill="FFFFFF"/>
        <w:spacing w:before="480" w:after="360"/>
        <w:ind w:firstLine="420"/>
        <w:jc w:val="center"/>
        <w:outlineLvl w:val="0"/>
        <w:rPr>
          <w:rFonts w:ascii="黑体" w:hAnsi="Times New Roman" w:eastAsia="黑体" w:cs="Times New Roman"/>
          <w:kern w:val="0"/>
          <w:szCs w:val="20"/>
          <w:highlight w:val="none"/>
        </w:rPr>
      </w:pPr>
      <w:bookmarkStart w:id="75" w:name="_Toc487617287"/>
      <w:bookmarkStart w:id="76" w:name="_Toc487617340"/>
      <w:bookmarkStart w:id="77" w:name="_Toc487623143"/>
      <w:bookmarkStart w:id="78" w:name="_Toc487618067"/>
      <w:bookmarkStart w:id="79" w:name="_Toc487717845"/>
      <w:bookmarkStart w:id="80" w:name="_Toc511402820"/>
      <w:bookmarkStart w:id="81" w:name="_Toc491068660"/>
      <w:bookmarkStart w:id="82" w:name="_Toc489876625"/>
      <w:bookmarkStart w:id="83" w:name="BKCKWX"/>
      <w:bookmarkStart w:id="84" w:name="_Toc490728721"/>
      <w:bookmarkStart w:id="85" w:name="_Toc22981"/>
      <w:bookmarkStart w:id="86" w:name="_Toc490146667"/>
      <w:bookmarkStart w:id="87" w:name="_Toc487613142"/>
      <w:bookmarkStart w:id="88" w:name="_Toc134797714"/>
      <w:bookmarkStart w:id="89" w:name="_Toc496167067"/>
      <w:bookmarkStart w:id="90" w:name="_Toc490062911"/>
      <w:bookmarkStart w:id="91" w:name="_Toc493057099"/>
      <w:bookmarkStart w:id="92" w:name="_Toc525119179"/>
      <w:bookmarkStart w:id="93" w:name="_Toc490666592"/>
      <w:bookmarkStart w:id="94" w:name="_Toc492301520"/>
      <w:bookmarkStart w:id="95" w:name="_Toc514507154"/>
      <w:bookmarkStart w:id="96" w:name="_Toc487726442"/>
      <w:bookmarkStart w:id="97" w:name="_Toc496166853"/>
      <w:bookmarkStart w:id="98" w:name="_Toc490729123"/>
      <w:r>
        <w:rPr>
          <w:rFonts w:hint="eastAsia" w:ascii="黑体" w:hAnsi="Times New Roman" w:eastAsia="黑体" w:cs="Times New Roman"/>
          <w:kern w:val="0"/>
          <w:szCs w:val="20"/>
          <w:highlight w:val="none"/>
        </w:rPr>
        <w:t>参</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考</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文</w:t>
      </w:r>
      <w:r>
        <w:rPr>
          <w:rFonts w:ascii="黑体" w:hAnsi="黑体" w:eastAsia="黑体" w:cs="Times New Roman"/>
          <w:kern w:val="0"/>
          <w:szCs w:val="20"/>
          <w:highlight w:val="none"/>
        </w:rPr>
        <w:t> </w:t>
      </w:r>
      <w:r>
        <w:rPr>
          <w:rFonts w:hint="eastAsia" w:ascii="黑体" w:hAnsi="Times New Roman" w:eastAsia="黑体" w:cs="Times New Roman"/>
          <w:kern w:val="0"/>
          <w:szCs w:val="20"/>
          <w:highlight w:val="none"/>
        </w:rPr>
        <w:t>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0503AAC">
      <w:pPr>
        <w:widowControl/>
        <w:tabs>
          <w:tab w:val="center" w:pos="4201"/>
          <w:tab w:val="right" w:leader="dot" w:pos="9298"/>
        </w:tabs>
        <w:autoSpaceDE w:val="0"/>
        <w:autoSpaceDN w:val="0"/>
        <w:ind w:firstLine="420"/>
        <w:rPr>
          <w:rFonts w:ascii="宋体" w:hAnsi="宋体" w:eastAsia="宋体" w:cs="宋体"/>
          <w:kern w:val="0"/>
          <w:szCs w:val="21"/>
          <w:highlight w:val="none"/>
        </w:rPr>
      </w:pPr>
      <w:r>
        <w:rPr>
          <w:rFonts w:hint="eastAsia" w:ascii="宋体" w:hAnsi="Times New Roman" w:eastAsia="宋体" w:cs="Times New Roman"/>
          <w:kern w:val="0"/>
          <w:szCs w:val="20"/>
          <w:highlight w:val="none"/>
        </w:rPr>
        <w:t>[1]</w:t>
      </w:r>
      <w:r>
        <w:rPr>
          <w:rFonts w:ascii="宋体" w:hAnsi="Times New Roman" w:eastAsia="宋体" w:cs="Times New Roman"/>
          <w:kern w:val="0"/>
          <w:szCs w:val="20"/>
          <w:highlight w:val="none"/>
        </w:rPr>
        <w:t xml:space="preserve"> </w:t>
      </w:r>
      <w:r>
        <w:rPr>
          <w:rFonts w:hint="eastAsia" w:ascii="宋体" w:hAnsi="Times New Roman" w:eastAsia="宋体" w:cs="Times New Roman"/>
          <w:kern w:val="0"/>
          <w:szCs w:val="20"/>
          <w:highlight w:val="none"/>
        </w:rPr>
        <w:t xml:space="preserve"> </w:t>
      </w:r>
      <w:r>
        <w:rPr>
          <w:rFonts w:hint="eastAsia" w:ascii="宋体" w:hAnsi="宋体" w:eastAsia="宋体" w:cs="宋体"/>
          <w:kern w:val="0"/>
          <w:szCs w:val="21"/>
          <w:highlight w:val="none"/>
        </w:rPr>
        <w:t>GB</w:t>
      </w:r>
      <w:r>
        <w:rPr>
          <w:rFonts w:ascii="宋体" w:hAnsi="宋体" w:eastAsia="宋体" w:cs="宋体"/>
          <w:kern w:val="0"/>
          <w:szCs w:val="21"/>
          <w:highlight w:val="none"/>
        </w:rPr>
        <w:t>/</w:t>
      </w:r>
      <w:r>
        <w:rPr>
          <w:rFonts w:hint="eastAsia" w:ascii="宋体" w:hAnsi="宋体" w:eastAsia="宋体" w:cs="宋体"/>
          <w:kern w:val="0"/>
          <w:szCs w:val="21"/>
          <w:highlight w:val="none"/>
        </w:rPr>
        <w:t>T 18345-2006 物流术语</w:t>
      </w:r>
    </w:p>
    <w:p w14:paraId="7D4FD267">
      <w:pPr>
        <w:widowControl/>
        <w:tabs>
          <w:tab w:val="center" w:pos="4201"/>
          <w:tab w:val="right" w:leader="dot" w:pos="9298"/>
        </w:tabs>
        <w:autoSpaceDE w:val="0"/>
        <w:autoSpaceDN w:val="0"/>
        <w:ind w:firstLine="420"/>
        <w:rPr>
          <w:rFonts w:ascii="宋体" w:hAnsi="宋体" w:eastAsia="宋体" w:cs="宋体"/>
          <w:kern w:val="0"/>
          <w:szCs w:val="21"/>
          <w:highlight w:val="none"/>
        </w:rPr>
      </w:pPr>
      <w:r>
        <w:rPr>
          <w:rFonts w:hint="eastAsia" w:ascii="宋体" w:hAnsi="Times New Roman" w:eastAsia="宋体" w:cs="Times New Roman"/>
          <w:kern w:val="0"/>
          <w:szCs w:val="20"/>
          <w:highlight w:val="none"/>
        </w:rPr>
        <w:t>[2]</w:t>
      </w:r>
      <w:r>
        <w:rPr>
          <w:rFonts w:ascii="宋体" w:hAnsi="Times New Roman" w:eastAsia="宋体" w:cs="Times New Roman"/>
          <w:kern w:val="0"/>
          <w:szCs w:val="20"/>
          <w:highlight w:val="none"/>
        </w:rPr>
        <w:t xml:space="preserve"> </w:t>
      </w:r>
      <w:r>
        <w:rPr>
          <w:rFonts w:hint="eastAsia" w:ascii="宋体" w:hAnsi="Times New Roman" w:eastAsia="宋体" w:cs="Times New Roman"/>
          <w:kern w:val="0"/>
          <w:szCs w:val="20"/>
          <w:highlight w:val="none"/>
        </w:rPr>
        <w:t xml:space="preserve"> </w:t>
      </w:r>
      <w:r>
        <w:rPr>
          <w:rFonts w:ascii="宋体" w:hAnsi="宋体" w:eastAsia="宋体" w:cs="宋体"/>
          <w:kern w:val="0"/>
          <w:szCs w:val="21"/>
          <w:highlight w:val="none"/>
        </w:rPr>
        <w:t>YD/T 4055-2022</w:t>
      </w:r>
      <w:r>
        <w:rPr>
          <w:rFonts w:hint="eastAsia" w:ascii="宋体" w:hAnsi="宋体" w:eastAsia="宋体" w:cs="宋体"/>
          <w:kern w:val="0"/>
          <w:szCs w:val="21"/>
          <w:highlight w:val="none"/>
        </w:rPr>
        <w:t xml:space="preserve">  电信网和互联网区块链基础设施安全防护要求</w:t>
      </w:r>
    </w:p>
    <w:p w14:paraId="759B1115">
      <w:pPr>
        <w:widowControl/>
        <w:tabs>
          <w:tab w:val="center" w:pos="4201"/>
          <w:tab w:val="right" w:leader="dot" w:pos="9298"/>
        </w:tabs>
        <w:autoSpaceDE w:val="0"/>
        <w:autoSpaceDN w:val="0"/>
        <w:ind w:firstLine="420"/>
        <w:rPr>
          <w:rFonts w:ascii="宋体" w:hAnsi="宋体" w:eastAsia="宋体" w:cs="宋体"/>
          <w:kern w:val="0"/>
          <w:szCs w:val="21"/>
          <w:highlight w:val="none"/>
        </w:rPr>
      </w:pPr>
      <w:r>
        <w:rPr>
          <w:rFonts w:hint="eastAsia" w:ascii="宋体" w:hAnsi="Times New Roman" w:eastAsia="宋体" w:cs="Times New Roman"/>
          <w:kern w:val="0"/>
          <w:szCs w:val="20"/>
          <w:highlight w:val="none"/>
        </w:rPr>
        <w:t xml:space="preserve">[3]  </w:t>
      </w:r>
      <w:r>
        <w:rPr>
          <w:rFonts w:ascii="宋体" w:hAnsi="Times New Roman" w:eastAsia="宋体" w:cs="Times New Roman"/>
          <w:kern w:val="0"/>
          <w:szCs w:val="20"/>
          <w:highlight w:val="none"/>
        </w:rPr>
        <w:t xml:space="preserve">GB/T </w:t>
      </w:r>
      <w:r>
        <w:rPr>
          <w:rFonts w:hint="eastAsia" w:ascii="宋体" w:hAnsi="Times New Roman" w:eastAsia="宋体" w:cs="Times New Roman"/>
          <w:kern w:val="0"/>
          <w:szCs w:val="20"/>
          <w:highlight w:val="none"/>
        </w:rPr>
        <w:t>41867</w:t>
      </w:r>
      <w:r>
        <w:rPr>
          <w:rFonts w:ascii="宋体" w:hAnsi="Times New Roman" w:eastAsia="宋体" w:cs="Times New Roman"/>
          <w:kern w:val="0"/>
          <w:szCs w:val="20"/>
          <w:highlight w:val="none"/>
        </w:rPr>
        <w:t>-</w:t>
      </w:r>
      <w:r>
        <w:rPr>
          <w:rFonts w:hint="eastAsia" w:ascii="宋体" w:hAnsi="Times New Roman" w:eastAsia="宋体" w:cs="Times New Roman"/>
          <w:kern w:val="0"/>
          <w:szCs w:val="20"/>
          <w:highlight w:val="none"/>
        </w:rPr>
        <w:t>2022 信息技术 人工智能 术语</w:t>
      </w:r>
    </w:p>
    <w:p w14:paraId="6418550A">
      <w:pPr>
        <w:widowControl/>
        <w:tabs>
          <w:tab w:val="center" w:pos="4201"/>
          <w:tab w:val="right" w:leader="dot" w:pos="9298"/>
        </w:tabs>
        <w:autoSpaceDE w:val="0"/>
        <w:autoSpaceDN w:val="0"/>
        <w:ind w:firstLine="420"/>
        <w:rPr>
          <w:rFonts w:hint="eastAsia" w:ascii="宋体" w:hAnsi="Times New Roman" w:eastAsia="宋体" w:cs="Times New Roman"/>
          <w:kern w:val="0"/>
          <w:szCs w:val="20"/>
          <w:highlight w:val="none"/>
        </w:rPr>
      </w:pPr>
      <w:r>
        <w:rPr>
          <w:rFonts w:hint="eastAsia" w:ascii="宋体" w:hAnsi="Times New Roman" w:eastAsia="宋体" w:cs="Times New Roman"/>
          <w:kern w:val="0"/>
          <w:szCs w:val="20"/>
          <w:highlight w:val="none"/>
        </w:rPr>
        <w:t xml:space="preserve">[4]  </w:t>
      </w:r>
      <w:r>
        <w:rPr>
          <w:rFonts w:ascii="宋体" w:hAnsi="Times New Roman" w:eastAsia="宋体" w:cs="Times New Roman"/>
          <w:kern w:val="0"/>
          <w:szCs w:val="20"/>
          <w:highlight w:val="none"/>
        </w:rPr>
        <w:t xml:space="preserve">GB/T </w:t>
      </w:r>
      <w:r>
        <w:rPr>
          <w:rFonts w:hint="eastAsia" w:ascii="宋体" w:hAnsi="Times New Roman" w:eastAsia="宋体" w:cs="Times New Roman"/>
          <w:kern w:val="0"/>
          <w:szCs w:val="20"/>
          <w:highlight w:val="none"/>
        </w:rPr>
        <w:t>35121</w:t>
      </w:r>
      <w:r>
        <w:rPr>
          <w:rFonts w:ascii="宋体" w:hAnsi="Times New Roman" w:eastAsia="宋体" w:cs="Times New Roman"/>
          <w:kern w:val="0"/>
          <w:szCs w:val="20"/>
          <w:highlight w:val="none"/>
        </w:rPr>
        <w:t>-</w:t>
      </w:r>
      <w:r>
        <w:rPr>
          <w:rFonts w:hint="eastAsia" w:ascii="宋体" w:hAnsi="Times New Roman" w:eastAsia="宋体" w:cs="Times New Roman"/>
          <w:kern w:val="0"/>
          <w:szCs w:val="20"/>
          <w:highlight w:val="none"/>
        </w:rPr>
        <w:t>2017 全程供应链管理服务平台参考功能框架</w:t>
      </w:r>
    </w:p>
    <w:p w14:paraId="083878AF">
      <w:pPr>
        <w:widowControl/>
        <w:tabs>
          <w:tab w:val="center" w:pos="4201"/>
          <w:tab w:val="right" w:leader="dot" w:pos="9298"/>
        </w:tabs>
        <w:autoSpaceDE w:val="0"/>
        <w:autoSpaceDN w:val="0"/>
        <w:ind w:firstLine="420"/>
        <w:jc w:val="center"/>
        <w:rPr>
          <w:rFonts w:ascii="宋体" w:hAnsi="Times New Roman" w:eastAsia="宋体" w:cs="Times New Roman"/>
          <w:kern w:val="0"/>
          <w:szCs w:val="20"/>
          <w:highlight w:val="none"/>
        </w:rPr>
      </w:pPr>
      <w:r>
        <w:rPr>
          <w:rFonts w:ascii="宋体" w:hAnsi="Times New Roman" w:eastAsia="宋体" w:cs="Times New Roman"/>
          <w:kern w:val="0"/>
          <w:szCs w:val="20"/>
          <w:highlight w:val="none"/>
        </w:rPr>
        <w:t>_________________________________</w:t>
      </w:r>
    </w:p>
    <w:sectPr>
      <w:pgSz w:w="11906" w:h="16838"/>
      <w:pgMar w:top="567" w:right="1304" w:bottom="1134" w:left="1304" w:header="1418" w:footer="1134" w:gutter="0"/>
      <w:pgNumType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316DC">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75C6">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516DB">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34AB">
    <w:pPr>
      <w:pStyle w:val="15"/>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6716">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962E">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DF23">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13AE">
    <w:pPr>
      <w:pStyle w:val="6"/>
      <w:ind w:firstLine="420"/>
      <w:jc w:val="right"/>
      <w:rPr>
        <w:rFonts w:ascii="黑体" w:hAnsi="黑体" w:eastAsia="黑体"/>
        <w:sz w:val="21"/>
        <w:szCs w:val="21"/>
      </w:rPr>
    </w:pPr>
    <w:r>
      <w:rPr>
        <w:rFonts w:ascii="黑体" w:hAnsi="黑体" w:eastAsia="黑体"/>
        <w:sz w:val="21"/>
        <w:szCs w:val="21"/>
      </w:rPr>
      <w:t>T/×××</w:t>
    </w:r>
    <w:r>
      <w:rPr>
        <w:rFonts w:hint="eastAsia" w:ascii="黑体" w:hAnsi="黑体" w:eastAsia="黑体"/>
        <w:sz w:val="21"/>
        <w:szCs w:val="21"/>
      </w:rPr>
      <w:t xml:space="preserve"> </w:t>
    </w:r>
    <w:r>
      <w:rPr>
        <w:rFonts w:ascii="黑体" w:hAnsi="黑体" w:eastAsia="黑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FDC49"/>
    <w:multiLevelType w:val="singleLevel"/>
    <w:tmpl w:val="89CFDC49"/>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5B3F10"/>
    <w:rsid w:val="000A6405"/>
    <w:rsid w:val="000F711F"/>
    <w:rsid w:val="00146E2F"/>
    <w:rsid w:val="001578F8"/>
    <w:rsid w:val="00177A41"/>
    <w:rsid w:val="00194B54"/>
    <w:rsid w:val="001E596F"/>
    <w:rsid w:val="002208BC"/>
    <w:rsid w:val="00231F40"/>
    <w:rsid w:val="00245208"/>
    <w:rsid w:val="00247819"/>
    <w:rsid w:val="002774E6"/>
    <w:rsid w:val="002C7746"/>
    <w:rsid w:val="002E164D"/>
    <w:rsid w:val="0030330F"/>
    <w:rsid w:val="00346BC4"/>
    <w:rsid w:val="0037645F"/>
    <w:rsid w:val="003F0A1D"/>
    <w:rsid w:val="00453181"/>
    <w:rsid w:val="0046244C"/>
    <w:rsid w:val="004649C1"/>
    <w:rsid w:val="00494F8E"/>
    <w:rsid w:val="004A35B0"/>
    <w:rsid w:val="004A3CE6"/>
    <w:rsid w:val="004B2E68"/>
    <w:rsid w:val="004C597A"/>
    <w:rsid w:val="00567B17"/>
    <w:rsid w:val="0057789F"/>
    <w:rsid w:val="005860F9"/>
    <w:rsid w:val="005B3F10"/>
    <w:rsid w:val="00625E7F"/>
    <w:rsid w:val="00627637"/>
    <w:rsid w:val="00653CC5"/>
    <w:rsid w:val="00673A93"/>
    <w:rsid w:val="006C2745"/>
    <w:rsid w:val="006E3596"/>
    <w:rsid w:val="00723D93"/>
    <w:rsid w:val="00734E35"/>
    <w:rsid w:val="00734F1A"/>
    <w:rsid w:val="00745180"/>
    <w:rsid w:val="00796008"/>
    <w:rsid w:val="007A340F"/>
    <w:rsid w:val="00816E65"/>
    <w:rsid w:val="009337F2"/>
    <w:rsid w:val="009B0C04"/>
    <w:rsid w:val="009C24DF"/>
    <w:rsid w:val="00A343DD"/>
    <w:rsid w:val="00A4283A"/>
    <w:rsid w:val="00A5673B"/>
    <w:rsid w:val="00A70EDA"/>
    <w:rsid w:val="00A80AF4"/>
    <w:rsid w:val="00A912C9"/>
    <w:rsid w:val="00AD2BCD"/>
    <w:rsid w:val="00AE3C9F"/>
    <w:rsid w:val="00B04CB3"/>
    <w:rsid w:val="00B0625A"/>
    <w:rsid w:val="00B26C81"/>
    <w:rsid w:val="00B72800"/>
    <w:rsid w:val="00BA302D"/>
    <w:rsid w:val="00BF447F"/>
    <w:rsid w:val="00BF4A3B"/>
    <w:rsid w:val="00C903AE"/>
    <w:rsid w:val="00C90AC0"/>
    <w:rsid w:val="00CB3C18"/>
    <w:rsid w:val="00CC388E"/>
    <w:rsid w:val="00CF451C"/>
    <w:rsid w:val="00D23437"/>
    <w:rsid w:val="00D5722C"/>
    <w:rsid w:val="00D57743"/>
    <w:rsid w:val="00D81CB3"/>
    <w:rsid w:val="00DC3E2E"/>
    <w:rsid w:val="00DE2D88"/>
    <w:rsid w:val="00DE5CB6"/>
    <w:rsid w:val="00E06AEB"/>
    <w:rsid w:val="00E274E7"/>
    <w:rsid w:val="00E40466"/>
    <w:rsid w:val="00E906F1"/>
    <w:rsid w:val="00EA5A62"/>
    <w:rsid w:val="00EE787E"/>
    <w:rsid w:val="00EF1C5F"/>
    <w:rsid w:val="00F134E1"/>
    <w:rsid w:val="00F2730D"/>
    <w:rsid w:val="00F95BF7"/>
    <w:rsid w:val="00FB0255"/>
    <w:rsid w:val="00FC4CD4"/>
    <w:rsid w:val="01FB31C8"/>
    <w:rsid w:val="02CF0922"/>
    <w:rsid w:val="03C122A1"/>
    <w:rsid w:val="062502FA"/>
    <w:rsid w:val="077A3CEC"/>
    <w:rsid w:val="086D51B8"/>
    <w:rsid w:val="094155DC"/>
    <w:rsid w:val="098C24F2"/>
    <w:rsid w:val="0A1C0CEF"/>
    <w:rsid w:val="0A7346ED"/>
    <w:rsid w:val="0AAE262A"/>
    <w:rsid w:val="0B603D41"/>
    <w:rsid w:val="0B634057"/>
    <w:rsid w:val="0B9212C6"/>
    <w:rsid w:val="0BCB0C51"/>
    <w:rsid w:val="0C2D6D89"/>
    <w:rsid w:val="0C925B6C"/>
    <w:rsid w:val="0D175575"/>
    <w:rsid w:val="0DE65C1F"/>
    <w:rsid w:val="0E15476E"/>
    <w:rsid w:val="0E180E35"/>
    <w:rsid w:val="0E6F3540"/>
    <w:rsid w:val="127053AF"/>
    <w:rsid w:val="131C06A6"/>
    <w:rsid w:val="136B3BEF"/>
    <w:rsid w:val="14FC0436"/>
    <w:rsid w:val="15604C6B"/>
    <w:rsid w:val="15855619"/>
    <w:rsid w:val="15D95C26"/>
    <w:rsid w:val="164E56E8"/>
    <w:rsid w:val="16BF34C9"/>
    <w:rsid w:val="16CD6A4E"/>
    <w:rsid w:val="172D1E50"/>
    <w:rsid w:val="18B9227F"/>
    <w:rsid w:val="18D56FD4"/>
    <w:rsid w:val="199C0571"/>
    <w:rsid w:val="19AC01BB"/>
    <w:rsid w:val="1A1D50D7"/>
    <w:rsid w:val="1B373F76"/>
    <w:rsid w:val="1BB93CD4"/>
    <w:rsid w:val="1DD31D93"/>
    <w:rsid w:val="1FB75193"/>
    <w:rsid w:val="219114B3"/>
    <w:rsid w:val="21BC72C8"/>
    <w:rsid w:val="226940D2"/>
    <w:rsid w:val="23EB798F"/>
    <w:rsid w:val="2401791F"/>
    <w:rsid w:val="25021151"/>
    <w:rsid w:val="25D12841"/>
    <w:rsid w:val="28EC00BF"/>
    <w:rsid w:val="28F81B3B"/>
    <w:rsid w:val="29762DD1"/>
    <w:rsid w:val="2A4C3EFF"/>
    <w:rsid w:val="2AD73080"/>
    <w:rsid w:val="2B665367"/>
    <w:rsid w:val="2BBF07E4"/>
    <w:rsid w:val="2BE23A8A"/>
    <w:rsid w:val="2C7167E0"/>
    <w:rsid w:val="2CF47F19"/>
    <w:rsid w:val="2D2547BB"/>
    <w:rsid w:val="2D7D799C"/>
    <w:rsid w:val="2F5B427F"/>
    <w:rsid w:val="2F99007E"/>
    <w:rsid w:val="301E32F2"/>
    <w:rsid w:val="308E41E1"/>
    <w:rsid w:val="31372C40"/>
    <w:rsid w:val="324F1746"/>
    <w:rsid w:val="328D14BE"/>
    <w:rsid w:val="35B52C3B"/>
    <w:rsid w:val="35FB40C6"/>
    <w:rsid w:val="365B57E3"/>
    <w:rsid w:val="36F13BFE"/>
    <w:rsid w:val="372B333A"/>
    <w:rsid w:val="37D65E95"/>
    <w:rsid w:val="37FE7E9E"/>
    <w:rsid w:val="38245C2B"/>
    <w:rsid w:val="3AAE040E"/>
    <w:rsid w:val="3BD01A13"/>
    <w:rsid w:val="3CAA7161"/>
    <w:rsid w:val="3D754EB2"/>
    <w:rsid w:val="3E495BEB"/>
    <w:rsid w:val="3EC04B82"/>
    <w:rsid w:val="3EE636CE"/>
    <w:rsid w:val="405F0A52"/>
    <w:rsid w:val="415516AB"/>
    <w:rsid w:val="41D51051"/>
    <w:rsid w:val="41DA2351"/>
    <w:rsid w:val="4251241D"/>
    <w:rsid w:val="42F1195C"/>
    <w:rsid w:val="44695BC4"/>
    <w:rsid w:val="44C03F13"/>
    <w:rsid w:val="451B5075"/>
    <w:rsid w:val="45907958"/>
    <w:rsid w:val="45BC388B"/>
    <w:rsid w:val="46F80334"/>
    <w:rsid w:val="476D4069"/>
    <w:rsid w:val="4A606796"/>
    <w:rsid w:val="4A9F2DB4"/>
    <w:rsid w:val="4B7D4437"/>
    <w:rsid w:val="4BA0390A"/>
    <w:rsid w:val="4CFB5B4B"/>
    <w:rsid w:val="4CFE238C"/>
    <w:rsid w:val="4D445EFB"/>
    <w:rsid w:val="4D672A07"/>
    <w:rsid w:val="50B1087A"/>
    <w:rsid w:val="51890380"/>
    <w:rsid w:val="528F5E6A"/>
    <w:rsid w:val="52980DDA"/>
    <w:rsid w:val="52FE05FB"/>
    <w:rsid w:val="533C0389"/>
    <w:rsid w:val="5454468B"/>
    <w:rsid w:val="54AF2964"/>
    <w:rsid w:val="559E63C4"/>
    <w:rsid w:val="55A2594D"/>
    <w:rsid w:val="55F120F9"/>
    <w:rsid w:val="56895CE1"/>
    <w:rsid w:val="56E20B9A"/>
    <w:rsid w:val="56FA587C"/>
    <w:rsid w:val="57C17FEA"/>
    <w:rsid w:val="57C345EE"/>
    <w:rsid w:val="57EB362B"/>
    <w:rsid w:val="58037222"/>
    <w:rsid w:val="58457BAB"/>
    <w:rsid w:val="597869A8"/>
    <w:rsid w:val="59AE048E"/>
    <w:rsid w:val="59BF0746"/>
    <w:rsid w:val="5B110E09"/>
    <w:rsid w:val="5B977589"/>
    <w:rsid w:val="5BB46252"/>
    <w:rsid w:val="5D5E644E"/>
    <w:rsid w:val="5ED27E4E"/>
    <w:rsid w:val="5F9525E6"/>
    <w:rsid w:val="658F7437"/>
    <w:rsid w:val="65A0041B"/>
    <w:rsid w:val="65DE6922"/>
    <w:rsid w:val="6670008E"/>
    <w:rsid w:val="668B029F"/>
    <w:rsid w:val="66933752"/>
    <w:rsid w:val="669B6734"/>
    <w:rsid w:val="67A862E2"/>
    <w:rsid w:val="67DD4B2A"/>
    <w:rsid w:val="682D3710"/>
    <w:rsid w:val="688B2364"/>
    <w:rsid w:val="68F4225D"/>
    <w:rsid w:val="698C3968"/>
    <w:rsid w:val="6A484E25"/>
    <w:rsid w:val="6A7D3566"/>
    <w:rsid w:val="6C2E3BA6"/>
    <w:rsid w:val="6C554A11"/>
    <w:rsid w:val="6C9F7C6B"/>
    <w:rsid w:val="6D1C60F5"/>
    <w:rsid w:val="6D5C0C47"/>
    <w:rsid w:val="6DC512F6"/>
    <w:rsid w:val="6DD36552"/>
    <w:rsid w:val="6DE95ACB"/>
    <w:rsid w:val="6F736182"/>
    <w:rsid w:val="70767EDC"/>
    <w:rsid w:val="71193077"/>
    <w:rsid w:val="72DF6749"/>
    <w:rsid w:val="73A642CD"/>
    <w:rsid w:val="7457077D"/>
    <w:rsid w:val="749142CC"/>
    <w:rsid w:val="76185E63"/>
    <w:rsid w:val="77154D08"/>
    <w:rsid w:val="772411E2"/>
    <w:rsid w:val="7B187EFC"/>
    <w:rsid w:val="7B7311D3"/>
    <w:rsid w:val="7D4E4855"/>
    <w:rsid w:val="7E18000E"/>
    <w:rsid w:val="7E3D5ECB"/>
    <w:rsid w:val="7F79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character" w:customStyle="1" w:styleId="16">
    <w:name w:val="批注框文本 Char"/>
    <w:basedOn w:val="10"/>
    <w:link w:val="4"/>
    <w:semiHidden/>
    <w:qFormat/>
    <w:uiPriority w:val="99"/>
    <w:rPr>
      <w:sz w:val="18"/>
      <w:szCs w:val="18"/>
    </w:rPr>
  </w:style>
  <w:style w:type="character" w:customStyle="1" w:styleId="17">
    <w:name w:val="日期 Char"/>
    <w:basedOn w:val="10"/>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1D63E-DD46-45CE-B155-07534DB46071}">
  <ds:schemaRefs/>
</ds:datastoreItem>
</file>

<file path=docProps/app.xml><?xml version="1.0" encoding="utf-8"?>
<Properties xmlns="http://schemas.openxmlformats.org/officeDocument/2006/extended-properties" xmlns:vt="http://schemas.openxmlformats.org/officeDocument/2006/docPropsVTypes">
  <Template>Normal</Template>
  <Pages>14</Pages>
  <Words>7097</Words>
  <Characters>7879</Characters>
  <Lines>50</Lines>
  <Paragraphs>14</Paragraphs>
  <TotalTime>7</TotalTime>
  <ScaleCrop>false</ScaleCrop>
  <LinksUpToDate>false</LinksUpToDate>
  <CharactersWithSpaces>8117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2023-05-12T07:29:00Z</dcterms:created>
  <dc:creator>HP</dc:creator>
  <cp:lastModifiedBy>2020</cp:lastModifiedBy>
  <cp:lastPrinted>2023-05-12T10:14:00Z</cp:lastPrinted>
  <dcterms:modified xsi:type="dcterms:W3CDTF">2024-09-11T02:11:12Z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FE5C301318C049708C550C6E0DDC9575_13</vt:lpwstr>
  </property>
</Properties>
</file>