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framePr w:w="7955" w:wrap="notBeside" w:x="2206"/>
        <w:spacing w:before="62"/>
      </w:pPr>
      <w:bookmarkStart w:id="0" w:name="StdNo0"/>
      <w:r>
        <w:rPr>
          <w:rFonts w:hint="eastAsia"/>
          <w:sz w:val="76"/>
          <w:szCs w:val="76"/>
        </w:rPr>
        <w:t>团体标准</w:t>
      </w:r>
    </w:p>
    <w:bookmarkEnd w:id="0"/>
    <w:p>
      <w:pPr>
        <w:pStyle w:val="56"/>
        <w:framePr w:w="4077" w:h="709" w:hRule="exact" w:wrap="notBeside" w:x="6482" w:y="3454"/>
        <w:rPr>
          <w:rFonts w:hAnsi="黑体"/>
        </w:rPr>
      </w:pPr>
    </w:p>
    <w:p>
      <w:pPr>
        <w:pStyle w:val="87"/>
        <w:framePr w:h="8760" w:hRule="exact" w:wrap="notBeside"/>
        <w:pBdr>
          <w:top w:val="none" w:color="auto" w:sz="0" w:space="0"/>
          <w:left w:val="none" w:color="auto" w:sz="0" w:space="0"/>
          <w:bottom w:val="none" w:color="auto" w:sz="0" w:space="0"/>
          <w:right w:val="none" w:color="auto" w:sz="0" w:space="0"/>
        </w:pBdr>
        <w:rPr>
          <w:rFonts w:hint="eastAsia" w:hAnsi="Times New Roman" w:cs="Times New Roman"/>
        </w:rPr>
      </w:pPr>
      <w:bookmarkStart w:id="1" w:name="FY"/>
      <w:r>
        <w:rPr>
          <w:rFonts w:hint="eastAsia" w:hAnsi="Times New Roman" w:cs="Times New Roman"/>
        </w:rPr>
        <w:t>核电厂放射性废物</w:t>
      </w:r>
      <w:r>
        <w:rPr>
          <w:rFonts w:hint="eastAsia" w:hAnsi="Times New Roman" w:cs="Times New Roman"/>
          <w:lang w:val="en-US" w:eastAsia="zh-CN"/>
        </w:rPr>
        <w:t>固定/固化用水泥选型及性能评价技术规范</w:t>
      </w:r>
    </w:p>
    <w:p>
      <w:pPr>
        <w:pStyle w:val="87"/>
        <w:framePr w:h="8760" w:hRule="exact" w:wrap="notBeside"/>
        <w:rPr>
          <w:rFonts w:asciiTheme="minorEastAsia" w:hAnsiTheme="minorEastAsia" w:eastAsiaTheme="minorEastAsia"/>
          <w:sz w:val="24"/>
          <w:szCs w:val="21"/>
        </w:rPr>
      </w:pPr>
      <w:r>
        <w:rPr>
          <w:rFonts w:hint="eastAsia" w:asciiTheme="minorEastAsia" w:hAnsiTheme="minorEastAsia" w:eastAsiaTheme="minorEastAsia"/>
          <w:sz w:val="24"/>
          <w:szCs w:val="21"/>
        </w:rPr>
        <w:t>（征求意见稿）</w:t>
      </w:r>
    </w:p>
    <w:p>
      <w:pPr>
        <w:pStyle w:val="87"/>
        <w:framePr w:h="8760" w:hRule="exact" w:wrap="notBeside"/>
        <w:rPr>
          <w:rFonts w:ascii="Times New Roman"/>
          <w:sz w:val="28"/>
          <w:szCs w:val="28"/>
        </w:rPr>
      </w:pPr>
    </w:p>
    <w:p>
      <w:pPr>
        <w:pStyle w:val="87"/>
        <w:framePr w:h="8760" w:hRule="exact" w:wrap="notBeside"/>
        <w:rPr>
          <w:rFonts w:ascii="Times New Roman"/>
          <w:szCs w:val="28"/>
        </w:rPr>
      </w:pPr>
      <w:r>
        <w:rPr>
          <w:rFonts w:hint="eastAsia" w:ascii="Times New Roman"/>
          <w:szCs w:val="28"/>
        </w:rPr>
        <w:t>编制说明</w:t>
      </w:r>
    </w:p>
    <w:p>
      <w:pPr>
        <w:pStyle w:val="87"/>
        <w:framePr w:h="8760" w:hRule="exact" w:wrap="notBeside"/>
        <w:rPr>
          <w:shd w:val="pct10" w:color="auto" w:fill="FFFFFF"/>
        </w:rPr>
      </w:pP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pPr>
          </w:p>
          <w:p>
            <w:pPr>
              <w:pStyle w:val="91"/>
              <w:framePr w:h="8760" w:hRule="exact" w:wrap="notBeside"/>
              <w:rPr>
                <w:rFonts w:hint="eastAsia" w:eastAsia="宋体"/>
                <w:lang w:eastAsia="zh-CN"/>
              </w:rPr>
            </w:pPr>
            <w:r>
              <w:t>202</w:t>
            </w:r>
            <w:r>
              <w:rPr>
                <w:rFonts w:hint="eastAsia"/>
                <w:lang w:val="en-US" w:eastAsia="zh-CN"/>
              </w:rPr>
              <w:t>5</w:t>
            </w:r>
            <w:r>
              <w:rPr>
                <w:rFonts w:hint="eastAsia"/>
              </w:rPr>
              <w:t>-</w:t>
            </w:r>
            <w:r>
              <w:rPr>
                <w:rFonts w:hint="eastAsia"/>
                <w:lang w:val="en-US" w:eastAsia="zh-CN"/>
              </w:rPr>
              <w:t>3</w:t>
            </w:r>
            <w:r>
              <w:rPr>
                <w:rFonts w:hint="eastAsia"/>
              </w:rPr>
              <w:t>-</w:t>
            </w:r>
            <w:r>
              <w:t>1</w:t>
            </w:r>
            <w:r>
              <w:rPr>
                <w:rFonts w:hint="eastAsia"/>
                <w:lang w:val="en-US" w:eastAsia="zh-CN"/>
              </w:rPr>
              <w:t>4</w:t>
            </w:r>
          </w:p>
        </w:tc>
      </w:tr>
      <w:bookmarkEnd w:id="1"/>
    </w:tbl>
    <w:p/>
    <w:p>
      <w: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2331085</wp:posOffset>
                </wp:positionV>
                <wp:extent cx="5969635" cy="0"/>
                <wp:effectExtent l="0" t="0" r="12700" b="1905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5969479"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25pt;margin-top:183.55pt;height:0pt;width:470.05pt;z-index:251659264;mso-width-relative:page;mso-height-relative:page;" filled="f" stroked="t" coordsize="21600,21600" o:gfxdata="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bgrYXXAAAACQEAAA8AAAAAAAAAAQAgAAAAIgAAAGRycy9k&#10;b3ducmV2LnhtbFBLAQIUABQAAAAIAIdO4kBTnBKxygEAAKADAAAOAAAAAAAAAAEAIAAAACYBAABk&#10;cnMvZTJvRG9jLnhtbFBLBQYAAAAABgAGAFkBAABiBQAAAAA=&#10;">
                <v:fill on="f" focussize="0,0"/>
                <v:stroke color="#000000" joinstyle="round"/>
                <v:imagedata o:title=""/>
                <o:lock v:ext="edit" aspectratio="f"/>
              </v:line>
            </w:pict>
          </mc:Fallback>
        </mc:AlternateContent>
      </w:r>
      <w:r>
        <w:rPr>
          <w:rFonts w:hint="eastAsia"/>
        </w:rPr>
        <w:tab/>
      </w:r>
    </w:p>
    <w:p/>
    <w:p/>
    <w:p/>
    <w:p/>
    <w:p/>
    <w:p/>
    <w:p/>
    <w:p>
      <w:pPr>
        <w:pStyle w:val="59"/>
        <w:shd w:val="clear" w:color="FFFFFF" w:fill="FFFFFF"/>
        <w:rPr>
          <w:sz w:val="52"/>
          <w:szCs w:val="52"/>
        </w:rPr>
      </w:pPr>
      <w:r>
        <w:rPr>
          <w:rFonts w:hint="eastAsia" w:eastAsia="方正小标宋简体"/>
          <w:sz w:val="30"/>
          <w:szCs w:val="30"/>
        </w:rPr>
        <w:t>《</w:t>
      </w:r>
      <w:bookmarkStart w:id="2" w:name="_Toc12235"/>
      <w:bookmarkStart w:id="3" w:name="_Toc10511"/>
      <w:r>
        <w:rPr>
          <w:rFonts w:hint="eastAsia" w:ascii="宋体" w:hAnsi="宋体" w:eastAsia="宋体" w:cs="微软雅黑"/>
          <w:kern w:val="0"/>
          <w:sz w:val="30"/>
          <w:szCs w:val="30"/>
          <w:lang w:val="en-US" w:eastAsia="zh-CN" w:bidi="ar-SA"/>
        </w:rPr>
        <w:t>核电厂放射性废物固定/固化用水泥选型及性能评价技术规范</w:t>
      </w:r>
      <w:bookmarkEnd w:id="2"/>
      <w:bookmarkEnd w:id="3"/>
      <w:r>
        <w:rPr>
          <w:rFonts w:hint="eastAsia" w:eastAsia="方正小标宋简体"/>
          <w:sz w:val="30"/>
          <w:szCs w:val="30"/>
        </w:rPr>
        <w:t>》</w:t>
      </w:r>
    </w:p>
    <w:p>
      <w:pPr>
        <w:adjustRightInd w:val="0"/>
        <w:snapToGrid w:val="0"/>
        <w:spacing w:line="240" w:lineRule="atLeast"/>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（征求意见稿）编制说明</w:t>
      </w:r>
    </w:p>
    <w:p>
      <w:pPr>
        <w:rPr>
          <w:rFonts w:eastAsia="仿宋_GB2312"/>
          <w:sz w:val="32"/>
          <w:szCs w:val="32"/>
        </w:rPr>
      </w:pPr>
    </w:p>
    <w:p>
      <w:pPr>
        <w:spacing w:line="300" w:lineRule="auto"/>
        <w:rPr>
          <w:rFonts w:ascii="仿宋" w:hAnsi="仿宋" w:eastAsia="仿宋" w:cs="仿宋"/>
          <w:b/>
          <w:sz w:val="24"/>
        </w:rPr>
      </w:pPr>
      <w:r>
        <w:rPr>
          <w:rFonts w:hint="eastAsia" w:ascii="仿宋" w:hAnsi="仿宋" w:eastAsia="仿宋" w:cs="仿宋"/>
          <w:b/>
          <w:sz w:val="24"/>
        </w:rPr>
        <w:t xml:space="preserve">1  </w:t>
      </w:r>
      <w:r>
        <w:rPr>
          <w:rFonts w:hint="eastAsia" w:ascii="仿宋" w:hAnsi="仿宋" w:eastAsia="仿宋" w:cs="仿宋"/>
          <w:b/>
          <w:spacing w:val="6"/>
          <w:sz w:val="24"/>
        </w:rPr>
        <w:t>任务来源、协作单位</w:t>
      </w:r>
    </w:p>
    <w:p>
      <w:pPr>
        <w:spacing w:line="300" w:lineRule="auto"/>
        <w:rPr>
          <w:rFonts w:ascii="仿宋" w:hAnsi="仿宋" w:eastAsia="仿宋" w:cs="仿宋"/>
          <w:b/>
          <w:spacing w:val="6"/>
          <w:sz w:val="24"/>
        </w:rPr>
      </w:pPr>
      <w:r>
        <w:rPr>
          <w:rFonts w:hint="eastAsia" w:ascii="仿宋" w:hAnsi="仿宋" w:eastAsia="仿宋" w:cs="仿宋"/>
          <w:b/>
          <w:sz w:val="24"/>
        </w:rPr>
        <w:t xml:space="preserve">1.1  </w:t>
      </w:r>
      <w:r>
        <w:rPr>
          <w:rFonts w:hint="eastAsia" w:ascii="仿宋" w:hAnsi="仿宋" w:eastAsia="仿宋" w:cs="仿宋"/>
          <w:b/>
          <w:spacing w:val="6"/>
          <w:sz w:val="24"/>
        </w:rPr>
        <w:t>任务来源</w:t>
      </w:r>
    </w:p>
    <w:p>
      <w:pPr>
        <w:spacing w:line="300" w:lineRule="auto"/>
        <w:ind w:firstLine="480" w:firstLineChars="200"/>
        <w:rPr>
          <w:rFonts w:ascii="仿宋" w:hAnsi="仿宋" w:eastAsia="仿宋" w:cs="仿宋"/>
          <w:sz w:val="24"/>
        </w:rPr>
      </w:pPr>
      <w:r>
        <w:rPr>
          <w:rFonts w:hint="eastAsia" w:ascii="仿宋" w:hAnsi="仿宋" w:eastAsia="仿宋" w:cs="仿宋"/>
          <w:sz w:val="24"/>
        </w:rPr>
        <w:t>中国能源研究会于202</w:t>
      </w:r>
      <w:r>
        <w:rPr>
          <w:rFonts w:hint="eastAsia" w:ascii="仿宋" w:hAnsi="仿宋" w:eastAsia="仿宋" w:cs="仿宋"/>
          <w:sz w:val="24"/>
          <w:lang w:val="en-US" w:eastAsia="zh-CN"/>
        </w:rPr>
        <w:t>4</w:t>
      </w:r>
      <w:r>
        <w:rPr>
          <w:rFonts w:hint="eastAsia" w:ascii="仿宋" w:hAnsi="仿宋" w:eastAsia="仿宋" w:cs="仿宋"/>
          <w:sz w:val="24"/>
        </w:rPr>
        <w:t>年</w:t>
      </w:r>
      <w:r>
        <w:rPr>
          <w:rFonts w:hint="eastAsia" w:ascii="仿宋" w:hAnsi="仿宋" w:eastAsia="仿宋" w:cs="仿宋"/>
          <w:sz w:val="24"/>
          <w:lang w:val="en-US" w:eastAsia="zh-CN"/>
        </w:rPr>
        <w:t>11</w:t>
      </w:r>
      <w:r>
        <w:rPr>
          <w:rFonts w:hint="eastAsia" w:ascii="仿宋" w:hAnsi="仿宋" w:eastAsia="仿宋" w:cs="仿宋"/>
          <w:sz w:val="24"/>
        </w:rPr>
        <w:t>月</w:t>
      </w:r>
      <w:r>
        <w:rPr>
          <w:rFonts w:hint="eastAsia" w:ascii="仿宋" w:hAnsi="仿宋" w:eastAsia="仿宋" w:cs="仿宋"/>
          <w:sz w:val="24"/>
          <w:lang w:val="en-US" w:eastAsia="zh-CN"/>
        </w:rPr>
        <w:t>4</w:t>
      </w:r>
      <w:r>
        <w:rPr>
          <w:rFonts w:hint="eastAsia" w:ascii="仿宋" w:hAnsi="仿宋" w:eastAsia="仿宋" w:cs="仿宋"/>
          <w:sz w:val="24"/>
        </w:rPr>
        <w:t>日正式下达了《关于202</w:t>
      </w:r>
      <w:r>
        <w:rPr>
          <w:rFonts w:hint="eastAsia" w:ascii="仿宋" w:hAnsi="仿宋" w:eastAsia="仿宋" w:cs="仿宋"/>
          <w:sz w:val="24"/>
          <w:lang w:val="en-US" w:eastAsia="zh-CN"/>
        </w:rPr>
        <w:t>4</w:t>
      </w:r>
      <w:r>
        <w:rPr>
          <w:rFonts w:hint="eastAsia" w:ascii="仿宋" w:hAnsi="仿宋" w:eastAsia="仿宋" w:cs="仿宋"/>
          <w:sz w:val="24"/>
        </w:rPr>
        <w:t>年第</w:t>
      </w:r>
      <w:r>
        <w:rPr>
          <w:rFonts w:hint="eastAsia" w:ascii="仿宋" w:hAnsi="仿宋" w:eastAsia="仿宋" w:cs="仿宋"/>
          <w:sz w:val="24"/>
          <w:lang w:val="en-US" w:eastAsia="zh-CN"/>
        </w:rPr>
        <w:t>二</w:t>
      </w:r>
      <w:r>
        <w:rPr>
          <w:rFonts w:hint="eastAsia" w:ascii="仿宋" w:hAnsi="仿宋" w:eastAsia="仿宋" w:cs="仿宋"/>
          <w:sz w:val="24"/>
        </w:rPr>
        <w:t>批中国能源研究会标准立项的通知》，对包括本标准《</w:t>
      </w:r>
      <w:r>
        <w:rPr>
          <w:rFonts w:hint="eastAsia" w:ascii="仿宋" w:hAnsi="仿宋" w:eastAsia="仿宋" w:cs="仿宋"/>
          <w:sz w:val="24"/>
          <w:lang w:val="en-US" w:eastAsia="zh-CN"/>
        </w:rPr>
        <w:t>核电厂放射性废物固定/固化用水泥选型及性能评价技术规范</w:t>
      </w:r>
      <w:r>
        <w:rPr>
          <w:rFonts w:hint="eastAsia" w:ascii="仿宋" w:hAnsi="仿宋" w:eastAsia="仿宋" w:cs="仿宋"/>
          <w:sz w:val="24"/>
        </w:rPr>
        <w:t>》在内的</w:t>
      </w:r>
      <w:r>
        <w:rPr>
          <w:rFonts w:hint="eastAsia" w:ascii="仿宋" w:hAnsi="仿宋" w:eastAsia="仿宋" w:cs="仿宋"/>
          <w:sz w:val="24"/>
          <w:lang w:val="en-US" w:eastAsia="zh-CN"/>
        </w:rPr>
        <w:t>32</w:t>
      </w:r>
      <w:r>
        <w:rPr>
          <w:rFonts w:hint="eastAsia" w:ascii="仿宋" w:hAnsi="仿宋" w:eastAsia="仿宋" w:cs="仿宋"/>
          <w:sz w:val="24"/>
        </w:rPr>
        <w:t>项标准予以立项，并于2025年1月3日下发《关于缴纳中国能源研究会团体标准技术服务费用的通知》（中能研核专[2025]1号），与苏州热工研究院有限公司签订《中国能源研究会团体标准编制协议书》。本标准由苏州热工研究院有限公司牵头，预计2</w:t>
      </w:r>
      <w:r>
        <w:rPr>
          <w:rFonts w:ascii="仿宋" w:hAnsi="仿宋" w:eastAsia="仿宋" w:cs="仿宋"/>
          <w:sz w:val="24"/>
        </w:rPr>
        <w:t>02</w:t>
      </w:r>
      <w:r>
        <w:rPr>
          <w:rFonts w:hint="eastAsia" w:ascii="仿宋" w:hAnsi="仿宋" w:eastAsia="仿宋" w:cs="仿宋"/>
          <w:sz w:val="24"/>
          <w:lang w:val="en-US" w:eastAsia="zh-CN"/>
        </w:rPr>
        <w:t>5</w:t>
      </w:r>
      <w:r>
        <w:rPr>
          <w:rFonts w:hint="eastAsia" w:ascii="仿宋" w:hAnsi="仿宋" w:eastAsia="仿宋" w:cs="仿宋"/>
          <w:sz w:val="24"/>
        </w:rPr>
        <w:t>年</w:t>
      </w:r>
      <w:r>
        <w:rPr>
          <w:rFonts w:hint="eastAsia" w:ascii="仿宋" w:hAnsi="仿宋" w:eastAsia="仿宋" w:cs="仿宋"/>
          <w:sz w:val="24"/>
          <w:lang w:val="en-US" w:eastAsia="zh-CN"/>
        </w:rPr>
        <w:t>11</w:t>
      </w:r>
      <w:r>
        <w:rPr>
          <w:rFonts w:hint="eastAsia" w:ascii="仿宋" w:hAnsi="仿宋" w:eastAsia="仿宋" w:cs="仿宋"/>
          <w:sz w:val="24"/>
        </w:rPr>
        <w:t>月完成报批。</w:t>
      </w:r>
    </w:p>
    <w:p>
      <w:pPr>
        <w:spacing w:line="300" w:lineRule="auto"/>
        <w:rPr>
          <w:rFonts w:ascii="仿宋" w:hAnsi="仿宋" w:eastAsia="仿宋" w:cs="仿宋"/>
          <w:b/>
          <w:sz w:val="24"/>
        </w:rPr>
      </w:pPr>
      <w:r>
        <w:rPr>
          <w:rFonts w:hint="eastAsia" w:ascii="仿宋" w:hAnsi="仿宋" w:eastAsia="仿宋" w:cs="仿宋"/>
          <w:b/>
          <w:sz w:val="24"/>
        </w:rPr>
        <w:t>1.2  协作单位</w:t>
      </w:r>
    </w:p>
    <w:p>
      <w:pPr>
        <w:spacing w:line="300" w:lineRule="auto"/>
        <w:ind w:firstLine="506" w:firstLineChars="200"/>
        <w:rPr>
          <w:rFonts w:ascii="仿宋" w:hAnsi="仿宋" w:eastAsia="仿宋" w:cs="仿宋"/>
          <w:spacing w:val="6"/>
          <w:sz w:val="24"/>
        </w:rPr>
      </w:pPr>
      <w:r>
        <w:rPr>
          <w:rFonts w:hint="eastAsia" w:ascii="仿宋" w:hAnsi="仿宋" w:eastAsia="仿宋" w:cs="仿宋"/>
          <w:b/>
          <w:spacing w:val="6"/>
          <w:sz w:val="24"/>
        </w:rPr>
        <w:t>牵头单位：</w:t>
      </w:r>
      <w:r>
        <w:rPr>
          <w:rFonts w:hint="eastAsia" w:ascii="仿宋" w:hAnsi="仿宋" w:eastAsia="仿宋" w:cs="仿宋"/>
          <w:spacing w:val="6"/>
          <w:sz w:val="24"/>
        </w:rPr>
        <w:t>苏州热工研究院有限公司；</w:t>
      </w:r>
    </w:p>
    <w:p>
      <w:pPr>
        <w:spacing w:line="300" w:lineRule="auto"/>
        <w:ind w:firstLine="506" w:firstLineChars="200"/>
        <w:rPr>
          <w:rFonts w:hint="eastAsia" w:ascii="仿宋" w:hAnsi="仿宋" w:eastAsia="仿宋" w:cs="仿宋"/>
          <w:spacing w:val="6"/>
          <w:sz w:val="24"/>
          <w:lang w:val="en-US" w:eastAsia="zh-CN"/>
        </w:rPr>
      </w:pPr>
      <w:r>
        <w:rPr>
          <w:rFonts w:hint="eastAsia" w:ascii="仿宋" w:hAnsi="仿宋" w:eastAsia="仿宋" w:cs="仿宋"/>
          <w:b/>
          <w:spacing w:val="6"/>
          <w:sz w:val="24"/>
        </w:rPr>
        <w:t>参编单位：</w:t>
      </w:r>
      <w:r>
        <w:rPr>
          <w:rFonts w:hint="eastAsia" w:ascii="仿宋" w:hAnsi="仿宋" w:eastAsia="仿宋" w:cs="仿宋"/>
          <w:spacing w:val="6"/>
          <w:sz w:val="24"/>
        </w:rPr>
        <w:t>阳江核电有限公司、</w:t>
      </w:r>
      <w:r>
        <w:rPr>
          <w:rFonts w:hint="eastAsia" w:ascii="仿宋" w:hAnsi="仿宋" w:eastAsia="仿宋" w:cs="仿宋"/>
          <w:spacing w:val="6"/>
          <w:sz w:val="24"/>
          <w:lang w:val="en-US" w:eastAsia="zh-CN"/>
        </w:rPr>
        <w:t>南华大学</w:t>
      </w:r>
    </w:p>
    <w:p>
      <w:pPr>
        <w:spacing w:line="300" w:lineRule="auto"/>
        <w:rPr>
          <w:rFonts w:ascii="仿宋" w:hAnsi="仿宋" w:eastAsia="仿宋" w:cs="仿宋"/>
          <w:b/>
          <w:sz w:val="24"/>
        </w:rPr>
      </w:pPr>
      <w:r>
        <w:rPr>
          <w:rFonts w:hint="eastAsia" w:ascii="仿宋" w:hAnsi="仿宋" w:eastAsia="仿宋" w:cs="仿宋"/>
          <w:b/>
          <w:sz w:val="24"/>
        </w:rPr>
        <w:t>2  编制工作组简况</w:t>
      </w:r>
    </w:p>
    <w:p>
      <w:pPr>
        <w:spacing w:line="300" w:lineRule="auto"/>
        <w:rPr>
          <w:rFonts w:ascii="仿宋" w:hAnsi="仿宋" w:eastAsia="仿宋" w:cs="仿宋"/>
          <w:b/>
          <w:sz w:val="24"/>
        </w:rPr>
      </w:pPr>
      <w:r>
        <w:rPr>
          <w:rFonts w:hint="eastAsia" w:ascii="仿宋" w:hAnsi="仿宋" w:eastAsia="仿宋" w:cs="仿宋"/>
          <w:b/>
          <w:sz w:val="24"/>
        </w:rPr>
        <w:t>2.1  编制工作组及其成员情况</w:t>
      </w:r>
    </w:p>
    <w:p>
      <w:pPr>
        <w:pStyle w:val="4"/>
        <w:rPr>
          <w:rFonts w:hint="eastAsia" w:ascii="仿宋" w:hAnsi="仿宋" w:eastAsia="仿宋" w:cs="仿宋"/>
          <w:spacing w:val="6"/>
          <w:sz w:val="24"/>
        </w:rPr>
      </w:pPr>
      <w:r>
        <w:rPr>
          <w:rFonts w:hint="eastAsia" w:ascii="仿宋" w:hAnsi="仿宋" w:eastAsia="仿宋" w:cs="仿宋"/>
          <w:b/>
          <w:spacing w:val="6"/>
          <w:sz w:val="24"/>
        </w:rPr>
        <w:t>科研院所：</w:t>
      </w:r>
      <w:r>
        <w:rPr>
          <w:rFonts w:hint="eastAsia" w:ascii="仿宋" w:hAnsi="仿宋" w:eastAsia="仿宋" w:cs="仿宋"/>
          <w:spacing w:val="6"/>
          <w:sz w:val="24"/>
        </w:rPr>
        <w:t>苏州热工研究院有限公司</w:t>
      </w:r>
      <w:r>
        <w:rPr>
          <w:rFonts w:hint="eastAsia" w:ascii="仿宋" w:hAnsi="仿宋" w:eastAsia="仿宋" w:cs="仿宋"/>
          <w:spacing w:val="6"/>
          <w:sz w:val="24"/>
          <w:lang w:eastAsia="zh-CN"/>
        </w:rPr>
        <w:t>、</w:t>
      </w:r>
      <w:r>
        <w:rPr>
          <w:rFonts w:hint="eastAsia" w:ascii="仿宋" w:hAnsi="仿宋" w:eastAsia="仿宋" w:cs="仿宋"/>
          <w:spacing w:val="6"/>
          <w:sz w:val="24"/>
          <w:lang w:val="en-US" w:eastAsia="zh-CN"/>
        </w:rPr>
        <w:t>南华大学</w:t>
      </w:r>
      <w:r>
        <w:rPr>
          <w:rFonts w:hint="eastAsia" w:ascii="仿宋" w:hAnsi="仿宋" w:eastAsia="仿宋" w:cs="仿宋"/>
          <w:spacing w:val="6"/>
          <w:sz w:val="24"/>
        </w:rPr>
        <w:t>，主要成员有陈国星、魏少翀、</w:t>
      </w:r>
      <w:r>
        <w:rPr>
          <w:rFonts w:hint="eastAsia" w:ascii="仿宋" w:hAnsi="仿宋" w:eastAsia="仿宋" w:cs="仿宋"/>
          <w:spacing w:val="6"/>
          <w:sz w:val="24"/>
          <w:lang w:val="en-US" w:eastAsia="zh-CN"/>
        </w:rPr>
        <w:t>潘晨阳、李春光、夏良树、</w:t>
      </w:r>
      <w:r>
        <w:rPr>
          <w:rFonts w:hint="eastAsia" w:ascii="仿宋" w:hAnsi="仿宋" w:eastAsia="仿宋" w:cs="仿宋"/>
          <w:spacing w:val="6"/>
          <w:sz w:val="24"/>
        </w:rPr>
        <w:t>陆壮、</w:t>
      </w:r>
      <w:r>
        <w:rPr>
          <w:rFonts w:hint="eastAsia" w:ascii="仿宋" w:hAnsi="仿宋" w:eastAsia="仿宋" w:cs="仿宋"/>
          <w:spacing w:val="6"/>
          <w:sz w:val="24"/>
          <w:lang w:val="en-US" w:eastAsia="zh-CN"/>
        </w:rPr>
        <w:t>陆海峰、</w:t>
      </w:r>
      <w:r>
        <w:rPr>
          <w:rFonts w:hint="eastAsia" w:ascii="仿宋" w:hAnsi="仿宋" w:eastAsia="仿宋" w:cs="仿宋"/>
          <w:spacing w:val="6"/>
          <w:sz w:val="24"/>
        </w:rPr>
        <w:t>史一岭、刘成威、邹扬、史经灿。</w:t>
      </w:r>
    </w:p>
    <w:p>
      <w:pPr>
        <w:spacing w:line="300" w:lineRule="auto"/>
        <w:ind w:firstLine="506" w:firstLineChars="200"/>
        <w:rPr>
          <w:rFonts w:ascii="仿宋" w:hAnsi="仿宋" w:eastAsia="仿宋" w:cs="仿宋"/>
          <w:spacing w:val="6"/>
          <w:sz w:val="24"/>
        </w:rPr>
      </w:pPr>
      <w:r>
        <w:rPr>
          <w:rFonts w:hint="eastAsia" w:ascii="仿宋" w:hAnsi="仿宋" w:eastAsia="仿宋" w:cs="仿宋"/>
          <w:b/>
          <w:spacing w:val="6"/>
          <w:sz w:val="24"/>
        </w:rPr>
        <w:t>业主单位：</w:t>
      </w:r>
      <w:r>
        <w:rPr>
          <w:rFonts w:hint="eastAsia" w:ascii="仿宋" w:hAnsi="仿宋" w:eastAsia="仿宋" w:cs="仿宋"/>
          <w:spacing w:val="6"/>
          <w:sz w:val="24"/>
        </w:rPr>
        <w:t>阳江核电有限公司，主要成员姚志猛、李新贤、陈建、</w:t>
      </w:r>
      <w:r>
        <w:rPr>
          <w:rFonts w:hint="eastAsia" w:ascii="仿宋" w:hAnsi="仿宋" w:eastAsia="仿宋" w:cs="仿宋"/>
          <w:spacing w:val="6"/>
          <w:sz w:val="24"/>
          <w:lang w:val="en-US" w:eastAsia="zh-CN"/>
        </w:rPr>
        <w:t>李钦、</w:t>
      </w:r>
      <w:r>
        <w:rPr>
          <w:rFonts w:hint="eastAsia" w:ascii="仿宋" w:hAnsi="仿宋" w:eastAsia="仿宋" w:cs="仿宋"/>
          <w:spacing w:val="6"/>
          <w:sz w:val="24"/>
        </w:rPr>
        <w:t>李振龙。</w:t>
      </w:r>
    </w:p>
    <w:p>
      <w:pPr>
        <w:spacing w:line="300" w:lineRule="auto"/>
        <w:rPr>
          <w:rFonts w:ascii="仿宋" w:hAnsi="仿宋" w:eastAsia="仿宋" w:cs="仿宋"/>
          <w:b/>
          <w:sz w:val="24"/>
        </w:rPr>
      </w:pPr>
      <w:r>
        <w:rPr>
          <w:rFonts w:hint="eastAsia" w:ascii="仿宋" w:hAnsi="仿宋" w:eastAsia="仿宋" w:cs="仿宋"/>
          <w:b/>
          <w:sz w:val="24"/>
        </w:rPr>
        <w:t>2.2  标准主要起草人及其所做的工作</w:t>
      </w:r>
    </w:p>
    <w:p>
      <w:pPr>
        <w:spacing w:line="300" w:lineRule="auto"/>
        <w:ind w:firstLine="504" w:firstLineChars="200"/>
        <w:rPr>
          <w:rFonts w:ascii="仿宋" w:hAnsi="仿宋" w:eastAsia="仿宋" w:cs="仿宋"/>
          <w:spacing w:val="6"/>
          <w:sz w:val="24"/>
        </w:rPr>
      </w:pPr>
      <w:r>
        <w:rPr>
          <w:rFonts w:hint="eastAsia" w:ascii="仿宋" w:hAnsi="仿宋" w:eastAsia="仿宋" w:cs="仿宋"/>
          <w:spacing w:val="6"/>
          <w:sz w:val="24"/>
        </w:rPr>
        <w:t>主要起草人陈国星、</w:t>
      </w:r>
      <w:r>
        <w:rPr>
          <w:rFonts w:hint="eastAsia" w:ascii="仿宋" w:hAnsi="仿宋" w:eastAsia="仿宋" w:cs="仿宋"/>
          <w:spacing w:val="6"/>
          <w:sz w:val="24"/>
          <w:lang w:val="en-US" w:eastAsia="zh-CN"/>
        </w:rPr>
        <w:t>潘晨阳、</w:t>
      </w:r>
      <w:r>
        <w:rPr>
          <w:rFonts w:hint="eastAsia" w:ascii="仿宋" w:hAnsi="仿宋" w:eastAsia="仿宋" w:cs="仿宋"/>
          <w:spacing w:val="6"/>
          <w:sz w:val="24"/>
        </w:rPr>
        <w:t>魏少翀、</w:t>
      </w:r>
      <w:r>
        <w:rPr>
          <w:rFonts w:hint="eastAsia" w:ascii="仿宋" w:hAnsi="仿宋" w:eastAsia="仿宋" w:cs="仿宋"/>
          <w:spacing w:val="6"/>
          <w:sz w:val="24"/>
          <w:lang w:val="en-US" w:eastAsia="zh-CN"/>
        </w:rPr>
        <w:t>李春光</w:t>
      </w:r>
      <w:r>
        <w:rPr>
          <w:rFonts w:hint="eastAsia" w:ascii="仿宋" w:hAnsi="仿宋" w:eastAsia="仿宋" w:cs="仿宋"/>
          <w:spacing w:val="6"/>
          <w:sz w:val="24"/>
        </w:rPr>
        <w:t>等</w:t>
      </w:r>
      <w:r>
        <w:rPr>
          <w:rFonts w:hint="eastAsia" w:ascii="仿宋" w:hAnsi="仿宋" w:eastAsia="仿宋" w:cs="仿宋"/>
          <w:spacing w:val="6"/>
          <w:sz w:val="24"/>
          <w:lang w:val="en-US" w:eastAsia="zh-CN"/>
        </w:rPr>
        <w:t>科研院所</w:t>
      </w:r>
      <w:r>
        <w:rPr>
          <w:rFonts w:hint="eastAsia" w:ascii="仿宋" w:hAnsi="仿宋" w:eastAsia="仿宋" w:cs="仿宋"/>
          <w:spacing w:val="6"/>
          <w:sz w:val="24"/>
        </w:rPr>
        <w:t>成员，主要负责标准相关资料的搜集与调研、标准框架编制、标准内容起草、反馈意见整理、组织协调等工作，具体负责1、2、3、7章节的编写，部分参与</w:t>
      </w:r>
      <w:r>
        <w:rPr>
          <w:rFonts w:ascii="仿宋" w:hAnsi="仿宋" w:eastAsia="仿宋" w:cs="仿宋"/>
          <w:spacing w:val="6"/>
          <w:sz w:val="24"/>
        </w:rPr>
        <w:t>4</w:t>
      </w:r>
      <w:r>
        <w:rPr>
          <w:rFonts w:hint="eastAsia" w:ascii="仿宋" w:hAnsi="仿宋" w:eastAsia="仿宋" w:cs="仿宋"/>
          <w:spacing w:val="6"/>
          <w:sz w:val="24"/>
        </w:rPr>
        <w:t>、5、6章节的编写；</w:t>
      </w:r>
    </w:p>
    <w:p>
      <w:pPr>
        <w:pStyle w:val="36"/>
        <w:spacing w:before="0" w:beforeAutospacing="0" w:after="0" w:afterAutospacing="0" w:line="300" w:lineRule="auto"/>
        <w:ind w:firstLine="480" w:firstLineChars="200"/>
        <w:rPr>
          <w:rFonts w:ascii="仿宋" w:hAnsi="仿宋" w:eastAsia="仿宋" w:cs="仿宋"/>
          <w:b/>
        </w:rPr>
      </w:pPr>
      <w:r>
        <w:rPr>
          <w:rFonts w:hint="eastAsia" w:ascii="仿宋" w:hAnsi="仿宋" w:eastAsia="仿宋" w:cs="仿宋"/>
          <w:kern w:val="2"/>
        </w:rPr>
        <w:t>主要起草人</w:t>
      </w:r>
      <w:r>
        <w:rPr>
          <w:rFonts w:hint="eastAsia" w:ascii="仿宋" w:hAnsi="仿宋" w:eastAsia="仿宋" w:cs="仿宋"/>
          <w:spacing w:val="6"/>
          <w:sz w:val="24"/>
        </w:rPr>
        <w:t>姚志猛、李新贤、陈建、</w:t>
      </w:r>
      <w:r>
        <w:rPr>
          <w:rFonts w:hint="eastAsia" w:ascii="仿宋" w:hAnsi="仿宋" w:eastAsia="仿宋" w:cs="仿宋"/>
          <w:spacing w:val="6"/>
          <w:sz w:val="24"/>
          <w:lang w:val="en-US" w:eastAsia="zh-CN"/>
        </w:rPr>
        <w:t>李钦、</w:t>
      </w:r>
      <w:r>
        <w:rPr>
          <w:rFonts w:hint="eastAsia" w:ascii="仿宋" w:hAnsi="仿宋" w:eastAsia="仿宋" w:cs="仿宋"/>
          <w:spacing w:val="6"/>
          <w:sz w:val="24"/>
        </w:rPr>
        <w:t>李振龙</w:t>
      </w:r>
      <w:r>
        <w:rPr>
          <w:rFonts w:hint="eastAsia" w:ascii="仿宋" w:hAnsi="仿宋" w:eastAsia="仿宋" w:cs="仿宋"/>
          <w:kern w:val="2"/>
        </w:rPr>
        <w:t>等业主单位成员，为本标准中提供工程应用案例、现场工程实施条件，为本标准中技术方法、功能架构的确立提供科研条件和实验论证，为本标准未</w:t>
      </w:r>
      <w:bookmarkStart w:id="4" w:name="_GoBack"/>
      <w:bookmarkEnd w:id="4"/>
      <w:r>
        <w:rPr>
          <w:rFonts w:hint="eastAsia" w:ascii="仿宋" w:hAnsi="仿宋" w:eastAsia="仿宋" w:cs="仿宋"/>
          <w:kern w:val="2"/>
        </w:rPr>
        <w:t>来在新建电厂工程应用，提供了工作接口和运行维护的设计参考。部分参与了2、3、4、7等章节的编写。</w:t>
      </w:r>
      <w:r>
        <w:rPr>
          <w:rFonts w:ascii="仿宋" w:hAnsi="仿宋" w:eastAsia="仿宋" w:cs="仿宋"/>
          <w:kern w:val="2"/>
        </w:rPr>
        <w:cr/>
      </w:r>
      <w:r>
        <w:rPr>
          <w:rFonts w:hint="eastAsia" w:ascii="仿宋" w:hAnsi="仿宋" w:eastAsia="仿宋" w:cs="仿宋"/>
          <w:b/>
        </w:rPr>
        <w:t>3  起草阶段的主要工作内容</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4</w:t>
      </w:r>
      <w:r>
        <w:rPr>
          <w:rFonts w:hint="eastAsia" w:ascii="仿宋" w:hAnsi="仿宋" w:eastAsia="仿宋" w:cs="仿宋"/>
          <w:kern w:val="2"/>
        </w:rPr>
        <w:t>年</w:t>
      </w:r>
      <w:r>
        <w:rPr>
          <w:rFonts w:hint="eastAsia" w:ascii="仿宋" w:hAnsi="仿宋" w:eastAsia="仿宋" w:cs="仿宋"/>
          <w:kern w:val="2"/>
          <w:lang w:val="en-US" w:eastAsia="zh-CN"/>
        </w:rPr>
        <w:t>8</w:t>
      </w:r>
      <w:r>
        <w:rPr>
          <w:rFonts w:hint="eastAsia" w:ascii="仿宋" w:hAnsi="仿宋" w:eastAsia="仿宋" w:cs="仿宋"/>
          <w:kern w:val="2"/>
        </w:rPr>
        <w:t>月，苏州热工院接到中国能源研究会《关于申报 202</w:t>
      </w:r>
      <w:r>
        <w:rPr>
          <w:rFonts w:hint="eastAsia" w:ascii="仿宋" w:hAnsi="仿宋" w:eastAsia="仿宋" w:cs="仿宋"/>
          <w:kern w:val="2"/>
          <w:lang w:val="en-US" w:eastAsia="zh-CN"/>
        </w:rPr>
        <w:t>4</w:t>
      </w:r>
      <w:r>
        <w:rPr>
          <w:rFonts w:hint="eastAsia" w:ascii="仿宋" w:hAnsi="仿宋" w:eastAsia="仿宋" w:cs="仿宋"/>
          <w:kern w:val="2"/>
        </w:rPr>
        <w:t>年第</w:t>
      </w:r>
      <w:r>
        <w:rPr>
          <w:rFonts w:hint="eastAsia" w:ascii="仿宋" w:hAnsi="仿宋" w:eastAsia="仿宋" w:cs="仿宋"/>
          <w:kern w:val="2"/>
          <w:lang w:val="en-US" w:eastAsia="zh-CN"/>
        </w:rPr>
        <w:t>二</w:t>
      </w:r>
      <w:r>
        <w:rPr>
          <w:rFonts w:hint="eastAsia" w:ascii="仿宋" w:hAnsi="仿宋" w:eastAsia="仿宋" w:cs="仿宋"/>
          <w:kern w:val="2"/>
        </w:rPr>
        <w:t>批中国能源研究会标准立项的通知》，开始组织立项前的调研和申请材料准备；</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4</w:t>
      </w:r>
      <w:r>
        <w:rPr>
          <w:rFonts w:hint="eastAsia" w:ascii="仿宋" w:hAnsi="仿宋" w:eastAsia="仿宋" w:cs="仿宋"/>
          <w:kern w:val="2"/>
        </w:rPr>
        <w:t>年</w:t>
      </w:r>
      <w:r>
        <w:rPr>
          <w:rFonts w:hint="eastAsia" w:ascii="仿宋" w:hAnsi="仿宋" w:eastAsia="仿宋" w:cs="仿宋"/>
          <w:kern w:val="2"/>
          <w:lang w:val="en-US" w:eastAsia="zh-CN"/>
        </w:rPr>
        <w:t>10</w:t>
      </w:r>
      <w:r>
        <w:rPr>
          <w:rFonts w:hint="eastAsia" w:ascii="仿宋" w:hAnsi="仿宋" w:eastAsia="仿宋" w:cs="仿宋"/>
          <w:kern w:val="2"/>
        </w:rPr>
        <w:t>月，中国能源研究会以线上会议方式召开202</w:t>
      </w:r>
      <w:r>
        <w:rPr>
          <w:rFonts w:hint="eastAsia" w:ascii="仿宋" w:hAnsi="仿宋" w:eastAsia="仿宋" w:cs="仿宋"/>
          <w:kern w:val="2"/>
          <w:lang w:val="en-US" w:eastAsia="zh-CN"/>
        </w:rPr>
        <w:t>4</w:t>
      </w:r>
      <w:r>
        <w:rPr>
          <w:rFonts w:hint="eastAsia" w:ascii="仿宋" w:hAnsi="仿宋" w:eastAsia="仿宋" w:cs="仿宋"/>
          <w:kern w:val="2"/>
        </w:rPr>
        <w:t>年标准工作委员会会议，会议通过了本文件的立项申请，准予立项；</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4</w:t>
      </w:r>
      <w:r>
        <w:rPr>
          <w:rFonts w:hint="eastAsia" w:ascii="仿宋" w:hAnsi="仿宋" w:eastAsia="仿宋" w:cs="仿宋"/>
          <w:kern w:val="2"/>
        </w:rPr>
        <w:t>年</w:t>
      </w:r>
      <w:r>
        <w:rPr>
          <w:rFonts w:hint="eastAsia" w:ascii="仿宋" w:hAnsi="仿宋" w:eastAsia="仿宋" w:cs="仿宋"/>
          <w:kern w:val="2"/>
          <w:lang w:val="en-US" w:eastAsia="zh-CN"/>
        </w:rPr>
        <w:t>11</w:t>
      </w:r>
      <w:r>
        <w:rPr>
          <w:rFonts w:hint="eastAsia" w:ascii="仿宋" w:hAnsi="仿宋" w:eastAsia="仿宋" w:cs="仿宋"/>
          <w:kern w:val="2"/>
        </w:rPr>
        <w:t>月</w:t>
      </w:r>
      <w:r>
        <w:rPr>
          <w:rFonts w:hint="eastAsia" w:ascii="仿宋" w:hAnsi="仿宋" w:eastAsia="仿宋" w:cs="仿宋"/>
          <w:kern w:val="2"/>
          <w:lang w:val="en-US" w:eastAsia="zh-CN"/>
        </w:rPr>
        <w:t>4</w:t>
      </w:r>
      <w:r>
        <w:rPr>
          <w:rFonts w:hint="eastAsia" w:ascii="仿宋" w:hAnsi="仿宋" w:eastAsia="仿宋" w:cs="仿宋"/>
          <w:kern w:val="2"/>
        </w:rPr>
        <w:t>日，中国能源研究会下达《关于202</w:t>
      </w:r>
      <w:r>
        <w:rPr>
          <w:rFonts w:hint="eastAsia" w:ascii="仿宋" w:hAnsi="仿宋" w:eastAsia="仿宋" w:cs="仿宋"/>
          <w:kern w:val="2"/>
          <w:lang w:val="en-US" w:eastAsia="zh-CN"/>
        </w:rPr>
        <w:t>4</w:t>
      </w:r>
      <w:r>
        <w:rPr>
          <w:rFonts w:hint="eastAsia" w:ascii="仿宋" w:hAnsi="仿宋" w:eastAsia="仿宋" w:cs="仿宋"/>
          <w:kern w:val="2"/>
        </w:rPr>
        <w:t>年第</w:t>
      </w:r>
      <w:r>
        <w:rPr>
          <w:rFonts w:hint="eastAsia" w:ascii="仿宋" w:hAnsi="仿宋" w:eastAsia="仿宋" w:cs="仿宋"/>
          <w:kern w:val="2"/>
          <w:lang w:val="en-US" w:eastAsia="zh-CN"/>
        </w:rPr>
        <w:t>二</w:t>
      </w:r>
      <w:r>
        <w:rPr>
          <w:rFonts w:hint="eastAsia" w:ascii="仿宋" w:hAnsi="仿宋" w:eastAsia="仿宋" w:cs="仿宋"/>
          <w:kern w:val="2"/>
        </w:rPr>
        <w:t>批中国能源研究会标准立项的通知》。</w:t>
      </w:r>
    </w:p>
    <w:p>
      <w:pPr>
        <w:pStyle w:val="36"/>
        <w:spacing w:before="0" w:beforeAutospacing="0" w:after="0" w:afterAutospacing="0" w:line="300" w:lineRule="auto"/>
        <w:ind w:firstLine="480" w:firstLineChars="200"/>
        <w:jc w:val="both"/>
        <w:rPr>
          <w:rFonts w:hint="eastAsia"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4</w:t>
      </w:r>
      <w:r>
        <w:rPr>
          <w:rFonts w:hint="eastAsia" w:ascii="仿宋" w:hAnsi="仿宋" w:eastAsia="仿宋" w:cs="仿宋"/>
          <w:kern w:val="2"/>
        </w:rPr>
        <w:t>年</w:t>
      </w:r>
      <w:r>
        <w:rPr>
          <w:rFonts w:hint="eastAsia" w:ascii="仿宋" w:hAnsi="仿宋" w:eastAsia="仿宋" w:cs="仿宋"/>
          <w:kern w:val="2"/>
          <w:lang w:val="en-US" w:eastAsia="zh-CN"/>
        </w:rPr>
        <w:t>11</w:t>
      </w:r>
      <w:r>
        <w:rPr>
          <w:rFonts w:hint="eastAsia" w:ascii="仿宋" w:hAnsi="仿宋" w:eastAsia="仿宋" w:cs="仿宋"/>
          <w:kern w:val="2"/>
        </w:rPr>
        <w:t>月-1</w:t>
      </w:r>
      <w:r>
        <w:rPr>
          <w:rFonts w:hint="eastAsia" w:ascii="仿宋" w:hAnsi="仿宋" w:eastAsia="仿宋" w:cs="仿宋"/>
          <w:kern w:val="2"/>
          <w:lang w:val="en-US" w:eastAsia="zh-CN"/>
        </w:rPr>
        <w:t>2</w:t>
      </w:r>
      <w:r>
        <w:rPr>
          <w:rFonts w:hint="eastAsia" w:ascii="仿宋" w:hAnsi="仿宋" w:eastAsia="仿宋" w:cs="仿宋"/>
          <w:kern w:val="2"/>
        </w:rPr>
        <w:t>月，苏州热工研究院有限公司联合</w:t>
      </w:r>
      <w:r>
        <w:rPr>
          <w:rFonts w:hint="eastAsia" w:ascii="仿宋" w:hAnsi="仿宋" w:eastAsia="仿宋" w:cs="仿宋"/>
          <w:spacing w:val="6"/>
        </w:rPr>
        <w:t>阳江核电有限公司、</w:t>
      </w:r>
      <w:r>
        <w:rPr>
          <w:rFonts w:hint="eastAsia" w:ascii="仿宋" w:hAnsi="仿宋" w:eastAsia="仿宋" w:cs="仿宋"/>
          <w:spacing w:val="6"/>
          <w:lang w:val="en-US" w:eastAsia="zh-CN"/>
        </w:rPr>
        <w:t>南华大学</w:t>
      </w:r>
      <w:r>
        <w:rPr>
          <w:rFonts w:hint="eastAsia" w:ascii="仿宋" w:hAnsi="仿宋" w:eastAsia="仿宋" w:cs="仿宋"/>
          <w:kern w:val="2"/>
        </w:rPr>
        <w:t>等单位成立标准编制组，制订了编制计划，确定了本标准的编制原则、标准结构和编制内容。查找国内外性能检测相关标准规范，对比相关研究内容，总结本标准制定的必要性及重要性。</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5</w:t>
      </w:r>
      <w:r>
        <w:rPr>
          <w:rFonts w:hint="eastAsia" w:ascii="仿宋" w:hAnsi="仿宋" w:eastAsia="仿宋" w:cs="仿宋"/>
          <w:kern w:val="2"/>
        </w:rPr>
        <w:t>年1月-202</w:t>
      </w:r>
      <w:r>
        <w:rPr>
          <w:rFonts w:hint="eastAsia" w:ascii="仿宋" w:hAnsi="仿宋" w:eastAsia="仿宋" w:cs="仿宋"/>
          <w:kern w:val="2"/>
          <w:lang w:val="en-US" w:eastAsia="zh-CN"/>
        </w:rPr>
        <w:t>5</w:t>
      </w:r>
      <w:r>
        <w:rPr>
          <w:rFonts w:hint="eastAsia" w:ascii="仿宋" w:hAnsi="仿宋" w:eastAsia="仿宋" w:cs="仿宋"/>
          <w:kern w:val="2"/>
        </w:rPr>
        <w:t>年</w:t>
      </w:r>
      <w:r>
        <w:rPr>
          <w:rFonts w:hint="eastAsia" w:ascii="仿宋" w:hAnsi="仿宋" w:eastAsia="仿宋" w:cs="仿宋"/>
          <w:kern w:val="2"/>
          <w:lang w:val="en-US" w:eastAsia="zh-CN"/>
        </w:rPr>
        <w:t>3</w:t>
      </w:r>
      <w:r>
        <w:rPr>
          <w:rFonts w:hint="eastAsia" w:ascii="仿宋" w:hAnsi="仿宋" w:eastAsia="仿宋" w:cs="仿宋"/>
          <w:kern w:val="2"/>
        </w:rPr>
        <w:t>月，</w:t>
      </w:r>
      <w:r>
        <w:rPr>
          <w:rFonts w:hint="eastAsia" w:ascii="仿宋" w:hAnsi="仿宋" w:eastAsia="仿宋" w:cs="仿宋"/>
          <w:kern w:val="2"/>
          <w:lang w:val="en-US" w:eastAsia="zh-CN"/>
        </w:rPr>
        <w:t>对水泥固化体性能检测试验数据进行分析整理</w:t>
      </w:r>
      <w:r>
        <w:rPr>
          <w:rFonts w:hint="eastAsia" w:ascii="仿宋" w:hAnsi="仿宋" w:eastAsia="仿宋" w:cs="仿宋"/>
          <w:kern w:val="2"/>
        </w:rPr>
        <w:t>，并完成标准草案的编制；</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202</w:t>
      </w:r>
      <w:r>
        <w:rPr>
          <w:rFonts w:hint="eastAsia" w:ascii="仿宋" w:hAnsi="仿宋" w:eastAsia="仿宋" w:cs="仿宋"/>
          <w:kern w:val="2"/>
          <w:lang w:val="en-US" w:eastAsia="zh-CN"/>
        </w:rPr>
        <w:t>5</w:t>
      </w:r>
      <w:r>
        <w:rPr>
          <w:rFonts w:hint="eastAsia" w:ascii="仿宋" w:hAnsi="仿宋" w:eastAsia="仿宋" w:cs="仿宋"/>
          <w:kern w:val="2"/>
        </w:rPr>
        <w:t>年</w:t>
      </w:r>
      <w:r>
        <w:rPr>
          <w:rFonts w:hint="eastAsia" w:ascii="仿宋" w:hAnsi="仿宋" w:eastAsia="仿宋" w:cs="仿宋"/>
          <w:kern w:val="2"/>
          <w:lang w:val="en-US" w:eastAsia="zh-CN"/>
        </w:rPr>
        <w:t>3</w:t>
      </w:r>
      <w:r>
        <w:rPr>
          <w:rFonts w:hint="eastAsia" w:ascii="仿宋" w:hAnsi="仿宋" w:eastAsia="仿宋" w:cs="仿宋"/>
          <w:kern w:val="2"/>
        </w:rPr>
        <w:t>月-</w:t>
      </w:r>
      <w:r>
        <w:rPr>
          <w:rFonts w:hint="eastAsia" w:ascii="仿宋" w:hAnsi="仿宋" w:eastAsia="仿宋" w:cs="仿宋"/>
          <w:kern w:val="2"/>
          <w:lang w:val="en-US" w:eastAsia="zh-CN"/>
        </w:rPr>
        <w:t>XX</w:t>
      </w:r>
      <w:r>
        <w:rPr>
          <w:rFonts w:hint="eastAsia" w:ascii="仿宋" w:hAnsi="仿宋" w:eastAsia="仿宋" w:cs="仿宋"/>
          <w:kern w:val="2"/>
        </w:rPr>
        <w:t>月，在标准初稿编写完成后，中国能源研究会将初稿向多名业内专家征求意见。编制组根据专家意见，对标准初稿内容进行认真讨论，提出具体的修改意见和建议。项目组采纳多位专家提出的</w:t>
      </w:r>
      <w:r>
        <w:rPr>
          <w:rFonts w:hint="eastAsia" w:ascii="仿宋" w:hAnsi="仿宋" w:eastAsia="仿宋" w:cs="仿宋"/>
          <w:kern w:val="2"/>
          <w:lang w:val="en-US" w:eastAsia="zh-CN"/>
        </w:rPr>
        <w:t>XX</w:t>
      </w:r>
      <w:r>
        <w:rPr>
          <w:rFonts w:hint="eastAsia" w:ascii="仿宋" w:hAnsi="仿宋" w:eastAsia="仿宋" w:cs="仿宋"/>
          <w:kern w:val="2"/>
        </w:rPr>
        <w:t>条意见，进行详细修改，并在此基础上形成了送审稿；</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年月，能源研究会在苏州召开现场会议对送审稿进行审查，形成初步送审稿；</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年月，能源研究会在线上召开送审稿评审会，形成报批稿；</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年月，能源研究会对报批稿进行格式审查，编制组修改完成最终报批稿提交；</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年月日，中国能源研究会对报批稿进行审查，项目组基于专家意见修改了标题及标准的内容格式等。</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年月日，中国能源研究会组织专家对报批稿的格式和内容进行进一步详细审查，项目组基于专家意见对标准的章节内容进行修改，修改标准名称及检测流程图。</w:t>
      </w:r>
    </w:p>
    <w:p>
      <w:pPr>
        <w:spacing w:line="300" w:lineRule="auto"/>
        <w:rPr>
          <w:rFonts w:ascii="仿宋" w:hAnsi="仿宋" w:eastAsia="仿宋" w:cs="仿宋"/>
          <w:b/>
          <w:sz w:val="24"/>
        </w:rPr>
      </w:pPr>
      <w:r>
        <w:rPr>
          <w:rFonts w:hint="eastAsia" w:ascii="仿宋" w:hAnsi="仿宋" w:eastAsia="仿宋" w:cs="仿宋"/>
          <w:b/>
          <w:sz w:val="24"/>
        </w:rPr>
        <w:t>4  标准编制原则及与国家法律法规和强制性标准及有关标准的关系</w:t>
      </w:r>
    </w:p>
    <w:p>
      <w:pPr>
        <w:pStyle w:val="36"/>
        <w:spacing w:before="0" w:beforeAutospacing="0" w:after="0" w:afterAutospacing="0" w:line="300" w:lineRule="auto"/>
        <w:rPr>
          <w:rFonts w:ascii="仿宋" w:hAnsi="仿宋" w:eastAsia="仿宋" w:cs="仿宋"/>
          <w:b/>
          <w:kern w:val="2"/>
        </w:rPr>
      </w:pPr>
      <w:r>
        <w:rPr>
          <w:rFonts w:hint="eastAsia" w:ascii="仿宋" w:hAnsi="仿宋" w:eastAsia="仿宋" w:cs="仿宋"/>
          <w:b/>
          <w:kern w:val="2"/>
        </w:rPr>
        <w:t>4.1 编制原则</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本文件按照GB/T1.1-2020《标准化工作导则 第1部分：标准化文件的结构和起草规则》的要求和规定编写。</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同时遵循以下主要原则：</w:t>
      </w:r>
    </w:p>
    <w:p>
      <w:pPr>
        <w:pStyle w:val="36"/>
        <w:spacing w:before="0" w:beforeAutospacing="0" w:after="0" w:afterAutospacing="0" w:line="300" w:lineRule="auto"/>
        <w:ind w:firstLine="482" w:firstLineChars="200"/>
        <w:rPr>
          <w:rFonts w:ascii="仿宋" w:hAnsi="仿宋" w:eastAsia="仿宋" w:cs="仿宋"/>
          <w:b/>
          <w:bCs/>
          <w:kern w:val="2"/>
        </w:rPr>
      </w:pPr>
      <w:r>
        <w:rPr>
          <w:rFonts w:hint="eastAsia" w:ascii="仿宋" w:hAnsi="仿宋" w:eastAsia="仿宋" w:cs="仿宋"/>
          <w:b/>
          <w:bCs/>
          <w:kern w:val="2"/>
        </w:rPr>
        <w:t>（1）通用性原则</w:t>
      </w:r>
    </w:p>
    <w:p>
      <w:pPr>
        <w:pStyle w:val="168"/>
        <w:spacing w:before="62" w:line="360" w:lineRule="auto"/>
        <w:ind w:firstLine="480"/>
        <w:jc w:val="both"/>
        <w:rPr>
          <w:kern w:val="0"/>
          <w:sz w:val="20"/>
          <w:szCs w:val="20"/>
        </w:rPr>
      </w:pPr>
      <w:r>
        <w:rPr>
          <w:rFonts w:hint="eastAsia" w:ascii="仿宋" w:hAnsi="仿宋" w:eastAsia="仿宋" w:cs="仿宋"/>
        </w:rPr>
        <w:t>本标准适用于核电厂放射性废物</w:t>
      </w:r>
      <w:r>
        <w:rPr>
          <w:rFonts w:hint="eastAsia" w:ascii="仿宋" w:hAnsi="仿宋" w:eastAsia="仿宋" w:cs="仿宋"/>
          <w:lang w:val="en-US" w:eastAsia="zh-CN"/>
        </w:rPr>
        <w:t>固定/固化用水泥选型</w:t>
      </w:r>
      <w:r>
        <w:rPr>
          <w:rFonts w:hint="eastAsia" w:ascii="仿宋" w:hAnsi="仿宋" w:eastAsia="仿宋" w:cs="仿宋"/>
        </w:rPr>
        <w:t>。</w:t>
      </w:r>
    </w:p>
    <w:p>
      <w:pPr>
        <w:pStyle w:val="36"/>
        <w:spacing w:before="0" w:beforeAutospacing="0" w:after="0" w:afterAutospacing="0" w:line="300" w:lineRule="auto"/>
        <w:ind w:firstLine="482" w:firstLineChars="200"/>
        <w:rPr>
          <w:rFonts w:ascii="仿宋" w:hAnsi="仿宋" w:eastAsia="仿宋" w:cs="仿宋"/>
          <w:b/>
          <w:bCs/>
          <w:kern w:val="2"/>
        </w:rPr>
      </w:pPr>
      <w:r>
        <w:rPr>
          <w:rFonts w:hint="eastAsia" w:ascii="仿宋" w:hAnsi="仿宋" w:eastAsia="仿宋" w:cs="仿宋"/>
          <w:b/>
          <w:bCs/>
          <w:kern w:val="2"/>
        </w:rPr>
        <w:t>（2）易用性原则</w:t>
      </w:r>
    </w:p>
    <w:p>
      <w:pPr>
        <w:pStyle w:val="36"/>
        <w:spacing w:before="0" w:beforeAutospacing="0" w:after="0" w:afterAutospacing="0" w:line="300" w:lineRule="auto"/>
        <w:ind w:firstLine="480" w:firstLineChars="200"/>
        <w:rPr>
          <w:rFonts w:ascii="仿宋" w:hAnsi="仿宋" w:eastAsia="仿宋" w:cs="仿宋"/>
          <w:kern w:val="2"/>
        </w:rPr>
      </w:pPr>
      <w:r>
        <w:rPr>
          <w:rFonts w:hint="eastAsia" w:ascii="仿宋" w:hAnsi="仿宋" w:eastAsia="仿宋" w:cs="仿宋"/>
          <w:kern w:val="2"/>
        </w:rPr>
        <w:t>本文件内容的表述便于直接应用，并且易于被其他文件引用或剪裁使用。</w:t>
      </w:r>
    </w:p>
    <w:p>
      <w:pPr>
        <w:pStyle w:val="36"/>
        <w:spacing w:before="0" w:beforeAutospacing="0" w:after="0" w:afterAutospacing="0" w:line="300" w:lineRule="auto"/>
        <w:ind w:firstLine="482" w:firstLineChars="200"/>
        <w:rPr>
          <w:rFonts w:ascii="仿宋" w:hAnsi="仿宋" w:eastAsia="仿宋" w:cs="仿宋"/>
          <w:b/>
          <w:bCs/>
          <w:kern w:val="2"/>
        </w:rPr>
      </w:pPr>
      <w:r>
        <w:rPr>
          <w:rFonts w:hint="eastAsia" w:ascii="仿宋" w:hAnsi="仿宋" w:eastAsia="仿宋" w:cs="仿宋"/>
          <w:b/>
          <w:bCs/>
          <w:kern w:val="2"/>
        </w:rPr>
        <w:t>（3）质量提升原则</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在现有制造水平基础上，在满足客户当前质量要求的前提下，提升部分质量指标，使产品性能更优，更加安全。</w:t>
      </w:r>
    </w:p>
    <w:p>
      <w:pPr>
        <w:spacing w:line="300" w:lineRule="auto"/>
        <w:rPr>
          <w:rFonts w:ascii="仿宋" w:hAnsi="仿宋" w:eastAsia="仿宋" w:cs="仿宋"/>
          <w:b/>
          <w:sz w:val="24"/>
        </w:rPr>
      </w:pPr>
      <w:r>
        <w:rPr>
          <w:rFonts w:hint="eastAsia" w:ascii="仿宋" w:hAnsi="仿宋" w:eastAsia="仿宋" w:cs="仿宋"/>
          <w:b/>
          <w:sz w:val="24"/>
        </w:rPr>
        <w:t>4</w:t>
      </w:r>
      <w:r>
        <w:rPr>
          <w:rFonts w:ascii="仿宋" w:hAnsi="仿宋" w:eastAsia="仿宋" w:cs="仿宋"/>
          <w:b/>
          <w:sz w:val="24"/>
        </w:rPr>
        <w:t xml:space="preserve">.2 </w:t>
      </w:r>
      <w:r>
        <w:rPr>
          <w:rFonts w:hint="eastAsia" w:ascii="仿宋" w:hAnsi="仿宋" w:eastAsia="仿宋" w:cs="仿宋"/>
          <w:b/>
          <w:sz w:val="24"/>
        </w:rPr>
        <w:t>与法律法规、强制性标准关系</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本文件符合国家现行法律、法规、规章和强制性国家标准的要求，本标准有助于《中华人民共和国产品质量法》等相关法律、法规、规章和强制性国家标准的实施。</w:t>
      </w:r>
    </w:p>
    <w:p>
      <w:pPr>
        <w:pStyle w:val="36"/>
        <w:spacing w:before="0" w:beforeAutospacing="0" w:after="0" w:afterAutospacing="0" w:line="300" w:lineRule="auto"/>
        <w:ind w:firstLine="480" w:firstLineChars="200"/>
        <w:jc w:val="both"/>
        <w:rPr>
          <w:rFonts w:ascii="仿宋" w:hAnsi="仿宋" w:eastAsia="仿宋" w:cs="仿宋"/>
          <w:kern w:val="2"/>
        </w:rPr>
      </w:pPr>
      <w:r>
        <w:rPr>
          <w:rFonts w:hint="eastAsia" w:ascii="仿宋" w:hAnsi="仿宋" w:eastAsia="仿宋" w:cs="仿宋"/>
          <w:kern w:val="2"/>
        </w:rPr>
        <w:t>本标准的实施不涉及对现行标准的废止。</w:t>
      </w:r>
    </w:p>
    <w:p>
      <w:pPr>
        <w:spacing w:line="300" w:lineRule="auto"/>
        <w:rPr>
          <w:rFonts w:ascii="仿宋" w:hAnsi="仿宋" w:eastAsia="仿宋" w:cs="仿宋"/>
          <w:b/>
          <w:sz w:val="24"/>
        </w:rPr>
      </w:pPr>
      <w:r>
        <w:rPr>
          <w:rFonts w:hint="eastAsia" w:ascii="仿宋" w:hAnsi="仿宋" w:eastAsia="仿宋" w:cs="仿宋"/>
          <w:b/>
          <w:sz w:val="24"/>
        </w:rPr>
        <w:t>4.3 与其他标准比较</w:t>
      </w:r>
    </w:p>
    <w:p>
      <w:pPr>
        <w:spacing w:line="300" w:lineRule="auto"/>
        <w:jc w:val="center"/>
        <w:rPr>
          <w:rFonts w:ascii="仿宋" w:hAnsi="仿宋" w:eastAsia="仿宋" w:cs="仿宋"/>
          <w:sz w:val="24"/>
        </w:rPr>
      </w:pPr>
      <w:r>
        <w:rPr>
          <w:rFonts w:hint="eastAsia" w:ascii="仿宋" w:hAnsi="仿宋" w:eastAsia="仿宋" w:cs="仿宋"/>
          <w:sz w:val="24"/>
        </w:rPr>
        <w:t>表1：国内相关标准</w:t>
      </w:r>
    </w:p>
    <w:tbl>
      <w:tblPr>
        <w:tblStyle w:val="4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0"/>
        <w:gridCol w:w="81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pPr>
              <w:spacing w:line="300" w:lineRule="auto"/>
              <w:jc w:val="center"/>
              <w:rPr>
                <w:rFonts w:ascii="仿宋" w:hAnsi="仿宋" w:eastAsia="仿宋" w:cs="仿宋"/>
                <w:spacing w:val="6"/>
                <w:sz w:val="24"/>
              </w:rPr>
            </w:pPr>
            <w:r>
              <w:rPr>
                <w:rFonts w:hint="eastAsia" w:ascii="仿宋" w:hAnsi="仿宋" w:eastAsia="仿宋" w:cs="仿宋"/>
                <w:spacing w:val="6"/>
                <w:sz w:val="24"/>
              </w:rPr>
              <w:t>序号</w:t>
            </w:r>
          </w:p>
        </w:tc>
        <w:tc>
          <w:tcPr>
            <w:tcW w:w="0" w:type="auto"/>
            <w:vAlign w:val="center"/>
          </w:tcPr>
          <w:p>
            <w:pPr>
              <w:spacing w:line="300" w:lineRule="auto"/>
              <w:jc w:val="center"/>
              <w:rPr>
                <w:rFonts w:ascii="仿宋" w:hAnsi="仿宋" w:eastAsia="仿宋" w:cs="仿宋"/>
                <w:spacing w:val="6"/>
                <w:sz w:val="24"/>
              </w:rPr>
            </w:pPr>
            <w:r>
              <w:rPr>
                <w:rFonts w:hint="eastAsia" w:ascii="仿宋" w:hAnsi="仿宋" w:eastAsia="仿宋" w:cs="仿宋"/>
                <w:spacing w:val="6"/>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pPr>
              <w:spacing w:line="300" w:lineRule="auto"/>
              <w:jc w:val="center"/>
              <w:rPr>
                <w:rFonts w:ascii="仿宋" w:hAnsi="仿宋" w:eastAsia="仿宋" w:cs="仿宋"/>
                <w:spacing w:val="6"/>
                <w:sz w:val="24"/>
              </w:rPr>
            </w:pPr>
            <w:r>
              <w:rPr>
                <w:rFonts w:hint="eastAsia" w:ascii="仿宋" w:hAnsi="仿宋" w:eastAsia="仿宋" w:cs="仿宋"/>
                <w:spacing w:val="6"/>
                <w:sz w:val="24"/>
              </w:rPr>
              <w:t>1</w:t>
            </w:r>
          </w:p>
        </w:tc>
        <w:tc>
          <w:tcPr>
            <w:tcW w:w="0" w:type="auto"/>
            <w:vAlign w:val="center"/>
          </w:tcPr>
          <w:p>
            <w:pPr>
              <w:spacing w:line="300" w:lineRule="auto"/>
              <w:jc w:val="center"/>
              <w:rPr>
                <w:rFonts w:ascii="仿宋" w:hAnsi="仿宋" w:eastAsia="仿宋" w:cs="仿宋"/>
                <w:spacing w:val="6"/>
                <w:sz w:val="24"/>
              </w:rPr>
            </w:pPr>
            <w:r>
              <w:rPr>
                <w:rFonts w:hint="default" w:ascii="仿宋" w:hAnsi="仿宋" w:eastAsia="仿宋" w:cs="仿宋"/>
                <w:spacing w:val="6"/>
                <w:sz w:val="24"/>
              </w:rPr>
              <w:t>GB 14569.1-2011《低、中水平放射性废物固化体性能要求—水泥固化体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Align w:val="center"/>
          </w:tcPr>
          <w:p>
            <w:pPr>
              <w:spacing w:line="300" w:lineRule="auto"/>
              <w:jc w:val="center"/>
              <w:rPr>
                <w:rFonts w:ascii="仿宋" w:hAnsi="仿宋" w:eastAsia="仿宋" w:cs="仿宋"/>
                <w:spacing w:val="6"/>
                <w:sz w:val="24"/>
              </w:rPr>
            </w:pPr>
            <w:r>
              <w:rPr>
                <w:rFonts w:hint="eastAsia" w:ascii="仿宋" w:hAnsi="仿宋" w:eastAsia="仿宋" w:cs="仿宋"/>
                <w:spacing w:val="6"/>
                <w:sz w:val="24"/>
              </w:rPr>
              <w:t>2</w:t>
            </w:r>
          </w:p>
        </w:tc>
        <w:tc>
          <w:tcPr>
            <w:tcW w:w="0" w:type="auto"/>
            <w:vAlign w:val="center"/>
          </w:tcPr>
          <w:p>
            <w:pPr>
              <w:spacing w:line="300" w:lineRule="auto"/>
              <w:jc w:val="center"/>
              <w:rPr>
                <w:rFonts w:ascii="仿宋" w:hAnsi="仿宋" w:eastAsia="仿宋" w:cs="仿宋"/>
                <w:spacing w:val="6"/>
                <w:sz w:val="24"/>
              </w:rPr>
            </w:pPr>
            <w:r>
              <w:rPr>
                <w:rFonts w:hint="default" w:ascii="仿宋" w:hAnsi="仿宋" w:eastAsia="仿宋" w:cs="仿宋"/>
                <w:spacing w:val="6"/>
                <w:sz w:val="24"/>
              </w:rPr>
              <w:t>GB 41930-2022   低水平放射性废物包特性鉴定-水泥固化体</w:t>
            </w:r>
          </w:p>
        </w:tc>
      </w:tr>
    </w:tbl>
    <w:p>
      <w:pPr>
        <w:keepNext w:val="0"/>
        <w:keepLines w:val="0"/>
        <w:pageBreakBefore w:val="0"/>
        <w:kinsoku/>
        <w:wordWrap/>
        <w:overflowPunct/>
        <w:topLinePunct w:val="0"/>
        <w:autoSpaceDE/>
        <w:autoSpaceDN/>
        <w:bidi w:val="0"/>
        <w:adjustRightInd/>
        <w:snapToGrid/>
        <w:spacing w:line="360" w:lineRule="auto"/>
        <w:ind w:firstLine="480"/>
        <w:textAlignment w:val="auto"/>
        <w:rPr>
          <w:rFonts w:hint="default" w:ascii="Times New Roman" w:hAnsi="Times New Roman" w:eastAsia="仿宋" w:cs="Times New Roman"/>
          <w:spacing w:val="6"/>
          <w:sz w:val="24"/>
          <w:lang w:val="en-US" w:eastAsia="zh-CN"/>
        </w:rPr>
      </w:pPr>
      <w:r>
        <w:rPr>
          <w:rFonts w:hint="default" w:ascii="Times New Roman" w:hAnsi="Times New Roman" w:eastAsia="仿宋" w:cs="Times New Roman"/>
          <w:spacing w:val="6"/>
          <w:sz w:val="24"/>
          <w:lang w:val="en-US" w:eastAsia="zh-CN"/>
        </w:rPr>
        <w:t>目前，核电厂放射性废物固定/固化用水泥选型及性能评价在性能检测方面主要以上述两个检测标准为模本，但GB</w:t>
      </w:r>
      <w:r>
        <w:rPr>
          <w:rFonts w:hint="eastAsia" w:ascii="Times New Roman" w:hAnsi="Times New Roman" w:eastAsia="仿宋" w:cs="Times New Roman"/>
          <w:spacing w:val="6"/>
          <w:sz w:val="24"/>
          <w:lang w:val="en-US" w:eastAsia="zh-CN"/>
        </w:rPr>
        <w:t xml:space="preserve"> </w:t>
      </w:r>
      <w:r>
        <w:rPr>
          <w:rFonts w:hint="default" w:ascii="Times New Roman" w:hAnsi="Times New Roman" w:eastAsia="仿宋" w:cs="Times New Roman"/>
          <w:spacing w:val="6"/>
          <w:sz w:val="24"/>
          <w:lang w:val="en-US" w:eastAsia="zh-CN"/>
        </w:rPr>
        <w:t>41930-2022低水平放射性废物包特性鉴定-水泥固化体中废物固定体试样流动度不小于310mm</w:t>
      </w:r>
      <w:r>
        <w:rPr>
          <w:rFonts w:hint="eastAsia" w:ascii="Times New Roman" w:hAnsi="Times New Roman" w:eastAsia="仿宋" w:cs="Times New Roman"/>
          <w:spacing w:val="6"/>
          <w:sz w:val="24"/>
          <w:lang w:val="en-US" w:eastAsia="zh-CN"/>
        </w:rPr>
        <w:t>，</w:t>
      </w:r>
      <w:r>
        <w:rPr>
          <w:rFonts w:hint="default" w:ascii="Times New Roman" w:hAnsi="Times New Roman" w:eastAsia="仿宋" w:cs="Times New Roman"/>
          <w:spacing w:val="6"/>
          <w:sz w:val="24"/>
          <w:lang w:val="en-US" w:eastAsia="zh-CN"/>
        </w:rPr>
        <w:t>所规定的流动度测定方法存在一定的偏差。而诸如阳江等核电站所用固定体材料为净浆，严格意义上不适用该测定方法。GB 14569.1-2011《低、中水平放射性废物固化体性能要求—水泥固化体</w:t>
      </w:r>
      <w:r>
        <w:rPr>
          <w:rFonts w:hint="default" w:ascii="Times New Roman" w:hAnsi="Times New Roman" w:eastAsia="仿宋" w:cs="Times New Roman"/>
          <w:spacing w:val="6"/>
          <w:sz w:val="24"/>
          <w:lang w:eastAsia="zh-CN"/>
        </w:rPr>
        <w:t>》</w:t>
      </w:r>
      <w:r>
        <w:rPr>
          <w:rFonts w:hint="default" w:ascii="Times New Roman" w:hAnsi="Times New Roman" w:eastAsia="仿宋" w:cs="Times New Roman"/>
          <w:spacing w:val="6"/>
          <w:sz w:val="24"/>
          <w:lang w:val="en-US" w:eastAsia="zh-CN"/>
        </w:rPr>
        <w:t>中关于抗冲击性要求沿用了GB14569.1-1993版的规定，抗冲击性能要求是针对放射性废物运输过程中发生交通事故对放射性废物货包性能的影响，9m高坠落试验是模拟50 km/h速度行驶的车辆翻车时的情景，不适用水泥性能检测。且目前针对通用水泥放射性废物固化体的选型研究及超过三个月水泥（质保期）的延寿研究测试及性能评价标准还处于空白。</w:t>
      </w:r>
    </w:p>
    <w:p>
      <w:pPr>
        <w:pStyle w:val="36"/>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auto"/>
        <w:rPr>
          <w:rFonts w:hint="default" w:ascii="Times New Roman" w:hAnsi="Times New Roman" w:eastAsia="仿宋" w:cs="Times New Roman"/>
          <w:kern w:val="2"/>
        </w:rPr>
      </w:pPr>
      <w:r>
        <w:rPr>
          <w:rFonts w:hint="default" w:ascii="Times New Roman" w:hAnsi="Times New Roman" w:eastAsia="仿宋" w:cs="Times New Roman"/>
          <w:kern w:val="2"/>
        </w:rPr>
        <w:t>本标准明确市场通用水泥选型</w:t>
      </w:r>
      <w:r>
        <w:rPr>
          <w:rFonts w:hint="eastAsia" w:ascii="Times New Roman" w:hAnsi="Times New Roman" w:eastAsia="仿宋" w:cs="Times New Roman"/>
          <w:kern w:val="2"/>
          <w:lang w:eastAsia="zh-CN"/>
        </w:rPr>
        <w:t>、</w:t>
      </w:r>
      <w:r>
        <w:rPr>
          <w:rFonts w:hint="default" w:ascii="Times New Roman" w:hAnsi="Times New Roman" w:eastAsia="仿宋" w:cs="Times New Roman"/>
          <w:kern w:val="2"/>
          <w:lang w:val="en-US" w:eastAsia="zh-CN"/>
        </w:rPr>
        <w:t>延寿测试及</w:t>
      </w:r>
      <w:r>
        <w:rPr>
          <w:rFonts w:hint="default" w:ascii="Times New Roman" w:hAnsi="Times New Roman" w:eastAsia="仿宋" w:cs="Times New Roman"/>
          <w:kern w:val="2"/>
        </w:rPr>
        <w:t>水泥性能评价指标，采购市场通用水泥代替指定厂家水泥，解决群厂水泥采购、贮存问题。建立水泥</w:t>
      </w:r>
      <w:r>
        <w:rPr>
          <w:rFonts w:hint="default" w:ascii="Times New Roman" w:hAnsi="Times New Roman" w:eastAsia="仿宋" w:cs="Times New Roman"/>
          <w:kern w:val="2"/>
          <w:lang w:val="en-US" w:eastAsia="zh-CN"/>
        </w:rPr>
        <w:t>性能</w:t>
      </w:r>
      <w:r>
        <w:rPr>
          <w:rFonts w:hint="default" w:ascii="Times New Roman" w:hAnsi="Times New Roman" w:eastAsia="仿宋" w:cs="Times New Roman"/>
          <w:kern w:val="2"/>
        </w:rPr>
        <w:t>评价方法，解决水泥超过3个月无法使用的问题。</w:t>
      </w:r>
    </w:p>
    <w:p>
      <w:pPr>
        <w:spacing w:line="300" w:lineRule="auto"/>
        <w:rPr>
          <w:rFonts w:ascii="仿宋" w:hAnsi="仿宋" w:eastAsia="仿宋" w:cs="仿宋"/>
          <w:b/>
          <w:sz w:val="24"/>
        </w:rPr>
      </w:pPr>
      <w:r>
        <w:rPr>
          <w:rFonts w:hint="eastAsia" w:ascii="仿宋" w:hAnsi="仿宋" w:eastAsia="仿宋" w:cs="仿宋"/>
          <w:b/>
          <w:sz w:val="24"/>
        </w:rPr>
        <w:t>5  标准主要技术内容的论据或依据；修订标准时，应增加新、旧标准水平的对比情况</w:t>
      </w:r>
    </w:p>
    <w:p>
      <w:pPr>
        <w:spacing w:line="300" w:lineRule="auto"/>
        <w:rPr>
          <w:rFonts w:ascii="仿宋" w:hAnsi="仿宋" w:eastAsia="仿宋" w:cs="仿宋"/>
          <w:b/>
          <w:sz w:val="24"/>
        </w:rPr>
      </w:pPr>
      <w:r>
        <w:rPr>
          <w:rFonts w:hint="eastAsia" w:ascii="仿宋" w:hAnsi="仿宋" w:eastAsia="仿宋" w:cs="仿宋"/>
          <w:b/>
          <w:sz w:val="24"/>
        </w:rPr>
        <w:t>5.1  标准主要技术内容的论据或依据</w:t>
      </w:r>
    </w:p>
    <w:p>
      <w:pPr>
        <w:spacing w:before="48" w:line="360" w:lineRule="auto"/>
        <w:ind w:left="504"/>
        <w:rPr>
          <w:rFonts w:ascii="仿宋" w:hAnsi="仿宋" w:eastAsia="仿宋" w:cs="仿宋"/>
          <w:b/>
          <w:sz w:val="24"/>
        </w:rPr>
      </w:pPr>
      <w:r>
        <w:rPr>
          <w:rFonts w:hint="eastAsia" w:ascii="仿宋" w:hAnsi="仿宋" w:eastAsia="仿宋" w:cs="仿宋"/>
          <w:b/>
          <w:sz w:val="24"/>
        </w:rPr>
        <w:t>（一）理论依据</w:t>
      </w:r>
    </w:p>
    <w:p>
      <w:pPr>
        <w:spacing w:line="400" w:lineRule="exact"/>
        <w:ind w:firstLine="504" w:firstLineChars="200"/>
        <w:rPr>
          <w:rFonts w:hint="eastAsia" w:eastAsia="仿宋"/>
          <w:szCs w:val="21"/>
          <w:lang w:eastAsia="zh-CN"/>
        </w:rPr>
      </w:pPr>
      <w:r>
        <w:rPr>
          <w:rFonts w:hint="eastAsia" w:ascii="仿宋" w:hAnsi="仿宋" w:eastAsia="仿宋" w:cs="仿宋"/>
          <w:spacing w:val="6"/>
          <w:sz w:val="24"/>
        </w:rPr>
        <w:t>本标准主要包含</w:t>
      </w:r>
      <w:r>
        <w:rPr>
          <w:rFonts w:hint="default" w:ascii="Times New Roman" w:hAnsi="Times New Roman" w:eastAsia="仿宋" w:cs="Times New Roman"/>
          <w:spacing w:val="6"/>
          <w:sz w:val="24"/>
          <w:lang w:val="en-US" w:eastAsia="zh-CN"/>
        </w:rPr>
        <w:t>核电厂放射性废物固定/固化用水泥选型</w:t>
      </w:r>
      <w:r>
        <w:rPr>
          <w:rFonts w:hint="eastAsia" w:ascii="仿宋" w:hAnsi="仿宋" w:eastAsia="仿宋" w:cs="仿宋"/>
          <w:spacing w:val="6"/>
          <w:sz w:val="24"/>
          <w:lang w:val="en-US" w:eastAsia="zh-CN"/>
        </w:rPr>
        <w:t>及</w:t>
      </w:r>
      <w:r>
        <w:rPr>
          <w:rFonts w:hint="default" w:ascii="Times New Roman" w:hAnsi="Times New Roman" w:eastAsia="仿宋" w:cs="Times New Roman"/>
          <w:spacing w:val="6"/>
          <w:sz w:val="24"/>
          <w:lang w:val="en-US" w:eastAsia="zh-CN"/>
        </w:rPr>
        <w:t>延寿测试</w:t>
      </w:r>
      <w:r>
        <w:rPr>
          <w:rFonts w:hint="eastAsia" w:eastAsia="仿宋" w:cs="Times New Roman"/>
          <w:spacing w:val="6"/>
          <w:sz w:val="24"/>
          <w:lang w:val="en-US" w:eastAsia="zh-CN"/>
        </w:rPr>
        <w:t>等</w:t>
      </w:r>
      <w:r>
        <w:rPr>
          <w:rFonts w:hint="eastAsia" w:ascii="Times New Roman" w:hAnsi="Times New Roman" w:eastAsia="仿宋" w:cs="Times New Roman"/>
          <w:spacing w:val="6"/>
          <w:sz w:val="24"/>
          <w:lang w:val="en-US" w:eastAsia="zh-CN"/>
        </w:rPr>
        <w:t>检测</w:t>
      </w:r>
      <w:r>
        <w:rPr>
          <w:rFonts w:hint="eastAsia" w:ascii="仿宋" w:hAnsi="仿宋" w:eastAsia="仿宋" w:cs="仿宋"/>
          <w:spacing w:val="6"/>
          <w:sz w:val="24"/>
        </w:rPr>
        <w:t>方法</w:t>
      </w:r>
      <w:r>
        <w:rPr>
          <w:rFonts w:hint="eastAsia" w:ascii="仿宋" w:hAnsi="仿宋" w:eastAsia="仿宋" w:cs="仿宋"/>
          <w:spacing w:val="6"/>
          <w:sz w:val="24"/>
          <w:lang w:eastAsia="zh-CN"/>
        </w:rPr>
        <w:t>。</w:t>
      </w:r>
    </w:p>
    <w:p>
      <w:pPr>
        <w:spacing w:line="360" w:lineRule="auto"/>
        <w:ind w:firstLine="482" w:firstLineChars="200"/>
        <w:rPr>
          <w:rFonts w:ascii="仿宋" w:hAnsi="仿宋" w:eastAsia="仿宋" w:cs="仿宋"/>
          <w:b/>
          <w:sz w:val="24"/>
        </w:rPr>
      </w:pPr>
      <w:r>
        <w:rPr>
          <w:rFonts w:hint="eastAsia" w:ascii="仿宋" w:hAnsi="仿宋" w:eastAsia="仿宋" w:cs="仿宋"/>
          <w:b/>
          <w:sz w:val="24"/>
        </w:rPr>
        <w:t>（二）试验依据</w:t>
      </w:r>
    </w:p>
    <w:p>
      <w:pPr>
        <w:spacing w:line="360" w:lineRule="auto"/>
        <w:ind w:firstLine="504" w:firstLineChars="200"/>
        <w:rPr>
          <w:rFonts w:ascii="仿宋" w:hAnsi="仿宋" w:eastAsia="仿宋" w:cs="仿宋"/>
          <w:spacing w:val="6"/>
          <w:sz w:val="24"/>
        </w:rPr>
      </w:pPr>
      <w:r>
        <w:rPr>
          <w:rFonts w:hint="eastAsia" w:ascii="仿宋" w:hAnsi="仿宋" w:eastAsia="仿宋" w:cs="仿宋"/>
          <w:spacing w:val="6"/>
          <w:sz w:val="24"/>
        </w:rPr>
        <w:t>本标准所涉及到的</w:t>
      </w:r>
      <w:r>
        <w:rPr>
          <w:rFonts w:hint="eastAsia" w:ascii="仿宋" w:hAnsi="仿宋" w:eastAsia="仿宋" w:cs="仿宋"/>
          <w:spacing w:val="6"/>
          <w:sz w:val="24"/>
          <w:lang w:val="en-US" w:eastAsia="zh-CN"/>
        </w:rPr>
        <w:t>相关</w:t>
      </w:r>
      <w:r>
        <w:rPr>
          <w:rFonts w:hint="eastAsia" w:ascii="仿宋" w:hAnsi="仿宋" w:eastAsia="仿宋" w:cs="仿宋"/>
          <w:spacing w:val="6"/>
          <w:sz w:val="24"/>
        </w:rPr>
        <w:t>试验要求主要参照</w:t>
      </w:r>
      <w:r>
        <w:rPr>
          <w:rFonts w:hint="default" w:ascii="Times New Roman" w:hAnsi="Times New Roman" w:eastAsia="仿宋" w:cs="Times New Roman"/>
          <w:spacing w:val="6"/>
          <w:sz w:val="24"/>
          <w:lang w:val="en-US" w:eastAsia="zh-CN"/>
        </w:rPr>
        <w:t>GB</w:t>
      </w:r>
      <w:r>
        <w:rPr>
          <w:rFonts w:hint="eastAsia" w:ascii="Times New Roman" w:hAnsi="Times New Roman" w:eastAsia="仿宋" w:cs="Times New Roman"/>
          <w:spacing w:val="6"/>
          <w:sz w:val="24"/>
          <w:lang w:val="en-US" w:eastAsia="zh-CN"/>
        </w:rPr>
        <w:t xml:space="preserve"> </w:t>
      </w:r>
      <w:r>
        <w:rPr>
          <w:rFonts w:hint="default" w:ascii="Times New Roman" w:hAnsi="Times New Roman" w:eastAsia="仿宋" w:cs="Times New Roman"/>
          <w:spacing w:val="6"/>
          <w:sz w:val="24"/>
          <w:lang w:val="en-US" w:eastAsia="zh-CN"/>
        </w:rPr>
        <w:t>41930-2022低水平放射性废物包特性鉴定-水泥固化体</w:t>
      </w:r>
      <w:r>
        <w:rPr>
          <w:rFonts w:hint="eastAsia" w:ascii="仿宋" w:hAnsi="仿宋" w:eastAsia="仿宋" w:cs="仿宋"/>
          <w:spacing w:val="6"/>
          <w:sz w:val="24"/>
        </w:rPr>
        <w:t>、</w:t>
      </w:r>
      <w:r>
        <w:rPr>
          <w:rFonts w:hint="default" w:ascii="Times New Roman" w:hAnsi="Times New Roman" w:eastAsia="仿宋" w:cs="Times New Roman"/>
          <w:spacing w:val="6"/>
          <w:sz w:val="24"/>
          <w:lang w:val="en-US" w:eastAsia="zh-CN"/>
        </w:rPr>
        <w:t>GB 14569.1-2011《低、中水平放射性废物固化体性能要求—水泥固化体</w:t>
      </w:r>
      <w:r>
        <w:rPr>
          <w:rFonts w:hint="default" w:ascii="Times New Roman" w:hAnsi="Times New Roman" w:eastAsia="仿宋" w:cs="Times New Roman"/>
          <w:spacing w:val="6"/>
          <w:sz w:val="24"/>
          <w:lang w:eastAsia="zh-CN"/>
        </w:rPr>
        <w:t>》</w:t>
      </w:r>
      <w:r>
        <w:rPr>
          <w:rFonts w:hint="eastAsia" w:ascii="仿宋" w:hAnsi="仿宋" w:eastAsia="仿宋" w:cs="仿宋"/>
          <w:spacing w:val="6"/>
          <w:sz w:val="24"/>
        </w:rPr>
        <w:t>，保证试验规范性。</w:t>
      </w:r>
    </w:p>
    <w:p>
      <w:pPr>
        <w:spacing w:line="300" w:lineRule="auto"/>
        <w:rPr>
          <w:rFonts w:hint="eastAsia" w:ascii="仿宋" w:hAnsi="仿宋" w:eastAsia="仿宋" w:cs="仿宋"/>
          <w:b/>
          <w:sz w:val="24"/>
          <w:highlight w:val="none"/>
        </w:rPr>
      </w:pPr>
      <w:r>
        <w:rPr>
          <w:rFonts w:hint="eastAsia" w:ascii="仿宋" w:hAnsi="仿宋" w:eastAsia="仿宋" w:cs="仿宋"/>
          <w:b/>
          <w:sz w:val="24"/>
          <w:highlight w:val="none"/>
        </w:rPr>
        <w:t>5.2  修订标准时，应增加新、旧标准水平的对比</w:t>
      </w:r>
    </w:p>
    <w:p>
      <w:pPr>
        <w:spacing w:line="300" w:lineRule="auto"/>
        <w:ind w:firstLine="504" w:firstLineChars="200"/>
        <w:rPr>
          <w:rFonts w:ascii="仿宋" w:hAnsi="仿宋" w:eastAsia="仿宋" w:cs="仿宋"/>
          <w:spacing w:val="6"/>
          <w:sz w:val="24"/>
        </w:rPr>
      </w:pPr>
      <w:r>
        <w:rPr>
          <w:rFonts w:hint="eastAsia" w:ascii="仿宋" w:hAnsi="仿宋" w:eastAsia="仿宋" w:cs="仿宋"/>
          <w:spacing w:val="6"/>
          <w:sz w:val="24"/>
        </w:rPr>
        <w:t>相关内容在4</w:t>
      </w:r>
      <w:r>
        <w:rPr>
          <w:rFonts w:ascii="仿宋" w:hAnsi="仿宋" w:eastAsia="仿宋" w:cs="仿宋"/>
          <w:spacing w:val="6"/>
          <w:sz w:val="24"/>
        </w:rPr>
        <w:t>.3</w:t>
      </w:r>
      <w:r>
        <w:rPr>
          <w:rFonts w:hint="eastAsia" w:ascii="仿宋" w:hAnsi="仿宋" w:eastAsia="仿宋" w:cs="仿宋"/>
          <w:spacing w:val="6"/>
          <w:sz w:val="24"/>
        </w:rPr>
        <w:t>节详细描述：新</w:t>
      </w:r>
      <w:r>
        <w:rPr>
          <w:rFonts w:hint="eastAsia" w:ascii="仿宋" w:hAnsi="仿宋" w:eastAsia="仿宋" w:cs="仿宋"/>
          <w:spacing w:val="6"/>
          <w:sz w:val="24"/>
          <w:lang w:val="en-US" w:eastAsia="zh-CN"/>
        </w:rPr>
        <w:t>旧</w:t>
      </w:r>
      <w:r>
        <w:rPr>
          <w:rFonts w:hint="eastAsia" w:ascii="仿宋" w:hAnsi="仿宋" w:eastAsia="仿宋" w:cs="仿宋"/>
          <w:spacing w:val="6"/>
          <w:sz w:val="24"/>
        </w:rPr>
        <w:t>标准的区别主要在于新标准规定了</w:t>
      </w:r>
      <w:r>
        <w:rPr>
          <w:rFonts w:hint="default" w:ascii="Times New Roman" w:hAnsi="Times New Roman" w:eastAsia="仿宋" w:cs="Times New Roman"/>
          <w:spacing w:val="6"/>
          <w:sz w:val="24"/>
          <w:lang w:val="en-US" w:eastAsia="zh-CN"/>
        </w:rPr>
        <w:t>核电厂放射性废物固定/固化用</w:t>
      </w:r>
      <w:r>
        <w:rPr>
          <w:rFonts w:hint="eastAsia" w:eastAsia="仿宋" w:cs="Times New Roman"/>
          <w:spacing w:val="6"/>
          <w:sz w:val="24"/>
          <w:lang w:val="en-US" w:eastAsia="zh-CN"/>
        </w:rPr>
        <w:t>通用</w:t>
      </w:r>
      <w:r>
        <w:rPr>
          <w:rFonts w:hint="default" w:ascii="Times New Roman" w:hAnsi="Times New Roman" w:eastAsia="仿宋" w:cs="Times New Roman"/>
          <w:spacing w:val="6"/>
          <w:sz w:val="24"/>
          <w:lang w:val="en-US" w:eastAsia="zh-CN"/>
        </w:rPr>
        <w:t>水泥选型</w:t>
      </w:r>
      <w:r>
        <w:rPr>
          <w:rFonts w:hint="eastAsia" w:ascii="仿宋" w:hAnsi="仿宋" w:eastAsia="仿宋" w:cs="仿宋"/>
          <w:spacing w:val="6"/>
          <w:sz w:val="24"/>
          <w:lang w:val="en-US" w:eastAsia="zh-CN"/>
        </w:rPr>
        <w:t>及</w:t>
      </w:r>
      <w:r>
        <w:rPr>
          <w:rFonts w:hint="default" w:ascii="Times New Roman" w:hAnsi="Times New Roman" w:eastAsia="仿宋" w:cs="Times New Roman"/>
          <w:spacing w:val="6"/>
          <w:sz w:val="24"/>
          <w:lang w:val="en-US" w:eastAsia="zh-CN"/>
        </w:rPr>
        <w:t>延寿测试</w:t>
      </w:r>
      <w:r>
        <w:rPr>
          <w:rFonts w:hint="eastAsia" w:eastAsia="仿宋" w:cs="Times New Roman"/>
          <w:spacing w:val="6"/>
          <w:sz w:val="24"/>
          <w:lang w:val="en-US" w:eastAsia="zh-CN"/>
        </w:rPr>
        <w:t>方法</w:t>
      </w:r>
      <w:r>
        <w:rPr>
          <w:rFonts w:hint="eastAsia" w:ascii="仿宋" w:hAnsi="仿宋" w:eastAsia="仿宋" w:cs="仿宋"/>
          <w:spacing w:val="6"/>
          <w:sz w:val="24"/>
        </w:rPr>
        <w:t>及结果，可直接用于现场</w:t>
      </w:r>
      <w:r>
        <w:rPr>
          <w:rFonts w:hint="eastAsia" w:ascii="仿宋" w:hAnsi="仿宋" w:eastAsia="仿宋" w:cs="仿宋"/>
          <w:spacing w:val="6"/>
          <w:sz w:val="24"/>
          <w:lang w:val="en-US" w:eastAsia="zh-CN"/>
        </w:rPr>
        <w:t>水泥选型</w:t>
      </w:r>
      <w:r>
        <w:rPr>
          <w:rFonts w:hint="eastAsia" w:ascii="仿宋" w:hAnsi="仿宋" w:eastAsia="仿宋" w:cs="仿宋"/>
          <w:spacing w:val="6"/>
          <w:sz w:val="24"/>
        </w:rPr>
        <w:t>指导。</w:t>
      </w:r>
    </w:p>
    <w:p>
      <w:pPr>
        <w:pStyle w:val="2"/>
        <w:numPr>
          <w:ilvl w:val="1"/>
          <w:numId w:val="0"/>
        </w:numPr>
        <w:ind w:left="850" w:leftChars="0"/>
      </w:pPr>
    </w:p>
    <w:p>
      <w:pPr>
        <w:spacing w:line="300" w:lineRule="auto"/>
        <w:rPr>
          <w:rFonts w:ascii="仿宋" w:hAnsi="仿宋" w:eastAsia="仿宋" w:cs="仿宋"/>
          <w:b/>
          <w:sz w:val="24"/>
          <w:highlight w:val="none"/>
        </w:rPr>
      </w:pPr>
      <w:r>
        <w:rPr>
          <w:rFonts w:hint="eastAsia" w:ascii="仿宋" w:hAnsi="仿宋" w:eastAsia="仿宋" w:cs="仿宋"/>
          <w:b/>
          <w:sz w:val="24"/>
          <w:highlight w:val="none"/>
        </w:rPr>
        <w:t>6  主要试验（验证）的分析、综述报告，技术经济论证，预期的经济效果</w:t>
      </w:r>
    </w:p>
    <w:p>
      <w:pPr>
        <w:spacing w:line="300" w:lineRule="auto"/>
        <w:rPr>
          <w:rFonts w:ascii="仿宋" w:hAnsi="仿宋" w:eastAsia="仿宋" w:cs="仿宋"/>
          <w:b/>
          <w:sz w:val="24"/>
          <w:highlight w:val="none"/>
        </w:rPr>
      </w:pPr>
      <w:r>
        <w:rPr>
          <w:rFonts w:hint="eastAsia" w:ascii="仿宋" w:hAnsi="仿宋" w:eastAsia="仿宋" w:cs="仿宋"/>
          <w:b/>
          <w:sz w:val="24"/>
          <w:highlight w:val="none"/>
        </w:rPr>
        <w:t>6.1  主要试验（验证）的分析</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pacing w:val="6"/>
          <w:sz w:val="24"/>
          <w:highlight w:val="none"/>
          <w:lang w:val="en-US" w:eastAsia="zh-CN"/>
        </w:rPr>
      </w:pPr>
      <w:r>
        <w:rPr>
          <w:rFonts w:hint="eastAsia" w:ascii="仿宋" w:hAnsi="仿宋" w:eastAsia="仿宋" w:cs="仿宋"/>
          <w:spacing w:val="6"/>
          <w:sz w:val="24"/>
          <w:highlight w:val="none"/>
          <w:lang w:val="en-US" w:eastAsia="zh-CN"/>
        </w:rPr>
        <w:t xml:space="preserve">基于上述对相关标准文件以及现场的调研，目前核电厂主要关注内容在低、中水平放射性废物水泥固化废物包的性能要求。多个核电厂放射性固废处理系统采用指定厂家、品牌和牌号的特定水泥，但短期内使用数量有限，导致采购和储存成本较高（采购周期长，海边贮存环境差，水泥容易板结，需要人员进入辐射区进行清理，影响运行进度、增加检修成本和人员辐射剂量），且根据现行标准，水泥超过规定保质期三个月即无法使用，造成大量浪费；如果擅自更换水泥厂家违反监督要求，又被严格禁止。 </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pacing w:val="6"/>
          <w:sz w:val="24"/>
          <w:highlight w:val="none"/>
          <w:lang w:val="en-US" w:eastAsia="zh-CN"/>
        </w:rPr>
      </w:pPr>
      <w:r>
        <w:rPr>
          <w:rFonts w:hint="eastAsia" w:ascii="仿宋" w:hAnsi="仿宋" w:eastAsia="仿宋" w:cs="仿宋"/>
          <w:spacing w:val="6"/>
          <w:sz w:val="24"/>
          <w:highlight w:val="none"/>
          <w:lang w:val="en-US" w:eastAsia="zh-CN"/>
        </w:rPr>
        <w:t xml:space="preserve">因此，项目组开展了潜在替代通用水泥选型、性能测试以及对过期水泥分析测试的水泥寿期全流程测试。        </w:t>
      </w:r>
    </w:p>
    <w:p>
      <w:pPr>
        <w:pStyle w:val="2"/>
        <w:numPr>
          <w:ilvl w:val="1"/>
          <w:numId w:val="0"/>
        </w:numPr>
        <w:ind w:left="850" w:leftChars="0"/>
        <w:rPr>
          <w:rFonts w:hint="eastAsia"/>
          <w:highlight w:val="none"/>
        </w:rPr>
      </w:pPr>
    </w:p>
    <w:p>
      <w:pPr>
        <w:spacing w:line="300" w:lineRule="auto"/>
        <w:rPr>
          <w:rFonts w:ascii="仿宋" w:hAnsi="仿宋" w:eastAsia="仿宋" w:cs="仿宋"/>
          <w:b/>
          <w:sz w:val="24"/>
          <w:highlight w:val="none"/>
        </w:rPr>
      </w:pPr>
      <w:r>
        <w:rPr>
          <w:rFonts w:hint="eastAsia" w:ascii="仿宋" w:hAnsi="仿宋" w:eastAsia="仿宋" w:cs="仿宋"/>
          <w:b/>
          <w:sz w:val="24"/>
          <w:highlight w:val="none"/>
        </w:rPr>
        <w:t>6.2  综述报告</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pacing w:val="6"/>
          <w:sz w:val="24"/>
          <w:lang w:val="en-US" w:eastAsia="zh-CN"/>
        </w:rPr>
      </w:pPr>
      <w:r>
        <w:rPr>
          <w:rFonts w:hint="eastAsia" w:ascii="仿宋" w:hAnsi="仿宋" w:eastAsia="仿宋" w:cs="仿宋"/>
          <w:spacing w:val="6"/>
          <w:sz w:val="24"/>
          <w:lang w:val="en-US" w:eastAsia="zh-CN"/>
        </w:rPr>
        <w:t>本标准包含</w:t>
      </w:r>
      <w:r>
        <w:rPr>
          <w:rFonts w:hint="default" w:ascii="仿宋" w:hAnsi="仿宋" w:eastAsia="仿宋" w:cs="仿宋"/>
          <w:spacing w:val="6"/>
          <w:sz w:val="24"/>
          <w:lang w:val="en-US" w:eastAsia="zh-CN"/>
        </w:rPr>
        <w:t>核电厂放射性废物固定/固化用</w:t>
      </w:r>
      <w:r>
        <w:rPr>
          <w:rFonts w:hint="eastAsia" w:ascii="仿宋" w:hAnsi="仿宋" w:eastAsia="仿宋" w:cs="仿宋"/>
          <w:spacing w:val="6"/>
          <w:sz w:val="24"/>
          <w:lang w:val="en-US" w:eastAsia="zh-CN"/>
        </w:rPr>
        <w:t>配方水泥选型及理化性能测试。</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pacing w:val="6"/>
          <w:sz w:val="24"/>
          <w:lang w:val="en-US" w:eastAsia="zh-CN"/>
        </w:rPr>
      </w:pPr>
      <w:r>
        <w:rPr>
          <w:rFonts w:hint="eastAsia" w:ascii="仿宋" w:hAnsi="仿宋" w:eastAsia="仿宋" w:cs="仿宋"/>
          <w:spacing w:val="6"/>
          <w:sz w:val="24"/>
          <w:lang w:val="en-US" w:eastAsia="zh-CN"/>
        </w:rPr>
        <w:t>本标准包含</w:t>
      </w:r>
      <w:r>
        <w:rPr>
          <w:rFonts w:hint="default" w:ascii="仿宋" w:hAnsi="仿宋" w:eastAsia="仿宋" w:cs="仿宋"/>
          <w:spacing w:val="6"/>
          <w:sz w:val="24"/>
          <w:lang w:val="en-US" w:eastAsia="zh-CN"/>
        </w:rPr>
        <w:t>核电厂放射性废物固定/固化用</w:t>
      </w:r>
      <w:r>
        <w:rPr>
          <w:rFonts w:hint="eastAsia" w:ascii="仿宋" w:hAnsi="仿宋" w:eastAsia="仿宋" w:cs="仿宋"/>
          <w:spacing w:val="6"/>
          <w:sz w:val="24"/>
          <w:lang w:val="en-US" w:eastAsia="zh-CN"/>
        </w:rPr>
        <w:t>配方水泥样品制备及性能测试。</w:t>
      </w:r>
    </w:p>
    <w:p>
      <w:pPr>
        <w:keepNext w:val="0"/>
        <w:keepLines w:val="0"/>
        <w:pageBreakBefore w:val="0"/>
        <w:widowControl w:val="0"/>
        <w:kinsoku/>
        <w:wordWrap/>
        <w:overflowPunct/>
        <w:topLinePunct w:val="0"/>
        <w:autoSpaceDE/>
        <w:autoSpaceDN/>
        <w:bidi w:val="0"/>
        <w:adjustRightInd/>
        <w:snapToGrid/>
        <w:spacing w:line="300" w:lineRule="auto"/>
        <w:ind w:firstLine="504" w:firstLineChars="200"/>
        <w:textAlignment w:val="auto"/>
        <w:rPr>
          <w:rFonts w:hint="eastAsia" w:ascii="仿宋" w:hAnsi="仿宋" w:eastAsia="仿宋" w:cs="仿宋"/>
          <w:spacing w:val="6"/>
          <w:sz w:val="24"/>
          <w:lang w:val="en-US" w:eastAsia="zh-CN"/>
        </w:rPr>
      </w:pPr>
      <w:r>
        <w:rPr>
          <w:rFonts w:hint="eastAsia" w:ascii="仿宋" w:hAnsi="仿宋" w:eastAsia="仿宋" w:cs="仿宋"/>
          <w:spacing w:val="6"/>
          <w:sz w:val="24"/>
          <w:lang w:val="en-US" w:eastAsia="zh-CN"/>
        </w:rPr>
        <w:t>本标准包含</w:t>
      </w:r>
      <w:r>
        <w:rPr>
          <w:rFonts w:hint="default" w:ascii="仿宋" w:hAnsi="仿宋" w:eastAsia="仿宋" w:cs="仿宋"/>
          <w:spacing w:val="6"/>
          <w:sz w:val="24"/>
          <w:lang w:val="en-US" w:eastAsia="zh-CN"/>
        </w:rPr>
        <w:t>核电厂放射性废物固定/固化用</w:t>
      </w:r>
      <w:r>
        <w:rPr>
          <w:rFonts w:hint="eastAsia" w:ascii="仿宋" w:hAnsi="仿宋" w:eastAsia="仿宋" w:cs="仿宋"/>
          <w:spacing w:val="6"/>
          <w:sz w:val="24"/>
          <w:lang w:val="en-US" w:eastAsia="zh-CN"/>
        </w:rPr>
        <w:t>配方水泥延寿测试评价 。</w:t>
      </w:r>
    </w:p>
    <w:p>
      <w:pPr>
        <w:spacing w:line="300" w:lineRule="auto"/>
        <w:rPr>
          <w:rFonts w:ascii="仿宋" w:hAnsi="仿宋" w:eastAsia="仿宋" w:cs="仿宋"/>
          <w:b/>
          <w:sz w:val="24"/>
        </w:rPr>
      </w:pPr>
      <w:r>
        <w:rPr>
          <w:rFonts w:hint="eastAsia" w:ascii="仿宋" w:hAnsi="仿宋" w:eastAsia="仿宋" w:cs="仿宋"/>
          <w:b/>
          <w:sz w:val="24"/>
        </w:rPr>
        <w:t>6.3  技术经济论证</w:t>
      </w:r>
    </w:p>
    <w:p>
      <w:pPr>
        <w:spacing w:line="400" w:lineRule="exact"/>
        <w:ind w:firstLine="504" w:firstLineChars="200"/>
        <w:rPr>
          <w:rFonts w:hint="default" w:ascii="仿宋" w:hAnsi="仿宋" w:eastAsia="仿宋" w:cs="仿宋"/>
          <w:spacing w:val="6"/>
          <w:sz w:val="24"/>
        </w:rPr>
      </w:pPr>
      <w:r>
        <w:rPr>
          <w:rFonts w:hint="default" w:ascii="仿宋" w:hAnsi="仿宋" w:eastAsia="仿宋" w:cs="仿宋"/>
          <w:spacing w:val="6"/>
          <w:sz w:val="24"/>
        </w:rPr>
        <w:t>核电厂需要一次性购买指定品牌和牌号的</w:t>
      </w:r>
      <w:r>
        <w:rPr>
          <w:rFonts w:hint="default" w:ascii="仿宋" w:hAnsi="仿宋" w:eastAsia="仿宋" w:cs="仿宋"/>
          <w:spacing w:val="6"/>
          <w:sz w:val="24"/>
          <w:lang w:val="en-US" w:eastAsia="zh-CN"/>
        </w:rPr>
        <w:t>特定</w:t>
      </w:r>
      <w:r>
        <w:rPr>
          <w:rFonts w:hint="default" w:ascii="仿宋" w:hAnsi="仿宋" w:eastAsia="仿宋" w:cs="仿宋"/>
          <w:spacing w:val="6"/>
          <w:sz w:val="24"/>
        </w:rPr>
        <w:t>水泥20T/次，但短期内使用数量有限，导致</w:t>
      </w:r>
      <w:r>
        <w:rPr>
          <w:rFonts w:hint="default" w:ascii="仿宋" w:hAnsi="仿宋" w:eastAsia="仿宋" w:cs="仿宋"/>
          <w:spacing w:val="6"/>
          <w:sz w:val="24"/>
          <w:lang w:val="en-US" w:eastAsia="zh-CN"/>
        </w:rPr>
        <w:t>一次性采购和储存成本较高，且根据现行标准，</w:t>
      </w:r>
      <w:r>
        <w:rPr>
          <w:rFonts w:hint="default" w:ascii="仿宋" w:hAnsi="仿宋" w:eastAsia="仿宋" w:cs="仿宋"/>
          <w:spacing w:val="6"/>
          <w:sz w:val="24"/>
        </w:rPr>
        <w:t>水泥超过规定保质期三个月</w:t>
      </w:r>
      <w:r>
        <w:rPr>
          <w:rFonts w:hint="default" w:ascii="仿宋" w:hAnsi="仿宋" w:eastAsia="仿宋" w:cs="仿宋"/>
          <w:spacing w:val="6"/>
          <w:sz w:val="24"/>
          <w:lang w:val="en-US" w:eastAsia="zh-CN"/>
        </w:rPr>
        <w:t>即</w:t>
      </w:r>
      <w:r>
        <w:rPr>
          <w:rFonts w:hint="default" w:ascii="仿宋" w:hAnsi="仿宋" w:eastAsia="仿宋" w:cs="仿宋"/>
          <w:spacing w:val="6"/>
          <w:sz w:val="24"/>
        </w:rPr>
        <w:t>无法使用，造成大量浪费</w:t>
      </w:r>
      <w:r>
        <w:rPr>
          <w:rFonts w:hint="eastAsia" w:ascii="仿宋" w:hAnsi="仿宋" w:eastAsia="仿宋" w:cs="仿宋"/>
          <w:spacing w:val="6"/>
          <w:sz w:val="24"/>
          <w:lang w:eastAsia="zh-CN"/>
        </w:rPr>
        <w:t>，</w:t>
      </w:r>
      <w:r>
        <w:rPr>
          <w:rFonts w:hint="default" w:ascii="仿宋" w:hAnsi="仿宋" w:eastAsia="仿宋" w:cs="仿宋"/>
          <w:spacing w:val="6"/>
          <w:sz w:val="24"/>
        </w:rPr>
        <w:t>找到通用替代水泥产品、实现核电放射性废物本</w:t>
      </w:r>
      <w:r>
        <w:rPr>
          <w:rFonts w:hint="default" w:ascii="仿宋" w:hAnsi="仿宋" w:eastAsia="仿宋" w:cs="仿宋"/>
          <w:spacing w:val="6"/>
          <w:sz w:val="24"/>
          <w:lang w:val="en-US" w:eastAsia="zh-CN"/>
        </w:rPr>
        <w:t>地</w:t>
      </w:r>
      <w:r>
        <w:rPr>
          <w:rFonts w:hint="default" w:ascii="仿宋" w:hAnsi="仿宋" w:eastAsia="仿宋" w:cs="仿宋"/>
          <w:spacing w:val="6"/>
          <w:sz w:val="24"/>
        </w:rPr>
        <w:t>水泥的固定和固化，为核电放废处理节约大量成本、提高生产效益。</w:t>
      </w:r>
    </w:p>
    <w:p>
      <w:pPr>
        <w:spacing w:line="300" w:lineRule="auto"/>
        <w:ind w:firstLine="504" w:firstLineChars="200"/>
        <w:rPr>
          <w:rFonts w:ascii="仿宋" w:hAnsi="仿宋" w:eastAsia="仿宋" w:cs="仿宋"/>
          <w:spacing w:val="6"/>
          <w:sz w:val="24"/>
        </w:rPr>
      </w:pPr>
    </w:p>
    <w:p>
      <w:pPr>
        <w:spacing w:line="300" w:lineRule="auto"/>
        <w:rPr>
          <w:rFonts w:ascii="仿宋" w:hAnsi="仿宋" w:eastAsia="仿宋" w:cs="仿宋"/>
          <w:b/>
          <w:sz w:val="24"/>
        </w:rPr>
      </w:pPr>
      <w:r>
        <w:rPr>
          <w:rFonts w:hint="eastAsia" w:ascii="仿宋" w:hAnsi="仿宋" w:eastAsia="仿宋" w:cs="仿宋"/>
          <w:b/>
          <w:sz w:val="24"/>
        </w:rPr>
        <w:t>6.4  预期的经济效果</w:t>
      </w:r>
    </w:p>
    <w:p>
      <w:pPr>
        <w:spacing w:line="300" w:lineRule="auto"/>
        <w:ind w:firstLine="504" w:firstLineChars="200"/>
        <w:rPr>
          <w:rFonts w:ascii="仿宋" w:hAnsi="仿宋" w:eastAsia="仿宋" w:cs="仿宋"/>
          <w:spacing w:val="6"/>
          <w:sz w:val="24"/>
        </w:rPr>
      </w:pPr>
      <w:r>
        <w:rPr>
          <w:rFonts w:hint="eastAsia" w:ascii="仿宋" w:hAnsi="仿宋" w:eastAsia="仿宋" w:cs="仿宋"/>
          <w:spacing w:val="6"/>
          <w:sz w:val="24"/>
        </w:rPr>
        <w:t>该标准实施后，群厂</w:t>
      </w:r>
      <w:r>
        <w:rPr>
          <w:rFonts w:hint="eastAsia" w:ascii="仿宋" w:hAnsi="仿宋" w:eastAsia="仿宋" w:cs="仿宋"/>
          <w:spacing w:val="6"/>
          <w:sz w:val="24"/>
          <w:lang w:val="en-US" w:eastAsia="zh-CN"/>
        </w:rPr>
        <w:t>可采购市场通用属地化的水泥，水泥超过三个月依然具备可使用条件，避免</w:t>
      </w:r>
      <w:r>
        <w:rPr>
          <w:rFonts w:hint="eastAsia" w:ascii="仿宋" w:hAnsi="仿宋" w:eastAsia="仿宋" w:cs="仿宋"/>
          <w:spacing w:val="6"/>
          <w:sz w:val="24"/>
        </w:rPr>
        <w:t>水泥使用的大幅浪费问题，提升废物处理运行进度、降低检修成本和人员辐射剂量。为核电放废处理节约大量成本、提高生产效益。</w:t>
      </w:r>
    </w:p>
    <w:p>
      <w:pPr>
        <w:spacing w:line="300" w:lineRule="auto"/>
        <w:rPr>
          <w:rFonts w:ascii="仿宋" w:hAnsi="仿宋" w:eastAsia="仿宋" w:cs="仿宋"/>
          <w:b/>
          <w:sz w:val="24"/>
        </w:rPr>
      </w:pPr>
      <w:r>
        <w:rPr>
          <w:rFonts w:hint="eastAsia" w:ascii="仿宋" w:hAnsi="仿宋" w:eastAsia="仿宋" w:cs="仿宋"/>
          <w:b/>
          <w:sz w:val="24"/>
        </w:rPr>
        <w:t>7  采用国际标准的程度及水平的简要说明</w:t>
      </w:r>
    </w:p>
    <w:p>
      <w:pPr>
        <w:spacing w:line="300" w:lineRule="auto"/>
        <w:ind w:firstLine="504" w:firstLineChars="200"/>
        <w:rPr>
          <w:rFonts w:ascii="仿宋" w:hAnsi="仿宋" w:eastAsia="仿宋" w:cs="仿宋"/>
          <w:spacing w:val="6"/>
          <w:sz w:val="24"/>
        </w:rPr>
      </w:pPr>
      <w:r>
        <w:rPr>
          <w:rFonts w:hint="eastAsia" w:ascii="仿宋" w:hAnsi="仿宋" w:eastAsia="仿宋" w:cs="仿宋"/>
          <w:spacing w:val="6"/>
          <w:sz w:val="24"/>
        </w:rPr>
        <w:t>本标准不采纳国际标准。</w:t>
      </w:r>
    </w:p>
    <w:p>
      <w:pPr>
        <w:spacing w:line="300" w:lineRule="auto"/>
        <w:rPr>
          <w:rFonts w:ascii="仿宋" w:hAnsi="仿宋" w:eastAsia="仿宋" w:cs="仿宋"/>
          <w:b/>
          <w:sz w:val="24"/>
        </w:rPr>
      </w:pPr>
      <w:r>
        <w:rPr>
          <w:rFonts w:hint="eastAsia" w:ascii="仿宋" w:hAnsi="仿宋" w:eastAsia="仿宋" w:cs="仿宋"/>
          <w:b/>
          <w:sz w:val="24"/>
        </w:rPr>
        <w:t>8  重大分歧意见的处理经过和依据</w:t>
      </w:r>
    </w:p>
    <w:p>
      <w:pPr>
        <w:spacing w:line="300" w:lineRule="auto"/>
        <w:rPr>
          <w:rFonts w:ascii="仿宋" w:hAnsi="仿宋" w:eastAsia="仿宋" w:cs="仿宋"/>
          <w:b/>
          <w:sz w:val="24"/>
        </w:rPr>
      </w:pPr>
      <w:r>
        <w:rPr>
          <w:rFonts w:hint="eastAsia" w:ascii="仿宋" w:hAnsi="仿宋" w:eastAsia="仿宋" w:cs="仿宋"/>
          <w:b/>
          <w:sz w:val="24"/>
        </w:rPr>
        <w:t>9  贯彻标准的要求和措施建议</w:t>
      </w:r>
    </w:p>
    <w:p>
      <w:pPr>
        <w:spacing w:line="360" w:lineRule="auto"/>
        <w:ind w:firstLine="504" w:firstLineChars="200"/>
        <w:rPr>
          <w:rFonts w:ascii="仿宋" w:hAnsi="仿宋" w:eastAsia="仿宋" w:cs="仿宋"/>
          <w:spacing w:val="6"/>
          <w:sz w:val="24"/>
        </w:rPr>
      </w:pPr>
      <w:r>
        <w:rPr>
          <w:rFonts w:hint="eastAsia" w:ascii="仿宋" w:hAnsi="仿宋" w:eastAsia="仿宋" w:cs="仿宋"/>
          <w:spacing w:val="6"/>
          <w:sz w:val="24"/>
        </w:rPr>
        <w:t>组织措施：严格按照本标准提出的</w:t>
      </w:r>
      <w:r>
        <w:rPr>
          <w:rFonts w:hint="eastAsia" w:ascii="仿宋" w:hAnsi="仿宋" w:eastAsia="仿宋" w:cs="仿宋"/>
          <w:spacing w:val="6"/>
          <w:sz w:val="24"/>
          <w:lang w:val="en-US" w:eastAsia="zh-CN"/>
        </w:rPr>
        <w:t>试验测试与评价</w:t>
      </w:r>
      <w:r>
        <w:rPr>
          <w:rFonts w:hint="eastAsia" w:ascii="仿宋" w:hAnsi="仿宋" w:eastAsia="仿宋" w:cs="仿宋"/>
          <w:spacing w:val="6"/>
          <w:sz w:val="24"/>
        </w:rPr>
        <w:t>方法进行。</w:t>
      </w:r>
    </w:p>
    <w:p>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过渡方法：在本标准正式施行前，</w:t>
      </w:r>
      <w:r>
        <w:rPr>
          <w:rFonts w:hint="eastAsia" w:ascii="仿宋" w:hAnsi="仿宋" w:eastAsia="仿宋" w:cs="仿宋"/>
          <w:spacing w:val="6"/>
          <w:sz w:val="24"/>
          <w:lang w:val="en-US" w:eastAsia="zh-CN"/>
        </w:rPr>
        <w:t>参考</w:t>
      </w:r>
      <w:r>
        <w:rPr>
          <w:rFonts w:hint="default" w:ascii="Times New Roman" w:hAnsi="Times New Roman" w:eastAsia="仿宋" w:cs="Times New Roman"/>
          <w:spacing w:val="6"/>
          <w:sz w:val="24"/>
          <w:lang w:val="en-US" w:eastAsia="zh-CN"/>
        </w:rPr>
        <w:t>GB</w:t>
      </w:r>
      <w:r>
        <w:rPr>
          <w:rFonts w:hint="eastAsia" w:ascii="Times New Roman" w:hAnsi="Times New Roman" w:eastAsia="仿宋" w:cs="Times New Roman"/>
          <w:spacing w:val="6"/>
          <w:sz w:val="24"/>
          <w:lang w:val="en-US" w:eastAsia="zh-CN"/>
        </w:rPr>
        <w:t xml:space="preserve"> </w:t>
      </w:r>
      <w:r>
        <w:rPr>
          <w:rFonts w:hint="default" w:ascii="Times New Roman" w:hAnsi="Times New Roman" w:eastAsia="仿宋" w:cs="Times New Roman"/>
          <w:spacing w:val="6"/>
          <w:sz w:val="24"/>
          <w:lang w:val="en-US" w:eastAsia="zh-CN"/>
        </w:rPr>
        <w:t>41930-2022</w:t>
      </w:r>
      <w:r>
        <w:rPr>
          <w:rFonts w:hint="eastAsia" w:ascii="仿宋" w:hAnsi="仿宋" w:eastAsia="仿宋" w:cs="仿宋"/>
          <w:spacing w:val="6"/>
          <w:sz w:val="24"/>
        </w:rPr>
        <w:t>、</w:t>
      </w:r>
      <w:r>
        <w:rPr>
          <w:rFonts w:hint="default" w:ascii="Times New Roman" w:hAnsi="Times New Roman" w:eastAsia="仿宋" w:cs="Times New Roman"/>
          <w:spacing w:val="6"/>
          <w:sz w:val="24"/>
          <w:lang w:val="en-US" w:eastAsia="zh-CN"/>
        </w:rPr>
        <w:t>GB 14569.1-2011</w:t>
      </w:r>
      <w:r>
        <w:rPr>
          <w:rFonts w:hint="eastAsia" w:ascii="仿宋" w:hAnsi="仿宋" w:eastAsia="仿宋" w:cs="仿宋"/>
          <w:spacing w:val="6"/>
          <w:sz w:val="24"/>
        </w:rPr>
        <w:t>等进行</w:t>
      </w:r>
      <w:r>
        <w:rPr>
          <w:rFonts w:hint="eastAsia" w:ascii="仿宋" w:hAnsi="仿宋" w:eastAsia="仿宋" w:cs="仿宋"/>
          <w:spacing w:val="6"/>
          <w:sz w:val="24"/>
          <w:lang w:val="en-US" w:eastAsia="zh-CN"/>
        </w:rPr>
        <w:t>试验</w:t>
      </w:r>
      <w:r>
        <w:rPr>
          <w:rFonts w:hint="eastAsia" w:ascii="仿宋" w:hAnsi="仿宋" w:eastAsia="仿宋" w:cs="仿宋"/>
          <w:spacing w:val="6"/>
          <w:sz w:val="24"/>
        </w:rPr>
        <w:t>。</w:t>
      </w:r>
    </w:p>
    <w:p>
      <w:pPr>
        <w:spacing w:line="300" w:lineRule="auto"/>
        <w:rPr>
          <w:rFonts w:ascii="仿宋" w:hAnsi="仿宋" w:eastAsia="仿宋" w:cs="仿宋"/>
          <w:b/>
          <w:sz w:val="24"/>
        </w:rPr>
      </w:pPr>
      <w:r>
        <w:rPr>
          <w:rFonts w:hint="eastAsia" w:ascii="仿宋" w:hAnsi="仿宋" w:eastAsia="仿宋" w:cs="仿宋"/>
          <w:b/>
          <w:sz w:val="24"/>
        </w:rPr>
        <w:t>10  其他应予说明的事项，如涉及专利的处理等</w:t>
      </w:r>
    </w:p>
    <w:p>
      <w:pPr>
        <w:spacing w:line="360" w:lineRule="auto"/>
        <w:ind w:firstLine="504" w:firstLineChars="200"/>
        <w:rPr>
          <w:rFonts w:ascii="仿宋" w:hAnsi="仿宋" w:eastAsia="仿宋" w:cs="仿宋"/>
          <w:spacing w:val="6"/>
          <w:sz w:val="24"/>
        </w:rPr>
      </w:pPr>
      <w:r>
        <w:rPr>
          <w:rFonts w:hint="eastAsia" w:ascii="仿宋" w:hAnsi="仿宋" w:eastAsia="仿宋" w:cs="仿宋"/>
          <w:spacing w:val="6"/>
          <w:sz w:val="24"/>
        </w:rPr>
        <w:t>无，本标准不涉及专利</w:t>
      </w:r>
    </w:p>
    <w:sectPr>
      <w:pgSz w:w="11906" w:h="16838"/>
      <w:pgMar w:top="1418" w:right="1134" w:bottom="1134" w:left="1418" w:header="993"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Malgun Gothic Semilight"/>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718EE"/>
    <w:multiLevelType w:val="multilevel"/>
    <w:tmpl w:val="072718EE"/>
    <w:lvl w:ilvl="0" w:tentative="0">
      <w:start w:val="1"/>
      <w:numFmt w:val="decimal"/>
      <w:lvlText w:val="（%1）"/>
      <w:lvlJc w:val="left"/>
      <w:pPr>
        <w:ind w:left="720" w:hanging="720"/>
      </w:pPr>
      <w:rPr>
        <w:rFonts w:hint="default"/>
      </w:rPr>
    </w:lvl>
    <w:lvl w:ilvl="1" w:tentative="0">
      <w:start w:val="1"/>
      <w:numFmt w:val="decimal"/>
      <w:pStyle w:val="2"/>
      <w:lvlText w:val="（%2）"/>
      <w:lvlJc w:val="left"/>
      <w:pPr>
        <w:ind w:left="127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79102AD"/>
    <w:multiLevelType w:val="multilevel"/>
    <w:tmpl w:val="079102AD"/>
    <w:lvl w:ilvl="0" w:tentative="0">
      <w:start w:val="1"/>
      <w:numFmt w:val="decimal"/>
      <w:pStyle w:val="6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2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61"/>
      <w:suff w:val="nothing"/>
      <w:lvlText w:val="%1示例："/>
      <w:lvlJc w:val="left"/>
      <w:pPr>
        <w:ind w:left="0" w:firstLine="363"/>
      </w:pPr>
      <w:rPr>
        <w:rFonts w:hint="eastAsia" w:ascii="黑体" w:eastAsia="黑体"/>
        <w:b w:val="0"/>
        <w:i w:val="0"/>
        <w:sz w:val="18"/>
        <w:szCs w:val="18"/>
      </w:rPr>
    </w:lvl>
    <w:lvl w:ilvl="1" w:tentative="0">
      <w:start w:val="1"/>
      <w:numFmt w:val="lowerLetter"/>
      <w:pStyle w:val="6"/>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3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05E14EC"/>
    <w:multiLevelType w:val="multilevel"/>
    <w:tmpl w:val="105E14EC"/>
    <w:lvl w:ilvl="0" w:tentative="0">
      <w:start w:val="1"/>
      <w:numFmt w:val="lowerLetter"/>
      <w:pStyle w:val="173"/>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1DBF583A"/>
    <w:multiLevelType w:val="multilevel"/>
    <w:tmpl w:val="1DBF583A"/>
    <w:lvl w:ilvl="0" w:tentative="0">
      <w:start w:val="1"/>
      <w:numFmt w:val="decimal"/>
      <w:pStyle w:val="7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54"/>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51"/>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5"/>
      <w:suff w:val="nothing"/>
      <w:lvlText w:val="%1.%2.%3　"/>
      <w:lvlJc w:val="left"/>
      <w:pPr>
        <w:ind w:left="993" w:firstLine="0"/>
      </w:pPr>
      <w:rPr>
        <w:rFonts w:hint="eastAsia" w:ascii="黑体" w:hAnsi="Times New Roman" w:eastAsia="黑体"/>
        <w:b w:val="0"/>
        <w:i w:val="0"/>
        <w:sz w:val="21"/>
      </w:rPr>
    </w:lvl>
    <w:lvl w:ilvl="3" w:tentative="0">
      <w:start w:val="1"/>
      <w:numFmt w:val="decimal"/>
      <w:suff w:val="nothing"/>
      <w:lvlText w:val="%1.%2.%3.%4　"/>
      <w:lvlJc w:val="left"/>
      <w:pPr>
        <w:ind w:left="1276" w:firstLine="0"/>
      </w:pPr>
      <w:rPr>
        <w:rFonts w:hint="eastAsia" w:ascii="黑体" w:hAnsi="Times New Roman" w:eastAsia="黑体"/>
        <w:b w:val="0"/>
        <w:i w:val="0"/>
        <w:sz w:val="21"/>
      </w:rPr>
    </w:lvl>
    <w:lvl w:ilvl="4" w:tentative="0">
      <w:start w:val="1"/>
      <w:numFmt w:val="decimal"/>
      <w:pStyle w:val="64"/>
      <w:suff w:val="nothing"/>
      <w:lvlText w:val="%1.%2.%3.%4.%5　"/>
      <w:lvlJc w:val="left"/>
      <w:pPr>
        <w:ind w:left="0" w:firstLine="0"/>
      </w:pPr>
      <w:rPr>
        <w:rFonts w:hint="eastAsia" w:ascii="黑体" w:hAnsi="Times New Roman" w:eastAsia="黑体"/>
        <w:b w:val="0"/>
        <w:i w:val="0"/>
        <w:sz w:val="21"/>
      </w:rPr>
    </w:lvl>
    <w:lvl w:ilvl="5" w:tentative="0">
      <w:start w:val="1"/>
      <w:numFmt w:val="decimal"/>
      <w:pStyle w:val="6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2827D5B"/>
    <w:multiLevelType w:val="multilevel"/>
    <w:tmpl w:val="22827D5B"/>
    <w:lvl w:ilvl="0" w:tentative="0">
      <w:start w:val="1"/>
      <w:numFmt w:val="none"/>
      <w:pStyle w:val="7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0">
    <w:nsid w:val="2A8F7113"/>
    <w:multiLevelType w:val="multilevel"/>
    <w:tmpl w:val="2A8F7113"/>
    <w:lvl w:ilvl="0" w:tentative="0">
      <w:start w:val="1"/>
      <w:numFmt w:val="upperLetter"/>
      <w:pStyle w:val="107"/>
      <w:suff w:val="space"/>
      <w:lvlText w:val="%1"/>
      <w:lvlJc w:val="left"/>
      <w:pPr>
        <w:ind w:left="623" w:hanging="425"/>
      </w:pPr>
      <w:rPr>
        <w:rFonts w:hint="eastAsia"/>
      </w:rPr>
    </w:lvl>
    <w:lvl w:ilvl="1" w:tentative="0">
      <w:start w:val="1"/>
      <w:numFmt w:val="decimal"/>
      <w:pStyle w:val="10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tentative="0">
      <w:start w:val="1"/>
      <w:numFmt w:val="none"/>
      <w:pStyle w:val="57"/>
      <w:suff w:val="nothing"/>
      <w:lvlText w:val="%1——"/>
      <w:lvlJc w:val="left"/>
      <w:pPr>
        <w:ind w:left="833" w:hanging="408"/>
      </w:pPr>
      <w:rPr>
        <w:rFonts w:hint="eastAsia"/>
      </w:rPr>
    </w:lvl>
    <w:lvl w:ilvl="1" w:tentative="0">
      <w:start w:val="1"/>
      <w:numFmt w:val="bullet"/>
      <w:pStyle w:val="58"/>
      <w:lvlText w:val=""/>
      <w:lvlJc w:val="left"/>
      <w:pPr>
        <w:tabs>
          <w:tab w:val="left" w:pos="760"/>
        </w:tabs>
        <w:ind w:left="1264" w:hanging="413"/>
      </w:pPr>
      <w:rPr>
        <w:rFonts w:hint="default" w:ascii="Symbol" w:hAnsi="Symbol"/>
        <w:color w:val="auto"/>
      </w:rPr>
    </w:lvl>
    <w:lvl w:ilvl="2" w:tentative="0">
      <w:start w:val="1"/>
      <w:numFmt w:val="bullet"/>
      <w:pStyle w:val="6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3">
    <w:nsid w:val="46335E6F"/>
    <w:multiLevelType w:val="multilevel"/>
    <w:tmpl w:val="46335E6F"/>
    <w:lvl w:ilvl="0" w:tentative="0">
      <w:start w:val="1"/>
      <w:numFmt w:val="decimal"/>
      <w:pStyle w:val="3"/>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4">
    <w:nsid w:val="4B733A5F"/>
    <w:multiLevelType w:val="multilevel"/>
    <w:tmpl w:val="4B733A5F"/>
    <w:lvl w:ilvl="0" w:tentative="0">
      <w:start w:val="1"/>
      <w:numFmt w:val="decimal"/>
      <w:pStyle w:val="7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5">
    <w:nsid w:val="60B55DC2"/>
    <w:multiLevelType w:val="multilevel"/>
    <w:tmpl w:val="60B55DC2"/>
    <w:lvl w:ilvl="0" w:tentative="0">
      <w:start w:val="1"/>
      <w:numFmt w:val="upperLetter"/>
      <w:pStyle w:val="95"/>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93"/>
      <w:suff w:val="nothing"/>
      <w:lvlText w:val="附　录　%1"/>
      <w:lvlJc w:val="left"/>
      <w:pPr>
        <w:ind w:left="840" w:firstLine="0"/>
      </w:pPr>
      <w:rPr>
        <w:rFonts w:hint="eastAsia" w:ascii="黑体" w:hAnsi="Times New Roman" w:eastAsia="黑体"/>
        <w:b w:val="0"/>
        <w:i w:val="0"/>
        <w:spacing w:val="0"/>
        <w:w w:val="100"/>
        <w:sz w:val="21"/>
      </w:rPr>
    </w:lvl>
    <w:lvl w:ilvl="1" w:tentative="0">
      <w:start w:val="1"/>
      <w:numFmt w:val="decimal"/>
      <w:pStyle w:val="111"/>
      <w:suff w:val="nothing"/>
      <w:lvlText w:val="%1.%2　"/>
      <w:lvlJc w:val="left"/>
      <w:pPr>
        <w:ind w:left="840" w:firstLine="0"/>
      </w:pPr>
      <w:rPr>
        <w:rFonts w:hint="eastAsia" w:ascii="黑体" w:hAnsi="Times New Roman" w:eastAsia="黑体"/>
        <w:b w:val="0"/>
        <w:i w:val="0"/>
        <w:snapToGrid/>
        <w:spacing w:val="0"/>
        <w:w w:val="100"/>
        <w:kern w:val="21"/>
        <w:sz w:val="21"/>
      </w:rPr>
    </w:lvl>
    <w:lvl w:ilvl="2" w:tentative="0">
      <w:start w:val="1"/>
      <w:numFmt w:val="decimal"/>
      <w:pStyle w:val="112"/>
      <w:suff w:val="nothing"/>
      <w:lvlText w:val="%1.%2.%3　"/>
      <w:lvlJc w:val="left"/>
      <w:pPr>
        <w:ind w:left="840" w:firstLine="0"/>
      </w:pPr>
      <w:rPr>
        <w:rFonts w:hint="eastAsia" w:ascii="黑体" w:hAnsi="Times New Roman" w:eastAsia="黑体"/>
        <w:b w:val="0"/>
        <w:i w:val="0"/>
        <w:sz w:val="21"/>
      </w:rPr>
    </w:lvl>
    <w:lvl w:ilvl="3" w:tentative="0">
      <w:start w:val="1"/>
      <w:numFmt w:val="decimal"/>
      <w:pStyle w:val="97"/>
      <w:suff w:val="nothing"/>
      <w:lvlText w:val="%1.%2.%3.%4　"/>
      <w:lvlJc w:val="left"/>
      <w:pPr>
        <w:ind w:left="840" w:firstLine="0"/>
      </w:pPr>
      <w:rPr>
        <w:rFonts w:hint="eastAsia" w:ascii="黑体" w:hAnsi="Times New Roman" w:eastAsia="黑体"/>
        <w:b w:val="0"/>
        <w:i w:val="0"/>
        <w:sz w:val="21"/>
      </w:rPr>
    </w:lvl>
    <w:lvl w:ilvl="4" w:tentative="0">
      <w:start w:val="1"/>
      <w:numFmt w:val="decimal"/>
      <w:pStyle w:val="102"/>
      <w:suff w:val="nothing"/>
      <w:lvlText w:val="%1.%2.%3.%4.%5　"/>
      <w:lvlJc w:val="left"/>
      <w:pPr>
        <w:ind w:left="840" w:firstLine="0"/>
      </w:pPr>
      <w:rPr>
        <w:rFonts w:hint="eastAsia" w:ascii="黑体" w:hAnsi="Times New Roman" w:eastAsia="黑体"/>
        <w:b w:val="0"/>
        <w:i w:val="0"/>
        <w:sz w:val="21"/>
      </w:rPr>
    </w:lvl>
    <w:lvl w:ilvl="5" w:tentative="0">
      <w:start w:val="1"/>
      <w:numFmt w:val="decimal"/>
      <w:pStyle w:val="105"/>
      <w:suff w:val="nothing"/>
      <w:lvlText w:val="%1.%2.%3.%4.%5.%6　"/>
      <w:lvlJc w:val="left"/>
      <w:pPr>
        <w:ind w:left="840" w:firstLine="0"/>
      </w:pPr>
      <w:rPr>
        <w:rFonts w:hint="eastAsia" w:ascii="黑体" w:hAnsi="Times New Roman" w:eastAsia="黑体"/>
        <w:b w:val="0"/>
        <w:i w:val="0"/>
        <w:sz w:val="21"/>
      </w:rPr>
    </w:lvl>
    <w:lvl w:ilvl="6" w:tentative="0">
      <w:start w:val="1"/>
      <w:numFmt w:val="decimal"/>
      <w:pStyle w:val="109"/>
      <w:suff w:val="nothing"/>
      <w:lvlText w:val="%1.%2.%3.%4.%5.%6.%7　"/>
      <w:lvlJc w:val="left"/>
      <w:pPr>
        <w:ind w:left="840" w:firstLine="0"/>
      </w:pPr>
      <w:rPr>
        <w:rFonts w:hint="eastAsia" w:ascii="黑体" w:hAnsi="Times New Roman" w:eastAsia="黑体"/>
        <w:b w:val="0"/>
        <w:i w:val="0"/>
        <w:sz w:val="21"/>
      </w:rPr>
    </w:lvl>
    <w:lvl w:ilvl="7" w:tentative="0">
      <w:start w:val="1"/>
      <w:numFmt w:val="decimal"/>
      <w:lvlText w:val="%1.%2.%3.%4.%5.%6.%7.%8"/>
      <w:lvlJc w:val="left"/>
      <w:pPr>
        <w:tabs>
          <w:tab w:val="left" w:pos="5234"/>
        </w:tabs>
        <w:ind w:left="5234" w:hanging="1418"/>
      </w:pPr>
      <w:rPr>
        <w:rFonts w:hint="eastAsia"/>
      </w:rPr>
    </w:lvl>
    <w:lvl w:ilvl="8" w:tentative="0">
      <w:start w:val="1"/>
      <w:numFmt w:val="decimal"/>
      <w:lvlText w:val="%1.%2.%3.%4.%5.%6.%7.%8.%9"/>
      <w:lvlJc w:val="left"/>
      <w:pPr>
        <w:tabs>
          <w:tab w:val="left" w:pos="5942"/>
        </w:tabs>
        <w:ind w:left="5942" w:hanging="1700"/>
      </w:pPr>
      <w:rPr>
        <w:rFonts w:hint="eastAsia"/>
      </w:rPr>
    </w:lvl>
  </w:abstractNum>
  <w:abstractNum w:abstractNumId="18">
    <w:nsid w:val="6D6C07CD"/>
    <w:multiLevelType w:val="multilevel"/>
    <w:tmpl w:val="6D6C07CD"/>
    <w:lvl w:ilvl="0" w:tentative="0">
      <w:start w:val="1"/>
      <w:numFmt w:val="lowerLetter"/>
      <w:pStyle w:val="114"/>
      <w:lvlText w:val="%1)"/>
      <w:lvlJc w:val="left"/>
      <w:pPr>
        <w:tabs>
          <w:tab w:val="left" w:pos="839"/>
        </w:tabs>
        <w:ind w:left="839" w:hanging="419"/>
      </w:pPr>
      <w:rPr>
        <w:rFonts w:hint="eastAsia" w:ascii="宋体" w:eastAsia="宋体"/>
        <w:b w:val="0"/>
        <w:i w:val="0"/>
        <w:sz w:val="21"/>
      </w:rPr>
    </w:lvl>
    <w:lvl w:ilvl="1" w:tentative="0">
      <w:start w:val="1"/>
      <w:numFmt w:val="decimal"/>
      <w:pStyle w:val="10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6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7933628F"/>
    <w:multiLevelType w:val="multilevel"/>
    <w:tmpl w:val="7933628F"/>
    <w:lvl w:ilvl="0" w:tentative="0">
      <w:start w:val="1"/>
      <w:numFmt w:val="lowerLetter"/>
      <w:pStyle w:val="6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3"/>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3"/>
  </w:num>
  <w:num w:numId="2">
    <w:abstractNumId w:val="0"/>
  </w:num>
  <w:num w:numId="3">
    <w:abstractNumId w:val="13"/>
  </w:num>
  <w:num w:numId="4">
    <w:abstractNumId w:val="12"/>
  </w:num>
  <w:num w:numId="5">
    <w:abstractNumId w:val="8"/>
  </w:num>
  <w:num w:numId="6">
    <w:abstractNumId w:val="11"/>
  </w:num>
  <w:num w:numId="7">
    <w:abstractNumId w:val="20"/>
  </w:num>
  <w:num w:numId="8">
    <w:abstractNumId w:val="19"/>
  </w:num>
  <w:num w:numId="9">
    <w:abstractNumId w:val="1"/>
  </w:num>
  <w:num w:numId="10">
    <w:abstractNumId w:val="14"/>
  </w:num>
  <w:num w:numId="11">
    <w:abstractNumId w:val="9"/>
  </w:num>
  <w:num w:numId="12">
    <w:abstractNumId w:val="7"/>
  </w:num>
  <w:num w:numId="13">
    <w:abstractNumId w:val="17"/>
  </w:num>
  <w:num w:numId="14">
    <w:abstractNumId w:val="15"/>
  </w:num>
  <w:num w:numId="15">
    <w:abstractNumId w:val="18"/>
  </w:num>
  <w:num w:numId="16">
    <w:abstractNumId w:val="10"/>
  </w:num>
  <w:num w:numId="17">
    <w:abstractNumId w:val="2"/>
  </w:num>
  <w:num w:numId="18">
    <w:abstractNumId w:val="5"/>
  </w:num>
  <w:num w:numId="19">
    <w:abstractNumId w:val="16"/>
  </w:num>
  <w:num w:numId="20">
    <w:abstractNumId w:val="4"/>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1E3D"/>
    <w:rsid w:val="00003F75"/>
    <w:rsid w:val="00004DA4"/>
    <w:rsid w:val="0000586F"/>
    <w:rsid w:val="0000693A"/>
    <w:rsid w:val="00010B01"/>
    <w:rsid w:val="00010F23"/>
    <w:rsid w:val="00011960"/>
    <w:rsid w:val="00011970"/>
    <w:rsid w:val="0001221C"/>
    <w:rsid w:val="000134DF"/>
    <w:rsid w:val="00013D86"/>
    <w:rsid w:val="00013E02"/>
    <w:rsid w:val="000143EA"/>
    <w:rsid w:val="000147DB"/>
    <w:rsid w:val="00015122"/>
    <w:rsid w:val="0001520A"/>
    <w:rsid w:val="00015C7E"/>
    <w:rsid w:val="000177A9"/>
    <w:rsid w:val="00017E89"/>
    <w:rsid w:val="0002143C"/>
    <w:rsid w:val="000218CD"/>
    <w:rsid w:val="00022755"/>
    <w:rsid w:val="0002336F"/>
    <w:rsid w:val="0002356C"/>
    <w:rsid w:val="000236DF"/>
    <w:rsid w:val="00023E88"/>
    <w:rsid w:val="00024255"/>
    <w:rsid w:val="00025A65"/>
    <w:rsid w:val="00026C31"/>
    <w:rsid w:val="00027280"/>
    <w:rsid w:val="000279E6"/>
    <w:rsid w:val="00027B9A"/>
    <w:rsid w:val="00030439"/>
    <w:rsid w:val="0003065D"/>
    <w:rsid w:val="00030F88"/>
    <w:rsid w:val="0003155D"/>
    <w:rsid w:val="0003165C"/>
    <w:rsid w:val="000317FF"/>
    <w:rsid w:val="00031B09"/>
    <w:rsid w:val="000320A7"/>
    <w:rsid w:val="000322CB"/>
    <w:rsid w:val="000329FB"/>
    <w:rsid w:val="0003318E"/>
    <w:rsid w:val="00033EE9"/>
    <w:rsid w:val="00035925"/>
    <w:rsid w:val="00036ECC"/>
    <w:rsid w:val="000432E4"/>
    <w:rsid w:val="00043348"/>
    <w:rsid w:val="00043715"/>
    <w:rsid w:val="00043D77"/>
    <w:rsid w:val="00045904"/>
    <w:rsid w:val="000461AD"/>
    <w:rsid w:val="000464FB"/>
    <w:rsid w:val="00047AB1"/>
    <w:rsid w:val="00051387"/>
    <w:rsid w:val="00052B1C"/>
    <w:rsid w:val="00052ED8"/>
    <w:rsid w:val="000570E4"/>
    <w:rsid w:val="00061B12"/>
    <w:rsid w:val="00062DEC"/>
    <w:rsid w:val="000635DF"/>
    <w:rsid w:val="00064957"/>
    <w:rsid w:val="00065376"/>
    <w:rsid w:val="00065E99"/>
    <w:rsid w:val="000674EB"/>
    <w:rsid w:val="00067CDF"/>
    <w:rsid w:val="000736F3"/>
    <w:rsid w:val="00074D13"/>
    <w:rsid w:val="00074FBE"/>
    <w:rsid w:val="000754C0"/>
    <w:rsid w:val="000761CD"/>
    <w:rsid w:val="0008005C"/>
    <w:rsid w:val="00080A20"/>
    <w:rsid w:val="00080A8B"/>
    <w:rsid w:val="0008246B"/>
    <w:rsid w:val="00082615"/>
    <w:rsid w:val="00082645"/>
    <w:rsid w:val="0008346C"/>
    <w:rsid w:val="00083A09"/>
    <w:rsid w:val="00084A40"/>
    <w:rsid w:val="00084E22"/>
    <w:rsid w:val="0008532A"/>
    <w:rsid w:val="00086576"/>
    <w:rsid w:val="00086E54"/>
    <w:rsid w:val="000876FB"/>
    <w:rsid w:val="0009005E"/>
    <w:rsid w:val="0009265B"/>
    <w:rsid w:val="00092857"/>
    <w:rsid w:val="00092CD6"/>
    <w:rsid w:val="00092DC8"/>
    <w:rsid w:val="000958CD"/>
    <w:rsid w:val="000A1CD7"/>
    <w:rsid w:val="000A20A9"/>
    <w:rsid w:val="000A48B1"/>
    <w:rsid w:val="000A54CE"/>
    <w:rsid w:val="000A5604"/>
    <w:rsid w:val="000A5667"/>
    <w:rsid w:val="000A5704"/>
    <w:rsid w:val="000B0797"/>
    <w:rsid w:val="000B2A5E"/>
    <w:rsid w:val="000B3143"/>
    <w:rsid w:val="000B320E"/>
    <w:rsid w:val="000B33CB"/>
    <w:rsid w:val="000B3EA6"/>
    <w:rsid w:val="000B4860"/>
    <w:rsid w:val="000B4937"/>
    <w:rsid w:val="000B4FC5"/>
    <w:rsid w:val="000B514C"/>
    <w:rsid w:val="000B72C9"/>
    <w:rsid w:val="000B7822"/>
    <w:rsid w:val="000B7F97"/>
    <w:rsid w:val="000C0052"/>
    <w:rsid w:val="000C057D"/>
    <w:rsid w:val="000C0CC2"/>
    <w:rsid w:val="000C1148"/>
    <w:rsid w:val="000C2C7A"/>
    <w:rsid w:val="000C312D"/>
    <w:rsid w:val="000C3640"/>
    <w:rsid w:val="000C4D78"/>
    <w:rsid w:val="000C6B05"/>
    <w:rsid w:val="000C6CFC"/>
    <w:rsid w:val="000C6DD6"/>
    <w:rsid w:val="000C73D4"/>
    <w:rsid w:val="000C7924"/>
    <w:rsid w:val="000C7F3D"/>
    <w:rsid w:val="000D063A"/>
    <w:rsid w:val="000D07F3"/>
    <w:rsid w:val="000D1CE9"/>
    <w:rsid w:val="000D2CF3"/>
    <w:rsid w:val="000D339E"/>
    <w:rsid w:val="000D383A"/>
    <w:rsid w:val="000D3A3F"/>
    <w:rsid w:val="000D3D4C"/>
    <w:rsid w:val="000D4F51"/>
    <w:rsid w:val="000D5F7D"/>
    <w:rsid w:val="000D6EE1"/>
    <w:rsid w:val="000D718B"/>
    <w:rsid w:val="000E0C46"/>
    <w:rsid w:val="000E3624"/>
    <w:rsid w:val="000E5942"/>
    <w:rsid w:val="000E5B6F"/>
    <w:rsid w:val="000E651D"/>
    <w:rsid w:val="000E6D83"/>
    <w:rsid w:val="000E73F5"/>
    <w:rsid w:val="000E7840"/>
    <w:rsid w:val="000F030C"/>
    <w:rsid w:val="000F0A34"/>
    <w:rsid w:val="000F0E2F"/>
    <w:rsid w:val="000F129C"/>
    <w:rsid w:val="000F2ACC"/>
    <w:rsid w:val="000F2BB7"/>
    <w:rsid w:val="000F2D13"/>
    <w:rsid w:val="000F364E"/>
    <w:rsid w:val="000F47A8"/>
    <w:rsid w:val="000F4D6B"/>
    <w:rsid w:val="000F5F14"/>
    <w:rsid w:val="000F6470"/>
    <w:rsid w:val="000F727D"/>
    <w:rsid w:val="000F74A3"/>
    <w:rsid w:val="000F7C36"/>
    <w:rsid w:val="00101798"/>
    <w:rsid w:val="00101F50"/>
    <w:rsid w:val="0010213F"/>
    <w:rsid w:val="001025ED"/>
    <w:rsid w:val="001037AD"/>
    <w:rsid w:val="00104EAD"/>
    <w:rsid w:val="001056DE"/>
    <w:rsid w:val="00105908"/>
    <w:rsid w:val="00106B60"/>
    <w:rsid w:val="00107020"/>
    <w:rsid w:val="001074F4"/>
    <w:rsid w:val="00107B67"/>
    <w:rsid w:val="0011009A"/>
    <w:rsid w:val="00110978"/>
    <w:rsid w:val="001110DA"/>
    <w:rsid w:val="00111643"/>
    <w:rsid w:val="00111EFE"/>
    <w:rsid w:val="001124C0"/>
    <w:rsid w:val="00113747"/>
    <w:rsid w:val="001137DA"/>
    <w:rsid w:val="00113C83"/>
    <w:rsid w:val="0011457F"/>
    <w:rsid w:val="0011466F"/>
    <w:rsid w:val="00114A9A"/>
    <w:rsid w:val="00117046"/>
    <w:rsid w:val="001170C0"/>
    <w:rsid w:val="001209C6"/>
    <w:rsid w:val="00121884"/>
    <w:rsid w:val="0012219F"/>
    <w:rsid w:val="00122C27"/>
    <w:rsid w:val="0012432D"/>
    <w:rsid w:val="00126D28"/>
    <w:rsid w:val="00130849"/>
    <w:rsid w:val="00130B08"/>
    <w:rsid w:val="00130FD7"/>
    <w:rsid w:val="0013175F"/>
    <w:rsid w:val="001336B0"/>
    <w:rsid w:val="001343AE"/>
    <w:rsid w:val="00135EF0"/>
    <w:rsid w:val="00136DB9"/>
    <w:rsid w:val="0014249A"/>
    <w:rsid w:val="001424A2"/>
    <w:rsid w:val="001425CD"/>
    <w:rsid w:val="00143527"/>
    <w:rsid w:val="00143C92"/>
    <w:rsid w:val="00144756"/>
    <w:rsid w:val="001463DE"/>
    <w:rsid w:val="00146DD6"/>
    <w:rsid w:val="0015021D"/>
    <w:rsid w:val="001504ED"/>
    <w:rsid w:val="001509DF"/>
    <w:rsid w:val="00151128"/>
    <w:rsid w:val="001512B4"/>
    <w:rsid w:val="00151319"/>
    <w:rsid w:val="00151D25"/>
    <w:rsid w:val="00151FDA"/>
    <w:rsid w:val="00152ACD"/>
    <w:rsid w:val="00156336"/>
    <w:rsid w:val="00160EF0"/>
    <w:rsid w:val="00160FA1"/>
    <w:rsid w:val="001620A5"/>
    <w:rsid w:val="0016235F"/>
    <w:rsid w:val="001628C1"/>
    <w:rsid w:val="00162D21"/>
    <w:rsid w:val="00162EAF"/>
    <w:rsid w:val="00163DE7"/>
    <w:rsid w:val="00164CAA"/>
    <w:rsid w:val="00164E53"/>
    <w:rsid w:val="0016699D"/>
    <w:rsid w:val="00166DCA"/>
    <w:rsid w:val="00166E63"/>
    <w:rsid w:val="001677DD"/>
    <w:rsid w:val="0017023C"/>
    <w:rsid w:val="00170C74"/>
    <w:rsid w:val="00173AD6"/>
    <w:rsid w:val="00173EDB"/>
    <w:rsid w:val="00173F14"/>
    <w:rsid w:val="00175159"/>
    <w:rsid w:val="00175730"/>
    <w:rsid w:val="00175736"/>
    <w:rsid w:val="00176208"/>
    <w:rsid w:val="00176CFA"/>
    <w:rsid w:val="001771C4"/>
    <w:rsid w:val="00177295"/>
    <w:rsid w:val="00177A7E"/>
    <w:rsid w:val="00180147"/>
    <w:rsid w:val="00180186"/>
    <w:rsid w:val="00180832"/>
    <w:rsid w:val="001817F5"/>
    <w:rsid w:val="0018211B"/>
    <w:rsid w:val="0018319D"/>
    <w:rsid w:val="00184017"/>
    <w:rsid w:val="001840D3"/>
    <w:rsid w:val="00184BCC"/>
    <w:rsid w:val="00184BF9"/>
    <w:rsid w:val="00185F76"/>
    <w:rsid w:val="00186866"/>
    <w:rsid w:val="001900F8"/>
    <w:rsid w:val="00190B65"/>
    <w:rsid w:val="00191258"/>
    <w:rsid w:val="00192027"/>
    <w:rsid w:val="00192680"/>
    <w:rsid w:val="00193037"/>
    <w:rsid w:val="00193A2C"/>
    <w:rsid w:val="00193E9F"/>
    <w:rsid w:val="00194317"/>
    <w:rsid w:val="0019434A"/>
    <w:rsid w:val="001958A1"/>
    <w:rsid w:val="0019683E"/>
    <w:rsid w:val="00196A14"/>
    <w:rsid w:val="001971C4"/>
    <w:rsid w:val="00197883"/>
    <w:rsid w:val="00197FBE"/>
    <w:rsid w:val="001A0EDA"/>
    <w:rsid w:val="001A112B"/>
    <w:rsid w:val="001A11EE"/>
    <w:rsid w:val="001A224A"/>
    <w:rsid w:val="001A288E"/>
    <w:rsid w:val="001A2BD6"/>
    <w:rsid w:val="001A4A3D"/>
    <w:rsid w:val="001A5919"/>
    <w:rsid w:val="001A5930"/>
    <w:rsid w:val="001B019E"/>
    <w:rsid w:val="001B12E2"/>
    <w:rsid w:val="001B1374"/>
    <w:rsid w:val="001B16C4"/>
    <w:rsid w:val="001B2419"/>
    <w:rsid w:val="001B276B"/>
    <w:rsid w:val="001B2934"/>
    <w:rsid w:val="001B2D8E"/>
    <w:rsid w:val="001B2F54"/>
    <w:rsid w:val="001B3317"/>
    <w:rsid w:val="001B3916"/>
    <w:rsid w:val="001B3FBB"/>
    <w:rsid w:val="001B5DC6"/>
    <w:rsid w:val="001B69BD"/>
    <w:rsid w:val="001B6DC2"/>
    <w:rsid w:val="001B7E54"/>
    <w:rsid w:val="001B7E9A"/>
    <w:rsid w:val="001C0B70"/>
    <w:rsid w:val="001C149C"/>
    <w:rsid w:val="001C1760"/>
    <w:rsid w:val="001C1BAC"/>
    <w:rsid w:val="001C1DA2"/>
    <w:rsid w:val="001C1EB3"/>
    <w:rsid w:val="001C21AC"/>
    <w:rsid w:val="001C2557"/>
    <w:rsid w:val="001C3D39"/>
    <w:rsid w:val="001C4030"/>
    <w:rsid w:val="001C47BA"/>
    <w:rsid w:val="001C4983"/>
    <w:rsid w:val="001C59EA"/>
    <w:rsid w:val="001C5DE4"/>
    <w:rsid w:val="001C698B"/>
    <w:rsid w:val="001D2A71"/>
    <w:rsid w:val="001D312D"/>
    <w:rsid w:val="001D36E7"/>
    <w:rsid w:val="001D3968"/>
    <w:rsid w:val="001D3C3C"/>
    <w:rsid w:val="001D406C"/>
    <w:rsid w:val="001D4128"/>
    <w:rsid w:val="001D41EE"/>
    <w:rsid w:val="001D438C"/>
    <w:rsid w:val="001D4D78"/>
    <w:rsid w:val="001D5277"/>
    <w:rsid w:val="001D57D6"/>
    <w:rsid w:val="001D5CAE"/>
    <w:rsid w:val="001D6285"/>
    <w:rsid w:val="001D64D4"/>
    <w:rsid w:val="001D67FD"/>
    <w:rsid w:val="001D7CA6"/>
    <w:rsid w:val="001E0380"/>
    <w:rsid w:val="001E13B1"/>
    <w:rsid w:val="001E2253"/>
    <w:rsid w:val="001E27F5"/>
    <w:rsid w:val="001E2BCF"/>
    <w:rsid w:val="001E2E39"/>
    <w:rsid w:val="001E33FA"/>
    <w:rsid w:val="001E509B"/>
    <w:rsid w:val="001E5472"/>
    <w:rsid w:val="001E56DF"/>
    <w:rsid w:val="001E5F6A"/>
    <w:rsid w:val="001E5FCB"/>
    <w:rsid w:val="001E6E5B"/>
    <w:rsid w:val="001E706C"/>
    <w:rsid w:val="001E73EA"/>
    <w:rsid w:val="001E75D2"/>
    <w:rsid w:val="001E794F"/>
    <w:rsid w:val="001F0304"/>
    <w:rsid w:val="001F14CF"/>
    <w:rsid w:val="001F31A7"/>
    <w:rsid w:val="001F33AA"/>
    <w:rsid w:val="001F3A19"/>
    <w:rsid w:val="001F5249"/>
    <w:rsid w:val="001F6B9E"/>
    <w:rsid w:val="00201053"/>
    <w:rsid w:val="00201FAB"/>
    <w:rsid w:val="00203AC1"/>
    <w:rsid w:val="0020486D"/>
    <w:rsid w:val="00204883"/>
    <w:rsid w:val="002048C8"/>
    <w:rsid w:val="00205460"/>
    <w:rsid w:val="00205B87"/>
    <w:rsid w:val="00205E8C"/>
    <w:rsid w:val="00207048"/>
    <w:rsid w:val="002075E6"/>
    <w:rsid w:val="00207B61"/>
    <w:rsid w:val="002112D0"/>
    <w:rsid w:val="00211312"/>
    <w:rsid w:val="00212793"/>
    <w:rsid w:val="00213B25"/>
    <w:rsid w:val="00213C2D"/>
    <w:rsid w:val="0021580F"/>
    <w:rsid w:val="002160F2"/>
    <w:rsid w:val="00216E83"/>
    <w:rsid w:val="00217782"/>
    <w:rsid w:val="002204BD"/>
    <w:rsid w:val="00220961"/>
    <w:rsid w:val="00220F1C"/>
    <w:rsid w:val="00221751"/>
    <w:rsid w:val="00222882"/>
    <w:rsid w:val="002228DA"/>
    <w:rsid w:val="002244C3"/>
    <w:rsid w:val="002264DF"/>
    <w:rsid w:val="00226CEC"/>
    <w:rsid w:val="0022789A"/>
    <w:rsid w:val="0022798A"/>
    <w:rsid w:val="0023035E"/>
    <w:rsid w:val="0023345A"/>
    <w:rsid w:val="002335A8"/>
    <w:rsid w:val="00233F28"/>
    <w:rsid w:val="00233F99"/>
    <w:rsid w:val="00234467"/>
    <w:rsid w:val="00236A10"/>
    <w:rsid w:val="00236B59"/>
    <w:rsid w:val="00237D8D"/>
    <w:rsid w:val="00237E07"/>
    <w:rsid w:val="00240331"/>
    <w:rsid w:val="00241DA2"/>
    <w:rsid w:val="002436BE"/>
    <w:rsid w:val="0024394D"/>
    <w:rsid w:val="00244C2C"/>
    <w:rsid w:val="00244CCE"/>
    <w:rsid w:val="00245579"/>
    <w:rsid w:val="00247290"/>
    <w:rsid w:val="00247FEE"/>
    <w:rsid w:val="00250E7D"/>
    <w:rsid w:val="00251423"/>
    <w:rsid w:val="0025157B"/>
    <w:rsid w:val="0025182B"/>
    <w:rsid w:val="0025276A"/>
    <w:rsid w:val="00252A2B"/>
    <w:rsid w:val="002541BF"/>
    <w:rsid w:val="00254450"/>
    <w:rsid w:val="00254EA7"/>
    <w:rsid w:val="002565D5"/>
    <w:rsid w:val="0025799D"/>
    <w:rsid w:val="002608BC"/>
    <w:rsid w:val="002622C0"/>
    <w:rsid w:val="00263556"/>
    <w:rsid w:val="00265663"/>
    <w:rsid w:val="00267403"/>
    <w:rsid w:val="00271C7C"/>
    <w:rsid w:val="0027210D"/>
    <w:rsid w:val="002729E9"/>
    <w:rsid w:val="002731BC"/>
    <w:rsid w:val="0027462A"/>
    <w:rsid w:val="002750C7"/>
    <w:rsid w:val="0027638F"/>
    <w:rsid w:val="00276458"/>
    <w:rsid w:val="00276D21"/>
    <w:rsid w:val="002778AE"/>
    <w:rsid w:val="00277CBD"/>
    <w:rsid w:val="002812E3"/>
    <w:rsid w:val="00281305"/>
    <w:rsid w:val="0028269A"/>
    <w:rsid w:val="00283590"/>
    <w:rsid w:val="00283D79"/>
    <w:rsid w:val="00283F59"/>
    <w:rsid w:val="00284245"/>
    <w:rsid w:val="0028500E"/>
    <w:rsid w:val="002850EC"/>
    <w:rsid w:val="00285C7A"/>
    <w:rsid w:val="00285DAA"/>
    <w:rsid w:val="00286973"/>
    <w:rsid w:val="002871F5"/>
    <w:rsid w:val="002901EB"/>
    <w:rsid w:val="00290316"/>
    <w:rsid w:val="00290BFD"/>
    <w:rsid w:val="00290F2C"/>
    <w:rsid w:val="0029106E"/>
    <w:rsid w:val="00292E94"/>
    <w:rsid w:val="002932ED"/>
    <w:rsid w:val="00294E70"/>
    <w:rsid w:val="00295163"/>
    <w:rsid w:val="00295A6A"/>
    <w:rsid w:val="00295C5F"/>
    <w:rsid w:val="00296991"/>
    <w:rsid w:val="00297257"/>
    <w:rsid w:val="002A01D3"/>
    <w:rsid w:val="002A1924"/>
    <w:rsid w:val="002A1EA8"/>
    <w:rsid w:val="002A1F04"/>
    <w:rsid w:val="002A1F67"/>
    <w:rsid w:val="002A40A1"/>
    <w:rsid w:val="002A58DB"/>
    <w:rsid w:val="002A59B5"/>
    <w:rsid w:val="002A5D83"/>
    <w:rsid w:val="002A61D1"/>
    <w:rsid w:val="002A62E7"/>
    <w:rsid w:val="002A6D11"/>
    <w:rsid w:val="002A7420"/>
    <w:rsid w:val="002A76F4"/>
    <w:rsid w:val="002A7D0A"/>
    <w:rsid w:val="002B0696"/>
    <w:rsid w:val="002B0F12"/>
    <w:rsid w:val="002B1077"/>
    <w:rsid w:val="002B1308"/>
    <w:rsid w:val="002B1E73"/>
    <w:rsid w:val="002B204A"/>
    <w:rsid w:val="002B3346"/>
    <w:rsid w:val="002B3464"/>
    <w:rsid w:val="002B39F5"/>
    <w:rsid w:val="002B3B64"/>
    <w:rsid w:val="002B4554"/>
    <w:rsid w:val="002C100E"/>
    <w:rsid w:val="002C3B94"/>
    <w:rsid w:val="002C4A0C"/>
    <w:rsid w:val="002C72D8"/>
    <w:rsid w:val="002C72DC"/>
    <w:rsid w:val="002C7AE1"/>
    <w:rsid w:val="002D11FA"/>
    <w:rsid w:val="002D32E6"/>
    <w:rsid w:val="002D3747"/>
    <w:rsid w:val="002D429E"/>
    <w:rsid w:val="002D6485"/>
    <w:rsid w:val="002D67C6"/>
    <w:rsid w:val="002D70F8"/>
    <w:rsid w:val="002D7399"/>
    <w:rsid w:val="002D78B6"/>
    <w:rsid w:val="002E0DDF"/>
    <w:rsid w:val="002E0EA0"/>
    <w:rsid w:val="002E1582"/>
    <w:rsid w:val="002E18EC"/>
    <w:rsid w:val="002E2205"/>
    <w:rsid w:val="002E2644"/>
    <w:rsid w:val="002E2906"/>
    <w:rsid w:val="002E363B"/>
    <w:rsid w:val="002E3EFB"/>
    <w:rsid w:val="002E52DF"/>
    <w:rsid w:val="002E5635"/>
    <w:rsid w:val="002E576E"/>
    <w:rsid w:val="002E5EEA"/>
    <w:rsid w:val="002E64C3"/>
    <w:rsid w:val="002E6857"/>
    <w:rsid w:val="002E6A2C"/>
    <w:rsid w:val="002F01C3"/>
    <w:rsid w:val="002F0582"/>
    <w:rsid w:val="002F12A2"/>
    <w:rsid w:val="002F1360"/>
    <w:rsid w:val="002F1D8C"/>
    <w:rsid w:val="002F1D9C"/>
    <w:rsid w:val="002F21DA"/>
    <w:rsid w:val="002F2439"/>
    <w:rsid w:val="002F319B"/>
    <w:rsid w:val="002F349D"/>
    <w:rsid w:val="002F3A6B"/>
    <w:rsid w:val="002F5033"/>
    <w:rsid w:val="002F53A8"/>
    <w:rsid w:val="002F5467"/>
    <w:rsid w:val="00301ACA"/>
    <w:rsid w:val="00301BD4"/>
    <w:rsid w:val="00301F39"/>
    <w:rsid w:val="00302E5C"/>
    <w:rsid w:val="00303BD0"/>
    <w:rsid w:val="00304318"/>
    <w:rsid w:val="00304A82"/>
    <w:rsid w:val="00304D39"/>
    <w:rsid w:val="0030542E"/>
    <w:rsid w:val="00305478"/>
    <w:rsid w:val="0030664E"/>
    <w:rsid w:val="003068C0"/>
    <w:rsid w:val="00307107"/>
    <w:rsid w:val="00307612"/>
    <w:rsid w:val="0030767C"/>
    <w:rsid w:val="003115FD"/>
    <w:rsid w:val="0031191B"/>
    <w:rsid w:val="00311E2F"/>
    <w:rsid w:val="0031228C"/>
    <w:rsid w:val="00312755"/>
    <w:rsid w:val="00312873"/>
    <w:rsid w:val="00313F0E"/>
    <w:rsid w:val="00314E39"/>
    <w:rsid w:val="003150FC"/>
    <w:rsid w:val="00315B07"/>
    <w:rsid w:val="00315E49"/>
    <w:rsid w:val="003161E6"/>
    <w:rsid w:val="00316844"/>
    <w:rsid w:val="00316A96"/>
    <w:rsid w:val="00317604"/>
    <w:rsid w:val="0032134C"/>
    <w:rsid w:val="0032190E"/>
    <w:rsid w:val="00321B13"/>
    <w:rsid w:val="00322CBE"/>
    <w:rsid w:val="00324790"/>
    <w:rsid w:val="00324CD3"/>
    <w:rsid w:val="0032500A"/>
    <w:rsid w:val="00325926"/>
    <w:rsid w:val="003263E3"/>
    <w:rsid w:val="003266DB"/>
    <w:rsid w:val="00326B93"/>
    <w:rsid w:val="003277A1"/>
    <w:rsid w:val="00327A8A"/>
    <w:rsid w:val="0033099B"/>
    <w:rsid w:val="00330BBC"/>
    <w:rsid w:val="00330D9C"/>
    <w:rsid w:val="0033123A"/>
    <w:rsid w:val="003318A3"/>
    <w:rsid w:val="00332207"/>
    <w:rsid w:val="00333782"/>
    <w:rsid w:val="003342B3"/>
    <w:rsid w:val="0033474B"/>
    <w:rsid w:val="00335670"/>
    <w:rsid w:val="003359F7"/>
    <w:rsid w:val="00335EB0"/>
    <w:rsid w:val="00336226"/>
    <w:rsid w:val="00336610"/>
    <w:rsid w:val="00336D90"/>
    <w:rsid w:val="00336E10"/>
    <w:rsid w:val="00336FC4"/>
    <w:rsid w:val="00337456"/>
    <w:rsid w:val="00337FDA"/>
    <w:rsid w:val="00340E40"/>
    <w:rsid w:val="00341128"/>
    <w:rsid w:val="003411F7"/>
    <w:rsid w:val="00341566"/>
    <w:rsid w:val="00342ADB"/>
    <w:rsid w:val="0034361C"/>
    <w:rsid w:val="00343F73"/>
    <w:rsid w:val="00344086"/>
    <w:rsid w:val="003442F7"/>
    <w:rsid w:val="00345060"/>
    <w:rsid w:val="0034534B"/>
    <w:rsid w:val="00345C4F"/>
    <w:rsid w:val="00345D0C"/>
    <w:rsid w:val="00346503"/>
    <w:rsid w:val="00346F20"/>
    <w:rsid w:val="003478C8"/>
    <w:rsid w:val="00350D67"/>
    <w:rsid w:val="00351644"/>
    <w:rsid w:val="0035323B"/>
    <w:rsid w:val="00353A8F"/>
    <w:rsid w:val="00356C95"/>
    <w:rsid w:val="0035701F"/>
    <w:rsid w:val="003574D1"/>
    <w:rsid w:val="00357CD0"/>
    <w:rsid w:val="00360546"/>
    <w:rsid w:val="003609D2"/>
    <w:rsid w:val="003609F6"/>
    <w:rsid w:val="003620BA"/>
    <w:rsid w:val="00362A78"/>
    <w:rsid w:val="0036371F"/>
    <w:rsid w:val="003637B5"/>
    <w:rsid w:val="00363F22"/>
    <w:rsid w:val="003642A6"/>
    <w:rsid w:val="00364CD5"/>
    <w:rsid w:val="00365963"/>
    <w:rsid w:val="0036610E"/>
    <w:rsid w:val="00366286"/>
    <w:rsid w:val="00366C09"/>
    <w:rsid w:val="00367B80"/>
    <w:rsid w:val="003707BC"/>
    <w:rsid w:val="00370C72"/>
    <w:rsid w:val="003722A0"/>
    <w:rsid w:val="003723AE"/>
    <w:rsid w:val="00373319"/>
    <w:rsid w:val="00373500"/>
    <w:rsid w:val="00373C00"/>
    <w:rsid w:val="00375564"/>
    <w:rsid w:val="00375C37"/>
    <w:rsid w:val="00376725"/>
    <w:rsid w:val="0037678A"/>
    <w:rsid w:val="00376BB3"/>
    <w:rsid w:val="00376F28"/>
    <w:rsid w:val="00377BE5"/>
    <w:rsid w:val="00377C95"/>
    <w:rsid w:val="00380190"/>
    <w:rsid w:val="00381EA0"/>
    <w:rsid w:val="003821B1"/>
    <w:rsid w:val="00382315"/>
    <w:rsid w:val="00383109"/>
    <w:rsid w:val="00383191"/>
    <w:rsid w:val="00383AAF"/>
    <w:rsid w:val="00383AC4"/>
    <w:rsid w:val="00386255"/>
    <w:rsid w:val="00386DED"/>
    <w:rsid w:val="0038714A"/>
    <w:rsid w:val="00387788"/>
    <w:rsid w:val="00387BE1"/>
    <w:rsid w:val="003912E7"/>
    <w:rsid w:val="00393477"/>
    <w:rsid w:val="00393947"/>
    <w:rsid w:val="00393D28"/>
    <w:rsid w:val="00394301"/>
    <w:rsid w:val="003955EC"/>
    <w:rsid w:val="00395E45"/>
    <w:rsid w:val="003962B2"/>
    <w:rsid w:val="003A039D"/>
    <w:rsid w:val="003A04A7"/>
    <w:rsid w:val="003A2275"/>
    <w:rsid w:val="003A2DF8"/>
    <w:rsid w:val="003A34E2"/>
    <w:rsid w:val="003A6A4F"/>
    <w:rsid w:val="003A7088"/>
    <w:rsid w:val="003B00DF"/>
    <w:rsid w:val="003B01D7"/>
    <w:rsid w:val="003B0F8B"/>
    <w:rsid w:val="003B1275"/>
    <w:rsid w:val="003B1778"/>
    <w:rsid w:val="003B18C1"/>
    <w:rsid w:val="003B1E5A"/>
    <w:rsid w:val="003B23BB"/>
    <w:rsid w:val="003B29B7"/>
    <w:rsid w:val="003B3CC4"/>
    <w:rsid w:val="003B44D2"/>
    <w:rsid w:val="003B4A71"/>
    <w:rsid w:val="003B5144"/>
    <w:rsid w:val="003B51C2"/>
    <w:rsid w:val="003B60BD"/>
    <w:rsid w:val="003B60FD"/>
    <w:rsid w:val="003B67E7"/>
    <w:rsid w:val="003B68F0"/>
    <w:rsid w:val="003B6AFB"/>
    <w:rsid w:val="003C0C85"/>
    <w:rsid w:val="003C11AB"/>
    <w:rsid w:val="003C11CB"/>
    <w:rsid w:val="003C192D"/>
    <w:rsid w:val="003C21BD"/>
    <w:rsid w:val="003C272D"/>
    <w:rsid w:val="003C32A4"/>
    <w:rsid w:val="003C38FB"/>
    <w:rsid w:val="003C3B43"/>
    <w:rsid w:val="003C63EC"/>
    <w:rsid w:val="003C6422"/>
    <w:rsid w:val="003C6615"/>
    <w:rsid w:val="003C6A2D"/>
    <w:rsid w:val="003C72F6"/>
    <w:rsid w:val="003C75F3"/>
    <w:rsid w:val="003C78A3"/>
    <w:rsid w:val="003C7AC0"/>
    <w:rsid w:val="003D053B"/>
    <w:rsid w:val="003D1660"/>
    <w:rsid w:val="003D1D79"/>
    <w:rsid w:val="003D3FD0"/>
    <w:rsid w:val="003D4B69"/>
    <w:rsid w:val="003D509B"/>
    <w:rsid w:val="003D600D"/>
    <w:rsid w:val="003D6830"/>
    <w:rsid w:val="003D7312"/>
    <w:rsid w:val="003D732C"/>
    <w:rsid w:val="003D79CA"/>
    <w:rsid w:val="003D7ABD"/>
    <w:rsid w:val="003E1434"/>
    <w:rsid w:val="003E1867"/>
    <w:rsid w:val="003E1E2A"/>
    <w:rsid w:val="003E22EC"/>
    <w:rsid w:val="003E2B3D"/>
    <w:rsid w:val="003E359B"/>
    <w:rsid w:val="003E5729"/>
    <w:rsid w:val="003E6F66"/>
    <w:rsid w:val="003F0213"/>
    <w:rsid w:val="003F043E"/>
    <w:rsid w:val="003F074C"/>
    <w:rsid w:val="003F0AE8"/>
    <w:rsid w:val="003F1909"/>
    <w:rsid w:val="003F3116"/>
    <w:rsid w:val="003F3D96"/>
    <w:rsid w:val="003F420D"/>
    <w:rsid w:val="003F4EE0"/>
    <w:rsid w:val="003F6945"/>
    <w:rsid w:val="004007C2"/>
    <w:rsid w:val="0040186A"/>
    <w:rsid w:val="00402153"/>
    <w:rsid w:val="00402FC1"/>
    <w:rsid w:val="0040417B"/>
    <w:rsid w:val="00407E39"/>
    <w:rsid w:val="004100EF"/>
    <w:rsid w:val="004115E0"/>
    <w:rsid w:val="004119C5"/>
    <w:rsid w:val="0041250D"/>
    <w:rsid w:val="0041259A"/>
    <w:rsid w:val="00414D15"/>
    <w:rsid w:val="00415671"/>
    <w:rsid w:val="00416F23"/>
    <w:rsid w:val="0041772E"/>
    <w:rsid w:val="00417FA4"/>
    <w:rsid w:val="004201E3"/>
    <w:rsid w:val="00421016"/>
    <w:rsid w:val="0042189A"/>
    <w:rsid w:val="00421990"/>
    <w:rsid w:val="00421C6B"/>
    <w:rsid w:val="004243BC"/>
    <w:rsid w:val="00425082"/>
    <w:rsid w:val="00426532"/>
    <w:rsid w:val="004266F4"/>
    <w:rsid w:val="00426CE8"/>
    <w:rsid w:val="004313AD"/>
    <w:rsid w:val="00431DEB"/>
    <w:rsid w:val="0043219C"/>
    <w:rsid w:val="0043379A"/>
    <w:rsid w:val="004341B7"/>
    <w:rsid w:val="00434BC4"/>
    <w:rsid w:val="0043634F"/>
    <w:rsid w:val="004367D5"/>
    <w:rsid w:val="00437290"/>
    <w:rsid w:val="004373F1"/>
    <w:rsid w:val="004405A1"/>
    <w:rsid w:val="00440DF1"/>
    <w:rsid w:val="004421A9"/>
    <w:rsid w:val="00442A61"/>
    <w:rsid w:val="00442D26"/>
    <w:rsid w:val="0044406C"/>
    <w:rsid w:val="00444665"/>
    <w:rsid w:val="004450B4"/>
    <w:rsid w:val="0044513C"/>
    <w:rsid w:val="00446767"/>
    <w:rsid w:val="00446B29"/>
    <w:rsid w:val="0044710F"/>
    <w:rsid w:val="0044798B"/>
    <w:rsid w:val="00447ED8"/>
    <w:rsid w:val="00450CA8"/>
    <w:rsid w:val="00450E51"/>
    <w:rsid w:val="00452B0F"/>
    <w:rsid w:val="00452F18"/>
    <w:rsid w:val="00453F9A"/>
    <w:rsid w:val="00454738"/>
    <w:rsid w:val="004556B2"/>
    <w:rsid w:val="0045689D"/>
    <w:rsid w:val="00461837"/>
    <w:rsid w:val="00461AF5"/>
    <w:rsid w:val="0046216A"/>
    <w:rsid w:val="00462486"/>
    <w:rsid w:val="0046286A"/>
    <w:rsid w:val="00462B27"/>
    <w:rsid w:val="00463925"/>
    <w:rsid w:val="00463CEA"/>
    <w:rsid w:val="00463D06"/>
    <w:rsid w:val="004640AF"/>
    <w:rsid w:val="0046461B"/>
    <w:rsid w:val="0046530F"/>
    <w:rsid w:val="0046693C"/>
    <w:rsid w:val="00467A9E"/>
    <w:rsid w:val="004704A0"/>
    <w:rsid w:val="004706FB"/>
    <w:rsid w:val="0047136C"/>
    <w:rsid w:val="00471E91"/>
    <w:rsid w:val="00474389"/>
    <w:rsid w:val="00474675"/>
    <w:rsid w:val="0047470C"/>
    <w:rsid w:val="00474E6B"/>
    <w:rsid w:val="00475425"/>
    <w:rsid w:val="0047565F"/>
    <w:rsid w:val="00475744"/>
    <w:rsid w:val="00475BF1"/>
    <w:rsid w:val="00476174"/>
    <w:rsid w:val="00476AE6"/>
    <w:rsid w:val="00476EE0"/>
    <w:rsid w:val="00477049"/>
    <w:rsid w:val="00477EDB"/>
    <w:rsid w:val="00480475"/>
    <w:rsid w:val="00480E32"/>
    <w:rsid w:val="00481387"/>
    <w:rsid w:val="00481A3B"/>
    <w:rsid w:val="00482988"/>
    <w:rsid w:val="00484136"/>
    <w:rsid w:val="0048446D"/>
    <w:rsid w:val="0049091E"/>
    <w:rsid w:val="00491AAD"/>
    <w:rsid w:val="00491B94"/>
    <w:rsid w:val="0049363C"/>
    <w:rsid w:val="0049372C"/>
    <w:rsid w:val="00493E9E"/>
    <w:rsid w:val="00494014"/>
    <w:rsid w:val="004949D2"/>
    <w:rsid w:val="00494B23"/>
    <w:rsid w:val="00496024"/>
    <w:rsid w:val="00496A1F"/>
    <w:rsid w:val="00497052"/>
    <w:rsid w:val="004A0348"/>
    <w:rsid w:val="004A0386"/>
    <w:rsid w:val="004A1C38"/>
    <w:rsid w:val="004A35F9"/>
    <w:rsid w:val="004A471A"/>
    <w:rsid w:val="004A4B9E"/>
    <w:rsid w:val="004A4CCB"/>
    <w:rsid w:val="004A5191"/>
    <w:rsid w:val="004A78DA"/>
    <w:rsid w:val="004B0C30"/>
    <w:rsid w:val="004B192C"/>
    <w:rsid w:val="004B24C1"/>
    <w:rsid w:val="004B255A"/>
    <w:rsid w:val="004B28EC"/>
    <w:rsid w:val="004B2CBA"/>
    <w:rsid w:val="004B3260"/>
    <w:rsid w:val="004B33B7"/>
    <w:rsid w:val="004B3A41"/>
    <w:rsid w:val="004B3CAD"/>
    <w:rsid w:val="004B43D0"/>
    <w:rsid w:val="004B670C"/>
    <w:rsid w:val="004B6D83"/>
    <w:rsid w:val="004B7E4D"/>
    <w:rsid w:val="004C13EF"/>
    <w:rsid w:val="004C1D17"/>
    <w:rsid w:val="004C292F"/>
    <w:rsid w:val="004C2CD1"/>
    <w:rsid w:val="004C2F60"/>
    <w:rsid w:val="004C4741"/>
    <w:rsid w:val="004C4BD2"/>
    <w:rsid w:val="004C61B0"/>
    <w:rsid w:val="004C69DD"/>
    <w:rsid w:val="004C7499"/>
    <w:rsid w:val="004C74DE"/>
    <w:rsid w:val="004C7F67"/>
    <w:rsid w:val="004D07FF"/>
    <w:rsid w:val="004D40AC"/>
    <w:rsid w:val="004D43F7"/>
    <w:rsid w:val="004D5786"/>
    <w:rsid w:val="004D5B95"/>
    <w:rsid w:val="004D6973"/>
    <w:rsid w:val="004E0C3C"/>
    <w:rsid w:val="004E2191"/>
    <w:rsid w:val="004E2C42"/>
    <w:rsid w:val="004E3615"/>
    <w:rsid w:val="004E455C"/>
    <w:rsid w:val="004E4935"/>
    <w:rsid w:val="004E52A8"/>
    <w:rsid w:val="004E5EDD"/>
    <w:rsid w:val="004E6CD5"/>
    <w:rsid w:val="004E7A2E"/>
    <w:rsid w:val="004F22E9"/>
    <w:rsid w:val="004F3D9F"/>
    <w:rsid w:val="004F4CF0"/>
    <w:rsid w:val="004F5307"/>
    <w:rsid w:val="004F6621"/>
    <w:rsid w:val="004F7E1B"/>
    <w:rsid w:val="00500858"/>
    <w:rsid w:val="005009C2"/>
    <w:rsid w:val="00500A32"/>
    <w:rsid w:val="00500A79"/>
    <w:rsid w:val="00500ED2"/>
    <w:rsid w:val="00502DCC"/>
    <w:rsid w:val="0050399D"/>
    <w:rsid w:val="00504651"/>
    <w:rsid w:val="005056E6"/>
    <w:rsid w:val="005057F3"/>
    <w:rsid w:val="0050606B"/>
    <w:rsid w:val="00510280"/>
    <w:rsid w:val="00510925"/>
    <w:rsid w:val="00510E3E"/>
    <w:rsid w:val="00513D73"/>
    <w:rsid w:val="00514A43"/>
    <w:rsid w:val="00514ACF"/>
    <w:rsid w:val="005156EE"/>
    <w:rsid w:val="005174E5"/>
    <w:rsid w:val="00517A11"/>
    <w:rsid w:val="00517F55"/>
    <w:rsid w:val="0052074F"/>
    <w:rsid w:val="00520A4F"/>
    <w:rsid w:val="00520F3B"/>
    <w:rsid w:val="0052204B"/>
    <w:rsid w:val="00522393"/>
    <w:rsid w:val="00522620"/>
    <w:rsid w:val="00524877"/>
    <w:rsid w:val="00525656"/>
    <w:rsid w:val="005257E7"/>
    <w:rsid w:val="00525EDE"/>
    <w:rsid w:val="00525FDD"/>
    <w:rsid w:val="005262EA"/>
    <w:rsid w:val="00526B5E"/>
    <w:rsid w:val="00530A6E"/>
    <w:rsid w:val="00534A09"/>
    <w:rsid w:val="00534B3D"/>
    <w:rsid w:val="00534C02"/>
    <w:rsid w:val="005361B4"/>
    <w:rsid w:val="00536F58"/>
    <w:rsid w:val="0053795B"/>
    <w:rsid w:val="00540882"/>
    <w:rsid w:val="005409BD"/>
    <w:rsid w:val="0054264B"/>
    <w:rsid w:val="00543442"/>
    <w:rsid w:val="00543786"/>
    <w:rsid w:val="00543899"/>
    <w:rsid w:val="00545E17"/>
    <w:rsid w:val="005465BE"/>
    <w:rsid w:val="00546A57"/>
    <w:rsid w:val="00547AF8"/>
    <w:rsid w:val="00550378"/>
    <w:rsid w:val="0055137F"/>
    <w:rsid w:val="00552E01"/>
    <w:rsid w:val="00553367"/>
    <w:rsid w:val="005533D7"/>
    <w:rsid w:val="005541B2"/>
    <w:rsid w:val="00554667"/>
    <w:rsid w:val="00555063"/>
    <w:rsid w:val="00555FFE"/>
    <w:rsid w:val="00556CEE"/>
    <w:rsid w:val="00561683"/>
    <w:rsid w:val="005633D8"/>
    <w:rsid w:val="00563FEF"/>
    <w:rsid w:val="00565A91"/>
    <w:rsid w:val="005666D4"/>
    <w:rsid w:val="005669DD"/>
    <w:rsid w:val="00566C38"/>
    <w:rsid w:val="005703DE"/>
    <w:rsid w:val="0057115F"/>
    <w:rsid w:val="00571319"/>
    <w:rsid w:val="00574EBF"/>
    <w:rsid w:val="00574F43"/>
    <w:rsid w:val="00576509"/>
    <w:rsid w:val="0057732B"/>
    <w:rsid w:val="005773AA"/>
    <w:rsid w:val="005800DB"/>
    <w:rsid w:val="00580490"/>
    <w:rsid w:val="00581357"/>
    <w:rsid w:val="00581C6B"/>
    <w:rsid w:val="005839D7"/>
    <w:rsid w:val="0058441D"/>
    <w:rsid w:val="0058464E"/>
    <w:rsid w:val="00584770"/>
    <w:rsid w:val="00586310"/>
    <w:rsid w:val="005878E3"/>
    <w:rsid w:val="005904A5"/>
    <w:rsid w:val="005908DD"/>
    <w:rsid w:val="00590BC3"/>
    <w:rsid w:val="0059246F"/>
    <w:rsid w:val="00593B48"/>
    <w:rsid w:val="005946CA"/>
    <w:rsid w:val="00595273"/>
    <w:rsid w:val="00595DD1"/>
    <w:rsid w:val="0059648A"/>
    <w:rsid w:val="005966B0"/>
    <w:rsid w:val="00596DCA"/>
    <w:rsid w:val="00597F62"/>
    <w:rsid w:val="005A01CB"/>
    <w:rsid w:val="005A1524"/>
    <w:rsid w:val="005A18C9"/>
    <w:rsid w:val="005A29AD"/>
    <w:rsid w:val="005A4542"/>
    <w:rsid w:val="005A4556"/>
    <w:rsid w:val="005A492C"/>
    <w:rsid w:val="005A58FF"/>
    <w:rsid w:val="005A5B6B"/>
    <w:rsid w:val="005A5EAF"/>
    <w:rsid w:val="005A64C0"/>
    <w:rsid w:val="005A6F87"/>
    <w:rsid w:val="005A79E2"/>
    <w:rsid w:val="005B01F5"/>
    <w:rsid w:val="005B1EDA"/>
    <w:rsid w:val="005B2BC4"/>
    <w:rsid w:val="005B3C11"/>
    <w:rsid w:val="005B52B0"/>
    <w:rsid w:val="005B628D"/>
    <w:rsid w:val="005B7231"/>
    <w:rsid w:val="005C0253"/>
    <w:rsid w:val="005C02B3"/>
    <w:rsid w:val="005C1093"/>
    <w:rsid w:val="005C11BC"/>
    <w:rsid w:val="005C1C28"/>
    <w:rsid w:val="005C45E6"/>
    <w:rsid w:val="005C5157"/>
    <w:rsid w:val="005C671D"/>
    <w:rsid w:val="005C6DB5"/>
    <w:rsid w:val="005D1947"/>
    <w:rsid w:val="005D1DA0"/>
    <w:rsid w:val="005D225D"/>
    <w:rsid w:val="005D2BB1"/>
    <w:rsid w:val="005D4B59"/>
    <w:rsid w:val="005D57AD"/>
    <w:rsid w:val="005D623B"/>
    <w:rsid w:val="005D72D9"/>
    <w:rsid w:val="005D7A70"/>
    <w:rsid w:val="005D7ABD"/>
    <w:rsid w:val="005D7BD6"/>
    <w:rsid w:val="005E042C"/>
    <w:rsid w:val="005E19E7"/>
    <w:rsid w:val="005E1BA2"/>
    <w:rsid w:val="005E2011"/>
    <w:rsid w:val="005E266C"/>
    <w:rsid w:val="005E29E4"/>
    <w:rsid w:val="005E2D10"/>
    <w:rsid w:val="005E38C9"/>
    <w:rsid w:val="005E684D"/>
    <w:rsid w:val="005E6BB3"/>
    <w:rsid w:val="005E7775"/>
    <w:rsid w:val="005E7805"/>
    <w:rsid w:val="005E78E2"/>
    <w:rsid w:val="005F0AC6"/>
    <w:rsid w:val="005F0D35"/>
    <w:rsid w:val="005F18AE"/>
    <w:rsid w:val="005F25E2"/>
    <w:rsid w:val="005F3E62"/>
    <w:rsid w:val="005F48D4"/>
    <w:rsid w:val="005F54EE"/>
    <w:rsid w:val="005F57EF"/>
    <w:rsid w:val="005F689E"/>
    <w:rsid w:val="005F71CC"/>
    <w:rsid w:val="005F7BBB"/>
    <w:rsid w:val="00600A20"/>
    <w:rsid w:val="006025EC"/>
    <w:rsid w:val="006044D2"/>
    <w:rsid w:val="006053B6"/>
    <w:rsid w:val="00607982"/>
    <w:rsid w:val="00613265"/>
    <w:rsid w:val="0061347E"/>
    <w:rsid w:val="00615CCD"/>
    <w:rsid w:val="006164EA"/>
    <w:rsid w:val="00616B62"/>
    <w:rsid w:val="0061716C"/>
    <w:rsid w:val="00617C4A"/>
    <w:rsid w:val="00620054"/>
    <w:rsid w:val="0062133B"/>
    <w:rsid w:val="00622E5D"/>
    <w:rsid w:val="006243A1"/>
    <w:rsid w:val="00624DD5"/>
    <w:rsid w:val="006254BC"/>
    <w:rsid w:val="00625609"/>
    <w:rsid w:val="00626C67"/>
    <w:rsid w:val="00626F00"/>
    <w:rsid w:val="00627FEB"/>
    <w:rsid w:val="00630858"/>
    <w:rsid w:val="00632180"/>
    <w:rsid w:val="00632353"/>
    <w:rsid w:val="006325BC"/>
    <w:rsid w:val="00632E56"/>
    <w:rsid w:val="006333D4"/>
    <w:rsid w:val="00635CBA"/>
    <w:rsid w:val="00636354"/>
    <w:rsid w:val="006369A6"/>
    <w:rsid w:val="00640017"/>
    <w:rsid w:val="006410AE"/>
    <w:rsid w:val="00641A71"/>
    <w:rsid w:val="00643301"/>
    <w:rsid w:val="0064338B"/>
    <w:rsid w:val="00645728"/>
    <w:rsid w:val="0064580C"/>
    <w:rsid w:val="00646542"/>
    <w:rsid w:val="006504F4"/>
    <w:rsid w:val="00651A3C"/>
    <w:rsid w:val="00651AA5"/>
    <w:rsid w:val="00651E39"/>
    <w:rsid w:val="00651E4D"/>
    <w:rsid w:val="00652619"/>
    <w:rsid w:val="0065318B"/>
    <w:rsid w:val="0065379B"/>
    <w:rsid w:val="00653FEA"/>
    <w:rsid w:val="00654051"/>
    <w:rsid w:val="00654BC9"/>
    <w:rsid w:val="00654BD1"/>
    <w:rsid w:val="006552FD"/>
    <w:rsid w:val="00656CEF"/>
    <w:rsid w:val="0065778C"/>
    <w:rsid w:val="00661667"/>
    <w:rsid w:val="00661D8B"/>
    <w:rsid w:val="006622D9"/>
    <w:rsid w:val="00662DC5"/>
    <w:rsid w:val="00663AF3"/>
    <w:rsid w:val="00663B75"/>
    <w:rsid w:val="00664442"/>
    <w:rsid w:val="0066462C"/>
    <w:rsid w:val="006669F5"/>
    <w:rsid w:val="00666B6C"/>
    <w:rsid w:val="00666DD5"/>
    <w:rsid w:val="006674BB"/>
    <w:rsid w:val="00667E18"/>
    <w:rsid w:val="00670F56"/>
    <w:rsid w:val="00672368"/>
    <w:rsid w:val="006725A4"/>
    <w:rsid w:val="00672EEA"/>
    <w:rsid w:val="006730BA"/>
    <w:rsid w:val="00673C9D"/>
    <w:rsid w:val="00675F55"/>
    <w:rsid w:val="00676BF3"/>
    <w:rsid w:val="00676CBC"/>
    <w:rsid w:val="00676E8A"/>
    <w:rsid w:val="0067711D"/>
    <w:rsid w:val="00681681"/>
    <w:rsid w:val="00682682"/>
    <w:rsid w:val="00682702"/>
    <w:rsid w:val="00682CAE"/>
    <w:rsid w:val="00682FC0"/>
    <w:rsid w:val="0068309F"/>
    <w:rsid w:val="006831D2"/>
    <w:rsid w:val="00684D3E"/>
    <w:rsid w:val="006851CE"/>
    <w:rsid w:val="00685A41"/>
    <w:rsid w:val="00685BA7"/>
    <w:rsid w:val="00686EAD"/>
    <w:rsid w:val="00690386"/>
    <w:rsid w:val="006914A5"/>
    <w:rsid w:val="00691685"/>
    <w:rsid w:val="0069175C"/>
    <w:rsid w:val="00691BB9"/>
    <w:rsid w:val="0069209C"/>
    <w:rsid w:val="00692368"/>
    <w:rsid w:val="00692715"/>
    <w:rsid w:val="00692A23"/>
    <w:rsid w:val="00692A5F"/>
    <w:rsid w:val="00694312"/>
    <w:rsid w:val="00694D8B"/>
    <w:rsid w:val="00697159"/>
    <w:rsid w:val="006A0617"/>
    <w:rsid w:val="006A21DF"/>
    <w:rsid w:val="006A2852"/>
    <w:rsid w:val="006A2EBC"/>
    <w:rsid w:val="006A3DF3"/>
    <w:rsid w:val="006A466C"/>
    <w:rsid w:val="006A5523"/>
    <w:rsid w:val="006A5C81"/>
    <w:rsid w:val="006A5EA0"/>
    <w:rsid w:val="006A6D00"/>
    <w:rsid w:val="006A6E07"/>
    <w:rsid w:val="006A783B"/>
    <w:rsid w:val="006A7B33"/>
    <w:rsid w:val="006B3D0C"/>
    <w:rsid w:val="006B4E13"/>
    <w:rsid w:val="006B669A"/>
    <w:rsid w:val="006B70EE"/>
    <w:rsid w:val="006B745F"/>
    <w:rsid w:val="006B75DD"/>
    <w:rsid w:val="006C08A6"/>
    <w:rsid w:val="006C3ACF"/>
    <w:rsid w:val="006C4638"/>
    <w:rsid w:val="006C5496"/>
    <w:rsid w:val="006C5DA7"/>
    <w:rsid w:val="006C6780"/>
    <w:rsid w:val="006C67E0"/>
    <w:rsid w:val="006C7ABA"/>
    <w:rsid w:val="006D0049"/>
    <w:rsid w:val="006D0236"/>
    <w:rsid w:val="006D0755"/>
    <w:rsid w:val="006D0D60"/>
    <w:rsid w:val="006D1122"/>
    <w:rsid w:val="006D2007"/>
    <w:rsid w:val="006D2C8F"/>
    <w:rsid w:val="006D2ED3"/>
    <w:rsid w:val="006D3B88"/>
    <w:rsid w:val="006D3C00"/>
    <w:rsid w:val="006D4DDA"/>
    <w:rsid w:val="006D5102"/>
    <w:rsid w:val="006D53ED"/>
    <w:rsid w:val="006D5A81"/>
    <w:rsid w:val="006D6CF4"/>
    <w:rsid w:val="006D7872"/>
    <w:rsid w:val="006D7FC7"/>
    <w:rsid w:val="006E03D5"/>
    <w:rsid w:val="006E0E93"/>
    <w:rsid w:val="006E13E2"/>
    <w:rsid w:val="006E284B"/>
    <w:rsid w:val="006E3675"/>
    <w:rsid w:val="006E4040"/>
    <w:rsid w:val="006E48F2"/>
    <w:rsid w:val="006E4A7F"/>
    <w:rsid w:val="006E5C67"/>
    <w:rsid w:val="006F05DD"/>
    <w:rsid w:val="006F285A"/>
    <w:rsid w:val="006F2E95"/>
    <w:rsid w:val="006F3AC2"/>
    <w:rsid w:val="006F3C32"/>
    <w:rsid w:val="006F4820"/>
    <w:rsid w:val="00701F1F"/>
    <w:rsid w:val="00703938"/>
    <w:rsid w:val="007046E1"/>
    <w:rsid w:val="00704775"/>
    <w:rsid w:val="00704DF6"/>
    <w:rsid w:val="00705F93"/>
    <w:rsid w:val="0070651C"/>
    <w:rsid w:val="00706D15"/>
    <w:rsid w:val="007077A9"/>
    <w:rsid w:val="007103CE"/>
    <w:rsid w:val="00710A30"/>
    <w:rsid w:val="00711BE6"/>
    <w:rsid w:val="007127A4"/>
    <w:rsid w:val="00712E79"/>
    <w:rsid w:val="007132A3"/>
    <w:rsid w:val="00713A89"/>
    <w:rsid w:val="00713E2A"/>
    <w:rsid w:val="007140AF"/>
    <w:rsid w:val="00714538"/>
    <w:rsid w:val="00714AEF"/>
    <w:rsid w:val="00714C72"/>
    <w:rsid w:val="00715BA8"/>
    <w:rsid w:val="00716421"/>
    <w:rsid w:val="00716570"/>
    <w:rsid w:val="00716A96"/>
    <w:rsid w:val="00720026"/>
    <w:rsid w:val="00721094"/>
    <w:rsid w:val="0072110B"/>
    <w:rsid w:val="0072127A"/>
    <w:rsid w:val="00722EB9"/>
    <w:rsid w:val="00723192"/>
    <w:rsid w:val="00723D92"/>
    <w:rsid w:val="007243B6"/>
    <w:rsid w:val="00724E6D"/>
    <w:rsid w:val="00724EFB"/>
    <w:rsid w:val="00730676"/>
    <w:rsid w:val="00731A04"/>
    <w:rsid w:val="0073270D"/>
    <w:rsid w:val="00733127"/>
    <w:rsid w:val="0073366B"/>
    <w:rsid w:val="00736857"/>
    <w:rsid w:val="00736F9E"/>
    <w:rsid w:val="00737424"/>
    <w:rsid w:val="00737532"/>
    <w:rsid w:val="00740C4D"/>
    <w:rsid w:val="00740EA0"/>
    <w:rsid w:val="007419C3"/>
    <w:rsid w:val="00741D31"/>
    <w:rsid w:val="00742415"/>
    <w:rsid w:val="00742B23"/>
    <w:rsid w:val="00742EB8"/>
    <w:rsid w:val="00743E2C"/>
    <w:rsid w:val="007446CC"/>
    <w:rsid w:val="00744F22"/>
    <w:rsid w:val="0074519A"/>
    <w:rsid w:val="007467A7"/>
    <w:rsid w:val="007469DD"/>
    <w:rsid w:val="007472A6"/>
    <w:rsid w:val="007472B0"/>
    <w:rsid w:val="0074741B"/>
    <w:rsid w:val="0074759E"/>
    <w:rsid w:val="007478EA"/>
    <w:rsid w:val="00747EF5"/>
    <w:rsid w:val="0075068E"/>
    <w:rsid w:val="00750ECD"/>
    <w:rsid w:val="0075122D"/>
    <w:rsid w:val="0075415C"/>
    <w:rsid w:val="0075505D"/>
    <w:rsid w:val="00755A32"/>
    <w:rsid w:val="007602A9"/>
    <w:rsid w:val="00760E0E"/>
    <w:rsid w:val="00762D6C"/>
    <w:rsid w:val="00763502"/>
    <w:rsid w:val="00763DB8"/>
    <w:rsid w:val="00764D74"/>
    <w:rsid w:val="00765427"/>
    <w:rsid w:val="007659D4"/>
    <w:rsid w:val="00766C8A"/>
    <w:rsid w:val="007673E3"/>
    <w:rsid w:val="007718EA"/>
    <w:rsid w:val="00771B2E"/>
    <w:rsid w:val="00772720"/>
    <w:rsid w:val="00772F76"/>
    <w:rsid w:val="00773129"/>
    <w:rsid w:val="00774F11"/>
    <w:rsid w:val="0077545A"/>
    <w:rsid w:val="00776549"/>
    <w:rsid w:val="00776E03"/>
    <w:rsid w:val="00780300"/>
    <w:rsid w:val="00782AA5"/>
    <w:rsid w:val="007835A1"/>
    <w:rsid w:val="007841C1"/>
    <w:rsid w:val="00784395"/>
    <w:rsid w:val="0078485C"/>
    <w:rsid w:val="0078587C"/>
    <w:rsid w:val="00786AEB"/>
    <w:rsid w:val="00787342"/>
    <w:rsid w:val="007913AB"/>
    <w:rsid w:val="007914F7"/>
    <w:rsid w:val="007929CE"/>
    <w:rsid w:val="007929D1"/>
    <w:rsid w:val="00793793"/>
    <w:rsid w:val="00793EC2"/>
    <w:rsid w:val="007956C5"/>
    <w:rsid w:val="00795F38"/>
    <w:rsid w:val="007967B6"/>
    <w:rsid w:val="00796925"/>
    <w:rsid w:val="00796B4A"/>
    <w:rsid w:val="00797E61"/>
    <w:rsid w:val="007A1868"/>
    <w:rsid w:val="007A19E0"/>
    <w:rsid w:val="007A225B"/>
    <w:rsid w:val="007A2CAC"/>
    <w:rsid w:val="007A55C6"/>
    <w:rsid w:val="007A5FB9"/>
    <w:rsid w:val="007A763F"/>
    <w:rsid w:val="007A767B"/>
    <w:rsid w:val="007A7A6B"/>
    <w:rsid w:val="007A7B63"/>
    <w:rsid w:val="007B0A5E"/>
    <w:rsid w:val="007B1427"/>
    <w:rsid w:val="007B1625"/>
    <w:rsid w:val="007B1F4F"/>
    <w:rsid w:val="007B3349"/>
    <w:rsid w:val="007B3E20"/>
    <w:rsid w:val="007B4F4F"/>
    <w:rsid w:val="007B5CEF"/>
    <w:rsid w:val="007B706E"/>
    <w:rsid w:val="007B71EB"/>
    <w:rsid w:val="007B74CA"/>
    <w:rsid w:val="007C0081"/>
    <w:rsid w:val="007C076D"/>
    <w:rsid w:val="007C0873"/>
    <w:rsid w:val="007C2119"/>
    <w:rsid w:val="007C2DB0"/>
    <w:rsid w:val="007C517D"/>
    <w:rsid w:val="007C53BA"/>
    <w:rsid w:val="007C5735"/>
    <w:rsid w:val="007C6021"/>
    <w:rsid w:val="007C612A"/>
    <w:rsid w:val="007C6205"/>
    <w:rsid w:val="007C686A"/>
    <w:rsid w:val="007C6E1E"/>
    <w:rsid w:val="007C728E"/>
    <w:rsid w:val="007C7ADF"/>
    <w:rsid w:val="007D0EDE"/>
    <w:rsid w:val="007D1138"/>
    <w:rsid w:val="007D1303"/>
    <w:rsid w:val="007D2C53"/>
    <w:rsid w:val="007D30AA"/>
    <w:rsid w:val="007D3D60"/>
    <w:rsid w:val="007D3F66"/>
    <w:rsid w:val="007D41CF"/>
    <w:rsid w:val="007D60C4"/>
    <w:rsid w:val="007D6712"/>
    <w:rsid w:val="007D7568"/>
    <w:rsid w:val="007E0048"/>
    <w:rsid w:val="007E014D"/>
    <w:rsid w:val="007E1980"/>
    <w:rsid w:val="007E1C77"/>
    <w:rsid w:val="007E20AE"/>
    <w:rsid w:val="007E29C5"/>
    <w:rsid w:val="007E4185"/>
    <w:rsid w:val="007E4645"/>
    <w:rsid w:val="007E4B76"/>
    <w:rsid w:val="007E4E29"/>
    <w:rsid w:val="007E500A"/>
    <w:rsid w:val="007E52C6"/>
    <w:rsid w:val="007E5A3A"/>
    <w:rsid w:val="007E5EA8"/>
    <w:rsid w:val="007E603A"/>
    <w:rsid w:val="007F0BAC"/>
    <w:rsid w:val="007F0CF1"/>
    <w:rsid w:val="007F12A5"/>
    <w:rsid w:val="007F13B1"/>
    <w:rsid w:val="007F2129"/>
    <w:rsid w:val="007F2828"/>
    <w:rsid w:val="007F4038"/>
    <w:rsid w:val="007F4968"/>
    <w:rsid w:val="007F4CF1"/>
    <w:rsid w:val="007F57DC"/>
    <w:rsid w:val="007F70CB"/>
    <w:rsid w:val="007F758D"/>
    <w:rsid w:val="007F7D52"/>
    <w:rsid w:val="007F7FC4"/>
    <w:rsid w:val="008010E1"/>
    <w:rsid w:val="00802440"/>
    <w:rsid w:val="00802D33"/>
    <w:rsid w:val="00802E22"/>
    <w:rsid w:val="008035FA"/>
    <w:rsid w:val="00803948"/>
    <w:rsid w:val="0080449A"/>
    <w:rsid w:val="00804BAA"/>
    <w:rsid w:val="0080654C"/>
    <w:rsid w:val="008071C3"/>
    <w:rsid w:val="008071C6"/>
    <w:rsid w:val="00807397"/>
    <w:rsid w:val="00807B30"/>
    <w:rsid w:val="00810918"/>
    <w:rsid w:val="00810CED"/>
    <w:rsid w:val="00812E29"/>
    <w:rsid w:val="008132C9"/>
    <w:rsid w:val="00814460"/>
    <w:rsid w:val="008156A6"/>
    <w:rsid w:val="00816ACD"/>
    <w:rsid w:val="00816DA1"/>
    <w:rsid w:val="00817A00"/>
    <w:rsid w:val="0082049A"/>
    <w:rsid w:val="00820923"/>
    <w:rsid w:val="00821336"/>
    <w:rsid w:val="0082221F"/>
    <w:rsid w:val="008234DF"/>
    <w:rsid w:val="008235B0"/>
    <w:rsid w:val="00825544"/>
    <w:rsid w:val="00825B60"/>
    <w:rsid w:val="008261C7"/>
    <w:rsid w:val="00826428"/>
    <w:rsid w:val="0082663A"/>
    <w:rsid w:val="00826ABA"/>
    <w:rsid w:val="00826C4B"/>
    <w:rsid w:val="008301CF"/>
    <w:rsid w:val="008315E0"/>
    <w:rsid w:val="00831AE5"/>
    <w:rsid w:val="00831FED"/>
    <w:rsid w:val="00833DF0"/>
    <w:rsid w:val="00833EA5"/>
    <w:rsid w:val="00835C7D"/>
    <w:rsid w:val="00835DB3"/>
    <w:rsid w:val="0083617B"/>
    <w:rsid w:val="0083674C"/>
    <w:rsid w:val="008371BD"/>
    <w:rsid w:val="00837F21"/>
    <w:rsid w:val="00840B34"/>
    <w:rsid w:val="00841489"/>
    <w:rsid w:val="008435FB"/>
    <w:rsid w:val="00844608"/>
    <w:rsid w:val="008447C6"/>
    <w:rsid w:val="008448C8"/>
    <w:rsid w:val="00845EBB"/>
    <w:rsid w:val="00846405"/>
    <w:rsid w:val="0084689C"/>
    <w:rsid w:val="00847591"/>
    <w:rsid w:val="00847A8B"/>
    <w:rsid w:val="00847D4E"/>
    <w:rsid w:val="008504A8"/>
    <w:rsid w:val="00850AFC"/>
    <w:rsid w:val="00851112"/>
    <w:rsid w:val="008519F1"/>
    <w:rsid w:val="008521D2"/>
    <w:rsid w:val="0085282E"/>
    <w:rsid w:val="00852DD2"/>
    <w:rsid w:val="00853B5F"/>
    <w:rsid w:val="00853D8C"/>
    <w:rsid w:val="00855651"/>
    <w:rsid w:val="00861D42"/>
    <w:rsid w:val="0086457B"/>
    <w:rsid w:val="00864825"/>
    <w:rsid w:val="008651AB"/>
    <w:rsid w:val="00865343"/>
    <w:rsid w:val="008659BC"/>
    <w:rsid w:val="008668AD"/>
    <w:rsid w:val="00866C5B"/>
    <w:rsid w:val="00870C42"/>
    <w:rsid w:val="00870DA7"/>
    <w:rsid w:val="0087198C"/>
    <w:rsid w:val="008725A9"/>
    <w:rsid w:val="008728B8"/>
    <w:rsid w:val="00872C1F"/>
    <w:rsid w:val="00873056"/>
    <w:rsid w:val="008735A1"/>
    <w:rsid w:val="00873B42"/>
    <w:rsid w:val="00874777"/>
    <w:rsid w:val="00874EF6"/>
    <w:rsid w:val="00875C29"/>
    <w:rsid w:val="0087616E"/>
    <w:rsid w:val="00876896"/>
    <w:rsid w:val="00876926"/>
    <w:rsid w:val="00876A3E"/>
    <w:rsid w:val="00876CBD"/>
    <w:rsid w:val="00877481"/>
    <w:rsid w:val="00877807"/>
    <w:rsid w:val="00880133"/>
    <w:rsid w:val="00880D5D"/>
    <w:rsid w:val="00881A13"/>
    <w:rsid w:val="0088281F"/>
    <w:rsid w:val="00884284"/>
    <w:rsid w:val="008847D8"/>
    <w:rsid w:val="00884D05"/>
    <w:rsid w:val="008856D8"/>
    <w:rsid w:val="008866FA"/>
    <w:rsid w:val="00886CED"/>
    <w:rsid w:val="008903DC"/>
    <w:rsid w:val="0089090A"/>
    <w:rsid w:val="00890CC7"/>
    <w:rsid w:val="008914F3"/>
    <w:rsid w:val="008917FB"/>
    <w:rsid w:val="008921FC"/>
    <w:rsid w:val="0089262B"/>
    <w:rsid w:val="00892E82"/>
    <w:rsid w:val="008938F3"/>
    <w:rsid w:val="00893A1A"/>
    <w:rsid w:val="00896006"/>
    <w:rsid w:val="008A01E6"/>
    <w:rsid w:val="008A0295"/>
    <w:rsid w:val="008A06F0"/>
    <w:rsid w:val="008A0941"/>
    <w:rsid w:val="008A0B2E"/>
    <w:rsid w:val="008A15F6"/>
    <w:rsid w:val="008A1FF1"/>
    <w:rsid w:val="008A216D"/>
    <w:rsid w:val="008A2867"/>
    <w:rsid w:val="008A485E"/>
    <w:rsid w:val="008A4B8F"/>
    <w:rsid w:val="008A5A7D"/>
    <w:rsid w:val="008A6241"/>
    <w:rsid w:val="008A6384"/>
    <w:rsid w:val="008A65B7"/>
    <w:rsid w:val="008B00A2"/>
    <w:rsid w:val="008B15FC"/>
    <w:rsid w:val="008B2718"/>
    <w:rsid w:val="008B3689"/>
    <w:rsid w:val="008B40B0"/>
    <w:rsid w:val="008B4AA8"/>
    <w:rsid w:val="008B53DC"/>
    <w:rsid w:val="008B59D9"/>
    <w:rsid w:val="008B5D59"/>
    <w:rsid w:val="008B65C1"/>
    <w:rsid w:val="008B6D8A"/>
    <w:rsid w:val="008B70CB"/>
    <w:rsid w:val="008C0E66"/>
    <w:rsid w:val="008C1B58"/>
    <w:rsid w:val="008C1DF0"/>
    <w:rsid w:val="008C256F"/>
    <w:rsid w:val="008C2A37"/>
    <w:rsid w:val="008C2B8A"/>
    <w:rsid w:val="008C2F68"/>
    <w:rsid w:val="008C3361"/>
    <w:rsid w:val="008C39AE"/>
    <w:rsid w:val="008C590D"/>
    <w:rsid w:val="008C7C2D"/>
    <w:rsid w:val="008D1125"/>
    <w:rsid w:val="008D2983"/>
    <w:rsid w:val="008D3798"/>
    <w:rsid w:val="008D3B1B"/>
    <w:rsid w:val="008D3D22"/>
    <w:rsid w:val="008D4171"/>
    <w:rsid w:val="008D57B6"/>
    <w:rsid w:val="008D5866"/>
    <w:rsid w:val="008D6742"/>
    <w:rsid w:val="008D6B71"/>
    <w:rsid w:val="008D7116"/>
    <w:rsid w:val="008E031B"/>
    <w:rsid w:val="008E07FB"/>
    <w:rsid w:val="008E1CCE"/>
    <w:rsid w:val="008E2402"/>
    <w:rsid w:val="008E244E"/>
    <w:rsid w:val="008E2CBC"/>
    <w:rsid w:val="008E4079"/>
    <w:rsid w:val="008E41DA"/>
    <w:rsid w:val="008E474D"/>
    <w:rsid w:val="008E4E99"/>
    <w:rsid w:val="008E5C90"/>
    <w:rsid w:val="008E6EF0"/>
    <w:rsid w:val="008E7029"/>
    <w:rsid w:val="008E76AC"/>
    <w:rsid w:val="008E7EF6"/>
    <w:rsid w:val="008F1F1E"/>
    <w:rsid w:val="008F1F98"/>
    <w:rsid w:val="008F2066"/>
    <w:rsid w:val="008F207D"/>
    <w:rsid w:val="008F2485"/>
    <w:rsid w:val="008F3A11"/>
    <w:rsid w:val="008F4854"/>
    <w:rsid w:val="008F5D40"/>
    <w:rsid w:val="008F6758"/>
    <w:rsid w:val="008F7006"/>
    <w:rsid w:val="0090023F"/>
    <w:rsid w:val="009004B6"/>
    <w:rsid w:val="0090154E"/>
    <w:rsid w:val="009018C2"/>
    <w:rsid w:val="009023CC"/>
    <w:rsid w:val="00902A41"/>
    <w:rsid w:val="009040DD"/>
    <w:rsid w:val="009044AE"/>
    <w:rsid w:val="0090538F"/>
    <w:rsid w:val="00905B47"/>
    <w:rsid w:val="00905CFC"/>
    <w:rsid w:val="00906C37"/>
    <w:rsid w:val="009100AA"/>
    <w:rsid w:val="00910624"/>
    <w:rsid w:val="009119AA"/>
    <w:rsid w:val="0091224D"/>
    <w:rsid w:val="009123E7"/>
    <w:rsid w:val="0091331C"/>
    <w:rsid w:val="00913657"/>
    <w:rsid w:val="009136C7"/>
    <w:rsid w:val="009138AB"/>
    <w:rsid w:val="0091460F"/>
    <w:rsid w:val="009158D9"/>
    <w:rsid w:val="00920706"/>
    <w:rsid w:val="00923A06"/>
    <w:rsid w:val="009248CA"/>
    <w:rsid w:val="009258BF"/>
    <w:rsid w:val="009264A5"/>
    <w:rsid w:val="00926550"/>
    <w:rsid w:val="00926E27"/>
    <w:rsid w:val="009271E9"/>
    <w:rsid w:val="0092722D"/>
    <w:rsid w:val="009279DE"/>
    <w:rsid w:val="0093006A"/>
    <w:rsid w:val="00930116"/>
    <w:rsid w:val="009314DF"/>
    <w:rsid w:val="00931ED7"/>
    <w:rsid w:val="00934892"/>
    <w:rsid w:val="00937531"/>
    <w:rsid w:val="0094212C"/>
    <w:rsid w:val="00943700"/>
    <w:rsid w:val="00944213"/>
    <w:rsid w:val="00944D10"/>
    <w:rsid w:val="00944DC4"/>
    <w:rsid w:val="00945959"/>
    <w:rsid w:val="00947420"/>
    <w:rsid w:val="00950433"/>
    <w:rsid w:val="0095141B"/>
    <w:rsid w:val="00952058"/>
    <w:rsid w:val="0095448F"/>
    <w:rsid w:val="00954689"/>
    <w:rsid w:val="00956975"/>
    <w:rsid w:val="00956FD9"/>
    <w:rsid w:val="009572C3"/>
    <w:rsid w:val="00957536"/>
    <w:rsid w:val="0096026E"/>
    <w:rsid w:val="00961508"/>
    <w:rsid w:val="009617C9"/>
    <w:rsid w:val="00961916"/>
    <w:rsid w:val="00961C93"/>
    <w:rsid w:val="00962BF2"/>
    <w:rsid w:val="00965324"/>
    <w:rsid w:val="00965A15"/>
    <w:rsid w:val="00965A97"/>
    <w:rsid w:val="00970794"/>
    <w:rsid w:val="00970817"/>
    <w:rsid w:val="0097091E"/>
    <w:rsid w:val="009712F2"/>
    <w:rsid w:val="00972227"/>
    <w:rsid w:val="009726DF"/>
    <w:rsid w:val="009729A9"/>
    <w:rsid w:val="0097368D"/>
    <w:rsid w:val="00974E24"/>
    <w:rsid w:val="00975558"/>
    <w:rsid w:val="009760D3"/>
    <w:rsid w:val="00977132"/>
    <w:rsid w:val="009803D4"/>
    <w:rsid w:val="00980CF0"/>
    <w:rsid w:val="00980EA3"/>
    <w:rsid w:val="00981A4B"/>
    <w:rsid w:val="00982501"/>
    <w:rsid w:val="00982A92"/>
    <w:rsid w:val="0098317E"/>
    <w:rsid w:val="00983CD2"/>
    <w:rsid w:val="009853EF"/>
    <w:rsid w:val="009877D3"/>
    <w:rsid w:val="0099016C"/>
    <w:rsid w:val="0099040A"/>
    <w:rsid w:val="00990C76"/>
    <w:rsid w:val="009919A5"/>
    <w:rsid w:val="00992AE3"/>
    <w:rsid w:val="00993B58"/>
    <w:rsid w:val="0099453B"/>
    <w:rsid w:val="00994E8F"/>
    <w:rsid w:val="009951DC"/>
    <w:rsid w:val="009959BB"/>
    <w:rsid w:val="0099699B"/>
    <w:rsid w:val="00996B07"/>
    <w:rsid w:val="00997158"/>
    <w:rsid w:val="0099736C"/>
    <w:rsid w:val="009973BD"/>
    <w:rsid w:val="009A0541"/>
    <w:rsid w:val="009A0978"/>
    <w:rsid w:val="009A0991"/>
    <w:rsid w:val="009A160D"/>
    <w:rsid w:val="009A33EC"/>
    <w:rsid w:val="009A36B3"/>
    <w:rsid w:val="009A374A"/>
    <w:rsid w:val="009A3A7C"/>
    <w:rsid w:val="009A4107"/>
    <w:rsid w:val="009A54EF"/>
    <w:rsid w:val="009A6D81"/>
    <w:rsid w:val="009B0252"/>
    <w:rsid w:val="009B1096"/>
    <w:rsid w:val="009B1830"/>
    <w:rsid w:val="009B2ADB"/>
    <w:rsid w:val="009B31C0"/>
    <w:rsid w:val="009B39CD"/>
    <w:rsid w:val="009B4911"/>
    <w:rsid w:val="009B542D"/>
    <w:rsid w:val="009B603A"/>
    <w:rsid w:val="009B74A9"/>
    <w:rsid w:val="009B7CD7"/>
    <w:rsid w:val="009C0686"/>
    <w:rsid w:val="009C0987"/>
    <w:rsid w:val="009C0DB7"/>
    <w:rsid w:val="009C1E1C"/>
    <w:rsid w:val="009C2D0E"/>
    <w:rsid w:val="009C2F5E"/>
    <w:rsid w:val="009C31CB"/>
    <w:rsid w:val="009C36DF"/>
    <w:rsid w:val="009C3916"/>
    <w:rsid w:val="009C3DAC"/>
    <w:rsid w:val="009C42E0"/>
    <w:rsid w:val="009C47F5"/>
    <w:rsid w:val="009C55D6"/>
    <w:rsid w:val="009C69D1"/>
    <w:rsid w:val="009C7A34"/>
    <w:rsid w:val="009D0107"/>
    <w:rsid w:val="009D0539"/>
    <w:rsid w:val="009D1546"/>
    <w:rsid w:val="009D2973"/>
    <w:rsid w:val="009D34B3"/>
    <w:rsid w:val="009D3BE2"/>
    <w:rsid w:val="009D3C19"/>
    <w:rsid w:val="009D3D38"/>
    <w:rsid w:val="009D40BD"/>
    <w:rsid w:val="009D5362"/>
    <w:rsid w:val="009D5847"/>
    <w:rsid w:val="009D6191"/>
    <w:rsid w:val="009D6D1A"/>
    <w:rsid w:val="009E0393"/>
    <w:rsid w:val="009E1415"/>
    <w:rsid w:val="009E35B4"/>
    <w:rsid w:val="009E3A07"/>
    <w:rsid w:val="009E3F7E"/>
    <w:rsid w:val="009E4506"/>
    <w:rsid w:val="009E4513"/>
    <w:rsid w:val="009E6116"/>
    <w:rsid w:val="009E62CC"/>
    <w:rsid w:val="009E63F3"/>
    <w:rsid w:val="009E6BE8"/>
    <w:rsid w:val="009F0AC8"/>
    <w:rsid w:val="009F2164"/>
    <w:rsid w:val="009F2926"/>
    <w:rsid w:val="009F346B"/>
    <w:rsid w:val="009F3ABF"/>
    <w:rsid w:val="009F3C2A"/>
    <w:rsid w:val="009F48A1"/>
    <w:rsid w:val="009F4EBF"/>
    <w:rsid w:val="009F598F"/>
    <w:rsid w:val="009F686C"/>
    <w:rsid w:val="00A00D99"/>
    <w:rsid w:val="00A02AD6"/>
    <w:rsid w:val="00A02E43"/>
    <w:rsid w:val="00A033BE"/>
    <w:rsid w:val="00A0520E"/>
    <w:rsid w:val="00A0599D"/>
    <w:rsid w:val="00A063DC"/>
    <w:rsid w:val="00A065F9"/>
    <w:rsid w:val="00A0704C"/>
    <w:rsid w:val="00A07F26"/>
    <w:rsid w:val="00A07F34"/>
    <w:rsid w:val="00A1094D"/>
    <w:rsid w:val="00A10AFE"/>
    <w:rsid w:val="00A110A1"/>
    <w:rsid w:val="00A11FC3"/>
    <w:rsid w:val="00A1373A"/>
    <w:rsid w:val="00A1377C"/>
    <w:rsid w:val="00A138BB"/>
    <w:rsid w:val="00A13914"/>
    <w:rsid w:val="00A13DE1"/>
    <w:rsid w:val="00A150ED"/>
    <w:rsid w:val="00A16244"/>
    <w:rsid w:val="00A16894"/>
    <w:rsid w:val="00A1737C"/>
    <w:rsid w:val="00A20BA0"/>
    <w:rsid w:val="00A22086"/>
    <w:rsid w:val="00A22154"/>
    <w:rsid w:val="00A22F7D"/>
    <w:rsid w:val="00A233C1"/>
    <w:rsid w:val="00A24095"/>
    <w:rsid w:val="00A24241"/>
    <w:rsid w:val="00A248C9"/>
    <w:rsid w:val="00A24A33"/>
    <w:rsid w:val="00A24A63"/>
    <w:rsid w:val="00A25C38"/>
    <w:rsid w:val="00A30DE5"/>
    <w:rsid w:val="00A33213"/>
    <w:rsid w:val="00A33A07"/>
    <w:rsid w:val="00A34FD6"/>
    <w:rsid w:val="00A36BBE"/>
    <w:rsid w:val="00A36EEB"/>
    <w:rsid w:val="00A402B0"/>
    <w:rsid w:val="00A4307A"/>
    <w:rsid w:val="00A434EB"/>
    <w:rsid w:val="00A455D0"/>
    <w:rsid w:val="00A457BC"/>
    <w:rsid w:val="00A46103"/>
    <w:rsid w:val="00A47EBB"/>
    <w:rsid w:val="00A50E10"/>
    <w:rsid w:val="00A51CDD"/>
    <w:rsid w:val="00A51FE0"/>
    <w:rsid w:val="00A525A2"/>
    <w:rsid w:val="00A525BF"/>
    <w:rsid w:val="00A528CC"/>
    <w:rsid w:val="00A52BA2"/>
    <w:rsid w:val="00A536B0"/>
    <w:rsid w:val="00A536B7"/>
    <w:rsid w:val="00A564AE"/>
    <w:rsid w:val="00A572E5"/>
    <w:rsid w:val="00A57458"/>
    <w:rsid w:val="00A57A58"/>
    <w:rsid w:val="00A610AF"/>
    <w:rsid w:val="00A61FBB"/>
    <w:rsid w:val="00A61FCB"/>
    <w:rsid w:val="00A620E0"/>
    <w:rsid w:val="00A636A9"/>
    <w:rsid w:val="00A64D29"/>
    <w:rsid w:val="00A65D09"/>
    <w:rsid w:val="00A65F29"/>
    <w:rsid w:val="00A66520"/>
    <w:rsid w:val="00A6730D"/>
    <w:rsid w:val="00A70D13"/>
    <w:rsid w:val="00A71625"/>
    <w:rsid w:val="00A71B9B"/>
    <w:rsid w:val="00A72878"/>
    <w:rsid w:val="00A72A3D"/>
    <w:rsid w:val="00A730CD"/>
    <w:rsid w:val="00A73CD0"/>
    <w:rsid w:val="00A7433E"/>
    <w:rsid w:val="00A74A38"/>
    <w:rsid w:val="00A751C7"/>
    <w:rsid w:val="00A75CEA"/>
    <w:rsid w:val="00A77708"/>
    <w:rsid w:val="00A77D85"/>
    <w:rsid w:val="00A80FF9"/>
    <w:rsid w:val="00A812AC"/>
    <w:rsid w:val="00A819F2"/>
    <w:rsid w:val="00A82A35"/>
    <w:rsid w:val="00A837D8"/>
    <w:rsid w:val="00A854D5"/>
    <w:rsid w:val="00A85D57"/>
    <w:rsid w:val="00A865F3"/>
    <w:rsid w:val="00A866FC"/>
    <w:rsid w:val="00A87844"/>
    <w:rsid w:val="00A90233"/>
    <w:rsid w:val="00A91433"/>
    <w:rsid w:val="00A928C8"/>
    <w:rsid w:val="00A93140"/>
    <w:rsid w:val="00A93891"/>
    <w:rsid w:val="00A94A86"/>
    <w:rsid w:val="00A9638C"/>
    <w:rsid w:val="00A9702A"/>
    <w:rsid w:val="00A973A6"/>
    <w:rsid w:val="00AA038C"/>
    <w:rsid w:val="00AA147F"/>
    <w:rsid w:val="00AA176B"/>
    <w:rsid w:val="00AA17FC"/>
    <w:rsid w:val="00AA2FE0"/>
    <w:rsid w:val="00AA3593"/>
    <w:rsid w:val="00AA376F"/>
    <w:rsid w:val="00AA47EC"/>
    <w:rsid w:val="00AA574C"/>
    <w:rsid w:val="00AA5D15"/>
    <w:rsid w:val="00AA7A09"/>
    <w:rsid w:val="00AB06AE"/>
    <w:rsid w:val="00AB2D57"/>
    <w:rsid w:val="00AB3B50"/>
    <w:rsid w:val="00AB429C"/>
    <w:rsid w:val="00AB4AF1"/>
    <w:rsid w:val="00AB51CC"/>
    <w:rsid w:val="00AB5BA3"/>
    <w:rsid w:val="00AB5CAD"/>
    <w:rsid w:val="00AB61CF"/>
    <w:rsid w:val="00AB73CD"/>
    <w:rsid w:val="00AB76C3"/>
    <w:rsid w:val="00AB794F"/>
    <w:rsid w:val="00AC05B1"/>
    <w:rsid w:val="00AC070C"/>
    <w:rsid w:val="00AC077F"/>
    <w:rsid w:val="00AC1788"/>
    <w:rsid w:val="00AC35F6"/>
    <w:rsid w:val="00AC3920"/>
    <w:rsid w:val="00AC3B91"/>
    <w:rsid w:val="00AC3F27"/>
    <w:rsid w:val="00AC4F15"/>
    <w:rsid w:val="00AD0054"/>
    <w:rsid w:val="00AD0063"/>
    <w:rsid w:val="00AD23C8"/>
    <w:rsid w:val="00AD2BEC"/>
    <w:rsid w:val="00AD2E33"/>
    <w:rsid w:val="00AD356C"/>
    <w:rsid w:val="00AD3661"/>
    <w:rsid w:val="00AD404A"/>
    <w:rsid w:val="00AD4322"/>
    <w:rsid w:val="00AD5436"/>
    <w:rsid w:val="00AD5F91"/>
    <w:rsid w:val="00AD7EC7"/>
    <w:rsid w:val="00AE05D1"/>
    <w:rsid w:val="00AE0A01"/>
    <w:rsid w:val="00AE0A7E"/>
    <w:rsid w:val="00AE0CEF"/>
    <w:rsid w:val="00AE1A5E"/>
    <w:rsid w:val="00AE2914"/>
    <w:rsid w:val="00AE3452"/>
    <w:rsid w:val="00AE378B"/>
    <w:rsid w:val="00AE3871"/>
    <w:rsid w:val="00AE566C"/>
    <w:rsid w:val="00AE58C4"/>
    <w:rsid w:val="00AE6868"/>
    <w:rsid w:val="00AE6B6B"/>
    <w:rsid w:val="00AE6D15"/>
    <w:rsid w:val="00AE6D4C"/>
    <w:rsid w:val="00AF0BAC"/>
    <w:rsid w:val="00AF244F"/>
    <w:rsid w:val="00AF41DC"/>
    <w:rsid w:val="00AF42EE"/>
    <w:rsid w:val="00AF47C4"/>
    <w:rsid w:val="00AF5860"/>
    <w:rsid w:val="00AF7477"/>
    <w:rsid w:val="00AF790E"/>
    <w:rsid w:val="00B01008"/>
    <w:rsid w:val="00B014EC"/>
    <w:rsid w:val="00B01A3A"/>
    <w:rsid w:val="00B02AFE"/>
    <w:rsid w:val="00B02D2D"/>
    <w:rsid w:val="00B04182"/>
    <w:rsid w:val="00B042C3"/>
    <w:rsid w:val="00B043A0"/>
    <w:rsid w:val="00B0575A"/>
    <w:rsid w:val="00B06678"/>
    <w:rsid w:val="00B06E5C"/>
    <w:rsid w:val="00B07A3D"/>
    <w:rsid w:val="00B07A86"/>
    <w:rsid w:val="00B07AE3"/>
    <w:rsid w:val="00B104EF"/>
    <w:rsid w:val="00B10F77"/>
    <w:rsid w:val="00B11430"/>
    <w:rsid w:val="00B11811"/>
    <w:rsid w:val="00B118B8"/>
    <w:rsid w:val="00B11AC4"/>
    <w:rsid w:val="00B12EC5"/>
    <w:rsid w:val="00B135B6"/>
    <w:rsid w:val="00B13E64"/>
    <w:rsid w:val="00B13F2C"/>
    <w:rsid w:val="00B142D9"/>
    <w:rsid w:val="00B14A5D"/>
    <w:rsid w:val="00B14D2C"/>
    <w:rsid w:val="00B15226"/>
    <w:rsid w:val="00B20268"/>
    <w:rsid w:val="00B20745"/>
    <w:rsid w:val="00B20B75"/>
    <w:rsid w:val="00B20B9C"/>
    <w:rsid w:val="00B220CC"/>
    <w:rsid w:val="00B2239D"/>
    <w:rsid w:val="00B2249B"/>
    <w:rsid w:val="00B229D7"/>
    <w:rsid w:val="00B22C89"/>
    <w:rsid w:val="00B233E7"/>
    <w:rsid w:val="00B26DF6"/>
    <w:rsid w:val="00B30C85"/>
    <w:rsid w:val="00B316A7"/>
    <w:rsid w:val="00B31BDA"/>
    <w:rsid w:val="00B32399"/>
    <w:rsid w:val="00B340D0"/>
    <w:rsid w:val="00B3460A"/>
    <w:rsid w:val="00B353EB"/>
    <w:rsid w:val="00B35B06"/>
    <w:rsid w:val="00B37BDA"/>
    <w:rsid w:val="00B40121"/>
    <w:rsid w:val="00B4080E"/>
    <w:rsid w:val="00B408E6"/>
    <w:rsid w:val="00B40ECC"/>
    <w:rsid w:val="00B41A1C"/>
    <w:rsid w:val="00B421AC"/>
    <w:rsid w:val="00B42B65"/>
    <w:rsid w:val="00B439C4"/>
    <w:rsid w:val="00B43F6B"/>
    <w:rsid w:val="00B44692"/>
    <w:rsid w:val="00B4535E"/>
    <w:rsid w:val="00B46AA0"/>
    <w:rsid w:val="00B51826"/>
    <w:rsid w:val="00B52A8C"/>
    <w:rsid w:val="00B53D30"/>
    <w:rsid w:val="00B54B51"/>
    <w:rsid w:val="00B552F6"/>
    <w:rsid w:val="00B5552B"/>
    <w:rsid w:val="00B56065"/>
    <w:rsid w:val="00B56F53"/>
    <w:rsid w:val="00B57CCD"/>
    <w:rsid w:val="00B60AC5"/>
    <w:rsid w:val="00B610D2"/>
    <w:rsid w:val="00B61DF6"/>
    <w:rsid w:val="00B636A8"/>
    <w:rsid w:val="00B63A4A"/>
    <w:rsid w:val="00B646CC"/>
    <w:rsid w:val="00B65054"/>
    <w:rsid w:val="00B65198"/>
    <w:rsid w:val="00B65425"/>
    <w:rsid w:val="00B665C6"/>
    <w:rsid w:val="00B66A2B"/>
    <w:rsid w:val="00B66C51"/>
    <w:rsid w:val="00B6705F"/>
    <w:rsid w:val="00B70888"/>
    <w:rsid w:val="00B71C1C"/>
    <w:rsid w:val="00B723FE"/>
    <w:rsid w:val="00B72585"/>
    <w:rsid w:val="00B7560A"/>
    <w:rsid w:val="00B760AF"/>
    <w:rsid w:val="00B7719F"/>
    <w:rsid w:val="00B77D2C"/>
    <w:rsid w:val="00B77ED8"/>
    <w:rsid w:val="00B805AF"/>
    <w:rsid w:val="00B8163C"/>
    <w:rsid w:val="00B81B12"/>
    <w:rsid w:val="00B81D2B"/>
    <w:rsid w:val="00B829F3"/>
    <w:rsid w:val="00B82E28"/>
    <w:rsid w:val="00B83274"/>
    <w:rsid w:val="00B85238"/>
    <w:rsid w:val="00B86009"/>
    <w:rsid w:val="00B869EC"/>
    <w:rsid w:val="00B8751C"/>
    <w:rsid w:val="00B87C25"/>
    <w:rsid w:val="00B91D4A"/>
    <w:rsid w:val="00B91EEC"/>
    <w:rsid w:val="00B92366"/>
    <w:rsid w:val="00B92443"/>
    <w:rsid w:val="00B933C4"/>
    <w:rsid w:val="00B9397A"/>
    <w:rsid w:val="00B94280"/>
    <w:rsid w:val="00B94BB2"/>
    <w:rsid w:val="00B94BDA"/>
    <w:rsid w:val="00B9633D"/>
    <w:rsid w:val="00B9644A"/>
    <w:rsid w:val="00B96D1C"/>
    <w:rsid w:val="00BA0B75"/>
    <w:rsid w:val="00BA2EBE"/>
    <w:rsid w:val="00BA3C8D"/>
    <w:rsid w:val="00BA3CEB"/>
    <w:rsid w:val="00BA4A6F"/>
    <w:rsid w:val="00BA619D"/>
    <w:rsid w:val="00BA68FA"/>
    <w:rsid w:val="00BA6C62"/>
    <w:rsid w:val="00BB0F28"/>
    <w:rsid w:val="00BB1801"/>
    <w:rsid w:val="00BB190C"/>
    <w:rsid w:val="00BB2AA9"/>
    <w:rsid w:val="00BB2F69"/>
    <w:rsid w:val="00BB458A"/>
    <w:rsid w:val="00BB6A70"/>
    <w:rsid w:val="00BB7415"/>
    <w:rsid w:val="00BB7601"/>
    <w:rsid w:val="00BC0231"/>
    <w:rsid w:val="00BC18EA"/>
    <w:rsid w:val="00BC21EB"/>
    <w:rsid w:val="00BC258B"/>
    <w:rsid w:val="00BC27DF"/>
    <w:rsid w:val="00BC3790"/>
    <w:rsid w:val="00BC5446"/>
    <w:rsid w:val="00BC713B"/>
    <w:rsid w:val="00BC717C"/>
    <w:rsid w:val="00BC7F01"/>
    <w:rsid w:val="00BD00D3"/>
    <w:rsid w:val="00BD1081"/>
    <w:rsid w:val="00BD143A"/>
    <w:rsid w:val="00BD1659"/>
    <w:rsid w:val="00BD1816"/>
    <w:rsid w:val="00BD2BAA"/>
    <w:rsid w:val="00BD36F0"/>
    <w:rsid w:val="00BD3925"/>
    <w:rsid w:val="00BD3AA9"/>
    <w:rsid w:val="00BD4A18"/>
    <w:rsid w:val="00BD5242"/>
    <w:rsid w:val="00BD5DC8"/>
    <w:rsid w:val="00BD5E4C"/>
    <w:rsid w:val="00BD6DB2"/>
    <w:rsid w:val="00BE027C"/>
    <w:rsid w:val="00BE11CF"/>
    <w:rsid w:val="00BE1C9E"/>
    <w:rsid w:val="00BE21AB"/>
    <w:rsid w:val="00BE3C1F"/>
    <w:rsid w:val="00BE3FC9"/>
    <w:rsid w:val="00BE4FB3"/>
    <w:rsid w:val="00BE55CB"/>
    <w:rsid w:val="00BE6DA1"/>
    <w:rsid w:val="00BE74D7"/>
    <w:rsid w:val="00BF203E"/>
    <w:rsid w:val="00BF2066"/>
    <w:rsid w:val="00BF2D62"/>
    <w:rsid w:val="00BF3BE5"/>
    <w:rsid w:val="00BF4227"/>
    <w:rsid w:val="00BF5642"/>
    <w:rsid w:val="00BF617A"/>
    <w:rsid w:val="00BF6FCE"/>
    <w:rsid w:val="00BF7E56"/>
    <w:rsid w:val="00C0095E"/>
    <w:rsid w:val="00C02B17"/>
    <w:rsid w:val="00C03298"/>
    <w:rsid w:val="00C0379D"/>
    <w:rsid w:val="00C03931"/>
    <w:rsid w:val="00C04F0E"/>
    <w:rsid w:val="00C05FE3"/>
    <w:rsid w:val="00C06AF1"/>
    <w:rsid w:val="00C06DD0"/>
    <w:rsid w:val="00C06DED"/>
    <w:rsid w:val="00C06FD5"/>
    <w:rsid w:val="00C10AA8"/>
    <w:rsid w:val="00C10BB4"/>
    <w:rsid w:val="00C12E22"/>
    <w:rsid w:val="00C13033"/>
    <w:rsid w:val="00C13DF8"/>
    <w:rsid w:val="00C15676"/>
    <w:rsid w:val="00C15C98"/>
    <w:rsid w:val="00C16121"/>
    <w:rsid w:val="00C16634"/>
    <w:rsid w:val="00C1663B"/>
    <w:rsid w:val="00C16B5E"/>
    <w:rsid w:val="00C20260"/>
    <w:rsid w:val="00C206AA"/>
    <w:rsid w:val="00C2136D"/>
    <w:rsid w:val="00C214EE"/>
    <w:rsid w:val="00C215F5"/>
    <w:rsid w:val="00C22038"/>
    <w:rsid w:val="00C2314B"/>
    <w:rsid w:val="00C231B2"/>
    <w:rsid w:val="00C243A4"/>
    <w:rsid w:val="00C24971"/>
    <w:rsid w:val="00C25456"/>
    <w:rsid w:val="00C268A2"/>
    <w:rsid w:val="00C26BE5"/>
    <w:rsid w:val="00C26E4D"/>
    <w:rsid w:val="00C27909"/>
    <w:rsid w:val="00C27B03"/>
    <w:rsid w:val="00C27B9C"/>
    <w:rsid w:val="00C27BB0"/>
    <w:rsid w:val="00C3111F"/>
    <w:rsid w:val="00C314E1"/>
    <w:rsid w:val="00C31BF2"/>
    <w:rsid w:val="00C324CF"/>
    <w:rsid w:val="00C32A72"/>
    <w:rsid w:val="00C33345"/>
    <w:rsid w:val="00C3389C"/>
    <w:rsid w:val="00C340AE"/>
    <w:rsid w:val="00C34397"/>
    <w:rsid w:val="00C34695"/>
    <w:rsid w:val="00C35E18"/>
    <w:rsid w:val="00C36BFC"/>
    <w:rsid w:val="00C3788B"/>
    <w:rsid w:val="00C379B3"/>
    <w:rsid w:val="00C37AAE"/>
    <w:rsid w:val="00C40818"/>
    <w:rsid w:val="00C4095D"/>
    <w:rsid w:val="00C412D3"/>
    <w:rsid w:val="00C45217"/>
    <w:rsid w:val="00C45B3D"/>
    <w:rsid w:val="00C47418"/>
    <w:rsid w:val="00C50EB8"/>
    <w:rsid w:val="00C51518"/>
    <w:rsid w:val="00C54226"/>
    <w:rsid w:val="00C544B4"/>
    <w:rsid w:val="00C569D2"/>
    <w:rsid w:val="00C5732C"/>
    <w:rsid w:val="00C601D2"/>
    <w:rsid w:val="00C622A2"/>
    <w:rsid w:val="00C631A4"/>
    <w:rsid w:val="00C638C3"/>
    <w:rsid w:val="00C63AFD"/>
    <w:rsid w:val="00C63E6A"/>
    <w:rsid w:val="00C65542"/>
    <w:rsid w:val="00C65A7F"/>
    <w:rsid w:val="00C65BCC"/>
    <w:rsid w:val="00C65DD5"/>
    <w:rsid w:val="00C66970"/>
    <w:rsid w:val="00C67D58"/>
    <w:rsid w:val="00C70F62"/>
    <w:rsid w:val="00C726FB"/>
    <w:rsid w:val="00C75DE7"/>
    <w:rsid w:val="00C76EDC"/>
    <w:rsid w:val="00C77FCA"/>
    <w:rsid w:val="00C8016C"/>
    <w:rsid w:val="00C830D2"/>
    <w:rsid w:val="00C83C31"/>
    <w:rsid w:val="00C83EAE"/>
    <w:rsid w:val="00C8507A"/>
    <w:rsid w:val="00C85FC7"/>
    <w:rsid w:val="00C8691C"/>
    <w:rsid w:val="00C86AB9"/>
    <w:rsid w:val="00C8764A"/>
    <w:rsid w:val="00C90569"/>
    <w:rsid w:val="00C9132C"/>
    <w:rsid w:val="00C917E0"/>
    <w:rsid w:val="00C91D81"/>
    <w:rsid w:val="00C92232"/>
    <w:rsid w:val="00C92BC9"/>
    <w:rsid w:val="00C93448"/>
    <w:rsid w:val="00C949B4"/>
    <w:rsid w:val="00C95EE3"/>
    <w:rsid w:val="00C974DA"/>
    <w:rsid w:val="00CA10AF"/>
    <w:rsid w:val="00CA163F"/>
    <w:rsid w:val="00CA168A"/>
    <w:rsid w:val="00CA2B70"/>
    <w:rsid w:val="00CA357E"/>
    <w:rsid w:val="00CA4310"/>
    <w:rsid w:val="00CA44F9"/>
    <w:rsid w:val="00CA4A69"/>
    <w:rsid w:val="00CA5AE3"/>
    <w:rsid w:val="00CA6B5D"/>
    <w:rsid w:val="00CA739C"/>
    <w:rsid w:val="00CB0671"/>
    <w:rsid w:val="00CB1D24"/>
    <w:rsid w:val="00CB2092"/>
    <w:rsid w:val="00CB2B3C"/>
    <w:rsid w:val="00CB2F17"/>
    <w:rsid w:val="00CB30D3"/>
    <w:rsid w:val="00CB341F"/>
    <w:rsid w:val="00CB3744"/>
    <w:rsid w:val="00CB383B"/>
    <w:rsid w:val="00CB5109"/>
    <w:rsid w:val="00CB6030"/>
    <w:rsid w:val="00CB656F"/>
    <w:rsid w:val="00CB6785"/>
    <w:rsid w:val="00CB680D"/>
    <w:rsid w:val="00CB6CDE"/>
    <w:rsid w:val="00CB720A"/>
    <w:rsid w:val="00CC04CE"/>
    <w:rsid w:val="00CC109D"/>
    <w:rsid w:val="00CC2624"/>
    <w:rsid w:val="00CC3613"/>
    <w:rsid w:val="00CC3E0C"/>
    <w:rsid w:val="00CC4730"/>
    <w:rsid w:val="00CC49DA"/>
    <w:rsid w:val="00CC57CC"/>
    <w:rsid w:val="00CC58D3"/>
    <w:rsid w:val="00CC6102"/>
    <w:rsid w:val="00CC63B0"/>
    <w:rsid w:val="00CC6DFE"/>
    <w:rsid w:val="00CC784D"/>
    <w:rsid w:val="00CC7A25"/>
    <w:rsid w:val="00CC7EB3"/>
    <w:rsid w:val="00CD369F"/>
    <w:rsid w:val="00CD4EA9"/>
    <w:rsid w:val="00CD594C"/>
    <w:rsid w:val="00CD5A35"/>
    <w:rsid w:val="00CD69EA"/>
    <w:rsid w:val="00CD6CE8"/>
    <w:rsid w:val="00CE0227"/>
    <w:rsid w:val="00CE0C0A"/>
    <w:rsid w:val="00CE1757"/>
    <w:rsid w:val="00CE17C1"/>
    <w:rsid w:val="00CE1ACF"/>
    <w:rsid w:val="00CE1DDE"/>
    <w:rsid w:val="00CE2146"/>
    <w:rsid w:val="00CE2E2F"/>
    <w:rsid w:val="00CE31F6"/>
    <w:rsid w:val="00CE4042"/>
    <w:rsid w:val="00CE4871"/>
    <w:rsid w:val="00CE4D0D"/>
    <w:rsid w:val="00CE4FF6"/>
    <w:rsid w:val="00CE5491"/>
    <w:rsid w:val="00CE56F3"/>
    <w:rsid w:val="00CE5DDA"/>
    <w:rsid w:val="00CE6211"/>
    <w:rsid w:val="00CE65A0"/>
    <w:rsid w:val="00CE6DA9"/>
    <w:rsid w:val="00CE7BF7"/>
    <w:rsid w:val="00CF03AD"/>
    <w:rsid w:val="00CF051E"/>
    <w:rsid w:val="00CF100E"/>
    <w:rsid w:val="00CF173C"/>
    <w:rsid w:val="00CF1F3C"/>
    <w:rsid w:val="00CF23B6"/>
    <w:rsid w:val="00CF2EC5"/>
    <w:rsid w:val="00CF3CFB"/>
    <w:rsid w:val="00CF3F3D"/>
    <w:rsid w:val="00CF5D47"/>
    <w:rsid w:val="00CF6B6E"/>
    <w:rsid w:val="00D004BA"/>
    <w:rsid w:val="00D00B0D"/>
    <w:rsid w:val="00D00F4E"/>
    <w:rsid w:val="00D01D56"/>
    <w:rsid w:val="00D0337B"/>
    <w:rsid w:val="00D03964"/>
    <w:rsid w:val="00D043A3"/>
    <w:rsid w:val="00D044E8"/>
    <w:rsid w:val="00D057B7"/>
    <w:rsid w:val="00D05AA0"/>
    <w:rsid w:val="00D06D5E"/>
    <w:rsid w:val="00D07120"/>
    <w:rsid w:val="00D07123"/>
    <w:rsid w:val="00D079B2"/>
    <w:rsid w:val="00D114E9"/>
    <w:rsid w:val="00D11E56"/>
    <w:rsid w:val="00D12A16"/>
    <w:rsid w:val="00D14BFD"/>
    <w:rsid w:val="00D14ED0"/>
    <w:rsid w:val="00D15BF2"/>
    <w:rsid w:val="00D17325"/>
    <w:rsid w:val="00D2055E"/>
    <w:rsid w:val="00D211FF"/>
    <w:rsid w:val="00D21D78"/>
    <w:rsid w:val="00D23837"/>
    <w:rsid w:val="00D24740"/>
    <w:rsid w:val="00D25377"/>
    <w:rsid w:val="00D25A60"/>
    <w:rsid w:val="00D265D6"/>
    <w:rsid w:val="00D3221B"/>
    <w:rsid w:val="00D33CE9"/>
    <w:rsid w:val="00D3554E"/>
    <w:rsid w:val="00D35616"/>
    <w:rsid w:val="00D36F4E"/>
    <w:rsid w:val="00D4054D"/>
    <w:rsid w:val="00D40D36"/>
    <w:rsid w:val="00D40FF8"/>
    <w:rsid w:val="00D429C6"/>
    <w:rsid w:val="00D450DF"/>
    <w:rsid w:val="00D45559"/>
    <w:rsid w:val="00D45C9B"/>
    <w:rsid w:val="00D47504"/>
    <w:rsid w:val="00D47748"/>
    <w:rsid w:val="00D5042C"/>
    <w:rsid w:val="00D51E3A"/>
    <w:rsid w:val="00D52B9A"/>
    <w:rsid w:val="00D531B2"/>
    <w:rsid w:val="00D534F8"/>
    <w:rsid w:val="00D5354B"/>
    <w:rsid w:val="00D53D7C"/>
    <w:rsid w:val="00D54CC3"/>
    <w:rsid w:val="00D55369"/>
    <w:rsid w:val="00D6041A"/>
    <w:rsid w:val="00D61ED7"/>
    <w:rsid w:val="00D62F1C"/>
    <w:rsid w:val="00D633EB"/>
    <w:rsid w:val="00D63CB0"/>
    <w:rsid w:val="00D64D1D"/>
    <w:rsid w:val="00D651B5"/>
    <w:rsid w:val="00D65DCE"/>
    <w:rsid w:val="00D671C8"/>
    <w:rsid w:val="00D6756E"/>
    <w:rsid w:val="00D70447"/>
    <w:rsid w:val="00D71ACD"/>
    <w:rsid w:val="00D71E86"/>
    <w:rsid w:val="00D72101"/>
    <w:rsid w:val="00D7288F"/>
    <w:rsid w:val="00D732CE"/>
    <w:rsid w:val="00D733E0"/>
    <w:rsid w:val="00D73461"/>
    <w:rsid w:val="00D752D8"/>
    <w:rsid w:val="00D7654B"/>
    <w:rsid w:val="00D77108"/>
    <w:rsid w:val="00D77CE2"/>
    <w:rsid w:val="00D80C22"/>
    <w:rsid w:val="00D817AC"/>
    <w:rsid w:val="00D81E69"/>
    <w:rsid w:val="00D822FC"/>
    <w:rsid w:val="00D82FF7"/>
    <w:rsid w:val="00D83D8F"/>
    <w:rsid w:val="00D847FE"/>
    <w:rsid w:val="00D84A57"/>
    <w:rsid w:val="00D84D39"/>
    <w:rsid w:val="00D85453"/>
    <w:rsid w:val="00D91230"/>
    <w:rsid w:val="00D914B6"/>
    <w:rsid w:val="00D918EA"/>
    <w:rsid w:val="00D91EFA"/>
    <w:rsid w:val="00D92D32"/>
    <w:rsid w:val="00D92DCC"/>
    <w:rsid w:val="00D9462E"/>
    <w:rsid w:val="00D94B41"/>
    <w:rsid w:val="00D964EA"/>
    <w:rsid w:val="00D966D0"/>
    <w:rsid w:val="00D970F0"/>
    <w:rsid w:val="00DA032D"/>
    <w:rsid w:val="00DA0C59"/>
    <w:rsid w:val="00DA3265"/>
    <w:rsid w:val="00DA32BD"/>
    <w:rsid w:val="00DA36FC"/>
    <w:rsid w:val="00DA3991"/>
    <w:rsid w:val="00DA4C06"/>
    <w:rsid w:val="00DA52AB"/>
    <w:rsid w:val="00DA6731"/>
    <w:rsid w:val="00DA7341"/>
    <w:rsid w:val="00DA79BD"/>
    <w:rsid w:val="00DB0631"/>
    <w:rsid w:val="00DB0929"/>
    <w:rsid w:val="00DB0990"/>
    <w:rsid w:val="00DB2974"/>
    <w:rsid w:val="00DB307B"/>
    <w:rsid w:val="00DB3C35"/>
    <w:rsid w:val="00DB555C"/>
    <w:rsid w:val="00DB5E44"/>
    <w:rsid w:val="00DB7211"/>
    <w:rsid w:val="00DB7E6C"/>
    <w:rsid w:val="00DC0A0B"/>
    <w:rsid w:val="00DC34D2"/>
    <w:rsid w:val="00DC356C"/>
    <w:rsid w:val="00DC4192"/>
    <w:rsid w:val="00DC4502"/>
    <w:rsid w:val="00DC54E5"/>
    <w:rsid w:val="00DC61B9"/>
    <w:rsid w:val="00DC7DBB"/>
    <w:rsid w:val="00DD0A91"/>
    <w:rsid w:val="00DD0CD3"/>
    <w:rsid w:val="00DD0FB8"/>
    <w:rsid w:val="00DD14F8"/>
    <w:rsid w:val="00DD24FC"/>
    <w:rsid w:val="00DD2849"/>
    <w:rsid w:val="00DD389B"/>
    <w:rsid w:val="00DD3DDD"/>
    <w:rsid w:val="00DD4A2D"/>
    <w:rsid w:val="00DD5A29"/>
    <w:rsid w:val="00DD5D9D"/>
    <w:rsid w:val="00DD6040"/>
    <w:rsid w:val="00DD78E4"/>
    <w:rsid w:val="00DD7EA6"/>
    <w:rsid w:val="00DE01B8"/>
    <w:rsid w:val="00DE06E4"/>
    <w:rsid w:val="00DE19E0"/>
    <w:rsid w:val="00DE29C2"/>
    <w:rsid w:val="00DE2FA6"/>
    <w:rsid w:val="00DE35CB"/>
    <w:rsid w:val="00DE3B5E"/>
    <w:rsid w:val="00DE568B"/>
    <w:rsid w:val="00DE6480"/>
    <w:rsid w:val="00DE7201"/>
    <w:rsid w:val="00DF09F4"/>
    <w:rsid w:val="00DF0C3A"/>
    <w:rsid w:val="00DF1744"/>
    <w:rsid w:val="00DF21E9"/>
    <w:rsid w:val="00DF224F"/>
    <w:rsid w:val="00DF24EA"/>
    <w:rsid w:val="00DF28FC"/>
    <w:rsid w:val="00DF2BA7"/>
    <w:rsid w:val="00DF2BFC"/>
    <w:rsid w:val="00DF2D2B"/>
    <w:rsid w:val="00DF3CC1"/>
    <w:rsid w:val="00DF48DD"/>
    <w:rsid w:val="00DF65A8"/>
    <w:rsid w:val="00DF784D"/>
    <w:rsid w:val="00E00F14"/>
    <w:rsid w:val="00E03CAA"/>
    <w:rsid w:val="00E0538C"/>
    <w:rsid w:val="00E05AD2"/>
    <w:rsid w:val="00E06386"/>
    <w:rsid w:val="00E066E0"/>
    <w:rsid w:val="00E10268"/>
    <w:rsid w:val="00E10639"/>
    <w:rsid w:val="00E1120F"/>
    <w:rsid w:val="00E11220"/>
    <w:rsid w:val="00E11CC7"/>
    <w:rsid w:val="00E124C3"/>
    <w:rsid w:val="00E12652"/>
    <w:rsid w:val="00E12D84"/>
    <w:rsid w:val="00E145D8"/>
    <w:rsid w:val="00E146EA"/>
    <w:rsid w:val="00E14712"/>
    <w:rsid w:val="00E16DA6"/>
    <w:rsid w:val="00E17B8C"/>
    <w:rsid w:val="00E17FEB"/>
    <w:rsid w:val="00E20B94"/>
    <w:rsid w:val="00E22350"/>
    <w:rsid w:val="00E224E2"/>
    <w:rsid w:val="00E22C05"/>
    <w:rsid w:val="00E230AE"/>
    <w:rsid w:val="00E24EB4"/>
    <w:rsid w:val="00E2597B"/>
    <w:rsid w:val="00E271FF"/>
    <w:rsid w:val="00E308AF"/>
    <w:rsid w:val="00E30A82"/>
    <w:rsid w:val="00E31B61"/>
    <w:rsid w:val="00E320ED"/>
    <w:rsid w:val="00E326E4"/>
    <w:rsid w:val="00E329A5"/>
    <w:rsid w:val="00E32DED"/>
    <w:rsid w:val="00E33AFB"/>
    <w:rsid w:val="00E34218"/>
    <w:rsid w:val="00E34ECC"/>
    <w:rsid w:val="00E34FF9"/>
    <w:rsid w:val="00E352F4"/>
    <w:rsid w:val="00E3789C"/>
    <w:rsid w:val="00E37CAD"/>
    <w:rsid w:val="00E40DFB"/>
    <w:rsid w:val="00E41488"/>
    <w:rsid w:val="00E4173F"/>
    <w:rsid w:val="00E421B6"/>
    <w:rsid w:val="00E42D2F"/>
    <w:rsid w:val="00E436E7"/>
    <w:rsid w:val="00E438F7"/>
    <w:rsid w:val="00E45025"/>
    <w:rsid w:val="00E4579E"/>
    <w:rsid w:val="00E45BD8"/>
    <w:rsid w:val="00E46282"/>
    <w:rsid w:val="00E4714D"/>
    <w:rsid w:val="00E473DD"/>
    <w:rsid w:val="00E504D9"/>
    <w:rsid w:val="00E50688"/>
    <w:rsid w:val="00E51E15"/>
    <w:rsid w:val="00E5216E"/>
    <w:rsid w:val="00E54BAC"/>
    <w:rsid w:val="00E54FDF"/>
    <w:rsid w:val="00E566F6"/>
    <w:rsid w:val="00E572C3"/>
    <w:rsid w:val="00E57AFC"/>
    <w:rsid w:val="00E60BA7"/>
    <w:rsid w:val="00E62331"/>
    <w:rsid w:val="00E62422"/>
    <w:rsid w:val="00E637FA"/>
    <w:rsid w:val="00E639E9"/>
    <w:rsid w:val="00E64F49"/>
    <w:rsid w:val="00E65040"/>
    <w:rsid w:val="00E6689D"/>
    <w:rsid w:val="00E66EB4"/>
    <w:rsid w:val="00E6756F"/>
    <w:rsid w:val="00E67BC9"/>
    <w:rsid w:val="00E67BEC"/>
    <w:rsid w:val="00E702E3"/>
    <w:rsid w:val="00E709A7"/>
    <w:rsid w:val="00E71DFC"/>
    <w:rsid w:val="00E73C1B"/>
    <w:rsid w:val="00E7624A"/>
    <w:rsid w:val="00E76264"/>
    <w:rsid w:val="00E7631F"/>
    <w:rsid w:val="00E77233"/>
    <w:rsid w:val="00E80E80"/>
    <w:rsid w:val="00E81113"/>
    <w:rsid w:val="00E819CA"/>
    <w:rsid w:val="00E81D88"/>
    <w:rsid w:val="00E82344"/>
    <w:rsid w:val="00E82CCE"/>
    <w:rsid w:val="00E83805"/>
    <w:rsid w:val="00E84C82"/>
    <w:rsid w:val="00E84D64"/>
    <w:rsid w:val="00E85AF0"/>
    <w:rsid w:val="00E86C88"/>
    <w:rsid w:val="00E87408"/>
    <w:rsid w:val="00E875C1"/>
    <w:rsid w:val="00E9023A"/>
    <w:rsid w:val="00E908EA"/>
    <w:rsid w:val="00E914C4"/>
    <w:rsid w:val="00E925E2"/>
    <w:rsid w:val="00E92DD8"/>
    <w:rsid w:val="00E93497"/>
    <w:rsid w:val="00E934F5"/>
    <w:rsid w:val="00E94247"/>
    <w:rsid w:val="00E94336"/>
    <w:rsid w:val="00E94997"/>
    <w:rsid w:val="00E94D5C"/>
    <w:rsid w:val="00E96961"/>
    <w:rsid w:val="00E97EDD"/>
    <w:rsid w:val="00EA161C"/>
    <w:rsid w:val="00EA1B85"/>
    <w:rsid w:val="00EA24CF"/>
    <w:rsid w:val="00EA39B4"/>
    <w:rsid w:val="00EA451F"/>
    <w:rsid w:val="00EA5240"/>
    <w:rsid w:val="00EA59B3"/>
    <w:rsid w:val="00EA72EC"/>
    <w:rsid w:val="00EA7CF0"/>
    <w:rsid w:val="00EB11CB"/>
    <w:rsid w:val="00EB275A"/>
    <w:rsid w:val="00EB4583"/>
    <w:rsid w:val="00EB4948"/>
    <w:rsid w:val="00EB4B42"/>
    <w:rsid w:val="00EB5229"/>
    <w:rsid w:val="00EB546C"/>
    <w:rsid w:val="00EB786A"/>
    <w:rsid w:val="00EB7F73"/>
    <w:rsid w:val="00EC06D6"/>
    <w:rsid w:val="00EC0E65"/>
    <w:rsid w:val="00EC1578"/>
    <w:rsid w:val="00EC1C72"/>
    <w:rsid w:val="00EC1D3E"/>
    <w:rsid w:val="00EC3CC9"/>
    <w:rsid w:val="00EC43DF"/>
    <w:rsid w:val="00EC4BE6"/>
    <w:rsid w:val="00EC680A"/>
    <w:rsid w:val="00ED1009"/>
    <w:rsid w:val="00ED2878"/>
    <w:rsid w:val="00ED3AA2"/>
    <w:rsid w:val="00ED49C1"/>
    <w:rsid w:val="00ED5D1D"/>
    <w:rsid w:val="00ED635D"/>
    <w:rsid w:val="00ED7C7B"/>
    <w:rsid w:val="00ED7CD2"/>
    <w:rsid w:val="00EE0196"/>
    <w:rsid w:val="00EE0ACE"/>
    <w:rsid w:val="00EE1D25"/>
    <w:rsid w:val="00EE2BED"/>
    <w:rsid w:val="00EE3371"/>
    <w:rsid w:val="00EE374B"/>
    <w:rsid w:val="00EE42DD"/>
    <w:rsid w:val="00EE450F"/>
    <w:rsid w:val="00EE47E4"/>
    <w:rsid w:val="00EE66C6"/>
    <w:rsid w:val="00EF18F1"/>
    <w:rsid w:val="00EF25B8"/>
    <w:rsid w:val="00EF41B0"/>
    <w:rsid w:val="00EF4420"/>
    <w:rsid w:val="00EF4BAE"/>
    <w:rsid w:val="00EF5C1A"/>
    <w:rsid w:val="00EF5E86"/>
    <w:rsid w:val="00EF6B16"/>
    <w:rsid w:val="00EF7443"/>
    <w:rsid w:val="00EF7EA7"/>
    <w:rsid w:val="00F00039"/>
    <w:rsid w:val="00F011FC"/>
    <w:rsid w:val="00F029DC"/>
    <w:rsid w:val="00F0422D"/>
    <w:rsid w:val="00F049D1"/>
    <w:rsid w:val="00F111A3"/>
    <w:rsid w:val="00F111C5"/>
    <w:rsid w:val="00F11BB5"/>
    <w:rsid w:val="00F128E8"/>
    <w:rsid w:val="00F134FD"/>
    <w:rsid w:val="00F135F2"/>
    <w:rsid w:val="00F13CDC"/>
    <w:rsid w:val="00F1417B"/>
    <w:rsid w:val="00F14895"/>
    <w:rsid w:val="00F15ED5"/>
    <w:rsid w:val="00F168A1"/>
    <w:rsid w:val="00F16B4C"/>
    <w:rsid w:val="00F20151"/>
    <w:rsid w:val="00F205B5"/>
    <w:rsid w:val="00F2095F"/>
    <w:rsid w:val="00F21626"/>
    <w:rsid w:val="00F22633"/>
    <w:rsid w:val="00F226B5"/>
    <w:rsid w:val="00F22C0F"/>
    <w:rsid w:val="00F2309D"/>
    <w:rsid w:val="00F23F42"/>
    <w:rsid w:val="00F24032"/>
    <w:rsid w:val="00F243B8"/>
    <w:rsid w:val="00F25AF8"/>
    <w:rsid w:val="00F25C2A"/>
    <w:rsid w:val="00F27871"/>
    <w:rsid w:val="00F27F6D"/>
    <w:rsid w:val="00F3038F"/>
    <w:rsid w:val="00F30D74"/>
    <w:rsid w:val="00F3191E"/>
    <w:rsid w:val="00F32FF2"/>
    <w:rsid w:val="00F33B5F"/>
    <w:rsid w:val="00F34835"/>
    <w:rsid w:val="00F34A57"/>
    <w:rsid w:val="00F34B99"/>
    <w:rsid w:val="00F35833"/>
    <w:rsid w:val="00F36CB0"/>
    <w:rsid w:val="00F3720D"/>
    <w:rsid w:val="00F376A0"/>
    <w:rsid w:val="00F37AC8"/>
    <w:rsid w:val="00F404F7"/>
    <w:rsid w:val="00F40888"/>
    <w:rsid w:val="00F40C88"/>
    <w:rsid w:val="00F434D1"/>
    <w:rsid w:val="00F436FD"/>
    <w:rsid w:val="00F46750"/>
    <w:rsid w:val="00F50D7F"/>
    <w:rsid w:val="00F50E48"/>
    <w:rsid w:val="00F52697"/>
    <w:rsid w:val="00F52DAB"/>
    <w:rsid w:val="00F5308D"/>
    <w:rsid w:val="00F53BA3"/>
    <w:rsid w:val="00F543F0"/>
    <w:rsid w:val="00F55CD7"/>
    <w:rsid w:val="00F57DB1"/>
    <w:rsid w:val="00F6019D"/>
    <w:rsid w:val="00F60DFC"/>
    <w:rsid w:val="00F63FFB"/>
    <w:rsid w:val="00F644E7"/>
    <w:rsid w:val="00F64CBE"/>
    <w:rsid w:val="00F65C81"/>
    <w:rsid w:val="00F70D91"/>
    <w:rsid w:val="00F7109F"/>
    <w:rsid w:val="00F710E5"/>
    <w:rsid w:val="00F72090"/>
    <w:rsid w:val="00F72873"/>
    <w:rsid w:val="00F7332E"/>
    <w:rsid w:val="00F73E57"/>
    <w:rsid w:val="00F76199"/>
    <w:rsid w:val="00F76929"/>
    <w:rsid w:val="00F7786E"/>
    <w:rsid w:val="00F77D82"/>
    <w:rsid w:val="00F809A6"/>
    <w:rsid w:val="00F80AB8"/>
    <w:rsid w:val="00F80C55"/>
    <w:rsid w:val="00F815CD"/>
    <w:rsid w:val="00F817FD"/>
    <w:rsid w:val="00F81D29"/>
    <w:rsid w:val="00F822FF"/>
    <w:rsid w:val="00F843B7"/>
    <w:rsid w:val="00F8503C"/>
    <w:rsid w:val="00F86393"/>
    <w:rsid w:val="00F86697"/>
    <w:rsid w:val="00F87138"/>
    <w:rsid w:val="00F877AE"/>
    <w:rsid w:val="00F87B74"/>
    <w:rsid w:val="00F87D9F"/>
    <w:rsid w:val="00F87F65"/>
    <w:rsid w:val="00F9135B"/>
    <w:rsid w:val="00F91C4D"/>
    <w:rsid w:val="00F92FA2"/>
    <w:rsid w:val="00F92FD9"/>
    <w:rsid w:val="00F935C8"/>
    <w:rsid w:val="00F93740"/>
    <w:rsid w:val="00F93DD1"/>
    <w:rsid w:val="00F9427F"/>
    <w:rsid w:val="00F94A56"/>
    <w:rsid w:val="00F95CF4"/>
    <w:rsid w:val="00F9605C"/>
    <w:rsid w:val="00F97925"/>
    <w:rsid w:val="00FA0DAB"/>
    <w:rsid w:val="00FA104D"/>
    <w:rsid w:val="00FA1523"/>
    <w:rsid w:val="00FA2192"/>
    <w:rsid w:val="00FA2303"/>
    <w:rsid w:val="00FA38CF"/>
    <w:rsid w:val="00FA3AB0"/>
    <w:rsid w:val="00FA3F26"/>
    <w:rsid w:val="00FA4653"/>
    <w:rsid w:val="00FA6684"/>
    <w:rsid w:val="00FA6C36"/>
    <w:rsid w:val="00FA731E"/>
    <w:rsid w:val="00FA7896"/>
    <w:rsid w:val="00FB0321"/>
    <w:rsid w:val="00FB19F9"/>
    <w:rsid w:val="00FB2B38"/>
    <w:rsid w:val="00FB3700"/>
    <w:rsid w:val="00FB41E9"/>
    <w:rsid w:val="00FB42ED"/>
    <w:rsid w:val="00FB4D56"/>
    <w:rsid w:val="00FB5848"/>
    <w:rsid w:val="00FB6720"/>
    <w:rsid w:val="00FB6BA7"/>
    <w:rsid w:val="00FC0DBB"/>
    <w:rsid w:val="00FC1272"/>
    <w:rsid w:val="00FC1768"/>
    <w:rsid w:val="00FC1ED5"/>
    <w:rsid w:val="00FC2C42"/>
    <w:rsid w:val="00FC35A2"/>
    <w:rsid w:val="00FC362F"/>
    <w:rsid w:val="00FC367F"/>
    <w:rsid w:val="00FC3908"/>
    <w:rsid w:val="00FC3B67"/>
    <w:rsid w:val="00FC4049"/>
    <w:rsid w:val="00FC5334"/>
    <w:rsid w:val="00FC544D"/>
    <w:rsid w:val="00FC5B63"/>
    <w:rsid w:val="00FC5C67"/>
    <w:rsid w:val="00FC6358"/>
    <w:rsid w:val="00FC734D"/>
    <w:rsid w:val="00FD01CF"/>
    <w:rsid w:val="00FD0FA8"/>
    <w:rsid w:val="00FD11E4"/>
    <w:rsid w:val="00FD320D"/>
    <w:rsid w:val="00FD4CED"/>
    <w:rsid w:val="00FD508D"/>
    <w:rsid w:val="00FD5814"/>
    <w:rsid w:val="00FD71AC"/>
    <w:rsid w:val="00FD73A1"/>
    <w:rsid w:val="00FD76B8"/>
    <w:rsid w:val="00FE0C67"/>
    <w:rsid w:val="00FE0F06"/>
    <w:rsid w:val="00FE16B0"/>
    <w:rsid w:val="00FE1FCF"/>
    <w:rsid w:val="00FE23DE"/>
    <w:rsid w:val="00FE3D3E"/>
    <w:rsid w:val="00FE43EB"/>
    <w:rsid w:val="00FE5419"/>
    <w:rsid w:val="00FE5845"/>
    <w:rsid w:val="00FE7CBE"/>
    <w:rsid w:val="00FF07E4"/>
    <w:rsid w:val="00FF1CDB"/>
    <w:rsid w:val="00FF4645"/>
    <w:rsid w:val="00FF519F"/>
    <w:rsid w:val="00FF5876"/>
    <w:rsid w:val="00FF5B02"/>
    <w:rsid w:val="00FF6BA5"/>
    <w:rsid w:val="00FF6D22"/>
    <w:rsid w:val="00FF6DB4"/>
    <w:rsid w:val="00FF71E0"/>
    <w:rsid w:val="00FF7D83"/>
    <w:rsid w:val="01CC0B46"/>
    <w:rsid w:val="023549ED"/>
    <w:rsid w:val="0319743D"/>
    <w:rsid w:val="04C06E57"/>
    <w:rsid w:val="098F688A"/>
    <w:rsid w:val="0B4F08C1"/>
    <w:rsid w:val="0BD73A6C"/>
    <w:rsid w:val="0BFD2888"/>
    <w:rsid w:val="116369F4"/>
    <w:rsid w:val="14A87CF4"/>
    <w:rsid w:val="1643546A"/>
    <w:rsid w:val="18A21181"/>
    <w:rsid w:val="1F2E735C"/>
    <w:rsid w:val="20402673"/>
    <w:rsid w:val="20505479"/>
    <w:rsid w:val="230D7BEE"/>
    <w:rsid w:val="235F7B88"/>
    <w:rsid w:val="25C26428"/>
    <w:rsid w:val="26551754"/>
    <w:rsid w:val="29AD7DF7"/>
    <w:rsid w:val="2B505C44"/>
    <w:rsid w:val="2ED74F14"/>
    <w:rsid w:val="2F4732FE"/>
    <w:rsid w:val="316704CD"/>
    <w:rsid w:val="31DA4319"/>
    <w:rsid w:val="352D5354"/>
    <w:rsid w:val="37555607"/>
    <w:rsid w:val="39E124FA"/>
    <w:rsid w:val="3A3E27D3"/>
    <w:rsid w:val="3BAF051F"/>
    <w:rsid w:val="3C666F24"/>
    <w:rsid w:val="41E41C5E"/>
    <w:rsid w:val="46941ADE"/>
    <w:rsid w:val="47E30849"/>
    <w:rsid w:val="48780F9E"/>
    <w:rsid w:val="49CC00C7"/>
    <w:rsid w:val="510819DD"/>
    <w:rsid w:val="53790E64"/>
    <w:rsid w:val="53EB265C"/>
    <w:rsid w:val="569E1CA8"/>
    <w:rsid w:val="5B7157FF"/>
    <w:rsid w:val="5CFC10D2"/>
    <w:rsid w:val="5E1840CD"/>
    <w:rsid w:val="5F987D48"/>
    <w:rsid w:val="60DD296E"/>
    <w:rsid w:val="62B34522"/>
    <w:rsid w:val="637975D5"/>
    <w:rsid w:val="68AE005A"/>
    <w:rsid w:val="6C362FA1"/>
    <w:rsid w:val="6D5F7856"/>
    <w:rsid w:val="6E8C4448"/>
    <w:rsid w:val="725873C4"/>
    <w:rsid w:val="735F3B8B"/>
    <w:rsid w:val="7471589C"/>
    <w:rsid w:val="79E26883"/>
    <w:rsid w:val="7A0811EB"/>
    <w:rsid w:val="7BE95940"/>
    <w:rsid w:val="7DFE2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47"/>
    <w:qFormat/>
    <w:uiPriority w:val="0"/>
    <w:pPr>
      <w:keepNext/>
      <w:keepLines/>
      <w:ind w:firstLine="363"/>
      <w:jc w:val="center"/>
      <w:outlineLvl w:val="0"/>
    </w:pPr>
    <w:rPr>
      <w:b/>
      <w:bCs/>
      <w:kern w:val="44"/>
      <w:sz w:val="28"/>
      <w:szCs w:val="44"/>
      <w:lang w:val="zh-CN"/>
    </w:rPr>
  </w:style>
  <w:style w:type="paragraph" w:styleId="6">
    <w:name w:val="heading 2"/>
    <w:basedOn w:val="1"/>
    <w:next w:val="1"/>
    <w:link w:val="148"/>
    <w:qFormat/>
    <w:uiPriority w:val="0"/>
    <w:pPr>
      <w:keepNext/>
      <w:keepLines/>
      <w:numPr>
        <w:ilvl w:val="1"/>
        <w:numId w:val="1"/>
      </w:numPr>
      <w:spacing w:before="260" w:after="260" w:line="416" w:lineRule="auto"/>
      <w:outlineLvl w:val="1"/>
    </w:pPr>
    <w:rPr>
      <w:rFonts w:ascii="Cambria" w:hAnsi="Cambria"/>
      <w:b/>
      <w:bCs/>
      <w:kern w:val="0"/>
      <w:sz w:val="32"/>
      <w:szCs w:val="32"/>
      <w:lang w:val="zh-CN"/>
    </w:rPr>
  </w:style>
  <w:style w:type="paragraph" w:styleId="7">
    <w:name w:val="heading 3"/>
    <w:basedOn w:val="6"/>
    <w:next w:val="1"/>
    <w:link w:val="149"/>
    <w:qFormat/>
    <w:uiPriority w:val="0"/>
    <w:pPr>
      <w:widowControl/>
      <w:numPr>
        <w:ilvl w:val="0"/>
        <w:numId w:val="0"/>
      </w:numPr>
      <w:tabs>
        <w:tab w:val="left" w:pos="901"/>
        <w:tab w:val="left" w:pos="1134"/>
      </w:tabs>
      <w:spacing w:before="80" w:after="80" w:line="240" w:lineRule="auto"/>
      <w:ind w:left="1134" w:hanging="1134"/>
      <w:jc w:val="left"/>
      <w:outlineLvl w:val="2"/>
    </w:pPr>
    <w:rPr>
      <w:rFonts w:ascii="Times New Roman" w:hAnsi="Times New Roman"/>
      <w:bCs w:val="0"/>
      <w:color w:val="000000"/>
      <w:sz w:val="28"/>
      <w:szCs w:val="24"/>
    </w:rPr>
  </w:style>
  <w:style w:type="paragraph" w:styleId="8">
    <w:name w:val="heading 4"/>
    <w:basedOn w:val="7"/>
    <w:next w:val="1"/>
    <w:link w:val="150"/>
    <w:qFormat/>
    <w:uiPriority w:val="0"/>
    <w:pPr>
      <w:outlineLvl w:val="3"/>
    </w:pPr>
    <w:rPr>
      <w:bCs/>
    </w:rPr>
  </w:style>
  <w:style w:type="character" w:default="1" w:styleId="42">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numPr>
        <w:ilvl w:val="1"/>
        <w:numId w:val="2"/>
      </w:numPr>
      <w:tabs>
        <w:tab w:val="left" w:pos="360"/>
      </w:tabs>
    </w:pPr>
  </w:style>
  <w:style w:type="paragraph" w:customStyle="1" w:styleId="3">
    <w:name w:val="引言一级条标题"/>
    <w:basedOn w:val="1"/>
    <w:next w:val="4"/>
    <w:qFormat/>
    <w:uiPriority w:val="0"/>
    <w:pPr>
      <w:widowControl/>
      <w:numPr>
        <w:ilvl w:val="0"/>
        <w:numId w:val="3"/>
      </w:numPr>
    </w:pPr>
    <w:rPr>
      <w:rFonts w:eastAsia="黑体"/>
      <w:b/>
    </w:rPr>
  </w:style>
  <w:style w:type="paragraph" w:customStyle="1" w:styleId="4">
    <w:name w:val="段"/>
    <w:link w:val="5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toc 7"/>
    <w:basedOn w:val="1"/>
    <w:next w:val="1"/>
    <w:qFormat/>
    <w:uiPriority w:val="39"/>
    <w:pPr>
      <w:ind w:left="1260"/>
      <w:jc w:val="left"/>
    </w:pPr>
    <w:rPr>
      <w:rFonts w:ascii="Calibri" w:hAnsi="Calibri"/>
      <w:sz w:val="18"/>
      <w:szCs w:val="18"/>
    </w:rPr>
  </w:style>
  <w:style w:type="paragraph" w:styleId="10">
    <w:name w:val="index 8"/>
    <w:basedOn w:val="1"/>
    <w:next w:val="1"/>
    <w:qFormat/>
    <w:uiPriority w:val="0"/>
    <w:pPr>
      <w:ind w:left="1680" w:hanging="210"/>
      <w:jc w:val="left"/>
    </w:pPr>
    <w:rPr>
      <w:rFonts w:ascii="Calibri" w:hAnsi="Calibri"/>
      <w:sz w:val="20"/>
      <w:szCs w:val="20"/>
    </w:rPr>
  </w:style>
  <w:style w:type="paragraph" w:styleId="11">
    <w:name w:val="caption"/>
    <w:basedOn w:val="1"/>
    <w:next w:val="1"/>
    <w:qFormat/>
    <w:uiPriority w:val="0"/>
    <w:pPr>
      <w:spacing w:before="152" w:after="160"/>
    </w:pPr>
    <w:rPr>
      <w:rFonts w:ascii="Arial" w:hAnsi="Arial" w:eastAsia="黑体" w:cs="Arial"/>
      <w:sz w:val="20"/>
      <w:szCs w:val="20"/>
    </w:rPr>
  </w:style>
  <w:style w:type="paragraph" w:styleId="12">
    <w:name w:val="index 5"/>
    <w:basedOn w:val="1"/>
    <w:next w:val="1"/>
    <w:qFormat/>
    <w:uiPriority w:val="0"/>
    <w:pPr>
      <w:ind w:left="1050" w:hanging="210"/>
      <w:jc w:val="left"/>
    </w:pPr>
    <w:rPr>
      <w:rFonts w:ascii="Calibri" w:hAnsi="Calibri"/>
      <w:sz w:val="20"/>
      <w:szCs w:val="20"/>
    </w:rPr>
  </w:style>
  <w:style w:type="paragraph" w:styleId="13">
    <w:name w:val="Document Map"/>
    <w:basedOn w:val="1"/>
    <w:link w:val="153"/>
    <w:semiHidden/>
    <w:qFormat/>
    <w:uiPriority w:val="99"/>
    <w:pPr>
      <w:shd w:val="clear" w:color="auto" w:fill="000080"/>
    </w:pPr>
    <w:rPr>
      <w:lang w:val="zh-CN"/>
    </w:rPr>
  </w:style>
  <w:style w:type="paragraph" w:styleId="14">
    <w:name w:val="annotation text"/>
    <w:basedOn w:val="1"/>
    <w:link w:val="159"/>
    <w:qFormat/>
    <w:uiPriority w:val="0"/>
    <w:pPr>
      <w:adjustRightInd w:val="0"/>
      <w:spacing w:line="360" w:lineRule="atLeast"/>
      <w:ind w:firstLine="709"/>
      <w:jc w:val="left"/>
      <w:textAlignment w:val="baseline"/>
    </w:pPr>
    <w:rPr>
      <w:rFonts w:ascii="Calibri" w:hAnsi="Calibri"/>
      <w:kern w:val="0"/>
      <w:sz w:val="24"/>
      <w:szCs w:val="20"/>
      <w:lang w:val="zh-CN"/>
    </w:rPr>
  </w:style>
  <w:style w:type="paragraph" w:styleId="15">
    <w:name w:val="index 6"/>
    <w:basedOn w:val="1"/>
    <w:next w:val="1"/>
    <w:qFormat/>
    <w:uiPriority w:val="0"/>
    <w:pPr>
      <w:ind w:left="1260" w:hanging="210"/>
      <w:jc w:val="left"/>
    </w:pPr>
    <w:rPr>
      <w:rFonts w:ascii="Calibri" w:hAnsi="Calibri"/>
      <w:sz w:val="20"/>
      <w:szCs w:val="20"/>
    </w:rPr>
  </w:style>
  <w:style w:type="paragraph" w:styleId="16">
    <w:name w:val="index 4"/>
    <w:basedOn w:val="1"/>
    <w:next w:val="1"/>
    <w:qFormat/>
    <w:uiPriority w:val="0"/>
    <w:pPr>
      <w:ind w:left="840" w:hanging="210"/>
      <w:jc w:val="left"/>
    </w:pPr>
    <w:rPr>
      <w:rFonts w:ascii="Calibri" w:hAnsi="Calibri"/>
      <w:sz w:val="20"/>
      <w:szCs w:val="20"/>
    </w:rPr>
  </w:style>
  <w:style w:type="paragraph" w:styleId="17">
    <w:name w:val="toc 5"/>
    <w:basedOn w:val="1"/>
    <w:next w:val="1"/>
    <w:qFormat/>
    <w:uiPriority w:val="39"/>
    <w:pPr>
      <w:ind w:left="840"/>
      <w:jc w:val="left"/>
    </w:pPr>
    <w:rPr>
      <w:rFonts w:ascii="Calibri" w:hAnsi="Calibri"/>
      <w:sz w:val="18"/>
      <w:szCs w:val="18"/>
    </w:rPr>
  </w:style>
  <w:style w:type="paragraph" w:styleId="18">
    <w:name w:val="toc 3"/>
    <w:basedOn w:val="1"/>
    <w:next w:val="1"/>
    <w:qFormat/>
    <w:uiPriority w:val="39"/>
    <w:pPr>
      <w:ind w:left="420"/>
      <w:jc w:val="left"/>
    </w:pPr>
    <w:rPr>
      <w:rFonts w:ascii="Calibri" w:hAnsi="Calibri"/>
      <w:i/>
      <w:iCs/>
      <w:sz w:val="20"/>
      <w:szCs w:val="20"/>
    </w:rPr>
  </w:style>
  <w:style w:type="paragraph" w:styleId="19">
    <w:name w:val="toc 8"/>
    <w:basedOn w:val="1"/>
    <w:next w:val="1"/>
    <w:qFormat/>
    <w:uiPriority w:val="39"/>
    <w:pPr>
      <w:ind w:left="1470"/>
      <w:jc w:val="left"/>
    </w:pPr>
    <w:rPr>
      <w:rFonts w:ascii="Calibri" w:hAnsi="Calibri"/>
      <w:sz w:val="18"/>
      <w:szCs w:val="18"/>
    </w:rPr>
  </w:style>
  <w:style w:type="paragraph" w:styleId="20">
    <w:name w:val="index 3"/>
    <w:basedOn w:val="1"/>
    <w:next w:val="1"/>
    <w:qFormat/>
    <w:uiPriority w:val="0"/>
    <w:pPr>
      <w:ind w:left="630" w:hanging="210"/>
      <w:jc w:val="left"/>
    </w:pPr>
    <w:rPr>
      <w:rFonts w:ascii="Calibri" w:hAnsi="Calibri"/>
      <w:sz w:val="20"/>
      <w:szCs w:val="20"/>
    </w:rPr>
  </w:style>
  <w:style w:type="paragraph" w:styleId="21">
    <w:name w:val="Date"/>
    <w:basedOn w:val="1"/>
    <w:next w:val="1"/>
    <w:link w:val="157"/>
    <w:unhideWhenUsed/>
    <w:qFormat/>
    <w:uiPriority w:val="99"/>
    <w:pPr>
      <w:ind w:left="100" w:leftChars="2500"/>
    </w:pPr>
    <w:rPr>
      <w:kern w:val="0"/>
      <w:sz w:val="20"/>
      <w:szCs w:val="22"/>
      <w:lang w:val="zh-CN"/>
    </w:rPr>
  </w:style>
  <w:style w:type="paragraph" w:styleId="22">
    <w:name w:val="endnote text"/>
    <w:basedOn w:val="1"/>
    <w:semiHidden/>
    <w:qFormat/>
    <w:uiPriority w:val="0"/>
    <w:pPr>
      <w:snapToGrid w:val="0"/>
      <w:jc w:val="left"/>
    </w:pPr>
  </w:style>
  <w:style w:type="paragraph" w:styleId="23">
    <w:name w:val="Balloon Text"/>
    <w:basedOn w:val="1"/>
    <w:link w:val="161"/>
    <w:qFormat/>
    <w:uiPriority w:val="0"/>
    <w:pPr>
      <w:topLinePunct/>
      <w:spacing w:beforeLines="20"/>
      <w:ind w:firstLine="200" w:firstLineChars="200"/>
      <w:jc w:val="left"/>
    </w:pPr>
    <w:rPr>
      <w:rFonts w:ascii="Calibri" w:hAnsi="Calibri"/>
      <w:color w:val="000000"/>
      <w:kern w:val="0"/>
      <w:sz w:val="18"/>
      <w:szCs w:val="18"/>
      <w:lang w:val="zh-CN"/>
    </w:rPr>
  </w:style>
  <w:style w:type="paragraph" w:styleId="24">
    <w:name w:val="footer"/>
    <w:basedOn w:val="1"/>
    <w:link w:val="158"/>
    <w:qFormat/>
    <w:uiPriority w:val="0"/>
    <w:pPr>
      <w:snapToGrid w:val="0"/>
      <w:ind w:right="210" w:rightChars="100"/>
      <w:jc w:val="right"/>
    </w:pPr>
    <w:rPr>
      <w:sz w:val="18"/>
      <w:szCs w:val="18"/>
      <w:lang w:val="zh-CN"/>
    </w:rPr>
  </w:style>
  <w:style w:type="paragraph" w:styleId="25">
    <w:name w:val="header"/>
    <w:basedOn w:val="1"/>
    <w:link w:val="156"/>
    <w:qFormat/>
    <w:uiPriority w:val="99"/>
    <w:pPr>
      <w:snapToGrid w:val="0"/>
      <w:jc w:val="left"/>
    </w:pPr>
    <w:rPr>
      <w:sz w:val="18"/>
      <w:szCs w:val="18"/>
      <w:lang w:val="zh-CN"/>
    </w:rPr>
  </w:style>
  <w:style w:type="paragraph" w:styleId="26">
    <w:name w:val="toc 1"/>
    <w:basedOn w:val="1"/>
    <w:next w:val="1"/>
    <w:qFormat/>
    <w:uiPriority w:val="39"/>
    <w:pPr>
      <w:tabs>
        <w:tab w:val="right" w:leader="dot" w:pos="9344"/>
      </w:tabs>
      <w:spacing w:before="120" w:after="120"/>
      <w:jc w:val="center"/>
    </w:pPr>
    <w:rPr>
      <w:rFonts w:ascii="黑体" w:hAnsi="黑体" w:eastAsia="黑体"/>
      <w:bCs/>
      <w:caps/>
      <w:sz w:val="24"/>
    </w:rPr>
  </w:style>
  <w:style w:type="paragraph" w:styleId="27">
    <w:name w:val="toc 4"/>
    <w:basedOn w:val="1"/>
    <w:next w:val="1"/>
    <w:qFormat/>
    <w:uiPriority w:val="39"/>
    <w:pPr>
      <w:ind w:left="630"/>
      <w:jc w:val="left"/>
    </w:pPr>
    <w:rPr>
      <w:rFonts w:ascii="Calibri" w:hAnsi="Calibri"/>
      <w:sz w:val="18"/>
      <w:szCs w:val="18"/>
    </w:rPr>
  </w:style>
  <w:style w:type="paragraph" w:styleId="28">
    <w:name w:val="index heading"/>
    <w:basedOn w:val="1"/>
    <w:next w:val="29"/>
    <w:qFormat/>
    <w:uiPriority w:val="0"/>
    <w:pPr>
      <w:spacing w:before="120" w:after="120"/>
      <w:jc w:val="center"/>
    </w:pPr>
    <w:rPr>
      <w:rFonts w:ascii="Calibri" w:hAnsi="Calibri"/>
      <w:b/>
      <w:bCs/>
      <w:iCs/>
      <w:szCs w:val="20"/>
    </w:rPr>
  </w:style>
  <w:style w:type="paragraph" w:styleId="29">
    <w:name w:val="index 1"/>
    <w:basedOn w:val="1"/>
    <w:next w:val="4"/>
    <w:qFormat/>
    <w:uiPriority w:val="0"/>
    <w:pPr>
      <w:tabs>
        <w:tab w:val="right" w:leader="dot" w:pos="9299"/>
      </w:tabs>
      <w:jc w:val="left"/>
    </w:pPr>
    <w:rPr>
      <w:rFonts w:ascii="宋体"/>
      <w:szCs w:val="21"/>
    </w:rPr>
  </w:style>
  <w:style w:type="paragraph" w:styleId="30">
    <w:name w:val="footnote text"/>
    <w:basedOn w:val="1"/>
    <w:qFormat/>
    <w:uiPriority w:val="0"/>
    <w:pPr>
      <w:numPr>
        <w:ilvl w:val="0"/>
        <w:numId w:val="4"/>
      </w:numPr>
      <w:snapToGrid w:val="0"/>
      <w:jc w:val="left"/>
    </w:pPr>
    <w:rPr>
      <w:rFonts w:ascii="宋体"/>
      <w:sz w:val="18"/>
      <w:szCs w:val="18"/>
    </w:rPr>
  </w:style>
  <w:style w:type="paragraph" w:styleId="31">
    <w:name w:val="toc 6"/>
    <w:basedOn w:val="1"/>
    <w:next w:val="1"/>
    <w:qFormat/>
    <w:uiPriority w:val="39"/>
    <w:pPr>
      <w:ind w:left="1050"/>
      <w:jc w:val="left"/>
    </w:pPr>
    <w:rPr>
      <w:rFonts w:ascii="Calibri" w:hAnsi="Calibri"/>
      <w:sz w:val="18"/>
      <w:szCs w:val="18"/>
    </w:rPr>
  </w:style>
  <w:style w:type="paragraph" w:styleId="32">
    <w:name w:val="index 7"/>
    <w:basedOn w:val="1"/>
    <w:next w:val="1"/>
    <w:qFormat/>
    <w:uiPriority w:val="0"/>
    <w:pPr>
      <w:ind w:left="1470" w:hanging="210"/>
      <w:jc w:val="left"/>
    </w:pPr>
    <w:rPr>
      <w:rFonts w:ascii="Calibri" w:hAnsi="Calibri"/>
      <w:sz w:val="20"/>
      <w:szCs w:val="20"/>
    </w:rPr>
  </w:style>
  <w:style w:type="paragraph" w:styleId="33">
    <w:name w:val="index 9"/>
    <w:basedOn w:val="1"/>
    <w:next w:val="1"/>
    <w:qFormat/>
    <w:uiPriority w:val="0"/>
    <w:pPr>
      <w:ind w:left="1890" w:hanging="210"/>
      <w:jc w:val="left"/>
    </w:pPr>
    <w:rPr>
      <w:rFonts w:ascii="Calibri" w:hAnsi="Calibri"/>
      <w:sz w:val="20"/>
      <w:szCs w:val="20"/>
    </w:r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7">
    <w:name w:val="index 2"/>
    <w:basedOn w:val="1"/>
    <w:next w:val="1"/>
    <w:qFormat/>
    <w:uiPriority w:val="0"/>
    <w:pPr>
      <w:ind w:left="420" w:hanging="210"/>
      <w:jc w:val="left"/>
    </w:pPr>
    <w:rPr>
      <w:rFonts w:ascii="Calibri" w:hAnsi="Calibri"/>
      <w:sz w:val="20"/>
      <w:szCs w:val="20"/>
    </w:rPr>
  </w:style>
  <w:style w:type="paragraph" w:styleId="38">
    <w:name w:val="Title"/>
    <w:basedOn w:val="1"/>
    <w:link w:val="160"/>
    <w:qFormat/>
    <w:uiPriority w:val="0"/>
    <w:pPr>
      <w:widowControl/>
      <w:spacing w:after="60"/>
      <w:jc w:val="left"/>
      <w:outlineLvl w:val="0"/>
    </w:pPr>
    <w:rPr>
      <w:rFonts w:ascii="Arial" w:hAnsi="Arial"/>
      <w:b/>
      <w:kern w:val="0"/>
      <w:sz w:val="30"/>
      <w:szCs w:val="20"/>
      <w:lang w:val="zh-CN"/>
    </w:rPr>
  </w:style>
  <w:style w:type="paragraph" w:styleId="39">
    <w:name w:val="annotation subject"/>
    <w:basedOn w:val="14"/>
    <w:next w:val="14"/>
    <w:link w:val="155"/>
    <w:qFormat/>
    <w:uiPriority w:val="0"/>
    <w:pPr>
      <w:topLinePunct/>
      <w:adjustRightInd/>
      <w:spacing w:beforeLines="20" w:line="288" w:lineRule="auto"/>
      <w:ind w:firstLine="200" w:firstLineChars="200"/>
      <w:textAlignment w:val="auto"/>
    </w:pPr>
    <w:rPr>
      <w:b/>
      <w:bCs/>
      <w:color w:val="000000"/>
    </w:rPr>
  </w:style>
  <w:style w:type="table" w:styleId="41">
    <w:name w:val="Table Grid"/>
    <w:basedOn w:val="40"/>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qFormat/>
    <w:uiPriority w:val="22"/>
    <w:rPr>
      <w:b/>
      <w:bCs/>
    </w:rPr>
  </w:style>
  <w:style w:type="character" w:styleId="44">
    <w:name w:val="endnote reference"/>
    <w:semiHidden/>
    <w:qFormat/>
    <w:uiPriority w:val="0"/>
    <w:rPr>
      <w:vertAlign w:val="superscript"/>
    </w:rPr>
  </w:style>
  <w:style w:type="character" w:styleId="45">
    <w:name w:val="page number"/>
    <w:qFormat/>
    <w:uiPriority w:val="0"/>
    <w:rPr>
      <w:rFonts w:ascii="Times New Roman" w:hAnsi="Times New Roman" w:eastAsia="宋体"/>
      <w:sz w:val="18"/>
    </w:rPr>
  </w:style>
  <w:style w:type="character" w:styleId="46">
    <w:name w:val="FollowedHyperlink"/>
    <w:qFormat/>
    <w:uiPriority w:val="0"/>
    <w:rPr>
      <w:color w:val="800080"/>
      <w:u w:val="single"/>
    </w:rPr>
  </w:style>
  <w:style w:type="character" w:styleId="47">
    <w:name w:val="Hyperlink"/>
    <w:qFormat/>
    <w:uiPriority w:val="99"/>
    <w:rPr>
      <w:color w:val="0000FF"/>
      <w:spacing w:val="0"/>
      <w:w w:val="100"/>
      <w:szCs w:val="21"/>
      <w:u w:val="single"/>
    </w:rPr>
  </w:style>
  <w:style w:type="character" w:styleId="48">
    <w:name w:val="annotation reference"/>
    <w:qFormat/>
    <w:uiPriority w:val="0"/>
    <w:rPr>
      <w:sz w:val="21"/>
      <w:szCs w:val="21"/>
    </w:rPr>
  </w:style>
  <w:style w:type="character" w:styleId="49">
    <w:name w:val="footnote reference"/>
    <w:semiHidden/>
    <w:qFormat/>
    <w:uiPriority w:val="0"/>
    <w:rPr>
      <w:vertAlign w:val="superscript"/>
    </w:rPr>
  </w:style>
  <w:style w:type="character" w:customStyle="1" w:styleId="50">
    <w:name w:val="段 Char"/>
    <w:link w:val="4"/>
    <w:qFormat/>
    <w:uiPriority w:val="0"/>
    <w:rPr>
      <w:rFonts w:ascii="宋体"/>
      <w:sz w:val="21"/>
      <w:lang w:val="en-US" w:eastAsia="zh-CN" w:bidi="ar-SA"/>
    </w:rPr>
  </w:style>
  <w:style w:type="paragraph" w:customStyle="1" w:styleId="51">
    <w:name w:val="一级条标题"/>
    <w:next w:val="4"/>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4">
    <w:name w:val="章标题"/>
    <w:next w:val="4"/>
    <w:qFormat/>
    <w:uiPriority w:val="0"/>
    <w:pPr>
      <w:numPr>
        <w:ilvl w:val="0"/>
        <w:numId w:val="5"/>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55">
    <w:name w:val="二级条标题"/>
    <w:basedOn w:val="51"/>
    <w:next w:val="4"/>
    <w:qFormat/>
    <w:uiPriority w:val="0"/>
    <w:pPr>
      <w:numPr>
        <w:ilvl w:val="2"/>
      </w:numPr>
      <w:spacing w:before="50" w:after="50"/>
      <w:outlineLvl w:val="3"/>
    </w:pPr>
  </w:style>
  <w:style w:type="paragraph" w:customStyle="1" w:styleId="5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7">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58">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59">
    <w:name w:val="目次、标准名称标题"/>
    <w:basedOn w:val="1"/>
    <w:next w:val="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0">
    <w:name w:val="三级条标题"/>
    <w:basedOn w:val="55"/>
    <w:next w:val="4"/>
    <w:qFormat/>
    <w:uiPriority w:val="0"/>
    <w:pPr>
      <w:numPr>
        <w:ilvl w:val="0"/>
        <w:numId w:val="0"/>
      </w:numPr>
      <w:outlineLvl w:val="4"/>
    </w:pPr>
  </w:style>
  <w:style w:type="paragraph" w:customStyle="1" w:styleId="61">
    <w:name w:val="示例"/>
    <w:next w:val="62"/>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6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3">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64">
    <w:name w:val="四级条标题"/>
    <w:basedOn w:val="60"/>
    <w:next w:val="4"/>
    <w:qFormat/>
    <w:uiPriority w:val="0"/>
    <w:pPr>
      <w:numPr>
        <w:ilvl w:val="4"/>
        <w:numId w:val="5"/>
      </w:numPr>
      <w:outlineLvl w:val="5"/>
    </w:pPr>
  </w:style>
  <w:style w:type="paragraph" w:customStyle="1" w:styleId="65">
    <w:name w:val="五级条标题"/>
    <w:basedOn w:val="64"/>
    <w:next w:val="4"/>
    <w:qFormat/>
    <w:uiPriority w:val="0"/>
    <w:pPr>
      <w:numPr>
        <w:ilvl w:val="5"/>
      </w:numPr>
      <w:outlineLvl w:val="6"/>
    </w:pPr>
  </w:style>
  <w:style w:type="paragraph" w:customStyle="1" w:styleId="66">
    <w:name w:val="注："/>
    <w:next w:val="4"/>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67">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68">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69">
    <w:name w:val="列项◆（三级）"/>
    <w:basedOn w:val="1"/>
    <w:qFormat/>
    <w:uiPriority w:val="0"/>
    <w:pPr>
      <w:numPr>
        <w:ilvl w:val="2"/>
        <w:numId w:val="6"/>
      </w:numPr>
    </w:pPr>
    <w:rPr>
      <w:rFonts w:ascii="宋体"/>
      <w:szCs w:val="21"/>
    </w:rPr>
  </w:style>
  <w:style w:type="paragraph" w:customStyle="1" w:styleId="70">
    <w:name w:val="编号列项（三级）"/>
    <w:qFormat/>
    <w:uiPriority w:val="0"/>
    <w:rPr>
      <w:rFonts w:ascii="宋体" w:hAnsi="Times New Roman" w:eastAsia="宋体" w:cs="Times New Roman"/>
      <w:sz w:val="21"/>
      <w:lang w:val="en-US" w:eastAsia="zh-CN" w:bidi="ar-SA"/>
    </w:rPr>
  </w:style>
  <w:style w:type="paragraph" w:customStyle="1" w:styleId="71">
    <w:name w:val="示例×："/>
    <w:basedOn w:val="54"/>
    <w:qFormat/>
    <w:uiPriority w:val="0"/>
    <w:pPr>
      <w:numPr>
        <w:numId w:val="10"/>
      </w:numPr>
      <w:spacing w:before="0" w:beforeLines="0" w:after="0" w:afterLines="0"/>
      <w:outlineLvl w:val="9"/>
    </w:pPr>
    <w:rPr>
      <w:rFonts w:ascii="宋体" w:eastAsia="宋体"/>
      <w:sz w:val="18"/>
      <w:szCs w:val="18"/>
    </w:rPr>
  </w:style>
  <w:style w:type="paragraph" w:customStyle="1" w:styleId="72">
    <w:name w:val="二级无"/>
    <w:basedOn w:val="55"/>
    <w:qFormat/>
    <w:uiPriority w:val="0"/>
    <w:pPr>
      <w:spacing w:before="0" w:beforeLines="0" w:after="0" w:afterLines="0"/>
      <w:ind w:left="0"/>
    </w:pPr>
    <w:rPr>
      <w:rFonts w:ascii="宋体" w:eastAsia="宋体"/>
    </w:rPr>
  </w:style>
  <w:style w:type="paragraph" w:customStyle="1" w:styleId="73">
    <w:name w:val="注：（正文）"/>
    <w:basedOn w:val="66"/>
    <w:next w:val="4"/>
    <w:qFormat/>
    <w:uiPriority w:val="0"/>
    <w:pPr>
      <w:numPr>
        <w:ilvl w:val="0"/>
        <w:numId w:val="11"/>
      </w:numPr>
    </w:pPr>
  </w:style>
  <w:style w:type="paragraph" w:customStyle="1" w:styleId="74">
    <w:name w:val="注×：（正文）"/>
    <w:qFormat/>
    <w:uiPriority w:val="0"/>
    <w:pPr>
      <w:numPr>
        <w:ilvl w:val="0"/>
        <w:numId w:val="12"/>
      </w:numPr>
      <w:jc w:val="both"/>
    </w:pPr>
    <w:rPr>
      <w:rFonts w:ascii="宋体" w:hAnsi="Times New Roman" w:eastAsia="宋体" w:cs="Times New Roman"/>
      <w:sz w:val="18"/>
      <w:szCs w:val="18"/>
      <w:lang w:val="en-US" w:eastAsia="zh-CN" w:bidi="ar-SA"/>
    </w:rPr>
  </w:style>
  <w:style w:type="paragraph" w:customStyle="1" w:styleId="7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8">
    <w:name w:val="标准书眉_偶数页"/>
    <w:basedOn w:val="53"/>
    <w:next w:val="1"/>
    <w:qFormat/>
    <w:uiPriority w:val="0"/>
    <w:pPr>
      <w:jc w:val="left"/>
    </w:pPr>
  </w:style>
  <w:style w:type="paragraph" w:customStyle="1" w:styleId="79">
    <w:name w:val="标准书眉一"/>
    <w:qFormat/>
    <w:uiPriority w:val="0"/>
    <w:pPr>
      <w:jc w:val="both"/>
    </w:pPr>
    <w:rPr>
      <w:rFonts w:ascii="Times New Roman" w:hAnsi="Times New Roman" w:eastAsia="宋体" w:cs="Times New Roman"/>
      <w:lang w:val="en-US" w:eastAsia="zh-CN" w:bidi="ar-SA"/>
    </w:rPr>
  </w:style>
  <w:style w:type="paragraph" w:customStyle="1" w:styleId="80">
    <w:name w:val="参考文献"/>
    <w:basedOn w:val="1"/>
    <w:next w:val="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1">
    <w:name w:val="参考文献、索引标题"/>
    <w:basedOn w:val="1"/>
    <w:next w:val="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2">
    <w:name w:val="发布"/>
    <w:qFormat/>
    <w:uiPriority w:val="0"/>
    <w:rPr>
      <w:rFonts w:ascii="黑体" w:eastAsia="黑体"/>
      <w:spacing w:val="85"/>
      <w:w w:val="100"/>
      <w:position w:val="3"/>
      <w:sz w:val="28"/>
      <w:szCs w:val="28"/>
    </w:rPr>
  </w:style>
  <w:style w:type="paragraph" w:customStyle="1" w:styleId="83">
    <w:name w:val="发布部门"/>
    <w:next w:val="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
    <w:name w:val="封面标准英文名称"/>
    <w:basedOn w:val="87"/>
    <w:qFormat/>
    <w:uiPriority w:val="0"/>
    <w:pPr>
      <w:framePr w:wrap="around"/>
      <w:spacing w:before="370" w:line="400" w:lineRule="exact"/>
    </w:pPr>
    <w:rPr>
      <w:rFonts w:ascii="Times New Roman"/>
      <w:sz w:val="28"/>
      <w:szCs w:val="28"/>
    </w:rPr>
  </w:style>
  <w:style w:type="paragraph" w:customStyle="1" w:styleId="89">
    <w:name w:val="封面一致性程度标识"/>
    <w:basedOn w:val="88"/>
    <w:qFormat/>
    <w:uiPriority w:val="0"/>
    <w:pPr>
      <w:framePr w:wrap="around"/>
      <w:spacing w:before="440"/>
    </w:pPr>
    <w:rPr>
      <w:rFonts w:ascii="宋体" w:eastAsia="宋体"/>
    </w:rPr>
  </w:style>
  <w:style w:type="paragraph" w:customStyle="1" w:styleId="90">
    <w:name w:val="封面标准文稿类别"/>
    <w:basedOn w:val="89"/>
    <w:qFormat/>
    <w:uiPriority w:val="0"/>
    <w:pPr>
      <w:framePr w:wrap="around"/>
      <w:spacing w:after="160" w:line="240" w:lineRule="auto"/>
    </w:pPr>
    <w:rPr>
      <w:sz w:val="24"/>
    </w:rPr>
  </w:style>
  <w:style w:type="paragraph" w:customStyle="1" w:styleId="91">
    <w:name w:val="封面标准文稿编辑信息"/>
    <w:basedOn w:val="90"/>
    <w:qFormat/>
    <w:uiPriority w:val="0"/>
    <w:pPr>
      <w:framePr w:wrap="around"/>
      <w:spacing w:before="180" w:line="180" w:lineRule="exact"/>
    </w:pPr>
    <w:rPr>
      <w:sz w:val="21"/>
    </w:rPr>
  </w:style>
  <w:style w:type="paragraph" w:customStyle="1" w:styleId="92">
    <w:name w:val="封面正文"/>
    <w:qFormat/>
    <w:uiPriority w:val="0"/>
    <w:pPr>
      <w:jc w:val="both"/>
    </w:pPr>
    <w:rPr>
      <w:rFonts w:ascii="Times New Roman" w:hAnsi="Times New Roman" w:eastAsia="宋体" w:cs="Times New Roman"/>
      <w:lang w:val="en-US" w:eastAsia="zh-CN" w:bidi="ar-SA"/>
    </w:rPr>
  </w:style>
  <w:style w:type="paragraph" w:customStyle="1" w:styleId="93">
    <w:name w:val="附录标识"/>
    <w:basedOn w:val="1"/>
    <w:next w:val="4"/>
    <w:qFormat/>
    <w:uiPriority w:val="0"/>
    <w:pPr>
      <w:keepNext/>
      <w:widowControl/>
      <w:numPr>
        <w:ilvl w:val="0"/>
        <w:numId w:val="13"/>
      </w:numPr>
      <w:shd w:val="clear" w:color="FFFFFF" w:fill="FFFFFF"/>
      <w:tabs>
        <w:tab w:val="left" w:pos="6405"/>
      </w:tabs>
      <w:spacing w:before="640" w:after="280"/>
      <w:jc w:val="center"/>
      <w:outlineLvl w:val="0"/>
    </w:pPr>
    <w:rPr>
      <w:rFonts w:ascii="黑体" w:eastAsia="黑体"/>
      <w:kern w:val="0"/>
      <w:szCs w:val="20"/>
    </w:rPr>
  </w:style>
  <w:style w:type="paragraph" w:customStyle="1" w:styleId="94">
    <w:name w:val="附录标题"/>
    <w:basedOn w:val="4"/>
    <w:next w:val="4"/>
    <w:qFormat/>
    <w:uiPriority w:val="0"/>
    <w:pPr>
      <w:ind w:firstLine="0" w:firstLineChars="0"/>
      <w:jc w:val="center"/>
    </w:pPr>
    <w:rPr>
      <w:rFonts w:ascii="黑体" w:eastAsia="黑体"/>
    </w:rPr>
  </w:style>
  <w:style w:type="paragraph" w:customStyle="1" w:styleId="95">
    <w:name w:val="附录表标号"/>
    <w:basedOn w:val="1"/>
    <w:next w:val="4"/>
    <w:qFormat/>
    <w:uiPriority w:val="0"/>
    <w:pPr>
      <w:numPr>
        <w:ilvl w:val="0"/>
        <w:numId w:val="14"/>
      </w:numPr>
      <w:tabs>
        <w:tab w:val="clear" w:pos="0"/>
      </w:tabs>
      <w:spacing w:line="14" w:lineRule="exact"/>
      <w:ind w:left="811" w:hanging="448"/>
      <w:jc w:val="center"/>
      <w:outlineLvl w:val="0"/>
    </w:pPr>
    <w:rPr>
      <w:color w:val="FFFFFF"/>
    </w:rPr>
  </w:style>
  <w:style w:type="paragraph" w:customStyle="1" w:styleId="96">
    <w:name w:val="附录表标题"/>
    <w:basedOn w:val="1"/>
    <w:next w:val="4"/>
    <w:qFormat/>
    <w:uiPriority w:val="0"/>
    <w:pPr>
      <w:numPr>
        <w:ilvl w:val="1"/>
        <w:numId w:val="14"/>
      </w:numPr>
      <w:tabs>
        <w:tab w:val="left" w:pos="180"/>
      </w:tabs>
      <w:spacing w:before="50" w:beforeLines="50" w:after="50" w:afterLines="50"/>
      <w:ind w:left="0" w:firstLine="0"/>
      <w:jc w:val="center"/>
    </w:pPr>
    <w:rPr>
      <w:rFonts w:ascii="黑体" w:eastAsia="黑体"/>
      <w:szCs w:val="21"/>
    </w:rPr>
  </w:style>
  <w:style w:type="paragraph" w:customStyle="1" w:styleId="97">
    <w:name w:val="附录二级条标题"/>
    <w:basedOn w:val="1"/>
    <w:next w:val="4"/>
    <w:qFormat/>
    <w:uiPriority w:val="0"/>
    <w:pPr>
      <w:widowControl/>
      <w:numPr>
        <w:ilvl w:val="3"/>
        <w:numId w:val="1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8">
    <w:name w:val="附录二级无"/>
    <w:basedOn w:val="97"/>
    <w:qFormat/>
    <w:uiPriority w:val="0"/>
    <w:pPr>
      <w:tabs>
        <w:tab w:val="clear" w:pos="360"/>
      </w:tabs>
      <w:spacing w:before="0" w:beforeLines="0" w:after="0" w:afterLines="0"/>
    </w:pPr>
    <w:rPr>
      <w:rFonts w:ascii="宋体" w:eastAsia="宋体"/>
      <w:szCs w:val="21"/>
    </w:rPr>
  </w:style>
  <w:style w:type="paragraph" w:customStyle="1" w:styleId="99">
    <w:name w:val="附录公式"/>
    <w:basedOn w:val="4"/>
    <w:next w:val="4"/>
    <w:link w:val="100"/>
    <w:qFormat/>
    <w:uiPriority w:val="0"/>
  </w:style>
  <w:style w:type="character" w:customStyle="1" w:styleId="100">
    <w:name w:val="附录公式 Char"/>
    <w:basedOn w:val="50"/>
    <w:link w:val="99"/>
    <w:qFormat/>
    <w:uiPriority w:val="0"/>
    <w:rPr>
      <w:rFonts w:ascii="宋体"/>
      <w:sz w:val="21"/>
      <w:lang w:val="en-US" w:eastAsia="zh-CN" w:bidi="ar-SA"/>
    </w:rPr>
  </w:style>
  <w:style w:type="paragraph" w:customStyle="1" w:styleId="101">
    <w:name w:val="附录公式编号制表符"/>
    <w:basedOn w:val="1"/>
    <w:next w:val="4"/>
    <w:qFormat/>
    <w:uiPriority w:val="0"/>
    <w:pPr>
      <w:widowControl/>
      <w:tabs>
        <w:tab w:val="center" w:pos="4201"/>
        <w:tab w:val="right" w:leader="dot" w:pos="9298"/>
      </w:tabs>
      <w:autoSpaceDE w:val="0"/>
      <w:autoSpaceDN w:val="0"/>
    </w:pPr>
    <w:rPr>
      <w:rFonts w:ascii="宋体"/>
      <w:kern w:val="0"/>
      <w:szCs w:val="20"/>
    </w:rPr>
  </w:style>
  <w:style w:type="paragraph" w:customStyle="1" w:styleId="102">
    <w:name w:val="附录三级条标题"/>
    <w:basedOn w:val="97"/>
    <w:next w:val="4"/>
    <w:qFormat/>
    <w:uiPriority w:val="0"/>
    <w:pPr>
      <w:numPr>
        <w:ilvl w:val="4"/>
      </w:numPr>
      <w:outlineLvl w:val="4"/>
    </w:pPr>
  </w:style>
  <w:style w:type="paragraph" w:customStyle="1" w:styleId="103">
    <w:name w:val="附录三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数字编号列项（二级）"/>
    <w:qFormat/>
    <w:uiPriority w:val="0"/>
    <w:pPr>
      <w:numPr>
        <w:ilvl w:val="1"/>
        <w:numId w:val="15"/>
      </w:numPr>
    </w:pPr>
    <w:rPr>
      <w:rFonts w:ascii="宋体" w:hAnsi="Times New Roman" w:eastAsia="宋体" w:cs="Times New Roman"/>
      <w:sz w:val="21"/>
      <w:lang w:val="en-US" w:eastAsia="zh-CN" w:bidi="ar-SA"/>
    </w:rPr>
  </w:style>
  <w:style w:type="paragraph" w:customStyle="1" w:styleId="105">
    <w:name w:val="附录四级条标题"/>
    <w:basedOn w:val="102"/>
    <w:next w:val="4"/>
    <w:qFormat/>
    <w:uiPriority w:val="0"/>
    <w:pPr>
      <w:numPr>
        <w:ilvl w:val="5"/>
      </w:numPr>
      <w:outlineLvl w:val="5"/>
    </w:pPr>
  </w:style>
  <w:style w:type="paragraph" w:customStyle="1" w:styleId="106">
    <w:name w:val="附录四级无"/>
    <w:basedOn w:val="105"/>
    <w:qFormat/>
    <w:uiPriority w:val="0"/>
    <w:pPr>
      <w:tabs>
        <w:tab w:val="clear" w:pos="360"/>
      </w:tabs>
      <w:spacing w:before="0" w:beforeLines="0" w:after="0" w:afterLines="0"/>
    </w:pPr>
    <w:rPr>
      <w:rFonts w:ascii="宋体" w:eastAsia="宋体"/>
      <w:szCs w:val="21"/>
    </w:rPr>
  </w:style>
  <w:style w:type="paragraph" w:customStyle="1" w:styleId="107">
    <w:name w:val="附录图标号"/>
    <w:basedOn w:val="1"/>
    <w:qFormat/>
    <w:uiPriority w:val="0"/>
    <w:pPr>
      <w:keepNext/>
      <w:pageBreakBefore/>
      <w:widowControl/>
      <w:numPr>
        <w:ilvl w:val="0"/>
        <w:numId w:val="16"/>
      </w:numPr>
      <w:spacing w:line="14" w:lineRule="exact"/>
      <w:ind w:left="0" w:firstLine="363"/>
      <w:jc w:val="center"/>
      <w:outlineLvl w:val="0"/>
    </w:pPr>
    <w:rPr>
      <w:color w:val="FFFFFF"/>
    </w:rPr>
  </w:style>
  <w:style w:type="paragraph" w:customStyle="1" w:styleId="108">
    <w:name w:val="附录图标题"/>
    <w:basedOn w:val="1"/>
    <w:next w:val="4"/>
    <w:qFormat/>
    <w:uiPriority w:val="0"/>
    <w:pPr>
      <w:numPr>
        <w:ilvl w:val="1"/>
        <w:numId w:val="16"/>
      </w:numPr>
      <w:tabs>
        <w:tab w:val="left" w:pos="363"/>
      </w:tabs>
      <w:spacing w:before="50" w:beforeLines="50" w:after="50" w:afterLines="50"/>
      <w:ind w:left="0" w:firstLine="0"/>
      <w:jc w:val="center"/>
    </w:pPr>
    <w:rPr>
      <w:rFonts w:ascii="黑体" w:eastAsia="黑体"/>
      <w:szCs w:val="21"/>
    </w:rPr>
  </w:style>
  <w:style w:type="paragraph" w:customStyle="1" w:styleId="109">
    <w:name w:val="附录五级条标题"/>
    <w:basedOn w:val="105"/>
    <w:next w:val="4"/>
    <w:qFormat/>
    <w:uiPriority w:val="0"/>
    <w:pPr>
      <w:numPr>
        <w:ilvl w:val="6"/>
      </w:numPr>
      <w:outlineLvl w:val="6"/>
    </w:pPr>
  </w:style>
  <w:style w:type="paragraph" w:customStyle="1" w:styleId="110">
    <w:name w:val="附录五级无"/>
    <w:basedOn w:val="109"/>
    <w:qFormat/>
    <w:uiPriority w:val="0"/>
    <w:pPr>
      <w:tabs>
        <w:tab w:val="clear" w:pos="360"/>
      </w:tabs>
      <w:spacing w:before="0" w:beforeLines="0" w:after="0" w:afterLines="0"/>
    </w:pPr>
    <w:rPr>
      <w:rFonts w:ascii="宋体" w:eastAsia="宋体"/>
      <w:szCs w:val="21"/>
    </w:rPr>
  </w:style>
  <w:style w:type="paragraph" w:customStyle="1" w:styleId="111">
    <w:name w:val="附录章标题"/>
    <w:next w:val="4"/>
    <w:qFormat/>
    <w:uiPriority w:val="0"/>
    <w:pPr>
      <w:numPr>
        <w:ilvl w:val="1"/>
        <w:numId w:val="13"/>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附录一级条标题"/>
    <w:basedOn w:val="111"/>
    <w:next w:val="4"/>
    <w:qFormat/>
    <w:uiPriority w:val="0"/>
    <w:pPr>
      <w:numPr>
        <w:ilvl w:val="2"/>
      </w:numPr>
      <w:tabs>
        <w:tab w:val="left" w:pos="360"/>
      </w:tabs>
      <w:autoSpaceDN w:val="0"/>
      <w:spacing w:before="50" w:beforeLines="50" w:after="50" w:afterLines="50"/>
      <w:outlineLvl w:val="2"/>
    </w:pPr>
  </w:style>
  <w:style w:type="paragraph" w:customStyle="1" w:styleId="113">
    <w:name w:val="附录一级无"/>
    <w:basedOn w:val="112"/>
    <w:qFormat/>
    <w:uiPriority w:val="0"/>
    <w:pPr>
      <w:tabs>
        <w:tab w:val="clear" w:pos="360"/>
      </w:tabs>
      <w:spacing w:before="0" w:beforeLines="0" w:after="0" w:afterLines="0"/>
    </w:pPr>
    <w:rPr>
      <w:rFonts w:ascii="宋体" w:eastAsia="宋体"/>
      <w:szCs w:val="21"/>
    </w:rPr>
  </w:style>
  <w:style w:type="paragraph" w:customStyle="1" w:styleId="114">
    <w:name w:val="附录字母编号列项（一级）"/>
    <w:qFormat/>
    <w:uiPriority w:val="0"/>
    <w:pPr>
      <w:numPr>
        <w:ilvl w:val="0"/>
        <w:numId w:val="15"/>
      </w:numPr>
    </w:pPr>
    <w:rPr>
      <w:rFonts w:ascii="宋体" w:hAnsi="Times New Roman" w:eastAsia="宋体" w:cs="Times New Roman"/>
      <w:sz w:val="21"/>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8">
    <w:name w:val="其他标准标志"/>
    <w:basedOn w:val="75"/>
    <w:qFormat/>
    <w:uiPriority w:val="0"/>
    <w:pPr>
      <w:framePr w:w="6101" w:wrap="around" w:vAnchor="page" w:hAnchor="page" w:x="4673" w:y="942"/>
    </w:pPr>
    <w:rPr>
      <w:w w:val="130"/>
    </w:rPr>
  </w:style>
  <w:style w:type="paragraph" w:customStyle="1" w:styleId="11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0">
    <w:name w:val="其他发布部门"/>
    <w:basedOn w:val="83"/>
    <w:qFormat/>
    <w:uiPriority w:val="0"/>
    <w:pPr>
      <w:framePr w:wrap="around" w:y="15310"/>
      <w:spacing w:line="0" w:lineRule="atLeast"/>
    </w:pPr>
    <w:rPr>
      <w:rFonts w:ascii="黑体" w:eastAsia="黑体"/>
      <w:b w:val="0"/>
    </w:rPr>
  </w:style>
  <w:style w:type="paragraph" w:customStyle="1" w:styleId="121">
    <w:name w:val="前言、引言标题"/>
    <w:next w:val="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2">
    <w:name w:val="三级无"/>
    <w:basedOn w:val="60"/>
    <w:qFormat/>
    <w:uiPriority w:val="0"/>
    <w:pPr>
      <w:spacing w:before="0" w:beforeLines="0" w:after="0" w:afterLines="0"/>
    </w:pPr>
    <w:rPr>
      <w:rFonts w:ascii="宋体" w:eastAsia="宋体"/>
    </w:rPr>
  </w:style>
  <w:style w:type="paragraph" w:customStyle="1" w:styleId="123">
    <w:name w:val="实施日期"/>
    <w:basedOn w:val="84"/>
    <w:qFormat/>
    <w:uiPriority w:val="0"/>
    <w:pPr>
      <w:framePr w:wrap="around" w:vAnchor="page" w:hAnchor="text"/>
      <w:jc w:val="right"/>
    </w:pPr>
  </w:style>
  <w:style w:type="paragraph" w:customStyle="1" w:styleId="124">
    <w:name w:val="示例后文字"/>
    <w:basedOn w:val="4"/>
    <w:next w:val="4"/>
    <w:qFormat/>
    <w:uiPriority w:val="0"/>
    <w:pPr>
      <w:ind w:firstLine="360"/>
    </w:pPr>
    <w:rPr>
      <w:sz w:val="18"/>
    </w:rPr>
  </w:style>
  <w:style w:type="paragraph" w:customStyle="1" w:styleId="125">
    <w:name w:val="首示例"/>
    <w:next w:val="4"/>
    <w:link w:val="126"/>
    <w:qFormat/>
    <w:uiPriority w:val="0"/>
    <w:pPr>
      <w:numPr>
        <w:ilvl w:val="0"/>
        <w:numId w:val="17"/>
      </w:numPr>
      <w:tabs>
        <w:tab w:val="left" w:pos="360"/>
      </w:tabs>
      <w:ind w:firstLine="0"/>
    </w:pPr>
    <w:rPr>
      <w:rFonts w:ascii="宋体" w:hAnsi="宋体" w:eastAsia="宋体" w:cs="Times New Roman"/>
      <w:kern w:val="2"/>
      <w:sz w:val="18"/>
      <w:szCs w:val="18"/>
      <w:lang w:val="en-US" w:eastAsia="zh-CN" w:bidi="ar-SA"/>
    </w:rPr>
  </w:style>
  <w:style w:type="character" w:customStyle="1" w:styleId="126">
    <w:name w:val="首示例 Char"/>
    <w:link w:val="125"/>
    <w:qFormat/>
    <w:uiPriority w:val="0"/>
    <w:rPr>
      <w:rFonts w:ascii="宋体" w:hAnsi="宋体"/>
      <w:kern w:val="2"/>
      <w:sz w:val="18"/>
      <w:szCs w:val="18"/>
      <w:lang w:val="en-US" w:eastAsia="zh-CN" w:bidi="ar-SA"/>
    </w:rPr>
  </w:style>
  <w:style w:type="paragraph" w:customStyle="1" w:styleId="127">
    <w:name w:val="四级无"/>
    <w:basedOn w:val="64"/>
    <w:qFormat/>
    <w:uiPriority w:val="0"/>
    <w:pPr>
      <w:spacing w:before="0" w:beforeLines="0" w:after="0" w:afterLines="0"/>
    </w:pPr>
    <w:rPr>
      <w:rFonts w:ascii="宋体" w:eastAsia="宋体"/>
    </w:rPr>
  </w:style>
  <w:style w:type="paragraph" w:customStyle="1" w:styleId="128">
    <w:name w:val="条文脚注"/>
    <w:basedOn w:val="30"/>
    <w:qFormat/>
    <w:uiPriority w:val="0"/>
    <w:pPr>
      <w:numPr>
        <w:numId w:val="0"/>
      </w:numPr>
      <w:jc w:val="both"/>
    </w:pPr>
  </w:style>
  <w:style w:type="paragraph" w:customStyle="1" w:styleId="129">
    <w:name w:val="图标脚注说明"/>
    <w:basedOn w:val="4"/>
    <w:qFormat/>
    <w:uiPriority w:val="0"/>
    <w:pPr>
      <w:ind w:left="840" w:hanging="420" w:firstLineChars="0"/>
    </w:pPr>
    <w:rPr>
      <w:sz w:val="18"/>
      <w:szCs w:val="18"/>
    </w:rPr>
  </w:style>
  <w:style w:type="paragraph" w:customStyle="1" w:styleId="130">
    <w:name w:val="图表脚注说明"/>
    <w:basedOn w:val="1"/>
    <w:qFormat/>
    <w:uiPriority w:val="0"/>
    <w:pPr>
      <w:numPr>
        <w:ilvl w:val="0"/>
        <w:numId w:val="18"/>
      </w:numPr>
    </w:pPr>
    <w:rPr>
      <w:rFonts w:ascii="宋体"/>
      <w:sz w:val="18"/>
      <w:szCs w:val="18"/>
    </w:rPr>
  </w:style>
  <w:style w:type="paragraph" w:customStyle="1" w:styleId="131">
    <w:name w:val="图的脚注"/>
    <w:next w:val="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5"/>
    <w:qFormat/>
    <w:uiPriority w:val="0"/>
    <w:pPr>
      <w:spacing w:before="0" w:beforeLines="0" w:after="0" w:afterLines="0"/>
    </w:pPr>
    <w:rPr>
      <w:rFonts w:ascii="宋体" w:eastAsia="宋体"/>
    </w:rPr>
  </w:style>
  <w:style w:type="paragraph" w:customStyle="1" w:styleId="134">
    <w:name w:val="一级无"/>
    <w:basedOn w:val="51"/>
    <w:qFormat/>
    <w:uiPriority w:val="0"/>
    <w:pPr>
      <w:spacing w:before="0" w:beforeLines="0" w:after="0" w:afterLines="0"/>
    </w:pPr>
    <w:rPr>
      <w:rFonts w:ascii="宋体" w:eastAsia="宋体"/>
    </w:rPr>
  </w:style>
  <w:style w:type="paragraph" w:customStyle="1" w:styleId="135">
    <w:name w:val="正文表标题"/>
    <w:next w:val="4"/>
    <w:qFormat/>
    <w:uiPriority w:val="0"/>
    <w:pPr>
      <w:numPr>
        <w:ilvl w:val="0"/>
        <w:numId w:val="19"/>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正文公式编号制表符"/>
    <w:basedOn w:val="4"/>
    <w:next w:val="4"/>
    <w:qFormat/>
    <w:uiPriority w:val="0"/>
    <w:pPr>
      <w:ind w:firstLine="0" w:firstLineChars="0"/>
    </w:pPr>
  </w:style>
  <w:style w:type="paragraph" w:customStyle="1" w:styleId="137">
    <w:name w:val="正文图标题"/>
    <w:next w:val="4"/>
    <w:qFormat/>
    <w:uiPriority w:val="0"/>
    <w:pPr>
      <w:numPr>
        <w:ilvl w:val="0"/>
        <w:numId w:val="20"/>
      </w:numPr>
      <w:spacing w:before="156" w:beforeLines="50" w:after="156" w:afterLines="50"/>
      <w:jc w:val="center"/>
    </w:pPr>
    <w:rPr>
      <w:rFonts w:ascii="黑体" w:hAnsi="Times New Roman" w:eastAsia="黑体" w:cs="Times New Roman"/>
      <w:sz w:val="21"/>
      <w:lang w:val="en-US" w:eastAsia="zh-CN" w:bidi="ar-SA"/>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其他发布日期"/>
    <w:basedOn w:val="84"/>
    <w:qFormat/>
    <w:uiPriority w:val="0"/>
    <w:pPr>
      <w:framePr w:wrap="around" w:vAnchor="page" w:hAnchor="text" w:x="1419"/>
    </w:pPr>
  </w:style>
  <w:style w:type="paragraph" w:customStyle="1" w:styleId="140">
    <w:name w:val="其他实施日期"/>
    <w:basedOn w:val="123"/>
    <w:qFormat/>
    <w:uiPriority w:val="0"/>
    <w:pPr>
      <w:framePr w:wrap="around"/>
    </w:pPr>
  </w:style>
  <w:style w:type="paragraph" w:customStyle="1" w:styleId="141">
    <w:name w:val="封面标准名称2"/>
    <w:basedOn w:val="87"/>
    <w:qFormat/>
    <w:uiPriority w:val="0"/>
    <w:pPr>
      <w:framePr w:wrap="around" w:y="4469"/>
      <w:spacing w:before="630" w:beforeLines="630"/>
    </w:pPr>
  </w:style>
  <w:style w:type="paragraph" w:customStyle="1" w:styleId="142">
    <w:name w:val="封面标准英文名称2"/>
    <w:basedOn w:val="88"/>
    <w:qFormat/>
    <w:uiPriority w:val="0"/>
    <w:pPr>
      <w:framePr w:wrap="around" w:y="4469"/>
    </w:pPr>
  </w:style>
  <w:style w:type="paragraph" w:customStyle="1" w:styleId="143">
    <w:name w:val="封面一致性程度标识2"/>
    <w:basedOn w:val="89"/>
    <w:qFormat/>
    <w:uiPriority w:val="0"/>
    <w:pPr>
      <w:framePr w:wrap="around" w:y="4469"/>
    </w:pPr>
  </w:style>
  <w:style w:type="paragraph" w:customStyle="1" w:styleId="144">
    <w:name w:val="封面标准文稿类别2"/>
    <w:basedOn w:val="90"/>
    <w:qFormat/>
    <w:uiPriority w:val="0"/>
    <w:pPr>
      <w:framePr w:wrap="around" w:y="4469"/>
    </w:pPr>
  </w:style>
  <w:style w:type="paragraph" w:customStyle="1" w:styleId="145">
    <w:name w:val="封面标准文稿编辑信息2"/>
    <w:basedOn w:val="91"/>
    <w:qFormat/>
    <w:uiPriority w:val="0"/>
    <w:pPr>
      <w:framePr w:wrap="around" w:y="4469"/>
    </w:pPr>
  </w:style>
  <w:style w:type="paragraph" w:customStyle="1" w:styleId="146">
    <w:name w:val="字元 字元 Char Char Char Char Char Char Char"/>
    <w:basedOn w:val="1"/>
    <w:qFormat/>
    <w:uiPriority w:val="0"/>
    <w:rPr>
      <w:rFonts w:ascii="宋体"/>
      <w:sz w:val="24"/>
    </w:rPr>
  </w:style>
  <w:style w:type="character" w:customStyle="1" w:styleId="147">
    <w:name w:val="标题 1 字符"/>
    <w:link w:val="5"/>
    <w:qFormat/>
    <w:uiPriority w:val="0"/>
    <w:rPr>
      <w:b/>
      <w:bCs/>
      <w:kern w:val="44"/>
      <w:sz w:val="28"/>
      <w:szCs w:val="44"/>
      <w:lang w:val="zh-CN" w:eastAsia="zh-CN"/>
    </w:rPr>
  </w:style>
  <w:style w:type="character" w:customStyle="1" w:styleId="148">
    <w:name w:val="标题 2 字符"/>
    <w:link w:val="6"/>
    <w:qFormat/>
    <w:uiPriority w:val="0"/>
    <w:rPr>
      <w:rFonts w:ascii="Cambria" w:hAnsi="Cambria"/>
      <w:b/>
      <w:bCs/>
      <w:sz w:val="32"/>
      <w:szCs w:val="32"/>
      <w:lang w:val="zh-CN" w:eastAsia="zh-CN"/>
    </w:rPr>
  </w:style>
  <w:style w:type="character" w:customStyle="1" w:styleId="149">
    <w:name w:val="标题 3 字符"/>
    <w:link w:val="7"/>
    <w:qFormat/>
    <w:uiPriority w:val="0"/>
    <w:rPr>
      <w:b/>
      <w:color w:val="000000"/>
      <w:sz w:val="28"/>
      <w:szCs w:val="24"/>
      <w:lang w:val="zh-CN" w:eastAsia="zh-CN"/>
    </w:rPr>
  </w:style>
  <w:style w:type="character" w:customStyle="1" w:styleId="150">
    <w:name w:val="标题 4 字符"/>
    <w:link w:val="8"/>
    <w:qFormat/>
    <w:uiPriority w:val="0"/>
    <w:rPr>
      <w:b/>
      <w:bCs/>
      <w:color w:val="000000"/>
      <w:sz w:val="28"/>
      <w:szCs w:val="24"/>
      <w:lang w:val="zh-CN" w:eastAsia="zh-CN"/>
    </w:rPr>
  </w:style>
  <w:style w:type="paragraph" w:customStyle="1" w:styleId="151">
    <w:name w:val="振文"/>
    <w:basedOn w:val="1"/>
    <w:link w:val="152"/>
    <w:qFormat/>
    <w:uiPriority w:val="0"/>
    <w:pPr>
      <w:spacing w:line="480" w:lineRule="exact"/>
      <w:ind w:firstLine="480" w:firstLineChars="200"/>
    </w:pPr>
    <w:rPr>
      <w:rFonts w:ascii="宋体" w:hAnsi="宋体"/>
      <w:color w:val="000000"/>
      <w:sz w:val="24"/>
      <w:szCs w:val="28"/>
      <w:lang w:val="zh-CN"/>
    </w:rPr>
  </w:style>
  <w:style w:type="character" w:customStyle="1" w:styleId="152">
    <w:name w:val="振文 Char"/>
    <w:link w:val="151"/>
    <w:qFormat/>
    <w:uiPriority w:val="0"/>
    <w:rPr>
      <w:rFonts w:ascii="宋体" w:hAnsi="宋体"/>
      <w:color w:val="000000"/>
      <w:kern w:val="2"/>
      <w:sz w:val="24"/>
      <w:szCs w:val="28"/>
      <w:lang w:val="zh-CN" w:eastAsia="zh-CN"/>
    </w:rPr>
  </w:style>
  <w:style w:type="character" w:customStyle="1" w:styleId="153">
    <w:name w:val="文档结构图 字符"/>
    <w:link w:val="13"/>
    <w:semiHidden/>
    <w:qFormat/>
    <w:uiPriority w:val="99"/>
    <w:rPr>
      <w:kern w:val="2"/>
      <w:sz w:val="21"/>
      <w:szCs w:val="24"/>
      <w:shd w:val="clear" w:color="auto" w:fill="000080"/>
    </w:rPr>
  </w:style>
  <w:style w:type="character" w:customStyle="1" w:styleId="154">
    <w:name w:val="日期 Char1"/>
    <w:qFormat/>
    <w:uiPriority w:val="0"/>
    <w:rPr>
      <w:kern w:val="2"/>
      <w:sz w:val="21"/>
      <w:szCs w:val="24"/>
    </w:rPr>
  </w:style>
  <w:style w:type="character" w:customStyle="1" w:styleId="155">
    <w:name w:val="批注主题 字符"/>
    <w:link w:val="39"/>
    <w:qFormat/>
    <w:uiPriority w:val="0"/>
    <w:rPr>
      <w:rFonts w:ascii="Calibri" w:hAnsi="Calibri"/>
      <w:b/>
      <w:bCs/>
      <w:color w:val="000000"/>
      <w:sz w:val="24"/>
    </w:rPr>
  </w:style>
  <w:style w:type="character" w:customStyle="1" w:styleId="156">
    <w:name w:val="页眉 字符"/>
    <w:link w:val="25"/>
    <w:qFormat/>
    <w:uiPriority w:val="99"/>
    <w:rPr>
      <w:kern w:val="2"/>
      <w:sz w:val="18"/>
      <w:szCs w:val="18"/>
    </w:rPr>
  </w:style>
  <w:style w:type="character" w:customStyle="1" w:styleId="157">
    <w:name w:val="日期 字符"/>
    <w:link w:val="21"/>
    <w:qFormat/>
    <w:uiPriority w:val="99"/>
    <w:rPr>
      <w:szCs w:val="22"/>
    </w:rPr>
  </w:style>
  <w:style w:type="character" w:customStyle="1" w:styleId="158">
    <w:name w:val="页脚 字符"/>
    <w:link w:val="24"/>
    <w:qFormat/>
    <w:uiPriority w:val="0"/>
    <w:rPr>
      <w:kern w:val="2"/>
      <w:sz w:val="18"/>
      <w:szCs w:val="18"/>
    </w:rPr>
  </w:style>
  <w:style w:type="character" w:customStyle="1" w:styleId="159">
    <w:name w:val="批注文字 字符"/>
    <w:link w:val="14"/>
    <w:qFormat/>
    <w:uiPriority w:val="0"/>
    <w:rPr>
      <w:rFonts w:ascii="Calibri" w:hAnsi="Calibri"/>
      <w:sz w:val="24"/>
    </w:rPr>
  </w:style>
  <w:style w:type="character" w:customStyle="1" w:styleId="160">
    <w:name w:val="标题 字符"/>
    <w:link w:val="38"/>
    <w:qFormat/>
    <w:uiPriority w:val="0"/>
    <w:rPr>
      <w:rFonts w:ascii="Arial" w:hAnsi="Arial"/>
      <w:b/>
      <w:sz w:val="30"/>
    </w:rPr>
  </w:style>
  <w:style w:type="character" w:customStyle="1" w:styleId="161">
    <w:name w:val="批注框文本 字符"/>
    <w:link w:val="23"/>
    <w:qFormat/>
    <w:uiPriority w:val="0"/>
    <w:rPr>
      <w:rFonts w:ascii="Calibri" w:hAnsi="Calibri"/>
      <w:color w:val="000000"/>
      <w:sz w:val="18"/>
      <w:szCs w:val="18"/>
    </w:rPr>
  </w:style>
  <w:style w:type="character" w:customStyle="1" w:styleId="162">
    <w:name w:val="批注文字 Char1"/>
    <w:qFormat/>
    <w:uiPriority w:val="0"/>
    <w:rPr>
      <w:kern w:val="2"/>
      <w:sz w:val="21"/>
      <w:szCs w:val="24"/>
    </w:rPr>
  </w:style>
  <w:style w:type="character" w:customStyle="1" w:styleId="163">
    <w:name w:val="批注框文本 Char1"/>
    <w:qFormat/>
    <w:uiPriority w:val="0"/>
    <w:rPr>
      <w:kern w:val="2"/>
      <w:sz w:val="18"/>
      <w:szCs w:val="18"/>
    </w:rPr>
  </w:style>
  <w:style w:type="character" w:customStyle="1" w:styleId="164">
    <w:name w:val="批注主题 Char1"/>
    <w:qFormat/>
    <w:uiPriority w:val="0"/>
    <w:rPr>
      <w:b/>
      <w:bCs/>
      <w:kern w:val="2"/>
      <w:sz w:val="21"/>
      <w:szCs w:val="24"/>
    </w:rPr>
  </w:style>
  <w:style w:type="character" w:customStyle="1" w:styleId="165">
    <w:name w:val="日期 Char2"/>
    <w:qFormat/>
    <w:uiPriority w:val="0"/>
    <w:rPr>
      <w:kern w:val="2"/>
      <w:sz w:val="21"/>
      <w:szCs w:val="24"/>
    </w:rPr>
  </w:style>
  <w:style w:type="character" w:customStyle="1" w:styleId="166">
    <w:name w:val="标题 Char1"/>
    <w:qFormat/>
    <w:uiPriority w:val="0"/>
    <w:rPr>
      <w:rFonts w:ascii="Cambria" w:hAnsi="Cambria" w:cs="Times New Roman"/>
      <w:b/>
      <w:bCs/>
      <w:kern w:val="2"/>
      <w:sz w:val="32"/>
      <w:szCs w:val="32"/>
    </w:rPr>
  </w:style>
  <w:style w:type="paragraph" w:customStyle="1" w:styleId="167">
    <w:name w:val="网格型8-表格内容-左对齐"/>
    <w:basedOn w:val="1"/>
    <w:qFormat/>
    <w:uiPriority w:val="0"/>
    <w:pPr>
      <w:spacing w:line="288" w:lineRule="auto"/>
    </w:pPr>
    <w:rPr>
      <w:sz w:val="24"/>
      <w:szCs w:val="18"/>
    </w:rPr>
  </w:style>
  <w:style w:type="paragraph" w:styleId="168">
    <w:name w:val="List Paragraph"/>
    <w:basedOn w:val="1"/>
    <w:qFormat/>
    <w:uiPriority w:val="0"/>
    <w:pPr>
      <w:topLinePunct/>
      <w:spacing w:beforeLines="20" w:line="288" w:lineRule="auto"/>
      <w:ind w:firstLine="420" w:firstLineChars="200"/>
      <w:jc w:val="left"/>
    </w:pPr>
    <w:rPr>
      <w:rFonts w:ascii="Calibri" w:hAnsi="Calibri"/>
      <w:color w:val="000000"/>
      <w:sz w:val="24"/>
      <w:szCs w:val="21"/>
    </w:rPr>
  </w:style>
  <w:style w:type="paragraph" w:customStyle="1" w:styleId="169">
    <w:name w:val="样式 8 磅 加粗 左侧:  -0.01 厘米 段前: 0 磅 段后: 0 磅"/>
    <w:basedOn w:val="1"/>
    <w:qFormat/>
    <w:uiPriority w:val="0"/>
    <w:pPr>
      <w:widowControl/>
      <w:ind w:left="-6"/>
      <w:jc w:val="left"/>
    </w:pPr>
    <w:rPr>
      <w:rFonts w:ascii="Arial" w:hAnsi="Arial" w:cs="宋体"/>
      <w:bCs/>
      <w:kern w:val="0"/>
      <w:szCs w:val="20"/>
      <w:lang w:val="en-GB" w:eastAsia="en-US"/>
    </w:rPr>
  </w:style>
  <w:style w:type="paragraph" w:customStyle="1" w:styleId="170">
    <w:name w:val="_Style 12"/>
    <w:basedOn w:val="1"/>
    <w:qFormat/>
    <w:uiPriority w:val="34"/>
    <w:pPr>
      <w:ind w:firstLine="420" w:firstLineChars="200"/>
    </w:pPr>
    <w:rPr>
      <w:rFonts w:ascii="Calibri" w:hAnsi="Calibri"/>
      <w:sz w:val="24"/>
    </w:rPr>
  </w:style>
  <w:style w:type="paragraph" w:customStyle="1" w:styleId="171">
    <w:name w:val="网格型8-表格内容-居中"/>
    <w:basedOn w:val="1"/>
    <w:qFormat/>
    <w:uiPriority w:val="0"/>
    <w:pPr>
      <w:topLinePunct/>
      <w:spacing w:line="288" w:lineRule="auto"/>
      <w:jc w:val="center"/>
    </w:pPr>
    <w:rPr>
      <w:rFonts w:ascii="Calibri" w:hAnsi="Courier New" w:cs="Courier New"/>
      <w:color w:val="000000"/>
      <w:sz w:val="24"/>
      <w:szCs w:val="18"/>
    </w:rPr>
  </w:style>
  <w:style w:type="paragraph" w:customStyle="1" w:styleId="172">
    <w:name w:val="页脚格式"/>
    <w:basedOn w:val="1"/>
    <w:qFormat/>
    <w:uiPriority w:val="0"/>
    <w:pPr>
      <w:topLinePunct/>
      <w:spacing w:line="288" w:lineRule="auto"/>
      <w:jc w:val="left"/>
    </w:pPr>
    <w:rPr>
      <w:rFonts w:ascii="Calibri" w:hAnsi="Calibri"/>
      <w:color w:val="000000"/>
      <w:sz w:val="18"/>
      <w:szCs w:val="18"/>
    </w:rPr>
  </w:style>
  <w:style w:type="paragraph" w:customStyle="1" w:styleId="173">
    <w:name w:val="项目列表符号"/>
    <w:basedOn w:val="1"/>
    <w:qFormat/>
    <w:uiPriority w:val="0"/>
    <w:pPr>
      <w:numPr>
        <w:ilvl w:val="0"/>
        <w:numId w:val="21"/>
      </w:numPr>
      <w:tabs>
        <w:tab w:val="left" w:pos="397"/>
      </w:tabs>
      <w:topLinePunct/>
      <w:spacing w:beforeLines="20" w:line="288" w:lineRule="auto"/>
      <w:ind w:left="681" w:hanging="284"/>
      <w:jc w:val="left"/>
    </w:pPr>
    <w:rPr>
      <w:color w:val="000000"/>
      <w:sz w:val="24"/>
      <w:szCs w:val="21"/>
    </w:rPr>
  </w:style>
  <w:style w:type="paragraph" w:customStyle="1" w:styleId="174">
    <w:name w:val="StandardOhneEinzug"/>
    <w:basedOn w:val="1"/>
    <w:qFormat/>
    <w:uiPriority w:val="0"/>
    <w:pPr>
      <w:widowControl/>
      <w:tabs>
        <w:tab w:val="left" w:pos="4351"/>
      </w:tabs>
      <w:spacing w:after="240" w:line="288" w:lineRule="auto"/>
      <w:ind w:left="3969"/>
      <w:jc w:val="left"/>
    </w:pPr>
    <w:rPr>
      <w:rFonts w:ascii="Arial" w:hAnsi="Arial"/>
      <w:kern w:val="0"/>
      <w:sz w:val="22"/>
      <w:szCs w:val="20"/>
      <w:lang w:val="de-DE"/>
    </w:rPr>
  </w:style>
  <w:style w:type="paragraph" w:customStyle="1" w:styleId="17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76">
    <w:name w:val="表格文字"/>
    <w:basedOn w:val="1"/>
    <w:qFormat/>
    <w:uiPriority w:val="0"/>
    <w:pPr>
      <w:snapToGrid w:val="0"/>
      <w:jc w:val="center"/>
    </w:pPr>
    <w:rPr>
      <w:rFonts w:cs="宋体"/>
      <w:szCs w:val="20"/>
    </w:rPr>
  </w:style>
  <w:style w:type="paragraph" w:customStyle="1" w:styleId="177">
    <w:name w:val="列出段落1"/>
    <w:basedOn w:val="1"/>
    <w:qFormat/>
    <w:uiPriority w:val="34"/>
    <w:pPr>
      <w:ind w:firstLine="420" w:firstLineChars="200"/>
    </w:pPr>
  </w:style>
  <w:style w:type="paragraph" w:customStyle="1" w:styleId="178">
    <w:name w:val="联演正文"/>
    <w:basedOn w:val="1"/>
    <w:link w:val="179"/>
    <w:qFormat/>
    <w:uiPriority w:val="0"/>
    <w:pPr>
      <w:tabs>
        <w:tab w:val="left" w:pos="540"/>
        <w:tab w:val="left" w:pos="720"/>
      </w:tabs>
      <w:spacing w:line="360" w:lineRule="auto"/>
      <w:ind w:right="-147" w:rightChars="-70" w:firstLine="720"/>
      <w:jc w:val="left"/>
    </w:pPr>
    <w:rPr>
      <w:rFonts w:ascii="仿宋_GB2312" w:hAnsi="宋体" w:eastAsia="仿宋_GB2312"/>
      <w:sz w:val="28"/>
      <w:szCs w:val="28"/>
      <w:lang w:val="zh-CN"/>
    </w:rPr>
  </w:style>
  <w:style w:type="character" w:customStyle="1" w:styleId="179">
    <w:name w:val="联演正文 Char"/>
    <w:link w:val="178"/>
    <w:qFormat/>
    <w:uiPriority w:val="0"/>
    <w:rPr>
      <w:rFonts w:ascii="仿宋_GB2312" w:hAnsi="宋体" w:eastAsia="仿宋_GB2312"/>
      <w:kern w:val="2"/>
      <w:sz w:val="28"/>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1966DB-E9CA-450A-8C6D-8EEC8FE19861}">
  <ds:schemaRefs/>
</ds:datastoreItem>
</file>

<file path=docProps/app.xml><?xml version="1.0" encoding="utf-8"?>
<Properties xmlns="http://schemas.openxmlformats.org/officeDocument/2006/extended-properties" xmlns:vt="http://schemas.openxmlformats.org/officeDocument/2006/docPropsVTypes">
  <Template>Normal.dotm</Template>
  <Company>crec</Company>
  <Pages>5</Pages>
  <Words>667</Words>
  <Characters>3804</Characters>
  <Lines>31</Lines>
  <Paragraphs>8</Paragraphs>
  <TotalTime>18</TotalTime>
  <ScaleCrop>false</ScaleCrop>
  <LinksUpToDate>false</LinksUpToDate>
  <CharactersWithSpaces>4463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2022-03-17T10:20:00Z</dcterms:created>
  <dc:creator>CNIS</dc:creator>
  <cp:lastModifiedBy>OPQ</cp:lastModifiedBy>
  <cp:lastPrinted>2021-06-30T06:13:00Z</cp:lastPrinted>
  <dcterms:modified xsi:type="dcterms:W3CDTF">2025-03-14T08:35:33Z</dcterms:modified>
  <dc:title>标准名称</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5FD8E11A93CD4A809EA210080388C5ED</vt:lpwstr>
  </property>
</Properties>
</file>