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C798A">
      <w:pPr>
        <w:pStyle w:val="117"/>
        <w:framePr w:w="7955" w:wrap="notBeside" w:x="2206"/>
        <w:spacing w:before="62"/>
        <w:rPr>
          <w:rFonts w:hint="eastAsia"/>
        </w:rPr>
      </w:pPr>
      <w:bookmarkStart w:id="0" w:name="StdNo0"/>
      <w:r>
        <w:rPr>
          <w:rFonts w:hint="eastAsia"/>
          <w:sz w:val="76"/>
          <w:szCs w:val="76"/>
        </w:rPr>
        <w:t>团体标准</w:t>
      </w:r>
    </w:p>
    <w:bookmarkEnd w:id="0"/>
    <w:p w14:paraId="57BF7CD2">
      <w:pPr>
        <w:pStyle w:val="54"/>
        <w:framePr w:w="4077" w:h="709" w:hRule="exact" w:wrap="notBeside" w:x="6482" w:y="3454"/>
        <w:rPr>
          <w:rFonts w:hint="eastAsia" w:hAnsi="黑体"/>
        </w:rPr>
      </w:pPr>
    </w:p>
    <w:p w14:paraId="68246E63">
      <w:pPr>
        <w:pStyle w:val="86"/>
        <w:framePr w:h="8760" w:hRule="exact" w:wrap="notBeside"/>
        <w:spacing w:line="240" w:lineRule="auto"/>
        <w:rPr>
          <w:rFonts w:hint="eastAsia" w:eastAsia="黑体"/>
          <w:sz w:val="52"/>
          <w:szCs w:val="52"/>
          <w:lang w:eastAsia="zh-CN"/>
        </w:rPr>
      </w:pPr>
      <w:bookmarkStart w:id="1" w:name="FY"/>
      <w:r>
        <w:rPr>
          <w:rFonts w:hint="eastAsia"/>
          <w:sz w:val="52"/>
          <w:szCs w:val="52"/>
          <w:lang w:eastAsia="zh-CN"/>
        </w:rPr>
        <w:t>碳中和矿山评价</w:t>
      </w:r>
    </w:p>
    <w:p w14:paraId="58ABAD98">
      <w:pPr>
        <w:pStyle w:val="85"/>
        <w:framePr w:h="8760" w:hRule="exact" w:wrap="notBeside"/>
        <w:rPr>
          <w:rFonts w:hint="eastAsia" w:asciiTheme="minorEastAsia" w:hAnsiTheme="minorEastAsia" w:eastAsiaTheme="minorEastAsia"/>
          <w:sz w:val="24"/>
          <w:szCs w:val="21"/>
        </w:rPr>
      </w:pPr>
    </w:p>
    <w:p w14:paraId="4D2F940F">
      <w:pPr>
        <w:pStyle w:val="85"/>
        <w:framePr w:h="8760" w:hRule="exact" w:wrap="notBeside"/>
        <w:rPr>
          <w:rFonts w:ascii="Times New Roman"/>
          <w:sz w:val="28"/>
          <w:szCs w:val="28"/>
        </w:rPr>
      </w:pPr>
    </w:p>
    <w:p w14:paraId="354FD63F">
      <w:pPr>
        <w:pStyle w:val="85"/>
        <w:framePr w:h="8760" w:hRule="exact" w:wrap="notBeside"/>
        <w:rPr>
          <w:rFonts w:ascii="Times New Roman"/>
          <w:szCs w:val="28"/>
        </w:rPr>
      </w:pPr>
      <w:r>
        <w:rPr>
          <w:rFonts w:hint="eastAsia" w:ascii="Times New Roman"/>
          <w:szCs w:val="28"/>
        </w:rPr>
        <w:t>编制说明</w:t>
      </w:r>
    </w:p>
    <w:p w14:paraId="52DAFDB6">
      <w:pPr>
        <w:pStyle w:val="85"/>
        <w:framePr w:h="8760" w:hRule="exact" w:wrap="notBeside"/>
        <w:rPr>
          <w:shd w:val="pct10" w:color="auto" w:fill="FFFFFF"/>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23ED8DA4">
        <w:tc>
          <w:tcPr>
            <w:tcW w:w="9855" w:type="dxa"/>
            <w:tcBorders>
              <w:top w:val="nil"/>
              <w:left w:val="nil"/>
              <w:bottom w:val="nil"/>
              <w:right w:val="nil"/>
            </w:tcBorders>
            <w:shd w:val="clear" w:color="auto" w:fill="auto"/>
          </w:tcPr>
          <w:p w14:paraId="36440C41">
            <w:pPr>
              <w:pStyle w:val="89"/>
              <w:framePr w:h="8760" w:hRule="exact" w:wrap="notBeside"/>
            </w:pPr>
          </w:p>
          <w:p w14:paraId="6B96EAFC">
            <w:pPr>
              <w:pStyle w:val="89"/>
              <w:framePr w:h="8760" w:hRule="exact" w:wrap="notBeside"/>
            </w:pPr>
          </w:p>
          <w:p w14:paraId="17C1A96E">
            <w:pPr>
              <w:pStyle w:val="89"/>
              <w:framePr w:h="8760" w:hRule="exact" w:wrap="notBeside"/>
            </w:pPr>
          </w:p>
          <w:p w14:paraId="7B8D9961">
            <w:pPr>
              <w:pStyle w:val="89"/>
              <w:framePr w:h="8760" w:hRule="exact" w:wrap="notBeside"/>
            </w:pPr>
          </w:p>
          <w:p w14:paraId="024215D4">
            <w:pPr>
              <w:pStyle w:val="89"/>
              <w:framePr w:h="8760" w:hRule="exact" w:wrap="notBeside"/>
            </w:pPr>
          </w:p>
          <w:p w14:paraId="3C4C1598">
            <w:pPr>
              <w:pStyle w:val="89"/>
              <w:framePr w:h="8760" w:hRule="exact" w:wrap="notBeside"/>
            </w:pPr>
          </w:p>
          <w:p w14:paraId="4DE54F2C">
            <w:pPr>
              <w:pStyle w:val="89"/>
              <w:framePr w:h="8760" w:hRule="exact" w:wrap="notBeside"/>
            </w:pPr>
          </w:p>
          <w:p w14:paraId="711B2B7D">
            <w:pPr>
              <w:pStyle w:val="89"/>
              <w:framePr w:h="8760" w:hRule="exact" w:wrap="notBeside"/>
            </w:pPr>
          </w:p>
          <w:p w14:paraId="3A6058D1">
            <w:pPr>
              <w:pStyle w:val="89"/>
              <w:framePr w:h="8760" w:hRule="exact" w:wrap="notBeside"/>
            </w:pPr>
          </w:p>
          <w:p w14:paraId="1D3C0DE3">
            <w:pPr>
              <w:pStyle w:val="89"/>
              <w:framePr w:h="8760" w:hRule="exact" w:wrap="notBeside"/>
              <w:rPr>
                <w:rFonts w:hint="default" w:eastAsia="宋体"/>
                <w:lang w:val="en-US" w:eastAsia="zh-CN"/>
              </w:rPr>
            </w:pPr>
            <w:r>
              <w:rPr>
                <w:rFonts w:hint="eastAsia"/>
              </w:rPr>
              <w:t>2025-03-</w:t>
            </w:r>
            <w:r>
              <w:rPr>
                <w:rFonts w:hint="eastAsia"/>
                <w:lang w:val="en-US" w:eastAsia="zh-CN"/>
              </w:rPr>
              <w:t>30</w:t>
            </w:r>
          </w:p>
        </w:tc>
      </w:tr>
      <w:bookmarkEnd w:id="1"/>
    </w:tbl>
    <w:p w14:paraId="6B5F8DB0"/>
    <w:p w14:paraId="4BCB9338">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2331085</wp:posOffset>
                </wp:positionV>
                <wp:extent cx="5969635" cy="0"/>
                <wp:effectExtent l="0" t="0" r="1270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5969479"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25pt;margin-top:183.55pt;height:0pt;width:470.05pt;z-index:251659264;mso-width-relative:page;mso-height-relative:page;" filled="f" stroked="t" coordsize="21600,21600" o:gfxdata="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grYXXAAAACQEAAA8AAAAAAAAAAQAgAAAAIgAAAGRycy9k&#10;b3ducmV2LnhtbFBLAQIUABQAAAAIAIdO4kBTnBKxygEAAKADAAAOAAAAAAAAAAEAIAAAACYBAABk&#10;cnMvZTJvRG9jLnhtbFBLBQYAAAAABgAGAFkBAABiBQAAAAA=&#10;">
                <v:fill on="f" focussize="0,0"/>
                <v:stroke color="#000000" joinstyle="round"/>
                <v:imagedata o:title=""/>
                <o:lock v:ext="edit" aspectratio="f"/>
              </v:line>
            </w:pict>
          </mc:Fallback>
        </mc:AlternateContent>
      </w:r>
      <w:r>
        <w:rPr>
          <w:rFonts w:hint="eastAsia"/>
        </w:rPr>
        <w:tab/>
      </w:r>
    </w:p>
    <w:p w14:paraId="5BDBB5F7"/>
    <w:p w14:paraId="16E0B0C8"/>
    <w:p w14:paraId="44EA9949"/>
    <w:p w14:paraId="77075AEF"/>
    <w:p w14:paraId="703885B9"/>
    <w:p w14:paraId="436EF0A2"/>
    <w:p w14:paraId="12125C62"/>
    <w:p w14:paraId="656ED3CC"/>
    <w:p w14:paraId="67C01BCA">
      <w:pPr>
        <w:pStyle w:val="24"/>
        <w:rPr>
          <w:rFonts w:hint="eastAsia"/>
        </w:rPr>
      </w:pPr>
    </w:p>
    <w:p w14:paraId="4FF6F6B0">
      <w:pPr>
        <w:adjustRightInd w:val="0"/>
        <w:snapToGrid w:val="0"/>
        <w:spacing w:line="240" w:lineRule="atLeast"/>
        <w:jc w:val="center"/>
        <w:rPr>
          <w:rFonts w:eastAsia="方正小标宋简体"/>
          <w:sz w:val="30"/>
          <w:szCs w:val="30"/>
        </w:rPr>
      </w:pPr>
      <w:r>
        <w:rPr>
          <w:rFonts w:hint="eastAsia" w:eastAsia="方正小标宋简体"/>
          <w:sz w:val="30"/>
          <w:szCs w:val="30"/>
        </w:rPr>
        <w:t>《</w:t>
      </w:r>
      <w:r>
        <w:rPr>
          <w:rFonts w:hint="eastAsia" w:eastAsia="方正小标宋简体"/>
          <w:sz w:val="30"/>
          <w:szCs w:val="30"/>
          <w:lang w:eastAsia="zh-CN"/>
        </w:rPr>
        <w:t>碳中和矿山评价</w:t>
      </w:r>
      <w:r>
        <w:rPr>
          <w:rFonts w:hint="eastAsia" w:eastAsia="方正小标宋简体"/>
          <w:sz w:val="30"/>
          <w:szCs w:val="30"/>
        </w:rPr>
        <w:t>》</w:t>
      </w:r>
    </w:p>
    <w:p w14:paraId="5062A3C4">
      <w:pPr>
        <w:adjustRightInd w:val="0"/>
        <w:snapToGrid w:val="0"/>
        <w:spacing w:line="240" w:lineRule="atLeast"/>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编制说明</w:t>
      </w:r>
    </w:p>
    <w:p w14:paraId="73316A45">
      <w:pPr>
        <w:rPr>
          <w:rFonts w:eastAsia="仿宋_GB2312"/>
          <w:sz w:val="32"/>
          <w:szCs w:val="32"/>
        </w:rPr>
      </w:pPr>
    </w:p>
    <w:p w14:paraId="49C6D1A0">
      <w:pPr>
        <w:spacing w:line="300" w:lineRule="auto"/>
        <w:rPr>
          <w:rFonts w:hint="eastAsia" w:ascii="仿宋" w:hAnsi="仿宋" w:eastAsia="仿宋" w:cs="仿宋"/>
          <w:b/>
          <w:sz w:val="24"/>
        </w:rPr>
      </w:pPr>
      <w:r>
        <w:rPr>
          <w:rFonts w:hint="eastAsia" w:ascii="仿宋" w:hAnsi="仿宋" w:eastAsia="仿宋" w:cs="仿宋"/>
          <w:b/>
          <w:sz w:val="24"/>
        </w:rPr>
        <w:t xml:space="preserve">1  </w:t>
      </w:r>
      <w:r>
        <w:rPr>
          <w:rFonts w:hint="eastAsia" w:ascii="仿宋" w:hAnsi="仿宋" w:eastAsia="仿宋" w:cs="仿宋"/>
          <w:b/>
          <w:spacing w:val="6"/>
          <w:sz w:val="24"/>
        </w:rPr>
        <w:t>任务来源、协作单位</w:t>
      </w:r>
    </w:p>
    <w:p w14:paraId="6B64CB01">
      <w:pPr>
        <w:spacing w:line="300" w:lineRule="auto"/>
        <w:rPr>
          <w:rFonts w:hint="eastAsia" w:ascii="仿宋" w:hAnsi="仿宋" w:eastAsia="仿宋" w:cs="仿宋"/>
          <w:b/>
          <w:spacing w:val="6"/>
          <w:sz w:val="24"/>
        </w:rPr>
      </w:pPr>
      <w:r>
        <w:rPr>
          <w:rFonts w:hint="eastAsia" w:ascii="仿宋" w:hAnsi="仿宋" w:eastAsia="仿宋" w:cs="仿宋"/>
          <w:b/>
          <w:sz w:val="24"/>
        </w:rPr>
        <w:t xml:space="preserve">1.1  </w:t>
      </w:r>
      <w:r>
        <w:rPr>
          <w:rFonts w:hint="eastAsia" w:ascii="仿宋" w:hAnsi="仿宋" w:eastAsia="仿宋" w:cs="仿宋"/>
          <w:b/>
          <w:spacing w:val="6"/>
          <w:sz w:val="24"/>
        </w:rPr>
        <w:t>任务来源</w:t>
      </w:r>
    </w:p>
    <w:p w14:paraId="14CCC413">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（写出协会下达计划的批次，项目名称、项目编号、项目期限、提出单位的信息等。）</w:t>
      </w:r>
    </w:p>
    <w:p w14:paraId="6949580F">
      <w:pPr>
        <w:spacing w:line="30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本标准根据《中国能源研究会标准管理办法》，经中国能源研究会标准工作委员会审议并予以立项。</w:t>
      </w:r>
    </w:p>
    <w:p w14:paraId="4FF3CDAD">
      <w:pPr>
        <w:spacing w:line="30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本标准由中国能源研究会碳中和专业委员会负责。</w:t>
      </w:r>
    </w:p>
    <w:p w14:paraId="52EA3DD7">
      <w:pPr>
        <w:spacing w:line="30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本标准提出单位为中国能源研究会碳中和专业委员会。</w:t>
      </w:r>
    </w:p>
    <w:p w14:paraId="0E8AD729">
      <w:pPr>
        <w:spacing w:line="300" w:lineRule="auto"/>
        <w:rPr>
          <w:rFonts w:hint="eastAsia" w:ascii="仿宋" w:hAnsi="仿宋" w:eastAsia="仿宋" w:cs="仿宋"/>
          <w:b/>
          <w:spacing w:val="6"/>
          <w:sz w:val="24"/>
        </w:rPr>
      </w:pPr>
      <w:r>
        <w:rPr>
          <w:rFonts w:hint="eastAsia" w:ascii="仿宋" w:hAnsi="仿宋" w:eastAsia="仿宋" w:cs="仿宋"/>
          <w:b/>
          <w:spacing w:val="6"/>
          <w:sz w:val="24"/>
        </w:rPr>
        <w:t>1.2  协作单位</w:t>
      </w:r>
    </w:p>
    <w:p w14:paraId="7F6CF397">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（写出牵头单位及参编单位信息。）</w:t>
      </w:r>
    </w:p>
    <w:p w14:paraId="4C08ED5D">
      <w:pPr>
        <w:spacing w:line="300" w:lineRule="auto"/>
        <w:ind w:firstLine="504" w:firstLineChars="200"/>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牵头单位:</w:t>
      </w:r>
    </w:p>
    <w:p w14:paraId="69D8DDA3">
      <w:pPr>
        <w:spacing w:line="300" w:lineRule="auto"/>
        <w:ind w:firstLine="506" w:firstLineChars="200"/>
        <w:rPr>
          <w:rFonts w:hint="default" w:ascii="仿宋" w:hAnsi="仿宋" w:eastAsia="仿宋" w:cs="仿宋"/>
          <w:spacing w:val="6"/>
          <w:sz w:val="24"/>
          <w:highlight w:val="none"/>
          <w:lang w:val="en-US" w:eastAsia="zh-CN"/>
        </w:rPr>
      </w:pPr>
      <w:r>
        <w:rPr>
          <w:rFonts w:hint="eastAsia" w:ascii="仿宋" w:hAnsi="仿宋" w:eastAsia="仿宋" w:cs="仿宋"/>
          <w:b/>
          <w:bCs/>
          <w:spacing w:val="6"/>
          <w:sz w:val="24"/>
          <w:highlight w:val="none"/>
          <w:lang w:val="en-US" w:eastAsia="zh-CN"/>
        </w:rPr>
        <w:t>北京碳中和学会：</w:t>
      </w:r>
      <w:r>
        <w:rPr>
          <w:rFonts w:hint="eastAsia" w:ascii="仿宋" w:hAnsi="仿宋" w:eastAsia="仿宋" w:cs="仿宋"/>
          <w:spacing w:val="6"/>
          <w:sz w:val="24"/>
          <w:highlight w:val="none"/>
          <w:lang w:val="en-US" w:eastAsia="zh-CN"/>
        </w:rPr>
        <w:t>该学会</w:t>
      </w:r>
      <w:r>
        <w:rPr>
          <w:rFonts w:hint="default" w:ascii="仿宋" w:hAnsi="仿宋" w:eastAsia="仿宋" w:cs="仿宋"/>
          <w:spacing w:val="6"/>
          <w:sz w:val="24"/>
          <w:highlight w:val="none"/>
          <w:lang w:val="en-US" w:eastAsia="zh-CN"/>
        </w:rPr>
        <w:t>成立</w:t>
      </w:r>
      <w:r>
        <w:rPr>
          <w:rFonts w:hint="eastAsia" w:ascii="仿宋" w:hAnsi="仿宋" w:eastAsia="仿宋" w:cs="仿宋"/>
          <w:spacing w:val="6"/>
          <w:sz w:val="24"/>
          <w:highlight w:val="none"/>
          <w:lang w:val="en-US" w:eastAsia="zh-CN"/>
        </w:rPr>
        <w:t>于</w:t>
      </w:r>
      <w:r>
        <w:rPr>
          <w:rFonts w:hint="default" w:ascii="仿宋" w:hAnsi="仿宋" w:eastAsia="仿宋" w:cs="仿宋"/>
          <w:spacing w:val="6"/>
          <w:sz w:val="24"/>
          <w:highlight w:val="none"/>
          <w:lang w:val="en-US" w:eastAsia="zh-CN"/>
        </w:rPr>
        <w:t>2023年3月，由北京能源集团有限责任公司联合北京工业大学、华北电力大学共同发起成立的学术性社会团体</w:t>
      </w:r>
      <w:r>
        <w:rPr>
          <w:rFonts w:hint="eastAsia" w:ascii="仿宋" w:hAnsi="仿宋" w:eastAsia="仿宋" w:cs="仿宋"/>
          <w:spacing w:val="6"/>
          <w:sz w:val="24"/>
          <w:highlight w:val="none"/>
          <w:lang w:val="en-US" w:eastAsia="zh-CN"/>
        </w:rPr>
        <w:t>，主要</w:t>
      </w:r>
      <w:r>
        <w:rPr>
          <w:rFonts w:hint="default" w:ascii="仿宋" w:hAnsi="仿宋" w:eastAsia="仿宋" w:cs="仿宋"/>
          <w:spacing w:val="6"/>
          <w:sz w:val="24"/>
          <w:highlight w:val="none"/>
          <w:lang w:val="en-US" w:eastAsia="zh-CN"/>
        </w:rPr>
        <w:t>开展碳中和领域标准编制工作。</w:t>
      </w:r>
      <w:r>
        <w:rPr>
          <w:rFonts w:hint="eastAsia" w:ascii="仿宋" w:hAnsi="仿宋" w:eastAsia="仿宋" w:cs="仿宋"/>
          <w:spacing w:val="6"/>
          <w:sz w:val="24"/>
          <w:highlight w:val="none"/>
          <w:lang w:val="en-US" w:eastAsia="zh-CN"/>
        </w:rPr>
        <w:t>旨在</w:t>
      </w:r>
      <w:r>
        <w:rPr>
          <w:rFonts w:hint="default" w:ascii="仿宋" w:hAnsi="仿宋" w:eastAsia="仿宋" w:cs="仿宋"/>
          <w:spacing w:val="6"/>
          <w:sz w:val="24"/>
          <w:highlight w:val="none"/>
          <w:lang w:val="en-US" w:eastAsia="zh-CN"/>
        </w:rPr>
        <w:t>团结碳中和领域院士专家、高校院所、研究机构、领军企业、高科技公司，促进碳中和领域的自然科学、工程与技术科学、社会科学等学科跨界协同，构建系统科学的碳中和创新体系，促进科技成果转化应用，助力科技人才成长提升，引领碳中和事业科学发展，为全国碳达峰碳中和贡献北京智慧。</w:t>
      </w:r>
      <w:r>
        <w:rPr>
          <w:rFonts w:hint="eastAsia" w:ascii="仿宋" w:hAnsi="仿宋" w:eastAsia="仿宋" w:cs="仿宋"/>
          <w:spacing w:val="6"/>
          <w:sz w:val="24"/>
          <w:highlight w:val="none"/>
          <w:lang w:val="en-US" w:eastAsia="zh-CN"/>
        </w:rPr>
        <w:t>学会</w:t>
      </w:r>
      <w:r>
        <w:rPr>
          <w:rFonts w:hint="default" w:ascii="仿宋" w:hAnsi="仿宋" w:eastAsia="仿宋" w:cs="仿宋"/>
          <w:spacing w:val="6"/>
          <w:sz w:val="24"/>
          <w:highlight w:val="none"/>
          <w:lang w:val="en-US" w:eastAsia="zh-CN"/>
        </w:rPr>
        <w:t>曾参与编写多项碳中和领域行业标准、地方标准，具有丰富的标准编制经验。</w:t>
      </w:r>
    </w:p>
    <w:p w14:paraId="3140DF5F">
      <w:pPr>
        <w:spacing w:line="300" w:lineRule="auto"/>
        <w:ind w:firstLine="506" w:firstLineChars="200"/>
        <w:rPr>
          <w:rFonts w:hint="default" w:ascii="仿宋" w:hAnsi="仿宋" w:eastAsia="仿宋" w:cs="仿宋"/>
          <w:spacing w:val="6"/>
          <w:sz w:val="24"/>
          <w:highlight w:val="none"/>
          <w:lang w:val="en-US" w:eastAsia="zh-CN"/>
        </w:rPr>
      </w:pPr>
      <w:r>
        <w:rPr>
          <w:rFonts w:hint="default" w:ascii="仿宋" w:hAnsi="仿宋" w:eastAsia="仿宋" w:cs="仿宋"/>
          <w:b/>
          <w:bCs/>
          <w:spacing w:val="6"/>
          <w:sz w:val="24"/>
          <w:highlight w:val="none"/>
          <w:lang w:val="en-US" w:eastAsia="zh-CN"/>
        </w:rPr>
        <w:t>北京林业大学：</w:t>
      </w:r>
      <w:r>
        <w:rPr>
          <w:rFonts w:hint="default" w:ascii="仿宋" w:hAnsi="仿宋" w:eastAsia="仿宋" w:cs="仿宋"/>
          <w:spacing w:val="6"/>
          <w:sz w:val="24"/>
          <w:highlight w:val="none"/>
          <w:lang w:val="en-US" w:eastAsia="zh-CN"/>
        </w:rPr>
        <w:t>隶属教育部，由教育部、国家林业和草原局与北京市人民政府共建，是“211 工程”和“双一流”建设高校，在林学、风景园林学等学科领域拥有扎实的专业基础。在碳达峰碳中和的大环境下，学校依托校内专业力量，联合中国质量认证中心等机构，牵头编制《林业碳汇项目审定和核证指南》国家标准，为林业碳汇项目审定和核证流程的规范化提供助力，对温室气体自愿减排市场起到了一定的规范作用。此外，学校还凭借专业知识参与了一些行业和地方标准的制定，推动林业碳汇行业朝着更规范的方向发展。在人才培养方面，北京林业大学适时调整课程体系，增加碳中和相关课程，丰富学生的知识储备。通过开展“双碳”主题活动，邀请业内人士参与，为学生提供接触实际项目的机会，促进理论与实践的结合。凭借在标准制定与人才培养的持续探索，北京林业大学为助力全国碳达峰碳中和目标的实现</w:t>
      </w:r>
      <w:r>
        <w:rPr>
          <w:rFonts w:hint="eastAsia" w:ascii="仿宋" w:hAnsi="仿宋" w:eastAsia="仿宋" w:cs="仿宋"/>
          <w:spacing w:val="6"/>
          <w:sz w:val="24"/>
          <w:highlight w:val="none"/>
          <w:lang w:val="en-US" w:eastAsia="zh-CN"/>
        </w:rPr>
        <w:t>贡献力量</w:t>
      </w:r>
      <w:r>
        <w:rPr>
          <w:rFonts w:hint="default" w:ascii="仿宋" w:hAnsi="仿宋" w:eastAsia="仿宋" w:cs="仿宋"/>
          <w:spacing w:val="6"/>
          <w:sz w:val="24"/>
          <w:highlight w:val="none"/>
          <w:lang w:val="en-US" w:eastAsia="zh-CN"/>
        </w:rPr>
        <w:t>。</w:t>
      </w:r>
    </w:p>
    <w:p w14:paraId="28F50FA9">
      <w:pPr>
        <w:spacing w:line="300" w:lineRule="auto"/>
        <w:ind w:firstLine="504" w:firstLineChars="200"/>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p w14:paraId="45276F4E">
      <w:pPr>
        <w:spacing w:line="300" w:lineRule="auto"/>
        <w:ind w:firstLine="506" w:firstLineChars="200"/>
        <w:rPr>
          <w:rFonts w:hint="default" w:ascii="仿宋" w:hAnsi="仿宋" w:eastAsia="仿宋" w:cs="仿宋"/>
          <w:b w:val="0"/>
          <w:bCs w:val="0"/>
          <w:spacing w:val="6"/>
          <w:sz w:val="24"/>
          <w:highlight w:val="none"/>
          <w:lang w:val="en-US" w:eastAsia="zh-CN"/>
        </w:rPr>
      </w:pPr>
      <w:r>
        <w:rPr>
          <w:rFonts w:hint="default" w:ascii="仿宋" w:hAnsi="仿宋" w:eastAsia="仿宋" w:cs="仿宋"/>
          <w:b/>
          <w:bCs/>
          <w:spacing w:val="6"/>
          <w:sz w:val="24"/>
          <w:highlight w:val="none"/>
          <w:lang w:val="en-US" w:eastAsia="zh-CN"/>
        </w:rPr>
        <w:t>中国电力科学研究院有限公司：</w:t>
      </w:r>
      <w:r>
        <w:rPr>
          <w:rFonts w:hint="eastAsia" w:ascii="仿宋" w:hAnsi="仿宋" w:eastAsia="仿宋" w:cs="仿宋"/>
          <w:b w:val="0"/>
          <w:bCs w:val="0"/>
          <w:spacing w:val="6"/>
          <w:sz w:val="24"/>
          <w:highlight w:val="none"/>
          <w:lang w:val="en-US" w:eastAsia="zh-CN"/>
        </w:rPr>
        <w:t>成立于</w:t>
      </w:r>
      <w:r>
        <w:rPr>
          <w:rFonts w:hint="default" w:ascii="仿宋" w:hAnsi="仿宋" w:eastAsia="仿宋" w:cs="仿宋"/>
          <w:b w:val="0"/>
          <w:bCs w:val="0"/>
          <w:spacing w:val="6"/>
          <w:sz w:val="24"/>
          <w:highlight w:val="none"/>
          <w:lang w:val="en-US" w:eastAsia="zh-CN"/>
        </w:rPr>
        <w:t>1951年，</w:t>
      </w:r>
      <w:r>
        <w:rPr>
          <w:rFonts w:hint="eastAsia" w:ascii="仿宋" w:hAnsi="仿宋" w:eastAsia="仿宋" w:cs="仿宋"/>
          <w:b w:val="0"/>
          <w:bCs w:val="0"/>
          <w:spacing w:val="6"/>
          <w:sz w:val="24"/>
          <w:highlight w:val="none"/>
          <w:lang w:val="en-US" w:eastAsia="zh-CN"/>
        </w:rPr>
        <w:t>是</w:t>
      </w:r>
      <w:r>
        <w:rPr>
          <w:rFonts w:hint="default" w:ascii="仿宋" w:hAnsi="仿宋" w:eastAsia="仿宋" w:cs="仿宋"/>
          <w:b w:val="0"/>
          <w:bCs w:val="0"/>
          <w:spacing w:val="6"/>
          <w:sz w:val="24"/>
          <w:highlight w:val="none"/>
          <w:lang w:val="en-US" w:eastAsia="zh-CN"/>
        </w:rPr>
        <w:t>中国电力行业多学科、综合性的科研机构。业务领域覆盖电力学科及其相关领域的各个方面，其中</w:t>
      </w:r>
      <w:r>
        <w:rPr>
          <w:rFonts w:hint="eastAsia" w:ascii="仿宋" w:hAnsi="仿宋" w:eastAsia="仿宋" w:cs="仿宋"/>
          <w:b w:val="0"/>
          <w:bCs w:val="0"/>
          <w:spacing w:val="6"/>
          <w:sz w:val="24"/>
          <w:highlight w:val="none"/>
          <w:lang w:val="en-US" w:eastAsia="zh-CN"/>
        </w:rPr>
        <w:t>，</w:t>
      </w:r>
      <w:r>
        <w:rPr>
          <w:rFonts w:hint="default" w:ascii="仿宋" w:hAnsi="仿宋" w:eastAsia="仿宋" w:cs="仿宋"/>
          <w:b w:val="0"/>
          <w:bCs w:val="0"/>
          <w:spacing w:val="6"/>
          <w:sz w:val="24"/>
          <w:highlight w:val="none"/>
          <w:lang w:val="en-US" w:eastAsia="zh-CN"/>
        </w:rPr>
        <w:t>大电网安全分析与运行控制、特高压交直流输电、大规模新能源接入与大规模储能应用等关键技术研究均处于国际领先水平，节能减排、绿色低碳等方面也取得了很好的成绩。在节能减排</w:t>
      </w:r>
      <w:r>
        <w:rPr>
          <w:rFonts w:hint="eastAsia" w:ascii="仿宋" w:hAnsi="仿宋" w:eastAsia="仿宋" w:cs="仿宋"/>
          <w:b w:val="0"/>
          <w:bCs w:val="0"/>
          <w:spacing w:val="6"/>
          <w:sz w:val="24"/>
          <w:highlight w:val="none"/>
          <w:lang w:val="en-US" w:eastAsia="zh-CN"/>
        </w:rPr>
        <w:t>标准方面</w:t>
      </w:r>
      <w:r>
        <w:rPr>
          <w:rFonts w:hint="default" w:ascii="仿宋" w:hAnsi="仿宋" w:eastAsia="仿宋" w:cs="仿宋"/>
          <w:b w:val="0"/>
          <w:bCs w:val="0"/>
          <w:spacing w:val="6"/>
          <w:sz w:val="24"/>
          <w:highlight w:val="none"/>
          <w:lang w:val="en-US" w:eastAsia="zh-CN"/>
        </w:rPr>
        <w:t>，是IEC分布式能源与电网互联标准联合工作组、全国智能电网用户接口标委会秘书处（TC549）、中电联电能替代标准化委员会秘书处，完成国际标准3项、国家标准49项、行业标准29项、团体标准48项、企业标准75项、地方标准3项制修订，具有丰富的标准制修订经验。</w:t>
      </w:r>
      <w:r>
        <w:rPr>
          <w:rFonts w:hint="eastAsia" w:ascii="仿宋" w:hAnsi="仿宋" w:eastAsia="仿宋" w:cs="仿宋"/>
          <w:b w:val="0"/>
          <w:bCs w:val="0"/>
          <w:spacing w:val="6"/>
          <w:sz w:val="24"/>
          <w:highlight w:val="none"/>
          <w:lang w:val="en-US" w:eastAsia="zh-CN"/>
        </w:rPr>
        <w:t>是</w:t>
      </w:r>
      <w:r>
        <w:rPr>
          <w:rFonts w:hint="default" w:ascii="仿宋" w:hAnsi="仿宋" w:eastAsia="仿宋" w:cs="仿宋"/>
          <w:b w:val="0"/>
          <w:bCs w:val="0"/>
          <w:spacing w:val="6"/>
          <w:sz w:val="24"/>
          <w:highlight w:val="none"/>
          <w:lang w:val="en-US" w:eastAsia="zh-CN"/>
        </w:rPr>
        <w:t>全国碳达峰碳中和计量技术委员会电力计量分技术委员会的挂靠单位。</w:t>
      </w:r>
    </w:p>
    <w:p w14:paraId="76F5C7F7">
      <w:pPr>
        <w:spacing w:line="300" w:lineRule="auto"/>
        <w:ind w:firstLine="506" w:firstLineChars="200"/>
        <w:rPr>
          <w:rFonts w:hint="default" w:ascii="仿宋" w:hAnsi="仿宋" w:eastAsia="仿宋" w:cs="仿宋"/>
          <w:spacing w:val="6"/>
          <w:sz w:val="24"/>
          <w:highlight w:val="none"/>
          <w:lang w:val="en-US" w:eastAsia="zh-CN"/>
        </w:rPr>
      </w:pPr>
      <w:r>
        <w:rPr>
          <w:rFonts w:hint="default" w:ascii="仿宋" w:hAnsi="仿宋" w:eastAsia="仿宋" w:cs="仿宋"/>
          <w:b/>
          <w:bCs/>
          <w:spacing w:val="6"/>
          <w:sz w:val="24"/>
          <w:highlight w:val="none"/>
          <w:lang w:val="en-US" w:eastAsia="zh-CN"/>
        </w:rPr>
        <w:t>北京市标准化研究院：</w:t>
      </w:r>
      <w:r>
        <w:rPr>
          <w:rFonts w:hint="default" w:ascii="仿宋" w:hAnsi="仿宋" w:eastAsia="仿宋" w:cs="仿宋"/>
          <w:b w:val="0"/>
          <w:bCs w:val="0"/>
          <w:spacing w:val="6"/>
          <w:sz w:val="24"/>
          <w:highlight w:val="none"/>
          <w:lang w:val="en-US" w:eastAsia="zh-CN"/>
        </w:rPr>
        <w:t>是北京市质监局直属单位，承担</w:t>
      </w:r>
      <w:r>
        <w:rPr>
          <w:rFonts w:hint="eastAsia" w:ascii="仿宋" w:hAnsi="仿宋" w:eastAsia="仿宋" w:cs="仿宋"/>
          <w:b w:val="0"/>
          <w:bCs w:val="0"/>
          <w:spacing w:val="6"/>
          <w:sz w:val="24"/>
          <w:highlight w:val="none"/>
          <w:lang w:val="en-US" w:eastAsia="zh-CN"/>
        </w:rPr>
        <w:t>北京</w:t>
      </w:r>
      <w:r>
        <w:rPr>
          <w:rFonts w:hint="default" w:ascii="仿宋" w:hAnsi="仿宋" w:eastAsia="仿宋" w:cs="仿宋"/>
          <w:b w:val="0"/>
          <w:bCs w:val="0"/>
          <w:spacing w:val="6"/>
          <w:sz w:val="24"/>
          <w:highlight w:val="none"/>
          <w:lang w:val="en-US" w:eastAsia="zh-CN"/>
        </w:rPr>
        <w:t>市标准化及标准体系建设的研究工作，</w:t>
      </w:r>
      <w:r>
        <w:rPr>
          <w:rFonts w:hint="default" w:ascii="仿宋" w:hAnsi="仿宋" w:eastAsia="仿宋" w:cs="仿宋"/>
          <w:spacing w:val="6"/>
          <w:sz w:val="24"/>
          <w:highlight w:val="none"/>
          <w:lang w:val="en-US" w:eastAsia="zh-CN"/>
        </w:rPr>
        <w:t>参与北京市碳相关的标准化、标准体系建设</w:t>
      </w:r>
      <w:r>
        <w:rPr>
          <w:rFonts w:hint="eastAsia" w:ascii="仿宋" w:hAnsi="仿宋" w:eastAsia="仿宋" w:cs="仿宋"/>
          <w:spacing w:val="6"/>
          <w:sz w:val="24"/>
          <w:highlight w:val="none"/>
          <w:lang w:val="en-US" w:eastAsia="zh-CN"/>
        </w:rPr>
        <w:t>工作，</w:t>
      </w:r>
      <w:r>
        <w:rPr>
          <w:rFonts w:hint="default" w:ascii="仿宋" w:hAnsi="仿宋" w:eastAsia="仿宋" w:cs="仿宋"/>
          <w:b w:val="0"/>
          <w:bCs w:val="0"/>
          <w:spacing w:val="6"/>
          <w:sz w:val="24"/>
          <w:highlight w:val="none"/>
          <w:lang w:val="en-US" w:eastAsia="zh-CN"/>
        </w:rPr>
        <w:t>承担国内外标准文献与信息的搜集、加工和维护工作以及国际技术标准、法规的研究咨询工作，承担本市标准化专家库的建立和日常管理以及国内外标准化交流与合作工作，为制订和修订地方标准提供技术支撑。</w:t>
      </w:r>
    </w:p>
    <w:p w14:paraId="5B989C47">
      <w:pPr>
        <w:pStyle w:val="2"/>
        <w:rPr>
          <w:rFonts w:hint="default" w:ascii="仿宋" w:hAnsi="仿宋" w:eastAsia="仿宋" w:cs="仿宋"/>
          <w:b w:val="0"/>
          <w:bCs w:val="0"/>
          <w:spacing w:val="6"/>
          <w:kern w:val="2"/>
          <w:sz w:val="24"/>
          <w:szCs w:val="24"/>
          <w:highlight w:val="none"/>
          <w:lang w:val="en-US" w:eastAsia="zh-CN" w:bidi="ar-SA"/>
        </w:rPr>
      </w:pPr>
      <w:r>
        <w:rPr>
          <w:rFonts w:hint="default" w:ascii="仿宋" w:hAnsi="仿宋" w:eastAsia="仿宋" w:cs="仿宋"/>
          <w:b/>
          <w:bCs/>
          <w:spacing w:val="6"/>
          <w:kern w:val="2"/>
          <w:sz w:val="24"/>
          <w:szCs w:val="24"/>
          <w:highlight w:val="none"/>
          <w:lang w:val="en-US" w:eastAsia="zh-CN" w:bidi="ar-SA"/>
        </w:rPr>
        <w:t>中国矿业大学</w:t>
      </w:r>
      <w:r>
        <w:rPr>
          <w:rFonts w:hint="eastAsia" w:ascii="仿宋" w:hAnsi="仿宋" w:eastAsia="仿宋" w:cs="仿宋"/>
          <w:b/>
          <w:bCs/>
          <w:spacing w:val="6"/>
          <w:kern w:val="2"/>
          <w:sz w:val="24"/>
          <w:szCs w:val="24"/>
          <w:highlight w:val="none"/>
          <w:lang w:val="en-US" w:eastAsia="zh-CN" w:bidi="ar-SA"/>
        </w:rPr>
        <w:t>（北京）：</w:t>
      </w:r>
      <w:r>
        <w:rPr>
          <w:rFonts w:hint="default" w:ascii="仿宋" w:hAnsi="仿宋" w:eastAsia="仿宋" w:cs="仿宋"/>
          <w:b w:val="0"/>
          <w:bCs w:val="0"/>
          <w:spacing w:val="6"/>
          <w:kern w:val="2"/>
          <w:sz w:val="24"/>
          <w:szCs w:val="24"/>
          <w:highlight w:val="none"/>
          <w:lang w:val="en-US" w:eastAsia="zh-CN" w:bidi="ar-SA"/>
        </w:rPr>
        <w:t>成立于1909年，是教育部直属的全国重点大学，作为国家“211 工程”建设高校，在矿业工程、安全科学与工程等学科领域成绩卓著。在碳中和发展进程中，中国矿业大学整合校内外资源，联合相关科研院所、行业头部企业，积极搭建产学研合作平台，汇聚了众多碳中和领域的权威专家，全力推动能源科学、环境科学、材料科学等多学科在碳中和领域的协同创新。学校在煤炭清洁高效利用、矿区生态修复等方向深入研究，成果丰硕，研发出先进的煤炭提质技术，显著提升煤炭利用效率，降低碳排放。同时，积极参与制定多项煤炭行业碳中和相关标准，为行业绿色转型提供有力支撑，在培养碳中和专业人才方面，也通过优化课程设置、开展实践教学，为行业输送了大量优秀人才，为全国碳达峰碳中和目标的实现贡献矿大智慧。​</w:t>
      </w:r>
    </w:p>
    <w:p w14:paraId="2AD7B401">
      <w:pPr>
        <w:pStyle w:val="2"/>
        <w:rPr>
          <w:rFonts w:hint="default" w:ascii="仿宋" w:hAnsi="仿宋" w:eastAsia="仿宋" w:cs="仿宋"/>
          <w:b w:val="0"/>
          <w:bCs w:val="0"/>
          <w:spacing w:val="6"/>
          <w:kern w:val="2"/>
          <w:sz w:val="24"/>
          <w:szCs w:val="24"/>
          <w:highlight w:val="none"/>
          <w:lang w:val="en-US" w:eastAsia="zh-CN" w:bidi="ar-SA"/>
        </w:rPr>
      </w:pPr>
      <w:r>
        <w:rPr>
          <w:rFonts w:hint="default" w:ascii="仿宋" w:hAnsi="仿宋" w:eastAsia="仿宋" w:cs="仿宋"/>
          <w:b/>
          <w:bCs/>
          <w:spacing w:val="6"/>
          <w:kern w:val="2"/>
          <w:sz w:val="24"/>
          <w:szCs w:val="24"/>
          <w:highlight w:val="none"/>
          <w:lang w:val="en-US" w:eastAsia="zh-CN" w:bidi="ar-SA"/>
        </w:rPr>
        <w:t>辽宁工程技术大学</w:t>
      </w:r>
      <w:r>
        <w:rPr>
          <w:rFonts w:hint="eastAsia" w:ascii="仿宋" w:hAnsi="仿宋" w:eastAsia="仿宋" w:cs="仿宋"/>
          <w:b/>
          <w:bCs/>
          <w:spacing w:val="6"/>
          <w:kern w:val="2"/>
          <w:sz w:val="24"/>
          <w:szCs w:val="24"/>
          <w:highlight w:val="none"/>
          <w:lang w:val="en-US" w:eastAsia="zh-CN" w:bidi="ar-SA"/>
        </w:rPr>
        <w:t>：</w:t>
      </w:r>
      <w:r>
        <w:rPr>
          <w:rFonts w:hint="default" w:ascii="仿宋" w:hAnsi="仿宋" w:eastAsia="仿宋" w:cs="仿宋"/>
          <w:b w:val="0"/>
          <w:bCs w:val="0"/>
          <w:spacing w:val="6"/>
          <w:kern w:val="2"/>
          <w:sz w:val="24"/>
          <w:szCs w:val="24"/>
          <w:highlight w:val="none"/>
          <w:lang w:val="en-US" w:eastAsia="zh-CN" w:bidi="ar-SA"/>
        </w:rPr>
        <w:t>始建于1949年，是国家安全生产监督管理总局与辽宁省人民政府共建高校，入选国家“中西部高校基础能力建设工程”重点建设高校。学校在矿业工程、安全科学与工程等领域特色鲜明。在碳中和发展浪潮下，辽宁工程技术大学联合科研院所、矿山企业，聚集了一批碳中和领域的专家学者，积极推动矿业工程、环境科学、能源技术等多学科在碳中和领域的协同攻关，构建了完善的科研创新平台。在矿山节能减排、煤矸石综合利用等方面开展深入研究，成果显著，如研发的煤矸石资源化利用技术，既减少了废弃物排放，又实现了资源的二次利用。同时，学校积极参与相关行业标准的制定，为矿山行业绿色低碳发展提供标准规范，通过创新人才培养模式，为碳中和领域培育专业人才，为全国碳达峰碳中和目标的实现贡献辽工智慧</w:t>
      </w:r>
      <w:r>
        <w:rPr>
          <w:rFonts w:hint="eastAsia" w:ascii="仿宋" w:hAnsi="仿宋" w:eastAsia="仿宋" w:cs="仿宋"/>
          <w:b w:val="0"/>
          <w:bCs w:val="0"/>
          <w:spacing w:val="6"/>
          <w:kern w:val="2"/>
          <w:sz w:val="24"/>
          <w:szCs w:val="24"/>
          <w:highlight w:val="none"/>
          <w:lang w:val="en-US" w:eastAsia="zh-CN" w:bidi="ar-SA"/>
        </w:rPr>
        <w:t>。</w:t>
      </w:r>
    </w:p>
    <w:p w14:paraId="1BBE89D5">
      <w:pPr>
        <w:pStyle w:val="2"/>
        <w:rPr>
          <w:rFonts w:hint="default" w:ascii="仿宋" w:hAnsi="仿宋" w:eastAsia="仿宋" w:cs="仿宋"/>
          <w:b w:val="0"/>
          <w:bCs w:val="0"/>
          <w:spacing w:val="6"/>
          <w:kern w:val="2"/>
          <w:sz w:val="24"/>
          <w:szCs w:val="24"/>
          <w:highlight w:val="none"/>
          <w:lang w:val="en-US" w:eastAsia="zh-CN" w:bidi="ar-SA"/>
        </w:rPr>
      </w:pPr>
      <w:r>
        <w:rPr>
          <w:rFonts w:hint="default" w:ascii="仿宋" w:hAnsi="仿宋" w:eastAsia="仿宋" w:cs="仿宋"/>
          <w:b/>
          <w:bCs/>
          <w:spacing w:val="6"/>
          <w:kern w:val="2"/>
          <w:sz w:val="24"/>
          <w:szCs w:val="24"/>
          <w:highlight w:val="none"/>
          <w:lang w:val="en-US" w:eastAsia="zh-CN" w:bidi="ar-SA"/>
        </w:rPr>
        <w:t>北京京能地质工程有限公司</w:t>
      </w:r>
      <w:r>
        <w:rPr>
          <w:rFonts w:hint="eastAsia" w:ascii="仿宋" w:hAnsi="仿宋" w:eastAsia="仿宋" w:cs="仿宋"/>
          <w:b/>
          <w:bCs/>
          <w:spacing w:val="6"/>
          <w:kern w:val="2"/>
          <w:sz w:val="24"/>
          <w:szCs w:val="24"/>
          <w:highlight w:val="none"/>
          <w:lang w:val="en-US" w:eastAsia="zh-CN" w:bidi="ar-SA"/>
        </w:rPr>
        <w:t>：</w:t>
      </w:r>
      <w:r>
        <w:rPr>
          <w:rFonts w:hint="default" w:ascii="仿宋" w:hAnsi="仿宋" w:eastAsia="仿宋" w:cs="仿宋"/>
          <w:b w:val="0"/>
          <w:bCs w:val="0"/>
          <w:spacing w:val="6"/>
          <w:kern w:val="2"/>
          <w:sz w:val="24"/>
          <w:szCs w:val="24"/>
          <w:highlight w:val="none"/>
          <w:lang w:val="en-US" w:eastAsia="zh-CN" w:bidi="ar-SA"/>
        </w:rPr>
        <w:t>成立于1987年，是京能集团所属企业，在地质工程领域处于领军地位。公司聚焦能源地质、城市地质、环境地质提供专业技术服务，致力于技术创新与成果转化，在无人机测绘、基坑自动化监测、数字化绘图平台、大管径钢管桩高精度调垂自动化等方面取得多项成果，填补国内空白及行业短板，多次荣获省部级科技奖项。在碳中和相关工作中，公司利用自身技术优势，开展复杂条件下老采空区探查及综合治理新技术研发，通过高精度地下空间探测技术、环保型充填材料研发以及实时监控和评价系统建立，提高采空区探测准确性、充填工艺可行性和评价结果科学性，助力矿山行业可持续发展与生态保护，目前该技术已在门头沟多个区域成功应用，取得显著经济和社会效益，为区域碳达峰碳中和工作贡献力量。​</w:t>
      </w:r>
    </w:p>
    <w:p w14:paraId="55CBD258">
      <w:pPr>
        <w:pStyle w:val="2"/>
        <w:rPr>
          <w:rFonts w:hint="default" w:ascii="仿宋" w:hAnsi="仿宋" w:eastAsia="仿宋" w:cs="仿宋"/>
          <w:b w:val="0"/>
          <w:bCs w:val="0"/>
          <w:spacing w:val="6"/>
          <w:kern w:val="2"/>
          <w:sz w:val="24"/>
          <w:szCs w:val="24"/>
          <w:highlight w:val="none"/>
          <w:lang w:val="en-US" w:eastAsia="zh-CN" w:bidi="ar-SA"/>
        </w:rPr>
      </w:pPr>
      <w:r>
        <w:rPr>
          <w:rFonts w:hint="default" w:ascii="仿宋" w:hAnsi="仿宋" w:eastAsia="仿宋" w:cs="仿宋"/>
          <w:b/>
          <w:bCs/>
          <w:spacing w:val="6"/>
          <w:kern w:val="2"/>
          <w:sz w:val="24"/>
          <w:szCs w:val="24"/>
          <w:highlight w:val="none"/>
          <w:lang w:val="en-US" w:eastAsia="zh-CN" w:bidi="ar-SA"/>
        </w:rPr>
        <w:t>内蒙古神东天隆集团</w:t>
      </w:r>
      <w:r>
        <w:rPr>
          <w:rFonts w:hint="eastAsia" w:ascii="仿宋" w:hAnsi="仿宋" w:eastAsia="仿宋" w:cs="仿宋"/>
          <w:b/>
          <w:bCs/>
          <w:spacing w:val="6"/>
          <w:kern w:val="2"/>
          <w:sz w:val="24"/>
          <w:szCs w:val="24"/>
          <w:highlight w:val="none"/>
          <w:lang w:val="en-US" w:eastAsia="zh-CN" w:bidi="ar-SA"/>
        </w:rPr>
        <w:t>：</w:t>
      </w:r>
      <w:r>
        <w:rPr>
          <w:rFonts w:hint="default" w:ascii="仿宋" w:hAnsi="仿宋" w:eastAsia="仿宋" w:cs="仿宋"/>
          <w:b w:val="0"/>
          <w:bCs w:val="0"/>
          <w:spacing w:val="6"/>
          <w:kern w:val="2"/>
          <w:sz w:val="24"/>
          <w:szCs w:val="24"/>
          <w:highlight w:val="none"/>
          <w:lang w:val="en-US" w:eastAsia="zh-CN" w:bidi="ar-SA"/>
        </w:rPr>
        <w:t>作为地区重要企业，多年来扎根能源产业。集团整合内部资源，联合行业上下游企业，积极响应碳中和号召，汇聚了能源、化工、环保等领域专业人才，大力推动多领域在碳中和方向的协同合作，构建了自身的绿色发展体系。在煤炭清洁生产、能源高效利用等方面深入探索，通过升级生产设备、优化工艺流程，提高煤炭生产效率，降低能耗与碳排放。同时，积极参与地方相关绿色发展标准制定，为地区能源产业绿色转型提供参考，在企业内部加强人才培养，提升员工绿色发展意识，为地区碳达峰碳中和目标的实现贡献企业力量。</w:t>
      </w:r>
    </w:p>
    <w:p w14:paraId="0BC10337">
      <w:pPr>
        <w:spacing w:line="300" w:lineRule="auto"/>
        <w:rPr>
          <w:rFonts w:hint="eastAsia" w:ascii="仿宋" w:hAnsi="仿宋" w:eastAsia="仿宋" w:cs="仿宋"/>
          <w:b/>
          <w:sz w:val="24"/>
        </w:rPr>
      </w:pPr>
      <w:r>
        <w:rPr>
          <w:rFonts w:hint="eastAsia" w:ascii="仿宋" w:hAnsi="仿宋" w:eastAsia="仿宋" w:cs="仿宋"/>
          <w:b/>
          <w:sz w:val="24"/>
        </w:rPr>
        <w:t>2  编制工作组简况</w:t>
      </w:r>
    </w:p>
    <w:p w14:paraId="06A504F0">
      <w:pPr>
        <w:spacing w:line="300" w:lineRule="auto"/>
        <w:rPr>
          <w:rFonts w:hint="eastAsia" w:ascii="仿宋" w:hAnsi="仿宋" w:eastAsia="仿宋" w:cs="仿宋"/>
          <w:b/>
          <w:sz w:val="24"/>
        </w:rPr>
      </w:pPr>
      <w:r>
        <w:rPr>
          <w:rFonts w:hint="eastAsia" w:ascii="仿宋" w:hAnsi="仿宋" w:eastAsia="仿宋" w:cs="仿宋"/>
          <w:b/>
          <w:sz w:val="24"/>
        </w:rPr>
        <w:t>2.1  编制工作组及其成员情况</w:t>
      </w:r>
    </w:p>
    <w:p w14:paraId="03BB2842">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（说明编制组的构成，如“业主单位、建设单位、设计单位、生产单位、科研院所、检验认证机构”等。）</w:t>
      </w:r>
    </w:p>
    <w:p w14:paraId="6AC0F7EE">
      <w:pPr>
        <w:pStyle w:val="2"/>
        <w:rPr>
          <w:rFonts w:hint="eastAsia" w:ascii="仿宋" w:hAnsi="仿宋" w:eastAsia="仿宋" w:cs="仿宋"/>
          <w:b w:val="0"/>
          <w:bCs w:val="0"/>
          <w:spacing w:val="6"/>
          <w:kern w:val="2"/>
          <w:sz w:val="24"/>
          <w:szCs w:val="24"/>
          <w:highlight w:val="none"/>
          <w:lang w:val="en-US" w:eastAsia="zh-CN" w:bidi="ar-SA"/>
        </w:rPr>
      </w:pPr>
      <w:r>
        <w:rPr>
          <w:rFonts w:hint="eastAsia" w:ascii="仿宋" w:hAnsi="仿宋" w:eastAsia="仿宋" w:cs="仿宋"/>
          <w:b w:val="0"/>
          <w:bCs w:val="0"/>
          <w:spacing w:val="6"/>
          <w:kern w:val="2"/>
          <w:sz w:val="24"/>
          <w:szCs w:val="24"/>
          <w:highlight w:val="none"/>
          <w:lang w:val="en-US" w:eastAsia="zh-CN" w:bidi="ar-SA"/>
        </w:rPr>
        <w:t>北京碳中和学会与北京林业大学作为项目牵头单位，充分发挥在碳中和领域深厚的专业积累，凭借丰富的标准编制经验与强大的组织协调能力，全面负责标准编制的整体规划、组织推进以及管理工作，积极协调各参与单位的任务分配，并推动编制成果在行业内的实际应用。联合中国电力科学研究院有限公司、北京市标准化研究院、中国矿业大学（北京）、</w:t>
      </w:r>
      <w:bookmarkStart w:id="2" w:name="_GoBack"/>
      <w:bookmarkEnd w:id="2"/>
      <w:r>
        <w:rPr>
          <w:rFonts w:hint="eastAsia" w:ascii="仿宋" w:hAnsi="仿宋" w:eastAsia="仿宋" w:cs="仿宋"/>
          <w:b w:val="0"/>
          <w:bCs w:val="0"/>
          <w:spacing w:val="6"/>
          <w:kern w:val="2"/>
          <w:sz w:val="24"/>
          <w:szCs w:val="24"/>
          <w:highlight w:val="none"/>
          <w:lang w:val="en-US" w:eastAsia="zh-CN" w:bidi="ar-SA"/>
        </w:rPr>
        <w:t>辽宁工程技术大学、北京京能地质工程有限公司、内蒙古神东天隆集团等多家单位，组建产学研用联合编制团队。依据标准内容的具体要求，各单位进一步细化分工。北京碳中和学会与北京林业大学负责统筹，对其他协作单位的工作进行动态协调，及时沟通解决标准编制过程中遇到的各类难题。中国电力科学研究院有限公司凭借在能源电力领域的技术优势，针对能源转型中的碳中和标准进行深入研究；北京市标准化研究院从专业的标准化视角，为标准的科学性、规范性提供保障；中国矿业大学（北京）、辽宁工程技术大学凭借在矿业、材料等领域的深厚积淀，为矿业、冶金等行业的碳中和标准制定提供技术支持；北京京能地质工程有限公司发挥地质工程专长，助力资源开发与生态修复方面的标准制定；内蒙古神东天隆集团基于自身在能源生产运营中的实践经验，为标准的落地实施提供实际参考。</w:t>
      </w:r>
    </w:p>
    <w:p w14:paraId="3E0420E0">
      <w:pPr>
        <w:spacing w:line="300" w:lineRule="auto"/>
        <w:rPr>
          <w:rFonts w:hint="eastAsia" w:ascii="仿宋" w:hAnsi="仿宋" w:eastAsia="仿宋" w:cs="仿宋"/>
          <w:b/>
          <w:sz w:val="24"/>
        </w:rPr>
      </w:pPr>
      <w:r>
        <w:rPr>
          <w:rFonts w:hint="eastAsia" w:ascii="仿宋" w:hAnsi="仿宋" w:eastAsia="仿宋" w:cs="仿宋"/>
          <w:b/>
          <w:sz w:val="24"/>
        </w:rPr>
        <w:t>2.2  标准主要起草人及其所做的工作</w:t>
      </w:r>
    </w:p>
    <w:p w14:paraId="3F6E145B">
      <w:pPr>
        <w:spacing w:line="300" w:lineRule="auto"/>
        <w:rPr>
          <w:rFonts w:hint="eastAsia" w:ascii="仿宋" w:hAnsi="仿宋" w:eastAsia="仿宋" w:cs="仿宋"/>
          <w:sz w:val="24"/>
        </w:rPr>
      </w:pPr>
      <w:r>
        <w:rPr>
          <w:rFonts w:hint="eastAsia" w:ascii="仿宋" w:hAnsi="仿宋" w:eastAsia="仿宋" w:cs="仿宋"/>
          <w:sz w:val="24"/>
        </w:rPr>
        <w:t>（明确起草人及工作任务，建议分工明确到章节。）</w:t>
      </w:r>
    </w:p>
    <w:p w14:paraId="5BDBAF7B">
      <w:pPr>
        <w:pStyle w:val="2"/>
        <w:rPr>
          <w:rFonts w:hint="eastAsia" w:ascii="仿宋" w:hAnsi="仿宋" w:eastAsia="仿宋" w:cs="仿宋"/>
          <w:sz w:val="24"/>
          <w:lang w:val="en-US" w:eastAsia="zh-CN"/>
        </w:rPr>
      </w:pPr>
      <w:r>
        <w:rPr>
          <w:rFonts w:hint="eastAsia" w:ascii="仿宋" w:hAnsi="仿宋" w:eastAsia="仿宋" w:cs="仿宋"/>
          <w:sz w:val="24"/>
          <w:lang w:val="en-US" w:eastAsia="zh-CN"/>
        </w:rPr>
        <w:t>主要起草人：冯武军，研究员、博士后、热能与动力工程专业。现任京能科技有限公司高级专家，北京碳中和学会秘书长。曾任北京可持续发展科技促进中心总工，北京科技协作中心区域与国际合作处处长、公共服务处处长，清华启迪清洁能源研究院副院长等。长期在北京市发改委、市科委研究推进节能环保、新能源、绿色低碳、应对气候变化等领域的技术研发、成果转化、专项规划、激励政策等工作，建立并推进首都新能源六大技术产业联盟、北京清洁能源创新平台、北京氢能创新协同平台等，碳中和领域新技术、新产品、新工艺掌握较深，专项规划、实施方案、技术路径咨询研究能力较强，科技成果转化落地创新经验较丰富。参与技术研发示范项目10余项、开展课题咨询研究20余项、发表论文20余篇，研究出台20余个政策文件、组织编写18余项行业标准（地方标准），组织开展可再生能源、氢能、余热利用、综合智慧能源、工业节能、建筑节能等领域重大科技项目80余项。本标准主要负责第八章评价流程、第九章评价方法与结果、第十章碳中和（净零碳）矿山评价报告编制的内容。</w:t>
      </w:r>
    </w:p>
    <w:p w14:paraId="79E84B7C">
      <w:pPr>
        <w:pStyle w:val="2"/>
        <w:rPr>
          <w:rFonts w:hint="eastAsia" w:ascii="仿宋" w:hAnsi="仿宋" w:eastAsia="仿宋" w:cs="仿宋"/>
          <w:sz w:val="24"/>
          <w:lang w:val="en-US" w:eastAsia="zh-CN"/>
        </w:rPr>
      </w:pPr>
      <w:r>
        <w:rPr>
          <w:rFonts w:hint="eastAsia" w:ascii="仿宋" w:hAnsi="仿宋" w:eastAsia="仿宋" w:cs="仿宋"/>
          <w:sz w:val="24"/>
          <w:lang w:val="en-US" w:eastAsia="zh-CN"/>
        </w:rPr>
        <w:t>主要起草人：马伟芳，教授、博士，环境保护专业。现任北京林业大学教师。长期专注于碳达峰碳中和指标体系与技术路径、生态修复等领域研究。承担《北京市碳中和达标体系与负碳技术解决方案研究与应用》项目，参与科技部《中关村绿色发展五年行动方案》《北京市密云区碳中和推进路径研究》等项目。作为主要执笔人撰写《北京市碳中和科技创新行动方案》，获市政府采纳及北京市前市长陈吉宁重要指示。在科研成果方面，近五年发表论文超百篇，其中SCI收录70篇，以第一与通讯作者身份发表50篇。主（副）主编教材3部，获授权发明专利15项，作为第一发明人有10项。获省部级科技和个人奖励6项，参编北京市地方标准2项、团体标准4项。担任2个国内外学术机构委员，5个SCI期刊客座编辑。本标准中负责第五章碳中和矿山指标体系的构建、第六章评价边界、第七章评价指标的内容。</w:t>
      </w:r>
    </w:p>
    <w:p w14:paraId="2E2E7B45">
      <w:pPr>
        <w:ind w:firstLine="480" w:firstLineChars="200"/>
        <w:rPr>
          <w:rFonts w:hint="default"/>
          <w:lang w:val="en-US"/>
        </w:rPr>
      </w:pPr>
      <w:r>
        <w:rPr>
          <w:rFonts w:hint="eastAsia" w:ascii="仿宋" w:hAnsi="仿宋" w:eastAsia="仿宋" w:cs="仿宋"/>
          <w:sz w:val="24"/>
          <w:lang w:val="en-US" w:eastAsia="zh-CN"/>
        </w:rPr>
        <w:t>主要起草人：江海溶，北京林业大学，博士研究生，环境保护专业碳中和方向。本标准主要负责第一章范围、第二章规范性引用文件、第三章术语和定义、第四章原则和要求的编制。</w:t>
      </w:r>
    </w:p>
    <w:p w14:paraId="7D0FBEDF">
      <w:pPr>
        <w:spacing w:line="300" w:lineRule="auto"/>
        <w:rPr>
          <w:rFonts w:hint="eastAsia" w:ascii="仿宋" w:hAnsi="仿宋" w:eastAsia="仿宋" w:cs="仿宋"/>
          <w:b/>
          <w:sz w:val="24"/>
        </w:rPr>
      </w:pPr>
      <w:r>
        <w:rPr>
          <w:rFonts w:hint="eastAsia" w:ascii="仿宋" w:hAnsi="仿宋" w:eastAsia="仿宋" w:cs="仿宋"/>
          <w:b/>
          <w:sz w:val="24"/>
        </w:rPr>
        <w:t>3  起草阶段的主要工作内容</w:t>
      </w:r>
    </w:p>
    <w:p w14:paraId="601A6CB7">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w:t>
      </w:r>
      <w:r>
        <w:rPr>
          <w:rFonts w:hint="eastAsia" w:ascii="仿宋" w:hAnsi="仿宋" w:eastAsia="仿宋" w:cs="仿宋"/>
          <w:sz w:val="24"/>
          <w:highlight w:val="lightGray"/>
        </w:rPr>
        <w:t>讲清标准的编制过程，明确意见已获得充分沟通，</w:t>
      </w:r>
      <w:r>
        <w:rPr>
          <w:rFonts w:hint="eastAsia" w:ascii="仿宋" w:hAnsi="仿宋" w:eastAsia="仿宋" w:cs="仿宋"/>
          <w:spacing w:val="6"/>
          <w:sz w:val="24"/>
          <w:highlight w:val="lightGray"/>
        </w:rPr>
        <w:t>包括但不限于编制过程信息；各阶段主要争议问题的处理情况，征求意见或审查意见的处理情况；送审稿编写情况、审查后标准内容修改情况等）</w:t>
      </w:r>
    </w:p>
    <w:p w14:paraId="75A459E4">
      <w:pPr>
        <w:numPr>
          <w:ilvl w:val="0"/>
          <w:numId w:val="0"/>
        </w:numPr>
        <w:spacing w:line="30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（1）调研</w:t>
      </w:r>
    </w:p>
    <w:p w14:paraId="48C4E6E3">
      <w:pPr>
        <w:numPr>
          <w:ilvl w:val="0"/>
          <w:numId w:val="0"/>
        </w:numPr>
        <w:spacing w:line="30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2024年6月启动了标准调研工作，并于2024年9月完成了碳中和矿山评价相关资料的收集和分析工作，形成了碳中和矿山评价标准（草案）初稿。</w:t>
      </w:r>
    </w:p>
    <w:p w14:paraId="7AB48B4B">
      <w:pPr>
        <w:numPr>
          <w:ilvl w:val="0"/>
          <w:numId w:val="0"/>
        </w:numPr>
        <w:spacing w:line="30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（2）立项</w:t>
      </w:r>
    </w:p>
    <w:p w14:paraId="6281E9DA">
      <w:pPr>
        <w:numPr>
          <w:ilvl w:val="0"/>
          <w:numId w:val="0"/>
        </w:numPr>
        <w:spacing w:line="30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2024年9月，进行标准立项初评；10月，通过中国能源研究总会评审立项。</w:t>
      </w:r>
    </w:p>
    <w:p w14:paraId="4065E67C">
      <w:pPr>
        <w:numPr>
          <w:ilvl w:val="0"/>
          <w:numId w:val="0"/>
        </w:numPr>
        <w:spacing w:line="30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（3）形成标准草案（初稿）</w:t>
      </w:r>
    </w:p>
    <w:p w14:paraId="294B348E">
      <w:pPr>
        <w:numPr>
          <w:ilvl w:val="0"/>
          <w:numId w:val="0"/>
        </w:numPr>
        <w:spacing w:line="30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2024年11月，结合评审会专家意见进行修改完善，12月形成碳中和矿山评价标准初稿。</w:t>
      </w:r>
    </w:p>
    <w:p w14:paraId="0157DFE1">
      <w:pPr>
        <w:numPr>
          <w:ilvl w:val="0"/>
          <w:numId w:val="0"/>
        </w:numPr>
        <w:spacing w:line="30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（4）标准推荐会</w:t>
      </w:r>
    </w:p>
    <w:p w14:paraId="355C43CD">
      <w:pPr>
        <w:numPr>
          <w:ilvl w:val="0"/>
          <w:numId w:val="0"/>
        </w:numPr>
        <w:spacing w:line="30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2025年3月8日在上海召开推介会，推动碳中和领域团体标准的制定与完善，结合多行业具体情况及项目实际应用场景，研讨标准的核心要点。</w:t>
      </w:r>
    </w:p>
    <w:p w14:paraId="6D87830D">
      <w:pPr>
        <w:spacing w:line="30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在标准的编制过程中，工作组通过线上、线下相结合的方式多次组织研讨会进行充分沟通，多方征求意见，相关意见及解决方案如下：</w:t>
      </w:r>
    </w:p>
    <w:p w14:paraId="33B53B5C">
      <w:pPr>
        <w:numPr>
          <w:ilvl w:val="0"/>
          <w:numId w:val="20"/>
        </w:numPr>
        <w:spacing w:line="300" w:lineRule="auto"/>
        <w:ind w:firstLine="480" w:firstLineChars="200"/>
        <w:rPr>
          <w:rFonts w:hint="default"/>
          <w:lang w:val="en-US" w:eastAsia="zh-CN"/>
        </w:rPr>
      </w:pPr>
      <w:r>
        <w:rPr>
          <w:rFonts w:hint="eastAsia" w:ascii="仿宋" w:hAnsi="仿宋" w:eastAsia="仿宋" w:cs="仿宋"/>
          <w:sz w:val="24"/>
          <w:lang w:val="en-US" w:eastAsia="zh-CN"/>
        </w:rPr>
        <w:t>碳中和管理减排措施指标适用性</w:t>
      </w:r>
    </w:p>
    <w:p w14:paraId="1B5C3F25">
      <w:pPr>
        <w:numPr>
          <w:ilvl w:val="0"/>
          <w:numId w:val="0"/>
        </w:numPr>
        <w:spacing w:line="300" w:lineRule="auto"/>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我国矿山类型丰富多样，涵盖能源矿产矿山、金属矿产矿山、非金属矿产矿山以及水气矿产矿山等不同类别，它们的碳排放特征和碳中和路径存在极大差异。在评估矿山碳中和成效时，必须充分考量矿山的资源特性、开采工艺、能源消耗模式以及生态环境影响等因素</w:t>
      </w:r>
      <w:r>
        <w:rPr>
          <w:rFonts w:hint="eastAsia" w:ascii="仿宋" w:hAnsi="仿宋" w:eastAsia="仿宋" w:cs="仿宋"/>
          <w:sz w:val="24"/>
          <w:lang w:val="en-US" w:eastAsia="zh-CN"/>
        </w:rPr>
        <w:t>。构建矿山碳中和评价标准时，应结合不同类型矿山的特点制定差异化指标。考虑到不同矿山采取的碳中和管理减排措施不同，结合矿山资源类型，将碳中和管理类指标中的减排措施，类型分为能源矿产矿山、金属矿产矿山、非金属矿产矿山和水气矿产矿山四类。</w:t>
      </w:r>
    </w:p>
    <w:p w14:paraId="7B78064A">
      <w:pPr>
        <w:spacing w:line="30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2）等级分类结果</w:t>
      </w:r>
    </w:p>
    <w:p w14:paraId="6817612D">
      <w:pPr>
        <w:spacing w:line="30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关于碳中和矿山</w:t>
      </w:r>
      <w:r>
        <w:rPr>
          <w:rFonts w:hint="default" w:ascii="仿宋" w:hAnsi="仿宋" w:eastAsia="仿宋" w:cs="仿宋"/>
          <w:sz w:val="24"/>
          <w:lang w:val="en-US" w:eastAsia="zh-CN"/>
        </w:rPr>
        <w:t>评价等级</w:t>
      </w:r>
      <w:r>
        <w:rPr>
          <w:rFonts w:hint="eastAsia" w:ascii="仿宋" w:hAnsi="仿宋" w:eastAsia="仿宋" w:cs="仿宋"/>
          <w:sz w:val="24"/>
          <w:lang w:val="en-US" w:eastAsia="zh-CN"/>
        </w:rPr>
        <w:t>结果的设置，最初按照A、B、C、D四个等级对应</w:t>
      </w:r>
      <w:r>
        <w:rPr>
          <w:rFonts w:hint="default" w:ascii="仿宋" w:hAnsi="仿宋" w:eastAsia="仿宋" w:cs="仿宋"/>
          <w:sz w:val="24"/>
          <w:lang w:val="en-US" w:eastAsia="zh-CN"/>
        </w:rPr>
        <w:t>优秀</w:t>
      </w:r>
      <w:r>
        <w:rPr>
          <w:rFonts w:hint="eastAsia" w:ascii="仿宋" w:hAnsi="仿宋" w:eastAsia="仿宋" w:cs="仿宋"/>
          <w:sz w:val="24"/>
          <w:lang w:val="en-US" w:eastAsia="zh-CN"/>
        </w:rPr>
        <w:t>、</w:t>
      </w:r>
      <w:r>
        <w:rPr>
          <w:rFonts w:hint="default" w:ascii="仿宋" w:hAnsi="仿宋" w:eastAsia="仿宋" w:cs="仿宋"/>
          <w:sz w:val="24"/>
          <w:lang w:val="en-US" w:eastAsia="zh-CN"/>
        </w:rPr>
        <w:t>达标</w:t>
      </w:r>
      <w:r>
        <w:rPr>
          <w:rFonts w:hint="eastAsia" w:ascii="仿宋" w:hAnsi="仿宋" w:eastAsia="仿宋" w:cs="仿宋"/>
          <w:sz w:val="24"/>
          <w:lang w:val="en-US" w:eastAsia="zh-CN"/>
        </w:rPr>
        <w:t>、</w:t>
      </w:r>
      <w:r>
        <w:rPr>
          <w:rFonts w:hint="default" w:ascii="仿宋" w:hAnsi="仿宋" w:eastAsia="仿宋" w:cs="仿宋"/>
          <w:sz w:val="24"/>
          <w:lang w:val="en-US" w:eastAsia="zh-CN"/>
        </w:rPr>
        <w:t>近碳中和</w:t>
      </w:r>
      <w:r>
        <w:rPr>
          <w:rFonts w:hint="eastAsia" w:ascii="仿宋" w:hAnsi="仿宋" w:eastAsia="仿宋" w:cs="仿宋"/>
          <w:sz w:val="24"/>
          <w:lang w:val="en-US" w:eastAsia="zh-CN"/>
        </w:rPr>
        <w:t>和</w:t>
      </w:r>
      <w:r>
        <w:rPr>
          <w:rFonts w:hint="default" w:ascii="仿宋" w:hAnsi="仿宋" w:eastAsia="仿宋" w:cs="仿宋"/>
          <w:sz w:val="24"/>
          <w:lang w:val="en-US" w:eastAsia="zh-CN"/>
        </w:rPr>
        <w:t>碳中和潜力</w:t>
      </w:r>
      <w:r>
        <w:rPr>
          <w:rFonts w:hint="eastAsia" w:ascii="仿宋" w:hAnsi="仿宋" w:eastAsia="仿宋" w:cs="仿宋"/>
          <w:sz w:val="24"/>
          <w:lang w:val="en-US" w:eastAsia="zh-CN"/>
        </w:rPr>
        <w:t>矿山，并设置评分最低要求，对于得分60分以下的矿山设置为碳中和评价不合格企业。专家建议，评价结果分为A（优秀）、B（合格）、C（碳中和潜力）三等</w:t>
      </w:r>
      <w:r>
        <w:rPr>
          <w:rFonts w:hint="default" w:ascii="仿宋" w:hAnsi="仿宋" w:eastAsia="仿宋" w:cs="仿宋"/>
          <w:sz w:val="24"/>
          <w:lang w:val="en-US" w:eastAsia="zh-CN"/>
        </w:rPr>
        <w:t>，</w:t>
      </w:r>
      <w:r>
        <w:rPr>
          <w:rFonts w:hint="eastAsia" w:ascii="仿宋" w:hAnsi="仿宋" w:eastAsia="仿宋" w:cs="仿宋"/>
          <w:sz w:val="24"/>
          <w:lang w:val="en-US" w:eastAsia="zh-CN"/>
        </w:rPr>
        <w:t>并在优秀矿山中按照得分情况设置</w:t>
      </w:r>
      <w:r>
        <w:rPr>
          <w:rFonts w:hint="default" w:ascii="仿宋" w:hAnsi="仿宋" w:eastAsia="仿宋" w:cs="仿宋"/>
          <w:sz w:val="24"/>
          <w:lang w:val="en-US" w:eastAsia="zh-CN"/>
        </w:rPr>
        <w:t>AAA级、AA级、A级</w:t>
      </w:r>
      <w:r>
        <w:rPr>
          <w:rFonts w:hint="eastAsia" w:ascii="仿宋" w:hAnsi="仿宋" w:eastAsia="仿宋" w:cs="仿宋"/>
          <w:sz w:val="24"/>
          <w:lang w:val="en-US" w:eastAsia="zh-CN"/>
        </w:rPr>
        <w:t>三级。</w:t>
      </w:r>
    </w:p>
    <w:p w14:paraId="45D0668B">
      <w:pPr>
        <w:spacing w:line="300" w:lineRule="auto"/>
        <w:ind w:firstLine="480" w:firstLineChars="200"/>
        <w:rPr>
          <w:rFonts w:hint="eastAsia"/>
        </w:rPr>
      </w:pPr>
      <w:r>
        <w:rPr>
          <w:rFonts w:hint="eastAsia" w:ascii="仿宋" w:hAnsi="仿宋" w:eastAsia="仿宋" w:cs="仿宋"/>
          <w:sz w:val="24"/>
          <w:lang w:val="en-US" w:eastAsia="zh-CN"/>
        </w:rPr>
        <w:t>结合专家意见，参照GB/T 23793合格供应商信用评价规范等标准文件，本标准将碳中和矿山评价结果分为</w:t>
      </w:r>
      <w:r>
        <w:rPr>
          <w:rFonts w:hint="default" w:ascii="仿宋" w:hAnsi="仿宋" w:eastAsia="仿宋" w:cs="仿宋"/>
          <w:sz w:val="24"/>
          <w:lang w:val="en-US" w:eastAsia="zh-CN"/>
        </w:rPr>
        <w:t>AAA级、AA级、A级、B级和C级</w:t>
      </w:r>
      <w:r>
        <w:rPr>
          <w:rFonts w:hint="eastAsia" w:ascii="仿宋" w:hAnsi="仿宋" w:eastAsia="仿宋" w:cs="仿宋"/>
          <w:sz w:val="24"/>
          <w:lang w:val="en-US" w:eastAsia="zh-CN"/>
        </w:rPr>
        <w:t>三等</w:t>
      </w:r>
      <w:r>
        <w:rPr>
          <w:rFonts w:hint="default" w:ascii="仿宋" w:hAnsi="仿宋" w:eastAsia="仿宋" w:cs="仿宋"/>
          <w:sz w:val="24"/>
          <w:lang w:val="en-US" w:eastAsia="zh-CN"/>
        </w:rPr>
        <w:t>五个级别</w:t>
      </w:r>
      <w:r>
        <w:rPr>
          <w:rFonts w:hint="eastAsia" w:ascii="仿宋" w:hAnsi="仿宋" w:eastAsia="仿宋" w:cs="仿宋"/>
          <w:sz w:val="24"/>
          <w:lang w:val="en-US" w:eastAsia="zh-CN"/>
        </w:rPr>
        <w:t>，其中，</w:t>
      </w:r>
      <w:r>
        <w:rPr>
          <w:rFonts w:hint="default" w:ascii="仿宋" w:hAnsi="仿宋" w:eastAsia="仿宋" w:cs="仿宋"/>
          <w:sz w:val="24"/>
          <w:lang w:val="en-US" w:eastAsia="zh-CN"/>
        </w:rPr>
        <w:t>AAA级是碳中和</w:t>
      </w:r>
      <w:r>
        <w:rPr>
          <w:rFonts w:hint="eastAsia" w:ascii="仿宋" w:hAnsi="仿宋" w:eastAsia="仿宋" w:cs="仿宋"/>
          <w:sz w:val="24"/>
          <w:lang w:val="en-US" w:eastAsia="zh-CN"/>
        </w:rPr>
        <w:t>矿山</w:t>
      </w:r>
      <w:r>
        <w:rPr>
          <w:rFonts w:hint="default" w:ascii="仿宋" w:hAnsi="仿宋" w:eastAsia="仿宋" w:cs="仿宋"/>
          <w:sz w:val="24"/>
          <w:lang w:val="en-US" w:eastAsia="zh-CN"/>
        </w:rPr>
        <w:t>评价中的最高等级，C级是碳中和</w:t>
      </w:r>
      <w:r>
        <w:rPr>
          <w:rFonts w:hint="eastAsia" w:ascii="仿宋" w:hAnsi="仿宋" w:eastAsia="仿宋" w:cs="仿宋"/>
          <w:sz w:val="24"/>
          <w:lang w:val="en-US" w:eastAsia="zh-CN"/>
        </w:rPr>
        <w:t>矿山</w:t>
      </w:r>
      <w:r>
        <w:rPr>
          <w:rFonts w:hint="default" w:ascii="仿宋" w:hAnsi="仿宋" w:eastAsia="仿宋" w:cs="仿宋"/>
          <w:sz w:val="24"/>
          <w:lang w:val="en-US" w:eastAsia="zh-CN"/>
        </w:rPr>
        <w:t>评价中的最低等级</w:t>
      </w:r>
      <w:r>
        <w:rPr>
          <w:rFonts w:hint="eastAsia" w:ascii="仿宋" w:hAnsi="仿宋" w:eastAsia="仿宋" w:cs="仿宋"/>
          <w:sz w:val="24"/>
          <w:lang w:val="en-US" w:eastAsia="zh-CN"/>
        </w:rPr>
        <w:t>。</w:t>
      </w:r>
    </w:p>
    <w:p w14:paraId="6BDD078C">
      <w:pPr>
        <w:spacing w:line="300" w:lineRule="auto"/>
        <w:rPr>
          <w:rFonts w:hint="eastAsia" w:ascii="仿宋" w:hAnsi="仿宋" w:eastAsia="仿宋" w:cs="仿宋"/>
          <w:spacing w:val="6"/>
          <w:sz w:val="24"/>
        </w:rPr>
      </w:pPr>
      <w:r>
        <w:rPr>
          <w:rFonts w:hint="eastAsia" w:ascii="仿宋" w:hAnsi="仿宋" w:eastAsia="仿宋" w:cs="仿宋"/>
          <w:b/>
          <w:sz w:val="24"/>
        </w:rPr>
        <w:t>4  标准编制原则及与国家法律法规和强制性标准及有关标准的关系</w:t>
      </w:r>
    </w:p>
    <w:p w14:paraId="19777369">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（4.1 建议从统一性、协调性、适用性、一致性、规范性、目标性等方面写编制原则；</w:t>
      </w:r>
    </w:p>
    <w:p w14:paraId="16933CC4">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建议从目的性原则、性能特性原则、可证实性原则的角度写确定技术要素的原则。</w:t>
      </w:r>
    </w:p>
    <w:p w14:paraId="5253BB70">
      <w:pPr>
        <w:numPr>
          <w:ilvl w:val="0"/>
          <w:numId w:val="0"/>
        </w:numPr>
        <w:spacing w:line="300" w:lineRule="auto"/>
        <w:ind w:firstLine="480" w:firstLineChars="200"/>
        <w:rPr>
          <w:rFonts w:hint="eastAsia"/>
        </w:rPr>
      </w:pPr>
      <w:r>
        <w:rPr>
          <w:rFonts w:hint="eastAsia" w:ascii="仿宋" w:hAnsi="仿宋" w:eastAsia="仿宋" w:cs="仿宋"/>
          <w:sz w:val="24"/>
          <w:lang w:val="en-US" w:eastAsia="zh-CN"/>
        </w:rPr>
        <w:t>本标准根据GB/T 1.1—2020《标准化工作导则 第1部分：标准化文件的结构和起草规则》的要求，按照《中国能源研究会团体标准管理办法》的规定起草。标准编制以碳中和评价为目标，通过评价的统一性、协调性确保标准权威性，依赖规范性、一致性提升评价可操作性，最终通过适用性实现标准落地。确定技术要素时聚焦评价目的性，考虑企业碳排放相关指标特性，通过数据的可核查、可证实性保障可信度，构建“科学严谨、务实高效”的标准。</w:t>
      </w:r>
    </w:p>
    <w:p w14:paraId="298EF8D5">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4.2 写出本标准与标准编制和实施过程涉及到的法律法规、强制性标准的关系。</w:t>
      </w:r>
    </w:p>
    <w:p w14:paraId="27A290BD">
      <w:pPr>
        <w:spacing w:line="300" w:lineRule="auto"/>
        <w:ind w:firstLine="504" w:firstLineChars="200"/>
        <w:rPr>
          <w:rFonts w:hint="eastAsia"/>
        </w:rPr>
      </w:pPr>
      <w:r>
        <w:rPr>
          <w:rFonts w:hint="eastAsia" w:ascii="仿宋" w:hAnsi="仿宋" w:eastAsia="仿宋" w:cs="仿宋"/>
          <w:spacing w:val="6"/>
          <w:sz w:val="24"/>
          <w:highlight w:val="none"/>
        </w:rPr>
        <w:t>制定本标准草案时，充分考虑了国家现行的相关法律法规、国内相关标准的技术要求，确保了本标准草案与其在技术要求上的协调性和一致性。标准草案中的各项规定、技术要求及测试方法均遵循了国家法律法规的框架和指导思想，不与之产生冲突或矛盾。</w:t>
      </w:r>
    </w:p>
    <w:p w14:paraId="6CECBDBF">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4.3 写出本标准与上位标准或其他相关标准相比较，主要技术指标的不同点，如：填补空白、在某标准的基础上细化、提升等。）</w:t>
      </w:r>
    </w:p>
    <w:p w14:paraId="18BDE50E">
      <w:pPr>
        <w:pStyle w:val="2"/>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国际上矿山开采标准主要包括ISO9001质量管理体系认证、ISO14001环境管理体系认证、OHSAS18001职业健康安全管理体系认证等，‌标准涵盖了质量管理、环境保护、职业健康安全等多个方面，确保矿山开采活动的规范化、标准化和可持续性。针对矿山修复，国际上也有相关的标准和指导原则，如ISO26000社会责任标准，要求企业在矿山开采过程中承担起对环境和社会的责任，采取措施进行生态修复和补偿，标准旨在促进矿山的可持续发展，确保在开采的同时进行必要的修复和保护工作‌。针对正在生产的矿山，中国自然资源部自2024年8月1日起实施了四项国家标准，分别是《煤矿土地复垦与生态修复技术规范》《金属矿土地复垦与生态修复技术规范》《石油天然气项目土地复垦与生态修复技术规范》和《矿山土地复垦与生态修复监测评价技术规范‌。然而碳中和矿山评价技术规范的缺失使得矿山企业在碳中和进程中的管理和评估缺乏统一的标准和指导。本标准填补矿山碳中和评价标准空白，能够规范、引导矿山碳中和开展工作。</w:t>
      </w:r>
    </w:p>
    <w:p w14:paraId="51383555">
      <w:pPr>
        <w:spacing w:line="300" w:lineRule="auto"/>
        <w:rPr>
          <w:rFonts w:hint="eastAsia" w:ascii="仿宋" w:hAnsi="仿宋" w:eastAsia="仿宋" w:cs="仿宋"/>
          <w:b/>
          <w:sz w:val="24"/>
        </w:rPr>
      </w:pPr>
      <w:r>
        <w:rPr>
          <w:rFonts w:hint="eastAsia" w:ascii="仿宋" w:hAnsi="仿宋" w:eastAsia="仿宋" w:cs="仿宋"/>
          <w:b/>
          <w:sz w:val="24"/>
        </w:rPr>
        <w:t>5  标准主要技术内容的论据或依据；修订标准时，应增加新、旧标准水平的对比情况</w:t>
      </w:r>
    </w:p>
    <w:p w14:paraId="7462DBE9">
      <w:pPr>
        <w:spacing w:line="300" w:lineRule="auto"/>
        <w:rPr>
          <w:rFonts w:hint="eastAsia" w:ascii="仿宋" w:hAnsi="仿宋" w:eastAsia="仿宋" w:cs="仿宋"/>
          <w:b/>
          <w:sz w:val="24"/>
        </w:rPr>
      </w:pPr>
      <w:r>
        <w:rPr>
          <w:rFonts w:hint="eastAsia" w:ascii="仿宋" w:hAnsi="仿宋" w:eastAsia="仿宋" w:cs="仿宋"/>
          <w:b/>
          <w:sz w:val="24"/>
        </w:rPr>
        <w:t>5.1  标准主要技术内容的论据或依据</w:t>
      </w:r>
    </w:p>
    <w:p w14:paraId="0F9B7847">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（论据如技术指标、参数、公式、性能要求、实验方法、检验规则等；依据包括试验、统计数据。</w:t>
      </w:r>
    </w:p>
    <w:p w14:paraId="5A61EE5E">
      <w:pPr>
        <w:spacing w:line="360" w:lineRule="auto"/>
        <w:ind w:firstLine="480" w:firstLineChars="200"/>
        <w:rPr>
          <w:rFonts w:hint="eastAsia" w:ascii="仿宋" w:hAnsi="仿宋" w:eastAsia="仿宋" w:cs="仿宋"/>
          <w:spacing w:val="6"/>
          <w:sz w:val="24"/>
          <w:highlight w:val="lightGray"/>
        </w:rPr>
      </w:pPr>
      <w:r>
        <w:rPr>
          <w:rFonts w:hint="eastAsia" w:ascii="仿宋" w:hAnsi="仿宋" w:eastAsia="仿宋" w:cs="仿宋"/>
          <w:sz w:val="24"/>
          <w:highlight w:val="lightGray"/>
        </w:rPr>
        <w:t>说明标准的技术思路，明确主要技术内容及其确定依据，</w:t>
      </w:r>
      <w:r>
        <w:rPr>
          <w:rFonts w:hint="eastAsia" w:ascii="仿宋" w:hAnsi="仿宋" w:eastAsia="仿宋" w:cs="仿宋"/>
          <w:spacing w:val="6"/>
          <w:sz w:val="24"/>
          <w:highlight w:val="lightGray"/>
        </w:rPr>
        <w:t>主要编写“标准为什么这样规定”，可从以下四方面的角度编写：</w:t>
      </w:r>
    </w:p>
    <w:p w14:paraId="7A027D49">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一是理论依据，如新的原理、新的方案、新的模型、新的技术要求等；</w:t>
      </w:r>
    </w:p>
    <w:p w14:paraId="4C8D645C">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二是试验依据，例如试验验证情况及结论；</w:t>
      </w:r>
    </w:p>
    <w:p w14:paraId="67500D96">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三是数据依据，例如基于数据样本的统计分析结论；</w:t>
      </w:r>
    </w:p>
    <w:p w14:paraId="0526307A">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四是实践依据，例如经过多型产品应用验证获得结论、经验等。</w:t>
      </w:r>
    </w:p>
    <w:p w14:paraId="251E6AE6">
      <w:pPr>
        <w:spacing w:line="360" w:lineRule="auto"/>
        <w:ind w:firstLine="504" w:firstLineChars="200"/>
        <w:rPr>
          <w:rFonts w:hint="eastAsia" w:ascii="仿宋" w:hAnsi="仿宋" w:eastAsia="仿宋" w:cs="仿宋"/>
          <w:color w:val="FF0000"/>
          <w:spacing w:val="6"/>
          <w:sz w:val="24"/>
          <w:highlight w:val="lightGray"/>
        </w:rPr>
      </w:pPr>
      <w:r>
        <w:rPr>
          <w:rFonts w:hint="eastAsia" w:ascii="仿宋" w:hAnsi="仿宋" w:eastAsia="仿宋" w:cs="仿宋"/>
          <w:color w:val="FF0000"/>
          <w:spacing w:val="6"/>
          <w:sz w:val="24"/>
          <w:highlight w:val="lightGray"/>
        </w:rPr>
        <w:t>以上根据各标准的实际情况选择编写）</w:t>
      </w:r>
    </w:p>
    <w:p w14:paraId="1AF7C456">
      <w:pPr>
        <w:spacing w:line="300" w:lineRule="auto"/>
        <w:ind w:firstLine="504" w:firstLineChars="200"/>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《碳中和矿山评价标准》主要内容包括范围、规范性引用文件、术语和定义、原则和要求、碳中和矿山指标体系的构建、评价边界、评价指标、评价流程、评价方法与结果、碳中和矿山评价报告编制和附录。</w:t>
      </w:r>
    </w:p>
    <w:p w14:paraId="7203517B">
      <w:pPr>
        <w:pStyle w:val="2"/>
        <w:numPr>
          <w:ilvl w:val="0"/>
          <w:numId w:val="21"/>
        </w:numPr>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关于本标准范围</w:t>
      </w:r>
    </w:p>
    <w:p w14:paraId="389DCA92">
      <w:pPr>
        <w:spacing w:line="300" w:lineRule="auto"/>
        <w:ind w:firstLine="504" w:firstLineChars="200"/>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本标准明确规定了矿山运营阶段碳中和评价的各项关键内容，涵盖基本原则、指标体系构建、评价边界确定、评价指标选取、评价流程规范、评价方法及结果判定，以及碳中和评价报告的编制要点等。其适用范围广泛，主要用于指导矿山企业自身开展碳中和自评估工作，同时也为第三方服务机构对矿山进行专业的碳中和评价提供了权威依据，确保在不同主体实施评价时，均能遵循统一、科学的标准，对矿山运营过程中的碳排放情况进行精准评估与有效管理。</w:t>
      </w:r>
    </w:p>
    <w:p w14:paraId="03347F06">
      <w:pPr>
        <w:pStyle w:val="2"/>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（2）关于本标准引用文件</w:t>
      </w:r>
    </w:p>
    <w:p w14:paraId="3EB59CD7">
      <w:pPr>
        <w:pStyle w:val="2"/>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本标准中引用文件为规范性引用，直接引用或参考已有标准中的相关内容，相关应用文件列入了规范性引用文件。</w:t>
      </w:r>
    </w:p>
    <w:p w14:paraId="0B80A48D">
      <w:pPr>
        <w:numPr>
          <w:ilvl w:val="0"/>
          <w:numId w:val="0"/>
        </w:numPr>
        <w:spacing w:line="300" w:lineRule="auto"/>
        <w:ind w:left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（3）</w:t>
      </w:r>
      <w:r>
        <w:rPr>
          <w:rFonts w:hint="eastAsia" w:ascii="仿宋" w:hAnsi="仿宋" w:eastAsia="仿宋" w:cs="仿宋"/>
          <w:spacing w:val="6"/>
          <w:sz w:val="24"/>
          <w:highlight w:val="none"/>
          <w:lang w:val="en-US" w:eastAsia="zh-CN"/>
        </w:rPr>
        <w:t>关于本标准术语和定义</w:t>
      </w:r>
    </w:p>
    <w:p w14:paraId="386814DC">
      <w:p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本标准严格遵循GB/T 32150等标准的相关术语定义，定义了“全球变暖潜势”“二氧化碳当量”等基础概念，使这些术语在矿山碳中和评价领域具有统一且明确的含义。同时，参照GB/T 24067、ISO 14064-2等标准，对“碳抵消”“碳配额”“碳汇”等重要术语进行定义，确保在整个评价过程中，各方对这些术语的理解一致，避免因概念模糊而产生的评价偏差，为评价工作的顺利开展奠定基础。</w:t>
      </w:r>
    </w:p>
    <w:p w14:paraId="617E6C06">
      <w:pPr>
        <w:numPr>
          <w:ilvl w:val="0"/>
          <w:numId w:val="22"/>
        </w:num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关于原则和要求</w:t>
      </w:r>
    </w:p>
    <w:p w14:paraId="3D0C41D9">
      <w:pPr>
        <w:numPr>
          <w:ilvl w:val="0"/>
          <w:numId w:val="0"/>
        </w:num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本标准明确指出，参与碳中和评价的矿山在生产经营活动中，必须严格遵守国家和地方与碳中和、近零排放相关的法律法规、政策及标准，确保矿山运营符合宏观政策导向。在评价过程方面，参照GB/T 32150、GB/T 32151等文件，确立了科学性、透明性、公正性、完整性和准确性的原则。科学性要求评价指标、程序和方法合理，能真实反映矿山碳中和进程；透明性需在遵循相关规定的前提下，对评价程序等进行清晰解释和记录；公正性确保评价遵循统一规则；完整性保证评价内容全面涵盖关键环节；准确性则要求采用统一计算方法保障数据质量，从而得出可靠的评价结论。</w:t>
      </w:r>
    </w:p>
    <w:p w14:paraId="57DD23B0">
      <w:pPr>
        <w:numPr>
          <w:ilvl w:val="0"/>
          <w:numId w:val="22"/>
        </w:numPr>
        <w:ind w:left="0" w:leftChars="0"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关于碳中和矿山指标体系的构建</w:t>
      </w:r>
    </w:p>
    <w:p w14:paraId="7125C86F">
      <w:pPr>
        <w:numPr>
          <w:ilvl w:val="0"/>
          <w:numId w:val="0"/>
        </w:num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该部分构建了全面且系统的指标体系，包含多个子系统。指标体系子系统构建从指标分类、权重、数据要求和动态调整四个方面进行规范，明确核心指标类别、权重分配原则、数据收集要求及更新调整机制。指标体系子系统涵盖评价指标和评价方法，评价指标涉及碳排放、碳减排、能源消耗、碳汇四大板块；评价方法结合矿山实际需求，明确常用技术标准。构建指标体系的结构性子系统包含碳排放监测、碳减排技术应用、碳汇管理、碳中和管理体系四个核心板块，分别规范各环节的标准。决策与应用指标子系统从多维度规范指标，并基于现有标准构建评价技术规范，为矿山运营提供决策依据。</w:t>
      </w:r>
    </w:p>
    <w:p w14:paraId="44744928">
      <w:pPr>
        <w:numPr>
          <w:ilvl w:val="0"/>
          <w:numId w:val="22"/>
        </w:numPr>
        <w:ind w:left="0" w:leftChars="0"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关于评价边界</w:t>
      </w:r>
    </w:p>
    <w:p w14:paraId="0584E26A">
      <w:pPr>
        <w:numPr>
          <w:ilvl w:val="0"/>
          <w:numId w:val="0"/>
        </w:num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在矿山边界方面，建议矿山提交母矿业公司或集团层面的碳中和目标，且母矿业公司需将所有子矿山排放纳入其中，组织边界应与矿山财务会计和报告程序中的边界一致，以保证数据统计和评价范围的一致性和准确性。对于温室气体排放种类，矿山应根据自身开采、加工等活动的实际排放情况，合理确定涉及的温室气体种类，主要包括二氧化碳、甲烷、氧化亚氮等常见气体。评价时间通常以一年为一个周期，便于对矿山的碳排放及碳中和进展进行定期、持续的评估和管理。</w:t>
      </w:r>
    </w:p>
    <w:p w14:paraId="1CE0E8F7">
      <w:pPr>
        <w:numPr>
          <w:ilvl w:val="0"/>
          <w:numId w:val="22"/>
        </w:numPr>
        <w:ind w:left="0" w:leftChars="0"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关于评价指标</w:t>
      </w:r>
    </w:p>
    <w:p w14:paraId="065BCD22">
      <w:pPr>
        <w:numPr>
          <w:ilvl w:val="0"/>
          <w:numId w:val="0"/>
        </w:num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评价内容全面且细致，涵盖矿山碳排放管理、减排措施及生态修复等多个方面。碳排放核算不仅要核算矿山自身各环节的碳排放，还需评估供应链上下游的碳排放情况；减排技术措施关注矿山在开采、加工及运输过程中采用的碳捕集、能效提升等技术；资源循环利用评估矿山对余能、废弃资源的利用程度；可再生能源使用考察矿山对太阳能、风能等可再生能源的开发利用；生态修复与固碳评估生态修复措施及其固碳效果，同时考量生物多样性；低碳管理与政策评价矿山碳管理机制、政策执行情况及内部审计制度。评价指标体系分为一级和二级两级指标，共24项，根据可量化程度分为定量指标和定性指标，分别从不同角度全面衡量矿山的碳中和水平。</w:t>
      </w:r>
    </w:p>
    <w:p w14:paraId="2CD9298B">
      <w:pPr>
        <w:numPr>
          <w:ilvl w:val="0"/>
          <w:numId w:val="22"/>
        </w:numPr>
        <w:ind w:left="0" w:leftChars="0"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关于评价流程</w:t>
      </w:r>
    </w:p>
    <w:p w14:paraId="5B9ECDEB">
      <w:pPr>
        <w:numPr>
          <w:ilvl w:val="0"/>
          <w:numId w:val="0"/>
        </w:num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评价流程主要包括评价准备、实施、报告编制、报告交付、动态评价五个阶段。评价准备阶段需组建专业评价组，制定详细计划，收集矿山碳排放及全生命周期相关资料，同时矿山要制定信息公开计划并收集公众意见。评价实施阶段通过实地调查、数据核查等方式收集证据，核算碳排放量、减排量及抵消量。报告编制阶段要形成包含矿山基本信息、各项碳指标核算结果、评价得分与等级的报告，并分析优势和改进空间。报告交付阶段需经审查合格后交付委托方，并进行归档备案和提供改进建议。动态评价阶段定期对矿山进行跟踪评价，根据矿山技术创新、政策变化等因素重新评估，及时调整评价结果和改进建议。</w:t>
      </w:r>
    </w:p>
    <w:p w14:paraId="659B711F">
      <w:p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（9）关于评价方法与结果</w:t>
      </w:r>
    </w:p>
    <w:p w14:paraId="6FCA788C">
      <w:p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评价采用指标加权综合评分法，总分为100 分。利用大数据技术收集矿山各环节数据，运用人工智能算法进行分析预测，提升数据质量和评分科学性。指标权重可通过德尔菲法或层次分析法获取专家建议并取平均值确定。根据综合得分将碳中和矿山评价结果划分为优秀、中等、较差三等五个级别，分别为AAA 级、AA 级、A 级、B 级和 C 级，不同级别对应不同的得分区间和碳排放抵消比例，直观反映矿山的碳中和水平。</w:t>
      </w:r>
    </w:p>
    <w:p w14:paraId="7C41C83F">
      <w:pPr>
        <w:numPr>
          <w:ilvl w:val="0"/>
          <w:numId w:val="22"/>
        </w:numPr>
        <w:ind w:left="0" w:leftChars="0"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关于碳中和矿山评价报告编制</w:t>
      </w:r>
    </w:p>
    <w:p w14:paraId="0515A029">
      <w:pPr>
        <w:numPr>
          <w:ilvl w:val="0"/>
          <w:numId w:val="0"/>
        </w:numPr>
        <w:ind w:firstLine="504" w:firstLineChars="200"/>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碳中和矿山评价报告应详细记录矿山碳中和的评价结果。基本情况部分涵盖矿山名称、类型、地址等信息；评价目标阐述开展评价的原因和预期成果；评价范围明确矿山碳排放评价的组织边界、排放种类等；评价过程说明评价的程序、方法、数据来源以及各项碳指标的核算情况；评价结果给出矿山的评价等级或分数，明确碳中和达成情况；最后提出针对性的建议，为矿山后续改进和提升碳中和水平提供方向。附录部分给出各类温室气体的全球变暖潜势值，并提供评价报告模板，为评价工作提供便利和参考依据。</w:t>
      </w:r>
    </w:p>
    <w:p w14:paraId="35B7D134">
      <w:pPr>
        <w:pStyle w:val="2"/>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（11）关于本标准附录</w:t>
      </w:r>
    </w:p>
    <w:p w14:paraId="67CC2763">
      <w:pPr>
        <w:pStyle w:val="2"/>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附录在整个标准体系中起着不可或缺的补充和支撑作用，包含了与矿山碳中和评价紧密相关的重要信息，为实际评价工作提供了详细的参考依据和实用的操作模板。</w:t>
      </w:r>
    </w:p>
    <w:p w14:paraId="4BACD49C">
      <w:pPr>
        <w:pStyle w:val="2"/>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附录 A：矿山运营碳中和评价指标体系（规范性附录）：该附录详细规定了矿山运营碳中和评价指标体系及全球变暖潜能值。在评价指标体系中，明确列出了一级指标、二级指标及其权重，对每个指标的含义、计算方式和指标性质都进行了详细说明。如碳排放总量、单位矿产开采量碳排放强度等定量指标，以及碳管理部门设置、碳捕集与封存减排技术应用等定性指标，都有清晰的界定，为准确衡量矿山在各个方面的碳中和表现提供了标准化的工具。同时，给出了全球变暖潜能值（GWP），来源为IPCC Fourth Assessment Report: Climate Change 2007，虽然数据仅供参考，但为矿山温室气体排放核算时将不同温室气体转化为二氧化碳当量提供了关键的换算依据，确保在评价过程中对各类温室气体排放影响的评估具有一致性和科学性。</w:t>
      </w:r>
    </w:p>
    <w:p w14:paraId="5158DC6D">
      <w:pPr>
        <w:pStyle w:val="2"/>
        <w:rPr>
          <w:rFonts w:hint="default"/>
          <w:lang w:val="en-US" w:eastAsia="zh-CN"/>
        </w:rPr>
      </w:pPr>
      <w:r>
        <w:rPr>
          <w:rFonts w:hint="eastAsia" w:ascii="仿宋" w:hAnsi="仿宋" w:eastAsia="仿宋" w:cs="仿宋"/>
          <w:spacing w:val="6"/>
          <w:kern w:val="2"/>
          <w:sz w:val="24"/>
          <w:szCs w:val="24"/>
          <w:highlight w:val="none"/>
          <w:lang w:val="en-US" w:eastAsia="zh-CN" w:bidi="ar-SA"/>
        </w:rPr>
        <w:t>附录 B：碳中和矿山评价报告模板（资料性附录）：此附录提供了一份标准化的碳中和矿山评价报告模板，涵盖了评价报告应包含的主要内容框架。报告模板包括基本情况，记录矿山评价的委托方、评价方、报告日期及评价依据的标准；评价目标部分，阐述开展评价的原因和预期达成的目标；评价范围明确矿山运营的核算边界和时间范围；评价过程详细说明数据收集整理、碳排放量核算、碳减排量核算以及碳抵消方式及抵销量核算的具体过程；评价结果呈现矿山碳中和评价得分和等级；最后是结论与建议，总结评价结果并针对矿山存在的问题提出改进建议。这份模板为评价机构和矿山企业编制评价报告提供了统一规范的格式，有助于提高报告的规范性和可读性，方便各方理解和使用评价结果。</w:t>
      </w:r>
    </w:p>
    <w:p w14:paraId="2E33D55C">
      <w:pPr>
        <w:spacing w:line="300" w:lineRule="auto"/>
        <w:rPr>
          <w:rFonts w:hint="eastAsia" w:ascii="仿宋" w:hAnsi="仿宋" w:eastAsia="仿宋" w:cs="仿宋"/>
          <w:b/>
          <w:sz w:val="24"/>
        </w:rPr>
      </w:pPr>
      <w:r>
        <w:rPr>
          <w:rFonts w:hint="eastAsia" w:ascii="仿宋" w:hAnsi="仿宋" w:eastAsia="仿宋" w:cs="仿宋"/>
          <w:b/>
          <w:sz w:val="24"/>
        </w:rPr>
        <w:t>5.2  修订标准时，应增加新、旧标准水平的对比</w:t>
      </w:r>
    </w:p>
    <w:p w14:paraId="158CF427">
      <w:pPr>
        <w:spacing w:line="30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无</w:t>
      </w:r>
    </w:p>
    <w:p w14:paraId="5B7F4BD1">
      <w:pPr>
        <w:spacing w:line="300" w:lineRule="auto"/>
        <w:rPr>
          <w:rFonts w:hint="eastAsia" w:ascii="仿宋" w:hAnsi="仿宋" w:eastAsia="仿宋" w:cs="仿宋"/>
          <w:b/>
          <w:sz w:val="24"/>
        </w:rPr>
      </w:pPr>
      <w:r>
        <w:rPr>
          <w:rFonts w:hint="eastAsia" w:ascii="仿宋" w:hAnsi="仿宋" w:eastAsia="仿宋" w:cs="仿宋"/>
          <w:b/>
          <w:sz w:val="24"/>
        </w:rPr>
        <w:t>6  主要试验（验证）的分析、综述报告，技术经济论证，预期的经济效果</w:t>
      </w:r>
    </w:p>
    <w:p w14:paraId="3D8C6DFD">
      <w:pPr>
        <w:spacing w:line="300" w:lineRule="auto"/>
        <w:rPr>
          <w:rFonts w:hint="eastAsia" w:ascii="仿宋" w:hAnsi="仿宋" w:eastAsia="仿宋" w:cs="仿宋"/>
          <w:b/>
          <w:sz w:val="24"/>
        </w:rPr>
      </w:pPr>
      <w:r>
        <w:rPr>
          <w:rFonts w:hint="eastAsia" w:ascii="仿宋" w:hAnsi="仿宋" w:eastAsia="仿宋" w:cs="仿宋"/>
          <w:b/>
          <w:sz w:val="24"/>
        </w:rPr>
        <w:t>6.1  主要试验（验证）的分析</w:t>
      </w:r>
    </w:p>
    <w:p w14:paraId="4F644D50">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（说明试验验证工作开展情况、试验验证报告或分析验证报告等。）</w:t>
      </w:r>
    </w:p>
    <w:p w14:paraId="785A9216">
      <w:pPr>
        <w:pStyle w:val="2"/>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1）标准编制过程中，矿山温室气体核算主要参考了GB/T 32150-2015《工业企业温室气体排放核算和报告通则》、GB/T 32151（所有部分）《温室气体排放核算与报告要求》、ISO 14064-1:2018《温室气体排放与清除的量化和报告规范》、GHG Protocol《温室气体核算体系》等文件，确保与现行主流的核算方法保持一致。在矿山碳中和评价方面，主要参照了GB/T 39780-2020《碳达峰碳中和标准体系建设指南》、ISO 14068-1《气候变化管理 向净零过渡 第1部分：碳中和》、PAS 2060:2014《碳中和证明规范》，以及行业内针对矿山生态修复与固碳的相关技术规范等文件要求，使标准在矿山碳中和评价领域具有科学性和权威性。</w:t>
      </w:r>
    </w:p>
    <w:p w14:paraId="0B7C6B0F">
      <w:pPr>
        <w:pStyle w:val="2"/>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2）标准编制过程中，对多家矿山企业及相关科研机构进行了广泛调研。部分矿山企业对文件草案中规定的矿山边界确定、生态修复固碳量核算、碳抵消方式等内容提出了宝贵建议。同时，科研机构针对指标体系的科学性和完整性给出了专业意见。标准编制组对这些建议和意见进行了深入论证和反复修改。修改后的标准在再次征求企业和科研机构意见时，得到了高度认可，他们认为标准技术内容紧密贴合矿山碳中和的实际情况，在指导矿山开展碳中和工作、规范第三方评价等方面具有很强的实用性和可操作性。</w:t>
      </w:r>
    </w:p>
    <w:p w14:paraId="55F6DE10">
      <w:pPr>
        <w:spacing w:line="300" w:lineRule="auto"/>
        <w:rPr>
          <w:rFonts w:hint="eastAsia" w:ascii="仿宋" w:hAnsi="仿宋" w:eastAsia="仿宋" w:cs="仿宋"/>
          <w:b/>
          <w:sz w:val="24"/>
        </w:rPr>
      </w:pPr>
      <w:r>
        <w:rPr>
          <w:rFonts w:hint="eastAsia" w:ascii="仿宋" w:hAnsi="仿宋" w:eastAsia="仿宋" w:cs="仿宋"/>
          <w:b/>
          <w:sz w:val="24"/>
        </w:rPr>
        <w:t>6.2  综述报告</w:t>
      </w:r>
    </w:p>
    <w:p w14:paraId="7AB1EA25">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标准提出的评价指标体系科学合理，充分践行了科学性、透明性、公正性、完整性和准确性的原则。该评价指标体系所需的相关数据，矿山可借助现有的能源监测系统、生产记录台账以及生态修复监测数据等渠道获取，基于这些数据，利用本标准规定的评价方法，能够顺利开展矿山碳中和评价工作。评价结果以报告形式呈现，清晰展示各项数据和分析过程，明确认定矿山的碳中和等级，为矿山在碳中和发展道路上提供明确的方向指引。本标准引用参考的GB/T 32150、ISO 14064系列等各项标准，在行业内已得到广泛应用与认可，有力保障了本标准的权威性和可靠性。</w:t>
      </w:r>
    </w:p>
    <w:p w14:paraId="16708195">
      <w:pPr>
        <w:spacing w:line="300" w:lineRule="auto"/>
        <w:rPr>
          <w:rFonts w:hint="eastAsia" w:ascii="仿宋" w:hAnsi="仿宋" w:eastAsia="仿宋" w:cs="仿宋"/>
          <w:b/>
          <w:sz w:val="24"/>
        </w:rPr>
      </w:pPr>
      <w:r>
        <w:rPr>
          <w:rFonts w:hint="eastAsia" w:ascii="仿宋" w:hAnsi="仿宋" w:eastAsia="仿宋" w:cs="仿宋"/>
          <w:b/>
          <w:sz w:val="24"/>
        </w:rPr>
        <w:t>6.3  技术经济论证</w:t>
      </w:r>
    </w:p>
    <w:p w14:paraId="7527F995">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在经济效益层面，其能够推动矿山优化生产流程，提升资源利用率，进而提高生产效率。通过精准的碳排放核算与有效的减排措施，矿山可降低能源消耗成本，减少因碳排放带来的潜在经济风险，增强自身在行业内的竞争力。此外，随着矿山碳中和水平的提升，还能吸引更多投资与合作机会，增加收入。从产业链角度来看，矿山在实现碳中和过程中，会带动上下游产业对低碳技术、环保设备的需求，促进相关产业的技术创新与发展，从而推动整个产业链的升级，有力带动整体经济的增长。在社会效益方面，标准的实施有助于全社会形成节能减排的良好风气，减少温室气体排放，改善生态环境质量，提高人们的生活品质。矿山积极践行碳中和标准，还能增强社会对其的认可与信任，提升企业形象，促进社会和谐稳定。同时，在标准推行过程中，会创造新的就业岗位，涵盖碳管理、生态修复等领域，为社会提供更多就业机会，进一步维护社会的稳定与发展。</w:t>
      </w:r>
    </w:p>
    <w:p w14:paraId="199EBBC6">
      <w:pPr>
        <w:spacing w:line="300" w:lineRule="auto"/>
        <w:rPr>
          <w:rFonts w:hint="eastAsia" w:ascii="仿宋" w:hAnsi="仿宋" w:eastAsia="仿宋" w:cs="仿宋"/>
          <w:b/>
          <w:sz w:val="24"/>
        </w:rPr>
      </w:pPr>
      <w:r>
        <w:rPr>
          <w:rFonts w:hint="eastAsia" w:ascii="仿宋" w:hAnsi="仿宋" w:eastAsia="仿宋" w:cs="仿宋"/>
          <w:b/>
          <w:sz w:val="24"/>
        </w:rPr>
        <w:t>6.4  预期的经济效果</w:t>
      </w:r>
    </w:p>
    <w:p w14:paraId="79964B1B">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（说明该标准实施后能带来的经济效益。）</w:t>
      </w:r>
    </w:p>
    <w:p w14:paraId="6A69715B">
      <w:pPr>
        <w:pStyle w:val="2"/>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在政府管理方面，该标准为政府有关部门评价矿山的碳中和进程提供了清晰、明确的依据，有助于政府精准掌握矿山在碳排放管理、节能减排措施实施、生态修复固碳等方面的进展情况。借助这一标准，政府能够更科学地将碳排放管控要求融入现行重点用能单位管理制度，加强对矿山这类重点用能和碳排放单位的监管力度，确保各项节能降碳管理要求得到有效落实。对企业自身发展而言，标准的实施推动矿山进一步完善节能降碳管理制度，促使矿山从开采、加工到生态修复等全流程优化管理模式，采用先进的低碳技术和设备，提升能源利用效率，减少碳排放。这不仅有利于矿山提升自身的可持续发展能力，还能带动整个行业朝着绿色低碳方向转型。众多矿山积极响应并落实标准要求，将有力加速我国企业碳中和的健康发展，为我国在 2060 年顺利实现碳中和目标提供坚实支撑。</w:t>
      </w:r>
    </w:p>
    <w:p w14:paraId="15CC4325">
      <w:pPr>
        <w:spacing w:line="300" w:lineRule="auto"/>
        <w:rPr>
          <w:rFonts w:hint="eastAsia" w:ascii="仿宋" w:hAnsi="仿宋" w:eastAsia="仿宋" w:cs="仿宋"/>
          <w:b/>
          <w:sz w:val="24"/>
        </w:rPr>
      </w:pPr>
      <w:r>
        <w:rPr>
          <w:rFonts w:hint="eastAsia" w:ascii="仿宋" w:hAnsi="仿宋" w:eastAsia="仿宋" w:cs="仿宋"/>
          <w:b/>
          <w:sz w:val="24"/>
        </w:rPr>
        <w:t>7  采用国际标准的程度及水平的简要说明</w:t>
      </w:r>
    </w:p>
    <w:p w14:paraId="5838B17D">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（协会团体标准要采用国际标准或国外标准前，需先解决版权问题。因此非必要，不采标。）</w:t>
      </w:r>
    </w:p>
    <w:p w14:paraId="4D8B46DF">
      <w:pPr>
        <w:pStyle w:val="2"/>
        <w:rPr>
          <w:rFonts w:hint="eastAsia" w:eastAsia="仿宋"/>
          <w:highlight w:val="none"/>
          <w:lang w:val="en-US" w:eastAsia="zh-CN"/>
        </w:rPr>
      </w:pPr>
      <w:r>
        <w:rPr>
          <w:rFonts w:hint="eastAsia" w:ascii="仿宋" w:hAnsi="仿宋" w:eastAsia="仿宋" w:cs="仿宋"/>
          <w:spacing w:val="6"/>
          <w:sz w:val="24"/>
          <w:highlight w:val="none"/>
          <w:lang w:val="en-US" w:eastAsia="zh-CN"/>
        </w:rPr>
        <w:t>无。</w:t>
      </w:r>
    </w:p>
    <w:p w14:paraId="11FDFA74">
      <w:pPr>
        <w:spacing w:line="300" w:lineRule="auto"/>
        <w:rPr>
          <w:rFonts w:hint="eastAsia" w:ascii="仿宋" w:hAnsi="仿宋" w:eastAsia="仿宋" w:cs="仿宋"/>
          <w:b/>
          <w:sz w:val="24"/>
        </w:rPr>
      </w:pPr>
      <w:r>
        <w:rPr>
          <w:rFonts w:hint="eastAsia" w:ascii="仿宋" w:hAnsi="仿宋" w:eastAsia="仿宋" w:cs="仿宋"/>
          <w:b/>
          <w:sz w:val="24"/>
        </w:rPr>
        <w:t>8  重大分歧意见的处理经过和依据</w:t>
      </w:r>
    </w:p>
    <w:p w14:paraId="577DF926">
      <w:pPr>
        <w:spacing w:line="36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（什么时候在什么阶段与什么单位就标准的什么内容出现了重大分歧；分歧意见是什么；主编单位采取了什么方式与意见提出单位（或提出专家）进行沟通协商，达成什么样的结果；在标准中如何体现。）</w:t>
      </w:r>
    </w:p>
    <w:p w14:paraId="16CC0BD0">
      <w:pPr>
        <w:spacing w:line="30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无。</w:t>
      </w:r>
    </w:p>
    <w:p w14:paraId="2CEDD858">
      <w:pPr>
        <w:spacing w:line="300" w:lineRule="auto"/>
        <w:rPr>
          <w:rFonts w:hint="eastAsia" w:ascii="仿宋" w:hAnsi="仿宋" w:eastAsia="仿宋" w:cs="仿宋"/>
          <w:b/>
          <w:sz w:val="24"/>
        </w:rPr>
      </w:pPr>
      <w:r>
        <w:rPr>
          <w:rFonts w:hint="eastAsia" w:ascii="仿宋" w:hAnsi="仿宋" w:eastAsia="仿宋" w:cs="仿宋"/>
          <w:b/>
          <w:sz w:val="24"/>
        </w:rPr>
        <w:t>9  贯彻标准的要求和措施建议（包括组织措施、技术措施、过渡办法等内容）</w:t>
      </w:r>
    </w:p>
    <w:p w14:paraId="3B918122">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w:t>
      </w:r>
      <w:r>
        <w:rPr>
          <w:rFonts w:hint="eastAsia" w:ascii="仿宋" w:hAnsi="仿宋" w:eastAsia="仿宋" w:cs="仿宋"/>
          <w:sz w:val="24"/>
          <w:highlight w:val="lightGray"/>
        </w:rPr>
        <w:t>标准培训工作的要求和建议；关于推广应用标准的手段和方式建议；关于标准贯彻效果检查和评估的建议。</w:t>
      </w:r>
      <w:r>
        <w:rPr>
          <w:rFonts w:hint="eastAsia" w:ascii="仿宋" w:hAnsi="仿宋" w:eastAsia="仿宋" w:cs="仿宋"/>
          <w:spacing w:val="6"/>
          <w:sz w:val="24"/>
          <w:highlight w:val="lightGray"/>
        </w:rPr>
        <w:t>）</w:t>
      </w:r>
    </w:p>
    <w:p w14:paraId="0A40FA9E">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建议本标准在完成审定、报批流程后尽快予以颁布，标委会应及时开展宣贯和实施工作。鉴于本标准是初次制定，为使矿山企业有充足时间理解和适应，建议设定一段合理的过渡期。本标准所涉及的技术在矿山领域已较为成熟，关键在于落地实施。为加速推进碳达峰碳中和的战略目标，建议本标准的发布日期与实施日期之间间隔三个月。</w:t>
      </w:r>
    </w:p>
    <w:p w14:paraId="5813D509">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构建涵盖标准制定、宣贯、执行、监督、改进的全流程闭环管理体系，借助标准试点应用的方式逐步推广。考虑到不同矿山类型的差异，必要时可依据煤矿、金属矿等不同特点制定差异化实施方案。建议从组织保障、试点应用、宣贯培训、宣传推广和效果评估等多方面推动标准的贯彻落实。在组织保障方面，由矿山行业主管部门牵头，联合行业协会、大型矿山企业、相关科研机构共同组建专项工作小组，明确详细的实施计划和时间节点，例如第一年选取部分典型矿山进行试点，第二年在一定范围内推广，第三年争取实现行业全面覆盖；建立跨部门、跨行业的联席会议机制，及时解决标准执行过程中出现的冲突问题；设立矿山企业联络员制度，广泛收集一线反馈信息，以便对标准进行动态调整和优化。在试点应用方面，从煤炭开采、金属矿开采等不同类型的矿山企业中选取具有代表性的试点单位开展评估工作，通过“试点</w:t>
      </w:r>
      <w:r>
        <w:rPr>
          <w:rFonts w:hint="eastAsia" w:ascii="仿宋" w:hAnsi="仿宋" w:eastAsia="仿宋" w:cs="仿宋"/>
          <w:spacing w:val="6"/>
          <w:sz w:val="24"/>
          <w:lang w:val="en-US" w:eastAsia="zh-CN"/>
        </w:rPr>
        <w:t>-</w:t>
      </w:r>
      <w:r>
        <w:rPr>
          <w:rFonts w:hint="eastAsia" w:ascii="仿宋" w:hAnsi="仿宋" w:eastAsia="仿宋" w:cs="仿宋"/>
          <w:spacing w:val="6"/>
          <w:sz w:val="24"/>
        </w:rPr>
        <w:t>反馈</w:t>
      </w:r>
      <w:r>
        <w:rPr>
          <w:rFonts w:hint="eastAsia" w:ascii="仿宋" w:hAnsi="仿宋" w:eastAsia="仿宋" w:cs="仿宋"/>
          <w:spacing w:val="6"/>
          <w:sz w:val="24"/>
          <w:lang w:val="en-US" w:eastAsia="zh-CN"/>
        </w:rPr>
        <w:t>-</w:t>
      </w:r>
      <w:r>
        <w:rPr>
          <w:rFonts w:hint="eastAsia" w:ascii="仿宋" w:hAnsi="仿宋" w:eastAsia="仿宋" w:cs="仿宋"/>
          <w:spacing w:val="6"/>
          <w:sz w:val="24"/>
        </w:rPr>
        <w:t>修正”的循环模式，不断完善标准的细节内容。在宣贯与培训方面，制定分层分类的培训方案，针对矿山企业的管理层，举办高层论坛、组织前往先进矿山企业参观学习；针对执行层员工，开展标准条款的深度解读和实际操作技能培训。在宣传推广方面，借助行业专业会议、矿山领域权威媒体等渠道发布标准内容，提升其公信力；同时，制作生动形象的短视频、漫画等资料，以通俗易懂的方式解读标准。在效果评估方面，建立多维度的评估体系，重点评估标准在矿山企业中的覆盖率、合规率以及问题整改率，跟踪矿山企业实施标准后节能减排的成效（如煤炭开采能耗降低比例等指标）；定期开展矿山企业满意度调查，开通线上反馈平台，构建动态反馈机制，根据反馈情况适时对标准进行完善。</w:t>
      </w:r>
    </w:p>
    <w:p w14:paraId="0BE09264">
      <w:pPr>
        <w:spacing w:line="300" w:lineRule="auto"/>
        <w:rPr>
          <w:rFonts w:hint="eastAsia" w:ascii="仿宋" w:hAnsi="仿宋" w:eastAsia="仿宋" w:cs="仿宋"/>
          <w:b/>
          <w:sz w:val="24"/>
        </w:rPr>
      </w:pPr>
      <w:r>
        <w:rPr>
          <w:rFonts w:hint="eastAsia" w:ascii="仿宋" w:hAnsi="仿宋" w:eastAsia="仿宋" w:cs="仿宋"/>
          <w:b/>
          <w:sz w:val="24"/>
        </w:rPr>
        <w:t>10  其他应予说明的事项，如涉及专利的处理等</w:t>
      </w:r>
    </w:p>
    <w:p w14:paraId="415CAAD2">
      <w:pPr>
        <w:spacing w:line="300" w:lineRule="auto"/>
        <w:rPr>
          <w:rFonts w:hint="eastAsia" w:ascii="仿宋" w:hAnsi="仿宋" w:eastAsia="仿宋" w:cs="仿宋"/>
          <w:sz w:val="24"/>
          <w:highlight w:val="lightGray"/>
        </w:rPr>
      </w:pPr>
      <w:r>
        <w:rPr>
          <w:rFonts w:hint="eastAsia" w:ascii="仿宋" w:hAnsi="仿宋" w:eastAsia="仿宋" w:cs="仿宋"/>
          <w:sz w:val="24"/>
          <w:highlight w:val="lightGray"/>
        </w:rPr>
        <w:t>（写出项目变更信息等。</w:t>
      </w:r>
    </w:p>
    <w:p w14:paraId="1B11FF60">
      <w:pPr>
        <w:spacing w:line="36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写出标准与专利的关系。只有符合下列条件时才考虑在标准中纳入专利 ：</w:t>
      </w:r>
    </w:p>
    <w:p w14:paraId="1C7ECB7C">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一是从技术角度考虑确实无法避免涉及专利，即涉及的是必要专利；</w:t>
      </w:r>
    </w:p>
    <w:p w14:paraId="47512412">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二是专利持有人在自愿的基础上，向标准发布机构提交书面声明，同意可以免费使用其专利，或愿意同任何申请人在合理且无歧视的条款和条件下就专利授权许可进行谈判。</w:t>
      </w:r>
    </w:p>
    <w:p w14:paraId="0EE1A015">
      <w:pPr>
        <w:spacing w:line="360" w:lineRule="auto"/>
        <w:ind w:firstLine="504" w:firstLineChars="200"/>
        <w:rPr>
          <w:rFonts w:hint="eastAsia" w:ascii="仿宋" w:hAnsi="仿宋" w:eastAsia="仿宋" w:cs="仿宋"/>
          <w:sz w:val="24"/>
          <w:highlight w:val="lightGray"/>
        </w:rPr>
      </w:pPr>
      <w:r>
        <w:rPr>
          <w:rFonts w:hint="eastAsia" w:ascii="仿宋" w:hAnsi="仿宋" w:eastAsia="仿宋" w:cs="仿宋"/>
          <w:spacing w:val="6"/>
          <w:sz w:val="24"/>
          <w:highlight w:val="lightGray"/>
        </w:rPr>
        <w:t>无论标准包含的</w:t>
      </w:r>
      <w:r>
        <w:rPr>
          <w:rFonts w:hint="eastAsia" w:ascii="仿宋" w:hAnsi="仿宋" w:eastAsia="仿宋" w:cs="仿宋"/>
          <w:spacing w:val="8"/>
          <w:sz w:val="24"/>
          <w:highlight w:val="lightGray"/>
          <w:shd w:val="clear" w:color="auto" w:fill="FFFFFF"/>
        </w:rPr>
        <w:t>专利属于上述哪种条件，都应当在标准编制说明中进行说明。</w:t>
      </w:r>
      <w:r>
        <w:rPr>
          <w:rFonts w:hint="eastAsia" w:ascii="仿宋" w:hAnsi="仿宋" w:eastAsia="仿宋" w:cs="仿宋"/>
          <w:sz w:val="24"/>
          <w:highlight w:val="lightGray"/>
        </w:rPr>
        <w:t>）</w:t>
      </w:r>
    </w:p>
    <w:p w14:paraId="00C6FB6E">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无。</w:t>
      </w:r>
    </w:p>
    <w:p w14:paraId="105ED5C6">
      <w:pPr>
        <w:pStyle w:val="2"/>
        <w:rPr>
          <w:rFonts w:hint="eastAsia" w:ascii="仿宋" w:hAnsi="仿宋" w:eastAsia="仿宋" w:cs="仿宋"/>
          <w:sz w:val="24"/>
          <w:highlight w:val="none"/>
          <w:lang w:val="en-US" w:eastAsia="zh-CN"/>
        </w:rPr>
      </w:pPr>
    </w:p>
    <w:p w14:paraId="223A78B9">
      <w:pPr>
        <w:rPr>
          <w:rFonts w:hint="eastAsia" w:ascii="仿宋" w:hAnsi="仿宋" w:eastAsia="仿宋" w:cs="仿宋"/>
          <w:sz w:val="24"/>
          <w:highlight w:val="none"/>
          <w:lang w:val="en-US" w:eastAsia="zh-CN"/>
        </w:rPr>
      </w:pPr>
    </w:p>
    <w:p w14:paraId="7BD623E0">
      <w:pPr>
        <w:pStyle w:val="2"/>
        <w:rPr>
          <w:rFonts w:hint="eastAsia" w:ascii="仿宋" w:hAnsi="仿宋" w:eastAsia="仿宋" w:cs="仿宋"/>
          <w:sz w:val="24"/>
          <w:highlight w:val="none"/>
          <w:lang w:val="en-US" w:eastAsia="zh-CN"/>
        </w:rPr>
      </w:pPr>
    </w:p>
    <w:p w14:paraId="655166ED">
      <w:pPr>
        <w:rPr>
          <w:rFonts w:hint="eastAsia" w:ascii="仿宋" w:hAnsi="仿宋" w:eastAsia="仿宋" w:cs="仿宋"/>
          <w:sz w:val="24"/>
          <w:highlight w:val="none"/>
          <w:lang w:val="en-US" w:eastAsia="zh-CN"/>
        </w:rPr>
      </w:pPr>
    </w:p>
    <w:p w14:paraId="4142C5C6">
      <w:pPr>
        <w:pStyle w:val="2"/>
        <w:rPr>
          <w:rFonts w:hint="eastAsia" w:ascii="仿宋" w:hAnsi="仿宋" w:eastAsia="仿宋" w:cs="仿宋"/>
          <w:sz w:val="24"/>
          <w:highlight w:val="none"/>
          <w:lang w:val="en-US" w:eastAsia="zh-CN"/>
        </w:rPr>
      </w:pPr>
    </w:p>
    <w:p w14:paraId="63A490A1">
      <w:pPr>
        <w:pStyle w:val="2"/>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团体标准工作组</w:t>
      </w:r>
    </w:p>
    <w:p w14:paraId="3AAC1E91">
      <w:pPr>
        <w:pStyle w:val="2"/>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2025年3月31日</w:t>
      </w:r>
    </w:p>
    <w:p w14:paraId="6680D63E">
      <w:pPr>
        <w:rPr>
          <w:rFonts w:hint="eastAsia"/>
          <w:lang w:val="en-US" w:eastAsia="zh-CN"/>
        </w:rPr>
      </w:pPr>
    </w:p>
    <w:sectPr>
      <w:pgSz w:w="11906" w:h="16838"/>
      <w:pgMar w:top="1418" w:right="1134" w:bottom="1134" w:left="1418" w:header="993"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75707"/>
    <w:multiLevelType w:val="singleLevel"/>
    <w:tmpl w:val="9EC75707"/>
    <w:lvl w:ilvl="0" w:tentative="0">
      <w:start w:val="1"/>
      <w:numFmt w:val="decimal"/>
      <w:suff w:val="nothing"/>
      <w:lvlText w:val="%1）"/>
      <w:lvlJc w:val="left"/>
    </w:lvl>
  </w:abstractNum>
  <w:abstractNum w:abstractNumId="1">
    <w:nsid w:val="D5A329EE"/>
    <w:multiLevelType w:val="singleLevel"/>
    <w:tmpl w:val="D5A329EE"/>
    <w:lvl w:ilvl="0" w:tentative="0">
      <w:start w:val="1"/>
      <w:numFmt w:val="decimal"/>
      <w:suff w:val="nothing"/>
      <w:lvlText w:val="（%1）"/>
      <w:lvlJc w:val="left"/>
    </w:lvl>
  </w:abstractNum>
  <w:abstractNum w:abstractNumId="2">
    <w:nsid w:val="DE7CAB98"/>
    <w:multiLevelType w:val="singleLevel"/>
    <w:tmpl w:val="DE7CAB98"/>
    <w:lvl w:ilvl="0" w:tentative="0">
      <w:start w:val="4"/>
      <w:numFmt w:val="decimal"/>
      <w:suff w:val="nothing"/>
      <w:lvlText w:val="（%1）"/>
      <w:lvlJc w:val="left"/>
    </w:lvl>
  </w:abstractNum>
  <w:abstractNum w:abstractNumId="3">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pStyle w:val="4"/>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983844"/>
    <w:multiLevelType w:val="multilevel"/>
    <w:tmpl w:val="0D983844"/>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05E14EC"/>
    <w:multiLevelType w:val="multilevel"/>
    <w:tmpl w:val="105E14EC"/>
    <w:lvl w:ilvl="0" w:tentative="0">
      <w:start w:val="1"/>
      <w:numFmt w:val="lowerLetter"/>
      <w:pStyle w:val="17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pStyle w:val="52"/>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3"/>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2827D5B"/>
    <w:multiLevelType w:val="multilevel"/>
    <w:tmpl w:val="22827D5B"/>
    <w:lvl w:ilvl="0" w:tentative="0">
      <w:start w:val="1"/>
      <w:numFmt w:val="none"/>
      <w:pStyle w:val="7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91"/>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84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840" w:firstLine="0"/>
      </w:pPr>
      <w:rPr>
        <w:rFonts w:hint="eastAsia" w:ascii="黑体" w:hAnsi="Times New Roman" w:eastAsia="黑体"/>
        <w:b w:val="0"/>
        <w:i w:val="0"/>
        <w:sz w:val="21"/>
      </w:rPr>
    </w:lvl>
    <w:lvl w:ilvl="3" w:tentative="0">
      <w:start w:val="1"/>
      <w:numFmt w:val="decimal"/>
      <w:pStyle w:val="95"/>
      <w:suff w:val="nothing"/>
      <w:lvlText w:val="%1.%2.%3.%4　"/>
      <w:lvlJc w:val="left"/>
      <w:pPr>
        <w:ind w:left="840" w:firstLine="0"/>
      </w:pPr>
      <w:rPr>
        <w:rFonts w:hint="eastAsia" w:ascii="黑体" w:hAnsi="Times New Roman" w:eastAsia="黑体"/>
        <w:b w:val="0"/>
        <w:i w:val="0"/>
        <w:sz w:val="21"/>
      </w:rPr>
    </w:lvl>
    <w:lvl w:ilvl="4" w:tentative="0">
      <w:start w:val="1"/>
      <w:numFmt w:val="decimal"/>
      <w:pStyle w:val="100"/>
      <w:suff w:val="nothing"/>
      <w:lvlText w:val="%1.%2.%3.%4.%5　"/>
      <w:lvlJc w:val="left"/>
      <w:pPr>
        <w:ind w:left="840" w:firstLine="0"/>
      </w:pPr>
      <w:rPr>
        <w:rFonts w:hint="eastAsia" w:ascii="黑体" w:hAnsi="Times New Roman" w:eastAsia="黑体"/>
        <w:b w:val="0"/>
        <w:i w:val="0"/>
        <w:sz w:val="21"/>
      </w:rPr>
    </w:lvl>
    <w:lvl w:ilvl="5" w:tentative="0">
      <w:start w:val="1"/>
      <w:numFmt w:val="decimal"/>
      <w:pStyle w:val="103"/>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9">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7933628F"/>
    <w:multiLevelType w:val="multilevel"/>
    <w:tmpl w:val="7933628F"/>
    <w:lvl w:ilvl="0" w:tentative="0">
      <w:start w:val="1"/>
      <w:numFmt w:val="lowerLetter"/>
      <w:pStyle w:val="6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5"/>
  </w:num>
  <w:num w:numId="2">
    <w:abstractNumId w:val="14"/>
  </w:num>
  <w:num w:numId="3">
    <w:abstractNumId w:val="10"/>
  </w:num>
  <w:num w:numId="4">
    <w:abstractNumId w:val="13"/>
  </w:num>
  <w:num w:numId="5">
    <w:abstractNumId w:val="21"/>
  </w:num>
  <w:num w:numId="6">
    <w:abstractNumId w:val="20"/>
  </w:num>
  <w:num w:numId="7">
    <w:abstractNumId w:val="3"/>
  </w:num>
  <w:num w:numId="8">
    <w:abstractNumId w:val="15"/>
  </w:num>
  <w:num w:numId="9">
    <w:abstractNumId w:val="11"/>
  </w:num>
  <w:num w:numId="10">
    <w:abstractNumId w:val="9"/>
  </w:num>
  <w:num w:numId="11">
    <w:abstractNumId w:val="18"/>
  </w:num>
  <w:num w:numId="12">
    <w:abstractNumId w:val="16"/>
  </w:num>
  <w:num w:numId="13">
    <w:abstractNumId w:val="19"/>
  </w:num>
  <w:num w:numId="14">
    <w:abstractNumId w:val="12"/>
  </w:num>
  <w:num w:numId="15">
    <w:abstractNumId w:val="4"/>
  </w:num>
  <w:num w:numId="16">
    <w:abstractNumId w:val="7"/>
  </w:num>
  <w:num w:numId="17">
    <w:abstractNumId w:val="17"/>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E3D"/>
    <w:rsid w:val="00003F75"/>
    <w:rsid w:val="00003F8A"/>
    <w:rsid w:val="00004DA4"/>
    <w:rsid w:val="0000586F"/>
    <w:rsid w:val="0000693A"/>
    <w:rsid w:val="00010B01"/>
    <w:rsid w:val="00010F23"/>
    <w:rsid w:val="00011970"/>
    <w:rsid w:val="0001221C"/>
    <w:rsid w:val="000134DF"/>
    <w:rsid w:val="00013D86"/>
    <w:rsid w:val="00013E02"/>
    <w:rsid w:val="000143EA"/>
    <w:rsid w:val="000147DB"/>
    <w:rsid w:val="00015122"/>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AB1"/>
    <w:rsid w:val="00051387"/>
    <w:rsid w:val="00052B1C"/>
    <w:rsid w:val="00052ED8"/>
    <w:rsid w:val="000570E4"/>
    <w:rsid w:val="000635DF"/>
    <w:rsid w:val="00064957"/>
    <w:rsid w:val="00065376"/>
    <w:rsid w:val="000674EB"/>
    <w:rsid w:val="00067CDF"/>
    <w:rsid w:val="000736F3"/>
    <w:rsid w:val="00074FBE"/>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265B"/>
    <w:rsid w:val="00092857"/>
    <w:rsid w:val="00092CD6"/>
    <w:rsid w:val="00092DC8"/>
    <w:rsid w:val="000958CD"/>
    <w:rsid w:val="000A1CD7"/>
    <w:rsid w:val="000A20A9"/>
    <w:rsid w:val="000A48B1"/>
    <w:rsid w:val="000A54CE"/>
    <w:rsid w:val="000A5604"/>
    <w:rsid w:val="000A5667"/>
    <w:rsid w:val="000A5704"/>
    <w:rsid w:val="000B0797"/>
    <w:rsid w:val="000B2A5E"/>
    <w:rsid w:val="000B3143"/>
    <w:rsid w:val="000B320E"/>
    <w:rsid w:val="000B3EA6"/>
    <w:rsid w:val="000B4860"/>
    <w:rsid w:val="000B4937"/>
    <w:rsid w:val="000B4FC5"/>
    <w:rsid w:val="000B514C"/>
    <w:rsid w:val="000B72C9"/>
    <w:rsid w:val="000B7822"/>
    <w:rsid w:val="000B7F97"/>
    <w:rsid w:val="000C0052"/>
    <w:rsid w:val="000C057D"/>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CE9"/>
    <w:rsid w:val="000D2CF3"/>
    <w:rsid w:val="000D339E"/>
    <w:rsid w:val="000D383A"/>
    <w:rsid w:val="000D3A3F"/>
    <w:rsid w:val="000D3D4C"/>
    <w:rsid w:val="000D4F51"/>
    <w:rsid w:val="000D5F7D"/>
    <w:rsid w:val="000D6EE1"/>
    <w:rsid w:val="000D718B"/>
    <w:rsid w:val="000E0C46"/>
    <w:rsid w:val="000E3624"/>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5ED"/>
    <w:rsid w:val="001037AD"/>
    <w:rsid w:val="00104EAD"/>
    <w:rsid w:val="001056DE"/>
    <w:rsid w:val="00105908"/>
    <w:rsid w:val="00106B60"/>
    <w:rsid w:val="00107020"/>
    <w:rsid w:val="001074F4"/>
    <w:rsid w:val="00107B67"/>
    <w:rsid w:val="0011009A"/>
    <w:rsid w:val="00110978"/>
    <w:rsid w:val="001110DA"/>
    <w:rsid w:val="00111643"/>
    <w:rsid w:val="00111EFE"/>
    <w:rsid w:val="001124C0"/>
    <w:rsid w:val="001137DA"/>
    <w:rsid w:val="00113C83"/>
    <w:rsid w:val="0011457F"/>
    <w:rsid w:val="0011466F"/>
    <w:rsid w:val="00114A9A"/>
    <w:rsid w:val="00117046"/>
    <w:rsid w:val="001170C0"/>
    <w:rsid w:val="001209C6"/>
    <w:rsid w:val="00121884"/>
    <w:rsid w:val="0012219F"/>
    <w:rsid w:val="00122C27"/>
    <w:rsid w:val="0012432D"/>
    <w:rsid w:val="00126D28"/>
    <w:rsid w:val="00130849"/>
    <w:rsid w:val="00130B08"/>
    <w:rsid w:val="00130FD7"/>
    <w:rsid w:val="0013175F"/>
    <w:rsid w:val="001336B0"/>
    <w:rsid w:val="001343AE"/>
    <w:rsid w:val="00135EF0"/>
    <w:rsid w:val="00136DB9"/>
    <w:rsid w:val="001424A2"/>
    <w:rsid w:val="001425CD"/>
    <w:rsid w:val="00143527"/>
    <w:rsid w:val="00144756"/>
    <w:rsid w:val="001463DE"/>
    <w:rsid w:val="00146DD6"/>
    <w:rsid w:val="0015021D"/>
    <w:rsid w:val="001504ED"/>
    <w:rsid w:val="001509DF"/>
    <w:rsid w:val="00151128"/>
    <w:rsid w:val="001512B4"/>
    <w:rsid w:val="00151319"/>
    <w:rsid w:val="00151D25"/>
    <w:rsid w:val="00152ACD"/>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3D39"/>
    <w:rsid w:val="001C4030"/>
    <w:rsid w:val="001C47BA"/>
    <w:rsid w:val="001C4983"/>
    <w:rsid w:val="001C59EA"/>
    <w:rsid w:val="001C5DE4"/>
    <w:rsid w:val="001C698B"/>
    <w:rsid w:val="001D2A71"/>
    <w:rsid w:val="001D312D"/>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33F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5249"/>
    <w:rsid w:val="00201053"/>
    <w:rsid w:val="00201FAB"/>
    <w:rsid w:val="0020204A"/>
    <w:rsid w:val="00203AC1"/>
    <w:rsid w:val="0020486D"/>
    <w:rsid w:val="00204883"/>
    <w:rsid w:val="002048C8"/>
    <w:rsid w:val="00205460"/>
    <w:rsid w:val="00205B87"/>
    <w:rsid w:val="00205E8C"/>
    <w:rsid w:val="00207048"/>
    <w:rsid w:val="002075E6"/>
    <w:rsid w:val="00207B61"/>
    <w:rsid w:val="002112D0"/>
    <w:rsid w:val="00211312"/>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CEC"/>
    <w:rsid w:val="0022789A"/>
    <w:rsid w:val="0022798A"/>
    <w:rsid w:val="0023035E"/>
    <w:rsid w:val="0023345A"/>
    <w:rsid w:val="002335A8"/>
    <w:rsid w:val="00233F28"/>
    <w:rsid w:val="00233F99"/>
    <w:rsid w:val="00234467"/>
    <w:rsid w:val="00236A10"/>
    <w:rsid w:val="00236B59"/>
    <w:rsid w:val="00237D8D"/>
    <w:rsid w:val="00237E07"/>
    <w:rsid w:val="00240331"/>
    <w:rsid w:val="00241DA2"/>
    <w:rsid w:val="002436BE"/>
    <w:rsid w:val="0024394D"/>
    <w:rsid w:val="00244C2C"/>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462A"/>
    <w:rsid w:val="002750C7"/>
    <w:rsid w:val="0027638F"/>
    <w:rsid w:val="00276458"/>
    <w:rsid w:val="00276D21"/>
    <w:rsid w:val="002778AE"/>
    <w:rsid w:val="00277CBD"/>
    <w:rsid w:val="002812E3"/>
    <w:rsid w:val="00281305"/>
    <w:rsid w:val="0028269A"/>
    <w:rsid w:val="00283590"/>
    <w:rsid w:val="00283D79"/>
    <w:rsid w:val="00283F59"/>
    <w:rsid w:val="00284245"/>
    <w:rsid w:val="0028500E"/>
    <w:rsid w:val="002850EC"/>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4A0C"/>
    <w:rsid w:val="002C72D8"/>
    <w:rsid w:val="002C72DC"/>
    <w:rsid w:val="002C7AE1"/>
    <w:rsid w:val="002D11FA"/>
    <w:rsid w:val="002D32E6"/>
    <w:rsid w:val="002D3747"/>
    <w:rsid w:val="002D429E"/>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12A2"/>
    <w:rsid w:val="002F1360"/>
    <w:rsid w:val="002F1D8C"/>
    <w:rsid w:val="002F1D9C"/>
    <w:rsid w:val="002F21DA"/>
    <w:rsid w:val="002F2439"/>
    <w:rsid w:val="002F319B"/>
    <w:rsid w:val="002F349D"/>
    <w:rsid w:val="002F3A6B"/>
    <w:rsid w:val="002F5033"/>
    <w:rsid w:val="002F53A8"/>
    <w:rsid w:val="002F5467"/>
    <w:rsid w:val="00301ACA"/>
    <w:rsid w:val="00301BD4"/>
    <w:rsid w:val="00301F39"/>
    <w:rsid w:val="00302E5C"/>
    <w:rsid w:val="00303BD0"/>
    <w:rsid w:val="00304318"/>
    <w:rsid w:val="00304A82"/>
    <w:rsid w:val="00304D39"/>
    <w:rsid w:val="0030542E"/>
    <w:rsid w:val="00305478"/>
    <w:rsid w:val="0030664E"/>
    <w:rsid w:val="003068C0"/>
    <w:rsid w:val="00307107"/>
    <w:rsid w:val="00307612"/>
    <w:rsid w:val="0030767C"/>
    <w:rsid w:val="003115FD"/>
    <w:rsid w:val="0031191B"/>
    <w:rsid w:val="00311E2F"/>
    <w:rsid w:val="0031228C"/>
    <w:rsid w:val="00312755"/>
    <w:rsid w:val="00312873"/>
    <w:rsid w:val="00313F0E"/>
    <w:rsid w:val="00314E39"/>
    <w:rsid w:val="003150FC"/>
    <w:rsid w:val="00315B07"/>
    <w:rsid w:val="00315E49"/>
    <w:rsid w:val="003161E6"/>
    <w:rsid w:val="00316844"/>
    <w:rsid w:val="00317604"/>
    <w:rsid w:val="0032134C"/>
    <w:rsid w:val="0032190E"/>
    <w:rsid w:val="00321B13"/>
    <w:rsid w:val="00322CBE"/>
    <w:rsid w:val="00324790"/>
    <w:rsid w:val="00325926"/>
    <w:rsid w:val="003263E3"/>
    <w:rsid w:val="003266DB"/>
    <w:rsid w:val="00326B93"/>
    <w:rsid w:val="003277A1"/>
    <w:rsid w:val="00327A8A"/>
    <w:rsid w:val="0033099B"/>
    <w:rsid w:val="00330BBC"/>
    <w:rsid w:val="00330D9C"/>
    <w:rsid w:val="0033123A"/>
    <w:rsid w:val="003318A3"/>
    <w:rsid w:val="00332207"/>
    <w:rsid w:val="00333782"/>
    <w:rsid w:val="003342B3"/>
    <w:rsid w:val="0033474B"/>
    <w:rsid w:val="00335670"/>
    <w:rsid w:val="003359F7"/>
    <w:rsid w:val="00335EB0"/>
    <w:rsid w:val="00336226"/>
    <w:rsid w:val="00336610"/>
    <w:rsid w:val="00336D90"/>
    <w:rsid w:val="00336E10"/>
    <w:rsid w:val="00336FC4"/>
    <w:rsid w:val="00337456"/>
    <w:rsid w:val="00337FDA"/>
    <w:rsid w:val="00340E40"/>
    <w:rsid w:val="003411F7"/>
    <w:rsid w:val="00341566"/>
    <w:rsid w:val="00342ADB"/>
    <w:rsid w:val="0034361C"/>
    <w:rsid w:val="00343F73"/>
    <w:rsid w:val="00344086"/>
    <w:rsid w:val="003442F7"/>
    <w:rsid w:val="00345060"/>
    <w:rsid w:val="0034534B"/>
    <w:rsid w:val="00345C4F"/>
    <w:rsid w:val="00345D0C"/>
    <w:rsid w:val="00346503"/>
    <w:rsid w:val="00346F20"/>
    <w:rsid w:val="003478C8"/>
    <w:rsid w:val="00350D67"/>
    <w:rsid w:val="00351644"/>
    <w:rsid w:val="0035323B"/>
    <w:rsid w:val="00353A8F"/>
    <w:rsid w:val="00356C95"/>
    <w:rsid w:val="0035701F"/>
    <w:rsid w:val="003574D1"/>
    <w:rsid w:val="00357CD0"/>
    <w:rsid w:val="00360546"/>
    <w:rsid w:val="003609D2"/>
    <w:rsid w:val="003620BA"/>
    <w:rsid w:val="00362A78"/>
    <w:rsid w:val="0036371F"/>
    <w:rsid w:val="003637B5"/>
    <w:rsid w:val="00363F22"/>
    <w:rsid w:val="003642A6"/>
    <w:rsid w:val="00364CD5"/>
    <w:rsid w:val="00365963"/>
    <w:rsid w:val="0036610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FA4"/>
    <w:rsid w:val="004201E3"/>
    <w:rsid w:val="00421016"/>
    <w:rsid w:val="0042189A"/>
    <w:rsid w:val="00421990"/>
    <w:rsid w:val="00421C6B"/>
    <w:rsid w:val="004243BC"/>
    <w:rsid w:val="00425082"/>
    <w:rsid w:val="00426532"/>
    <w:rsid w:val="004266F4"/>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B0F"/>
    <w:rsid w:val="00452F18"/>
    <w:rsid w:val="00453F9A"/>
    <w:rsid w:val="00454738"/>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F3B"/>
    <w:rsid w:val="0052204B"/>
    <w:rsid w:val="00522393"/>
    <w:rsid w:val="00522620"/>
    <w:rsid w:val="00524877"/>
    <w:rsid w:val="00525656"/>
    <w:rsid w:val="005257E7"/>
    <w:rsid w:val="00525EDE"/>
    <w:rsid w:val="00525FDD"/>
    <w:rsid w:val="005262EA"/>
    <w:rsid w:val="00526B5E"/>
    <w:rsid w:val="00530A6E"/>
    <w:rsid w:val="00534A09"/>
    <w:rsid w:val="00534B3D"/>
    <w:rsid w:val="00534C02"/>
    <w:rsid w:val="005361B4"/>
    <w:rsid w:val="00536F58"/>
    <w:rsid w:val="00536F76"/>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D7"/>
    <w:rsid w:val="005541B2"/>
    <w:rsid w:val="00555063"/>
    <w:rsid w:val="00555FFE"/>
    <w:rsid w:val="00556CEE"/>
    <w:rsid w:val="00561683"/>
    <w:rsid w:val="005633D8"/>
    <w:rsid w:val="00563FEF"/>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441D"/>
    <w:rsid w:val="0058464E"/>
    <w:rsid w:val="00584770"/>
    <w:rsid w:val="00586310"/>
    <w:rsid w:val="005878E3"/>
    <w:rsid w:val="005904A5"/>
    <w:rsid w:val="005908DD"/>
    <w:rsid w:val="00590BC3"/>
    <w:rsid w:val="0059246F"/>
    <w:rsid w:val="00593B48"/>
    <w:rsid w:val="005946CA"/>
    <w:rsid w:val="00595273"/>
    <w:rsid w:val="00595DD1"/>
    <w:rsid w:val="0059648A"/>
    <w:rsid w:val="005966B0"/>
    <w:rsid w:val="00596DCA"/>
    <w:rsid w:val="00597F62"/>
    <w:rsid w:val="005A01CB"/>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45E6"/>
    <w:rsid w:val="005C5157"/>
    <w:rsid w:val="005C671D"/>
    <w:rsid w:val="005C6DB5"/>
    <w:rsid w:val="005D1947"/>
    <w:rsid w:val="005D1DA0"/>
    <w:rsid w:val="005D225D"/>
    <w:rsid w:val="005D2BB1"/>
    <w:rsid w:val="005D4B59"/>
    <w:rsid w:val="005D57AD"/>
    <w:rsid w:val="005D623B"/>
    <w:rsid w:val="005D72D9"/>
    <w:rsid w:val="005D7A70"/>
    <w:rsid w:val="005D7ABD"/>
    <w:rsid w:val="005D7BD6"/>
    <w:rsid w:val="005E042C"/>
    <w:rsid w:val="005E19E7"/>
    <w:rsid w:val="005E1BA2"/>
    <w:rsid w:val="005E2011"/>
    <w:rsid w:val="005E266C"/>
    <w:rsid w:val="005E29E4"/>
    <w:rsid w:val="005E2D10"/>
    <w:rsid w:val="005E38C9"/>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30858"/>
    <w:rsid w:val="00632180"/>
    <w:rsid w:val="00632353"/>
    <w:rsid w:val="006325BC"/>
    <w:rsid w:val="00632E56"/>
    <w:rsid w:val="006333D4"/>
    <w:rsid w:val="00635CBA"/>
    <w:rsid w:val="00636354"/>
    <w:rsid w:val="006369A6"/>
    <w:rsid w:val="00640017"/>
    <w:rsid w:val="006410AE"/>
    <w:rsid w:val="00641A71"/>
    <w:rsid w:val="00643301"/>
    <w:rsid w:val="0064338B"/>
    <w:rsid w:val="00645728"/>
    <w:rsid w:val="0064580C"/>
    <w:rsid w:val="00646542"/>
    <w:rsid w:val="006504F4"/>
    <w:rsid w:val="00651A3C"/>
    <w:rsid w:val="00651AA5"/>
    <w:rsid w:val="00651E39"/>
    <w:rsid w:val="00651E4D"/>
    <w:rsid w:val="00652619"/>
    <w:rsid w:val="0065318B"/>
    <w:rsid w:val="0065379B"/>
    <w:rsid w:val="00653FEA"/>
    <w:rsid w:val="00654051"/>
    <w:rsid w:val="00654BC9"/>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D3E"/>
    <w:rsid w:val="006851CE"/>
    <w:rsid w:val="00685A41"/>
    <w:rsid w:val="00685BA7"/>
    <w:rsid w:val="00686EAD"/>
    <w:rsid w:val="00690386"/>
    <w:rsid w:val="006914A5"/>
    <w:rsid w:val="00691685"/>
    <w:rsid w:val="0069175C"/>
    <w:rsid w:val="00691BB9"/>
    <w:rsid w:val="0069209C"/>
    <w:rsid w:val="00692368"/>
    <w:rsid w:val="00692715"/>
    <w:rsid w:val="00692A23"/>
    <w:rsid w:val="00692A5F"/>
    <w:rsid w:val="00694312"/>
    <w:rsid w:val="00694D8B"/>
    <w:rsid w:val="00697159"/>
    <w:rsid w:val="006A0617"/>
    <w:rsid w:val="006A21DF"/>
    <w:rsid w:val="006A2852"/>
    <w:rsid w:val="006A2EBC"/>
    <w:rsid w:val="006A3DF3"/>
    <w:rsid w:val="006A466C"/>
    <w:rsid w:val="006A5523"/>
    <w:rsid w:val="006A5C81"/>
    <w:rsid w:val="006A5EA0"/>
    <w:rsid w:val="006A6D00"/>
    <w:rsid w:val="006A6E07"/>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122"/>
    <w:rsid w:val="006D2007"/>
    <w:rsid w:val="006D2C8F"/>
    <w:rsid w:val="006D2ED3"/>
    <w:rsid w:val="006D3B88"/>
    <w:rsid w:val="006D3C00"/>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4820"/>
    <w:rsid w:val="00701F1F"/>
    <w:rsid w:val="00703938"/>
    <w:rsid w:val="007046E1"/>
    <w:rsid w:val="00704775"/>
    <w:rsid w:val="00704DF6"/>
    <w:rsid w:val="00705F93"/>
    <w:rsid w:val="0070651C"/>
    <w:rsid w:val="00706D15"/>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10B"/>
    <w:rsid w:val="0072127A"/>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CEF"/>
    <w:rsid w:val="007B706E"/>
    <w:rsid w:val="007B71EB"/>
    <w:rsid w:val="007B74CA"/>
    <w:rsid w:val="007C0081"/>
    <w:rsid w:val="007C076D"/>
    <w:rsid w:val="007C0873"/>
    <w:rsid w:val="007C2119"/>
    <w:rsid w:val="007C2DB0"/>
    <w:rsid w:val="007C517D"/>
    <w:rsid w:val="007C53BA"/>
    <w:rsid w:val="007C5735"/>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4185"/>
    <w:rsid w:val="007E4645"/>
    <w:rsid w:val="007E4B76"/>
    <w:rsid w:val="007E4E29"/>
    <w:rsid w:val="007E500A"/>
    <w:rsid w:val="007E52C6"/>
    <w:rsid w:val="007E5A3A"/>
    <w:rsid w:val="007E5EA8"/>
    <w:rsid w:val="007E603A"/>
    <w:rsid w:val="007F0BAC"/>
    <w:rsid w:val="007F0CF1"/>
    <w:rsid w:val="007F12A5"/>
    <w:rsid w:val="007F13B1"/>
    <w:rsid w:val="007F2129"/>
    <w:rsid w:val="007F2828"/>
    <w:rsid w:val="007F4038"/>
    <w:rsid w:val="007F4968"/>
    <w:rsid w:val="007F4CF1"/>
    <w:rsid w:val="007F57DC"/>
    <w:rsid w:val="007F70CB"/>
    <w:rsid w:val="007F758D"/>
    <w:rsid w:val="007F7D52"/>
    <w:rsid w:val="007F7FC4"/>
    <w:rsid w:val="008010E1"/>
    <w:rsid w:val="00802D33"/>
    <w:rsid w:val="00802E22"/>
    <w:rsid w:val="008035FA"/>
    <w:rsid w:val="00803948"/>
    <w:rsid w:val="0080449A"/>
    <w:rsid w:val="00804BAA"/>
    <w:rsid w:val="0080654C"/>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34DF"/>
    <w:rsid w:val="008235B0"/>
    <w:rsid w:val="00825544"/>
    <w:rsid w:val="00825B60"/>
    <w:rsid w:val="008261C7"/>
    <w:rsid w:val="00826428"/>
    <w:rsid w:val="0082663A"/>
    <w:rsid w:val="00826ABA"/>
    <w:rsid w:val="00826C4B"/>
    <w:rsid w:val="008301CF"/>
    <w:rsid w:val="008315E0"/>
    <w:rsid w:val="00831AE5"/>
    <w:rsid w:val="00831FED"/>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AFC"/>
    <w:rsid w:val="00851112"/>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57B6"/>
    <w:rsid w:val="008D5866"/>
    <w:rsid w:val="008D6742"/>
    <w:rsid w:val="008D6B71"/>
    <w:rsid w:val="008D7116"/>
    <w:rsid w:val="008E031B"/>
    <w:rsid w:val="008E07FB"/>
    <w:rsid w:val="008E1CCE"/>
    <w:rsid w:val="008E2402"/>
    <w:rsid w:val="008E244E"/>
    <w:rsid w:val="008E2CBC"/>
    <w:rsid w:val="008E4079"/>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0706"/>
    <w:rsid w:val="00923A06"/>
    <w:rsid w:val="009248CA"/>
    <w:rsid w:val="009258BF"/>
    <w:rsid w:val="009264A5"/>
    <w:rsid w:val="00926550"/>
    <w:rsid w:val="00926E27"/>
    <w:rsid w:val="009271E9"/>
    <w:rsid w:val="0092722D"/>
    <w:rsid w:val="009279DE"/>
    <w:rsid w:val="0093006A"/>
    <w:rsid w:val="00930116"/>
    <w:rsid w:val="009314DF"/>
    <w:rsid w:val="00931ED7"/>
    <w:rsid w:val="00934892"/>
    <w:rsid w:val="00937531"/>
    <w:rsid w:val="0094212C"/>
    <w:rsid w:val="00943700"/>
    <w:rsid w:val="00944213"/>
    <w:rsid w:val="00944D10"/>
    <w:rsid w:val="00944DC4"/>
    <w:rsid w:val="00945959"/>
    <w:rsid w:val="00947420"/>
    <w:rsid w:val="00950433"/>
    <w:rsid w:val="0095141B"/>
    <w:rsid w:val="00952058"/>
    <w:rsid w:val="0095448F"/>
    <w:rsid w:val="00954689"/>
    <w:rsid w:val="00956FD9"/>
    <w:rsid w:val="009572C3"/>
    <w:rsid w:val="00957536"/>
    <w:rsid w:val="0096026E"/>
    <w:rsid w:val="00961508"/>
    <w:rsid w:val="009617C9"/>
    <w:rsid w:val="00961916"/>
    <w:rsid w:val="00961C93"/>
    <w:rsid w:val="00962BF2"/>
    <w:rsid w:val="00965324"/>
    <w:rsid w:val="00965A15"/>
    <w:rsid w:val="00965A97"/>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541"/>
    <w:rsid w:val="009A0978"/>
    <w:rsid w:val="009A0991"/>
    <w:rsid w:val="009A160D"/>
    <w:rsid w:val="009A36B3"/>
    <w:rsid w:val="009A374A"/>
    <w:rsid w:val="009A3A7C"/>
    <w:rsid w:val="009A4107"/>
    <w:rsid w:val="009A54EF"/>
    <w:rsid w:val="009A6D81"/>
    <w:rsid w:val="009B0252"/>
    <w:rsid w:val="009B1096"/>
    <w:rsid w:val="009B1830"/>
    <w:rsid w:val="009B2ADB"/>
    <w:rsid w:val="009B31C0"/>
    <w:rsid w:val="009B39CD"/>
    <w:rsid w:val="009B4911"/>
    <w:rsid w:val="009B542D"/>
    <w:rsid w:val="009B603A"/>
    <w:rsid w:val="009B74A9"/>
    <w:rsid w:val="009B7CD7"/>
    <w:rsid w:val="009C0686"/>
    <w:rsid w:val="009C0987"/>
    <w:rsid w:val="009C0DB7"/>
    <w:rsid w:val="009C1E1C"/>
    <w:rsid w:val="009C2D0E"/>
    <w:rsid w:val="009C2F5E"/>
    <w:rsid w:val="009C31CB"/>
    <w:rsid w:val="009C36DF"/>
    <w:rsid w:val="009C3916"/>
    <w:rsid w:val="009C3DAC"/>
    <w:rsid w:val="009C42E0"/>
    <w:rsid w:val="009C47F5"/>
    <w:rsid w:val="009C55D6"/>
    <w:rsid w:val="009C69D1"/>
    <w:rsid w:val="009C7A34"/>
    <w:rsid w:val="009D0107"/>
    <w:rsid w:val="009D0539"/>
    <w:rsid w:val="009D1546"/>
    <w:rsid w:val="009D34B3"/>
    <w:rsid w:val="009D3BE2"/>
    <w:rsid w:val="009D3C19"/>
    <w:rsid w:val="009D3D38"/>
    <w:rsid w:val="009D40BD"/>
    <w:rsid w:val="009D5362"/>
    <w:rsid w:val="009D5847"/>
    <w:rsid w:val="009D6191"/>
    <w:rsid w:val="009D6D1A"/>
    <w:rsid w:val="009E0393"/>
    <w:rsid w:val="009E1415"/>
    <w:rsid w:val="009E35B4"/>
    <w:rsid w:val="009E3A07"/>
    <w:rsid w:val="009E3F7E"/>
    <w:rsid w:val="009E4506"/>
    <w:rsid w:val="009E4513"/>
    <w:rsid w:val="009E6116"/>
    <w:rsid w:val="009E62CC"/>
    <w:rsid w:val="009E63F3"/>
    <w:rsid w:val="009E6BE8"/>
    <w:rsid w:val="009F0AC8"/>
    <w:rsid w:val="009F2164"/>
    <w:rsid w:val="009F2926"/>
    <w:rsid w:val="009F346B"/>
    <w:rsid w:val="009F3ABF"/>
    <w:rsid w:val="009F3C2A"/>
    <w:rsid w:val="009F48A1"/>
    <w:rsid w:val="009F4EBF"/>
    <w:rsid w:val="009F598F"/>
    <w:rsid w:val="009F686C"/>
    <w:rsid w:val="00A00D99"/>
    <w:rsid w:val="00A02AD6"/>
    <w:rsid w:val="00A02E43"/>
    <w:rsid w:val="00A033BE"/>
    <w:rsid w:val="00A0520E"/>
    <w:rsid w:val="00A0599D"/>
    <w:rsid w:val="00A063DC"/>
    <w:rsid w:val="00A065F9"/>
    <w:rsid w:val="00A0704C"/>
    <w:rsid w:val="00A07F26"/>
    <w:rsid w:val="00A07F34"/>
    <w:rsid w:val="00A1094D"/>
    <w:rsid w:val="00A10AFE"/>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6AE"/>
    <w:rsid w:val="00AB2D57"/>
    <w:rsid w:val="00AB3B50"/>
    <w:rsid w:val="00AB429C"/>
    <w:rsid w:val="00AB4AF1"/>
    <w:rsid w:val="00AB51CC"/>
    <w:rsid w:val="00AB5BA3"/>
    <w:rsid w:val="00AB5CAD"/>
    <w:rsid w:val="00AB61CF"/>
    <w:rsid w:val="00AB73CD"/>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16A7"/>
    <w:rsid w:val="00B31BDA"/>
    <w:rsid w:val="00B32399"/>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10D2"/>
    <w:rsid w:val="00B61DF6"/>
    <w:rsid w:val="00B636A8"/>
    <w:rsid w:val="00B646CC"/>
    <w:rsid w:val="00B65054"/>
    <w:rsid w:val="00B65198"/>
    <w:rsid w:val="00B65425"/>
    <w:rsid w:val="00B665C6"/>
    <w:rsid w:val="00B66A2B"/>
    <w:rsid w:val="00B66C51"/>
    <w:rsid w:val="00B6705F"/>
    <w:rsid w:val="00B70888"/>
    <w:rsid w:val="00B71C1C"/>
    <w:rsid w:val="00B723FE"/>
    <w:rsid w:val="00B72585"/>
    <w:rsid w:val="00B7560A"/>
    <w:rsid w:val="00B760AF"/>
    <w:rsid w:val="00B7719F"/>
    <w:rsid w:val="00B77D2C"/>
    <w:rsid w:val="00B77ED8"/>
    <w:rsid w:val="00B805AF"/>
    <w:rsid w:val="00B8163C"/>
    <w:rsid w:val="00B81B12"/>
    <w:rsid w:val="00B81D2B"/>
    <w:rsid w:val="00B829F3"/>
    <w:rsid w:val="00B82E28"/>
    <w:rsid w:val="00B83274"/>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33D"/>
    <w:rsid w:val="00B9644A"/>
    <w:rsid w:val="00B96D1C"/>
    <w:rsid w:val="00BA0B75"/>
    <w:rsid w:val="00BA2EBE"/>
    <w:rsid w:val="00BA3C8D"/>
    <w:rsid w:val="00BA3CEB"/>
    <w:rsid w:val="00BA4A6F"/>
    <w:rsid w:val="00BA68FA"/>
    <w:rsid w:val="00BA6C62"/>
    <w:rsid w:val="00BB0F28"/>
    <w:rsid w:val="00BB1801"/>
    <w:rsid w:val="00BB190C"/>
    <w:rsid w:val="00BB2AA9"/>
    <w:rsid w:val="00BB2F69"/>
    <w:rsid w:val="00BB458A"/>
    <w:rsid w:val="00BB6A70"/>
    <w:rsid w:val="00BB7415"/>
    <w:rsid w:val="00BB7601"/>
    <w:rsid w:val="00BC0231"/>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E027C"/>
    <w:rsid w:val="00BE11CF"/>
    <w:rsid w:val="00BE1C9E"/>
    <w:rsid w:val="00BE21AB"/>
    <w:rsid w:val="00BE3C1F"/>
    <w:rsid w:val="00BE3FC9"/>
    <w:rsid w:val="00BE4FB3"/>
    <w:rsid w:val="00BE55CB"/>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314B"/>
    <w:rsid w:val="00C231B2"/>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818"/>
    <w:rsid w:val="00C4095D"/>
    <w:rsid w:val="00C412D3"/>
    <w:rsid w:val="00C45217"/>
    <w:rsid w:val="00C45B3D"/>
    <w:rsid w:val="00C50EB8"/>
    <w:rsid w:val="00C51518"/>
    <w:rsid w:val="00C54226"/>
    <w:rsid w:val="00C544B4"/>
    <w:rsid w:val="00C569D2"/>
    <w:rsid w:val="00C5732C"/>
    <w:rsid w:val="00C601D2"/>
    <w:rsid w:val="00C622A2"/>
    <w:rsid w:val="00C631A4"/>
    <w:rsid w:val="00C638C3"/>
    <w:rsid w:val="00C63AFD"/>
    <w:rsid w:val="00C63E6A"/>
    <w:rsid w:val="00C65A7F"/>
    <w:rsid w:val="00C65BCC"/>
    <w:rsid w:val="00C65DD5"/>
    <w:rsid w:val="00C66970"/>
    <w:rsid w:val="00C67D58"/>
    <w:rsid w:val="00C70F62"/>
    <w:rsid w:val="00C726FB"/>
    <w:rsid w:val="00C75DE7"/>
    <w:rsid w:val="00C76EDC"/>
    <w:rsid w:val="00C77FCA"/>
    <w:rsid w:val="00C8016C"/>
    <w:rsid w:val="00C830D2"/>
    <w:rsid w:val="00C83C31"/>
    <w:rsid w:val="00C83EAE"/>
    <w:rsid w:val="00C8507A"/>
    <w:rsid w:val="00C85FC7"/>
    <w:rsid w:val="00C8691C"/>
    <w:rsid w:val="00C86AB9"/>
    <w:rsid w:val="00C8764A"/>
    <w:rsid w:val="00C9132C"/>
    <w:rsid w:val="00C917E0"/>
    <w:rsid w:val="00C91D81"/>
    <w:rsid w:val="00C92232"/>
    <w:rsid w:val="00C92BC9"/>
    <w:rsid w:val="00C93448"/>
    <w:rsid w:val="00C949B4"/>
    <w:rsid w:val="00C974DA"/>
    <w:rsid w:val="00CA10AF"/>
    <w:rsid w:val="00CA163F"/>
    <w:rsid w:val="00CA168A"/>
    <w:rsid w:val="00CA2B70"/>
    <w:rsid w:val="00CA357E"/>
    <w:rsid w:val="00CA4310"/>
    <w:rsid w:val="00CA44F9"/>
    <w:rsid w:val="00CA4A69"/>
    <w:rsid w:val="00CA5AE3"/>
    <w:rsid w:val="00CA6B5D"/>
    <w:rsid w:val="00CA739C"/>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C04CE"/>
    <w:rsid w:val="00CC109D"/>
    <w:rsid w:val="00CC2624"/>
    <w:rsid w:val="00CC3613"/>
    <w:rsid w:val="00CC3E0C"/>
    <w:rsid w:val="00CC4730"/>
    <w:rsid w:val="00CC49DA"/>
    <w:rsid w:val="00CC57CC"/>
    <w:rsid w:val="00CC58D3"/>
    <w:rsid w:val="00CC6102"/>
    <w:rsid w:val="00CC63B0"/>
    <w:rsid w:val="00CC6DFE"/>
    <w:rsid w:val="00CC784D"/>
    <w:rsid w:val="00CC7A25"/>
    <w:rsid w:val="00CC7EB3"/>
    <w:rsid w:val="00CD369F"/>
    <w:rsid w:val="00CD4EA9"/>
    <w:rsid w:val="00CD594C"/>
    <w:rsid w:val="00CD5A35"/>
    <w:rsid w:val="00CD69EA"/>
    <w:rsid w:val="00CD6CE8"/>
    <w:rsid w:val="00CE0227"/>
    <w:rsid w:val="00CE0C0A"/>
    <w:rsid w:val="00CE1757"/>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BF7"/>
    <w:rsid w:val="00CF03AD"/>
    <w:rsid w:val="00CF051E"/>
    <w:rsid w:val="00CF100E"/>
    <w:rsid w:val="00CF173C"/>
    <w:rsid w:val="00CF1F3C"/>
    <w:rsid w:val="00CF23B6"/>
    <w:rsid w:val="00CF2EC5"/>
    <w:rsid w:val="00CF3CFB"/>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9B2"/>
    <w:rsid w:val="00D114E9"/>
    <w:rsid w:val="00D11E56"/>
    <w:rsid w:val="00D12A16"/>
    <w:rsid w:val="00D14BFD"/>
    <w:rsid w:val="00D14ED0"/>
    <w:rsid w:val="00D15BF2"/>
    <w:rsid w:val="00D168BF"/>
    <w:rsid w:val="00D17325"/>
    <w:rsid w:val="00D2055E"/>
    <w:rsid w:val="00D211FF"/>
    <w:rsid w:val="00D21D78"/>
    <w:rsid w:val="00D23837"/>
    <w:rsid w:val="00D24740"/>
    <w:rsid w:val="00D25377"/>
    <w:rsid w:val="00D25A60"/>
    <w:rsid w:val="00D265D6"/>
    <w:rsid w:val="00D3221B"/>
    <w:rsid w:val="00D33CE9"/>
    <w:rsid w:val="00D3554E"/>
    <w:rsid w:val="00D35616"/>
    <w:rsid w:val="00D36F4E"/>
    <w:rsid w:val="00D4054D"/>
    <w:rsid w:val="00D40D36"/>
    <w:rsid w:val="00D40FF8"/>
    <w:rsid w:val="00D429C6"/>
    <w:rsid w:val="00D450DF"/>
    <w:rsid w:val="00D45559"/>
    <w:rsid w:val="00D45C9B"/>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ACD"/>
    <w:rsid w:val="00D71E86"/>
    <w:rsid w:val="00D72101"/>
    <w:rsid w:val="00D7288F"/>
    <w:rsid w:val="00D732CE"/>
    <w:rsid w:val="00D733E0"/>
    <w:rsid w:val="00D73461"/>
    <w:rsid w:val="00D752D8"/>
    <w:rsid w:val="00D77CE2"/>
    <w:rsid w:val="00D80C22"/>
    <w:rsid w:val="00D817AC"/>
    <w:rsid w:val="00D81E69"/>
    <w:rsid w:val="00D822FC"/>
    <w:rsid w:val="00D82FF7"/>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555C"/>
    <w:rsid w:val="00DB5E44"/>
    <w:rsid w:val="00DB7211"/>
    <w:rsid w:val="00DB7E6C"/>
    <w:rsid w:val="00DC0A0B"/>
    <w:rsid w:val="00DC34D2"/>
    <w:rsid w:val="00DC356C"/>
    <w:rsid w:val="00DC4192"/>
    <w:rsid w:val="00DC4502"/>
    <w:rsid w:val="00DC54E5"/>
    <w:rsid w:val="00DC61B9"/>
    <w:rsid w:val="00DC7DBB"/>
    <w:rsid w:val="00DD0A91"/>
    <w:rsid w:val="00DD0CD3"/>
    <w:rsid w:val="00DD0FB8"/>
    <w:rsid w:val="00DD14F8"/>
    <w:rsid w:val="00DD24FC"/>
    <w:rsid w:val="00DD2849"/>
    <w:rsid w:val="00DD389B"/>
    <w:rsid w:val="00DD3DDD"/>
    <w:rsid w:val="00DD4A2D"/>
    <w:rsid w:val="00DD5A29"/>
    <w:rsid w:val="00DD5D9D"/>
    <w:rsid w:val="00DD6040"/>
    <w:rsid w:val="00DD78E4"/>
    <w:rsid w:val="00DD7EA6"/>
    <w:rsid w:val="00DE01B8"/>
    <w:rsid w:val="00DE06E4"/>
    <w:rsid w:val="00DE19E0"/>
    <w:rsid w:val="00DE29C2"/>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10268"/>
    <w:rsid w:val="00E10639"/>
    <w:rsid w:val="00E11220"/>
    <w:rsid w:val="00E11CC7"/>
    <w:rsid w:val="00E124C3"/>
    <w:rsid w:val="00E12652"/>
    <w:rsid w:val="00E12D84"/>
    <w:rsid w:val="00E145D8"/>
    <w:rsid w:val="00E146EA"/>
    <w:rsid w:val="00E14712"/>
    <w:rsid w:val="00E16DA6"/>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6E7"/>
    <w:rsid w:val="00E438F7"/>
    <w:rsid w:val="00E4579E"/>
    <w:rsid w:val="00E45BD8"/>
    <w:rsid w:val="00E46282"/>
    <w:rsid w:val="00E4714D"/>
    <w:rsid w:val="00E473DD"/>
    <w:rsid w:val="00E504D9"/>
    <w:rsid w:val="00E50688"/>
    <w:rsid w:val="00E51E15"/>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EB4"/>
    <w:rsid w:val="00E6756F"/>
    <w:rsid w:val="00E67BC9"/>
    <w:rsid w:val="00E67BEC"/>
    <w:rsid w:val="00E702E3"/>
    <w:rsid w:val="00E709A7"/>
    <w:rsid w:val="00E71DFC"/>
    <w:rsid w:val="00E7624A"/>
    <w:rsid w:val="00E76264"/>
    <w:rsid w:val="00E7631F"/>
    <w:rsid w:val="00E77233"/>
    <w:rsid w:val="00E80E80"/>
    <w:rsid w:val="00E81113"/>
    <w:rsid w:val="00E819CA"/>
    <w:rsid w:val="00E81D88"/>
    <w:rsid w:val="00E82344"/>
    <w:rsid w:val="00E82CCE"/>
    <w:rsid w:val="00E83805"/>
    <w:rsid w:val="00E84C82"/>
    <w:rsid w:val="00E84D64"/>
    <w:rsid w:val="00E85AF0"/>
    <w:rsid w:val="00E86C88"/>
    <w:rsid w:val="00E87408"/>
    <w:rsid w:val="00E875C1"/>
    <w:rsid w:val="00E9023A"/>
    <w:rsid w:val="00E908EA"/>
    <w:rsid w:val="00E914C4"/>
    <w:rsid w:val="00E925E2"/>
    <w:rsid w:val="00E92DD8"/>
    <w:rsid w:val="00E93497"/>
    <w:rsid w:val="00E934F5"/>
    <w:rsid w:val="00E93F20"/>
    <w:rsid w:val="00E94247"/>
    <w:rsid w:val="00E94336"/>
    <w:rsid w:val="00E94997"/>
    <w:rsid w:val="00E96961"/>
    <w:rsid w:val="00E97EDD"/>
    <w:rsid w:val="00EA161C"/>
    <w:rsid w:val="00EA1B85"/>
    <w:rsid w:val="00EA24CF"/>
    <w:rsid w:val="00EA39B4"/>
    <w:rsid w:val="00EA451F"/>
    <w:rsid w:val="00EA5240"/>
    <w:rsid w:val="00EA59B3"/>
    <w:rsid w:val="00EA72EC"/>
    <w:rsid w:val="00EA7CF0"/>
    <w:rsid w:val="00EB11CB"/>
    <w:rsid w:val="00EB275A"/>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2878"/>
    <w:rsid w:val="00ED3AA2"/>
    <w:rsid w:val="00ED5D1D"/>
    <w:rsid w:val="00ED635D"/>
    <w:rsid w:val="00ED7C7B"/>
    <w:rsid w:val="00ED7CD2"/>
    <w:rsid w:val="00EE0196"/>
    <w:rsid w:val="00EE0ACE"/>
    <w:rsid w:val="00EE1D25"/>
    <w:rsid w:val="00EE2BED"/>
    <w:rsid w:val="00EE3371"/>
    <w:rsid w:val="00EE374B"/>
    <w:rsid w:val="00EE42DD"/>
    <w:rsid w:val="00EE450F"/>
    <w:rsid w:val="00EE47E4"/>
    <w:rsid w:val="00EE66C6"/>
    <w:rsid w:val="00EF18F1"/>
    <w:rsid w:val="00EF25B8"/>
    <w:rsid w:val="00EF41B0"/>
    <w:rsid w:val="00EF4420"/>
    <w:rsid w:val="00EF5C1A"/>
    <w:rsid w:val="00EF5E86"/>
    <w:rsid w:val="00EF6B16"/>
    <w:rsid w:val="00EF7443"/>
    <w:rsid w:val="00EF7EA7"/>
    <w:rsid w:val="00F00039"/>
    <w:rsid w:val="00F011FC"/>
    <w:rsid w:val="00F029DC"/>
    <w:rsid w:val="00F0422D"/>
    <w:rsid w:val="00F049D1"/>
    <w:rsid w:val="00F111A3"/>
    <w:rsid w:val="00F111C5"/>
    <w:rsid w:val="00F11BB5"/>
    <w:rsid w:val="00F128E8"/>
    <w:rsid w:val="00F134FD"/>
    <w:rsid w:val="00F135F2"/>
    <w:rsid w:val="00F13CDC"/>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AF8"/>
    <w:rsid w:val="00F25C2A"/>
    <w:rsid w:val="00F27871"/>
    <w:rsid w:val="00F27F6D"/>
    <w:rsid w:val="00F3038F"/>
    <w:rsid w:val="00F30D74"/>
    <w:rsid w:val="00F3191E"/>
    <w:rsid w:val="00F32FF2"/>
    <w:rsid w:val="00F33B5F"/>
    <w:rsid w:val="00F34835"/>
    <w:rsid w:val="00F34A57"/>
    <w:rsid w:val="00F34B99"/>
    <w:rsid w:val="00F35833"/>
    <w:rsid w:val="00F36CB0"/>
    <w:rsid w:val="00F3720D"/>
    <w:rsid w:val="00F376A0"/>
    <w:rsid w:val="00F37AC8"/>
    <w:rsid w:val="00F404F7"/>
    <w:rsid w:val="00F40888"/>
    <w:rsid w:val="00F40C88"/>
    <w:rsid w:val="00F434D1"/>
    <w:rsid w:val="00F436FD"/>
    <w:rsid w:val="00F46750"/>
    <w:rsid w:val="00F50D7F"/>
    <w:rsid w:val="00F50E48"/>
    <w:rsid w:val="00F52697"/>
    <w:rsid w:val="00F52DAB"/>
    <w:rsid w:val="00F5308D"/>
    <w:rsid w:val="00F53BA3"/>
    <w:rsid w:val="00F543F0"/>
    <w:rsid w:val="00F55CD7"/>
    <w:rsid w:val="00F57DB1"/>
    <w:rsid w:val="00F6019D"/>
    <w:rsid w:val="00F60DFC"/>
    <w:rsid w:val="00F63FFB"/>
    <w:rsid w:val="00F644E7"/>
    <w:rsid w:val="00F64CBE"/>
    <w:rsid w:val="00F65C81"/>
    <w:rsid w:val="00F7109F"/>
    <w:rsid w:val="00F710E5"/>
    <w:rsid w:val="00F72090"/>
    <w:rsid w:val="00F72873"/>
    <w:rsid w:val="00F7332E"/>
    <w:rsid w:val="00F73E57"/>
    <w:rsid w:val="00F76199"/>
    <w:rsid w:val="00F76929"/>
    <w:rsid w:val="00F7786E"/>
    <w:rsid w:val="00F77D82"/>
    <w:rsid w:val="00F809A6"/>
    <w:rsid w:val="00F80AB8"/>
    <w:rsid w:val="00F815CD"/>
    <w:rsid w:val="00F817FD"/>
    <w:rsid w:val="00F81D29"/>
    <w:rsid w:val="00F822FF"/>
    <w:rsid w:val="00F843B7"/>
    <w:rsid w:val="00F8503C"/>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38CF"/>
    <w:rsid w:val="00FA3AB0"/>
    <w:rsid w:val="00FA3F26"/>
    <w:rsid w:val="00FA4653"/>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1ED5"/>
    <w:rsid w:val="00FC2C42"/>
    <w:rsid w:val="00FC362F"/>
    <w:rsid w:val="00FC367F"/>
    <w:rsid w:val="00FC3908"/>
    <w:rsid w:val="00FC3B67"/>
    <w:rsid w:val="00FC4049"/>
    <w:rsid w:val="00FC5334"/>
    <w:rsid w:val="00FC544D"/>
    <w:rsid w:val="00FC5B63"/>
    <w:rsid w:val="00FC5C67"/>
    <w:rsid w:val="00FC6358"/>
    <w:rsid w:val="00FC734D"/>
    <w:rsid w:val="00FD01CF"/>
    <w:rsid w:val="00FD0FA8"/>
    <w:rsid w:val="00FD11E4"/>
    <w:rsid w:val="00FD320D"/>
    <w:rsid w:val="00FD4CED"/>
    <w:rsid w:val="00FD508D"/>
    <w:rsid w:val="00FD5814"/>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4645"/>
    <w:rsid w:val="00FF519F"/>
    <w:rsid w:val="00FF5876"/>
    <w:rsid w:val="00FF5B02"/>
    <w:rsid w:val="00FF6BA5"/>
    <w:rsid w:val="00FF6D22"/>
    <w:rsid w:val="00FF6DB4"/>
    <w:rsid w:val="00FF71E0"/>
    <w:rsid w:val="00FF7D83"/>
    <w:rsid w:val="04C06E57"/>
    <w:rsid w:val="0B4F08C1"/>
    <w:rsid w:val="116369F4"/>
    <w:rsid w:val="14A87CF4"/>
    <w:rsid w:val="20505479"/>
    <w:rsid w:val="25C26428"/>
    <w:rsid w:val="2ED74F14"/>
    <w:rsid w:val="352D5354"/>
    <w:rsid w:val="357F0CA5"/>
    <w:rsid w:val="39E124FA"/>
    <w:rsid w:val="3FEFD37E"/>
    <w:rsid w:val="47E30849"/>
    <w:rsid w:val="48780F9E"/>
    <w:rsid w:val="53790E64"/>
    <w:rsid w:val="5F6B4E5B"/>
    <w:rsid w:val="6E8C4448"/>
    <w:rsid w:val="7ABF377F"/>
    <w:rsid w:val="7B4E0242"/>
    <w:rsid w:val="7E733A6E"/>
    <w:rsid w:val="7F9F5409"/>
    <w:rsid w:val="7FCF57FE"/>
    <w:rsid w:val="7FF55C5A"/>
    <w:rsid w:val="A6BBF83D"/>
    <w:rsid w:val="BCBE0D3F"/>
    <w:rsid w:val="D7F76BCA"/>
    <w:rsid w:val="EB37C112"/>
    <w:rsid w:val="F5FE5862"/>
    <w:rsid w:val="FCED9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5"/>
    <w:qFormat/>
    <w:uiPriority w:val="0"/>
    <w:pPr>
      <w:keepNext/>
      <w:keepLines/>
      <w:ind w:firstLine="363"/>
      <w:jc w:val="center"/>
      <w:outlineLvl w:val="0"/>
    </w:pPr>
    <w:rPr>
      <w:b/>
      <w:bCs/>
      <w:kern w:val="44"/>
      <w:sz w:val="28"/>
      <w:szCs w:val="44"/>
      <w:lang w:val="zh-CN"/>
    </w:rPr>
  </w:style>
  <w:style w:type="paragraph" w:styleId="4">
    <w:name w:val="heading 2"/>
    <w:basedOn w:val="1"/>
    <w:next w:val="1"/>
    <w:link w:val="146"/>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5">
    <w:name w:val="heading 3"/>
    <w:basedOn w:val="4"/>
    <w:next w:val="1"/>
    <w:link w:val="147"/>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6">
    <w:name w:val="heading 4"/>
    <w:basedOn w:val="5"/>
    <w:next w:val="1"/>
    <w:link w:val="148"/>
    <w:qFormat/>
    <w:uiPriority w:val="0"/>
    <w:pPr>
      <w:outlineLvl w:val="3"/>
    </w:pPr>
    <w:rPr>
      <w:bCs/>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7">
    <w:name w:val="toc 7"/>
    <w:basedOn w:val="1"/>
    <w:next w:val="1"/>
    <w:qFormat/>
    <w:uiPriority w:val="39"/>
    <w:pPr>
      <w:ind w:left="1260"/>
      <w:jc w:val="left"/>
    </w:pPr>
    <w:rPr>
      <w:rFonts w:ascii="Calibri" w:hAnsi="Calibri"/>
      <w:sz w:val="18"/>
      <w:szCs w:val="18"/>
    </w:rPr>
  </w:style>
  <w:style w:type="paragraph" w:styleId="8">
    <w:name w:val="index 8"/>
    <w:basedOn w:val="1"/>
    <w:next w:val="1"/>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link w:val="151"/>
    <w:semiHidden/>
    <w:qFormat/>
    <w:uiPriority w:val="99"/>
    <w:pPr>
      <w:shd w:val="clear" w:color="auto" w:fill="000080"/>
    </w:pPr>
    <w:rPr>
      <w:lang w:val="zh-CN"/>
    </w:rPr>
  </w:style>
  <w:style w:type="paragraph" w:styleId="12">
    <w:name w:val="annotation text"/>
    <w:basedOn w:val="1"/>
    <w:link w:val="157"/>
    <w:qFormat/>
    <w:uiPriority w:val="0"/>
    <w:pPr>
      <w:adjustRightInd w:val="0"/>
      <w:spacing w:line="360" w:lineRule="atLeast"/>
      <w:ind w:firstLine="709"/>
      <w:jc w:val="left"/>
      <w:textAlignment w:val="baseline"/>
    </w:pPr>
    <w:rPr>
      <w:rFonts w:ascii="Calibri" w:hAnsi="Calibri"/>
      <w:kern w:val="0"/>
      <w:sz w:val="24"/>
      <w:szCs w:val="20"/>
      <w:lang w:val="zh-CN"/>
    </w:r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qFormat/>
    <w:uiPriority w:val="39"/>
    <w:pPr>
      <w:ind w:left="840"/>
      <w:jc w:val="left"/>
    </w:pPr>
    <w:rPr>
      <w:rFonts w:ascii="Calibri" w:hAnsi="Calibri"/>
      <w:sz w:val="18"/>
      <w:szCs w:val="18"/>
    </w:rPr>
  </w:style>
  <w:style w:type="paragraph" w:styleId="16">
    <w:name w:val="toc 3"/>
    <w:basedOn w:val="1"/>
    <w:next w:val="1"/>
    <w:qFormat/>
    <w:uiPriority w:val="39"/>
    <w:pPr>
      <w:ind w:left="420"/>
      <w:jc w:val="left"/>
    </w:pPr>
    <w:rPr>
      <w:rFonts w:ascii="Calibri" w:hAnsi="Calibri"/>
      <w:i/>
      <w:iCs/>
      <w:sz w:val="20"/>
      <w:szCs w:val="20"/>
    </w:rPr>
  </w:style>
  <w:style w:type="paragraph" w:styleId="17">
    <w:name w:val="toc 8"/>
    <w:basedOn w:val="1"/>
    <w:next w:val="1"/>
    <w:qFormat/>
    <w:uiPriority w:val="39"/>
    <w:pPr>
      <w:ind w:left="1470"/>
      <w:jc w:val="left"/>
    </w:pPr>
    <w:rPr>
      <w:rFonts w:ascii="Calibri" w:hAnsi="Calibri"/>
      <w:sz w:val="18"/>
      <w:szCs w:val="18"/>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Date"/>
    <w:basedOn w:val="1"/>
    <w:next w:val="1"/>
    <w:link w:val="155"/>
    <w:unhideWhenUsed/>
    <w:qFormat/>
    <w:uiPriority w:val="99"/>
    <w:pPr>
      <w:ind w:left="100" w:leftChars="2500"/>
    </w:pPr>
    <w:rPr>
      <w:kern w:val="0"/>
      <w:sz w:val="20"/>
      <w:szCs w:val="22"/>
      <w:lang w:val="zh-CN"/>
    </w:rPr>
  </w:style>
  <w:style w:type="paragraph" w:styleId="20">
    <w:name w:val="endnote text"/>
    <w:basedOn w:val="1"/>
    <w:semiHidden/>
    <w:qFormat/>
    <w:uiPriority w:val="0"/>
    <w:pPr>
      <w:snapToGrid w:val="0"/>
      <w:jc w:val="left"/>
    </w:pPr>
  </w:style>
  <w:style w:type="paragraph" w:styleId="21">
    <w:name w:val="Balloon Text"/>
    <w:basedOn w:val="1"/>
    <w:link w:val="159"/>
    <w:qFormat/>
    <w:uiPriority w:val="0"/>
    <w:pPr>
      <w:topLinePunct/>
      <w:spacing w:beforeLines="20"/>
      <w:ind w:firstLine="200" w:firstLineChars="200"/>
      <w:jc w:val="left"/>
    </w:pPr>
    <w:rPr>
      <w:rFonts w:ascii="Calibri" w:hAnsi="Calibri"/>
      <w:color w:val="000000"/>
      <w:kern w:val="0"/>
      <w:sz w:val="18"/>
      <w:szCs w:val="18"/>
      <w:lang w:val="zh-CN"/>
    </w:rPr>
  </w:style>
  <w:style w:type="paragraph" w:styleId="22">
    <w:name w:val="footer"/>
    <w:basedOn w:val="1"/>
    <w:link w:val="156"/>
    <w:qFormat/>
    <w:uiPriority w:val="0"/>
    <w:pPr>
      <w:snapToGrid w:val="0"/>
      <w:ind w:right="210" w:rightChars="100"/>
      <w:jc w:val="right"/>
    </w:pPr>
    <w:rPr>
      <w:sz w:val="18"/>
      <w:szCs w:val="18"/>
      <w:lang w:val="zh-CN"/>
    </w:rPr>
  </w:style>
  <w:style w:type="paragraph" w:styleId="23">
    <w:name w:val="header"/>
    <w:basedOn w:val="1"/>
    <w:link w:val="154"/>
    <w:qFormat/>
    <w:uiPriority w:val="99"/>
    <w:pPr>
      <w:snapToGrid w:val="0"/>
      <w:jc w:val="left"/>
    </w:pPr>
    <w:rPr>
      <w:sz w:val="18"/>
      <w:szCs w:val="18"/>
      <w:lang w:val="zh-CN"/>
    </w:rPr>
  </w:style>
  <w:style w:type="paragraph" w:styleId="24">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5">
    <w:name w:val="toc 4"/>
    <w:basedOn w:val="1"/>
    <w:next w:val="1"/>
    <w:qFormat/>
    <w:uiPriority w:val="39"/>
    <w:pPr>
      <w:ind w:left="630"/>
      <w:jc w:val="left"/>
    </w:pPr>
    <w:rPr>
      <w:rFonts w:ascii="Calibri" w:hAnsi="Calibri"/>
      <w:sz w:val="18"/>
      <w:szCs w:val="18"/>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qFormat/>
    <w:uiPriority w:val="0"/>
    <w:pPr>
      <w:tabs>
        <w:tab w:val="right" w:leader="dot" w:pos="9299"/>
      </w:tabs>
      <w:jc w:val="left"/>
    </w:pPr>
    <w:rPr>
      <w:rFonts w:ascii="宋体"/>
      <w:szCs w:val="21"/>
    </w:rPr>
  </w:style>
  <w:style w:type="paragraph" w:customStyle="1" w:styleId="28">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qFormat/>
    <w:uiPriority w:val="0"/>
    <w:pPr>
      <w:numPr>
        <w:ilvl w:val="0"/>
        <w:numId w:val="2"/>
      </w:numPr>
      <w:snapToGrid w:val="0"/>
      <w:jc w:val="left"/>
    </w:pPr>
    <w:rPr>
      <w:rFonts w:ascii="宋体"/>
      <w:sz w:val="18"/>
      <w:szCs w:val="18"/>
    </w:rPr>
  </w:style>
  <w:style w:type="paragraph" w:styleId="30">
    <w:name w:val="toc 6"/>
    <w:basedOn w:val="1"/>
    <w:next w:val="1"/>
    <w:qFormat/>
    <w:uiPriority w:val="39"/>
    <w:pPr>
      <w:ind w:left="1050"/>
      <w:jc w:val="left"/>
    </w:pPr>
    <w:rPr>
      <w:rFonts w:ascii="Calibri" w:hAnsi="Calibri"/>
      <w:sz w:val="18"/>
      <w:szCs w:val="18"/>
    </w:rPr>
  </w:style>
  <w:style w:type="paragraph" w:styleId="31">
    <w:name w:val="index 7"/>
    <w:basedOn w:val="1"/>
    <w:next w:val="1"/>
    <w:qFormat/>
    <w:uiPriority w:val="0"/>
    <w:pPr>
      <w:ind w:left="1470" w:hanging="210"/>
      <w:jc w:val="left"/>
    </w:pPr>
    <w:rPr>
      <w:rFonts w:ascii="Calibri" w:hAnsi="Calibri"/>
      <w:sz w:val="20"/>
      <w:szCs w:val="20"/>
    </w:rPr>
  </w:style>
  <w:style w:type="paragraph" w:styleId="32">
    <w:name w:val="index 9"/>
    <w:basedOn w:val="1"/>
    <w:next w:val="1"/>
    <w:qFormat/>
    <w:uiPriority w:val="0"/>
    <w:pPr>
      <w:ind w:left="1890" w:hanging="210"/>
      <w:jc w:val="left"/>
    </w:pPr>
    <w:rPr>
      <w:rFonts w:ascii="Calibri" w:hAnsi="Calibri"/>
      <w:sz w:val="20"/>
      <w:szCs w:val="20"/>
    </w:r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Title"/>
    <w:basedOn w:val="1"/>
    <w:link w:val="158"/>
    <w:qFormat/>
    <w:uiPriority w:val="0"/>
    <w:pPr>
      <w:widowControl/>
      <w:spacing w:after="60"/>
      <w:jc w:val="left"/>
      <w:outlineLvl w:val="0"/>
    </w:pPr>
    <w:rPr>
      <w:rFonts w:ascii="Arial" w:hAnsi="Arial"/>
      <w:b/>
      <w:kern w:val="0"/>
      <w:sz w:val="30"/>
      <w:szCs w:val="20"/>
      <w:lang w:val="zh-CN"/>
    </w:rPr>
  </w:style>
  <w:style w:type="paragraph" w:styleId="37">
    <w:name w:val="annotation subject"/>
    <w:basedOn w:val="12"/>
    <w:next w:val="12"/>
    <w:link w:val="153"/>
    <w:qFormat/>
    <w:uiPriority w:val="0"/>
    <w:pPr>
      <w:topLinePunct/>
      <w:adjustRightInd/>
      <w:spacing w:beforeLines="20" w:line="288" w:lineRule="auto"/>
      <w:ind w:firstLine="200" w:firstLineChars="200"/>
      <w:textAlignment w:val="auto"/>
    </w:pPr>
    <w:rPr>
      <w:b/>
      <w:bCs/>
      <w:color w:val="000000"/>
    </w:rPr>
  </w:style>
  <w:style w:type="table" w:styleId="39">
    <w:name w:val="Table Grid"/>
    <w:basedOn w:val="38"/>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22"/>
    <w:rPr>
      <w:b/>
      <w:bCs/>
    </w:r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Hyperlink"/>
    <w:qFormat/>
    <w:uiPriority w:val="99"/>
    <w:rPr>
      <w:color w:val="0000FF"/>
      <w:spacing w:val="0"/>
      <w:w w:val="100"/>
      <w:szCs w:val="21"/>
      <w:u w:val="single"/>
    </w:rPr>
  </w:style>
  <w:style w:type="character" w:styleId="46">
    <w:name w:val="annotation reference"/>
    <w:qFormat/>
    <w:uiPriority w:val="0"/>
    <w:rPr>
      <w:sz w:val="21"/>
      <w:szCs w:val="21"/>
    </w:rPr>
  </w:style>
  <w:style w:type="character" w:styleId="47">
    <w:name w:val="footnote reference"/>
    <w:semiHidden/>
    <w:qFormat/>
    <w:uiPriority w:val="0"/>
    <w:rPr>
      <w:vertAlign w:val="superscript"/>
    </w:rPr>
  </w:style>
  <w:style w:type="character" w:customStyle="1" w:styleId="48">
    <w:name w:val="段 Char"/>
    <w:link w:val="28"/>
    <w:qFormat/>
    <w:uiPriority w:val="0"/>
    <w:rPr>
      <w:rFonts w:ascii="宋体"/>
      <w:sz w:val="21"/>
      <w:lang w:val="en-US" w:eastAsia="zh-CN" w:bidi="ar-SA"/>
    </w:rPr>
  </w:style>
  <w:style w:type="paragraph" w:customStyle="1" w:styleId="49">
    <w:name w:val="一级条标题"/>
    <w:next w:val="28"/>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章标题"/>
    <w:next w:val="28"/>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53">
    <w:name w:val="二级条标题"/>
    <w:basedOn w:val="49"/>
    <w:next w:val="28"/>
    <w:qFormat/>
    <w:uiPriority w:val="0"/>
    <w:pPr>
      <w:numPr>
        <w:ilvl w:val="2"/>
      </w:num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3"/>
    <w:next w:val="28"/>
    <w:qFormat/>
    <w:uiPriority w:val="0"/>
    <w:pPr>
      <w:numPr>
        <w:ilvl w:val="0"/>
        <w:numId w:val="0"/>
      </w:numPr>
      <w:outlineLvl w:val="4"/>
    </w:pPr>
  </w:style>
  <w:style w:type="paragraph" w:customStyle="1" w:styleId="59">
    <w:name w:val="示例"/>
    <w:next w:val="60"/>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2">
    <w:name w:val="四级条标题"/>
    <w:basedOn w:val="58"/>
    <w:next w:val="28"/>
    <w:qFormat/>
    <w:uiPriority w:val="0"/>
    <w:pPr>
      <w:numPr>
        <w:ilvl w:val="4"/>
        <w:numId w:val="3"/>
      </w:numPr>
      <w:outlineLvl w:val="5"/>
    </w:pPr>
  </w:style>
  <w:style w:type="paragraph" w:customStyle="1" w:styleId="63">
    <w:name w:val="五级条标题"/>
    <w:basedOn w:val="62"/>
    <w:next w:val="28"/>
    <w:qFormat/>
    <w:uiPriority w:val="0"/>
    <w:pPr>
      <w:numPr>
        <w:ilvl w:val="5"/>
      </w:numPr>
      <w:outlineLvl w:val="6"/>
    </w:pPr>
  </w:style>
  <w:style w:type="paragraph" w:customStyle="1" w:styleId="64">
    <w:name w:val="注："/>
    <w:next w:val="2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4"/>
      </w:numPr>
    </w:pPr>
    <w:rPr>
      <w:rFonts w:ascii="宋体"/>
      <w:szCs w:val="21"/>
    </w:rPr>
  </w:style>
  <w:style w:type="paragraph" w:customStyle="1" w:styleId="68">
    <w:name w:val="编号列项（三级）"/>
    <w:qFormat/>
    <w:uiPriority w:val="0"/>
    <w:rPr>
      <w:rFonts w:ascii="宋体" w:hAnsi="Times New Roman" w:eastAsia="宋体" w:cs="Times New Roman"/>
      <w:sz w:val="21"/>
      <w:lang w:val="en-US" w:eastAsia="zh-CN" w:bidi="ar-SA"/>
    </w:rPr>
  </w:style>
  <w:style w:type="paragraph" w:customStyle="1" w:styleId="69">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70">
    <w:name w:val="二级无"/>
    <w:basedOn w:val="53"/>
    <w:qFormat/>
    <w:uiPriority w:val="0"/>
    <w:pPr>
      <w:spacing w:before="0" w:beforeLines="0" w:after="0" w:afterLines="0"/>
      <w:ind w:left="0"/>
    </w:pPr>
    <w:rPr>
      <w:rFonts w:ascii="宋体" w:eastAsia="宋体"/>
    </w:rPr>
  </w:style>
  <w:style w:type="paragraph" w:customStyle="1" w:styleId="71">
    <w:name w:val="注：（正文）"/>
    <w:basedOn w:val="64"/>
    <w:next w:val="28"/>
    <w:qFormat/>
    <w:uiPriority w:val="0"/>
    <w:pPr>
      <w:numPr>
        <w:ilvl w:val="0"/>
        <w:numId w:val="9"/>
      </w:numPr>
    </w:pPr>
  </w:style>
  <w:style w:type="paragraph" w:customStyle="1" w:styleId="72">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1"/>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8"/>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2">
    <w:name w:val="附录标题"/>
    <w:basedOn w:val="28"/>
    <w:next w:val="28"/>
    <w:qFormat/>
    <w:uiPriority w:val="0"/>
    <w:pPr>
      <w:ind w:firstLine="0" w:firstLineChars="0"/>
      <w:jc w:val="center"/>
    </w:pPr>
    <w:rPr>
      <w:rFonts w:ascii="黑体" w:eastAsia="黑体"/>
    </w:rPr>
  </w:style>
  <w:style w:type="paragraph" w:customStyle="1" w:styleId="93">
    <w:name w:val="附录表标号"/>
    <w:basedOn w:val="1"/>
    <w:next w:val="28"/>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4">
    <w:name w:val="附录表标题"/>
    <w:basedOn w:val="1"/>
    <w:next w:val="28"/>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5">
    <w:name w:val="附录二级条标题"/>
    <w:basedOn w:val="1"/>
    <w:next w:val="28"/>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0" w:beforeLines="0" w:after="0" w:afterLines="0"/>
    </w:pPr>
    <w:rPr>
      <w:rFonts w:ascii="宋体" w:eastAsia="宋体"/>
      <w:szCs w:val="21"/>
    </w:rPr>
  </w:style>
  <w:style w:type="paragraph" w:customStyle="1" w:styleId="97">
    <w:name w:val="附录公式"/>
    <w:basedOn w:val="28"/>
    <w:next w:val="28"/>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8"/>
    <w:qFormat/>
    <w:uiPriority w:val="0"/>
    <w:pPr>
      <w:numPr>
        <w:ilvl w:val="4"/>
      </w:numPr>
      <w:outlineLvl w:val="4"/>
    </w:pPr>
  </w:style>
  <w:style w:type="paragraph" w:customStyle="1" w:styleId="101">
    <w:name w:val="附录三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3">
    <w:name w:val="附录四级条标题"/>
    <w:basedOn w:val="100"/>
    <w:next w:val="28"/>
    <w:qFormat/>
    <w:uiPriority w:val="0"/>
    <w:pPr>
      <w:numPr>
        <w:ilvl w:val="5"/>
      </w:numPr>
      <w:outlineLvl w:val="5"/>
    </w:pPr>
  </w:style>
  <w:style w:type="paragraph" w:customStyle="1" w:styleId="104">
    <w:name w:val="附录四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6">
    <w:name w:val="附录图标题"/>
    <w:basedOn w:val="1"/>
    <w:next w:val="28"/>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7">
    <w:name w:val="附录五级条标题"/>
    <w:basedOn w:val="103"/>
    <w:next w:val="28"/>
    <w:qFormat/>
    <w:uiPriority w:val="0"/>
    <w:pPr>
      <w:numPr>
        <w:ilvl w:val="6"/>
      </w:numPr>
      <w:outlineLvl w:val="6"/>
    </w:pPr>
  </w:style>
  <w:style w:type="paragraph" w:customStyle="1" w:styleId="108">
    <w:name w:val="附录五级无"/>
    <w:basedOn w:val="107"/>
    <w:qFormat/>
    <w:uiPriority w:val="0"/>
    <w:pPr>
      <w:tabs>
        <w:tab w:val="clear" w:pos="360"/>
      </w:tabs>
      <w:spacing w:before="0" w:beforeLines="0" w:after="0" w:afterLines="0"/>
    </w:pPr>
    <w:rPr>
      <w:rFonts w:ascii="宋体" w:eastAsia="宋体"/>
      <w:szCs w:val="21"/>
    </w:rPr>
  </w:style>
  <w:style w:type="paragraph" w:customStyle="1" w:styleId="109">
    <w:name w:val="附录章标题"/>
    <w:next w:val="28"/>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8"/>
    <w:qFormat/>
    <w:uiPriority w:val="0"/>
    <w:pPr>
      <w:numPr>
        <w:ilvl w:val="2"/>
      </w:numPr>
      <w:tabs>
        <w:tab w:val="left" w:pos="360"/>
      </w:tabs>
      <w:autoSpaceDN w:val="0"/>
      <w:spacing w:before="50" w:beforeLines="50" w:after="50" w:afterLines="50"/>
      <w:outlineLvl w:val="2"/>
    </w:pPr>
  </w:style>
  <w:style w:type="paragraph" w:customStyle="1" w:styleId="111">
    <w:name w:val="附录一级无"/>
    <w:basedOn w:val="110"/>
    <w:qFormat/>
    <w:uiPriority w:val="0"/>
    <w:pPr>
      <w:tabs>
        <w:tab w:val="clear" w:pos="360"/>
      </w:tabs>
      <w:spacing w:before="0" w:beforeLines="0" w:after="0" w:afterLines="0"/>
    </w:pPr>
    <w:rPr>
      <w:rFonts w:ascii="宋体" w:eastAsia="宋体"/>
      <w:szCs w:val="21"/>
    </w:rPr>
  </w:style>
  <w:style w:type="paragraph" w:customStyle="1" w:styleId="11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0" w:beforeLines="0" w:after="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8"/>
    <w:next w:val="28"/>
    <w:qFormat/>
    <w:uiPriority w:val="0"/>
    <w:pPr>
      <w:ind w:firstLine="360"/>
    </w:pPr>
    <w:rPr>
      <w:sz w:val="18"/>
    </w:rPr>
  </w:style>
  <w:style w:type="paragraph" w:customStyle="1" w:styleId="123">
    <w:name w:val="首示例"/>
    <w:next w:val="28"/>
    <w:link w:val="12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lang w:val="en-US" w:eastAsia="zh-CN" w:bidi="ar-SA"/>
    </w:rPr>
  </w:style>
  <w:style w:type="paragraph" w:customStyle="1" w:styleId="125">
    <w:name w:val="四级无"/>
    <w:basedOn w:val="62"/>
    <w:qFormat/>
    <w:uiPriority w:val="0"/>
    <w:pPr>
      <w:spacing w:before="0" w:beforeLines="0" w:after="0" w:afterLines="0"/>
    </w:pPr>
    <w:rPr>
      <w:rFonts w:ascii="宋体" w:eastAsia="宋体"/>
    </w:rPr>
  </w:style>
  <w:style w:type="paragraph" w:customStyle="1" w:styleId="126">
    <w:name w:val="条文脚注"/>
    <w:basedOn w:val="29"/>
    <w:qFormat/>
    <w:uiPriority w:val="0"/>
    <w:pPr>
      <w:numPr>
        <w:numId w:val="0"/>
      </w:numPr>
      <w:jc w:val="both"/>
    </w:pPr>
  </w:style>
  <w:style w:type="paragraph" w:customStyle="1" w:styleId="127">
    <w:name w:val="图标脚注说明"/>
    <w:basedOn w:val="28"/>
    <w:qFormat/>
    <w:uiPriority w:val="0"/>
    <w:pPr>
      <w:ind w:left="840" w:hanging="420" w:firstLineChars="0"/>
    </w:pPr>
    <w:rPr>
      <w:sz w:val="18"/>
      <w:szCs w:val="18"/>
    </w:rPr>
  </w:style>
  <w:style w:type="paragraph" w:customStyle="1" w:styleId="128">
    <w:name w:val="图表脚注说明"/>
    <w:basedOn w:val="1"/>
    <w:qFormat/>
    <w:uiPriority w:val="0"/>
    <w:pPr>
      <w:numPr>
        <w:ilvl w:val="0"/>
        <w:numId w:val="16"/>
      </w:numPr>
    </w:pPr>
    <w:rPr>
      <w:rFonts w:ascii="宋体"/>
      <w:sz w:val="18"/>
      <w:szCs w:val="18"/>
    </w:rPr>
  </w:style>
  <w:style w:type="paragraph" w:customStyle="1" w:styleId="129">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0" w:beforeLines="0" w:after="0" w:afterLines="0"/>
    </w:pPr>
    <w:rPr>
      <w:rFonts w:ascii="宋体" w:eastAsia="宋体"/>
    </w:rPr>
  </w:style>
  <w:style w:type="paragraph" w:customStyle="1" w:styleId="132">
    <w:name w:val="一级无"/>
    <w:basedOn w:val="49"/>
    <w:qFormat/>
    <w:uiPriority w:val="0"/>
    <w:pPr>
      <w:spacing w:before="0" w:beforeLines="0" w:after="0" w:afterLines="0"/>
    </w:pPr>
    <w:rPr>
      <w:rFonts w:ascii="宋体" w:eastAsia="宋体"/>
    </w:rPr>
  </w:style>
  <w:style w:type="paragraph" w:customStyle="1" w:styleId="133">
    <w:name w:val="正文表标题"/>
    <w:next w:val="28"/>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8"/>
    <w:next w:val="28"/>
    <w:qFormat/>
    <w:uiPriority w:val="0"/>
    <w:pPr>
      <w:ind w:firstLine="0" w:firstLineChars="0"/>
    </w:pPr>
  </w:style>
  <w:style w:type="paragraph" w:customStyle="1" w:styleId="135">
    <w:name w:val="正文图标题"/>
    <w:next w:val="28"/>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630"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paragraph" w:customStyle="1" w:styleId="144">
    <w:name w:val="字元 字元 Char Char Char Char Char Char Char"/>
    <w:basedOn w:val="1"/>
    <w:qFormat/>
    <w:uiPriority w:val="0"/>
    <w:rPr>
      <w:rFonts w:ascii="宋体"/>
      <w:sz w:val="24"/>
    </w:rPr>
  </w:style>
  <w:style w:type="character" w:customStyle="1" w:styleId="145">
    <w:name w:val="标题 1 字符"/>
    <w:link w:val="3"/>
    <w:qFormat/>
    <w:uiPriority w:val="0"/>
    <w:rPr>
      <w:b/>
      <w:bCs/>
      <w:kern w:val="44"/>
      <w:sz w:val="28"/>
      <w:szCs w:val="44"/>
      <w:lang w:val="zh-CN" w:eastAsia="zh-CN"/>
    </w:rPr>
  </w:style>
  <w:style w:type="character" w:customStyle="1" w:styleId="146">
    <w:name w:val="标题 2 字符"/>
    <w:link w:val="4"/>
    <w:qFormat/>
    <w:uiPriority w:val="0"/>
    <w:rPr>
      <w:rFonts w:ascii="Cambria" w:hAnsi="Cambria"/>
      <w:b/>
      <w:bCs/>
      <w:sz w:val="32"/>
      <w:szCs w:val="32"/>
      <w:lang w:val="zh-CN" w:eastAsia="zh-CN"/>
    </w:rPr>
  </w:style>
  <w:style w:type="character" w:customStyle="1" w:styleId="147">
    <w:name w:val="标题 3 字符"/>
    <w:link w:val="5"/>
    <w:qFormat/>
    <w:uiPriority w:val="0"/>
    <w:rPr>
      <w:b/>
      <w:color w:val="000000"/>
      <w:sz w:val="28"/>
      <w:szCs w:val="24"/>
      <w:lang w:val="zh-CN" w:eastAsia="zh-CN"/>
    </w:rPr>
  </w:style>
  <w:style w:type="character" w:customStyle="1" w:styleId="148">
    <w:name w:val="标题 4 字符"/>
    <w:link w:val="6"/>
    <w:qFormat/>
    <w:uiPriority w:val="0"/>
    <w:rPr>
      <w:b/>
      <w:bCs/>
      <w:color w:val="000000"/>
      <w:sz w:val="28"/>
      <w:szCs w:val="24"/>
      <w:lang w:val="zh-CN" w:eastAsia="zh-CN"/>
    </w:rPr>
  </w:style>
  <w:style w:type="paragraph" w:customStyle="1" w:styleId="149">
    <w:name w:val="振文"/>
    <w:basedOn w:val="1"/>
    <w:link w:val="150"/>
    <w:qFormat/>
    <w:uiPriority w:val="0"/>
    <w:pPr>
      <w:spacing w:line="480" w:lineRule="exact"/>
      <w:ind w:firstLine="480" w:firstLineChars="200"/>
    </w:pPr>
    <w:rPr>
      <w:rFonts w:ascii="宋体" w:hAnsi="宋体"/>
      <w:color w:val="000000"/>
      <w:sz w:val="24"/>
      <w:szCs w:val="28"/>
      <w:lang w:val="zh-CN"/>
    </w:rPr>
  </w:style>
  <w:style w:type="character" w:customStyle="1" w:styleId="150">
    <w:name w:val="振文 Char"/>
    <w:link w:val="149"/>
    <w:qFormat/>
    <w:uiPriority w:val="0"/>
    <w:rPr>
      <w:rFonts w:ascii="宋体" w:hAnsi="宋体"/>
      <w:color w:val="000000"/>
      <w:kern w:val="2"/>
      <w:sz w:val="24"/>
      <w:szCs w:val="28"/>
      <w:lang w:val="zh-CN" w:eastAsia="zh-CN"/>
    </w:rPr>
  </w:style>
  <w:style w:type="character" w:customStyle="1" w:styleId="151">
    <w:name w:val="文档结构图 字符"/>
    <w:link w:val="11"/>
    <w:semiHidden/>
    <w:qFormat/>
    <w:uiPriority w:val="99"/>
    <w:rPr>
      <w:kern w:val="2"/>
      <w:sz w:val="21"/>
      <w:szCs w:val="24"/>
      <w:shd w:val="clear" w:color="auto" w:fill="000080"/>
    </w:rPr>
  </w:style>
  <w:style w:type="character" w:customStyle="1" w:styleId="152">
    <w:name w:val="日期 Char1"/>
    <w:qFormat/>
    <w:uiPriority w:val="0"/>
    <w:rPr>
      <w:kern w:val="2"/>
      <w:sz w:val="21"/>
      <w:szCs w:val="24"/>
    </w:rPr>
  </w:style>
  <w:style w:type="character" w:customStyle="1" w:styleId="153">
    <w:name w:val="批注主题 字符"/>
    <w:link w:val="37"/>
    <w:qFormat/>
    <w:uiPriority w:val="0"/>
    <w:rPr>
      <w:rFonts w:ascii="Calibri" w:hAnsi="Calibri"/>
      <w:b/>
      <w:bCs/>
      <w:color w:val="000000"/>
      <w:sz w:val="24"/>
    </w:rPr>
  </w:style>
  <w:style w:type="character" w:customStyle="1" w:styleId="154">
    <w:name w:val="页眉 字符"/>
    <w:link w:val="23"/>
    <w:qFormat/>
    <w:uiPriority w:val="99"/>
    <w:rPr>
      <w:kern w:val="2"/>
      <w:sz w:val="18"/>
      <w:szCs w:val="18"/>
    </w:rPr>
  </w:style>
  <w:style w:type="character" w:customStyle="1" w:styleId="155">
    <w:name w:val="日期 字符"/>
    <w:link w:val="19"/>
    <w:qFormat/>
    <w:uiPriority w:val="99"/>
    <w:rPr>
      <w:szCs w:val="22"/>
    </w:rPr>
  </w:style>
  <w:style w:type="character" w:customStyle="1" w:styleId="156">
    <w:name w:val="页脚 字符"/>
    <w:link w:val="22"/>
    <w:qFormat/>
    <w:uiPriority w:val="0"/>
    <w:rPr>
      <w:kern w:val="2"/>
      <w:sz w:val="18"/>
      <w:szCs w:val="18"/>
    </w:rPr>
  </w:style>
  <w:style w:type="character" w:customStyle="1" w:styleId="157">
    <w:name w:val="批注文字 字符"/>
    <w:link w:val="12"/>
    <w:qFormat/>
    <w:uiPriority w:val="0"/>
    <w:rPr>
      <w:rFonts w:ascii="Calibri" w:hAnsi="Calibri"/>
      <w:sz w:val="24"/>
    </w:rPr>
  </w:style>
  <w:style w:type="character" w:customStyle="1" w:styleId="158">
    <w:name w:val="标题 字符"/>
    <w:link w:val="36"/>
    <w:qFormat/>
    <w:uiPriority w:val="0"/>
    <w:rPr>
      <w:rFonts w:ascii="Arial" w:hAnsi="Arial"/>
      <w:b/>
      <w:sz w:val="30"/>
    </w:rPr>
  </w:style>
  <w:style w:type="character" w:customStyle="1" w:styleId="159">
    <w:name w:val="批注框文本 字符"/>
    <w:link w:val="21"/>
    <w:qFormat/>
    <w:uiPriority w:val="0"/>
    <w:rPr>
      <w:rFonts w:ascii="Calibri" w:hAnsi="Calibri"/>
      <w:color w:val="000000"/>
      <w:sz w:val="18"/>
      <w:szCs w:val="18"/>
    </w:rPr>
  </w:style>
  <w:style w:type="character" w:customStyle="1" w:styleId="160">
    <w:name w:val="批注文字 Char1"/>
    <w:qFormat/>
    <w:uiPriority w:val="0"/>
    <w:rPr>
      <w:kern w:val="2"/>
      <w:sz w:val="21"/>
      <w:szCs w:val="24"/>
    </w:rPr>
  </w:style>
  <w:style w:type="character" w:customStyle="1" w:styleId="161">
    <w:name w:val="批注框文本 Char1"/>
    <w:qFormat/>
    <w:uiPriority w:val="0"/>
    <w:rPr>
      <w:kern w:val="2"/>
      <w:sz w:val="18"/>
      <w:szCs w:val="18"/>
    </w:rPr>
  </w:style>
  <w:style w:type="character" w:customStyle="1" w:styleId="162">
    <w:name w:val="批注主题 Char1"/>
    <w:qFormat/>
    <w:uiPriority w:val="0"/>
    <w:rPr>
      <w:b/>
      <w:bCs/>
      <w:kern w:val="2"/>
      <w:sz w:val="21"/>
      <w:szCs w:val="24"/>
    </w:rPr>
  </w:style>
  <w:style w:type="character" w:customStyle="1" w:styleId="163">
    <w:name w:val="日期 Char2"/>
    <w:qFormat/>
    <w:uiPriority w:val="0"/>
    <w:rPr>
      <w:kern w:val="2"/>
      <w:sz w:val="21"/>
      <w:szCs w:val="24"/>
    </w:rPr>
  </w:style>
  <w:style w:type="character" w:customStyle="1" w:styleId="164">
    <w:name w:val="标题 Char1"/>
    <w:qFormat/>
    <w:uiPriority w:val="0"/>
    <w:rPr>
      <w:rFonts w:ascii="Cambria" w:hAnsi="Cambria" w:cs="Times New Roman"/>
      <w:b/>
      <w:bCs/>
      <w:kern w:val="2"/>
      <w:sz w:val="32"/>
      <w:szCs w:val="32"/>
    </w:rPr>
  </w:style>
  <w:style w:type="paragraph" w:customStyle="1" w:styleId="165">
    <w:name w:val="网格型8-表格内容-左对齐"/>
    <w:basedOn w:val="1"/>
    <w:qFormat/>
    <w:uiPriority w:val="0"/>
    <w:pPr>
      <w:spacing w:line="288" w:lineRule="auto"/>
    </w:pPr>
    <w:rPr>
      <w:sz w:val="24"/>
      <w:szCs w:val="18"/>
    </w:rPr>
  </w:style>
  <w:style w:type="paragraph" w:styleId="166">
    <w:name w:val="List Paragraph"/>
    <w:basedOn w:val="1"/>
    <w:qFormat/>
    <w:uiPriority w:val="34"/>
    <w:pPr>
      <w:topLinePunct/>
      <w:spacing w:beforeLines="20" w:line="288" w:lineRule="auto"/>
      <w:ind w:firstLine="420" w:firstLineChars="200"/>
      <w:jc w:val="left"/>
    </w:pPr>
    <w:rPr>
      <w:rFonts w:ascii="Calibri" w:hAnsi="Calibri"/>
      <w:color w:val="000000"/>
      <w:sz w:val="24"/>
      <w:szCs w:val="21"/>
    </w:rPr>
  </w:style>
  <w:style w:type="paragraph" w:customStyle="1" w:styleId="167">
    <w:name w:val="样式 8 磅 加粗 左侧:  -0.01 厘米 段前: 0 磅 段后: 0 磅"/>
    <w:basedOn w:val="1"/>
    <w:qFormat/>
    <w:uiPriority w:val="0"/>
    <w:pPr>
      <w:widowControl/>
      <w:ind w:left="-6"/>
      <w:jc w:val="left"/>
    </w:pPr>
    <w:rPr>
      <w:rFonts w:ascii="Arial" w:hAnsi="Arial" w:cs="宋体"/>
      <w:bCs/>
      <w:kern w:val="0"/>
      <w:szCs w:val="20"/>
      <w:lang w:val="en-GB" w:eastAsia="en-US"/>
    </w:rPr>
  </w:style>
  <w:style w:type="paragraph" w:customStyle="1" w:styleId="168">
    <w:name w:val="_Style 12"/>
    <w:basedOn w:val="1"/>
    <w:qFormat/>
    <w:uiPriority w:val="34"/>
    <w:pPr>
      <w:ind w:firstLine="420" w:firstLineChars="200"/>
    </w:pPr>
    <w:rPr>
      <w:rFonts w:ascii="Calibri" w:hAnsi="Calibri"/>
      <w:sz w:val="24"/>
    </w:rPr>
  </w:style>
  <w:style w:type="paragraph" w:customStyle="1" w:styleId="169">
    <w:name w:val="网格型8-表格内容-居中"/>
    <w:basedOn w:val="1"/>
    <w:qFormat/>
    <w:uiPriority w:val="0"/>
    <w:pPr>
      <w:topLinePunct/>
      <w:spacing w:line="288" w:lineRule="auto"/>
      <w:jc w:val="center"/>
    </w:pPr>
    <w:rPr>
      <w:rFonts w:ascii="Calibri" w:hAnsi="Courier New" w:cs="Courier New"/>
      <w:color w:val="000000"/>
      <w:sz w:val="24"/>
      <w:szCs w:val="18"/>
    </w:rPr>
  </w:style>
  <w:style w:type="paragraph" w:customStyle="1" w:styleId="170">
    <w:name w:val="页脚格式"/>
    <w:basedOn w:val="1"/>
    <w:qFormat/>
    <w:uiPriority w:val="0"/>
    <w:pPr>
      <w:topLinePunct/>
      <w:spacing w:line="288" w:lineRule="auto"/>
      <w:jc w:val="left"/>
    </w:pPr>
    <w:rPr>
      <w:rFonts w:ascii="Calibri" w:hAnsi="Calibri"/>
      <w:color w:val="000000"/>
      <w:sz w:val="18"/>
      <w:szCs w:val="18"/>
    </w:rPr>
  </w:style>
  <w:style w:type="paragraph" w:customStyle="1" w:styleId="171">
    <w:name w:val="项目列表符号"/>
    <w:basedOn w:val="1"/>
    <w:qFormat/>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2">
    <w:name w:val="StandardOhneEinzug"/>
    <w:basedOn w:val="1"/>
    <w:qFormat/>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4">
    <w:name w:val="表格文字"/>
    <w:basedOn w:val="1"/>
    <w:qFormat/>
    <w:uiPriority w:val="0"/>
    <w:pPr>
      <w:snapToGrid w:val="0"/>
      <w:jc w:val="center"/>
    </w:pPr>
    <w:rPr>
      <w:rFonts w:cs="宋体"/>
      <w:szCs w:val="20"/>
    </w:rPr>
  </w:style>
  <w:style w:type="paragraph" w:customStyle="1" w:styleId="175">
    <w:name w:val="列出段落1"/>
    <w:basedOn w:val="1"/>
    <w:qFormat/>
    <w:uiPriority w:val="34"/>
    <w:pPr>
      <w:ind w:firstLine="420" w:firstLineChars="200"/>
    </w:pPr>
  </w:style>
  <w:style w:type="paragraph" w:customStyle="1" w:styleId="176">
    <w:name w:val="联演正文"/>
    <w:basedOn w:val="1"/>
    <w:link w:val="177"/>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rPr>
  </w:style>
  <w:style w:type="character" w:customStyle="1" w:styleId="177">
    <w:name w:val="联演正文 Char"/>
    <w:link w:val="176"/>
    <w:qFormat/>
    <w:uiPriority w:val="0"/>
    <w:rPr>
      <w:rFonts w:ascii="仿宋_GB2312" w:hAnsi="宋体" w:eastAsia="仿宋_GB2312"/>
      <w:kern w:val="2"/>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63986-9A00-4763-9C32-70652D4C63A5}">
  <ds:schemaRefs/>
</ds:datastoreItem>
</file>

<file path=docProps/app.xml><?xml version="1.0" encoding="utf-8"?>
<Properties xmlns="http://schemas.openxmlformats.org/officeDocument/2006/extended-properties" xmlns:vt="http://schemas.openxmlformats.org/officeDocument/2006/docPropsVTypes">
  <Template>Normal</Template>
  <Company>crec</Company>
  <Pages>19</Pages>
  <Words>225</Words>
  <Characters>1289</Characters>
  <Lines>10</Lines>
  <Paragraphs>3</Paragraphs>
  <TotalTime>68</TotalTime>
  <ScaleCrop>false</ScaleCrop>
  <LinksUpToDate>false</LinksUpToDate>
  <CharactersWithSpaces>1511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2022-03-18T18:20:00Z</dcterms:created>
  <dc:creator>CNIS</dc:creator>
  <cp:lastModifiedBy>jiangjiang</cp:lastModifiedBy>
  <cp:lastPrinted>2021-07-01T14:13:00Z</cp:lastPrinted>
  <dcterms:modified xsi:type="dcterms:W3CDTF">2025-04-28T15:53:55Z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AD28BFAD3181EABAA32E0F68B518A050_43</vt:lpwstr>
  </property>
</Properties>
</file>