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C4732">
      <w:pPr>
        <w:spacing w:before="29" w:line="187" w:lineRule="auto"/>
        <w:ind w:left="53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ICS</w:t>
      </w:r>
    </w:p>
    <w:p w14:paraId="4C47C7D7">
      <w:pPr>
        <w:spacing w:before="87" w:line="219" w:lineRule="auto"/>
        <w:ind w:left="119"/>
        <w:rPr>
          <w:rFonts w:ascii="黑体" w:hAnsi="黑体" w:eastAsia="黑体" w:cs="黑体"/>
          <w:sz w:val="21"/>
          <w:szCs w:val="21"/>
        </w:rPr>
      </w:pPr>
      <w:r>
        <w:rPr>
          <w:rFonts w:ascii="黑体" w:hAnsi="黑体" w:eastAsia="黑体" w:cs="黑体"/>
          <w:spacing w:val="-1"/>
          <w:sz w:val="21"/>
          <w:szCs w:val="21"/>
        </w:rPr>
        <w:t>点击此处添加中国标准文献分类号</w:t>
      </w:r>
    </w:p>
    <w:p w14:paraId="34984A04">
      <w:pPr>
        <w:pStyle w:val="2"/>
        <w:spacing w:line="243" w:lineRule="auto"/>
      </w:pPr>
    </w:p>
    <w:p w14:paraId="552C516F">
      <w:pPr>
        <w:pStyle w:val="2"/>
        <w:spacing w:line="243" w:lineRule="auto"/>
      </w:pPr>
    </w:p>
    <w:p w14:paraId="37F93DD6">
      <w:pPr>
        <w:pStyle w:val="2"/>
        <w:spacing w:line="243" w:lineRule="auto"/>
      </w:pPr>
    </w:p>
    <w:p w14:paraId="2C07E592">
      <w:pPr>
        <w:pStyle w:val="2"/>
        <w:spacing w:line="243" w:lineRule="auto"/>
      </w:pPr>
    </w:p>
    <w:p w14:paraId="3B91189A">
      <w:pPr>
        <w:spacing w:before="234" w:line="221" w:lineRule="auto"/>
        <w:ind w:left="964"/>
        <w:rPr>
          <w:rFonts w:ascii="黑体" w:hAnsi="黑体" w:eastAsia="黑体" w:cs="黑体"/>
          <w:sz w:val="72"/>
          <w:szCs w:val="72"/>
        </w:rPr>
      </w:pPr>
      <w:r>
        <w:rPr>
          <w:rFonts w:ascii="黑体" w:hAnsi="黑体" w:eastAsia="黑体" w:cs="黑体"/>
          <w:spacing w:val="-28"/>
          <w:sz w:val="72"/>
          <w:szCs w:val="72"/>
        </w:rPr>
        <w:t>团</w:t>
      </w:r>
      <w:r>
        <w:rPr>
          <w:rFonts w:ascii="黑体" w:hAnsi="黑体" w:eastAsia="黑体" w:cs="黑体"/>
          <w:spacing w:val="53"/>
          <w:sz w:val="72"/>
          <w:szCs w:val="72"/>
        </w:rPr>
        <w:t xml:space="preserve">    </w:t>
      </w:r>
      <w:r>
        <w:rPr>
          <w:rFonts w:ascii="黑体" w:hAnsi="黑体" w:eastAsia="黑体" w:cs="黑体"/>
          <w:spacing w:val="-28"/>
          <w:sz w:val="72"/>
          <w:szCs w:val="72"/>
        </w:rPr>
        <w:t>体</w:t>
      </w:r>
      <w:r>
        <w:rPr>
          <w:rFonts w:ascii="黑体" w:hAnsi="黑体" w:eastAsia="黑体" w:cs="黑体"/>
          <w:spacing w:val="50"/>
          <w:sz w:val="72"/>
          <w:szCs w:val="72"/>
        </w:rPr>
        <w:t xml:space="preserve">    </w:t>
      </w:r>
      <w:r>
        <w:rPr>
          <w:rFonts w:ascii="黑体" w:hAnsi="黑体" w:eastAsia="黑体" w:cs="黑体"/>
          <w:spacing w:val="-28"/>
          <w:sz w:val="72"/>
          <w:szCs w:val="72"/>
        </w:rPr>
        <w:t>标</w:t>
      </w:r>
      <w:r>
        <w:rPr>
          <w:rFonts w:ascii="黑体" w:hAnsi="黑体" w:eastAsia="黑体" w:cs="黑体"/>
          <w:spacing w:val="55"/>
          <w:sz w:val="72"/>
          <w:szCs w:val="72"/>
        </w:rPr>
        <w:t xml:space="preserve">    </w:t>
      </w:r>
      <w:r>
        <w:rPr>
          <w:rFonts w:ascii="黑体" w:hAnsi="黑体" w:eastAsia="黑体" w:cs="黑体"/>
          <w:spacing w:val="-28"/>
          <w:sz w:val="72"/>
          <w:szCs w:val="72"/>
        </w:rPr>
        <w:t>准</w:t>
      </w:r>
    </w:p>
    <w:p w14:paraId="7B566224">
      <w:pPr>
        <w:pStyle w:val="2"/>
      </w:pPr>
    </w:p>
    <w:p w14:paraId="31081DE5">
      <w:pPr>
        <w:spacing w:before="80" w:line="233" w:lineRule="auto"/>
        <w:ind w:left="7116"/>
        <w:rPr>
          <w:rFonts w:ascii="Times New Roman" w:hAnsi="Times New Roman" w:eastAsia="Times New Roman" w:cs="Times New Roman"/>
          <w:sz w:val="28"/>
          <w:szCs w:val="28"/>
        </w:rPr>
      </w:pPr>
      <w:r>
        <w:rPr>
          <w:rFonts w:ascii="Times New Roman" w:hAnsi="Times New Roman" w:eastAsia="Times New Roman" w:cs="Times New Roman"/>
          <w:spacing w:val="8"/>
          <w:sz w:val="28"/>
          <w:szCs w:val="28"/>
        </w:rPr>
        <w:t>T/×××××××—××××</w:t>
      </w:r>
    </w:p>
    <w:p w14:paraId="3C95ADC5">
      <w:pPr>
        <w:pStyle w:val="2"/>
        <w:spacing w:line="330" w:lineRule="auto"/>
      </w:pPr>
    </w:p>
    <w:p w14:paraId="682687A8">
      <w:pPr>
        <w:spacing w:before="1" w:line="30" w:lineRule="exact"/>
      </w:pPr>
      <w:r>
        <w:pict>
          <v:shape id="_x0000_s1026" o:spid="_x0000_s1026" style="height:1.5pt;width:481.95pt;" filled="f" stroked="t" coordsize="9639,30" path="m0,15l9638,15e">
            <v:fill on="f" focussize="0,0"/>
            <v:stroke weight="1.5pt" color="#000000" miterlimit="10"/>
            <v:imagedata o:title=""/>
            <o:lock v:ext="edit"/>
            <w10:wrap type="none"/>
            <w10:anchorlock/>
          </v:shape>
        </w:pict>
      </w:r>
    </w:p>
    <w:p w14:paraId="3F2FA8E0">
      <w:pPr>
        <w:pStyle w:val="2"/>
        <w:spacing w:line="257" w:lineRule="auto"/>
      </w:pPr>
    </w:p>
    <w:p w14:paraId="5B09F1B1">
      <w:pPr>
        <w:pStyle w:val="2"/>
        <w:spacing w:line="257" w:lineRule="auto"/>
      </w:pPr>
    </w:p>
    <w:p w14:paraId="0AD66B71">
      <w:pPr>
        <w:pStyle w:val="2"/>
        <w:spacing w:line="257" w:lineRule="auto"/>
      </w:pPr>
    </w:p>
    <w:p w14:paraId="302ABFCB">
      <w:pPr>
        <w:pStyle w:val="2"/>
        <w:spacing w:line="257" w:lineRule="auto"/>
      </w:pPr>
    </w:p>
    <w:p w14:paraId="19F1BB6E">
      <w:pPr>
        <w:pStyle w:val="2"/>
        <w:spacing w:line="257" w:lineRule="auto"/>
      </w:pPr>
    </w:p>
    <w:p w14:paraId="3AC0F0A6">
      <w:pPr>
        <w:pStyle w:val="2"/>
        <w:spacing w:line="257" w:lineRule="auto"/>
      </w:pPr>
    </w:p>
    <w:p w14:paraId="7AED3EA9">
      <w:pPr>
        <w:pStyle w:val="2"/>
        <w:spacing w:line="257" w:lineRule="auto"/>
      </w:pPr>
    </w:p>
    <w:p w14:paraId="1671BD3A">
      <w:pPr>
        <w:pStyle w:val="2"/>
        <w:spacing w:line="258" w:lineRule="auto"/>
      </w:pPr>
    </w:p>
    <w:p w14:paraId="08FEF294">
      <w:pPr>
        <w:spacing w:before="170" w:line="218" w:lineRule="auto"/>
        <w:ind w:left="3019"/>
        <w:outlineLvl w:val="0"/>
        <w:rPr>
          <w:rFonts w:ascii="黑体" w:hAnsi="黑体" w:eastAsia="黑体" w:cs="黑体"/>
          <w:sz w:val="52"/>
          <w:szCs w:val="52"/>
        </w:rPr>
      </w:pPr>
      <w:r>
        <w:rPr>
          <w:rFonts w:ascii="黑体" w:hAnsi="黑体" w:eastAsia="黑体" w:cs="黑体"/>
          <w:spacing w:val="-3"/>
          <w:sz w:val="52"/>
          <w:szCs w:val="52"/>
        </w:rPr>
        <w:t>碳中和社区评价</w:t>
      </w:r>
    </w:p>
    <w:p w14:paraId="3A03BCC5">
      <w:pPr>
        <w:pStyle w:val="2"/>
        <w:spacing w:line="436" w:lineRule="auto"/>
      </w:pPr>
    </w:p>
    <w:p w14:paraId="1D778CF1">
      <w:pPr>
        <w:spacing w:before="81" w:line="191" w:lineRule="auto"/>
        <w:ind w:left="2620"/>
        <w:rPr>
          <w:rFonts w:ascii="Times New Roman" w:hAnsi="Times New Roman" w:eastAsia="Times New Roman" w:cs="Times New Roman"/>
          <w:sz w:val="28"/>
          <w:szCs w:val="28"/>
        </w:rPr>
      </w:pPr>
      <w:r>
        <w:rPr>
          <w:rFonts w:ascii="Times New Roman" w:hAnsi="Times New Roman" w:eastAsia="Times New Roman" w:cs="Times New Roman"/>
          <w:sz w:val="28"/>
          <w:szCs w:val="28"/>
        </w:rPr>
        <w:t>Carbon Neutral Communit</w:t>
      </w:r>
      <w:r>
        <w:rPr>
          <w:rFonts w:ascii="Times New Roman" w:hAnsi="Times New Roman" w:eastAsia="Times New Roman" w:cs="Times New Roman"/>
          <w:spacing w:val="-1"/>
          <w:sz w:val="28"/>
          <w:szCs w:val="28"/>
        </w:rPr>
        <w:t>y Evaluation</w:t>
      </w:r>
    </w:p>
    <w:p w14:paraId="534AC07A">
      <w:pPr>
        <w:pStyle w:val="2"/>
        <w:spacing w:line="247" w:lineRule="auto"/>
      </w:pPr>
    </w:p>
    <w:p w14:paraId="2E9E068B">
      <w:pPr>
        <w:pStyle w:val="2"/>
        <w:spacing w:line="247" w:lineRule="auto"/>
      </w:pPr>
    </w:p>
    <w:p w14:paraId="6CE611BC">
      <w:pPr>
        <w:pStyle w:val="2"/>
        <w:spacing w:line="247" w:lineRule="auto"/>
      </w:pPr>
    </w:p>
    <w:p w14:paraId="1233B642">
      <w:pPr>
        <w:pStyle w:val="2"/>
        <w:spacing w:line="247" w:lineRule="auto"/>
      </w:pPr>
    </w:p>
    <w:p w14:paraId="1000F03F">
      <w:pPr>
        <w:pStyle w:val="2"/>
        <w:spacing w:line="247" w:lineRule="auto"/>
      </w:pPr>
    </w:p>
    <w:p w14:paraId="1DC2E2A1">
      <w:pPr>
        <w:pStyle w:val="2"/>
        <w:spacing w:line="247" w:lineRule="auto"/>
      </w:pPr>
    </w:p>
    <w:p w14:paraId="31AF2AF7">
      <w:pPr>
        <w:pStyle w:val="2"/>
        <w:spacing w:line="247" w:lineRule="auto"/>
      </w:pPr>
    </w:p>
    <w:p w14:paraId="331E729B">
      <w:pPr>
        <w:pStyle w:val="2"/>
        <w:spacing w:line="247" w:lineRule="auto"/>
      </w:pPr>
    </w:p>
    <w:p w14:paraId="4F4AABF9">
      <w:pPr>
        <w:pStyle w:val="2"/>
        <w:spacing w:line="247" w:lineRule="auto"/>
      </w:pPr>
    </w:p>
    <w:p w14:paraId="24BD945C">
      <w:pPr>
        <w:pStyle w:val="2"/>
        <w:spacing w:line="247" w:lineRule="auto"/>
      </w:pPr>
    </w:p>
    <w:p w14:paraId="66DFB42F">
      <w:pPr>
        <w:pStyle w:val="2"/>
        <w:spacing w:line="247" w:lineRule="auto"/>
      </w:pPr>
    </w:p>
    <w:p w14:paraId="5A6990E9">
      <w:pPr>
        <w:pStyle w:val="2"/>
        <w:spacing w:line="247" w:lineRule="auto"/>
      </w:pPr>
    </w:p>
    <w:p w14:paraId="5E69F9F7">
      <w:pPr>
        <w:pStyle w:val="2"/>
        <w:spacing w:line="247" w:lineRule="auto"/>
      </w:pPr>
    </w:p>
    <w:p w14:paraId="704F147A">
      <w:pPr>
        <w:pStyle w:val="2"/>
        <w:spacing w:line="247" w:lineRule="auto"/>
      </w:pPr>
    </w:p>
    <w:p w14:paraId="342D3FF6">
      <w:pPr>
        <w:pStyle w:val="2"/>
        <w:spacing w:line="247" w:lineRule="auto"/>
      </w:pPr>
    </w:p>
    <w:p w14:paraId="101EC07B">
      <w:pPr>
        <w:pStyle w:val="2"/>
        <w:spacing w:line="247" w:lineRule="auto"/>
      </w:pPr>
    </w:p>
    <w:p w14:paraId="751C64FD">
      <w:pPr>
        <w:pStyle w:val="2"/>
        <w:spacing w:line="247" w:lineRule="auto"/>
      </w:pPr>
    </w:p>
    <w:p w14:paraId="56F7968E">
      <w:pPr>
        <w:pStyle w:val="2"/>
        <w:spacing w:line="247" w:lineRule="auto"/>
      </w:pPr>
    </w:p>
    <w:p w14:paraId="1D6EED1F">
      <w:pPr>
        <w:pStyle w:val="2"/>
        <w:spacing w:line="248" w:lineRule="auto"/>
      </w:pPr>
    </w:p>
    <w:p w14:paraId="3FD55580">
      <w:pPr>
        <w:pStyle w:val="2"/>
        <w:spacing w:line="248" w:lineRule="auto"/>
      </w:pPr>
    </w:p>
    <w:p w14:paraId="746A856F">
      <w:pPr>
        <w:pStyle w:val="2"/>
        <w:spacing w:line="248" w:lineRule="auto"/>
      </w:pPr>
    </w:p>
    <w:p w14:paraId="772B22A7">
      <w:pPr>
        <w:pStyle w:val="2"/>
        <w:spacing w:line="248" w:lineRule="auto"/>
      </w:pPr>
    </w:p>
    <w:p w14:paraId="3EB5CC0E">
      <w:pPr>
        <w:pStyle w:val="2"/>
        <w:spacing w:line="248" w:lineRule="auto"/>
      </w:pPr>
    </w:p>
    <w:p w14:paraId="6A260D88">
      <w:pPr>
        <w:pStyle w:val="2"/>
        <w:spacing w:line="248" w:lineRule="auto"/>
      </w:pPr>
    </w:p>
    <w:p w14:paraId="687E25DE">
      <w:pPr>
        <w:pStyle w:val="2"/>
        <w:spacing w:line="248" w:lineRule="auto"/>
      </w:pPr>
    </w:p>
    <w:p w14:paraId="3F5A7256">
      <w:pPr>
        <w:spacing w:before="91" w:line="234" w:lineRule="auto"/>
        <w:jc w:val="right"/>
        <w:rPr>
          <w:rFonts w:ascii="黑体" w:hAnsi="黑体" w:eastAsia="黑体" w:cs="黑体"/>
          <w:sz w:val="28"/>
          <w:szCs w:val="28"/>
        </w:rPr>
      </w:pPr>
      <w:r>
        <w:pict>
          <v:shape id="_x0000_s1027" o:spid="_x0000_s1027" style="position:absolute;left:0pt;margin-left:0.4pt;margin-top:23.45pt;height:0.75pt;width:481.95pt;z-index:251659264;mso-width-relative:page;mso-height-relative:page;" filled="f" stroked="t" coordsize="9639,15" path="m0,7l9638,7e">
            <v:fill on="f" focussize="0,0"/>
            <v:stroke color="#000000" miterlimit="10"/>
            <v:imagedata o:title=""/>
            <o:lock v:ext="edit"/>
          </v:shape>
        </w:pict>
      </w:r>
      <w:r>
        <w:rPr>
          <w:rFonts w:ascii="Times New Roman" w:hAnsi="Times New Roman" w:eastAsia="Times New Roman" w:cs="Times New Roman"/>
          <w:spacing w:val="4"/>
          <w:position w:val="-3"/>
          <w:sz w:val="28"/>
          <w:szCs w:val="28"/>
        </w:rPr>
        <w:t>××××</w:t>
      </w:r>
      <w:r>
        <w:rPr>
          <w:rFonts w:ascii="Times New Roman" w:hAnsi="Times New Roman" w:eastAsia="Times New Roman" w:cs="Times New Roman"/>
          <w:spacing w:val="-49"/>
          <w:position w:val="-3"/>
          <w:sz w:val="28"/>
          <w:szCs w:val="28"/>
        </w:rPr>
        <w:t xml:space="preserve"> </w:t>
      </w:r>
      <w:r>
        <w:rPr>
          <w:rFonts w:ascii="Times New Roman" w:hAnsi="Times New Roman" w:eastAsia="Times New Roman" w:cs="Times New Roman"/>
          <w:spacing w:val="4"/>
          <w:position w:val="-3"/>
          <w:sz w:val="28"/>
          <w:szCs w:val="28"/>
        </w:rPr>
        <w:t>-</w:t>
      </w:r>
      <w:r>
        <w:rPr>
          <w:rFonts w:ascii="Times New Roman" w:hAnsi="Times New Roman" w:eastAsia="Times New Roman" w:cs="Times New Roman"/>
          <w:spacing w:val="22"/>
          <w:w w:val="101"/>
          <w:position w:val="-3"/>
          <w:sz w:val="28"/>
          <w:szCs w:val="28"/>
        </w:rPr>
        <w:t xml:space="preserve"> </w:t>
      </w:r>
      <w:r>
        <w:rPr>
          <w:rFonts w:ascii="Times New Roman" w:hAnsi="Times New Roman" w:eastAsia="Times New Roman" w:cs="Times New Roman"/>
          <w:spacing w:val="4"/>
          <w:position w:val="-3"/>
          <w:sz w:val="28"/>
          <w:szCs w:val="28"/>
        </w:rPr>
        <w:t>××</w:t>
      </w:r>
      <w:r>
        <w:rPr>
          <w:rFonts w:ascii="Times New Roman" w:hAnsi="Times New Roman" w:eastAsia="Times New Roman" w:cs="Times New Roman"/>
          <w:spacing w:val="-49"/>
          <w:position w:val="-3"/>
          <w:sz w:val="28"/>
          <w:szCs w:val="28"/>
        </w:rPr>
        <w:t xml:space="preserve"> </w:t>
      </w:r>
      <w:r>
        <w:rPr>
          <w:rFonts w:ascii="Times New Roman" w:hAnsi="Times New Roman" w:eastAsia="Times New Roman" w:cs="Times New Roman"/>
          <w:spacing w:val="4"/>
          <w:position w:val="-3"/>
          <w:sz w:val="28"/>
          <w:szCs w:val="28"/>
        </w:rPr>
        <w:t>-</w:t>
      </w:r>
      <w:r>
        <w:rPr>
          <w:rFonts w:ascii="Times New Roman" w:hAnsi="Times New Roman" w:eastAsia="Times New Roman" w:cs="Times New Roman"/>
          <w:spacing w:val="22"/>
          <w:position w:val="-3"/>
          <w:sz w:val="28"/>
          <w:szCs w:val="28"/>
        </w:rPr>
        <w:t xml:space="preserve"> </w:t>
      </w:r>
      <w:r>
        <w:rPr>
          <w:rFonts w:ascii="Times New Roman" w:hAnsi="Times New Roman" w:eastAsia="Times New Roman" w:cs="Times New Roman"/>
          <w:spacing w:val="4"/>
          <w:position w:val="-3"/>
          <w:sz w:val="28"/>
          <w:szCs w:val="28"/>
        </w:rPr>
        <w:t>××</w:t>
      </w:r>
      <w:r>
        <w:rPr>
          <w:rFonts w:ascii="黑体" w:hAnsi="黑体" w:eastAsia="黑体" w:cs="黑体"/>
          <w:spacing w:val="4"/>
          <w:position w:val="-3"/>
          <w:sz w:val="28"/>
          <w:szCs w:val="28"/>
        </w:rPr>
        <w:t xml:space="preserve">发布                                </w:t>
      </w:r>
      <w:r>
        <w:rPr>
          <w:rFonts w:ascii="黑体" w:hAnsi="黑体" w:eastAsia="黑体" w:cs="黑体"/>
          <w:spacing w:val="3"/>
          <w:position w:val="-3"/>
          <w:sz w:val="28"/>
          <w:szCs w:val="28"/>
        </w:rPr>
        <w:t xml:space="preserve">   </w:t>
      </w:r>
      <w:r>
        <w:rPr>
          <w:rFonts w:ascii="Times New Roman" w:hAnsi="Times New Roman" w:eastAsia="Times New Roman" w:cs="Times New Roman"/>
          <w:spacing w:val="3"/>
          <w:position w:val="3"/>
          <w:sz w:val="28"/>
          <w:szCs w:val="28"/>
        </w:rPr>
        <w:t>××××</w:t>
      </w:r>
      <w:r>
        <w:rPr>
          <w:rFonts w:ascii="Times New Roman" w:hAnsi="Times New Roman" w:eastAsia="Times New Roman" w:cs="Times New Roman"/>
          <w:spacing w:val="-49"/>
          <w:position w:val="3"/>
          <w:sz w:val="28"/>
          <w:szCs w:val="28"/>
        </w:rPr>
        <w:t xml:space="preserve"> </w:t>
      </w:r>
      <w:r>
        <w:rPr>
          <w:rFonts w:ascii="Times New Roman" w:hAnsi="Times New Roman" w:eastAsia="Times New Roman" w:cs="Times New Roman"/>
          <w:spacing w:val="3"/>
          <w:position w:val="3"/>
          <w:sz w:val="28"/>
          <w:szCs w:val="28"/>
        </w:rPr>
        <w:t>-</w:t>
      </w:r>
      <w:r>
        <w:rPr>
          <w:rFonts w:ascii="Times New Roman" w:hAnsi="Times New Roman" w:eastAsia="Times New Roman" w:cs="Times New Roman"/>
          <w:spacing w:val="22"/>
          <w:w w:val="101"/>
          <w:position w:val="3"/>
          <w:sz w:val="28"/>
          <w:szCs w:val="28"/>
        </w:rPr>
        <w:t xml:space="preserve"> </w:t>
      </w:r>
      <w:r>
        <w:rPr>
          <w:rFonts w:ascii="Times New Roman" w:hAnsi="Times New Roman" w:eastAsia="Times New Roman" w:cs="Times New Roman"/>
          <w:spacing w:val="3"/>
          <w:position w:val="3"/>
          <w:sz w:val="28"/>
          <w:szCs w:val="28"/>
        </w:rPr>
        <w:t>××</w:t>
      </w:r>
      <w:r>
        <w:rPr>
          <w:rFonts w:ascii="Times New Roman" w:hAnsi="Times New Roman" w:eastAsia="Times New Roman" w:cs="Times New Roman"/>
          <w:spacing w:val="-49"/>
          <w:position w:val="3"/>
          <w:sz w:val="28"/>
          <w:szCs w:val="28"/>
        </w:rPr>
        <w:t xml:space="preserve"> </w:t>
      </w:r>
      <w:r>
        <w:rPr>
          <w:rFonts w:ascii="Times New Roman" w:hAnsi="Times New Roman" w:eastAsia="Times New Roman" w:cs="Times New Roman"/>
          <w:spacing w:val="3"/>
          <w:position w:val="3"/>
          <w:sz w:val="28"/>
          <w:szCs w:val="28"/>
        </w:rPr>
        <w:t>-</w:t>
      </w:r>
      <w:r>
        <w:rPr>
          <w:rFonts w:ascii="Times New Roman" w:hAnsi="Times New Roman" w:eastAsia="Times New Roman" w:cs="Times New Roman"/>
          <w:spacing w:val="22"/>
          <w:position w:val="3"/>
          <w:sz w:val="28"/>
          <w:szCs w:val="28"/>
        </w:rPr>
        <w:t xml:space="preserve"> </w:t>
      </w:r>
      <w:r>
        <w:rPr>
          <w:rFonts w:ascii="Times New Roman" w:hAnsi="Times New Roman" w:eastAsia="Times New Roman" w:cs="Times New Roman"/>
          <w:spacing w:val="3"/>
          <w:position w:val="3"/>
          <w:sz w:val="28"/>
          <w:szCs w:val="28"/>
        </w:rPr>
        <w:t>××</w:t>
      </w:r>
      <w:r>
        <w:rPr>
          <w:rFonts w:ascii="黑体" w:hAnsi="黑体" w:eastAsia="黑体" w:cs="黑体"/>
          <w:spacing w:val="3"/>
          <w:position w:val="3"/>
          <w:sz w:val="28"/>
          <w:szCs w:val="28"/>
        </w:rPr>
        <w:t>实施</w:t>
      </w:r>
    </w:p>
    <w:p w14:paraId="3D9B8602">
      <w:pPr>
        <w:pStyle w:val="2"/>
        <w:spacing w:line="324" w:lineRule="auto"/>
      </w:pPr>
    </w:p>
    <w:p w14:paraId="7EC141C6">
      <w:pPr>
        <w:pStyle w:val="2"/>
        <w:spacing w:line="324" w:lineRule="auto"/>
      </w:pPr>
    </w:p>
    <w:p w14:paraId="08522961">
      <w:pPr>
        <w:spacing w:before="92" w:line="219" w:lineRule="auto"/>
        <w:ind w:left="2838"/>
        <w:rPr>
          <w:rFonts w:ascii="黑体" w:hAnsi="黑体" w:eastAsia="黑体" w:cs="黑体"/>
          <w:sz w:val="28"/>
          <w:szCs w:val="28"/>
        </w:rPr>
      </w:pPr>
      <w:r>
        <w:rPr>
          <w:rFonts w:ascii="Times New Roman" w:hAnsi="Times New Roman" w:eastAsia="Times New Roman" w:cs="Times New Roman"/>
          <w:spacing w:val="23"/>
          <w:w w:val="116"/>
          <w:position w:val="-1"/>
          <w:sz w:val="31"/>
          <w:szCs w:val="31"/>
        </w:rPr>
        <w:t>X</w:t>
      </w:r>
      <w:r>
        <w:rPr>
          <w:rFonts w:ascii="Times New Roman" w:hAnsi="Times New Roman" w:eastAsia="Times New Roman" w:cs="Times New Roman"/>
          <w:spacing w:val="78"/>
          <w:position w:val="-1"/>
          <w:sz w:val="31"/>
          <w:szCs w:val="31"/>
        </w:rPr>
        <w:t xml:space="preserve"> </w:t>
      </w:r>
      <w:r>
        <w:rPr>
          <w:rFonts w:ascii="Times New Roman" w:hAnsi="Times New Roman" w:eastAsia="Times New Roman" w:cs="Times New Roman"/>
          <w:spacing w:val="23"/>
          <w:w w:val="116"/>
          <w:position w:val="-1"/>
          <w:sz w:val="31"/>
          <w:szCs w:val="31"/>
        </w:rPr>
        <w:t>X</w:t>
      </w:r>
      <w:r>
        <w:rPr>
          <w:rFonts w:ascii="Times New Roman" w:hAnsi="Times New Roman" w:eastAsia="Times New Roman" w:cs="Times New Roman"/>
          <w:position w:val="-1"/>
          <w:sz w:val="31"/>
          <w:szCs w:val="31"/>
        </w:rPr>
        <w:t xml:space="preserve">  </w:t>
      </w:r>
      <w:r>
        <w:rPr>
          <w:rFonts w:ascii="Times New Roman" w:hAnsi="Times New Roman" w:eastAsia="Times New Roman" w:cs="Times New Roman"/>
          <w:spacing w:val="23"/>
          <w:w w:val="116"/>
          <w:position w:val="-1"/>
          <w:sz w:val="31"/>
          <w:szCs w:val="31"/>
        </w:rPr>
        <w:t>X</w:t>
      </w:r>
      <w:r>
        <w:rPr>
          <w:rFonts w:ascii="Times New Roman" w:hAnsi="Times New Roman" w:eastAsia="Times New Roman" w:cs="Times New Roman"/>
          <w:spacing w:val="76"/>
          <w:position w:val="-1"/>
          <w:sz w:val="31"/>
          <w:szCs w:val="31"/>
        </w:rPr>
        <w:t xml:space="preserve"> </w:t>
      </w:r>
      <w:r>
        <w:rPr>
          <w:rFonts w:ascii="Times New Roman" w:hAnsi="Times New Roman" w:eastAsia="Times New Roman" w:cs="Times New Roman"/>
          <w:spacing w:val="23"/>
          <w:w w:val="116"/>
          <w:position w:val="-1"/>
          <w:sz w:val="31"/>
          <w:szCs w:val="31"/>
        </w:rPr>
        <w:t>X</w:t>
      </w:r>
      <w:r>
        <w:rPr>
          <w:rFonts w:ascii="Times New Roman" w:hAnsi="Times New Roman" w:eastAsia="Times New Roman" w:cs="Times New Roman"/>
          <w:position w:val="-1"/>
          <w:sz w:val="31"/>
          <w:szCs w:val="31"/>
        </w:rPr>
        <w:t xml:space="preserve">  </w:t>
      </w:r>
      <w:r>
        <w:rPr>
          <w:rFonts w:ascii="Times New Roman" w:hAnsi="Times New Roman" w:eastAsia="Times New Roman" w:cs="Times New Roman"/>
          <w:spacing w:val="23"/>
          <w:w w:val="116"/>
          <w:position w:val="-1"/>
          <w:sz w:val="31"/>
          <w:szCs w:val="31"/>
        </w:rPr>
        <w:t>X</w:t>
      </w:r>
      <w:r>
        <w:rPr>
          <w:rFonts w:ascii="Times New Roman" w:hAnsi="Times New Roman" w:eastAsia="Times New Roman" w:cs="Times New Roman"/>
          <w:position w:val="-1"/>
          <w:sz w:val="31"/>
          <w:szCs w:val="31"/>
        </w:rPr>
        <w:t xml:space="preserve">  </w:t>
      </w:r>
      <w:r>
        <w:rPr>
          <w:rFonts w:ascii="Times New Roman" w:hAnsi="Times New Roman" w:eastAsia="Times New Roman" w:cs="Times New Roman"/>
          <w:spacing w:val="23"/>
          <w:w w:val="116"/>
          <w:position w:val="-1"/>
          <w:sz w:val="31"/>
          <w:szCs w:val="31"/>
        </w:rPr>
        <w:t>X</w:t>
      </w:r>
      <w:r>
        <w:rPr>
          <w:rFonts w:ascii="Times New Roman" w:hAnsi="Times New Roman" w:eastAsia="Times New Roman" w:cs="Times New Roman"/>
          <w:spacing w:val="75"/>
          <w:position w:val="-1"/>
          <w:sz w:val="31"/>
          <w:szCs w:val="31"/>
        </w:rPr>
        <w:t xml:space="preserve"> </w:t>
      </w:r>
      <w:r>
        <w:rPr>
          <w:rFonts w:ascii="Times New Roman" w:hAnsi="Times New Roman" w:eastAsia="Times New Roman" w:cs="Times New Roman"/>
          <w:spacing w:val="23"/>
          <w:w w:val="116"/>
          <w:position w:val="-1"/>
          <w:sz w:val="31"/>
          <w:szCs w:val="31"/>
        </w:rPr>
        <w:t>X</w:t>
      </w:r>
      <w:r>
        <w:rPr>
          <w:rFonts w:ascii="Times New Roman" w:hAnsi="Times New Roman" w:eastAsia="Times New Roman" w:cs="Times New Roman"/>
          <w:spacing w:val="9"/>
          <w:position w:val="-1"/>
          <w:sz w:val="31"/>
          <w:szCs w:val="31"/>
        </w:rPr>
        <w:t xml:space="preserve">    </w:t>
      </w:r>
      <w:r>
        <w:rPr>
          <w:rFonts w:ascii="黑体" w:hAnsi="黑体" w:eastAsia="黑体" w:cs="黑体"/>
          <w:spacing w:val="23"/>
          <w:w w:val="116"/>
          <w:position w:val="2"/>
          <w:sz w:val="28"/>
          <w:szCs w:val="28"/>
        </w:rPr>
        <w:t>发 布</w:t>
      </w:r>
    </w:p>
    <w:p w14:paraId="0FA11A04">
      <w:pPr>
        <w:spacing w:line="219" w:lineRule="auto"/>
        <w:rPr>
          <w:rFonts w:ascii="黑体" w:hAnsi="黑体" w:eastAsia="黑体" w:cs="黑体"/>
          <w:sz w:val="28"/>
          <w:szCs w:val="28"/>
        </w:rPr>
        <w:sectPr>
          <w:pgSz w:w="11907" w:h="16839"/>
          <w:pgMar w:top="624" w:right="1137" w:bottom="0" w:left="1130" w:header="0" w:footer="0" w:gutter="0"/>
          <w:cols w:space="720" w:num="1"/>
        </w:sectPr>
      </w:pPr>
    </w:p>
    <w:p w14:paraId="7F3413DB">
      <w:pPr>
        <w:pStyle w:val="2"/>
        <w:spacing w:line="302" w:lineRule="auto"/>
      </w:pPr>
    </w:p>
    <w:p w14:paraId="507053E1">
      <w:pPr>
        <w:pStyle w:val="2"/>
        <w:spacing w:line="303" w:lineRule="auto"/>
      </w:pPr>
    </w:p>
    <w:sdt>
      <w:sdtPr>
        <w:rPr>
          <w:rFonts w:ascii="黑体" w:hAnsi="黑体" w:eastAsia="黑体" w:cs="黑体"/>
          <w:sz w:val="31"/>
          <w:szCs w:val="31"/>
        </w:rPr>
        <w:id w:val="147466973"/>
        <w:docPartObj>
          <w:docPartGallery w:val="Table of Contents"/>
          <w:docPartUnique/>
        </w:docPartObj>
      </w:sdtPr>
      <w:sdtEndPr>
        <w:rPr>
          <w:rFonts w:ascii="Times New Roman" w:hAnsi="Times New Roman" w:eastAsia="Times New Roman" w:cs="Times New Roman"/>
          <w:sz w:val="21"/>
          <w:szCs w:val="21"/>
        </w:rPr>
      </w:sdtEndPr>
      <w:sdtContent>
        <w:p w14:paraId="74D59E77">
          <w:pPr>
            <w:spacing w:before="101" w:line="225" w:lineRule="auto"/>
            <w:ind w:left="4052"/>
            <w:rPr>
              <w:rFonts w:ascii="黑体" w:hAnsi="黑体" w:eastAsia="黑体" w:cs="黑体"/>
              <w:sz w:val="31"/>
              <w:szCs w:val="31"/>
            </w:rPr>
          </w:pPr>
          <w:bookmarkStart w:id="0" w:name="bookmark1"/>
          <w:bookmarkEnd w:id="0"/>
          <w:r>
            <w:rPr>
              <w:rFonts w:ascii="黑体" w:hAnsi="黑体" w:eastAsia="黑体" w:cs="黑体"/>
              <w:spacing w:val="-22"/>
              <w:sz w:val="31"/>
              <w:szCs w:val="31"/>
            </w:rPr>
            <w:t>目</w:t>
          </w:r>
          <w:r>
            <w:rPr>
              <w:rFonts w:ascii="黑体" w:hAnsi="黑体" w:eastAsia="黑体" w:cs="黑体"/>
              <w:spacing w:val="7"/>
              <w:sz w:val="31"/>
              <w:szCs w:val="31"/>
            </w:rPr>
            <w:t xml:space="preserve">    </w:t>
          </w:r>
          <w:r>
            <w:rPr>
              <w:rFonts w:ascii="黑体" w:hAnsi="黑体" w:eastAsia="黑体" w:cs="黑体"/>
              <w:spacing w:val="-22"/>
              <w:sz w:val="31"/>
              <w:szCs w:val="31"/>
            </w:rPr>
            <w:t>次</w:t>
          </w:r>
        </w:p>
        <w:p w14:paraId="2086460D">
          <w:pPr>
            <w:pStyle w:val="2"/>
            <w:spacing w:line="263" w:lineRule="auto"/>
          </w:pPr>
        </w:p>
        <w:p w14:paraId="3A610109">
          <w:pPr>
            <w:pStyle w:val="2"/>
            <w:spacing w:line="263" w:lineRule="auto"/>
          </w:pPr>
        </w:p>
        <w:p w14:paraId="7155162E">
          <w:pPr>
            <w:tabs>
              <w:tab w:val="right" w:leader="dot" w:pos="9282"/>
            </w:tabs>
            <w:spacing w:before="68" w:line="200" w:lineRule="auto"/>
            <w:ind w:left="40"/>
            <w:rPr>
              <w:rFonts w:ascii="Times New Roman" w:hAnsi="Times New Roman" w:eastAsia="Times New Roman" w:cs="Times New Roman"/>
              <w:sz w:val="21"/>
              <w:szCs w:val="21"/>
            </w:rPr>
          </w:pPr>
          <w:r>
            <w:fldChar w:fldCharType="begin"/>
          </w:r>
          <w:r>
            <w:instrText xml:space="preserve"> HYPERLINK \l "bookmark1" </w:instrText>
          </w:r>
          <w:r>
            <w:fldChar w:fldCharType="separate"/>
          </w:r>
          <w:r>
            <w:rPr>
              <w:rFonts w:ascii="宋体" w:hAnsi="宋体" w:eastAsia="宋体" w:cs="宋体"/>
              <w:spacing w:val="-24"/>
              <w:sz w:val="21"/>
              <w:szCs w:val="21"/>
            </w:rPr>
            <w:t>目次</w:t>
          </w:r>
          <w:r>
            <w:rPr>
              <w:rFonts w:ascii="宋体" w:hAnsi="宋体" w:eastAsia="宋体" w:cs="宋体"/>
              <w:sz w:val="21"/>
              <w:szCs w:val="21"/>
            </w:rPr>
            <w:tab/>
          </w:r>
          <w:r>
            <w:rPr>
              <w:rFonts w:ascii="Times New Roman" w:hAnsi="Times New Roman" w:eastAsia="Times New Roman" w:cs="Times New Roman"/>
              <w:spacing w:val="15"/>
              <w:sz w:val="21"/>
              <w:szCs w:val="21"/>
            </w:rPr>
            <w:t>I</w:t>
          </w:r>
          <w:r>
            <w:rPr>
              <w:rFonts w:ascii="Times New Roman" w:hAnsi="Times New Roman" w:eastAsia="Times New Roman" w:cs="Times New Roman"/>
              <w:spacing w:val="15"/>
              <w:sz w:val="21"/>
              <w:szCs w:val="21"/>
            </w:rPr>
            <w:fldChar w:fldCharType="end"/>
          </w:r>
        </w:p>
        <w:p w14:paraId="64CCEEEA">
          <w:pPr>
            <w:tabs>
              <w:tab w:val="right" w:leader="dot" w:pos="9282"/>
            </w:tabs>
            <w:spacing w:before="84" w:line="200" w:lineRule="auto"/>
            <w:ind w:left="3"/>
            <w:rPr>
              <w:rFonts w:ascii="Times New Roman" w:hAnsi="Times New Roman" w:eastAsia="Times New Roman" w:cs="Times New Roman"/>
              <w:sz w:val="21"/>
              <w:szCs w:val="21"/>
            </w:rPr>
          </w:pPr>
          <w:r>
            <w:fldChar w:fldCharType="begin"/>
          </w:r>
          <w:r>
            <w:instrText xml:space="preserve"> HYPERLINK \l "bookmark2" </w:instrText>
          </w:r>
          <w:r>
            <w:fldChar w:fldCharType="separate"/>
          </w:r>
          <w:r>
            <w:rPr>
              <w:rFonts w:ascii="宋体" w:hAnsi="宋体" w:eastAsia="宋体" w:cs="宋体"/>
              <w:spacing w:val="-5"/>
              <w:sz w:val="21"/>
              <w:szCs w:val="21"/>
            </w:rPr>
            <w:t>前言</w:t>
          </w:r>
          <w:r>
            <w:rPr>
              <w:rFonts w:ascii="宋体" w:hAnsi="宋体" w:eastAsia="宋体" w:cs="宋体"/>
              <w:sz w:val="21"/>
              <w:szCs w:val="21"/>
            </w:rPr>
            <w:tab/>
          </w:r>
          <w:r>
            <w:rPr>
              <w:rFonts w:ascii="宋体" w:hAnsi="宋体" w:eastAsia="宋体" w:cs="宋体"/>
              <w:spacing w:val="-49"/>
              <w:sz w:val="21"/>
              <w:szCs w:val="21"/>
            </w:rPr>
            <w:t xml:space="preserve"> </w:t>
          </w:r>
          <w:r>
            <w:rPr>
              <w:rFonts w:ascii="Times New Roman" w:hAnsi="Times New Roman" w:eastAsia="Times New Roman" w:cs="Times New Roman"/>
              <w:spacing w:val="-2"/>
              <w:sz w:val="21"/>
              <w:szCs w:val="21"/>
            </w:rPr>
            <w:t>II</w:t>
          </w:r>
          <w:r>
            <w:rPr>
              <w:rFonts w:ascii="Times New Roman" w:hAnsi="Times New Roman" w:eastAsia="Times New Roman" w:cs="Times New Roman"/>
              <w:spacing w:val="-2"/>
              <w:sz w:val="21"/>
              <w:szCs w:val="21"/>
            </w:rPr>
            <w:fldChar w:fldCharType="end"/>
          </w:r>
        </w:p>
        <w:p w14:paraId="0F983037">
          <w:pPr>
            <w:tabs>
              <w:tab w:val="right" w:leader="dot" w:pos="9280"/>
            </w:tabs>
            <w:spacing w:before="84" w:line="200" w:lineRule="auto"/>
            <w:rPr>
              <w:rFonts w:ascii="Times New Roman" w:hAnsi="Times New Roman" w:eastAsia="Times New Roman" w:cs="Times New Roman"/>
              <w:sz w:val="21"/>
              <w:szCs w:val="21"/>
            </w:rPr>
          </w:pPr>
          <w:r>
            <w:fldChar w:fldCharType="begin"/>
          </w:r>
          <w:r>
            <w:instrText xml:space="preserve"> HYPERLINK \l "bookmark3" </w:instrText>
          </w:r>
          <w:r>
            <w:fldChar w:fldCharType="separate"/>
          </w:r>
          <w:r>
            <w:rPr>
              <w:rFonts w:ascii="宋体" w:hAnsi="宋体" w:eastAsia="宋体" w:cs="宋体"/>
              <w:spacing w:val="-1"/>
              <w:sz w:val="21"/>
              <w:szCs w:val="21"/>
            </w:rPr>
            <w:t>碳中和社区指标体系和评价技术规范</w:t>
          </w:r>
          <w:r>
            <w:rPr>
              <w:rFonts w:ascii="宋体" w:hAnsi="宋体" w:eastAsia="宋体" w:cs="宋体"/>
              <w:spacing w:val="-47"/>
              <w:sz w:val="21"/>
              <w:szCs w:val="21"/>
            </w:rPr>
            <w:t xml:space="preserve"> </w:t>
          </w:r>
          <w:r>
            <w:rPr>
              <w:rFonts w:ascii="宋体" w:hAnsi="宋体" w:eastAsia="宋体" w:cs="宋体"/>
              <w:sz w:val="21"/>
              <w:szCs w:val="21"/>
            </w:rPr>
            <w:tab/>
          </w:r>
          <w:r>
            <w:rPr>
              <w:rFonts w:ascii="宋体" w:hAnsi="宋体" w:eastAsia="宋体" w:cs="宋体"/>
              <w:spacing w:val="-49"/>
              <w:sz w:val="21"/>
              <w:szCs w:val="21"/>
            </w:rPr>
            <w:t xml:space="preserve"> </w:t>
          </w:r>
          <w:r>
            <w:rPr>
              <w:rFonts w:ascii="Times New Roman" w:hAnsi="Times New Roman" w:eastAsia="Times New Roman" w:cs="Times New Roman"/>
              <w:spacing w:val="-25"/>
              <w:sz w:val="21"/>
              <w:szCs w:val="21"/>
            </w:rPr>
            <w:t>1</w:t>
          </w:r>
          <w:r>
            <w:rPr>
              <w:rFonts w:ascii="Times New Roman" w:hAnsi="Times New Roman" w:eastAsia="Times New Roman" w:cs="Times New Roman"/>
              <w:spacing w:val="-25"/>
              <w:sz w:val="21"/>
              <w:szCs w:val="21"/>
            </w:rPr>
            <w:fldChar w:fldCharType="end"/>
          </w:r>
        </w:p>
        <w:p w14:paraId="4E264F6F">
          <w:pPr>
            <w:tabs>
              <w:tab w:val="right" w:leader="dot" w:pos="9280"/>
            </w:tabs>
            <w:spacing w:before="84" w:line="200" w:lineRule="auto"/>
            <w:ind w:left="436"/>
            <w:rPr>
              <w:rFonts w:ascii="Times New Roman" w:hAnsi="Times New Roman" w:eastAsia="Times New Roman" w:cs="Times New Roman"/>
              <w:sz w:val="21"/>
              <w:szCs w:val="21"/>
            </w:rPr>
          </w:pPr>
          <w:r>
            <w:fldChar w:fldCharType="begin"/>
          </w:r>
          <w:r>
            <w:instrText xml:space="preserve"> HYPERLINK \l "bookmark4" </w:instrText>
          </w:r>
          <w:r>
            <w:fldChar w:fldCharType="separate"/>
          </w:r>
          <w:r>
            <w:rPr>
              <w:rFonts w:ascii="Times New Roman" w:hAnsi="Times New Roman" w:eastAsia="Times New Roman" w:cs="Times New Roman"/>
              <w:spacing w:val="-12"/>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pacing w:val="-12"/>
              <w:sz w:val="21"/>
              <w:szCs w:val="21"/>
            </w:rPr>
            <w:t>范围</w:t>
          </w:r>
          <w:r>
            <w:rPr>
              <w:rFonts w:ascii="宋体" w:hAnsi="宋体" w:eastAsia="宋体" w:cs="宋体"/>
              <w:sz w:val="21"/>
              <w:szCs w:val="21"/>
            </w:rPr>
            <w:tab/>
          </w:r>
          <w:r>
            <w:rPr>
              <w:rFonts w:ascii="宋体" w:hAnsi="宋体" w:eastAsia="宋体" w:cs="宋体"/>
              <w:spacing w:val="-49"/>
              <w:sz w:val="21"/>
              <w:szCs w:val="21"/>
            </w:rPr>
            <w:t xml:space="preserve"> </w:t>
          </w:r>
          <w:r>
            <w:rPr>
              <w:rFonts w:ascii="Times New Roman" w:hAnsi="Times New Roman" w:eastAsia="Times New Roman" w:cs="Times New Roman"/>
              <w:spacing w:val="-25"/>
              <w:sz w:val="21"/>
              <w:szCs w:val="21"/>
            </w:rPr>
            <w:t>1</w:t>
          </w:r>
          <w:r>
            <w:rPr>
              <w:rFonts w:ascii="Times New Roman" w:hAnsi="Times New Roman" w:eastAsia="Times New Roman" w:cs="Times New Roman"/>
              <w:spacing w:val="-25"/>
              <w:sz w:val="21"/>
              <w:szCs w:val="21"/>
            </w:rPr>
            <w:fldChar w:fldCharType="end"/>
          </w:r>
        </w:p>
        <w:p w14:paraId="723684AF">
          <w:pPr>
            <w:tabs>
              <w:tab w:val="right" w:leader="dot" w:pos="9280"/>
            </w:tabs>
            <w:spacing w:before="84" w:line="200" w:lineRule="auto"/>
            <w:ind w:left="416"/>
            <w:rPr>
              <w:rFonts w:ascii="Times New Roman" w:hAnsi="Times New Roman" w:eastAsia="Times New Roman" w:cs="Times New Roman"/>
              <w:sz w:val="21"/>
              <w:szCs w:val="21"/>
            </w:rPr>
          </w:pPr>
          <w:r>
            <w:fldChar w:fldCharType="begin"/>
          </w:r>
          <w:r>
            <w:instrText xml:space="preserve"> HYPERLINK \l "bookmark5" </w:instrText>
          </w:r>
          <w:r>
            <w:fldChar w:fldCharType="separate"/>
          </w:r>
          <w:r>
            <w:rPr>
              <w:rFonts w:ascii="Times New Roman" w:hAnsi="Times New Roman" w:eastAsia="Times New Roman" w:cs="Times New Roman"/>
              <w:spacing w:val="-1"/>
              <w:sz w:val="21"/>
              <w:szCs w:val="21"/>
            </w:rPr>
            <w:t xml:space="preserve">2  </w:t>
          </w:r>
          <w:r>
            <w:rPr>
              <w:rFonts w:ascii="宋体" w:hAnsi="宋体" w:eastAsia="宋体" w:cs="宋体"/>
              <w:spacing w:val="-1"/>
              <w:sz w:val="21"/>
              <w:szCs w:val="21"/>
            </w:rPr>
            <w:t>规范性引用文件</w:t>
          </w:r>
          <w:r>
            <w:rPr>
              <w:rFonts w:ascii="宋体" w:hAnsi="宋体" w:eastAsia="宋体" w:cs="宋体"/>
              <w:sz w:val="21"/>
              <w:szCs w:val="21"/>
            </w:rPr>
            <w:tab/>
          </w:r>
          <w:r>
            <w:rPr>
              <w:rFonts w:ascii="宋体" w:hAnsi="宋体" w:eastAsia="宋体" w:cs="宋体"/>
              <w:spacing w:val="-49"/>
              <w:sz w:val="21"/>
              <w:szCs w:val="21"/>
            </w:rPr>
            <w:t xml:space="preserve"> </w:t>
          </w:r>
          <w:r>
            <w:rPr>
              <w:rFonts w:ascii="Times New Roman" w:hAnsi="Times New Roman" w:eastAsia="Times New Roman" w:cs="Times New Roman"/>
              <w:spacing w:val="-25"/>
              <w:sz w:val="21"/>
              <w:szCs w:val="21"/>
            </w:rPr>
            <w:t>1</w:t>
          </w:r>
          <w:r>
            <w:rPr>
              <w:rFonts w:ascii="Times New Roman" w:hAnsi="Times New Roman" w:eastAsia="Times New Roman" w:cs="Times New Roman"/>
              <w:spacing w:val="-25"/>
              <w:sz w:val="21"/>
              <w:szCs w:val="21"/>
            </w:rPr>
            <w:fldChar w:fldCharType="end"/>
          </w:r>
        </w:p>
        <w:p w14:paraId="501C127F">
          <w:pPr>
            <w:tabs>
              <w:tab w:val="right" w:leader="dot" w:pos="9280"/>
            </w:tabs>
            <w:spacing w:before="85" w:line="200" w:lineRule="auto"/>
            <w:ind w:left="420"/>
            <w:rPr>
              <w:rFonts w:ascii="Times New Roman" w:hAnsi="Times New Roman" w:eastAsia="Times New Roman" w:cs="Times New Roman"/>
              <w:sz w:val="21"/>
              <w:szCs w:val="21"/>
            </w:rPr>
          </w:pPr>
          <w:r>
            <w:fldChar w:fldCharType="begin"/>
          </w:r>
          <w:r>
            <w:instrText xml:space="preserve"> HYPERLINK \l "bookmark6" </w:instrText>
          </w:r>
          <w:r>
            <w:fldChar w:fldCharType="separate"/>
          </w:r>
          <w:r>
            <w:rPr>
              <w:rFonts w:ascii="Times New Roman" w:hAnsi="Times New Roman" w:eastAsia="Times New Roman" w:cs="Times New Roman"/>
              <w:spacing w:val="-3"/>
              <w:sz w:val="21"/>
              <w:szCs w:val="21"/>
            </w:rPr>
            <w:t>3</w:t>
          </w:r>
          <w:r>
            <w:rPr>
              <w:rFonts w:ascii="Times New Roman" w:hAnsi="Times New Roman" w:eastAsia="Times New Roman" w:cs="Times New Roman"/>
              <w:spacing w:val="5"/>
              <w:sz w:val="21"/>
              <w:szCs w:val="21"/>
            </w:rPr>
            <w:t xml:space="preserve">  </w:t>
          </w:r>
          <w:r>
            <w:rPr>
              <w:rFonts w:ascii="宋体" w:hAnsi="宋体" w:eastAsia="宋体" w:cs="宋体"/>
              <w:spacing w:val="-3"/>
              <w:sz w:val="21"/>
              <w:szCs w:val="21"/>
            </w:rPr>
            <w:t>术语和定义</w:t>
          </w:r>
          <w:r>
            <w:rPr>
              <w:rFonts w:ascii="宋体" w:hAnsi="宋体" w:eastAsia="宋体" w:cs="宋体"/>
              <w:sz w:val="21"/>
              <w:szCs w:val="21"/>
            </w:rPr>
            <w:tab/>
          </w:r>
          <w:r>
            <w:rPr>
              <w:rFonts w:ascii="宋体" w:hAnsi="宋体" w:eastAsia="宋体" w:cs="宋体"/>
              <w:spacing w:val="-49"/>
              <w:sz w:val="21"/>
              <w:szCs w:val="21"/>
            </w:rPr>
            <w:t xml:space="preserve"> </w:t>
          </w:r>
          <w:r>
            <w:rPr>
              <w:rFonts w:ascii="Times New Roman" w:hAnsi="Times New Roman" w:eastAsia="Times New Roman" w:cs="Times New Roman"/>
              <w:spacing w:val="-25"/>
              <w:sz w:val="21"/>
              <w:szCs w:val="21"/>
            </w:rPr>
            <w:t>1</w:t>
          </w:r>
          <w:r>
            <w:rPr>
              <w:rFonts w:ascii="Times New Roman" w:hAnsi="Times New Roman" w:eastAsia="Times New Roman" w:cs="Times New Roman"/>
              <w:spacing w:val="-25"/>
              <w:sz w:val="21"/>
              <w:szCs w:val="21"/>
            </w:rPr>
            <w:fldChar w:fldCharType="end"/>
          </w:r>
        </w:p>
        <w:p w14:paraId="2BCC48C2">
          <w:pPr>
            <w:tabs>
              <w:tab w:val="right" w:leader="dot" w:pos="9280"/>
            </w:tabs>
            <w:spacing w:before="85" w:line="200" w:lineRule="auto"/>
            <w:ind w:left="415"/>
            <w:rPr>
              <w:rFonts w:ascii="Times New Roman" w:hAnsi="Times New Roman" w:eastAsia="Times New Roman" w:cs="Times New Roman"/>
              <w:sz w:val="21"/>
              <w:szCs w:val="21"/>
            </w:rPr>
          </w:pPr>
          <w:r>
            <w:fldChar w:fldCharType="begin"/>
          </w:r>
          <w:r>
            <w:instrText xml:space="preserve"> HYPERLINK \l "bookmark7" </w:instrText>
          </w:r>
          <w:r>
            <w:fldChar w:fldCharType="separate"/>
          </w:r>
          <w:r>
            <w:rPr>
              <w:rFonts w:ascii="Times New Roman" w:hAnsi="Times New Roman" w:eastAsia="Times New Roman" w:cs="Times New Roman"/>
              <w:spacing w:val="-1"/>
              <w:sz w:val="21"/>
              <w:szCs w:val="21"/>
            </w:rPr>
            <w:t xml:space="preserve">4  </w:t>
          </w:r>
          <w:r>
            <w:rPr>
              <w:rFonts w:ascii="宋体" w:hAnsi="宋体" w:eastAsia="宋体" w:cs="宋体"/>
              <w:spacing w:val="-1"/>
              <w:sz w:val="21"/>
              <w:szCs w:val="21"/>
            </w:rPr>
            <w:t>管理边界和范围</w:t>
          </w:r>
          <w:r>
            <w:rPr>
              <w:rFonts w:ascii="宋体" w:hAnsi="宋体" w:eastAsia="宋体" w:cs="宋体"/>
              <w:sz w:val="21"/>
              <w:szCs w:val="21"/>
            </w:rPr>
            <w:tab/>
          </w:r>
          <w:r>
            <w:rPr>
              <w:rFonts w:ascii="宋体" w:hAnsi="宋体" w:eastAsia="宋体" w:cs="宋体"/>
              <w:spacing w:val="-69"/>
              <w:sz w:val="21"/>
              <w:szCs w:val="21"/>
            </w:rPr>
            <w:t xml:space="preserve"> </w:t>
          </w:r>
          <w:r>
            <w:rPr>
              <w:rFonts w:ascii="Times New Roman" w:hAnsi="Times New Roman" w:eastAsia="Times New Roman" w:cs="Times New Roman"/>
              <w:sz w:val="21"/>
              <w:szCs w:val="21"/>
            </w:rPr>
            <w:t>2</w:t>
          </w:r>
          <w:r>
            <w:rPr>
              <w:rFonts w:ascii="Times New Roman" w:hAnsi="Times New Roman" w:eastAsia="Times New Roman" w:cs="Times New Roman"/>
              <w:sz w:val="21"/>
              <w:szCs w:val="21"/>
            </w:rPr>
            <w:fldChar w:fldCharType="end"/>
          </w:r>
        </w:p>
        <w:p w14:paraId="2262078A">
          <w:pPr>
            <w:tabs>
              <w:tab w:val="right" w:leader="dot" w:pos="9280"/>
            </w:tabs>
            <w:spacing w:before="84" w:line="200" w:lineRule="auto"/>
            <w:ind w:left="835"/>
            <w:rPr>
              <w:rFonts w:ascii="Times New Roman" w:hAnsi="Times New Roman" w:eastAsia="Times New Roman" w:cs="Times New Roman"/>
              <w:sz w:val="21"/>
              <w:szCs w:val="21"/>
            </w:rPr>
          </w:pPr>
          <w:r>
            <w:fldChar w:fldCharType="begin"/>
          </w:r>
          <w:r>
            <w:instrText xml:space="preserve"> HYPERLINK \l "bookmark8" </w:instrText>
          </w:r>
          <w:r>
            <w:fldChar w:fldCharType="separate"/>
          </w:r>
          <w:r>
            <w:rPr>
              <w:rFonts w:ascii="Times New Roman" w:hAnsi="Times New Roman" w:eastAsia="Times New Roman" w:cs="Times New Roman"/>
              <w:spacing w:val="-2"/>
              <w:sz w:val="21"/>
              <w:szCs w:val="21"/>
            </w:rPr>
            <w:t>4.1</w:t>
          </w:r>
          <w:r>
            <w:rPr>
              <w:rFonts w:ascii="Times New Roman" w:hAnsi="Times New Roman" w:eastAsia="Times New Roman" w:cs="Times New Roman"/>
              <w:spacing w:val="3"/>
              <w:sz w:val="21"/>
              <w:szCs w:val="21"/>
            </w:rPr>
            <w:t xml:space="preserve">        </w:t>
          </w:r>
          <w:r>
            <w:rPr>
              <w:rFonts w:ascii="宋体" w:hAnsi="宋体" w:eastAsia="宋体" w:cs="宋体"/>
              <w:spacing w:val="-2"/>
              <w:sz w:val="21"/>
              <w:szCs w:val="21"/>
            </w:rPr>
            <w:t>管理边界</w:t>
          </w:r>
          <w:r>
            <w:rPr>
              <w:rFonts w:ascii="宋体" w:hAnsi="宋体" w:eastAsia="宋体" w:cs="宋体"/>
              <w:sz w:val="21"/>
              <w:szCs w:val="21"/>
            </w:rPr>
            <w:tab/>
          </w:r>
          <w:r>
            <w:rPr>
              <w:rFonts w:ascii="宋体" w:hAnsi="宋体" w:eastAsia="宋体" w:cs="宋体"/>
              <w:spacing w:val="-69"/>
              <w:sz w:val="21"/>
              <w:szCs w:val="21"/>
            </w:rPr>
            <w:t xml:space="preserve"> </w:t>
          </w:r>
          <w:r>
            <w:rPr>
              <w:rFonts w:ascii="Times New Roman" w:hAnsi="Times New Roman" w:eastAsia="Times New Roman" w:cs="Times New Roman"/>
              <w:sz w:val="21"/>
              <w:szCs w:val="21"/>
            </w:rPr>
            <w:t>2</w:t>
          </w:r>
          <w:r>
            <w:rPr>
              <w:rFonts w:ascii="Times New Roman" w:hAnsi="Times New Roman" w:eastAsia="Times New Roman" w:cs="Times New Roman"/>
              <w:sz w:val="21"/>
              <w:szCs w:val="21"/>
            </w:rPr>
            <w:fldChar w:fldCharType="end"/>
          </w:r>
        </w:p>
        <w:p w14:paraId="0350C26A">
          <w:pPr>
            <w:tabs>
              <w:tab w:val="right" w:leader="dot" w:pos="9280"/>
            </w:tabs>
            <w:spacing w:before="85" w:line="200" w:lineRule="auto"/>
            <w:ind w:left="835"/>
            <w:rPr>
              <w:rFonts w:ascii="Times New Roman" w:hAnsi="Times New Roman" w:eastAsia="Times New Roman" w:cs="Times New Roman"/>
              <w:sz w:val="21"/>
              <w:szCs w:val="21"/>
            </w:rPr>
          </w:pPr>
          <w:r>
            <w:fldChar w:fldCharType="begin"/>
          </w:r>
          <w:r>
            <w:instrText xml:space="preserve"> HYPERLINK \l "bookmark9" </w:instrText>
          </w:r>
          <w:r>
            <w:fldChar w:fldCharType="separate"/>
          </w:r>
          <w:r>
            <w:rPr>
              <w:rFonts w:ascii="Times New Roman" w:hAnsi="Times New Roman" w:eastAsia="Times New Roman" w:cs="Times New Roman"/>
              <w:spacing w:val="-2"/>
              <w:sz w:val="21"/>
              <w:szCs w:val="21"/>
            </w:rPr>
            <w:t>4.2</w:t>
          </w:r>
          <w:r>
            <w:rPr>
              <w:rFonts w:ascii="Times New Roman" w:hAnsi="Times New Roman" w:eastAsia="Times New Roman" w:cs="Times New Roman"/>
              <w:spacing w:val="3"/>
              <w:sz w:val="21"/>
              <w:szCs w:val="21"/>
            </w:rPr>
            <w:t xml:space="preserve">        </w:t>
          </w:r>
          <w:r>
            <w:rPr>
              <w:rFonts w:ascii="宋体" w:hAnsi="宋体" w:eastAsia="宋体" w:cs="宋体"/>
              <w:spacing w:val="-2"/>
              <w:sz w:val="21"/>
              <w:szCs w:val="21"/>
            </w:rPr>
            <w:t>管理范围</w:t>
          </w:r>
          <w:r>
            <w:rPr>
              <w:rFonts w:ascii="宋体" w:hAnsi="宋体" w:eastAsia="宋体" w:cs="宋体"/>
              <w:sz w:val="21"/>
              <w:szCs w:val="21"/>
            </w:rPr>
            <w:tab/>
          </w:r>
          <w:r>
            <w:rPr>
              <w:rFonts w:ascii="宋体" w:hAnsi="宋体" w:eastAsia="宋体" w:cs="宋体"/>
              <w:spacing w:val="-69"/>
              <w:sz w:val="21"/>
              <w:szCs w:val="21"/>
            </w:rPr>
            <w:t xml:space="preserve"> </w:t>
          </w:r>
          <w:r>
            <w:rPr>
              <w:rFonts w:ascii="Times New Roman" w:hAnsi="Times New Roman" w:eastAsia="Times New Roman" w:cs="Times New Roman"/>
              <w:sz w:val="21"/>
              <w:szCs w:val="21"/>
            </w:rPr>
            <w:t>2</w:t>
          </w:r>
          <w:r>
            <w:rPr>
              <w:rFonts w:ascii="Times New Roman" w:hAnsi="Times New Roman" w:eastAsia="Times New Roman" w:cs="Times New Roman"/>
              <w:sz w:val="21"/>
              <w:szCs w:val="21"/>
            </w:rPr>
            <w:fldChar w:fldCharType="end"/>
          </w:r>
        </w:p>
        <w:p w14:paraId="397F4C99">
          <w:pPr>
            <w:tabs>
              <w:tab w:val="right" w:leader="dot" w:pos="9280"/>
            </w:tabs>
            <w:spacing w:before="84" w:line="200" w:lineRule="auto"/>
            <w:ind w:left="835"/>
            <w:rPr>
              <w:rFonts w:ascii="Times New Roman" w:hAnsi="Times New Roman" w:eastAsia="Times New Roman" w:cs="Times New Roman"/>
              <w:sz w:val="21"/>
              <w:szCs w:val="21"/>
            </w:rPr>
          </w:pPr>
          <w:r>
            <w:fldChar w:fldCharType="begin"/>
          </w:r>
          <w:r>
            <w:instrText xml:space="preserve"> HYPERLINK \l "bookmark10" </w:instrText>
          </w:r>
          <w:r>
            <w:fldChar w:fldCharType="separate"/>
          </w:r>
          <w:r>
            <w:rPr>
              <w:rFonts w:ascii="Times New Roman" w:hAnsi="Times New Roman" w:eastAsia="Times New Roman" w:cs="Times New Roman"/>
              <w:spacing w:val="-1"/>
              <w:sz w:val="21"/>
              <w:szCs w:val="21"/>
            </w:rPr>
            <w:t>4.3</w:t>
          </w:r>
          <w:r>
            <w:rPr>
              <w:rFonts w:ascii="Times New Roman" w:hAnsi="Times New Roman" w:eastAsia="Times New Roman" w:cs="Times New Roman"/>
              <w:spacing w:val="3"/>
              <w:sz w:val="21"/>
              <w:szCs w:val="21"/>
            </w:rPr>
            <w:t xml:space="preserve">        </w:t>
          </w:r>
          <w:r>
            <w:rPr>
              <w:rFonts w:ascii="宋体" w:hAnsi="宋体" w:eastAsia="宋体" w:cs="宋体"/>
              <w:spacing w:val="-1"/>
              <w:sz w:val="21"/>
              <w:szCs w:val="21"/>
            </w:rPr>
            <w:t>温室气体的识别</w:t>
          </w:r>
          <w:r>
            <w:rPr>
              <w:rFonts w:ascii="宋体" w:hAnsi="宋体" w:eastAsia="宋体" w:cs="宋体"/>
              <w:sz w:val="21"/>
              <w:szCs w:val="21"/>
            </w:rPr>
            <w:tab/>
          </w:r>
          <w:r>
            <w:rPr>
              <w:rFonts w:ascii="宋体" w:hAnsi="宋体" w:eastAsia="宋体" w:cs="宋体"/>
              <w:spacing w:val="-69"/>
              <w:sz w:val="21"/>
              <w:szCs w:val="21"/>
            </w:rPr>
            <w:t xml:space="preserve"> </w:t>
          </w:r>
          <w:r>
            <w:rPr>
              <w:rFonts w:ascii="Times New Roman" w:hAnsi="Times New Roman" w:eastAsia="Times New Roman" w:cs="Times New Roman"/>
              <w:sz w:val="21"/>
              <w:szCs w:val="21"/>
            </w:rPr>
            <w:t>2</w:t>
          </w:r>
          <w:r>
            <w:rPr>
              <w:rFonts w:ascii="Times New Roman" w:hAnsi="Times New Roman" w:eastAsia="Times New Roman" w:cs="Times New Roman"/>
              <w:sz w:val="21"/>
              <w:szCs w:val="21"/>
            </w:rPr>
            <w:fldChar w:fldCharType="end"/>
          </w:r>
        </w:p>
        <w:p w14:paraId="770A8869">
          <w:pPr>
            <w:tabs>
              <w:tab w:val="right" w:leader="dot" w:pos="9280"/>
            </w:tabs>
            <w:spacing w:before="85" w:line="200" w:lineRule="auto"/>
            <w:ind w:left="421"/>
            <w:rPr>
              <w:rFonts w:ascii="Times New Roman" w:hAnsi="Times New Roman" w:eastAsia="Times New Roman" w:cs="Times New Roman"/>
              <w:sz w:val="21"/>
              <w:szCs w:val="21"/>
            </w:rPr>
          </w:pPr>
          <w:r>
            <w:rPr>
              <w:rFonts w:ascii="Times New Roman" w:hAnsi="Times New Roman" w:eastAsia="Times New Roman" w:cs="Times New Roman"/>
              <w:color w:val="0000FF"/>
              <w:spacing w:val="8"/>
              <w:sz w:val="21"/>
              <w:szCs w:val="21"/>
              <w:u w:val="single" w:color="auto"/>
            </w:rPr>
            <w:t>5</w:t>
          </w:r>
          <w:r>
            <w:fldChar w:fldCharType="begin"/>
          </w:r>
          <w:r>
            <w:instrText xml:space="preserve"> HYPERLINK \l "bookmark11" </w:instrText>
          </w:r>
          <w:r>
            <w:fldChar w:fldCharType="separate"/>
          </w:r>
          <w:r>
            <w:rPr>
              <w:rFonts w:ascii="宋体" w:hAnsi="宋体" w:eastAsia="宋体" w:cs="宋体"/>
              <w:spacing w:val="8"/>
              <w:sz w:val="21"/>
              <w:szCs w:val="21"/>
            </w:rPr>
            <w:t>碳排放核算与报告要求</w:t>
          </w:r>
          <w:r>
            <w:rPr>
              <w:rFonts w:ascii="宋体" w:hAnsi="宋体" w:eastAsia="宋体" w:cs="宋体"/>
              <w:spacing w:val="-52"/>
              <w:sz w:val="21"/>
              <w:szCs w:val="21"/>
            </w:rPr>
            <w:t xml:space="preserve"> </w:t>
          </w:r>
          <w:r>
            <w:rPr>
              <w:rFonts w:ascii="宋体" w:hAnsi="宋体" w:eastAsia="宋体" w:cs="宋体"/>
              <w:sz w:val="21"/>
              <w:szCs w:val="21"/>
            </w:rPr>
            <w:tab/>
          </w:r>
          <w:r>
            <w:rPr>
              <w:rFonts w:ascii="宋体" w:hAnsi="宋体" w:eastAsia="宋体" w:cs="宋体"/>
              <w:spacing w:val="-65"/>
              <w:sz w:val="21"/>
              <w:szCs w:val="21"/>
            </w:rPr>
            <w:t xml:space="preserve"> </w:t>
          </w:r>
          <w:r>
            <w:rPr>
              <w:rFonts w:ascii="Times New Roman" w:hAnsi="Times New Roman" w:eastAsia="Times New Roman" w:cs="Times New Roman"/>
              <w:sz w:val="21"/>
              <w:szCs w:val="21"/>
            </w:rPr>
            <w:t>3</w:t>
          </w:r>
          <w:r>
            <w:rPr>
              <w:rFonts w:ascii="Times New Roman" w:hAnsi="Times New Roman" w:eastAsia="Times New Roman" w:cs="Times New Roman"/>
              <w:sz w:val="21"/>
              <w:szCs w:val="21"/>
            </w:rPr>
            <w:fldChar w:fldCharType="end"/>
          </w:r>
        </w:p>
        <w:p w14:paraId="568FE2B1">
          <w:pPr>
            <w:tabs>
              <w:tab w:val="right" w:leader="dot" w:pos="9280"/>
            </w:tabs>
            <w:spacing w:before="84" w:line="200" w:lineRule="auto"/>
            <w:ind w:left="841"/>
            <w:rPr>
              <w:rFonts w:ascii="Times New Roman" w:hAnsi="Times New Roman" w:eastAsia="Times New Roman" w:cs="Times New Roman"/>
              <w:sz w:val="21"/>
              <w:szCs w:val="21"/>
            </w:rPr>
          </w:pPr>
          <w:r>
            <w:fldChar w:fldCharType="begin"/>
          </w:r>
          <w:r>
            <w:instrText xml:space="preserve"> HYPERLINK \l "bookmark12" </w:instrText>
          </w:r>
          <w:r>
            <w:fldChar w:fldCharType="separate"/>
          </w:r>
          <w:r>
            <w:rPr>
              <w:rFonts w:ascii="Times New Roman" w:hAnsi="Times New Roman" w:eastAsia="Times New Roman" w:cs="Times New Roman"/>
              <w:spacing w:val="-1"/>
              <w:sz w:val="21"/>
              <w:szCs w:val="21"/>
            </w:rPr>
            <w:t xml:space="preserve">5.1  </w:t>
          </w:r>
          <w:r>
            <w:rPr>
              <w:rFonts w:ascii="宋体" w:hAnsi="宋体" w:eastAsia="宋体" w:cs="宋体"/>
              <w:spacing w:val="-1"/>
              <w:sz w:val="21"/>
              <w:szCs w:val="21"/>
            </w:rPr>
            <w:t>社区碳排放活动</w:t>
          </w:r>
          <w:r>
            <w:rPr>
              <w:rFonts w:ascii="宋体" w:hAnsi="宋体" w:eastAsia="宋体" w:cs="宋体"/>
              <w:spacing w:val="-57"/>
              <w:sz w:val="21"/>
              <w:szCs w:val="21"/>
            </w:rPr>
            <w:t xml:space="preserve"> </w:t>
          </w:r>
          <w:r>
            <w:rPr>
              <w:rFonts w:ascii="宋体" w:hAnsi="宋体" w:eastAsia="宋体" w:cs="宋体"/>
              <w:sz w:val="21"/>
              <w:szCs w:val="21"/>
            </w:rPr>
            <w:tab/>
          </w:r>
          <w:r>
            <w:rPr>
              <w:rFonts w:ascii="宋体" w:hAnsi="宋体" w:eastAsia="宋体" w:cs="宋体"/>
              <w:spacing w:val="-65"/>
              <w:sz w:val="21"/>
              <w:szCs w:val="21"/>
            </w:rPr>
            <w:t xml:space="preserve"> </w:t>
          </w:r>
          <w:r>
            <w:rPr>
              <w:rFonts w:ascii="Times New Roman" w:hAnsi="Times New Roman" w:eastAsia="Times New Roman" w:cs="Times New Roman"/>
              <w:sz w:val="21"/>
              <w:szCs w:val="21"/>
            </w:rPr>
            <w:t>3</w:t>
          </w:r>
          <w:r>
            <w:rPr>
              <w:rFonts w:ascii="Times New Roman" w:hAnsi="Times New Roman" w:eastAsia="Times New Roman" w:cs="Times New Roman"/>
              <w:sz w:val="21"/>
              <w:szCs w:val="21"/>
            </w:rPr>
            <w:fldChar w:fldCharType="end"/>
          </w:r>
        </w:p>
        <w:p w14:paraId="3994C6AB">
          <w:pPr>
            <w:tabs>
              <w:tab w:val="right" w:leader="dot" w:pos="9280"/>
            </w:tabs>
            <w:spacing w:before="85" w:line="200" w:lineRule="auto"/>
            <w:ind w:left="841"/>
            <w:rPr>
              <w:rFonts w:ascii="Times New Roman" w:hAnsi="Times New Roman" w:eastAsia="Times New Roman" w:cs="Times New Roman"/>
              <w:sz w:val="21"/>
              <w:szCs w:val="21"/>
            </w:rPr>
          </w:pPr>
          <w:r>
            <w:fldChar w:fldCharType="begin"/>
          </w:r>
          <w:r>
            <w:instrText xml:space="preserve"> HYPERLINK \l "bookmark13" </w:instrText>
          </w:r>
          <w:r>
            <w:fldChar w:fldCharType="separate"/>
          </w:r>
          <w:r>
            <w:rPr>
              <w:rFonts w:ascii="Times New Roman" w:hAnsi="Times New Roman" w:eastAsia="Times New Roman" w:cs="Times New Roman"/>
              <w:spacing w:val="-1"/>
              <w:sz w:val="21"/>
              <w:szCs w:val="21"/>
            </w:rPr>
            <w:t xml:space="preserve">5.2  </w:t>
          </w:r>
          <w:r>
            <w:rPr>
              <w:rFonts w:ascii="宋体" w:hAnsi="宋体" w:eastAsia="宋体" w:cs="宋体"/>
              <w:spacing w:val="-1"/>
              <w:sz w:val="21"/>
              <w:szCs w:val="21"/>
            </w:rPr>
            <w:t>温室气体排放量的计算方法</w:t>
          </w:r>
          <w:r>
            <w:rPr>
              <w:rFonts w:ascii="宋体" w:hAnsi="宋体" w:eastAsia="宋体" w:cs="宋体"/>
              <w:spacing w:val="-46"/>
              <w:sz w:val="21"/>
              <w:szCs w:val="21"/>
            </w:rPr>
            <w:t xml:space="preserve"> </w:t>
          </w:r>
          <w:r>
            <w:rPr>
              <w:rFonts w:ascii="宋体" w:hAnsi="宋体" w:eastAsia="宋体" w:cs="宋体"/>
              <w:sz w:val="21"/>
              <w:szCs w:val="21"/>
            </w:rPr>
            <w:tab/>
          </w:r>
          <w:r>
            <w:rPr>
              <w:rFonts w:ascii="宋体" w:hAnsi="宋体" w:eastAsia="宋体" w:cs="宋体"/>
              <w:spacing w:val="-65"/>
              <w:sz w:val="21"/>
              <w:szCs w:val="21"/>
            </w:rPr>
            <w:t xml:space="preserve"> </w:t>
          </w:r>
          <w:r>
            <w:rPr>
              <w:rFonts w:ascii="Times New Roman" w:hAnsi="Times New Roman" w:eastAsia="Times New Roman" w:cs="Times New Roman"/>
              <w:sz w:val="21"/>
              <w:szCs w:val="21"/>
            </w:rPr>
            <w:t>3</w:t>
          </w:r>
          <w:r>
            <w:rPr>
              <w:rFonts w:ascii="Times New Roman" w:hAnsi="Times New Roman" w:eastAsia="Times New Roman" w:cs="Times New Roman"/>
              <w:sz w:val="21"/>
              <w:szCs w:val="21"/>
            </w:rPr>
            <w:fldChar w:fldCharType="end"/>
          </w:r>
        </w:p>
        <w:p w14:paraId="449C4C2C">
          <w:pPr>
            <w:tabs>
              <w:tab w:val="right" w:leader="dot" w:pos="9280"/>
            </w:tabs>
            <w:spacing w:before="84" w:line="200" w:lineRule="auto"/>
            <w:ind w:left="841"/>
            <w:rPr>
              <w:rFonts w:ascii="Times New Roman" w:hAnsi="Times New Roman" w:eastAsia="Times New Roman" w:cs="Times New Roman"/>
              <w:sz w:val="21"/>
              <w:szCs w:val="21"/>
            </w:rPr>
          </w:pPr>
          <w:r>
            <w:fldChar w:fldCharType="begin"/>
          </w:r>
          <w:r>
            <w:instrText xml:space="preserve"> HYPERLINK \l "bookmark14" </w:instrText>
          </w:r>
          <w:r>
            <w:fldChar w:fldCharType="separate"/>
          </w:r>
          <w:r>
            <w:rPr>
              <w:rFonts w:ascii="Times New Roman" w:hAnsi="Times New Roman" w:eastAsia="Times New Roman" w:cs="Times New Roman"/>
              <w:spacing w:val="-1"/>
              <w:sz w:val="21"/>
              <w:szCs w:val="21"/>
            </w:rPr>
            <w:t xml:space="preserve">5.3  </w:t>
          </w:r>
          <w:r>
            <w:rPr>
              <w:rFonts w:ascii="宋体" w:hAnsi="宋体" w:eastAsia="宋体" w:cs="宋体"/>
              <w:spacing w:val="-1"/>
              <w:sz w:val="21"/>
              <w:szCs w:val="21"/>
            </w:rPr>
            <w:t>温室气体减排措施</w:t>
          </w:r>
          <w:r>
            <w:rPr>
              <w:rFonts w:ascii="宋体" w:hAnsi="宋体" w:eastAsia="宋体" w:cs="宋体"/>
              <w:spacing w:val="-55"/>
              <w:sz w:val="21"/>
              <w:szCs w:val="21"/>
            </w:rPr>
            <w:t xml:space="preserve"> </w:t>
          </w:r>
          <w:r>
            <w:rPr>
              <w:rFonts w:ascii="宋体" w:hAnsi="宋体" w:eastAsia="宋体" w:cs="宋体"/>
              <w:sz w:val="21"/>
              <w:szCs w:val="21"/>
            </w:rPr>
            <w:tab/>
          </w:r>
          <w:r>
            <w:rPr>
              <w:rFonts w:ascii="宋体" w:hAnsi="宋体" w:eastAsia="宋体" w:cs="宋体"/>
              <w:spacing w:val="-70"/>
              <w:sz w:val="21"/>
              <w:szCs w:val="21"/>
            </w:rPr>
            <w:t xml:space="preserve"> </w:t>
          </w:r>
          <w:r>
            <w:rPr>
              <w:rFonts w:ascii="Times New Roman" w:hAnsi="Times New Roman" w:eastAsia="Times New Roman" w:cs="Times New Roman"/>
              <w:sz w:val="21"/>
              <w:szCs w:val="21"/>
            </w:rPr>
            <w:t>4</w:t>
          </w:r>
          <w:r>
            <w:rPr>
              <w:rFonts w:ascii="Times New Roman" w:hAnsi="Times New Roman" w:eastAsia="Times New Roman" w:cs="Times New Roman"/>
              <w:sz w:val="21"/>
              <w:szCs w:val="21"/>
            </w:rPr>
            <w:fldChar w:fldCharType="end"/>
          </w:r>
        </w:p>
        <w:p w14:paraId="5F97B8D1">
          <w:pPr>
            <w:tabs>
              <w:tab w:val="right" w:leader="dot" w:pos="9280"/>
            </w:tabs>
            <w:spacing w:before="85" w:line="200" w:lineRule="auto"/>
            <w:ind w:left="841"/>
            <w:rPr>
              <w:rFonts w:ascii="Times New Roman" w:hAnsi="Times New Roman" w:eastAsia="Times New Roman" w:cs="Times New Roman"/>
              <w:sz w:val="21"/>
              <w:szCs w:val="21"/>
            </w:rPr>
          </w:pPr>
          <w:r>
            <w:fldChar w:fldCharType="begin"/>
          </w:r>
          <w:r>
            <w:instrText xml:space="preserve"> HYPERLINK \l "bookmark15" </w:instrText>
          </w:r>
          <w:r>
            <w:fldChar w:fldCharType="separate"/>
          </w:r>
          <w:r>
            <w:rPr>
              <w:rFonts w:ascii="Times New Roman" w:hAnsi="Times New Roman" w:eastAsia="Times New Roman" w:cs="Times New Roman"/>
              <w:spacing w:val="-1"/>
              <w:sz w:val="21"/>
              <w:szCs w:val="21"/>
            </w:rPr>
            <w:t xml:space="preserve">5.4  </w:t>
          </w:r>
          <w:r>
            <w:rPr>
              <w:rFonts w:ascii="宋体" w:hAnsi="宋体" w:eastAsia="宋体" w:cs="宋体"/>
              <w:spacing w:val="-1"/>
              <w:sz w:val="21"/>
              <w:szCs w:val="21"/>
            </w:rPr>
            <w:t>温室气体排放量的抵消</w:t>
          </w:r>
          <w:r>
            <w:rPr>
              <w:rFonts w:ascii="宋体" w:hAnsi="宋体" w:eastAsia="宋体" w:cs="宋体"/>
              <w:spacing w:val="-50"/>
              <w:sz w:val="21"/>
              <w:szCs w:val="21"/>
            </w:rPr>
            <w:t xml:space="preserve"> </w:t>
          </w:r>
          <w:r>
            <w:rPr>
              <w:rFonts w:ascii="宋体" w:hAnsi="宋体" w:eastAsia="宋体" w:cs="宋体"/>
              <w:sz w:val="21"/>
              <w:szCs w:val="21"/>
            </w:rPr>
            <w:tab/>
          </w:r>
          <w:r>
            <w:rPr>
              <w:rFonts w:ascii="宋体" w:hAnsi="宋体" w:eastAsia="宋体" w:cs="宋体"/>
              <w:spacing w:val="-70"/>
              <w:sz w:val="21"/>
              <w:szCs w:val="21"/>
            </w:rPr>
            <w:t xml:space="preserve"> </w:t>
          </w:r>
          <w:r>
            <w:rPr>
              <w:rFonts w:ascii="Times New Roman" w:hAnsi="Times New Roman" w:eastAsia="Times New Roman" w:cs="Times New Roman"/>
              <w:sz w:val="21"/>
              <w:szCs w:val="21"/>
            </w:rPr>
            <w:t>4</w:t>
          </w:r>
          <w:r>
            <w:rPr>
              <w:rFonts w:ascii="Times New Roman" w:hAnsi="Times New Roman" w:eastAsia="Times New Roman" w:cs="Times New Roman"/>
              <w:sz w:val="21"/>
              <w:szCs w:val="21"/>
            </w:rPr>
            <w:fldChar w:fldCharType="end"/>
          </w:r>
        </w:p>
        <w:p w14:paraId="19830A4A">
          <w:pPr>
            <w:tabs>
              <w:tab w:val="right" w:leader="dot" w:pos="9280"/>
            </w:tabs>
            <w:spacing w:before="84" w:line="200" w:lineRule="auto"/>
            <w:ind w:left="841"/>
            <w:rPr>
              <w:rFonts w:ascii="Times New Roman" w:hAnsi="Times New Roman" w:eastAsia="Times New Roman" w:cs="Times New Roman"/>
              <w:sz w:val="21"/>
              <w:szCs w:val="21"/>
            </w:rPr>
          </w:pPr>
          <w:r>
            <w:fldChar w:fldCharType="begin"/>
          </w:r>
          <w:r>
            <w:instrText xml:space="preserve"> HYPERLINK \l "bookmark16" </w:instrText>
          </w:r>
          <w:r>
            <w:fldChar w:fldCharType="separate"/>
          </w:r>
          <w:r>
            <w:rPr>
              <w:rFonts w:ascii="Times New Roman" w:hAnsi="Times New Roman" w:eastAsia="Times New Roman" w:cs="Times New Roman"/>
              <w:spacing w:val="-1"/>
              <w:sz w:val="21"/>
              <w:szCs w:val="21"/>
            </w:rPr>
            <w:t xml:space="preserve">5.5  </w:t>
          </w:r>
          <w:r>
            <w:rPr>
              <w:rFonts w:ascii="宋体" w:hAnsi="宋体" w:eastAsia="宋体" w:cs="宋体"/>
              <w:spacing w:val="-1"/>
              <w:sz w:val="21"/>
              <w:szCs w:val="21"/>
            </w:rPr>
            <w:t>温室气体排放报告</w:t>
          </w:r>
          <w:r>
            <w:rPr>
              <w:rFonts w:ascii="宋体" w:hAnsi="宋体" w:eastAsia="宋体" w:cs="宋体"/>
              <w:spacing w:val="-55"/>
              <w:sz w:val="21"/>
              <w:szCs w:val="21"/>
            </w:rPr>
            <w:t xml:space="preserve"> </w:t>
          </w:r>
          <w:r>
            <w:rPr>
              <w:rFonts w:ascii="宋体" w:hAnsi="宋体" w:eastAsia="宋体" w:cs="宋体"/>
              <w:sz w:val="21"/>
              <w:szCs w:val="21"/>
            </w:rPr>
            <w:tab/>
          </w:r>
          <w:r>
            <w:rPr>
              <w:rFonts w:ascii="宋体" w:hAnsi="宋体" w:eastAsia="宋体" w:cs="宋体"/>
              <w:spacing w:val="-64"/>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46B75955">
          <w:pPr>
            <w:tabs>
              <w:tab w:val="right" w:leader="dot" w:pos="9280"/>
            </w:tabs>
            <w:spacing w:before="85" w:line="200" w:lineRule="auto"/>
            <w:ind w:left="420"/>
            <w:rPr>
              <w:rFonts w:ascii="Times New Roman" w:hAnsi="Times New Roman" w:eastAsia="Times New Roman" w:cs="Times New Roman"/>
              <w:sz w:val="21"/>
              <w:szCs w:val="21"/>
            </w:rPr>
          </w:pPr>
          <w:r>
            <w:fldChar w:fldCharType="begin"/>
          </w:r>
          <w:r>
            <w:instrText xml:space="preserve"> HYPERLINK \l "bookmark17" </w:instrText>
          </w:r>
          <w:r>
            <w:fldChar w:fldCharType="separate"/>
          </w:r>
          <w:r>
            <w:rPr>
              <w:rFonts w:ascii="Times New Roman" w:hAnsi="Times New Roman" w:eastAsia="Times New Roman" w:cs="Times New Roman"/>
              <w:spacing w:val="-1"/>
              <w:sz w:val="21"/>
              <w:szCs w:val="21"/>
            </w:rPr>
            <w:t xml:space="preserve">6  </w:t>
          </w:r>
          <w:r>
            <w:rPr>
              <w:rFonts w:ascii="宋体" w:hAnsi="宋体" w:eastAsia="宋体" w:cs="宋体"/>
              <w:spacing w:val="-1"/>
              <w:sz w:val="21"/>
              <w:szCs w:val="21"/>
            </w:rPr>
            <w:t>碳中和社区指标体系</w:t>
          </w:r>
          <w:r>
            <w:rPr>
              <w:rFonts w:ascii="宋体" w:hAnsi="宋体" w:eastAsia="宋体" w:cs="宋体"/>
              <w:spacing w:val="-57"/>
              <w:sz w:val="21"/>
              <w:szCs w:val="21"/>
            </w:rPr>
            <w:t xml:space="preserve"> </w:t>
          </w:r>
          <w:r>
            <w:rPr>
              <w:rFonts w:ascii="宋体" w:hAnsi="宋体" w:eastAsia="宋体" w:cs="宋体"/>
              <w:sz w:val="21"/>
              <w:szCs w:val="21"/>
            </w:rPr>
            <w:tab/>
          </w:r>
          <w:r>
            <w:rPr>
              <w:rFonts w:ascii="宋体" w:hAnsi="宋体" w:eastAsia="宋体" w:cs="宋体"/>
              <w:spacing w:val="-64"/>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6A801AC6">
          <w:pPr>
            <w:tabs>
              <w:tab w:val="right" w:leader="dot" w:pos="9280"/>
            </w:tabs>
            <w:spacing w:before="85" w:line="200" w:lineRule="auto"/>
            <w:ind w:left="419"/>
            <w:rPr>
              <w:rFonts w:ascii="Times New Roman" w:hAnsi="Times New Roman" w:eastAsia="Times New Roman" w:cs="Times New Roman"/>
              <w:sz w:val="21"/>
              <w:szCs w:val="21"/>
            </w:rPr>
          </w:pPr>
          <w:r>
            <w:fldChar w:fldCharType="begin"/>
          </w:r>
          <w:r>
            <w:instrText xml:space="preserve"> HYPERLINK \l "bookmark18" </w:instrText>
          </w:r>
          <w:r>
            <w:fldChar w:fldCharType="separate"/>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碳中和社区评价流程</w:t>
          </w:r>
          <w:r>
            <w:rPr>
              <w:rFonts w:ascii="宋体" w:hAnsi="宋体" w:eastAsia="宋体" w:cs="宋体"/>
              <w:spacing w:val="-56"/>
              <w:sz w:val="21"/>
              <w:szCs w:val="21"/>
            </w:rPr>
            <w:t xml:space="preserve"> </w:t>
          </w:r>
          <w:r>
            <w:rPr>
              <w:rFonts w:ascii="宋体" w:hAnsi="宋体" w:eastAsia="宋体" w:cs="宋体"/>
              <w:sz w:val="21"/>
              <w:szCs w:val="21"/>
            </w:rPr>
            <w:tab/>
          </w:r>
          <w:r>
            <w:rPr>
              <w:rFonts w:ascii="宋体" w:hAnsi="宋体" w:eastAsia="宋体" w:cs="宋体"/>
              <w:spacing w:val="-65"/>
              <w:sz w:val="21"/>
              <w:szCs w:val="21"/>
            </w:rPr>
            <w:t xml:space="preserve"> </w:t>
          </w:r>
          <w:r>
            <w:rPr>
              <w:rFonts w:ascii="Times New Roman" w:hAnsi="Times New Roman" w:eastAsia="Times New Roman" w:cs="Times New Roman"/>
              <w:sz w:val="21"/>
              <w:szCs w:val="21"/>
            </w:rPr>
            <w:t>6</w:t>
          </w:r>
          <w:r>
            <w:rPr>
              <w:rFonts w:ascii="Times New Roman" w:hAnsi="Times New Roman" w:eastAsia="Times New Roman" w:cs="Times New Roman"/>
              <w:sz w:val="21"/>
              <w:szCs w:val="21"/>
            </w:rPr>
            <w:fldChar w:fldCharType="end"/>
          </w:r>
        </w:p>
        <w:p w14:paraId="692D33F1">
          <w:pPr>
            <w:tabs>
              <w:tab w:val="right" w:leader="dot" w:pos="9280"/>
            </w:tabs>
            <w:spacing w:before="84" w:line="200" w:lineRule="auto"/>
            <w:ind w:left="839"/>
            <w:rPr>
              <w:rFonts w:ascii="Times New Roman" w:hAnsi="Times New Roman" w:eastAsia="Times New Roman" w:cs="Times New Roman"/>
              <w:sz w:val="21"/>
              <w:szCs w:val="21"/>
            </w:rPr>
          </w:pPr>
          <w:r>
            <w:fldChar w:fldCharType="begin"/>
          </w:r>
          <w:r>
            <w:instrText xml:space="preserve"> HYPERLINK \l "bookmark19" </w:instrText>
          </w:r>
          <w:r>
            <w:fldChar w:fldCharType="separate"/>
          </w:r>
          <w:r>
            <w:rPr>
              <w:rFonts w:ascii="Times New Roman" w:hAnsi="Times New Roman" w:eastAsia="Times New Roman" w:cs="Times New Roman"/>
              <w:spacing w:val="-1"/>
              <w:sz w:val="21"/>
              <w:szCs w:val="21"/>
            </w:rPr>
            <w:t xml:space="preserve">7.1  </w:t>
          </w:r>
          <w:r>
            <w:rPr>
              <w:rFonts w:ascii="宋体" w:hAnsi="宋体" w:eastAsia="宋体" w:cs="宋体"/>
              <w:spacing w:val="-1"/>
              <w:sz w:val="21"/>
              <w:szCs w:val="21"/>
            </w:rPr>
            <w:t>评价原则与方式</w:t>
          </w:r>
          <w:r>
            <w:rPr>
              <w:rFonts w:ascii="宋体" w:hAnsi="宋体" w:eastAsia="宋体" w:cs="宋体"/>
              <w:spacing w:val="-55"/>
              <w:sz w:val="21"/>
              <w:szCs w:val="21"/>
            </w:rPr>
            <w:t xml:space="preserve"> </w:t>
          </w:r>
          <w:r>
            <w:rPr>
              <w:rFonts w:ascii="宋体" w:hAnsi="宋体" w:eastAsia="宋体" w:cs="宋体"/>
              <w:sz w:val="21"/>
              <w:szCs w:val="21"/>
            </w:rPr>
            <w:tab/>
          </w:r>
          <w:r>
            <w:rPr>
              <w:rFonts w:ascii="宋体" w:hAnsi="宋体" w:eastAsia="宋体" w:cs="宋体"/>
              <w:spacing w:val="-65"/>
              <w:sz w:val="21"/>
              <w:szCs w:val="21"/>
            </w:rPr>
            <w:t xml:space="preserve"> </w:t>
          </w:r>
          <w:r>
            <w:rPr>
              <w:rFonts w:ascii="Times New Roman" w:hAnsi="Times New Roman" w:eastAsia="Times New Roman" w:cs="Times New Roman"/>
              <w:sz w:val="21"/>
              <w:szCs w:val="21"/>
            </w:rPr>
            <w:t>6</w:t>
          </w:r>
          <w:r>
            <w:rPr>
              <w:rFonts w:ascii="Times New Roman" w:hAnsi="Times New Roman" w:eastAsia="Times New Roman" w:cs="Times New Roman"/>
              <w:sz w:val="21"/>
              <w:szCs w:val="21"/>
            </w:rPr>
            <w:fldChar w:fldCharType="end"/>
          </w:r>
        </w:p>
        <w:p w14:paraId="79AD7B81">
          <w:pPr>
            <w:tabs>
              <w:tab w:val="right" w:leader="dot" w:pos="9280"/>
            </w:tabs>
            <w:spacing w:before="85" w:line="200" w:lineRule="auto"/>
            <w:ind w:left="839"/>
            <w:rPr>
              <w:rFonts w:ascii="Times New Roman" w:hAnsi="Times New Roman" w:eastAsia="Times New Roman" w:cs="Times New Roman"/>
              <w:sz w:val="21"/>
              <w:szCs w:val="21"/>
            </w:rPr>
          </w:pPr>
          <w:r>
            <w:fldChar w:fldCharType="begin"/>
          </w:r>
          <w:r>
            <w:instrText xml:space="preserve"> HYPERLINK \l "bookmark20" </w:instrText>
          </w:r>
          <w:r>
            <w:fldChar w:fldCharType="separate"/>
          </w:r>
          <w:r>
            <w:rPr>
              <w:rFonts w:ascii="Times New Roman" w:hAnsi="Times New Roman" w:eastAsia="Times New Roman" w:cs="Times New Roman"/>
              <w:spacing w:val="-1"/>
              <w:sz w:val="21"/>
              <w:szCs w:val="21"/>
            </w:rPr>
            <w:t xml:space="preserve">7.2  </w:t>
          </w:r>
          <w:r>
            <w:rPr>
              <w:rFonts w:ascii="宋体" w:hAnsi="宋体" w:eastAsia="宋体" w:cs="宋体"/>
              <w:spacing w:val="-1"/>
              <w:sz w:val="21"/>
              <w:szCs w:val="21"/>
            </w:rPr>
            <w:t>评价流程</w:t>
          </w:r>
          <w:r>
            <w:rPr>
              <w:rFonts w:ascii="宋体" w:hAnsi="宋体" w:eastAsia="宋体" w:cs="宋体"/>
              <w:sz w:val="21"/>
              <w:szCs w:val="21"/>
            </w:rPr>
            <w:tab/>
          </w:r>
          <w:r>
            <w:rPr>
              <w:rFonts w:ascii="宋体" w:hAnsi="宋体" w:eastAsia="宋体" w:cs="宋体"/>
              <w:spacing w:val="-65"/>
              <w:sz w:val="21"/>
              <w:szCs w:val="21"/>
            </w:rPr>
            <w:t xml:space="preserve"> </w:t>
          </w:r>
          <w:r>
            <w:rPr>
              <w:rFonts w:ascii="Times New Roman" w:hAnsi="Times New Roman" w:eastAsia="Times New Roman" w:cs="Times New Roman"/>
              <w:sz w:val="21"/>
              <w:szCs w:val="21"/>
            </w:rPr>
            <w:t>6</w:t>
          </w:r>
          <w:r>
            <w:rPr>
              <w:rFonts w:ascii="Times New Roman" w:hAnsi="Times New Roman" w:eastAsia="Times New Roman" w:cs="Times New Roman"/>
              <w:sz w:val="21"/>
              <w:szCs w:val="21"/>
            </w:rPr>
            <w:fldChar w:fldCharType="end"/>
          </w:r>
        </w:p>
        <w:p w14:paraId="0D4998B9">
          <w:pPr>
            <w:tabs>
              <w:tab w:val="right" w:leader="dot" w:pos="9280"/>
            </w:tabs>
            <w:spacing w:before="84" w:line="200" w:lineRule="auto"/>
            <w:ind w:left="424"/>
            <w:rPr>
              <w:rFonts w:ascii="Times New Roman" w:hAnsi="Times New Roman" w:eastAsia="Times New Roman" w:cs="Times New Roman"/>
              <w:sz w:val="21"/>
              <w:szCs w:val="21"/>
            </w:rPr>
          </w:pPr>
          <w:r>
            <w:fldChar w:fldCharType="begin"/>
          </w:r>
          <w:r>
            <w:instrText xml:space="preserve"> HYPERLINK \l "bookmark21" </w:instrText>
          </w:r>
          <w:r>
            <w:fldChar w:fldCharType="separate"/>
          </w:r>
          <w:r>
            <w:rPr>
              <w:rFonts w:ascii="Times New Roman" w:hAnsi="Times New Roman" w:eastAsia="Times New Roman" w:cs="Times New Roman"/>
              <w:spacing w:val="-1"/>
              <w:sz w:val="21"/>
              <w:szCs w:val="21"/>
            </w:rPr>
            <w:t xml:space="preserve">8  </w:t>
          </w:r>
          <w:r>
            <w:rPr>
              <w:rFonts w:ascii="宋体" w:hAnsi="宋体" w:eastAsia="宋体" w:cs="宋体"/>
              <w:spacing w:val="-1"/>
              <w:sz w:val="21"/>
              <w:szCs w:val="21"/>
            </w:rPr>
            <w:t>碳中和社区评价结果</w:t>
          </w:r>
          <w:r>
            <w:rPr>
              <w:rFonts w:ascii="宋体" w:hAnsi="宋体" w:eastAsia="宋体" w:cs="宋体"/>
              <w:spacing w:val="-61"/>
              <w:sz w:val="21"/>
              <w:szCs w:val="21"/>
            </w:rPr>
            <w:t xml:space="preserve"> </w:t>
          </w:r>
          <w:r>
            <w:rPr>
              <w:rFonts w:ascii="宋体" w:hAnsi="宋体" w:eastAsia="宋体" w:cs="宋体"/>
              <w:sz w:val="21"/>
              <w:szCs w:val="21"/>
            </w:rPr>
            <w:tab/>
          </w:r>
          <w:r>
            <w:rPr>
              <w:rFonts w:ascii="宋体" w:hAnsi="宋体" w:eastAsia="宋体" w:cs="宋体"/>
              <w:spacing w:val="-66"/>
              <w:sz w:val="21"/>
              <w:szCs w:val="21"/>
            </w:rPr>
            <w:t xml:space="preserve"> </w:t>
          </w:r>
          <w:r>
            <w:rPr>
              <w:rFonts w:ascii="Times New Roman" w:hAnsi="Times New Roman" w:eastAsia="Times New Roman" w:cs="Times New Roman"/>
              <w:sz w:val="21"/>
              <w:szCs w:val="21"/>
            </w:rPr>
            <w:t>7</w:t>
          </w:r>
          <w:r>
            <w:rPr>
              <w:rFonts w:ascii="Times New Roman" w:hAnsi="Times New Roman" w:eastAsia="Times New Roman" w:cs="Times New Roman"/>
              <w:sz w:val="21"/>
              <w:szCs w:val="21"/>
            </w:rPr>
            <w:fldChar w:fldCharType="end"/>
          </w:r>
        </w:p>
        <w:p w14:paraId="75EB49E6">
          <w:pPr>
            <w:tabs>
              <w:tab w:val="right" w:leader="dot" w:pos="9280"/>
            </w:tabs>
            <w:spacing w:before="85" w:line="200" w:lineRule="auto"/>
            <w:ind w:left="16"/>
            <w:rPr>
              <w:rFonts w:ascii="Times New Roman" w:hAnsi="Times New Roman" w:eastAsia="Times New Roman" w:cs="Times New Roman"/>
              <w:sz w:val="21"/>
              <w:szCs w:val="21"/>
            </w:rPr>
          </w:pPr>
          <w:r>
            <w:fldChar w:fldCharType="begin"/>
          </w:r>
          <w:r>
            <w:instrText xml:space="preserve"> HYPERLINK \l "bookmark22" </w:instrText>
          </w:r>
          <w:r>
            <w:fldChar w:fldCharType="separate"/>
          </w:r>
          <w:r>
            <w:rPr>
              <w:rFonts w:ascii="宋体" w:hAnsi="宋体" w:eastAsia="宋体" w:cs="宋体"/>
              <w:spacing w:val="-2"/>
              <w:sz w:val="21"/>
              <w:szCs w:val="21"/>
            </w:rPr>
            <w:t xml:space="preserve">附  录  </w:t>
          </w:r>
          <w:r>
            <w:rPr>
              <w:rFonts w:ascii="Times New Roman" w:hAnsi="Times New Roman" w:eastAsia="Times New Roman" w:cs="Times New Roman"/>
              <w:spacing w:val="-2"/>
              <w:sz w:val="21"/>
              <w:szCs w:val="21"/>
            </w:rPr>
            <w:t xml:space="preserve">A  </w:t>
          </w:r>
          <w:r>
            <w:rPr>
              <w:rFonts w:ascii="宋体" w:hAnsi="宋体" w:eastAsia="宋体" w:cs="宋体"/>
              <w:spacing w:val="-2"/>
              <w:sz w:val="21"/>
              <w:szCs w:val="21"/>
            </w:rPr>
            <w:t>（资料性） 碳减排量核算方法</w:t>
          </w:r>
          <w:r>
            <w:rPr>
              <w:rFonts w:ascii="宋体" w:hAnsi="宋体" w:eastAsia="宋体" w:cs="宋体"/>
              <w:sz w:val="21"/>
              <w:szCs w:val="21"/>
            </w:rPr>
            <w:tab/>
          </w:r>
          <w:r>
            <w:rPr>
              <w:rFonts w:ascii="宋体" w:hAnsi="宋体" w:eastAsia="宋体" w:cs="宋体"/>
              <w:spacing w:val="-61"/>
              <w:sz w:val="21"/>
              <w:szCs w:val="21"/>
            </w:rPr>
            <w:t xml:space="preserve"> </w:t>
          </w:r>
          <w:r>
            <w:rPr>
              <w:rFonts w:ascii="Times New Roman" w:hAnsi="Times New Roman" w:eastAsia="Times New Roman" w:cs="Times New Roman"/>
              <w:spacing w:val="-13"/>
              <w:sz w:val="21"/>
              <w:szCs w:val="21"/>
            </w:rPr>
            <w:t>8</w:t>
          </w:r>
          <w:r>
            <w:rPr>
              <w:rFonts w:ascii="Times New Roman" w:hAnsi="Times New Roman" w:eastAsia="Times New Roman" w:cs="Times New Roman"/>
              <w:spacing w:val="-13"/>
              <w:sz w:val="21"/>
              <w:szCs w:val="21"/>
            </w:rPr>
            <w:fldChar w:fldCharType="end"/>
          </w:r>
        </w:p>
        <w:p w14:paraId="1123D9EC">
          <w:pPr>
            <w:tabs>
              <w:tab w:val="right" w:leader="dot" w:pos="9280"/>
            </w:tabs>
            <w:spacing w:before="84" w:line="200" w:lineRule="auto"/>
            <w:ind w:left="16"/>
            <w:rPr>
              <w:rFonts w:ascii="Times New Roman" w:hAnsi="Times New Roman" w:eastAsia="Times New Roman" w:cs="Times New Roman"/>
              <w:sz w:val="21"/>
              <w:szCs w:val="21"/>
            </w:rPr>
          </w:pPr>
          <w:r>
            <w:fldChar w:fldCharType="begin"/>
          </w:r>
          <w:r>
            <w:instrText xml:space="preserve"> HYPERLINK \l "bookmark23" </w:instrText>
          </w:r>
          <w:r>
            <w:fldChar w:fldCharType="separate"/>
          </w:r>
          <w:r>
            <w:rPr>
              <w:rFonts w:ascii="宋体" w:hAnsi="宋体" w:eastAsia="宋体" w:cs="宋体"/>
              <w:spacing w:val="-1"/>
              <w:sz w:val="21"/>
              <w:szCs w:val="21"/>
            </w:rPr>
            <w:t xml:space="preserve">附  录  </w:t>
          </w:r>
          <w:r>
            <w:rPr>
              <w:rFonts w:ascii="Times New Roman" w:hAnsi="Times New Roman" w:eastAsia="Times New Roman" w:cs="Times New Roman"/>
              <w:spacing w:val="-1"/>
              <w:sz w:val="21"/>
              <w:szCs w:val="21"/>
            </w:rPr>
            <w:t xml:space="preserve">B  </w:t>
          </w:r>
          <w:r>
            <w:rPr>
              <w:rFonts w:ascii="宋体" w:hAnsi="宋体" w:eastAsia="宋体" w:cs="宋体"/>
              <w:spacing w:val="-1"/>
              <w:sz w:val="21"/>
              <w:szCs w:val="21"/>
            </w:rPr>
            <w:t>（资料性） 社区温室气体排放报告示例</w:t>
          </w:r>
          <w:r>
            <w:rPr>
              <w:rFonts w:ascii="宋体" w:hAnsi="宋体" w:eastAsia="宋体" w:cs="宋体"/>
              <w:sz w:val="21"/>
              <w:szCs w:val="21"/>
            </w:rPr>
            <w:tab/>
          </w:r>
          <w:r>
            <w:rPr>
              <w:rFonts w:ascii="宋体" w:hAnsi="宋体" w:eastAsia="宋体" w:cs="宋体"/>
              <w:spacing w:val="-49"/>
              <w:sz w:val="21"/>
              <w:szCs w:val="21"/>
            </w:rPr>
            <w:t xml:space="preserve"> </w:t>
          </w:r>
          <w:r>
            <w:rPr>
              <w:rFonts w:ascii="Times New Roman" w:hAnsi="Times New Roman" w:eastAsia="Times New Roman" w:cs="Times New Roman"/>
              <w:spacing w:val="-16"/>
              <w:sz w:val="21"/>
              <w:szCs w:val="21"/>
            </w:rPr>
            <w:t>1</w:t>
          </w:r>
          <w:r>
            <w:rPr>
              <w:rFonts w:ascii="Times New Roman" w:hAnsi="Times New Roman" w:eastAsia="Times New Roman" w:cs="Times New Roman"/>
              <w:spacing w:val="-8"/>
              <w:sz w:val="21"/>
              <w:szCs w:val="21"/>
            </w:rPr>
            <w:t>0</w:t>
          </w:r>
          <w:r>
            <w:rPr>
              <w:rFonts w:ascii="Times New Roman" w:hAnsi="Times New Roman" w:eastAsia="Times New Roman" w:cs="Times New Roman"/>
              <w:spacing w:val="-8"/>
              <w:sz w:val="21"/>
              <w:szCs w:val="21"/>
            </w:rPr>
            <w:fldChar w:fldCharType="end"/>
          </w:r>
        </w:p>
        <w:p w14:paraId="14674020">
          <w:pPr>
            <w:tabs>
              <w:tab w:val="right" w:leader="dot" w:pos="9280"/>
            </w:tabs>
            <w:spacing w:before="85" w:line="200" w:lineRule="auto"/>
            <w:ind w:left="16"/>
            <w:rPr>
              <w:rFonts w:ascii="Times New Roman" w:hAnsi="Times New Roman" w:eastAsia="Times New Roman" w:cs="Times New Roman"/>
              <w:sz w:val="21"/>
              <w:szCs w:val="21"/>
            </w:rPr>
          </w:pPr>
          <w:r>
            <w:fldChar w:fldCharType="begin"/>
          </w:r>
          <w:r>
            <w:instrText xml:space="preserve"> HYPERLINK \l "bookmark24" </w:instrText>
          </w:r>
          <w:r>
            <w:fldChar w:fldCharType="separate"/>
          </w:r>
          <w:r>
            <w:rPr>
              <w:rFonts w:ascii="宋体" w:hAnsi="宋体" w:eastAsia="宋体" w:cs="宋体"/>
              <w:spacing w:val="-1"/>
              <w:sz w:val="21"/>
              <w:szCs w:val="21"/>
            </w:rPr>
            <w:t xml:space="preserve">附  录  </w:t>
          </w:r>
          <w:r>
            <w:rPr>
              <w:rFonts w:ascii="Times New Roman" w:hAnsi="Times New Roman" w:eastAsia="Times New Roman" w:cs="Times New Roman"/>
              <w:spacing w:val="-1"/>
              <w:sz w:val="21"/>
              <w:szCs w:val="21"/>
            </w:rPr>
            <w:t xml:space="preserve">C  </w:t>
          </w:r>
          <w:r>
            <w:rPr>
              <w:rFonts w:ascii="宋体" w:hAnsi="宋体" w:eastAsia="宋体" w:cs="宋体"/>
              <w:spacing w:val="-1"/>
              <w:sz w:val="21"/>
              <w:szCs w:val="21"/>
            </w:rPr>
            <w:t>（资料性） 碳中和社区指标核算方法</w:t>
          </w:r>
          <w:r>
            <w:rPr>
              <w:rFonts w:ascii="宋体" w:hAnsi="宋体" w:eastAsia="宋体" w:cs="宋体"/>
              <w:sz w:val="21"/>
              <w:szCs w:val="21"/>
            </w:rPr>
            <w:tab/>
          </w:r>
          <w:r>
            <w:rPr>
              <w:rFonts w:ascii="宋体" w:hAnsi="宋体" w:eastAsia="宋体" w:cs="宋体"/>
              <w:spacing w:val="-49"/>
              <w:sz w:val="21"/>
              <w:szCs w:val="21"/>
            </w:rPr>
            <w:t xml:space="preserve"> </w:t>
          </w:r>
          <w:r>
            <w:rPr>
              <w:rFonts w:ascii="Times New Roman" w:hAnsi="Times New Roman" w:eastAsia="Times New Roman" w:cs="Times New Roman"/>
              <w:spacing w:val="-12"/>
              <w:sz w:val="21"/>
              <w:szCs w:val="21"/>
            </w:rPr>
            <w:t>13</w:t>
          </w:r>
          <w:r>
            <w:rPr>
              <w:rFonts w:ascii="Times New Roman" w:hAnsi="Times New Roman" w:eastAsia="Times New Roman" w:cs="Times New Roman"/>
              <w:spacing w:val="-12"/>
              <w:sz w:val="21"/>
              <w:szCs w:val="21"/>
            </w:rPr>
            <w:fldChar w:fldCharType="end"/>
          </w:r>
        </w:p>
        <w:p w14:paraId="4FCC4535">
          <w:pPr>
            <w:tabs>
              <w:tab w:val="right" w:leader="dot" w:pos="9280"/>
            </w:tabs>
            <w:spacing w:before="84" w:line="200" w:lineRule="auto"/>
            <w:ind w:left="16"/>
            <w:rPr>
              <w:rFonts w:ascii="Times New Roman" w:hAnsi="Times New Roman" w:eastAsia="Times New Roman" w:cs="Times New Roman"/>
              <w:sz w:val="21"/>
              <w:szCs w:val="21"/>
            </w:rPr>
          </w:pPr>
          <w:r>
            <w:fldChar w:fldCharType="begin"/>
          </w:r>
          <w:r>
            <w:instrText xml:space="preserve"> HYPERLINK \l "bookmark25" </w:instrText>
          </w:r>
          <w:r>
            <w:fldChar w:fldCharType="separate"/>
          </w:r>
          <w:r>
            <w:rPr>
              <w:rFonts w:ascii="宋体" w:hAnsi="宋体" w:eastAsia="宋体" w:cs="宋体"/>
              <w:spacing w:val="-1"/>
              <w:sz w:val="21"/>
              <w:szCs w:val="21"/>
            </w:rPr>
            <w:t xml:space="preserve">附  录  </w:t>
          </w:r>
          <w:r>
            <w:rPr>
              <w:rFonts w:ascii="Times New Roman" w:hAnsi="Times New Roman" w:eastAsia="Times New Roman" w:cs="Times New Roman"/>
              <w:spacing w:val="-1"/>
              <w:sz w:val="21"/>
              <w:szCs w:val="21"/>
            </w:rPr>
            <w:t xml:space="preserve">D  </w:t>
          </w:r>
          <w:r>
            <w:rPr>
              <w:rFonts w:ascii="宋体" w:hAnsi="宋体" w:eastAsia="宋体" w:cs="宋体"/>
              <w:spacing w:val="-1"/>
              <w:sz w:val="21"/>
              <w:szCs w:val="21"/>
            </w:rPr>
            <w:t>（资料性） 碳中和社区评价报告示例</w:t>
          </w:r>
          <w:r>
            <w:rPr>
              <w:rFonts w:ascii="宋体" w:hAnsi="宋体" w:eastAsia="宋体" w:cs="宋体"/>
              <w:spacing w:val="-41"/>
              <w:sz w:val="21"/>
              <w:szCs w:val="21"/>
            </w:rPr>
            <w:t xml:space="preserve"> </w:t>
          </w:r>
          <w:r>
            <w:rPr>
              <w:rFonts w:ascii="宋体" w:hAnsi="宋体" w:eastAsia="宋体" w:cs="宋体"/>
              <w:sz w:val="21"/>
              <w:szCs w:val="21"/>
            </w:rPr>
            <w:tab/>
          </w:r>
          <w:r>
            <w:rPr>
              <w:rFonts w:ascii="宋体" w:hAnsi="宋体" w:eastAsia="宋体" w:cs="宋体"/>
              <w:spacing w:val="-49"/>
              <w:sz w:val="21"/>
              <w:szCs w:val="21"/>
            </w:rPr>
            <w:t xml:space="preserve"> </w:t>
          </w:r>
          <w:r>
            <w:rPr>
              <w:rFonts w:ascii="Times New Roman" w:hAnsi="Times New Roman" w:eastAsia="Times New Roman" w:cs="Times New Roman"/>
              <w:spacing w:val="-12"/>
              <w:sz w:val="21"/>
              <w:szCs w:val="21"/>
            </w:rPr>
            <w:t>18</w:t>
          </w:r>
          <w:r>
            <w:rPr>
              <w:rFonts w:ascii="Times New Roman" w:hAnsi="Times New Roman" w:eastAsia="Times New Roman" w:cs="Times New Roman"/>
              <w:spacing w:val="-12"/>
              <w:sz w:val="21"/>
              <w:szCs w:val="21"/>
            </w:rPr>
            <w:fldChar w:fldCharType="end"/>
          </w:r>
        </w:p>
        <w:p w14:paraId="7F2F1A17">
          <w:pPr>
            <w:tabs>
              <w:tab w:val="right" w:leader="dot" w:pos="9280"/>
            </w:tabs>
            <w:spacing w:before="86" w:line="234" w:lineRule="auto"/>
            <w:ind w:left="1"/>
            <w:rPr>
              <w:rFonts w:ascii="Times New Roman" w:hAnsi="Times New Roman" w:eastAsia="Times New Roman" w:cs="Times New Roman"/>
              <w:sz w:val="21"/>
              <w:szCs w:val="21"/>
            </w:rPr>
          </w:pPr>
          <w:r>
            <w:fldChar w:fldCharType="begin"/>
          </w:r>
          <w:r>
            <w:instrText xml:space="preserve"> HYPERLINK \l "bookmark26" </w:instrText>
          </w:r>
          <w:r>
            <w:fldChar w:fldCharType="separate"/>
          </w:r>
          <w:r>
            <w:rPr>
              <w:rFonts w:ascii="宋体" w:hAnsi="宋体" w:eastAsia="宋体" w:cs="宋体"/>
              <w:spacing w:val="-2"/>
              <w:sz w:val="21"/>
              <w:szCs w:val="21"/>
            </w:rPr>
            <w:t>参考文献</w:t>
          </w:r>
          <w:r>
            <w:rPr>
              <w:rFonts w:ascii="宋体" w:hAnsi="宋体" w:eastAsia="宋体" w:cs="宋体"/>
              <w:sz w:val="21"/>
              <w:szCs w:val="21"/>
            </w:rPr>
            <w:tab/>
          </w:r>
          <w:r>
            <w:rPr>
              <w:rFonts w:ascii="宋体" w:hAnsi="宋体" w:eastAsia="宋体" w:cs="宋体"/>
              <w:spacing w:val="-49"/>
              <w:sz w:val="21"/>
              <w:szCs w:val="21"/>
            </w:rPr>
            <w:t xml:space="preserve"> </w:t>
          </w:r>
          <w:r>
            <w:rPr>
              <w:rFonts w:ascii="Times New Roman" w:hAnsi="Times New Roman" w:eastAsia="Times New Roman" w:cs="Times New Roman"/>
              <w:spacing w:val="-14"/>
              <w:sz w:val="21"/>
              <w:szCs w:val="21"/>
            </w:rPr>
            <w:t>1</w:t>
          </w:r>
          <w:r>
            <w:rPr>
              <w:rFonts w:ascii="Times New Roman" w:hAnsi="Times New Roman" w:eastAsia="Times New Roman" w:cs="Times New Roman"/>
              <w:spacing w:val="-10"/>
              <w:sz w:val="21"/>
              <w:szCs w:val="21"/>
            </w:rPr>
            <w:t>9</w:t>
          </w:r>
          <w:r>
            <w:rPr>
              <w:rFonts w:ascii="Times New Roman" w:hAnsi="Times New Roman" w:eastAsia="Times New Roman" w:cs="Times New Roman"/>
              <w:spacing w:val="-10"/>
              <w:sz w:val="21"/>
              <w:szCs w:val="21"/>
            </w:rPr>
            <w:fldChar w:fldCharType="end"/>
          </w:r>
        </w:p>
      </w:sdtContent>
    </w:sdt>
    <w:p w14:paraId="5A1E58D2">
      <w:pPr>
        <w:spacing w:line="234" w:lineRule="auto"/>
        <w:rPr>
          <w:rFonts w:ascii="Times New Roman" w:hAnsi="Times New Roman" w:eastAsia="Times New Roman" w:cs="Times New Roman"/>
          <w:sz w:val="21"/>
          <w:szCs w:val="21"/>
        </w:rPr>
        <w:sectPr>
          <w:headerReference r:id="rId5" w:type="default"/>
          <w:footerReference r:id="rId6" w:type="default"/>
          <w:pgSz w:w="11907" w:h="16839"/>
          <w:pgMar w:top="1205" w:right="1303" w:bottom="1648" w:left="1311" w:header="880" w:footer="1446" w:gutter="0"/>
          <w:cols w:space="720" w:num="1"/>
        </w:sectPr>
      </w:pPr>
    </w:p>
    <w:p w14:paraId="56A5D9B6">
      <w:pPr>
        <w:spacing w:before="126" w:line="225" w:lineRule="auto"/>
        <w:ind w:left="4011"/>
        <w:outlineLvl w:val="0"/>
        <w:rPr>
          <w:rFonts w:ascii="黑体" w:hAnsi="黑体" w:eastAsia="黑体" w:cs="黑体"/>
          <w:sz w:val="31"/>
          <w:szCs w:val="31"/>
        </w:rPr>
      </w:pPr>
      <w:bookmarkStart w:id="1" w:name="bookmark2"/>
      <w:bookmarkEnd w:id="1"/>
      <w:r>
        <w:rPr>
          <w:rFonts w:ascii="黑体" w:hAnsi="黑体" w:eastAsia="黑体" w:cs="黑体"/>
          <w:spacing w:val="-2"/>
          <w:sz w:val="31"/>
          <w:szCs w:val="31"/>
        </w:rPr>
        <w:t>前</w:t>
      </w:r>
      <w:r>
        <w:rPr>
          <w:rFonts w:ascii="黑体" w:hAnsi="黑体" w:eastAsia="黑体" w:cs="黑体"/>
          <w:spacing w:val="10"/>
          <w:sz w:val="31"/>
          <w:szCs w:val="31"/>
        </w:rPr>
        <w:t xml:space="preserve">    </w:t>
      </w:r>
      <w:r>
        <w:rPr>
          <w:rFonts w:ascii="黑体" w:hAnsi="黑体" w:eastAsia="黑体" w:cs="黑体"/>
          <w:spacing w:val="-2"/>
          <w:sz w:val="31"/>
          <w:szCs w:val="31"/>
        </w:rPr>
        <w:t>言</w:t>
      </w:r>
    </w:p>
    <w:p w14:paraId="359A1009">
      <w:pPr>
        <w:pStyle w:val="2"/>
        <w:spacing w:line="316" w:lineRule="auto"/>
      </w:pPr>
    </w:p>
    <w:p w14:paraId="189B30D1">
      <w:pPr>
        <w:pStyle w:val="2"/>
        <w:spacing w:line="317" w:lineRule="auto"/>
      </w:pPr>
    </w:p>
    <w:p w14:paraId="455D8021">
      <w:pPr>
        <w:spacing w:before="68" w:line="269" w:lineRule="auto"/>
        <w:ind w:right="43" w:firstLine="419"/>
        <w:rPr>
          <w:rFonts w:ascii="宋体" w:hAnsi="宋体" w:eastAsia="宋体" w:cs="宋体"/>
          <w:sz w:val="21"/>
          <w:szCs w:val="21"/>
        </w:rPr>
      </w:pPr>
      <w:r>
        <w:rPr>
          <w:rFonts w:ascii="宋体" w:hAnsi="宋体" w:eastAsia="宋体" w:cs="宋体"/>
          <w:spacing w:val="-3"/>
          <w:sz w:val="21"/>
          <w:szCs w:val="21"/>
        </w:rPr>
        <w:t>本文件根据</w:t>
      </w:r>
      <w:r>
        <w:rPr>
          <w:rFonts w:ascii="Times New Roman" w:hAnsi="Times New Roman" w:eastAsia="Times New Roman" w:cs="Times New Roman"/>
          <w:spacing w:val="-3"/>
          <w:sz w:val="21"/>
          <w:szCs w:val="21"/>
        </w:rPr>
        <w:t>GB/T 1.1—2020</w:t>
      </w:r>
      <w:r>
        <w:rPr>
          <w:rFonts w:ascii="宋体" w:hAnsi="宋体" w:eastAsia="宋体" w:cs="宋体"/>
          <w:spacing w:val="-3"/>
          <w:sz w:val="21"/>
          <w:szCs w:val="21"/>
        </w:rPr>
        <w:t>《标准化工作导则 第</w:t>
      </w:r>
      <w:r>
        <w:rPr>
          <w:rFonts w:ascii="Times New Roman" w:hAnsi="Times New Roman" w:eastAsia="Times New Roman" w:cs="Times New Roman"/>
          <w:spacing w:val="-3"/>
          <w:sz w:val="21"/>
          <w:szCs w:val="21"/>
        </w:rPr>
        <w:t>1</w:t>
      </w:r>
      <w:r>
        <w:rPr>
          <w:rFonts w:ascii="宋体" w:hAnsi="宋体" w:eastAsia="宋体" w:cs="宋体"/>
          <w:spacing w:val="-3"/>
          <w:sz w:val="21"/>
          <w:szCs w:val="21"/>
        </w:rPr>
        <w:t>部分：标准化文件的结构和起</w:t>
      </w:r>
      <w:r>
        <w:rPr>
          <w:rFonts w:ascii="宋体" w:hAnsi="宋体" w:eastAsia="宋体" w:cs="宋体"/>
          <w:spacing w:val="-4"/>
          <w:sz w:val="21"/>
          <w:szCs w:val="21"/>
        </w:rPr>
        <w:t>草规则》的要求，</w:t>
      </w:r>
      <w:r>
        <w:rPr>
          <w:rFonts w:ascii="宋体" w:hAnsi="宋体" w:eastAsia="宋体" w:cs="宋体"/>
          <w:sz w:val="21"/>
          <w:szCs w:val="21"/>
        </w:rPr>
        <w:t xml:space="preserve"> </w:t>
      </w:r>
      <w:r>
        <w:rPr>
          <w:rFonts w:ascii="宋体" w:hAnsi="宋体" w:eastAsia="宋体" w:cs="宋体"/>
          <w:spacing w:val="-1"/>
          <w:sz w:val="21"/>
          <w:szCs w:val="21"/>
        </w:rPr>
        <w:t>按照《中国能源研究会团体标准管理办法》的规定起草。</w:t>
      </w:r>
    </w:p>
    <w:p w14:paraId="696446BA">
      <w:pPr>
        <w:spacing w:before="12" w:line="220" w:lineRule="auto"/>
        <w:ind w:left="419"/>
        <w:rPr>
          <w:rFonts w:ascii="宋体" w:hAnsi="宋体" w:eastAsia="宋体" w:cs="宋体"/>
          <w:sz w:val="21"/>
          <w:szCs w:val="21"/>
        </w:rPr>
      </w:pPr>
      <w:r>
        <w:rPr>
          <w:rFonts w:ascii="宋体" w:hAnsi="宋体" w:eastAsia="宋体" w:cs="宋体"/>
          <w:spacing w:val="-1"/>
          <w:sz w:val="21"/>
          <w:szCs w:val="21"/>
        </w:rPr>
        <w:t>本文件由中国能源研究会提出并解释。</w:t>
      </w:r>
    </w:p>
    <w:p w14:paraId="27515A78">
      <w:pPr>
        <w:spacing w:before="61" w:line="220" w:lineRule="auto"/>
        <w:ind w:left="419"/>
        <w:rPr>
          <w:rFonts w:ascii="宋体" w:hAnsi="宋体" w:eastAsia="宋体" w:cs="宋体"/>
          <w:sz w:val="21"/>
          <w:szCs w:val="21"/>
        </w:rPr>
      </w:pPr>
      <w:r>
        <w:rPr>
          <w:rFonts w:ascii="宋体" w:hAnsi="宋体" w:eastAsia="宋体" w:cs="宋体"/>
          <w:spacing w:val="-2"/>
          <w:sz w:val="21"/>
          <w:szCs w:val="21"/>
        </w:rPr>
        <w:t>本文件由中国能源研究会归口。</w:t>
      </w:r>
    </w:p>
    <w:p w14:paraId="26124A12">
      <w:pPr>
        <w:spacing w:before="62" w:line="220" w:lineRule="auto"/>
        <w:ind w:left="0" w:leftChars="0" w:firstLine="418" w:firstLineChars="201"/>
        <w:rPr>
          <w:rFonts w:hint="eastAsia" w:ascii="宋体" w:hAnsi="宋体" w:eastAsia="宋体" w:cs="宋体"/>
          <w:sz w:val="21"/>
          <w:szCs w:val="21"/>
          <w:lang w:eastAsia="zh-CN"/>
        </w:rPr>
      </w:pPr>
      <w:r>
        <w:rPr>
          <w:rFonts w:ascii="宋体" w:hAnsi="宋体" w:eastAsia="宋体" w:cs="宋体"/>
          <w:spacing w:val="-1"/>
          <w:sz w:val="21"/>
          <w:szCs w:val="21"/>
        </w:rPr>
        <w:t>本文件起草单位：</w:t>
      </w:r>
      <w:r>
        <w:rPr>
          <w:rFonts w:hint="eastAsia" w:ascii="宋体" w:hAnsi="宋体" w:eastAsia="宋体" w:cs="宋体"/>
          <w:spacing w:val="-1"/>
          <w:sz w:val="21"/>
          <w:szCs w:val="21"/>
        </w:rPr>
        <w:t>中环联合(北京)认证中心有限公司</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知己集团</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深石零碳科技（深圳）有限</w:t>
      </w:r>
      <w:r>
        <w:rPr>
          <w:rFonts w:hint="eastAsia" w:ascii="宋体" w:hAnsi="宋体" w:eastAsia="宋体" w:cs="宋体"/>
          <w:spacing w:val="-1"/>
          <w:sz w:val="21"/>
          <w:szCs w:val="21"/>
          <w:lang w:val="en-US" w:eastAsia="zh-CN"/>
        </w:rPr>
        <w:t>公</w:t>
      </w:r>
      <w:r>
        <w:rPr>
          <w:rFonts w:hint="eastAsia" w:ascii="宋体" w:hAnsi="宋体" w:eastAsia="宋体" w:cs="宋体"/>
          <w:spacing w:val="-1"/>
          <w:sz w:val="21"/>
          <w:szCs w:val="21"/>
        </w:rPr>
        <w:t>司</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西北工业大学</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北京京山绿碳科技有限公司</w:t>
      </w:r>
      <w:r>
        <w:rPr>
          <w:rFonts w:hint="eastAsia" w:ascii="宋体" w:hAnsi="宋体" w:eastAsia="宋体" w:cs="宋体"/>
          <w:spacing w:val="-1"/>
          <w:sz w:val="21"/>
          <w:szCs w:val="21"/>
          <w:lang w:eastAsia="zh-CN"/>
        </w:rPr>
        <w:t>……。</w:t>
      </w:r>
    </w:p>
    <w:p w14:paraId="4F2CC11E">
      <w:pPr>
        <w:spacing w:before="62" w:line="220" w:lineRule="auto"/>
        <w:ind w:left="419"/>
        <w:rPr>
          <w:rFonts w:hint="eastAsia" w:ascii="宋体" w:hAnsi="宋体" w:eastAsia="宋体" w:cs="宋体"/>
          <w:spacing w:val="-4"/>
          <w:sz w:val="21"/>
          <w:szCs w:val="21"/>
        </w:rPr>
      </w:pPr>
      <w:r>
        <w:rPr>
          <w:rFonts w:ascii="宋体" w:hAnsi="宋体" w:eastAsia="宋体" w:cs="宋体"/>
          <w:spacing w:val="-4"/>
          <w:sz w:val="21"/>
          <w:szCs w:val="21"/>
        </w:rPr>
        <w:t>本文件主要起草人：</w:t>
      </w:r>
      <w:r>
        <w:rPr>
          <w:rFonts w:hint="eastAsia" w:ascii="宋体" w:hAnsi="宋体" w:eastAsia="宋体" w:cs="宋体"/>
          <w:spacing w:val="-4"/>
          <w:sz w:val="21"/>
          <w:szCs w:val="21"/>
        </w:rPr>
        <w:t>崔晓冬</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邓秋玮</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曹 婧</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杨  璐</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李  韧</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晁凤芹</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冯 晶</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茜彦辉</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侯 荣</w:t>
      </w:r>
    </w:p>
    <w:p w14:paraId="4A1EE7B8">
      <w:pPr>
        <w:spacing w:before="62" w:line="220" w:lineRule="auto"/>
        <w:rPr>
          <w:rFonts w:hint="eastAsia" w:ascii="宋体" w:hAnsi="宋体" w:eastAsia="宋体" w:cs="宋体"/>
          <w:sz w:val="21"/>
          <w:szCs w:val="21"/>
          <w:lang w:eastAsia="zh-CN"/>
        </w:rPr>
      </w:pPr>
      <w:r>
        <w:rPr>
          <w:rFonts w:hint="eastAsia" w:ascii="宋体" w:hAnsi="宋体" w:eastAsia="宋体" w:cs="宋体"/>
          <w:spacing w:val="-4"/>
          <w:sz w:val="21"/>
          <w:szCs w:val="21"/>
        </w:rPr>
        <w:t>蔡文斐</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贲智群</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刘晨光</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穆天</w:t>
      </w:r>
      <w:r>
        <w:rPr>
          <w:rFonts w:hint="eastAsia" w:ascii="宋体" w:hAnsi="宋体" w:eastAsia="宋体" w:cs="宋体"/>
          <w:spacing w:val="-4"/>
          <w:sz w:val="21"/>
          <w:szCs w:val="21"/>
          <w:lang w:eastAsia="zh-CN"/>
        </w:rPr>
        <w:t>……</w:t>
      </w:r>
      <w:bookmarkStart w:id="47" w:name="_GoBack"/>
      <w:bookmarkEnd w:id="47"/>
      <w:r>
        <w:rPr>
          <w:rFonts w:hint="eastAsia" w:ascii="宋体" w:hAnsi="宋体" w:eastAsia="宋体" w:cs="宋体"/>
          <w:spacing w:val="-4"/>
          <w:sz w:val="21"/>
          <w:szCs w:val="21"/>
          <w:lang w:eastAsia="zh-CN"/>
        </w:rPr>
        <w:t>。</w:t>
      </w:r>
    </w:p>
    <w:p w14:paraId="0F01135F">
      <w:pPr>
        <w:spacing w:before="61" w:line="220" w:lineRule="auto"/>
        <w:ind w:left="419"/>
        <w:rPr>
          <w:rFonts w:ascii="宋体" w:hAnsi="宋体" w:eastAsia="宋体" w:cs="宋体"/>
          <w:sz w:val="21"/>
          <w:szCs w:val="21"/>
        </w:rPr>
      </w:pPr>
      <w:r>
        <w:rPr>
          <w:rFonts w:ascii="宋体" w:hAnsi="宋体" w:eastAsia="宋体" w:cs="宋体"/>
          <w:spacing w:val="-1"/>
          <w:sz w:val="21"/>
          <w:szCs w:val="21"/>
        </w:rPr>
        <w:t>本文件首次发布。</w:t>
      </w:r>
    </w:p>
    <w:p w14:paraId="09F093CC">
      <w:pPr>
        <w:spacing w:before="62" w:line="220" w:lineRule="auto"/>
        <w:ind w:left="419"/>
        <w:rPr>
          <w:rFonts w:ascii="宋体" w:hAnsi="宋体" w:eastAsia="宋体" w:cs="宋体"/>
          <w:sz w:val="21"/>
          <w:szCs w:val="21"/>
        </w:rPr>
      </w:pPr>
      <w:r>
        <w:rPr>
          <w:rFonts w:ascii="宋体" w:hAnsi="宋体" w:eastAsia="宋体" w:cs="宋体"/>
          <w:sz w:val="21"/>
          <w:szCs w:val="21"/>
        </w:rPr>
        <w:t>本文件在执行过程中的意见或建议反馈至中国能源</w:t>
      </w:r>
      <w:r>
        <w:rPr>
          <w:rFonts w:ascii="宋体" w:hAnsi="宋体" w:eastAsia="宋体" w:cs="宋体"/>
          <w:spacing w:val="-1"/>
          <w:sz w:val="21"/>
          <w:szCs w:val="21"/>
        </w:rPr>
        <w:t>研究会。</w:t>
      </w:r>
    </w:p>
    <w:p w14:paraId="580FEB14">
      <w:pPr>
        <w:spacing w:line="220" w:lineRule="auto"/>
        <w:rPr>
          <w:rFonts w:ascii="宋体" w:hAnsi="宋体" w:eastAsia="宋体" w:cs="宋体"/>
          <w:sz w:val="21"/>
          <w:szCs w:val="21"/>
        </w:rPr>
        <w:sectPr>
          <w:headerReference r:id="rId7" w:type="default"/>
          <w:footerReference r:id="rId8" w:type="default"/>
          <w:pgSz w:w="11907" w:h="16839"/>
          <w:pgMar w:top="1205" w:right="1303" w:bottom="1648" w:left="1313" w:header="880" w:footer="1446" w:gutter="0"/>
          <w:cols w:space="720" w:num="1"/>
        </w:sectPr>
      </w:pPr>
    </w:p>
    <w:p w14:paraId="68CEC27A">
      <w:pPr>
        <w:pStyle w:val="2"/>
        <w:spacing w:line="302" w:lineRule="auto"/>
      </w:pPr>
    </w:p>
    <w:p w14:paraId="6AA6C497">
      <w:pPr>
        <w:pStyle w:val="2"/>
        <w:spacing w:line="302" w:lineRule="auto"/>
      </w:pPr>
    </w:p>
    <w:p w14:paraId="05900BFB">
      <w:pPr>
        <w:spacing w:before="101" w:line="224" w:lineRule="auto"/>
        <w:ind w:left="3533"/>
        <w:outlineLvl w:val="0"/>
        <w:rPr>
          <w:rFonts w:ascii="黑体" w:hAnsi="黑体" w:eastAsia="黑体" w:cs="黑体"/>
          <w:sz w:val="31"/>
          <w:szCs w:val="31"/>
        </w:rPr>
      </w:pPr>
      <w:bookmarkStart w:id="2" w:name="bookmark3"/>
      <w:bookmarkEnd w:id="2"/>
      <w:bookmarkStart w:id="3" w:name="bookmark4"/>
      <w:bookmarkEnd w:id="3"/>
      <w:r>
        <w:rPr>
          <w:rFonts w:ascii="黑体" w:hAnsi="黑体" w:eastAsia="黑体" w:cs="黑体"/>
          <w:spacing w:val="8"/>
          <w:sz w:val="31"/>
          <w:szCs w:val="31"/>
        </w:rPr>
        <w:t>碳中和社区评价</w:t>
      </w:r>
    </w:p>
    <w:p w14:paraId="1F1D3DB9">
      <w:pPr>
        <w:pStyle w:val="2"/>
        <w:spacing w:line="264" w:lineRule="auto"/>
      </w:pPr>
    </w:p>
    <w:p w14:paraId="0582AD19">
      <w:pPr>
        <w:pStyle w:val="2"/>
        <w:spacing w:line="265" w:lineRule="auto"/>
      </w:pPr>
    </w:p>
    <w:p w14:paraId="6767A560">
      <w:pPr>
        <w:spacing w:before="68" w:line="221" w:lineRule="auto"/>
        <w:ind w:left="12"/>
        <w:outlineLvl w:val="1"/>
        <w:rPr>
          <w:rFonts w:ascii="黑体" w:hAnsi="黑体" w:eastAsia="黑体" w:cs="黑体"/>
          <w:sz w:val="21"/>
          <w:szCs w:val="21"/>
        </w:rPr>
      </w:pPr>
      <w:bookmarkStart w:id="4" w:name="bookmark27"/>
      <w:bookmarkEnd w:id="4"/>
      <w:r>
        <w:rPr>
          <w:rFonts w:ascii="黑体" w:hAnsi="黑体" w:eastAsia="黑体" w:cs="黑体"/>
          <w:spacing w:val="-8"/>
          <w:sz w:val="21"/>
          <w:szCs w:val="21"/>
        </w:rPr>
        <w:t>1</w:t>
      </w:r>
      <w:r>
        <w:rPr>
          <w:rFonts w:ascii="黑体" w:hAnsi="黑体" w:eastAsia="黑体" w:cs="黑体"/>
          <w:spacing w:val="5"/>
          <w:sz w:val="21"/>
          <w:szCs w:val="21"/>
        </w:rPr>
        <w:t xml:space="preserve">  </w:t>
      </w:r>
      <w:r>
        <w:rPr>
          <w:rFonts w:ascii="黑体" w:hAnsi="黑体" w:eastAsia="黑体" w:cs="黑体"/>
          <w:spacing w:val="-8"/>
          <w:sz w:val="21"/>
          <w:szCs w:val="21"/>
        </w:rPr>
        <w:t>范围</w:t>
      </w:r>
    </w:p>
    <w:p w14:paraId="186E12D6">
      <w:pPr>
        <w:pStyle w:val="2"/>
        <w:spacing w:line="358" w:lineRule="auto"/>
      </w:pPr>
    </w:p>
    <w:p w14:paraId="4CC969BF">
      <w:pPr>
        <w:spacing w:before="68" w:line="316" w:lineRule="auto"/>
        <w:ind w:left="2" w:right="180" w:firstLine="420"/>
        <w:rPr>
          <w:rFonts w:ascii="宋体" w:hAnsi="宋体" w:eastAsia="宋体" w:cs="宋体"/>
          <w:sz w:val="21"/>
          <w:szCs w:val="21"/>
        </w:rPr>
      </w:pPr>
      <w:r>
        <w:rPr>
          <w:rFonts w:ascii="宋体" w:hAnsi="宋体" w:eastAsia="宋体" w:cs="宋体"/>
          <w:spacing w:val="1"/>
          <w:sz w:val="21"/>
          <w:szCs w:val="21"/>
        </w:rPr>
        <w:t>本文件规定了碳中和社区评价的管理边界和范围、碳排放核算与报告要求、评价指标体系、评价</w:t>
      </w:r>
      <w:r>
        <w:rPr>
          <w:rFonts w:ascii="宋体" w:hAnsi="宋体" w:eastAsia="宋体" w:cs="宋体"/>
          <w:spacing w:val="9"/>
          <w:sz w:val="21"/>
          <w:szCs w:val="21"/>
        </w:rPr>
        <w:t xml:space="preserve"> </w:t>
      </w:r>
      <w:r>
        <w:rPr>
          <w:rFonts w:ascii="宋体" w:hAnsi="宋体" w:eastAsia="宋体" w:cs="宋体"/>
          <w:spacing w:val="-2"/>
          <w:sz w:val="21"/>
          <w:szCs w:val="21"/>
        </w:rPr>
        <w:t>流程、评价方法与结果等。</w:t>
      </w:r>
    </w:p>
    <w:p w14:paraId="50BAF5F4">
      <w:pPr>
        <w:spacing w:line="219" w:lineRule="auto"/>
        <w:ind w:left="422"/>
        <w:rPr>
          <w:rFonts w:ascii="宋体" w:hAnsi="宋体" w:eastAsia="宋体" w:cs="宋体"/>
          <w:sz w:val="21"/>
          <w:szCs w:val="21"/>
        </w:rPr>
      </w:pPr>
      <w:bookmarkStart w:id="5" w:name="bookmark5"/>
      <w:bookmarkEnd w:id="5"/>
      <w:r>
        <w:rPr>
          <w:rFonts w:ascii="宋体" w:hAnsi="宋体" w:eastAsia="宋体" w:cs="宋体"/>
          <w:spacing w:val="-1"/>
          <w:sz w:val="21"/>
          <w:szCs w:val="21"/>
        </w:rPr>
        <w:t>本文件适用于城镇社区和农村社区的碳中和评价。</w:t>
      </w:r>
    </w:p>
    <w:p w14:paraId="5F037B52">
      <w:pPr>
        <w:pStyle w:val="2"/>
        <w:spacing w:line="297" w:lineRule="auto"/>
      </w:pPr>
    </w:p>
    <w:p w14:paraId="416ACA1F">
      <w:pPr>
        <w:spacing w:before="69" w:line="220" w:lineRule="auto"/>
        <w:outlineLvl w:val="1"/>
        <w:rPr>
          <w:rFonts w:ascii="黑体" w:hAnsi="黑体" w:eastAsia="黑体" w:cs="黑体"/>
          <w:sz w:val="21"/>
          <w:szCs w:val="21"/>
        </w:rPr>
      </w:pPr>
      <w:bookmarkStart w:id="6" w:name="bookmark28"/>
      <w:bookmarkEnd w:id="6"/>
      <w:r>
        <w:rPr>
          <w:rFonts w:ascii="黑体" w:hAnsi="黑体" w:eastAsia="黑体" w:cs="黑体"/>
          <w:spacing w:val="-1"/>
          <w:sz w:val="21"/>
          <w:szCs w:val="21"/>
        </w:rPr>
        <w:t>2  规范性引用文件</w:t>
      </w:r>
    </w:p>
    <w:p w14:paraId="4E3BF7C0">
      <w:pPr>
        <w:pStyle w:val="2"/>
        <w:spacing w:line="359" w:lineRule="auto"/>
      </w:pPr>
    </w:p>
    <w:p w14:paraId="34B81D92">
      <w:pPr>
        <w:spacing w:before="69" w:line="316" w:lineRule="auto"/>
        <w:ind w:left="5" w:right="211" w:firstLine="422"/>
        <w:rPr>
          <w:rFonts w:ascii="宋体" w:hAnsi="宋体" w:eastAsia="宋体" w:cs="宋体"/>
          <w:sz w:val="21"/>
          <w:szCs w:val="21"/>
        </w:rPr>
      </w:pPr>
      <w:r>
        <w:rPr>
          <w:rFonts w:ascii="宋体" w:hAnsi="宋体" w:eastAsia="宋体" w:cs="宋体"/>
          <w:spacing w:val="-4"/>
          <w:sz w:val="21"/>
          <w:szCs w:val="21"/>
        </w:rPr>
        <w:t>下列文件对本标准的应用是必不可少的。凡</w:t>
      </w:r>
      <w:r>
        <w:rPr>
          <w:rFonts w:ascii="宋体" w:hAnsi="宋体" w:eastAsia="宋体" w:cs="宋体"/>
          <w:spacing w:val="-5"/>
          <w:sz w:val="21"/>
          <w:szCs w:val="21"/>
        </w:rPr>
        <w:t>是注日期的引用文件，仅注日期的版本适用于本文件。</w:t>
      </w:r>
      <w:r>
        <w:rPr>
          <w:rFonts w:ascii="宋体" w:hAnsi="宋体" w:eastAsia="宋体" w:cs="宋体"/>
          <w:sz w:val="21"/>
          <w:szCs w:val="21"/>
        </w:rPr>
        <w:t xml:space="preserve"> 凡是不注日期的引用文件，其最新版本（包括所有的修改单）</w:t>
      </w:r>
      <w:r>
        <w:rPr>
          <w:rFonts w:ascii="宋体" w:hAnsi="宋体" w:eastAsia="宋体" w:cs="宋体"/>
          <w:spacing w:val="-1"/>
          <w:sz w:val="21"/>
          <w:szCs w:val="21"/>
        </w:rPr>
        <w:t>适用于本文件。</w:t>
      </w:r>
    </w:p>
    <w:p w14:paraId="2D04F332">
      <w:pPr>
        <w:spacing w:line="234" w:lineRule="auto"/>
        <w:ind w:left="420"/>
        <w:rPr>
          <w:rFonts w:ascii="宋体" w:hAnsi="宋体" w:eastAsia="宋体" w:cs="宋体"/>
          <w:sz w:val="21"/>
          <w:szCs w:val="21"/>
        </w:rPr>
      </w:pPr>
      <w:r>
        <w:rPr>
          <w:rFonts w:ascii="Times New Roman" w:hAnsi="Times New Roman" w:eastAsia="Times New Roman" w:cs="Times New Roman"/>
          <w:sz w:val="21"/>
          <w:szCs w:val="21"/>
        </w:rPr>
        <w:t xml:space="preserve">GB/T 24067    </w:t>
      </w:r>
      <w:r>
        <w:rPr>
          <w:rFonts w:ascii="宋体" w:hAnsi="宋体" w:eastAsia="宋体" w:cs="宋体"/>
          <w:sz w:val="21"/>
          <w:szCs w:val="21"/>
        </w:rPr>
        <w:t>温室气体 产品碳足迹量化要</w:t>
      </w:r>
      <w:r>
        <w:rPr>
          <w:rFonts w:ascii="宋体" w:hAnsi="宋体" w:eastAsia="宋体" w:cs="宋体"/>
          <w:spacing w:val="-1"/>
          <w:sz w:val="21"/>
          <w:szCs w:val="21"/>
        </w:rPr>
        <w:t>求和指南</w:t>
      </w:r>
    </w:p>
    <w:p w14:paraId="4BDAE0ED">
      <w:pPr>
        <w:spacing w:before="94" w:line="234" w:lineRule="auto"/>
        <w:ind w:left="420"/>
        <w:rPr>
          <w:rFonts w:ascii="宋体" w:hAnsi="宋体" w:eastAsia="宋体" w:cs="宋体"/>
          <w:sz w:val="21"/>
          <w:szCs w:val="21"/>
        </w:rPr>
      </w:pPr>
      <w:r>
        <w:rPr>
          <w:rFonts w:ascii="Times New Roman" w:hAnsi="Times New Roman" w:eastAsia="Times New Roman" w:cs="Times New Roman"/>
          <w:sz w:val="21"/>
          <w:szCs w:val="21"/>
        </w:rPr>
        <w:t xml:space="preserve">GB/T 31490.1      </w:t>
      </w:r>
      <w:r>
        <w:rPr>
          <w:rFonts w:ascii="宋体" w:hAnsi="宋体" w:eastAsia="宋体" w:cs="宋体"/>
          <w:sz w:val="21"/>
          <w:szCs w:val="21"/>
        </w:rPr>
        <w:t>社区信息化 第</w:t>
      </w:r>
      <w:r>
        <w:rPr>
          <w:rFonts w:ascii="Times New Roman" w:hAnsi="Times New Roman" w:eastAsia="Times New Roman" w:cs="Times New Roman"/>
          <w:sz w:val="21"/>
          <w:szCs w:val="21"/>
        </w:rPr>
        <w:t>1</w:t>
      </w:r>
      <w:r>
        <w:rPr>
          <w:rFonts w:ascii="宋体" w:hAnsi="宋体" w:eastAsia="宋体" w:cs="宋体"/>
          <w:spacing w:val="-1"/>
          <w:sz w:val="21"/>
          <w:szCs w:val="21"/>
        </w:rPr>
        <w:t>部分：总则</w:t>
      </w:r>
    </w:p>
    <w:p w14:paraId="6CD95A47">
      <w:pPr>
        <w:spacing w:before="93" w:line="233" w:lineRule="auto"/>
        <w:ind w:left="420"/>
        <w:rPr>
          <w:rFonts w:ascii="宋体" w:hAnsi="宋体" w:eastAsia="宋体" w:cs="宋体"/>
          <w:sz w:val="21"/>
          <w:szCs w:val="21"/>
        </w:rPr>
      </w:pPr>
      <w:r>
        <w:rPr>
          <w:rFonts w:ascii="Times New Roman" w:hAnsi="Times New Roman" w:eastAsia="Times New Roman" w:cs="Times New Roman"/>
          <w:sz w:val="21"/>
          <w:szCs w:val="21"/>
        </w:rPr>
        <w:t xml:space="preserve">GB/T 32150      </w:t>
      </w:r>
      <w:r>
        <w:rPr>
          <w:rFonts w:ascii="宋体" w:hAnsi="宋体" w:eastAsia="宋体" w:cs="宋体"/>
          <w:sz w:val="21"/>
          <w:szCs w:val="21"/>
        </w:rPr>
        <w:t>工业企业温室气体排放核算和</w:t>
      </w:r>
      <w:r>
        <w:rPr>
          <w:rFonts w:ascii="宋体" w:hAnsi="宋体" w:eastAsia="宋体" w:cs="宋体"/>
          <w:spacing w:val="-1"/>
          <w:sz w:val="21"/>
          <w:szCs w:val="21"/>
        </w:rPr>
        <w:t>报告通则</w:t>
      </w:r>
    </w:p>
    <w:p w14:paraId="7E8DB808">
      <w:pPr>
        <w:spacing w:before="96" w:line="310" w:lineRule="auto"/>
        <w:ind w:left="4" w:right="180" w:firstLine="414"/>
        <w:rPr>
          <w:rFonts w:ascii="宋体" w:hAnsi="宋体" w:eastAsia="宋体" w:cs="宋体"/>
          <w:sz w:val="21"/>
          <w:szCs w:val="21"/>
        </w:rPr>
      </w:pPr>
      <w:r>
        <w:rPr>
          <w:rFonts w:ascii="Times New Roman" w:hAnsi="Times New Roman" w:eastAsia="Times New Roman" w:cs="Times New Roman"/>
          <w:sz w:val="21"/>
          <w:szCs w:val="21"/>
        </w:rPr>
        <w:t>ISO</w:t>
      </w:r>
      <w:r>
        <w:rPr>
          <w:rFonts w:ascii="Times New Roman" w:hAnsi="Times New Roman" w:eastAsia="Times New Roman" w:cs="Times New Roman"/>
          <w:spacing w:val="60"/>
          <w:sz w:val="21"/>
          <w:szCs w:val="21"/>
        </w:rPr>
        <w:t xml:space="preserve"> </w:t>
      </w:r>
      <w:r>
        <w:rPr>
          <w:rFonts w:ascii="Times New Roman" w:hAnsi="Times New Roman" w:eastAsia="Times New Roman" w:cs="Times New Roman"/>
          <w:sz w:val="21"/>
          <w:szCs w:val="21"/>
        </w:rPr>
        <w:t xml:space="preserve">14064-1:2018    </w:t>
      </w:r>
      <w:r>
        <w:rPr>
          <w:rFonts w:ascii="宋体" w:hAnsi="宋体" w:eastAsia="宋体" w:cs="宋体"/>
          <w:sz w:val="21"/>
          <w:szCs w:val="21"/>
        </w:rPr>
        <w:t>温室气体第</w:t>
      </w:r>
      <w:r>
        <w:rPr>
          <w:rFonts w:ascii="Times New Roman" w:hAnsi="Times New Roman" w:eastAsia="Times New Roman" w:cs="Times New Roman"/>
          <w:sz w:val="21"/>
          <w:szCs w:val="21"/>
        </w:rPr>
        <w:t>1</w:t>
      </w:r>
      <w:r>
        <w:rPr>
          <w:rFonts w:ascii="宋体" w:hAnsi="宋体" w:eastAsia="宋体" w:cs="宋体"/>
          <w:sz w:val="21"/>
          <w:szCs w:val="21"/>
        </w:rPr>
        <w:t xml:space="preserve">部分：组织层次上对温室气体排放和清除的量化与报告的规范及 </w:t>
      </w:r>
      <w:bookmarkStart w:id="7" w:name="bookmark6"/>
      <w:bookmarkEnd w:id="7"/>
      <w:r>
        <w:rPr>
          <w:rFonts w:ascii="宋体" w:hAnsi="宋体" w:eastAsia="宋体" w:cs="宋体"/>
          <w:spacing w:val="-3"/>
          <w:sz w:val="21"/>
          <w:szCs w:val="21"/>
        </w:rPr>
        <w:t>指南</w:t>
      </w:r>
    </w:p>
    <w:p w14:paraId="62EC1375">
      <w:pPr>
        <w:spacing w:before="270" w:line="221" w:lineRule="auto"/>
        <w:ind w:left="1"/>
        <w:outlineLvl w:val="1"/>
        <w:rPr>
          <w:rFonts w:ascii="黑体" w:hAnsi="黑体" w:eastAsia="黑体" w:cs="黑体"/>
          <w:sz w:val="21"/>
          <w:szCs w:val="21"/>
        </w:rPr>
      </w:pPr>
      <w:bookmarkStart w:id="8" w:name="bookmark29"/>
      <w:bookmarkEnd w:id="8"/>
      <w:r>
        <w:rPr>
          <w:rFonts w:ascii="黑体" w:hAnsi="黑体" w:eastAsia="黑体" w:cs="黑体"/>
          <w:spacing w:val="-1"/>
          <w:sz w:val="21"/>
          <w:szCs w:val="21"/>
        </w:rPr>
        <w:t>3  术语和定义</w:t>
      </w:r>
    </w:p>
    <w:p w14:paraId="70225C35">
      <w:pPr>
        <w:pStyle w:val="2"/>
        <w:spacing w:line="357" w:lineRule="auto"/>
      </w:pPr>
    </w:p>
    <w:p w14:paraId="7AACA597">
      <w:pPr>
        <w:spacing w:before="69" w:line="220" w:lineRule="auto"/>
        <w:ind w:left="428"/>
        <w:rPr>
          <w:rFonts w:ascii="宋体" w:hAnsi="宋体" w:eastAsia="宋体" w:cs="宋体"/>
          <w:sz w:val="21"/>
          <w:szCs w:val="21"/>
        </w:rPr>
      </w:pPr>
      <w:r>
        <w:rPr>
          <w:rFonts w:ascii="宋体" w:hAnsi="宋体" w:eastAsia="宋体" w:cs="宋体"/>
          <w:spacing w:val="-1"/>
          <w:sz w:val="21"/>
          <w:szCs w:val="21"/>
        </w:rPr>
        <w:t>下列术语和定义适用于本文件。</w:t>
      </w:r>
    </w:p>
    <w:p w14:paraId="362BFCDA">
      <w:pPr>
        <w:spacing w:before="219" w:line="241" w:lineRule="auto"/>
        <w:ind w:left="1"/>
        <w:rPr>
          <w:rFonts w:ascii="黑体" w:hAnsi="黑体" w:eastAsia="黑体" w:cs="黑体"/>
          <w:sz w:val="21"/>
          <w:szCs w:val="21"/>
        </w:rPr>
      </w:pPr>
      <w:r>
        <w:rPr>
          <w:rFonts w:ascii="黑体" w:hAnsi="黑体" w:eastAsia="黑体" w:cs="黑体"/>
          <w:spacing w:val="-2"/>
          <w:sz w:val="21"/>
          <w:szCs w:val="21"/>
        </w:rPr>
        <w:t>3.1</w:t>
      </w:r>
    </w:p>
    <w:p w14:paraId="7DCDD242">
      <w:pPr>
        <w:spacing w:before="186" w:line="213" w:lineRule="auto"/>
        <w:ind w:left="420"/>
        <w:rPr>
          <w:rFonts w:ascii="Times New Roman" w:hAnsi="Times New Roman" w:eastAsia="Times New Roman" w:cs="Times New Roman"/>
          <w:sz w:val="21"/>
          <w:szCs w:val="21"/>
        </w:rPr>
      </w:pPr>
      <w:r>
        <w:rPr>
          <w:rFonts w:ascii="黑体" w:hAnsi="黑体" w:eastAsia="黑体" w:cs="黑体"/>
          <w:spacing w:val="-1"/>
          <w:sz w:val="21"/>
          <w:szCs w:val="21"/>
        </w:rPr>
        <w:t xml:space="preserve">社区 </w:t>
      </w:r>
      <w:r>
        <w:rPr>
          <w:rFonts w:ascii="Times New Roman" w:hAnsi="Times New Roman" w:eastAsia="Times New Roman" w:cs="Times New Roman"/>
          <w:spacing w:val="-1"/>
          <w:sz w:val="21"/>
          <w:szCs w:val="21"/>
        </w:rPr>
        <w:t>community</w:t>
      </w:r>
    </w:p>
    <w:p w14:paraId="5D69B9AA">
      <w:pPr>
        <w:spacing w:before="70" w:line="274" w:lineRule="auto"/>
        <w:ind w:left="1" w:right="182" w:firstLine="443"/>
        <w:rPr>
          <w:rFonts w:ascii="宋体" w:hAnsi="宋体" w:eastAsia="宋体" w:cs="宋体"/>
          <w:sz w:val="21"/>
          <w:szCs w:val="21"/>
        </w:rPr>
      </w:pPr>
      <w:r>
        <w:rPr>
          <w:rFonts w:ascii="宋体" w:hAnsi="宋体" w:eastAsia="宋体" w:cs="宋体"/>
          <w:spacing w:val="1"/>
          <w:sz w:val="21"/>
          <w:szCs w:val="21"/>
        </w:rPr>
        <w:t>以一定数量的人口为主体，在居住过程中形成的具有特定</w:t>
      </w:r>
      <w:r>
        <w:rPr>
          <w:rFonts w:ascii="宋体" w:hAnsi="宋体" w:eastAsia="宋体" w:cs="宋体"/>
          <w:sz w:val="21"/>
          <w:szCs w:val="21"/>
        </w:rPr>
        <w:t xml:space="preserve">文化、组织制度、生活方式和归属感的 </w:t>
      </w:r>
      <w:r>
        <w:rPr>
          <w:rFonts w:ascii="宋体" w:hAnsi="宋体" w:eastAsia="宋体" w:cs="宋体"/>
          <w:spacing w:val="-1"/>
          <w:sz w:val="21"/>
          <w:szCs w:val="21"/>
        </w:rPr>
        <w:t>地域生活共同体。</w:t>
      </w:r>
    </w:p>
    <w:p w14:paraId="55E01AF2">
      <w:pPr>
        <w:spacing w:before="2" w:line="411" w:lineRule="auto"/>
        <w:ind w:left="1" w:right="5693" w:firstLine="429"/>
        <w:rPr>
          <w:rFonts w:ascii="黑体" w:hAnsi="黑体" w:eastAsia="黑体" w:cs="黑体"/>
          <w:sz w:val="21"/>
          <w:szCs w:val="21"/>
        </w:rPr>
      </w:pPr>
      <w:r>
        <w:rPr>
          <w:rFonts w:ascii="Times New Roman" w:hAnsi="Times New Roman" w:eastAsia="Times New Roman" w:cs="Times New Roman"/>
          <w:spacing w:val="-1"/>
          <w:sz w:val="21"/>
          <w:szCs w:val="21"/>
        </w:rPr>
        <w:t>[</w:t>
      </w:r>
      <w:r>
        <w:rPr>
          <w:rFonts w:ascii="宋体" w:hAnsi="宋体" w:eastAsia="宋体" w:cs="宋体"/>
          <w:spacing w:val="-1"/>
          <w:sz w:val="21"/>
          <w:szCs w:val="21"/>
        </w:rPr>
        <w:t>来源：</w:t>
      </w:r>
      <w:r>
        <w:rPr>
          <w:rFonts w:ascii="Times New Roman" w:hAnsi="Times New Roman" w:eastAsia="Times New Roman" w:cs="Times New Roman"/>
          <w:spacing w:val="-1"/>
          <w:sz w:val="21"/>
          <w:szCs w:val="21"/>
        </w:rPr>
        <w:t>GB/T 31490.1-2015</w:t>
      </w:r>
      <w:r>
        <w:rPr>
          <w:rFonts w:ascii="宋体" w:hAnsi="宋体" w:eastAsia="宋体" w:cs="宋体"/>
          <w:spacing w:val="-1"/>
          <w:sz w:val="21"/>
          <w:szCs w:val="21"/>
        </w:rPr>
        <w:t>，定义</w:t>
      </w:r>
      <w:r>
        <w:rPr>
          <w:rFonts w:ascii="Times New Roman" w:hAnsi="Times New Roman" w:eastAsia="Times New Roman" w:cs="Times New Roman"/>
          <w:spacing w:val="-1"/>
          <w:sz w:val="21"/>
          <w:szCs w:val="21"/>
        </w:rPr>
        <w:t>2.1]</w:t>
      </w:r>
      <w:r>
        <w:rPr>
          <w:rFonts w:ascii="Times New Roman" w:hAnsi="Times New Roman" w:eastAsia="Times New Roman" w:cs="Times New Roman"/>
          <w:spacing w:val="12"/>
          <w:sz w:val="21"/>
          <w:szCs w:val="21"/>
        </w:rPr>
        <w:t xml:space="preserve"> </w:t>
      </w:r>
      <w:r>
        <w:rPr>
          <w:rFonts w:ascii="黑体" w:hAnsi="黑体" w:eastAsia="黑体" w:cs="黑体"/>
          <w:spacing w:val="-2"/>
          <w:sz w:val="21"/>
          <w:szCs w:val="21"/>
        </w:rPr>
        <w:t>3.2</w:t>
      </w:r>
    </w:p>
    <w:p w14:paraId="1C098B78">
      <w:pPr>
        <w:spacing w:line="213" w:lineRule="auto"/>
        <w:ind w:left="420"/>
        <w:rPr>
          <w:rFonts w:ascii="Times New Roman" w:hAnsi="Times New Roman" w:eastAsia="Times New Roman" w:cs="Times New Roman"/>
          <w:sz w:val="21"/>
          <w:szCs w:val="21"/>
        </w:rPr>
      </w:pPr>
      <w:r>
        <w:rPr>
          <w:rFonts w:ascii="黑体" w:hAnsi="黑体" w:eastAsia="黑体" w:cs="黑体"/>
          <w:sz w:val="21"/>
          <w:szCs w:val="21"/>
        </w:rPr>
        <w:t xml:space="preserve">碳中和社区 </w:t>
      </w:r>
      <w:r>
        <w:rPr>
          <w:rFonts w:ascii="Times New Roman" w:hAnsi="Times New Roman" w:eastAsia="Times New Roman" w:cs="Times New Roman"/>
          <w:sz w:val="21"/>
          <w:szCs w:val="21"/>
        </w:rPr>
        <w:t>carbon neutral com</w:t>
      </w:r>
      <w:r>
        <w:rPr>
          <w:rFonts w:ascii="Times New Roman" w:hAnsi="Times New Roman" w:eastAsia="Times New Roman" w:cs="Times New Roman"/>
          <w:spacing w:val="-1"/>
          <w:sz w:val="21"/>
          <w:szCs w:val="21"/>
        </w:rPr>
        <w:t>munity</w:t>
      </w:r>
    </w:p>
    <w:p w14:paraId="29941799">
      <w:pPr>
        <w:spacing w:before="72" w:line="275" w:lineRule="auto"/>
        <w:ind w:right="180" w:firstLine="445"/>
        <w:rPr>
          <w:rFonts w:ascii="宋体" w:hAnsi="宋体" w:eastAsia="宋体" w:cs="宋体"/>
          <w:sz w:val="21"/>
          <w:szCs w:val="21"/>
        </w:rPr>
      </w:pPr>
      <w:r>
        <w:rPr>
          <w:rFonts w:ascii="宋体" w:hAnsi="宋体" w:eastAsia="宋体" w:cs="宋体"/>
          <w:spacing w:val="1"/>
          <w:sz w:val="21"/>
          <w:szCs w:val="21"/>
        </w:rPr>
        <w:t>以社区为对象，以可持续发展为理念，通过提高能源和资</w:t>
      </w:r>
      <w:r>
        <w:rPr>
          <w:rFonts w:ascii="宋体" w:hAnsi="宋体" w:eastAsia="宋体" w:cs="宋体"/>
          <w:sz w:val="21"/>
          <w:szCs w:val="21"/>
        </w:rPr>
        <w:t xml:space="preserve">源的利用水平，完善固体废弃物处理处 </w:t>
      </w:r>
      <w:r>
        <w:rPr>
          <w:rFonts w:ascii="宋体" w:hAnsi="宋体" w:eastAsia="宋体" w:cs="宋体"/>
          <w:spacing w:val="1"/>
          <w:sz w:val="21"/>
          <w:szCs w:val="21"/>
        </w:rPr>
        <w:t>置方式、建设环境友好的公共设施、建立完善的公众参与机制和社区治理模式等活动，降低能源消耗</w:t>
      </w:r>
      <w:r>
        <w:rPr>
          <w:rFonts w:ascii="宋体" w:hAnsi="宋体" w:eastAsia="宋体" w:cs="宋体"/>
          <w:spacing w:val="9"/>
          <w:sz w:val="21"/>
          <w:szCs w:val="21"/>
        </w:rPr>
        <w:t xml:space="preserve"> </w:t>
      </w:r>
      <w:r>
        <w:rPr>
          <w:rFonts w:ascii="宋体" w:hAnsi="宋体" w:eastAsia="宋体" w:cs="宋体"/>
          <w:spacing w:val="1"/>
          <w:sz w:val="21"/>
          <w:szCs w:val="21"/>
        </w:rPr>
        <w:t>和减少二氧化碳排放，并将剩余排放量通过通过购买绿证或减碳信用，或开展植树造林等增汇活动进</w:t>
      </w:r>
      <w:r>
        <w:rPr>
          <w:rFonts w:ascii="宋体" w:hAnsi="宋体" w:eastAsia="宋体" w:cs="宋体"/>
          <w:spacing w:val="9"/>
          <w:sz w:val="21"/>
          <w:szCs w:val="21"/>
        </w:rPr>
        <w:t xml:space="preserve"> </w:t>
      </w:r>
      <w:r>
        <w:rPr>
          <w:rFonts w:ascii="宋体" w:hAnsi="宋体" w:eastAsia="宋体" w:cs="宋体"/>
          <w:spacing w:val="-1"/>
          <w:sz w:val="21"/>
          <w:szCs w:val="21"/>
        </w:rPr>
        <w:t>行抵消。</w:t>
      </w:r>
    </w:p>
    <w:p w14:paraId="737D1101">
      <w:pPr>
        <w:spacing w:before="151" w:line="241" w:lineRule="auto"/>
        <w:ind w:left="1"/>
        <w:rPr>
          <w:rFonts w:ascii="黑体" w:hAnsi="黑体" w:eastAsia="黑体" w:cs="黑体"/>
          <w:sz w:val="21"/>
          <w:szCs w:val="21"/>
        </w:rPr>
      </w:pPr>
      <w:r>
        <w:rPr>
          <w:rFonts w:ascii="黑体" w:hAnsi="黑体" w:eastAsia="黑体" w:cs="黑体"/>
          <w:spacing w:val="-2"/>
          <w:sz w:val="21"/>
          <w:szCs w:val="21"/>
        </w:rPr>
        <w:t>3.3</w:t>
      </w:r>
    </w:p>
    <w:p w14:paraId="54AEA340">
      <w:pPr>
        <w:spacing w:before="194" w:line="213" w:lineRule="auto"/>
        <w:ind w:left="422"/>
        <w:rPr>
          <w:rFonts w:ascii="Times New Roman" w:hAnsi="Times New Roman" w:eastAsia="Times New Roman" w:cs="Times New Roman"/>
          <w:sz w:val="21"/>
          <w:szCs w:val="21"/>
        </w:rPr>
      </w:pPr>
      <w:r>
        <w:rPr>
          <w:rFonts w:ascii="黑体" w:hAnsi="黑体" w:eastAsia="黑体" w:cs="黑体"/>
          <w:spacing w:val="-1"/>
          <w:sz w:val="21"/>
          <w:szCs w:val="21"/>
        </w:rPr>
        <w:t xml:space="preserve">温室气体 </w:t>
      </w:r>
      <w:r>
        <w:rPr>
          <w:rFonts w:ascii="Times New Roman" w:hAnsi="Times New Roman" w:eastAsia="Times New Roman" w:cs="Times New Roman"/>
          <w:spacing w:val="-1"/>
          <w:sz w:val="21"/>
          <w:szCs w:val="21"/>
        </w:rPr>
        <w:t>greenhouse gas</w:t>
      </w:r>
    </w:p>
    <w:p w14:paraId="213E10AA">
      <w:pPr>
        <w:spacing w:before="68" w:line="277" w:lineRule="auto"/>
        <w:ind w:left="2" w:firstLine="421"/>
        <w:rPr>
          <w:rFonts w:ascii="宋体" w:hAnsi="宋体" w:eastAsia="宋体" w:cs="宋体"/>
          <w:sz w:val="21"/>
          <w:szCs w:val="21"/>
        </w:rPr>
      </w:pPr>
      <w:r>
        <w:rPr>
          <w:rFonts w:ascii="宋体" w:hAnsi="宋体" w:eastAsia="宋体" w:cs="宋体"/>
          <w:spacing w:val="-1"/>
          <w:sz w:val="21"/>
          <w:szCs w:val="21"/>
        </w:rPr>
        <w:t>大气层中自然存在的和由于人类活动产生的能够吸收和散发由地球表面、</w:t>
      </w:r>
      <w:r>
        <w:rPr>
          <w:rFonts w:ascii="宋体" w:hAnsi="宋体" w:eastAsia="宋体" w:cs="宋体"/>
          <w:spacing w:val="-36"/>
          <w:sz w:val="21"/>
          <w:szCs w:val="21"/>
        </w:rPr>
        <w:t xml:space="preserve"> </w:t>
      </w:r>
      <w:r>
        <w:rPr>
          <w:rFonts w:ascii="宋体" w:hAnsi="宋体" w:eastAsia="宋体" w:cs="宋体"/>
          <w:spacing w:val="-1"/>
          <w:sz w:val="21"/>
          <w:szCs w:val="21"/>
        </w:rPr>
        <w:t>大气层和</w:t>
      </w:r>
      <w:r>
        <w:rPr>
          <w:rFonts w:ascii="宋体" w:hAnsi="宋体" w:eastAsia="宋体" w:cs="宋体"/>
          <w:spacing w:val="-2"/>
          <w:sz w:val="21"/>
          <w:szCs w:val="21"/>
        </w:rPr>
        <w:t>云层所产生的、</w:t>
      </w:r>
      <w:r>
        <w:rPr>
          <w:rFonts w:ascii="宋体" w:hAnsi="宋体" w:eastAsia="宋体" w:cs="宋体"/>
          <w:sz w:val="21"/>
          <w:szCs w:val="21"/>
        </w:rPr>
        <w:t xml:space="preserve"> </w:t>
      </w:r>
      <w:r>
        <w:rPr>
          <w:rFonts w:ascii="宋体" w:hAnsi="宋体" w:eastAsia="宋体" w:cs="宋体"/>
          <w:spacing w:val="-1"/>
          <w:sz w:val="21"/>
          <w:szCs w:val="21"/>
        </w:rPr>
        <w:t>波长在红外光谱内的辐射的气态成分。</w:t>
      </w:r>
    </w:p>
    <w:p w14:paraId="68C8E255">
      <w:pPr>
        <w:spacing w:line="277" w:lineRule="auto"/>
        <w:rPr>
          <w:rFonts w:ascii="宋体" w:hAnsi="宋体" w:eastAsia="宋体" w:cs="宋体"/>
          <w:sz w:val="21"/>
          <w:szCs w:val="21"/>
        </w:rPr>
        <w:sectPr>
          <w:headerReference r:id="rId9" w:type="default"/>
          <w:footerReference r:id="rId10" w:type="default"/>
          <w:pgSz w:w="11907" w:h="16839"/>
          <w:pgMar w:top="1205" w:right="1120" w:bottom="1648" w:left="1310" w:header="880" w:footer="1446" w:gutter="0"/>
          <w:cols w:space="720" w:num="1"/>
        </w:sectPr>
      </w:pPr>
    </w:p>
    <w:p w14:paraId="7A286004">
      <w:pPr>
        <w:spacing w:before="23" w:line="412" w:lineRule="auto"/>
        <w:ind w:left="5" w:right="5952" w:firstLine="429"/>
        <w:rPr>
          <w:rFonts w:ascii="黑体" w:hAnsi="黑体" w:eastAsia="黑体" w:cs="黑体"/>
          <w:sz w:val="21"/>
          <w:szCs w:val="21"/>
        </w:rPr>
      </w:pPr>
      <w:r>
        <w:rPr>
          <w:rFonts w:ascii="Times New Roman" w:hAnsi="Times New Roman" w:eastAsia="Times New Roman" w:cs="Times New Roman"/>
          <w:spacing w:val="-2"/>
          <w:sz w:val="21"/>
          <w:szCs w:val="21"/>
        </w:rPr>
        <w:t>[</w:t>
      </w:r>
      <w:r>
        <w:rPr>
          <w:rFonts w:ascii="宋体" w:hAnsi="宋体" w:eastAsia="宋体" w:cs="宋体"/>
          <w:spacing w:val="-2"/>
          <w:sz w:val="21"/>
          <w:szCs w:val="21"/>
        </w:rPr>
        <w:t>来源：</w:t>
      </w:r>
      <w:r>
        <w:rPr>
          <w:rFonts w:ascii="Times New Roman" w:hAnsi="Times New Roman" w:eastAsia="Times New Roman" w:cs="Times New Roman"/>
          <w:spacing w:val="-2"/>
          <w:sz w:val="21"/>
          <w:szCs w:val="21"/>
        </w:rPr>
        <w:t>GB/T 32150—2015</w:t>
      </w:r>
      <w:r>
        <w:rPr>
          <w:rFonts w:ascii="Times New Roman" w:hAnsi="Times New Roman" w:eastAsia="Times New Roman" w:cs="Times New Roman"/>
          <w:spacing w:val="-20"/>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3.1]</w:t>
      </w:r>
      <w:r>
        <w:rPr>
          <w:rFonts w:ascii="Times New Roman" w:hAnsi="Times New Roman" w:eastAsia="Times New Roman" w:cs="Times New Roman"/>
          <w:sz w:val="21"/>
          <w:szCs w:val="21"/>
        </w:rPr>
        <w:t xml:space="preserve"> </w:t>
      </w:r>
      <w:r>
        <w:rPr>
          <w:rFonts w:ascii="黑体" w:hAnsi="黑体" w:eastAsia="黑体" w:cs="黑体"/>
          <w:spacing w:val="-2"/>
          <w:sz w:val="21"/>
          <w:szCs w:val="21"/>
        </w:rPr>
        <w:t>3.4</w:t>
      </w:r>
    </w:p>
    <w:p w14:paraId="2872CA97">
      <w:pPr>
        <w:spacing w:line="233" w:lineRule="auto"/>
        <w:ind w:left="424"/>
        <w:rPr>
          <w:rFonts w:ascii="Times New Roman" w:hAnsi="Times New Roman" w:eastAsia="Times New Roman" w:cs="Times New Roman"/>
          <w:sz w:val="21"/>
          <w:szCs w:val="21"/>
        </w:rPr>
      </w:pPr>
      <w:r>
        <w:rPr>
          <w:rFonts w:ascii="黑体" w:hAnsi="黑体" w:eastAsia="黑体" w:cs="黑体"/>
          <w:spacing w:val="-2"/>
          <w:sz w:val="21"/>
          <w:szCs w:val="21"/>
        </w:rPr>
        <w:t xml:space="preserve">碳汇 </w:t>
      </w:r>
      <w:r>
        <w:rPr>
          <w:rFonts w:ascii="Times New Roman" w:hAnsi="Times New Roman" w:eastAsia="Times New Roman" w:cs="Times New Roman"/>
          <w:spacing w:val="-2"/>
          <w:sz w:val="21"/>
          <w:szCs w:val="21"/>
        </w:rPr>
        <w:t>carbon</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2"/>
          <w:sz w:val="21"/>
          <w:szCs w:val="21"/>
        </w:rPr>
        <w:t>sink</w:t>
      </w:r>
    </w:p>
    <w:p w14:paraId="14EE96E9">
      <w:pPr>
        <w:spacing w:before="47" w:line="213" w:lineRule="auto"/>
        <w:ind w:left="426"/>
        <w:rPr>
          <w:rFonts w:ascii="Times New Roman" w:hAnsi="Times New Roman" w:eastAsia="Times New Roman" w:cs="Times New Roman"/>
          <w:sz w:val="21"/>
          <w:szCs w:val="21"/>
        </w:rPr>
      </w:pPr>
      <w:r>
        <w:rPr>
          <w:rFonts w:ascii="黑体" w:hAnsi="黑体" w:eastAsia="黑体" w:cs="黑体"/>
          <w:spacing w:val="-1"/>
          <w:sz w:val="21"/>
          <w:szCs w:val="21"/>
        </w:rPr>
        <w:t xml:space="preserve">温室气体汇 </w:t>
      </w:r>
      <w:r>
        <w:rPr>
          <w:rFonts w:ascii="Times New Roman" w:hAnsi="Times New Roman" w:eastAsia="Times New Roman" w:cs="Times New Roman"/>
          <w:spacing w:val="-1"/>
          <w:sz w:val="21"/>
          <w:szCs w:val="21"/>
        </w:rPr>
        <w:t>greenhouse gas sink</w:t>
      </w:r>
    </w:p>
    <w:p w14:paraId="5416E9DF">
      <w:pPr>
        <w:spacing w:before="68" w:line="221" w:lineRule="auto"/>
        <w:ind w:left="428"/>
        <w:rPr>
          <w:rFonts w:ascii="宋体" w:hAnsi="宋体" w:eastAsia="宋体" w:cs="宋体"/>
          <w:sz w:val="21"/>
          <w:szCs w:val="21"/>
        </w:rPr>
      </w:pPr>
      <w:r>
        <w:rPr>
          <w:rFonts w:ascii="宋体" w:hAnsi="宋体" w:eastAsia="宋体" w:cs="宋体"/>
          <w:spacing w:val="-2"/>
          <w:sz w:val="21"/>
          <w:szCs w:val="21"/>
        </w:rPr>
        <w:t>从大气中清除温室气体的过程。</w:t>
      </w:r>
    </w:p>
    <w:p w14:paraId="490F4FBC">
      <w:pPr>
        <w:spacing w:before="62" w:line="411" w:lineRule="auto"/>
        <w:ind w:left="5" w:right="5069" w:firstLine="429"/>
        <w:rPr>
          <w:rFonts w:ascii="黑体" w:hAnsi="黑体" w:eastAsia="黑体" w:cs="黑体"/>
          <w:sz w:val="21"/>
          <w:szCs w:val="21"/>
        </w:rPr>
      </w:pPr>
      <w:r>
        <w:rPr>
          <w:rFonts w:ascii="Times New Roman" w:hAnsi="Times New Roman" w:eastAsia="Times New Roman" w:cs="Times New Roman"/>
          <w:spacing w:val="-3"/>
          <w:sz w:val="21"/>
          <w:szCs w:val="21"/>
        </w:rPr>
        <w:t>[</w:t>
      </w:r>
      <w:r>
        <w:rPr>
          <w:rFonts w:ascii="宋体" w:hAnsi="宋体" w:eastAsia="宋体" w:cs="宋体"/>
          <w:spacing w:val="-3"/>
          <w:sz w:val="21"/>
          <w:szCs w:val="21"/>
        </w:rPr>
        <w:t>来源：</w:t>
      </w:r>
      <w:r>
        <w:rPr>
          <w:rFonts w:ascii="Times New Roman" w:hAnsi="Times New Roman" w:eastAsia="Times New Roman" w:cs="Times New Roman"/>
          <w:spacing w:val="-3"/>
          <w:sz w:val="21"/>
          <w:szCs w:val="21"/>
        </w:rPr>
        <w:t>ISO</w:t>
      </w:r>
      <w:r>
        <w:rPr>
          <w:rFonts w:ascii="Times New Roman" w:hAnsi="Times New Roman" w:eastAsia="Times New Roman" w:cs="Times New Roman"/>
          <w:spacing w:val="30"/>
          <w:w w:val="101"/>
          <w:sz w:val="21"/>
          <w:szCs w:val="21"/>
        </w:rPr>
        <w:t xml:space="preserve"> </w:t>
      </w:r>
      <w:r>
        <w:rPr>
          <w:rFonts w:ascii="Times New Roman" w:hAnsi="Times New Roman" w:eastAsia="Times New Roman" w:cs="Times New Roman"/>
          <w:spacing w:val="-3"/>
          <w:sz w:val="21"/>
          <w:szCs w:val="21"/>
        </w:rPr>
        <w:t>14064-1:2018</w:t>
      </w:r>
      <w:r>
        <w:rPr>
          <w:rFonts w:ascii="Times New Roman" w:hAnsi="Times New Roman" w:eastAsia="Times New Roman" w:cs="Times New Roman"/>
          <w:spacing w:val="-29"/>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3.1.3</w:t>
      </w:r>
      <w:r>
        <w:rPr>
          <w:rFonts w:ascii="Times New Roman" w:hAnsi="Times New Roman" w:eastAsia="Times New Roman" w:cs="Times New Roman"/>
          <w:spacing w:val="-30"/>
          <w:sz w:val="21"/>
          <w:szCs w:val="21"/>
        </w:rPr>
        <w:t xml:space="preserve"> </w:t>
      </w:r>
      <w:r>
        <w:rPr>
          <w:rFonts w:ascii="宋体" w:hAnsi="宋体" w:eastAsia="宋体" w:cs="宋体"/>
          <w:spacing w:val="-3"/>
          <w:sz w:val="21"/>
          <w:szCs w:val="21"/>
        </w:rPr>
        <w:t>，有修改</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 xml:space="preserve"> </w:t>
      </w:r>
      <w:r>
        <w:rPr>
          <w:rFonts w:ascii="黑体" w:hAnsi="黑体" w:eastAsia="黑体" w:cs="黑体"/>
          <w:spacing w:val="-2"/>
          <w:sz w:val="21"/>
          <w:szCs w:val="21"/>
        </w:rPr>
        <w:t>3.5</w:t>
      </w:r>
    </w:p>
    <w:p w14:paraId="20493627">
      <w:pPr>
        <w:spacing w:line="213" w:lineRule="auto"/>
        <w:ind w:left="429"/>
        <w:rPr>
          <w:rFonts w:ascii="Times New Roman" w:hAnsi="Times New Roman" w:eastAsia="Times New Roman" w:cs="Times New Roman"/>
          <w:sz w:val="21"/>
          <w:szCs w:val="21"/>
        </w:rPr>
      </w:pPr>
      <w:r>
        <w:rPr>
          <w:rFonts w:ascii="黑体" w:hAnsi="黑体" w:eastAsia="黑体" w:cs="黑体"/>
          <w:sz w:val="21"/>
          <w:szCs w:val="21"/>
        </w:rPr>
        <w:t xml:space="preserve">二氧化碳当量 </w:t>
      </w:r>
      <w:r>
        <w:rPr>
          <w:rFonts w:ascii="Times New Roman" w:hAnsi="Times New Roman" w:eastAsia="Times New Roman" w:cs="Times New Roman"/>
          <w:sz w:val="21"/>
          <w:szCs w:val="21"/>
        </w:rPr>
        <w:t>carbon dioxide eq</w:t>
      </w:r>
      <w:r>
        <w:rPr>
          <w:rFonts w:ascii="Times New Roman" w:hAnsi="Times New Roman" w:eastAsia="Times New Roman" w:cs="Times New Roman"/>
          <w:spacing w:val="-1"/>
          <w:sz w:val="21"/>
          <w:szCs w:val="21"/>
        </w:rPr>
        <w:t>uivalent</w:t>
      </w:r>
    </w:p>
    <w:p w14:paraId="1E851E86">
      <w:pPr>
        <w:spacing w:before="104" w:line="230" w:lineRule="auto"/>
        <w:ind w:left="425"/>
        <w:rPr>
          <w:rFonts w:ascii="Times New Roman" w:hAnsi="Times New Roman" w:eastAsia="Times New Roman" w:cs="Times New Roman"/>
          <w:sz w:val="21"/>
          <w:szCs w:val="21"/>
        </w:rPr>
      </w:pPr>
      <w:r>
        <w:rPr>
          <w:rFonts w:ascii="Times New Roman" w:hAnsi="Times New Roman" w:eastAsia="Times New Roman" w:cs="Times New Roman"/>
          <w:sz w:val="21"/>
          <w:szCs w:val="21"/>
        </w:rPr>
        <w:t>CO</w:t>
      </w:r>
      <w:r>
        <w:rPr>
          <w:rFonts w:ascii="Times New Roman" w:hAnsi="Times New Roman" w:eastAsia="Times New Roman" w:cs="Times New Roman"/>
          <w:position w:val="-1"/>
          <w:sz w:val="13"/>
          <w:szCs w:val="13"/>
        </w:rPr>
        <w:t>2</w:t>
      </w:r>
      <w:r>
        <w:rPr>
          <w:rFonts w:ascii="Times New Roman" w:hAnsi="Times New Roman" w:eastAsia="Times New Roman" w:cs="Times New Roman"/>
          <w:sz w:val="21"/>
          <w:szCs w:val="21"/>
        </w:rPr>
        <w:t>e</w:t>
      </w:r>
    </w:p>
    <w:p w14:paraId="33E0C73F">
      <w:pPr>
        <w:spacing w:before="46" w:line="220" w:lineRule="auto"/>
        <w:ind w:left="424"/>
        <w:rPr>
          <w:rFonts w:ascii="宋体" w:hAnsi="宋体" w:eastAsia="宋体" w:cs="宋体"/>
          <w:sz w:val="21"/>
          <w:szCs w:val="21"/>
        </w:rPr>
      </w:pPr>
      <w:r>
        <w:rPr>
          <w:rFonts w:ascii="宋体" w:hAnsi="宋体" w:eastAsia="宋体" w:cs="宋体"/>
          <w:spacing w:val="-1"/>
          <w:sz w:val="21"/>
          <w:szCs w:val="21"/>
        </w:rPr>
        <w:t>在辐射强度上与某种温室气体质量相当的二氧化碳的量。</w:t>
      </w:r>
    </w:p>
    <w:p w14:paraId="25CD31F2">
      <w:pPr>
        <w:spacing w:before="62" w:line="220" w:lineRule="auto"/>
        <w:ind w:left="428"/>
        <w:rPr>
          <w:rFonts w:ascii="宋体" w:hAnsi="宋体" w:eastAsia="宋体" w:cs="宋体"/>
          <w:sz w:val="21"/>
          <w:szCs w:val="21"/>
        </w:rPr>
      </w:pPr>
      <w:r>
        <w:rPr>
          <w:rFonts w:ascii="黑体" w:hAnsi="黑体" w:eastAsia="黑体" w:cs="黑体"/>
          <w:spacing w:val="-1"/>
          <w:sz w:val="21"/>
          <w:szCs w:val="21"/>
        </w:rPr>
        <w:t>注：</w:t>
      </w:r>
      <w:r>
        <w:rPr>
          <w:rFonts w:ascii="宋体" w:hAnsi="宋体" w:eastAsia="宋体" w:cs="宋体"/>
          <w:spacing w:val="-1"/>
          <w:sz w:val="21"/>
          <w:szCs w:val="21"/>
        </w:rPr>
        <w:t>二氧化碳当量等于给定温室气体的质量乘以他的全球变暖潜势值。</w:t>
      </w:r>
    </w:p>
    <w:p w14:paraId="38E22715">
      <w:pPr>
        <w:spacing w:before="63" w:line="411" w:lineRule="auto"/>
        <w:ind w:left="5" w:right="5846" w:firstLine="429"/>
        <w:rPr>
          <w:rFonts w:ascii="黑体" w:hAnsi="黑体" w:eastAsia="黑体" w:cs="黑体"/>
          <w:sz w:val="21"/>
          <w:szCs w:val="21"/>
        </w:rPr>
      </w:pPr>
      <w:r>
        <w:rPr>
          <w:rFonts w:ascii="Times New Roman" w:hAnsi="Times New Roman" w:eastAsia="Times New Roman" w:cs="Times New Roman"/>
          <w:spacing w:val="-2"/>
          <w:sz w:val="21"/>
          <w:szCs w:val="21"/>
        </w:rPr>
        <w:t>[</w:t>
      </w:r>
      <w:r>
        <w:rPr>
          <w:rFonts w:ascii="宋体" w:hAnsi="宋体" w:eastAsia="宋体" w:cs="宋体"/>
          <w:spacing w:val="-2"/>
          <w:sz w:val="21"/>
          <w:szCs w:val="21"/>
        </w:rPr>
        <w:t>来源：</w:t>
      </w:r>
      <w:r>
        <w:rPr>
          <w:rFonts w:ascii="Times New Roman" w:hAnsi="Times New Roman" w:eastAsia="Times New Roman" w:cs="Times New Roman"/>
          <w:spacing w:val="-2"/>
          <w:sz w:val="21"/>
          <w:szCs w:val="21"/>
        </w:rPr>
        <w:t>GB/T 32150—2015</w:t>
      </w:r>
      <w:r>
        <w:rPr>
          <w:rFonts w:ascii="Times New Roman" w:hAnsi="Times New Roman" w:eastAsia="Times New Roman" w:cs="Times New Roman"/>
          <w:spacing w:val="-17"/>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3.16]</w:t>
      </w:r>
      <w:r>
        <w:rPr>
          <w:rFonts w:ascii="Times New Roman" w:hAnsi="Times New Roman" w:eastAsia="Times New Roman" w:cs="Times New Roman"/>
          <w:sz w:val="21"/>
          <w:szCs w:val="21"/>
        </w:rPr>
        <w:t xml:space="preserve"> </w:t>
      </w:r>
      <w:r>
        <w:rPr>
          <w:rFonts w:ascii="黑体" w:hAnsi="黑体" w:eastAsia="黑体" w:cs="黑体"/>
          <w:spacing w:val="-2"/>
          <w:sz w:val="21"/>
          <w:szCs w:val="21"/>
        </w:rPr>
        <w:t>3.6</w:t>
      </w:r>
    </w:p>
    <w:p w14:paraId="53BA31D6">
      <w:pPr>
        <w:spacing w:before="1" w:line="234" w:lineRule="auto"/>
        <w:ind w:left="424"/>
        <w:rPr>
          <w:rFonts w:ascii="Times New Roman" w:hAnsi="Times New Roman" w:eastAsia="Times New Roman" w:cs="Times New Roman"/>
          <w:sz w:val="21"/>
          <w:szCs w:val="21"/>
        </w:rPr>
      </w:pPr>
      <w:r>
        <w:rPr>
          <w:rFonts w:ascii="黑体" w:hAnsi="黑体" w:eastAsia="黑体" w:cs="黑体"/>
          <w:spacing w:val="-1"/>
          <w:sz w:val="21"/>
          <w:szCs w:val="21"/>
        </w:rPr>
        <w:t xml:space="preserve">排放因子 </w:t>
      </w:r>
      <w:r>
        <w:rPr>
          <w:rFonts w:ascii="Times New Roman" w:hAnsi="Times New Roman" w:eastAsia="Times New Roman" w:cs="Times New Roman"/>
          <w:spacing w:val="-1"/>
          <w:sz w:val="21"/>
          <w:szCs w:val="21"/>
        </w:rPr>
        <w:t>emission factor</w:t>
      </w:r>
    </w:p>
    <w:p w14:paraId="71F940CD">
      <w:pPr>
        <w:spacing w:before="44" w:line="221" w:lineRule="auto"/>
        <w:ind w:left="424"/>
        <w:rPr>
          <w:rFonts w:ascii="宋体" w:hAnsi="宋体" w:eastAsia="宋体" w:cs="宋体"/>
          <w:sz w:val="21"/>
          <w:szCs w:val="21"/>
        </w:rPr>
      </w:pPr>
      <w:r>
        <w:rPr>
          <w:rFonts w:ascii="宋体" w:hAnsi="宋体" w:eastAsia="宋体" w:cs="宋体"/>
          <w:sz w:val="21"/>
          <w:szCs w:val="21"/>
        </w:rPr>
        <w:t>表征单位生产或消费活动量的温室气体排放的</w:t>
      </w:r>
      <w:r>
        <w:rPr>
          <w:rFonts w:ascii="宋体" w:hAnsi="宋体" w:eastAsia="宋体" w:cs="宋体"/>
          <w:spacing w:val="-1"/>
          <w:sz w:val="21"/>
          <w:szCs w:val="21"/>
        </w:rPr>
        <w:t>系数。</w:t>
      </w:r>
    </w:p>
    <w:p w14:paraId="1A12F91C">
      <w:pPr>
        <w:spacing w:before="62" w:line="411" w:lineRule="auto"/>
        <w:ind w:left="5" w:right="5584" w:firstLine="429"/>
        <w:rPr>
          <w:rFonts w:ascii="黑体" w:hAnsi="黑体" w:eastAsia="黑体" w:cs="黑体"/>
          <w:sz w:val="21"/>
          <w:szCs w:val="21"/>
        </w:rPr>
      </w:pPr>
      <w:r>
        <w:rPr>
          <w:rFonts w:ascii="Times New Roman" w:hAnsi="Times New Roman" w:eastAsia="Times New Roman" w:cs="Times New Roman"/>
          <w:spacing w:val="-1"/>
          <w:sz w:val="21"/>
          <w:szCs w:val="21"/>
        </w:rPr>
        <w:t>[</w:t>
      </w:r>
      <w:r>
        <w:rPr>
          <w:rFonts w:ascii="宋体" w:hAnsi="宋体" w:eastAsia="宋体" w:cs="宋体"/>
          <w:spacing w:val="-1"/>
          <w:sz w:val="21"/>
          <w:szCs w:val="21"/>
        </w:rPr>
        <w:t>来源：</w:t>
      </w:r>
      <w:r>
        <w:rPr>
          <w:rFonts w:ascii="Times New Roman" w:hAnsi="Times New Roman" w:eastAsia="Times New Roman" w:cs="Times New Roman"/>
          <w:spacing w:val="-1"/>
          <w:sz w:val="21"/>
          <w:szCs w:val="21"/>
        </w:rPr>
        <w:t>GB/T 32150—2015,</w:t>
      </w:r>
      <w:r>
        <w:rPr>
          <w:rFonts w:ascii="宋体" w:hAnsi="宋体" w:eastAsia="宋体" w:cs="宋体"/>
          <w:spacing w:val="-1"/>
          <w:sz w:val="21"/>
          <w:szCs w:val="21"/>
        </w:rPr>
        <w:t>定义</w:t>
      </w:r>
      <w:r>
        <w:rPr>
          <w:rFonts w:ascii="Times New Roman" w:hAnsi="Times New Roman" w:eastAsia="Times New Roman" w:cs="Times New Roman"/>
          <w:spacing w:val="-1"/>
          <w:sz w:val="21"/>
          <w:szCs w:val="21"/>
        </w:rPr>
        <w:t>3.13]</w:t>
      </w:r>
      <w:r>
        <w:rPr>
          <w:rFonts w:ascii="Times New Roman" w:hAnsi="Times New Roman" w:eastAsia="Times New Roman" w:cs="Times New Roman"/>
          <w:spacing w:val="11"/>
          <w:sz w:val="21"/>
          <w:szCs w:val="21"/>
        </w:rPr>
        <w:t xml:space="preserve"> </w:t>
      </w:r>
      <w:r>
        <w:rPr>
          <w:rFonts w:ascii="黑体" w:hAnsi="黑体" w:eastAsia="黑体" w:cs="黑体"/>
          <w:spacing w:val="-2"/>
          <w:sz w:val="21"/>
          <w:szCs w:val="21"/>
        </w:rPr>
        <w:t>3.7</w:t>
      </w:r>
    </w:p>
    <w:p w14:paraId="57911BD0">
      <w:pPr>
        <w:spacing w:before="1" w:line="213" w:lineRule="auto"/>
        <w:ind w:left="424"/>
        <w:rPr>
          <w:rFonts w:ascii="Times New Roman" w:hAnsi="Times New Roman" w:eastAsia="Times New Roman" w:cs="Times New Roman"/>
          <w:sz w:val="21"/>
          <w:szCs w:val="21"/>
        </w:rPr>
      </w:pPr>
      <w:r>
        <w:rPr>
          <w:rFonts w:ascii="黑体" w:hAnsi="黑体" w:eastAsia="黑体" w:cs="黑体"/>
          <w:spacing w:val="-1"/>
          <w:sz w:val="21"/>
          <w:szCs w:val="21"/>
        </w:rPr>
        <w:t xml:space="preserve">碳抵消 </w:t>
      </w:r>
      <w:r>
        <w:rPr>
          <w:rFonts w:ascii="Times New Roman" w:hAnsi="Times New Roman" w:eastAsia="Times New Roman" w:cs="Times New Roman"/>
          <w:spacing w:val="-1"/>
          <w:sz w:val="21"/>
          <w:szCs w:val="21"/>
        </w:rPr>
        <w:t>carbon offsetting</w:t>
      </w:r>
    </w:p>
    <w:p w14:paraId="2E867E0A">
      <w:pPr>
        <w:spacing w:before="70" w:line="274" w:lineRule="auto"/>
        <w:ind w:left="427" w:right="57" w:hanging="2"/>
        <w:rPr>
          <w:rFonts w:ascii="宋体" w:hAnsi="宋体" w:eastAsia="宋体" w:cs="宋体"/>
          <w:sz w:val="21"/>
          <w:szCs w:val="21"/>
        </w:rPr>
      </w:pPr>
      <w:r>
        <w:rPr>
          <w:rFonts w:ascii="宋体" w:hAnsi="宋体" w:eastAsia="宋体" w:cs="宋体"/>
          <w:spacing w:val="-1"/>
          <w:sz w:val="21"/>
          <w:szCs w:val="21"/>
        </w:rPr>
        <w:t>通过在所研究产品系统边界以外的过程中防止排放、 减少或消除一定的温室气体排放量，</w:t>
      </w:r>
      <w:r>
        <w:rPr>
          <w:rFonts w:ascii="宋体" w:hAnsi="宋体" w:eastAsia="宋体" w:cs="宋体"/>
          <w:spacing w:val="39"/>
          <w:sz w:val="21"/>
          <w:szCs w:val="21"/>
        </w:rPr>
        <w:t xml:space="preserve"> </w:t>
      </w:r>
      <w:r>
        <w:rPr>
          <w:rFonts w:ascii="宋体" w:hAnsi="宋体" w:eastAsia="宋体" w:cs="宋体"/>
          <w:spacing w:val="-1"/>
          <w:sz w:val="21"/>
          <w:szCs w:val="21"/>
        </w:rPr>
        <w:t>以全</w:t>
      </w:r>
      <w:r>
        <w:rPr>
          <w:rFonts w:ascii="宋体" w:hAnsi="宋体" w:eastAsia="宋体" w:cs="宋体"/>
          <w:sz w:val="21"/>
          <w:szCs w:val="21"/>
        </w:rPr>
        <w:t xml:space="preserve"> </w:t>
      </w:r>
      <w:r>
        <w:rPr>
          <w:rFonts w:ascii="宋体" w:hAnsi="宋体" w:eastAsia="宋体" w:cs="宋体"/>
          <w:spacing w:val="-1"/>
          <w:sz w:val="21"/>
          <w:szCs w:val="21"/>
        </w:rPr>
        <w:t>部或部分补偿产品碳足迹或部分产品碳足迹的机制。</w:t>
      </w:r>
    </w:p>
    <w:p w14:paraId="3DE7BAF2">
      <w:pPr>
        <w:spacing w:before="1" w:line="274" w:lineRule="auto"/>
        <w:ind w:left="4" w:firstLine="429"/>
        <w:rPr>
          <w:rFonts w:ascii="宋体" w:hAnsi="宋体" w:eastAsia="宋体" w:cs="宋体"/>
          <w:sz w:val="21"/>
          <w:szCs w:val="21"/>
        </w:rPr>
      </w:pPr>
      <w:r>
        <w:rPr>
          <w:rFonts w:ascii="黑体" w:hAnsi="黑体" w:eastAsia="黑体" w:cs="黑体"/>
          <w:spacing w:val="-3"/>
          <w:sz w:val="21"/>
          <w:szCs w:val="21"/>
        </w:rPr>
        <w:t>示例：</w:t>
      </w:r>
      <w:r>
        <w:rPr>
          <w:rFonts w:ascii="宋体" w:hAnsi="宋体" w:eastAsia="宋体" w:cs="宋体"/>
          <w:spacing w:val="-3"/>
          <w:sz w:val="21"/>
          <w:szCs w:val="21"/>
        </w:rPr>
        <w:t>在相关产品系统之外的投入，</w:t>
      </w:r>
      <w:r>
        <w:rPr>
          <w:rFonts w:ascii="宋体" w:hAnsi="宋体" w:eastAsia="宋体" w:cs="宋体"/>
          <w:spacing w:val="-19"/>
          <w:sz w:val="21"/>
          <w:szCs w:val="21"/>
        </w:rPr>
        <w:t xml:space="preserve"> </w:t>
      </w:r>
      <w:r>
        <w:rPr>
          <w:rFonts w:ascii="宋体" w:hAnsi="宋体" w:eastAsia="宋体" w:cs="宋体"/>
          <w:spacing w:val="-3"/>
          <w:sz w:val="21"/>
          <w:szCs w:val="21"/>
        </w:rPr>
        <w:t>例如对可再生能源技术、 能源效</w:t>
      </w:r>
      <w:r>
        <w:rPr>
          <w:rFonts w:ascii="宋体" w:hAnsi="宋体" w:eastAsia="宋体" w:cs="宋体"/>
          <w:spacing w:val="-4"/>
          <w:sz w:val="21"/>
          <w:szCs w:val="21"/>
        </w:rPr>
        <w:t>率措施、 造林和（或） 再</w:t>
      </w:r>
      <w:r>
        <w:rPr>
          <w:rFonts w:ascii="宋体" w:hAnsi="宋体" w:eastAsia="宋体" w:cs="宋体"/>
          <w:sz w:val="21"/>
          <w:szCs w:val="21"/>
        </w:rPr>
        <w:t xml:space="preserve"> </w:t>
      </w:r>
      <w:r>
        <w:rPr>
          <w:rFonts w:ascii="宋体" w:hAnsi="宋体" w:eastAsia="宋体" w:cs="宋体"/>
          <w:spacing w:val="-1"/>
          <w:sz w:val="21"/>
          <w:szCs w:val="21"/>
        </w:rPr>
        <w:t>造林的投入。</w:t>
      </w:r>
    </w:p>
    <w:p w14:paraId="64212DA2">
      <w:pPr>
        <w:spacing w:before="1" w:line="411" w:lineRule="auto"/>
        <w:ind w:left="5" w:right="6033" w:firstLine="429"/>
        <w:rPr>
          <w:rFonts w:ascii="黑体" w:hAnsi="黑体" w:eastAsia="黑体" w:cs="黑体"/>
          <w:sz w:val="21"/>
          <w:szCs w:val="21"/>
        </w:rPr>
      </w:pPr>
      <w:r>
        <w:rPr>
          <w:rFonts w:ascii="Times New Roman" w:hAnsi="Times New Roman" w:eastAsia="Times New Roman" w:cs="Times New Roman"/>
          <w:spacing w:val="-1"/>
          <w:sz w:val="21"/>
          <w:szCs w:val="21"/>
        </w:rPr>
        <w:t>[</w:t>
      </w:r>
      <w:r>
        <w:rPr>
          <w:rFonts w:ascii="宋体" w:hAnsi="宋体" w:eastAsia="宋体" w:cs="宋体"/>
          <w:spacing w:val="-1"/>
          <w:sz w:val="21"/>
          <w:szCs w:val="21"/>
        </w:rPr>
        <w:t>来源：</w:t>
      </w:r>
      <w:r>
        <w:rPr>
          <w:rFonts w:ascii="Times New Roman" w:hAnsi="Times New Roman" w:eastAsia="Times New Roman" w:cs="Times New Roman"/>
          <w:spacing w:val="-1"/>
          <w:sz w:val="21"/>
          <w:szCs w:val="21"/>
        </w:rPr>
        <w:t>GB 24067</w:t>
      </w:r>
      <w:r>
        <w:rPr>
          <w:rFonts w:ascii="宋体" w:hAnsi="宋体" w:eastAsia="宋体" w:cs="宋体"/>
          <w:spacing w:val="-1"/>
          <w:sz w:val="21"/>
          <w:szCs w:val="21"/>
        </w:rPr>
        <w:t>，定义</w:t>
      </w:r>
      <w:r>
        <w:fldChar w:fldCharType="begin"/>
      </w:r>
      <w:r>
        <w:instrText xml:space="preserve"> HYPERLINK "3.1.1.7" </w:instrText>
      </w:r>
      <w:r>
        <w:fldChar w:fldCharType="separate"/>
      </w:r>
      <w:r>
        <w:rPr>
          <w:rFonts w:ascii="Times New Roman" w:hAnsi="Times New Roman" w:eastAsia="Times New Roman" w:cs="Times New Roman"/>
          <w:spacing w:val="-1"/>
          <w:sz w:val="21"/>
          <w:szCs w:val="21"/>
        </w:rPr>
        <w:t>3.1.1.7</w:t>
      </w:r>
      <w:r>
        <w:rPr>
          <w:rFonts w:ascii="Times New Roman" w:hAnsi="Times New Roman" w:eastAsia="Times New Roman" w:cs="Times New Roman"/>
          <w:spacing w:val="-1"/>
          <w:sz w:val="21"/>
          <w:szCs w:val="21"/>
        </w:rPr>
        <w:fldChar w:fldCharType="end"/>
      </w:r>
      <w:r>
        <w:rPr>
          <w:rFonts w:ascii="Times New Roman" w:hAnsi="Times New Roman" w:eastAsia="Times New Roman" w:cs="Times New Roman"/>
          <w:spacing w:val="-1"/>
          <w:sz w:val="21"/>
          <w:szCs w:val="21"/>
        </w:rPr>
        <w:t>]</w:t>
      </w:r>
      <w:r>
        <w:rPr>
          <w:rFonts w:ascii="Times New Roman" w:hAnsi="Times New Roman" w:eastAsia="Times New Roman" w:cs="Times New Roman"/>
          <w:spacing w:val="8"/>
          <w:sz w:val="21"/>
          <w:szCs w:val="21"/>
        </w:rPr>
        <w:t xml:space="preserve"> </w:t>
      </w:r>
      <w:r>
        <w:rPr>
          <w:rFonts w:ascii="黑体" w:hAnsi="黑体" w:eastAsia="黑体" w:cs="黑体"/>
          <w:spacing w:val="-2"/>
          <w:sz w:val="21"/>
          <w:szCs w:val="21"/>
        </w:rPr>
        <w:t>3.8</w:t>
      </w:r>
    </w:p>
    <w:p w14:paraId="7A71177D">
      <w:pPr>
        <w:spacing w:line="213" w:lineRule="auto"/>
        <w:ind w:left="424"/>
        <w:rPr>
          <w:rFonts w:ascii="Times New Roman" w:hAnsi="Times New Roman" w:eastAsia="Times New Roman" w:cs="Times New Roman"/>
          <w:sz w:val="21"/>
          <w:szCs w:val="21"/>
        </w:rPr>
      </w:pPr>
      <w:r>
        <w:rPr>
          <w:rFonts w:ascii="黑体" w:hAnsi="黑体" w:eastAsia="黑体" w:cs="黑体"/>
          <w:spacing w:val="1"/>
          <w:sz w:val="21"/>
          <w:szCs w:val="21"/>
        </w:rPr>
        <w:t xml:space="preserve">碳中和社区评价 </w:t>
      </w:r>
      <w:r>
        <w:rPr>
          <w:rFonts w:ascii="Times New Roman" w:hAnsi="Times New Roman" w:eastAsia="Times New Roman" w:cs="Times New Roman"/>
          <w:sz w:val="21"/>
          <w:szCs w:val="21"/>
        </w:rPr>
        <w:t>carbon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neutrality</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assessment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industry</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park</w:t>
      </w:r>
    </w:p>
    <w:p w14:paraId="3A491FF9">
      <w:pPr>
        <w:spacing w:before="69" w:line="277" w:lineRule="auto"/>
        <w:ind w:left="23" w:right="3" w:firstLine="404"/>
        <w:rPr>
          <w:rFonts w:ascii="宋体" w:hAnsi="宋体" w:eastAsia="宋体" w:cs="宋体"/>
          <w:sz w:val="21"/>
          <w:szCs w:val="21"/>
        </w:rPr>
      </w:pPr>
      <w:r>
        <w:rPr>
          <w:rFonts w:ascii="宋体" w:hAnsi="宋体" w:eastAsia="宋体" w:cs="宋体"/>
          <w:spacing w:val="1"/>
          <w:sz w:val="21"/>
          <w:szCs w:val="21"/>
        </w:rPr>
        <w:t>社区或第三方机构对社区温室气体排放量、减排量，清除量和抵销量进行核查，并出具评价结果</w:t>
      </w:r>
      <w:r>
        <w:rPr>
          <w:rFonts w:ascii="宋体" w:hAnsi="宋体" w:eastAsia="宋体" w:cs="宋体"/>
          <w:spacing w:val="7"/>
          <w:sz w:val="21"/>
          <w:szCs w:val="21"/>
        </w:rPr>
        <w:t xml:space="preserve"> </w:t>
      </w:r>
      <w:bookmarkStart w:id="9" w:name="bookmark7"/>
      <w:bookmarkEnd w:id="9"/>
      <w:r>
        <w:rPr>
          <w:rFonts w:ascii="宋体" w:hAnsi="宋体" w:eastAsia="宋体" w:cs="宋体"/>
          <w:spacing w:val="-4"/>
          <w:sz w:val="21"/>
          <w:szCs w:val="21"/>
        </w:rPr>
        <w:t>的工作过程。</w:t>
      </w:r>
    </w:p>
    <w:p w14:paraId="2401492F">
      <w:pPr>
        <w:spacing w:before="307" w:line="219" w:lineRule="auto"/>
        <w:outlineLvl w:val="1"/>
        <w:rPr>
          <w:rFonts w:ascii="黑体" w:hAnsi="黑体" w:eastAsia="黑体" w:cs="黑体"/>
          <w:sz w:val="21"/>
          <w:szCs w:val="21"/>
        </w:rPr>
      </w:pPr>
      <w:bookmarkStart w:id="10" w:name="bookmark30"/>
      <w:bookmarkEnd w:id="10"/>
      <w:r>
        <w:rPr>
          <w:rFonts w:ascii="黑体" w:hAnsi="黑体" w:eastAsia="黑体" w:cs="黑体"/>
          <w:sz w:val="21"/>
          <w:szCs w:val="21"/>
        </w:rPr>
        <w:t>4  管理边界和范围</w:t>
      </w:r>
    </w:p>
    <w:p w14:paraId="06EF1C0D">
      <w:pPr>
        <w:pStyle w:val="2"/>
        <w:spacing w:line="304" w:lineRule="auto"/>
      </w:pPr>
    </w:p>
    <w:p w14:paraId="77C25B21">
      <w:pPr>
        <w:spacing w:before="69" w:line="233" w:lineRule="auto"/>
        <w:ind w:left="142"/>
        <w:outlineLvl w:val="2"/>
        <w:rPr>
          <w:rFonts w:ascii="黑体" w:hAnsi="黑体" w:eastAsia="黑体" w:cs="黑体"/>
          <w:sz w:val="21"/>
          <w:szCs w:val="21"/>
        </w:rPr>
      </w:pPr>
      <w:bookmarkStart w:id="11" w:name="bookmark8"/>
      <w:bookmarkEnd w:id="11"/>
      <w:r>
        <w:rPr>
          <w:rFonts w:ascii="Times New Roman" w:hAnsi="Times New Roman" w:eastAsia="Times New Roman" w:cs="Times New Roman"/>
          <w:spacing w:val="-2"/>
          <w:sz w:val="21"/>
          <w:szCs w:val="21"/>
        </w:rPr>
        <w:t>4.1</w:t>
      </w:r>
      <w:r>
        <w:rPr>
          <w:rFonts w:ascii="Times New Roman" w:hAnsi="Times New Roman" w:eastAsia="Times New Roman" w:cs="Times New Roman"/>
          <w:spacing w:val="11"/>
          <w:sz w:val="21"/>
          <w:szCs w:val="21"/>
        </w:rPr>
        <w:t xml:space="preserve">   </w:t>
      </w:r>
      <w:r>
        <w:rPr>
          <w:rFonts w:ascii="黑体" w:hAnsi="黑体" w:eastAsia="黑体" w:cs="黑体"/>
          <w:spacing w:val="-2"/>
          <w:sz w:val="21"/>
          <w:szCs w:val="21"/>
        </w:rPr>
        <w:t>管理边界</w:t>
      </w:r>
    </w:p>
    <w:p w14:paraId="6495C230">
      <w:pPr>
        <w:spacing w:before="203" w:line="277" w:lineRule="auto"/>
        <w:ind w:left="21" w:right="3" w:firstLine="406"/>
        <w:rPr>
          <w:rFonts w:ascii="宋体" w:hAnsi="宋体" w:eastAsia="宋体" w:cs="宋体"/>
          <w:sz w:val="21"/>
          <w:szCs w:val="21"/>
        </w:rPr>
      </w:pPr>
      <w:r>
        <w:rPr>
          <w:rFonts w:ascii="宋体" w:hAnsi="宋体" w:eastAsia="宋体" w:cs="宋体"/>
          <w:spacing w:val="1"/>
          <w:sz w:val="21"/>
          <w:szCs w:val="21"/>
        </w:rPr>
        <w:t>社区的地理边界为碳中和社区管理边界。地理边界的确定可以依据行政区划、物业管理范围或社</w:t>
      </w:r>
      <w:r>
        <w:rPr>
          <w:rFonts w:ascii="宋体" w:hAnsi="宋体" w:eastAsia="宋体" w:cs="宋体"/>
          <w:spacing w:val="7"/>
          <w:sz w:val="21"/>
          <w:szCs w:val="21"/>
        </w:rPr>
        <w:t xml:space="preserve"> </w:t>
      </w:r>
      <w:bookmarkStart w:id="12" w:name="bookmark9"/>
      <w:bookmarkEnd w:id="12"/>
      <w:r>
        <w:rPr>
          <w:rFonts w:ascii="宋体" w:hAnsi="宋体" w:eastAsia="宋体" w:cs="宋体"/>
          <w:spacing w:val="-8"/>
          <w:sz w:val="21"/>
          <w:szCs w:val="21"/>
        </w:rPr>
        <w:t>区规划图。</w:t>
      </w:r>
    </w:p>
    <w:p w14:paraId="7ACCBB60">
      <w:pPr>
        <w:spacing w:before="150" w:line="235" w:lineRule="auto"/>
        <w:ind w:left="142"/>
        <w:outlineLvl w:val="2"/>
        <w:rPr>
          <w:rFonts w:ascii="黑体" w:hAnsi="黑体" w:eastAsia="黑体" w:cs="黑体"/>
          <w:sz w:val="21"/>
          <w:szCs w:val="21"/>
        </w:rPr>
      </w:pPr>
      <w:bookmarkStart w:id="13" w:name="bookmark1"/>
      <w:bookmarkEnd w:id="13"/>
      <w:r>
        <w:rPr>
          <w:rFonts w:ascii="Times New Roman" w:hAnsi="Times New Roman" w:eastAsia="Times New Roman" w:cs="Times New Roman"/>
          <w:spacing w:val="-2"/>
          <w:sz w:val="21"/>
          <w:szCs w:val="21"/>
        </w:rPr>
        <w:t>4.2</w:t>
      </w:r>
      <w:r>
        <w:rPr>
          <w:rFonts w:ascii="Times New Roman" w:hAnsi="Times New Roman" w:eastAsia="Times New Roman" w:cs="Times New Roman"/>
          <w:spacing w:val="11"/>
          <w:sz w:val="21"/>
          <w:szCs w:val="21"/>
        </w:rPr>
        <w:t xml:space="preserve">   </w:t>
      </w:r>
      <w:r>
        <w:rPr>
          <w:rFonts w:ascii="黑体" w:hAnsi="黑体" w:eastAsia="黑体" w:cs="黑体"/>
          <w:spacing w:val="-2"/>
          <w:sz w:val="21"/>
          <w:szCs w:val="21"/>
        </w:rPr>
        <w:t>管理范围</w:t>
      </w:r>
    </w:p>
    <w:p w14:paraId="21D0461C">
      <w:pPr>
        <w:spacing w:before="201" w:line="276" w:lineRule="auto"/>
        <w:ind w:left="8" w:right="2" w:firstLine="419"/>
        <w:rPr>
          <w:rFonts w:ascii="宋体" w:hAnsi="宋体" w:eastAsia="宋体" w:cs="宋体"/>
          <w:sz w:val="21"/>
          <w:szCs w:val="21"/>
        </w:rPr>
      </w:pPr>
      <w:r>
        <w:rPr>
          <w:rFonts w:ascii="宋体" w:hAnsi="宋体" w:eastAsia="宋体" w:cs="宋体"/>
          <w:spacing w:val="1"/>
          <w:sz w:val="21"/>
          <w:szCs w:val="21"/>
        </w:rPr>
        <w:t>识别社区管理边界内的主要排放源，重点排放源均应纳入碳中和社区管理范围内。如社区内各类</w:t>
      </w:r>
      <w:r>
        <w:rPr>
          <w:rFonts w:ascii="宋体" w:hAnsi="宋体" w:eastAsia="宋体" w:cs="宋体"/>
          <w:spacing w:val="8"/>
          <w:sz w:val="21"/>
          <w:szCs w:val="21"/>
        </w:rPr>
        <w:t xml:space="preserve"> </w:t>
      </w:r>
      <w:bookmarkStart w:id="14" w:name="bookmark10"/>
      <w:bookmarkEnd w:id="14"/>
      <w:r>
        <w:rPr>
          <w:rFonts w:ascii="宋体" w:hAnsi="宋体" w:eastAsia="宋体" w:cs="宋体"/>
          <w:spacing w:val="-1"/>
          <w:sz w:val="21"/>
          <w:szCs w:val="21"/>
        </w:rPr>
        <w:t>建筑、公共设施、公共服务车辆。</w:t>
      </w:r>
    </w:p>
    <w:p w14:paraId="3C67A5C4">
      <w:pPr>
        <w:spacing w:before="152" w:line="234" w:lineRule="auto"/>
        <w:ind w:left="142"/>
        <w:outlineLvl w:val="2"/>
        <w:rPr>
          <w:rFonts w:ascii="黑体" w:hAnsi="黑体" w:eastAsia="黑体" w:cs="黑体"/>
          <w:sz w:val="21"/>
          <w:szCs w:val="21"/>
        </w:rPr>
      </w:pPr>
      <w:bookmarkStart w:id="15" w:name="bookmark31"/>
      <w:bookmarkEnd w:id="15"/>
      <w:r>
        <w:rPr>
          <w:rFonts w:ascii="Times New Roman" w:hAnsi="Times New Roman" w:eastAsia="Times New Roman" w:cs="Times New Roman"/>
          <w:spacing w:val="-1"/>
          <w:sz w:val="21"/>
          <w:szCs w:val="21"/>
        </w:rPr>
        <w:t>4.3</w:t>
      </w:r>
      <w:r>
        <w:rPr>
          <w:rFonts w:ascii="Times New Roman" w:hAnsi="Times New Roman" w:eastAsia="Times New Roman" w:cs="Times New Roman"/>
          <w:spacing w:val="10"/>
          <w:sz w:val="21"/>
          <w:szCs w:val="21"/>
        </w:rPr>
        <w:t xml:space="preserve">   </w:t>
      </w:r>
      <w:r>
        <w:rPr>
          <w:rFonts w:ascii="黑体" w:hAnsi="黑体" w:eastAsia="黑体" w:cs="黑体"/>
          <w:spacing w:val="-1"/>
          <w:sz w:val="21"/>
          <w:szCs w:val="21"/>
        </w:rPr>
        <w:t>温室气体的识别</w:t>
      </w:r>
    </w:p>
    <w:p w14:paraId="29FD15F1">
      <w:pPr>
        <w:spacing w:line="234" w:lineRule="auto"/>
        <w:rPr>
          <w:rFonts w:ascii="黑体" w:hAnsi="黑体" w:eastAsia="黑体" w:cs="黑体"/>
          <w:sz w:val="21"/>
          <w:szCs w:val="21"/>
        </w:rPr>
        <w:sectPr>
          <w:headerReference r:id="rId11" w:type="default"/>
          <w:footerReference r:id="rId12" w:type="default"/>
          <w:pgSz w:w="11907" w:h="16839"/>
          <w:pgMar w:top="1205" w:right="1298" w:bottom="1648" w:left="1306" w:header="880" w:footer="1446" w:gutter="0"/>
          <w:cols w:space="720" w:num="1"/>
        </w:sectPr>
      </w:pPr>
    </w:p>
    <w:p w14:paraId="56235C6A">
      <w:pPr>
        <w:spacing w:before="26" w:line="269" w:lineRule="auto"/>
        <w:ind w:left="7" w:firstLine="420"/>
        <w:jc w:val="both"/>
        <w:rPr>
          <w:rFonts w:ascii="宋体" w:hAnsi="宋体" w:eastAsia="宋体" w:cs="宋体"/>
          <w:sz w:val="21"/>
          <w:szCs w:val="21"/>
        </w:rPr>
      </w:pPr>
      <w:r>
        <w:rPr>
          <w:rFonts w:ascii="宋体" w:hAnsi="宋体" w:eastAsia="宋体" w:cs="宋体"/>
          <w:sz w:val="21"/>
          <w:szCs w:val="21"/>
        </w:rPr>
        <w:t>本标准中社区涉及的温室气体宜包括二氧化碳（</w:t>
      </w:r>
      <w:r>
        <w:rPr>
          <w:rFonts w:ascii="Times New Roman" w:hAnsi="Times New Roman" w:eastAsia="Times New Roman" w:cs="Times New Roman"/>
          <w:sz w:val="21"/>
          <w:szCs w:val="21"/>
        </w:rPr>
        <w:t>CO</w:t>
      </w:r>
      <w:r>
        <w:rPr>
          <w:rFonts w:ascii="Times New Roman" w:hAnsi="Times New Roman" w:eastAsia="Times New Roman" w:cs="Times New Roman"/>
          <w:position w:val="-1"/>
          <w:sz w:val="13"/>
          <w:szCs w:val="13"/>
        </w:rPr>
        <w:t>2</w:t>
      </w:r>
      <w:r>
        <w:rPr>
          <w:rFonts w:ascii="宋体" w:hAnsi="宋体" w:eastAsia="宋体" w:cs="宋体"/>
          <w:sz w:val="21"/>
          <w:szCs w:val="21"/>
        </w:rPr>
        <w:t>）、甲烷（</w:t>
      </w:r>
      <w:r>
        <w:rPr>
          <w:rFonts w:ascii="Times New Roman" w:hAnsi="Times New Roman" w:eastAsia="Times New Roman" w:cs="Times New Roman"/>
          <w:sz w:val="21"/>
          <w:szCs w:val="21"/>
        </w:rPr>
        <w:t>CH</w:t>
      </w:r>
      <w:r>
        <w:rPr>
          <w:rFonts w:ascii="Times New Roman" w:hAnsi="Times New Roman" w:eastAsia="Times New Roman" w:cs="Times New Roman"/>
          <w:position w:val="-1"/>
          <w:sz w:val="13"/>
          <w:szCs w:val="13"/>
        </w:rPr>
        <w:t xml:space="preserve">4 </w:t>
      </w:r>
      <w:r>
        <w:rPr>
          <w:rFonts w:ascii="宋体" w:hAnsi="宋体" w:eastAsia="宋体" w:cs="宋体"/>
          <w:sz w:val="21"/>
          <w:szCs w:val="21"/>
        </w:rPr>
        <w:t>）、氧</w:t>
      </w:r>
      <w:r>
        <w:rPr>
          <w:rFonts w:ascii="宋体" w:hAnsi="宋体" w:eastAsia="宋体" w:cs="宋体"/>
          <w:spacing w:val="-1"/>
          <w:sz w:val="21"/>
          <w:szCs w:val="21"/>
        </w:rPr>
        <w:t>化亚氮（</w:t>
      </w:r>
      <w:r>
        <w:rPr>
          <w:rFonts w:ascii="Times New Roman" w:hAnsi="Times New Roman" w:eastAsia="Times New Roman" w:cs="Times New Roman"/>
          <w:spacing w:val="-1"/>
          <w:sz w:val="21"/>
          <w:szCs w:val="21"/>
        </w:rPr>
        <w:t>N</w:t>
      </w:r>
      <w:r>
        <w:rPr>
          <w:rFonts w:ascii="Times New Roman" w:hAnsi="Times New Roman" w:eastAsia="Times New Roman" w:cs="Times New Roman"/>
          <w:spacing w:val="-1"/>
          <w:position w:val="-1"/>
          <w:sz w:val="13"/>
          <w:szCs w:val="13"/>
        </w:rPr>
        <w:t>2</w:t>
      </w:r>
      <w:r>
        <w:rPr>
          <w:rFonts w:ascii="Times New Roman" w:hAnsi="Times New Roman" w:eastAsia="Times New Roman" w:cs="Times New Roman"/>
          <w:spacing w:val="-1"/>
          <w:sz w:val="21"/>
          <w:szCs w:val="21"/>
        </w:rPr>
        <w:t>O</w:t>
      </w:r>
      <w:r>
        <w:rPr>
          <w:rFonts w:ascii="宋体" w:hAnsi="宋体" w:eastAsia="宋体" w:cs="宋体"/>
          <w:spacing w:val="-1"/>
          <w:sz w:val="21"/>
          <w:szCs w:val="21"/>
        </w:rPr>
        <w:t>）、氢氟</w:t>
      </w:r>
      <w:r>
        <w:rPr>
          <w:rFonts w:ascii="宋体" w:hAnsi="宋体" w:eastAsia="宋体" w:cs="宋体"/>
          <w:sz w:val="21"/>
          <w:szCs w:val="21"/>
        </w:rPr>
        <w:t xml:space="preserve"> 碳化物（</w:t>
      </w:r>
      <w:r>
        <w:rPr>
          <w:rFonts w:ascii="Times New Roman" w:hAnsi="Times New Roman" w:eastAsia="Times New Roman" w:cs="Times New Roman"/>
          <w:sz w:val="21"/>
          <w:szCs w:val="21"/>
        </w:rPr>
        <w:t>HFCs</w:t>
      </w:r>
      <w:r>
        <w:rPr>
          <w:rFonts w:ascii="宋体" w:hAnsi="宋体" w:eastAsia="宋体" w:cs="宋体"/>
          <w:sz w:val="21"/>
          <w:szCs w:val="21"/>
        </w:rPr>
        <w:t>）、全氟化碳（</w:t>
      </w:r>
      <w:r>
        <w:rPr>
          <w:rFonts w:ascii="Times New Roman" w:hAnsi="Times New Roman" w:eastAsia="Times New Roman" w:cs="Times New Roman"/>
          <w:sz w:val="21"/>
          <w:szCs w:val="21"/>
        </w:rPr>
        <w:t>PFCs</w:t>
      </w:r>
      <w:r>
        <w:rPr>
          <w:rFonts w:ascii="宋体" w:hAnsi="宋体" w:eastAsia="宋体" w:cs="宋体"/>
          <w:sz w:val="21"/>
          <w:szCs w:val="21"/>
        </w:rPr>
        <w:t>）、六氟化硫（</w:t>
      </w:r>
      <w:r>
        <w:rPr>
          <w:rFonts w:ascii="Times New Roman" w:hAnsi="Times New Roman" w:eastAsia="Times New Roman" w:cs="Times New Roman"/>
          <w:sz w:val="21"/>
          <w:szCs w:val="21"/>
        </w:rPr>
        <w:t>SF</w:t>
      </w:r>
      <w:r>
        <w:rPr>
          <w:rFonts w:ascii="Times New Roman" w:hAnsi="Times New Roman" w:eastAsia="Times New Roman" w:cs="Times New Roman"/>
          <w:position w:val="-1"/>
          <w:sz w:val="13"/>
          <w:szCs w:val="13"/>
        </w:rPr>
        <w:t>6</w:t>
      </w:r>
      <w:r>
        <w:rPr>
          <w:rFonts w:ascii="宋体" w:hAnsi="宋体" w:eastAsia="宋体" w:cs="宋体"/>
          <w:sz w:val="21"/>
          <w:szCs w:val="21"/>
        </w:rPr>
        <w:t>）和三氟化氮（</w:t>
      </w:r>
      <w:r>
        <w:rPr>
          <w:rFonts w:ascii="Times New Roman" w:hAnsi="Times New Roman" w:eastAsia="Times New Roman" w:cs="Times New Roman"/>
          <w:sz w:val="21"/>
          <w:szCs w:val="21"/>
        </w:rPr>
        <w:t>NF</w:t>
      </w:r>
      <w:r>
        <w:rPr>
          <w:rFonts w:ascii="Times New Roman" w:hAnsi="Times New Roman" w:eastAsia="Times New Roman" w:cs="Times New Roman"/>
          <w:spacing w:val="-1"/>
          <w:position w:val="-1"/>
          <w:sz w:val="13"/>
          <w:szCs w:val="13"/>
        </w:rPr>
        <w:t xml:space="preserve">3 </w:t>
      </w:r>
      <w:r>
        <w:rPr>
          <w:rFonts w:ascii="宋体" w:hAnsi="宋体" w:eastAsia="宋体" w:cs="宋体"/>
          <w:spacing w:val="-1"/>
          <w:sz w:val="21"/>
          <w:szCs w:val="21"/>
        </w:rPr>
        <w:t>）等气体中的一类或多类。</w:t>
      </w:r>
      <w:r>
        <w:rPr>
          <w:rFonts w:ascii="宋体" w:hAnsi="宋体" w:eastAsia="宋体" w:cs="宋体"/>
          <w:sz w:val="21"/>
          <w:szCs w:val="21"/>
        </w:rPr>
        <w:t xml:space="preserve"> </w:t>
      </w:r>
      <w:bookmarkStart w:id="16" w:name="bookmark11"/>
      <w:bookmarkEnd w:id="16"/>
      <w:r>
        <w:rPr>
          <w:rFonts w:ascii="宋体" w:hAnsi="宋体" w:eastAsia="宋体" w:cs="宋体"/>
          <w:spacing w:val="-1"/>
          <w:sz w:val="21"/>
          <w:szCs w:val="21"/>
        </w:rPr>
        <w:t>可根据社区实际排放情况确定温室气体种类。</w:t>
      </w:r>
    </w:p>
    <w:p w14:paraId="053D70AF">
      <w:pPr>
        <w:pStyle w:val="2"/>
        <w:spacing w:line="259" w:lineRule="auto"/>
      </w:pPr>
    </w:p>
    <w:p w14:paraId="7DF89C8A">
      <w:pPr>
        <w:spacing w:before="68" w:line="219" w:lineRule="auto"/>
        <w:ind w:left="2"/>
        <w:outlineLvl w:val="1"/>
        <w:rPr>
          <w:rFonts w:ascii="黑体" w:hAnsi="黑体" w:eastAsia="黑体" w:cs="黑体"/>
          <w:sz w:val="21"/>
          <w:szCs w:val="21"/>
        </w:rPr>
      </w:pPr>
      <w:bookmarkStart w:id="17" w:name="bookmark2"/>
      <w:bookmarkEnd w:id="17"/>
      <w:r>
        <w:rPr>
          <w:rFonts w:ascii="黑体" w:hAnsi="黑体" w:eastAsia="黑体" w:cs="黑体"/>
          <w:spacing w:val="-1"/>
          <w:sz w:val="21"/>
          <w:szCs w:val="21"/>
        </w:rPr>
        <w:t>5  碳排放核算与报告要求</w:t>
      </w:r>
    </w:p>
    <w:p w14:paraId="71B44C2C">
      <w:pPr>
        <w:pStyle w:val="2"/>
        <w:spacing w:line="304" w:lineRule="auto"/>
      </w:pPr>
    </w:p>
    <w:p w14:paraId="3D504899">
      <w:pPr>
        <w:spacing w:before="69" w:line="219" w:lineRule="auto"/>
        <w:ind w:left="2"/>
        <w:outlineLvl w:val="2"/>
        <w:rPr>
          <w:rFonts w:ascii="黑体" w:hAnsi="黑体" w:eastAsia="黑体" w:cs="黑体"/>
          <w:sz w:val="21"/>
          <w:szCs w:val="21"/>
        </w:rPr>
      </w:pPr>
      <w:bookmarkStart w:id="18" w:name="bookmark2"/>
      <w:bookmarkEnd w:id="18"/>
      <w:bookmarkStart w:id="19" w:name="bookmark12"/>
      <w:bookmarkEnd w:id="19"/>
      <w:r>
        <w:rPr>
          <w:rFonts w:ascii="黑体" w:hAnsi="黑体" w:eastAsia="黑体" w:cs="黑体"/>
          <w:sz w:val="21"/>
          <w:szCs w:val="21"/>
        </w:rPr>
        <w:t>5.1  社区碳排放活动</w:t>
      </w:r>
    </w:p>
    <w:p w14:paraId="0F93574B">
      <w:pPr>
        <w:spacing w:before="218" w:line="220" w:lineRule="auto"/>
        <w:rPr>
          <w:rFonts w:ascii="黑体" w:hAnsi="黑体" w:eastAsia="黑体" w:cs="黑体"/>
          <w:sz w:val="21"/>
          <w:szCs w:val="21"/>
        </w:rPr>
      </w:pPr>
      <w:r>
        <w:rPr>
          <w:rFonts w:ascii="黑体" w:hAnsi="黑体" w:eastAsia="黑体" w:cs="黑体"/>
          <w:spacing w:val="-1"/>
          <w:sz w:val="21"/>
          <w:szCs w:val="21"/>
        </w:rPr>
        <w:t>5.1.1  直接排放活动</w:t>
      </w:r>
    </w:p>
    <w:p w14:paraId="4EC879BF">
      <w:pPr>
        <w:spacing w:before="217" w:line="221" w:lineRule="auto"/>
        <w:ind w:left="428"/>
        <w:rPr>
          <w:rFonts w:ascii="宋体" w:hAnsi="宋体" w:eastAsia="宋体" w:cs="宋体"/>
          <w:sz w:val="21"/>
          <w:szCs w:val="21"/>
        </w:rPr>
      </w:pPr>
      <w:r>
        <w:rPr>
          <w:rFonts w:ascii="宋体" w:hAnsi="宋体" w:eastAsia="宋体" w:cs="宋体"/>
          <w:spacing w:val="-1"/>
          <w:sz w:val="21"/>
          <w:szCs w:val="21"/>
        </w:rPr>
        <w:t>社区的直接排放包括：</w:t>
      </w:r>
    </w:p>
    <w:p w14:paraId="05C6CAC0">
      <w:pPr>
        <w:spacing w:before="61" w:line="247" w:lineRule="auto"/>
        <w:ind w:left="7" w:right="72" w:firstLine="419"/>
        <w:rPr>
          <w:rFonts w:ascii="宋体" w:hAnsi="宋体" w:eastAsia="宋体" w:cs="宋体"/>
          <w:sz w:val="21"/>
          <w:szCs w:val="21"/>
        </w:rPr>
      </w:pPr>
      <w:r>
        <w:rPr>
          <w:rFonts w:ascii="Times New Roman" w:hAnsi="Times New Roman" w:eastAsia="Times New Roman" w:cs="Times New Roman"/>
          <w:spacing w:val="-2"/>
          <w:sz w:val="21"/>
          <w:szCs w:val="21"/>
        </w:rPr>
        <w:t>a)</w:t>
      </w:r>
      <w:r>
        <w:rPr>
          <w:rFonts w:ascii="宋体" w:hAnsi="宋体" w:eastAsia="宋体" w:cs="宋体"/>
          <w:spacing w:val="-2"/>
          <w:sz w:val="21"/>
          <w:szCs w:val="21"/>
        </w:rPr>
        <w:t>固定源燃烧排放：发生在社区地理边界内的化石燃</w:t>
      </w:r>
      <w:r>
        <w:rPr>
          <w:rFonts w:ascii="宋体" w:hAnsi="宋体" w:eastAsia="宋体" w:cs="宋体"/>
          <w:spacing w:val="-3"/>
          <w:sz w:val="21"/>
          <w:szCs w:val="21"/>
        </w:rPr>
        <w:t>料燃烧，如社区使用燃煤或天然气锅炉产生的</w:t>
      </w:r>
      <w:r>
        <w:rPr>
          <w:rFonts w:ascii="宋体" w:hAnsi="宋体" w:eastAsia="宋体" w:cs="宋体"/>
          <w:sz w:val="21"/>
          <w:szCs w:val="21"/>
        </w:rPr>
        <w:t xml:space="preserve"> 排放、居民家用燃气灶使用液化石油气或天然气燃烧</w:t>
      </w:r>
      <w:r>
        <w:rPr>
          <w:rFonts w:ascii="宋体" w:hAnsi="宋体" w:eastAsia="宋体" w:cs="宋体"/>
          <w:spacing w:val="-1"/>
          <w:sz w:val="21"/>
          <w:szCs w:val="21"/>
        </w:rPr>
        <w:t>排放。</w:t>
      </w:r>
    </w:p>
    <w:p w14:paraId="27E64678">
      <w:pPr>
        <w:spacing w:before="63" w:line="247" w:lineRule="auto"/>
        <w:ind w:left="8" w:right="74" w:firstLine="409"/>
        <w:rPr>
          <w:rFonts w:ascii="宋体" w:hAnsi="宋体" w:eastAsia="宋体" w:cs="宋体"/>
          <w:sz w:val="21"/>
          <w:szCs w:val="21"/>
        </w:rPr>
      </w:pPr>
      <w:r>
        <w:rPr>
          <w:rFonts w:ascii="Times New Roman" w:hAnsi="Times New Roman" w:eastAsia="Times New Roman" w:cs="Times New Roman"/>
          <w:spacing w:val="-3"/>
          <w:sz w:val="21"/>
          <w:szCs w:val="21"/>
        </w:rPr>
        <w:t>b)</w:t>
      </w:r>
      <w:r>
        <w:rPr>
          <w:rFonts w:ascii="宋体" w:hAnsi="宋体" w:eastAsia="宋体" w:cs="宋体"/>
          <w:spacing w:val="-3"/>
          <w:sz w:val="21"/>
          <w:szCs w:val="21"/>
        </w:rPr>
        <w:t>移动源燃烧排放：社区内提供公共服务的车辆消耗燃料燃烧，如社区接驳车使用汽油、柴油等产</w:t>
      </w:r>
      <w:r>
        <w:rPr>
          <w:rFonts w:ascii="宋体" w:hAnsi="宋体" w:eastAsia="宋体" w:cs="宋体"/>
          <w:spacing w:val="17"/>
          <w:sz w:val="21"/>
          <w:szCs w:val="21"/>
        </w:rPr>
        <w:t xml:space="preserve"> </w:t>
      </w:r>
      <w:r>
        <w:rPr>
          <w:rFonts w:ascii="宋体" w:hAnsi="宋体" w:eastAsia="宋体" w:cs="宋体"/>
          <w:spacing w:val="-1"/>
          <w:sz w:val="21"/>
          <w:szCs w:val="21"/>
        </w:rPr>
        <w:t>生排放。不包括居民私家车燃料的消耗。</w:t>
      </w:r>
    </w:p>
    <w:p w14:paraId="14F254B4">
      <w:pPr>
        <w:spacing w:before="217" w:line="220" w:lineRule="auto"/>
        <w:rPr>
          <w:rFonts w:ascii="黑体" w:hAnsi="黑体" w:eastAsia="黑体" w:cs="黑体"/>
          <w:sz w:val="21"/>
          <w:szCs w:val="21"/>
        </w:rPr>
      </w:pPr>
      <w:r>
        <w:rPr>
          <w:rFonts w:ascii="黑体" w:hAnsi="黑体" w:eastAsia="黑体" w:cs="黑体"/>
          <w:spacing w:val="-1"/>
          <w:sz w:val="21"/>
          <w:szCs w:val="21"/>
        </w:rPr>
        <w:t>5.1.2  间接排放活动</w:t>
      </w:r>
    </w:p>
    <w:p w14:paraId="37936F50">
      <w:pPr>
        <w:spacing w:before="218" w:line="276" w:lineRule="auto"/>
        <w:ind w:left="10" w:right="71" w:firstLine="418"/>
        <w:rPr>
          <w:rFonts w:ascii="宋体" w:hAnsi="宋体" w:eastAsia="宋体" w:cs="宋体"/>
          <w:sz w:val="21"/>
          <w:szCs w:val="21"/>
        </w:rPr>
      </w:pPr>
      <w:r>
        <w:rPr>
          <w:rFonts w:ascii="宋体" w:hAnsi="宋体" w:eastAsia="宋体" w:cs="宋体"/>
          <w:spacing w:val="-4"/>
          <w:sz w:val="21"/>
          <w:szCs w:val="21"/>
        </w:rPr>
        <w:t>社区的间接排放包括外购电力、热力产生的排放，如</w:t>
      </w:r>
      <w:r>
        <w:rPr>
          <w:rFonts w:ascii="宋体" w:hAnsi="宋体" w:eastAsia="宋体" w:cs="宋体"/>
          <w:color w:val="FF0000"/>
          <w:spacing w:val="-4"/>
          <w:sz w:val="21"/>
          <w:szCs w:val="21"/>
        </w:rPr>
        <w:t>居民生活、社区服务与管理</w:t>
      </w:r>
      <w:r>
        <w:rPr>
          <w:rFonts w:ascii="宋体" w:hAnsi="宋体" w:eastAsia="宋体" w:cs="宋体"/>
          <w:spacing w:val="-4"/>
          <w:sz w:val="21"/>
          <w:szCs w:val="21"/>
        </w:rPr>
        <w:t>、公共设施和商业</w:t>
      </w:r>
      <w:r>
        <w:rPr>
          <w:rFonts w:ascii="宋体" w:hAnsi="宋体" w:eastAsia="宋体" w:cs="宋体"/>
          <w:spacing w:val="14"/>
          <w:sz w:val="21"/>
          <w:szCs w:val="21"/>
        </w:rPr>
        <w:t xml:space="preserve"> </w:t>
      </w:r>
      <w:r>
        <w:rPr>
          <w:rFonts w:ascii="宋体" w:hAnsi="宋体" w:eastAsia="宋体" w:cs="宋体"/>
          <w:spacing w:val="-3"/>
          <w:sz w:val="21"/>
          <w:szCs w:val="21"/>
        </w:rPr>
        <w:t>设施等用电、热力消耗。</w:t>
      </w:r>
    </w:p>
    <w:p w14:paraId="1E5A66F3">
      <w:pPr>
        <w:pStyle w:val="2"/>
        <w:spacing w:line="392" w:lineRule="auto"/>
      </w:pPr>
    </w:p>
    <w:p w14:paraId="07D7598D">
      <w:pPr>
        <w:spacing w:before="70" w:line="219" w:lineRule="auto"/>
        <w:ind w:left="2"/>
        <w:outlineLvl w:val="2"/>
        <w:rPr>
          <w:rFonts w:ascii="黑体" w:hAnsi="黑体" w:eastAsia="黑体" w:cs="黑体"/>
          <w:sz w:val="21"/>
          <w:szCs w:val="21"/>
        </w:rPr>
      </w:pPr>
      <w:bookmarkStart w:id="20" w:name="bookmark2"/>
      <w:bookmarkEnd w:id="20"/>
      <w:bookmarkStart w:id="21" w:name="bookmark13"/>
      <w:bookmarkEnd w:id="21"/>
      <w:r>
        <w:rPr>
          <w:rFonts w:ascii="黑体" w:hAnsi="黑体" w:eastAsia="黑体" w:cs="黑体"/>
          <w:sz w:val="21"/>
          <w:szCs w:val="21"/>
        </w:rPr>
        <w:t xml:space="preserve">5.2  </w:t>
      </w:r>
      <w:r>
        <w:rPr>
          <w:rFonts w:ascii="黑体" w:hAnsi="黑体" w:eastAsia="黑体" w:cs="黑体"/>
          <w:color w:val="FF0000"/>
          <w:sz w:val="21"/>
          <w:szCs w:val="21"/>
        </w:rPr>
        <w:t>温室气体排放量的计算方法</w:t>
      </w:r>
    </w:p>
    <w:p w14:paraId="5E1F8431">
      <w:pPr>
        <w:spacing w:before="219" w:line="218" w:lineRule="auto"/>
        <w:rPr>
          <w:rFonts w:ascii="黑体" w:hAnsi="黑体" w:eastAsia="黑体" w:cs="黑体"/>
          <w:sz w:val="21"/>
          <w:szCs w:val="21"/>
        </w:rPr>
      </w:pPr>
      <w:r>
        <w:rPr>
          <w:rFonts w:ascii="黑体" w:hAnsi="黑体" w:eastAsia="黑体" w:cs="黑体"/>
          <w:spacing w:val="-1"/>
          <w:sz w:val="21"/>
          <w:szCs w:val="21"/>
        </w:rPr>
        <w:t>5.2.1  化石燃料燃烧碳排放量</w:t>
      </w:r>
    </w:p>
    <w:p w14:paraId="18D40F93">
      <w:pPr>
        <w:spacing w:before="221" w:line="264" w:lineRule="auto"/>
        <w:ind w:left="11" w:right="71" w:firstLine="417"/>
        <w:rPr>
          <w:rFonts w:ascii="宋体" w:hAnsi="宋体" w:eastAsia="宋体" w:cs="宋体"/>
          <w:sz w:val="21"/>
          <w:szCs w:val="21"/>
        </w:rPr>
      </w:pPr>
      <w:r>
        <w:rPr>
          <w:rFonts w:ascii="宋体" w:hAnsi="宋体" w:eastAsia="宋体" w:cs="宋体"/>
          <w:spacing w:val="-2"/>
          <w:sz w:val="21"/>
          <w:szCs w:val="21"/>
        </w:rPr>
        <w:t>社区化石燃料燃烧的碳排放，是指社区报告期内各种化石燃料燃烧产生的</w:t>
      </w:r>
      <w:r>
        <w:rPr>
          <w:rFonts w:ascii="Times New Roman" w:hAnsi="Times New Roman" w:eastAsia="Times New Roman" w:cs="Times New Roman"/>
          <w:spacing w:val="-2"/>
          <w:sz w:val="21"/>
          <w:szCs w:val="21"/>
        </w:rPr>
        <w:t>CO</w:t>
      </w:r>
      <w:r>
        <w:rPr>
          <w:rFonts w:ascii="Times New Roman" w:hAnsi="Times New Roman" w:eastAsia="Times New Roman" w:cs="Times New Roman"/>
          <w:spacing w:val="-2"/>
          <w:position w:val="-1"/>
          <w:sz w:val="13"/>
          <w:szCs w:val="13"/>
        </w:rPr>
        <w:t>2</w:t>
      </w:r>
      <w:r>
        <w:rPr>
          <w:rFonts w:ascii="宋体" w:hAnsi="宋体" w:eastAsia="宋体" w:cs="宋体"/>
          <w:spacing w:val="-2"/>
          <w:sz w:val="21"/>
          <w:szCs w:val="21"/>
        </w:rPr>
        <w:t>排放量</w:t>
      </w:r>
      <w:r>
        <w:rPr>
          <w:rFonts w:ascii="宋体" w:hAnsi="宋体" w:eastAsia="宋体" w:cs="宋体"/>
          <w:spacing w:val="-3"/>
          <w:sz w:val="21"/>
          <w:szCs w:val="21"/>
        </w:rPr>
        <w:t>的汇总，按公</w:t>
      </w:r>
      <w:r>
        <w:rPr>
          <w:rFonts w:ascii="宋体" w:hAnsi="宋体" w:eastAsia="宋体" w:cs="宋体"/>
          <w:sz w:val="21"/>
          <w:szCs w:val="21"/>
        </w:rPr>
        <w:t xml:space="preserve"> </w:t>
      </w:r>
      <w:r>
        <w:rPr>
          <w:rFonts w:ascii="宋体" w:hAnsi="宋体" w:eastAsia="宋体" w:cs="宋体"/>
          <w:spacing w:val="-6"/>
          <w:sz w:val="21"/>
          <w:szCs w:val="21"/>
        </w:rPr>
        <w:t>式（</w:t>
      </w:r>
      <w:r>
        <w:rPr>
          <w:rFonts w:ascii="Times New Roman" w:hAnsi="Times New Roman" w:eastAsia="Times New Roman" w:cs="Times New Roman"/>
          <w:spacing w:val="-6"/>
          <w:sz w:val="21"/>
          <w:szCs w:val="21"/>
        </w:rPr>
        <w:t>1</w:t>
      </w:r>
      <w:r>
        <w:rPr>
          <w:rFonts w:ascii="宋体" w:hAnsi="宋体" w:eastAsia="宋体" w:cs="宋体"/>
          <w:spacing w:val="-6"/>
          <w:sz w:val="21"/>
          <w:szCs w:val="21"/>
        </w:rPr>
        <w:t>）计算：</w:t>
      </w:r>
    </w:p>
    <w:p w14:paraId="08D73865">
      <w:pPr>
        <w:spacing w:before="1" w:line="239" w:lineRule="auto"/>
        <w:ind w:left="3483"/>
        <w:rPr>
          <w:rFonts w:ascii="宋体" w:hAnsi="宋体" w:eastAsia="宋体" w:cs="宋体"/>
          <w:sz w:val="21"/>
          <w:szCs w:val="21"/>
        </w:rPr>
      </w:pPr>
      <w:r>
        <w:rPr>
          <w:rFonts w:ascii="Cambria Math" w:hAnsi="Cambria Math" w:eastAsia="Cambria Math" w:cs="Cambria Math"/>
          <w:position w:val="1"/>
          <w:sz w:val="21"/>
          <w:szCs w:val="21"/>
        </w:rPr>
        <w:t>AE</w:t>
      </w:r>
      <w:r>
        <w:rPr>
          <w:rFonts w:ascii="Cambria Math" w:hAnsi="Cambria Math" w:eastAsia="Cambria Math" w:cs="Cambria Math"/>
          <w:position w:val="-3"/>
          <w:sz w:val="15"/>
          <w:szCs w:val="15"/>
        </w:rPr>
        <w:t>c</w:t>
      </w:r>
      <w:r>
        <w:rPr>
          <w:rFonts w:ascii="Cambria Math" w:hAnsi="Cambria Math" w:eastAsia="Cambria Math" w:cs="Cambria Math"/>
          <w:spacing w:val="2"/>
          <w:position w:val="-3"/>
          <w:sz w:val="15"/>
          <w:szCs w:val="15"/>
        </w:rPr>
        <w:t>,</w:t>
      </w:r>
      <w:r>
        <w:rPr>
          <w:rFonts w:ascii="Cambria Math" w:hAnsi="Cambria Math" w:eastAsia="Cambria Math" w:cs="Cambria Math"/>
          <w:position w:val="-3"/>
          <w:sz w:val="15"/>
          <w:szCs w:val="15"/>
        </w:rPr>
        <w:t>de</w:t>
      </w:r>
      <w:r>
        <w:rPr>
          <w:rFonts w:ascii="Cambria Math" w:hAnsi="Cambria Math" w:eastAsia="Cambria Math" w:cs="Cambria Math"/>
          <w:spacing w:val="9"/>
          <w:w w:val="101"/>
          <w:position w:val="-3"/>
          <w:sz w:val="15"/>
          <w:szCs w:val="15"/>
        </w:rPr>
        <w:t xml:space="preserve">  </w:t>
      </w:r>
      <w:r>
        <w:rPr>
          <w:rFonts w:ascii="Cambria Math" w:hAnsi="Cambria Math" w:eastAsia="Cambria Math" w:cs="Cambria Math"/>
          <w:spacing w:val="2"/>
          <w:position w:val="1"/>
          <w:sz w:val="21"/>
          <w:szCs w:val="21"/>
        </w:rPr>
        <w:t>=</w:t>
      </w:r>
      <w:r>
        <w:rPr>
          <w:rFonts w:ascii="Cambria Math" w:hAnsi="Cambria Math" w:eastAsia="Cambria Math" w:cs="Cambria Math"/>
          <w:spacing w:val="15"/>
          <w:position w:val="1"/>
          <w:sz w:val="21"/>
          <w:szCs w:val="21"/>
        </w:rPr>
        <w:t xml:space="preserve"> </w:t>
      </w:r>
      <w:r>
        <w:rPr>
          <w:rFonts w:ascii="Cambria Math" w:hAnsi="Cambria Math" w:eastAsia="Cambria Math" w:cs="Cambria Math"/>
          <w:spacing w:val="2"/>
          <w:position w:val="2"/>
          <w:sz w:val="21"/>
          <w:szCs w:val="21"/>
        </w:rPr>
        <w:t>∑</w:t>
      </w:r>
      <w:r>
        <w:rPr>
          <w:position w:val="-5"/>
          <w:sz w:val="21"/>
          <w:szCs w:val="21"/>
        </w:rPr>
        <w:drawing>
          <wp:inline distT="0" distB="0" distL="0" distR="0">
            <wp:extent cx="105410" cy="1822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105876" cy="182879"/>
                    </a:xfrm>
                    <a:prstGeom prst="rect">
                      <a:avLst/>
                    </a:prstGeom>
                  </pic:spPr>
                </pic:pic>
              </a:graphicData>
            </a:graphic>
          </wp:inline>
        </w:drawing>
      </w:r>
      <w:r>
        <w:rPr>
          <w:rFonts w:ascii="Cambria Math" w:hAnsi="Cambria Math" w:eastAsia="Cambria Math" w:cs="Cambria Math"/>
          <w:spacing w:val="2"/>
          <w:position w:val="-4"/>
          <w:sz w:val="15"/>
          <w:szCs w:val="15"/>
        </w:rPr>
        <w:t>1</w:t>
      </w:r>
      <w:r>
        <w:rPr>
          <w:rFonts w:ascii="Cambria Math" w:hAnsi="Cambria Math" w:eastAsia="Cambria Math" w:cs="Cambria Math"/>
          <w:spacing w:val="-18"/>
          <w:position w:val="-4"/>
          <w:sz w:val="15"/>
          <w:szCs w:val="15"/>
        </w:rPr>
        <w:t xml:space="preserve"> </w:t>
      </w:r>
      <w:r>
        <w:rPr>
          <w:rFonts w:ascii="Cambria Math" w:hAnsi="Cambria Math" w:eastAsia="Cambria Math" w:cs="Cambria Math"/>
          <w:spacing w:val="2"/>
          <w:position w:val="1"/>
          <w:sz w:val="21"/>
          <w:szCs w:val="21"/>
        </w:rPr>
        <w:t>(</w:t>
      </w:r>
      <w:r>
        <w:rPr>
          <w:rFonts w:ascii="Cambria Math" w:hAnsi="Cambria Math" w:eastAsia="Cambria Math" w:cs="Cambria Math"/>
          <w:position w:val="1"/>
          <w:sz w:val="21"/>
          <w:szCs w:val="21"/>
        </w:rPr>
        <w:t>AD</w:t>
      </w:r>
      <w:r>
        <w:rPr>
          <w:rFonts w:ascii="Cambria Math" w:hAnsi="Cambria Math" w:eastAsia="Cambria Math" w:cs="Cambria Math"/>
          <w:position w:val="-3"/>
          <w:sz w:val="15"/>
          <w:szCs w:val="15"/>
        </w:rPr>
        <w:t>ci</w:t>
      </w:r>
      <w:r>
        <w:rPr>
          <w:rFonts w:ascii="Cambria Math" w:hAnsi="Cambria Math" w:eastAsia="Cambria Math" w:cs="Cambria Math"/>
          <w:spacing w:val="2"/>
          <w:position w:val="-3"/>
          <w:sz w:val="15"/>
          <w:szCs w:val="15"/>
        </w:rPr>
        <w:t xml:space="preserve">  </w:t>
      </w:r>
      <w:r>
        <w:rPr>
          <w:rFonts w:ascii="Cambria Math" w:hAnsi="Cambria Math" w:eastAsia="Cambria Math" w:cs="Cambria Math"/>
          <w:spacing w:val="2"/>
          <w:position w:val="1"/>
          <w:sz w:val="21"/>
          <w:szCs w:val="21"/>
        </w:rPr>
        <w:t xml:space="preserve">× </w:t>
      </w:r>
      <w:r>
        <w:rPr>
          <w:rFonts w:ascii="Cambria Math" w:hAnsi="Cambria Math" w:eastAsia="Cambria Math" w:cs="Cambria Math"/>
          <w:position w:val="1"/>
          <w:sz w:val="21"/>
          <w:szCs w:val="21"/>
        </w:rPr>
        <w:t>EF</w:t>
      </w:r>
      <w:r>
        <w:rPr>
          <w:rFonts w:ascii="Cambria Math" w:hAnsi="Cambria Math" w:eastAsia="Cambria Math" w:cs="Cambria Math"/>
          <w:position w:val="-3"/>
          <w:sz w:val="15"/>
          <w:szCs w:val="15"/>
        </w:rPr>
        <w:t>ci</w:t>
      </w:r>
      <w:r>
        <w:rPr>
          <w:rFonts w:ascii="Cambria Math" w:hAnsi="Cambria Math" w:eastAsia="Cambria Math" w:cs="Cambria Math"/>
          <w:spacing w:val="-15"/>
          <w:position w:val="-3"/>
          <w:sz w:val="15"/>
          <w:szCs w:val="15"/>
        </w:rPr>
        <w:t xml:space="preserve"> </w:t>
      </w:r>
      <w:r>
        <w:rPr>
          <w:rFonts w:ascii="Cambria Math" w:hAnsi="Cambria Math" w:eastAsia="Cambria Math" w:cs="Cambria Math"/>
          <w:spacing w:val="2"/>
          <w:position w:val="1"/>
          <w:sz w:val="21"/>
          <w:szCs w:val="21"/>
        </w:rPr>
        <w:t xml:space="preserve">)                    </w:t>
      </w:r>
      <w:r>
        <w:rPr>
          <w:rFonts w:ascii="Cambria Math" w:hAnsi="Cambria Math" w:eastAsia="Cambria Math" w:cs="Cambria Math"/>
          <w:spacing w:val="1"/>
          <w:position w:val="1"/>
          <w:sz w:val="21"/>
          <w:szCs w:val="21"/>
        </w:rPr>
        <w:t xml:space="preserve">                                        </w:t>
      </w:r>
      <w:r>
        <w:rPr>
          <w:rFonts w:ascii="宋体" w:hAnsi="宋体" w:eastAsia="宋体" w:cs="宋体"/>
          <w:spacing w:val="1"/>
          <w:position w:val="1"/>
          <w:sz w:val="21"/>
          <w:szCs w:val="21"/>
        </w:rPr>
        <w:t>（</w:t>
      </w:r>
      <w:r>
        <w:rPr>
          <w:rFonts w:ascii="Times New Roman" w:hAnsi="Times New Roman" w:eastAsia="Times New Roman" w:cs="Times New Roman"/>
          <w:spacing w:val="1"/>
          <w:position w:val="1"/>
          <w:sz w:val="21"/>
          <w:szCs w:val="21"/>
        </w:rPr>
        <w:t>1</w:t>
      </w:r>
      <w:r>
        <w:rPr>
          <w:rFonts w:ascii="宋体" w:hAnsi="宋体" w:eastAsia="宋体" w:cs="宋体"/>
          <w:spacing w:val="1"/>
          <w:position w:val="1"/>
          <w:sz w:val="21"/>
          <w:szCs w:val="21"/>
        </w:rPr>
        <w:t>）</w:t>
      </w:r>
    </w:p>
    <w:p w14:paraId="5F070099">
      <w:pPr>
        <w:spacing w:before="23" w:line="221" w:lineRule="auto"/>
        <w:ind w:left="431"/>
        <w:rPr>
          <w:rFonts w:ascii="宋体" w:hAnsi="宋体" w:eastAsia="宋体" w:cs="宋体"/>
          <w:sz w:val="21"/>
          <w:szCs w:val="21"/>
        </w:rPr>
      </w:pPr>
      <w:r>
        <w:rPr>
          <w:rFonts w:ascii="宋体" w:hAnsi="宋体" w:eastAsia="宋体" w:cs="宋体"/>
          <w:spacing w:val="-13"/>
          <w:sz w:val="21"/>
          <w:szCs w:val="21"/>
        </w:rPr>
        <w:t>式中：</w:t>
      </w:r>
    </w:p>
    <w:p w14:paraId="6C2B488A">
      <w:pPr>
        <w:spacing w:before="58" w:line="228" w:lineRule="auto"/>
        <w:jc w:val="right"/>
        <w:rPr>
          <w:rFonts w:ascii="宋体" w:hAnsi="宋体" w:eastAsia="宋体" w:cs="宋体"/>
          <w:sz w:val="21"/>
          <w:szCs w:val="21"/>
        </w:rPr>
      </w:pPr>
      <w:r>
        <w:rPr>
          <w:rFonts w:ascii="Cambria Math" w:hAnsi="Cambria Math" w:eastAsia="Cambria Math" w:cs="Cambria Math"/>
          <w:sz w:val="21"/>
          <w:szCs w:val="21"/>
        </w:rPr>
        <w:t>AE</w:t>
      </w:r>
      <w:r>
        <w:rPr>
          <w:rFonts w:ascii="Cambria Math" w:hAnsi="Cambria Math" w:eastAsia="Cambria Math" w:cs="Cambria Math"/>
          <w:position w:val="-4"/>
          <w:sz w:val="15"/>
          <w:szCs w:val="15"/>
        </w:rPr>
        <w:t>c</w:t>
      </w:r>
      <w:r>
        <w:rPr>
          <w:rFonts w:ascii="Cambria Math" w:hAnsi="Cambria Math" w:eastAsia="Cambria Math" w:cs="Cambria Math"/>
          <w:spacing w:val="4"/>
          <w:position w:val="-4"/>
          <w:sz w:val="15"/>
          <w:szCs w:val="15"/>
        </w:rPr>
        <w:t>,</w:t>
      </w:r>
      <w:r>
        <w:rPr>
          <w:rFonts w:ascii="Cambria Math" w:hAnsi="Cambria Math" w:eastAsia="Cambria Math" w:cs="Cambria Math"/>
          <w:position w:val="-4"/>
          <w:sz w:val="15"/>
          <w:szCs w:val="15"/>
        </w:rPr>
        <w:t>de</w:t>
      </w:r>
      <w:r>
        <w:rPr>
          <w:rFonts w:ascii="Times New Roman" w:hAnsi="Times New Roman" w:eastAsia="Times New Roman" w:cs="Times New Roman"/>
          <w:spacing w:val="4"/>
          <w:sz w:val="21"/>
          <w:szCs w:val="21"/>
        </w:rPr>
        <w:t>——</w:t>
      </w:r>
      <w:r>
        <w:rPr>
          <w:rFonts w:ascii="宋体" w:hAnsi="宋体" w:eastAsia="宋体" w:cs="宋体"/>
          <w:spacing w:val="4"/>
          <w:sz w:val="21"/>
          <w:szCs w:val="21"/>
        </w:rPr>
        <w:t>报告期内，社区生活用化石燃料燃烧产生的</w:t>
      </w:r>
      <w:r>
        <w:rPr>
          <w:rFonts w:ascii="Times New Roman" w:hAnsi="Times New Roman" w:eastAsia="Times New Roman" w:cs="Times New Roman"/>
          <w:sz w:val="21"/>
          <w:szCs w:val="21"/>
        </w:rPr>
        <w:t>CO</w:t>
      </w:r>
      <w:r>
        <w:rPr>
          <w:rFonts w:ascii="Times New Roman" w:hAnsi="Times New Roman" w:eastAsia="Times New Roman" w:cs="Times New Roman"/>
          <w:spacing w:val="4"/>
          <w:position w:val="-1"/>
          <w:sz w:val="13"/>
          <w:szCs w:val="13"/>
        </w:rPr>
        <w:t>2</w:t>
      </w:r>
      <w:r>
        <w:rPr>
          <w:rFonts w:ascii="宋体" w:hAnsi="宋体" w:eastAsia="宋体" w:cs="宋体"/>
          <w:spacing w:val="4"/>
          <w:sz w:val="21"/>
          <w:szCs w:val="21"/>
        </w:rPr>
        <w:t>排放量，单位为吨二氧化碳（</w:t>
      </w:r>
      <w:r>
        <w:rPr>
          <w:rFonts w:ascii="Times New Roman" w:hAnsi="Times New Roman" w:eastAsia="Times New Roman" w:cs="Times New Roman"/>
          <w:sz w:val="21"/>
          <w:szCs w:val="21"/>
        </w:rPr>
        <w:t>tCO</w:t>
      </w:r>
      <w:r>
        <w:rPr>
          <w:rFonts w:ascii="Times New Roman" w:hAnsi="Times New Roman" w:eastAsia="Times New Roman" w:cs="Times New Roman"/>
          <w:spacing w:val="4"/>
          <w:position w:val="-1"/>
          <w:sz w:val="13"/>
          <w:szCs w:val="13"/>
        </w:rPr>
        <w:t>2</w:t>
      </w:r>
      <w:r>
        <w:rPr>
          <w:rFonts w:ascii="宋体" w:hAnsi="宋体" w:eastAsia="宋体" w:cs="宋体"/>
          <w:spacing w:val="-22"/>
          <w:sz w:val="21"/>
          <w:szCs w:val="21"/>
        </w:rPr>
        <w:t>）；</w:t>
      </w:r>
    </w:p>
    <w:p w14:paraId="595E779B">
      <w:pPr>
        <w:spacing w:before="43" w:line="290" w:lineRule="exact"/>
        <w:ind w:left="417"/>
        <w:rPr>
          <w:rFonts w:ascii="宋体" w:hAnsi="宋体" w:eastAsia="宋体" w:cs="宋体"/>
          <w:sz w:val="21"/>
          <w:szCs w:val="21"/>
        </w:rPr>
      </w:pPr>
      <w:r>
        <w:rPr>
          <w:rFonts w:ascii="Cambria Math" w:hAnsi="Cambria Math" w:eastAsia="Cambria Math" w:cs="Cambria Math"/>
          <w:position w:val="2"/>
          <w:sz w:val="21"/>
          <w:szCs w:val="21"/>
        </w:rPr>
        <w:t>AD</w:t>
      </w:r>
      <w:r>
        <w:rPr>
          <w:rFonts w:ascii="Cambria Math" w:hAnsi="Cambria Math" w:eastAsia="Cambria Math" w:cs="Cambria Math"/>
          <w:position w:val="-2"/>
          <w:sz w:val="15"/>
          <w:szCs w:val="15"/>
        </w:rPr>
        <w:t>ci</w:t>
      </w:r>
      <w:r>
        <w:rPr>
          <w:rFonts w:ascii="Times New Roman" w:hAnsi="Times New Roman" w:eastAsia="Times New Roman" w:cs="Times New Roman"/>
          <w:spacing w:val="1"/>
          <w:position w:val="2"/>
          <w:sz w:val="21"/>
          <w:szCs w:val="21"/>
        </w:rPr>
        <w:t>——</w:t>
      </w:r>
      <w:r>
        <w:rPr>
          <w:rFonts w:ascii="宋体" w:hAnsi="宋体" w:eastAsia="宋体" w:cs="宋体"/>
          <w:spacing w:val="1"/>
          <w:position w:val="2"/>
          <w:sz w:val="21"/>
          <w:szCs w:val="21"/>
        </w:rPr>
        <w:t>报告期内，社区第</w:t>
      </w:r>
      <w:r>
        <w:rPr>
          <w:rFonts w:ascii="Times New Roman" w:hAnsi="Times New Roman" w:eastAsia="Times New Roman" w:cs="Times New Roman"/>
          <w:spacing w:val="1"/>
          <w:position w:val="2"/>
          <w:sz w:val="21"/>
          <w:szCs w:val="21"/>
        </w:rPr>
        <w:t>i</w:t>
      </w:r>
      <w:r>
        <w:rPr>
          <w:rFonts w:ascii="宋体" w:hAnsi="宋体" w:eastAsia="宋体" w:cs="宋体"/>
          <w:spacing w:val="1"/>
          <w:position w:val="2"/>
          <w:sz w:val="21"/>
          <w:szCs w:val="21"/>
        </w:rPr>
        <w:t>种生活化石燃料用量，单位百万千焦（</w:t>
      </w:r>
      <w:r>
        <w:rPr>
          <w:rFonts w:ascii="Times New Roman" w:hAnsi="Times New Roman" w:eastAsia="Times New Roman" w:cs="Times New Roman"/>
          <w:position w:val="2"/>
          <w:sz w:val="21"/>
          <w:szCs w:val="21"/>
        </w:rPr>
        <w:t>GJ</w:t>
      </w:r>
      <w:r>
        <w:rPr>
          <w:rFonts w:ascii="宋体" w:hAnsi="宋体" w:eastAsia="宋体" w:cs="宋体"/>
          <w:spacing w:val="-9"/>
          <w:position w:val="2"/>
          <w:sz w:val="21"/>
          <w:szCs w:val="21"/>
        </w:rPr>
        <w:t>）；</w:t>
      </w:r>
    </w:p>
    <w:p w14:paraId="580ACEC2">
      <w:pPr>
        <w:spacing w:before="22" w:line="290" w:lineRule="exact"/>
        <w:ind w:left="424"/>
        <w:rPr>
          <w:rFonts w:ascii="Times New Roman" w:hAnsi="Times New Roman" w:eastAsia="Times New Roman" w:cs="Times New Roman"/>
          <w:sz w:val="21"/>
          <w:szCs w:val="21"/>
        </w:rPr>
      </w:pPr>
      <w:r>
        <w:rPr>
          <w:rFonts w:ascii="Cambria Math" w:hAnsi="Cambria Math" w:eastAsia="Cambria Math" w:cs="Cambria Math"/>
          <w:position w:val="2"/>
          <w:sz w:val="21"/>
          <w:szCs w:val="21"/>
        </w:rPr>
        <w:t>EF</w:t>
      </w:r>
      <w:r>
        <w:rPr>
          <w:rFonts w:ascii="Cambria Math" w:hAnsi="Cambria Math" w:eastAsia="Cambria Math" w:cs="Cambria Math"/>
          <w:position w:val="-2"/>
          <w:sz w:val="15"/>
          <w:szCs w:val="15"/>
        </w:rPr>
        <w:t>ci</w:t>
      </w:r>
      <w:r>
        <w:rPr>
          <w:rFonts w:ascii="Times New Roman" w:hAnsi="Times New Roman" w:eastAsia="Times New Roman" w:cs="Times New Roman"/>
          <w:spacing w:val="1"/>
          <w:position w:val="2"/>
          <w:sz w:val="21"/>
          <w:szCs w:val="21"/>
        </w:rPr>
        <w:t>——</w:t>
      </w:r>
      <w:r>
        <w:rPr>
          <w:rFonts w:ascii="宋体" w:hAnsi="宋体" w:eastAsia="宋体" w:cs="宋体"/>
          <w:spacing w:val="1"/>
          <w:position w:val="2"/>
          <w:sz w:val="21"/>
          <w:szCs w:val="21"/>
        </w:rPr>
        <w:t>第</w:t>
      </w:r>
      <w:r>
        <w:rPr>
          <w:rFonts w:ascii="Times New Roman" w:hAnsi="Times New Roman" w:eastAsia="Times New Roman" w:cs="Times New Roman"/>
          <w:spacing w:val="1"/>
          <w:position w:val="2"/>
          <w:sz w:val="21"/>
          <w:szCs w:val="21"/>
        </w:rPr>
        <w:t>i</w:t>
      </w:r>
      <w:r>
        <w:rPr>
          <w:rFonts w:ascii="宋体" w:hAnsi="宋体" w:eastAsia="宋体" w:cs="宋体"/>
          <w:spacing w:val="1"/>
          <w:position w:val="2"/>
          <w:sz w:val="21"/>
          <w:szCs w:val="21"/>
        </w:rPr>
        <w:t>种化石燃料的二氧化碳排放因子，单位为</w:t>
      </w:r>
      <w:r>
        <w:rPr>
          <w:rFonts w:ascii="Times New Roman" w:hAnsi="Times New Roman" w:eastAsia="Times New Roman" w:cs="Times New Roman"/>
          <w:position w:val="2"/>
          <w:sz w:val="21"/>
          <w:szCs w:val="21"/>
        </w:rPr>
        <w:t>tCO</w:t>
      </w:r>
      <w:r>
        <w:rPr>
          <w:rFonts w:ascii="Times New Roman" w:hAnsi="Times New Roman" w:eastAsia="Times New Roman" w:cs="Times New Roman"/>
          <w:spacing w:val="1"/>
          <w:position w:val="1"/>
          <w:sz w:val="13"/>
          <w:szCs w:val="13"/>
        </w:rPr>
        <w:t>2</w:t>
      </w:r>
      <w:r>
        <w:rPr>
          <w:rFonts w:ascii="Times New Roman" w:hAnsi="Times New Roman" w:eastAsia="Times New Roman" w:cs="Times New Roman"/>
          <w:spacing w:val="1"/>
          <w:position w:val="2"/>
          <w:sz w:val="21"/>
          <w:szCs w:val="21"/>
        </w:rPr>
        <w:t>/</w:t>
      </w:r>
      <w:r>
        <w:rPr>
          <w:rFonts w:ascii="Times New Roman" w:hAnsi="Times New Roman" w:eastAsia="Times New Roman" w:cs="Times New Roman"/>
          <w:position w:val="2"/>
          <w:sz w:val="21"/>
          <w:szCs w:val="21"/>
        </w:rPr>
        <w:t>GJ</w:t>
      </w:r>
      <w:r>
        <w:rPr>
          <w:rFonts w:ascii="Times New Roman" w:hAnsi="Times New Roman" w:eastAsia="Times New Roman" w:cs="Times New Roman"/>
          <w:spacing w:val="1"/>
          <w:position w:val="2"/>
          <w:sz w:val="21"/>
          <w:szCs w:val="21"/>
        </w:rPr>
        <w:t>;</w:t>
      </w:r>
    </w:p>
    <w:p w14:paraId="75B970D1">
      <w:pPr>
        <w:spacing w:before="23" w:line="234" w:lineRule="auto"/>
        <w:ind w:left="425"/>
        <w:rPr>
          <w:rFonts w:ascii="宋体" w:hAnsi="宋体" w:eastAsia="宋体" w:cs="宋体"/>
          <w:sz w:val="21"/>
          <w:szCs w:val="21"/>
        </w:rPr>
      </w:pPr>
      <w:r>
        <w:rPr>
          <w:rFonts w:ascii="Times New Roman" w:hAnsi="Times New Roman" w:eastAsia="Times New Roman" w:cs="Times New Roman"/>
          <w:spacing w:val="-3"/>
          <w:sz w:val="21"/>
          <w:szCs w:val="21"/>
        </w:rPr>
        <w:t>i——</w:t>
      </w:r>
      <w:r>
        <w:rPr>
          <w:rFonts w:ascii="宋体" w:hAnsi="宋体" w:eastAsia="宋体" w:cs="宋体"/>
          <w:spacing w:val="-3"/>
          <w:sz w:val="21"/>
          <w:szCs w:val="21"/>
        </w:rPr>
        <w:t>净消耗化石燃料的类型；</w:t>
      </w:r>
    </w:p>
    <w:p w14:paraId="3A96F1E9">
      <w:pPr>
        <w:spacing w:before="45" w:line="234" w:lineRule="auto"/>
        <w:ind w:left="420"/>
        <w:rPr>
          <w:rFonts w:ascii="宋体" w:hAnsi="宋体" w:eastAsia="宋体" w:cs="宋体"/>
          <w:sz w:val="21"/>
          <w:szCs w:val="21"/>
        </w:rPr>
      </w:pPr>
      <w:r>
        <w:rPr>
          <w:rFonts w:ascii="Times New Roman" w:hAnsi="Times New Roman" w:eastAsia="Times New Roman" w:cs="Times New Roman"/>
          <w:sz w:val="21"/>
          <w:szCs w:val="21"/>
        </w:rPr>
        <w:t>n——</w:t>
      </w:r>
      <w:r>
        <w:rPr>
          <w:rFonts w:ascii="宋体" w:hAnsi="宋体" w:eastAsia="宋体" w:cs="宋体"/>
          <w:sz w:val="21"/>
          <w:szCs w:val="21"/>
        </w:rPr>
        <w:t>消耗化石燃料的类型种数。</w:t>
      </w:r>
    </w:p>
    <w:p w14:paraId="5BABECCC">
      <w:pPr>
        <w:spacing w:before="46" w:line="290" w:lineRule="exact"/>
        <w:ind w:left="425"/>
        <w:rPr>
          <w:rFonts w:ascii="宋体" w:hAnsi="宋体" w:eastAsia="宋体" w:cs="宋体"/>
          <w:sz w:val="21"/>
          <w:szCs w:val="21"/>
        </w:rPr>
      </w:pPr>
      <w:r>
        <w:rPr>
          <w:rFonts w:ascii="宋体" w:hAnsi="宋体" w:eastAsia="宋体" w:cs="宋体"/>
          <w:position w:val="2"/>
          <w:sz w:val="21"/>
          <w:szCs w:val="21"/>
        </w:rPr>
        <w:t>报告期内第</w:t>
      </w:r>
      <w:r>
        <w:rPr>
          <w:rFonts w:ascii="Times New Roman" w:hAnsi="Times New Roman" w:eastAsia="Times New Roman" w:cs="Times New Roman"/>
          <w:position w:val="2"/>
          <w:sz w:val="21"/>
          <w:szCs w:val="21"/>
        </w:rPr>
        <w:t>i</w:t>
      </w:r>
      <w:r>
        <w:rPr>
          <w:rFonts w:ascii="宋体" w:hAnsi="宋体" w:eastAsia="宋体" w:cs="宋体"/>
          <w:position w:val="2"/>
          <w:sz w:val="21"/>
          <w:szCs w:val="21"/>
        </w:rPr>
        <w:t>种化石燃料的活动水平</w:t>
      </w:r>
      <w:r>
        <w:rPr>
          <w:rFonts w:ascii="Cambria Math" w:hAnsi="Cambria Math" w:eastAsia="Cambria Math" w:cs="Cambria Math"/>
          <w:position w:val="2"/>
          <w:sz w:val="21"/>
          <w:szCs w:val="21"/>
        </w:rPr>
        <w:t>AD</w:t>
      </w:r>
      <w:r>
        <w:rPr>
          <w:rFonts w:ascii="Cambria Math" w:hAnsi="Cambria Math" w:eastAsia="Cambria Math" w:cs="Cambria Math"/>
          <w:position w:val="-2"/>
          <w:sz w:val="15"/>
          <w:szCs w:val="15"/>
        </w:rPr>
        <w:t>ci</w:t>
      </w:r>
      <w:r>
        <w:rPr>
          <w:rFonts w:ascii="Cambria Math" w:hAnsi="Cambria Math" w:eastAsia="Cambria Math" w:cs="Cambria Math"/>
          <w:spacing w:val="-7"/>
          <w:position w:val="-2"/>
          <w:sz w:val="15"/>
          <w:szCs w:val="15"/>
        </w:rPr>
        <w:t xml:space="preserve"> </w:t>
      </w:r>
      <w:r>
        <w:rPr>
          <w:rFonts w:ascii="宋体" w:hAnsi="宋体" w:eastAsia="宋体" w:cs="宋体"/>
          <w:position w:val="2"/>
          <w:sz w:val="21"/>
          <w:szCs w:val="21"/>
        </w:rPr>
        <w:t>按公式（</w:t>
      </w:r>
      <w:r>
        <w:rPr>
          <w:rFonts w:ascii="Times New Roman" w:hAnsi="Times New Roman" w:eastAsia="Times New Roman" w:cs="Times New Roman"/>
          <w:position w:val="2"/>
          <w:sz w:val="21"/>
          <w:szCs w:val="21"/>
        </w:rPr>
        <w:t>2</w:t>
      </w:r>
      <w:r>
        <w:rPr>
          <w:rFonts w:ascii="宋体" w:hAnsi="宋体" w:eastAsia="宋体" w:cs="宋体"/>
          <w:position w:val="2"/>
          <w:sz w:val="21"/>
          <w:szCs w:val="21"/>
        </w:rPr>
        <w:t>）计算：</w:t>
      </w:r>
    </w:p>
    <w:p w14:paraId="5BD40916">
      <w:pPr>
        <w:spacing w:before="22" w:line="291" w:lineRule="exact"/>
        <w:ind w:left="3672"/>
        <w:rPr>
          <w:rFonts w:ascii="宋体" w:hAnsi="宋体" w:eastAsia="宋体" w:cs="宋体"/>
          <w:sz w:val="21"/>
          <w:szCs w:val="21"/>
        </w:rPr>
      </w:pPr>
      <w:r>
        <w:rPr>
          <w:rFonts w:ascii="Cambria Math" w:hAnsi="Cambria Math" w:eastAsia="Cambria Math" w:cs="Cambria Math"/>
          <w:position w:val="3"/>
          <w:sz w:val="21"/>
          <w:szCs w:val="21"/>
        </w:rPr>
        <w:t>AD</w:t>
      </w:r>
      <w:r>
        <w:rPr>
          <w:rFonts w:ascii="Cambria Math" w:hAnsi="Cambria Math" w:eastAsia="Cambria Math" w:cs="Cambria Math"/>
          <w:position w:val="-1"/>
          <w:sz w:val="15"/>
          <w:szCs w:val="15"/>
        </w:rPr>
        <w:t>ci</w:t>
      </w:r>
      <w:r>
        <w:rPr>
          <w:rFonts w:ascii="Cambria Math" w:hAnsi="Cambria Math" w:eastAsia="Cambria Math" w:cs="Cambria Math"/>
          <w:spacing w:val="10"/>
          <w:w w:val="102"/>
          <w:position w:val="-1"/>
          <w:sz w:val="15"/>
          <w:szCs w:val="15"/>
        </w:rPr>
        <w:t xml:space="preserve">  </w:t>
      </w:r>
      <w:r>
        <w:rPr>
          <w:rFonts w:ascii="Cambria Math" w:hAnsi="Cambria Math" w:eastAsia="Cambria Math" w:cs="Cambria Math"/>
          <w:spacing w:val="7"/>
          <w:position w:val="3"/>
          <w:sz w:val="21"/>
          <w:szCs w:val="21"/>
        </w:rPr>
        <w:t>=</w:t>
      </w:r>
      <w:r>
        <w:rPr>
          <w:rFonts w:ascii="Cambria Math" w:hAnsi="Cambria Math" w:eastAsia="Cambria Math" w:cs="Cambria Math"/>
          <w:spacing w:val="23"/>
          <w:w w:val="101"/>
          <w:position w:val="3"/>
          <w:sz w:val="21"/>
          <w:szCs w:val="21"/>
        </w:rPr>
        <w:t xml:space="preserve"> </w:t>
      </w:r>
      <w:r>
        <w:rPr>
          <w:rFonts w:ascii="Cambria Math" w:hAnsi="Cambria Math" w:eastAsia="Cambria Math" w:cs="Cambria Math"/>
          <w:position w:val="3"/>
          <w:sz w:val="21"/>
          <w:szCs w:val="21"/>
        </w:rPr>
        <w:t>Q</w:t>
      </w:r>
      <w:r>
        <w:rPr>
          <w:rFonts w:ascii="Cambria Math" w:hAnsi="Cambria Math" w:eastAsia="Cambria Math" w:cs="Cambria Math"/>
          <w:position w:val="-1"/>
          <w:sz w:val="15"/>
          <w:szCs w:val="15"/>
        </w:rPr>
        <w:t>ci</w:t>
      </w:r>
      <w:r>
        <w:rPr>
          <w:rFonts w:ascii="Cambria Math" w:hAnsi="Cambria Math" w:eastAsia="Cambria Math" w:cs="Cambria Math"/>
          <w:spacing w:val="7"/>
          <w:position w:val="-1"/>
          <w:sz w:val="15"/>
          <w:szCs w:val="15"/>
        </w:rPr>
        <w:t xml:space="preserve">  </w:t>
      </w:r>
      <w:r>
        <w:rPr>
          <w:rFonts w:ascii="Cambria Math" w:hAnsi="Cambria Math" w:eastAsia="Cambria Math" w:cs="Cambria Math"/>
          <w:spacing w:val="7"/>
          <w:position w:val="3"/>
          <w:sz w:val="21"/>
          <w:szCs w:val="21"/>
        </w:rPr>
        <w:t xml:space="preserve">× </w:t>
      </w:r>
      <w:r>
        <w:rPr>
          <w:rFonts w:ascii="Cambria Math" w:hAnsi="Cambria Math" w:eastAsia="Cambria Math" w:cs="Cambria Math"/>
          <w:position w:val="3"/>
          <w:sz w:val="21"/>
          <w:szCs w:val="21"/>
        </w:rPr>
        <w:t>Fc</w:t>
      </w:r>
      <w:r>
        <w:rPr>
          <w:rFonts w:ascii="Cambria Math" w:hAnsi="Cambria Math" w:eastAsia="Cambria Math" w:cs="Cambria Math"/>
          <w:position w:val="-1"/>
          <w:sz w:val="15"/>
          <w:szCs w:val="15"/>
        </w:rPr>
        <w:t xml:space="preserve">i                                                                                                            </w:t>
      </w:r>
      <w:r>
        <w:rPr>
          <w:rFonts w:ascii="宋体" w:hAnsi="宋体" w:eastAsia="宋体" w:cs="宋体"/>
          <w:spacing w:val="7"/>
          <w:position w:val="3"/>
          <w:sz w:val="21"/>
          <w:szCs w:val="21"/>
        </w:rPr>
        <w:t>（</w:t>
      </w:r>
      <w:r>
        <w:rPr>
          <w:rFonts w:ascii="Times New Roman" w:hAnsi="Times New Roman" w:eastAsia="Times New Roman" w:cs="Times New Roman"/>
          <w:spacing w:val="7"/>
          <w:position w:val="3"/>
          <w:sz w:val="21"/>
          <w:szCs w:val="21"/>
        </w:rPr>
        <w:t>2</w:t>
      </w:r>
      <w:r>
        <w:rPr>
          <w:rFonts w:ascii="宋体" w:hAnsi="宋体" w:eastAsia="宋体" w:cs="宋体"/>
          <w:spacing w:val="7"/>
          <w:position w:val="3"/>
          <w:sz w:val="21"/>
          <w:szCs w:val="21"/>
        </w:rPr>
        <w:t>）</w:t>
      </w:r>
    </w:p>
    <w:p w14:paraId="002B028C">
      <w:pPr>
        <w:spacing w:before="22" w:line="221" w:lineRule="auto"/>
        <w:ind w:left="431"/>
        <w:rPr>
          <w:rFonts w:ascii="宋体" w:hAnsi="宋体" w:eastAsia="宋体" w:cs="宋体"/>
          <w:sz w:val="21"/>
          <w:szCs w:val="21"/>
        </w:rPr>
      </w:pPr>
      <w:r>
        <w:rPr>
          <w:rFonts w:ascii="宋体" w:hAnsi="宋体" w:eastAsia="宋体" w:cs="宋体"/>
          <w:spacing w:val="-4"/>
          <w:sz w:val="21"/>
          <w:szCs w:val="21"/>
        </w:rPr>
        <w:t>式中：</w:t>
      </w:r>
    </w:p>
    <w:p w14:paraId="5ABB01F9">
      <w:pPr>
        <w:spacing w:before="60" w:line="247" w:lineRule="auto"/>
        <w:ind w:left="6" w:right="133" w:firstLine="426"/>
        <w:rPr>
          <w:rFonts w:ascii="宋体" w:hAnsi="宋体" w:eastAsia="宋体" w:cs="宋体"/>
          <w:sz w:val="21"/>
          <w:szCs w:val="21"/>
        </w:rPr>
      </w:pPr>
      <w:r>
        <w:rPr>
          <w:rFonts w:ascii="Cambria Math" w:hAnsi="Cambria Math" w:eastAsia="Cambria Math" w:cs="Cambria Math"/>
          <w:sz w:val="21"/>
          <w:szCs w:val="21"/>
        </w:rPr>
        <w:t>Q</w:t>
      </w:r>
      <w:r>
        <w:rPr>
          <w:rFonts w:ascii="Cambria Math" w:hAnsi="Cambria Math" w:eastAsia="Cambria Math" w:cs="Cambria Math"/>
          <w:position w:val="-4"/>
          <w:sz w:val="15"/>
          <w:szCs w:val="15"/>
        </w:rPr>
        <w:t>ci</w:t>
      </w:r>
      <w:r>
        <w:rPr>
          <w:rFonts w:ascii="Times New Roman" w:hAnsi="Times New Roman" w:eastAsia="Times New Roman" w:cs="Times New Roman"/>
          <w:sz w:val="21"/>
          <w:szCs w:val="21"/>
        </w:rPr>
        <w:t>——</w:t>
      </w:r>
      <w:r>
        <w:rPr>
          <w:rFonts w:ascii="宋体" w:hAnsi="宋体" w:eastAsia="宋体" w:cs="宋体"/>
          <w:sz w:val="21"/>
          <w:szCs w:val="21"/>
        </w:rPr>
        <w:t>报告期第</w:t>
      </w:r>
      <w:r>
        <w:rPr>
          <w:rFonts w:ascii="Times New Roman" w:hAnsi="Times New Roman" w:eastAsia="Times New Roman" w:cs="Times New Roman"/>
          <w:sz w:val="21"/>
          <w:szCs w:val="21"/>
        </w:rPr>
        <w:t>i</w:t>
      </w:r>
      <w:r>
        <w:rPr>
          <w:rFonts w:ascii="宋体" w:hAnsi="宋体" w:eastAsia="宋体" w:cs="宋体"/>
          <w:sz w:val="21"/>
          <w:szCs w:val="21"/>
        </w:rPr>
        <w:t>种化石燃料的平均低位发热量，</w:t>
      </w:r>
      <w:r>
        <w:rPr>
          <w:rFonts w:ascii="宋体" w:hAnsi="宋体" w:eastAsia="宋体" w:cs="宋体"/>
          <w:spacing w:val="-1"/>
          <w:sz w:val="21"/>
          <w:szCs w:val="21"/>
        </w:rPr>
        <w:t>对固体或液体燃料，单位为百万千焦</w:t>
      </w:r>
      <w:r>
        <w:rPr>
          <w:rFonts w:ascii="Times New Roman" w:hAnsi="Times New Roman" w:eastAsia="Times New Roman" w:cs="Times New Roman"/>
          <w:spacing w:val="-1"/>
          <w:sz w:val="21"/>
          <w:szCs w:val="21"/>
        </w:rPr>
        <w:t>/</w:t>
      </w:r>
      <w:r>
        <w:rPr>
          <w:rFonts w:ascii="宋体" w:hAnsi="宋体" w:eastAsia="宋体" w:cs="宋体"/>
          <w:spacing w:val="-1"/>
          <w:sz w:val="21"/>
          <w:szCs w:val="21"/>
        </w:rPr>
        <w:t>吨</w:t>
      </w:r>
      <w:r>
        <w:rPr>
          <w:rFonts w:ascii="Times New Roman" w:hAnsi="Times New Roman" w:eastAsia="Times New Roman" w:cs="Times New Roman"/>
          <w:spacing w:val="-1"/>
          <w:sz w:val="21"/>
          <w:szCs w:val="21"/>
        </w:rPr>
        <w:t>(GJ/t)</w:t>
      </w:r>
      <w:r>
        <w:rPr>
          <w:rFonts w:ascii="宋体" w:hAnsi="宋体" w:eastAsia="宋体" w:cs="宋体"/>
          <w:spacing w:val="-1"/>
          <w:sz w:val="21"/>
          <w:szCs w:val="21"/>
        </w:rPr>
        <w:t>；</w:t>
      </w:r>
      <w:r>
        <w:rPr>
          <w:rFonts w:ascii="宋体" w:hAnsi="宋体" w:eastAsia="宋体" w:cs="宋体"/>
          <w:sz w:val="21"/>
          <w:szCs w:val="21"/>
        </w:rPr>
        <w:t xml:space="preserve"> 对气体燃料，单位为百万千焦</w:t>
      </w:r>
      <w:r>
        <w:rPr>
          <w:rFonts w:ascii="Times New Roman" w:hAnsi="Times New Roman" w:eastAsia="Times New Roman" w:cs="Times New Roman"/>
          <w:sz w:val="21"/>
          <w:szCs w:val="21"/>
        </w:rPr>
        <w:t>/</w:t>
      </w:r>
      <w:r>
        <w:rPr>
          <w:rFonts w:ascii="宋体" w:hAnsi="宋体" w:eastAsia="宋体" w:cs="宋体"/>
          <w:sz w:val="21"/>
          <w:szCs w:val="21"/>
        </w:rPr>
        <w:t>万立方米</w:t>
      </w:r>
      <w:r>
        <w:rPr>
          <w:rFonts w:ascii="Times New Roman" w:hAnsi="Times New Roman" w:eastAsia="Times New Roman" w:cs="Times New Roman"/>
          <w:sz w:val="21"/>
          <w:szCs w:val="21"/>
        </w:rPr>
        <w:t>(GJ/</w:t>
      </w:r>
      <w:r>
        <w:rPr>
          <w:rFonts w:ascii="宋体" w:hAnsi="宋体" w:eastAsia="宋体" w:cs="宋体"/>
          <w:sz w:val="21"/>
          <w:szCs w:val="21"/>
        </w:rPr>
        <w:t>万</w:t>
      </w:r>
      <w:r>
        <w:rPr>
          <w:rFonts w:ascii="Times New Roman" w:hAnsi="Times New Roman" w:eastAsia="Times New Roman" w:cs="Times New Roman"/>
          <w:sz w:val="21"/>
          <w:szCs w:val="21"/>
        </w:rPr>
        <w:t>Nm</w:t>
      </w:r>
      <w:r>
        <w:rPr>
          <w:rFonts w:ascii="Times New Roman" w:hAnsi="Times New Roman" w:eastAsia="Times New Roman" w:cs="Times New Roman"/>
          <w:position w:val="6"/>
          <w:sz w:val="13"/>
          <w:szCs w:val="13"/>
        </w:rPr>
        <w:t>3</w:t>
      </w:r>
      <w:r>
        <w:rPr>
          <w:rFonts w:ascii="Times New Roman" w:hAnsi="Times New Roman" w:eastAsia="Times New Roman" w:cs="Times New Roman"/>
          <w:sz w:val="21"/>
          <w:szCs w:val="21"/>
        </w:rPr>
        <w:t>)</w:t>
      </w:r>
      <w:r>
        <w:rPr>
          <w:rFonts w:ascii="宋体" w:hAnsi="宋体" w:eastAsia="宋体" w:cs="宋体"/>
          <w:sz w:val="21"/>
          <w:szCs w:val="21"/>
        </w:rPr>
        <w:t>；</w:t>
      </w:r>
    </w:p>
    <w:p w14:paraId="3DB93A4F">
      <w:pPr>
        <w:spacing w:before="50" w:line="247" w:lineRule="auto"/>
        <w:ind w:left="7" w:right="203" w:firstLine="417"/>
        <w:rPr>
          <w:rFonts w:ascii="宋体" w:hAnsi="宋体" w:eastAsia="宋体" w:cs="宋体"/>
          <w:sz w:val="21"/>
          <w:szCs w:val="21"/>
        </w:rPr>
      </w:pPr>
      <w:r>
        <w:rPr>
          <w:rFonts w:ascii="Cambria Math" w:hAnsi="Cambria Math" w:eastAsia="Cambria Math" w:cs="Cambria Math"/>
          <w:sz w:val="21"/>
          <w:szCs w:val="21"/>
        </w:rPr>
        <w:t>Fc</w:t>
      </w:r>
      <w:r>
        <w:rPr>
          <w:rFonts w:ascii="Cambria Math" w:hAnsi="Cambria Math" w:eastAsia="Cambria Math" w:cs="Cambria Math"/>
          <w:position w:val="-4"/>
          <w:sz w:val="15"/>
          <w:szCs w:val="15"/>
        </w:rPr>
        <w:t>i</w:t>
      </w:r>
      <w:r>
        <w:rPr>
          <w:rFonts w:ascii="Times New Roman" w:hAnsi="Times New Roman" w:eastAsia="Times New Roman" w:cs="Times New Roman"/>
          <w:spacing w:val="1"/>
          <w:sz w:val="21"/>
          <w:szCs w:val="21"/>
        </w:rPr>
        <w:t>——</w:t>
      </w:r>
      <w:r>
        <w:rPr>
          <w:rFonts w:ascii="宋体" w:hAnsi="宋体" w:eastAsia="宋体" w:cs="宋体"/>
          <w:spacing w:val="1"/>
          <w:sz w:val="21"/>
          <w:szCs w:val="21"/>
        </w:rPr>
        <w:t>报告期内第</w:t>
      </w:r>
      <w:r>
        <w:rPr>
          <w:rFonts w:ascii="Times New Roman" w:hAnsi="Times New Roman" w:eastAsia="Times New Roman" w:cs="Times New Roman"/>
          <w:spacing w:val="1"/>
          <w:sz w:val="21"/>
          <w:szCs w:val="21"/>
        </w:rPr>
        <w:t>i</w:t>
      </w:r>
      <w:r>
        <w:rPr>
          <w:rFonts w:ascii="宋体" w:hAnsi="宋体" w:eastAsia="宋体" w:cs="宋体"/>
          <w:spacing w:val="1"/>
          <w:sz w:val="21"/>
          <w:szCs w:val="21"/>
        </w:rPr>
        <w:t>种化石燃料的净消耗量，对固体或液体燃料，单位为吨</w:t>
      </w:r>
      <w:r>
        <w:rPr>
          <w:rFonts w:ascii="Times New Roman" w:hAnsi="Times New Roman" w:eastAsia="Times New Roman" w:cs="Times New Roman"/>
          <w:spacing w:val="1"/>
          <w:sz w:val="21"/>
          <w:szCs w:val="21"/>
        </w:rPr>
        <w:t>(t)</w:t>
      </w:r>
      <w:r>
        <w:rPr>
          <w:rFonts w:ascii="宋体" w:hAnsi="宋体" w:eastAsia="宋体" w:cs="宋体"/>
          <w:spacing w:val="1"/>
          <w:sz w:val="21"/>
          <w:szCs w:val="21"/>
        </w:rPr>
        <w:t>；对气体燃料，单</w:t>
      </w:r>
      <w:r>
        <w:rPr>
          <w:rFonts w:ascii="宋体" w:hAnsi="宋体" w:eastAsia="宋体" w:cs="宋体"/>
          <w:spacing w:val="9"/>
          <w:sz w:val="21"/>
          <w:szCs w:val="21"/>
        </w:rPr>
        <w:t xml:space="preserve"> </w:t>
      </w:r>
      <w:r>
        <w:rPr>
          <w:rFonts w:ascii="宋体" w:hAnsi="宋体" w:eastAsia="宋体" w:cs="宋体"/>
          <w:spacing w:val="-1"/>
          <w:sz w:val="21"/>
          <w:szCs w:val="21"/>
        </w:rPr>
        <w:t>位为万立方米</w:t>
      </w:r>
      <w:r>
        <w:rPr>
          <w:rFonts w:ascii="Times New Roman" w:hAnsi="Times New Roman" w:eastAsia="Times New Roman" w:cs="Times New Roman"/>
          <w:spacing w:val="-1"/>
          <w:sz w:val="21"/>
          <w:szCs w:val="21"/>
        </w:rPr>
        <w:t>(</w:t>
      </w:r>
      <w:r>
        <w:rPr>
          <w:rFonts w:ascii="宋体" w:hAnsi="宋体" w:eastAsia="宋体" w:cs="宋体"/>
          <w:spacing w:val="-1"/>
          <w:sz w:val="21"/>
          <w:szCs w:val="21"/>
        </w:rPr>
        <w:t>万</w:t>
      </w:r>
      <w:r>
        <w:rPr>
          <w:rFonts w:ascii="Times New Roman" w:hAnsi="Times New Roman" w:eastAsia="Times New Roman" w:cs="Times New Roman"/>
          <w:spacing w:val="-1"/>
          <w:sz w:val="21"/>
          <w:szCs w:val="21"/>
        </w:rPr>
        <w:t>Nm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sz w:val="21"/>
          <w:szCs w:val="21"/>
        </w:rPr>
        <w:t>)</w:t>
      </w:r>
      <w:r>
        <w:rPr>
          <w:rFonts w:ascii="宋体" w:hAnsi="宋体" w:eastAsia="宋体" w:cs="宋体"/>
          <w:spacing w:val="-1"/>
          <w:sz w:val="21"/>
          <w:szCs w:val="21"/>
        </w:rPr>
        <w:t>；</w:t>
      </w:r>
    </w:p>
    <w:p w14:paraId="34E6DC9C">
      <w:pPr>
        <w:spacing w:before="49" w:line="234" w:lineRule="auto"/>
        <w:ind w:left="428"/>
        <w:rPr>
          <w:rFonts w:ascii="宋体" w:hAnsi="宋体" w:eastAsia="宋体" w:cs="宋体"/>
          <w:sz w:val="21"/>
          <w:szCs w:val="21"/>
        </w:rPr>
      </w:pPr>
      <w:r>
        <w:rPr>
          <w:rFonts w:ascii="宋体" w:hAnsi="宋体" w:eastAsia="宋体" w:cs="宋体"/>
          <w:spacing w:val="-1"/>
          <w:sz w:val="21"/>
          <w:szCs w:val="21"/>
        </w:rPr>
        <w:t>化石燃料排放二氧化碳排放因子按公式（</w:t>
      </w:r>
      <w:r>
        <w:rPr>
          <w:rFonts w:ascii="Times New Roman" w:hAnsi="Times New Roman" w:eastAsia="Times New Roman" w:cs="Times New Roman"/>
          <w:spacing w:val="-1"/>
          <w:sz w:val="21"/>
          <w:szCs w:val="21"/>
        </w:rPr>
        <w:t>3</w:t>
      </w:r>
      <w:r>
        <w:rPr>
          <w:rFonts w:ascii="宋体" w:hAnsi="宋体" w:eastAsia="宋体" w:cs="宋体"/>
          <w:spacing w:val="-1"/>
          <w:sz w:val="21"/>
          <w:szCs w:val="21"/>
        </w:rPr>
        <w:t>）计算：</w:t>
      </w:r>
    </w:p>
    <w:p w14:paraId="612EB693">
      <w:pPr>
        <w:spacing w:before="46" w:line="242" w:lineRule="auto"/>
        <w:ind w:left="3365"/>
        <w:rPr>
          <w:rFonts w:ascii="宋体" w:hAnsi="宋体" w:eastAsia="宋体" w:cs="宋体"/>
          <w:sz w:val="21"/>
          <w:szCs w:val="21"/>
        </w:rPr>
      </w:pPr>
      <w:r>
        <w:rPr>
          <w:rFonts w:ascii="Cambria Math" w:hAnsi="Cambria Math" w:eastAsia="Cambria Math" w:cs="Cambria Math"/>
          <w:sz w:val="21"/>
          <w:szCs w:val="21"/>
        </w:rPr>
        <w:t>EF</w:t>
      </w:r>
      <w:r>
        <w:rPr>
          <w:rFonts w:ascii="Cambria Math" w:hAnsi="Cambria Math" w:eastAsia="Cambria Math" w:cs="Cambria Math"/>
          <w:position w:val="-3"/>
          <w:sz w:val="15"/>
          <w:szCs w:val="15"/>
        </w:rPr>
        <w:t>ci</w:t>
      </w:r>
      <w:r>
        <w:rPr>
          <w:rFonts w:ascii="Cambria Math" w:hAnsi="Cambria Math" w:eastAsia="Cambria Math" w:cs="Cambria Math"/>
          <w:spacing w:val="9"/>
          <w:w w:val="101"/>
          <w:position w:val="-3"/>
          <w:sz w:val="15"/>
          <w:szCs w:val="15"/>
        </w:rPr>
        <w:t xml:space="preserve">  </w:t>
      </w:r>
      <w:r>
        <w:rPr>
          <w:rFonts w:ascii="Cambria Math" w:hAnsi="Cambria Math" w:eastAsia="Cambria Math" w:cs="Cambria Math"/>
          <w:spacing w:val="1"/>
          <w:sz w:val="21"/>
          <w:szCs w:val="21"/>
        </w:rPr>
        <w:t>=</w:t>
      </w:r>
      <w:r>
        <w:rPr>
          <w:rFonts w:ascii="Cambria Math" w:hAnsi="Cambria Math" w:eastAsia="Cambria Math" w:cs="Cambria Math"/>
          <w:spacing w:val="26"/>
          <w:sz w:val="21"/>
          <w:szCs w:val="21"/>
        </w:rPr>
        <w:t xml:space="preserve"> </w:t>
      </w:r>
      <w:r>
        <w:rPr>
          <w:rFonts w:ascii="Cambria Math" w:hAnsi="Cambria Math" w:eastAsia="Cambria Math" w:cs="Cambria Math"/>
          <w:sz w:val="21"/>
          <w:szCs w:val="21"/>
        </w:rPr>
        <w:t>cc</w:t>
      </w:r>
      <w:r>
        <w:rPr>
          <w:rFonts w:ascii="Cambria Math" w:hAnsi="Cambria Math" w:eastAsia="Cambria Math" w:cs="Cambria Math"/>
          <w:position w:val="-3"/>
          <w:sz w:val="15"/>
          <w:szCs w:val="15"/>
        </w:rPr>
        <w:t>i</w:t>
      </w:r>
      <w:r>
        <w:rPr>
          <w:rFonts w:ascii="Cambria Math" w:hAnsi="Cambria Math" w:eastAsia="Cambria Math" w:cs="Cambria Math"/>
          <w:spacing w:val="1"/>
          <w:position w:val="-3"/>
          <w:sz w:val="15"/>
          <w:szCs w:val="15"/>
        </w:rPr>
        <w:t xml:space="preserve">  </w:t>
      </w:r>
      <w:r>
        <w:rPr>
          <w:rFonts w:ascii="Cambria Math" w:hAnsi="Cambria Math" w:eastAsia="Cambria Math" w:cs="Cambria Math"/>
          <w:spacing w:val="1"/>
          <w:sz w:val="21"/>
          <w:szCs w:val="21"/>
        </w:rPr>
        <w:t>×</w:t>
      </w:r>
      <w:r>
        <w:rPr>
          <w:rFonts w:ascii="Cambria Math" w:hAnsi="Cambria Math" w:eastAsia="Cambria Math" w:cs="Cambria Math"/>
          <w:spacing w:val="14"/>
          <w:sz w:val="21"/>
          <w:szCs w:val="21"/>
        </w:rPr>
        <w:t xml:space="preserve"> </w:t>
      </w:r>
      <w:r>
        <w:rPr>
          <w:rFonts w:ascii="Cambria Math" w:hAnsi="Cambria Math" w:eastAsia="Cambria Math" w:cs="Cambria Math"/>
          <w:sz w:val="21"/>
          <w:szCs w:val="21"/>
        </w:rPr>
        <w:t>OF</w:t>
      </w:r>
      <w:r>
        <w:rPr>
          <w:rFonts w:ascii="Cambria Math" w:hAnsi="Cambria Math" w:eastAsia="Cambria Math" w:cs="Cambria Math"/>
          <w:position w:val="-3"/>
          <w:sz w:val="15"/>
          <w:szCs w:val="15"/>
        </w:rPr>
        <w:t>i</w:t>
      </w:r>
      <w:r>
        <w:rPr>
          <w:rFonts w:ascii="Cambria Math" w:hAnsi="Cambria Math" w:eastAsia="Cambria Math" w:cs="Cambria Math"/>
          <w:spacing w:val="1"/>
          <w:position w:val="-3"/>
          <w:sz w:val="15"/>
          <w:szCs w:val="15"/>
        </w:rPr>
        <w:t xml:space="preserve">  </w:t>
      </w:r>
      <w:r>
        <w:rPr>
          <w:rFonts w:ascii="Cambria Math" w:hAnsi="Cambria Math" w:eastAsia="Cambria Math" w:cs="Cambria Math"/>
          <w:spacing w:val="1"/>
          <w:sz w:val="21"/>
          <w:szCs w:val="21"/>
        </w:rPr>
        <w:t>×</w:t>
      </w:r>
      <w:r>
        <w:rPr>
          <w:rFonts w:ascii="Cambria Math" w:hAnsi="Cambria Math" w:eastAsia="Cambria Math" w:cs="Cambria Math"/>
          <w:spacing w:val="7"/>
          <w:sz w:val="21"/>
          <w:szCs w:val="21"/>
        </w:rPr>
        <w:t xml:space="preserve"> </w:t>
      </w:r>
      <w:r>
        <w:rPr>
          <w:rFonts w:ascii="Cambria Math" w:hAnsi="Cambria Math" w:eastAsia="Cambria Math" w:cs="Cambria Math"/>
          <w:spacing w:val="1"/>
          <w:sz w:val="21"/>
          <w:szCs w:val="21"/>
        </w:rPr>
        <w:t xml:space="preserve">44/12                                                             </w:t>
      </w:r>
      <w:r>
        <w:rPr>
          <w:rFonts w:ascii="Cambria Math" w:hAnsi="Cambria Math" w:eastAsia="Cambria Math" w:cs="Cambria Math"/>
          <w:sz w:val="21"/>
          <w:szCs w:val="21"/>
        </w:rPr>
        <w:t xml:space="preserve">    </w:t>
      </w: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w:t>
      </w:r>
    </w:p>
    <w:p w14:paraId="59D0642C">
      <w:pPr>
        <w:pStyle w:val="2"/>
        <w:spacing w:line="276" w:lineRule="auto"/>
      </w:pPr>
    </w:p>
    <w:p w14:paraId="2BD5908B">
      <w:pPr>
        <w:spacing w:before="69" w:line="221" w:lineRule="auto"/>
        <w:ind w:left="431"/>
        <w:rPr>
          <w:rFonts w:ascii="宋体" w:hAnsi="宋体" w:eastAsia="宋体" w:cs="宋体"/>
          <w:sz w:val="21"/>
          <w:szCs w:val="21"/>
        </w:rPr>
      </w:pPr>
      <w:r>
        <w:rPr>
          <w:rFonts w:ascii="宋体" w:hAnsi="宋体" w:eastAsia="宋体" w:cs="宋体"/>
          <w:spacing w:val="-4"/>
          <w:sz w:val="21"/>
          <w:szCs w:val="21"/>
        </w:rPr>
        <w:t>式中：</w:t>
      </w:r>
    </w:p>
    <w:p w14:paraId="4C1CE6D9">
      <w:pPr>
        <w:spacing w:before="61" w:line="241" w:lineRule="auto"/>
        <w:ind w:left="432"/>
        <w:rPr>
          <w:rFonts w:ascii="宋体" w:hAnsi="宋体" w:eastAsia="宋体" w:cs="宋体"/>
          <w:sz w:val="21"/>
          <w:szCs w:val="21"/>
        </w:rPr>
      </w:pPr>
      <w:r>
        <w:rPr>
          <w:rFonts w:ascii="Cambria Math" w:hAnsi="Cambria Math" w:eastAsia="Cambria Math" w:cs="Cambria Math"/>
          <w:sz w:val="21"/>
          <w:szCs w:val="21"/>
        </w:rPr>
        <w:t>cc</w:t>
      </w:r>
      <w:r>
        <w:rPr>
          <w:rFonts w:ascii="Cambria Math" w:hAnsi="Cambria Math" w:eastAsia="Cambria Math" w:cs="Cambria Math"/>
          <w:position w:val="-4"/>
          <w:sz w:val="15"/>
          <w:szCs w:val="15"/>
        </w:rPr>
        <w:t>i</w:t>
      </w:r>
      <w:r>
        <w:rPr>
          <w:rFonts w:ascii="Times New Roman" w:hAnsi="Times New Roman" w:eastAsia="Times New Roman" w:cs="Times New Roman"/>
          <w:spacing w:val="2"/>
          <w:sz w:val="21"/>
          <w:szCs w:val="21"/>
        </w:rPr>
        <w:t>——</w:t>
      </w:r>
      <w:r>
        <w:rPr>
          <w:rFonts w:ascii="宋体" w:hAnsi="宋体" w:eastAsia="宋体" w:cs="宋体"/>
          <w:spacing w:val="2"/>
          <w:sz w:val="21"/>
          <w:szCs w:val="21"/>
        </w:rPr>
        <w:t>第</w:t>
      </w:r>
      <w:r>
        <w:rPr>
          <w:rFonts w:ascii="Times New Roman" w:hAnsi="Times New Roman" w:eastAsia="Times New Roman" w:cs="Times New Roman"/>
          <w:spacing w:val="2"/>
          <w:sz w:val="21"/>
          <w:szCs w:val="21"/>
        </w:rPr>
        <w:t>i</w:t>
      </w:r>
      <w:r>
        <w:rPr>
          <w:rFonts w:ascii="宋体" w:hAnsi="宋体" w:eastAsia="宋体" w:cs="宋体"/>
          <w:spacing w:val="2"/>
          <w:sz w:val="21"/>
          <w:szCs w:val="21"/>
        </w:rPr>
        <w:t>种化石燃料的单位热值含碳量，单位为吨碳</w:t>
      </w:r>
      <w:r>
        <w:rPr>
          <w:rFonts w:ascii="Times New Roman" w:hAnsi="Times New Roman" w:eastAsia="Times New Roman" w:cs="Times New Roman"/>
          <w:spacing w:val="2"/>
          <w:sz w:val="21"/>
          <w:szCs w:val="21"/>
        </w:rPr>
        <w:t>/</w:t>
      </w:r>
      <w:r>
        <w:rPr>
          <w:rFonts w:ascii="宋体" w:hAnsi="宋体" w:eastAsia="宋体" w:cs="宋体"/>
          <w:spacing w:val="2"/>
          <w:sz w:val="21"/>
          <w:szCs w:val="21"/>
        </w:rPr>
        <w:t>百万千焦</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tC</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GJ</w:t>
      </w:r>
      <w:r>
        <w:rPr>
          <w:rFonts w:ascii="Times New Roman" w:hAnsi="Times New Roman" w:eastAsia="Times New Roman" w:cs="Times New Roman"/>
          <w:spacing w:val="2"/>
          <w:sz w:val="21"/>
          <w:szCs w:val="21"/>
        </w:rPr>
        <w:t>)</w:t>
      </w:r>
      <w:r>
        <w:rPr>
          <w:rFonts w:ascii="宋体" w:hAnsi="宋体" w:eastAsia="宋体" w:cs="宋体"/>
          <w:spacing w:val="2"/>
          <w:sz w:val="21"/>
          <w:szCs w:val="21"/>
        </w:rPr>
        <w:t>；</w:t>
      </w:r>
    </w:p>
    <w:p w14:paraId="181DBE52">
      <w:pPr>
        <w:spacing w:before="26" w:line="241" w:lineRule="auto"/>
        <w:ind w:left="432"/>
        <w:rPr>
          <w:rFonts w:ascii="宋体" w:hAnsi="宋体" w:eastAsia="宋体" w:cs="宋体"/>
          <w:sz w:val="21"/>
          <w:szCs w:val="21"/>
        </w:rPr>
      </w:pPr>
      <w:r>
        <w:rPr>
          <w:rFonts w:ascii="Cambria Math" w:hAnsi="Cambria Math" w:eastAsia="Cambria Math" w:cs="Cambria Math"/>
          <w:sz w:val="21"/>
          <w:szCs w:val="21"/>
        </w:rPr>
        <w:t>OF</w:t>
      </w:r>
      <w:r>
        <w:rPr>
          <w:rFonts w:ascii="Cambria Math" w:hAnsi="Cambria Math" w:eastAsia="Cambria Math" w:cs="Cambria Math"/>
          <w:position w:val="-4"/>
          <w:sz w:val="15"/>
          <w:szCs w:val="15"/>
        </w:rPr>
        <w:t>i</w:t>
      </w:r>
      <w:r>
        <w:rPr>
          <w:rFonts w:ascii="Times New Roman" w:hAnsi="Times New Roman" w:eastAsia="Times New Roman" w:cs="Times New Roman"/>
          <w:sz w:val="21"/>
          <w:szCs w:val="21"/>
        </w:rPr>
        <w:t>——</w:t>
      </w:r>
      <w:r>
        <w:rPr>
          <w:rFonts w:ascii="宋体" w:hAnsi="宋体" w:eastAsia="宋体" w:cs="宋体"/>
          <w:sz w:val="21"/>
          <w:szCs w:val="21"/>
        </w:rPr>
        <w:t>第</w:t>
      </w:r>
      <w:r>
        <w:rPr>
          <w:rFonts w:ascii="Times New Roman" w:hAnsi="Times New Roman" w:eastAsia="Times New Roman" w:cs="Times New Roman"/>
          <w:sz w:val="21"/>
          <w:szCs w:val="21"/>
        </w:rPr>
        <w:t>i</w:t>
      </w:r>
      <w:r>
        <w:rPr>
          <w:rFonts w:ascii="宋体" w:hAnsi="宋体" w:eastAsia="宋体" w:cs="宋体"/>
          <w:sz w:val="21"/>
          <w:szCs w:val="21"/>
        </w:rPr>
        <w:t>种化石燃料的碳氧化率，单位为百分数</w:t>
      </w:r>
      <w:r>
        <w:rPr>
          <w:rFonts w:ascii="Times New Roman" w:hAnsi="Times New Roman" w:eastAsia="Times New Roman" w:cs="Times New Roman"/>
          <w:sz w:val="21"/>
          <w:szCs w:val="21"/>
        </w:rPr>
        <w:t>(%)</w:t>
      </w:r>
      <w:r>
        <w:rPr>
          <w:rFonts w:ascii="宋体" w:hAnsi="宋体" w:eastAsia="宋体" w:cs="宋体"/>
          <w:sz w:val="21"/>
          <w:szCs w:val="21"/>
        </w:rPr>
        <w:t>。</w:t>
      </w:r>
    </w:p>
    <w:p w14:paraId="244B335C">
      <w:pPr>
        <w:spacing w:line="241" w:lineRule="auto"/>
        <w:rPr>
          <w:rFonts w:ascii="宋体" w:hAnsi="宋体" w:eastAsia="宋体" w:cs="宋体"/>
          <w:sz w:val="21"/>
          <w:szCs w:val="21"/>
        </w:rPr>
        <w:sectPr>
          <w:headerReference r:id="rId13" w:type="default"/>
          <w:footerReference r:id="rId14" w:type="default"/>
          <w:pgSz w:w="11907" w:h="16839"/>
          <w:pgMar w:top="1205" w:right="1226" w:bottom="1648" w:left="1304" w:header="880" w:footer="1448" w:gutter="0"/>
          <w:cols w:space="720" w:num="1"/>
        </w:sectPr>
      </w:pPr>
    </w:p>
    <w:p w14:paraId="0402B239">
      <w:pPr>
        <w:spacing w:before="24" w:line="220" w:lineRule="auto"/>
        <w:rPr>
          <w:rFonts w:ascii="黑体" w:hAnsi="黑体" w:eastAsia="黑体" w:cs="黑体"/>
          <w:sz w:val="21"/>
          <w:szCs w:val="21"/>
        </w:rPr>
      </w:pPr>
      <w:r>
        <w:rPr>
          <w:rFonts w:ascii="黑体" w:hAnsi="黑体" w:eastAsia="黑体" w:cs="黑体"/>
          <w:spacing w:val="-1"/>
          <w:sz w:val="21"/>
          <w:szCs w:val="21"/>
        </w:rPr>
        <w:t>5.2.2  净外购电力</w:t>
      </w:r>
    </w:p>
    <w:p w14:paraId="245517B1">
      <w:pPr>
        <w:spacing w:before="218" w:line="214" w:lineRule="auto"/>
        <w:ind w:left="428"/>
        <w:rPr>
          <w:rFonts w:ascii="宋体" w:hAnsi="宋体" w:eastAsia="宋体" w:cs="宋体"/>
          <w:sz w:val="21"/>
          <w:szCs w:val="21"/>
        </w:rPr>
      </w:pPr>
      <w:r>
        <w:rPr>
          <w:rFonts w:ascii="宋体" w:hAnsi="宋体" w:eastAsia="宋体" w:cs="宋体"/>
          <w:spacing w:val="-1"/>
          <w:sz w:val="21"/>
          <w:szCs w:val="21"/>
        </w:rPr>
        <w:t>社区消耗净外购电力产生的碳排放采用排放因子法，按公式</w:t>
      </w:r>
      <w:r>
        <w:rPr>
          <w:rFonts w:ascii="Times New Roman" w:hAnsi="Times New Roman" w:eastAsia="Times New Roman" w:cs="Times New Roman"/>
          <w:spacing w:val="-1"/>
          <w:sz w:val="21"/>
          <w:szCs w:val="21"/>
        </w:rPr>
        <w:t>(4)</w:t>
      </w:r>
      <w:r>
        <w:rPr>
          <w:rFonts w:ascii="宋体" w:hAnsi="宋体" w:eastAsia="宋体" w:cs="宋体"/>
          <w:spacing w:val="-1"/>
          <w:sz w:val="21"/>
          <w:szCs w:val="21"/>
        </w:rPr>
        <w:t>进行计算：</w:t>
      </w:r>
    </w:p>
    <w:p w14:paraId="06C48536">
      <w:pPr>
        <w:spacing w:before="66" w:line="236" w:lineRule="auto"/>
        <w:ind w:left="3252"/>
        <w:rPr>
          <w:rFonts w:ascii="宋体" w:hAnsi="宋体" w:eastAsia="宋体" w:cs="宋体"/>
          <w:sz w:val="21"/>
          <w:szCs w:val="21"/>
        </w:rPr>
      </w:pPr>
      <w:r>
        <w:rPr>
          <w:rFonts w:ascii="Cambria Math" w:hAnsi="Cambria Math" w:eastAsia="Cambria Math" w:cs="Cambria Math"/>
          <w:position w:val="1"/>
          <w:sz w:val="21"/>
          <w:szCs w:val="21"/>
        </w:rPr>
        <w:t>AE</w:t>
      </w:r>
      <w:r>
        <w:rPr>
          <w:rFonts w:ascii="Cambria Math" w:hAnsi="Cambria Math" w:eastAsia="Cambria Math" w:cs="Cambria Math"/>
          <w:position w:val="-2"/>
          <w:sz w:val="15"/>
          <w:szCs w:val="15"/>
        </w:rPr>
        <w:t>e</w:t>
      </w:r>
      <w:r>
        <w:rPr>
          <w:rFonts w:ascii="Cambria Math" w:hAnsi="Cambria Math" w:eastAsia="Cambria Math" w:cs="Cambria Math"/>
          <w:spacing w:val="9"/>
          <w:position w:val="-2"/>
          <w:sz w:val="15"/>
          <w:szCs w:val="15"/>
        </w:rPr>
        <w:t>,</w:t>
      </w:r>
      <w:r>
        <w:rPr>
          <w:rFonts w:ascii="Cambria Math" w:hAnsi="Cambria Math" w:eastAsia="Cambria Math" w:cs="Cambria Math"/>
          <w:position w:val="-2"/>
          <w:sz w:val="15"/>
          <w:szCs w:val="15"/>
        </w:rPr>
        <w:t>in</w:t>
      </w:r>
      <w:r>
        <w:rPr>
          <w:rFonts w:ascii="Cambria Math" w:hAnsi="Cambria Math" w:eastAsia="Cambria Math" w:cs="Cambria Math"/>
          <w:spacing w:val="9"/>
          <w:position w:val="-2"/>
          <w:sz w:val="15"/>
          <w:szCs w:val="15"/>
        </w:rPr>
        <w:t xml:space="preserve">  </w:t>
      </w:r>
      <w:r>
        <w:rPr>
          <w:rFonts w:ascii="Cambria Math" w:hAnsi="Cambria Math" w:eastAsia="Cambria Math" w:cs="Cambria Math"/>
          <w:spacing w:val="9"/>
          <w:position w:val="1"/>
          <w:sz w:val="21"/>
          <w:szCs w:val="21"/>
        </w:rPr>
        <w:t>=</w:t>
      </w:r>
      <w:r>
        <w:rPr>
          <w:rFonts w:ascii="Cambria Math" w:hAnsi="Cambria Math" w:eastAsia="Cambria Math" w:cs="Cambria Math"/>
          <w:spacing w:val="14"/>
          <w:w w:val="101"/>
          <w:position w:val="1"/>
          <w:sz w:val="21"/>
          <w:szCs w:val="21"/>
        </w:rPr>
        <w:t xml:space="preserve"> </w:t>
      </w:r>
      <w:r>
        <w:rPr>
          <w:rFonts w:ascii="Cambria Math" w:hAnsi="Cambria Math" w:eastAsia="Cambria Math" w:cs="Cambria Math"/>
          <w:position w:val="1"/>
          <w:sz w:val="21"/>
          <w:szCs w:val="21"/>
        </w:rPr>
        <w:t>AD</w:t>
      </w:r>
      <w:r>
        <w:rPr>
          <w:rFonts w:ascii="Cambria Math" w:hAnsi="Cambria Math" w:eastAsia="Cambria Math" w:cs="Cambria Math"/>
          <w:position w:val="-2"/>
          <w:sz w:val="15"/>
          <w:szCs w:val="15"/>
        </w:rPr>
        <w:t>e</w:t>
      </w:r>
      <w:r>
        <w:rPr>
          <w:rFonts w:ascii="Cambria Math" w:hAnsi="Cambria Math" w:eastAsia="Cambria Math" w:cs="Cambria Math"/>
          <w:spacing w:val="9"/>
          <w:position w:val="-2"/>
          <w:sz w:val="15"/>
          <w:szCs w:val="15"/>
        </w:rPr>
        <w:t>,</w:t>
      </w:r>
      <w:r>
        <w:rPr>
          <w:rFonts w:ascii="Cambria Math" w:hAnsi="Cambria Math" w:eastAsia="Cambria Math" w:cs="Cambria Math"/>
          <w:position w:val="-2"/>
          <w:sz w:val="15"/>
          <w:szCs w:val="15"/>
        </w:rPr>
        <w:t>in</w:t>
      </w:r>
      <w:r>
        <w:rPr>
          <w:rFonts w:ascii="Cambria Math" w:hAnsi="Cambria Math" w:eastAsia="Cambria Math" w:cs="Cambria Math"/>
          <w:spacing w:val="5"/>
          <w:position w:val="-2"/>
          <w:sz w:val="15"/>
          <w:szCs w:val="15"/>
        </w:rPr>
        <w:t xml:space="preserve">  </w:t>
      </w:r>
      <w:r>
        <w:rPr>
          <w:rFonts w:ascii="Cambria Math" w:hAnsi="Cambria Math" w:eastAsia="Cambria Math" w:cs="Cambria Math"/>
          <w:spacing w:val="9"/>
          <w:position w:val="1"/>
          <w:sz w:val="21"/>
          <w:szCs w:val="21"/>
        </w:rPr>
        <w:t xml:space="preserve">× </w:t>
      </w:r>
      <w:r>
        <w:rPr>
          <w:rFonts w:ascii="Cambria Math" w:hAnsi="Cambria Math" w:eastAsia="Cambria Math" w:cs="Cambria Math"/>
          <w:position w:val="1"/>
          <w:sz w:val="21"/>
          <w:szCs w:val="21"/>
        </w:rPr>
        <w:t>EF</w:t>
      </w:r>
      <w:r>
        <w:rPr>
          <w:rFonts w:ascii="Cambria Math" w:hAnsi="Cambria Math" w:eastAsia="Cambria Math" w:cs="Cambria Math"/>
          <w:position w:val="-2"/>
          <w:sz w:val="15"/>
          <w:szCs w:val="15"/>
        </w:rPr>
        <w:t>e</w:t>
      </w:r>
      <w:r>
        <w:rPr>
          <w:rFonts w:ascii="Cambria Math" w:hAnsi="Cambria Math" w:eastAsia="Cambria Math" w:cs="Cambria Math"/>
          <w:spacing w:val="9"/>
          <w:position w:val="-2"/>
          <w:sz w:val="15"/>
          <w:szCs w:val="15"/>
        </w:rPr>
        <w:t>,</w:t>
      </w:r>
      <w:r>
        <w:rPr>
          <w:rFonts w:ascii="Cambria Math" w:hAnsi="Cambria Math" w:eastAsia="Cambria Math" w:cs="Cambria Math"/>
          <w:position w:val="-2"/>
          <w:sz w:val="15"/>
          <w:szCs w:val="15"/>
        </w:rPr>
        <w:t xml:space="preserve">in                                                                                                      </w:t>
      </w:r>
      <w:r>
        <w:rPr>
          <w:rFonts w:ascii="宋体" w:hAnsi="宋体" w:eastAsia="宋体" w:cs="宋体"/>
          <w:spacing w:val="9"/>
          <w:position w:val="1"/>
          <w:sz w:val="21"/>
          <w:szCs w:val="21"/>
        </w:rPr>
        <w:t>（</w:t>
      </w:r>
      <w:r>
        <w:rPr>
          <w:rFonts w:ascii="Times New Roman" w:hAnsi="Times New Roman" w:eastAsia="Times New Roman" w:cs="Times New Roman"/>
          <w:spacing w:val="9"/>
          <w:position w:val="1"/>
          <w:sz w:val="21"/>
          <w:szCs w:val="21"/>
        </w:rPr>
        <w:t>4</w:t>
      </w:r>
      <w:r>
        <w:rPr>
          <w:rFonts w:ascii="宋体" w:hAnsi="宋体" w:eastAsia="宋体" w:cs="宋体"/>
          <w:spacing w:val="9"/>
          <w:position w:val="1"/>
          <w:sz w:val="21"/>
          <w:szCs w:val="21"/>
        </w:rPr>
        <w:t>）</w:t>
      </w:r>
    </w:p>
    <w:p w14:paraId="36F84BF1">
      <w:pPr>
        <w:spacing w:before="43" w:line="221" w:lineRule="auto"/>
        <w:ind w:left="431"/>
        <w:rPr>
          <w:rFonts w:ascii="宋体" w:hAnsi="宋体" w:eastAsia="宋体" w:cs="宋体"/>
          <w:sz w:val="21"/>
          <w:szCs w:val="21"/>
        </w:rPr>
      </w:pPr>
      <w:r>
        <w:rPr>
          <w:rFonts w:ascii="宋体" w:hAnsi="宋体" w:eastAsia="宋体" w:cs="宋体"/>
          <w:spacing w:val="-4"/>
          <w:sz w:val="21"/>
          <w:szCs w:val="21"/>
        </w:rPr>
        <w:t>式中：</w:t>
      </w:r>
    </w:p>
    <w:p w14:paraId="4ECDF993">
      <w:pPr>
        <w:spacing w:before="57" w:line="228" w:lineRule="auto"/>
        <w:ind w:left="417"/>
        <w:rPr>
          <w:rFonts w:ascii="宋体" w:hAnsi="宋体" w:eastAsia="宋体" w:cs="宋体"/>
          <w:sz w:val="21"/>
          <w:szCs w:val="21"/>
        </w:rPr>
      </w:pPr>
      <w:r>
        <w:rPr>
          <w:rFonts w:ascii="Cambria Math" w:hAnsi="Cambria Math" w:eastAsia="Cambria Math" w:cs="Cambria Math"/>
          <w:sz w:val="21"/>
          <w:szCs w:val="21"/>
        </w:rPr>
        <w:t>AE</w:t>
      </w:r>
      <w:r>
        <w:rPr>
          <w:rFonts w:ascii="Cambria Math" w:hAnsi="Cambria Math" w:eastAsia="Cambria Math" w:cs="Cambria Math"/>
          <w:position w:val="-4"/>
          <w:sz w:val="15"/>
          <w:szCs w:val="15"/>
        </w:rPr>
        <w:t>e</w:t>
      </w:r>
      <w:r>
        <w:rPr>
          <w:rFonts w:ascii="Cambria Math" w:hAnsi="Cambria Math" w:eastAsia="Cambria Math" w:cs="Cambria Math"/>
          <w:spacing w:val="2"/>
          <w:position w:val="-4"/>
          <w:sz w:val="15"/>
          <w:szCs w:val="15"/>
        </w:rPr>
        <w:t>,</w:t>
      </w:r>
      <w:r>
        <w:rPr>
          <w:rFonts w:ascii="Cambria Math" w:hAnsi="Cambria Math" w:eastAsia="Cambria Math" w:cs="Cambria Math"/>
          <w:position w:val="-4"/>
          <w:sz w:val="15"/>
          <w:szCs w:val="15"/>
        </w:rPr>
        <w:t>in</w:t>
      </w:r>
      <w:r>
        <w:rPr>
          <w:rFonts w:ascii="Times New Roman" w:hAnsi="Times New Roman" w:eastAsia="Times New Roman" w:cs="Times New Roman"/>
          <w:spacing w:val="2"/>
          <w:sz w:val="21"/>
          <w:szCs w:val="21"/>
        </w:rPr>
        <w:t>——</w:t>
      </w:r>
      <w:r>
        <w:rPr>
          <w:rFonts w:ascii="宋体" w:hAnsi="宋体" w:eastAsia="宋体" w:cs="宋体"/>
          <w:spacing w:val="2"/>
          <w:sz w:val="21"/>
          <w:szCs w:val="21"/>
        </w:rPr>
        <w:t>报告期内，社区生活用净外购电力产生的</w:t>
      </w:r>
      <w:r>
        <w:rPr>
          <w:rFonts w:ascii="Times New Roman" w:hAnsi="Times New Roman" w:eastAsia="Times New Roman" w:cs="Times New Roman"/>
          <w:sz w:val="21"/>
          <w:szCs w:val="21"/>
        </w:rPr>
        <w:t>CO</w:t>
      </w:r>
      <w:r>
        <w:rPr>
          <w:rFonts w:ascii="Times New Roman" w:hAnsi="Times New Roman" w:eastAsia="Times New Roman" w:cs="Times New Roman"/>
          <w:spacing w:val="2"/>
          <w:position w:val="-1"/>
          <w:sz w:val="13"/>
          <w:szCs w:val="13"/>
        </w:rPr>
        <w:t>2</w:t>
      </w:r>
      <w:r>
        <w:rPr>
          <w:rFonts w:ascii="宋体" w:hAnsi="宋体" w:eastAsia="宋体" w:cs="宋体"/>
          <w:spacing w:val="2"/>
          <w:sz w:val="21"/>
          <w:szCs w:val="21"/>
        </w:rPr>
        <w:t>排放量，单位</w:t>
      </w:r>
      <w:r>
        <w:rPr>
          <w:rFonts w:ascii="宋体" w:hAnsi="宋体" w:eastAsia="宋体" w:cs="宋体"/>
          <w:spacing w:val="1"/>
          <w:sz w:val="21"/>
          <w:szCs w:val="21"/>
        </w:rPr>
        <w:t>为吨二氧化碳</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tCO</w:t>
      </w:r>
      <w:r>
        <w:rPr>
          <w:rFonts w:ascii="Times New Roman" w:hAnsi="Times New Roman" w:eastAsia="Times New Roman" w:cs="Times New Roman"/>
          <w:spacing w:val="1"/>
          <w:position w:val="-1"/>
          <w:sz w:val="13"/>
          <w:szCs w:val="13"/>
        </w:rPr>
        <w:t>2</w:t>
      </w:r>
      <w:r>
        <w:rPr>
          <w:rFonts w:ascii="Times New Roman" w:hAnsi="Times New Roman" w:eastAsia="Times New Roman" w:cs="Times New Roman"/>
          <w:spacing w:val="1"/>
          <w:sz w:val="21"/>
          <w:szCs w:val="21"/>
        </w:rPr>
        <w:t>)</w:t>
      </w:r>
      <w:r>
        <w:rPr>
          <w:rFonts w:ascii="宋体" w:hAnsi="宋体" w:eastAsia="宋体" w:cs="宋体"/>
          <w:spacing w:val="1"/>
          <w:sz w:val="21"/>
          <w:szCs w:val="21"/>
        </w:rPr>
        <w:t>；</w:t>
      </w:r>
    </w:p>
    <w:p w14:paraId="69FD3D7C">
      <w:pPr>
        <w:spacing w:before="40" w:line="228" w:lineRule="auto"/>
        <w:ind w:left="417"/>
        <w:rPr>
          <w:rFonts w:ascii="宋体" w:hAnsi="宋体" w:eastAsia="宋体" w:cs="宋体"/>
          <w:sz w:val="21"/>
          <w:szCs w:val="21"/>
        </w:rPr>
      </w:pPr>
      <w:r>
        <w:rPr>
          <w:rFonts w:ascii="Cambria Math" w:hAnsi="Cambria Math" w:eastAsia="Cambria Math" w:cs="Cambria Math"/>
          <w:spacing w:val="-2"/>
          <w:sz w:val="21"/>
          <w:szCs w:val="21"/>
        </w:rPr>
        <w:t>AD</w:t>
      </w:r>
      <w:r>
        <w:rPr>
          <w:rFonts w:ascii="Cambria Math" w:hAnsi="Cambria Math" w:eastAsia="Cambria Math" w:cs="Cambria Math"/>
          <w:spacing w:val="-2"/>
          <w:position w:val="-4"/>
          <w:sz w:val="15"/>
          <w:szCs w:val="15"/>
        </w:rPr>
        <w:t>e,in</w:t>
      </w:r>
      <w:r>
        <w:rPr>
          <w:rFonts w:ascii="Times New Roman" w:hAnsi="Times New Roman" w:eastAsia="Times New Roman" w:cs="Times New Roman"/>
          <w:spacing w:val="-2"/>
          <w:sz w:val="21"/>
          <w:szCs w:val="21"/>
        </w:rPr>
        <w:t>——</w:t>
      </w:r>
      <w:r>
        <w:rPr>
          <w:rFonts w:ascii="宋体" w:hAnsi="宋体" w:eastAsia="宋体" w:cs="宋体"/>
          <w:spacing w:val="-2"/>
          <w:sz w:val="21"/>
          <w:szCs w:val="21"/>
        </w:rPr>
        <w:t>报告期内，社区生活消耗净外购电量，单位为万</w:t>
      </w:r>
      <w:r>
        <w:rPr>
          <w:rFonts w:ascii="宋体" w:hAnsi="宋体" w:eastAsia="宋体" w:cs="宋体"/>
          <w:spacing w:val="-3"/>
          <w:sz w:val="21"/>
          <w:szCs w:val="21"/>
        </w:rPr>
        <w:t>千瓦</w:t>
      </w:r>
      <w:r>
        <w:rPr>
          <w:rFonts w:ascii="宋体" w:hAnsi="宋体" w:eastAsia="宋体" w:cs="宋体"/>
          <w:spacing w:val="-27"/>
          <w:sz w:val="21"/>
          <w:szCs w:val="21"/>
        </w:rPr>
        <w:t xml:space="preserve"> </w:t>
      </w:r>
      <w:r>
        <w:rPr>
          <w:rFonts w:ascii="宋体" w:hAnsi="宋体" w:eastAsia="宋体" w:cs="宋体"/>
          <w:spacing w:val="-3"/>
          <w:sz w:val="21"/>
          <w:szCs w:val="21"/>
        </w:rPr>
        <w:t>·小时</w:t>
      </w:r>
      <w:r>
        <w:rPr>
          <w:rFonts w:ascii="Times New Roman" w:hAnsi="Times New Roman" w:eastAsia="Times New Roman" w:cs="Times New Roman"/>
          <w:spacing w:val="-3"/>
          <w:sz w:val="21"/>
          <w:szCs w:val="21"/>
        </w:rPr>
        <w:t>(10</w:t>
      </w:r>
      <w:r>
        <w:rPr>
          <w:rFonts w:ascii="Times New Roman" w:hAnsi="Times New Roman" w:eastAsia="Times New Roman" w:cs="Times New Roman"/>
          <w:spacing w:val="-3"/>
          <w:position w:val="7"/>
          <w:sz w:val="13"/>
          <w:szCs w:val="13"/>
        </w:rPr>
        <w:t>4</w:t>
      </w:r>
      <w:r>
        <w:rPr>
          <w:rFonts w:ascii="Times New Roman" w:hAnsi="Times New Roman" w:eastAsia="Times New Roman" w:cs="Times New Roman"/>
          <w:spacing w:val="-3"/>
          <w:sz w:val="21"/>
          <w:szCs w:val="21"/>
        </w:rPr>
        <w:t>kW</w:t>
      </w:r>
      <w:r>
        <w:rPr>
          <w:rFonts w:ascii="Times New Roman" w:hAnsi="Times New Roman" w:eastAsia="Times New Roman" w:cs="Times New Roman"/>
          <w:spacing w:val="29"/>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h)</w:t>
      </w:r>
      <w:r>
        <w:rPr>
          <w:rFonts w:ascii="宋体" w:hAnsi="宋体" w:eastAsia="宋体" w:cs="宋体"/>
          <w:spacing w:val="-3"/>
          <w:sz w:val="21"/>
          <w:szCs w:val="21"/>
        </w:rPr>
        <w:t>；</w:t>
      </w:r>
    </w:p>
    <w:p w14:paraId="1BA1D29A">
      <w:pPr>
        <w:spacing w:before="41" w:line="228" w:lineRule="auto"/>
        <w:ind w:left="424"/>
        <w:rPr>
          <w:rFonts w:ascii="宋体" w:hAnsi="宋体" w:eastAsia="宋体" w:cs="宋体"/>
          <w:sz w:val="21"/>
          <w:szCs w:val="21"/>
        </w:rPr>
      </w:pPr>
      <w:r>
        <w:rPr>
          <w:rFonts w:ascii="Cambria Math" w:hAnsi="Cambria Math" w:eastAsia="Cambria Math" w:cs="Cambria Math"/>
          <w:sz w:val="21"/>
          <w:szCs w:val="21"/>
        </w:rPr>
        <w:t>EF</w:t>
      </w:r>
      <w:r>
        <w:rPr>
          <w:rFonts w:ascii="Cambria Math" w:hAnsi="Cambria Math" w:eastAsia="Cambria Math" w:cs="Cambria Math"/>
          <w:position w:val="-4"/>
          <w:sz w:val="15"/>
          <w:szCs w:val="15"/>
        </w:rPr>
        <w:t>e,in</w:t>
      </w:r>
      <w:r>
        <w:rPr>
          <w:rFonts w:ascii="Times New Roman" w:hAnsi="Times New Roman" w:eastAsia="Times New Roman" w:cs="Times New Roman"/>
          <w:sz w:val="21"/>
          <w:szCs w:val="21"/>
        </w:rPr>
        <w:t>——</w:t>
      </w:r>
      <w:r>
        <w:rPr>
          <w:rFonts w:ascii="宋体" w:hAnsi="宋体" w:eastAsia="宋体" w:cs="宋体"/>
          <w:sz w:val="21"/>
          <w:szCs w:val="21"/>
        </w:rPr>
        <w:t>电力消耗的</w:t>
      </w:r>
      <w:r>
        <w:rPr>
          <w:rFonts w:ascii="Times New Roman" w:hAnsi="Times New Roman" w:eastAsia="Times New Roman" w:cs="Times New Roman"/>
          <w:sz w:val="21"/>
          <w:szCs w:val="21"/>
        </w:rPr>
        <w:t>CO</w:t>
      </w:r>
      <w:r>
        <w:rPr>
          <w:rFonts w:ascii="Times New Roman" w:hAnsi="Times New Roman" w:eastAsia="Times New Roman" w:cs="Times New Roman"/>
          <w:position w:val="-1"/>
          <w:sz w:val="13"/>
          <w:szCs w:val="13"/>
        </w:rPr>
        <w:t>2</w:t>
      </w:r>
      <w:r>
        <w:rPr>
          <w:rFonts w:ascii="宋体" w:hAnsi="宋体" w:eastAsia="宋体" w:cs="宋体"/>
          <w:sz w:val="21"/>
          <w:szCs w:val="21"/>
        </w:rPr>
        <w:t>排放因子，单位为每吨万千瓦</w:t>
      </w:r>
      <w:r>
        <w:rPr>
          <w:rFonts w:ascii="宋体" w:hAnsi="宋体" w:eastAsia="宋体" w:cs="宋体"/>
          <w:spacing w:val="-1"/>
          <w:sz w:val="21"/>
          <w:szCs w:val="21"/>
        </w:rPr>
        <w:t>时</w:t>
      </w:r>
      <w:r>
        <w:rPr>
          <w:rFonts w:ascii="Times New Roman" w:hAnsi="Times New Roman" w:eastAsia="Times New Roman" w:cs="Times New Roman"/>
          <w:spacing w:val="-1"/>
          <w:sz w:val="21"/>
          <w:szCs w:val="21"/>
        </w:rPr>
        <w:t>(tCO</w:t>
      </w:r>
      <w:r>
        <w:rPr>
          <w:rFonts w:ascii="Times New Roman" w:hAnsi="Times New Roman" w:eastAsia="Times New Roman" w:cs="Times New Roman"/>
          <w:spacing w:val="-1"/>
          <w:position w:val="-1"/>
          <w:sz w:val="13"/>
          <w:szCs w:val="13"/>
        </w:rPr>
        <w:t>2</w:t>
      </w:r>
      <w:r>
        <w:rPr>
          <w:rFonts w:ascii="Times New Roman" w:hAnsi="Times New Roman" w:eastAsia="Times New Roman" w:cs="Times New Roman"/>
          <w:spacing w:val="-1"/>
          <w:sz w:val="21"/>
          <w:szCs w:val="21"/>
        </w:rPr>
        <w:t>/10</w:t>
      </w:r>
      <w:r>
        <w:rPr>
          <w:rFonts w:ascii="Times New Roman" w:hAnsi="Times New Roman" w:eastAsia="Times New Roman" w:cs="Times New Roman"/>
          <w:spacing w:val="-1"/>
          <w:position w:val="7"/>
          <w:sz w:val="13"/>
          <w:szCs w:val="13"/>
        </w:rPr>
        <w:t>4</w:t>
      </w:r>
      <w:r>
        <w:rPr>
          <w:rFonts w:ascii="Times New Roman" w:hAnsi="Times New Roman" w:eastAsia="Times New Roman" w:cs="Times New Roman"/>
          <w:spacing w:val="-1"/>
          <w:sz w:val="21"/>
          <w:szCs w:val="21"/>
        </w:rPr>
        <w:t>kw</w:t>
      </w:r>
      <w:r>
        <w:rPr>
          <w:rFonts w:ascii="Times New Roman" w:hAnsi="Times New Roman" w:eastAsia="Times New Roman" w:cs="Times New Roman"/>
          <w:spacing w:val="27"/>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h)</w:t>
      </w:r>
      <w:r>
        <w:rPr>
          <w:rFonts w:ascii="宋体" w:hAnsi="宋体" w:eastAsia="宋体" w:cs="宋体"/>
          <w:spacing w:val="-1"/>
          <w:sz w:val="21"/>
          <w:szCs w:val="21"/>
        </w:rPr>
        <w:t>。</w:t>
      </w:r>
    </w:p>
    <w:p w14:paraId="4297D2F4">
      <w:pPr>
        <w:spacing w:before="57" w:line="321" w:lineRule="auto"/>
        <w:ind w:left="7" w:right="55" w:firstLine="358"/>
        <w:rPr>
          <w:rFonts w:ascii="宋体" w:hAnsi="宋体" w:eastAsia="宋体" w:cs="宋体"/>
          <w:sz w:val="18"/>
          <w:szCs w:val="18"/>
        </w:rPr>
      </w:pPr>
      <w:r>
        <w:rPr>
          <w:rFonts w:ascii="宋体" w:hAnsi="宋体" w:eastAsia="宋体" w:cs="宋体"/>
          <w:spacing w:val="-1"/>
          <w:sz w:val="18"/>
          <w:szCs w:val="18"/>
        </w:rPr>
        <w:t>注：当社区存在自产电力时，若社区生产的电力自用，则体现在外购电力购</w:t>
      </w:r>
      <w:r>
        <w:rPr>
          <w:rFonts w:ascii="宋体" w:hAnsi="宋体" w:eastAsia="宋体" w:cs="宋体"/>
          <w:spacing w:val="-2"/>
          <w:sz w:val="18"/>
          <w:szCs w:val="18"/>
        </w:rPr>
        <w:t>买，相应的间接二氧化碳排放减少；若</w:t>
      </w:r>
      <w:r>
        <w:rPr>
          <w:rFonts w:ascii="宋体" w:hAnsi="宋体" w:eastAsia="宋体" w:cs="宋体"/>
          <w:sz w:val="18"/>
          <w:szCs w:val="18"/>
        </w:rPr>
        <w:t xml:space="preserve"> </w:t>
      </w:r>
      <w:r>
        <w:rPr>
          <w:rFonts w:ascii="宋体" w:hAnsi="宋体" w:eastAsia="宋体" w:cs="宋体"/>
          <w:spacing w:val="-5"/>
          <w:sz w:val="18"/>
          <w:szCs w:val="18"/>
        </w:rPr>
        <w:t>社区生产的电力进行上网外调，则这部分外输的电力需从外购电力</w:t>
      </w:r>
      <w:r>
        <w:rPr>
          <w:rFonts w:ascii="宋体" w:hAnsi="宋体" w:eastAsia="宋体" w:cs="宋体"/>
          <w:spacing w:val="-6"/>
          <w:sz w:val="18"/>
          <w:szCs w:val="18"/>
        </w:rPr>
        <w:t>中扣减，如果扣减的结果（净外购电力使用量）为正，</w:t>
      </w:r>
      <w:r>
        <w:rPr>
          <w:rFonts w:ascii="宋体" w:hAnsi="宋体" w:eastAsia="宋体" w:cs="宋体"/>
          <w:sz w:val="18"/>
          <w:szCs w:val="18"/>
        </w:rPr>
        <w:t xml:space="preserve"> </w:t>
      </w:r>
      <w:r>
        <w:rPr>
          <w:rFonts w:ascii="宋体" w:hAnsi="宋体" w:eastAsia="宋体" w:cs="宋体"/>
          <w:spacing w:val="-1"/>
          <w:sz w:val="18"/>
          <w:szCs w:val="18"/>
        </w:rPr>
        <w:t>则社区仍存在外购电力导致的间接二氧化碳排放，如果扣减结果（净外购电力使</w:t>
      </w:r>
      <w:r>
        <w:rPr>
          <w:rFonts w:ascii="宋体" w:hAnsi="宋体" w:eastAsia="宋体" w:cs="宋体"/>
          <w:spacing w:val="-2"/>
          <w:sz w:val="18"/>
          <w:szCs w:val="18"/>
        </w:rPr>
        <w:t>用量）为负，则间接排放的计算结果为</w:t>
      </w:r>
      <w:r>
        <w:rPr>
          <w:rFonts w:ascii="宋体" w:hAnsi="宋体" w:eastAsia="宋体" w:cs="宋体"/>
          <w:sz w:val="18"/>
          <w:szCs w:val="18"/>
        </w:rPr>
        <w:t xml:space="preserve"> </w:t>
      </w:r>
      <w:r>
        <w:rPr>
          <w:rFonts w:ascii="宋体" w:hAnsi="宋体" w:eastAsia="宋体" w:cs="宋体"/>
          <w:spacing w:val="-2"/>
          <w:sz w:val="18"/>
          <w:szCs w:val="18"/>
        </w:rPr>
        <w:t>负，在总的二氧化碳排放量中自动扣减。</w:t>
      </w:r>
    </w:p>
    <w:p w14:paraId="6E126D18">
      <w:pPr>
        <w:spacing w:before="138" w:line="220" w:lineRule="auto"/>
        <w:rPr>
          <w:rFonts w:ascii="黑体" w:hAnsi="黑体" w:eastAsia="黑体" w:cs="黑体"/>
          <w:sz w:val="21"/>
          <w:szCs w:val="21"/>
        </w:rPr>
      </w:pPr>
      <w:r>
        <w:rPr>
          <w:rFonts w:ascii="黑体" w:hAnsi="黑体" w:eastAsia="黑体" w:cs="黑体"/>
          <w:spacing w:val="-1"/>
          <w:sz w:val="21"/>
          <w:szCs w:val="21"/>
        </w:rPr>
        <w:t>5.2.3  净外购热力</w:t>
      </w:r>
    </w:p>
    <w:p w14:paraId="3B294A7A">
      <w:pPr>
        <w:spacing w:before="219" w:line="271" w:lineRule="auto"/>
        <w:ind w:left="13" w:right="56" w:firstLine="414"/>
        <w:rPr>
          <w:rFonts w:ascii="宋体" w:hAnsi="宋体" w:eastAsia="宋体" w:cs="宋体"/>
          <w:sz w:val="21"/>
          <w:szCs w:val="21"/>
        </w:rPr>
      </w:pPr>
      <w:r>
        <w:rPr>
          <w:rFonts w:ascii="宋体" w:hAnsi="宋体" w:eastAsia="宋体" w:cs="宋体"/>
          <w:spacing w:val="1"/>
          <w:sz w:val="21"/>
          <w:szCs w:val="21"/>
        </w:rPr>
        <w:t>若社区生活消费存在外购热力的情况，则外购热力消耗产生的二氧化碳排放采用排放因子法，按</w:t>
      </w:r>
      <w:r>
        <w:rPr>
          <w:rFonts w:ascii="宋体" w:hAnsi="宋体" w:eastAsia="宋体" w:cs="宋体"/>
          <w:spacing w:val="8"/>
          <w:sz w:val="21"/>
          <w:szCs w:val="21"/>
        </w:rPr>
        <w:t xml:space="preserve"> </w:t>
      </w:r>
      <w:r>
        <w:rPr>
          <w:rFonts w:ascii="宋体" w:hAnsi="宋体" w:eastAsia="宋体" w:cs="宋体"/>
          <w:spacing w:val="-2"/>
          <w:sz w:val="21"/>
          <w:szCs w:val="21"/>
        </w:rPr>
        <w:t>公式</w:t>
      </w:r>
      <w:r>
        <w:rPr>
          <w:rFonts w:ascii="Times New Roman" w:hAnsi="Times New Roman" w:eastAsia="Times New Roman" w:cs="Times New Roman"/>
          <w:spacing w:val="-2"/>
          <w:sz w:val="21"/>
          <w:szCs w:val="21"/>
        </w:rPr>
        <w:t>(5)</w:t>
      </w:r>
      <w:r>
        <w:rPr>
          <w:rFonts w:ascii="宋体" w:hAnsi="宋体" w:eastAsia="宋体" w:cs="宋体"/>
          <w:spacing w:val="-2"/>
          <w:sz w:val="21"/>
          <w:szCs w:val="21"/>
        </w:rPr>
        <w:t>进行计算：</w:t>
      </w:r>
    </w:p>
    <w:p w14:paraId="5CA147FE">
      <w:pPr>
        <w:spacing w:line="226" w:lineRule="auto"/>
        <w:ind w:left="3252"/>
        <w:rPr>
          <w:rFonts w:ascii="宋体" w:hAnsi="宋体" w:eastAsia="宋体" w:cs="宋体"/>
          <w:sz w:val="21"/>
          <w:szCs w:val="21"/>
        </w:rPr>
      </w:pPr>
      <w:r>
        <w:rPr>
          <w:rFonts w:ascii="Cambria Math" w:hAnsi="Cambria Math" w:eastAsia="Cambria Math" w:cs="Cambria Math"/>
          <w:position w:val="1"/>
          <w:sz w:val="21"/>
          <w:szCs w:val="21"/>
        </w:rPr>
        <w:t>AE</w:t>
      </w:r>
      <w:r>
        <w:rPr>
          <w:rFonts w:ascii="Cambria Math" w:hAnsi="Cambria Math" w:eastAsia="Cambria Math" w:cs="Cambria Math"/>
          <w:position w:val="-2"/>
          <w:sz w:val="15"/>
          <w:szCs w:val="15"/>
        </w:rPr>
        <w:t>q</w:t>
      </w:r>
      <w:r>
        <w:rPr>
          <w:rFonts w:ascii="Cambria Math" w:hAnsi="Cambria Math" w:eastAsia="Cambria Math" w:cs="Cambria Math"/>
          <w:spacing w:val="9"/>
          <w:position w:val="-2"/>
          <w:sz w:val="15"/>
          <w:szCs w:val="15"/>
        </w:rPr>
        <w:t>,</w:t>
      </w:r>
      <w:r>
        <w:rPr>
          <w:rFonts w:ascii="Cambria Math" w:hAnsi="Cambria Math" w:eastAsia="Cambria Math" w:cs="Cambria Math"/>
          <w:position w:val="-2"/>
          <w:sz w:val="15"/>
          <w:szCs w:val="15"/>
        </w:rPr>
        <w:t>in</w:t>
      </w:r>
      <w:r>
        <w:rPr>
          <w:rFonts w:ascii="Cambria Math" w:hAnsi="Cambria Math" w:eastAsia="Cambria Math" w:cs="Cambria Math"/>
          <w:spacing w:val="9"/>
          <w:position w:val="-2"/>
          <w:sz w:val="15"/>
          <w:szCs w:val="15"/>
        </w:rPr>
        <w:t xml:space="preserve">  </w:t>
      </w:r>
      <w:r>
        <w:rPr>
          <w:rFonts w:ascii="Cambria Math" w:hAnsi="Cambria Math" w:eastAsia="Cambria Math" w:cs="Cambria Math"/>
          <w:spacing w:val="9"/>
          <w:position w:val="1"/>
          <w:sz w:val="21"/>
          <w:szCs w:val="21"/>
        </w:rPr>
        <w:t>=</w:t>
      </w:r>
      <w:r>
        <w:rPr>
          <w:rFonts w:ascii="Cambria Math" w:hAnsi="Cambria Math" w:eastAsia="Cambria Math" w:cs="Cambria Math"/>
          <w:spacing w:val="12"/>
          <w:position w:val="1"/>
          <w:sz w:val="21"/>
          <w:szCs w:val="21"/>
        </w:rPr>
        <w:t xml:space="preserve"> </w:t>
      </w:r>
      <w:r>
        <w:rPr>
          <w:rFonts w:ascii="Cambria Math" w:hAnsi="Cambria Math" w:eastAsia="Cambria Math" w:cs="Cambria Math"/>
          <w:position w:val="1"/>
          <w:sz w:val="21"/>
          <w:szCs w:val="21"/>
        </w:rPr>
        <w:t>AD</w:t>
      </w:r>
      <w:r>
        <w:rPr>
          <w:rFonts w:ascii="Cambria Math" w:hAnsi="Cambria Math" w:eastAsia="Cambria Math" w:cs="Cambria Math"/>
          <w:position w:val="-2"/>
          <w:sz w:val="15"/>
          <w:szCs w:val="15"/>
        </w:rPr>
        <w:t>q</w:t>
      </w:r>
      <w:r>
        <w:rPr>
          <w:rFonts w:ascii="Cambria Math" w:hAnsi="Cambria Math" w:eastAsia="Cambria Math" w:cs="Cambria Math"/>
          <w:spacing w:val="9"/>
          <w:position w:val="-2"/>
          <w:sz w:val="15"/>
          <w:szCs w:val="15"/>
        </w:rPr>
        <w:t>,</w:t>
      </w:r>
      <w:r>
        <w:rPr>
          <w:rFonts w:ascii="Cambria Math" w:hAnsi="Cambria Math" w:eastAsia="Cambria Math" w:cs="Cambria Math"/>
          <w:position w:val="-2"/>
          <w:sz w:val="15"/>
          <w:szCs w:val="15"/>
        </w:rPr>
        <w:t>in</w:t>
      </w:r>
      <w:r>
        <w:rPr>
          <w:rFonts w:ascii="Cambria Math" w:hAnsi="Cambria Math" w:eastAsia="Cambria Math" w:cs="Cambria Math"/>
          <w:spacing w:val="5"/>
          <w:position w:val="-2"/>
          <w:sz w:val="15"/>
          <w:szCs w:val="15"/>
        </w:rPr>
        <w:t xml:space="preserve">  </w:t>
      </w:r>
      <w:r>
        <w:rPr>
          <w:rFonts w:ascii="Cambria Math" w:hAnsi="Cambria Math" w:eastAsia="Cambria Math" w:cs="Cambria Math"/>
          <w:spacing w:val="9"/>
          <w:position w:val="1"/>
          <w:sz w:val="21"/>
          <w:szCs w:val="21"/>
        </w:rPr>
        <w:t xml:space="preserve">× </w:t>
      </w:r>
      <w:r>
        <w:rPr>
          <w:rFonts w:ascii="Cambria Math" w:hAnsi="Cambria Math" w:eastAsia="Cambria Math" w:cs="Cambria Math"/>
          <w:position w:val="1"/>
          <w:sz w:val="21"/>
          <w:szCs w:val="21"/>
        </w:rPr>
        <w:t>EF</w:t>
      </w:r>
      <w:r>
        <w:rPr>
          <w:rFonts w:ascii="Cambria Math" w:hAnsi="Cambria Math" w:eastAsia="Cambria Math" w:cs="Cambria Math"/>
          <w:position w:val="-2"/>
          <w:sz w:val="15"/>
          <w:szCs w:val="15"/>
        </w:rPr>
        <w:t>q</w:t>
      </w:r>
      <w:r>
        <w:rPr>
          <w:rFonts w:ascii="Cambria Math" w:hAnsi="Cambria Math" w:eastAsia="Cambria Math" w:cs="Cambria Math"/>
          <w:spacing w:val="9"/>
          <w:position w:val="-2"/>
          <w:sz w:val="15"/>
          <w:szCs w:val="15"/>
        </w:rPr>
        <w:t>,</w:t>
      </w:r>
      <w:r>
        <w:rPr>
          <w:rFonts w:ascii="Cambria Math" w:hAnsi="Cambria Math" w:eastAsia="Cambria Math" w:cs="Cambria Math"/>
          <w:position w:val="-2"/>
          <w:sz w:val="15"/>
          <w:szCs w:val="15"/>
        </w:rPr>
        <w:t xml:space="preserve">in                                                                                                      </w:t>
      </w:r>
      <w:r>
        <w:rPr>
          <w:rFonts w:ascii="宋体" w:hAnsi="宋体" w:eastAsia="宋体" w:cs="宋体"/>
          <w:spacing w:val="9"/>
          <w:position w:val="1"/>
          <w:sz w:val="21"/>
          <w:szCs w:val="21"/>
        </w:rPr>
        <w:t>（</w:t>
      </w:r>
      <w:r>
        <w:rPr>
          <w:rFonts w:ascii="Times New Roman" w:hAnsi="Times New Roman" w:eastAsia="Times New Roman" w:cs="Times New Roman"/>
          <w:spacing w:val="9"/>
          <w:position w:val="1"/>
          <w:sz w:val="21"/>
          <w:szCs w:val="21"/>
        </w:rPr>
        <w:t>5</w:t>
      </w:r>
      <w:r>
        <w:rPr>
          <w:rFonts w:ascii="宋体" w:hAnsi="宋体" w:eastAsia="宋体" w:cs="宋体"/>
          <w:spacing w:val="9"/>
          <w:position w:val="1"/>
          <w:sz w:val="21"/>
          <w:szCs w:val="21"/>
        </w:rPr>
        <w:t>）</w:t>
      </w:r>
    </w:p>
    <w:p w14:paraId="0B99E1F2">
      <w:pPr>
        <w:spacing w:before="60" w:line="221" w:lineRule="auto"/>
        <w:ind w:left="431"/>
        <w:rPr>
          <w:rFonts w:ascii="宋体" w:hAnsi="宋体" w:eastAsia="宋体" w:cs="宋体"/>
          <w:sz w:val="21"/>
          <w:szCs w:val="21"/>
        </w:rPr>
      </w:pPr>
      <w:r>
        <w:rPr>
          <w:rFonts w:ascii="宋体" w:hAnsi="宋体" w:eastAsia="宋体" w:cs="宋体"/>
          <w:spacing w:val="-4"/>
          <w:sz w:val="21"/>
          <w:szCs w:val="21"/>
        </w:rPr>
        <w:t>式中：</w:t>
      </w:r>
    </w:p>
    <w:p w14:paraId="329C6D53">
      <w:pPr>
        <w:spacing w:before="54" w:line="245" w:lineRule="auto"/>
        <w:ind w:left="423" w:hanging="6"/>
        <w:rPr>
          <w:rFonts w:ascii="宋体" w:hAnsi="宋体" w:eastAsia="宋体" w:cs="宋体"/>
          <w:sz w:val="21"/>
          <w:szCs w:val="21"/>
        </w:rPr>
      </w:pPr>
      <w:r>
        <w:rPr>
          <w:rFonts w:ascii="Cambria Math" w:hAnsi="Cambria Math" w:eastAsia="Cambria Math" w:cs="Cambria Math"/>
          <w:sz w:val="21"/>
          <w:szCs w:val="21"/>
        </w:rPr>
        <w:t>AE</w:t>
      </w:r>
      <w:r>
        <w:rPr>
          <w:rFonts w:ascii="Cambria Math" w:hAnsi="Cambria Math" w:eastAsia="Cambria Math" w:cs="Cambria Math"/>
          <w:position w:val="-4"/>
          <w:sz w:val="15"/>
          <w:szCs w:val="15"/>
        </w:rPr>
        <w:t>q</w:t>
      </w:r>
      <w:r>
        <w:rPr>
          <w:rFonts w:ascii="Cambria Math" w:hAnsi="Cambria Math" w:eastAsia="Cambria Math" w:cs="Cambria Math"/>
          <w:spacing w:val="4"/>
          <w:position w:val="-4"/>
          <w:sz w:val="15"/>
          <w:szCs w:val="15"/>
        </w:rPr>
        <w:t>,</w:t>
      </w:r>
      <w:r>
        <w:rPr>
          <w:rFonts w:ascii="Cambria Math" w:hAnsi="Cambria Math" w:eastAsia="Cambria Math" w:cs="Cambria Math"/>
          <w:position w:val="-4"/>
          <w:sz w:val="15"/>
          <w:szCs w:val="15"/>
        </w:rPr>
        <w:t>in</w:t>
      </w:r>
      <w:r>
        <w:rPr>
          <w:rFonts w:ascii="Times New Roman" w:hAnsi="Times New Roman" w:eastAsia="Times New Roman" w:cs="Times New Roman"/>
          <w:spacing w:val="4"/>
          <w:sz w:val="21"/>
          <w:szCs w:val="21"/>
        </w:rPr>
        <w:t>——</w:t>
      </w:r>
      <w:r>
        <w:rPr>
          <w:rFonts w:ascii="宋体" w:hAnsi="宋体" w:eastAsia="宋体" w:cs="宋体"/>
          <w:spacing w:val="4"/>
          <w:sz w:val="21"/>
          <w:szCs w:val="21"/>
        </w:rPr>
        <w:t>报告期内，社区生活用外购热力消耗产生的</w:t>
      </w:r>
      <w:r>
        <w:rPr>
          <w:rFonts w:ascii="Times New Roman" w:hAnsi="Times New Roman" w:eastAsia="Times New Roman" w:cs="Times New Roman"/>
          <w:sz w:val="21"/>
          <w:szCs w:val="21"/>
        </w:rPr>
        <w:t>CO</w:t>
      </w:r>
      <w:r>
        <w:rPr>
          <w:rFonts w:ascii="Times New Roman" w:hAnsi="Times New Roman" w:eastAsia="Times New Roman" w:cs="Times New Roman"/>
          <w:spacing w:val="4"/>
          <w:position w:val="-1"/>
          <w:sz w:val="13"/>
          <w:szCs w:val="13"/>
        </w:rPr>
        <w:t>2</w:t>
      </w:r>
      <w:r>
        <w:rPr>
          <w:rFonts w:ascii="宋体" w:hAnsi="宋体" w:eastAsia="宋体" w:cs="宋体"/>
          <w:spacing w:val="4"/>
          <w:sz w:val="21"/>
          <w:szCs w:val="21"/>
        </w:rPr>
        <w:t>排放量，单位为吨二氧化碳（</w:t>
      </w:r>
      <w:r>
        <w:rPr>
          <w:rFonts w:ascii="Times New Roman" w:hAnsi="Times New Roman" w:eastAsia="Times New Roman" w:cs="Times New Roman"/>
          <w:sz w:val="21"/>
          <w:szCs w:val="21"/>
        </w:rPr>
        <w:t>tCO</w:t>
      </w:r>
      <w:r>
        <w:rPr>
          <w:rFonts w:ascii="Times New Roman" w:hAnsi="Times New Roman" w:eastAsia="Times New Roman" w:cs="Times New Roman"/>
          <w:spacing w:val="4"/>
          <w:position w:val="-1"/>
          <w:sz w:val="13"/>
          <w:szCs w:val="13"/>
        </w:rPr>
        <w:t>2</w:t>
      </w:r>
      <w:r>
        <w:rPr>
          <w:rFonts w:ascii="宋体" w:hAnsi="宋体" w:eastAsia="宋体" w:cs="宋体"/>
          <w:spacing w:val="-17"/>
          <w:sz w:val="21"/>
          <w:szCs w:val="21"/>
        </w:rPr>
        <w:t>）；</w:t>
      </w:r>
      <w:r>
        <w:rPr>
          <w:rFonts w:ascii="宋体" w:hAnsi="宋体" w:eastAsia="宋体" w:cs="宋体"/>
          <w:spacing w:val="1"/>
          <w:sz w:val="21"/>
          <w:szCs w:val="21"/>
        </w:rPr>
        <w:t xml:space="preserve"> </w:t>
      </w:r>
      <w:r>
        <w:rPr>
          <w:rFonts w:ascii="Cambria Math" w:hAnsi="Cambria Math" w:eastAsia="Cambria Math" w:cs="Cambria Math"/>
          <w:sz w:val="21"/>
          <w:szCs w:val="21"/>
        </w:rPr>
        <w:t>EF</w:t>
      </w:r>
      <w:r>
        <w:rPr>
          <w:rFonts w:ascii="Cambria Math" w:hAnsi="Cambria Math" w:eastAsia="Cambria Math" w:cs="Cambria Math"/>
          <w:position w:val="-4"/>
          <w:sz w:val="15"/>
          <w:szCs w:val="15"/>
        </w:rPr>
        <w:t>q</w:t>
      </w:r>
      <w:r>
        <w:rPr>
          <w:rFonts w:ascii="Cambria Math" w:hAnsi="Cambria Math" w:eastAsia="Cambria Math" w:cs="Cambria Math"/>
          <w:spacing w:val="1"/>
          <w:position w:val="-4"/>
          <w:sz w:val="15"/>
          <w:szCs w:val="15"/>
        </w:rPr>
        <w:t>,</w:t>
      </w:r>
      <w:r>
        <w:rPr>
          <w:rFonts w:ascii="Cambria Math" w:hAnsi="Cambria Math" w:eastAsia="Cambria Math" w:cs="Cambria Math"/>
          <w:position w:val="-4"/>
          <w:sz w:val="15"/>
          <w:szCs w:val="15"/>
        </w:rPr>
        <w:t>in</w:t>
      </w:r>
      <w:r>
        <w:rPr>
          <w:rFonts w:ascii="Times New Roman" w:hAnsi="Times New Roman" w:eastAsia="Times New Roman" w:cs="Times New Roman"/>
          <w:spacing w:val="1"/>
          <w:sz w:val="21"/>
          <w:szCs w:val="21"/>
        </w:rPr>
        <w:t>——</w:t>
      </w:r>
      <w:r>
        <w:rPr>
          <w:rFonts w:ascii="宋体" w:hAnsi="宋体" w:eastAsia="宋体" w:cs="宋体"/>
          <w:spacing w:val="1"/>
          <w:sz w:val="21"/>
          <w:szCs w:val="21"/>
        </w:rPr>
        <w:t>报告期内，社区生活消耗净外购热力数量，单位为百万千焦</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GJ</w:t>
      </w:r>
      <w:r>
        <w:rPr>
          <w:rFonts w:ascii="Times New Roman" w:hAnsi="Times New Roman" w:eastAsia="Times New Roman" w:cs="Times New Roman"/>
          <w:spacing w:val="1"/>
          <w:sz w:val="21"/>
          <w:szCs w:val="21"/>
        </w:rPr>
        <w:t>)</w:t>
      </w:r>
      <w:r>
        <w:rPr>
          <w:rFonts w:ascii="宋体" w:hAnsi="宋体" w:eastAsia="宋体" w:cs="宋体"/>
          <w:spacing w:val="1"/>
          <w:sz w:val="21"/>
          <w:szCs w:val="21"/>
        </w:rPr>
        <w:t>；</w:t>
      </w:r>
    </w:p>
    <w:p w14:paraId="10586BBC">
      <w:pPr>
        <w:spacing w:before="41" w:line="218" w:lineRule="auto"/>
        <w:ind w:left="417"/>
        <w:rPr>
          <w:rFonts w:ascii="宋体" w:hAnsi="宋体" w:eastAsia="宋体" w:cs="宋体"/>
          <w:sz w:val="21"/>
          <w:szCs w:val="21"/>
        </w:rPr>
      </w:pPr>
      <w:r>
        <w:rPr>
          <w:rFonts w:ascii="Cambria Math" w:hAnsi="Cambria Math" w:eastAsia="Cambria Math" w:cs="Cambria Math"/>
          <w:sz w:val="21"/>
          <w:szCs w:val="21"/>
        </w:rPr>
        <w:t>AD</w:t>
      </w:r>
      <w:r>
        <w:rPr>
          <w:rFonts w:ascii="Cambria Math" w:hAnsi="Cambria Math" w:eastAsia="Cambria Math" w:cs="Cambria Math"/>
          <w:position w:val="-4"/>
          <w:sz w:val="15"/>
          <w:szCs w:val="15"/>
        </w:rPr>
        <w:t>q</w:t>
      </w:r>
      <w:r>
        <w:rPr>
          <w:rFonts w:ascii="Cambria Math" w:hAnsi="Cambria Math" w:eastAsia="Cambria Math" w:cs="Cambria Math"/>
          <w:spacing w:val="2"/>
          <w:position w:val="-4"/>
          <w:sz w:val="15"/>
          <w:szCs w:val="15"/>
        </w:rPr>
        <w:t>,</w:t>
      </w:r>
      <w:r>
        <w:rPr>
          <w:rFonts w:ascii="Cambria Math" w:hAnsi="Cambria Math" w:eastAsia="Cambria Math" w:cs="Cambria Math"/>
          <w:position w:val="-4"/>
          <w:sz w:val="15"/>
          <w:szCs w:val="15"/>
        </w:rPr>
        <w:t>in</w:t>
      </w:r>
      <w:r>
        <w:rPr>
          <w:rFonts w:ascii="Times New Roman" w:hAnsi="Times New Roman" w:eastAsia="Times New Roman" w:cs="Times New Roman"/>
          <w:spacing w:val="2"/>
          <w:sz w:val="21"/>
          <w:szCs w:val="21"/>
        </w:rPr>
        <w:t>——</w:t>
      </w:r>
      <w:r>
        <w:rPr>
          <w:rFonts w:ascii="宋体" w:hAnsi="宋体" w:eastAsia="宋体" w:cs="宋体"/>
          <w:spacing w:val="2"/>
          <w:sz w:val="21"/>
          <w:szCs w:val="21"/>
        </w:rPr>
        <w:t>热力消耗的</w:t>
      </w:r>
      <w:r>
        <w:rPr>
          <w:rFonts w:ascii="Times New Roman" w:hAnsi="Times New Roman" w:eastAsia="Times New Roman" w:cs="Times New Roman"/>
          <w:sz w:val="21"/>
          <w:szCs w:val="21"/>
        </w:rPr>
        <w:t>CO</w:t>
      </w:r>
      <w:r>
        <w:rPr>
          <w:rFonts w:ascii="Times New Roman" w:hAnsi="Times New Roman" w:eastAsia="Times New Roman" w:cs="Times New Roman"/>
          <w:spacing w:val="2"/>
          <w:position w:val="-1"/>
          <w:sz w:val="13"/>
          <w:szCs w:val="13"/>
        </w:rPr>
        <w:t>2</w:t>
      </w:r>
      <w:r>
        <w:rPr>
          <w:rFonts w:ascii="宋体" w:hAnsi="宋体" w:eastAsia="宋体" w:cs="宋体"/>
          <w:spacing w:val="2"/>
          <w:sz w:val="21"/>
          <w:szCs w:val="21"/>
        </w:rPr>
        <w:t>排放因子，单位为每百万千焦（</w:t>
      </w:r>
      <w:r>
        <w:rPr>
          <w:rFonts w:ascii="Times New Roman" w:hAnsi="Times New Roman" w:eastAsia="Times New Roman" w:cs="Times New Roman"/>
          <w:sz w:val="21"/>
          <w:szCs w:val="21"/>
        </w:rPr>
        <w:t>tCO</w:t>
      </w:r>
      <w:r>
        <w:rPr>
          <w:rFonts w:ascii="Times New Roman" w:hAnsi="Times New Roman" w:eastAsia="Times New Roman" w:cs="Times New Roman"/>
          <w:spacing w:val="2"/>
          <w:position w:val="-1"/>
          <w:sz w:val="13"/>
          <w:szCs w:val="13"/>
        </w:rPr>
        <w:t>2</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GJ</w:t>
      </w:r>
      <w:r>
        <w:rPr>
          <w:rFonts w:ascii="宋体" w:hAnsi="宋体" w:eastAsia="宋体" w:cs="宋体"/>
          <w:spacing w:val="2"/>
          <w:sz w:val="21"/>
          <w:szCs w:val="21"/>
        </w:rPr>
        <w:t>）；</w:t>
      </w:r>
    </w:p>
    <w:p w14:paraId="4F89A39D">
      <w:pPr>
        <w:spacing w:before="214" w:line="221" w:lineRule="auto"/>
        <w:ind w:left="2"/>
        <w:outlineLvl w:val="2"/>
        <w:rPr>
          <w:rFonts w:ascii="黑体" w:hAnsi="黑体" w:eastAsia="黑体" w:cs="黑体"/>
          <w:sz w:val="21"/>
          <w:szCs w:val="21"/>
        </w:rPr>
      </w:pPr>
      <w:bookmarkStart w:id="22" w:name="bookmark14"/>
      <w:bookmarkEnd w:id="22"/>
      <w:r>
        <w:rPr>
          <w:rFonts w:ascii="黑体" w:hAnsi="黑体" w:eastAsia="黑体" w:cs="黑体"/>
          <w:sz w:val="21"/>
          <w:szCs w:val="21"/>
        </w:rPr>
        <w:t>5.3  温室气体减排措施</w:t>
      </w:r>
    </w:p>
    <w:p w14:paraId="5DC82EFC">
      <w:pPr>
        <w:spacing w:before="217" w:line="221" w:lineRule="auto"/>
        <w:ind w:left="431"/>
        <w:rPr>
          <w:rFonts w:ascii="宋体" w:hAnsi="宋体" w:eastAsia="宋体" w:cs="宋体"/>
          <w:sz w:val="21"/>
          <w:szCs w:val="21"/>
        </w:rPr>
      </w:pPr>
      <w:r>
        <w:rPr>
          <w:rFonts w:ascii="宋体" w:hAnsi="宋体" w:eastAsia="宋体" w:cs="宋体"/>
          <w:sz w:val="21"/>
          <w:szCs w:val="21"/>
        </w:rPr>
        <w:t>宜从低碳社区建设、能源系统、水资源利用</w:t>
      </w:r>
      <w:r>
        <w:rPr>
          <w:rFonts w:ascii="宋体" w:hAnsi="宋体" w:eastAsia="宋体" w:cs="宋体"/>
          <w:spacing w:val="-1"/>
          <w:sz w:val="21"/>
          <w:szCs w:val="21"/>
        </w:rPr>
        <w:t>、废弃物处理、社区治理等方面实施减碳措施。</w:t>
      </w:r>
    </w:p>
    <w:p w14:paraId="6F383A72">
      <w:pPr>
        <w:spacing w:before="61" w:line="220" w:lineRule="auto"/>
        <w:ind w:left="427"/>
        <w:rPr>
          <w:rFonts w:ascii="宋体" w:hAnsi="宋体" w:eastAsia="宋体" w:cs="宋体"/>
          <w:sz w:val="21"/>
          <w:szCs w:val="21"/>
        </w:rPr>
      </w:pPr>
      <w:r>
        <w:rPr>
          <w:rFonts w:ascii="宋体" w:hAnsi="宋体" w:eastAsia="宋体" w:cs="宋体"/>
          <w:sz w:val="21"/>
          <w:szCs w:val="21"/>
        </w:rPr>
        <w:t>城市社区宜开展分布式光伏项目、储能项目、垃圾分类资源化项目、自产或外购绿色电力等。</w:t>
      </w:r>
    </w:p>
    <w:p w14:paraId="683C53EA">
      <w:pPr>
        <w:spacing w:before="63" w:line="274" w:lineRule="auto"/>
        <w:ind w:left="47" w:right="56" w:firstLine="379"/>
        <w:rPr>
          <w:rFonts w:ascii="宋体" w:hAnsi="宋体" w:eastAsia="宋体" w:cs="宋体"/>
          <w:sz w:val="21"/>
          <w:szCs w:val="21"/>
        </w:rPr>
      </w:pPr>
      <w:r>
        <w:rPr>
          <w:rFonts w:ascii="宋体" w:hAnsi="宋体" w:eastAsia="宋体" w:cs="宋体"/>
          <w:spacing w:val="1"/>
          <w:sz w:val="21"/>
          <w:szCs w:val="21"/>
        </w:rPr>
        <w:t>农村社区宜开展生物质发电项目、分布式屋顶光伏发电项目、种养循环项目、污水处理一体化项</w:t>
      </w:r>
      <w:r>
        <w:rPr>
          <w:rFonts w:ascii="宋体" w:hAnsi="宋体" w:eastAsia="宋体" w:cs="宋体"/>
          <w:spacing w:val="9"/>
          <w:sz w:val="21"/>
          <w:szCs w:val="21"/>
        </w:rPr>
        <w:t xml:space="preserve"> </w:t>
      </w:r>
      <w:r>
        <w:rPr>
          <w:rFonts w:ascii="宋体" w:hAnsi="宋体" w:eastAsia="宋体" w:cs="宋体"/>
          <w:spacing w:val="-5"/>
          <w:sz w:val="21"/>
          <w:szCs w:val="21"/>
        </w:rPr>
        <w:t>目、垃圾分类资源化项目等。</w:t>
      </w:r>
    </w:p>
    <w:p w14:paraId="722A356B">
      <w:pPr>
        <w:spacing w:before="1" w:line="219" w:lineRule="auto"/>
        <w:ind w:left="432"/>
        <w:rPr>
          <w:rFonts w:ascii="宋体" w:hAnsi="宋体" w:eastAsia="宋体" w:cs="宋体"/>
          <w:sz w:val="21"/>
          <w:szCs w:val="21"/>
        </w:rPr>
      </w:pPr>
      <w:r>
        <w:rPr>
          <w:rFonts w:ascii="宋体" w:hAnsi="宋体" w:eastAsia="宋体" w:cs="宋体"/>
          <w:spacing w:val="-1"/>
          <w:sz w:val="21"/>
          <w:szCs w:val="21"/>
        </w:rPr>
        <w:t>实施减排项目产生的减排量的计算方法见附录</w:t>
      </w:r>
      <w:r>
        <w:rPr>
          <w:rFonts w:ascii="Times New Roman" w:hAnsi="Times New Roman" w:eastAsia="Times New Roman" w:cs="Times New Roman"/>
          <w:spacing w:val="-1"/>
          <w:sz w:val="21"/>
          <w:szCs w:val="21"/>
        </w:rPr>
        <w:t>A</w:t>
      </w:r>
      <w:r>
        <w:rPr>
          <w:rFonts w:ascii="宋体" w:hAnsi="宋体" w:eastAsia="宋体" w:cs="宋体"/>
          <w:spacing w:val="-1"/>
          <w:sz w:val="21"/>
          <w:szCs w:val="21"/>
        </w:rPr>
        <w:t>。</w:t>
      </w:r>
    </w:p>
    <w:p w14:paraId="62CE122B">
      <w:pPr>
        <w:spacing w:before="217" w:line="221" w:lineRule="auto"/>
        <w:ind w:left="2"/>
        <w:outlineLvl w:val="2"/>
        <w:rPr>
          <w:rFonts w:ascii="黑体" w:hAnsi="黑体" w:eastAsia="黑体" w:cs="黑体"/>
          <w:sz w:val="21"/>
          <w:szCs w:val="21"/>
        </w:rPr>
      </w:pPr>
      <w:bookmarkStart w:id="23" w:name="bookmark15"/>
      <w:bookmarkEnd w:id="23"/>
      <w:r>
        <w:rPr>
          <w:rFonts w:ascii="黑体" w:hAnsi="黑体" w:eastAsia="黑体" w:cs="黑体"/>
          <w:sz w:val="21"/>
          <w:szCs w:val="21"/>
        </w:rPr>
        <w:t>5.4  温室气体排放量的抵消</w:t>
      </w:r>
    </w:p>
    <w:p w14:paraId="660FF90B">
      <w:pPr>
        <w:spacing w:before="218" w:line="274" w:lineRule="auto"/>
        <w:ind w:left="7" w:right="55" w:firstLine="4"/>
        <w:rPr>
          <w:rFonts w:ascii="宋体" w:hAnsi="宋体" w:eastAsia="宋体" w:cs="宋体"/>
          <w:sz w:val="21"/>
          <w:szCs w:val="21"/>
        </w:rPr>
      </w:pPr>
      <w:r>
        <w:rPr>
          <w:rFonts w:ascii="宋体" w:hAnsi="宋体" w:eastAsia="宋体" w:cs="宋体"/>
          <w:sz w:val="21"/>
          <w:szCs w:val="21"/>
        </w:rPr>
        <w:t>5.5.1</w:t>
      </w:r>
      <w:r>
        <w:rPr>
          <w:rFonts w:ascii="宋体" w:hAnsi="宋体" w:eastAsia="宋体" w:cs="宋体"/>
          <w:spacing w:val="60"/>
          <w:sz w:val="21"/>
          <w:szCs w:val="21"/>
        </w:rPr>
        <w:t xml:space="preserve"> </w:t>
      </w:r>
      <w:r>
        <w:rPr>
          <w:rFonts w:ascii="宋体" w:hAnsi="宋体" w:eastAsia="宋体" w:cs="宋体"/>
          <w:sz w:val="21"/>
          <w:szCs w:val="21"/>
        </w:rPr>
        <w:t>零碳社区应通过购买绿证、碳信用的方式，或开展公益植树造林</w:t>
      </w:r>
      <w:r>
        <w:rPr>
          <w:rFonts w:ascii="宋体" w:hAnsi="宋体" w:eastAsia="宋体" w:cs="宋体"/>
          <w:spacing w:val="-1"/>
          <w:sz w:val="21"/>
          <w:szCs w:val="21"/>
        </w:rPr>
        <w:t>等产生碳汇量的方式抵消剩余</w:t>
      </w:r>
      <w:r>
        <w:rPr>
          <w:rFonts w:ascii="宋体" w:hAnsi="宋体" w:eastAsia="宋体" w:cs="宋体"/>
          <w:sz w:val="21"/>
          <w:szCs w:val="21"/>
        </w:rPr>
        <w:t xml:space="preserve"> </w:t>
      </w:r>
      <w:r>
        <w:rPr>
          <w:rFonts w:ascii="宋体" w:hAnsi="宋体" w:eastAsia="宋体" w:cs="宋体"/>
          <w:spacing w:val="-1"/>
          <w:sz w:val="21"/>
          <w:szCs w:val="21"/>
        </w:rPr>
        <w:t>产生的温室气体排放量，其中使用绿证、碳信用宜参照以下优先顺序执行：</w:t>
      </w:r>
    </w:p>
    <w:p w14:paraId="7F4BD160">
      <w:pPr>
        <w:spacing w:line="221" w:lineRule="auto"/>
        <w:ind w:left="428"/>
        <w:rPr>
          <w:rFonts w:ascii="宋体" w:hAnsi="宋体" w:eastAsia="宋体" w:cs="宋体"/>
          <w:sz w:val="21"/>
          <w:szCs w:val="21"/>
        </w:rPr>
      </w:pPr>
      <w:r>
        <w:rPr>
          <w:rFonts w:ascii="宋体" w:hAnsi="宋体" w:eastAsia="宋体" w:cs="宋体"/>
          <w:spacing w:val="-1"/>
          <w:sz w:val="21"/>
          <w:szCs w:val="21"/>
        </w:rPr>
        <w:t>a）国家能源局核发的绿证；</w:t>
      </w:r>
    </w:p>
    <w:p w14:paraId="7573B660">
      <w:pPr>
        <w:spacing w:before="61" w:line="221" w:lineRule="auto"/>
        <w:ind w:left="423"/>
        <w:rPr>
          <w:rFonts w:ascii="宋体" w:hAnsi="宋体" w:eastAsia="宋体" w:cs="宋体"/>
          <w:sz w:val="21"/>
          <w:szCs w:val="21"/>
        </w:rPr>
      </w:pPr>
      <w:r>
        <w:rPr>
          <w:rFonts w:ascii="宋体" w:hAnsi="宋体" w:eastAsia="宋体" w:cs="宋体"/>
          <w:spacing w:val="-2"/>
          <w:sz w:val="21"/>
          <w:szCs w:val="21"/>
        </w:rPr>
        <w:t>b）中国温室气体自愿减排项目产生的“核证自愿减排量（CCER）”;</w:t>
      </w:r>
    </w:p>
    <w:p w14:paraId="22298F21">
      <w:pPr>
        <w:spacing w:before="60" w:line="221" w:lineRule="auto"/>
        <w:ind w:left="431"/>
        <w:rPr>
          <w:rFonts w:ascii="宋体" w:hAnsi="宋体" w:eastAsia="宋体" w:cs="宋体"/>
          <w:sz w:val="21"/>
          <w:szCs w:val="21"/>
        </w:rPr>
      </w:pPr>
      <w:r>
        <w:rPr>
          <w:rFonts w:ascii="宋体" w:hAnsi="宋体" w:eastAsia="宋体" w:cs="宋体"/>
          <w:spacing w:val="-1"/>
          <w:sz w:val="21"/>
          <w:szCs w:val="21"/>
        </w:rPr>
        <w:t>c）经省级以上生态环境主管部门批准、备案或者认可的碳普惠项目产生的</w:t>
      </w:r>
      <w:r>
        <w:rPr>
          <w:rFonts w:ascii="宋体" w:hAnsi="宋体" w:eastAsia="宋体" w:cs="宋体"/>
          <w:spacing w:val="-2"/>
          <w:sz w:val="21"/>
          <w:szCs w:val="21"/>
        </w:rPr>
        <w:t>减排量；</w:t>
      </w:r>
    </w:p>
    <w:p w14:paraId="0AD319FD">
      <w:pPr>
        <w:spacing w:before="61" w:line="220" w:lineRule="auto"/>
        <w:ind w:left="431"/>
        <w:rPr>
          <w:rFonts w:ascii="宋体" w:hAnsi="宋体" w:eastAsia="宋体" w:cs="宋体"/>
          <w:sz w:val="21"/>
          <w:szCs w:val="21"/>
        </w:rPr>
      </w:pPr>
      <w:r>
        <w:rPr>
          <w:rFonts w:ascii="宋体" w:hAnsi="宋体" w:eastAsia="宋体" w:cs="宋体"/>
          <w:spacing w:val="-1"/>
          <w:sz w:val="21"/>
          <w:szCs w:val="21"/>
        </w:rPr>
        <w:t>d）经联合国清洁发展机制（CDM）或其他减排机制签发的中国项目温室气体减排量。</w:t>
      </w:r>
    </w:p>
    <w:p w14:paraId="15732ADC">
      <w:pPr>
        <w:spacing w:before="76" w:line="316" w:lineRule="auto"/>
        <w:ind w:left="7" w:right="55" w:firstLine="358"/>
        <w:jc w:val="both"/>
        <w:rPr>
          <w:rFonts w:ascii="宋体" w:hAnsi="宋体" w:eastAsia="宋体" w:cs="宋体"/>
          <w:sz w:val="18"/>
          <w:szCs w:val="18"/>
        </w:rPr>
      </w:pPr>
      <w:r>
        <w:rPr>
          <w:rFonts w:ascii="宋体" w:hAnsi="宋体" w:eastAsia="宋体" w:cs="宋体"/>
          <w:sz w:val="18"/>
          <w:szCs w:val="18"/>
        </w:rPr>
        <w:t>注</w:t>
      </w:r>
      <w:r>
        <w:rPr>
          <w:rFonts w:ascii="Times New Roman" w:hAnsi="Times New Roman" w:eastAsia="Times New Roman" w:cs="Times New Roman"/>
          <w:sz w:val="18"/>
          <w:szCs w:val="18"/>
        </w:rPr>
        <w:t>1</w:t>
      </w:r>
      <w:r>
        <w:rPr>
          <w:rFonts w:ascii="宋体" w:hAnsi="宋体" w:eastAsia="宋体" w:cs="宋体"/>
          <w:sz w:val="18"/>
          <w:szCs w:val="18"/>
        </w:rPr>
        <w:t>：绿证即可再生能源绿色电力证书，是对可再生能源发电项目所发绿色电力颁发的具有独特标识代码的电子证</w:t>
      </w:r>
      <w:r>
        <w:rPr>
          <w:rFonts w:ascii="宋体" w:hAnsi="宋体" w:eastAsia="宋体" w:cs="宋体"/>
          <w:spacing w:val="14"/>
          <w:sz w:val="18"/>
          <w:szCs w:val="18"/>
        </w:rPr>
        <w:t xml:space="preserve"> </w:t>
      </w:r>
      <w:r>
        <w:rPr>
          <w:rFonts w:ascii="宋体" w:hAnsi="宋体" w:eastAsia="宋体" w:cs="宋体"/>
          <w:spacing w:val="1"/>
          <w:sz w:val="18"/>
          <w:szCs w:val="18"/>
        </w:rPr>
        <w:t>书，是可再生能源电量环境属性的唯一证明，也是</w:t>
      </w:r>
      <w:r>
        <w:rPr>
          <w:rFonts w:ascii="宋体" w:hAnsi="宋体" w:eastAsia="宋体" w:cs="宋体"/>
          <w:sz w:val="18"/>
          <w:szCs w:val="18"/>
        </w:rPr>
        <w:t>认定绿色电力生产、消费的唯一凭证，</w:t>
      </w:r>
      <w:r>
        <w:rPr>
          <w:rFonts w:ascii="Times New Roman" w:hAnsi="Times New Roman" w:eastAsia="Times New Roman" w:cs="Times New Roman"/>
          <w:sz w:val="18"/>
          <w:szCs w:val="18"/>
        </w:rPr>
        <w:t>1</w:t>
      </w:r>
      <w:r>
        <w:rPr>
          <w:rFonts w:ascii="宋体" w:hAnsi="宋体" w:eastAsia="宋体" w:cs="宋体"/>
          <w:sz w:val="18"/>
          <w:szCs w:val="18"/>
        </w:rPr>
        <w:t>个绿证单位对应</w:t>
      </w:r>
      <w:r>
        <w:rPr>
          <w:rFonts w:ascii="Times New Roman" w:hAnsi="Times New Roman" w:eastAsia="Times New Roman" w:cs="Times New Roman"/>
          <w:sz w:val="18"/>
          <w:szCs w:val="18"/>
        </w:rPr>
        <w:t>1000</w:t>
      </w:r>
      <w:r>
        <w:rPr>
          <w:rFonts w:ascii="宋体" w:hAnsi="宋体" w:eastAsia="宋体" w:cs="宋体"/>
          <w:sz w:val="18"/>
          <w:szCs w:val="18"/>
        </w:rPr>
        <w:t xml:space="preserve">度可再 </w:t>
      </w:r>
      <w:r>
        <w:rPr>
          <w:rFonts w:ascii="宋体" w:hAnsi="宋体" w:eastAsia="宋体" w:cs="宋体"/>
          <w:spacing w:val="-5"/>
          <w:sz w:val="18"/>
          <w:szCs w:val="18"/>
        </w:rPr>
        <w:t>生能源电量。</w:t>
      </w:r>
    </w:p>
    <w:p w14:paraId="13EBBDFE">
      <w:pPr>
        <w:spacing w:before="13" w:line="312" w:lineRule="auto"/>
        <w:ind w:left="7" w:right="78" w:firstLine="358"/>
        <w:rPr>
          <w:rFonts w:ascii="宋体" w:hAnsi="宋体" w:eastAsia="宋体" w:cs="宋体"/>
          <w:sz w:val="18"/>
          <w:szCs w:val="18"/>
        </w:rPr>
      </w:pPr>
      <w:r>
        <w:rPr>
          <w:rFonts w:ascii="宋体" w:hAnsi="宋体" w:eastAsia="宋体" w:cs="宋体"/>
          <w:sz w:val="18"/>
          <w:szCs w:val="18"/>
        </w:rPr>
        <w:t>注</w:t>
      </w:r>
      <w:r>
        <w:rPr>
          <w:rFonts w:ascii="Times New Roman" w:hAnsi="Times New Roman" w:eastAsia="Times New Roman" w:cs="Times New Roman"/>
          <w:sz w:val="18"/>
          <w:szCs w:val="18"/>
        </w:rPr>
        <w:t>2</w:t>
      </w:r>
      <w:r>
        <w:rPr>
          <w:rFonts w:ascii="宋体" w:hAnsi="宋体" w:eastAsia="宋体" w:cs="宋体"/>
          <w:sz w:val="18"/>
          <w:szCs w:val="18"/>
        </w:rPr>
        <w:t xml:space="preserve">：碳信用指项目主体依据相关方法学，开发温室气体自愿减排项目，经过第三方的审定和核查，依据其实现的 </w:t>
      </w:r>
      <w:r>
        <w:rPr>
          <w:rFonts w:ascii="宋体" w:hAnsi="宋体" w:eastAsia="宋体" w:cs="宋体"/>
          <w:spacing w:val="-2"/>
          <w:sz w:val="18"/>
          <w:szCs w:val="18"/>
        </w:rPr>
        <w:t>温室气体减排量化效果所获得签发的减排量。</w:t>
      </w:r>
    </w:p>
    <w:p w14:paraId="791825CA">
      <w:pPr>
        <w:spacing w:before="1" w:line="247" w:lineRule="auto"/>
        <w:ind w:left="8" w:right="53" w:firstLine="2"/>
        <w:rPr>
          <w:rFonts w:ascii="宋体" w:hAnsi="宋体" w:eastAsia="宋体" w:cs="宋体"/>
          <w:sz w:val="21"/>
          <w:szCs w:val="21"/>
        </w:rPr>
      </w:pPr>
      <w:r>
        <w:rPr>
          <w:rFonts w:ascii="宋体" w:hAnsi="宋体" w:eastAsia="宋体" w:cs="宋体"/>
          <w:spacing w:val="-1"/>
          <w:sz w:val="21"/>
          <w:szCs w:val="21"/>
        </w:rPr>
        <w:t>5.5.2用于抵消的绿证、碳信用或（和）碳汇量大于等于剩余温室气体排放量时，即</w:t>
      </w:r>
      <w:r>
        <w:rPr>
          <w:rFonts w:ascii="宋体" w:hAnsi="宋体" w:eastAsia="宋体" w:cs="宋体"/>
          <w:spacing w:val="-2"/>
          <w:sz w:val="21"/>
          <w:szCs w:val="21"/>
        </w:rPr>
        <w:t>界定为达到碳中和</w:t>
      </w:r>
      <w:r>
        <w:rPr>
          <w:rFonts w:ascii="宋体" w:hAnsi="宋体" w:eastAsia="宋体" w:cs="宋体"/>
          <w:sz w:val="21"/>
          <w:szCs w:val="21"/>
        </w:rPr>
        <w:t xml:space="preserve"> 社区要求。其中，绿证仅用于抵消社区使用电力产生的温室气体</w:t>
      </w:r>
      <w:r>
        <w:rPr>
          <w:rFonts w:ascii="宋体" w:hAnsi="宋体" w:eastAsia="宋体" w:cs="宋体"/>
          <w:spacing w:val="-1"/>
          <w:sz w:val="21"/>
          <w:szCs w:val="21"/>
        </w:rPr>
        <w:t>排放量。</w:t>
      </w:r>
    </w:p>
    <w:p w14:paraId="646D7765">
      <w:pPr>
        <w:spacing w:before="62" w:line="247" w:lineRule="auto"/>
        <w:ind w:left="7" w:right="53" w:firstLine="4"/>
        <w:rPr>
          <w:rFonts w:ascii="宋体" w:hAnsi="宋体" w:eastAsia="宋体" w:cs="宋体"/>
          <w:sz w:val="21"/>
          <w:szCs w:val="21"/>
        </w:rPr>
      </w:pPr>
      <w:r>
        <w:rPr>
          <w:rFonts w:ascii="宋体" w:hAnsi="宋体" w:eastAsia="宋体" w:cs="宋体"/>
          <w:spacing w:val="-1"/>
          <w:sz w:val="21"/>
          <w:szCs w:val="21"/>
        </w:rPr>
        <w:t>5.5.3无论采用何种方式抵消剩余温室气体减排量，零碳社区应说明具体的抵消方式</w:t>
      </w:r>
      <w:r>
        <w:rPr>
          <w:rFonts w:ascii="宋体" w:hAnsi="宋体" w:eastAsia="宋体" w:cs="宋体"/>
          <w:spacing w:val="-2"/>
          <w:sz w:val="21"/>
          <w:szCs w:val="21"/>
        </w:rPr>
        <w:t>，并出具相关证明</w:t>
      </w:r>
      <w:r>
        <w:rPr>
          <w:rFonts w:ascii="宋体" w:hAnsi="宋体" w:eastAsia="宋体" w:cs="宋体"/>
          <w:sz w:val="21"/>
          <w:szCs w:val="21"/>
        </w:rPr>
        <w:t xml:space="preserve"> </w:t>
      </w:r>
      <w:r>
        <w:rPr>
          <w:rFonts w:ascii="宋体" w:hAnsi="宋体" w:eastAsia="宋体" w:cs="宋体"/>
          <w:spacing w:val="-8"/>
          <w:sz w:val="21"/>
          <w:szCs w:val="21"/>
        </w:rPr>
        <w:t>材料。</w:t>
      </w:r>
    </w:p>
    <w:p w14:paraId="049703FC">
      <w:pPr>
        <w:spacing w:line="247" w:lineRule="auto"/>
        <w:rPr>
          <w:rFonts w:ascii="宋体" w:hAnsi="宋体" w:eastAsia="宋体" w:cs="宋体"/>
          <w:sz w:val="21"/>
          <w:szCs w:val="21"/>
        </w:rPr>
        <w:sectPr>
          <w:headerReference r:id="rId15" w:type="default"/>
          <w:footerReference r:id="rId16" w:type="default"/>
          <w:pgSz w:w="11907" w:h="16839"/>
          <w:pgMar w:top="1205" w:right="1245" w:bottom="1648" w:left="1304" w:header="880" w:footer="1446" w:gutter="0"/>
          <w:cols w:space="720" w:num="1"/>
        </w:sectPr>
      </w:pPr>
    </w:p>
    <w:p w14:paraId="62238B06">
      <w:pPr>
        <w:spacing w:before="24" w:line="221" w:lineRule="auto"/>
        <w:ind w:left="3"/>
        <w:outlineLvl w:val="2"/>
        <w:rPr>
          <w:rFonts w:ascii="黑体" w:hAnsi="黑体" w:eastAsia="黑体" w:cs="黑体"/>
          <w:sz w:val="21"/>
          <w:szCs w:val="21"/>
        </w:rPr>
      </w:pPr>
      <w:bookmarkStart w:id="24" w:name="bookmark16"/>
      <w:bookmarkEnd w:id="24"/>
      <w:r>
        <w:rPr>
          <w:rFonts w:ascii="黑体" w:hAnsi="黑体" w:eastAsia="黑体" w:cs="黑体"/>
          <w:sz w:val="21"/>
          <w:szCs w:val="21"/>
        </w:rPr>
        <w:t>5.5  温室气体排放报告</w:t>
      </w:r>
    </w:p>
    <w:p w14:paraId="15880E5F">
      <w:pPr>
        <w:spacing w:before="218" w:line="274" w:lineRule="auto"/>
        <w:ind w:left="8" w:right="3" w:firstLine="421"/>
        <w:rPr>
          <w:rFonts w:ascii="宋体" w:hAnsi="宋体" w:eastAsia="宋体" w:cs="宋体"/>
          <w:sz w:val="21"/>
          <w:szCs w:val="21"/>
        </w:rPr>
      </w:pPr>
      <w:r>
        <w:rPr>
          <w:rFonts w:ascii="宋体" w:hAnsi="宋体" w:eastAsia="宋体" w:cs="宋体"/>
          <w:spacing w:val="1"/>
          <w:sz w:val="21"/>
          <w:szCs w:val="21"/>
        </w:rPr>
        <w:t>社区碳排放量核算与报告年份应以自然年为统计周期。根据对社区边界内的直接排放量和间接排</w:t>
      </w:r>
      <w:r>
        <w:rPr>
          <w:rFonts w:ascii="宋体" w:hAnsi="宋体" w:eastAsia="宋体" w:cs="宋体"/>
          <w:spacing w:val="7"/>
          <w:sz w:val="21"/>
          <w:szCs w:val="21"/>
        </w:rPr>
        <w:t xml:space="preserve"> </w:t>
      </w:r>
      <w:r>
        <w:rPr>
          <w:rFonts w:ascii="宋体" w:hAnsi="宋体" w:eastAsia="宋体" w:cs="宋体"/>
          <w:sz w:val="21"/>
          <w:szCs w:val="21"/>
        </w:rPr>
        <w:t>放量进行计算编制社区温室气体排放报告，至少包括以下内容（报告模板见附录</w:t>
      </w:r>
      <w:r>
        <w:rPr>
          <w:rFonts w:ascii="宋体" w:hAnsi="宋体" w:eastAsia="宋体" w:cs="宋体"/>
          <w:spacing w:val="-1"/>
          <w:sz w:val="21"/>
          <w:szCs w:val="21"/>
        </w:rPr>
        <w:t>B）。</w:t>
      </w:r>
    </w:p>
    <w:p w14:paraId="284548E9">
      <w:pPr>
        <w:spacing w:line="219" w:lineRule="auto"/>
        <w:ind w:left="429"/>
        <w:rPr>
          <w:rFonts w:ascii="宋体" w:hAnsi="宋体" w:eastAsia="宋体" w:cs="宋体"/>
          <w:sz w:val="21"/>
          <w:szCs w:val="21"/>
        </w:rPr>
      </w:pPr>
      <w:r>
        <w:rPr>
          <w:rFonts w:ascii="宋体" w:hAnsi="宋体" w:eastAsia="宋体" w:cs="宋体"/>
          <w:spacing w:val="-5"/>
          <w:sz w:val="21"/>
          <w:szCs w:val="21"/>
        </w:rPr>
        <w:t>a)</w:t>
      </w:r>
      <w:r>
        <w:rPr>
          <w:rFonts w:ascii="宋体" w:hAnsi="宋体" w:eastAsia="宋体" w:cs="宋体"/>
          <w:spacing w:val="58"/>
          <w:sz w:val="21"/>
          <w:szCs w:val="21"/>
        </w:rPr>
        <w:t xml:space="preserve"> </w:t>
      </w:r>
      <w:r>
        <w:rPr>
          <w:rFonts w:ascii="宋体" w:hAnsi="宋体" w:eastAsia="宋体" w:cs="宋体"/>
          <w:spacing w:val="-5"/>
          <w:sz w:val="21"/>
          <w:szCs w:val="21"/>
        </w:rPr>
        <w:t>社区基本信息；</w:t>
      </w:r>
    </w:p>
    <w:p w14:paraId="35B1A9B5">
      <w:pPr>
        <w:spacing w:before="61" w:line="221" w:lineRule="auto"/>
        <w:ind w:left="424"/>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61"/>
          <w:sz w:val="21"/>
          <w:szCs w:val="21"/>
        </w:rPr>
        <w:t xml:space="preserve"> </w:t>
      </w:r>
      <w:r>
        <w:rPr>
          <w:rFonts w:ascii="宋体" w:hAnsi="宋体" w:eastAsia="宋体" w:cs="宋体"/>
          <w:spacing w:val="-4"/>
          <w:sz w:val="21"/>
          <w:szCs w:val="21"/>
        </w:rPr>
        <w:t>社区组织边界概况；</w:t>
      </w:r>
    </w:p>
    <w:p w14:paraId="47BB351C">
      <w:pPr>
        <w:spacing w:before="60" w:line="221" w:lineRule="auto"/>
        <w:ind w:left="432"/>
        <w:rPr>
          <w:rFonts w:ascii="宋体" w:hAnsi="宋体" w:eastAsia="宋体" w:cs="宋体"/>
          <w:sz w:val="21"/>
          <w:szCs w:val="21"/>
        </w:rPr>
      </w:pPr>
      <w:r>
        <w:rPr>
          <w:rFonts w:ascii="宋体" w:hAnsi="宋体" w:eastAsia="宋体" w:cs="宋体"/>
          <w:spacing w:val="-2"/>
          <w:sz w:val="21"/>
          <w:szCs w:val="21"/>
        </w:rPr>
        <w:t>c)</w:t>
      </w:r>
      <w:r>
        <w:rPr>
          <w:rFonts w:ascii="宋体" w:hAnsi="宋体" w:eastAsia="宋体" w:cs="宋体"/>
          <w:spacing w:val="55"/>
          <w:sz w:val="21"/>
          <w:szCs w:val="21"/>
        </w:rPr>
        <w:t xml:space="preserve"> </w:t>
      </w:r>
      <w:r>
        <w:rPr>
          <w:rFonts w:ascii="宋体" w:hAnsi="宋体" w:eastAsia="宋体" w:cs="宋体"/>
          <w:spacing w:val="-2"/>
          <w:sz w:val="21"/>
          <w:szCs w:val="21"/>
        </w:rPr>
        <w:t>社区碳排放源识别；</w:t>
      </w:r>
    </w:p>
    <w:p w14:paraId="178D4075">
      <w:pPr>
        <w:spacing w:before="61" w:line="221" w:lineRule="auto"/>
        <w:ind w:left="432"/>
        <w:rPr>
          <w:rFonts w:ascii="宋体" w:hAnsi="宋体" w:eastAsia="宋体" w:cs="宋体"/>
          <w:sz w:val="21"/>
          <w:szCs w:val="21"/>
        </w:rPr>
      </w:pPr>
      <w:r>
        <w:rPr>
          <w:rFonts w:ascii="宋体" w:hAnsi="宋体" w:eastAsia="宋体" w:cs="宋体"/>
          <w:spacing w:val="-3"/>
          <w:sz w:val="21"/>
          <w:szCs w:val="21"/>
        </w:rPr>
        <w:t>d)</w:t>
      </w:r>
      <w:r>
        <w:rPr>
          <w:rFonts w:ascii="宋体" w:hAnsi="宋体" w:eastAsia="宋体" w:cs="宋体"/>
          <w:spacing w:val="65"/>
          <w:sz w:val="21"/>
          <w:szCs w:val="21"/>
        </w:rPr>
        <w:t xml:space="preserve"> </w:t>
      </w:r>
      <w:r>
        <w:rPr>
          <w:rFonts w:ascii="宋体" w:hAnsi="宋体" w:eastAsia="宋体" w:cs="宋体"/>
          <w:spacing w:val="-3"/>
          <w:sz w:val="21"/>
          <w:szCs w:val="21"/>
        </w:rPr>
        <w:t>活动水平数据及排放因子来源说明；</w:t>
      </w:r>
    </w:p>
    <w:p w14:paraId="1CC1D46E">
      <w:pPr>
        <w:spacing w:before="60" w:line="221" w:lineRule="auto"/>
        <w:ind w:left="433"/>
        <w:rPr>
          <w:rFonts w:ascii="宋体" w:hAnsi="宋体" w:eastAsia="宋体" w:cs="宋体"/>
          <w:sz w:val="21"/>
          <w:szCs w:val="21"/>
        </w:rPr>
      </w:pPr>
      <w:r>
        <w:rPr>
          <w:rFonts w:ascii="宋体" w:hAnsi="宋体" w:eastAsia="宋体" w:cs="宋体"/>
          <w:spacing w:val="-2"/>
          <w:sz w:val="21"/>
          <w:szCs w:val="21"/>
        </w:rPr>
        <w:t>e)</w:t>
      </w:r>
      <w:r>
        <w:rPr>
          <w:rFonts w:ascii="宋体" w:hAnsi="宋体" w:eastAsia="宋体" w:cs="宋体"/>
          <w:spacing w:val="58"/>
          <w:sz w:val="21"/>
          <w:szCs w:val="21"/>
        </w:rPr>
        <w:t xml:space="preserve"> </w:t>
      </w:r>
      <w:r>
        <w:rPr>
          <w:rFonts w:ascii="宋体" w:hAnsi="宋体" w:eastAsia="宋体" w:cs="宋体"/>
          <w:spacing w:val="-2"/>
          <w:sz w:val="21"/>
          <w:szCs w:val="21"/>
        </w:rPr>
        <w:t>社区温室气体排放量；</w:t>
      </w:r>
    </w:p>
    <w:p w14:paraId="57074CE3">
      <w:pPr>
        <w:spacing w:before="61" w:line="221" w:lineRule="auto"/>
        <w:ind w:left="431"/>
        <w:rPr>
          <w:rFonts w:ascii="宋体" w:hAnsi="宋体" w:eastAsia="宋体" w:cs="宋体"/>
          <w:sz w:val="21"/>
          <w:szCs w:val="21"/>
        </w:rPr>
      </w:pPr>
      <w:bookmarkStart w:id="25" w:name="bookmark17"/>
      <w:bookmarkEnd w:id="25"/>
      <w:r>
        <w:rPr>
          <w:rFonts w:ascii="宋体" w:hAnsi="宋体" w:eastAsia="宋体" w:cs="宋体"/>
          <w:spacing w:val="-2"/>
          <w:sz w:val="21"/>
          <w:szCs w:val="21"/>
        </w:rPr>
        <w:t>f)</w:t>
      </w:r>
      <w:r>
        <w:rPr>
          <w:rFonts w:ascii="宋体" w:hAnsi="宋体" w:eastAsia="宋体" w:cs="宋体"/>
          <w:spacing w:val="53"/>
          <w:sz w:val="21"/>
          <w:szCs w:val="21"/>
        </w:rPr>
        <w:t xml:space="preserve"> </w:t>
      </w:r>
      <w:r>
        <w:rPr>
          <w:rFonts w:ascii="宋体" w:hAnsi="宋体" w:eastAsia="宋体" w:cs="宋体"/>
          <w:spacing w:val="-2"/>
          <w:sz w:val="21"/>
          <w:szCs w:val="21"/>
        </w:rPr>
        <w:t>社区减碳措施。</w:t>
      </w:r>
    </w:p>
    <w:p w14:paraId="72CEB47C">
      <w:pPr>
        <w:pStyle w:val="2"/>
        <w:spacing w:line="303" w:lineRule="auto"/>
      </w:pPr>
    </w:p>
    <w:p w14:paraId="2805C633">
      <w:pPr>
        <w:spacing w:before="68" w:line="219" w:lineRule="auto"/>
        <w:ind w:left="7"/>
        <w:outlineLvl w:val="1"/>
        <w:rPr>
          <w:rFonts w:ascii="黑体" w:hAnsi="黑体" w:eastAsia="黑体" w:cs="黑体"/>
          <w:sz w:val="21"/>
          <w:szCs w:val="21"/>
        </w:rPr>
      </w:pPr>
      <w:bookmarkStart w:id="26" w:name="bookmark32"/>
      <w:bookmarkEnd w:id="26"/>
      <w:r>
        <w:rPr>
          <w:rFonts w:ascii="黑体" w:hAnsi="黑体" w:eastAsia="黑体" w:cs="黑体"/>
          <w:spacing w:val="-1"/>
          <w:sz w:val="21"/>
          <w:szCs w:val="21"/>
        </w:rPr>
        <w:t>6  碳中和社区评价指标</w:t>
      </w:r>
    </w:p>
    <w:p w14:paraId="1AF310BB">
      <w:pPr>
        <w:pStyle w:val="2"/>
        <w:spacing w:line="306" w:lineRule="auto"/>
      </w:pPr>
    </w:p>
    <w:p w14:paraId="72F448ED">
      <w:pPr>
        <w:spacing w:before="69" w:line="275" w:lineRule="auto"/>
        <w:ind w:left="8" w:firstLine="420"/>
        <w:jc w:val="both"/>
        <w:rPr>
          <w:rFonts w:ascii="宋体" w:hAnsi="宋体" w:eastAsia="宋体" w:cs="宋体"/>
          <w:sz w:val="21"/>
          <w:szCs w:val="21"/>
        </w:rPr>
      </w:pPr>
      <w:r>
        <w:rPr>
          <w:rFonts w:ascii="宋体" w:hAnsi="宋体" w:eastAsia="宋体" w:cs="宋体"/>
          <w:spacing w:val="-4"/>
          <w:sz w:val="21"/>
          <w:szCs w:val="21"/>
        </w:rPr>
        <w:t>碳中和社区评价指标体系包含碳排放情况、社区建筑、社区公共设施、能源使用、水资源利用、固</w:t>
      </w:r>
      <w:r>
        <w:rPr>
          <w:rFonts w:ascii="宋体" w:hAnsi="宋体" w:eastAsia="宋体" w:cs="宋体"/>
          <w:spacing w:val="16"/>
          <w:sz w:val="21"/>
          <w:szCs w:val="21"/>
        </w:rPr>
        <w:t xml:space="preserve"> </w:t>
      </w:r>
      <w:r>
        <w:rPr>
          <w:rFonts w:ascii="宋体" w:hAnsi="宋体" w:eastAsia="宋体" w:cs="宋体"/>
          <w:spacing w:val="-1"/>
          <w:sz w:val="21"/>
          <w:szCs w:val="21"/>
        </w:rPr>
        <w:t>体废弃物处理、社区公众参与、社区运营与治理、社区零碳生活等9个一级指标，18个二级</w:t>
      </w:r>
      <w:r>
        <w:rPr>
          <w:rFonts w:ascii="宋体" w:hAnsi="宋体" w:eastAsia="宋体" w:cs="宋体"/>
          <w:spacing w:val="-2"/>
          <w:sz w:val="21"/>
          <w:szCs w:val="21"/>
        </w:rPr>
        <w:t>指标，具体</w:t>
      </w:r>
      <w:r>
        <w:rPr>
          <w:rFonts w:ascii="宋体" w:hAnsi="宋体" w:eastAsia="宋体" w:cs="宋体"/>
          <w:sz w:val="21"/>
          <w:szCs w:val="21"/>
        </w:rPr>
        <w:t xml:space="preserve"> 见表2。碳中和社区二级指标计算方法见附录C，最终综合值为各项指标得分的累</w:t>
      </w:r>
      <w:r>
        <w:rPr>
          <w:rFonts w:ascii="宋体" w:hAnsi="宋体" w:eastAsia="宋体" w:cs="宋体"/>
          <w:spacing w:val="-1"/>
          <w:sz w:val="21"/>
          <w:szCs w:val="21"/>
        </w:rPr>
        <w:t>计叠加值。</w:t>
      </w:r>
    </w:p>
    <w:p w14:paraId="4C26C2C6">
      <w:pPr>
        <w:pStyle w:val="2"/>
        <w:spacing w:line="393" w:lineRule="auto"/>
      </w:pPr>
    </w:p>
    <w:p w14:paraId="5C3CBEDD">
      <w:pPr>
        <w:spacing w:before="69" w:line="219" w:lineRule="auto"/>
        <w:ind w:left="3291"/>
        <w:rPr>
          <w:rFonts w:ascii="宋体" w:hAnsi="宋体" w:eastAsia="宋体" w:cs="宋体"/>
          <w:sz w:val="21"/>
          <w:szCs w:val="21"/>
        </w:rPr>
      </w:pPr>
      <w:r>
        <w:rPr>
          <w:rFonts w:ascii="宋体" w:hAnsi="宋体" w:eastAsia="宋体" w:cs="宋体"/>
          <w:spacing w:val="-1"/>
          <w:sz w:val="21"/>
          <w:szCs w:val="21"/>
        </w:rPr>
        <w:t>表2 碳中和社区评价指标体系</w:t>
      </w:r>
    </w:p>
    <w:p w14:paraId="5D1BE2A3">
      <w:pPr>
        <w:spacing w:line="167" w:lineRule="exact"/>
      </w:pPr>
    </w:p>
    <w:tbl>
      <w:tblPr>
        <w:tblStyle w:val="6"/>
        <w:tblW w:w="9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9"/>
        <w:gridCol w:w="2522"/>
        <w:gridCol w:w="849"/>
        <w:gridCol w:w="3131"/>
        <w:gridCol w:w="1063"/>
      </w:tblGrid>
      <w:tr w14:paraId="2073E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729" w:type="dxa"/>
            <w:vAlign w:val="top"/>
          </w:tcPr>
          <w:p w14:paraId="17E462CB">
            <w:pPr>
              <w:pStyle w:val="7"/>
              <w:spacing w:before="58" w:line="221" w:lineRule="auto"/>
              <w:ind w:left="453"/>
            </w:pPr>
            <w:r>
              <w:rPr>
                <w:b/>
                <w:bCs/>
                <w:spacing w:val="-4"/>
              </w:rPr>
              <w:t>一级指标</w:t>
            </w:r>
          </w:p>
        </w:tc>
        <w:tc>
          <w:tcPr>
            <w:tcW w:w="2522" w:type="dxa"/>
            <w:vAlign w:val="top"/>
          </w:tcPr>
          <w:p w14:paraId="6F2FF90C">
            <w:pPr>
              <w:pStyle w:val="7"/>
              <w:spacing w:before="58" w:line="221" w:lineRule="auto"/>
              <w:ind w:left="848"/>
            </w:pPr>
            <w:r>
              <w:rPr>
                <w:b/>
                <w:bCs/>
                <w:spacing w:val="-4"/>
              </w:rPr>
              <w:t>二级指标</w:t>
            </w:r>
          </w:p>
        </w:tc>
        <w:tc>
          <w:tcPr>
            <w:tcW w:w="849" w:type="dxa"/>
            <w:vAlign w:val="top"/>
          </w:tcPr>
          <w:p w14:paraId="126569A8">
            <w:pPr>
              <w:pStyle w:val="7"/>
              <w:spacing w:before="58" w:line="221" w:lineRule="auto"/>
              <w:ind w:left="220"/>
            </w:pPr>
            <w:r>
              <w:rPr>
                <w:b/>
                <w:bCs/>
                <w:spacing w:val="-5"/>
              </w:rPr>
              <w:t>单位</w:t>
            </w:r>
          </w:p>
        </w:tc>
        <w:tc>
          <w:tcPr>
            <w:tcW w:w="3131" w:type="dxa"/>
            <w:vAlign w:val="top"/>
          </w:tcPr>
          <w:p w14:paraId="43F8FFAB">
            <w:pPr>
              <w:pStyle w:val="7"/>
              <w:spacing w:before="58" w:line="219" w:lineRule="auto"/>
              <w:ind w:left="1152"/>
            </w:pPr>
            <w:r>
              <w:rPr>
                <w:b/>
                <w:bCs/>
                <w:spacing w:val="-3"/>
              </w:rPr>
              <w:t>评价要求</w:t>
            </w:r>
          </w:p>
        </w:tc>
        <w:tc>
          <w:tcPr>
            <w:tcW w:w="1063" w:type="dxa"/>
            <w:vAlign w:val="top"/>
          </w:tcPr>
          <w:p w14:paraId="75DF083F">
            <w:pPr>
              <w:pStyle w:val="7"/>
              <w:spacing w:before="57" w:line="221" w:lineRule="auto"/>
              <w:ind w:left="329"/>
            </w:pPr>
            <w:r>
              <w:rPr>
                <w:b/>
                <w:bCs/>
                <w:spacing w:val="-5"/>
              </w:rPr>
              <w:t>分值</w:t>
            </w:r>
          </w:p>
        </w:tc>
      </w:tr>
      <w:tr w14:paraId="15C1A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29" w:type="dxa"/>
            <w:vMerge w:val="restart"/>
            <w:tcBorders>
              <w:bottom w:val="nil"/>
            </w:tcBorders>
            <w:vAlign w:val="top"/>
          </w:tcPr>
          <w:p w14:paraId="7CB8D356">
            <w:pPr>
              <w:spacing w:line="254" w:lineRule="auto"/>
              <w:rPr>
                <w:rFonts w:ascii="Arial"/>
                <w:sz w:val="21"/>
              </w:rPr>
            </w:pPr>
          </w:p>
          <w:p w14:paraId="61E88FCE">
            <w:pPr>
              <w:spacing w:line="254" w:lineRule="auto"/>
              <w:rPr>
                <w:rFonts w:ascii="Arial"/>
                <w:sz w:val="21"/>
              </w:rPr>
            </w:pPr>
          </w:p>
          <w:p w14:paraId="577ED327">
            <w:pPr>
              <w:spacing w:line="255" w:lineRule="auto"/>
              <w:rPr>
                <w:rFonts w:ascii="Arial"/>
                <w:sz w:val="21"/>
              </w:rPr>
            </w:pPr>
          </w:p>
          <w:p w14:paraId="401CEBF2">
            <w:pPr>
              <w:pStyle w:val="7"/>
              <w:spacing w:before="68" w:line="221" w:lineRule="auto"/>
              <w:ind w:left="344"/>
            </w:pPr>
            <w:r>
              <w:rPr>
                <w:spacing w:val="-1"/>
              </w:rPr>
              <w:t>碳排放情况</w:t>
            </w:r>
          </w:p>
        </w:tc>
        <w:tc>
          <w:tcPr>
            <w:tcW w:w="2522" w:type="dxa"/>
            <w:vAlign w:val="top"/>
          </w:tcPr>
          <w:p w14:paraId="0B786888">
            <w:pPr>
              <w:pStyle w:val="7"/>
              <w:spacing w:before="207" w:line="221" w:lineRule="auto"/>
              <w:ind w:left="638"/>
            </w:pPr>
            <w:r>
              <w:rPr>
                <w:spacing w:val="-2"/>
              </w:rPr>
              <w:t>人均碳排放量</w:t>
            </w:r>
          </w:p>
        </w:tc>
        <w:tc>
          <w:tcPr>
            <w:tcW w:w="849" w:type="dxa"/>
            <w:vAlign w:val="top"/>
          </w:tcPr>
          <w:p w14:paraId="3C38028C">
            <w:pPr>
              <w:pStyle w:val="7"/>
              <w:spacing w:before="86" w:line="248" w:lineRule="auto"/>
              <w:ind w:left="326" w:right="179" w:hanging="142"/>
            </w:pPr>
            <w:r>
              <w:rPr>
                <w:rFonts w:ascii="Times New Roman" w:hAnsi="Times New Roman" w:eastAsia="Times New Roman" w:cs="Times New Roman"/>
              </w:rPr>
              <w:t>tCO</w:t>
            </w:r>
            <w:r>
              <w:rPr>
                <w:rFonts w:ascii="Times New Roman" w:hAnsi="Times New Roman" w:eastAsia="Times New Roman" w:cs="Times New Roman"/>
                <w:spacing w:val="3"/>
                <w:position w:val="-1"/>
                <w:sz w:val="13"/>
                <w:szCs w:val="13"/>
              </w:rPr>
              <w:t>2</w:t>
            </w:r>
            <w:r>
              <w:rPr>
                <w:rFonts w:ascii="Times New Roman" w:hAnsi="Times New Roman" w:eastAsia="Times New Roman" w:cs="Times New Roman"/>
                <w:spacing w:val="3"/>
              </w:rPr>
              <w:t>/</w:t>
            </w:r>
            <w:r>
              <w:rPr>
                <w:rFonts w:ascii="Times New Roman" w:hAnsi="Times New Roman" w:eastAsia="Times New Roman" w:cs="Times New Roman"/>
              </w:rPr>
              <w:t xml:space="preserve"> </w:t>
            </w:r>
            <w:r>
              <w:t>人</w:t>
            </w:r>
          </w:p>
        </w:tc>
        <w:tc>
          <w:tcPr>
            <w:tcW w:w="3131" w:type="dxa"/>
            <w:vAlign w:val="top"/>
          </w:tcPr>
          <w:p w14:paraId="3D8C666A">
            <w:pPr>
              <w:pStyle w:val="7"/>
              <w:spacing w:before="50" w:line="221" w:lineRule="auto"/>
              <w:ind w:left="1048"/>
            </w:pPr>
            <w:r>
              <w:rPr>
                <w:spacing w:val="-1"/>
              </w:rPr>
              <w:t>城镇≤0.79</w:t>
            </w:r>
          </w:p>
          <w:p w14:paraId="0E32FD4E">
            <w:pPr>
              <w:pStyle w:val="7"/>
              <w:spacing w:before="60" w:line="220" w:lineRule="auto"/>
              <w:ind w:left="1048"/>
            </w:pPr>
            <w:r>
              <w:rPr>
                <w:spacing w:val="-1"/>
              </w:rPr>
              <w:t>农村≤2.14</w:t>
            </w:r>
          </w:p>
        </w:tc>
        <w:tc>
          <w:tcPr>
            <w:tcW w:w="1063" w:type="dxa"/>
            <w:vAlign w:val="top"/>
          </w:tcPr>
          <w:p w14:paraId="30D69EA3">
            <w:pPr>
              <w:pStyle w:val="7"/>
              <w:spacing w:before="206" w:line="241" w:lineRule="auto"/>
              <w:ind w:left="448"/>
            </w:pPr>
            <w:r>
              <w:rPr>
                <w:spacing w:val="-6"/>
              </w:rPr>
              <w:t>10</w:t>
            </w:r>
          </w:p>
        </w:tc>
      </w:tr>
      <w:tr w14:paraId="06148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729" w:type="dxa"/>
            <w:vMerge w:val="continue"/>
            <w:tcBorders>
              <w:top w:val="nil"/>
            </w:tcBorders>
            <w:vAlign w:val="top"/>
          </w:tcPr>
          <w:p w14:paraId="776A391D">
            <w:pPr>
              <w:rPr>
                <w:rFonts w:ascii="Arial"/>
                <w:sz w:val="21"/>
              </w:rPr>
            </w:pPr>
          </w:p>
        </w:tc>
        <w:tc>
          <w:tcPr>
            <w:tcW w:w="2522" w:type="dxa"/>
            <w:vAlign w:val="top"/>
          </w:tcPr>
          <w:p w14:paraId="623BF9B6">
            <w:pPr>
              <w:spacing w:line="448" w:lineRule="auto"/>
              <w:rPr>
                <w:rFonts w:ascii="Arial"/>
                <w:sz w:val="21"/>
              </w:rPr>
            </w:pPr>
          </w:p>
          <w:p w14:paraId="1291930E">
            <w:pPr>
              <w:pStyle w:val="7"/>
              <w:spacing w:before="68" w:line="221" w:lineRule="auto"/>
              <w:ind w:left="215"/>
            </w:pPr>
            <w:r>
              <w:rPr>
                <w:spacing w:val="-1"/>
              </w:rPr>
              <w:t>碳排放核算及抵消情况</w:t>
            </w:r>
          </w:p>
        </w:tc>
        <w:tc>
          <w:tcPr>
            <w:tcW w:w="849" w:type="dxa"/>
            <w:vAlign w:val="top"/>
          </w:tcPr>
          <w:p w14:paraId="773FFCF2">
            <w:pPr>
              <w:spacing w:line="448" w:lineRule="auto"/>
              <w:rPr>
                <w:rFonts w:ascii="Arial"/>
                <w:sz w:val="21"/>
              </w:rPr>
            </w:pPr>
          </w:p>
          <w:p w14:paraId="168781BD">
            <w:pPr>
              <w:pStyle w:val="7"/>
              <w:spacing w:before="68" w:line="226" w:lineRule="auto"/>
              <w:ind w:left="376"/>
            </w:pPr>
            <w:r>
              <w:t>/</w:t>
            </w:r>
          </w:p>
        </w:tc>
        <w:tc>
          <w:tcPr>
            <w:tcW w:w="3131" w:type="dxa"/>
            <w:vAlign w:val="top"/>
          </w:tcPr>
          <w:p w14:paraId="517B110C">
            <w:pPr>
              <w:pStyle w:val="7"/>
              <w:spacing w:before="49" w:line="262" w:lineRule="auto"/>
              <w:ind w:left="116" w:right="95" w:firstLine="3"/>
              <w:jc w:val="both"/>
            </w:pPr>
            <w:r>
              <w:rPr>
                <w:spacing w:val="-3"/>
              </w:rPr>
              <w:t>核查温室气体核算涵盖的范围，</w:t>
            </w:r>
            <w:r>
              <w:rPr>
                <w:spacing w:val="11"/>
              </w:rPr>
              <w:t xml:space="preserve"> </w:t>
            </w:r>
            <w:r>
              <w:rPr>
                <w:spacing w:val="-2"/>
              </w:rPr>
              <w:t>及其准确性。并评价其国家核证</w:t>
            </w:r>
            <w:r>
              <w:rPr>
                <w:spacing w:val="1"/>
              </w:rPr>
              <w:t xml:space="preserve"> </w:t>
            </w:r>
            <w:r>
              <w:rPr>
                <w:spacing w:val="13"/>
              </w:rPr>
              <w:t>自愿减排量或其他方式对社区</w:t>
            </w:r>
            <w:r>
              <w:rPr>
                <w:spacing w:val="11"/>
              </w:rPr>
              <w:t xml:space="preserve"> </w:t>
            </w:r>
            <w:r>
              <w:rPr>
                <w:spacing w:val="-3"/>
              </w:rPr>
              <w:t>边界内的温室气体的抵消情况。</w:t>
            </w:r>
          </w:p>
        </w:tc>
        <w:tc>
          <w:tcPr>
            <w:tcW w:w="1063" w:type="dxa"/>
            <w:vAlign w:val="top"/>
          </w:tcPr>
          <w:p w14:paraId="5C4BA9E1">
            <w:pPr>
              <w:spacing w:line="448" w:lineRule="auto"/>
              <w:rPr>
                <w:rFonts w:ascii="Arial"/>
                <w:sz w:val="21"/>
              </w:rPr>
            </w:pPr>
          </w:p>
          <w:p w14:paraId="5BAF8E2B">
            <w:pPr>
              <w:pStyle w:val="7"/>
              <w:spacing w:before="68" w:line="226" w:lineRule="auto"/>
              <w:ind w:left="484"/>
            </w:pPr>
            <w:r>
              <w:t>/</w:t>
            </w:r>
          </w:p>
        </w:tc>
      </w:tr>
      <w:tr w14:paraId="68EFA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729" w:type="dxa"/>
            <w:vAlign w:val="top"/>
          </w:tcPr>
          <w:p w14:paraId="0F916B4F">
            <w:pPr>
              <w:spacing w:line="449" w:lineRule="auto"/>
              <w:rPr>
                <w:rFonts w:ascii="Arial"/>
                <w:sz w:val="21"/>
              </w:rPr>
            </w:pPr>
          </w:p>
          <w:p w14:paraId="3AF75176">
            <w:pPr>
              <w:pStyle w:val="7"/>
              <w:spacing w:before="68" w:line="221" w:lineRule="auto"/>
              <w:ind w:left="451"/>
            </w:pPr>
            <w:r>
              <w:rPr>
                <w:spacing w:val="-2"/>
              </w:rPr>
              <w:t>社区建筑</w:t>
            </w:r>
          </w:p>
        </w:tc>
        <w:tc>
          <w:tcPr>
            <w:tcW w:w="2522" w:type="dxa"/>
            <w:vAlign w:val="top"/>
          </w:tcPr>
          <w:p w14:paraId="6FE80239">
            <w:pPr>
              <w:spacing w:line="293" w:lineRule="auto"/>
              <w:rPr>
                <w:rFonts w:ascii="Arial"/>
                <w:sz w:val="21"/>
              </w:rPr>
            </w:pPr>
          </w:p>
          <w:p w14:paraId="51E10EB8">
            <w:pPr>
              <w:pStyle w:val="7"/>
              <w:spacing w:before="68" w:line="277" w:lineRule="auto"/>
              <w:ind w:left="846" w:right="206" w:hanging="631"/>
            </w:pPr>
            <w:r>
              <w:rPr>
                <w:spacing w:val="-1"/>
              </w:rPr>
              <w:t>节能建筑占现有居住建</w:t>
            </w:r>
            <w:r>
              <w:rPr>
                <w:spacing w:val="4"/>
              </w:rPr>
              <w:t xml:space="preserve"> </w:t>
            </w:r>
            <w:r>
              <w:rPr>
                <w:spacing w:val="-2"/>
              </w:rPr>
              <w:t>筑的比例</w:t>
            </w:r>
          </w:p>
        </w:tc>
        <w:tc>
          <w:tcPr>
            <w:tcW w:w="849" w:type="dxa"/>
            <w:vAlign w:val="top"/>
          </w:tcPr>
          <w:p w14:paraId="5BCBEF6D">
            <w:pPr>
              <w:spacing w:line="449" w:lineRule="auto"/>
              <w:rPr>
                <w:rFonts w:ascii="Arial"/>
                <w:sz w:val="21"/>
              </w:rPr>
            </w:pPr>
          </w:p>
          <w:p w14:paraId="0C6E7C5B">
            <w:pPr>
              <w:pStyle w:val="7"/>
              <w:spacing w:before="68" w:line="241" w:lineRule="auto"/>
              <w:ind w:left="371"/>
            </w:pPr>
            <w:r>
              <w:t>%</w:t>
            </w:r>
          </w:p>
        </w:tc>
        <w:tc>
          <w:tcPr>
            <w:tcW w:w="3131" w:type="dxa"/>
            <w:vAlign w:val="top"/>
          </w:tcPr>
          <w:p w14:paraId="10AA433C">
            <w:pPr>
              <w:spacing w:line="295" w:lineRule="auto"/>
              <w:rPr>
                <w:rFonts w:ascii="Arial"/>
                <w:sz w:val="21"/>
              </w:rPr>
            </w:pPr>
          </w:p>
          <w:p w14:paraId="6E53002C">
            <w:pPr>
              <w:pStyle w:val="7"/>
              <w:spacing w:before="68" w:line="276" w:lineRule="auto"/>
              <w:ind w:left="948" w:right="926" w:firstLine="100"/>
            </w:pPr>
            <w:r>
              <w:rPr>
                <w:spacing w:val="-1"/>
              </w:rPr>
              <w:t>新社区≥67</w:t>
            </w:r>
            <w:r>
              <w:t xml:space="preserve">  </w:t>
            </w:r>
            <w:r>
              <w:rPr>
                <w:spacing w:val="-2"/>
              </w:rPr>
              <w:t>老旧社区≥50</w:t>
            </w:r>
          </w:p>
        </w:tc>
        <w:tc>
          <w:tcPr>
            <w:tcW w:w="1063" w:type="dxa"/>
            <w:vAlign w:val="top"/>
          </w:tcPr>
          <w:p w14:paraId="208B64DB">
            <w:pPr>
              <w:spacing w:line="449" w:lineRule="auto"/>
              <w:rPr>
                <w:rFonts w:ascii="Arial"/>
                <w:sz w:val="21"/>
              </w:rPr>
            </w:pPr>
          </w:p>
          <w:p w14:paraId="3D5585C4">
            <w:pPr>
              <w:pStyle w:val="7"/>
              <w:spacing w:before="68" w:line="241" w:lineRule="auto"/>
              <w:ind w:left="448"/>
            </w:pPr>
            <w:r>
              <w:rPr>
                <w:spacing w:val="-6"/>
              </w:rPr>
              <w:t>10</w:t>
            </w:r>
          </w:p>
        </w:tc>
      </w:tr>
      <w:tr w14:paraId="2254A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9" w:type="dxa"/>
            <w:vMerge w:val="restart"/>
            <w:tcBorders>
              <w:bottom w:val="nil"/>
            </w:tcBorders>
            <w:vAlign w:val="top"/>
          </w:tcPr>
          <w:p w14:paraId="63F106E4">
            <w:pPr>
              <w:spacing w:line="309" w:lineRule="auto"/>
              <w:rPr>
                <w:rFonts w:ascii="Arial"/>
                <w:sz w:val="21"/>
              </w:rPr>
            </w:pPr>
          </w:p>
          <w:p w14:paraId="716C936F">
            <w:pPr>
              <w:spacing w:line="310" w:lineRule="auto"/>
              <w:rPr>
                <w:rFonts w:ascii="Arial"/>
                <w:sz w:val="21"/>
              </w:rPr>
            </w:pPr>
          </w:p>
          <w:p w14:paraId="5D514096">
            <w:pPr>
              <w:pStyle w:val="7"/>
              <w:spacing w:before="68" w:line="221" w:lineRule="auto"/>
              <w:ind w:left="242"/>
            </w:pPr>
            <w:r>
              <w:rPr>
                <w:spacing w:val="-2"/>
              </w:rPr>
              <w:t>社区公共设施</w:t>
            </w:r>
          </w:p>
        </w:tc>
        <w:tc>
          <w:tcPr>
            <w:tcW w:w="2522" w:type="dxa"/>
            <w:vAlign w:val="top"/>
          </w:tcPr>
          <w:p w14:paraId="6C4D06A2">
            <w:pPr>
              <w:pStyle w:val="7"/>
              <w:spacing w:before="52" w:line="221" w:lineRule="auto"/>
              <w:ind w:left="952"/>
            </w:pPr>
            <w:r>
              <w:rPr>
                <w:spacing w:val="-2"/>
              </w:rPr>
              <w:t>绿地率</w:t>
            </w:r>
          </w:p>
        </w:tc>
        <w:tc>
          <w:tcPr>
            <w:tcW w:w="849" w:type="dxa"/>
            <w:vAlign w:val="top"/>
          </w:tcPr>
          <w:p w14:paraId="25B994CD">
            <w:pPr>
              <w:pStyle w:val="7"/>
              <w:spacing w:before="53" w:line="222" w:lineRule="auto"/>
              <w:ind w:left="371"/>
            </w:pPr>
            <w:r>
              <w:t>%</w:t>
            </w:r>
          </w:p>
        </w:tc>
        <w:tc>
          <w:tcPr>
            <w:tcW w:w="3131" w:type="dxa"/>
            <w:vAlign w:val="top"/>
          </w:tcPr>
          <w:p w14:paraId="0EDAD06C">
            <w:pPr>
              <w:pStyle w:val="7"/>
              <w:spacing w:before="53" w:line="222" w:lineRule="auto"/>
              <w:ind w:left="1436"/>
            </w:pPr>
            <w:r>
              <w:rPr>
                <w:spacing w:val="-9"/>
              </w:rPr>
              <w:t>≥30</w:t>
            </w:r>
          </w:p>
        </w:tc>
        <w:tc>
          <w:tcPr>
            <w:tcW w:w="1063" w:type="dxa"/>
            <w:vAlign w:val="top"/>
          </w:tcPr>
          <w:p w14:paraId="11D78207">
            <w:pPr>
              <w:pStyle w:val="7"/>
              <w:spacing w:before="53" w:line="222" w:lineRule="auto"/>
              <w:ind w:left="489"/>
            </w:pPr>
            <w:r>
              <w:t>5</w:t>
            </w:r>
          </w:p>
        </w:tc>
      </w:tr>
      <w:tr w14:paraId="4B287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9" w:type="dxa"/>
            <w:vMerge w:val="continue"/>
            <w:tcBorders>
              <w:top w:val="nil"/>
              <w:bottom w:val="nil"/>
            </w:tcBorders>
            <w:vAlign w:val="top"/>
          </w:tcPr>
          <w:p w14:paraId="413E8E5C">
            <w:pPr>
              <w:rPr>
                <w:rFonts w:ascii="Arial"/>
                <w:sz w:val="21"/>
              </w:rPr>
            </w:pPr>
          </w:p>
        </w:tc>
        <w:tc>
          <w:tcPr>
            <w:tcW w:w="2522" w:type="dxa"/>
            <w:vAlign w:val="top"/>
          </w:tcPr>
          <w:p w14:paraId="2B32A624">
            <w:pPr>
              <w:pStyle w:val="7"/>
              <w:spacing w:before="53" w:line="221" w:lineRule="auto"/>
              <w:ind w:left="216"/>
            </w:pPr>
            <w:r>
              <w:rPr>
                <w:spacing w:val="-1"/>
              </w:rPr>
              <w:t>新能源充电桩配置比例</w:t>
            </w:r>
          </w:p>
        </w:tc>
        <w:tc>
          <w:tcPr>
            <w:tcW w:w="849" w:type="dxa"/>
            <w:vAlign w:val="top"/>
          </w:tcPr>
          <w:p w14:paraId="0172F1E5">
            <w:pPr>
              <w:pStyle w:val="7"/>
              <w:spacing w:before="53" w:line="223" w:lineRule="auto"/>
              <w:ind w:left="371"/>
            </w:pPr>
            <w:r>
              <w:t>%</w:t>
            </w:r>
          </w:p>
        </w:tc>
        <w:tc>
          <w:tcPr>
            <w:tcW w:w="3131" w:type="dxa"/>
            <w:vAlign w:val="top"/>
          </w:tcPr>
          <w:p w14:paraId="03FE66BD">
            <w:pPr>
              <w:pStyle w:val="7"/>
              <w:spacing w:before="53" w:line="223" w:lineRule="auto"/>
              <w:ind w:left="1438"/>
            </w:pPr>
            <w:r>
              <w:rPr>
                <w:spacing w:val="-9"/>
              </w:rPr>
              <w:t>≥30</w:t>
            </w:r>
          </w:p>
        </w:tc>
        <w:tc>
          <w:tcPr>
            <w:tcW w:w="1063" w:type="dxa"/>
            <w:vAlign w:val="top"/>
          </w:tcPr>
          <w:p w14:paraId="41F456DD">
            <w:pPr>
              <w:pStyle w:val="7"/>
              <w:spacing w:before="53" w:line="223" w:lineRule="auto"/>
              <w:ind w:left="489"/>
            </w:pPr>
            <w:r>
              <w:t>5</w:t>
            </w:r>
          </w:p>
        </w:tc>
      </w:tr>
      <w:tr w14:paraId="602F3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729" w:type="dxa"/>
            <w:vMerge w:val="continue"/>
            <w:tcBorders>
              <w:top w:val="nil"/>
              <w:bottom w:val="nil"/>
            </w:tcBorders>
            <w:vAlign w:val="top"/>
          </w:tcPr>
          <w:p w14:paraId="7FC19BD0">
            <w:pPr>
              <w:rPr>
                <w:rFonts w:ascii="Arial"/>
                <w:sz w:val="21"/>
              </w:rPr>
            </w:pPr>
          </w:p>
        </w:tc>
        <w:tc>
          <w:tcPr>
            <w:tcW w:w="2522" w:type="dxa"/>
            <w:vAlign w:val="top"/>
          </w:tcPr>
          <w:p w14:paraId="54924E6C">
            <w:pPr>
              <w:pStyle w:val="7"/>
              <w:spacing w:before="56" w:line="248" w:lineRule="auto"/>
              <w:ind w:left="949" w:right="206" w:hanging="732"/>
            </w:pPr>
            <w:r>
              <w:rPr>
                <w:spacing w:val="-1"/>
              </w:rPr>
              <w:t>社区公共服务新能源车</w:t>
            </w:r>
            <w:r>
              <w:rPr>
                <w:spacing w:val="1"/>
              </w:rPr>
              <w:t xml:space="preserve"> </w:t>
            </w:r>
            <w:r>
              <w:rPr>
                <w:spacing w:val="-1"/>
              </w:rPr>
              <w:t>辆占比</w:t>
            </w:r>
          </w:p>
        </w:tc>
        <w:tc>
          <w:tcPr>
            <w:tcW w:w="849" w:type="dxa"/>
            <w:vAlign w:val="top"/>
          </w:tcPr>
          <w:p w14:paraId="4DF427A2">
            <w:pPr>
              <w:pStyle w:val="7"/>
              <w:spacing w:before="211" w:line="241" w:lineRule="auto"/>
              <w:ind w:left="371"/>
            </w:pPr>
            <w:r>
              <w:t>%</w:t>
            </w:r>
          </w:p>
        </w:tc>
        <w:tc>
          <w:tcPr>
            <w:tcW w:w="3131" w:type="dxa"/>
            <w:vAlign w:val="top"/>
          </w:tcPr>
          <w:p w14:paraId="75729552">
            <w:pPr>
              <w:pStyle w:val="7"/>
              <w:spacing w:before="211" w:line="239" w:lineRule="auto"/>
              <w:ind w:left="1438"/>
            </w:pPr>
            <w:r>
              <w:rPr>
                <w:spacing w:val="-9"/>
              </w:rPr>
              <w:t>≥90</w:t>
            </w:r>
          </w:p>
        </w:tc>
        <w:tc>
          <w:tcPr>
            <w:tcW w:w="1063" w:type="dxa"/>
            <w:vAlign w:val="top"/>
          </w:tcPr>
          <w:p w14:paraId="781966B3">
            <w:pPr>
              <w:pStyle w:val="7"/>
              <w:spacing w:before="211" w:line="241" w:lineRule="auto"/>
              <w:ind w:left="489"/>
            </w:pPr>
            <w:r>
              <w:t>5</w:t>
            </w:r>
          </w:p>
        </w:tc>
      </w:tr>
      <w:tr w14:paraId="475E1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9" w:type="dxa"/>
            <w:vMerge w:val="continue"/>
            <w:tcBorders>
              <w:top w:val="nil"/>
            </w:tcBorders>
            <w:vAlign w:val="top"/>
          </w:tcPr>
          <w:p w14:paraId="2E7EB9C8">
            <w:pPr>
              <w:rPr>
                <w:rFonts w:ascii="Arial"/>
                <w:sz w:val="21"/>
              </w:rPr>
            </w:pPr>
          </w:p>
        </w:tc>
        <w:tc>
          <w:tcPr>
            <w:tcW w:w="2522" w:type="dxa"/>
            <w:vAlign w:val="top"/>
          </w:tcPr>
          <w:p w14:paraId="37EAFBA7">
            <w:pPr>
              <w:pStyle w:val="7"/>
              <w:spacing w:before="53" w:line="221" w:lineRule="auto"/>
              <w:ind w:left="275"/>
            </w:pPr>
            <w:r>
              <w:rPr>
                <w:spacing w:val="-2"/>
              </w:rPr>
              <w:t>公交站点500米覆盖率</w:t>
            </w:r>
          </w:p>
        </w:tc>
        <w:tc>
          <w:tcPr>
            <w:tcW w:w="849" w:type="dxa"/>
            <w:vAlign w:val="top"/>
          </w:tcPr>
          <w:p w14:paraId="4BD6F353">
            <w:pPr>
              <w:pStyle w:val="7"/>
              <w:spacing w:before="53" w:line="222" w:lineRule="auto"/>
              <w:ind w:left="371"/>
            </w:pPr>
            <w:r>
              <w:t>%</w:t>
            </w:r>
          </w:p>
        </w:tc>
        <w:tc>
          <w:tcPr>
            <w:tcW w:w="3131" w:type="dxa"/>
            <w:vAlign w:val="top"/>
          </w:tcPr>
          <w:p w14:paraId="2D86827D">
            <w:pPr>
              <w:pStyle w:val="7"/>
              <w:spacing w:before="53" w:line="222" w:lineRule="auto"/>
              <w:ind w:left="1332"/>
            </w:pPr>
            <w:r>
              <w:rPr>
                <w:spacing w:val="-7"/>
              </w:rPr>
              <w:t>≥100</w:t>
            </w:r>
          </w:p>
        </w:tc>
        <w:tc>
          <w:tcPr>
            <w:tcW w:w="1063" w:type="dxa"/>
            <w:vAlign w:val="top"/>
          </w:tcPr>
          <w:p w14:paraId="0EF234D3">
            <w:pPr>
              <w:pStyle w:val="7"/>
              <w:spacing w:before="53" w:line="222" w:lineRule="auto"/>
              <w:ind w:left="489"/>
            </w:pPr>
            <w:r>
              <w:t>5</w:t>
            </w:r>
          </w:p>
        </w:tc>
      </w:tr>
      <w:tr w14:paraId="5120C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29" w:type="dxa"/>
            <w:vMerge w:val="restart"/>
            <w:tcBorders>
              <w:bottom w:val="nil"/>
            </w:tcBorders>
            <w:vAlign w:val="top"/>
          </w:tcPr>
          <w:p w14:paraId="3CC1E16C">
            <w:pPr>
              <w:spacing w:line="256" w:lineRule="auto"/>
              <w:rPr>
                <w:rFonts w:ascii="Arial"/>
                <w:sz w:val="21"/>
              </w:rPr>
            </w:pPr>
          </w:p>
          <w:p w14:paraId="16A54161">
            <w:pPr>
              <w:spacing w:line="257" w:lineRule="auto"/>
              <w:rPr>
                <w:rFonts w:ascii="Arial"/>
                <w:sz w:val="21"/>
              </w:rPr>
            </w:pPr>
          </w:p>
          <w:p w14:paraId="159900D6">
            <w:pPr>
              <w:spacing w:line="257" w:lineRule="auto"/>
              <w:rPr>
                <w:rFonts w:ascii="Arial"/>
                <w:sz w:val="21"/>
              </w:rPr>
            </w:pPr>
          </w:p>
          <w:p w14:paraId="24C00D49">
            <w:pPr>
              <w:pStyle w:val="7"/>
              <w:spacing w:before="68" w:line="221" w:lineRule="auto"/>
              <w:ind w:left="457"/>
            </w:pPr>
            <w:r>
              <w:rPr>
                <w:spacing w:val="-4"/>
              </w:rPr>
              <w:t>能源使用</w:t>
            </w:r>
          </w:p>
        </w:tc>
        <w:tc>
          <w:tcPr>
            <w:tcW w:w="2522" w:type="dxa"/>
            <w:vAlign w:val="top"/>
          </w:tcPr>
          <w:p w14:paraId="29276F1D">
            <w:pPr>
              <w:pStyle w:val="7"/>
              <w:spacing w:before="53" w:line="248" w:lineRule="auto"/>
              <w:ind w:left="218" w:right="206" w:hanging="3"/>
            </w:pPr>
            <w:r>
              <w:rPr>
                <w:spacing w:val="-1"/>
              </w:rPr>
              <w:t>清洁能源普及率（适用</w:t>
            </w:r>
            <w:r>
              <w:rPr>
                <w:spacing w:val="3"/>
              </w:rPr>
              <w:t xml:space="preserve"> </w:t>
            </w:r>
            <w:r>
              <w:rPr>
                <w:spacing w:val="-3"/>
              </w:rPr>
              <w:t>于对城镇社区的评价）</w:t>
            </w:r>
          </w:p>
        </w:tc>
        <w:tc>
          <w:tcPr>
            <w:tcW w:w="849" w:type="dxa"/>
            <w:vMerge w:val="restart"/>
            <w:tcBorders>
              <w:bottom w:val="nil"/>
            </w:tcBorders>
            <w:vAlign w:val="top"/>
          </w:tcPr>
          <w:p w14:paraId="45BA3F34">
            <w:pPr>
              <w:spacing w:line="305" w:lineRule="auto"/>
              <w:rPr>
                <w:rFonts w:ascii="Arial"/>
                <w:sz w:val="21"/>
              </w:rPr>
            </w:pPr>
          </w:p>
          <w:p w14:paraId="1E54DC5E">
            <w:pPr>
              <w:spacing w:line="306" w:lineRule="auto"/>
              <w:rPr>
                <w:rFonts w:ascii="Arial"/>
                <w:sz w:val="21"/>
              </w:rPr>
            </w:pPr>
          </w:p>
          <w:p w14:paraId="5C80BCEF">
            <w:pPr>
              <w:pStyle w:val="7"/>
              <w:spacing w:before="68" w:line="241" w:lineRule="auto"/>
              <w:ind w:left="371"/>
            </w:pPr>
            <w:r>
              <w:t>%</w:t>
            </w:r>
          </w:p>
        </w:tc>
        <w:tc>
          <w:tcPr>
            <w:tcW w:w="3131" w:type="dxa"/>
            <w:vMerge w:val="restart"/>
            <w:tcBorders>
              <w:bottom w:val="nil"/>
            </w:tcBorders>
            <w:vAlign w:val="top"/>
          </w:tcPr>
          <w:p w14:paraId="3AC0DD8C">
            <w:pPr>
              <w:spacing w:line="305" w:lineRule="auto"/>
              <w:rPr>
                <w:rFonts w:ascii="Arial"/>
                <w:sz w:val="21"/>
              </w:rPr>
            </w:pPr>
          </w:p>
          <w:p w14:paraId="72CC4662">
            <w:pPr>
              <w:spacing w:line="305" w:lineRule="auto"/>
              <w:rPr>
                <w:rFonts w:ascii="Arial"/>
                <w:sz w:val="21"/>
              </w:rPr>
            </w:pPr>
          </w:p>
          <w:p w14:paraId="257A278F">
            <w:pPr>
              <w:pStyle w:val="7"/>
              <w:spacing w:before="69" w:line="239" w:lineRule="auto"/>
              <w:ind w:left="1385"/>
            </w:pPr>
            <w:r>
              <w:rPr>
                <w:spacing w:val="-9"/>
              </w:rPr>
              <w:t>≥85</w:t>
            </w:r>
          </w:p>
        </w:tc>
        <w:tc>
          <w:tcPr>
            <w:tcW w:w="1063" w:type="dxa"/>
            <w:vMerge w:val="restart"/>
            <w:tcBorders>
              <w:bottom w:val="nil"/>
            </w:tcBorders>
            <w:vAlign w:val="top"/>
          </w:tcPr>
          <w:p w14:paraId="7473D175">
            <w:pPr>
              <w:spacing w:line="305" w:lineRule="auto"/>
              <w:rPr>
                <w:rFonts w:ascii="Arial"/>
                <w:sz w:val="21"/>
              </w:rPr>
            </w:pPr>
          </w:p>
          <w:p w14:paraId="3D0BECF2">
            <w:pPr>
              <w:spacing w:line="306" w:lineRule="auto"/>
              <w:rPr>
                <w:rFonts w:ascii="Arial"/>
                <w:sz w:val="21"/>
              </w:rPr>
            </w:pPr>
          </w:p>
          <w:p w14:paraId="60745B6C">
            <w:pPr>
              <w:pStyle w:val="7"/>
              <w:spacing w:before="68" w:line="241" w:lineRule="auto"/>
              <w:ind w:left="448"/>
            </w:pPr>
            <w:r>
              <w:rPr>
                <w:spacing w:val="-6"/>
              </w:rPr>
              <w:t>10</w:t>
            </w:r>
          </w:p>
        </w:tc>
      </w:tr>
      <w:tr w14:paraId="67149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29" w:type="dxa"/>
            <w:vMerge w:val="continue"/>
            <w:tcBorders>
              <w:top w:val="nil"/>
              <w:bottom w:val="nil"/>
            </w:tcBorders>
            <w:vAlign w:val="top"/>
          </w:tcPr>
          <w:p w14:paraId="4F50F342">
            <w:pPr>
              <w:rPr>
                <w:rFonts w:ascii="Arial"/>
                <w:sz w:val="21"/>
              </w:rPr>
            </w:pPr>
          </w:p>
        </w:tc>
        <w:tc>
          <w:tcPr>
            <w:tcW w:w="2522" w:type="dxa"/>
            <w:vAlign w:val="top"/>
          </w:tcPr>
          <w:p w14:paraId="626D0425">
            <w:pPr>
              <w:pStyle w:val="7"/>
              <w:spacing w:before="54" w:line="221" w:lineRule="auto"/>
              <w:ind w:left="217"/>
            </w:pPr>
            <w:r>
              <w:rPr>
                <w:spacing w:val="-1"/>
              </w:rPr>
              <w:t>可再生能源普及率（适</w:t>
            </w:r>
          </w:p>
          <w:p w14:paraId="675FD808">
            <w:pPr>
              <w:pStyle w:val="7"/>
              <w:spacing w:before="60" w:line="220" w:lineRule="auto"/>
              <w:ind w:left="320"/>
            </w:pPr>
            <w:r>
              <w:rPr>
                <w:spacing w:val="-1"/>
              </w:rPr>
              <w:t>用于对农村社区的评</w:t>
            </w:r>
          </w:p>
          <w:p w14:paraId="0152DBB1">
            <w:pPr>
              <w:pStyle w:val="7"/>
              <w:spacing w:before="62" w:line="219" w:lineRule="auto"/>
              <w:ind w:left="1057"/>
            </w:pPr>
            <w:r>
              <w:rPr>
                <w:spacing w:val="-6"/>
              </w:rPr>
              <w:t>价）</w:t>
            </w:r>
          </w:p>
        </w:tc>
        <w:tc>
          <w:tcPr>
            <w:tcW w:w="849" w:type="dxa"/>
            <w:vMerge w:val="continue"/>
            <w:tcBorders>
              <w:top w:val="nil"/>
            </w:tcBorders>
            <w:vAlign w:val="top"/>
          </w:tcPr>
          <w:p w14:paraId="198B509C">
            <w:pPr>
              <w:rPr>
                <w:rFonts w:ascii="Arial"/>
                <w:sz w:val="21"/>
              </w:rPr>
            </w:pPr>
          </w:p>
        </w:tc>
        <w:tc>
          <w:tcPr>
            <w:tcW w:w="3131" w:type="dxa"/>
            <w:vMerge w:val="continue"/>
            <w:tcBorders>
              <w:top w:val="nil"/>
            </w:tcBorders>
            <w:vAlign w:val="top"/>
          </w:tcPr>
          <w:p w14:paraId="6E9DCE4D">
            <w:pPr>
              <w:rPr>
                <w:rFonts w:ascii="Arial"/>
                <w:sz w:val="21"/>
              </w:rPr>
            </w:pPr>
          </w:p>
        </w:tc>
        <w:tc>
          <w:tcPr>
            <w:tcW w:w="1063" w:type="dxa"/>
            <w:vMerge w:val="continue"/>
            <w:tcBorders>
              <w:top w:val="nil"/>
            </w:tcBorders>
            <w:vAlign w:val="top"/>
          </w:tcPr>
          <w:p w14:paraId="75D4B5B1">
            <w:pPr>
              <w:rPr>
                <w:rFonts w:ascii="Arial"/>
                <w:sz w:val="21"/>
              </w:rPr>
            </w:pPr>
          </w:p>
        </w:tc>
      </w:tr>
      <w:tr w14:paraId="1BA4B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9" w:type="dxa"/>
            <w:vMerge w:val="continue"/>
            <w:tcBorders>
              <w:top w:val="nil"/>
            </w:tcBorders>
            <w:vAlign w:val="top"/>
          </w:tcPr>
          <w:p w14:paraId="6A9DA0CC">
            <w:pPr>
              <w:rPr>
                <w:rFonts w:ascii="Arial"/>
                <w:sz w:val="21"/>
              </w:rPr>
            </w:pPr>
          </w:p>
        </w:tc>
        <w:tc>
          <w:tcPr>
            <w:tcW w:w="2522" w:type="dxa"/>
            <w:vAlign w:val="top"/>
          </w:tcPr>
          <w:p w14:paraId="1D339015">
            <w:pPr>
              <w:pStyle w:val="7"/>
              <w:spacing w:before="55" w:line="221" w:lineRule="auto"/>
              <w:ind w:left="431"/>
            </w:pPr>
            <w:r>
              <w:rPr>
                <w:spacing w:val="-2"/>
              </w:rPr>
              <w:t>公区绿色照明比例</w:t>
            </w:r>
          </w:p>
        </w:tc>
        <w:tc>
          <w:tcPr>
            <w:tcW w:w="849" w:type="dxa"/>
            <w:vAlign w:val="top"/>
          </w:tcPr>
          <w:p w14:paraId="78C1D069">
            <w:pPr>
              <w:pStyle w:val="7"/>
              <w:spacing w:before="55" w:line="221" w:lineRule="auto"/>
              <w:ind w:left="371"/>
            </w:pPr>
            <w:r>
              <w:t>%</w:t>
            </w:r>
          </w:p>
        </w:tc>
        <w:tc>
          <w:tcPr>
            <w:tcW w:w="3131" w:type="dxa"/>
            <w:vAlign w:val="top"/>
          </w:tcPr>
          <w:p w14:paraId="4B4EEE79">
            <w:pPr>
              <w:pStyle w:val="7"/>
              <w:spacing w:before="55" w:line="221" w:lineRule="auto"/>
              <w:ind w:left="1485"/>
            </w:pPr>
            <w:r>
              <w:rPr>
                <w:spacing w:val="-5"/>
              </w:rPr>
              <w:t>95</w:t>
            </w:r>
          </w:p>
        </w:tc>
        <w:tc>
          <w:tcPr>
            <w:tcW w:w="1063" w:type="dxa"/>
            <w:vAlign w:val="top"/>
          </w:tcPr>
          <w:p w14:paraId="1C82E247">
            <w:pPr>
              <w:pStyle w:val="7"/>
              <w:spacing w:before="55" w:line="221" w:lineRule="auto"/>
              <w:ind w:left="489"/>
            </w:pPr>
            <w:r>
              <w:t>5</w:t>
            </w:r>
          </w:p>
        </w:tc>
      </w:tr>
      <w:tr w14:paraId="7E227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29" w:type="dxa"/>
            <w:vMerge w:val="restart"/>
            <w:tcBorders>
              <w:bottom w:val="nil"/>
            </w:tcBorders>
            <w:vAlign w:val="top"/>
          </w:tcPr>
          <w:p w14:paraId="5D1B2CEA">
            <w:pPr>
              <w:spacing w:line="301" w:lineRule="auto"/>
              <w:rPr>
                <w:rFonts w:ascii="Arial"/>
                <w:sz w:val="21"/>
              </w:rPr>
            </w:pPr>
          </w:p>
          <w:p w14:paraId="7931AC93">
            <w:pPr>
              <w:pStyle w:val="7"/>
              <w:spacing w:before="68" w:line="221" w:lineRule="auto"/>
              <w:ind w:left="346"/>
            </w:pPr>
            <w:r>
              <w:rPr>
                <w:spacing w:val="-2"/>
              </w:rPr>
              <w:t>水资源利用</w:t>
            </w:r>
          </w:p>
        </w:tc>
        <w:tc>
          <w:tcPr>
            <w:tcW w:w="2522" w:type="dxa"/>
            <w:vAlign w:val="top"/>
          </w:tcPr>
          <w:p w14:paraId="6493F031">
            <w:pPr>
              <w:pStyle w:val="7"/>
              <w:spacing w:before="56" w:line="247" w:lineRule="auto"/>
              <w:ind w:left="637" w:right="206" w:hanging="418"/>
            </w:pPr>
            <w:r>
              <w:rPr>
                <w:spacing w:val="-1"/>
              </w:rPr>
              <w:t>非传统水源（雨水、再</w:t>
            </w:r>
            <w:r>
              <w:t xml:space="preserve"> </w:t>
            </w:r>
            <w:r>
              <w:rPr>
                <w:spacing w:val="-2"/>
              </w:rPr>
              <w:t>生等）利用率</w:t>
            </w:r>
          </w:p>
        </w:tc>
        <w:tc>
          <w:tcPr>
            <w:tcW w:w="849" w:type="dxa"/>
            <w:vAlign w:val="top"/>
          </w:tcPr>
          <w:p w14:paraId="2A1A3C35">
            <w:pPr>
              <w:pStyle w:val="7"/>
              <w:spacing w:before="205"/>
              <w:ind w:left="369"/>
              <w:rPr>
                <w:sz w:val="22"/>
                <w:szCs w:val="22"/>
              </w:rPr>
            </w:pPr>
            <w:r>
              <w:rPr>
                <w:sz w:val="22"/>
                <w:szCs w:val="22"/>
              </w:rPr>
              <w:t>%</w:t>
            </w:r>
          </w:p>
        </w:tc>
        <w:tc>
          <w:tcPr>
            <w:tcW w:w="3131" w:type="dxa"/>
            <w:vAlign w:val="top"/>
          </w:tcPr>
          <w:p w14:paraId="7BA9B59D">
            <w:pPr>
              <w:pStyle w:val="7"/>
              <w:spacing w:before="54" w:line="239" w:lineRule="auto"/>
              <w:ind w:left="1438"/>
            </w:pPr>
            <w:r>
              <w:rPr>
                <w:spacing w:val="-9"/>
              </w:rPr>
              <w:t>≥35</w:t>
            </w:r>
          </w:p>
        </w:tc>
        <w:tc>
          <w:tcPr>
            <w:tcW w:w="1063" w:type="dxa"/>
            <w:vAlign w:val="top"/>
          </w:tcPr>
          <w:p w14:paraId="2BE21FFF">
            <w:pPr>
              <w:pStyle w:val="7"/>
              <w:spacing w:before="211" w:line="241" w:lineRule="auto"/>
              <w:ind w:left="489"/>
            </w:pPr>
            <w:r>
              <w:t>5</w:t>
            </w:r>
          </w:p>
        </w:tc>
      </w:tr>
      <w:tr w14:paraId="43AE8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729" w:type="dxa"/>
            <w:vMerge w:val="continue"/>
            <w:tcBorders>
              <w:top w:val="nil"/>
            </w:tcBorders>
            <w:vAlign w:val="top"/>
          </w:tcPr>
          <w:p w14:paraId="49488223">
            <w:pPr>
              <w:rPr>
                <w:rFonts w:ascii="Arial"/>
                <w:sz w:val="21"/>
              </w:rPr>
            </w:pPr>
          </w:p>
        </w:tc>
        <w:tc>
          <w:tcPr>
            <w:tcW w:w="2522" w:type="dxa"/>
            <w:vAlign w:val="top"/>
          </w:tcPr>
          <w:p w14:paraId="7859B8E8">
            <w:pPr>
              <w:pStyle w:val="7"/>
              <w:spacing w:before="57" w:line="221" w:lineRule="auto"/>
              <w:ind w:left="325"/>
            </w:pPr>
            <w:r>
              <w:rPr>
                <w:spacing w:val="-2"/>
              </w:rPr>
              <w:t>公区节水器具配备率</w:t>
            </w:r>
          </w:p>
        </w:tc>
        <w:tc>
          <w:tcPr>
            <w:tcW w:w="849" w:type="dxa"/>
            <w:vAlign w:val="top"/>
          </w:tcPr>
          <w:p w14:paraId="0DAB4834">
            <w:pPr>
              <w:pStyle w:val="7"/>
              <w:spacing w:before="53" w:line="219" w:lineRule="auto"/>
              <w:ind w:left="369"/>
              <w:rPr>
                <w:sz w:val="22"/>
                <w:szCs w:val="22"/>
              </w:rPr>
            </w:pPr>
            <w:r>
              <w:rPr>
                <w:sz w:val="22"/>
                <w:szCs w:val="22"/>
              </w:rPr>
              <w:t>%</w:t>
            </w:r>
          </w:p>
        </w:tc>
        <w:tc>
          <w:tcPr>
            <w:tcW w:w="3131" w:type="dxa"/>
            <w:vAlign w:val="top"/>
          </w:tcPr>
          <w:p w14:paraId="4039AC25">
            <w:pPr>
              <w:pStyle w:val="7"/>
              <w:spacing w:before="58" w:line="225" w:lineRule="auto"/>
              <w:ind w:left="1436"/>
            </w:pPr>
            <w:r>
              <w:rPr>
                <w:spacing w:val="-9"/>
              </w:rPr>
              <w:t>≥95</w:t>
            </w:r>
          </w:p>
        </w:tc>
        <w:tc>
          <w:tcPr>
            <w:tcW w:w="1063" w:type="dxa"/>
            <w:vAlign w:val="top"/>
          </w:tcPr>
          <w:p w14:paraId="3B698CC5">
            <w:pPr>
              <w:pStyle w:val="7"/>
              <w:spacing w:before="58" w:line="225" w:lineRule="auto"/>
              <w:ind w:left="489"/>
            </w:pPr>
            <w:r>
              <w:t>5</w:t>
            </w:r>
          </w:p>
        </w:tc>
      </w:tr>
    </w:tbl>
    <w:p w14:paraId="7ACF36DF">
      <w:pPr>
        <w:pStyle w:val="2"/>
      </w:pPr>
    </w:p>
    <w:p w14:paraId="22E33F9C">
      <w:pPr>
        <w:sectPr>
          <w:headerReference r:id="rId17" w:type="default"/>
          <w:footerReference r:id="rId18" w:type="default"/>
          <w:pgSz w:w="11907" w:h="16839"/>
          <w:pgMar w:top="1205" w:right="1298" w:bottom="1648" w:left="1303" w:header="880" w:footer="1448" w:gutter="0"/>
          <w:cols w:space="720" w:num="1"/>
        </w:sectPr>
      </w:pPr>
    </w:p>
    <w:tbl>
      <w:tblPr>
        <w:tblStyle w:val="6"/>
        <w:tblW w:w="9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9"/>
        <w:gridCol w:w="2522"/>
        <w:gridCol w:w="849"/>
        <w:gridCol w:w="3131"/>
        <w:gridCol w:w="1063"/>
      </w:tblGrid>
      <w:tr w14:paraId="056F2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729" w:type="dxa"/>
            <w:vAlign w:val="top"/>
          </w:tcPr>
          <w:p w14:paraId="56D803F5">
            <w:pPr>
              <w:pStyle w:val="7"/>
              <w:spacing w:before="58" w:line="221" w:lineRule="auto"/>
              <w:ind w:left="453"/>
            </w:pPr>
            <w:r>
              <w:rPr>
                <w:b/>
                <w:bCs/>
                <w:spacing w:val="-4"/>
              </w:rPr>
              <w:t>一级指标</w:t>
            </w:r>
          </w:p>
        </w:tc>
        <w:tc>
          <w:tcPr>
            <w:tcW w:w="2522" w:type="dxa"/>
            <w:vAlign w:val="top"/>
          </w:tcPr>
          <w:p w14:paraId="2090B765">
            <w:pPr>
              <w:pStyle w:val="7"/>
              <w:spacing w:before="58" w:line="221" w:lineRule="auto"/>
              <w:ind w:left="848"/>
            </w:pPr>
            <w:r>
              <w:rPr>
                <w:b/>
                <w:bCs/>
                <w:spacing w:val="-4"/>
              </w:rPr>
              <w:t>二级指标</w:t>
            </w:r>
          </w:p>
        </w:tc>
        <w:tc>
          <w:tcPr>
            <w:tcW w:w="849" w:type="dxa"/>
            <w:vAlign w:val="top"/>
          </w:tcPr>
          <w:p w14:paraId="48F463B0">
            <w:pPr>
              <w:pStyle w:val="7"/>
              <w:spacing w:before="58" w:line="221" w:lineRule="auto"/>
              <w:ind w:left="220"/>
            </w:pPr>
            <w:r>
              <w:rPr>
                <w:b/>
                <w:bCs/>
                <w:spacing w:val="-5"/>
              </w:rPr>
              <w:t>单位</w:t>
            </w:r>
          </w:p>
        </w:tc>
        <w:tc>
          <w:tcPr>
            <w:tcW w:w="3131" w:type="dxa"/>
            <w:vAlign w:val="top"/>
          </w:tcPr>
          <w:p w14:paraId="62FA1DFD">
            <w:pPr>
              <w:pStyle w:val="7"/>
              <w:spacing w:before="58" w:line="219" w:lineRule="auto"/>
              <w:ind w:left="1152"/>
            </w:pPr>
            <w:r>
              <w:rPr>
                <w:b/>
                <w:bCs/>
                <w:spacing w:val="-3"/>
              </w:rPr>
              <w:t>评价要求</w:t>
            </w:r>
          </w:p>
        </w:tc>
        <w:tc>
          <w:tcPr>
            <w:tcW w:w="1063" w:type="dxa"/>
            <w:vAlign w:val="top"/>
          </w:tcPr>
          <w:p w14:paraId="7EAF837E">
            <w:pPr>
              <w:pStyle w:val="7"/>
              <w:spacing w:before="57" w:line="221" w:lineRule="auto"/>
              <w:ind w:left="329"/>
            </w:pPr>
            <w:r>
              <w:rPr>
                <w:b/>
                <w:bCs/>
                <w:spacing w:val="-5"/>
              </w:rPr>
              <w:t>分值</w:t>
            </w:r>
          </w:p>
        </w:tc>
      </w:tr>
      <w:tr w14:paraId="45AA3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29" w:type="dxa"/>
            <w:vMerge w:val="restart"/>
            <w:tcBorders>
              <w:bottom w:val="nil"/>
            </w:tcBorders>
            <w:vAlign w:val="top"/>
          </w:tcPr>
          <w:p w14:paraId="7EEAD5EA">
            <w:pPr>
              <w:spacing w:line="307" w:lineRule="auto"/>
              <w:rPr>
                <w:rFonts w:ascii="Arial"/>
                <w:sz w:val="21"/>
              </w:rPr>
            </w:pPr>
          </w:p>
          <w:p w14:paraId="1A04548F">
            <w:pPr>
              <w:spacing w:line="308" w:lineRule="auto"/>
              <w:rPr>
                <w:rFonts w:ascii="Arial"/>
                <w:sz w:val="21"/>
              </w:rPr>
            </w:pPr>
          </w:p>
          <w:p w14:paraId="32EFC410">
            <w:pPr>
              <w:spacing w:line="308" w:lineRule="auto"/>
              <w:rPr>
                <w:rFonts w:ascii="Arial"/>
                <w:sz w:val="21"/>
              </w:rPr>
            </w:pPr>
          </w:p>
          <w:p w14:paraId="0B8632CE">
            <w:pPr>
              <w:pStyle w:val="7"/>
              <w:spacing w:before="68" w:line="221" w:lineRule="auto"/>
              <w:ind w:left="153"/>
            </w:pPr>
            <w:r>
              <w:rPr>
                <w:spacing w:val="-4"/>
              </w:rPr>
              <w:t>固体废弃物管理</w:t>
            </w:r>
          </w:p>
        </w:tc>
        <w:tc>
          <w:tcPr>
            <w:tcW w:w="2522" w:type="dxa"/>
            <w:vAlign w:val="top"/>
          </w:tcPr>
          <w:p w14:paraId="28B04CC4">
            <w:pPr>
              <w:pStyle w:val="7"/>
              <w:spacing w:before="51" w:line="221" w:lineRule="auto"/>
              <w:ind w:left="320"/>
            </w:pPr>
            <w:r>
              <w:rPr>
                <w:spacing w:val="-1"/>
              </w:rPr>
              <w:t>生活垃圾分类收集率</w:t>
            </w:r>
          </w:p>
          <w:p w14:paraId="6C0E2061">
            <w:pPr>
              <w:pStyle w:val="7"/>
              <w:spacing w:before="60" w:line="221" w:lineRule="auto"/>
              <w:ind w:left="222"/>
            </w:pPr>
            <w:r>
              <w:rPr>
                <w:spacing w:val="-2"/>
              </w:rPr>
              <w:t>（适用于对城镇社区的</w:t>
            </w:r>
          </w:p>
          <w:p w14:paraId="0635B91B">
            <w:pPr>
              <w:pStyle w:val="7"/>
              <w:spacing w:before="61" w:line="219" w:lineRule="auto"/>
              <w:ind w:left="949"/>
            </w:pPr>
            <w:r>
              <w:rPr>
                <w:spacing w:val="-5"/>
              </w:rPr>
              <w:t>评价）</w:t>
            </w:r>
          </w:p>
        </w:tc>
        <w:tc>
          <w:tcPr>
            <w:tcW w:w="849" w:type="dxa"/>
            <w:vAlign w:val="top"/>
          </w:tcPr>
          <w:p w14:paraId="105DDACB">
            <w:pPr>
              <w:spacing w:line="294" w:lineRule="auto"/>
              <w:rPr>
                <w:rFonts w:ascii="Arial"/>
                <w:sz w:val="21"/>
              </w:rPr>
            </w:pPr>
          </w:p>
          <w:p w14:paraId="54B52A85">
            <w:pPr>
              <w:pStyle w:val="7"/>
              <w:spacing w:before="68" w:line="241" w:lineRule="auto"/>
              <w:ind w:left="371"/>
            </w:pPr>
            <w:r>
              <w:t>%</w:t>
            </w:r>
          </w:p>
        </w:tc>
        <w:tc>
          <w:tcPr>
            <w:tcW w:w="3131" w:type="dxa"/>
            <w:vAlign w:val="top"/>
          </w:tcPr>
          <w:p w14:paraId="59E01ACB">
            <w:pPr>
              <w:spacing w:line="293" w:lineRule="auto"/>
              <w:rPr>
                <w:rFonts w:ascii="Arial"/>
                <w:sz w:val="21"/>
              </w:rPr>
            </w:pPr>
          </w:p>
          <w:p w14:paraId="0F90B81D">
            <w:pPr>
              <w:pStyle w:val="7"/>
              <w:spacing w:before="69" w:line="239" w:lineRule="auto"/>
              <w:ind w:left="1385"/>
            </w:pPr>
            <w:r>
              <w:rPr>
                <w:spacing w:val="-9"/>
              </w:rPr>
              <w:t>≥90</w:t>
            </w:r>
          </w:p>
        </w:tc>
        <w:tc>
          <w:tcPr>
            <w:tcW w:w="1063" w:type="dxa"/>
            <w:vMerge w:val="restart"/>
            <w:tcBorders>
              <w:bottom w:val="nil"/>
            </w:tcBorders>
            <w:vAlign w:val="top"/>
          </w:tcPr>
          <w:p w14:paraId="4695E540">
            <w:pPr>
              <w:spacing w:line="254" w:lineRule="auto"/>
              <w:rPr>
                <w:rFonts w:ascii="Arial"/>
                <w:sz w:val="21"/>
              </w:rPr>
            </w:pPr>
          </w:p>
          <w:p w14:paraId="6383F276">
            <w:pPr>
              <w:spacing w:line="254" w:lineRule="auto"/>
              <w:rPr>
                <w:rFonts w:ascii="Arial"/>
                <w:sz w:val="21"/>
              </w:rPr>
            </w:pPr>
          </w:p>
          <w:p w14:paraId="6A4BC260">
            <w:pPr>
              <w:spacing w:line="255" w:lineRule="auto"/>
              <w:rPr>
                <w:rFonts w:ascii="Arial"/>
                <w:sz w:val="21"/>
              </w:rPr>
            </w:pPr>
          </w:p>
          <w:p w14:paraId="1343BA2C">
            <w:pPr>
              <w:pStyle w:val="7"/>
              <w:spacing w:before="69" w:line="241" w:lineRule="auto"/>
              <w:ind w:left="489"/>
            </w:pPr>
            <w:r>
              <w:t>5</w:t>
            </w:r>
          </w:p>
        </w:tc>
      </w:tr>
      <w:tr w14:paraId="21829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29" w:type="dxa"/>
            <w:vMerge w:val="continue"/>
            <w:tcBorders>
              <w:top w:val="nil"/>
              <w:bottom w:val="nil"/>
            </w:tcBorders>
            <w:vAlign w:val="top"/>
          </w:tcPr>
          <w:p w14:paraId="045B120C">
            <w:pPr>
              <w:rPr>
                <w:rFonts w:ascii="Arial"/>
                <w:sz w:val="21"/>
              </w:rPr>
            </w:pPr>
          </w:p>
        </w:tc>
        <w:tc>
          <w:tcPr>
            <w:tcW w:w="2522" w:type="dxa"/>
            <w:vAlign w:val="top"/>
          </w:tcPr>
          <w:p w14:paraId="08AA6486">
            <w:pPr>
              <w:pStyle w:val="7"/>
              <w:spacing w:before="52" w:line="221" w:lineRule="auto"/>
              <w:ind w:left="217"/>
            </w:pPr>
            <w:r>
              <w:rPr>
                <w:spacing w:val="-1"/>
              </w:rPr>
              <w:t>生活垃圾无害化处理率</w:t>
            </w:r>
          </w:p>
          <w:p w14:paraId="10BD420B">
            <w:pPr>
              <w:pStyle w:val="7"/>
              <w:spacing w:before="60" w:line="220" w:lineRule="auto"/>
              <w:ind w:left="222"/>
            </w:pPr>
            <w:r>
              <w:rPr>
                <w:spacing w:val="-2"/>
              </w:rPr>
              <w:t>（适用于对农村社区的</w:t>
            </w:r>
          </w:p>
          <w:p w14:paraId="468BE54B">
            <w:pPr>
              <w:pStyle w:val="7"/>
              <w:spacing w:before="62" w:line="219" w:lineRule="auto"/>
              <w:ind w:left="949"/>
            </w:pPr>
            <w:r>
              <w:rPr>
                <w:spacing w:val="-5"/>
              </w:rPr>
              <w:t>评价）</w:t>
            </w:r>
          </w:p>
        </w:tc>
        <w:tc>
          <w:tcPr>
            <w:tcW w:w="849" w:type="dxa"/>
            <w:vAlign w:val="top"/>
          </w:tcPr>
          <w:p w14:paraId="59DE5C21">
            <w:pPr>
              <w:spacing w:line="286" w:lineRule="auto"/>
              <w:rPr>
                <w:rFonts w:ascii="Arial"/>
                <w:sz w:val="21"/>
              </w:rPr>
            </w:pPr>
          </w:p>
          <w:p w14:paraId="3EA2EA06">
            <w:pPr>
              <w:pStyle w:val="7"/>
              <w:spacing w:before="71"/>
              <w:ind w:left="369"/>
              <w:rPr>
                <w:sz w:val="22"/>
                <w:szCs w:val="22"/>
              </w:rPr>
            </w:pPr>
            <w:r>
              <w:rPr>
                <w:sz w:val="22"/>
                <w:szCs w:val="22"/>
              </w:rPr>
              <w:t>%</w:t>
            </w:r>
          </w:p>
        </w:tc>
        <w:tc>
          <w:tcPr>
            <w:tcW w:w="3131" w:type="dxa"/>
            <w:vAlign w:val="top"/>
          </w:tcPr>
          <w:p w14:paraId="54918D17">
            <w:pPr>
              <w:spacing w:line="294" w:lineRule="auto"/>
              <w:rPr>
                <w:rFonts w:ascii="Arial"/>
                <w:sz w:val="21"/>
              </w:rPr>
            </w:pPr>
          </w:p>
          <w:p w14:paraId="5B2DFBF3">
            <w:pPr>
              <w:pStyle w:val="7"/>
              <w:spacing w:before="68" w:line="239" w:lineRule="auto"/>
              <w:ind w:left="1385"/>
            </w:pPr>
            <w:r>
              <w:rPr>
                <w:spacing w:val="-9"/>
              </w:rPr>
              <w:t>≥95</w:t>
            </w:r>
          </w:p>
        </w:tc>
        <w:tc>
          <w:tcPr>
            <w:tcW w:w="1063" w:type="dxa"/>
            <w:vMerge w:val="continue"/>
            <w:tcBorders>
              <w:top w:val="nil"/>
            </w:tcBorders>
            <w:vAlign w:val="top"/>
          </w:tcPr>
          <w:p w14:paraId="0FB87776">
            <w:pPr>
              <w:rPr>
                <w:rFonts w:ascii="Arial"/>
                <w:sz w:val="21"/>
              </w:rPr>
            </w:pPr>
          </w:p>
        </w:tc>
      </w:tr>
      <w:tr w14:paraId="1A7FD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9" w:type="dxa"/>
            <w:vMerge w:val="continue"/>
            <w:tcBorders>
              <w:top w:val="nil"/>
            </w:tcBorders>
            <w:vAlign w:val="top"/>
          </w:tcPr>
          <w:p w14:paraId="7550F2C1">
            <w:pPr>
              <w:rPr>
                <w:rFonts w:ascii="Arial"/>
                <w:sz w:val="21"/>
              </w:rPr>
            </w:pPr>
          </w:p>
        </w:tc>
        <w:tc>
          <w:tcPr>
            <w:tcW w:w="2522" w:type="dxa"/>
            <w:vAlign w:val="top"/>
          </w:tcPr>
          <w:p w14:paraId="35BA1A88">
            <w:pPr>
              <w:pStyle w:val="7"/>
              <w:spacing w:before="53" w:line="221" w:lineRule="auto"/>
              <w:ind w:left="217"/>
            </w:pPr>
            <w:r>
              <w:rPr>
                <w:spacing w:val="-1"/>
              </w:rPr>
              <w:t>再生资源回收站点数量</w:t>
            </w:r>
          </w:p>
        </w:tc>
        <w:tc>
          <w:tcPr>
            <w:tcW w:w="849" w:type="dxa"/>
            <w:vAlign w:val="top"/>
          </w:tcPr>
          <w:p w14:paraId="659016F9">
            <w:pPr>
              <w:pStyle w:val="7"/>
              <w:spacing w:before="47" w:line="217" w:lineRule="auto"/>
              <w:ind w:left="320"/>
              <w:rPr>
                <w:sz w:val="22"/>
                <w:szCs w:val="22"/>
              </w:rPr>
            </w:pPr>
            <w:r>
              <w:rPr>
                <w:sz w:val="22"/>
                <w:szCs w:val="22"/>
              </w:rPr>
              <w:t>个</w:t>
            </w:r>
          </w:p>
        </w:tc>
        <w:tc>
          <w:tcPr>
            <w:tcW w:w="3131" w:type="dxa"/>
            <w:vAlign w:val="top"/>
          </w:tcPr>
          <w:p w14:paraId="7B48D55A">
            <w:pPr>
              <w:pStyle w:val="7"/>
              <w:spacing w:before="53" w:line="222" w:lineRule="auto"/>
              <w:ind w:left="1438"/>
            </w:pPr>
            <w:r>
              <w:rPr>
                <w:spacing w:val="-14"/>
              </w:rPr>
              <w:t>≥1</w:t>
            </w:r>
          </w:p>
        </w:tc>
        <w:tc>
          <w:tcPr>
            <w:tcW w:w="1063" w:type="dxa"/>
            <w:vAlign w:val="top"/>
          </w:tcPr>
          <w:p w14:paraId="733E9168">
            <w:pPr>
              <w:pStyle w:val="7"/>
              <w:spacing w:before="53" w:line="222" w:lineRule="auto"/>
              <w:ind w:left="489"/>
            </w:pPr>
            <w:r>
              <w:t>5</w:t>
            </w:r>
          </w:p>
        </w:tc>
      </w:tr>
      <w:tr w14:paraId="25468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29" w:type="dxa"/>
            <w:vMerge w:val="restart"/>
            <w:tcBorders>
              <w:bottom w:val="nil"/>
            </w:tcBorders>
            <w:vAlign w:val="top"/>
          </w:tcPr>
          <w:p w14:paraId="1111AC16">
            <w:pPr>
              <w:spacing w:line="256" w:lineRule="auto"/>
              <w:rPr>
                <w:rFonts w:ascii="Arial"/>
                <w:sz w:val="21"/>
              </w:rPr>
            </w:pPr>
          </w:p>
          <w:p w14:paraId="4C6BC1C9">
            <w:pPr>
              <w:spacing w:line="257" w:lineRule="auto"/>
              <w:rPr>
                <w:rFonts w:ascii="Arial"/>
                <w:sz w:val="21"/>
              </w:rPr>
            </w:pPr>
          </w:p>
          <w:p w14:paraId="0CFF0361">
            <w:pPr>
              <w:spacing w:line="257" w:lineRule="auto"/>
              <w:rPr>
                <w:rFonts w:ascii="Arial"/>
                <w:sz w:val="21"/>
              </w:rPr>
            </w:pPr>
          </w:p>
          <w:p w14:paraId="52C7B0F5">
            <w:pPr>
              <w:pStyle w:val="7"/>
              <w:spacing w:before="68" w:line="221" w:lineRule="auto"/>
              <w:ind w:left="136"/>
            </w:pPr>
            <w:r>
              <w:rPr>
                <w:spacing w:val="-1"/>
              </w:rPr>
              <w:t>社区运营与治理</w:t>
            </w:r>
          </w:p>
        </w:tc>
        <w:tc>
          <w:tcPr>
            <w:tcW w:w="2522" w:type="dxa"/>
            <w:vAlign w:val="top"/>
          </w:tcPr>
          <w:p w14:paraId="63DD841D">
            <w:pPr>
              <w:pStyle w:val="7"/>
              <w:spacing w:before="53" w:line="248" w:lineRule="auto"/>
              <w:ind w:left="530" w:right="237" w:hanging="313"/>
            </w:pPr>
            <w:r>
              <w:rPr>
                <w:spacing w:val="-4"/>
              </w:rPr>
              <w:t>社区治理的组织架构、</w:t>
            </w:r>
            <w:r>
              <w:t xml:space="preserve"> </w:t>
            </w:r>
            <w:r>
              <w:rPr>
                <w:spacing w:val="-1"/>
              </w:rPr>
              <w:t>碳中和实施计划</w:t>
            </w:r>
          </w:p>
        </w:tc>
        <w:tc>
          <w:tcPr>
            <w:tcW w:w="849" w:type="dxa"/>
            <w:vAlign w:val="top"/>
          </w:tcPr>
          <w:p w14:paraId="3570B58C">
            <w:pPr>
              <w:pStyle w:val="7"/>
              <w:spacing w:before="209" w:line="226" w:lineRule="auto"/>
              <w:ind w:left="376"/>
            </w:pPr>
            <w:r>
              <w:t>/</w:t>
            </w:r>
          </w:p>
        </w:tc>
        <w:tc>
          <w:tcPr>
            <w:tcW w:w="3131" w:type="dxa"/>
            <w:vAlign w:val="top"/>
          </w:tcPr>
          <w:p w14:paraId="487F7FC3">
            <w:pPr>
              <w:pStyle w:val="7"/>
              <w:spacing w:before="53" w:line="248" w:lineRule="auto"/>
              <w:ind w:left="119" w:right="98" w:firstLine="1"/>
            </w:pPr>
            <w:r>
              <w:rPr>
                <w:spacing w:val="13"/>
              </w:rPr>
              <w:t>具有明确的碳管理治理组织架</w:t>
            </w:r>
            <w:r>
              <w:rPr>
                <w:spacing w:val="5"/>
              </w:rPr>
              <w:t xml:space="preserve"> </w:t>
            </w:r>
            <w:r>
              <w:rPr>
                <w:spacing w:val="-1"/>
              </w:rPr>
              <w:t>构、碳中和实施计划</w:t>
            </w:r>
          </w:p>
        </w:tc>
        <w:tc>
          <w:tcPr>
            <w:tcW w:w="1063" w:type="dxa"/>
            <w:vAlign w:val="top"/>
          </w:tcPr>
          <w:p w14:paraId="691D285E">
            <w:pPr>
              <w:pStyle w:val="7"/>
              <w:spacing w:before="209" w:line="241" w:lineRule="auto"/>
              <w:ind w:left="489"/>
            </w:pPr>
            <w:r>
              <w:t>5</w:t>
            </w:r>
          </w:p>
        </w:tc>
      </w:tr>
      <w:tr w14:paraId="78DF8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29" w:type="dxa"/>
            <w:vMerge w:val="continue"/>
            <w:tcBorders>
              <w:top w:val="nil"/>
              <w:bottom w:val="nil"/>
            </w:tcBorders>
            <w:vAlign w:val="top"/>
          </w:tcPr>
          <w:p w14:paraId="4493BEE0">
            <w:pPr>
              <w:rPr>
                <w:rFonts w:ascii="Arial"/>
                <w:sz w:val="21"/>
              </w:rPr>
            </w:pPr>
          </w:p>
        </w:tc>
        <w:tc>
          <w:tcPr>
            <w:tcW w:w="2522" w:type="dxa"/>
            <w:vAlign w:val="top"/>
          </w:tcPr>
          <w:p w14:paraId="20CF18DB">
            <w:pPr>
              <w:pStyle w:val="7"/>
              <w:spacing w:before="216" w:line="228" w:lineRule="auto"/>
              <w:ind w:left="567"/>
              <w:rPr>
                <w:sz w:val="19"/>
                <w:szCs w:val="19"/>
              </w:rPr>
            </w:pPr>
            <w:r>
              <w:rPr>
                <w:spacing w:val="8"/>
                <w:sz w:val="19"/>
                <w:szCs w:val="19"/>
              </w:rPr>
              <w:t>社区碳排放核算</w:t>
            </w:r>
          </w:p>
        </w:tc>
        <w:tc>
          <w:tcPr>
            <w:tcW w:w="849" w:type="dxa"/>
            <w:vAlign w:val="top"/>
          </w:tcPr>
          <w:p w14:paraId="320A6D77">
            <w:pPr>
              <w:pStyle w:val="7"/>
              <w:spacing w:before="210" w:line="226" w:lineRule="auto"/>
              <w:ind w:left="376"/>
            </w:pPr>
            <w:r>
              <w:t>/</w:t>
            </w:r>
          </w:p>
        </w:tc>
        <w:tc>
          <w:tcPr>
            <w:tcW w:w="3131" w:type="dxa"/>
            <w:vAlign w:val="top"/>
          </w:tcPr>
          <w:p w14:paraId="42D94940">
            <w:pPr>
              <w:pStyle w:val="7"/>
              <w:spacing w:before="54" w:line="248" w:lineRule="auto"/>
              <w:ind w:left="119" w:right="98" w:firstLine="1"/>
            </w:pPr>
            <w:r>
              <w:rPr>
                <w:spacing w:val="13"/>
              </w:rPr>
              <w:t>具有明确的能源统计及能源管</w:t>
            </w:r>
            <w:r>
              <w:rPr>
                <w:spacing w:val="5"/>
              </w:rPr>
              <w:t xml:space="preserve"> </w:t>
            </w:r>
            <w:r>
              <w:rPr>
                <w:spacing w:val="-1"/>
              </w:rPr>
              <w:t>理、碳排放核算制度</w:t>
            </w:r>
          </w:p>
        </w:tc>
        <w:tc>
          <w:tcPr>
            <w:tcW w:w="1063" w:type="dxa"/>
            <w:vAlign w:val="top"/>
          </w:tcPr>
          <w:p w14:paraId="2898BA53">
            <w:pPr>
              <w:pStyle w:val="7"/>
              <w:spacing w:before="210" w:line="241" w:lineRule="auto"/>
              <w:ind w:left="489"/>
            </w:pPr>
            <w:r>
              <w:t>5</w:t>
            </w:r>
          </w:p>
        </w:tc>
      </w:tr>
      <w:tr w14:paraId="42A6A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729" w:type="dxa"/>
            <w:vMerge w:val="continue"/>
            <w:tcBorders>
              <w:top w:val="nil"/>
            </w:tcBorders>
            <w:vAlign w:val="top"/>
          </w:tcPr>
          <w:p w14:paraId="4362CDC7">
            <w:pPr>
              <w:rPr>
                <w:rFonts w:ascii="Arial"/>
                <w:sz w:val="21"/>
              </w:rPr>
            </w:pPr>
          </w:p>
        </w:tc>
        <w:tc>
          <w:tcPr>
            <w:tcW w:w="2522" w:type="dxa"/>
            <w:vAlign w:val="top"/>
          </w:tcPr>
          <w:p w14:paraId="7302289A">
            <w:pPr>
              <w:pStyle w:val="7"/>
              <w:spacing w:before="219" w:line="228" w:lineRule="auto"/>
              <w:ind w:left="666"/>
              <w:rPr>
                <w:sz w:val="19"/>
                <w:szCs w:val="19"/>
              </w:rPr>
            </w:pPr>
            <w:r>
              <w:rPr>
                <w:spacing w:val="8"/>
                <w:sz w:val="19"/>
                <w:szCs w:val="19"/>
              </w:rPr>
              <w:t>社区信息服务</w:t>
            </w:r>
          </w:p>
        </w:tc>
        <w:tc>
          <w:tcPr>
            <w:tcW w:w="849" w:type="dxa"/>
            <w:vAlign w:val="top"/>
          </w:tcPr>
          <w:p w14:paraId="1D7F210F">
            <w:pPr>
              <w:pStyle w:val="7"/>
              <w:spacing w:before="212" w:line="226" w:lineRule="auto"/>
              <w:ind w:left="376"/>
            </w:pPr>
            <w:r>
              <w:t>/</w:t>
            </w:r>
          </w:p>
        </w:tc>
        <w:tc>
          <w:tcPr>
            <w:tcW w:w="3131" w:type="dxa"/>
            <w:vAlign w:val="top"/>
          </w:tcPr>
          <w:p w14:paraId="490CF7E1">
            <w:pPr>
              <w:pStyle w:val="7"/>
              <w:spacing w:before="56" w:line="248" w:lineRule="auto"/>
              <w:ind w:left="117" w:right="98"/>
            </w:pPr>
            <w:r>
              <w:rPr>
                <w:spacing w:val="13"/>
              </w:rPr>
              <w:t>社区建设有为居民提供生活便</w:t>
            </w:r>
            <w:r>
              <w:rPr>
                <w:spacing w:val="8"/>
              </w:rPr>
              <w:t xml:space="preserve"> </w:t>
            </w:r>
            <w:r>
              <w:rPr>
                <w:spacing w:val="-1"/>
              </w:rPr>
              <w:t>利的公共服务信息的平台</w:t>
            </w:r>
          </w:p>
        </w:tc>
        <w:tc>
          <w:tcPr>
            <w:tcW w:w="1063" w:type="dxa"/>
            <w:vAlign w:val="top"/>
          </w:tcPr>
          <w:p w14:paraId="0563BE57">
            <w:pPr>
              <w:pStyle w:val="7"/>
              <w:spacing w:before="213" w:line="241" w:lineRule="auto"/>
              <w:ind w:left="489"/>
            </w:pPr>
            <w:r>
              <w:t>5</w:t>
            </w:r>
          </w:p>
        </w:tc>
      </w:tr>
      <w:tr w14:paraId="24FBE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729" w:type="dxa"/>
            <w:vMerge w:val="restart"/>
            <w:tcBorders>
              <w:bottom w:val="nil"/>
            </w:tcBorders>
            <w:vAlign w:val="top"/>
          </w:tcPr>
          <w:p w14:paraId="2E1B5F6F">
            <w:pPr>
              <w:spacing w:line="307" w:lineRule="auto"/>
              <w:rPr>
                <w:rFonts w:ascii="Arial"/>
                <w:sz w:val="21"/>
              </w:rPr>
            </w:pPr>
          </w:p>
          <w:p w14:paraId="10054275">
            <w:pPr>
              <w:spacing w:line="307" w:lineRule="auto"/>
              <w:rPr>
                <w:rFonts w:ascii="Arial"/>
                <w:sz w:val="21"/>
              </w:rPr>
            </w:pPr>
          </w:p>
          <w:p w14:paraId="1E3A5B63">
            <w:pPr>
              <w:spacing w:line="307" w:lineRule="auto"/>
              <w:rPr>
                <w:rFonts w:ascii="Arial"/>
                <w:sz w:val="21"/>
              </w:rPr>
            </w:pPr>
          </w:p>
          <w:p w14:paraId="0757EC45">
            <w:pPr>
              <w:pStyle w:val="7"/>
              <w:spacing w:before="68" w:line="221" w:lineRule="auto"/>
              <w:ind w:left="450"/>
            </w:pPr>
            <w:r>
              <w:rPr>
                <w:spacing w:val="-2"/>
              </w:rPr>
              <w:t>零碳生活</w:t>
            </w:r>
          </w:p>
        </w:tc>
        <w:tc>
          <w:tcPr>
            <w:tcW w:w="2522" w:type="dxa"/>
            <w:vAlign w:val="top"/>
          </w:tcPr>
          <w:p w14:paraId="3EBC0A48">
            <w:pPr>
              <w:pStyle w:val="7"/>
              <w:spacing w:before="54" w:line="220" w:lineRule="auto"/>
              <w:ind w:left="220"/>
            </w:pPr>
            <w:r>
              <w:rPr>
                <w:spacing w:val="-1"/>
              </w:rPr>
              <w:t>定期举办碳中和宣传教</w:t>
            </w:r>
          </w:p>
          <w:p w14:paraId="35BB5D71">
            <w:pPr>
              <w:pStyle w:val="7"/>
              <w:spacing w:before="61" w:line="220" w:lineRule="auto"/>
              <w:ind w:left="223"/>
            </w:pPr>
            <w:r>
              <w:rPr>
                <w:spacing w:val="-3"/>
              </w:rPr>
              <w:t>育活动，如讲座、宣传</w:t>
            </w:r>
          </w:p>
          <w:p w14:paraId="0E5076D7">
            <w:pPr>
              <w:pStyle w:val="7"/>
              <w:spacing w:before="61" w:line="221" w:lineRule="auto"/>
              <w:ind w:left="215"/>
            </w:pPr>
            <w:r>
              <w:rPr>
                <w:spacing w:val="-1"/>
              </w:rPr>
              <w:t>栏、发放零碳生活手册</w:t>
            </w:r>
          </w:p>
          <w:p w14:paraId="26A8B1C6">
            <w:pPr>
              <w:pStyle w:val="7"/>
              <w:spacing w:before="60" w:line="221" w:lineRule="auto"/>
              <w:ind w:left="1161"/>
            </w:pPr>
            <w:r>
              <w:t>等</w:t>
            </w:r>
          </w:p>
        </w:tc>
        <w:tc>
          <w:tcPr>
            <w:tcW w:w="849" w:type="dxa"/>
            <w:vAlign w:val="top"/>
          </w:tcPr>
          <w:p w14:paraId="1B211382">
            <w:pPr>
              <w:spacing w:line="451" w:lineRule="auto"/>
              <w:rPr>
                <w:rFonts w:ascii="Arial"/>
                <w:sz w:val="21"/>
              </w:rPr>
            </w:pPr>
          </w:p>
          <w:p w14:paraId="0A05EAB0">
            <w:pPr>
              <w:pStyle w:val="7"/>
              <w:spacing w:before="68" w:line="221" w:lineRule="auto"/>
              <w:ind w:left="172"/>
            </w:pPr>
            <w:r>
              <w:rPr>
                <w:spacing w:val="-4"/>
              </w:rPr>
              <w:t>次/年</w:t>
            </w:r>
          </w:p>
        </w:tc>
        <w:tc>
          <w:tcPr>
            <w:tcW w:w="3131" w:type="dxa"/>
            <w:vAlign w:val="top"/>
          </w:tcPr>
          <w:p w14:paraId="28CEE87A">
            <w:pPr>
              <w:spacing w:line="296" w:lineRule="auto"/>
              <w:rPr>
                <w:rFonts w:ascii="Arial"/>
                <w:sz w:val="21"/>
              </w:rPr>
            </w:pPr>
          </w:p>
          <w:p w14:paraId="76073712">
            <w:pPr>
              <w:pStyle w:val="7"/>
              <w:spacing w:before="68" w:line="276" w:lineRule="auto"/>
              <w:ind w:left="1205" w:right="1138" w:hanging="52"/>
            </w:pPr>
            <w:r>
              <w:rPr>
                <w:spacing w:val="-2"/>
              </w:rPr>
              <w:t>城镇≥12</w:t>
            </w:r>
            <w:r>
              <w:rPr>
                <w:spacing w:val="3"/>
              </w:rPr>
              <w:t xml:space="preserve"> </w:t>
            </w:r>
            <w:r>
              <w:rPr>
                <w:spacing w:val="-2"/>
              </w:rPr>
              <w:t>农村≥4</w:t>
            </w:r>
          </w:p>
        </w:tc>
        <w:tc>
          <w:tcPr>
            <w:tcW w:w="1063" w:type="dxa"/>
            <w:vAlign w:val="top"/>
          </w:tcPr>
          <w:p w14:paraId="357DACCA">
            <w:pPr>
              <w:spacing w:line="451" w:lineRule="auto"/>
              <w:rPr>
                <w:rFonts w:ascii="Arial"/>
                <w:sz w:val="21"/>
              </w:rPr>
            </w:pPr>
          </w:p>
          <w:p w14:paraId="127E5946">
            <w:pPr>
              <w:pStyle w:val="7"/>
              <w:spacing w:before="68" w:line="241" w:lineRule="auto"/>
              <w:ind w:left="489"/>
            </w:pPr>
            <w:r>
              <w:t>5</w:t>
            </w:r>
          </w:p>
        </w:tc>
      </w:tr>
      <w:tr w14:paraId="55892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29" w:type="dxa"/>
            <w:vMerge w:val="continue"/>
            <w:tcBorders>
              <w:top w:val="nil"/>
            </w:tcBorders>
            <w:vAlign w:val="top"/>
          </w:tcPr>
          <w:p w14:paraId="3E4FA7FB">
            <w:pPr>
              <w:rPr>
                <w:rFonts w:ascii="Arial"/>
                <w:sz w:val="21"/>
              </w:rPr>
            </w:pPr>
          </w:p>
        </w:tc>
        <w:tc>
          <w:tcPr>
            <w:tcW w:w="2522" w:type="dxa"/>
            <w:vAlign w:val="top"/>
          </w:tcPr>
          <w:p w14:paraId="3BDA81B9">
            <w:pPr>
              <w:spacing w:line="297" w:lineRule="auto"/>
              <w:rPr>
                <w:rFonts w:ascii="Arial"/>
                <w:sz w:val="21"/>
              </w:rPr>
            </w:pPr>
          </w:p>
          <w:p w14:paraId="019005C9">
            <w:pPr>
              <w:pStyle w:val="7"/>
              <w:spacing w:before="68" w:line="221" w:lineRule="auto"/>
              <w:ind w:left="639"/>
            </w:pPr>
            <w:r>
              <w:rPr>
                <w:spacing w:val="-2"/>
              </w:rPr>
              <w:t>发展循环经济</w:t>
            </w:r>
          </w:p>
        </w:tc>
        <w:tc>
          <w:tcPr>
            <w:tcW w:w="849" w:type="dxa"/>
            <w:vAlign w:val="top"/>
          </w:tcPr>
          <w:p w14:paraId="7F805E7D">
            <w:pPr>
              <w:spacing w:line="297" w:lineRule="auto"/>
              <w:rPr>
                <w:rFonts w:ascii="Arial"/>
                <w:sz w:val="21"/>
              </w:rPr>
            </w:pPr>
          </w:p>
          <w:p w14:paraId="79D9079A">
            <w:pPr>
              <w:pStyle w:val="7"/>
              <w:spacing w:before="68" w:line="226" w:lineRule="auto"/>
              <w:ind w:left="376"/>
            </w:pPr>
            <w:r>
              <w:t>/</w:t>
            </w:r>
          </w:p>
        </w:tc>
        <w:tc>
          <w:tcPr>
            <w:tcW w:w="3131" w:type="dxa"/>
            <w:vAlign w:val="top"/>
          </w:tcPr>
          <w:p w14:paraId="73140490">
            <w:pPr>
              <w:pStyle w:val="7"/>
              <w:spacing w:before="56" w:line="256" w:lineRule="auto"/>
              <w:ind w:left="117" w:right="95"/>
              <w:jc w:val="both"/>
            </w:pPr>
            <w:r>
              <w:rPr>
                <w:spacing w:val="-2"/>
              </w:rPr>
              <w:t>制定社区循环经济的方案，鼓励</w:t>
            </w:r>
            <w:r>
              <w:t xml:space="preserve"> </w:t>
            </w:r>
            <w:r>
              <w:rPr>
                <w:spacing w:val="13"/>
              </w:rPr>
              <w:t>和引导社区内企业（如物业公</w:t>
            </w:r>
            <w:r>
              <w:rPr>
                <w:spacing w:val="9"/>
              </w:rPr>
              <w:t xml:space="preserve"> </w:t>
            </w:r>
            <w:r>
              <w:rPr>
                <w:spacing w:val="-2"/>
              </w:rPr>
              <w:t>司、商超等）发展循环经济。</w:t>
            </w:r>
          </w:p>
        </w:tc>
        <w:tc>
          <w:tcPr>
            <w:tcW w:w="1063" w:type="dxa"/>
            <w:vAlign w:val="top"/>
          </w:tcPr>
          <w:p w14:paraId="5BD0A78D">
            <w:pPr>
              <w:spacing w:line="297" w:lineRule="auto"/>
              <w:rPr>
                <w:rFonts w:ascii="Arial"/>
                <w:sz w:val="21"/>
              </w:rPr>
            </w:pPr>
          </w:p>
          <w:p w14:paraId="6E1BC187">
            <w:pPr>
              <w:pStyle w:val="7"/>
              <w:spacing w:before="68" w:line="241" w:lineRule="auto"/>
              <w:ind w:left="489"/>
            </w:pPr>
            <w:r>
              <w:t>5</w:t>
            </w:r>
          </w:p>
        </w:tc>
      </w:tr>
      <w:tr w14:paraId="5B525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9294" w:type="dxa"/>
            <w:gridSpan w:val="5"/>
            <w:vAlign w:val="top"/>
          </w:tcPr>
          <w:p w14:paraId="04FDE8AC">
            <w:pPr>
              <w:pStyle w:val="7"/>
              <w:spacing w:before="56" w:line="225" w:lineRule="auto"/>
              <w:ind w:left="116"/>
            </w:pPr>
            <w:r>
              <w:rPr>
                <w:spacing w:val="-14"/>
              </w:rPr>
              <w:t>注：</w:t>
            </w:r>
          </w:p>
          <w:p w14:paraId="6942F3B4">
            <w:pPr>
              <w:pStyle w:val="7"/>
              <w:spacing w:before="55" w:line="247" w:lineRule="auto"/>
              <w:ind w:left="536" w:right="143" w:hanging="420"/>
            </w:pPr>
            <w:r>
              <w:t>a)  凡经民政部门审批成立了居民委员会的社区按城镇社区实施评价，由村民委员会所辖的</w:t>
            </w:r>
            <w:r>
              <w:rPr>
                <w:spacing w:val="-1"/>
              </w:rPr>
              <w:t>村按农</w:t>
            </w:r>
            <w:r>
              <w:t xml:space="preserve"> </w:t>
            </w:r>
            <w:r>
              <w:rPr>
                <w:spacing w:val="-1"/>
              </w:rPr>
              <w:t>村社区实施评价。</w:t>
            </w:r>
          </w:p>
          <w:p w14:paraId="4459F391">
            <w:pPr>
              <w:pStyle w:val="7"/>
              <w:spacing w:before="63" w:line="247" w:lineRule="auto"/>
              <w:ind w:left="538" w:right="264" w:hanging="426"/>
            </w:pPr>
            <w:r>
              <w:t>b)  凡居住建筑按照DBJ11 602-2006《居住建筑节能设计标准》或DB11/</w:t>
            </w:r>
            <w:r>
              <w:rPr>
                <w:spacing w:val="-1"/>
              </w:rPr>
              <w:t>891-2012《居住建筑节能</w:t>
            </w:r>
            <w:r>
              <w:t xml:space="preserve"> 设计标准》进行节能设计或改造，并通过验收的</w:t>
            </w:r>
            <w:r>
              <w:rPr>
                <w:spacing w:val="-1"/>
              </w:rPr>
              <w:t>可视为节能建筑。</w:t>
            </w:r>
          </w:p>
        </w:tc>
      </w:tr>
    </w:tbl>
    <w:p w14:paraId="21CEA08F">
      <w:pPr>
        <w:pStyle w:val="2"/>
        <w:spacing w:line="293" w:lineRule="auto"/>
      </w:pPr>
    </w:p>
    <w:p w14:paraId="16F94526">
      <w:pPr>
        <w:spacing w:before="68" w:line="219" w:lineRule="auto"/>
        <w:ind w:left="9"/>
        <w:outlineLvl w:val="1"/>
        <w:rPr>
          <w:rFonts w:ascii="黑体" w:hAnsi="黑体" w:eastAsia="黑体" w:cs="黑体"/>
          <w:sz w:val="21"/>
          <w:szCs w:val="21"/>
        </w:rPr>
      </w:pPr>
      <w:bookmarkStart w:id="27" w:name="bookmark18"/>
      <w:bookmarkEnd w:id="27"/>
      <w:r>
        <w:rPr>
          <w:rFonts w:ascii="黑体" w:hAnsi="黑体" w:eastAsia="黑体" w:cs="黑体"/>
          <w:spacing w:val="-1"/>
          <w:sz w:val="21"/>
          <w:szCs w:val="21"/>
        </w:rPr>
        <w:t>7  碳中和社区评价流程</w:t>
      </w:r>
    </w:p>
    <w:p w14:paraId="3B6775B0">
      <w:pPr>
        <w:pStyle w:val="2"/>
        <w:spacing w:line="304" w:lineRule="auto"/>
      </w:pPr>
    </w:p>
    <w:p w14:paraId="76587069">
      <w:pPr>
        <w:spacing w:before="69" w:line="219" w:lineRule="auto"/>
        <w:ind w:left="9"/>
        <w:outlineLvl w:val="2"/>
        <w:rPr>
          <w:rFonts w:ascii="黑体" w:hAnsi="黑体" w:eastAsia="黑体" w:cs="黑体"/>
          <w:sz w:val="21"/>
          <w:szCs w:val="21"/>
        </w:rPr>
      </w:pPr>
      <w:bookmarkStart w:id="28" w:name="bookmark19"/>
      <w:bookmarkEnd w:id="28"/>
      <w:r>
        <w:rPr>
          <w:rFonts w:ascii="黑体" w:hAnsi="黑体" w:eastAsia="黑体" w:cs="黑体"/>
          <w:spacing w:val="-1"/>
          <w:sz w:val="21"/>
          <w:szCs w:val="21"/>
        </w:rPr>
        <w:t>7.1  评价原则与评价方式</w:t>
      </w:r>
    </w:p>
    <w:p w14:paraId="76B3B2C5">
      <w:pPr>
        <w:spacing w:before="218" w:line="219" w:lineRule="auto"/>
        <w:ind w:left="428"/>
        <w:rPr>
          <w:rFonts w:ascii="宋体" w:hAnsi="宋体" w:eastAsia="宋体" w:cs="宋体"/>
          <w:sz w:val="21"/>
          <w:szCs w:val="21"/>
        </w:rPr>
      </w:pPr>
      <w:r>
        <w:rPr>
          <w:rFonts w:ascii="宋体" w:hAnsi="宋体" w:eastAsia="宋体" w:cs="宋体"/>
          <w:spacing w:val="-1"/>
          <w:sz w:val="21"/>
          <w:szCs w:val="21"/>
        </w:rPr>
        <w:t>碳中和社区评价应坚持可测量、可报告、可核查的原则。</w:t>
      </w:r>
    </w:p>
    <w:p w14:paraId="16A2927C">
      <w:pPr>
        <w:spacing w:before="61" w:line="275" w:lineRule="auto"/>
        <w:ind w:left="10" w:firstLine="417"/>
        <w:rPr>
          <w:rFonts w:ascii="宋体" w:hAnsi="宋体" w:eastAsia="宋体" w:cs="宋体"/>
          <w:sz w:val="21"/>
          <w:szCs w:val="21"/>
        </w:rPr>
      </w:pPr>
      <w:r>
        <w:rPr>
          <w:rFonts w:ascii="宋体" w:hAnsi="宋体" w:eastAsia="宋体" w:cs="宋体"/>
          <w:spacing w:val="-4"/>
          <w:sz w:val="21"/>
          <w:szCs w:val="21"/>
        </w:rPr>
        <w:t>碳中和社区评价以碳排放情况、社区建筑、社区公共设施、能源使用、水资源利用、固体废弃物处</w:t>
      </w:r>
      <w:r>
        <w:rPr>
          <w:rFonts w:ascii="宋体" w:hAnsi="宋体" w:eastAsia="宋体" w:cs="宋体"/>
          <w:spacing w:val="13"/>
          <w:sz w:val="21"/>
          <w:szCs w:val="21"/>
        </w:rPr>
        <w:t xml:space="preserve"> </w:t>
      </w:r>
      <w:r>
        <w:rPr>
          <w:rFonts w:ascii="宋体" w:hAnsi="宋体" w:eastAsia="宋体" w:cs="宋体"/>
          <w:spacing w:val="-1"/>
          <w:sz w:val="21"/>
          <w:szCs w:val="21"/>
        </w:rPr>
        <w:t>理、社区运营与治理、零碳生活等</w:t>
      </w:r>
      <w:r>
        <w:rPr>
          <w:rFonts w:ascii="宋体" w:hAnsi="宋体" w:eastAsia="宋体" w:cs="宋体"/>
          <w:spacing w:val="-40"/>
          <w:sz w:val="21"/>
          <w:szCs w:val="21"/>
        </w:rPr>
        <w:t xml:space="preserve"> </w:t>
      </w:r>
      <w:r>
        <w:rPr>
          <w:rFonts w:ascii="Times New Roman" w:hAnsi="Times New Roman" w:eastAsia="Times New Roman" w:cs="Times New Roman"/>
          <w:spacing w:val="-1"/>
          <w:sz w:val="21"/>
          <w:szCs w:val="21"/>
        </w:rPr>
        <w:t xml:space="preserve">8 </w:t>
      </w:r>
      <w:r>
        <w:rPr>
          <w:rFonts w:ascii="宋体" w:hAnsi="宋体" w:eastAsia="宋体" w:cs="宋体"/>
          <w:spacing w:val="-1"/>
          <w:sz w:val="21"/>
          <w:szCs w:val="21"/>
        </w:rPr>
        <w:t>个方面为主</w:t>
      </w:r>
      <w:r>
        <w:rPr>
          <w:rFonts w:ascii="宋体" w:hAnsi="宋体" w:eastAsia="宋体" w:cs="宋体"/>
          <w:spacing w:val="-2"/>
          <w:sz w:val="21"/>
          <w:szCs w:val="21"/>
        </w:rPr>
        <w:t>要评价内容。</w:t>
      </w:r>
    </w:p>
    <w:p w14:paraId="3CA58693">
      <w:pPr>
        <w:spacing w:before="1" w:line="275" w:lineRule="auto"/>
        <w:ind w:left="25" w:firstLine="402"/>
        <w:rPr>
          <w:rFonts w:ascii="宋体" w:hAnsi="宋体" w:eastAsia="宋体" w:cs="宋体"/>
          <w:sz w:val="21"/>
          <w:szCs w:val="21"/>
        </w:rPr>
      </w:pPr>
      <w:r>
        <w:rPr>
          <w:rFonts w:ascii="宋体" w:hAnsi="宋体" w:eastAsia="宋体" w:cs="宋体"/>
          <w:spacing w:val="1"/>
          <w:sz w:val="21"/>
          <w:szCs w:val="21"/>
        </w:rPr>
        <w:t>碳中和社区评价可由一方、二方或三方组织实施。当评价结果用于对外宣告时，则应由独立公正</w:t>
      </w:r>
      <w:r>
        <w:rPr>
          <w:rFonts w:ascii="宋体" w:hAnsi="宋体" w:eastAsia="宋体" w:cs="宋体"/>
          <w:spacing w:val="9"/>
          <w:sz w:val="21"/>
          <w:szCs w:val="21"/>
        </w:rPr>
        <w:t xml:space="preserve"> </w:t>
      </w:r>
      <w:bookmarkStart w:id="29" w:name="bookmark20"/>
      <w:bookmarkEnd w:id="29"/>
      <w:r>
        <w:rPr>
          <w:rFonts w:ascii="宋体" w:hAnsi="宋体" w:eastAsia="宋体" w:cs="宋体"/>
          <w:spacing w:val="-2"/>
          <w:sz w:val="21"/>
          <w:szCs w:val="21"/>
        </w:rPr>
        <w:t>的、具备相应评价能力的第三方评价。</w:t>
      </w:r>
    </w:p>
    <w:p w14:paraId="64769FDE">
      <w:pPr>
        <w:spacing w:before="153" w:line="219" w:lineRule="auto"/>
        <w:ind w:left="9"/>
        <w:outlineLvl w:val="2"/>
        <w:rPr>
          <w:rFonts w:ascii="黑体" w:hAnsi="黑体" w:eastAsia="黑体" w:cs="黑体"/>
          <w:sz w:val="21"/>
          <w:szCs w:val="21"/>
        </w:rPr>
      </w:pPr>
      <w:bookmarkStart w:id="30" w:name="bookmark33"/>
      <w:bookmarkEnd w:id="30"/>
      <w:r>
        <w:rPr>
          <w:rFonts w:ascii="黑体" w:hAnsi="黑体" w:eastAsia="黑体" w:cs="黑体"/>
          <w:spacing w:val="-1"/>
          <w:sz w:val="21"/>
          <w:szCs w:val="21"/>
        </w:rPr>
        <w:t>7.2  评价流程</w:t>
      </w:r>
    </w:p>
    <w:p w14:paraId="0C71A3FA">
      <w:pPr>
        <w:spacing w:before="219" w:line="220" w:lineRule="auto"/>
        <w:ind w:left="6"/>
        <w:rPr>
          <w:rFonts w:ascii="黑体" w:hAnsi="黑体" w:eastAsia="黑体" w:cs="黑体"/>
          <w:sz w:val="21"/>
          <w:szCs w:val="21"/>
        </w:rPr>
      </w:pPr>
      <w:r>
        <w:rPr>
          <w:rFonts w:ascii="黑体" w:hAnsi="黑体" w:eastAsia="黑体" w:cs="黑体"/>
          <w:spacing w:val="-1"/>
          <w:sz w:val="21"/>
          <w:szCs w:val="21"/>
        </w:rPr>
        <w:t>7.2.1  评价申请和受理</w:t>
      </w:r>
    </w:p>
    <w:p w14:paraId="34936C99">
      <w:pPr>
        <w:spacing w:before="218" w:line="276" w:lineRule="auto"/>
        <w:ind w:left="7" w:firstLine="422"/>
        <w:rPr>
          <w:rFonts w:ascii="宋体" w:hAnsi="宋体" w:eastAsia="宋体" w:cs="宋体"/>
          <w:sz w:val="21"/>
          <w:szCs w:val="21"/>
        </w:rPr>
      </w:pPr>
      <w:r>
        <w:rPr>
          <w:rFonts w:ascii="宋体" w:hAnsi="宋体" w:eastAsia="宋体" w:cs="宋体"/>
          <w:sz w:val="21"/>
          <w:szCs w:val="21"/>
        </w:rPr>
        <w:t>社区提交碳中和评价申请书及满足基本要求的证明材料，</w:t>
      </w:r>
      <w:r>
        <w:rPr>
          <w:rFonts w:ascii="宋体" w:hAnsi="宋体" w:eastAsia="宋体" w:cs="宋体"/>
          <w:spacing w:val="-55"/>
          <w:sz w:val="21"/>
          <w:szCs w:val="21"/>
        </w:rPr>
        <w:t xml:space="preserve"> </w:t>
      </w:r>
      <w:r>
        <w:rPr>
          <w:rFonts w:ascii="宋体" w:hAnsi="宋体" w:eastAsia="宋体" w:cs="宋体"/>
          <w:sz w:val="21"/>
          <w:szCs w:val="21"/>
        </w:rPr>
        <w:t>由经中国能源研究会授权的评价机构根 据本文件要求对企业提交的申请文件和材料的完整性进行评</w:t>
      </w:r>
      <w:r>
        <w:rPr>
          <w:rFonts w:ascii="宋体" w:hAnsi="宋体" w:eastAsia="宋体" w:cs="宋体"/>
          <w:spacing w:val="-1"/>
          <w:sz w:val="21"/>
          <w:szCs w:val="21"/>
        </w:rPr>
        <w:t>审。</w:t>
      </w:r>
    </w:p>
    <w:p w14:paraId="300627E8">
      <w:pPr>
        <w:spacing w:before="152" w:line="220" w:lineRule="auto"/>
        <w:ind w:left="6"/>
        <w:rPr>
          <w:rFonts w:ascii="黑体" w:hAnsi="黑体" w:eastAsia="黑体" w:cs="黑体"/>
          <w:sz w:val="21"/>
          <w:szCs w:val="21"/>
        </w:rPr>
      </w:pPr>
      <w:r>
        <w:rPr>
          <w:rFonts w:ascii="黑体" w:hAnsi="黑体" w:eastAsia="黑体" w:cs="黑体"/>
          <w:spacing w:val="-1"/>
          <w:sz w:val="21"/>
          <w:szCs w:val="21"/>
        </w:rPr>
        <w:t>7.2.2  文件审核</w:t>
      </w:r>
    </w:p>
    <w:p w14:paraId="65BC61D5">
      <w:pPr>
        <w:spacing w:before="218" w:line="219" w:lineRule="auto"/>
        <w:ind w:left="427"/>
        <w:rPr>
          <w:rFonts w:ascii="宋体" w:hAnsi="宋体" w:eastAsia="宋体" w:cs="宋体"/>
          <w:sz w:val="21"/>
          <w:szCs w:val="21"/>
        </w:rPr>
      </w:pPr>
      <w:r>
        <w:rPr>
          <w:rFonts w:ascii="宋体" w:hAnsi="宋体" w:eastAsia="宋体" w:cs="宋体"/>
          <w:sz w:val="21"/>
          <w:szCs w:val="21"/>
        </w:rPr>
        <w:t>评价方依据本文件对社区提交材料的适宜性和符合性进行审</w:t>
      </w:r>
      <w:r>
        <w:rPr>
          <w:rFonts w:ascii="宋体" w:hAnsi="宋体" w:eastAsia="宋体" w:cs="宋体"/>
          <w:spacing w:val="-1"/>
          <w:sz w:val="21"/>
          <w:szCs w:val="21"/>
        </w:rPr>
        <w:t>查。</w:t>
      </w:r>
    </w:p>
    <w:p w14:paraId="153B9C5F">
      <w:pPr>
        <w:spacing w:line="219" w:lineRule="auto"/>
        <w:rPr>
          <w:rFonts w:ascii="宋体" w:hAnsi="宋体" w:eastAsia="宋体" w:cs="宋体"/>
          <w:sz w:val="21"/>
          <w:szCs w:val="21"/>
        </w:rPr>
        <w:sectPr>
          <w:headerReference r:id="rId19" w:type="default"/>
          <w:footerReference r:id="rId20" w:type="default"/>
          <w:pgSz w:w="11907" w:h="16839"/>
          <w:pgMar w:top="1178" w:right="1301" w:bottom="1648" w:left="1303" w:header="880" w:footer="1448" w:gutter="0"/>
          <w:cols w:space="720" w:num="1"/>
        </w:sectPr>
      </w:pPr>
    </w:p>
    <w:p w14:paraId="75438B95">
      <w:pPr>
        <w:spacing w:before="24" w:line="220" w:lineRule="auto"/>
        <w:rPr>
          <w:rFonts w:ascii="黑体" w:hAnsi="黑体" w:eastAsia="黑体" w:cs="黑体"/>
          <w:sz w:val="21"/>
          <w:szCs w:val="21"/>
        </w:rPr>
      </w:pPr>
      <w:r>
        <w:rPr>
          <w:rFonts w:ascii="黑体" w:hAnsi="黑体" w:eastAsia="黑体" w:cs="黑体"/>
          <w:spacing w:val="-1"/>
          <w:sz w:val="21"/>
          <w:szCs w:val="21"/>
        </w:rPr>
        <w:t>7.2.3  现场审核</w:t>
      </w:r>
    </w:p>
    <w:p w14:paraId="7BCD357F">
      <w:pPr>
        <w:spacing w:before="218" w:line="220" w:lineRule="auto"/>
        <w:ind w:left="421"/>
        <w:rPr>
          <w:rFonts w:ascii="宋体" w:hAnsi="宋体" w:eastAsia="宋体" w:cs="宋体"/>
          <w:sz w:val="21"/>
          <w:szCs w:val="21"/>
        </w:rPr>
      </w:pPr>
      <w:r>
        <w:rPr>
          <w:rFonts w:ascii="宋体" w:hAnsi="宋体" w:eastAsia="宋体" w:cs="宋体"/>
          <w:spacing w:val="-1"/>
          <w:sz w:val="21"/>
          <w:szCs w:val="21"/>
        </w:rPr>
        <w:t>在现场采集和验证信息，现场审核的内容：</w:t>
      </w:r>
    </w:p>
    <w:p w14:paraId="759A0E75">
      <w:pPr>
        <w:spacing w:before="62" w:line="219" w:lineRule="auto"/>
        <w:ind w:left="423"/>
        <w:rPr>
          <w:rFonts w:ascii="宋体" w:hAnsi="宋体" w:eastAsia="宋体" w:cs="宋体"/>
          <w:sz w:val="21"/>
          <w:szCs w:val="21"/>
        </w:rPr>
      </w:pPr>
      <w:r>
        <w:rPr>
          <w:rFonts w:ascii="宋体" w:hAnsi="宋体" w:eastAsia="宋体" w:cs="宋体"/>
          <w:spacing w:val="-3"/>
          <w:sz w:val="21"/>
          <w:szCs w:val="21"/>
        </w:rPr>
        <w:t>a）核实各项评价要求的符合性；</w:t>
      </w:r>
    </w:p>
    <w:p w14:paraId="4336D1A6">
      <w:pPr>
        <w:spacing w:before="62" w:line="221" w:lineRule="auto"/>
        <w:ind w:left="419"/>
        <w:rPr>
          <w:rFonts w:ascii="宋体" w:hAnsi="宋体" w:eastAsia="宋体" w:cs="宋体"/>
          <w:sz w:val="21"/>
          <w:szCs w:val="21"/>
        </w:rPr>
      </w:pPr>
      <w:r>
        <w:rPr>
          <w:rFonts w:ascii="宋体" w:hAnsi="宋体" w:eastAsia="宋体" w:cs="宋体"/>
          <w:spacing w:val="-2"/>
          <w:sz w:val="21"/>
          <w:szCs w:val="21"/>
        </w:rPr>
        <w:t>b）验证碳排放量核算的准确性；</w:t>
      </w:r>
    </w:p>
    <w:p w14:paraId="3F1B198A">
      <w:pPr>
        <w:spacing w:before="61" w:line="221" w:lineRule="auto"/>
        <w:ind w:left="426"/>
        <w:rPr>
          <w:rFonts w:ascii="宋体" w:hAnsi="宋体" w:eastAsia="宋体" w:cs="宋体"/>
          <w:sz w:val="21"/>
          <w:szCs w:val="21"/>
        </w:rPr>
      </w:pPr>
      <w:r>
        <w:rPr>
          <w:rFonts w:ascii="宋体" w:hAnsi="宋体" w:eastAsia="宋体" w:cs="宋体"/>
          <w:spacing w:val="-1"/>
          <w:sz w:val="21"/>
          <w:szCs w:val="21"/>
        </w:rPr>
        <w:t>c）验证碳减排和碳抵消结果的有效性和准</w:t>
      </w:r>
      <w:r>
        <w:rPr>
          <w:rFonts w:ascii="宋体" w:hAnsi="宋体" w:eastAsia="宋体" w:cs="宋体"/>
          <w:spacing w:val="-2"/>
          <w:sz w:val="21"/>
          <w:szCs w:val="21"/>
        </w:rPr>
        <w:t>确性。</w:t>
      </w:r>
    </w:p>
    <w:p w14:paraId="6AC4D509">
      <w:pPr>
        <w:pStyle w:val="2"/>
        <w:spacing w:line="457" w:lineRule="auto"/>
      </w:pPr>
    </w:p>
    <w:p w14:paraId="033A4892">
      <w:pPr>
        <w:spacing w:before="68" w:line="220" w:lineRule="auto"/>
        <w:rPr>
          <w:rFonts w:ascii="黑体" w:hAnsi="黑体" w:eastAsia="黑体" w:cs="黑体"/>
          <w:sz w:val="21"/>
          <w:szCs w:val="21"/>
        </w:rPr>
      </w:pPr>
      <w:r>
        <w:rPr>
          <w:rFonts w:ascii="黑体" w:hAnsi="黑体" w:eastAsia="黑体" w:cs="黑体"/>
          <w:spacing w:val="-1"/>
          <w:sz w:val="21"/>
          <w:szCs w:val="21"/>
        </w:rPr>
        <w:t>7.2.4  评价结果与批准</w:t>
      </w:r>
    </w:p>
    <w:p w14:paraId="57FF96C9">
      <w:pPr>
        <w:spacing w:before="218" w:line="219" w:lineRule="auto"/>
        <w:ind w:left="422"/>
        <w:rPr>
          <w:rFonts w:ascii="宋体" w:hAnsi="宋体" w:eastAsia="宋体" w:cs="宋体"/>
          <w:sz w:val="21"/>
          <w:szCs w:val="21"/>
        </w:rPr>
      </w:pPr>
      <w:r>
        <w:rPr>
          <w:rFonts w:ascii="宋体" w:hAnsi="宋体" w:eastAsia="宋体" w:cs="宋体"/>
          <w:spacing w:val="-1"/>
          <w:sz w:val="21"/>
          <w:szCs w:val="21"/>
        </w:rPr>
        <w:t>根据审核发现出具碳中和评价报告，至少包括：</w:t>
      </w:r>
    </w:p>
    <w:p w14:paraId="3DB7640E">
      <w:pPr>
        <w:spacing w:before="62" w:line="220" w:lineRule="auto"/>
        <w:ind w:left="423"/>
        <w:rPr>
          <w:rFonts w:ascii="宋体" w:hAnsi="宋体" w:eastAsia="宋体" w:cs="宋体"/>
          <w:sz w:val="21"/>
          <w:szCs w:val="21"/>
        </w:rPr>
      </w:pPr>
      <w:r>
        <w:rPr>
          <w:rFonts w:ascii="宋体" w:hAnsi="宋体" w:eastAsia="宋体" w:cs="宋体"/>
          <w:spacing w:val="-3"/>
          <w:sz w:val="21"/>
          <w:szCs w:val="21"/>
        </w:rPr>
        <w:t>a）社区基本信息及碳中和承诺；</w:t>
      </w:r>
    </w:p>
    <w:p w14:paraId="1DFB3316">
      <w:pPr>
        <w:spacing w:before="61" w:line="221" w:lineRule="auto"/>
        <w:ind w:left="419"/>
        <w:rPr>
          <w:rFonts w:ascii="宋体" w:hAnsi="宋体" w:eastAsia="宋体" w:cs="宋体"/>
          <w:sz w:val="21"/>
          <w:szCs w:val="21"/>
        </w:rPr>
      </w:pPr>
      <w:r>
        <w:rPr>
          <w:rFonts w:ascii="宋体" w:hAnsi="宋体" w:eastAsia="宋体" w:cs="宋体"/>
          <w:spacing w:val="-1"/>
          <w:sz w:val="21"/>
          <w:szCs w:val="21"/>
        </w:rPr>
        <w:t>b）企业温室气体核算边界和排放量；</w:t>
      </w:r>
    </w:p>
    <w:p w14:paraId="2888E60A">
      <w:pPr>
        <w:spacing w:before="62" w:line="221" w:lineRule="auto"/>
        <w:ind w:left="426"/>
        <w:rPr>
          <w:rFonts w:ascii="宋体" w:hAnsi="宋体" w:eastAsia="宋体" w:cs="宋体"/>
          <w:sz w:val="21"/>
          <w:szCs w:val="21"/>
        </w:rPr>
      </w:pPr>
      <w:r>
        <w:rPr>
          <w:rFonts w:ascii="宋体" w:hAnsi="宋体" w:eastAsia="宋体" w:cs="宋体"/>
          <w:spacing w:val="-2"/>
          <w:sz w:val="21"/>
          <w:szCs w:val="21"/>
        </w:rPr>
        <w:t>c）实现碳中和覆盖的时间段（年度</w:t>
      </w:r>
      <w:r>
        <w:rPr>
          <w:rFonts w:ascii="宋体" w:hAnsi="宋体" w:eastAsia="宋体" w:cs="宋体"/>
          <w:spacing w:val="-5"/>
          <w:sz w:val="21"/>
          <w:szCs w:val="21"/>
        </w:rPr>
        <w:t>）；</w:t>
      </w:r>
    </w:p>
    <w:p w14:paraId="2E77E740">
      <w:pPr>
        <w:spacing w:before="61" w:line="221" w:lineRule="auto"/>
        <w:ind w:left="426"/>
        <w:rPr>
          <w:rFonts w:ascii="宋体" w:hAnsi="宋体" w:eastAsia="宋体" w:cs="宋体"/>
          <w:sz w:val="21"/>
          <w:szCs w:val="21"/>
        </w:rPr>
      </w:pPr>
      <w:r>
        <w:rPr>
          <w:rFonts w:ascii="宋体" w:hAnsi="宋体" w:eastAsia="宋体" w:cs="宋体"/>
          <w:spacing w:val="-2"/>
          <w:sz w:val="21"/>
          <w:szCs w:val="21"/>
        </w:rPr>
        <w:t>d）温室气体的减排策略、阶段性减排目标实现情况；</w:t>
      </w:r>
    </w:p>
    <w:p w14:paraId="0A62C586">
      <w:pPr>
        <w:spacing w:before="61" w:line="221" w:lineRule="auto"/>
        <w:ind w:left="427"/>
        <w:rPr>
          <w:rFonts w:ascii="宋体" w:hAnsi="宋体" w:eastAsia="宋体" w:cs="宋体"/>
          <w:sz w:val="21"/>
          <w:szCs w:val="21"/>
        </w:rPr>
      </w:pPr>
      <w:r>
        <w:rPr>
          <w:rFonts w:ascii="宋体" w:hAnsi="宋体" w:eastAsia="宋体" w:cs="宋体"/>
          <w:spacing w:val="-3"/>
          <w:sz w:val="21"/>
          <w:szCs w:val="21"/>
        </w:rPr>
        <w:t>e）温室气体的抵消方式及抵消量；</w:t>
      </w:r>
    </w:p>
    <w:p w14:paraId="2835FE36">
      <w:pPr>
        <w:spacing w:before="60" w:line="219" w:lineRule="auto"/>
        <w:ind w:left="425"/>
        <w:rPr>
          <w:rFonts w:ascii="宋体" w:hAnsi="宋体" w:eastAsia="宋体" w:cs="宋体"/>
          <w:sz w:val="21"/>
          <w:szCs w:val="21"/>
        </w:rPr>
      </w:pPr>
      <w:r>
        <w:rPr>
          <w:rFonts w:ascii="宋体" w:hAnsi="宋体" w:eastAsia="宋体" w:cs="宋体"/>
          <w:spacing w:val="-2"/>
          <w:sz w:val="21"/>
          <w:szCs w:val="21"/>
        </w:rPr>
        <w:t>f）评价结论。</w:t>
      </w:r>
    </w:p>
    <w:p w14:paraId="1BD9D36B">
      <w:pPr>
        <w:spacing w:before="63" w:line="219" w:lineRule="auto"/>
        <w:ind w:left="422"/>
        <w:rPr>
          <w:rFonts w:ascii="宋体" w:hAnsi="宋体" w:eastAsia="宋体" w:cs="宋体"/>
          <w:sz w:val="21"/>
          <w:szCs w:val="21"/>
        </w:rPr>
      </w:pPr>
      <w:r>
        <w:rPr>
          <w:rFonts w:ascii="宋体" w:hAnsi="宋体" w:eastAsia="宋体" w:cs="宋体"/>
          <w:sz w:val="21"/>
          <w:szCs w:val="21"/>
        </w:rPr>
        <w:t>通过碳中和第三方评价的社区，可获得相应等级的碳中和评价</w:t>
      </w:r>
      <w:r>
        <w:rPr>
          <w:rFonts w:ascii="宋体" w:hAnsi="宋体" w:eastAsia="宋体" w:cs="宋体"/>
          <w:spacing w:val="-1"/>
          <w:sz w:val="21"/>
          <w:szCs w:val="21"/>
        </w:rPr>
        <w:t>证书。</w:t>
      </w:r>
    </w:p>
    <w:p w14:paraId="5ED945FC">
      <w:pPr>
        <w:spacing w:before="219" w:line="219" w:lineRule="auto"/>
        <w:rPr>
          <w:rFonts w:ascii="黑体" w:hAnsi="黑体" w:eastAsia="黑体" w:cs="黑体"/>
          <w:sz w:val="21"/>
          <w:szCs w:val="21"/>
        </w:rPr>
      </w:pPr>
      <w:r>
        <w:rPr>
          <w:rFonts w:ascii="黑体" w:hAnsi="黑体" w:eastAsia="黑体" w:cs="黑体"/>
          <w:spacing w:val="-1"/>
          <w:sz w:val="21"/>
          <w:szCs w:val="21"/>
        </w:rPr>
        <w:t>7.2.5  持续改进与监督</w:t>
      </w:r>
    </w:p>
    <w:p w14:paraId="429DF83A">
      <w:pPr>
        <w:spacing w:before="218" w:line="276" w:lineRule="auto"/>
        <w:ind w:left="2" w:right="2" w:firstLine="421"/>
        <w:rPr>
          <w:rFonts w:ascii="宋体" w:hAnsi="宋体" w:eastAsia="宋体" w:cs="宋体"/>
          <w:sz w:val="21"/>
          <w:szCs w:val="21"/>
        </w:rPr>
      </w:pPr>
      <w:r>
        <w:rPr>
          <w:rFonts w:ascii="宋体" w:hAnsi="宋体" w:eastAsia="宋体" w:cs="宋体"/>
          <w:spacing w:val="1"/>
          <w:sz w:val="21"/>
          <w:szCs w:val="21"/>
        </w:rPr>
        <w:t>社区宜持续改进温室气体管理情况，持续保持和改进社区碳中和状态。评价机构对获证社区制定</w:t>
      </w:r>
      <w:r>
        <w:rPr>
          <w:rFonts w:ascii="宋体" w:hAnsi="宋体" w:eastAsia="宋体" w:cs="宋体"/>
          <w:spacing w:val="8"/>
          <w:sz w:val="21"/>
          <w:szCs w:val="21"/>
        </w:rPr>
        <w:t xml:space="preserve"> </w:t>
      </w:r>
      <w:bookmarkStart w:id="31" w:name="bookmark21"/>
      <w:bookmarkEnd w:id="31"/>
      <w:r>
        <w:rPr>
          <w:rFonts w:ascii="宋体" w:hAnsi="宋体" w:eastAsia="宋体" w:cs="宋体"/>
          <w:sz w:val="21"/>
          <w:szCs w:val="21"/>
        </w:rPr>
        <w:t>针对性的监督审核方案，保证社区碳中和证书的</w:t>
      </w:r>
      <w:r>
        <w:rPr>
          <w:rFonts w:ascii="宋体" w:hAnsi="宋体" w:eastAsia="宋体" w:cs="宋体"/>
          <w:spacing w:val="-1"/>
          <w:sz w:val="21"/>
          <w:szCs w:val="21"/>
        </w:rPr>
        <w:t>有效性。</w:t>
      </w:r>
    </w:p>
    <w:p w14:paraId="4FAADFC1">
      <w:pPr>
        <w:spacing w:before="309" w:line="219" w:lineRule="auto"/>
        <w:outlineLvl w:val="1"/>
        <w:rPr>
          <w:rFonts w:ascii="黑体" w:hAnsi="黑体" w:eastAsia="黑体" w:cs="黑体"/>
          <w:sz w:val="21"/>
          <w:szCs w:val="21"/>
        </w:rPr>
      </w:pPr>
      <w:bookmarkStart w:id="32" w:name="bookmark34"/>
      <w:bookmarkEnd w:id="32"/>
      <w:r>
        <w:rPr>
          <w:rFonts w:ascii="黑体" w:hAnsi="黑体" w:eastAsia="黑体" w:cs="黑体"/>
          <w:spacing w:val="-1"/>
          <w:sz w:val="21"/>
          <w:szCs w:val="21"/>
        </w:rPr>
        <w:t>8  碳中和社区评价结果</w:t>
      </w:r>
    </w:p>
    <w:p w14:paraId="7E88FCF0">
      <w:pPr>
        <w:pStyle w:val="2"/>
        <w:spacing w:line="303" w:lineRule="auto"/>
      </w:pPr>
    </w:p>
    <w:p w14:paraId="29FC1EA2">
      <w:pPr>
        <w:spacing w:before="69" w:line="272" w:lineRule="auto"/>
        <w:ind w:left="2" w:firstLine="421"/>
        <w:jc w:val="both"/>
        <w:rPr>
          <w:rFonts w:ascii="宋体" w:hAnsi="宋体" w:eastAsia="宋体" w:cs="宋体"/>
          <w:sz w:val="21"/>
          <w:szCs w:val="21"/>
        </w:rPr>
      </w:pPr>
      <w:r>
        <w:rPr>
          <w:rFonts w:ascii="宋体" w:hAnsi="宋体" w:eastAsia="宋体" w:cs="宋体"/>
          <w:spacing w:val="-2"/>
          <w:sz w:val="21"/>
          <w:szCs w:val="21"/>
        </w:rPr>
        <w:t>社区在完成碳中和社区建设评价后，可委托有能力的第三方机构对照附录</w:t>
      </w:r>
      <w:r>
        <w:rPr>
          <w:rFonts w:ascii="Times New Roman" w:hAnsi="Times New Roman" w:eastAsia="Times New Roman" w:cs="Times New Roman"/>
          <w:spacing w:val="-2"/>
          <w:sz w:val="21"/>
          <w:szCs w:val="21"/>
        </w:rPr>
        <w:t>B</w:t>
      </w:r>
      <w:r>
        <w:rPr>
          <w:rFonts w:ascii="宋体" w:hAnsi="宋体" w:eastAsia="宋体" w:cs="宋体"/>
          <w:spacing w:val="-2"/>
          <w:sz w:val="21"/>
          <w:szCs w:val="21"/>
        </w:rPr>
        <w:t>进行打分评级</w:t>
      </w:r>
      <w:r>
        <w:rPr>
          <w:rFonts w:ascii="宋体" w:hAnsi="宋体" w:eastAsia="宋体" w:cs="宋体"/>
          <w:spacing w:val="-3"/>
          <w:sz w:val="21"/>
          <w:szCs w:val="21"/>
        </w:rPr>
        <w:t>。本文件</w:t>
      </w:r>
      <w:r>
        <w:rPr>
          <w:rFonts w:ascii="宋体" w:hAnsi="宋体" w:eastAsia="宋体" w:cs="宋体"/>
          <w:sz w:val="21"/>
          <w:szCs w:val="21"/>
        </w:rPr>
        <w:t xml:space="preserve"> </w:t>
      </w:r>
      <w:r>
        <w:rPr>
          <w:rFonts w:ascii="宋体" w:hAnsi="宋体" w:eastAsia="宋体" w:cs="宋体"/>
          <w:spacing w:val="1"/>
          <w:sz w:val="21"/>
          <w:szCs w:val="21"/>
        </w:rPr>
        <w:t>根据社区发展的阶段特征及各个评价指标累加值，将碳中和社区分为</w:t>
      </w:r>
      <w:r>
        <w:rPr>
          <w:rFonts w:ascii="Times New Roman" w:hAnsi="Times New Roman" w:eastAsia="Times New Roman" w:cs="Times New Roman"/>
          <w:spacing w:val="1"/>
          <w:sz w:val="21"/>
          <w:szCs w:val="21"/>
        </w:rPr>
        <w:t>5</w:t>
      </w:r>
      <w:r>
        <w:rPr>
          <w:rFonts w:ascii="宋体" w:hAnsi="宋体" w:eastAsia="宋体" w:cs="宋体"/>
          <w:spacing w:val="1"/>
          <w:sz w:val="21"/>
          <w:szCs w:val="21"/>
        </w:rPr>
        <w:t>个阶段，对应</w:t>
      </w:r>
      <w:r>
        <w:rPr>
          <w:rFonts w:ascii="Times New Roman" w:hAnsi="Times New Roman" w:eastAsia="Times New Roman" w:cs="Times New Roman"/>
          <w:spacing w:val="1"/>
          <w:sz w:val="21"/>
          <w:szCs w:val="21"/>
        </w:rPr>
        <w:t>5</w:t>
      </w:r>
      <w:r>
        <w:rPr>
          <w:rFonts w:ascii="宋体" w:hAnsi="宋体" w:eastAsia="宋体" w:cs="宋体"/>
          <w:spacing w:val="1"/>
          <w:sz w:val="21"/>
          <w:szCs w:val="21"/>
        </w:rPr>
        <w:t>个级</w:t>
      </w:r>
      <w:r>
        <w:rPr>
          <w:rFonts w:ascii="宋体" w:hAnsi="宋体" w:eastAsia="宋体" w:cs="宋体"/>
          <w:sz w:val="21"/>
          <w:szCs w:val="21"/>
        </w:rPr>
        <w:t>别（须不低 于该级别的评价分值要求和抵消比例要求</w:t>
      </w:r>
      <w:r>
        <w:rPr>
          <w:rFonts w:ascii="宋体" w:hAnsi="宋体" w:eastAsia="宋体" w:cs="宋体"/>
          <w:spacing w:val="5"/>
          <w:sz w:val="21"/>
          <w:szCs w:val="21"/>
        </w:rPr>
        <w:t>），</w:t>
      </w:r>
      <w:r>
        <w:rPr>
          <w:rFonts w:ascii="宋体" w:hAnsi="宋体" w:eastAsia="宋体" w:cs="宋体"/>
          <w:sz w:val="21"/>
          <w:szCs w:val="21"/>
        </w:rPr>
        <w:t>分别</w:t>
      </w:r>
      <w:r>
        <w:rPr>
          <w:rFonts w:ascii="Times New Roman" w:hAnsi="Times New Roman" w:eastAsia="Times New Roman" w:cs="Times New Roman"/>
          <w:sz w:val="21"/>
          <w:szCs w:val="21"/>
        </w:rPr>
        <w:t>AAA</w:t>
      </w:r>
      <w:r>
        <w:rPr>
          <w:rFonts w:ascii="宋体" w:hAnsi="宋体" w:eastAsia="宋体" w:cs="宋体"/>
          <w:sz w:val="21"/>
          <w:szCs w:val="21"/>
        </w:rPr>
        <w:t>级</w:t>
      </w:r>
      <w:r>
        <w:rPr>
          <w:rFonts w:ascii="宋体" w:hAnsi="宋体" w:eastAsia="宋体" w:cs="宋体"/>
          <w:spacing w:val="-1"/>
          <w:sz w:val="21"/>
          <w:szCs w:val="21"/>
        </w:rPr>
        <w:t>、</w:t>
      </w:r>
      <w:r>
        <w:rPr>
          <w:rFonts w:ascii="Times New Roman" w:hAnsi="Times New Roman" w:eastAsia="Times New Roman" w:cs="Times New Roman"/>
          <w:spacing w:val="-1"/>
          <w:sz w:val="21"/>
          <w:szCs w:val="21"/>
        </w:rPr>
        <w:t>AA</w:t>
      </w:r>
      <w:r>
        <w:rPr>
          <w:rFonts w:ascii="宋体" w:hAnsi="宋体" w:eastAsia="宋体" w:cs="宋体"/>
          <w:spacing w:val="-1"/>
          <w:sz w:val="21"/>
          <w:szCs w:val="21"/>
        </w:rPr>
        <w:t>级、</w:t>
      </w:r>
      <w:r>
        <w:rPr>
          <w:rFonts w:ascii="Times New Roman" w:hAnsi="Times New Roman" w:eastAsia="Times New Roman" w:cs="Times New Roman"/>
          <w:spacing w:val="-1"/>
          <w:sz w:val="21"/>
          <w:szCs w:val="21"/>
        </w:rPr>
        <w:t>A</w:t>
      </w:r>
      <w:r>
        <w:rPr>
          <w:rFonts w:ascii="宋体" w:hAnsi="宋体" w:eastAsia="宋体" w:cs="宋体"/>
          <w:spacing w:val="-1"/>
          <w:sz w:val="21"/>
          <w:szCs w:val="21"/>
        </w:rPr>
        <w:t>级、</w:t>
      </w:r>
      <w:r>
        <w:rPr>
          <w:rFonts w:ascii="Times New Roman" w:hAnsi="Times New Roman" w:eastAsia="Times New Roman" w:cs="Times New Roman"/>
          <w:spacing w:val="-1"/>
          <w:sz w:val="21"/>
          <w:szCs w:val="21"/>
        </w:rPr>
        <w:t>B</w:t>
      </w:r>
      <w:r>
        <w:rPr>
          <w:rFonts w:ascii="宋体" w:hAnsi="宋体" w:eastAsia="宋体" w:cs="宋体"/>
          <w:spacing w:val="-1"/>
          <w:sz w:val="21"/>
          <w:szCs w:val="21"/>
        </w:rPr>
        <w:t>级、</w:t>
      </w:r>
      <w:r>
        <w:rPr>
          <w:rFonts w:ascii="Times New Roman" w:hAnsi="Times New Roman" w:eastAsia="Times New Roman" w:cs="Times New Roman"/>
          <w:spacing w:val="-1"/>
          <w:sz w:val="21"/>
          <w:szCs w:val="21"/>
        </w:rPr>
        <w:t>C</w:t>
      </w:r>
      <w:r>
        <w:rPr>
          <w:rFonts w:ascii="宋体" w:hAnsi="宋体" w:eastAsia="宋体" w:cs="宋体"/>
          <w:spacing w:val="-1"/>
          <w:sz w:val="21"/>
          <w:szCs w:val="21"/>
        </w:rPr>
        <w:t>级，见表</w:t>
      </w:r>
      <w:r>
        <w:rPr>
          <w:rFonts w:ascii="Times New Roman" w:hAnsi="Times New Roman" w:eastAsia="Times New Roman" w:cs="Times New Roman"/>
          <w:spacing w:val="-1"/>
          <w:sz w:val="21"/>
          <w:szCs w:val="21"/>
        </w:rPr>
        <w:t>3</w:t>
      </w:r>
      <w:r>
        <w:rPr>
          <w:rFonts w:ascii="Times New Roman" w:hAnsi="Times New Roman" w:eastAsia="Times New Roman" w:cs="Times New Roman"/>
          <w:spacing w:val="-22"/>
          <w:sz w:val="21"/>
          <w:szCs w:val="21"/>
        </w:rPr>
        <w:t xml:space="preserve"> </w:t>
      </w:r>
      <w:r>
        <w:rPr>
          <w:rFonts w:ascii="宋体" w:hAnsi="宋体" w:eastAsia="宋体" w:cs="宋体"/>
          <w:spacing w:val="-1"/>
          <w:sz w:val="21"/>
          <w:szCs w:val="21"/>
        </w:rPr>
        <w:t>。碳中和</w:t>
      </w:r>
      <w:r>
        <w:rPr>
          <w:rFonts w:ascii="宋体" w:hAnsi="宋体" w:eastAsia="宋体" w:cs="宋体"/>
          <w:sz w:val="21"/>
          <w:szCs w:val="21"/>
        </w:rPr>
        <w:t xml:space="preserve"> </w:t>
      </w:r>
      <w:r>
        <w:rPr>
          <w:rFonts w:ascii="宋体" w:hAnsi="宋体" w:eastAsia="宋体" w:cs="宋体"/>
          <w:spacing w:val="-1"/>
          <w:sz w:val="21"/>
          <w:szCs w:val="21"/>
        </w:rPr>
        <w:t>社区评价报告示例见附录</w:t>
      </w:r>
      <w:r>
        <w:rPr>
          <w:rFonts w:ascii="Times New Roman" w:hAnsi="Times New Roman" w:eastAsia="Times New Roman" w:cs="Times New Roman"/>
          <w:spacing w:val="-1"/>
          <w:sz w:val="21"/>
          <w:szCs w:val="21"/>
        </w:rPr>
        <w:t>C</w:t>
      </w:r>
      <w:r>
        <w:rPr>
          <w:rFonts w:ascii="宋体" w:hAnsi="宋体" w:eastAsia="宋体" w:cs="宋体"/>
          <w:spacing w:val="-1"/>
          <w:sz w:val="21"/>
          <w:szCs w:val="21"/>
        </w:rPr>
        <w:t>。</w:t>
      </w:r>
    </w:p>
    <w:p w14:paraId="47752118">
      <w:pPr>
        <w:spacing w:before="168" w:line="233" w:lineRule="auto"/>
        <w:ind w:left="3494"/>
        <w:rPr>
          <w:rFonts w:ascii="宋体" w:hAnsi="宋体" w:eastAsia="宋体" w:cs="宋体"/>
          <w:sz w:val="21"/>
          <w:szCs w:val="21"/>
        </w:rPr>
      </w:pPr>
      <w:r>
        <w:rPr>
          <w:rFonts w:ascii="宋体" w:hAnsi="宋体" w:eastAsia="宋体" w:cs="宋体"/>
          <w:spacing w:val="-1"/>
          <w:sz w:val="21"/>
          <w:szCs w:val="21"/>
        </w:rPr>
        <w:t>表</w:t>
      </w:r>
      <w:r>
        <w:rPr>
          <w:rFonts w:ascii="Times New Roman" w:hAnsi="Times New Roman" w:eastAsia="Times New Roman" w:cs="Times New Roman"/>
          <w:spacing w:val="-1"/>
          <w:sz w:val="21"/>
          <w:szCs w:val="21"/>
        </w:rPr>
        <w:t xml:space="preserve">3  </w:t>
      </w:r>
      <w:r>
        <w:rPr>
          <w:rFonts w:ascii="宋体" w:hAnsi="宋体" w:eastAsia="宋体" w:cs="宋体"/>
          <w:spacing w:val="-1"/>
          <w:sz w:val="21"/>
          <w:szCs w:val="21"/>
        </w:rPr>
        <w:t>碳中和社区评价分级</w:t>
      </w:r>
    </w:p>
    <w:p w14:paraId="2B1D6282">
      <w:pPr>
        <w:spacing w:line="151" w:lineRule="exact"/>
      </w:pPr>
    </w:p>
    <w:tbl>
      <w:tblPr>
        <w:tblStyle w:val="6"/>
        <w:tblW w:w="9073"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4"/>
        <w:gridCol w:w="1190"/>
        <w:gridCol w:w="6379"/>
      </w:tblGrid>
      <w:tr w14:paraId="241FA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504" w:type="dxa"/>
            <w:vAlign w:val="top"/>
          </w:tcPr>
          <w:p w14:paraId="082A279C">
            <w:pPr>
              <w:pStyle w:val="7"/>
              <w:spacing w:before="58" w:line="221" w:lineRule="auto"/>
              <w:ind w:left="549"/>
            </w:pPr>
            <w:r>
              <w:rPr>
                <w:b/>
                <w:bCs/>
                <w:spacing w:val="-5"/>
              </w:rPr>
              <w:t>级别</w:t>
            </w:r>
          </w:p>
        </w:tc>
        <w:tc>
          <w:tcPr>
            <w:tcW w:w="1190" w:type="dxa"/>
            <w:vAlign w:val="top"/>
          </w:tcPr>
          <w:p w14:paraId="43708176">
            <w:pPr>
              <w:pStyle w:val="7"/>
              <w:spacing w:before="58" w:line="219" w:lineRule="auto"/>
              <w:ind w:left="175"/>
            </w:pPr>
            <w:r>
              <w:rPr>
                <w:b/>
                <w:bCs/>
                <w:spacing w:val="-3"/>
              </w:rPr>
              <w:t>评价分值</w:t>
            </w:r>
          </w:p>
        </w:tc>
        <w:tc>
          <w:tcPr>
            <w:tcW w:w="6379" w:type="dxa"/>
            <w:vAlign w:val="top"/>
          </w:tcPr>
          <w:p w14:paraId="52964CBE">
            <w:pPr>
              <w:pStyle w:val="7"/>
              <w:spacing w:before="58" w:line="221" w:lineRule="auto"/>
              <w:ind w:left="2771"/>
            </w:pPr>
            <w:r>
              <w:rPr>
                <w:b/>
                <w:bCs/>
                <w:spacing w:val="-3"/>
              </w:rPr>
              <w:t>抵消比例</w:t>
            </w:r>
          </w:p>
        </w:tc>
      </w:tr>
      <w:tr w14:paraId="4CBF8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504" w:type="dxa"/>
            <w:vAlign w:val="top"/>
          </w:tcPr>
          <w:p w14:paraId="1311FFE0">
            <w:pPr>
              <w:spacing w:before="90" w:line="187" w:lineRule="auto"/>
              <w:ind w:left="109"/>
              <w:rPr>
                <w:rFonts w:ascii="Times New Roman" w:hAnsi="Times New Roman" w:eastAsia="Times New Roman" w:cs="Times New Roman"/>
                <w:sz w:val="21"/>
                <w:szCs w:val="21"/>
              </w:rPr>
            </w:pPr>
            <w:r>
              <w:rPr>
                <w:rFonts w:ascii="Times New Roman" w:hAnsi="Times New Roman" w:eastAsia="Times New Roman" w:cs="Times New Roman"/>
                <w:sz w:val="21"/>
                <w:szCs w:val="21"/>
              </w:rPr>
              <w:t>AAA</w:t>
            </w:r>
          </w:p>
        </w:tc>
        <w:tc>
          <w:tcPr>
            <w:tcW w:w="1190" w:type="dxa"/>
            <w:vAlign w:val="top"/>
          </w:tcPr>
          <w:p w14:paraId="66DC699D">
            <w:pPr>
              <w:spacing w:before="82" w:line="194" w:lineRule="auto"/>
              <w:ind w:left="23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[85,100]</w:t>
            </w:r>
          </w:p>
        </w:tc>
        <w:tc>
          <w:tcPr>
            <w:tcW w:w="6379" w:type="dxa"/>
            <w:vAlign w:val="top"/>
          </w:tcPr>
          <w:p w14:paraId="29DE2434">
            <w:pPr>
              <w:pStyle w:val="7"/>
              <w:spacing w:before="52" w:line="222" w:lineRule="auto"/>
              <w:ind w:left="114"/>
            </w:pPr>
            <w:r>
              <w:t xml:space="preserve">社区采用 </w:t>
            </w:r>
            <w:r>
              <w:rPr>
                <w:rFonts w:ascii="Times New Roman" w:hAnsi="Times New Roman" w:eastAsia="Times New Roman" w:cs="Times New Roman"/>
              </w:rPr>
              <w:t>100%</w:t>
            </w:r>
            <w:r>
              <w:t>可再生能源电力，以及</w:t>
            </w:r>
            <w:r>
              <w:rPr>
                <w:spacing w:val="-1"/>
              </w:rPr>
              <w:t>实现</w:t>
            </w:r>
            <w:r>
              <w:rPr>
                <w:rFonts w:ascii="Times New Roman" w:hAnsi="Times New Roman" w:eastAsia="Times New Roman" w:cs="Times New Roman"/>
                <w:spacing w:val="-1"/>
              </w:rPr>
              <w:t>100%</w:t>
            </w:r>
            <w:r>
              <w:rPr>
                <w:spacing w:val="-1"/>
              </w:rPr>
              <w:t>清除</w:t>
            </w:r>
          </w:p>
        </w:tc>
      </w:tr>
      <w:tr w14:paraId="1465B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04" w:type="dxa"/>
            <w:vAlign w:val="top"/>
          </w:tcPr>
          <w:p w14:paraId="582D5D38">
            <w:pPr>
              <w:spacing w:before="92" w:line="187" w:lineRule="auto"/>
              <w:ind w:left="10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AA</w:t>
            </w:r>
          </w:p>
        </w:tc>
        <w:tc>
          <w:tcPr>
            <w:tcW w:w="1190" w:type="dxa"/>
            <w:vAlign w:val="top"/>
          </w:tcPr>
          <w:p w14:paraId="6A8153B1">
            <w:pPr>
              <w:spacing w:before="84" w:line="193" w:lineRule="auto"/>
              <w:ind w:left="289"/>
              <w:rPr>
                <w:rFonts w:ascii="Times New Roman" w:hAnsi="Times New Roman" w:eastAsia="Times New Roman" w:cs="Times New Roman"/>
                <w:sz w:val="21"/>
                <w:szCs w:val="21"/>
              </w:rPr>
            </w:pPr>
            <w:r>
              <w:rPr>
                <w:rFonts w:ascii="Times New Roman" w:hAnsi="Times New Roman" w:eastAsia="Times New Roman" w:cs="Times New Roman"/>
                <w:spacing w:val="-3"/>
                <w:sz w:val="22"/>
                <w:szCs w:val="22"/>
              </w:rPr>
              <w:t>[70,85</w:t>
            </w:r>
            <w:r>
              <w:rPr>
                <w:rFonts w:ascii="Times New Roman" w:hAnsi="Times New Roman" w:eastAsia="Times New Roman" w:cs="Times New Roman"/>
                <w:spacing w:val="-3"/>
                <w:sz w:val="21"/>
                <w:szCs w:val="21"/>
              </w:rPr>
              <w:t>)</w:t>
            </w:r>
          </w:p>
        </w:tc>
        <w:tc>
          <w:tcPr>
            <w:tcW w:w="6379" w:type="dxa"/>
            <w:vAlign w:val="top"/>
          </w:tcPr>
          <w:p w14:paraId="354DEC6B">
            <w:pPr>
              <w:pStyle w:val="7"/>
              <w:spacing w:before="53" w:line="222" w:lineRule="auto"/>
              <w:ind w:left="114"/>
              <w:rPr>
                <w:rFonts w:ascii="Times New Roman" w:hAnsi="Times New Roman" w:eastAsia="Times New Roman" w:cs="Times New Roman"/>
              </w:rPr>
            </w:pPr>
            <w:r>
              <w:rPr>
                <w:spacing w:val="-1"/>
              </w:rPr>
              <w:t>社区自主减排后剩余排放量的抵消比例不低于</w:t>
            </w:r>
            <w:r>
              <w:rPr>
                <w:rFonts w:ascii="Times New Roman" w:hAnsi="Times New Roman" w:eastAsia="Times New Roman" w:cs="Times New Roman"/>
                <w:spacing w:val="-1"/>
              </w:rPr>
              <w:t>85%</w:t>
            </w:r>
          </w:p>
        </w:tc>
      </w:tr>
      <w:tr w14:paraId="659B2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04" w:type="dxa"/>
            <w:vAlign w:val="top"/>
          </w:tcPr>
          <w:p w14:paraId="53C6FAA4">
            <w:pPr>
              <w:pStyle w:val="7"/>
              <w:spacing w:before="54" w:line="214" w:lineRule="auto"/>
              <w:ind w:left="109"/>
              <w:rPr>
                <w:rFonts w:ascii="Times New Roman" w:hAnsi="Times New Roman" w:eastAsia="Times New Roman" w:cs="Times New Roman"/>
              </w:rPr>
            </w:pPr>
            <w:r>
              <w:rPr>
                <w:rFonts w:ascii="Times New Roman" w:hAnsi="Times New Roman" w:eastAsia="Times New Roman" w:cs="Times New Roman"/>
                <w:spacing w:val="-2"/>
              </w:rPr>
              <w:t>A</w:t>
            </w:r>
            <w:r>
              <w:rPr>
                <w:rFonts w:ascii="Times New Roman" w:hAnsi="Times New Roman" w:eastAsia="Times New Roman" w:cs="Times New Roman"/>
                <w:spacing w:val="2"/>
              </w:rPr>
              <w:t xml:space="preserve">    </w:t>
            </w:r>
            <w:r>
              <w:rPr>
                <w:rFonts w:ascii="Times New Roman" w:hAnsi="Times New Roman" w:eastAsia="Times New Roman" w:cs="Times New Roman"/>
                <w:spacing w:val="-2"/>
              </w:rPr>
              <w:t>(</w:t>
            </w:r>
            <w:r>
              <w:rPr>
                <w:spacing w:val="-2"/>
              </w:rPr>
              <w:t>优秀类</w:t>
            </w:r>
            <w:r>
              <w:rPr>
                <w:rFonts w:ascii="Times New Roman" w:hAnsi="Times New Roman" w:eastAsia="Times New Roman" w:cs="Times New Roman"/>
                <w:spacing w:val="-2"/>
              </w:rPr>
              <w:t>)</w:t>
            </w:r>
          </w:p>
        </w:tc>
        <w:tc>
          <w:tcPr>
            <w:tcW w:w="1190" w:type="dxa"/>
            <w:vAlign w:val="top"/>
          </w:tcPr>
          <w:p w14:paraId="5E664DA2">
            <w:pPr>
              <w:spacing w:before="90" w:line="191" w:lineRule="auto"/>
              <w:ind w:left="30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[60,70)</w:t>
            </w:r>
          </w:p>
        </w:tc>
        <w:tc>
          <w:tcPr>
            <w:tcW w:w="6379" w:type="dxa"/>
            <w:vAlign w:val="top"/>
          </w:tcPr>
          <w:p w14:paraId="62F4F950">
            <w:pPr>
              <w:pStyle w:val="7"/>
              <w:spacing w:before="54" w:line="221" w:lineRule="auto"/>
              <w:ind w:left="114"/>
              <w:rPr>
                <w:rFonts w:ascii="Times New Roman" w:hAnsi="Times New Roman" w:eastAsia="Times New Roman" w:cs="Times New Roman"/>
              </w:rPr>
            </w:pPr>
            <w:r>
              <w:rPr>
                <w:spacing w:val="-1"/>
              </w:rPr>
              <w:t>社区自主减排后剩余排放量的抵消比例不低于</w:t>
            </w:r>
            <w:r>
              <w:rPr>
                <w:rFonts w:ascii="Times New Roman" w:hAnsi="Times New Roman" w:eastAsia="Times New Roman" w:cs="Times New Roman"/>
                <w:spacing w:val="-1"/>
              </w:rPr>
              <w:t>70%</w:t>
            </w:r>
          </w:p>
        </w:tc>
      </w:tr>
      <w:tr w14:paraId="0FCC3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04" w:type="dxa"/>
            <w:vAlign w:val="top"/>
          </w:tcPr>
          <w:p w14:paraId="301DF951">
            <w:pPr>
              <w:pStyle w:val="7"/>
              <w:spacing w:before="55" w:line="220" w:lineRule="auto"/>
              <w:ind w:left="156"/>
            </w:pPr>
            <w:r>
              <w:rPr>
                <w:rFonts w:ascii="Times New Roman" w:hAnsi="Times New Roman" w:eastAsia="Times New Roman" w:cs="Times New Roman"/>
                <w:spacing w:val="-2"/>
              </w:rPr>
              <w:t>B</w:t>
            </w:r>
            <w:r>
              <w:rPr>
                <w:spacing w:val="-2"/>
              </w:rPr>
              <w:t>（中等类）</w:t>
            </w:r>
          </w:p>
        </w:tc>
        <w:tc>
          <w:tcPr>
            <w:tcW w:w="1190" w:type="dxa"/>
            <w:vAlign w:val="top"/>
          </w:tcPr>
          <w:p w14:paraId="2717ECFD">
            <w:pPr>
              <w:spacing w:before="90" w:line="191" w:lineRule="auto"/>
              <w:ind w:left="30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[50,60)</w:t>
            </w:r>
          </w:p>
        </w:tc>
        <w:tc>
          <w:tcPr>
            <w:tcW w:w="6379" w:type="dxa"/>
            <w:vAlign w:val="top"/>
          </w:tcPr>
          <w:p w14:paraId="593AD0FC">
            <w:pPr>
              <w:pStyle w:val="7"/>
              <w:spacing w:before="55" w:line="220" w:lineRule="auto"/>
              <w:ind w:left="114"/>
              <w:rPr>
                <w:rFonts w:ascii="Times New Roman" w:hAnsi="Times New Roman" w:eastAsia="Times New Roman" w:cs="Times New Roman"/>
              </w:rPr>
            </w:pPr>
            <w:r>
              <w:rPr>
                <w:spacing w:val="-1"/>
              </w:rPr>
              <w:t>社区自主减排后剩余排放量的抵消比例不低于</w:t>
            </w:r>
            <w:r>
              <w:rPr>
                <w:rFonts w:ascii="Times New Roman" w:hAnsi="Times New Roman" w:eastAsia="Times New Roman" w:cs="Times New Roman"/>
                <w:spacing w:val="-1"/>
              </w:rPr>
              <w:t>60%</w:t>
            </w:r>
          </w:p>
        </w:tc>
      </w:tr>
      <w:tr w14:paraId="5979E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504" w:type="dxa"/>
            <w:vAlign w:val="top"/>
          </w:tcPr>
          <w:p w14:paraId="1611169D">
            <w:pPr>
              <w:pStyle w:val="7"/>
              <w:spacing w:before="55" w:line="221" w:lineRule="auto"/>
              <w:ind w:left="161"/>
            </w:pPr>
            <w:r>
              <w:rPr>
                <w:rFonts w:ascii="Times New Roman" w:hAnsi="Times New Roman" w:eastAsia="Times New Roman" w:cs="Times New Roman"/>
                <w:spacing w:val="-3"/>
              </w:rPr>
              <w:t>C</w:t>
            </w:r>
            <w:r>
              <w:rPr>
                <w:spacing w:val="-3"/>
              </w:rPr>
              <w:t>（较差类）</w:t>
            </w:r>
          </w:p>
        </w:tc>
        <w:tc>
          <w:tcPr>
            <w:tcW w:w="1190" w:type="dxa"/>
            <w:vAlign w:val="top"/>
          </w:tcPr>
          <w:p w14:paraId="1676C6F3">
            <w:pPr>
              <w:spacing w:before="88" w:line="194" w:lineRule="auto"/>
              <w:ind w:left="30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[40,50)</w:t>
            </w:r>
          </w:p>
        </w:tc>
        <w:tc>
          <w:tcPr>
            <w:tcW w:w="6379" w:type="dxa"/>
            <w:vAlign w:val="top"/>
          </w:tcPr>
          <w:p w14:paraId="101BF664">
            <w:pPr>
              <w:pStyle w:val="7"/>
              <w:spacing w:before="55" w:line="226" w:lineRule="auto"/>
              <w:ind w:left="114"/>
              <w:rPr>
                <w:rFonts w:ascii="Times New Roman" w:hAnsi="Times New Roman" w:eastAsia="Times New Roman" w:cs="Times New Roman"/>
              </w:rPr>
            </w:pPr>
            <w:r>
              <w:rPr>
                <w:spacing w:val="-1"/>
              </w:rPr>
              <w:t>社区自主减排后剩余排放量的抵消比例不低于</w:t>
            </w:r>
            <w:r>
              <w:rPr>
                <w:rFonts w:ascii="Times New Roman" w:hAnsi="Times New Roman" w:eastAsia="Times New Roman" w:cs="Times New Roman"/>
                <w:spacing w:val="-1"/>
              </w:rPr>
              <w:t>50%</w:t>
            </w:r>
          </w:p>
        </w:tc>
      </w:tr>
    </w:tbl>
    <w:p w14:paraId="71966847">
      <w:pPr>
        <w:pStyle w:val="2"/>
      </w:pPr>
    </w:p>
    <w:p w14:paraId="04E298AE">
      <w:pPr>
        <w:sectPr>
          <w:headerReference r:id="rId21" w:type="default"/>
          <w:footerReference r:id="rId22" w:type="default"/>
          <w:pgSz w:w="11907" w:h="16839"/>
          <w:pgMar w:top="1205" w:right="1298" w:bottom="1648" w:left="1309" w:header="880" w:footer="1448" w:gutter="0"/>
          <w:cols w:space="720" w:num="1"/>
        </w:sectPr>
      </w:pPr>
    </w:p>
    <w:p w14:paraId="10FD8657">
      <w:pPr>
        <w:pStyle w:val="2"/>
        <w:spacing w:line="350" w:lineRule="auto"/>
      </w:pPr>
    </w:p>
    <w:p w14:paraId="2214E59D">
      <w:pPr>
        <w:spacing w:before="68" w:line="220" w:lineRule="auto"/>
        <w:ind w:left="4252"/>
        <w:outlineLvl w:val="0"/>
        <w:rPr>
          <w:rFonts w:ascii="黑体" w:hAnsi="黑体" w:eastAsia="黑体" w:cs="黑体"/>
          <w:sz w:val="21"/>
          <w:szCs w:val="21"/>
        </w:rPr>
      </w:pPr>
      <w:bookmarkStart w:id="33" w:name="bookmark35"/>
      <w:bookmarkEnd w:id="33"/>
      <w:r>
        <w:rPr>
          <w:rFonts w:ascii="黑体" w:hAnsi="黑体" w:eastAsia="黑体" w:cs="黑体"/>
          <w:spacing w:val="-10"/>
          <w:sz w:val="21"/>
          <w:szCs w:val="21"/>
        </w:rPr>
        <w:t>附</w:t>
      </w:r>
      <w:r>
        <w:rPr>
          <w:rFonts w:ascii="黑体" w:hAnsi="黑体" w:eastAsia="黑体" w:cs="黑体"/>
          <w:spacing w:val="6"/>
          <w:sz w:val="21"/>
          <w:szCs w:val="21"/>
        </w:rPr>
        <w:t xml:space="preserve">  </w:t>
      </w:r>
      <w:r>
        <w:rPr>
          <w:rFonts w:ascii="黑体" w:hAnsi="黑体" w:eastAsia="黑体" w:cs="黑体"/>
          <w:spacing w:val="-10"/>
          <w:sz w:val="21"/>
          <w:szCs w:val="21"/>
        </w:rPr>
        <w:t>录</w:t>
      </w:r>
      <w:r>
        <w:rPr>
          <w:rFonts w:ascii="黑体" w:hAnsi="黑体" w:eastAsia="黑体" w:cs="黑体"/>
          <w:spacing w:val="1"/>
          <w:sz w:val="21"/>
          <w:szCs w:val="21"/>
        </w:rPr>
        <w:t xml:space="preserve">  </w:t>
      </w:r>
      <w:r>
        <w:rPr>
          <w:rFonts w:ascii="黑体" w:hAnsi="黑体" w:eastAsia="黑体" w:cs="黑体"/>
          <w:spacing w:val="-10"/>
          <w:sz w:val="21"/>
          <w:szCs w:val="21"/>
        </w:rPr>
        <w:t>A</w:t>
      </w:r>
    </w:p>
    <w:p w14:paraId="05951AC5">
      <w:pPr>
        <w:spacing w:before="210" w:line="220" w:lineRule="auto"/>
        <w:ind w:left="4097"/>
        <w:outlineLvl w:val="0"/>
        <w:rPr>
          <w:rFonts w:ascii="黑体" w:hAnsi="黑体" w:eastAsia="黑体" w:cs="黑体"/>
          <w:sz w:val="21"/>
          <w:szCs w:val="21"/>
        </w:rPr>
      </w:pPr>
      <w:bookmarkStart w:id="34" w:name="bookmark22"/>
      <w:bookmarkEnd w:id="34"/>
      <w:bookmarkStart w:id="35" w:name="bookmark35"/>
      <w:bookmarkEnd w:id="35"/>
      <w:r>
        <w:rPr>
          <w:rFonts w:ascii="黑体" w:hAnsi="黑体" w:eastAsia="黑体" w:cs="黑体"/>
          <w:spacing w:val="-7"/>
          <w:sz w:val="21"/>
          <w:szCs w:val="21"/>
        </w:rPr>
        <w:t>（资料性）</w:t>
      </w:r>
    </w:p>
    <w:p w14:paraId="19928EA2">
      <w:pPr>
        <w:spacing w:before="218" w:line="219" w:lineRule="auto"/>
        <w:ind w:left="3767"/>
        <w:outlineLvl w:val="0"/>
        <w:rPr>
          <w:rFonts w:ascii="黑体" w:hAnsi="黑体" w:eastAsia="黑体" w:cs="黑体"/>
          <w:sz w:val="21"/>
          <w:szCs w:val="21"/>
        </w:rPr>
      </w:pPr>
      <w:bookmarkStart w:id="36" w:name="bookmark35"/>
      <w:bookmarkEnd w:id="36"/>
      <w:r>
        <w:rPr>
          <w:rFonts w:ascii="黑体" w:hAnsi="黑体" w:eastAsia="黑体" w:cs="黑体"/>
          <w:spacing w:val="-1"/>
          <w:sz w:val="21"/>
          <w:szCs w:val="21"/>
        </w:rPr>
        <w:t>碳减排量核算方法</w:t>
      </w:r>
    </w:p>
    <w:p w14:paraId="224026D6">
      <w:pPr>
        <w:pStyle w:val="2"/>
        <w:spacing w:line="428" w:lineRule="auto"/>
      </w:pPr>
    </w:p>
    <w:p w14:paraId="14990E2A">
      <w:pPr>
        <w:spacing w:before="69" w:line="219" w:lineRule="auto"/>
        <w:ind w:left="433"/>
        <w:rPr>
          <w:rFonts w:ascii="黑体" w:hAnsi="黑体" w:eastAsia="黑体" w:cs="黑体"/>
          <w:sz w:val="21"/>
          <w:szCs w:val="21"/>
        </w:rPr>
      </w:pPr>
      <w:r>
        <w:rPr>
          <w:rFonts w:ascii="黑体" w:hAnsi="黑体" w:eastAsia="黑体" w:cs="黑体"/>
          <w:b/>
          <w:bCs/>
          <w:spacing w:val="-1"/>
          <w:sz w:val="21"/>
          <w:szCs w:val="21"/>
        </w:rPr>
        <w:t>A.1</w:t>
      </w:r>
      <w:r>
        <w:rPr>
          <w:rFonts w:ascii="黑体" w:hAnsi="黑体" w:eastAsia="黑体" w:cs="黑体"/>
          <w:spacing w:val="-1"/>
          <w:sz w:val="21"/>
          <w:szCs w:val="21"/>
        </w:rPr>
        <w:t xml:space="preserve"> 绿电碳减排量</w:t>
      </w:r>
    </w:p>
    <w:p w14:paraId="783A04FD">
      <w:pPr>
        <w:pStyle w:val="2"/>
        <w:spacing w:line="381" w:lineRule="auto"/>
      </w:pPr>
    </w:p>
    <w:p w14:paraId="59473E2E">
      <w:pPr>
        <w:spacing w:before="69" w:line="275" w:lineRule="auto"/>
        <w:ind w:right="219" w:firstLine="484"/>
        <w:jc w:val="both"/>
        <w:rPr>
          <w:rFonts w:ascii="宋体" w:hAnsi="宋体" w:eastAsia="宋体" w:cs="宋体"/>
          <w:sz w:val="21"/>
          <w:szCs w:val="21"/>
        </w:rPr>
      </w:pPr>
      <w:r>
        <w:rPr>
          <w:rFonts w:ascii="宋体" w:hAnsi="宋体" w:eastAsia="宋体" w:cs="宋体"/>
          <w:spacing w:val="1"/>
          <w:sz w:val="21"/>
          <w:szCs w:val="21"/>
        </w:rPr>
        <w:t>社区内自产及外购的绿色电力所产生的二氧化碳减排量按式（</w:t>
      </w:r>
      <w:r>
        <w:rPr>
          <w:rFonts w:ascii="Times New Roman" w:hAnsi="Times New Roman" w:eastAsia="Times New Roman" w:cs="Times New Roman"/>
          <w:spacing w:val="1"/>
          <w:sz w:val="21"/>
          <w:szCs w:val="21"/>
        </w:rPr>
        <w:t>1</w:t>
      </w:r>
      <w:r>
        <w:rPr>
          <w:rFonts w:ascii="宋体" w:hAnsi="宋体" w:eastAsia="宋体" w:cs="宋体"/>
          <w:spacing w:val="1"/>
          <w:sz w:val="21"/>
          <w:szCs w:val="21"/>
        </w:rPr>
        <w:t>）计算</w:t>
      </w:r>
      <w:r>
        <w:rPr>
          <w:rFonts w:ascii="宋体" w:hAnsi="宋体" w:eastAsia="宋体" w:cs="宋体"/>
          <w:sz w:val="21"/>
          <w:szCs w:val="21"/>
        </w:rPr>
        <w:t xml:space="preserve">，统计核算期内自产和 </w:t>
      </w:r>
      <w:r>
        <w:rPr>
          <w:rFonts w:ascii="宋体" w:hAnsi="宋体" w:eastAsia="宋体" w:cs="宋体"/>
          <w:spacing w:val="5"/>
          <w:sz w:val="21"/>
          <w:szCs w:val="21"/>
        </w:rPr>
        <w:t>外购的绿电量，根据各省级温室气体清单编制指南提供的电网年平均供电排放因子进行绿电碳减</w:t>
      </w:r>
      <w:r>
        <w:rPr>
          <w:rFonts w:ascii="宋体" w:hAnsi="宋体" w:eastAsia="宋体" w:cs="宋体"/>
          <w:spacing w:val="2"/>
          <w:sz w:val="21"/>
          <w:szCs w:val="21"/>
        </w:rPr>
        <w:t xml:space="preserve"> </w:t>
      </w:r>
      <w:r>
        <w:rPr>
          <w:rFonts w:ascii="宋体" w:hAnsi="宋体" w:eastAsia="宋体" w:cs="宋体"/>
          <w:spacing w:val="-7"/>
          <w:sz w:val="21"/>
          <w:szCs w:val="21"/>
        </w:rPr>
        <w:t>排量核算。</w:t>
      </w:r>
    </w:p>
    <w:p w14:paraId="51DDE6DA">
      <w:pPr>
        <w:pStyle w:val="2"/>
        <w:spacing w:line="253" w:lineRule="auto"/>
      </w:pPr>
    </w:p>
    <w:p w14:paraId="19672066">
      <w:pPr>
        <w:spacing w:before="62" w:line="233" w:lineRule="auto"/>
        <w:jc w:val="right"/>
        <w:rPr>
          <w:rFonts w:ascii="Cambria Math" w:hAnsi="Cambria Math" w:eastAsia="Cambria Math" w:cs="Cambria Math"/>
          <w:sz w:val="21"/>
          <w:szCs w:val="21"/>
        </w:rPr>
      </w:pPr>
      <w:r>
        <w:rPr>
          <w:rFonts w:ascii="Cambria Math" w:hAnsi="Cambria Math" w:eastAsia="Cambria Math" w:cs="Cambria Math"/>
          <w:spacing w:val="-3"/>
          <w:position w:val="3"/>
          <w:sz w:val="21"/>
          <w:szCs w:val="21"/>
        </w:rPr>
        <w:t>R</w:t>
      </w:r>
      <w:r>
        <w:rPr>
          <w:rFonts w:ascii="宋体" w:hAnsi="宋体" w:eastAsia="宋体" w:cs="宋体"/>
          <w:spacing w:val="-3"/>
          <w:position w:val="-3"/>
          <w:sz w:val="15"/>
          <w:szCs w:val="15"/>
        </w:rPr>
        <w:t xml:space="preserve">绿电 </w:t>
      </w:r>
      <w:r>
        <w:rPr>
          <w:rFonts w:ascii="Cambria Math" w:hAnsi="Cambria Math" w:eastAsia="Cambria Math" w:cs="Cambria Math"/>
          <w:spacing w:val="-3"/>
          <w:position w:val="3"/>
          <w:sz w:val="21"/>
          <w:szCs w:val="21"/>
        </w:rPr>
        <w:t>=</w:t>
      </w:r>
      <w:r>
        <w:rPr>
          <w:rFonts w:ascii="Cambria Math" w:hAnsi="Cambria Math" w:eastAsia="Cambria Math" w:cs="Cambria Math"/>
          <w:spacing w:val="33"/>
          <w:w w:val="102"/>
          <w:position w:val="3"/>
          <w:sz w:val="21"/>
          <w:szCs w:val="21"/>
        </w:rPr>
        <w:t xml:space="preserve"> </w:t>
      </w:r>
      <w:r>
        <w:rPr>
          <w:rFonts w:ascii="Cambria Math" w:hAnsi="Cambria Math" w:eastAsia="Cambria Math" w:cs="Cambria Math"/>
          <w:spacing w:val="-3"/>
          <w:position w:val="3"/>
          <w:sz w:val="21"/>
          <w:szCs w:val="21"/>
        </w:rPr>
        <w:t>E</w:t>
      </w:r>
      <w:r>
        <w:rPr>
          <w:rFonts w:ascii="宋体" w:hAnsi="宋体" w:eastAsia="宋体" w:cs="宋体"/>
          <w:spacing w:val="-3"/>
          <w:position w:val="-3"/>
          <w:sz w:val="15"/>
          <w:szCs w:val="15"/>
        </w:rPr>
        <w:t xml:space="preserve">绿电量 </w:t>
      </w:r>
      <w:r>
        <w:rPr>
          <w:rFonts w:ascii="Cambria Math" w:hAnsi="Cambria Math" w:eastAsia="Cambria Math" w:cs="Cambria Math"/>
          <w:spacing w:val="-3"/>
          <w:position w:val="3"/>
          <w:sz w:val="21"/>
          <w:szCs w:val="21"/>
        </w:rPr>
        <w:t>×</w:t>
      </w:r>
      <w:r>
        <w:rPr>
          <w:rFonts w:ascii="Cambria Math" w:hAnsi="Cambria Math" w:eastAsia="Cambria Math" w:cs="Cambria Math"/>
          <w:spacing w:val="8"/>
          <w:position w:val="3"/>
          <w:sz w:val="21"/>
          <w:szCs w:val="21"/>
        </w:rPr>
        <w:t xml:space="preserve"> </w:t>
      </w:r>
      <w:r>
        <w:rPr>
          <w:rFonts w:ascii="Cambria Math" w:hAnsi="Cambria Math" w:eastAsia="Cambria Math" w:cs="Cambria Math"/>
          <w:spacing w:val="-3"/>
          <w:position w:val="3"/>
          <w:sz w:val="21"/>
          <w:szCs w:val="21"/>
        </w:rPr>
        <w:t>i</w:t>
      </w:r>
      <w:r>
        <w:rPr>
          <w:rFonts w:ascii="Cambria Math" w:hAnsi="Cambria Math" w:eastAsia="Cambria Math" w:cs="Cambria Math"/>
          <w:spacing w:val="-23"/>
          <w:position w:val="3"/>
          <w:sz w:val="21"/>
          <w:szCs w:val="21"/>
        </w:rPr>
        <w:t xml:space="preserve"> </w:t>
      </w:r>
      <w:r>
        <w:rPr>
          <w:rFonts w:ascii="宋体" w:hAnsi="宋体" w:eastAsia="宋体" w:cs="宋体"/>
          <w:spacing w:val="-3"/>
          <w:position w:val="-3"/>
          <w:sz w:val="15"/>
          <w:szCs w:val="15"/>
        </w:rPr>
        <w:t>电网排放因子</w:t>
      </w:r>
      <w:r>
        <w:rPr>
          <w:rFonts w:ascii="宋体" w:hAnsi="宋体" w:eastAsia="宋体" w:cs="宋体"/>
          <w:spacing w:val="1"/>
          <w:position w:val="-3"/>
          <w:sz w:val="15"/>
          <w:szCs w:val="15"/>
        </w:rPr>
        <w:t xml:space="preserve">                                   </w:t>
      </w:r>
      <w:r>
        <w:rPr>
          <w:rFonts w:ascii="宋体" w:hAnsi="宋体" w:eastAsia="宋体" w:cs="宋体"/>
          <w:position w:val="-3"/>
          <w:sz w:val="15"/>
          <w:szCs w:val="15"/>
        </w:rPr>
        <w:t xml:space="preserve">      </w:t>
      </w:r>
      <w:r>
        <w:rPr>
          <w:rFonts w:ascii="Cambria Math" w:hAnsi="Cambria Math" w:eastAsia="Cambria Math" w:cs="Cambria Math"/>
          <w:spacing w:val="-3"/>
          <w:position w:val="3"/>
          <w:sz w:val="21"/>
          <w:szCs w:val="21"/>
        </w:rPr>
        <w:t>(1)</w:t>
      </w:r>
    </w:p>
    <w:p w14:paraId="7DBD73B0">
      <w:pPr>
        <w:spacing w:before="85" w:line="221" w:lineRule="auto"/>
        <w:ind w:left="995"/>
        <w:rPr>
          <w:rFonts w:ascii="宋体" w:hAnsi="宋体" w:eastAsia="宋体" w:cs="宋体"/>
          <w:sz w:val="21"/>
          <w:szCs w:val="21"/>
        </w:rPr>
      </w:pPr>
      <w:r>
        <w:rPr>
          <w:rFonts w:ascii="宋体" w:hAnsi="宋体" w:eastAsia="宋体" w:cs="宋体"/>
          <w:spacing w:val="-13"/>
          <w:sz w:val="21"/>
          <w:szCs w:val="21"/>
        </w:rPr>
        <w:t>式中：</w:t>
      </w:r>
    </w:p>
    <w:p w14:paraId="7DAAE7A6">
      <w:pPr>
        <w:spacing w:before="219" w:line="377" w:lineRule="auto"/>
        <w:ind w:left="933" w:right="144" w:firstLine="484"/>
        <w:rPr>
          <w:rFonts w:ascii="宋体" w:hAnsi="宋体" w:eastAsia="宋体" w:cs="宋体"/>
          <w:sz w:val="21"/>
          <w:szCs w:val="21"/>
        </w:rPr>
      </w:pPr>
      <w:r>
        <w:rPr>
          <w:rFonts w:ascii="Cambria Math" w:hAnsi="Cambria Math" w:eastAsia="Cambria Math" w:cs="Cambria Math"/>
          <w:position w:val="-1"/>
          <w:sz w:val="21"/>
          <w:szCs w:val="21"/>
        </w:rPr>
        <w:t>R</w:t>
      </w:r>
      <w:r>
        <w:rPr>
          <w:rFonts w:ascii="宋体" w:hAnsi="宋体" w:eastAsia="宋体" w:cs="宋体"/>
          <w:position w:val="-8"/>
          <w:sz w:val="15"/>
          <w:szCs w:val="15"/>
        </w:rPr>
        <w:t>绿电</w:t>
      </w:r>
      <w:r>
        <w:rPr>
          <w:rFonts w:ascii="宋体" w:hAnsi="宋体" w:eastAsia="宋体" w:cs="宋体"/>
          <w:sz w:val="21"/>
          <w:szCs w:val="21"/>
        </w:rPr>
        <w:t>——社区内自产及外购的绿色电力所产生的二氧化碳减排量，单位为 吨二氧化</w:t>
      </w:r>
      <w:r>
        <w:rPr>
          <w:rFonts w:ascii="宋体" w:hAnsi="宋体" w:eastAsia="宋体" w:cs="宋体"/>
          <w:spacing w:val="14"/>
          <w:sz w:val="21"/>
          <w:szCs w:val="21"/>
        </w:rPr>
        <w:t xml:space="preserve"> </w:t>
      </w:r>
      <w:r>
        <w:rPr>
          <w:rFonts w:ascii="宋体" w:hAnsi="宋体" w:eastAsia="宋体" w:cs="宋体"/>
          <w:spacing w:val="-1"/>
          <w:sz w:val="21"/>
          <w:szCs w:val="21"/>
        </w:rPr>
        <w:t>碳（</w:t>
      </w:r>
      <w:r>
        <w:rPr>
          <w:rFonts w:ascii="Times New Roman" w:hAnsi="Times New Roman" w:eastAsia="Times New Roman" w:cs="Times New Roman"/>
          <w:spacing w:val="-1"/>
          <w:sz w:val="21"/>
          <w:szCs w:val="21"/>
        </w:rPr>
        <w:t>tCO</w:t>
      </w:r>
      <w:r>
        <w:rPr>
          <w:rFonts w:ascii="Times New Roman" w:hAnsi="Times New Roman" w:eastAsia="Times New Roman" w:cs="Times New Roman"/>
          <w:spacing w:val="-1"/>
          <w:position w:val="-1"/>
          <w:sz w:val="13"/>
          <w:szCs w:val="13"/>
        </w:rPr>
        <w:t>2</w:t>
      </w:r>
      <w:r>
        <w:rPr>
          <w:rFonts w:ascii="宋体" w:hAnsi="宋体" w:eastAsia="宋体" w:cs="宋体"/>
          <w:spacing w:val="-11"/>
          <w:sz w:val="21"/>
          <w:szCs w:val="21"/>
        </w:rPr>
        <w:t>）；</w:t>
      </w:r>
    </w:p>
    <w:p w14:paraId="789DFB2F">
      <w:pPr>
        <w:spacing w:before="57" w:line="229" w:lineRule="auto"/>
        <w:ind w:left="1401"/>
        <w:rPr>
          <w:rFonts w:ascii="宋体" w:hAnsi="宋体" w:eastAsia="宋体" w:cs="宋体"/>
          <w:sz w:val="21"/>
          <w:szCs w:val="21"/>
        </w:rPr>
      </w:pPr>
      <w:r>
        <w:rPr>
          <w:rFonts w:ascii="Cambria Math" w:hAnsi="Cambria Math" w:eastAsia="Cambria Math" w:cs="Cambria Math"/>
          <w:spacing w:val="-4"/>
          <w:sz w:val="21"/>
          <w:szCs w:val="21"/>
        </w:rPr>
        <w:t>E</w:t>
      </w:r>
      <w:r>
        <w:rPr>
          <w:rFonts w:ascii="宋体" w:hAnsi="宋体" w:eastAsia="宋体" w:cs="宋体"/>
          <w:spacing w:val="-4"/>
          <w:position w:val="-6"/>
          <w:sz w:val="15"/>
          <w:szCs w:val="15"/>
        </w:rPr>
        <w:t>绿电量</w:t>
      </w:r>
      <w:r>
        <w:rPr>
          <w:rFonts w:ascii="宋体" w:hAnsi="宋体" w:eastAsia="宋体" w:cs="宋体"/>
          <w:spacing w:val="-4"/>
          <w:sz w:val="21"/>
          <w:szCs w:val="21"/>
        </w:rPr>
        <w:t>——社区内自产和外购的绿色电力量，单</w:t>
      </w:r>
      <w:r>
        <w:rPr>
          <w:rFonts w:ascii="宋体" w:hAnsi="宋体" w:eastAsia="宋体" w:cs="宋体"/>
          <w:spacing w:val="-5"/>
          <w:sz w:val="21"/>
          <w:szCs w:val="21"/>
        </w:rPr>
        <w:t>位为兆瓦时（</w:t>
      </w:r>
      <w:r>
        <w:rPr>
          <w:rFonts w:ascii="Times New Roman" w:hAnsi="Times New Roman" w:eastAsia="Times New Roman" w:cs="Times New Roman"/>
          <w:spacing w:val="-5"/>
          <w:sz w:val="21"/>
          <w:szCs w:val="21"/>
        </w:rPr>
        <w:t>MWh</w:t>
      </w:r>
      <w:r>
        <w:rPr>
          <w:rFonts w:ascii="宋体" w:hAnsi="宋体" w:eastAsia="宋体" w:cs="宋体"/>
          <w:spacing w:val="7"/>
          <w:sz w:val="21"/>
          <w:szCs w:val="21"/>
        </w:rPr>
        <w:t>）</w:t>
      </w:r>
      <w:r>
        <w:rPr>
          <w:rFonts w:ascii="宋体" w:hAnsi="宋体" w:eastAsia="宋体" w:cs="宋体"/>
          <w:spacing w:val="7"/>
          <w:position w:val="2"/>
          <w:sz w:val="21"/>
          <w:szCs w:val="21"/>
        </w:rPr>
        <w:t>；</w:t>
      </w:r>
    </w:p>
    <w:p w14:paraId="35D832B6">
      <w:pPr>
        <w:pStyle w:val="2"/>
        <w:spacing w:line="275" w:lineRule="auto"/>
      </w:pPr>
    </w:p>
    <w:p w14:paraId="53868AE6">
      <w:pPr>
        <w:spacing w:before="69" w:line="230" w:lineRule="auto"/>
        <w:ind w:left="1397"/>
        <w:rPr>
          <w:rFonts w:ascii="宋体" w:hAnsi="宋体" w:eastAsia="宋体" w:cs="宋体"/>
          <w:sz w:val="21"/>
          <w:szCs w:val="21"/>
        </w:rPr>
      </w:pPr>
      <w:r>
        <w:rPr>
          <w:rFonts w:ascii="Cambria Math" w:hAnsi="Cambria Math" w:eastAsia="Cambria Math" w:cs="Cambria Math"/>
          <w:sz w:val="21"/>
          <w:szCs w:val="21"/>
        </w:rPr>
        <w:t>i</w:t>
      </w:r>
      <w:r>
        <w:rPr>
          <w:rFonts w:ascii="Cambria Math" w:hAnsi="Cambria Math" w:eastAsia="Cambria Math" w:cs="Cambria Math"/>
          <w:spacing w:val="-23"/>
          <w:sz w:val="21"/>
          <w:szCs w:val="21"/>
        </w:rPr>
        <w:t xml:space="preserve"> </w:t>
      </w:r>
      <w:r>
        <w:rPr>
          <w:rFonts w:ascii="宋体" w:hAnsi="宋体" w:eastAsia="宋体" w:cs="宋体"/>
          <w:position w:val="-6"/>
          <w:sz w:val="15"/>
          <w:szCs w:val="15"/>
        </w:rPr>
        <w:t>电网排放因子</w:t>
      </w:r>
      <w:r>
        <w:rPr>
          <w:rFonts w:ascii="宋体" w:hAnsi="宋体" w:eastAsia="宋体" w:cs="宋体"/>
          <w:spacing w:val="-55"/>
          <w:position w:val="-6"/>
          <w:sz w:val="15"/>
          <w:szCs w:val="15"/>
        </w:rPr>
        <w:t xml:space="preserve"> </w:t>
      </w:r>
      <w:r>
        <w:rPr>
          <w:rFonts w:ascii="宋体" w:hAnsi="宋体" w:eastAsia="宋体" w:cs="宋体"/>
          <w:sz w:val="21"/>
          <w:szCs w:val="21"/>
        </w:rPr>
        <w:t>——电网平均供电因子，单位为吨</w:t>
      </w:r>
      <w:r>
        <w:rPr>
          <w:rFonts w:ascii="宋体" w:hAnsi="宋体" w:eastAsia="宋体" w:cs="宋体"/>
          <w:spacing w:val="-1"/>
          <w:sz w:val="21"/>
          <w:szCs w:val="21"/>
        </w:rPr>
        <w:t>二氧化碳每兆瓦时（</w:t>
      </w:r>
      <w:r>
        <w:rPr>
          <w:rFonts w:ascii="Times New Roman" w:hAnsi="Times New Roman" w:eastAsia="Times New Roman" w:cs="Times New Roman"/>
          <w:spacing w:val="-1"/>
          <w:sz w:val="21"/>
          <w:szCs w:val="21"/>
        </w:rPr>
        <w:t>tCO</w:t>
      </w:r>
      <w:r>
        <w:rPr>
          <w:rFonts w:ascii="Times New Roman" w:hAnsi="Times New Roman" w:eastAsia="Times New Roman" w:cs="Times New Roman"/>
          <w:spacing w:val="-1"/>
          <w:position w:val="-1"/>
          <w:sz w:val="13"/>
          <w:szCs w:val="13"/>
        </w:rPr>
        <w:t>2</w:t>
      </w:r>
      <w:r>
        <w:rPr>
          <w:rFonts w:ascii="Times New Roman" w:hAnsi="Times New Roman" w:eastAsia="Times New Roman" w:cs="Times New Roman"/>
          <w:spacing w:val="-1"/>
          <w:sz w:val="21"/>
          <w:szCs w:val="21"/>
        </w:rPr>
        <w:t>/MWh</w:t>
      </w:r>
      <w:r>
        <w:rPr>
          <w:rFonts w:ascii="宋体" w:hAnsi="宋体" w:eastAsia="宋体" w:cs="宋体"/>
          <w:spacing w:val="-1"/>
          <w:sz w:val="21"/>
          <w:szCs w:val="21"/>
        </w:rPr>
        <w:t>）。</w:t>
      </w:r>
    </w:p>
    <w:p w14:paraId="4CDBF0AE">
      <w:pPr>
        <w:spacing w:before="229" w:line="219" w:lineRule="auto"/>
        <w:ind w:left="433"/>
        <w:rPr>
          <w:rFonts w:ascii="黑体" w:hAnsi="黑体" w:eastAsia="黑体" w:cs="黑体"/>
          <w:sz w:val="21"/>
          <w:szCs w:val="21"/>
        </w:rPr>
      </w:pPr>
      <w:r>
        <w:rPr>
          <w:rFonts w:ascii="黑体" w:hAnsi="黑体" w:eastAsia="黑体" w:cs="黑体"/>
          <w:b/>
          <w:bCs/>
          <w:spacing w:val="-1"/>
          <w:sz w:val="21"/>
          <w:szCs w:val="21"/>
        </w:rPr>
        <w:t>A.2</w:t>
      </w:r>
      <w:r>
        <w:rPr>
          <w:rFonts w:ascii="黑体" w:hAnsi="黑体" w:eastAsia="黑体" w:cs="黑体"/>
          <w:spacing w:val="-1"/>
          <w:sz w:val="21"/>
          <w:szCs w:val="21"/>
        </w:rPr>
        <w:t xml:space="preserve"> 社区植物碳汇减排量</w:t>
      </w:r>
    </w:p>
    <w:p w14:paraId="22689EA3">
      <w:pPr>
        <w:pStyle w:val="2"/>
        <w:spacing w:line="386" w:lineRule="auto"/>
      </w:pPr>
    </w:p>
    <w:p w14:paraId="1A281F28">
      <w:pPr>
        <w:spacing w:before="69" w:line="265" w:lineRule="auto"/>
        <w:ind w:right="233" w:firstLine="484"/>
        <w:jc w:val="both"/>
        <w:rPr>
          <w:rFonts w:ascii="宋体" w:hAnsi="宋体" w:eastAsia="宋体" w:cs="宋体"/>
          <w:sz w:val="21"/>
          <w:szCs w:val="21"/>
        </w:rPr>
      </w:pPr>
      <w:r>
        <w:rPr>
          <w:rFonts w:ascii="宋体" w:hAnsi="宋体" w:eastAsia="宋体" w:cs="宋体"/>
          <w:spacing w:val="6"/>
          <w:sz w:val="21"/>
          <w:szCs w:val="21"/>
        </w:rPr>
        <w:t>社区内植物碳汇的减碳量按式（</w:t>
      </w:r>
      <w:r>
        <w:rPr>
          <w:rFonts w:ascii="Times New Roman" w:hAnsi="Times New Roman" w:eastAsia="Times New Roman" w:cs="Times New Roman"/>
          <w:spacing w:val="6"/>
          <w:sz w:val="21"/>
          <w:szCs w:val="21"/>
        </w:rPr>
        <w:t>2</w:t>
      </w:r>
      <w:r>
        <w:rPr>
          <w:rFonts w:ascii="宋体" w:hAnsi="宋体" w:eastAsia="宋体" w:cs="宋体"/>
          <w:spacing w:val="6"/>
          <w:sz w:val="21"/>
          <w:szCs w:val="21"/>
        </w:rPr>
        <w:t>）计算，考虑植物对二氧化碳具有固</w:t>
      </w:r>
      <w:r>
        <w:rPr>
          <w:rFonts w:ascii="宋体" w:hAnsi="宋体" w:eastAsia="宋体" w:cs="宋体"/>
          <w:spacing w:val="5"/>
          <w:sz w:val="21"/>
          <w:szCs w:val="21"/>
        </w:rPr>
        <w:t>碳作用，单位面积碳</w:t>
      </w:r>
      <w:r>
        <w:rPr>
          <w:rFonts w:ascii="宋体" w:hAnsi="宋体" w:eastAsia="宋体" w:cs="宋体"/>
          <w:sz w:val="21"/>
          <w:szCs w:val="21"/>
        </w:rPr>
        <w:t xml:space="preserve"> </w:t>
      </w:r>
      <w:r>
        <w:rPr>
          <w:rFonts w:ascii="宋体" w:hAnsi="宋体" w:eastAsia="宋体" w:cs="宋体"/>
          <w:spacing w:val="4"/>
          <w:sz w:val="21"/>
          <w:szCs w:val="21"/>
        </w:rPr>
        <w:t>汇按照各省市实际情况取林地（含绿地）面积平均</w:t>
      </w:r>
      <w:r>
        <w:rPr>
          <w:rFonts w:ascii="宋体" w:hAnsi="宋体" w:eastAsia="宋体" w:cs="宋体"/>
          <w:spacing w:val="3"/>
          <w:sz w:val="21"/>
          <w:szCs w:val="21"/>
        </w:rPr>
        <w:t>二氧化碳固定量，</w:t>
      </w:r>
      <w:r>
        <w:rPr>
          <w:rFonts w:ascii="宋体" w:hAnsi="宋体" w:eastAsia="宋体" w:cs="宋体"/>
          <w:spacing w:val="-55"/>
          <w:sz w:val="21"/>
          <w:szCs w:val="21"/>
        </w:rPr>
        <w:t xml:space="preserve"> </w:t>
      </w:r>
      <w:r>
        <w:rPr>
          <w:rFonts w:ascii="宋体" w:hAnsi="宋体" w:eastAsia="宋体" w:cs="宋体"/>
          <w:spacing w:val="3"/>
          <w:sz w:val="21"/>
          <w:szCs w:val="21"/>
        </w:rPr>
        <w:t>得到固态系数，碳汇面积获</w:t>
      </w:r>
      <w:r>
        <w:rPr>
          <w:rFonts w:ascii="宋体" w:hAnsi="宋体" w:eastAsia="宋体" w:cs="宋体"/>
          <w:sz w:val="21"/>
          <w:szCs w:val="21"/>
        </w:rPr>
        <w:t xml:space="preserve"> </w:t>
      </w:r>
      <w:r>
        <w:rPr>
          <w:rFonts w:ascii="宋体" w:hAnsi="宋体" w:eastAsia="宋体" w:cs="宋体"/>
          <w:spacing w:val="7"/>
          <w:sz w:val="21"/>
          <w:szCs w:val="21"/>
        </w:rPr>
        <w:t>取社区内林绿地的绿化遥感解译数据，或相关项目建设资料中的绿化</w:t>
      </w:r>
      <w:r>
        <w:rPr>
          <w:rFonts w:ascii="宋体" w:hAnsi="宋体" w:eastAsia="宋体" w:cs="宋体"/>
          <w:spacing w:val="6"/>
          <w:sz w:val="21"/>
          <w:szCs w:val="21"/>
        </w:rPr>
        <w:t>面积数据。</w:t>
      </w:r>
    </w:p>
    <w:p w14:paraId="5D5D42E7">
      <w:pPr>
        <w:spacing w:before="1" w:line="222" w:lineRule="auto"/>
        <w:jc w:val="right"/>
        <w:rPr>
          <w:rFonts w:ascii="Cambria Math" w:hAnsi="Cambria Math" w:eastAsia="Cambria Math" w:cs="Cambria Math"/>
          <w:sz w:val="21"/>
          <w:szCs w:val="21"/>
        </w:rPr>
      </w:pPr>
      <w:r>
        <w:rPr>
          <w:rFonts w:ascii="Cambria Math" w:hAnsi="Cambria Math" w:eastAsia="Cambria Math" w:cs="Cambria Math"/>
          <w:spacing w:val="-3"/>
          <w:position w:val="3"/>
          <w:sz w:val="21"/>
          <w:szCs w:val="21"/>
        </w:rPr>
        <w:t>R</w:t>
      </w:r>
      <w:r>
        <w:rPr>
          <w:rFonts w:ascii="宋体" w:hAnsi="宋体" w:eastAsia="宋体" w:cs="宋体"/>
          <w:spacing w:val="-3"/>
          <w:position w:val="-4"/>
          <w:sz w:val="15"/>
          <w:szCs w:val="15"/>
        </w:rPr>
        <w:t xml:space="preserve">碳汇 </w:t>
      </w:r>
      <w:r>
        <w:rPr>
          <w:rFonts w:ascii="Cambria Math" w:hAnsi="Cambria Math" w:eastAsia="Cambria Math" w:cs="Cambria Math"/>
          <w:spacing w:val="-3"/>
          <w:position w:val="3"/>
          <w:sz w:val="21"/>
          <w:szCs w:val="21"/>
        </w:rPr>
        <w:t>=</w:t>
      </w:r>
      <w:r>
        <w:rPr>
          <w:rFonts w:ascii="Cambria Math" w:hAnsi="Cambria Math" w:eastAsia="Cambria Math" w:cs="Cambria Math"/>
          <w:spacing w:val="15"/>
          <w:w w:val="101"/>
          <w:position w:val="3"/>
          <w:sz w:val="21"/>
          <w:szCs w:val="21"/>
        </w:rPr>
        <w:t xml:space="preserve">  </w:t>
      </w:r>
      <w:r>
        <w:rPr>
          <w:rFonts w:ascii="Cambria Math" w:hAnsi="Cambria Math" w:eastAsia="Cambria Math" w:cs="Cambria Math"/>
          <w:spacing w:val="-3"/>
          <w:position w:val="3"/>
          <w:sz w:val="21"/>
          <w:szCs w:val="21"/>
        </w:rPr>
        <w:t>S</w:t>
      </w:r>
      <w:r>
        <w:rPr>
          <w:rFonts w:ascii="宋体" w:hAnsi="宋体" w:eastAsia="宋体" w:cs="宋体"/>
          <w:spacing w:val="-3"/>
          <w:position w:val="-4"/>
          <w:sz w:val="15"/>
          <w:szCs w:val="15"/>
        </w:rPr>
        <w:t xml:space="preserve">碳汇面积 </w:t>
      </w:r>
      <w:r>
        <w:rPr>
          <w:rFonts w:ascii="Cambria Math" w:hAnsi="Cambria Math" w:eastAsia="Cambria Math" w:cs="Cambria Math"/>
          <w:spacing w:val="-3"/>
          <w:position w:val="3"/>
          <w:sz w:val="21"/>
          <w:szCs w:val="21"/>
        </w:rPr>
        <w:t>×</w:t>
      </w:r>
      <w:r>
        <w:rPr>
          <w:rFonts w:ascii="Cambria Math" w:hAnsi="Cambria Math" w:eastAsia="Cambria Math" w:cs="Cambria Math"/>
          <w:spacing w:val="8"/>
          <w:position w:val="3"/>
          <w:sz w:val="21"/>
          <w:szCs w:val="21"/>
        </w:rPr>
        <w:t xml:space="preserve"> </w:t>
      </w:r>
      <w:r>
        <w:rPr>
          <w:rFonts w:ascii="Cambria Math" w:hAnsi="Cambria Math" w:eastAsia="Cambria Math" w:cs="Cambria Math"/>
          <w:spacing w:val="-3"/>
          <w:position w:val="3"/>
          <w:sz w:val="21"/>
          <w:szCs w:val="21"/>
        </w:rPr>
        <w:t>i</w:t>
      </w:r>
      <w:r>
        <w:rPr>
          <w:rFonts w:ascii="Cambria Math" w:hAnsi="Cambria Math" w:eastAsia="Cambria Math" w:cs="Cambria Math"/>
          <w:spacing w:val="-27"/>
          <w:position w:val="3"/>
          <w:sz w:val="21"/>
          <w:szCs w:val="21"/>
        </w:rPr>
        <w:t xml:space="preserve"> </w:t>
      </w:r>
      <w:r>
        <w:rPr>
          <w:rFonts w:ascii="宋体" w:hAnsi="宋体" w:eastAsia="宋体" w:cs="宋体"/>
          <w:spacing w:val="-3"/>
          <w:position w:val="-4"/>
          <w:sz w:val="15"/>
          <w:szCs w:val="15"/>
        </w:rPr>
        <w:t>固碳系数</w:t>
      </w:r>
      <w:r>
        <w:rPr>
          <w:rFonts w:ascii="宋体" w:hAnsi="宋体" w:eastAsia="宋体" w:cs="宋体"/>
          <w:spacing w:val="1"/>
          <w:position w:val="-4"/>
          <w:sz w:val="15"/>
          <w:szCs w:val="15"/>
        </w:rPr>
        <w:t xml:space="preserve">                      </w:t>
      </w:r>
      <w:r>
        <w:rPr>
          <w:rFonts w:ascii="宋体" w:hAnsi="宋体" w:eastAsia="宋体" w:cs="宋体"/>
          <w:position w:val="-4"/>
          <w:sz w:val="15"/>
          <w:szCs w:val="15"/>
        </w:rPr>
        <w:t xml:space="preserve">                    </w:t>
      </w:r>
      <w:r>
        <w:rPr>
          <w:rFonts w:ascii="Cambria Math" w:hAnsi="Cambria Math" w:eastAsia="Cambria Math" w:cs="Cambria Math"/>
          <w:spacing w:val="-3"/>
          <w:position w:val="3"/>
          <w:sz w:val="21"/>
          <w:szCs w:val="21"/>
        </w:rPr>
        <w:t>(2)</w:t>
      </w:r>
    </w:p>
    <w:p w14:paraId="28787BFB">
      <w:pPr>
        <w:pStyle w:val="2"/>
        <w:spacing w:line="337" w:lineRule="auto"/>
      </w:pPr>
    </w:p>
    <w:p w14:paraId="6FDD6629">
      <w:pPr>
        <w:spacing w:before="68" w:line="221" w:lineRule="auto"/>
        <w:ind w:left="995"/>
        <w:rPr>
          <w:rFonts w:ascii="宋体" w:hAnsi="宋体" w:eastAsia="宋体" w:cs="宋体"/>
          <w:sz w:val="21"/>
          <w:szCs w:val="21"/>
        </w:rPr>
      </w:pPr>
      <w:r>
        <w:rPr>
          <w:rFonts w:ascii="宋体" w:hAnsi="宋体" w:eastAsia="宋体" w:cs="宋体"/>
          <w:spacing w:val="-13"/>
          <w:sz w:val="21"/>
          <w:szCs w:val="21"/>
        </w:rPr>
        <w:t>式中：</w:t>
      </w:r>
    </w:p>
    <w:p w14:paraId="6E6577BC">
      <w:pPr>
        <w:spacing w:before="217" w:line="197" w:lineRule="auto"/>
        <w:ind w:left="1417"/>
        <w:rPr>
          <w:rFonts w:ascii="宋体" w:hAnsi="宋体" w:eastAsia="宋体" w:cs="宋体"/>
          <w:sz w:val="21"/>
          <w:szCs w:val="21"/>
        </w:rPr>
      </w:pPr>
      <w:r>
        <w:rPr>
          <w:rFonts w:ascii="Cambria Math" w:hAnsi="Cambria Math" w:eastAsia="Cambria Math" w:cs="Cambria Math"/>
          <w:position w:val="4"/>
          <w:sz w:val="21"/>
          <w:szCs w:val="21"/>
        </w:rPr>
        <w:t>R</w:t>
      </w:r>
      <w:r>
        <w:rPr>
          <w:rFonts w:ascii="宋体" w:hAnsi="宋体" w:eastAsia="宋体" w:cs="宋体"/>
          <w:position w:val="-5"/>
          <w:sz w:val="15"/>
          <w:szCs w:val="15"/>
        </w:rPr>
        <w:t>碳汇</w:t>
      </w:r>
      <w:r>
        <w:rPr>
          <w:rFonts w:ascii="Cambria Math" w:hAnsi="Cambria Math" w:eastAsia="Cambria Math" w:cs="Cambria Math"/>
          <w:sz w:val="21"/>
          <w:szCs w:val="21"/>
        </w:rPr>
        <w:t>— —</w:t>
      </w:r>
      <w:r>
        <w:rPr>
          <w:rFonts w:ascii="宋体" w:hAnsi="宋体" w:eastAsia="宋体" w:cs="宋体"/>
          <w:sz w:val="21"/>
          <w:szCs w:val="21"/>
        </w:rPr>
        <w:t>社区内植物碳汇的减碳量，单位为吨二氧化碳（</w:t>
      </w:r>
      <w:r>
        <w:rPr>
          <w:rFonts w:ascii="Times New Roman" w:hAnsi="Times New Roman" w:eastAsia="Times New Roman" w:cs="Times New Roman"/>
          <w:sz w:val="21"/>
          <w:szCs w:val="21"/>
        </w:rPr>
        <w:t>tCO</w:t>
      </w:r>
      <w:r>
        <w:rPr>
          <w:rFonts w:ascii="Times New Roman" w:hAnsi="Times New Roman" w:eastAsia="Times New Roman" w:cs="Times New Roman"/>
          <w:position w:val="-1"/>
          <w:sz w:val="13"/>
          <w:szCs w:val="13"/>
        </w:rPr>
        <w:t>2</w:t>
      </w:r>
      <w:r>
        <w:rPr>
          <w:rFonts w:ascii="宋体" w:hAnsi="宋体" w:eastAsia="宋体" w:cs="宋体"/>
          <w:spacing w:val="-12"/>
          <w:sz w:val="21"/>
          <w:szCs w:val="21"/>
        </w:rPr>
        <w:t>）；</w:t>
      </w:r>
    </w:p>
    <w:p w14:paraId="35152372">
      <w:pPr>
        <w:pStyle w:val="2"/>
        <w:spacing w:line="304" w:lineRule="auto"/>
      </w:pPr>
    </w:p>
    <w:p w14:paraId="65B2847E">
      <w:pPr>
        <w:spacing w:before="69" w:line="207" w:lineRule="auto"/>
        <w:ind w:left="1416"/>
        <w:rPr>
          <w:rFonts w:ascii="宋体" w:hAnsi="宋体" w:eastAsia="宋体" w:cs="宋体"/>
          <w:sz w:val="21"/>
          <w:szCs w:val="21"/>
        </w:rPr>
      </w:pPr>
      <w:r>
        <w:rPr>
          <w:rFonts w:ascii="Cambria Math" w:hAnsi="Cambria Math" w:eastAsia="Cambria Math" w:cs="Cambria Math"/>
          <w:position w:val="4"/>
          <w:sz w:val="21"/>
          <w:szCs w:val="21"/>
        </w:rPr>
        <w:t>S</w:t>
      </w:r>
      <w:r>
        <w:rPr>
          <w:rFonts w:ascii="宋体" w:hAnsi="宋体" w:eastAsia="宋体" w:cs="宋体"/>
          <w:position w:val="-4"/>
          <w:sz w:val="15"/>
          <w:szCs w:val="15"/>
        </w:rPr>
        <w:t>碳汇面积</w:t>
      </w:r>
      <w:r>
        <w:rPr>
          <w:rFonts w:ascii="Cambria Math" w:hAnsi="Cambria Math" w:eastAsia="Cambria Math" w:cs="Cambria Math"/>
          <w:sz w:val="21"/>
          <w:szCs w:val="21"/>
        </w:rPr>
        <w:t>— —</w:t>
      </w:r>
      <w:r>
        <w:rPr>
          <w:rFonts w:ascii="宋体" w:hAnsi="宋体" w:eastAsia="宋体" w:cs="宋体"/>
          <w:sz w:val="21"/>
          <w:szCs w:val="21"/>
        </w:rPr>
        <w:t>社区内绿化面积数据，单位为</w:t>
      </w:r>
      <w:r>
        <w:rPr>
          <w:rFonts w:ascii="宋体" w:hAnsi="宋体" w:eastAsia="宋体" w:cs="宋体"/>
          <w:spacing w:val="-1"/>
          <w:sz w:val="21"/>
          <w:szCs w:val="21"/>
        </w:rPr>
        <w:t>平方米（</w:t>
      </w:r>
      <w:r>
        <w:rPr>
          <w:rFonts w:ascii="Times New Roman" w:hAnsi="Times New Roman" w:eastAsia="Times New Roman" w:cs="Times New Roman"/>
          <w:spacing w:val="-1"/>
          <w:sz w:val="21"/>
          <w:szCs w:val="21"/>
        </w:rPr>
        <w:t>m</w:t>
      </w:r>
      <w:r>
        <w:rPr>
          <w:rFonts w:ascii="Times New Roman" w:hAnsi="Times New Roman" w:eastAsia="Times New Roman" w:cs="Times New Roman"/>
          <w:spacing w:val="-1"/>
          <w:position w:val="7"/>
          <w:sz w:val="13"/>
          <w:szCs w:val="13"/>
        </w:rPr>
        <w:t>2</w:t>
      </w:r>
      <w:r>
        <w:rPr>
          <w:rFonts w:ascii="宋体" w:hAnsi="宋体" w:eastAsia="宋体" w:cs="宋体"/>
          <w:spacing w:val="-13"/>
          <w:sz w:val="21"/>
          <w:szCs w:val="21"/>
        </w:rPr>
        <w:t>）；</w:t>
      </w:r>
    </w:p>
    <w:p w14:paraId="30AA4A33">
      <w:pPr>
        <w:pStyle w:val="2"/>
        <w:spacing w:line="287" w:lineRule="auto"/>
      </w:pPr>
    </w:p>
    <w:p w14:paraId="1081F53D">
      <w:pPr>
        <w:spacing w:before="68" w:line="404" w:lineRule="auto"/>
        <w:ind w:left="939" w:right="206" w:firstLine="474"/>
        <w:rPr>
          <w:rFonts w:ascii="宋体" w:hAnsi="宋体" w:eastAsia="宋体" w:cs="宋体"/>
          <w:sz w:val="21"/>
          <w:szCs w:val="21"/>
        </w:rPr>
      </w:pPr>
      <w:r>
        <w:rPr>
          <w:rFonts w:ascii="Cambria Math" w:hAnsi="Cambria Math" w:eastAsia="Cambria Math" w:cs="Cambria Math"/>
          <w:position w:val="4"/>
          <w:sz w:val="21"/>
          <w:szCs w:val="21"/>
        </w:rPr>
        <w:t>i</w:t>
      </w:r>
      <w:r>
        <w:rPr>
          <w:rFonts w:ascii="宋体" w:hAnsi="宋体" w:eastAsia="宋体" w:cs="宋体"/>
          <w:position w:val="-5"/>
          <w:sz w:val="15"/>
          <w:szCs w:val="15"/>
        </w:rPr>
        <w:t>固碳系数</w:t>
      </w:r>
      <w:r>
        <w:rPr>
          <w:rFonts w:ascii="Cambria Math" w:hAnsi="Cambria Math" w:eastAsia="Cambria Math" w:cs="Cambria Math"/>
          <w:sz w:val="21"/>
          <w:szCs w:val="21"/>
        </w:rPr>
        <w:t>— —</w:t>
      </w:r>
      <w:r>
        <w:rPr>
          <w:rFonts w:ascii="宋体" w:hAnsi="宋体" w:eastAsia="宋体" w:cs="宋体"/>
          <w:sz w:val="21"/>
          <w:szCs w:val="21"/>
        </w:rPr>
        <w:t>林地（含绿地）面积平均二氧化碳固定量，单位为吨二氧化碳</w:t>
      </w:r>
      <w:r>
        <w:rPr>
          <w:rFonts w:ascii="宋体" w:hAnsi="宋体" w:eastAsia="宋体" w:cs="宋体"/>
          <w:spacing w:val="-1"/>
          <w:sz w:val="21"/>
          <w:szCs w:val="21"/>
        </w:rPr>
        <w:t>每立方米</w:t>
      </w:r>
      <w:r>
        <w:rPr>
          <w:rFonts w:ascii="宋体" w:hAnsi="宋体" w:eastAsia="宋体" w:cs="宋体"/>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tCO</w:t>
      </w:r>
      <w:r>
        <w:rPr>
          <w:rFonts w:ascii="Times New Roman" w:hAnsi="Times New Roman" w:eastAsia="Times New Roman" w:cs="Times New Roman"/>
          <w:spacing w:val="-2"/>
          <w:position w:val="-2"/>
          <w:sz w:val="13"/>
          <w:szCs w:val="13"/>
        </w:rPr>
        <w:t>2</w:t>
      </w:r>
      <w:r>
        <w:rPr>
          <w:rFonts w:ascii="Times New Roman" w:hAnsi="Times New Roman" w:eastAsia="Times New Roman" w:cs="Times New Roman"/>
          <w:spacing w:val="-2"/>
          <w:sz w:val="21"/>
          <w:szCs w:val="21"/>
        </w:rPr>
        <w:t>/m</w:t>
      </w:r>
      <w:r>
        <w:rPr>
          <w:rFonts w:ascii="Times New Roman" w:hAnsi="Times New Roman" w:eastAsia="Times New Roman" w:cs="Times New Roman"/>
          <w:spacing w:val="-2"/>
          <w:position w:val="6"/>
          <w:sz w:val="13"/>
          <w:szCs w:val="13"/>
        </w:rPr>
        <w:t>2</w:t>
      </w:r>
      <w:r>
        <w:rPr>
          <w:rFonts w:ascii="宋体" w:hAnsi="宋体" w:eastAsia="宋体" w:cs="宋体"/>
          <w:spacing w:val="-2"/>
          <w:sz w:val="21"/>
          <w:szCs w:val="21"/>
        </w:rPr>
        <w:t>）。</w:t>
      </w:r>
    </w:p>
    <w:p w14:paraId="2E7680B2">
      <w:pPr>
        <w:spacing w:before="213" w:line="219" w:lineRule="auto"/>
        <w:ind w:left="433"/>
        <w:rPr>
          <w:rFonts w:ascii="黑体" w:hAnsi="黑体" w:eastAsia="黑体" w:cs="黑体"/>
          <w:sz w:val="21"/>
          <w:szCs w:val="21"/>
        </w:rPr>
      </w:pPr>
      <w:r>
        <w:rPr>
          <w:rFonts w:ascii="黑体" w:hAnsi="黑体" w:eastAsia="黑体" w:cs="黑体"/>
          <w:b/>
          <w:bCs/>
          <w:spacing w:val="-1"/>
          <w:sz w:val="21"/>
          <w:szCs w:val="21"/>
        </w:rPr>
        <w:t>A.3</w:t>
      </w:r>
      <w:r>
        <w:rPr>
          <w:rFonts w:ascii="黑体" w:hAnsi="黑体" w:eastAsia="黑体" w:cs="黑体"/>
          <w:spacing w:val="-1"/>
          <w:sz w:val="21"/>
          <w:szCs w:val="21"/>
        </w:rPr>
        <w:t xml:space="preserve"> 碳普惠减排量</w:t>
      </w:r>
    </w:p>
    <w:p w14:paraId="0D59D7CA">
      <w:pPr>
        <w:pStyle w:val="2"/>
        <w:spacing w:line="385" w:lineRule="auto"/>
      </w:pPr>
    </w:p>
    <w:p w14:paraId="517D014C">
      <w:pPr>
        <w:spacing w:before="69" w:line="221" w:lineRule="auto"/>
        <w:ind w:left="484"/>
        <w:rPr>
          <w:rFonts w:ascii="宋体" w:hAnsi="宋体" w:eastAsia="宋体" w:cs="宋体"/>
          <w:sz w:val="21"/>
          <w:szCs w:val="21"/>
        </w:rPr>
      </w:pPr>
      <w:r>
        <w:rPr>
          <w:rFonts w:ascii="宋体" w:hAnsi="宋体" w:eastAsia="宋体" w:cs="宋体"/>
          <w:spacing w:val="7"/>
          <w:sz w:val="21"/>
          <w:szCs w:val="21"/>
        </w:rPr>
        <w:t>社区居民低碳行动产生的碳减排量，参照如下方法进行核算。</w:t>
      </w:r>
    </w:p>
    <w:p w14:paraId="1E0D735E">
      <w:pPr>
        <w:spacing w:before="62" w:line="234" w:lineRule="auto"/>
        <w:ind w:left="481"/>
        <w:rPr>
          <w:rFonts w:ascii="宋体" w:hAnsi="宋体" w:eastAsia="宋体" w:cs="宋体"/>
          <w:sz w:val="21"/>
          <w:szCs w:val="21"/>
        </w:rPr>
      </w:pPr>
      <w:r>
        <w:rPr>
          <w:rFonts w:ascii="宋体" w:hAnsi="宋体" w:eastAsia="宋体" w:cs="宋体"/>
          <w:spacing w:val="4"/>
          <w:sz w:val="21"/>
          <w:szCs w:val="21"/>
        </w:rPr>
        <w:t>在约定的计入期内，</w:t>
      </w:r>
      <w:r>
        <w:rPr>
          <w:rFonts w:ascii="宋体" w:hAnsi="宋体" w:eastAsia="宋体" w:cs="宋体"/>
          <w:spacing w:val="-18"/>
          <w:sz w:val="21"/>
          <w:szCs w:val="21"/>
        </w:rPr>
        <w:t xml:space="preserve"> </w:t>
      </w:r>
      <w:r>
        <w:rPr>
          <w:rFonts w:ascii="宋体" w:hAnsi="宋体" w:eastAsia="宋体" w:cs="宋体"/>
          <w:spacing w:val="4"/>
          <w:sz w:val="21"/>
          <w:szCs w:val="21"/>
        </w:rPr>
        <w:t>非绿色低碳行为产生的温室气体基准线排放量按式（</w:t>
      </w:r>
      <w:r>
        <w:rPr>
          <w:rFonts w:ascii="Times New Roman" w:hAnsi="Times New Roman" w:eastAsia="Times New Roman" w:cs="Times New Roman"/>
          <w:spacing w:val="4"/>
          <w:sz w:val="21"/>
          <w:szCs w:val="21"/>
        </w:rPr>
        <w:t>3</w:t>
      </w:r>
      <w:r>
        <w:rPr>
          <w:rFonts w:ascii="宋体" w:hAnsi="宋体" w:eastAsia="宋体" w:cs="宋体"/>
          <w:spacing w:val="4"/>
          <w:sz w:val="21"/>
          <w:szCs w:val="21"/>
        </w:rPr>
        <w:t>）计算：</w:t>
      </w:r>
    </w:p>
    <w:p w14:paraId="14A02030">
      <w:pPr>
        <w:spacing w:line="234" w:lineRule="auto"/>
        <w:rPr>
          <w:rFonts w:ascii="宋体" w:hAnsi="宋体" w:eastAsia="宋体" w:cs="宋体"/>
          <w:sz w:val="21"/>
          <w:szCs w:val="21"/>
        </w:rPr>
        <w:sectPr>
          <w:headerReference r:id="rId23" w:type="default"/>
          <w:footerReference r:id="rId24" w:type="default"/>
          <w:pgSz w:w="11907" w:h="16839"/>
          <w:pgMar w:top="1205" w:right="1300" w:bottom="1648" w:left="1352" w:header="880" w:footer="1448" w:gutter="0"/>
          <w:cols w:space="720" w:num="1"/>
        </w:sectPr>
      </w:pPr>
    </w:p>
    <w:p w14:paraId="448C324A">
      <w:pPr>
        <w:spacing w:before="115" w:line="475" w:lineRule="exact"/>
        <w:jc w:val="right"/>
        <w:rPr>
          <w:rFonts w:ascii="Cambria Math" w:hAnsi="Cambria Math" w:eastAsia="Cambria Math" w:cs="Cambria Math"/>
          <w:sz w:val="21"/>
          <w:szCs w:val="21"/>
        </w:rPr>
      </w:pPr>
      <w:r>
        <w:rPr>
          <w:rFonts w:ascii="Cambria Math" w:hAnsi="Cambria Math" w:eastAsia="Cambria Math" w:cs="Cambria Math"/>
          <w:position w:val="15"/>
          <w:sz w:val="21"/>
          <w:szCs w:val="21"/>
        </w:rPr>
        <w:t>BE</w:t>
      </w:r>
      <w:r>
        <w:rPr>
          <w:rFonts w:ascii="Cambria Math" w:hAnsi="Cambria Math" w:eastAsia="Cambria Math" w:cs="Cambria Math"/>
          <w:position w:val="12"/>
          <w:sz w:val="15"/>
          <w:szCs w:val="15"/>
        </w:rPr>
        <w:t>y</w:t>
      </w:r>
      <w:r>
        <w:rPr>
          <w:rFonts w:ascii="Cambria Math" w:hAnsi="Cambria Math" w:eastAsia="Cambria Math" w:cs="Cambria Math"/>
          <w:spacing w:val="12"/>
          <w:position w:val="12"/>
          <w:sz w:val="15"/>
          <w:szCs w:val="15"/>
        </w:rPr>
        <w:t xml:space="preserve">  </w:t>
      </w:r>
      <w:r>
        <w:rPr>
          <w:rFonts w:ascii="Cambria Math" w:hAnsi="Cambria Math" w:eastAsia="Cambria Math" w:cs="Cambria Math"/>
          <w:spacing w:val="12"/>
          <w:position w:val="15"/>
          <w:sz w:val="21"/>
          <w:szCs w:val="21"/>
        </w:rPr>
        <w:t>=</w:t>
      </w:r>
      <w:r>
        <w:rPr>
          <w:rFonts w:ascii="Cambria Math" w:hAnsi="Cambria Math" w:eastAsia="Cambria Math" w:cs="Cambria Math"/>
          <w:spacing w:val="15"/>
          <w:position w:val="15"/>
          <w:sz w:val="21"/>
          <w:szCs w:val="21"/>
        </w:rPr>
        <w:t xml:space="preserve"> </w:t>
      </w:r>
      <w:r>
        <w:rPr>
          <w:rFonts w:ascii="Cambria Math" w:hAnsi="Cambria Math" w:eastAsia="Cambria Math" w:cs="Cambria Math"/>
          <w:spacing w:val="12"/>
          <w:position w:val="15"/>
          <w:sz w:val="21"/>
          <w:szCs w:val="21"/>
        </w:rPr>
        <w:t>∑</w:t>
      </w:r>
      <w:r>
        <w:rPr>
          <w:rFonts w:ascii="Cambria Math" w:hAnsi="Cambria Math" w:eastAsia="Cambria Math" w:cs="Cambria Math"/>
          <w:position w:val="-2"/>
          <w:sz w:val="15"/>
          <w:szCs w:val="15"/>
        </w:rPr>
        <w:t>i</w:t>
      </w:r>
      <w:r>
        <w:rPr>
          <w:rFonts w:ascii="Cambria Math" w:hAnsi="Cambria Math" w:eastAsia="Cambria Math" w:cs="Cambria Math"/>
          <w:position w:val="15"/>
          <w:sz w:val="21"/>
          <w:szCs w:val="21"/>
        </w:rPr>
        <w:t>AD</w:t>
      </w:r>
      <w:r>
        <w:rPr>
          <w:rFonts w:ascii="Cambria Math" w:hAnsi="Cambria Math" w:eastAsia="Cambria Math" w:cs="Cambria Math"/>
          <w:position w:val="12"/>
          <w:sz w:val="15"/>
          <w:szCs w:val="15"/>
        </w:rPr>
        <w:t>i</w:t>
      </w:r>
      <w:r>
        <w:rPr>
          <w:rFonts w:ascii="Cambria Math" w:hAnsi="Cambria Math" w:eastAsia="Cambria Math" w:cs="Cambria Math"/>
          <w:spacing w:val="12"/>
          <w:position w:val="12"/>
          <w:sz w:val="15"/>
          <w:szCs w:val="15"/>
        </w:rPr>
        <w:t xml:space="preserve">,y  </w:t>
      </w:r>
      <w:r>
        <w:rPr>
          <w:rFonts w:ascii="Cambria Math" w:hAnsi="Cambria Math" w:eastAsia="Cambria Math" w:cs="Cambria Math"/>
          <w:spacing w:val="12"/>
          <w:position w:val="15"/>
          <w:sz w:val="21"/>
          <w:szCs w:val="21"/>
        </w:rPr>
        <w:t xml:space="preserve">× </w:t>
      </w:r>
      <w:r>
        <w:rPr>
          <w:rFonts w:ascii="Cambria Math" w:hAnsi="Cambria Math" w:eastAsia="Cambria Math" w:cs="Cambria Math"/>
          <w:position w:val="15"/>
          <w:sz w:val="21"/>
          <w:szCs w:val="21"/>
        </w:rPr>
        <w:t>EF</w:t>
      </w:r>
      <w:r>
        <w:rPr>
          <w:rFonts w:ascii="Cambria Math" w:hAnsi="Cambria Math" w:eastAsia="Cambria Math" w:cs="Cambria Math"/>
          <w:position w:val="12"/>
          <w:sz w:val="15"/>
          <w:szCs w:val="15"/>
        </w:rPr>
        <w:t>i</w:t>
      </w:r>
      <w:r>
        <w:rPr>
          <w:rFonts w:ascii="Cambria Math" w:hAnsi="Cambria Math" w:eastAsia="Cambria Math" w:cs="Cambria Math"/>
          <w:spacing w:val="12"/>
          <w:position w:val="12"/>
          <w:sz w:val="15"/>
          <w:szCs w:val="15"/>
        </w:rPr>
        <w:t>,y</w:t>
      </w:r>
      <w:r>
        <w:rPr>
          <w:rFonts w:ascii="Cambria Math" w:hAnsi="Cambria Math" w:eastAsia="Cambria Math" w:cs="Cambria Math"/>
          <w:spacing w:val="1"/>
          <w:position w:val="12"/>
          <w:sz w:val="15"/>
          <w:szCs w:val="15"/>
        </w:rPr>
        <w:t xml:space="preserve">                           </w:t>
      </w:r>
      <w:r>
        <w:rPr>
          <w:rFonts w:ascii="Cambria Math" w:hAnsi="Cambria Math" w:eastAsia="Cambria Math" w:cs="Cambria Math"/>
          <w:position w:val="12"/>
          <w:sz w:val="15"/>
          <w:szCs w:val="15"/>
        </w:rPr>
        <w:t xml:space="preserve">                                                                          </w:t>
      </w:r>
      <w:r>
        <w:rPr>
          <w:rFonts w:ascii="Cambria Math" w:hAnsi="Cambria Math" w:eastAsia="Cambria Math" w:cs="Cambria Math"/>
          <w:spacing w:val="12"/>
          <w:position w:val="15"/>
          <w:sz w:val="21"/>
          <w:szCs w:val="21"/>
        </w:rPr>
        <w:t>(3)</w:t>
      </w:r>
    </w:p>
    <w:p w14:paraId="49E488A8">
      <w:pPr>
        <w:pStyle w:val="2"/>
        <w:spacing w:line="415" w:lineRule="auto"/>
      </w:pPr>
    </w:p>
    <w:p w14:paraId="7462C794">
      <w:pPr>
        <w:spacing w:before="68" w:line="221" w:lineRule="auto"/>
        <w:ind w:left="1002"/>
        <w:rPr>
          <w:rFonts w:ascii="宋体" w:hAnsi="宋体" w:eastAsia="宋体" w:cs="宋体"/>
          <w:sz w:val="21"/>
          <w:szCs w:val="21"/>
        </w:rPr>
      </w:pPr>
      <w:r>
        <w:rPr>
          <w:rFonts w:ascii="宋体" w:hAnsi="宋体" w:eastAsia="宋体" w:cs="宋体"/>
          <w:spacing w:val="-13"/>
          <w:sz w:val="21"/>
          <w:szCs w:val="21"/>
        </w:rPr>
        <w:t>式中：</w:t>
      </w:r>
    </w:p>
    <w:p w14:paraId="32FB67E1">
      <w:pPr>
        <w:spacing w:before="82" w:line="201" w:lineRule="auto"/>
        <w:ind w:left="1425"/>
        <w:rPr>
          <w:rFonts w:ascii="宋体" w:hAnsi="宋体" w:eastAsia="宋体" w:cs="宋体"/>
          <w:sz w:val="21"/>
          <w:szCs w:val="21"/>
        </w:rPr>
      </w:pPr>
      <w:r>
        <w:rPr>
          <w:rFonts w:ascii="Cambria Math" w:hAnsi="Cambria Math" w:eastAsia="Cambria Math" w:cs="Cambria Math"/>
          <w:position w:val="3"/>
          <w:sz w:val="21"/>
          <w:szCs w:val="21"/>
        </w:rPr>
        <w:t>BE</w:t>
      </w:r>
      <w:r>
        <w:rPr>
          <w:rFonts w:ascii="Cambria Math" w:hAnsi="Cambria Math" w:eastAsia="Cambria Math" w:cs="Cambria Math"/>
          <w:sz w:val="15"/>
          <w:szCs w:val="15"/>
        </w:rPr>
        <w:t>y</w:t>
      </w:r>
      <w:r>
        <w:rPr>
          <w:rFonts w:ascii="Cambria Math" w:hAnsi="Cambria Math" w:eastAsia="Cambria Math" w:cs="Cambria Math"/>
          <w:sz w:val="21"/>
          <w:szCs w:val="21"/>
        </w:rPr>
        <w:t>— —</w:t>
      </w:r>
      <w:r>
        <w:rPr>
          <w:rFonts w:ascii="宋体" w:hAnsi="宋体" w:eastAsia="宋体" w:cs="宋体"/>
          <w:sz w:val="21"/>
          <w:szCs w:val="21"/>
        </w:rPr>
        <w:t xml:space="preserve">第 </w:t>
      </w:r>
      <w:r>
        <w:rPr>
          <w:rFonts w:ascii="Times New Roman" w:hAnsi="Times New Roman" w:eastAsia="Times New Roman" w:cs="Times New Roman"/>
          <w:sz w:val="21"/>
          <w:szCs w:val="21"/>
        </w:rPr>
        <w:t xml:space="preserve">y  </w:t>
      </w:r>
      <w:r>
        <w:rPr>
          <w:rFonts w:ascii="宋体" w:hAnsi="宋体" w:eastAsia="宋体" w:cs="宋体"/>
          <w:sz w:val="21"/>
          <w:szCs w:val="21"/>
        </w:rPr>
        <w:t>计入期内基准线排放量，单位为吨二氧化碳当量（</w:t>
      </w:r>
      <w:r>
        <w:rPr>
          <w:rFonts w:ascii="Times New Roman" w:hAnsi="Times New Roman" w:eastAsia="Times New Roman" w:cs="Times New Roman"/>
          <w:sz w:val="21"/>
          <w:szCs w:val="21"/>
        </w:rPr>
        <w:t>tCO</w:t>
      </w:r>
      <w:r>
        <w:rPr>
          <w:rFonts w:ascii="Times New Roman" w:hAnsi="Times New Roman" w:eastAsia="Times New Roman" w:cs="Times New Roman"/>
          <w:position w:val="-2"/>
          <w:sz w:val="13"/>
          <w:szCs w:val="13"/>
        </w:rPr>
        <w:t>2</w:t>
      </w:r>
      <w:r>
        <w:rPr>
          <w:rFonts w:ascii="Times New Roman" w:hAnsi="Times New Roman" w:eastAsia="Times New Roman" w:cs="Times New Roman"/>
          <w:sz w:val="21"/>
          <w:szCs w:val="21"/>
        </w:rPr>
        <w:t>e</w:t>
      </w:r>
      <w:r>
        <w:rPr>
          <w:rFonts w:ascii="宋体" w:hAnsi="宋体" w:eastAsia="宋体" w:cs="宋体"/>
          <w:spacing w:val="-11"/>
          <w:sz w:val="21"/>
          <w:szCs w:val="21"/>
        </w:rPr>
        <w:t>）；</w:t>
      </w:r>
    </w:p>
    <w:p w14:paraId="27E49A2E">
      <w:pPr>
        <w:spacing w:before="116" w:line="217" w:lineRule="auto"/>
        <w:ind w:left="1396"/>
        <w:rPr>
          <w:rFonts w:ascii="宋体" w:hAnsi="宋体" w:eastAsia="宋体" w:cs="宋体"/>
          <w:sz w:val="21"/>
          <w:szCs w:val="21"/>
        </w:rPr>
      </w:pPr>
      <w:r>
        <w:rPr>
          <w:rFonts w:ascii="Cambria Math" w:hAnsi="Cambria Math" w:eastAsia="Cambria Math" w:cs="Cambria Math"/>
          <w:spacing w:val="-3"/>
          <w:sz w:val="21"/>
          <w:szCs w:val="21"/>
        </w:rPr>
        <w:t>AD</w:t>
      </w:r>
      <w:r>
        <w:rPr>
          <w:rFonts w:ascii="Cambria Math" w:hAnsi="Cambria Math" w:eastAsia="Cambria Math" w:cs="Cambria Math"/>
          <w:spacing w:val="-3"/>
          <w:position w:val="-4"/>
          <w:sz w:val="15"/>
          <w:szCs w:val="15"/>
        </w:rPr>
        <w:t>i,y</w:t>
      </w:r>
      <w:r>
        <w:rPr>
          <w:rFonts w:ascii="Cambria Math" w:hAnsi="Cambria Math" w:eastAsia="Cambria Math" w:cs="Cambria Math"/>
          <w:spacing w:val="-3"/>
          <w:sz w:val="21"/>
          <w:szCs w:val="21"/>
        </w:rPr>
        <w:t xml:space="preserve">— —  </w:t>
      </w:r>
      <w:r>
        <w:rPr>
          <w:rFonts w:ascii="Times New Roman" w:hAnsi="Times New Roman" w:eastAsia="Times New Roman" w:cs="Times New Roman"/>
          <w:spacing w:val="-3"/>
          <w:sz w:val="21"/>
          <w:szCs w:val="21"/>
        </w:rPr>
        <w:t xml:space="preserve">y  </w:t>
      </w:r>
      <w:r>
        <w:rPr>
          <w:rFonts w:ascii="宋体" w:hAnsi="宋体" w:eastAsia="宋体" w:cs="宋体"/>
          <w:spacing w:val="-3"/>
          <w:sz w:val="21"/>
          <w:szCs w:val="21"/>
        </w:rPr>
        <w:t xml:space="preserve">计入期内第 </w:t>
      </w:r>
      <w:r>
        <w:rPr>
          <w:rFonts w:ascii="Times New Roman" w:hAnsi="Times New Roman" w:eastAsia="Times New Roman" w:cs="Times New Roman"/>
          <w:spacing w:val="-3"/>
          <w:sz w:val="21"/>
          <w:szCs w:val="21"/>
        </w:rPr>
        <w:t xml:space="preserve">i  </w:t>
      </w:r>
      <w:r>
        <w:rPr>
          <w:rFonts w:ascii="宋体" w:hAnsi="宋体" w:eastAsia="宋体" w:cs="宋体"/>
          <w:spacing w:val="-3"/>
          <w:sz w:val="21"/>
          <w:szCs w:val="21"/>
        </w:rPr>
        <w:t>种基准线活动</w:t>
      </w:r>
      <w:r>
        <w:rPr>
          <w:rFonts w:ascii="宋体" w:hAnsi="宋体" w:eastAsia="宋体" w:cs="宋体"/>
          <w:spacing w:val="-4"/>
          <w:sz w:val="21"/>
          <w:szCs w:val="21"/>
        </w:rPr>
        <w:t>数据，单位是行为活动量（</w:t>
      </w:r>
      <w:r>
        <w:rPr>
          <w:rFonts w:ascii="Times New Roman" w:hAnsi="Times New Roman" w:eastAsia="Times New Roman" w:cs="Times New Roman"/>
          <w:spacing w:val="-4"/>
          <w:sz w:val="21"/>
          <w:szCs w:val="21"/>
        </w:rPr>
        <w:t>BAQ</w:t>
      </w:r>
      <w:r>
        <w:rPr>
          <w:rFonts w:ascii="宋体" w:hAnsi="宋体" w:eastAsia="宋体" w:cs="宋体"/>
          <w:spacing w:val="-15"/>
          <w:sz w:val="21"/>
          <w:szCs w:val="21"/>
        </w:rPr>
        <w:t>）；</w:t>
      </w:r>
    </w:p>
    <w:p w14:paraId="6606B883">
      <w:pPr>
        <w:spacing w:before="95" w:line="256" w:lineRule="auto"/>
        <w:ind w:left="942" w:right="115" w:firstLine="466"/>
        <w:rPr>
          <w:rFonts w:ascii="宋体" w:hAnsi="宋体" w:eastAsia="宋体" w:cs="宋体"/>
          <w:sz w:val="21"/>
          <w:szCs w:val="21"/>
        </w:rPr>
      </w:pPr>
      <w:r>
        <w:rPr>
          <w:rFonts w:ascii="Cambria Math" w:hAnsi="Cambria Math" w:eastAsia="Cambria Math" w:cs="Cambria Math"/>
          <w:spacing w:val="-4"/>
          <w:sz w:val="21"/>
          <w:szCs w:val="21"/>
        </w:rPr>
        <w:t>EF</w:t>
      </w:r>
      <w:r>
        <w:rPr>
          <w:rFonts w:ascii="Cambria Math" w:hAnsi="Cambria Math" w:eastAsia="Cambria Math" w:cs="Cambria Math"/>
          <w:spacing w:val="-4"/>
          <w:position w:val="-4"/>
          <w:sz w:val="15"/>
          <w:szCs w:val="15"/>
        </w:rPr>
        <w:t>i,y</w:t>
      </w:r>
      <w:r>
        <w:rPr>
          <w:rFonts w:ascii="Cambria Math" w:hAnsi="Cambria Math" w:eastAsia="Cambria Math" w:cs="Cambria Math"/>
          <w:spacing w:val="-4"/>
          <w:sz w:val="21"/>
          <w:szCs w:val="21"/>
        </w:rPr>
        <w:t>— —</w:t>
      </w:r>
      <w:r>
        <w:rPr>
          <w:rFonts w:ascii="宋体" w:hAnsi="宋体" w:eastAsia="宋体" w:cs="宋体"/>
          <w:spacing w:val="-4"/>
          <w:sz w:val="21"/>
          <w:szCs w:val="21"/>
        </w:rPr>
        <w:t xml:space="preserve">第 </w:t>
      </w:r>
      <w:r>
        <w:rPr>
          <w:rFonts w:ascii="Times New Roman" w:hAnsi="Times New Roman" w:eastAsia="Times New Roman" w:cs="Times New Roman"/>
          <w:spacing w:val="-4"/>
          <w:sz w:val="21"/>
          <w:szCs w:val="21"/>
        </w:rPr>
        <w:t>y</w:t>
      </w:r>
      <w:r>
        <w:rPr>
          <w:rFonts w:ascii="Times New Roman" w:hAnsi="Times New Roman" w:eastAsia="Times New Roman" w:cs="Times New Roman"/>
          <w:spacing w:val="50"/>
          <w:sz w:val="21"/>
          <w:szCs w:val="21"/>
        </w:rPr>
        <w:t xml:space="preserve"> </w:t>
      </w:r>
      <w:r>
        <w:rPr>
          <w:rFonts w:ascii="宋体" w:hAnsi="宋体" w:eastAsia="宋体" w:cs="宋体"/>
          <w:spacing w:val="-4"/>
          <w:sz w:val="21"/>
          <w:szCs w:val="21"/>
        </w:rPr>
        <w:t xml:space="preserve">计入期内第 </w:t>
      </w:r>
      <w:r>
        <w:rPr>
          <w:rFonts w:ascii="Times New Roman" w:hAnsi="Times New Roman" w:eastAsia="Times New Roman" w:cs="Times New Roman"/>
          <w:spacing w:val="-4"/>
          <w:sz w:val="21"/>
          <w:szCs w:val="21"/>
        </w:rPr>
        <w:t xml:space="preserve">i  </w:t>
      </w:r>
      <w:r>
        <w:rPr>
          <w:rFonts w:ascii="宋体" w:hAnsi="宋体" w:eastAsia="宋体" w:cs="宋体"/>
          <w:spacing w:val="-4"/>
          <w:sz w:val="21"/>
          <w:szCs w:val="21"/>
        </w:rPr>
        <w:t>种基准</w:t>
      </w:r>
      <w:r>
        <w:rPr>
          <w:rFonts w:ascii="宋体" w:hAnsi="宋体" w:eastAsia="宋体" w:cs="宋体"/>
          <w:spacing w:val="-5"/>
          <w:sz w:val="21"/>
          <w:szCs w:val="21"/>
        </w:rPr>
        <w:t>线活动的排放因子，单位为吨二氧化碳当量每行为</w:t>
      </w:r>
      <w:r>
        <w:rPr>
          <w:rFonts w:ascii="宋体" w:hAnsi="宋体" w:eastAsia="宋体" w:cs="宋体"/>
          <w:sz w:val="21"/>
          <w:szCs w:val="21"/>
        </w:rPr>
        <w:t xml:space="preserve"> </w:t>
      </w:r>
      <w:r>
        <w:rPr>
          <w:rFonts w:ascii="宋体" w:hAnsi="宋体" w:eastAsia="宋体" w:cs="宋体"/>
          <w:spacing w:val="-5"/>
          <w:sz w:val="21"/>
          <w:szCs w:val="21"/>
        </w:rPr>
        <w:t>活动量（</w:t>
      </w:r>
      <w:r>
        <w:rPr>
          <w:rFonts w:ascii="Times New Roman" w:hAnsi="Times New Roman" w:eastAsia="Times New Roman" w:cs="Times New Roman"/>
          <w:spacing w:val="-5"/>
          <w:sz w:val="21"/>
          <w:szCs w:val="21"/>
        </w:rPr>
        <w:t>tCO</w:t>
      </w:r>
      <w:r>
        <w:rPr>
          <w:rFonts w:ascii="Times New Roman" w:hAnsi="Times New Roman" w:eastAsia="Times New Roman" w:cs="Times New Roman"/>
          <w:spacing w:val="-5"/>
          <w:position w:val="-1"/>
          <w:sz w:val="13"/>
          <w:szCs w:val="13"/>
        </w:rPr>
        <w:t>2</w:t>
      </w:r>
      <w:r>
        <w:rPr>
          <w:rFonts w:ascii="Times New Roman" w:hAnsi="Times New Roman" w:eastAsia="Times New Roman" w:cs="Times New Roman"/>
          <w:spacing w:val="-5"/>
          <w:sz w:val="21"/>
          <w:szCs w:val="21"/>
        </w:rPr>
        <w:t>e/BAQ</w:t>
      </w:r>
      <w:r>
        <w:rPr>
          <w:rFonts w:ascii="宋体" w:hAnsi="宋体" w:eastAsia="宋体" w:cs="宋体"/>
          <w:spacing w:val="-5"/>
          <w:sz w:val="21"/>
          <w:szCs w:val="21"/>
        </w:rPr>
        <w:t>）。</w:t>
      </w:r>
    </w:p>
    <w:p w14:paraId="3F91909D">
      <w:pPr>
        <w:pStyle w:val="2"/>
        <w:spacing w:line="393" w:lineRule="auto"/>
      </w:pPr>
    </w:p>
    <w:p w14:paraId="4FCAB25B">
      <w:pPr>
        <w:spacing w:before="69" w:line="234" w:lineRule="auto"/>
        <w:ind w:left="489"/>
        <w:rPr>
          <w:rFonts w:ascii="宋体" w:hAnsi="宋体" w:eastAsia="宋体" w:cs="宋体"/>
          <w:sz w:val="21"/>
          <w:szCs w:val="21"/>
        </w:rPr>
      </w:pPr>
      <w:r>
        <w:rPr>
          <w:rFonts w:ascii="宋体" w:hAnsi="宋体" w:eastAsia="宋体" w:cs="宋体"/>
          <w:spacing w:val="4"/>
          <w:sz w:val="21"/>
          <w:szCs w:val="21"/>
        </w:rPr>
        <w:t>在约定的计入期内，</w:t>
      </w:r>
      <w:r>
        <w:rPr>
          <w:rFonts w:ascii="宋体" w:hAnsi="宋体" w:eastAsia="宋体" w:cs="宋体"/>
          <w:spacing w:val="-29"/>
          <w:sz w:val="21"/>
          <w:szCs w:val="21"/>
        </w:rPr>
        <w:t xml:space="preserve"> </w:t>
      </w:r>
      <w:r>
        <w:rPr>
          <w:rFonts w:ascii="宋体" w:hAnsi="宋体" w:eastAsia="宋体" w:cs="宋体"/>
          <w:spacing w:val="4"/>
          <w:sz w:val="21"/>
          <w:szCs w:val="21"/>
        </w:rPr>
        <w:t>绿色低碳行为产生的温室气体排放量按式（</w:t>
      </w:r>
      <w:r>
        <w:rPr>
          <w:rFonts w:ascii="Times New Roman" w:hAnsi="Times New Roman" w:eastAsia="Times New Roman" w:cs="Times New Roman"/>
          <w:spacing w:val="3"/>
          <w:sz w:val="21"/>
          <w:szCs w:val="21"/>
        </w:rPr>
        <w:t>4</w:t>
      </w:r>
      <w:r>
        <w:rPr>
          <w:rFonts w:ascii="宋体" w:hAnsi="宋体" w:eastAsia="宋体" w:cs="宋体"/>
          <w:spacing w:val="3"/>
          <w:sz w:val="21"/>
          <w:szCs w:val="21"/>
        </w:rPr>
        <w:t>）计算：</w:t>
      </w:r>
    </w:p>
    <w:p w14:paraId="78A1589A">
      <w:pPr>
        <w:spacing w:before="122"/>
        <w:jc w:val="right"/>
        <w:rPr>
          <w:rFonts w:ascii="Cambria Math" w:hAnsi="Cambria Math" w:eastAsia="Cambria Math" w:cs="Cambria Math"/>
          <w:sz w:val="21"/>
          <w:szCs w:val="21"/>
        </w:rPr>
      </w:pPr>
      <w:r>
        <w:rPr>
          <w:rFonts w:ascii="Cambria Math" w:hAnsi="Cambria Math" w:eastAsia="Cambria Math" w:cs="Cambria Math"/>
          <w:position w:val="1"/>
          <w:sz w:val="21"/>
          <w:szCs w:val="21"/>
        </w:rPr>
        <w:t>PE</w:t>
      </w:r>
      <w:r>
        <w:rPr>
          <w:rFonts w:ascii="Cambria Math" w:hAnsi="Cambria Math" w:eastAsia="Cambria Math" w:cs="Cambria Math"/>
          <w:position w:val="-2"/>
          <w:sz w:val="15"/>
          <w:szCs w:val="15"/>
        </w:rPr>
        <w:t>y</w:t>
      </w:r>
      <w:r>
        <w:rPr>
          <w:rFonts w:ascii="Cambria Math" w:hAnsi="Cambria Math" w:eastAsia="Cambria Math" w:cs="Cambria Math"/>
          <w:spacing w:val="1"/>
          <w:position w:val="-2"/>
          <w:sz w:val="15"/>
          <w:szCs w:val="15"/>
        </w:rPr>
        <w:t xml:space="preserve">  </w:t>
      </w:r>
      <w:r>
        <w:rPr>
          <w:rFonts w:ascii="Cambria Math" w:hAnsi="Cambria Math" w:eastAsia="Cambria Math" w:cs="Cambria Math"/>
          <w:spacing w:val="1"/>
          <w:position w:val="1"/>
          <w:sz w:val="21"/>
          <w:szCs w:val="21"/>
        </w:rPr>
        <w:t>=</w:t>
      </w:r>
      <w:r>
        <w:rPr>
          <w:rFonts w:ascii="Cambria Math" w:hAnsi="Cambria Math" w:eastAsia="Cambria Math" w:cs="Cambria Math"/>
          <w:spacing w:val="15"/>
          <w:position w:val="1"/>
          <w:sz w:val="21"/>
          <w:szCs w:val="21"/>
        </w:rPr>
        <w:t xml:space="preserve"> </w:t>
      </w:r>
      <w:r>
        <w:rPr>
          <w:position w:val="-17"/>
          <w:sz w:val="21"/>
          <w:szCs w:val="21"/>
        </w:rPr>
        <w:drawing>
          <wp:inline distT="0" distB="0" distL="0" distR="0">
            <wp:extent cx="206375" cy="3009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8"/>
                    <a:stretch>
                      <a:fillRect/>
                    </a:stretch>
                  </pic:blipFill>
                  <pic:spPr>
                    <a:xfrm>
                      <a:off x="0" y="0"/>
                      <a:ext cx="206520" cy="301414"/>
                    </a:xfrm>
                    <a:prstGeom prst="rect">
                      <a:avLst/>
                    </a:prstGeom>
                  </pic:spPr>
                </pic:pic>
              </a:graphicData>
            </a:graphic>
          </wp:inline>
        </w:drawing>
      </w:r>
      <w:r>
        <w:rPr>
          <w:rFonts w:ascii="Cambria Math" w:hAnsi="Cambria Math" w:eastAsia="Cambria Math" w:cs="Cambria Math"/>
          <w:position w:val="1"/>
          <w:sz w:val="21"/>
          <w:szCs w:val="21"/>
        </w:rPr>
        <w:t>AD</w:t>
      </w:r>
      <w:r>
        <w:rPr>
          <w:rFonts w:ascii="Cambria Math" w:hAnsi="Cambria Math" w:eastAsia="Cambria Math" w:cs="Cambria Math"/>
          <w:position w:val="-2"/>
          <w:sz w:val="15"/>
          <w:szCs w:val="15"/>
        </w:rPr>
        <w:t>j</w:t>
      </w:r>
      <w:r>
        <w:rPr>
          <w:rFonts w:ascii="Cambria Math" w:hAnsi="Cambria Math" w:eastAsia="Cambria Math" w:cs="Cambria Math"/>
          <w:spacing w:val="1"/>
          <w:position w:val="-2"/>
          <w:sz w:val="15"/>
          <w:szCs w:val="15"/>
        </w:rPr>
        <w:t xml:space="preserve">,y  </w:t>
      </w:r>
      <w:r>
        <w:rPr>
          <w:rFonts w:ascii="Cambria Math" w:hAnsi="Cambria Math" w:eastAsia="Cambria Math" w:cs="Cambria Math"/>
          <w:spacing w:val="1"/>
          <w:position w:val="1"/>
          <w:sz w:val="21"/>
          <w:szCs w:val="21"/>
        </w:rPr>
        <w:t>×</w:t>
      </w:r>
      <w:r>
        <w:rPr>
          <w:rFonts w:ascii="Cambria Math" w:hAnsi="Cambria Math" w:eastAsia="Cambria Math" w:cs="Cambria Math"/>
          <w:spacing w:val="12"/>
          <w:w w:val="101"/>
          <w:position w:val="1"/>
          <w:sz w:val="21"/>
          <w:szCs w:val="21"/>
        </w:rPr>
        <w:t xml:space="preserve"> </w:t>
      </w:r>
      <w:r>
        <w:rPr>
          <w:rFonts w:ascii="Cambria Math" w:hAnsi="Cambria Math" w:eastAsia="Cambria Math" w:cs="Cambria Math"/>
          <w:position w:val="1"/>
          <w:sz w:val="21"/>
          <w:szCs w:val="21"/>
        </w:rPr>
        <w:t>EF</w:t>
      </w:r>
      <w:r>
        <w:rPr>
          <w:rFonts w:ascii="Cambria Math" w:hAnsi="Cambria Math" w:eastAsia="Cambria Math" w:cs="Cambria Math"/>
          <w:position w:val="-2"/>
          <w:sz w:val="15"/>
          <w:szCs w:val="15"/>
        </w:rPr>
        <w:t>j</w:t>
      </w:r>
      <w:r>
        <w:rPr>
          <w:rFonts w:ascii="Cambria Math" w:hAnsi="Cambria Math" w:eastAsia="Cambria Math" w:cs="Cambria Math"/>
          <w:spacing w:val="1"/>
          <w:position w:val="-2"/>
          <w:sz w:val="15"/>
          <w:szCs w:val="15"/>
        </w:rPr>
        <w:t xml:space="preserve">,y                                                                                              </w:t>
      </w:r>
      <w:r>
        <w:rPr>
          <w:rFonts w:ascii="Cambria Math" w:hAnsi="Cambria Math" w:eastAsia="Cambria Math" w:cs="Cambria Math"/>
          <w:position w:val="-2"/>
          <w:sz w:val="15"/>
          <w:szCs w:val="15"/>
        </w:rPr>
        <w:t xml:space="preserve">      </w:t>
      </w:r>
      <w:r>
        <w:rPr>
          <w:rFonts w:ascii="Cambria Math" w:hAnsi="Cambria Math" w:eastAsia="Cambria Math" w:cs="Cambria Math"/>
          <w:position w:val="1"/>
          <w:sz w:val="21"/>
          <w:szCs w:val="21"/>
        </w:rPr>
        <w:t>(4)</w:t>
      </w:r>
    </w:p>
    <w:p w14:paraId="186669F8">
      <w:pPr>
        <w:spacing w:before="150" w:line="221" w:lineRule="auto"/>
        <w:ind w:left="1002"/>
        <w:rPr>
          <w:rFonts w:ascii="宋体" w:hAnsi="宋体" w:eastAsia="宋体" w:cs="宋体"/>
          <w:sz w:val="21"/>
          <w:szCs w:val="21"/>
        </w:rPr>
      </w:pPr>
      <w:r>
        <w:rPr>
          <w:rFonts w:ascii="宋体" w:hAnsi="宋体" w:eastAsia="宋体" w:cs="宋体"/>
          <w:spacing w:val="-13"/>
          <w:sz w:val="21"/>
          <w:szCs w:val="21"/>
        </w:rPr>
        <w:t>式中：</w:t>
      </w:r>
    </w:p>
    <w:p w14:paraId="744D5666">
      <w:pPr>
        <w:spacing w:before="81" w:line="217" w:lineRule="auto"/>
        <w:ind w:left="1425"/>
        <w:rPr>
          <w:rFonts w:ascii="宋体" w:hAnsi="宋体" w:eastAsia="宋体" w:cs="宋体"/>
          <w:sz w:val="21"/>
          <w:szCs w:val="21"/>
        </w:rPr>
      </w:pPr>
      <w:r>
        <w:rPr>
          <w:rFonts w:ascii="Cambria Math" w:hAnsi="Cambria Math" w:eastAsia="Cambria Math" w:cs="Cambria Math"/>
          <w:position w:val="-1"/>
          <w:sz w:val="21"/>
          <w:szCs w:val="21"/>
        </w:rPr>
        <w:t>PE</w:t>
      </w:r>
      <w:r>
        <w:rPr>
          <w:rFonts w:ascii="Cambria Math" w:hAnsi="Cambria Math" w:eastAsia="Cambria Math" w:cs="Cambria Math"/>
          <w:position w:val="-6"/>
          <w:sz w:val="15"/>
          <w:szCs w:val="15"/>
        </w:rPr>
        <w:t>y</w:t>
      </w:r>
      <w:r>
        <w:rPr>
          <w:rFonts w:ascii="Cambria Math" w:hAnsi="Cambria Math" w:eastAsia="Cambria Math" w:cs="Cambria Math"/>
          <w:position w:val="-1"/>
          <w:sz w:val="21"/>
          <w:szCs w:val="21"/>
        </w:rPr>
        <w:t>— —</w:t>
      </w:r>
      <w:r>
        <w:rPr>
          <w:rFonts w:ascii="宋体" w:hAnsi="宋体" w:eastAsia="宋体" w:cs="宋体"/>
          <w:sz w:val="21"/>
          <w:szCs w:val="21"/>
        </w:rPr>
        <w:t xml:space="preserve">第 </w:t>
      </w:r>
      <w:r>
        <w:rPr>
          <w:rFonts w:ascii="Times New Roman" w:hAnsi="Times New Roman" w:eastAsia="Times New Roman" w:cs="Times New Roman"/>
          <w:sz w:val="21"/>
          <w:szCs w:val="21"/>
        </w:rPr>
        <w:t xml:space="preserve">y  </w:t>
      </w:r>
      <w:r>
        <w:rPr>
          <w:rFonts w:ascii="宋体" w:hAnsi="宋体" w:eastAsia="宋体" w:cs="宋体"/>
          <w:sz w:val="21"/>
          <w:szCs w:val="21"/>
        </w:rPr>
        <w:t>计入期内绿色低碳行为排放量，单位为吨二氧化碳当量（</w:t>
      </w:r>
      <w:r>
        <w:rPr>
          <w:rFonts w:ascii="Times New Roman" w:hAnsi="Times New Roman" w:eastAsia="Times New Roman" w:cs="Times New Roman"/>
          <w:sz w:val="21"/>
          <w:szCs w:val="21"/>
        </w:rPr>
        <w:t>tCO</w:t>
      </w:r>
      <w:r>
        <w:rPr>
          <w:rFonts w:ascii="Times New Roman" w:hAnsi="Times New Roman" w:eastAsia="Times New Roman" w:cs="Times New Roman"/>
          <w:position w:val="-1"/>
          <w:sz w:val="13"/>
          <w:szCs w:val="13"/>
        </w:rPr>
        <w:t>2</w:t>
      </w:r>
      <w:r>
        <w:rPr>
          <w:rFonts w:ascii="Times New Roman" w:hAnsi="Times New Roman" w:eastAsia="Times New Roman" w:cs="Times New Roman"/>
          <w:sz w:val="21"/>
          <w:szCs w:val="21"/>
        </w:rPr>
        <w:t>e</w:t>
      </w:r>
      <w:r>
        <w:rPr>
          <w:rFonts w:ascii="宋体" w:hAnsi="宋体" w:eastAsia="宋体" w:cs="宋体"/>
          <w:spacing w:val="-11"/>
          <w:sz w:val="21"/>
          <w:szCs w:val="21"/>
        </w:rPr>
        <w:t>）；</w:t>
      </w:r>
    </w:p>
    <w:p w14:paraId="665F6F21">
      <w:pPr>
        <w:spacing w:before="69" w:line="252" w:lineRule="auto"/>
        <w:ind w:left="936" w:right="154" w:firstLine="477"/>
        <w:rPr>
          <w:rFonts w:ascii="宋体" w:hAnsi="宋体" w:eastAsia="宋体" w:cs="宋体"/>
          <w:sz w:val="21"/>
          <w:szCs w:val="21"/>
        </w:rPr>
      </w:pPr>
      <w:r>
        <w:rPr>
          <w:rFonts w:ascii="Cambria Math" w:hAnsi="Cambria Math" w:eastAsia="Cambria Math" w:cs="Cambria Math"/>
          <w:position w:val="-1"/>
          <w:sz w:val="21"/>
          <w:szCs w:val="21"/>
        </w:rPr>
        <w:t>AD</w:t>
      </w:r>
      <w:r>
        <w:rPr>
          <w:rFonts w:ascii="Cambria Math" w:hAnsi="Cambria Math" w:eastAsia="Cambria Math" w:cs="Cambria Math"/>
          <w:position w:val="-5"/>
          <w:sz w:val="15"/>
          <w:szCs w:val="15"/>
        </w:rPr>
        <w:t>j</w:t>
      </w:r>
      <w:r>
        <w:rPr>
          <w:rFonts w:ascii="Cambria Math" w:hAnsi="Cambria Math" w:eastAsia="Cambria Math" w:cs="Cambria Math"/>
          <w:spacing w:val="1"/>
          <w:position w:val="-5"/>
          <w:sz w:val="15"/>
          <w:szCs w:val="15"/>
        </w:rPr>
        <w:t>,y</w:t>
      </w:r>
      <w:r>
        <w:rPr>
          <w:rFonts w:ascii="Cambria Math" w:hAnsi="Cambria Math" w:eastAsia="Cambria Math" w:cs="Cambria Math"/>
          <w:spacing w:val="1"/>
          <w:position w:val="-1"/>
          <w:sz w:val="21"/>
          <w:szCs w:val="21"/>
        </w:rPr>
        <w:t>— —</w:t>
      </w:r>
      <w:r>
        <w:rPr>
          <w:rFonts w:ascii="宋体" w:hAnsi="宋体" w:eastAsia="宋体" w:cs="宋体"/>
          <w:spacing w:val="1"/>
          <w:sz w:val="21"/>
          <w:szCs w:val="21"/>
        </w:rPr>
        <w:t xml:space="preserve">第 </w:t>
      </w:r>
      <w:r>
        <w:rPr>
          <w:rFonts w:ascii="Times New Roman" w:hAnsi="Times New Roman" w:eastAsia="Times New Roman" w:cs="Times New Roman"/>
          <w:spacing w:val="1"/>
          <w:sz w:val="21"/>
          <w:szCs w:val="21"/>
        </w:rPr>
        <w:t xml:space="preserve">y  </w:t>
      </w:r>
      <w:r>
        <w:rPr>
          <w:rFonts w:ascii="宋体" w:hAnsi="宋体" w:eastAsia="宋体" w:cs="宋体"/>
          <w:spacing w:val="1"/>
          <w:sz w:val="21"/>
          <w:szCs w:val="21"/>
        </w:rPr>
        <w:t>计入期内第</w:t>
      </w:r>
      <w:r>
        <w:rPr>
          <w:rFonts w:ascii="Times New Roman" w:hAnsi="Times New Roman" w:eastAsia="Times New Roman" w:cs="Times New Roman"/>
          <w:spacing w:val="1"/>
          <w:sz w:val="21"/>
          <w:szCs w:val="21"/>
        </w:rPr>
        <w:t xml:space="preserve">j  </w:t>
      </w:r>
      <w:r>
        <w:rPr>
          <w:rFonts w:ascii="宋体" w:hAnsi="宋体" w:eastAsia="宋体" w:cs="宋体"/>
          <w:spacing w:val="1"/>
          <w:sz w:val="21"/>
          <w:szCs w:val="21"/>
        </w:rPr>
        <w:t>种绿</w:t>
      </w:r>
      <w:r>
        <w:rPr>
          <w:rFonts w:ascii="宋体" w:hAnsi="宋体" w:eastAsia="宋体" w:cs="宋体"/>
          <w:sz w:val="21"/>
          <w:szCs w:val="21"/>
        </w:rPr>
        <w:t>色低碳行为活动数据，单位为绿色行为活动量（</w:t>
      </w:r>
      <w:r>
        <w:rPr>
          <w:rFonts w:ascii="Times New Roman" w:hAnsi="Times New Roman" w:eastAsia="Times New Roman" w:cs="Times New Roman"/>
          <w:sz w:val="21"/>
          <w:szCs w:val="21"/>
        </w:rPr>
        <w:t xml:space="preserve">G- </w:t>
      </w:r>
      <w:r>
        <w:rPr>
          <w:rFonts w:ascii="Times New Roman" w:hAnsi="Times New Roman" w:eastAsia="Times New Roman" w:cs="Times New Roman"/>
          <w:spacing w:val="-1"/>
          <w:sz w:val="21"/>
          <w:szCs w:val="21"/>
        </w:rPr>
        <w:t>BAQ</w:t>
      </w:r>
      <w:r>
        <w:rPr>
          <w:rFonts w:ascii="宋体" w:hAnsi="宋体" w:eastAsia="宋体" w:cs="宋体"/>
          <w:spacing w:val="-13"/>
          <w:sz w:val="21"/>
          <w:szCs w:val="21"/>
        </w:rPr>
        <w:t>）；</w:t>
      </w:r>
    </w:p>
    <w:p w14:paraId="67196361">
      <w:pPr>
        <w:spacing w:before="68" w:line="251" w:lineRule="auto"/>
        <w:ind w:left="941" w:right="87" w:firstLine="484"/>
        <w:rPr>
          <w:rFonts w:ascii="宋体" w:hAnsi="宋体" w:eastAsia="宋体" w:cs="宋体"/>
          <w:sz w:val="21"/>
          <w:szCs w:val="21"/>
        </w:rPr>
      </w:pPr>
      <w:r>
        <w:rPr>
          <w:rFonts w:ascii="Cambria Math" w:hAnsi="Cambria Math" w:eastAsia="Cambria Math" w:cs="Cambria Math"/>
          <w:position w:val="-1"/>
          <w:sz w:val="21"/>
          <w:szCs w:val="21"/>
        </w:rPr>
        <w:t>EF</w:t>
      </w:r>
      <w:r>
        <w:rPr>
          <w:rFonts w:ascii="Cambria Math" w:hAnsi="Cambria Math" w:eastAsia="Cambria Math" w:cs="Cambria Math"/>
          <w:position w:val="-5"/>
          <w:sz w:val="15"/>
          <w:szCs w:val="15"/>
        </w:rPr>
        <w:t>j,y</w:t>
      </w:r>
      <w:r>
        <w:rPr>
          <w:rFonts w:ascii="Cambria Math" w:hAnsi="Cambria Math" w:eastAsia="Cambria Math" w:cs="Cambria Math"/>
          <w:position w:val="-1"/>
          <w:sz w:val="21"/>
          <w:szCs w:val="21"/>
        </w:rPr>
        <w:t>— —</w:t>
      </w:r>
      <w:r>
        <w:rPr>
          <w:rFonts w:ascii="宋体" w:hAnsi="宋体" w:eastAsia="宋体" w:cs="宋体"/>
          <w:sz w:val="21"/>
          <w:szCs w:val="21"/>
        </w:rPr>
        <w:t xml:space="preserve">第 </w:t>
      </w:r>
      <w:r>
        <w:rPr>
          <w:rFonts w:ascii="Times New Roman" w:hAnsi="Times New Roman" w:eastAsia="Times New Roman" w:cs="Times New Roman"/>
          <w:sz w:val="21"/>
          <w:szCs w:val="21"/>
        </w:rPr>
        <w:t xml:space="preserve">y  </w:t>
      </w:r>
      <w:r>
        <w:rPr>
          <w:rFonts w:ascii="宋体" w:hAnsi="宋体" w:eastAsia="宋体" w:cs="宋体"/>
          <w:sz w:val="21"/>
          <w:szCs w:val="21"/>
        </w:rPr>
        <w:t>计入期内第</w:t>
      </w:r>
      <w:r>
        <w:rPr>
          <w:rFonts w:ascii="Times New Roman" w:hAnsi="Times New Roman" w:eastAsia="Times New Roman" w:cs="Times New Roman"/>
          <w:sz w:val="21"/>
          <w:szCs w:val="21"/>
        </w:rPr>
        <w:t>j</w:t>
      </w:r>
      <w:r>
        <w:rPr>
          <w:rFonts w:ascii="宋体" w:hAnsi="宋体" w:eastAsia="宋体" w:cs="宋体"/>
          <w:sz w:val="21"/>
          <w:szCs w:val="21"/>
        </w:rPr>
        <w:t>种绿色低碳行为活动的排放因子，单位为吨二氧化碳当量</w:t>
      </w:r>
      <w:r>
        <w:rPr>
          <w:rFonts w:ascii="宋体" w:hAnsi="宋体" w:eastAsia="宋体" w:cs="宋体"/>
          <w:spacing w:val="17"/>
          <w:sz w:val="21"/>
          <w:szCs w:val="21"/>
        </w:rPr>
        <w:t xml:space="preserve"> </w:t>
      </w:r>
      <w:r>
        <w:rPr>
          <w:rFonts w:ascii="宋体" w:hAnsi="宋体" w:eastAsia="宋体" w:cs="宋体"/>
          <w:spacing w:val="-1"/>
          <w:sz w:val="21"/>
          <w:szCs w:val="21"/>
        </w:rPr>
        <w:t>每绿色行为活动量（</w:t>
      </w:r>
      <w:r>
        <w:rPr>
          <w:rFonts w:ascii="Times New Roman" w:hAnsi="Times New Roman" w:eastAsia="Times New Roman" w:cs="Times New Roman"/>
          <w:spacing w:val="-1"/>
          <w:sz w:val="21"/>
          <w:szCs w:val="21"/>
        </w:rPr>
        <w:t>tCO</w:t>
      </w:r>
      <w:r>
        <w:rPr>
          <w:rFonts w:ascii="Times New Roman" w:hAnsi="Times New Roman" w:eastAsia="Times New Roman" w:cs="Times New Roman"/>
          <w:spacing w:val="-1"/>
          <w:position w:val="-1"/>
          <w:sz w:val="13"/>
          <w:szCs w:val="13"/>
        </w:rPr>
        <w:t>2</w:t>
      </w:r>
      <w:r>
        <w:rPr>
          <w:rFonts w:ascii="Times New Roman" w:hAnsi="Times New Roman" w:eastAsia="Times New Roman" w:cs="Times New Roman"/>
          <w:spacing w:val="-1"/>
          <w:sz w:val="21"/>
          <w:szCs w:val="21"/>
        </w:rPr>
        <w:t>e/G-BAQ</w:t>
      </w:r>
      <w:r>
        <w:rPr>
          <w:rFonts w:ascii="宋体" w:hAnsi="宋体" w:eastAsia="宋体" w:cs="宋体"/>
          <w:spacing w:val="-1"/>
          <w:sz w:val="21"/>
          <w:szCs w:val="21"/>
        </w:rPr>
        <w:t>）。</w:t>
      </w:r>
    </w:p>
    <w:p w14:paraId="136EA3D6">
      <w:pPr>
        <w:pStyle w:val="2"/>
        <w:spacing w:line="350" w:lineRule="auto"/>
      </w:pPr>
    </w:p>
    <w:p w14:paraId="2AA92476">
      <w:pPr>
        <w:pStyle w:val="2"/>
        <w:spacing w:line="350" w:lineRule="auto"/>
      </w:pPr>
    </w:p>
    <w:p w14:paraId="01EBAAD8">
      <w:pPr>
        <w:spacing w:before="68" w:line="213" w:lineRule="auto"/>
        <w:ind w:left="491"/>
        <w:rPr>
          <w:rFonts w:ascii="宋体" w:hAnsi="宋体" w:eastAsia="宋体" w:cs="宋体"/>
          <w:sz w:val="21"/>
          <w:szCs w:val="21"/>
        </w:rPr>
      </w:pPr>
      <w:r>
        <w:rPr>
          <w:rFonts w:ascii="宋体" w:hAnsi="宋体" w:eastAsia="宋体" w:cs="宋体"/>
          <w:spacing w:val="5"/>
          <w:sz w:val="21"/>
          <w:szCs w:val="21"/>
        </w:rPr>
        <w:t>绿色低碳行为在第</w:t>
      </w:r>
      <w:r>
        <w:rPr>
          <w:rFonts w:ascii="宋体" w:hAnsi="宋体" w:eastAsia="宋体" w:cs="宋体"/>
          <w:spacing w:val="-39"/>
          <w:sz w:val="21"/>
          <w:szCs w:val="21"/>
        </w:rPr>
        <w:t xml:space="preserve"> </w:t>
      </w:r>
      <w:r>
        <w:rPr>
          <w:rFonts w:ascii="Times New Roman" w:hAnsi="Times New Roman" w:eastAsia="Times New Roman" w:cs="Times New Roman"/>
          <w:spacing w:val="5"/>
          <w:sz w:val="21"/>
          <w:szCs w:val="21"/>
        </w:rPr>
        <w:t xml:space="preserve">y </w:t>
      </w:r>
      <w:r>
        <w:rPr>
          <w:rFonts w:ascii="宋体" w:hAnsi="宋体" w:eastAsia="宋体" w:cs="宋体"/>
          <w:spacing w:val="5"/>
          <w:sz w:val="21"/>
          <w:szCs w:val="21"/>
        </w:rPr>
        <w:t>计入期内产生的减排量按式（</w:t>
      </w:r>
      <w:r>
        <w:rPr>
          <w:rFonts w:ascii="Times New Roman" w:hAnsi="Times New Roman" w:eastAsia="Times New Roman" w:cs="Times New Roman"/>
          <w:spacing w:val="5"/>
          <w:sz w:val="21"/>
          <w:szCs w:val="21"/>
        </w:rPr>
        <w:t>5</w:t>
      </w:r>
      <w:r>
        <w:rPr>
          <w:rFonts w:ascii="宋体" w:hAnsi="宋体" w:eastAsia="宋体" w:cs="宋体"/>
          <w:spacing w:val="5"/>
          <w:sz w:val="21"/>
          <w:szCs w:val="21"/>
        </w:rPr>
        <w:t>）</w:t>
      </w:r>
      <w:r>
        <w:rPr>
          <w:rFonts w:ascii="宋体" w:hAnsi="宋体" w:eastAsia="宋体" w:cs="宋体"/>
          <w:spacing w:val="4"/>
          <w:sz w:val="21"/>
          <w:szCs w:val="21"/>
        </w:rPr>
        <w:t>计算：</w:t>
      </w:r>
    </w:p>
    <w:p w14:paraId="7970FEE0">
      <w:pPr>
        <w:spacing w:before="96" w:line="220" w:lineRule="auto"/>
        <w:jc w:val="right"/>
        <w:rPr>
          <w:rFonts w:ascii="Cambria Math" w:hAnsi="Cambria Math" w:eastAsia="Cambria Math" w:cs="Cambria Math"/>
          <w:sz w:val="21"/>
          <w:szCs w:val="21"/>
        </w:rPr>
      </w:pPr>
      <w:r>
        <w:rPr>
          <w:rFonts w:ascii="Cambria Math" w:hAnsi="Cambria Math" w:eastAsia="Cambria Math" w:cs="Cambria Math"/>
          <w:sz w:val="21"/>
          <w:szCs w:val="21"/>
        </w:rPr>
        <w:t>ER</w:t>
      </w:r>
      <w:r>
        <w:rPr>
          <w:rFonts w:ascii="Cambria Math" w:hAnsi="Cambria Math" w:eastAsia="Cambria Math" w:cs="Cambria Math"/>
          <w:position w:val="-3"/>
          <w:sz w:val="15"/>
          <w:szCs w:val="15"/>
        </w:rPr>
        <w:t>y</w:t>
      </w:r>
      <w:r>
        <w:rPr>
          <w:rFonts w:ascii="Cambria Math" w:hAnsi="Cambria Math" w:eastAsia="Cambria Math" w:cs="Cambria Math"/>
          <w:spacing w:val="8"/>
          <w:position w:val="-3"/>
          <w:sz w:val="15"/>
          <w:szCs w:val="15"/>
        </w:rPr>
        <w:t xml:space="preserve">  </w:t>
      </w:r>
      <w:r>
        <w:rPr>
          <w:rFonts w:ascii="Cambria Math" w:hAnsi="Cambria Math" w:eastAsia="Cambria Math" w:cs="Cambria Math"/>
          <w:sz w:val="21"/>
          <w:szCs w:val="21"/>
        </w:rPr>
        <w:t>=</w:t>
      </w:r>
      <w:r>
        <w:rPr>
          <w:rFonts w:ascii="Cambria Math" w:hAnsi="Cambria Math" w:eastAsia="Cambria Math" w:cs="Cambria Math"/>
          <w:spacing w:val="22"/>
          <w:sz w:val="21"/>
          <w:szCs w:val="21"/>
        </w:rPr>
        <w:t xml:space="preserve"> </w:t>
      </w:r>
      <w:r>
        <w:rPr>
          <w:rFonts w:ascii="Cambria Math" w:hAnsi="Cambria Math" w:eastAsia="Cambria Math" w:cs="Cambria Math"/>
          <w:sz w:val="21"/>
          <w:szCs w:val="21"/>
        </w:rPr>
        <w:t>BE</w:t>
      </w:r>
      <w:r>
        <w:rPr>
          <w:rFonts w:ascii="Cambria Math" w:hAnsi="Cambria Math" w:eastAsia="Cambria Math" w:cs="Cambria Math"/>
          <w:position w:val="-3"/>
          <w:sz w:val="15"/>
          <w:szCs w:val="15"/>
        </w:rPr>
        <w:t xml:space="preserve">y  </w:t>
      </w:r>
      <w:r>
        <w:rPr>
          <w:rFonts w:ascii="Cambria Math" w:hAnsi="Cambria Math" w:eastAsia="Cambria Math" w:cs="Cambria Math"/>
          <w:sz w:val="21"/>
          <w:szCs w:val="21"/>
        </w:rPr>
        <w:t>−</w:t>
      </w:r>
      <w:r>
        <w:rPr>
          <w:rFonts w:ascii="Cambria Math" w:hAnsi="Cambria Math" w:eastAsia="Cambria Math" w:cs="Cambria Math"/>
          <w:spacing w:val="12"/>
          <w:w w:val="101"/>
          <w:sz w:val="21"/>
          <w:szCs w:val="21"/>
        </w:rPr>
        <w:t xml:space="preserve"> </w:t>
      </w:r>
      <w:r>
        <w:rPr>
          <w:rFonts w:ascii="Cambria Math" w:hAnsi="Cambria Math" w:eastAsia="Cambria Math" w:cs="Cambria Math"/>
          <w:sz w:val="21"/>
          <w:szCs w:val="21"/>
        </w:rPr>
        <w:t>PE</w:t>
      </w:r>
      <w:r>
        <w:rPr>
          <w:rFonts w:ascii="Cambria Math" w:hAnsi="Cambria Math" w:eastAsia="Cambria Math" w:cs="Cambria Math"/>
          <w:position w:val="-3"/>
          <w:sz w:val="15"/>
          <w:szCs w:val="15"/>
        </w:rPr>
        <w:t xml:space="preserve">y                  </w:t>
      </w:r>
      <w:r>
        <w:rPr>
          <w:rFonts w:ascii="Cambria Math" w:hAnsi="Cambria Math" w:eastAsia="Cambria Math" w:cs="Cambria Math"/>
          <w:spacing w:val="-1"/>
          <w:position w:val="-3"/>
          <w:sz w:val="15"/>
          <w:szCs w:val="15"/>
        </w:rPr>
        <w:t xml:space="preserve">                                                                                             </w:t>
      </w:r>
      <w:r>
        <w:rPr>
          <w:rFonts w:ascii="Cambria Math" w:hAnsi="Cambria Math" w:eastAsia="Cambria Math" w:cs="Cambria Math"/>
          <w:spacing w:val="-1"/>
          <w:position w:val="1"/>
          <w:sz w:val="21"/>
          <w:szCs w:val="21"/>
        </w:rPr>
        <w:t>(5)</w:t>
      </w:r>
    </w:p>
    <w:p w14:paraId="2D575AA1">
      <w:pPr>
        <w:spacing w:before="113" w:line="221" w:lineRule="auto"/>
        <w:ind w:left="1002"/>
        <w:rPr>
          <w:rFonts w:ascii="宋体" w:hAnsi="宋体" w:eastAsia="宋体" w:cs="宋体"/>
          <w:sz w:val="21"/>
          <w:szCs w:val="21"/>
        </w:rPr>
      </w:pPr>
      <w:r>
        <w:rPr>
          <w:rFonts w:ascii="宋体" w:hAnsi="宋体" w:eastAsia="宋体" w:cs="宋体"/>
          <w:spacing w:val="-13"/>
          <w:sz w:val="21"/>
          <w:szCs w:val="21"/>
        </w:rPr>
        <w:t>式中：</w:t>
      </w:r>
    </w:p>
    <w:p w14:paraId="6356ACFB">
      <w:pPr>
        <w:spacing w:before="89" w:line="217" w:lineRule="auto"/>
        <w:ind w:left="1425"/>
        <w:rPr>
          <w:rFonts w:ascii="宋体" w:hAnsi="宋体" w:eastAsia="宋体" w:cs="宋体"/>
          <w:sz w:val="21"/>
          <w:szCs w:val="21"/>
        </w:rPr>
      </w:pPr>
      <w:r>
        <w:rPr>
          <w:rFonts w:ascii="Cambria Math" w:hAnsi="Cambria Math" w:eastAsia="Cambria Math" w:cs="Cambria Math"/>
          <w:sz w:val="21"/>
          <w:szCs w:val="21"/>
        </w:rPr>
        <w:t>ER</w:t>
      </w:r>
      <w:r>
        <w:rPr>
          <w:rFonts w:ascii="Cambria Math" w:hAnsi="Cambria Math" w:eastAsia="Cambria Math" w:cs="Cambria Math"/>
          <w:position w:val="-4"/>
          <w:sz w:val="15"/>
          <w:szCs w:val="15"/>
        </w:rPr>
        <w:t>y</w:t>
      </w:r>
      <w:r>
        <w:rPr>
          <w:rFonts w:ascii="Cambria Math" w:hAnsi="Cambria Math" w:eastAsia="Cambria Math" w:cs="Cambria Math"/>
          <w:spacing w:val="1"/>
          <w:position w:val="-4"/>
          <w:sz w:val="15"/>
          <w:szCs w:val="15"/>
        </w:rPr>
        <w:t xml:space="preserve">   </w:t>
      </w:r>
      <w:r>
        <w:rPr>
          <w:rFonts w:ascii="Cambria Math" w:hAnsi="Cambria Math" w:eastAsia="Cambria Math" w:cs="Cambria Math"/>
          <w:spacing w:val="1"/>
          <w:sz w:val="21"/>
          <w:szCs w:val="21"/>
        </w:rPr>
        <w:t>——</w:t>
      </w:r>
      <w:r>
        <w:rPr>
          <w:rFonts w:ascii="宋体" w:hAnsi="宋体" w:eastAsia="宋体" w:cs="宋体"/>
          <w:spacing w:val="1"/>
          <w:sz w:val="21"/>
          <w:szCs w:val="21"/>
        </w:rPr>
        <w:t xml:space="preserve">第 </w:t>
      </w:r>
      <w:r>
        <w:rPr>
          <w:rFonts w:ascii="Times New Roman" w:hAnsi="Times New Roman" w:eastAsia="Times New Roman" w:cs="Times New Roman"/>
          <w:spacing w:val="1"/>
          <w:sz w:val="21"/>
          <w:szCs w:val="21"/>
        </w:rPr>
        <w:t xml:space="preserve">y  </w:t>
      </w:r>
      <w:r>
        <w:rPr>
          <w:rFonts w:ascii="宋体" w:hAnsi="宋体" w:eastAsia="宋体" w:cs="宋体"/>
          <w:spacing w:val="1"/>
          <w:sz w:val="21"/>
          <w:szCs w:val="21"/>
        </w:rPr>
        <w:t>计入期内减排量，单位为吨二氧化碳当量（</w:t>
      </w:r>
      <w:r>
        <w:rPr>
          <w:rFonts w:ascii="Times New Roman" w:hAnsi="Times New Roman" w:eastAsia="Times New Roman" w:cs="Times New Roman"/>
          <w:sz w:val="21"/>
          <w:szCs w:val="21"/>
        </w:rPr>
        <w:t>tCO</w:t>
      </w:r>
      <w:r>
        <w:rPr>
          <w:rFonts w:ascii="Times New Roman" w:hAnsi="Times New Roman" w:eastAsia="Times New Roman" w:cs="Times New Roman"/>
          <w:spacing w:val="1"/>
          <w:position w:val="-1"/>
          <w:sz w:val="13"/>
          <w:szCs w:val="13"/>
        </w:rPr>
        <w:t>2</w:t>
      </w:r>
      <w:r>
        <w:rPr>
          <w:rFonts w:ascii="Times New Roman" w:hAnsi="Times New Roman" w:eastAsia="Times New Roman" w:cs="Times New Roman"/>
          <w:spacing w:val="1"/>
          <w:sz w:val="21"/>
          <w:szCs w:val="21"/>
        </w:rPr>
        <w:t>e</w:t>
      </w:r>
      <w:r>
        <w:rPr>
          <w:rFonts w:ascii="宋体" w:hAnsi="宋体" w:eastAsia="宋体" w:cs="宋体"/>
          <w:spacing w:val="-12"/>
          <w:sz w:val="21"/>
          <w:szCs w:val="21"/>
        </w:rPr>
        <w:t>）；</w:t>
      </w:r>
    </w:p>
    <w:p w14:paraId="5D4C3003">
      <w:pPr>
        <w:spacing w:before="89" w:line="217" w:lineRule="auto"/>
        <w:ind w:left="1425"/>
        <w:rPr>
          <w:rFonts w:ascii="宋体" w:hAnsi="宋体" w:eastAsia="宋体" w:cs="宋体"/>
          <w:sz w:val="21"/>
          <w:szCs w:val="21"/>
        </w:rPr>
      </w:pPr>
      <w:r>
        <w:rPr>
          <w:rFonts w:ascii="Cambria Math" w:hAnsi="Cambria Math" w:eastAsia="Cambria Math" w:cs="Cambria Math"/>
          <w:sz w:val="21"/>
          <w:szCs w:val="21"/>
        </w:rPr>
        <w:t>BE</w:t>
      </w:r>
      <w:r>
        <w:rPr>
          <w:rFonts w:ascii="Cambria Math" w:hAnsi="Cambria Math" w:eastAsia="Cambria Math" w:cs="Cambria Math"/>
          <w:position w:val="-4"/>
          <w:sz w:val="15"/>
          <w:szCs w:val="15"/>
        </w:rPr>
        <w:t>y</w:t>
      </w:r>
      <w:r>
        <w:rPr>
          <w:rFonts w:ascii="Cambria Math" w:hAnsi="Cambria Math" w:eastAsia="Cambria Math" w:cs="Cambria Math"/>
          <w:spacing w:val="1"/>
          <w:position w:val="-4"/>
          <w:sz w:val="15"/>
          <w:szCs w:val="15"/>
        </w:rPr>
        <w:t xml:space="preserve">   </w:t>
      </w:r>
      <w:r>
        <w:rPr>
          <w:rFonts w:ascii="Times New Roman" w:hAnsi="Times New Roman" w:eastAsia="Times New Roman" w:cs="Times New Roman"/>
          <w:spacing w:val="1"/>
          <w:sz w:val="21"/>
          <w:szCs w:val="21"/>
        </w:rPr>
        <w:t>——</w:t>
      </w:r>
      <w:r>
        <w:rPr>
          <w:rFonts w:ascii="宋体" w:hAnsi="宋体" w:eastAsia="宋体" w:cs="宋体"/>
          <w:spacing w:val="1"/>
          <w:sz w:val="21"/>
          <w:szCs w:val="21"/>
        </w:rPr>
        <w:t xml:space="preserve">第 </w:t>
      </w:r>
      <w:r>
        <w:rPr>
          <w:rFonts w:ascii="Times New Roman" w:hAnsi="Times New Roman" w:eastAsia="Times New Roman" w:cs="Times New Roman"/>
          <w:spacing w:val="1"/>
          <w:sz w:val="21"/>
          <w:szCs w:val="21"/>
        </w:rPr>
        <w:t xml:space="preserve">y  </w:t>
      </w:r>
      <w:r>
        <w:rPr>
          <w:rFonts w:ascii="宋体" w:hAnsi="宋体" w:eastAsia="宋体" w:cs="宋体"/>
          <w:spacing w:val="1"/>
          <w:sz w:val="21"/>
          <w:szCs w:val="21"/>
        </w:rPr>
        <w:t>计入期内基准线排放量，</w:t>
      </w:r>
      <w:r>
        <w:rPr>
          <w:rFonts w:ascii="宋体" w:hAnsi="宋体" w:eastAsia="宋体" w:cs="宋体"/>
          <w:sz w:val="21"/>
          <w:szCs w:val="21"/>
        </w:rPr>
        <w:t>单位为吨二氧化碳当量（</w:t>
      </w:r>
      <w:r>
        <w:rPr>
          <w:rFonts w:ascii="Times New Roman" w:hAnsi="Times New Roman" w:eastAsia="Times New Roman" w:cs="Times New Roman"/>
          <w:sz w:val="21"/>
          <w:szCs w:val="21"/>
        </w:rPr>
        <w:t>tCO</w:t>
      </w:r>
      <w:r>
        <w:rPr>
          <w:rFonts w:ascii="Times New Roman" w:hAnsi="Times New Roman" w:eastAsia="Times New Roman" w:cs="Times New Roman"/>
          <w:position w:val="-1"/>
          <w:sz w:val="13"/>
          <w:szCs w:val="13"/>
        </w:rPr>
        <w:t>2</w:t>
      </w:r>
      <w:r>
        <w:rPr>
          <w:rFonts w:ascii="Times New Roman" w:hAnsi="Times New Roman" w:eastAsia="Times New Roman" w:cs="Times New Roman"/>
          <w:sz w:val="21"/>
          <w:szCs w:val="21"/>
        </w:rPr>
        <w:t>e</w:t>
      </w:r>
      <w:r>
        <w:rPr>
          <w:rFonts w:ascii="宋体" w:hAnsi="宋体" w:eastAsia="宋体" w:cs="宋体"/>
          <w:spacing w:val="-13"/>
          <w:sz w:val="21"/>
          <w:szCs w:val="21"/>
        </w:rPr>
        <w:t>）；</w:t>
      </w:r>
    </w:p>
    <w:p w14:paraId="7A8666F8">
      <w:pPr>
        <w:spacing w:before="89" w:line="217" w:lineRule="auto"/>
        <w:ind w:left="1425"/>
        <w:rPr>
          <w:rFonts w:ascii="宋体" w:hAnsi="宋体" w:eastAsia="宋体" w:cs="宋体"/>
          <w:sz w:val="21"/>
          <w:szCs w:val="21"/>
        </w:rPr>
      </w:pPr>
      <w:r>
        <w:rPr>
          <w:rFonts w:ascii="Cambria Math" w:hAnsi="Cambria Math" w:eastAsia="Cambria Math" w:cs="Cambria Math"/>
          <w:sz w:val="21"/>
          <w:szCs w:val="21"/>
        </w:rPr>
        <w:t>PE</w:t>
      </w:r>
      <w:r>
        <w:rPr>
          <w:rFonts w:ascii="Cambria Math" w:hAnsi="Cambria Math" w:eastAsia="Cambria Math" w:cs="Cambria Math"/>
          <w:position w:val="-4"/>
          <w:sz w:val="15"/>
          <w:szCs w:val="15"/>
        </w:rPr>
        <w:t xml:space="preserve">y   </w:t>
      </w:r>
      <w:r>
        <w:rPr>
          <w:rFonts w:ascii="Times New Roman" w:hAnsi="Times New Roman" w:eastAsia="Times New Roman" w:cs="Times New Roman"/>
          <w:sz w:val="21"/>
          <w:szCs w:val="21"/>
        </w:rPr>
        <w:t>——</w:t>
      </w:r>
      <w:r>
        <w:rPr>
          <w:rFonts w:ascii="宋体" w:hAnsi="宋体" w:eastAsia="宋体" w:cs="宋体"/>
          <w:sz w:val="21"/>
          <w:szCs w:val="21"/>
        </w:rPr>
        <w:t xml:space="preserve">第 </w:t>
      </w:r>
      <w:r>
        <w:rPr>
          <w:rFonts w:ascii="Times New Roman" w:hAnsi="Times New Roman" w:eastAsia="Times New Roman" w:cs="Times New Roman"/>
          <w:sz w:val="21"/>
          <w:szCs w:val="21"/>
        </w:rPr>
        <w:t xml:space="preserve">y  </w:t>
      </w:r>
      <w:r>
        <w:rPr>
          <w:rFonts w:ascii="宋体" w:hAnsi="宋体" w:eastAsia="宋体" w:cs="宋体"/>
          <w:sz w:val="21"/>
          <w:szCs w:val="21"/>
        </w:rPr>
        <w:t>计入期内绿色低碳行为排放量，单位为吨二氧化碳当量（</w:t>
      </w:r>
      <w:r>
        <w:rPr>
          <w:rFonts w:ascii="Times New Roman" w:hAnsi="Times New Roman" w:eastAsia="Times New Roman" w:cs="Times New Roman"/>
          <w:sz w:val="21"/>
          <w:szCs w:val="21"/>
        </w:rPr>
        <w:t>tCO</w:t>
      </w:r>
      <w:r>
        <w:rPr>
          <w:rFonts w:ascii="Times New Roman" w:hAnsi="Times New Roman" w:eastAsia="Times New Roman" w:cs="Times New Roman"/>
          <w:position w:val="-1"/>
          <w:sz w:val="13"/>
          <w:szCs w:val="13"/>
        </w:rPr>
        <w:t>2</w:t>
      </w:r>
      <w:r>
        <w:rPr>
          <w:rFonts w:ascii="Times New Roman" w:hAnsi="Times New Roman" w:eastAsia="Times New Roman" w:cs="Times New Roman"/>
          <w:sz w:val="21"/>
          <w:szCs w:val="21"/>
        </w:rPr>
        <w:t>e</w:t>
      </w:r>
      <w:r>
        <w:rPr>
          <w:rFonts w:ascii="宋体" w:hAnsi="宋体" w:eastAsia="宋体" w:cs="宋体"/>
          <w:sz w:val="21"/>
          <w:szCs w:val="21"/>
        </w:rPr>
        <w:t>）。</w:t>
      </w:r>
    </w:p>
    <w:p w14:paraId="6DE4262E">
      <w:pPr>
        <w:spacing w:before="132" w:line="264" w:lineRule="auto"/>
        <w:ind w:right="227" w:firstLine="491"/>
        <w:rPr>
          <w:rFonts w:ascii="Cambria Math" w:hAnsi="Cambria Math" w:eastAsia="Cambria Math" w:cs="Cambria Math"/>
          <w:sz w:val="15"/>
          <w:szCs w:val="15"/>
        </w:rPr>
      </w:pPr>
      <w:r>
        <w:rPr>
          <w:rFonts w:ascii="宋体" w:hAnsi="宋体" w:eastAsia="宋体" w:cs="宋体"/>
          <w:spacing w:val="4"/>
          <w:sz w:val="21"/>
          <w:szCs w:val="21"/>
        </w:rPr>
        <w:t>按照</w:t>
      </w:r>
      <w:r>
        <w:rPr>
          <w:rFonts w:ascii="宋体" w:hAnsi="宋体" w:eastAsia="宋体" w:cs="宋体"/>
          <w:spacing w:val="-18"/>
          <w:sz w:val="21"/>
          <w:szCs w:val="21"/>
        </w:rPr>
        <w:t xml:space="preserve"> </w:t>
      </w:r>
      <w:r>
        <w:rPr>
          <w:rFonts w:ascii="Times New Roman" w:hAnsi="Times New Roman" w:eastAsia="Times New Roman" w:cs="Times New Roman"/>
          <w:spacing w:val="4"/>
          <w:sz w:val="21"/>
          <w:szCs w:val="21"/>
        </w:rPr>
        <w:t>6.2</w:t>
      </w:r>
      <w:r>
        <w:rPr>
          <w:rFonts w:ascii="Times New Roman" w:hAnsi="Times New Roman" w:eastAsia="Times New Roman" w:cs="Times New Roman"/>
          <w:spacing w:val="15"/>
          <w:sz w:val="21"/>
          <w:szCs w:val="21"/>
        </w:rPr>
        <w:t xml:space="preserve"> </w:t>
      </w:r>
      <w:r>
        <w:rPr>
          <w:rFonts w:ascii="宋体" w:hAnsi="宋体" w:eastAsia="宋体" w:cs="宋体"/>
          <w:spacing w:val="4"/>
          <w:sz w:val="21"/>
          <w:szCs w:val="21"/>
        </w:rPr>
        <w:t>条，基准线情景与减排行为活动应达到相同目标和取得同等服务水平，即取</w:t>
      </w:r>
      <w:r>
        <w:rPr>
          <w:rFonts w:ascii="Cambria Math" w:hAnsi="Cambria Math" w:eastAsia="Cambria Math" w:cs="Cambria Math"/>
          <w:sz w:val="21"/>
          <w:szCs w:val="21"/>
        </w:rPr>
        <w:t>AD</w:t>
      </w:r>
      <w:r>
        <w:rPr>
          <w:rFonts w:ascii="Cambria Math" w:hAnsi="Cambria Math" w:eastAsia="Cambria Math" w:cs="Cambria Math"/>
          <w:position w:val="-4"/>
          <w:sz w:val="15"/>
          <w:szCs w:val="15"/>
        </w:rPr>
        <w:t>iy</w:t>
      </w:r>
      <w:r>
        <w:rPr>
          <w:rFonts w:ascii="Cambria Math" w:hAnsi="Cambria Math" w:eastAsia="Cambria Math" w:cs="Cambria Math"/>
          <w:spacing w:val="4"/>
          <w:position w:val="-4"/>
          <w:sz w:val="15"/>
          <w:szCs w:val="15"/>
        </w:rPr>
        <w:t xml:space="preserve">  </w:t>
      </w:r>
      <w:r>
        <w:rPr>
          <w:rFonts w:ascii="Cambria Math" w:hAnsi="Cambria Math" w:eastAsia="Cambria Math" w:cs="Cambria Math"/>
          <w:spacing w:val="4"/>
          <w:sz w:val="21"/>
          <w:szCs w:val="21"/>
        </w:rPr>
        <w:t>=</w:t>
      </w:r>
      <w:r>
        <w:rPr>
          <w:rFonts w:ascii="Cambria Math" w:hAnsi="Cambria Math" w:eastAsia="Cambria Math" w:cs="Cambria Math"/>
          <w:sz w:val="21"/>
          <w:szCs w:val="21"/>
        </w:rPr>
        <w:t xml:space="preserve"> </w:t>
      </w:r>
      <w:r>
        <w:rPr>
          <w:rFonts w:ascii="Cambria Math" w:hAnsi="Cambria Math" w:eastAsia="Cambria Math" w:cs="Cambria Math"/>
          <w:spacing w:val="5"/>
          <w:position w:val="2"/>
          <w:sz w:val="21"/>
          <w:szCs w:val="21"/>
        </w:rPr>
        <w:t>AD</w:t>
      </w:r>
      <w:r>
        <w:rPr>
          <w:rFonts w:ascii="Cambria Math" w:hAnsi="Cambria Math" w:eastAsia="Cambria Math" w:cs="Cambria Math"/>
          <w:spacing w:val="5"/>
          <w:position w:val="-2"/>
          <w:sz w:val="15"/>
          <w:szCs w:val="15"/>
        </w:rPr>
        <w:t>jy</w:t>
      </w:r>
    </w:p>
    <w:p w14:paraId="4325FAB9">
      <w:pPr>
        <w:pStyle w:val="2"/>
        <w:spacing w:line="461" w:lineRule="auto"/>
      </w:pPr>
    </w:p>
    <w:p w14:paraId="1D489FC7">
      <w:pPr>
        <w:spacing w:before="68" w:line="221" w:lineRule="auto"/>
        <w:ind w:left="441"/>
        <w:rPr>
          <w:rFonts w:ascii="黑体" w:hAnsi="黑体" w:eastAsia="黑体" w:cs="黑体"/>
          <w:sz w:val="21"/>
          <w:szCs w:val="21"/>
        </w:rPr>
      </w:pPr>
      <w:r>
        <w:rPr>
          <w:rFonts w:ascii="黑体" w:hAnsi="黑体" w:eastAsia="黑体" w:cs="黑体"/>
          <w:b/>
          <w:bCs/>
          <w:spacing w:val="-1"/>
          <w:sz w:val="21"/>
          <w:szCs w:val="21"/>
        </w:rPr>
        <w:t>A.4</w:t>
      </w:r>
      <w:r>
        <w:rPr>
          <w:rFonts w:ascii="黑体" w:hAnsi="黑体" w:eastAsia="黑体" w:cs="黑体"/>
          <w:spacing w:val="-1"/>
          <w:sz w:val="21"/>
          <w:szCs w:val="21"/>
        </w:rPr>
        <w:t xml:space="preserve"> CCER</w:t>
      </w:r>
      <w:r>
        <w:rPr>
          <w:rFonts w:ascii="黑体" w:hAnsi="黑体" w:eastAsia="黑体" w:cs="黑体"/>
          <w:spacing w:val="-46"/>
          <w:sz w:val="21"/>
          <w:szCs w:val="21"/>
        </w:rPr>
        <w:t xml:space="preserve"> </w:t>
      </w:r>
      <w:r>
        <w:rPr>
          <w:rFonts w:ascii="黑体" w:hAnsi="黑体" w:eastAsia="黑体" w:cs="黑体"/>
          <w:spacing w:val="-1"/>
          <w:sz w:val="21"/>
          <w:szCs w:val="21"/>
        </w:rPr>
        <w:t>减排量</w:t>
      </w:r>
    </w:p>
    <w:p w14:paraId="169C9FD1">
      <w:pPr>
        <w:pStyle w:val="2"/>
        <w:spacing w:line="383" w:lineRule="auto"/>
      </w:pPr>
    </w:p>
    <w:p w14:paraId="2A9F523A">
      <w:pPr>
        <w:spacing w:before="69" w:line="283" w:lineRule="auto"/>
        <w:ind w:left="8" w:right="235" w:firstLine="483"/>
        <w:rPr>
          <w:rFonts w:ascii="宋体" w:hAnsi="宋体" w:eastAsia="宋体" w:cs="宋体"/>
          <w:sz w:val="21"/>
          <w:szCs w:val="21"/>
        </w:rPr>
      </w:pPr>
      <w:r>
        <w:rPr>
          <w:rFonts w:ascii="宋体" w:hAnsi="宋体" w:eastAsia="宋体" w:cs="宋体"/>
          <w:spacing w:val="2"/>
          <w:sz w:val="21"/>
          <w:szCs w:val="21"/>
        </w:rPr>
        <w:t>社区自主购买的国家核证自愿减排量，</w:t>
      </w:r>
      <w:r>
        <w:rPr>
          <w:rFonts w:ascii="宋体" w:hAnsi="宋体" w:eastAsia="宋体" w:cs="宋体"/>
          <w:spacing w:val="-52"/>
          <w:sz w:val="21"/>
          <w:szCs w:val="21"/>
        </w:rPr>
        <w:t xml:space="preserve"> </w:t>
      </w:r>
      <w:r>
        <w:rPr>
          <w:rFonts w:ascii="宋体" w:hAnsi="宋体" w:eastAsia="宋体" w:cs="宋体"/>
          <w:spacing w:val="2"/>
          <w:sz w:val="21"/>
          <w:szCs w:val="21"/>
        </w:rPr>
        <w:t>参照《碳排放权交易管理办法（试行）》生态环境部</w:t>
      </w:r>
      <w:r>
        <w:rPr>
          <w:rFonts w:ascii="宋体" w:hAnsi="宋体" w:eastAsia="宋体" w:cs="宋体"/>
          <w:sz w:val="21"/>
          <w:szCs w:val="21"/>
        </w:rPr>
        <w:t xml:space="preserve"> </w:t>
      </w:r>
      <w:r>
        <w:rPr>
          <w:rFonts w:ascii="宋体" w:hAnsi="宋体" w:eastAsia="宋体" w:cs="宋体"/>
          <w:spacing w:val="-4"/>
          <w:sz w:val="21"/>
          <w:szCs w:val="21"/>
        </w:rPr>
        <w:t>令</w:t>
      </w:r>
      <w:r>
        <w:rPr>
          <w:rFonts w:ascii="宋体" w:hAnsi="宋体" w:eastAsia="宋体" w:cs="宋体"/>
          <w:spacing w:val="27"/>
          <w:sz w:val="21"/>
          <w:szCs w:val="21"/>
        </w:rPr>
        <w:t xml:space="preserve"> </w:t>
      </w:r>
      <w:r>
        <w:rPr>
          <w:rFonts w:ascii="宋体" w:hAnsi="宋体" w:eastAsia="宋体" w:cs="宋体"/>
          <w:spacing w:val="-4"/>
          <w:sz w:val="21"/>
          <w:szCs w:val="21"/>
        </w:rPr>
        <w:t>第</w:t>
      </w:r>
      <w:r>
        <w:rPr>
          <w:rFonts w:ascii="宋体" w:hAnsi="宋体" w:eastAsia="宋体" w:cs="宋体"/>
          <w:spacing w:val="39"/>
          <w:sz w:val="21"/>
          <w:szCs w:val="21"/>
        </w:rPr>
        <w:t xml:space="preserve"> </w:t>
      </w:r>
      <w:r>
        <w:rPr>
          <w:rFonts w:ascii="Times New Roman" w:hAnsi="Times New Roman" w:eastAsia="Times New Roman" w:cs="Times New Roman"/>
          <w:spacing w:val="-4"/>
          <w:sz w:val="21"/>
          <w:szCs w:val="21"/>
        </w:rPr>
        <w:t>19</w:t>
      </w:r>
      <w:r>
        <w:rPr>
          <w:rFonts w:ascii="Times New Roman" w:hAnsi="Times New Roman" w:eastAsia="Times New Roman" w:cs="Times New Roman"/>
          <w:spacing w:val="12"/>
          <w:sz w:val="21"/>
          <w:szCs w:val="21"/>
        </w:rPr>
        <w:t xml:space="preserve">  </w:t>
      </w:r>
      <w:r>
        <w:rPr>
          <w:rFonts w:ascii="宋体" w:hAnsi="宋体" w:eastAsia="宋体" w:cs="宋体"/>
          <w:spacing w:val="-4"/>
          <w:sz w:val="21"/>
          <w:szCs w:val="21"/>
        </w:rPr>
        <w:t>号进行核算。</w:t>
      </w:r>
    </w:p>
    <w:p w14:paraId="5345AB3B">
      <w:pPr>
        <w:spacing w:line="283" w:lineRule="auto"/>
        <w:rPr>
          <w:rFonts w:ascii="宋体" w:hAnsi="宋体" w:eastAsia="宋体" w:cs="宋体"/>
          <w:sz w:val="21"/>
          <w:szCs w:val="21"/>
        </w:rPr>
        <w:sectPr>
          <w:headerReference r:id="rId25" w:type="default"/>
          <w:footerReference r:id="rId26" w:type="default"/>
          <w:pgSz w:w="11907" w:h="16839"/>
          <w:pgMar w:top="1205" w:right="1299" w:bottom="1648" w:left="1345" w:header="880" w:footer="1448" w:gutter="0"/>
          <w:cols w:space="720" w:num="1"/>
        </w:sectPr>
      </w:pPr>
    </w:p>
    <w:p w14:paraId="31A2C1E5">
      <w:pPr>
        <w:pStyle w:val="2"/>
        <w:spacing w:line="324" w:lineRule="auto"/>
      </w:pPr>
    </w:p>
    <w:p w14:paraId="1B3BE8C3">
      <w:pPr>
        <w:pStyle w:val="2"/>
        <w:spacing w:line="324" w:lineRule="auto"/>
      </w:pPr>
    </w:p>
    <w:p w14:paraId="366BF6BE">
      <w:pPr>
        <w:spacing w:before="68" w:line="220" w:lineRule="auto"/>
        <w:ind w:left="3662"/>
        <w:outlineLvl w:val="0"/>
        <w:rPr>
          <w:rFonts w:ascii="黑体" w:hAnsi="黑体" w:eastAsia="黑体" w:cs="黑体"/>
          <w:sz w:val="21"/>
          <w:szCs w:val="21"/>
        </w:rPr>
      </w:pPr>
      <w:bookmarkStart w:id="37" w:name="bookmark36"/>
      <w:bookmarkEnd w:id="37"/>
      <w:r>
        <w:rPr>
          <w:rFonts w:ascii="黑体" w:hAnsi="黑体" w:eastAsia="黑体" w:cs="黑体"/>
          <w:spacing w:val="-5"/>
          <w:sz w:val="21"/>
          <w:szCs w:val="21"/>
        </w:rPr>
        <w:t>附</w:t>
      </w:r>
      <w:r>
        <w:rPr>
          <w:rFonts w:ascii="黑体" w:hAnsi="黑体" w:eastAsia="黑体" w:cs="黑体"/>
          <w:spacing w:val="9"/>
          <w:sz w:val="21"/>
          <w:szCs w:val="21"/>
        </w:rPr>
        <w:t xml:space="preserve">  </w:t>
      </w:r>
      <w:r>
        <w:rPr>
          <w:rFonts w:ascii="黑体" w:hAnsi="黑体" w:eastAsia="黑体" w:cs="黑体"/>
          <w:spacing w:val="-5"/>
          <w:sz w:val="21"/>
          <w:szCs w:val="21"/>
        </w:rPr>
        <w:t>录  B（资料性）</w:t>
      </w:r>
    </w:p>
    <w:p w14:paraId="5ECCBA3F">
      <w:pPr>
        <w:spacing w:before="109" w:line="220" w:lineRule="auto"/>
        <w:ind w:left="3385"/>
        <w:outlineLvl w:val="0"/>
        <w:rPr>
          <w:rFonts w:ascii="黑体" w:hAnsi="黑体" w:eastAsia="黑体" w:cs="黑体"/>
          <w:sz w:val="21"/>
          <w:szCs w:val="21"/>
        </w:rPr>
      </w:pPr>
      <w:bookmarkStart w:id="38" w:name="bookmark36"/>
      <w:bookmarkEnd w:id="38"/>
      <w:r>
        <w:rPr>
          <w:rFonts w:ascii="黑体" w:hAnsi="黑体" w:eastAsia="黑体" w:cs="黑体"/>
          <w:spacing w:val="-1"/>
          <w:sz w:val="21"/>
          <w:szCs w:val="21"/>
        </w:rPr>
        <w:t>社区温室气体排放报告示例</w:t>
      </w:r>
    </w:p>
    <w:p w14:paraId="48A06B4B">
      <w:pPr>
        <w:pStyle w:val="2"/>
        <w:spacing w:line="258" w:lineRule="auto"/>
      </w:pPr>
    </w:p>
    <w:p w14:paraId="33544D85">
      <w:pPr>
        <w:pStyle w:val="2"/>
        <w:spacing w:line="258" w:lineRule="auto"/>
      </w:pPr>
    </w:p>
    <w:p w14:paraId="549772EE">
      <w:pPr>
        <w:pStyle w:val="2"/>
        <w:spacing w:line="258" w:lineRule="auto"/>
      </w:pPr>
    </w:p>
    <w:p w14:paraId="694220C6">
      <w:pPr>
        <w:pStyle w:val="2"/>
        <w:spacing w:line="258" w:lineRule="auto"/>
      </w:pPr>
    </w:p>
    <w:p w14:paraId="420E5671">
      <w:pPr>
        <w:pStyle w:val="2"/>
        <w:spacing w:line="258" w:lineRule="auto"/>
      </w:pPr>
    </w:p>
    <w:p w14:paraId="5B3879E8">
      <w:pPr>
        <w:pStyle w:val="2"/>
        <w:spacing w:line="258" w:lineRule="auto"/>
      </w:pPr>
    </w:p>
    <w:p w14:paraId="09B3B031">
      <w:pPr>
        <w:pStyle w:val="2"/>
        <w:spacing w:line="259" w:lineRule="auto"/>
      </w:pPr>
    </w:p>
    <w:p w14:paraId="32043C57">
      <w:pPr>
        <w:pStyle w:val="2"/>
        <w:spacing w:line="259" w:lineRule="auto"/>
      </w:pPr>
    </w:p>
    <w:p w14:paraId="2BC80BCB">
      <w:pPr>
        <w:pStyle w:val="2"/>
        <w:spacing w:line="259" w:lineRule="auto"/>
      </w:pPr>
    </w:p>
    <w:p w14:paraId="1BF718A8">
      <w:pPr>
        <w:pStyle w:val="2"/>
        <w:spacing w:line="259" w:lineRule="auto"/>
      </w:pPr>
    </w:p>
    <w:p w14:paraId="384508DA">
      <w:pPr>
        <w:spacing w:before="101" w:line="225" w:lineRule="auto"/>
        <w:ind w:left="2684"/>
        <w:rPr>
          <w:rFonts w:ascii="黑体" w:hAnsi="黑体" w:eastAsia="黑体" w:cs="黑体"/>
          <w:sz w:val="31"/>
          <w:szCs w:val="31"/>
        </w:rPr>
      </w:pPr>
      <w:bookmarkStart w:id="39" w:name="bookmark23"/>
      <w:bookmarkEnd w:id="39"/>
      <w:r>
        <w:rPr>
          <w:rFonts w:ascii="黑体" w:hAnsi="黑体" w:eastAsia="黑体" w:cs="黑体"/>
          <w:sz w:val="31"/>
          <w:szCs w:val="31"/>
        </w:rPr>
        <w:t>XXXX</w:t>
      </w:r>
      <w:r>
        <w:rPr>
          <w:rFonts w:ascii="黑体" w:hAnsi="黑体" w:eastAsia="黑体" w:cs="黑体"/>
          <w:spacing w:val="-63"/>
          <w:sz w:val="31"/>
          <w:szCs w:val="31"/>
        </w:rPr>
        <w:t xml:space="preserve"> </w:t>
      </w:r>
      <w:r>
        <w:rPr>
          <w:rFonts w:ascii="黑体" w:hAnsi="黑体" w:eastAsia="黑体" w:cs="黑体"/>
          <w:spacing w:val="10"/>
          <w:sz w:val="31"/>
          <w:szCs w:val="31"/>
        </w:rPr>
        <w:t>社区温室气体排放报告</w:t>
      </w:r>
    </w:p>
    <w:p w14:paraId="54F9D689">
      <w:pPr>
        <w:pStyle w:val="2"/>
        <w:spacing w:line="250" w:lineRule="auto"/>
      </w:pPr>
    </w:p>
    <w:p w14:paraId="16E272E7">
      <w:pPr>
        <w:pStyle w:val="2"/>
        <w:spacing w:line="250" w:lineRule="auto"/>
      </w:pPr>
    </w:p>
    <w:p w14:paraId="3D266C68">
      <w:pPr>
        <w:pStyle w:val="2"/>
        <w:spacing w:line="250" w:lineRule="auto"/>
      </w:pPr>
    </w:p>
    <w:p w14:paraId="2A067833">
      <w:pPr>
        <w:pStyle w:val="2"/>
        <w:spacing w:line="250" w:lineRule="auto"/>
      </w:pPr>
    </w:p>
    <w:p w14:paraId="47EF4FE1">
      <w:pPr>
        <w:pStyle w:val="2"/>
        <w:spacing w:line="250" w:lineRule="auto"/>
      </w:pPr>
    </w:p>
    <w:p w14:paraId="0B81D3CC">
      <w:pPr>
        <w:pStyle w:val="2"/>
        <w:spacing w:line="250" w:lineRule="auto"/>
      </w:pPr>
    </w:p>
    <w:p w14:paraId="5123AE4B">
      <w:pPr>
        <w:pStyle w:val="2"/>
        <w:spacing w:line="250" w:lineRule="auto"/>
      </w:pPr>
    </w:p>
    <w:p w14:paraId="480CEA74">
      <w:pPr>
        <w:pStyle w:val="2"/>
        <w:spacing w:line="250" w:lineRule="auto"/>
      </w:pPr>
    </w:p>
    <w:p w14:paraId="57C094FF">
      <w:pPr>
        <w:pStyle w:val="2"/>
        <w:spacing w:line="250" w:lineRule="auto"/>
      </w:pPr>
    </w:p>
    <w:p w14:paraId="3FB97D8B">
      <w:pPr>
        <w:pStyle w:val="2"/>
        <w:spacing w:line="250" w:lineRule="auto"/>
      </w:pPr>
    </w:p>
    <w:p w14:paraId="1BC6C497">
      <w:pPr>
        <w:pStyle w:val="2"/>
        <w:spacing w:line="250" w:lineRule="auto"/>
      </w:pPr>
    </w:p>
    <w:p w14:paraId="7805FEB4">
      <w:pPr>
        <w:pStyle w:val="2"/>
        <w:spacing w:line="250" w:lineRule="auto"/>
      </w:pPr>
    </w:p>
    <w:p w14:paraId="641C4D16">
      <w:pPr>
        <w:pStyle w:val="2"/>
        <w:spacing w:line="250" w:lineRule="auto"/>
      </w:pPr>
    </w:p>
    <w:p w14:paraId="1BAAF768">
      <w:pPr>
        <w:pStyle w:val="2"/>
        <w:spacing w:line="250" w:lineRule="auto"/>
      </w:pPr>
    </w:p>
    <w:p w14:paraId="4FFCCC31">
      <w:pPr>
        <w:pStyle w:val="2"/>
        <w:spacing w:line="250" w:lineRule="auto"/>
      </w:pPr>
    </w:p>
    <w:p w14:paraId="39345EC4">
      <w:pPr>
        <w:pStyle w:val="2"/>
        <w:spacing w:line="250" w:lineRule="auto"/>
      </w:pPr>
    </w:p>
    <w:p w14:paraId="42810643">
      <w:pPr>
        <w:pStyle w:val="2"/>
        <w:spacing w:line="250" w:lineRule="auto"/>
      </w:pPr>
    </w:p>
    <w:p w14:paraId="6AFD4FD9">
      <w:pPr>
        <w:pStyle w:val="2"/>
        <w:spacing w:line="251" w:lineRule="auto"/>
      </w:pPr>
    </w:p>
    <w:p w14:paraId="378C0AD0">
      <w:pPr>
        <w:pStyle w:val="2"/>
        <w:spacing w:line="251" w:lineRule="auto"/>
      </w:pPr>
    </w:p>
    <w:p w14:paraId="21E5862C">
      <w:pPr>
        <w:pStyle w:val="2"/>
        <w:spacing w:line="251" w:lineRule="auto"/>
      </w:pPr>
    </w:p>
    <w:p w14:paraId="0D3964E9">
      <w:pPr>
        <w:pStyle w:val="2"/>
        <w:spacing w:line="251" w:lineRule="auto"/>
      </w:pPr>
    </w:p>
    <w:p w14:paraId="59C80868">
      <w:pPr>
        <w:pStyle w:val="2"/>
        <w:spacing w:line="251" w:lineRule="auto"/>
      </w:pPr>
    </w:p>
    <w:p w14:paraId="325A707C">
      <w:pPr>
        <w:pStyle w:val="2"/>
        <w:spacing w:line="251" w:lineRule="auto"/>
      </w:pPr>
    </w:p>
    <w:p w14:paraId="1C89EEC8">
      <w:pPr>
        <w:spacing w:before="91" w:line="221" w:lineRule="auto"/>
        <w:rPr>
          <w:rFonts w:ascii="黑体" w:hAnsi="黑体" w:eastAsia="黑体" w:cs="黑体"/>
          <w:sz w:val="28"/>
          <w:szCs w:val="28"/>
        </w:rPr>
      </w:pPr>
      <w:r>
        <w:rPr>
          <w:rFonts w:ascii="黑体" w:hAnsi="黑体" w:eastAsia="黑体" w:cs="黑体"/>
          <w:spacing w:val="-2"/>
          <w:sz w:val="28"/>
          <w:szCs w:val="28"/>
        </w:rPr>
        <w:t>报告主体：</w:t>
      </w:r>
    </w:p>
    <w:p w14:paraId="16B983EC">
      <w:pPr>
        <w:spacing w:before="288" w:line="219" w:lineRule="auto"/>
        <w:rPr>
          <w:rFonts w:ascii="黑体" w:hAnsi="黑体" w:eastAsia="黑体" w:cs="黑体"/>
          <w:sz w:val="28"/>
          <w:szCs w:val="28"/>
        </w:rPr>
      </w:pPr>
      <w:r>
        <w:rPr>
          <w:rFonts w:ascii="黑体" w:hAnsi="黑体" w:eastAsia="黑体" w:cs="黑体"/>
          <w:spacing w:val="-2"/>
          <w:sz w:val="28"/>
          <w:szCs w:val="28"/>
        </w:rPr>
        <w:t>报告年度：</w:t>
      </w:r>
    </w:p>
    <w:p w14:paraId="450624B8">
      <w:pPr>
        <w:spacing w:before="291" w:line="219" w:lineRule="auto"/>
        <w:rPr>
          <w:rFonts w:ascii="黑体" w:hAnsi="黑体" w:eastAsia="黑体" w:cs="黑体"/>
          <w:sz w:val="28"/>
          <w:szCs w:val="28"/>
        </w:rPr>
      </w:pPr>
      <w:r>
        <w:rPr>
          <w:rFonts w:ascii="黑体" w:hAnsi="黑体" w:eastAsia="黑体" w:cs="黑体"/>
          <w:spacing w:val="-2"/>
          <w:sz w:val="28"/>
          <w:szCs w:val="28"/>
        </w:rPr>
        <w:t>编制日期：</w:t>
      </w:r>
    </w:p>
    <w:p w14:paraId="68C15D3C">
      <w:pPr>
        <w:spacing w:line="219" w:lineRule="auto"/>
        <w:rPr>
          <w:rFonts w:ascii="黑体" w:hAnsi="黑体" w:eastAsia="黑体" w:cs="黑体"/>
          <w:sz w:val="28"/>
          <w:szCs w:val="28"/>
        </w:rPr>
        <w:sectPr>
          <w:headerReference r:id="rId27" w:type="default"/>
          <w:footerReference r:id="rId28" w:type="default"/>
          <w:pgSz w:w="11907" w:h="16839"/>
          <w:pgMar w:top="1205" w:right="1303" w:bottom="1648" w:left="1312" w:header="880" w:footer="1448" w:gutter="0"/>
          <w:cols w:space="720" w:num="1"/>
        </w:sectPr>
      </w:pPr>
    </w:p>
    <w:tbl>
      <w:tblPr>
        <w:tblStyle w:val="6"/>
        <w:tblW w:w="9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19"/>
        <w:gridCol w:w="1981"/>
        <w:gridCol w:w="4256"/>
      </w:tblGrid>
      <w:tr w14:paraId="622EC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356" w:type="dxa"/>
            <w:gridSpan w:val="3"/>
            <w:vAlign w:val="top"/>
          </w:tcPr>
          <w:p w14:paraId="40563AE1">
            <w:pPr>
              <w:pStyle w:val="7"/>
              <w:spacing w:before="58" w:line="220" w:lineRule="auto"/>
              <w:ind w:left="119"/>
            </w:pPr>
            <w:r>
              <w:rPr>
                <w:b/>
                <w:bCs/>
                <w:spacing w:val="-5"/>
              </w:rPr>
              <w:t>一、社区基本信息</w:t>
            </w:r>
          </w:p>
        </w:tc>
      </w:tr>
      <w:tr w14:paraId="0518E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119" w:type="dxa"/>
            <w:vAlign w:val="top"/>
          </w:tcPr>
          <w:p w14:paraId="19F894F3">
            <w:pPr>
              <w:pStyle w:val="7"/>
              <w:spacing w:before="50" w:line="221" w:lineRule="auto"/>
              <w:ind w:left="1144"/>
            </w:pPr>
            <w:r>
              <w:rPr>
                <w:spacing w:val="-2"/>
              </w:rPr>
              <w:t>社区名称</w:t>
            </w:r>
          </w:p>
        </w:tc>
        <w:tc>
          <w:tcPr>
            <w:tcW w:w="6237" w:type="dxa"/>
            <w:gridSpan w:val="2"/>
            <w:vMerge w:val="restart"/>
            <w:tcBorders>
              <w:bottom w:val="nil"/>
            </w:tcBorders>
            <w:vAlign w:val="top"/>
          </w:tcPr>
          <w:p w14:paraId="551ED038">
            <w:pPr>
              <w:rPr>
                <w:rFonts w:ascii="Arial"/>
                <w:sz w:val="21"/>
              </w:rPr>
            </w:pPr>
          </w:p>
        </w:tc>
      </w:tr>
      <w:tr w14:paraId="702FD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119" w:type="dxa"/>
            <w:vAlign w:val="top"/>
          </w:tcPr>
          <w:p w14:paraId="59474154">
            <w:pPr>
              <w:pStyle w:val="7"/>
              <w:spacing w:before="50" w:line="221" w:lineRule="auto"/>
              <w:ind w:left="1144"/>
            </w:pPr>
            <w:r>
              <w:rPr>
                <w:spacing w:val="-2"/>
              </w:rPr>
              <w:t>社区地址</w:t>
            </w:r>
          </w:p>
        </w:tc>
        <w:tc>
          <w:tcPr>
            <w:tcW w:w="6237" w:type="dxa"/>
            <w:gridSpan w:val="2"/>
            <w:vMerge w:val="continue"/>
            <w:tcBorders>
              <w:top w:val="nil"/>
            </w:tcBorders>
            <w:vAlign w:val="top"/>
          </w:tcPr>
          <w:p w14:paraId="1AE4837F">
            <w:pPr>
              <w:rPr>
                <w:rFonts w:ascii="Arial"/>
                <w:sz w:val="21"/>
              </w:rPr>
            </w:pPr>
          </w:p>
        </w:tc>
      </w:tr>
      <w:tr w14:paraId="06FEA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19" w:type="dxa"/>
            <w:vMerge w:val="restart"/>
            <w:tcBorders>
              <w:bottom w:val="nil"/>
            </w:tcBorders>
            <w:vAlign w:val="top"/>
          </w:tcPr>
          <w:p w14:paraId="17E77EF0">
            <w:pPr>
              <w:spacing w:line="301" w:lineRule="auto"/>
              <w:rPr>
                <w:rFonts w:ascii="Arial"/>
                <w:sz w:val="21"/>
              </w:rPr>
            </w:pPr>
          </w:p>
          <w:p w14:paraId="043E3415">
            <w:pPr>
              <w:pStyle w:val="7"/>
              <w:spacing w:before="68" w:line="221" w:lineRule="auto"/>
              <w:ind w:left="1038"/>
            </w:pPr>
            <w:r>
              <w:rPr>
                <w:spacing w:val="-2"/>
              </w:rPr>
              <w:t>联系人信息</w:t>
            </w:r>
          </w:p>
        </w:tc>
        <w:tc>
          <w:tcPr>
            <w:tcW w:w="1981" w:type="dxa"/>
            <w:vAlign w:val="top"/>
          </w:tcPr>
          <w:p w14:paraId="79FC60AA">
            <w:pPr>
              <w:pStyle w:val="7"/>
              <w:spacing w:before="50" w:line="221" w:lineRule="auto"/>
              <w:ind w:left="787"/>
            </w:pPr>
            <w:r>
              <w:rPr>
                <w:spacing w:val="-2"/>
              </w:rPr>
              <w:t>姓名</w:t>
            </w:r>
          </w:p>
        </w:tc>
        <w:tc>
          <w:tcPr>
            <w:tcW w:w="4256" w:type="dxa"/>
            <w:vAlign w:val="top"/>
          </w:tcPr>
          <w:p w14:paraId="4E7B2AED">
            <w:pPr>
              <w:rPr>
                <w:rFonts w:ascii="Arial"/>
                <w:sz w:val="21"/>
              </w:rPr>
            </w:pPr>
          </w:p>
        </w:tc>
      </w:tr>
      <w:tr w14:paraId="003FC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19" w:type="dxa"/>
            <w:vMerge w:val="continue"/>
            <w:tcBorders>
              <w:top w:val="nil"/>
              <w:bottom w:val="nil"/>
            </w:tcBorders>
            <w:vAlign w:val="top"/>
          </w:tcPr>
          <w:p w14:paraId="3B06BC14">
            <w:pPr>
              <w:rPr>
                <w:rFonts w:ascii="Arial"/>
                <w:sz w:val="21"/>
              </w:rPr>
            </w:pPr>
          </w:p>
        </w:tc>
        <w:tc>
          <w:tcPr>
            <w:tcW w:w="1981" w:type="dxa"/>
            <w:vAlign w:val="top"/>
          </w:tcPr>
          <w:p w14:paraId="7A7524CD">
            <w:pPr>
              <w:pStyle w:val="7"/>
              <w:spacing w:before="50" w:line="223" w:lineRule="auto"/>
              <w:ind w:left="811"/>
            </w:pPr>
            <w:r>
              <w:rPr>
                <w:spacing w:val="-8"/>
              </w:rPr>
              <w:t>电话</w:t>
            </w:r>
          </w:p>
        </w:tc>
        <w:tc>
          <w:tcPr>
            <w:tcW w:w="4256" w:type="dxa"/>
            <w:vAlign w:val="top"/>
          </w:tcPr>
          <w:p w14:paraId="2E6C8FF9">
            <w:pPr>
              <w:rPr>
                <w:rFonts w:ascii="Arial"/>
                <w:sz w:val="21"/>
              </w:rPr>
            </w:pPr>
          </w:p>
        </w:tc>
      </w:tr>
      <w:tr w14:paraId="10345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19" w:type="dxa"/>
            <w:vMerge w:val="continue"/>
            <w:tcBorders>
              <w:top w:val="nil"/>
            </w:tcBorders>
            <w:vAlign w:val="top"/>
          </w:tcPr>
          <w:p w14:paraId="5413D079">
            <w:pPr>
              <w:rPr>
                <w:rFonts w:ascii="Arial"/>
                <w:sz w:val="21"/>
              </w:rPr>
            </w:pPr>
          </w:p>
        </w:tc>
        <w:tc>
          <w:tcPr>
            <w:tcW w:w="1981" w:type="dxa"/>
            <w:vAlign w:val="top"/>
          </w:tcPr>
          <w:p w14:paraId="11ADC199">
            <w:pPr>
              <w:pStyle w:val="7"/>
              <w:spacing w:before="52" w:line="221" w:lineRule="auto"/>
              <w:ind w:left="802"/>
            </w:pPr>
            <w:r>
              <w:rPr>
                <w:spacing w:val="-6"/>
              </w:rPr>
              <w:t>邮箱</w:t>
            </w:r>
          </w:p>
        </w:tc>
        <w:tc>
          <w:tcPr>
            <w:tcW w:w="4256" w:type="dxa"/>
            <w:vAlign w:val="top"/>
          </w:tcPr>
          <w:p w14:paraId="3A193451">
            <w:pPr>
              <w:rPr>
                <w:rFonts w:ascii="Arial"/>
                <w:sz w:val="21"/>
              </w:rPr>
            </w:pPr>
          </w:p>
        </w:tc>
      </w:tr>
      <w:tr w14:paraId="2DE15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356" w:type="dxa"/>
            <w:gridSpan w:val="3"/>
            <w:vAlign w:val="top"/>
          </w:tcPr>
          <w:p w14:paraId="65662B1D">
            <w:pPr>
              <w:pStyle w:val="7"/>
              <w:spacing w:before="54" w:line="221" w:lineRule="auto"/>
              <w:ind w:left="119"/>
            </w:pPr>
            <w:r>
              <w:rPr>
                <w:b/>
                <w:bCs/>
                <w:spacing w:val="-3"/>
              </w:rPr>
              <w:t>二、社区组织边界概况</w:t>
            </w:r>
          </w:p>
        </w:tc>
      </w:tr>
      <w:tr w14:paraId="2C524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9356" w:type="dxa"/>
            <w:gridSpan w:val="3"/>
            <w:vAlign w:val="top"/>
          </w:tcPr>
          <w:p w14:paraId="67878EDF">
            <w:pPr>
              <w:pStyle w:val="7"/>
              <w:spacing w:before="52" w:line="234" w:lineRule="auto"/>
              <w:ind w:left="132"/>
            </w:pPr>
            <w:r>
              <w:rPr>
                <w:rFonts w:ascii="Times New Roman" w:hAnsi="Times New Roman" w:eastAsia="Times New Roman" w:cs="Times New Roman"/>
                <w:spacing w:val="-4"/>
              </w:rPr>
              <w:t>1</w:t>
            </w:r>
            <w:r>
              <w:rPr>
                <w:spacing w:val="-4"/>
              </w:rPr>
              <w:t>、社区概况</w:t>
            </w:r>
          </w:p>
          <w:p w14:paraId="65DDD7AE">
            <w:pPr>
              <w:pStyle w:val="7"/>
              <w:spacing w:before="44" w:line="221" w:lineRule="auto"/>
              <w:ind w:left="537"/>
            </w:pPr>
            <w:r>
              <w:rPr>
                <w:spacing w:val="-1"/>
              </w:rPr>
              <w:t>社区概况应涵盖以下内容：</w:t>
            </w:r>
          </w:p>
          <w:p w14:paraId="3C15D098">
            <w:pPr>
              <w:pStyle w:val="7"/>
              <w:spacing w:before="61" w:line="234" w:lineRule="auto"/>
              <w:ind w:left="552"/>
            </w:pPr>
            <w:r>
              <w:rPr>
                <w:rFonts w:ascii="Times New Roman" w:hAnsi="Times New Roman" w:eastAsia="Times New Roman" w:cs="Times New Roman"/>
                <w:spacing w:val="-2"/>
              </w:rPr>
              <w:t>1.</w:t>
            </w:r>
            <w:r>
              <w:rPr>
                <w:spacing w:val="-2"/>
              </w:rPr>
              <w:t>社区的规模，包括社区户数、常住人口和总人口等；</w:t>
            </w:r>
          </w:p>
          <w:p w14:paraId="76398BB5">
            <w:pPr>
              <w:pStyle w:val="7"/>
              <w:spacing w:before="45" w:line="214" w:lineRule="auto"/>
              <w:ind w:left="532"/>
            </w:pPr>
            <w:r>
              <w:rPr>
                <w:rFonts w:ascii="Times New Roman" w:hAnsi="Times New Roman" w:eastAsia="Times New Roman" w:cs="Times New Roman"/>
                <w:spacing w:val="-2"/>
              </w:rPr>
              <w:t>2.</w:t>
            </w:r>
            <w:r>
              <w:rPr>
                <w:spacing w:val="-2"/>
              </w:rPr>
              <w:t>社区管理范围、</w:t>
            </w:r>
            <w:r>
              <w:rPr>
                <w:spacing w:val="-59"/>
              </w:rPr>
              <w:t xml:space="preserve"> </w:t>
            </w:r>
            <w:r>
              <w:rPr>
                <w:spacing w:val="-2"/>
              </w:rPr>
              <w:t>占地面积、各类建筑的面积</w:t>
            </w:r>
            <w:r>
              <w:rPr>
                <w:rFonts w:ascii="Times New Roman" w:hAnsi="Times New Roman" w:eastAsia="Times New Roman" w:cs="Times New Roman"/>
                <w:spacing w:val="-2"/>
              </w:rPr>
              <w:t>(</w:t>
            </w:r>
            <w:r>
              <w:rPr>
                <w:spacing w:val="-2"/>
              </w:rPr>
              <w:t>居住面积和公共面积</w:t>
            </w:r>
            <w:r>
              <w:rPr>
                <w:rFonts w:ascii="Times New Roman" w:hAnsi="Times New Roman" w:eastAsia="Times New Roman" w:cs="Times New Roman"/>
                <w:spacing w:val="-2"/>
              </w:rPr>
              <w:t>)</w:t>
            </w:r>
            <w:r>
              <w:rPr>
                <w:spacing w:val="-2"/>
              </w:rPr>
              <w:t>、功能划分等；</w:t>
            </w:r>
          </w:p>
          <w:p w14:paraId="25F1F06E">
            <w:pPr>
              <w:pStyle w:val="7"/>
              <w:spacing w:before="70" w:line="234" w:lineRule="auto"/>
              <w:ind w:left="536"/>
            </w:pPr>
            <w:r>
              <w:rPr>
                <w:rFonts w:ascii="Times New Roman" w:hAnsi="Times New Roman" w:eastAsia="Times New Roman" w:cs="Times New Roman"/>
                <w:spacing w:val="-1"/>
              </w:rPr>
              <w:t>3.</w:t>
            </w:r>
            <w:r>
              <w:rPr>
                <w:spacing w:val="-1"/>
              </w:rPr>
              <w:t>社区重点碳排放源、重点单位和重点设施。</w:t>
            </w:r>
          </w:p>
          <w:p w14:paraId="1053706E">
            <w:pPr>
              <w:pStyle w:val="7"/>
              <w:spacing w:before="46" w:line="234" w:lineRule="auto"/>
              <w:ind w:left="112"/>
            </w:pPr>
            <w:r>
              <w:rPr>
                <w:rFonts w:ascii="Times New Roman" w:hAnsi="Times New Roman" w:eastAsia="Times New Roman" w:cs="Times New Roman"/>
                <w:spacing w:val="-1"/>
              </w:rPr>
              <w:t>2</w:t>
            </w:r>
            <w:r>
              <w:rPr>
                <w:spacing w:val="-1"/>
              </w:rPr>
              <w:t>、有关社区组织边界的其它补充信息</w:t>
            </w:r>
          </w:p>
          <w:p w14:paraId="4D84B991">
            <w:pPr>
              <w:spacing w:before="206" w:line="66" w:lineRule="exact"/>
              <w:ind w:left="445"/>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7E7A6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356" w:type="dxa"/>
            <w:gridSpan w:val="3"/>
            <w:vAlign w:val="top"/>
          </w:tcPr>
          <w:p w14:paraId="4A01E246">
            <w:pPr>
              <w:pStyle w:val="7"/>
              <w:spacing w:before="53" w:line="222" w:lineRule="auto"/>
              <w:ind w:left="116"/>
            </w:pPr>
            <w:r>
              <w:rPr>
                <w:rFonts w:ascii="Times New Roman" w:hAnsi="Times New Roman" w:eastAsia="Times New Roman" w:cs="Times New Roman"/>
                <w:spacing w:val="-1"/>
              </w:rPr>
              <w:t>3</w:t>
            </w:r>
            <w:r>
              <w:rPr>
                <w:spacing w:val="-1"/>
              </w:rPr>
              <w:t>、社区碳排放源识别</w:t>
            </w:r>
          </w:p>
        </w:tc>
      </w:tr>
      <w:tr w14:paraId="618FB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119" w:type="dxa"/>
            <w:vAlign w:val="top"/>
          </w:tcPr>
          <w:p w14:paraId="027E9133">
            <w:pPr>
              <w:pStyle w:val="7"/>
              <w:spacing w:before="53" w:line="221" w:lineRule="auto"/>
              <w:ind w:left="538"/>
            </w:pPr>
            <w:r>
              <w:rPr>
                <w:b/>
                <w:bCs/>
                <w:spacing w:val="-4"/>
              </w:rPr>
              <w:t>排放类别</w:t>
            </w:r>
          </w:p>
        </w:tc>
        <w:tc>
          <w:tcPr>
            <w:tcW w:w="1981" w:type="dxa"/>
            <w:vAlign w:val="top"/>
          </w:tcPr>
          <w:p w14:paraId="2A871D91">
            <w:pPr>
              <w:pStyle w:val="7"/>
              <w:spacing w:before="54" w:line="222" w:lineRule="auto"/>
              <w:ind w:left="679"/>
            </w:pPr>
            <w:r>
              <w:rPr>
                <w:b/>
                <w:bCs/>
                <w:spacing w:val="-4"/>
              </w:rPr>
              <w:t>排放源</w:t>
            </w:r>
          </w:p>
        </w:tc>
        <w:tc>
          <w:tcPr>
            <w:tcW w:w="4256" w:type="dxa"/>
            <w:vAlign w:val="top"/>
          </w:tcPr>
          <w:p w14:paraId="1E444EDF">
            <w:pPr>
              <w:pStyle w:val="7"/>
              <w:spacing w:before="54" w:line="222" w:lineRule="auto"/>
              <w:ind w:left="1712"/>
            </w:pPr>
            <w:r>
              <w:rPr>
                <w:b/>
                <w:bCs/>
                <w:spacing w:val="-3"/>
              </w:rPr>
              <w:t>排放设施</w:t>
            </w:r>
          </w:p>
        </w:tc>
      </w:tr>
      <w:tr w14:paraId="4797B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119" w:type="dxa"/>
            <w:vAlign w:val="top"/>
          </w:tcPr>
          <w:p w14:paraId="6A2845AE">
            <w:pPr>
              <w:pStyle w:val="7"/>
              <w:spacing w:before="53" w:line="222" w:lineRule="auto"/>
              <w:ind w:left="537"/>
            </w:pPr>
            <w:r>
              <w:rPr>
                <w:spacing w:val="-2"/>
              </w:rPr>
              <w:t>直接排放</w:t>
            </w:r>
          </w:p>
        </w:tc>
        <w:tc>
          <w:tcPr>
            <w:tcW w:w="1981" w:type="dxa"/>
            <w:vAlign w:val="top"/>
          </w:tcPr>
          <w:p w14:paraId="0E203A6D">
            <w:pPr>
              <w:pStyle w:val="7"/>
              <w:spacing w:before="54" w:line="221" w:lineRule="auto"/>
              <w:ind w:left="536"/>
            </w:pPr>
            <w:r>
              <w:rPr>
                <w:spacing w:val="-2"/>
              </w:rPr>
              <w:t>天然气</w:t>
            </w:r>
          </w:p>
        </w:tc>
        <w:tc>
          <w:tcPr>
            <w:tcW w:w="4256" w:type="dxa"/>
            <w:vAlign w:val="top"/>
          </w:tcPr>
          <w:p w14:paraId="67FDD405">
            <w:pPr>
              <w:rPr>
                <w:rFonts w:ascii="Arial"/>
                <w:sz w:val="21"/>
              </w:rPr>
            </w:pPr>
          </w:p>
        </w:tc>
      </w:tr>
      <w:tr w14:paraId="57FCE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19" w:type="dxa"/>
            <w:vAlign w:val="top"/>
          </w:tcPr>
          <w:p w14:paraId="098C7D81">
            <w:pPr>
              <w:rPr>
                <w:rFonts w:ascii="Arial"/>
                <w:sz w:val="21"/>
              </w:rPr>
            </w:pPr>
          </w:p>
        </w:tc>
        <w:tc>
          <w:tcPr>
            <w:tcW w:w="1981" w:type="dxa"/>
            <w:vAlign w:val="top"/>
          </w:tcPr>
          <w:p w14:paraId="616A1B82">
            <w:pPr>
              <w:pStyle w:val="7"/>
              <w:spacing w:before="53" w:line="221" w:lineRule="auto"/>
              <w:ind w:left="533"/>
            </w:pPr>
            <w:r>
              <w:rPr>
                <w:spacing w:val="-2"/>
              </w:rPr>
              <w:t>燃煤</w:t>
            </w:r>
          </w:p>
        </w:tc>
        <w:tc>
          <w:tcPr>
            <w:tcW w:w="4256" w:type="dxa"/>
            <w:vAlign w:val="top"/>
          </w:tcPr>
          <w:p w14:paraId="7B6A1B1D">
            <w:pPr>
              <w:rPr>
                <w:rFonts w:ascii="Arial"/>
                <w:sz w:val="21"/>
              </w:rPr>
            </w:pPr>
          </w:p>
        </w:tc>
      </w:tr>
      <w:tr w14:paraId="0BB62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119" w:type="dxa"/>
            <w:vAlign w:val="top"/>
          </w:tcPr>
          <w:p w14:paraId="37B2AB6F">
            <w:pPr>
              <w:rPr>
                <w:rFonts w:ascii="Arial"/>
                <w:sz w:val="21"/>
              </w:rPr>
            </w:pPr>
          </w:p>
        </w:tc>
        <w:tc>
          <w:tcPr>
            <w:tcW w:w="1981" w:type="dxa"/>
            <w:vAlign w:val="top"/>
          </w:tcPr>
          <w:p w14:paraId="2A24A830">
            <w:pPr>
              <w:pStyle w:val="7"/>
              <w:spacing w:before="56" w:line="222" w:lineRule="auto"/>
              <w:ind w:left="532"/>
            </w:pPr>
            <w:r>
              <w:rPr>
                <w:spacing w:val="-2"/>
              </w:rPr>
              <w:t>汽油</w:t>
            </w:r>
          </w:p>
        </w:tc>
        <w:tc>
          <w:tcPr>
            <w:tcW w:w="4256" w:type="dxa"/>
            <w:vAlign w:val="top"/>
          </w:tcPr>
          <w:p w14:paraId="71B7515E">
            <w:pPr>
              <w:rPr>
                <w:rFonts w:ascii="Arial"/>
                <w:sz w:val="21"/>
              </w:rPr>
            </w:pPr>
          </w:p>
        </w:tc>
      </w:tr>
      <w:tr w14:paraId="1C1AB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19" w:type="dxa"/>
            <w:vAlign w:val="top"/>
          </w:tcPr>
          <w:p w14:paraId="3D8FCA88">
            <w:pPr>
              <w:pStyle w:val="7"/>
              <w:spacing w:before="53" w:line="222" w:lineRule="auto"/>
              <w:ind w:left="552"/>
            </w:pPr>
            <w:r>
              <w:rPr>
                <w:spacing w:val="-6"/>
              </w:rPr>
              <w:t>间接排放</w:t>
            </w:r>
          </w:p>
        </w:tc>
        <w:tc>
          <w:tcPr>
            <w:tcW w:w="1981" w:type="dxa"/>
            <w:vAlign w:val="top"/>
          </w:tcPr>
          <w:p w14:paraId="2071DE3C">
            <w:pPr>
              <w:pStyle w:val="7"/>
              <w:spacing w:before="53" w:line="221" w:lineRule="auto"/>
              <w:ind w:left="580"/>
            </w:pPr>
            <w:r>
              <w:rPr>
                <w:spacing w:val="-3"/>
              </w:rPr>
              <w:t>外购电力</w:t>
            </w:r>
          </w:p>
        </w:tc>
        <w:tc>
          <w:tcPr>
            <w:tcW w:w="4256" w:type="dxa"/>
            <w:vAlign w:val="top"/>
          </w:tcPr>
          <w:p w14:paraId="10E827FE">
            <w:pPr>
              <w:rPr>
                <w:rFonts w:ascii="Arial"/>
                <w:sz w:val="21"/>
              </w:rPr>
            </w:pPr>
          </w:p>
        </w:tc>
      </w:tr>
      <w:tr w14:paraId="1EB87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119" w:type="dxa"/>
            <w:vAlign w:val="top"/>
          </w:tcPr>
          <w:p w14:paraId="033FFBBB">
            <w:pPr>
              <w:rPr>
                <w:rFonts w:ascii="Arial"/>
                <w:sz w:val="21"/>
              </w:rPr>
            </w:pPr>
          </w:p>
        </w:tc>
        <w:tc>
          <w:tcPr>
            <w:tcW w:w="1981" w:type="dxa"/>
            <w:vAlign w:val="top"/>
          </w:tcPr>
          <w:p w14:paraId="599F7CCA">
            <w:pPr>
              <w:pStyle w:val="7"/>
              <w:spacing w:before="54" w:line="221" w:lineRule="auto"/>
              <w:ind w:left="539"/>
            </w:pPr>
            <w:r>
              <w:rPr>
                <w:spacing w:val="-3"/>
              </w:rPr>
              <w:t>外购热力</w:t>
            </w:r>
          </w:p>
        </w:tc>
        <w:tc>
          <w:tcPr>
            <w:tcW w:w="4256" w:type="dxa"/>
            <w:vAlign w:val="top"/>
          </w:tcPr>
          <w:p w14:paraId="32DA8D06">
            <w:pPr>
              <w:spacing w:before="215" w:line="66" w:lineRule="exact"/>
              <w:ind w:left="2045"/>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30F1E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119" w:type="dxa"/>
            <w:vAlign w:val="top"/>
          </w:tcPr>
          <w:p w14:paraId="533AC008">
            <w:pPr>
              <w:spacing w:before="215" w:line="65" w:lineRule="exact"/>
              <w:ind w:left="1472"/>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1981" w:type="dxa"/>
            <w:vAlign w:val="top"/>
          </w:tcPr>
          <w:p w14:paraId="1C68F120">
            <w:pPr>
              <w:spacing w:before="215" w:line="65" w:lineRule="exact"/>
              <w:ind w:left="905"/>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4256" w:type="dxa"/>
            <w:vAlign w:val="top"/>
          </w:tcPr>
          <w:p w14:paraId="5F05DC8A">
            <w:pPr>
              <w:spacing w:before="215" w:line="65" w:lineRule="exact"/>
              <w:ind w:left="2045"/>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r>
      <w:tr w14:paraId="3DB62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356" w:type="dxa"/>
            <w:gridSpan w:val="3"/>
            <w:vAlign w:val="top"/>
          </w:tcPr>
          <w:p w14:paraId="4E0F88C8">
            <w:pPr>
              <w:pStyle w:val="7"/>
              <w:spacing w:before="53" w:line="221" w:lineRule="auto"/>
              <w:ind w:left="116"/>
            </w:pPr>
            <w:r>
              <w:rPr>
                <w:b/>
                <w:bCs/>
                <w:spacing w:val="-3"/>
              </w:rPr>
              <w:t>三、社区碳排放量</w:t>
            </w:r>
          </w:p>
        </w:tc>
      </w:tr>
      <w:tr w14:paraId="09077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356" w:type="dxa"/>
            <w:gridSpan w:val="3"/>
            <w:vAlign w:val="top"/>
          </w:tcPr>
          <w:p w14:paraId="6FA07E5A">
            <w:pPr>
              <w:pStyle w:val="7"/>
              <w:spacing w:before="53" w:line="221" w:lineRule="auto"/>
              <w:ind w:left="541"/>
            </w:pPr>
            <w:r>
              <w:rPr>
                <w:spacing w:val="-1"/>
              </w:rPr>
              <w:t>统计期：     ****年</w:t>
            </w:r>
          </w:p>
        </w:tc>
      </w:tr>
      <w:tr w14:paraId="28C98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100" w:type="dxa"/>
            <w:gridSpan w:val="2"/>
            <w:vAlign w:val="top"/>
          </w:tcPr>
          <w:p w14:paraId="45BBC1AE">
            <w:pPr>
              <w:pStyle w:val="7"/>
              <w:spacing w:before="55" w:line="221" w:lineRule="auto"/>
              <w:ind w:left="955"/>
            </w:pPr>
            <w:r>
              <w:rPr>
                <w:spacing w:val="-1"/>
              </w:rPr>
              <w:t>碳排放类型</w:t>
            </w:r>
          </w:p>
        </w:tc>
        <w:tc>
          <w:tcPr>
            <w:tcW w:w="4256" w:type="dxa"/>
            <w:vAlign w:val="top"/>
          </w:tcPr>
          <w:p w14:paraId="6DAEA508">
            <w:pPr>
              <w:pStyle w:val="7"/>
              <w:spacing w:before="55" w:line="221" w:lineRule="auto"/>
              <w:ind w:left="977"/>
            </w:pPr>
            <w:r>
              <w:rPr>
                <w:b/>
                <w:bCs/>
                <w:spacing w:val="-2"/>
              </w:rPr>
              <w:t>消耗量</w:t>
            </w:r>
            <w:r>
              <w:rPr>
                <w:spacing w:val="-2"/>
              </w:rPr>
              <w:t xml:space="preserve">        </w:t>
            </w:r>
            <w:r>
              <w:rPr>
                <w:b/>
                <w:bCs/>
                <w:spacing w:val="-2"/>
              </w:rPr>
              <w:t>碳排放量</w:t>
            </w:r>
          </w:p>
        </w:tc>
      </w:tr>
      <w:tr w14:paraId="56C45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19" w:type="dxa"/>
            <w:vAlign w:val="top"/>
          </w:tcPr>
          <w:p w14:paraId="582B29ED">
            <w:pPr>
              <w:pStyle w:val="7"/>
              <w:spacing w:before="53" w:line="221" w:lineRule="auto"/>
              <w:ind w:left="1039"/>
            </w:pPr>
            <w:r>
              <w:rPr>
                <w:spacing w:val="-2"/>
              </w:rPr>
              <w:t>直接碳排放</w:t>
            </w:r>
          </w:p>
        </w:tc>
        <w:tc>
          <w:tcPr>
            <w:tcW w:w="1981" w:type="dxa"/>
            <w:vAlign w:val="top"/>
          </w:tcPr>
          <w:p w14:paraId="35D30CAC">
            <w:pPr>
              <w:pStyle w:val="7"/>
              <w:spacing w:before="53" w:line="221" w:lineRule="auto"/>
              <w:ind w:left="685"/>
            </w:pPr>
            <w:r>
              <w:rPr>
                <w:spacing w:val="-2"/>
              </w:rPr>
              <w:t>天然气</w:t>
            </w:r>
          </w:p>
        </w:tc>
        <w:tc>
          <w:tcPr>
            <w:tcW w:w="4256" w:type="dxa"/>
            <w:vAlign w:val="top"/>
          </w:tcPr>
          <w:p w14:paraId="7BEBDB08">
            <w:pPr>
              <w:rPr>
                <w:rFonts w:ascii="Arial"/>
                <w:sz w:val="21"/>
              </w:rPr>
            </w:pPr>
          </w:p>
        </w:tc>
      </w:tr>
      <w:tr w14:paraId="2E94A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119" w:type="dxa"/>
            <w:vAlign w:val="top"/>
          </w:tcPr>
          <w:p w14:paraId="1AE3BD67">
            <w:pPr>
              <w:rPr>
                <w:rFonts w:ascii="Arial"/>
                <w:sz w:val="21"/>
              </w:rPr>
            </w:pPr>
          </w:p>
        </w:tc>
        <w:tc>
          <w:tcPr>
            <w:tcW w:w="1981" w:type="dxa"/>
            <w:vAlign w:val="top"/>
          </w:tcPr>
          <w:p w14:paraId="02157651">
            <w:pPr>
              <w:pStyle w:val="7"/>
              <w:spacing w:before="54" w:line="221" w:lineRule="auto"/>
              <w:ind w:left="788"/>
            </w:pPr>
            <w:r>
              <w:rPr>
                <w:spacing w:val="-2"/>
              </w:rPr>
              <w:t>燃煤</w:t>
            </w:r>
          </w:p>
        </w:tc>
        <w:tc>
          <w:tcPr>
            <w:tcW w:w="4256" w:type="dxa"/>
            <w:vAlign w:val="top"/>
          </w:tcPr>
          <w:p w14:paraId="48663F75">
            <w:pPr>
              <w:rPr>
                <w:rFonts w:ascii="Arial"/>
                <w:sz w:val="21"/>
              </w:rPr>
            </w:pPr>
          </w:p>
        </w:tc>
      </w:tr>
      <w:tr w14:paraId="2591A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19" w:type="dxa"/>
            <w:vAlign w:val="top"/>
          </w:tcPr>
          <w:p w14:paraId="405ECEBF">
            <w:pPr>
              <w:rPr>
                <w:rFonts w:ascii="Arial"/>
                <w:sz w:val="21"/>
              </w:rPr>
            </w:pPr>
          </w:p>
        </w:tc>
        <w:tc>
          <w:tcPr>
            <w:tcW w:w="1981" w:type="dxa"/>
            <w:vAlign w:val="top"/>
          </w:tcPr>
          <w:p w14:paraId="12383482">
            <w:pPr>
              <w:pStyle w:val="7"/>
              <w:spacing w:before="53" w:line="222" w:lineRule="auto"/>
              <w:ind w:left="787"/>
            </w:pPr>
            <w:r>
              <w:rPr>
                <w:spacing w:val="-2"/>
              </w:rPr>
              <w:t>汽油</w:t>
            </w:r>
          </w:p>
        </w:tc>
        <w:tc>
          <w:tcPr>
            <w:tcW w:w="4256" w:type="dxa"/>
            <w:vAlign w:val="top"/>
          </w:tcPr>
          <w:p w14:paraId="48802F26">
            <w:pPr>
              <w:rPr>
                <w:rFonts w:ascii="Arial"/>
                <w:sz w:val="21"/>
              </w:rPr>
            </w:pPr>
          </w:p>
        </w:tc>
      </w:tr>
      <w:tr w14:paraId="3D8B6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119" w:type="dxa"/>
            <w:vAlign w:val="top"/>
          </w:tcPr>
          <w:p w14:paraId="68497678">
            <w:pPr>
              <w:rPr>
                <w:rFonts w:ascii="Arial"/>
                <w:sz w:val="21"/>
              </w:rPr>
            </w:pPr>
          </w:p>
        </w:tc>
        <w:tc>
          <w:tcPr>
            <w:tcW w:w="1981" w:type="dxa"/>
            <w:vAlign w:val="top"/>
          </w:tcPr>
          <w:p w14:paraId="37C9CAC9">
            <w:pPr>
              <w:spacing w:before="215" w:line="65" w:lineRule="exact"/>
              <w:ind w:left="802"/>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w:t>
            </w:r>
          </w:p>
        </w:tc>
        <w:tc>
          <w:tcPr>
            <w:tcW w:w="4256" w:type="dxa"/>
            <w:vAlign w:val="top"/>
          </w:tcPr>
          <w:p w14:paraId="03B9405D">
            <w:pPr>
              <w:rPr>
                <w:rFonts w:ascii="Arial"/>
                <w:sz w:val="21"/>
              </w:rPr>
            </w:pPr>
          </w:p>
        </w:tc>
      </w:tr>
      <w:tr w14:paraId="69315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119" w:type="dxa"/>
            <w:vAlign w:val="top"/>
          </w:tcPr>
          <w:p w14:paraId="680AA89A">
            <w:pPr>
              <w:rPr>
                <w:rFonts w:ascii="Arial"/>
                <w:sz w:val="21"/>
              </w:rPr>
            </w:pPr>
          </w:p>
        </w:tc>
        <w:tc>
          <w:tcPr>
            <w:tcW w:w="1981" w:type="dxa"/>
            <w:vAlign w:val="top"/>
          </w:tcPr>
          <w:p w14:paraId="3CDF9900">
            <w:pPr>
              <w:pStyle w:val="7"/>
              <w:spacing w:before="53" w:line="222" w:lineRule="auto"/>
              <w:ind w:left="790"/>
            </w:pPr>
            <w:r>
              <w:rPr>
                <w:b/>
                <w:bCs/>
                <w:spacing w:val="-6"/>
              </w:rPr>
              <w:t>小计</w:t>
            </w:r>
          </w:p>
        </w:tc>
        <w:tc>
          <w:tcPr>
            <w:tcW w:w="4256" w:type="dxa"/>
            <w:vAlign w:val="top"/>
          </w:tcPr>
          <w:p w14:paraId="6553A85B">
            <w:pPr>
              <w:rPr>
                <w:rFonts w:ascii="Arial"/>
                <w:sz w:val="21"/>
              </w:rPr>
            </w:pPr>
          </w:p>
        </w:tc>
      </w:tr>
      <w:tr w14:paraId="41235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119" w:type="dxa"/>
            <w:vAlign w:val="top"/>
          </w:tcPr>
          <w:p w14:paraId="21AD9A6F">
            <w:pPr>
              <w:pStyle w:val="7"/>
              <w:spacing w:before="56" w:line="221" w:lineRule="auto"/>
              <w:ind w:left="1054"/>
            </w:pPr>
            <w:r>
              <w:rPr>
                <w:spacing w:val="-5"/>
              </w:rPr>
              <w:t>间接碳排放</w:t>
            </w:r>
          </w:p>
        </w:tc>
        <w:tc>
          <w:tcPr>
            <w:tcW w:w="1981" w:type="dxa"/>
            <w:vAlign w:val="top"/>
          </w:tcPr>
          <w:p w14:paraId="3DE73EA6">
            <w:pPr>
              <w:pStyle w:val="7"/>
              <w:spacing w:before="55" w:line="221" w:lineRule="auto"/>
              <w:ind w:left="580"/>
            </w:pPr>
            <w:r>
              <w:rPr>
                <w:spacing w:val="-3"/>
              </w:rPr>
              <w:t>外购电力</w:t>
            </w:r>
          </w:p>
        </w:tc>
        <w:tc>
          <w:tcPr>
            <w:tcW w:w="4256" w:type="dxa"/>
            <w:vAlign w:val="top"/>
          </w:tcPr>
          <w:p w14:paraId="6C2E964C">
            <w:pPr>
              <w:rPr>
                <w:rFonts w:ascii="Arial"/>
                <w:sz w:val="21"/>
              </w:rPr>
            </w:pPr>
          </w:p>
        </w:tc>
      </w:tr>
      <w:tr w14:paraId="3F5FE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19" w:type="dxa"/>
            <w:vAlign w:val="top"/>
          </w:tcPr>
          <w:p w14:paraId="0BC5C0D7">
            <w:pPr>
              <w:rPr>
                <w:rFonts w:ascii="Arial"/>
                <w:sz w:val="21"/>
              </w:rPr>
            </w:pPr>
          </w:p>
        </w:tc>
        <w:tc>
          <w:tcPr>
            <w:tcW w:w="1981" w:type="dxa"/>
            <w:vAlign w:val="top"/>
          </w:tcPr>
          <w:p w14:paraId="00B30066">
            <w:pPr>
              <w:pStyle w:val="7"/>
              <w:spacing w:before="52" w:line="221" w:lineRule="auto"/>
              <w:ind w:left="580"/>
            </w:pPr>
            <w:r>
              <w:rPr>
                <w:spacing w:val="-3"/>
              </w:rPr>
              <w:t>外购热力</w:t>
            </w:r>
          </w:p>
        </w:tc>
        <w:tc>
          <w:tcPr>
            <w:tcW w:w="4256" w:type="dxa"/>
            <w:vAlign w:val="top"/>
          </w:tcPr>
          <w:p w14:paraId="2908CD37">
            <w:pPr>
              <w:rPr>
                <w:rFonts w:ascii="Arial"/>
                <w:sz w:val="21"/>
              </w:rPr>
            </w:pPr>
          </w:p>
        </w:tc>
      </w:tr>
      <w:tr w14:paraId="75B7E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119" w:type="dxa"/>
            <w:vAlign w:val="top"/>
          </w:tcPr>
          <w:p w14:paraId="576ADFFB">
            <w:pPr>
              <w:rPr>
                <w:rFonts w:ascii="Arial"/>
                <w:sz w:val="21"/>
              </w:rPr>
            </w:pPr>
          </w:p>
        </w:tc>
        <w:tc>
          <w:tcPr>
            <w:tcW w:w="1981" w:type="dxa"/>
            <w:vAlign w:val="top"/>
          </w:tcPr>
          <w:p w14:paraId="4DCE409B">
            <w:pPr>
              <w:pStyle w:val="7"/>
              <w:spacing w:before="54" w:line="222" w:lineRule="auto"/>
              <w:ind w:left="790"/>
            </w:pPr>
            <w:r>
              <w:rPr>
                <w:b/>
                <w:bCs/>
                <w:spacing w:val="-6"/>
              </w:rPr>
              <w:t>小计</w:t>
            </w:r>
          </w:p>
        </w:tc>
        <w:tc>
          <w:tcPr>
            <w:tcW w:w="4256" w:type="dxa"/>
            <w:vAlign w:val="top"/>
          </w:tcPr>
          <w:p w14:paraId="3F3B5868">
            <w:pPr>
              <w:rPr>
                <w:rFonts w:ascii="Arial"/>
                <w:sz w:val="21"/>
              </w:rPr>
            </w:pPr>
          </w:p>
        </w:tc>
      </w:tr>
      <w:tr w14:paraId="05D2E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100" w:type="dxa"/>
            <w:gridSpan w:val="2"/>
            <w:vAlign w:val="top"/>
          </w:tcPr>
          <w:p w14:paraId="30D79B7E">
            <w:pPr>
              <w:pStyle w:val="7"/>
              <w:spacing w:before="53" w:line="221" w:lineRule="auto"/>
              <w:ind w:left="1821"/>
            </w:pPr>
            <w:r>
              <w:rPr>
                <w:spacing w:val="-1"/>
              </w:rPr>
              <w:t>社区碳排放总量</w:t>
            </w:r>
          </w:p>
        </w:tc>
        <w:tc>
          <w:tcPr>
            <w:tcW w:w="4256" w:type="dxa"/>
            <w:vAlign w:val="top"/>
          </w:tcPr>
          <w:p w14:paraId="6A9861C3">
            <w:pPr>
              <w:rPr>
                <w:rFonts w:ascii="Arial"/>
                <w:sz w:val="21"/>
              </w:rPr>
            </w:pPr>
          </w:p>
        </w:tc>
      </w:tr>
      <w:tr w14:paraId="31F5D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100" w:type="dxa"/>
            <w:gridSpan w:val="2"/>
            <w:vAlign w:val="top"/>
          </w:tcPr>
          <w:p w14:paraId="227FC8ED">
            <w:pPr>
              <w:pStyle w:val="7"/>
              <w:spacing w:before="54" w:line="217" w:lineRule="auto"/>
              <w:ind w:left="1041"/>
            </w:pPr>
            <w:r>
              <w:rPr>
                <w:spacing w:val="-1"/>
              </w:rPr>
              <w:t>社区人均碳排放量（</w:t>
            </w:r>
            <w:r>
              <w:rPr>
                <w:rFonts w:ascii="Times New Roman" w:hAnsi="Times New Roman" w:eastAsia="Times New Roman" w:cs="Times New Roman"/>
                <w:spacing w:val="-1"/>
              </w:rPr>
              <w:t>kgCO</w:t>
            </w:r>
            <w:r>
              <w:rPr>
                <w:rFonts w:ascii="Times New Roman" w:hAnsi="Times New Roman" w:eastAsia="Times New Roman" w:cs="Times New Roman"/>
                <w:spacing w:val="-1"/>
                <w:position w:val="-1"/>
                <w:sz w:val="13"/>
                <w:szCs w:val="13"/>
              </w:rPr>
              <w:t>2</w:t>
            </w:r>
            <w:r>
              <w:rPr>
                <w:rFonts w:ascii="Times New Roman" w:hAnsi="Times New Roman" w:eastAsia="Times New Roman" w:cs="Times New Roman"/>
                <w:spacing w:val="-1"/>
              </w:rPr>
              <w:t>e/</w:t>
            </w:r>
            <w:r>
              <w:rPr>
                <w:spacing w:val="-1"/>
              </w:rPr>
              <w:t>人）</w:t>
            </w:r>
          </w:p>
        </w:tc>
        <w:tc>
          <w:tcPr>
            <w:tcW w:w="4256" w:type="dxa"/>
            <w:vAlign w:val="top"/>
          </w:tcPr>
          <w:p w14:paraId="015785E7">
            <w:pPr>
              <w:rPr>
                <w:rFonts w:ascii="Arial"/>
                <w:sz w:val="21"/>
              </w:rPr>
            </w:pPr>
          </w:p>
        </w:tc>
      </w:tr>
      <w:tr w14:paraId="21CA4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356" w:type="dxa"/>
            <w:gridSpan w:val="3"/>
            <w:vAlign w:val="top"/>
          </w:tcPr>
          <w:p w14:paraId="6F331CDA">
            <w:pPr>
              <w:pStyle w:val="7"/>
              <w:spacing w:before="53" w:line="221" w:lineRule="auto"/>
              <w:ind w:left="135"/>
            </w:pPr>
            <w:r>
              <w:rPr>
                <w:b/>
                <w:bCs/>
                <w:spacing w:val="-4"/>
              </w:rPr>
              <w:t>四、活动数据及排放因子来源说明</w:t>
            </w:r>
          </w:p>
        </w:tc>
      </w:tr>
      <w:tr w14:paraId="0CF39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5" w:hRule="atLeast"/>
        </w:trPr>
        <w:tc>
          <w:tcPr>
            <w:tcW w:w="9356" w:type="dxa"/>
            <w:gridSpan w:val="3"/>
            <w:vAlign w:val="top"/>
          </w:tcPr>
          <w:p w14:paraId="079891EE">
            <w:pPr>
              <w:pStyle w:val="7"/>
              <w:spacing w:before="58" w:line="274" w:lineRule="auto"/>
              <w:ind w:left="118" w:right="102" w:firstLine="419"/>
            </w:pPr>
            <w:r>
              <w:rPr>
                <w:spacing w:val="-3"/>
              </w:rPr>
              <w:t>社区应结合碳排放源的识别和划分情况，分别报告所核算的各个碳排放源的活动水平数据，同时</w:t>
            </w:r>
            <w:r>
              <w:rPr>
                <w:spacing w:val="15"/>
              </w:rPr>
              <w:t xml:space="preserve"> </w:t>
            </w:r>
            <w:r>
              <w:rPr>
                <w:spacing w:val="-1"/>
              </w:rPr>
              <w:t>说明相应的搜集方法、数据来源及其支撑证据。</w:t>
            </w:r>
          </w:p>
          <w:p w14:paraId="56C28063">
            <w:pPr>
              <w:pStyle w:val="7"/>
              <w:spacing w:line="220" w:lineRule="auto"/>
              <w:ind w:left="539"/>
            </w:pPr>
            <w:r>
              <w:rPr>
                <w:spacing w:val="-5"/>
              </w:rPr>
              <w:t>活动数据说明：</w:t>
            </w:r>
          </w:p>
          <w:p w14:paraId="026AC774">
            <w:pPr>
              <w:pStyle w:val="7"/>
              <w:spacing w:before="60" w:line="220" w:lineRule="auto"/>
              <w:ind w:left="536"/>
            </w:pPr>
            <w:r>
              <w:rPr>
                <w:spacing w:val="-1"/>
              </w:rPr>
              <w:t>例如，社区消耗电力 XX 万 kW</w:t>
            </w:r>
            <w:r>
              <w:rPr>
                <w:rFonts w:ascii="Cambria Math" w:hAnsi="Cambria Math" w:eastAsia="Cambria Math" w:cs="Cambria Math"/>
                <w:spacing w:val="-1"/>
              </w:rPr>
              <w:t>.</w:t>
            </w:r>
            <w:r>
              <w:rPr>
                <w:spacing w:val="-1"/>
              </w:rPr>
              <w:t>h，采用抽样调查方式推算，数据来源：</w:t>
            </w:r>
          </w:p>
          <w:p w14:paraId="06991923">
            <w:pPr>
              <w:pStyle w:val="7"/>
              <w:spacing w:before="61" w:line="312" w:lineRule="exact"/>
              <w:ind w:left="549"/>
            </w:pPr>
            <w:r>
              <w:rPr>
                <w:position w:val="2"/>
              </w:rPr>
              <w:t>…</w:t>
            </w:r>
          </w:p>
          <w:p w14:paraId="09488977">
            <w:pPr>
              <w:pStyle w:val="7"/>
              <w:spacing w:before="1" w:line="220" w:lineRule="auto"/>
              <w:ind w:left="536"/>
            </w:pPr>
            <w:r>
              <w:rPr>
                <w:spacing w:val="-5"/>
              </w:rPr>
              <w:t>排放因子说明：</w:t>
            </w:r>
          </w:p>
          <w:p w14:paraId="0661D094">
            <w:pPr>
              <w:pStyle w:val="7"/>
              <w:spacing w:before="62" w:line="224" w:lineRule="auto"/>
              <w:ind w:left="549"/>
            </w:pPr>
            <w:r>
              <w:t>…</w:t>
            </w:r>
          </w:p>
        </w:tc>
      </w:tr>
    </w:tbl>
    <w:p w14:paraId="160B6CE0">
      <w:pPr>
        <w:pStyle w:val="2"/>
      </w:pPr>
    </w:p>
    <w:p w14:paraId="61FCAF4C">
      <w:pPr>
        <w:sectPr>
          <w:headerReference r:id="rId29" w:type="default"/>
          <w:footerReference r:id="rId30" w:type="default"/>
          <w:pgSz w:w="11907" w:h="16839"/>
          <w:pgMar w:top="1178" w:right="1241" w:bottom="1648" w:left="1303" w:header="880" w:footer="1446" w:gutter="0"/>
          <w:cols w:space="720" w:num="1"/>
        </w:sectPr>
      </w:pPr>
    </w:p>
    <w:tbl>
      <w:tblPr>
        <w:tblStyle w:val="6"/>
        <w:tblW w:w="9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6"/>
      </w:tblGrid>
      <w:tr w14:paraId="04BF3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356" w:type="dxa"/>
            <w:vAlign w:val="top"/>
          </w:tcPr>
          <w:p w14:paraId="7C94872B">
            <w:pPr>
              <w:pStyle w:val="7"/>
              <w:spacing w:before="223" w:line="221" w:lineRule="auto"/>
              <w:ind w:left="118"/>
              <w:rPr>
                <w:sz w:val="22"/>
                <w:szCs w:val="22"/>
              </w:rPr>
            </w:pPr>
            <w:r>
              <w:rPr>
                <w:b/>
                <w:bCs/>
                <w:spacing w:val="-3"/>
                <w:sz w:val="22"/>
                <w:szCs w:val="22"/>
              </w:rPr>
              <w:t>六、减碳措施及减碳量</w:t>
            </w:r>
          </w:p>
        </w:tc>
      </w:tr>
      <w:tr w14:paraId="5CED6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356" w:type="dxa"/>
            <w:vAlign w:val="top"/>
          </w:tcPr>
          <w:p w14:paraId="76503408">
            <w:pPr>
              <w:pStyle w:val="7"/>
              <w:spacing w:before="47" w:line="219" w:lineRule="auto"/>
              <w:ind w:left="338"/>
              <w:rPr>
                <w:sz w:val="22"/>
                <w:szCs w:val="22"/>
              </w:rPr>
            </w:pPr>
            <w:r>
              <w:rPr>
                <w:spacing w:val="-1"/>
                <w:sz w:val="22"/>
                <w:szCs w:val="22"/>
              </w:rPr>
              <w:t>社区采取的减碳措施：</w:t>
            </w:r>
          </w:p>
          <w:p w14:paraId="00DDA3C1">
            <w:pPr>
              <w:spacing w:line="288" w:lineRule="auto"/>
              <w:rPr>
                <w:rFonts w:ascii="Arial"/>
                <w:sz w:val="21"/>
              </w:rPr>
            </w:pPr>
          </w:p>
          <w:p w14:paraId="3D0C735A">
            <w:pPr>
              <w:pStyle w:val="7"/>
              <w:spacing w:before="72" w:line="217" w:lineRule="auto"/>
              <w:ind w:left="337"/>
              <w:rPr>
                <w:sz w:val="22"/>
                <w:szCs w:val="22"/>
              </w:rPr>
            </w:pPr>
            <w:r>
              <w:rPr>
                <w:spacing w:val="-11"/>
                <w:sz w:val="22"/>
                <w:szCs w:val="22"/>
              </w:rPr>
              <w:t>减碳量：</w:t>
            </w:r>
          </w:p>
        </w:tc>
      </w:tr>
      <w:tr w14:paraId="54748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356" w:type="dxa"/>
            <w:vAlign w:val="top"/>
          </w:tcPr>
          <w:p w14:paraId="1AE30859">
            <w:pPr>
              <w:pStyle w:val="7"/>
              <w:spacing w:before="50" w:line="216" w:lineRule="auto"/>
              <w:ind w:left="115"/>
              <w:rPr>
                <w:sz w:val="22"/>
                <w:szCs w:val="22"/>
              </w:rPr>
            </w:pPr>
            <w:r>
              <w:rPr>
                <w:b/>
                <w:bCs/>
                <w:spacing w:val="-4"/>
                <w:sz w:val="22"/>
                <w:szCs w:val="22"/>
              </w:rPr>
              <w:t>七、其他</w:t>
            </w:r>
          </w:p>
        </w:tc>
      </w:tr>
      <w:tr w14:paraId="40DE0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356" w:type="dxa"/>
            <w:vAlign w:val="top"/>
          </w:tcPr>
          <w:p w14:paraId="24FB4562">
            <w:pPr>
              <w:pStyle w:val="7"/>
              <w:spacing w:before="147" w:line="219" w:lineRule="auto"/>
              <w:ind w:left="351"/>
              <w:rPr>
                <w:sz w:val="22"/>
                <w:szCs w:val="22"/>
              </w:rPr>
            </w:pPr>
            <w:r>
              <w:rPr>
                <w:spacing w:val="-2"/>
                <w:sz w:val="22"/>
                <w:szCs w:val="22"/>
              </w:rPr>
              <w:t>阐述社区希望在报告中说明的其它问题。</w:t>
            </w:r>
          </w:p>
        </w:tc>
      </w:tr>
    </w:tbl>
    <w:p w14:paraId="0457084C">
      <w:pPr>
        <w:pStyle w:val="2"/>
      </w:pPr>
    </w:p>
    <w:p w14:paraId="2BC15E08">
      <w:pPr>
        <w:sectPr>
          <w:footerReference r:id="rId31" w:type="default"/>
          <w:pgSz w:w="11907" w:h="16839"/>
          <w:pgMar w:top="1178" w:right="1241" w:bottom="1648" w:left="1303" w:header="880" w:footer="1446" w:gutter="0"/>
          <w:cols w:space="720" w:num="1"/>
        </w:sectPr>
      </w:pPr>
    </w:p>
    <w:p w14:paraId="67BDB9FE">
      <w:pPr>
        <w:pStyle w:val="2"/>
        <w:spacing w:line="319" w:lineRule="auto"/>
      </w:pPr>
    </w:p>
    <w:p w14:paraId="442D515B">
      <w:pPr>
        <w:pStyle w:val="2"/>
        <w:spacing w:line="319" w:lineRule="auto"/>
      </w:pPr>
    </w:p>
    <w:p w14:paraId="1B69413D">
      <w:pPr>
        <w:pStyle w:val="2"/>
        <w:spacing w:line="320" w:lineRule="auto"/>
      </w:pPr>
    </w:p>
    <w:p w14:paraId="0E7CEDCA">
      <w:pPr>
        <w:spacing w:before="69" w:line="220" w:lineRule="auto"/>
        <w:ind w:left="4191"/>
        <w:outlineLvl w:val="0"/>
        <w:rPr>
          <w:rFonts w:ascii="黑体" w:hAnsi="黑体" w:eastAsia="黑体" w:cs="黑体"/>
          <w:sz w:val="21"/>
          <w:szCs w:val="21"/>
        </w:rPr>
      </w:pPr>
      <w:bookmarkStart w:id="40" w:name="bookmark24"/>
      <w:bookmarkEnd w:id="40"/>
      <w:r>
        <w:rPr>
          <w:rFonts w:ascii="黑体" w:hAnsi="黑体" w:eastAsia="黑体" w:cs="黑体"/>
          <w:spacing w:val="-10"/>
          <w:sz w:val="21"/>
          <w:szCs w:val="21"/>
        </w:rPr>
        <w:t>附</w:t>
      </w:r>
      <w:r>
        <w:rPr>
          <w:rFonts w:ascii="黑体" w:hAnsi="黑体" w:eastAsia="黑体" w:cs="黑体"/>
          <w:spacing w:val="6"/>
          <w:sz w:val="21"/>
          <w:szCs w:val="21"/>
        </w:rPr>
        <w:t xml:space="preserve">  </w:t>
      </w:r>
      <w:r>
        <w:rPr>
          <w:rFonts w:ascii="黑体" w:hAnsi="黑体" w:eastAsia="黑体" w:cs="黑体"/>
          <w:spacing w:val="-10"/>
          <w:sz w:val="21"/>
          <w:szCs w:val="21"/>
        </w:rPr>
        <w:t>录</w:t>
      </w:r>
      <w:r>
        <w:rPr>
          <w:rFonts w:ascii="黑体" w:hAnsi="黑体" w:eastAsia="黑体" w:cs="黑体"/>
          <w:spacing w:val="3"/>
          <w:sz w:val="21"/>
          <w:szCs w:val="21"/>
        </w:rPr>
        <w:t xml:space="preserve">  </w:t>
      </w:r>
      <w:r>
        <w:rPr>
          <w:rFonts w:ascii="黑体" w:hAnsi="黑体" w:eastAsia="黑体" w:cs="黑体"/>
          <w:spacing w:val="-10"/>
          <w:sz w:val="21"/>
          <w:szCs w:val="21"/>
        </w:rPr>
        <w:t>C</w:t>
      </w:r>
    </w:p>
    <w:p w14:paraId="488348C1">
      <w:pPr>
        <w:spacing w:before="109" w:line="220" w:lineRule="auto"/>
        <w:ind w:left="4142"/>
        <w:outlineLvl w:val="0"/>
        <w:rPr>
          <w:rFonts w:ascii="黑体" w:hAnsi="黑体" w:eastAsia="黑体" w:cs="黑体"/>
          <w:sz w:val="21"/>
          <w:szCs w:val="21"/>
        </w:rPr>
      </w:pPr>
      <w:bookmarkStart w:id="41" w:name="bookmark24"/>
      <w:bookmarkEnd w:id="41"/>
      <w:r>
        <w:rPr>
          <w:rFonts w:ascii="黑体" w:hAnsi="黑体" w:eastAsia="黑体" w:cs="黑体"/>
          <w:spacing w:val="-7"/>
          <w:sz w:val="21"/>
          <w:szCs w:val="21"/>
        </w:rPr>
        <w:t>（资料性）</w:t>
      </w:r>
    </w:p>
    <w:p w14:paraId="09FBAA57">
      <w:pPr>
        <w:spacing w:before="110" w:line="219" w:lineRule="auto"/>
        <w:ind w:left="3495"/>
        <w:outlineLvl w:val="0"/>
        <w:rPr>
          <w:rFonts w:ascii="黑体" w:hAnsi="黑体" w:eastAsia="黑体" w:cs="黑体"/>
          <w:sz w:val="21"/>
          <w:szCs w:val="21"/>
        </w:rPr>
      </w:pPr>
      <w:bookmarkStart w:id="42" w:name="bookmark24"/>
      <w:bookmarkEnd w:id="42"/>
      <w:r>
        <w:rPr>
          <w:rFonts w:ascii="黑体" w:hAnsi="黑体" w:eastAsia="黑体" w:cs="黑体"/>
          <w:spacing w:val="-1"/>
          <w:sz w:val="21"/>
          <w:szCs w:val="21"/>
        </w:rPr>
        <w:t>碳中和社区指标核算方法</w:t>
      </w:r>
    </w:p>
    <w:p w14:paraId="131E0505">
      <w:pPr>
        <w:pStyle w:val="2"/>
        <w:spacing w:line="345" w:lineRule="auto"/>
      </w:pPr>
    </w:p>
    <w:p w14:paraId="1EE6CD20">
      <w:pPr>
        <w:spacing w:before="69" w:line="276" w:lineRule="auto"/>
        <w:ind w:left="4" w:right="61" w:firstLine="418"/>
        <w:rPr>
          <w:rFonts w:ascii="宋体" w:hAnsi="宋体" w:eastAsia="宋体" w:cs="宋体"/>
          <w:sz w:val="21"/>
          <w:szCs w:val="21"/>
        </w:rPr>
      </w:pPr>
      <w:r>
        <w:rPr>
          <w:rFonts w:ascii="宋体" w:hAnsi="宋体" w:eastAsia="宋体" w:cs="宋体"/>
          <w:spacing w:val="1"/>
          <w:sz w:val="21"/>
          <w:szCs w:val="21"/>
        </w:rPr>
        <w:t>在满足基本要求的前提下，对评价指标体系中的每项指标分别打分。社区最终综合值为各项指标</w:t>
      </w:r>
      <w:r>
        <w:rPr>
          <w:rFonts w:ascii="宋体" w:hAnsi="宋体" w:eastAsia="宋体" w:cs="宋体"/>
          <w:spacing w:val="8"/>
          <w:sz w:val="21"/>
          <w:szCs w:val="21"/>
        </w:rPr>
        <w:t xml:space="preserve"> </w:t>
      </w:r>
      <w:r>
        <w:rPr>
          <w:rFonts w:ascii="宋体" w:hAnsi="宋体" w:eastAsia="宋体" w:cs="宋体"/>
          <w:spacing w:val="-2"/>
          <w:sz w:val="21"/>
          <w:szCs w:val="21"/>
        </w:rPr>
        <w:t>得分的累计叠加值。计算公式如下：</w:t>
      </w:r>
    </w:p>
    <w:p w14:paraId="6DA1704F">
      <w:pPr>
        <w:spacing w:before="164"/>
        <w:ind w:left="4352"/>
        <w:rPr>
          <w:rFonts w:ascii="Cambria Math" w:hAnsi="Cambria Math" w:eastAsia="Cambria Math" w:cs="Cambria Math"/>
          <w:sz w:val="24"/>
          <w:szCs w:val="24"/>
        </w:rPr>
      </w:pPr>
      <w:r>
        <w:rPr>
          <w:rFonts w:ascii="Cambria Math" w:hAnsi="Cambria Math" w:eastAsia="Cambria Math" w:cs="Cambria Math"/>
          <w:position w:val="-30"/>
          <w:sz w:val="24"/>
          <w:szCs w:val="24"/>
        </w:rPr>
        <w:drawing>
          <wp:inline distT="0" distB="0" distL="0" distR="0">
            <wp:extent cx="200025" cy="5302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9"/>
                    <a:stretch>
                      <a:fillRect/>
                    </a:stretch>
                  </pic:blipFill>
                  <pic:spPr>
                    <a:xfrm>
                      <a:off x="0" y="0"/>
                      <a:ext cx="200100" cy="530731"/>
                    </a:xfrm>
                    <a:prstGeom prst="rect">
                      <a:avLst/>
                    </a:prstGeom>
                  </pic:spPr>
                </pic:pic>
              </a:graphicData>
            </a:graphic>
          </wp:inline>
        </w:drawing>
      </w:r>
      <w:r>
        <w:rPr>
          <w:rFonts w:ascii="Cambria Math" w:hAnsi="Cambria Math" w:eastAsia="Cambria Math" w:cs="Cambria Math"/>
          <w:spacing w:val="21"/>
          <w:w w:val="113"/>
          <w:position w:val="2"/>
          <w:sz w:val="24"/>
          <w:szCs w:val="24"/>
        </w:rPr>
        <w:t>Fi</w:t>
      </w:r>
    </w:p>
    <w:p w14:paraId="4A639794">
      <w:pPr>
        <w:spacing w:before="244" w:line="234" w:lineRule="auto"/>
        <w:rPr>
          <w:rFonts w:ascii="宋体" w:hAnsi="宋体" w:eastAsia="宋体" w:cs="宋体"/>
          <w:sz w:val="21"/>
          <w:szCs w:val="21"/>
        </w:rPr>
      </w:pPr>
      <w:r>
        <w:rPr>
          <w:rFonts w:ascii="Times New Roman" w:hAnsi="Times New Roman" w:eastAsia="Times New Roman" w:cs="Times New Roman"/>
          <w:b/>
          <w:bCs/>
          <w:spacing w:val="-3"/>
          <w:sz w:val="21"/>
          <w:szCs w:val="21"/>
        </w:rPr>
        <w:t>B.1</w:t>
      </w:r>
      <w:r>
        <w:rPr>
          <w:rFonts w:ascii="宋体" w:hAnsi="宋体" w:eastAsia="宋体" w:cs="宋体"/>
          <w:b/>
          <w:bCs/>
          <w:spacing w:val="-3"/>
          <w:sz w:val="21"/>
          <w:szCs w:val="21"/>
        </w:rPr>
        <w:t>、</w:t>
      </w:r>
      <w:r>
        <w:rPr>
          <w:rFonts w:ascii="宋体" w:hAnsi="宋体" w:eastAsia="宋体" w:cs="宋体"/>
          <w:spacing w:val="-43"/>
          <w:sz w:val="21"/>
          <w:szCs w:val="21"/>
        </w:rPr>
        <w:t xml:space="preserve"> </w:t>
      </w:r>
      <w:r>
        <w:rPr>
          <w:rFonts w:ascii="宋体" w:hAnsi="宋体" w:eastAsia="宋体" w:cs="宋体"/>
          <w:b/>
          <w:bCs/>
          <w:spacing w:val="-3"/>
          <w:sz w:val="21"/>
          <w:szCs w:val="21"/>
        </w:rPr>
        <w:t>社区人均碳排放量</w:t>
      </w:r>
    </w:p>
    <w:p w14:paraId="0BEDCEDE">
      <w:pPr>
        <w:spacing w:before="44" w:line="221" w:lineRule="auto"/>
        <w:jc w:val="right"/>
        <w:rPr>
          <w:rFonts w:ascii="宋体" w:hAnsi="宋体" w:eastAsia="宋体" w:cs="宋体"/>
          <w:sz w:val="21"/>
          <w:szCs w:val="21"/>
        </w:rPr>
      </w:pPr>
      <w:r>
        <w:rPr>
          <w:rFonts w:ascii="宋体" w:hAnsi="宋体" w:eastAsia="宋体" w:cs="宋体"/>
          <w:spacing w:val="-2"/>
          <w:sz w:val="21"/>
          <w:szCs w:val="21"/>
        </w:rPr>
        <w:t>社区人均碳排放量是指社区边界范围内产生的碳排放总量与社区</w:t>
      </w:r>
      <w:r>
        <w:rPr>
          <w:rFonts w:ascii="宋体" w:hAnsi="宋体" w:eastAsia="宋体" w:cs="宋体"/>
          <w:spacing w:val="-3"/>
          <w:sz w:val="21"/>
          <w:szCs w:val="21"/>
        </w:rPr>
        <w:t>常住人口的比值，计算公式如下：</w:t>
      </w:r>
    </w:p>
    <w:p w14:paraId="3D0DB7C5">
      <w:pPr>
        <w:spacing w:before="215" w:line="557" w:lineRule="exact"/>
        <w:ind w:left="1421"/>
        <w:rPr>
          <w:rFonts w:ascii="宋体" w:hAnsi="宋体" w:eastAsia="宋体" w:cs="宋体"/>
          <w:sz w:val="21"/>
          <w:szCs w:val="21"/>
        </w:rPr>
      </w:pPr>
      <w:r>
        <w:rPr>
          <w:rFonts w:ascii="宋体" w:hAnsi="宋体" w:eastAsia="宋体" w:cs="宋体"/>
          <w:spacing w:val="-8"/>
          <w:position w:val="9"/>
          <w:sz w:val="21"/>
          <w:szCs w:val="21"/>
        </w:rPr>
        <w:t>人均碳排放（</w:t>
      </w:r>
      <w:r>
        <w:rPr>
          <w:rFonts w:ascii="Cambria Math" w:hAnsi="Cambria Math" w:eastAsia="Cambria Math" w:cs="Cambria Math"/>
          <w:spacing w:val="-8"/>
          <w:position w:val="9"/>
          <w:sz w:val="21"/>
          <w:szCs w:val="21"/>
        </w:rPr>
        <w:t>tCO</w:t>
      </w:r>
      <w:r>
        <w:rPr>
          <w:rFonts w:ascii="Cambria Math" w:hAnsi="Cambria Math" w:eastAsia="Cambria Math" w:cs="Cambria Math"/>
          <w:spacing w:val="-8"/>
          <w:position w:val="4"/>
          <w:sz w:val="15"/>
          <w:szCs w:val="15"/>
        </w:rPr>
        <w:t>2</w:t>
      </w:r>
      <w:r>
        <w:rPr>
          <w:rFonts w:ascii="Cambria Math" w:hAnsi="Cambria Math" w:eastAsia="Cambria Math" w:cs="Cambria Math"/>
          <w:spacing w:val="-8"/>
          <w:position w:val="9"/>
          <w:sz w:val="21"/>
          <w:szCs w:val="21"/>
        </w:rPr>
        <w:t>/</w:t>
      </w:r>
      <w:r>
        <w:rPr>
          <w:rFonts w:ascii="宋体" w:hAnsi="宋体" w:eastAsia="宋体" w:cs="宋体"/>
          <w:spacing w:val="-8"/>
          <w:position w:val="9"/>
          <w:sz w:val="21"/>
          <w:szCs w:val="21"/>
        </w:rPr>
        <w:t>人）</w:t>
      </w:r>
      <w:r>
        <w:rPr>
          <w:rFonts w:ascii="宋体" w:hAnsi="宋体" w:eastAsia="宋体" w:cs="宋体"/>
          <w:spacing w:val="-34"/>
          <w:position w:val="9"/>
          <w:sz w:val="21"/>
          <w:szCs w:val="21"/>
        </w:rPr>
        <w:t xml:space="preserve"> </w:t>
      </w:r>
      <w:r>
        <w:rPr>
          <w:rFonts w:ascii="Cambria Math" w:hAnsi="Cambria Math" w:eastAsia="Cambria Math" w:cs="Cambria Math"/>
          <w:spacing w:val="-8"/>
          <w:position w:val="9"/>
          <w:sz w:val="21"/>
          <w:szCs w:val="21"/>
        </w:rPr>
        <w:t>=</w:t>
      </w:r>
      <w:r>
        <w:rPr>
          <w:rFonts w:ascii="Cambria Math" w:hAnsi="Cambria Math" w:eastAsia="Cambria Math" w:cs="Cambria Math"/>
          <w:spacing w:val="22"/>
          <w:position w:val="9"/>
          <w:sz w:val="21"/>
          <w:szCs w:val="21"/>
        </w:rPr>
        <w:t xml:space="preserve"> </w:t>
      </w:r>
      <w:r>
        <w:rPr>
          <w:rFonts w:ascii="宋体" w:hAnsi="宋体" w:eastAsia="宋体" w:cs="宋体"/>
          <w:spacing w:val="-8"/>
          <w:position w:val="24"/>
          <w:sz w:val="21"/>
          <w:szCs w:val="21"/>
        </w:rPr>
        <w:t>社区边界</w:t>
      </w:r>
      <w:r>
        <w:fldChar w:fldCharType="begin"/>
      </w:r>
      <w:r>
        <w:instrText xml:space="preserve">EQ \* jc3 \* hps21 \o\al(\s\up 6(</w:instrText>
      </w:r>
      <w:r>
        <w:rPr>
          <w:rFonts w:ascii="宋体" w:hAnsi="宋体" w:eastAsia="宋体" w:cs="宋体"/>
          <w:position w:val="11"/>
          <w:sz w:val="21"/>
          <w:szCs w:val="21"/>
        </w:rPr>
        <w:instrText xml:space="preserve">范围内产生的碳</w:instrText>
      </w:r>
      <w:r>
        <w:instrText xml:space="preserve">),</w:instrText>
      </w:r>
      <w:r>
        <w:rPr>
          <w:rFonts w:ascii="宋体" w:hAnsi="宋体" w:eastAsia="宋体" w:cs="宋体"/>
          <w:w w:val="108"/>
          <w:position w:val="-10"/>
          <w:sz w:val="21"/>
          <w:szCs w:val="21"/>
        </w:rPr>
        <w:instrText xml:space="preserve">社区常住人口</w:instrText>
      </w:r>
      <w:r>
        <w:instrText xml:space="preserve">)</w:instrText>
      </w:r>
      <w:r>
        <w:fldChar w:fldCharType="end"/>
      </w:r>
      <w:r>
        <w:rPr>
          <w:rFonts w:ascii="宋体" w:hAnsi="宋体" w:eastAsia="宋体" w:cs="宋体"/>
          <w:spacing w:val="-8"/>
          <w:position w:val="24"/>
          <w:sz w:val="21"/>
          <w:szCs w:val="21"/>
        </w:rPr>
        <w:t>排</w:t>
      </w:r>
      <w:r>
        <w:rPr>
          <w:rFonts w:ascii="宋体" w:hAnsi="宋体" w:eastAsia="宋体" w:cs="宋体"/>
          <w:spacing w:val="-8"/>
          <w:position w:val="-10"/>
          <w:sz w:val="21"/>
          <w:szCs w:val="21"/>
        </w:rPr>
        <w:t>（</w:t>
      </w:r>
      <w:r>
        <w:rPr>
          <w:position w:val="-13"/>
          <w:sz w:val="21"/>
          <w:szCs w:val="21"/>
        </w:rPr>
        <w:drawing>
          <wp:inline distT="0" distB="0" distL="0" distR="0">
            <wp:extent cx="266700" cy="3530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0"/>
                    <a:stretch>
                      <a:fillRect/>
                    </a:stretch>
                  </pic:blipFill>
                  <pic:spPr>
                    <a:xfrm>
                      <a:off x="0" y="0"/>
                      <a:ext cx="266748" cy="353567"/>
                    </a:xfrm>
                    <a:prstGeom prst="rect">
                      <a:avLst/>
                    </a:prstGeom>
                  </pic:spPr>
                </pic:pic>
              </a:graphicData>
            </a:graphic>
          </wp:inline>
        </w:drawing>
      </w:r>
      <w:r>
        <w:rPr>
          <w:rFonts w:ascii="宋体" w:hAnsi="宋体" w:eastAsia="宋体" w:cs="宋体"/>
          <w:spacing w:val="-8"/>
          <w:position w:val="24"/>
          <w:sz w:val="21"/>
          <w:szCs w:val="21"/>
        </w:rPr>
        <w:t>量（</w:t>
      </w:r>
      <w:r>
        <w:rPr>
          <w:rFonts w:ascii="Cambria Math" w:hAnsi="Cambria Math" w:eastAsia="Cambria Math" w:cs="Cambria Math"/>
          <w:spacing w:val="-9"/>
          <w:position w:val="24"/>
          <w:sz w:val="21"/>
          <w:szCs w:val="21"/>
        </w:rPr>
        <w:t>tCO</w:t>
      </w:r>
      <w:r>
        <w:rPr>
          <w:rFonts w:ascii="Cambria Math" w:hAnsi="Cambria Math" w:eastAsia="Cambria Math" w:cs="Cambria Math"/>
          <w:spacing w:val="-9"/>
          <w:position w:val="19"/>
          <w:sz w:val="15"/>
          <w:szCs w:val="15"/>
        </w:rPr>
        <w:t>2</w:t>
      </w:r>
      <w:r>
        <w:rPr>
          <w:rFonts w:ascii="宋体" w:hAnsi="宋体" w:eastAsia="宋体" w:cs="宋体"/>
          <w:spacing w:val="-9"/>
          <w:position w:val="24"/>
          <w:sz w:val="21"/>
          <w:szCs w:val="21"/>
        </w:rPr>
        <w:t>）</w:t>
      </w:r>
    </w:p>
    <w:p w14:paraId="0FE7B229">
      <w:pPr>
        <w:spacing w:before="246" w:line="217" w:lineRule="auto"/>
        <w:ind w:left="423"/>
        <w:rPr>
          <w:rFonts w:ascii="宋体" w:hAnsi="宋体" w:eastAsia="宋体" w:cs="宋体"/>
          <w:sz w:val="21"/>
          <w:szCs w:val="21"/>
        </w:rPr>
      </w:pPr>
      <w:r>
        <w:rPr>
          <w:rFonts w:ascii="宋体" w:hAnsi="宋体" w:eastAsia="宋体" w:cs="宋体"/>
          <w:sz w:val="21"/>
          <w:szCs w:val="21"/>
        </w:rPr>
        <w:t>城镇社区评分标准：人均碳排放量（</w:t>
      </w:r>
      <w:r>
        <w:rPr>
          <w:rFonts w:ascii="Times New Roman" w:hAnsi="Times New Roman" w:eastAsia="Times New Roman" w:cs="Times New Roman"/>
          <w:sz w:val="21"/>
          <w:szCs w:val="21"/>
        </w:rPr>
        <w:t>0,0.79]</w:t>
      </w:r>
      <w:r>
        <w:rPr>
          <w:rFonts w:ascii="宋体" w:hAnsi="宋体" w:eastAsia="宋体" w:cs="宋体"/>
          <w:sz w:val="21"/>
          <w:szCs w:val="21"/>
        </w:rPr>
        <w:t>——</w:t>
      </w:r>
      <w:r>
        <w:rPr>
          <w:rFonts w:ascii="Times New Roman" w:hAnsi="Times New Roman" w:eastAsia="Times New Roman" w:cs="Times New Roman"/>
          <w:sz w:val="21"/>
          <w:szCs w:val="21"/>
        </w:rPr>
        <w:t xml:space="preserve">10 </w:t>
      </w:r>
      <w:r>
        <w:rPr>
          <w:rFonts w:ascii="宋体" w:hAnsi="宋体" w:eastAsia="宋体" w:cs="宋体"/>
          <w:sz w:val="21"/>
          <w:szCs w:val="21"/>
        </w:rPr>
        <w:t>分</w:t>
      </w:r>
    </w:p>
    <w:p w14:paraId="4EC8A940">
      <w:pPr>
        <w:spacing w:before="113" w:line="217" w:lineRule="auto"/>
        <w:ind w:left="2317"/>
        <w:rPr>
          <w:rFonts w:ascii="宋体" w:hAnsi="宋体" w:eastAsia="宋体" w:cs="宋体"/>
          <w:sz w:val="21"/>
          <w:szCs w:val="21"/>
        </w:rPr>
      </w:pPr>
      <w:r>
        <w:rPr>
          <w:rFonts w:ascii="宋体" w:hAnsi="宋体" w:eastAsia="宋体" w:cs="宋体"/>
          <w:spacing w:val="-1"/>
          <w:sz w:val="21"/>
          <w:szCs w:val="21"/>
        </w:rPr>
        <w:t>人均碳排放量（</w:t>
      </w:r>
      <w:r>
        <w:rPr>
          <w:rFonts w:ascii="Times New Roman" w:hAnsi="Times New Roman" w:eastAsia="Times New Roman" w:cs="Times New Roman"/>
          <w:spacing w:val="-1"/>
          <w:sz w:val="21"/>
          <w:szCs w:val="21"/>
        </w:rPr>
        <w:t>0.79,</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1.45]</w:t>
      </w:r>
      <w:r>
        <w:rPr>
          <w:rFonts w:ascii="宋体" w:hAnsi="宋体" w:eastAsia="宋体" w:cs="宋体"/>
          <w:spacing w:val="-1"/>
          <w:sz w:val="21"/>
          <w:szCs w:val="21"/>
        </w:rPr>
        <w:t>——</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分</w:t>
      </w:r>
    </w:p>
    <w:p w14:paraId="1D912AEF">
      <w:pPr>
        <w:spacing w:before="90" w:line="217" w:lineRule="auto"/>
        <w:ind w:left="2317"/>
        <w:rPr>
          <w:rFonts w:ascii="宋体" w:hAnsi="宋体" w:eastAsia="宋体" w:cs="宋体"/>
          <w:sz w:val="21"/>
          <w:szCs w:val="21"/>
        </w:rPr>
      </w:pPr>
      <w:r>
        <w:rPr>
          <w:rFonts w:ascii="宋体" w:hAnsi="宋体" w:eastAsia="宋体" w:cs="宋体"/>
          <w:sz w:val="21"/>
          <w:szCs w:val="21"/>
        </w:rPr>
        <w:t>人均碳排放量（</w:t>
      </w:r>
      <w:r>
        <w:rPr>
          <w:rFonts w:ascii="Times New Roman" w:hAnsi="Times New Roman" w:eastAsia="Times New Roman" w:cs="Times New Roman"/>
          <w:sz w:val="21"/>
          <w:szCs w:val="21"/>
        </w:rPr>
        <w:t>1.45,3.24]</w:t>
      </w:r>
      <w:r>
        <w:rPr>
          <w:rFonts w:ascii="宋体" w:hAnsi="宋体" w:eastAsia="宋体" w:cs="宋体"/>
          <w:sz w:val="21"/>
          <w:szCs w:val="21"/>
        </w:rPr>
        <w:t>——</w:t>
      </w:r>
      <w:r>
        <w:rPr>
          <w:rFonts w:ascii="Times New Roman" w:hAnsi="Times New Roman" w:eastAsia="Times New Roman" w:cs="Times New Roman"/>
          <w:sz w:val="21"/>
          <w:szCs w:val="21"/>
        </w:rPr>
        <w:t xml:space="preserve">3 </w:t>
      </w:r>
      <w:r>
        <w:rPr>
          <w:rFonts w:ascii="宋体" w:hAnsi="宋体" w:eastAsia="宋体" w:cs="宋体"/>
          <w:sz w:val="21"/>
          <w:szCs w:val="21"/>
        </w:rPr>
        <w:t>分</w:t>
      </w:r>
    </w:p>
    <w:p w14:paraId="79D417BA">
      <w:pPr>
        <w:spacing w:before="87" w:line="217" w:lineRule="auto"/>
        <w:ind w:left="423"/>
        <w:rPr>
          <w:rFonts w:ascii="宋体" w:hAnsi="宋体" w:eastAsia="宋体" w:cs="宋体"/>
          <w:sz w:val="21"/>
          <w:szCs w:val="21"/>
        </w:rPr>
      </w:pPr>
      <w:r>
        <w:rPr>
          <w:rFonts w:ascii="宋体" w:hAnsi="宋体" w:eastAsia="宋体" w:cs="宋体"/>
          <w:sz w:val="21"/>
          <w:szCs w:val="21"/>
        </w:rPr>
        <w:t>城镇社区评分标准：人均碳排放量（</w:t>
      </w:r>
      <w:r>
        <w:rPr>
          <w:rFonts w:ascii="Times New Roman" w:hAnsi="Times New Roman" w:eastAsia="Times New Roman" w:cs="Times New Roman"/>
          <w:sz w:val="21"/>
          <w:szCs w:val="21"/>
        </w:rPr>
        <w:t>0,2.14]</w:t>
      </w:r>
      <w:r>
        <w:rPr>
          <w:rFonts w:ascii="宋体" w:hAnsi="宋体" w:eastAsia="宋体" w:cs="宋体"/>
          <w:sz w:val="21"/>
          <w:szCs w:val="21"/>
        </w:rPr>
        <w:t>——</w:t>
      </w:r>
      <w:r>
        <w:rPr>
          <w:rFonts w:ascii="Times New Roman" w:hAnsi="Times New Roman" w:eastAsia="Times New Roman" w:cs="Times New Roman"/>
          <w:sz w:val="21"/>
          <w:szCs w:val="21"/>
        </w:rPr>
        <w:t xml:space="preserve">10 </w:t>
      </w:r>
      <w:r>
        <w:rPr>
          <w:rFonts w:ascii="宋体" w:hAnsi="宋体" w:eastAsia="宋体" w:cs="宋体"/>
          <w:sz w:val="21"/>
          <w:szCs w:val="21"/>
        </w:rPr>
        <w:t>分</w:t>
      </w:r>
    </w:p>
    <w:p w14:paraId="2B39AB7E">
      <w:pPr>
        <w:spacing w:before="113" w:line="217" w:lineRule="auto"/>
        <w:ind w:left="2317"/>
        <w:rPr>
          <w:rFonts w:ascii="宋体" w:hAnsi="宋体" w:eastAsia="宋体" w:cs="宋体"/>
          <w:sz w:val="21"/>
          <w:szCs w:val="21"/>
        </w:rPr>
      </w:pPr>
      <w:r>
        <w:rPr>
          <w:rFonts w:ascii="宋体" w:hAnsi="宋体" w:eastAsia="宋体" w:cs="宋体"/>
          <w:sz w:val="21"/>
          <w:szCs w:val="21"/>
        </w:rPr>
        <w:t>人均碳排放量（</w:t>
      </w:r>
      <w:r>
        <w:rPr>
          <w:rFonts w:ascii="Times New Roman" w:hAnsi="Times New Roman" w:eastAsia="Times New Roman" w:cs="Times New Roman"/>
          <w:sz w:val="21"/>
          <w:szCs w:val="21"/>
        </w:rPr>
        <w:t>2.14,3.24]</w:t>
      </w:r>
      <w:r>
        <w:rPr>
          <w:rFonts w:ascii="宋体" w:hAnsi="宋体" w:eastAsia="宋体" w:cs="宋体"/>
          <w:sz w:val="21"/>
          <w:szCs w:val="21"/>
        </w:rPr>
        <w:t>——</w:t>
      </w:r>
      <w:r>
        <w:rPr>
          <w:rFonts w:ascii="Times New Roman" w:hAnsi="Times New Roman" w:eastAsia="Times New Roman" w:cs="Times New Roman"/>
          <w:sz w:val="21"/>
          <w:szCs w:val="21"/>
        </w:rPr>
        <w:t xml:space="preserve">7 </w:t>
      </w:r>
      <w:r>
        <w:rPr>
          <w:rFonts w:ascii="宋体" w:hAnsi="宋体" w:eastAsia="宋体" w:cs="宋体"/>
          <w:sz w:val="21"/>
          <w:szCs w:val="21"/>
        </w:rPr>
        <w:t>分</w:t>
      </w:r>
    </w:p>
    <w:p w14:paraId="3309BA74">
      <w:pPr>
        <w:spacing w:before="89" w:line="217" w:lineRule="auto"/>
        <w:ind w:left="2317"/>
        <w:rPr>
          <w:rFonts w:ascii="宋体" w:hAnsi="宋体" w:eastAsia="宋体" w:cs="宋体"/>
          <w:sz w:val="21"/>
          <w:szCs w:val="21"/>
        </w:rPr>
      </w:pPr>
      <w:r>
        <w:rPr>
          <w:rFonts w:ascii="宋体" w:hAnsi="宋体" w:eastAsia="宋体" w:cs="宋体"/>
          <w:sz w:val="21"/>
          <w:szCs w:val="21"/>
        </w:rPr>
        <w:t>人均碳排放量（</w:t>
      </w:r>
      <w:r>
        <w:rPr>
          <w:rFonts w:ascii="Times New Roman" w:hAnsi="Times New Roman" w:eastAsia="Times New Roman" w:cs="Times New Roman"/>
          <w:sz w:val="21"/>
          <w:szCs w:val="21"/>
        </w:rPr>
        <w:t>3.24,4.34]</w:t>
      </w:r>
      <w:r>
        <w:rPr>
          <w:rFonts w:ascii="宋体" w:hAnsi="宋体" w:eastAsia="宋体" w:cs="宋体"/>
          <w:sz w:val="21"/>
          <w:szCs w:val="21"/>
        </w:rPr>
        <w:t>——</w:t>
      </w:r>
      <w:r>
        <w:rPr>
          <w:rFonts w:ascii="Times New Roman" w:hAnsi="Times New Roman" w:eastAsia="Times New Roman" w:cs="Times New Roman"/>
          <w:sz w:val="21"/>
          <w:szCs w:val="21"/>
        </w:rPr>
        <w:t xml:space="preserve">3 </w:t>
      </w:r>
      <w:r>
        <w:rPr>
          <w:rFonts w:ascii="宋体" w:hAnsi="宋体" w:eastAsia="宋体" w:cs="宋体"/>
          <w:sz w:val="21"/>
          <w:szCs w:val="21"/>
        </w:rPr>
        <w:t>分</w:t>
      </w:r>
    </w:p>
    <w:p w14:paraId="63C04BA0">
      <w:pPr>
        <w:spacing w:before="66" w:line="234" w:lineRule="auto"/>
        <w:rPr>
          <w:rFonts w:ascii="宋体" w:hAnsi="宋体" w:eastAsia="宋体" w:cs="宋体"/>
          <w:sz w:val="21"/>
          <w:szCs w:val="21"/>
        </w:rPr>
      </w:pPr>
      <w:r>
        <w:rPr>
          <w:rFonts w:ascii="Times New Roman" w:hAnsi="Times New Roman" w:eastAsia="Times New Roman" w:cs="Times New Roman"/>
          <w:b/>
          <w:bCs/>
          <w:spacing w:val="-2"/>
          <w:sz w:val="21"/>
          <w:szCs w:val="21"/>
        </w:rPr>
        <w:t>B.2</w:t>
      </w:r>
      <w:r>
        <w:rPr>
          <w:rFonts w:ascii="宋体" w:hAnsi="宋体" w:eastAsia="宋体" w:cs="宋体"/>
          <w:b/>
          <w:bCs/>
          <w:spacing w:val="-2"/>
          <w:sz w:val="21"/>
          <w:szCs w:val="21"/>
        </w:rPr>
        <w:t>、</w:t>
      </w:r>
      <w:r>
        <w:rPr>
          <w:rFonts w:ascii="宋体" w:hAnsi="宋体" w:eastAsia="宋体" w:cs="宋体"/>
          <w:spacing w:val="-54"/>
          <w:sz w:val="21"/>
          <w:szCs w:val="21"/>
        </w:rPr>
        <w:t xml:space="preserve"> </w:t>
      </w:r>
      <w:r>
        <w:rPr>
          <w:rFonts w:ascii="宋体" w:hAnsi="宋体" w:eastAsia="宋体" w:cs="宋体"/>
          <w:b/>
          <w:bCs/>
          <w:spacing w:val="-2"/>
          <w:sz w:val="21"/>
          <w:szCs w:val="21"/>
        </w:rPr>
        <w:t>碳排放核算及抵消情况</w:t>
      </w:r>
    </w:p>
    <w:p w14:paraId="5A0535DC">
      <w:pPr>
        <w:spacing w:before="46" w:line="274" w:lineRule="auto"/>
        <w:ind w:left="3" w:right="60" w:firstLine="419"/>
        <w:rPr>
          <w:rFonts w:ascii="宋体" w:hAnsi="宋体" w:eastAsia="宋体" w:cs="宋体"/>
          <w:sz w:val="21"/>
          <w:szCs w:val="21"/>
        </w:rPr>
      </w:pPr>
      <w:r>
        <w:rPr>
          <w:rFonts w:ascii="宋体" w:hAnsi="宋体" w:eastAsia="宋体" w:cs="宋体"/>
          <w:spacing w:val="1"/>
          <w:sz w:val="21"/>
          <w:szCs w:val="21"/>
        </w:rPr>
        <w:t>评分标准：通过碳排放核算涵盖范围，以及核算的准确性来进行评价。此外，根据抵消项目的质</w:t>
      </w:r>
      <w:r>
        <w:rPr>
          <w:rFonts w:ascii="宋体" w:hAnsi="宋体" w:eastAsia="宋体" w:cs="宋体"/>
          <w:spacing w:val="9"/>
          <w:sz w:val="21"/>
          <w:szCs w:val="21"/>
        </w:rPr>
        <w:t xml:space="preserve"> </w:t>
      </w:r>
      <w:r>
        <w:rPr>
          <w:rFonts w:ascii="宋体" w:hAnsi="宋体" w:eastAsia="宋体" w:cs="宋体"/>
          <w:sz w:val="21"/>
          <w:szCs w:val="21"/>
        </w:rPr>
        <w:t>量，如抵消项目是否符合公认的标准和认证，抵消项目是否按计划实施并取得了预期的效果。</w:t>
      </w:r>
    </w:p>
    <w:p w14:paraId="389FC3C6">
      <w:pPr>
        <w:spacing w:line="235" w:lineRule="auto"/>
        <w:rPr>
          <w:rFonts w:ascii="宋体" w:hAnsi="宋体" w:eastAsia="宋体" w:cs="宋体"/>
          <w:sz w:val="21"/>
          <w:szCs w:val="21"/>
        </w:rPr>
      </w:pPr>
      <w:r>
        <w:rPr>
          <w:rFonts w:ascii="Times New Roman" w:hAnsi="Times New Roman" w:eastAsia="Times New Roman" w:cs="Times New Roman"/>
          <w:b/>
          <w:bCs/>
          <w:spacing w:val="-2"/>
          <w:sz w:val="21"/>
          <w:szCs w:val="21"/>
        </w:rPr>
        <w:t>B.3</w:t>
      </w:r>
      <w:r>
        <w:rPr>
          <w:rFonts w:ascii="宋体" w:hAnsi="宋体" w:eastAsia="宋体" w:cs="宋体"/>
          <w:b/>
          <w:bCs/>
          <w:spacing w:val="-2"/>
          <w:sz w:val="21"/>
          <w:szCs w:val="21"/>
        </w:rPr>
        <w:t>、</w:t>
      </w:r>
      <w:r>
        <w:rPr>
          <w:rFonts w:ascii="宋体" w:hAnsi="宋体" w:eastAsia="宋体" w:cs="宋体"/>
          <w:spacing w:val="-54"/>
          <w:sz w:val="21"/>
          <w:szCs w:val="21"/>
        </w:rPr>
        <w:t xml:space="preserve"> </w:t>
      </w:r>
      <w:r>
        <w:rPr>
          <w:rFonts w:ascii="宋体" w:hAnsi="宋体" w:eastAsia="宋体" w:cs="宋体"/>
          <w:b/>
          <w:bCs/>
          <w:spacing w:val="-2"/>
          <w:sz w:val="21"/>
          <w:szCs w:val="21"/>
        </w:rPr>
        <w:t>节能建筑占现有居住建筑的比例</w:t>
      </w:r>
    </w:p>
    <w:p w14:paraId="1717BCD7">
      <w:pPr>
        <w:spacing w:before="45" w:line="276" w:lineRule="auto"/>
        <w:ind w:left="27" w:right="111" w:firstLine="396"/>
        <w:rPr>
          <w:rFonts w:ascii="宋体" w:hAnsi="宋体" w:eastAsia="宋体" w:cs="宋体"/>
          <w:sz w:val="21"/>
          <w:szCs w:val="21"/>
        </w:rPr>
      </w:pPr>
      <w:r>
        <w:rPr>
          <w:rFonts w:ascii="宋体" w:hAnsi="宋体" w:eastAsia="宋体" w:cs="宋体"/>
          <w:sz w:val="21"/>
          <w:szCs w:val="21"/>
        </w:rPr>
        <w:t xml:space="preserve">节能建筑占现有居住建筑的比例是指对不符合居住建筑节能强制性标准的既有建筑实施节能改造 </w:t>
      </w:r>
      <w:r>
        <w:rPr>
          <w:rFonts w:ascii="宋体" w:hAnsi="宋体" w:eastAsia="宋体" w:cs="宋体"/>
          <w:spacing w:val="-1"/>
          <w:sz w:val="21"/>
          <w:szCs w:val="21"/>
        </w:rPr>
        <w:t>以及对新建居住建筑按相关标准进行节能设计建造的比例。</w:t>
      </w:r>
    </w:p>
    <w:p w14:paraId="0B36A29D">
      <w:pPr>
        <w:spacing w:before="11" w:line="236" w:lineRule="auto"/>
        <w:ind w:left="337"/>
        <w:rPr>
          <w:rFonts w:ascii="宋体" w:hAnsi="宋体" w:eastAsia="宋体" w:cs="宋体"/>
          <w:sz w:val="21"/>
          <w:szCs w:val="21"/>
        </w:rPr>
      </w:pPr>
      <w:r>
        <w:rPr>
          <w:rFonts w:ascii="宋体" w:hAnsi="宋体" w:eastAsia="宋体" w:cs="宋体"/>
          <w:spacing w:val="-1"/>
          <w:sz w:val="21"/>
          <w:szCs w:val="21"/>
        </w:rPr>
        <w:t>节能建筑占现有建筑的比例（</w:t>
      </w:r>
      <w:r>
        <w:rPr>
          <w:rFonts w:ascii="Cambria Math" w:hAnsi="Cambria Math" w:eastAsia="Cambria Math" w:cs="Cambria Math"/>
          <w:spacing w:val="-1"/>
          <w:sz w:val="21"/>
          <w:szCs w:val="21"/>
        </w:rPr>
        <w:t>%</w:t>
      </w:r>
      <w:r>
        <w:rPr>
          <w:rFonts w:ascii="宋体" w:hAnsi="宋体" w:eastAsia="宋体" w:cs="宋体"/>
          <w:spacing w:val="-1"/>
          <w:sz w:val="21"/>
          <w:szCs w:val="21"/>
        </w:rPr>
        <w:t>）</w:t>
      </w:r>
    </w:p>
    <w:p w14:paraId="7FBCDAC2">
      <w:pPr>
        <w:spacing w:before="170" w:line="233" w:lineRule="auto"/>
        <w:ind w:left="2003"/>
        <w:rPr>
          <w:rFonts w:ascii="Cambria Math" w:hAnsi="Cambria Math" w:eastAsia="Cambria Math" w:cs="Cambria Math"/>
          <w:sz w:val="21"/>
          <w:szCs w:val="21"/>
        </w:rPr>
      </w:pPr>
      <w:r>
        <w:rPr>
          <w:rFonts w:ascii="Cambria Math" w:hAnsi="Cambria Math" w:eastAsia="Cambria Math" w:cs="Cambria Math"/>
          <w:sz w:val="21"/>
          <w:szCs w:val="21"/>
          <w:u w:val="single" w:color="auto"/>
        </w:rPr>
        <w:t>(</w:t>
      </w:r>
      <w:r>
        <w:rPr>
          <w:rFonts w:ascii="宋体" w:hAnsi="宋体" w:eastAsia="宋体" w:cs="宋体"/>
          <w:sz w:val="21"/>
          <w:szCs w:val="21"/>
          <w:u w:val="single" w:color="auto"/>
        </w:rPr>
        <w:t>实施节能改造的建筑面积新建节能建筑的面积</w:t>
      </w:r>
      <w:r>
        <w:rPr>
          <w:rFonts w:ascii="宋体" w:hAnsi="宋体" w:eastAsia="宋体" w:cs="宋体"/>
          <w:spacing w:val="-47"/>
          <w:sz w:val="21"/>
          <w:szCs w:val="21"/>
          <w:u w:val="single" w:color="auto"/>
        </w:rPr>
        <w:t xml:space="preserve"> </w:t>
      </w:r>
      <w:r>
        <w:rPr>
          <w:rFonts w:ascii="Cambria Math" w:hAnsi="Cambria Math" w:eastAsia="Cambria Math" w:cs="Cambria Math"/>
          <w:sz w:val="21"/>
          <w:szCs w:val="21"/>
          <w:u w:val="single" w:color="auto"/>
        </w:rPr>
        <w:t xml:space="preserve">+ </w:t>
      </w:r>
      <w:r>
        <w:rPr>
          <w:rFonts w:ascii="宋体" w:hAnsi="宋体" w:eastAsia="宋体" w:cs="宋体"/>
          <w:sz w:val="21"/>
          <w:szCs w:val="21"/>
          <w:u w:val="single" w:color="auto"/>
        </w:rPr>
        <w:t>新建节能建筑的面积</w:t>
      </w:r>
      <w:r>
        <w:rPr>
          <w:rFonts w:ascii="Cambria Math" w:hAnsi="Cambria Math" w:eastAsia="Cambria Math" w:cs="Cambria Math"/>
          <w:sz w:val="21"/>
          <w:szCs w:val="21"/>
          <w:u w:val="single" w:color="auto"/>
        </w:rPr>
        <w:t>)(m</w:t>
      </w:r>
      <w:r>
        <w:rPr>
          <w:rFonts w:ascii="Cambria Math" w:hAnsi="Cambria Math" w:eastAsia="Cambria Math" w:cs="Cambria Math"/>
          <w:position w:val="7"/>
          <w:sz w:val="15"/>
          <w:szCs w:val="15"/>
          <w:u w:val="single" w:color="auto"/>
        </w:rPr>
        <w:t>2</w:t>
      </w:r>
      <w:r>
        <w:rPr>
          <w:rFonts w:ascii="Cambria Math" w:hAnsi="Cambria Math" w:eastAsia="Cambria Math" w:cs="Cambria Math"/>
          <w:sz w:val="21"/>
          <w:szCs w:val="21"/>
          <w:u w:val="single" w:color="auto"/>
        </w:rPr>
        <w:t>)</w:t>
      </w:r>
    </w:p>
    <w:p w14:paraId="23BE2C29">
      <w:pPr>
        <w:spacing w:line="93" w:lineRule="exact"/>
        <w:ind w:left="1784"/>
        <w:rPr>
          <w:rFonts w:ascii="Cambria Math" w:hAnsi="Cambria Math" w:eastAsia="Cambria Math" w:cs="Cambria Math"/>
          <w:sz w:val="21"/>
          <w:szCs w:val="21"/>
        </w:rPr>
      </w:pPr>
      <w:r>
        <w:rPr>
          <w:rFonts w:ascii="Cambria Math" w:hAnsi="Cambria Math" w:eastAsia="Cambria Math" w:cs="Cambria Math"/>
          <w:position w:val="-3"/>
          <w:sz w:val="21"/>
          <w:szCs w:val="21"/>
        </w:rPr>
        <w:t>=</w:t>
      </w:r>
    </w:p>
    <w:p w14:paraId="14B29D28">
      <w:pPr>
        <w:spacing w:line="213" w:lineRule="auto"/>
        <w:ind w:left="4105"/>
        <w:rPr>
          <w:rFonts w:ascii="Cambria Math" w:hAnsi="Cambria Math" w:eastAsia="Cambria Math" w:cs="Cambria Math"/>
          <w:sz w:val="21"/>
          <w:szCs w:val="21"/>
        </w:rPr>
      </w:pPr>
      <w:r>
        <w:rPr>
          <w:rFonts w:ascii="宋体" w:hAnsi="宋体" w:eastAsia="宋体" w:cs="宋体"/>
          <w:sz w:val="21"/>
          <w:szCs w:val="21"/>
        </w:rPr>
        <w:t>社区居住建筑总建筑面积</w:t>
      </w:r>
      <w:r>
        <w:rPr>
          <w:rFonts w:ascii="Cambria Math" w:hAnsi="Cambria Math" w:eastAsia="Cambria Math" w:cs="Cambria Math"/>
          <w:sz w:val="21"/>
          <w:szCs w:val="21"/>
        </w:rPr>
        <w:t>(m</w:t>
      </w:r>
      <w:r>
        <w:rPr>
          <w:rFonts w:ascii="Cambria Math" w:hAnsi="Cambria Math" w:eastAsia="Cambria Math" w:cs="Cambria Math"/>
          <w:position w:val="5"/>
          <w:sz w:val="15"/>
          <w:szCs w:val="15"/>
        </w:rPr>
        <w:t>2</w:t>
      </w:r>
      <w:r>
        <w:rPr>
          <w:rFonts w:ascii="Cambria Math" w:hAnsi="Cambria Math" w:eastAsia="Cambria Math" w:cs="Cambria Math"/>
          <w:sz w:val="21"/>
          <w:szCs w:val="21"/>
        </w:rPr>
        <w:t>)</w:t>
      </w:r>
    </w:p>
    <w:p w14:paraId="6BEB721F">
      <w:pPr>
        <w:spacing w:before="212"/>
        <w:ind w:left="1787"/>
        <w:rPr>
          <w:rFonts w:ascii="Cambria Math" w:hAnsi="Cambria Math" w:eastAsia="Cambria Math" w:cs="Cambria Math"/>
          <w:sz w:val="21"/>
          <w:szCs w:val="21"/>
        </w:rPr>
      </w:pPr>
      <w:r>
        <w:rPr>
          <w:rFonts w:ascii="Cambria Math" w:hAnsi="Cambria Math" w:eastAsia="Cambria Math" w:cs="Cambria Math"/>
          <w:spacing w:val="-6"/>
          <w:sz w:val="21"/>
          <w:szCs w:val="21"/>
        </w:rPr>
        <w:t>×</w:t>
      </w:r>
      <w:r>
        <w:rPr>
          <w:rFonts w:ascii="Cambria Math" w:hAnsi="Cambria Math" w:eastAsia="Cambria Math" w:cs="Cambria Math"/>
          <w:spacing w:val="20"/>
          <w:w w:val="101"/>
          <w:sz w:val="21"/>
          <w:szCs w:val="21"/>
        </w:rPr>
        <w:t xml:space="preserve"> </w:t>
      </w:r>
      <w:r>
        <w:rPr>
          <w:rFonts w:ascii="Cambria Math" w:hAnsi="Cambria Math" w:eastAsia="Cambria Math" w:cs="Cambria Math"/>
          <w:spacing w:val="-6"/>
          <w:sz w:val="21"/>
          <w:szCs w:val="21"/>
        </w:rPr>
        <w:t>100%</w:t>
      </w:r>
    </w:p>
    <w:p w14:paraId="188CA68D">
      <w:pPr>
        <w:spacing w:before="48" w:line="235" w:lineRule="auto"/>
        <w:ind w:left="1054"/>
        <w:rPr>
          <w:rFonts w:ascii="宋体" w:hAnsi="宋体" w:eastAsia="宋体" w:cs="宋体"/>
          <w:sz w:val="21"/>
          <w:szCs w:val="21"/>
        </w:rPr>
      </w:pPr>
      <w:r>
        <w:rPr>
          <w:rFonts w:ascii="宋体" w:hAnsi="宋体" w:eastAsia="宋体" w:cs="宋体"/>
          <w:spacing w:val="-1"/>
          <w:sz w:val="21"/>
          <w:szCs w:val="21"/>
        </w:rPr>
        <w:t>评分标准：节能建筑比例≥</w:t>
      </w:r>
      <w:r>
        <w:rPr>
          <w:rFonts w:ascii="Times New Roman" w:hAnsi="Times New Roman" w:eastAsia="Times New Roman" w:cs="Times New Roman"/>
          <w:spacing w:val="-1"/>
          <w:sz w:val="21"/>
          <w:szCs w:val="21"/>
        </w:rPr>
        <w:t>67%</w:t>
      </w:r>
      <w:r>
        <w:rPr>
          <w:rFonts w:ascii="宋体" w:hAnsi="宋体" w:eastAsia="宋体" w:cs="宋体"/>
          <w:spacing w:val="-1"/>
          <w:sz w:val="21"/>
          <w:szCs w:val="21"/>
        </w:rPr>
        <w:t>——</w:t>
      </w:r>
      <w:r>
        <w:rPr>
          <w:rFonts w:ascii="Times New Roman" w:hAnsi="Times New Roman" w:eastAsia="Times New Roman" w:cs="Times New Roman"/>
          <w:spacing w:val="-1"/>
          <w:sz w:val="21"/>
          <w:szCs w:val="21"/>
        </w:rPr>
        <w:t>5</w:t>
      </w:r>
      <w:r>
        <w:rPr>
          <w:rFonts w:ascii="宋体" w:hAnsi="宋体" w:eastAsia="宋体" w:cs="宋体"/>
          <w:spacing w:val="-1"/>
          <w:sz w:val="21"/>
          <w:szCs w:val="21"/>
        </w:rPr>
        <w:t>分</w:t>
      </w:r>
    </w:p>
    <w:p w14:paraId="3A46736E">
      <w:pPr>
        <w:spacing w:before="44" w:line="214" w:lineRule="auto"/>
        <w:ind w:left="2106"/>
        <w:rPr>
          <w:rFonts w:ascii="宋体" w:hAnsi="宋体" w:eastAsia="宋体" w:cs="宋体"/>
          <w:sz w:val="21"/>
          <w:szCs w:val="21"/>
        </w:rPr>
      </w:pPr>
      <w:r>
        <w:rPr>
          <w:rFonts w:ascii="宋体" w:hAnsi="宋体" w:eastAsia="宋体" w:cs="宋体"/>
          <w:spacing w:val="-1"/>
          <w:sz w:val="21"/>
          <w:szCs w:val="21"/>
        </w:rPr>
        <w:t>节能建筑比例</w:t>
      </w:r>
      <w:r>
        <w:rPr>
          <w:rFonts w:ascii="Times New Roman" w:hAnsi="Times New Roman" w:eastAsia="Times New Roman" w:cs="Times New Roman"/>
          <w:spacing w:val="-1"/>
          <w:sz w:val="21"/>
          <w:szCs w:val="21"/>
        </w:rPr>
        <w:t>[55%,67%)</w:t>
      </w: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分</w:t>
      </w:r>
    </w:p>
    <w:p w14:paraId="166172E6">
      <w:pPr>
        <w:spacing w:before="69" w:line="214" w:lineRule="auto"/>
        <w:ind w:left="2106"/>
        <w:rPr>
          <w:rFonts w:ascii="宋体" w:hAnsi="宋体" w:eastAsia="宋体" w:cs="宋体"/>
          <w:sz w:val="21"/>
          <w:szCs w:val="21"/>
        </w:rPr>
      </w:pPr>
      <w:r>
        <w:rPr>
          <w:rFonts w:ascii="宋体" w:hAnsi="宋体" w:eastAsia="宋体" w:cs="宋体"/>
          <w:spacing w:val="-1"/>
          <w:sz w:val="21"/>
          <w:szCs w:val="21"/>
        </w:rPr>
        <w:t>节能建筑比例</w:t>
      </w:r>
      <w:r>
        <w:rPr>
          <w:rFonts w:ascii="Times New Roman" w:hAnsi="Times New Roman" w:eastAsia="Times New Roman" w:cs="Times New Roman"/>
          <w:spacing w:val="-1"/>
          <w:sz w:val="21"/>
          <w:szCs w:val="21"/>
        </w:rPr>
        <w:t>(0,55%)</w:t>
      </w: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分</w:t>
      </w:r>
    </w:p>
    <w:p w14:paraId="18284387">
      <w:pPr>
        <w:pStyle w:val="2"/>
        <w:spacing w:line="311" w:lineRule="auto"/>
      </w:pPr>
    </w:p>
    <w:p w14:paraId="0F7019E8">
      <w:pPr>
        <w:spacing w:before="69" w:line="234" w:lineRule="auto"/>
        <w:rPr>
          <w:rFonts w:ascii="宋体" w:hAnsi="宋体" w:eastAsia="宋体" w:cs="宋体"/>
          <w:sz w:val="21"/>
          <w:szCs w:val="21"/>
        </w:rPr>
      </w:pPr>
      <w:r>
        <w:rPr>
          <w:rFonts w:ascii="Times New Roman" w:hAnsi="Times New Roman" w:eastAsia="Times New Roman" w:cs="Times New Roman"/>
          <w:b/>
          <w:bCs/>
          <w:spacing w:val="-3"/>
          <w:sz w:val="21"/>
          <w:szCs w:val="21"/>
        </w:rPr>
        <w:t>B.4</w:t>
      </w:r>
      <w:r>
        <w:rPr>
          <w:rFonts w:ascii="宋体" w:hAnsi="宋体" w:eastAsia="宋体" w:cs="宋体"/>
          <w:b/>
          <w:bCs/>
          <w:spacing w:val="-3"/>
          <w:sz w:val="21"/>
          <w:szCs w:val="21"/>
        </w:rPr>
        <w:t>、</w:t>
      </w:r>
      <w:r>
        <w:rPr>
          <w:rFonts w:ascii="宋体" w:hAnsi="宋体" w:eastAsia="宋体" w:cs="宋体"/>
          <w:spacing w:val="-51"/>
          <w:sz w:val="21"/>
          <w:szCs w:val="21"/>
        </w:rPr>
        <w:t xml:space="preserve"> </w:t>
      </w:r>
      <w:r>
        <w:rPr>
          <w:rFonts w:ascii="宋体" w:hAnsi="宋体" w:eastAsia="宋体" w:cs="宋体"/>
          <w:b/>
          <w:bCs/>
          <w:spacing w:val="-3"/>
          <w:sz w:val="21"/>
          <w:szCs w:val="21"/>
        </w:rPr>
        <w:t>绿地率</w:t>
      </w:r>
    </w:p>
    <w:p w14:paraId="316344A7">
      <w:pPr>
        <w:spacing w:before="46" w:line="274" w:lineRule="auto"/>
        <w:ind w:left="4" w:right="111" w:firstLine="420"/>
        <w:rPr>
          <w:rFonts w:ascii="宋体" w:hAnsi="宋体" w:eastAsia="宋体" w:cs="宋体"/>
          <w:sz w:val="21"/>
          <w:szCs w:val="21"/>
        </w:rPr>
      </w:pPr>
      <w:r>
        <w:rPr>
          <w:rFonts w:ascii="宋体" w:hAnsi="宋体" w:eastAsia="宋体" w:cs="宋体"/>
          <w:sz w:val="21"/>
          <w:szCs w:val="21"/>
        </w:rPr>
        <w:t>绿地率是指社区用地范围内各类绿地面积的总和占社区总用地面积的百分比。主要包括公</w:t>
      </w:r>
      <w:r>
        <w:rPr>
          <w:rFonts w:ascii="宋体" w:hAnsi="宋体" w:eastAsia="宋体" w:cs="宋体"/>
          <w:spacing w:val="-1"/>
          <w:sz w:val="21"/>
          <w:szCs w:val="21"/>
        </w:rPr>
        <w:t>共绿地</w:t>
      </w:r>
      <w:r>
        <w:rPr>
          <w:rFonts w:ascii="宋体" w:hAnsi="宋体" w:eastAsia="宋体" w:cs="宋体"/>
          <w:sz w:val="21"/>
          <w:szCs w:val="21"/>
        </w:rPr>
        <w:t xml:space="preserve"> </w:t>
      </w:r>
      <w:r>
        <w:rPr>
          <w:rFonts w:ascii="宋体" w:hAnsi="宋体" w:eastAsia="宋体" w:cs="宋体"/>
          <w:spacing w:val="-1"/>
          <w:sz w:val="21"/>
          <w:szCs w:val="21"/>
        </w:rPr>
        <w:t>宅旁绿地、配套公建所属绿地和道路绿地。</w:t>
      </w:r>
    </w:p>
    <w:p w14:paraId="7ABBD527">
      <w:pPr>
        <w:spacing w:line="220" w:lineRule="auto"/>
        <w:ind w:left="425"/>
        <w:rPr>
          <w:rFonts w:ascii="宋体" w:hAnsi="宋体" w:eastAsia="宋体" w:cs="宋体"/>
          <w:sz w:val="21"/>
          <w:szCs w:val="21"/>
        </w:rPr>
      </w:pPr>
      <w:r>
        <w:rPr>
          <w:rFonts w:ascii="宋体" w:hAnsi="宋体" w:eastAsia="宋体" w:cs="宋体"/>
          <w:spacing w:val="-1"/>
          <w:sz w:val="21"/>
          <w:szCs w:val="21"/>
        </w:rPr>
        <w:t>绿地率计算方法如下：</w:t>
      </w:r>
    </w:p>
    <w:p w14:paraId="24F4C336">
      <w:pPr>
        <w:spacing w:line="220" w:lineRule="auto"/>
        <w:rPr>
          <w:rFonts w:ascii="宋体" w:hAnsi="宋体" w:eastAsia="宋体" w:cs="宋体"/>
          <w:sz w:val="21"/>
          <w:szCs w:val="21"/>
        </w:rPr>
        <w:sectPr>
          <w:headerReference r:id="rId32" w:type="default"/>
          <w:footerReference r:id="rId33" w:type="default"/>
          <w:pgSz w:w="11907" w:h="16839"/>
          <w:pgMar w:top="1205" w:right="1242" w:bottom="1648" w:left="1308" w:header="880" w:footer="1448" w:gutter="0"/>
          <w:cols w:space="720" w:num="1"/>
        </w:sectPr>
      </w:pPr>
    </w:p>
    <w:p w14:paraId="37574161">
      <w:pPr>
        <w:spacing w:before="165" w:line="182" w:lineRule="auto"/>
        <w:ind w:left="3711"/>
        <w:rPr>
          <w:rFonts w:ascii="宋体" w:hAnsi="宋体" w:eastAsia="宋体" w:cs="宋体"/>
          <w:sz w:val="21"/>
          <w:szCs w:val="21"/>
        </w:rPr>
      </w:pPr>
      <w:r>
        <w:rPr>
          <w:rFonts w:ascii="宋体" w:hAnsi="宋体" w:eastAsia="宋体" w:cs="宋体"/>
          <w:spacing w:val="-1"/>
          <w:sz w:val="21"/>
          <w:szCs w:val="21"/>
        </w:rPr>
        <w:t>社区绿地总面积（万</w:t>
      </w:r>
      <w:r>
        <w:rPr>
          <w:rFonts w:ascii="Cambria Math" w:hAnsi="Cambria Math" w:eastAsia="Cambria Math" w:cs="Cambria Math"/>
          <w:spacing w:val="-1"/>
          <w:sz w:val="21"/>
          <w:szCs w:val="21"/>
        </w:rPr>
        <w:t>m</w:t>
      </w:r>
      <w:r>
        <w:rPr>
          <w:rFonts w:ascii="Cambria Math" w:hAnsi="Cambria Math" w:eastAsia="Cambria Math" w:cs="Cambria Math"/>
          <w:spacing w:val="-1"/>
          <w:position w:val="7"/>
          <w:sz w:val="15"/>
          <w:szCs w:val="15"/>
        </w:rPr>
        <w:t>2</w:t>
      </w:r>
      <w:r>
        <w:rPr>
          <w:rFonts w:ascii="宋体" w:hAnsi="宋体" w:eastAsia="宋体" w:cs="宋体"/>
          <w:spacing w:val="-1"/>
          <w:sz w:val="21"/>
          <w:szCs w:val="21"/>
        </w:rPr>
        <w:t>）</w:t>
      </w:r>
    </w:p>
    <w:p w14:paraId="4D8274C7">
      <w:pPr>
        <w:spacing w:line="172" w:lineRule="exact"/>
        <w:ind w:left="2449"/>
        <w:rPr>
          <w:rFonts w:ascii="Cambria Math" w:hAnsi="Cambria Math" w:eastAsia="Cambria Math" w:cs="Cambria Math"/>
          <w:sz w:val="21"/>
          <w:szCs w:val="21"/>
        </w:rPr>
      </w:pPr>
      <w:r>
        <w:rPr>
          <w:rFonts w:ascii="宋体" w:hAnsi="宋体" w:eastAsia="宋体" w:cs="宋体"/>
          <w:spacing w:val="-4"/>
          <w:position w:val="-3"/>
          <w:sz w:val="21"/>
          <w:szCs w:val="21"/>
        </w:rPr>
        <w:t>绿地率</w:t>
      </w:r>
      <w:r>
        <w:rPr>
          <w:rFonts w:ascii="Cambria Math" w:hAnsi="Cambria Math" w:eastAsia="Cambria Math" w:cs="Cambria Math"/>
          <w:spacing w:val="-4"/>
          <w:position w:val="-3"/>
          <w:sz w:val="21"/>
          <w:szCs w:val="21"/>
        </w:rPr>
        <w:t>(%)</w:t>
      </w:r>
      <w:r>
        <w:rPr>
          <w:rFonts w:ascii="Cambria Math" w:hAnsi="Cambria Math" w:eastAsia="Cambria Math" w:cs="Cambria Math"/>
          <w:spacing w:val="36"/>
          <w:w w:val="101"/>
          <w:position w:val="-3"/>
          <w:sz w:val="21"/>
          <w:szCs w:val="21"/>
        </w:rPr>
        <w:t xml:space="preserve"> </w:t>
      </w:r>
      <w:r>
        <w:rPr>
          <w:rFonts w:ascii="Cambria Math" w:hAnsi="Cambria Math" w:eastAsia="Cambria Math" w:cs="Cambria Math"/>
          <w:spacing w:val="-4"/>
          <w:position w:val="-3"/>
          <w:sz w:val="21"/>
          <w:szCs w:val="21"/>
        </w:rPr>
        <w:t xml:space="preserve">= </w:t>
      </w:r>
      <w:r>
        <w:rPr>
          <w:rFonts w:ascii="Cambria Math" w:hAnsi="Cambria Math" w:eastAsia="Cambria Math" w:cs="Cambria Math"/>
          <w:strike/>
          <w:position w:val="-3"/>
          <w:sz w:val="21"/>
          <w:szCs w:val="21"/>
        </w:rPr>
        <w:t xml:space="preserve">                                                   </w:t>
      </w:r>
      <w:r>
        <w:rPr>
          <w:rFonts w:ascii="Cambria Math" w:hAnsi="Cambria Math" w:eastAsia="Cambria Math" w:cs="Cambria Math"/>
          <w:spacing w:val="33"/>
          <w:w w:val="101"/>
          <w:position w:val="-3"/>
          <w:sz w:val="21"/>
          <w:szCs w:val="21"/>
        </w:rPr>
        <w:t xml:space="preserve"> </w:t>
      </w:r>
      <w:r>
        <w:rPr>
          <w:rFonts w:ascii="Cambria Math" w:hAnsi="Cambria Math" w:eastAsia="Cambria Math" w:cs="Cambria Math"/>
          <w:spacing w:val="-4"/>
          <w:position w:val="-3"/>
          <w:sz w:val="21"/>
          <w:szCs w:val="21"/>
        </w:rPr>
        <w:t>×</w:t>
      </w:r>
      <w:r>
        <w:rPr>
          <w:rFonts w:ascii="Cambria Math" w:hAnsi="Cambria Math" w:eastAsia="Cambria Math" w:cs="Cambria Math"/>
          <w:spacing w:val="15"/>
          <w:w w:val="101"/>
          <w:position w:val="-3"/>
          <w:sz w:val="21"/>
          <w:szCs w:val="21"/>
        </w:rPr>
        <w:t xml:space="preserve"> </w:t>
      </w:r>
      <w:r>
        <w:rPr>
          <w:rFonts w:ascii="Cambria Math" w:hAnsi="Cambria Math" w:eastAsia="Cambria Math" w:cs="Cambria Math"/>
          <w:spacing w:val="-4"/>
          <w:position w:val="-3"/>
          <w:sz w:val="21"/>
          <w:szCs w:val="21"/>
        </w:rPr>
        <w:t>100%</w:t>
      </w:r>
    </w:p>
    <w:p w14:paraId="285945B7">
      <w:pPr>
        <w:spacing w:line="216" w:lineRule="auto"/>
        <w:ind w:left="3711"/>
        <w:rPr>
          <w:rFonts w:ascii="宋体" w:hAnsi="宋体" w:eastAsia="宋体" w:cs="宋体"/>
          <w:sz w:val="21"/>
          <w:szCs w:val="21"/>
        </w:rPr>
      </w:pPr>
      <w:r>
        <w:rPr>
          <w:rFonts w:ascii="宋体" w:hAnsi="宋体" w:eastAsia="宋体" w:cs="宋体"/>
          <w:spacing w:val="-1"/>
          <w:sz w:val="21"/>
          <w:szCs w:val="21"/>
        </w:rPr>
        <w:t>社区总用地面积（万</w:t>
      </w:r>
      <w:r>
        <w:rPr>
          <w:rFonts w:ascii="Cambria Math" w:hAnsi="Cambria Math" w:eastAsia="Cambria Math" w:cs="Cambria Math"/>
          <w:spacing w:val="-1"/>
          <w:sz w:val="21"/>
          <w:szCs w:val="21"/>
        </w:rPr>
        <w:t>m</w:t>
      </w:r>
      <w:r>
        <w:rPr>
          <w:rFonts w:ascii="Cambria Math" w:hAnsi="Cambria Math" w:eastAsia="Cambria Math" w:cs="Cambria Math"/>
          <w:spacing w:val="-1"/>
          <w:position w:val="5"/>
          <w:sz w:val="15"/>
          <w:szCs w:val="15"/>
        </w:rPr>
        <w:t>2</w:t>
      </w:r>
      <w:r>
        <w:rPr>
          <w:rFonts w:ascii="宋体" w:hAnsi="宋体" w:eastAsia="宋体" w:cs="宋体"/>
          <w:spacing w:val="-1"/>
          <w:sz w:val="21"/>
          <w:szCs w:val="21"/>
        </w:rPr>
        <w:t>）</w:t>
      </w:r>
    </w:p>
    <w:p w14:paraId="64089DEB">
      <w:pPr>
        <w:spacing w:before="169" w:line="234" w:lineRule="auto"/>
        <w:ind w:left="424"/>
        <w:rPr>
          <w:rFonts w:ascii="宋体" w:hAnsi="宋体" w:eastAsia="宋体" w:cs="宋体"/>
          <w:sz w:val="21"/>
          <w:szCs w:val="21"/>
        </w:rPr>
      </w:pPr>
      <w:r>
        <w:rPr>
          <w:rFonts w:ascii="宋体" w:hAnsi="宋体" w:eastAsia="宋体" w:cs="宋体"/>
          <w:spacing w:val="-1"/>
          <w:sz w:val="21"/>
          <w:szCs w:val="21"/>
        </w:rPr>
        <w:t>新社区评分标准：绿地率≥</w:t>
      </w:r>
      <w:r>
        <w:rPr>
          <w:rFonts w:ascii="Times New Roman" w:hAnsi="Times New Roman" w:eastAsia="Times New Roman" w:cs="Times New Roman"/>
          <w:spacing w:val="-1"/>
          <w:sz w:val="21"/>
          <w:szCs w:val="21"/>
        </w:rPr>
        <w:t>50%</w:t>
      </w:r>
      <w:r>
        <w:rPr>
          <w:rFonts w:ascii="宋体" w:hAnsi="宋体" w:eastAsia="宋体" w:cs="宋体"/>
          <w:spacing w:val="-1"/>
          <w:sz w:val="21"/>
          <w:szCs w:val="21"/>
        </w:rPr>
        <w:t>——</w:t>
      </w:r>
      <w:r>
        <w:rPr>
          <w:rFonts w:ascii="Times New Roman" w:hAnsi="Times New Roman" w:eastAsia="Times New Roman" w:cs="Times New Roman"/>
          <w:spacing w:val="-1"/>
          <w:sz w:val="21"/>
          <w:szCs w:val="21"/>
        </w:rPr>
        <w:t>5</w:t>
      </w:r>
      <w:r>
        <w:rPr>
          <w:rFonts w:ascii="宋体" w:hAnsi="宋体" w:eastAsia="宋体" w:cs="宋体"/>
          <w:spacing w:val="-1"/>
          <w:sz w:val="21"/>
          <w:szCs w:val="21"/>
        </w:rPr>
        <w:t>分</w:t>
      </w:r>
    </w:p>
    <w:p w14:paraId="0CB3D483">
      <w:pPr>
        <w:spacing w:before="45" w:line="214" w:lineRule="auto"/>
        <w:ind w:left="2107"/>
        <w:rPr>
          <w:rFonts w:ascii="宋体" w:hAnsi="宋体" w:eastAsia="宋体" w:cs="宋体"/>
          <w:sz w:val="21"/>
          <w:szCs w:val="21"/>
        </w:rPr>
      </w:pPr>
      <w:r>
        <w:rPr>
          <w:rFonts w:ascii="宋体" w:hAnsi="宋体" w:eastAsia="宋体" w:cs="宋体"/>
          <w:spacing w:val="-3"/>
          <w:sz w:val="21"/>
          <w:szCs w:val="21"/>
        </w:rPr>
        <w:t>绿地率</w:t>
      </w:r>
      <w:r>
        <w:rPr>
          <w:rFonts w:ascii="Times New Roman" w:hAnsi="Times New Roman" w:eastAsia="Times New Roman" w:cs="Times New Roman"/>
          <w:spacing w:val="-3"/>
          <w:sz w:val="21"/>
          <w:szCs w:val="21"/>
        </w:rPr>
        <w:t>[40%</w:t>
      </w:r>
      <w:r>
        <w:rPr>
          <w:rFonts w:ascii="Times New Roman" w:hAnsi="Times New Roman" w:eastAsia="Times New Roman" w:cs="Times New Roman"/>
          <w:spacing w:val="-14"/>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50%)</w:t>
      </w: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分</w:t>
      </w:r>
    </w:p>
    <w:p w14:paraId="0A8AA7AD">
      <w:pPr>
        <w:spacing w:before="68" w:line="214" w:lineRule="auto"/>
        <w:ind w:left="2107"/>
        <w:rPr>
          <w:rFonts w:ascii="宋体" w:hAnsi="宋体" w:eastAsia="宋体" w:cs="宋体"/>
          <w:sz w:val="21"/>
          <w:szCs w:val="21"/>
        </w:rPr>
      </w:pPr>
      <w:r>
        <w:rPr>
          <w:rFonts w:ascii="宋体" w:hAnsi="宋体" w:eastAsia="宋体" w:cs="宋体"/>
          <w:spacing w:val="-1"/>
          <w:sz w:val="21"/>
          <w:szCs w:val="21"/>
        </w:rPr>
        <w:t>绿地率</w:t>
      </w:r>
      <w:r>
        <w:rPr>
          <w:rFonts w:ascii="Times New Roman" w:hAnsi="Times New Roman" w:eastAsia="Times New Roman" w:cs="Times New Roman"/>
          <w:spacing w:val="-1"/>
          <w:sz w:val="21"/>
          <w:szCs w:val="21"/>
        </w:rPr>
        <w:t>[35%,40%)</w:t>
      </w: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分</w:t>
      </w:r>
    </w:p>
    <w:p w14:paraId="1C1180C5">
      <w:pPr>
        <w:spacing w:before="70" w:line="234" w:lineRule="auto"/>
        <w:rPr>
          <w:rFonts w:ascii="宋体" w:hAnsi="宋体" w:eastAsia="宋体" w:cs="宋体"/>
          <w:sz w:val="21"/>
          <w:szCs w:val="21"/>
        </w:rPr>
      </w:pPr>
      <w:r>
        <w:rPr>
          <w:rFonts w:ascii="Times New Roman" w:hAnsi="Times New Roman" w:eastAsia="Times New Roman" w:cs="Times New Roman"/>
          <w:b/>
          <w:bCs/>
          <w:spacing w:val="-2"/>
          <w:sz w:val="21"/>
          <w:szCs w:val="21"/>
        </w:rPr>
        <w:t>B.5</w:t>
      </w:r>
      <w:r>
        <w:rPr>
          <w:rFonts w:ascii="宋体" w:hAnsi="宋体" w:eastAsia="宋体" w:cs="宋体"/>
          <w:b/>
          <w:bCs/>
          <w:spacing w:val="-2"/>
          <w:sz w:val="21"/>
          <w:szCs w:val="21"/>
        </w:rPr>
        <w:t>、</w:t>
      </w:r>
      <w:r>
        <w:rPr>
          <w:rFonts w:ascii="宋体" w:hAnsi="宋体" w:eastAsia="宋体" w:cs="宋体"/>
          <w:spacing w:val="-54"/>
          <w:sz w:val="21"/>
          <w:szCs w:val="21"/>
        </w:rPr>
        <w:t xml:space="preserve"> </w:t>
      </w:r>
      <w:r>
        <w:rPr>
          <w:rFonts w:ascii="宋体" w:hAnsi="宋体" w:eastAsia="宋体" w:cs="宋体"/>
          <w:b/>
          <w:bCs/>
          <w:spacing w:val="-2"/>
          <w:sz w:val="21"/>
          <w:szCs w:val="21"/>
        </w:rPr>
        <w:t>新能源充电桩配置比例</w:t>
      </w:r>
    </w:p>
    <w:p w14:paraId="29F0E220">
      <w:pPr>
        <w:spacing w:before="45" w:line="221" w:lineRule="auto"/>
        <w:ind w:left="426"/>
        <w:rPr>
          <w:rFonts w:ascii="宋体" w:hAnsi="宋体" w:eastAsia="宋体" w:cs="宋体"/>
          <w:sz w:val="21"/>
          <w:szCs w:val="21"/>
        </w:rPr>
      </w:pPr>
      <w:r>
        <w:rPr>
          <w:rFonts w:ascii="宋体" w:hAnsi="宋体" w:eastAsia="宋体" w:cs="宋体"/>
          <w:spacing w:val="-1"/>
          <w:sz w:val="21"/>
          <w:szCs w:val="21"/>
        </w:rPr>
        <w:t>充电桩配置比例指社区已建设或预留的汽车充电桩数量占规划停车位总数量的百分比。</w:t>
      </w:r>
    </w:p>
    <w:p w14:paraId="3BE967CD">
      <w:pPr>
        <w:spacing w:before="60" w:line="221" w:lineRule="auto"/>
        <w:ind w:left="426"/>
        <w:rPr>
          <w:rFonts w:ascii="宋体" w:hAnsi="宋体" w:eastAsia="宋体" w:cs="宋体"/>
          <w:sz w:val="21"/>
          <w:szCs w:val="21"/>
        </w:rPr>
      </w:pPr>
      <w:r>
        <w:rPr>
          <w:rFonts w:ascii="宋体" w:hAnsi="宋体" w:eastAsia="宋体" w:cs="宋体"/>
          <w:spacing w:val="-3"/>
          <w:sz w:val="21"/>
          <w:szCs w:val="21"/>
        </w:rPr>
        <w:t>充电桩配置比例计算方法如下：</w:t>
      </w:r>
    </w:p>
    <w:p w14:paraId="3563175B">
      <w:pPr>
        <w:spacing w:before="214" w:line="164" w:lineRule="auto"/>
        <w:ind w:left="3029"/>
        <w:rPr>
          <w:rFonts w:ascii="宋体" w:hAnsi="宋体" w:eastAsia="宋体" w:cs="宋体"/>
          <w:sz w:val="21"/>
          <w:szCs w:val="21"/>
        </w:rPr>
      </w:pPr>
      <w:r>
        <w:rPr>
          <w:rFonts w:ascii="宋体" w:hAnsi="宋体" w:eastAsia="宋体" w:cs="宋体"/>
          <w:spacing w:val="-2"/>
          <w:sz w:val="21"/>
          <w:szCs w:val="21"/>
        </w:rPr>
        <w:t>已建设或预留的汽车充电设施（接口）数量（个）</w:t>
      </w:r>
    </w:p>
    <w:p w14:paraId="0D854E57">
      <w:pPr>
        <w:spacing w:before="1" w:line="180" w:lineRule="auto"/>
        <w:ind w:left="4161" w:right="896" w:hanging="3258"/>
        <w:rPr>
          <w:rFonts w:ascii="宋体" w:hAnsi="宋体" w:eastAsia="宋体" w:cs="宋体"/>
          <w:sz w:val="21"/>
          <w:szCs w:val="21"/>
        </w:rPr>
      </w:pPr>
      <w:r>
        <w:rPr>
          <w:rFonts w:ascii="宋体" w:hAnsi="宋体" w:eastAsia="宋体" w:cs="宋体"/>
          <w:spacing w:val="-4"/>
          <w:sz w:val="21"/>
          <w:szCs w:val="21"/>
        </w:rPr>
        <w:t>充电桩配置比例</w:t>
      </w:r>
      <w:r>
        <w:rPr>
          <w:rFonts w:ascii="Cambria Math" w:hAnsi="Cambria Math" w:eastAsia="Cambria Math" w:cs="Cambria Math"/>
          <w:spacing w:val="-4"/>
          <w:sz w:val="21"/>
          <w:szCs w:val="21"/>
        </w:rPr>
        <w:t>(%)</w:t>
      </w:r>
      <w:r>
        <w:rPr>
          <w:rFonts w:ascii="Cambria Math" w:hAnsi="Cambria Math" w:eastAsia="Cambria Math" w:cs="Cambria Math"/>
          <w:spacing w:val="34"/>
          <w:sz w:val="21"/>
          <w:szCs w:val="21"/>
        </w:rPr>
        <w:t xml:space="preserve"> </w:t>
      </w:r>
      <w:r>
        <w:rPr>
          <w:rFonts w:ascii="Cambria Math" w:hAnsi="Cambria Math" w:eastAsia="Cambria Math" w:cs="Cambria Math"/>
          <w:spacing w:val="-4"/>
          <w:sz w:val="21"/>
          <w:szCs w:val="21"/>
        </w:rPr>
        <w:t>=</w:t>
      </w:r>
      <w:r>
        <w:rPr>
          <w:rFonts w:ascii="Cambria Math" w:hAnsi="Cambria Math" w:eastAsia="Cambria Math" w:cs="Cambria Math"/>
          <w:spacing w:val="12"/>
          <w:sz w:val="21"/>
          <w:szCs w:val="21"/>
        </w:rPr>
        <w:t xml:space="preserve"> </w:t>
      </w:r>
      <w:r>
        <w:rPr>
          <w:rFonts w:ascii="Cambria Math" w:hAnsi="Cambria Math" w:eastAsia="Cambria Math" w:cs="Cambria Math"/>
          <w:strike/>
          <w:spacing w:val="1"/>
          <w:sz w:val="21"/>
          <w:szCs w:val="21"/>
        </w:rPr>
        <w:t xml:space="preserve">                                         </w:t>
      </w:r>
      <w:r>
        <w:rPr>
          <w:rFonts w:ascii="Cambria Math" w:hAnsi="Cambria Math" w:eastAsia="Cambria Math" w:cs="Cambria Math"/>
          <w:strike/>
          <w:sz w:val="21"/>
          <w:szCs w:val="21"/>
        </w:rPr>
        <w:t xml:space="preserve">                                                          </w:t>
      </w:r>
      <w:r>
        <w:rPr>
          <w:rFonts w:ascii="Cambria Math" w:hAnsi="Cambria Math" w:eastAsia="Cambria Math" w:cs="Cambria Math"/>
          <w:spacing w:val="19"/>
          <w:w w:val="101"/>
          <w:sz w:val="21"/>
          <w:szCs w:val="21"/>
        </w:rPr>
        <w:t xml:space="preserve"> </w:t>
      </w:r>
      <w:r>
        <w:rPr>
          <w:rFonts w:ascii="Cambria Math" w:hAnsi="Cambria Math" w:eastAsia="Cambria Math" w:cs="Cambria Math"/>
          <w:spacing w:val="-4"/>
          <w:sz w:val="21"/>
          <w:szCs w:val="21"/>
        </w:rPr>
        <w:t>×</w:t>
      </w:r>
      <w:r>
        <w:rPr>
          <w:rFonts w:ascii="Cambria Math" w:hAnsi="Cambria Math" w:eastAsia="Cambria Math" w:cs="Cambria Math"/>
          <w:spacing w:val="18"/>
          <w:sz w:val="21"/>
          <w:szCs w:val="21"/>
        </w:rPr>
        <w:t xml:space="preserve"> </w:t>
      </w:r>
      <w:r>
        <w:rPr>
          <w:rFonts w:ascii="Cambria Math" w:hAnsi="Cambria Math" w:eastAsia="Cambria Math" w:cs="Cambria Math"/>
          <w:spacing w:val="-4"/>
          <w:sz w:val="21"/>
          <w:szCs w:val="21"/>
        </w:rPr>
        <w:t>100%</w:t>
      </w:r>
      <w:r>
        <w:rPr>
          <w:rFonts w:ascii="Cambria Math" w:hAnsi="Cambria Math" w:eastAsia="Cambria Math" w:cs="Cambria Math"/>
          <w:sz w:val="21"/>
          <w:szCs w:val="21"/>
        </w:rPr>
        <w:t xml:space="preserve"> </w:t>
      </w:r>
      <w:r>
        <w:rPr>
          <w:rFonts w:ascii="宋体" w:hAnsi="宋体" w:eastAsia="宋体" w:cs="宋体"/>
          <w:spacing w:val="-1"/>
          <w:sz w:val="21"/>
          <w:szCs w:val="21"/>
        </w:rPr>
        <w:t>规划停车位总数量（个）</w:t>
      </w:r>
    </w:p>
    <w:p w14:paraId="32AE3DB5">
      <w:pPr>
        <w:spacing w:before="187" w:line="234" w:lineRule="auto"/>
        <w:ind w:left="424"/>
        <w:rPr>
          <w:rFonts w:ascii="宋体" w:hAnsi="宋体" w:eastAsia="宋体" w:cs="宋体"/>
          <w:sz w:val="21"/>
          <w:szCs w:val="21"/>
        </w:rPr>
      </w:pPr>
      <w:r>
        <w:rPr>
          <w:rFonts w:ascii="宋体" w:hAnsi="宋体" w:eastAsia="宋体" w:cs="宋体"/>
          <w:spacing w:val="-1"/>
          <w:sz w:val="21"/>
          <w:szCs w:val="21"/>
        </w:rPr>
        <w:t>新社区评分标准：充电桩配置比例≥</w:t>
      </w:r>
      <w:r>
        <w:rPr>
          <w:rFonts w:ascii="Times New Roman" w:hAnsi="Times New Roman" w:eastAsia="Times New Roman" w:cs="Times New Roman"/>
          <w:spacing w:val="-1"/>
          <w:sz w:val="21"/>
          <w:szCs w:val="21"/>
        </w:rPr>
        <w:t>30%</w:t>
      </w:r>
      <w:r>
        <w:rPr>
          <w:rFonts w:ascii="宋体" w:hAnsi="宋体" w:eastAsia="宋体" w:cs="宋体"/>
          <w:spacing w:val="-1"/>
          <w:sz w:val="21"/>
          <w:szCs w:val="21"/>
        </w:rPr>
        <w:t>——</w:t>
      </w:r>
      <w:r>
        <w:rPr>
          <w:rFonts w:ascii="Times New Roman" w:hAnsi="Times New Roman" w:eastAsia="Times New Roman" w:cs="Times New Roman"/>
          <w:spacing w:val="-1"/>
          <w:sz w:val="21"/>
          <w:szCs w:val="21"/>
        </w:rPr>
        <w:t>5</w:t>
      </w:r>
      <w:r>
        <w:rPr>
          <w:rFonts w:ascii="宋体" w:hAnsi="宋体" w:eastAsia="宋体" w:cs="宋体"/>
          <w:spacing w:val="-1"/>
          <w:sz w:val="21"/>
          <w:szCs w:val="21"/>
        </w:rPr>
        <w:t>分</w:t>
      </w:r>
    </w:p>
    <w:p w14:paraId="305B0642">
      <w:pPr>
        <w:spacing w:before="45" w:line="214" w:lineRule="auto"/>
        <w:ind w:left="2108"/>
        <w:rPr>
          <w:rFonts w:ascii="宋体" w:hAnsi="宋体" w:eastAsia="宋体" w:cs="宋体"/>
          <w:sz w:val="21"/>
          <w:szCs w:val="21"/>
        </w:rPr>
      </w:pPr>
      <w:r>
        <w:rPr>
          <w:rFonts w:ascii="宋体" w:hAnsi="宋体" w:eastAsia="宋体" w:cs="宋体"/>
          <w:spacing w:val="-2"/>
          <w:sz w:val="21"/>
          <w:szCs w:val="21"/>
        </w:rPr>
        <w:t>充电桩配置比例</w:t>
      </w:r>
      <w:r>
        <w:rPr>
          <w:rFonts w:ascii="Times New Roman" w:hAnsi="Times New Roman" w:eastAsia="Times New Roman" w:cs="Times New Roman"/>
          <w:spacing w:val="-2"/>
          <w:sz w:val="21"/>
          <w:szCs w:val="21"/>
        </w:rPr>
        <w:t>[10%</w:t>
      </w:r>
      <w:r>
        <w:rPr>
          <w:rFonts w:ascii="Times New Roman" w:hAnsi="Times New Roman" w:eastAsia="Times New Roman" w:cs="Times New Roman"/>
          <w:spacing w:val="-22"/>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30%)</w:t>
      </w: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分</w:t>
      </w:r>
    </w:p>
    <w:p w14:paraId="71A3C9A6">
      <w:pPr>
        <w:spacing w:before="69" w:line="214" w:lineRule="auto"/>
        <w:ind w:left="2108"/>
        <w:rPr>
          <w:rFonts w:ascii="宋体" w:hAnsi="宋体" w:eastAsia="宋体" w:cs="宋体"/>
          <w:sz w:val="21"/>
          <w:szCs w:val="21"/>
        </w:rPr>
      </w:pPr>
      <w:r>
        <w:rPr>
          <w:rFonts w:ascii="宋体" w:hAnsi="宋体" w:eastAsia="宋体" w:cs="宋体"/>
          <w:spacing w:val="-1"/>
          <w:sz w:val="21"/>
          <w:szCs w:val="21"/>
        </w:rPr>
        <w:t>充电桩配置比例</w:t>
      </w:r>
      <w:r>
        <w:rPr>
          <w:rFonts w:ascii="Times New Roman" w:hAnsi="Times New Roman" w:eastAsia="Times New Roman" w:cs="Times New Roman"/>
          <w:spacing w:val="-1"/>
          <w:sz w:val="21"/>
          <w:szCs w:val="21"/>
        </w:rPr>
        <w:t>[5%,10%)</w:t>
      </w: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分</w:t>
      </w:r>
    </w:p>
    <w:p w14:paraId="24048912">
      <w:pPr>
        <w:pStyle w:val="2"/>
        <w:spacing w:line="311" w:lineRule="auto"/>
      </w:pPr>
    </w:p>
    <w:p w14:paraId="12C85A07">
      <w:pPr>
        <w:spacing w:before="69" w:line="234" w:lineRule="auto"/>
        <w:rPr>
          <w:rFonts w:ascii="宋体" w:hAnsi="宋体" w:eastAsia="宋体" w:cs="宋体"/>
          <w:sz w:val="21"/>
          <w:szCs w:val="21"/>
        </w:rPr>
      </w:pPr>
      <w:r>
        <w:rPr>
          <w:rFonts w:ascii="Times New Roman" w:hAnsi="Times New Roman" w:eastAsia="Times New Roman" w:cs="Times New Roman"/>
          <w:b/>
          <w:bCs/>
          <w:spacing w:val="-3"/>
          <w:sz w:val="21"/>
          <w:szCs w:val="21"/>
        </w:rPr>
        <w:t>B.6</w:t>
      </w:r>
      <w:r>
        <w:rPr>
          <w:rFonts w:ascii="宋体" w:hAnsi="宋体" w:eastAsia="宋体" w:cs="宋体"/>
          <w:b/>
          <w:bCs/>
          <w:spacing w:val="-3"/>
          <w:sz w:val="21"/>
          <w:szCs w:val="21"/>
        </w:rPr>
        <w:t>、</w:t>
      </w:r>
      <w:r>
        <w:rPr>
          <w:rFonts w:ascii="宋体" w:hAnsi="宋体" w:eastAsia="宋体" w:cs="宋体"/>
          <w:spacing w:val="-33"/>
          <w:sz w:val="21"/>
          <w:szCs w:val="21"/>
        </w:rPr>
        <w:t xml:space="preserve"> </w:t>
      </w:r>
      <w:r>
        <w:rPr>
          <w:rFonts w:ascii="宋体" w:hAnsi="宋体" w:eastAsia="宋体" w:cs="宋体"/>
          <w:b/>
          <w:bCs/>
          <w:spacing w:val="-3"/>
          <w:sz w:val="21"/>
          <w:szCs w:val="21"/>
        </w:rPr>
        <w:t>公共交通站点</w:t>
      </w:r>
      <w:r>
        <w:rPr>
          <w:rFonts w:ascii="Times New Roman" w:hAnsi="Times New Roman" w:eastAsia="Times New Roman" w:cs="Times New Roman"/>
          <w:b/>
          <w:bCs/>
          <w:spacing w:val="-3"/>
          <w:sz w:val="21"/>
          <w:szCs w:val="21"/>
        </w:rPr>
        <w:t>500</w:t>
      </w:r>
      <w:r>
        <w:rPr>
          <w:rFonts w:ascii="宋体" w:hAnsi="宋体" w:eastAsia="宋体" w:cs="宋体"/>
          <w:b/>
          <w:bCs/>
          <w:spacing w:val="-3"/>
          <w:sz w:val="21"/>
          <w:szCs w:val="21"/>
        </w:rPr>
        <w:t>米覆盖率</w:t>
      </w:r>
    </w:p>
    <w:p w14:paraId="4B0627C5">
      <w:pPr>
        <w:spacing w:before="45" w:line="269" w:lineRule="auto"/>
        <w:ind w:left="3" w:right="54" w:firstLine="421"/>
        <w:rPr>
          <w:rFonts w:ascii="宋体" w:hAnsi="宋体" w:eastAsia="宋体" w:cs="宋体"/>
          <w:sz w:val="21"/>
          <w:szCs w:val="21"/>
        </w:rPr>
      </w:pPr>
      <w:r>
        <w:rPr>
          <w:rFonts w:ascii="Times New Roman" w:hAnsi="Times New Roman" w:eastAsia="Times New Roman" w:cs="Times New Roman"/>
          <w:spacing w:val="-5"/>
          <w:sz w:val="21"/>
          <w:szCs w:val="21"/>
        </w:rPr>
        <w:t>500</w:t>
      </w:r>
      <w:r>
        <w:rPr>
          <w:rFonts w:ascii="宋体" w:hAnsi="宋体" w:eastAsia="宋体" w:cs="宋体"/>
          <w:spacing w:val="-5"/>
          <w:sz w:val="21"/>
          <w:szCs w:val="21"/>
        </w:rPr>
        <w:t>米覆盖率指社区建成区公共交通站点服务面积（以公共交通站点为圆心、以</w:t>
      </w:r>
      <w:r>
        <w:rPr>
          <w:rFonts w:ascii="Times New Roman" w:hAnsi="Times New Roman" w:eastAsia="Times New Roman" w:cs="Times New Roman"/>
          <w:spacing w:val="-5"/>
          <w:sz w:val="21"/>
          <w:szCs w:val="21"/>
        </w:rPr>
        <w:t>500</w:t>
      </w:r>
      <w:r>
        <w:rPr>
          <w:rFonts w:ascii="宋体" w:hAnsi="宋体" w:eastAsia="宋体" w:cs="宋体"/>
          <w:spacing w:val="-5"/>
          <w:sz w:val="21"/>
          <w:szCs w:val="21"/>
        </w:rPr>
        <w:t>米为半径的圆；</w:t>
      </w:r>
      <w:r>
        <w:rPr>
          <w:rFonts w:ascii="宋体" w:hAnsi="宋体" w:eastAsia="宋体" w:cs="宋体"/>
          <w:spacing w:val="18"/>
          <w:sz w:val="21"/>
          <w:szCs w:val="21"/>
        </w:rPr>
        <w:t xml:space="preserve"> </w:t>
      </w:r>
      <w:r>
        <w:rPr>
          <w:rFonts w:ascii="宋体" w:hAnsi="宋体" w:eastAsia="宋体" w:cs="宋体"/>
          <w:spacing w:val="-1"/>
          <w:sz w:val="21"/>
          <w:szCs w:val="21"/>
        </w:rPr>
        <w:t>相交部分不得重复计算）占建成区面积的百分比。</w:t>
      </w:r>
    </w:p>
    <w:p w14:paraId="1EEAB2AE">
      <w:pPr>
        <w:spacing w:before="11" w:line="221" w:lineRule="auto"/>
        <w:ind w:left="430"/>
        <w:rPr>
          <w:rFonts w:ascii="宋体" w:hAnsi="宋体" w:eastAsia="宋体" w:cs="宋体"/>
          <w:sz w:val="21"/>
          <w:szCs w:val="21"/>
        </w:rPr>
      </w:pPr>
      <w:r>
        <w:rPr>
          <w:rFonts w:ascii="宋体" w:hAnsi="宋体" w:eastAsia="宋体" w:cs="宋体"/>
          <w:spacing w:val="-2"/>
          <w:sz w:val="21"/>
          <w:szCs w:val="21"/>
        </w:rPr>
        <w:t>公共交通站点500米覆盖率计算方法如下：</w:t>
      </w:r>
    </w:p>
    <w:p w14:paraId="49B7E094">
      <w:pPr>
        <w:spacing w:before="215" w:line="557" w:lineRule="exact"/>
        <w:ind w:left="715"/>
        <w:rPr>
          <w:rFonts w:ascii="Cambria Math" w:hAnsi="Cambria Math" w:eastAsia="Cambria Math" w:cs="Cambria Math"/>
          <w:sz w:val="21"/>
          <w:szCs w:val="21"/>
        </w:rPr>
      </w:pPr>
      <w:r>
        <w:rPr>
          <w:rFonts w:ascii="宋体" w:hAnsi="宋体" w:eastAsia="宋体" w:cs="宋体"/>
          <w:spacing w:val="-14"/>
          <w:position w:val="9"/>
          <w:sz w:val="21"/>
          <w:szCs w:val="21"/>
        </w:rPr>
        <w:t>公共交通站点</w:t>
      </w:r>
      <w:r>
        <w:rPr>
          <w:rFonts w:ascii="Cambria Math" w:hAnsi="Cambria Math" w:eastAsia="Cambria Math" w:cs="Cambria Math"/>
          <w:spacing w:val="-14"/>
          <w:position w:val="9"/>
          <w:sz w:val="21"/>
          <w:szCs w:val="21"/>
        </w:rPr>
        <w:t>500</w:t>
      </w:r>
      <w:r>
        <w:rPr>
          <w:rFonts w:ascii="宋体" w:hAnsi="宋体" w:eastAsia="宋体" w:cs="宋体"/>
          <w:spacing w:val="-14"/>
          <w:position w:val="9"/>
          <w:sz w:val="21"/>
          <w:szCs w:val="21"/>
        </w:rPr>
        <w:t>米覆盖率（</w:t>
      </w:r>
      <w:r>
        <w:rPr>
          <w:rFonts w:ascii="Cambria Math" w:hAnsi="Cambria Math" w:eastAsia="Cambria Math" w:cs="Cambria Math"/>
          <w:spacing w:val="-14"/>
          <w:position w:val="9"/>
          <w:sz w:val="21"/>
          <w:szCs w:val="21"/>
        </w:rPr>
        <w:t>%</w:t>
      </w:r>
      <w:r>
        <w:rPr>
          <w:rFonts w:ascii="宋体" w:hAnsi="宋体" w:eastAsia="宋体" w:cs="宋体"/>
          <w:spacing w:val="-14"/>
          <w:position w:val="9"/>
          <w:sz w:val="21"/>
          <w:szCs w:val="21"/>
        </w:rPr>
        <w:t>）</w:t>
      </w:r>
      <w:r>
        <w:rPr>
          <w:rFonts w:ascii="宋体" w:hAnsi="宋体" w:eastAsia="宋体" w:cs="宋体"/>
          <w:spacing w:val="-34"/>
          <w:position w:val="9"/>
          <w:sz w:val="21"/>
          <w:szCs w:val="21"/>
        </w:rPr>
        <w:t xml:space="preserve"> </w:t>
      </w:r>
      <w:r>
        <w:rPr>
          <w:rFonts w:ascii="Cambria Math" w:hAnsi="Cambria Math" w:eastAsia="Cambria Math" w:cs="Cambria Math"/>
          <w:spacing w:val="-14"/>
          <w:position w:val="9"/>
          <w:sz w:val="21"/>
          <w:szCs w:val="21"/>
        </w:rPr>
        <w:t>=</w:t>
      </w:r>
      <w:r>
        <w:rPr>
          <w:rFonts w:ascii="Cambria Math" w:hAnsi="Cambria Math" w:eastAsia="Cambria Math" w:cs="Cambria Math"/>
          <w:spacing w:val="21"/>
          <w:w w:val="101"/>
          <w:position w:val="9"/>
          <w:sz w:val="21"/>
          <w:szCs w:val="21"/>
        </w:rPr>
        <w:t xml:space="preserve"> </w:t>
      </w:r>
      <w:r>
        <w:rPr>
          <w:rFonts w:ascii="宋体" w:hAnsi="宋体" w:eastAsia="宋体" w:cs="宋体"/>
          <w:spacing w:val="-14"/>
          <w:position w:val="24"/>
          <w:sz w:val="21"/>
          <w:szCs w:val="21"/>
        </w:rPr>
        <w:t>社区建成</w:t>
      </w:r>
      <w:r>
        <w:fldChar w:fldCharType="begin"/>
      </w:r>
      <w:r>
        <w:instrText xml:space="preserve">EQ \* jc3 \* hps21 \o\al(\s\up 6(</w:instrText>
      </w:r>
      <w:r>
        <w:rPr>
          <w:rFonts w:ascii="宋体" w:hAnsi="宋体" w:eastAsia="宋体" w:cs="宋体"/>
          <w:position w:val="11"/>
          <w:sz w:val="21"/>
          <w:szCs w:val="21"/>
        </w:rPr>
        <w:instrText xml:space="preserve">区公共交通站点</w:instrText>
      </w:r>
      <w:r>
        <w:instrText xml:space="preserve">),</w:instrText>
      </w:r>
      <w:r>
        <w:rPr>
          <w:rFonts w:ascii="宋体" w:hAnsi="宋体" w:eastAsia="宋体" w:cs="宋体"/>
          <w:position w:val="-9"/>
          <w:sz w:val="21"/>
          <w:szCs w:val="21"/>
        </w:rPr>
        <w:instrText xml:space="preserve">社区建成区面积</w:instrText>
      </w:r>
      <w:r>
        <w:instrText xml:space="preserve">)</w:instrText>
      </w:r>
      <w:r>
        <w:fldChar w:fldCharType="end"/>
      </w:r>
      <w:r>
        <w:rPr>
          <w:rFonts w:ascii="宋体" w:hAnsi="宋体" w:eastAsia="宋体" w:cs="宋体"/>
          <w:spacing w:val="-14"/>
          <w:position w:val="24"/>
          <w:sz w:val="21"/>
          <w:szCs w:val="21"/>
        </w:rPr>
        <w:t>服</w:t>
      </w:r>
      <w:r>
        <w:rPr>
          <w:rFonts w:ascii="宋体" w:hAnsi="宋体" w:eastAsia="宋体" w:cs="宋体"/>
          <w:spacing w:val="-14"/>
          <w:position w:val="-9"/>
          <w:sz w:val="21"/>
          <w:szCs w:val="21"/>
        </w:rPr>
        <w:t>（</w:t>
      </w:r>
      <w:r>
        <w:fldChar w:fldCharType="begin"/>
      </w:r>
      <w:r>
        <w:instrText xml:space="preserve">EQ \* jc3 \* hps21 \o\al(\s\up 6(</w:instrText>
      </w:r>
      <w:r>
        <w:rPr>
          <w:rFonts w:ascii="宋体" w:hAnsi="宋体" w:eastAsia="宋体" w:cs="宋体"/>
          <w:w w:val="95"/>
          <w:position w:val="11"/>
          <w:sz w:val="21"/>
          <w:szCs w:val="21"/>
        </w:rPr>
        <w:instrText xml:space="preserve">务</w:instrText>
      </w:r>
      <w:r>
        <w:instrText xml:space="preserve">),</w:instrText>
      </w:r>
      <w:r>
        <w:rPr>
          <w:rFonts w:ascii="宋体" w:hAnsi="宋体" w:eastAsia="宋体" w:cs="宋体"/>
          <w:w w:val="87"/>
          <w:position w:val="-9"/>
          <w:sz w:val="21"/>
          <w:szCs w:val="21"/>
        </w:rPr>
        <w:instrText xml:space="preserve">㎡</w:instrText>
      </w:r>
      <w:r>
        <w:instrText xml:space="preserve">)</w:instrText>
      </w:r>
      <w:r>
        <w:fldChar w:fldCharType="end"/>
      </w:r>
      <w:r>
        <w:rPr>
          <w:rFonts w:ascii="宋体" w:hAnsi="宋体" w:eastAsia="宋体" w:cs="宋体"/>
          <w:spacing w:val="-14"/>
          <w:position w:val="24"/>
          <w:sz w:val="21"/>
          <w:szCs w:val="21"/>
        </w:rPr>
        <w:t>面</w:t>
      </w:r>
      <w:r>
        <w:rPr>
          <w:rFonts w:ascii="宋体" w:hAnsi="宋体" w:eastAsia="宋体" w:cs="宋体"/>
          <w:spacing w:val="-14"/>
          <w:position w:val="-9"/>
          <w:sz w:val="21"/>
          <w:szCs w:val="21"/>
        </w:rPr>
        <w:t>）</w:t>
      </w:r>
      <w:r>
        <w:rPr>
          <w:rFonts w:ascii="宋体" w:hAnsi="宋体" w:eastAsia="宋体" w:cs="宋体"/>
          <w:spacing w:val="-14"/>
          <w:position w:val="24"/>
          <w:sz w:val="21"/>
          <w:szCs w:val="21"/>
        </w:rPr>
        <w:t>积（㎡）</w:t>
      </w:r>
      <w:r>
        <w:rPr>
          <w:rFonts w:ascii="宋体" w:hAnsi="宋体" w:eastAsia="宋体" w:cs="宋体"/>
          <w:spacing w:val="-41"/>
          <w:position w:val="24"/>
          <w:sz w:val="21"/>
          <w:szCs w:val="21"/>
        </w:rPr>
        <w:t xml:space="preserve"> </w:t>
      </w:r>
      <w:r>
        <w:rPr>
          <w:rFonts w:ascii="Cambria Math" w:hAnsi="Cambria Math" w:eastAsia="Cambria Math" w:cs="Cambria Math"/>
          <w:spacing w:val="-14"/>
          <w:position w:val="9"/>
          <w:sz w:val="21"/>
          <w:szCs w:val="21"/>
        </w:rPr>
        <w:t>×</w:t>
      </w:r>
      <w:r>
        <w:rPr>
          <w:rFonts w:ascii="Cambria Math" w:hAnsi="Cambria Math" w:eastAsia="Cambria Math" w:cs="Cambria Math"/>
          <w:spacing w:val="18"/>
          <w:position w:val="9"/>
          <w:sz w:val="21"/>
          <w:szCs w:val="21"/>
        </w:rPr>
        <w:t xml:space="preserve"> </w:t>
      </w:r>
      <w:r>
        <w:rPr>
          <w:rFonts w:ascii="Cambria Math" w:hAnsi="Cambria Math" w:eastAsia="Cambria Math" w:cs="Cambria Math"/>
          <w:spacing w:val="-14"/>
          <w:position w:val="9"/>
          <w:sz w:val="21"/>
          <w:szCs w:val="21"/>
        </w:rPr>
        <w:t>100%</w:t>
      </w:r>
    </w:p>
    <w:p w14:paraId="1AAA05A3">
      <w:pPr>
        <w:spacing w:before="226" w:line="234" w:lineRule="auto"/>
        <w:ind w:left="424"/>
        <w:rPr>
          <w:rFonts w:ascii="宋体" w:hAnsi="宋体" w:eastAsia="宋体" w:cs="宋体"/>
          <w:sz w:val="21"/>
          <w:szCs w:val="21"/>
        </w:rPr>
      </w:pPr>
      <w:r>
        <w:rPr>
          <w:rFonts w:ascii="宋体" w:hAnsi="宋体" w:eastAsia="宋体" w:cs="宋体"/>
          <w:sz w:val="21"/>
          <w:szCs w:val="21"/>
        </w:rPr>
        <w:t>新社区评分标准：公共交通站点</w:t>
      </w:r>
      <w:r>
        <w:rPr>
          <w:rFonts w:ascii="Times New Roman" w:hAnsi="Times New Roman" w:eastAsia="Times New Roman" w:cs="Times New Roman"/>
          <w:sz w:val="21"/>
          <w:szCs w:val="21"/>
        </w:rPr>
        <w:t>500</w:t>
      </w:r>
      <w:r>
        <w:rPr>
          <w:rFonts w:ascii="宋体" w:hAnsi="宋体" w:eastAsia="宋体" w:cs="宋体"/>
          <w:sz w:val="21"/>
          <w:szCs w:val="21"/>
        </w:rPr>
        <w:t>米覆盖率=</w:t>
      </w:r>
      <w:r>
        <w:rPr>
          <w:rFonts w:ascii="Times New Roman" w:hAnsi="Times New Roman" w:eastAsia="Times New Roman" w:cs="Times New Roman"/>
          <w:sz w:val="21"/>
          <w:szCs w:val="21"/>
        </w:rPr>
        <w:t>100</w:t>
      </w:r>
      <w:r>
        <w:rPr>
          <w:rFonts w:ascii="Times New Roman" w:hAnsi="Times New Roman" w:eastAsia="Times New Roman" w:cs="Times New Roman"/>
          <w:spacing w:val="-1"/>
          <w:sz w:val="21"/>
          <w:szCs w:val="21"/>
        </w:rPr>
        <w:t>%</w:t>
      </w:r>
      <w:r>
        <w:rPr>
          <w:rFonts w:ascii="宋体" w:hAnsi="宋体" w:eastAsia="宋体" w:cs="宋体"/>
          <w:spacing w:val="-1"/>
          <w:sz w:val="21"/>
          <w:szCs w:val="21"/>
        </w:rPr>
        <w:t>——</w:t>
      </w:r>
      <w:r>
        <w:rPr>
          <w:rFonts w:ascii="Times New Roman" w:hAnsi="Times New Roman" w:eastAsia="Times New Roman" w:cs="Times New Roman"/>
          <w:spacing w:val="-1"/>
          <w:sz w:val="21"/>
          <w:szCs w:val="21"/>
        </w:rPr>
        <w:t>5</w:t>
      </w:r>
      <w:r>
        <w:rPr>
          <w:rFonts w:ascii="宋体" w:hAnsi="宋体" w:eastAsia="宋体" w:cs="宋体"/>
          <w:spacing w:val="-1"/>
          <w:sz w:val="21"/>
          <w:szCs w:val="21"/>
        </w:rPr>
        <w:t>分</w:t>
      </w:r>
    </w:p>
    <w:p w14:paraId="2682A5B6">
      <w:pPr>
        <w:spacing w:before="45" w:line="214" w:lineRule="auto"/>
        <w:ind w:left="2112"/>
        <w:rPr>
          <w:rFonts w:ascii="宋体" w:hAnsi="宋体" w:eastAsia="宋体" w:cs="宋体"/>
          <w:sz w:val="21"/>
          <w:szCs w:val="21"/>
        </w:rPr>
      </w:pPr>
      <w:r>
        <w:rPr>
          <w:rFonts w:ascii="宋体" w:hAnsi="宋体" w:eastAsia="宋体" w:cs="宋体"/>
          <w:spacing w:val="-2"/>
          <w:sz w:val="21"/>
          <w:szCs w:val="21"/>
        </w:rPr>
        <w:t>公共交通站点</w:t>
      </w:r>
      <w:r>
        <w:rPr>
          <w:rFonts w:ascii="Times New Roman" w:hAnsi="Times New Roman" w:eastAsia="Times New Roman" w:cs="Times New Roman"/>
          <w:spacing w:val="-2"/>
          <w:sz w:val="21"/>
          <w:szCs w:val="21"/>
        </w:rPr>
        <w:t>500</w:t>
      </w:r>
      <w:r>
        <w:rPr>
          <w:rFonts w:ascii="宋体" w:hAnsi="宋体" w:eastAsia="宋体" w:cs="宋体"/>
          <w:spacing w:val="-2"/>
          <w:sz w:val="21"/>
          <w:szCs w:val="21"/>
        </w:rPr>
        <w:t>米覆盖率</w:t>
      </w:r>
      <w:r>
        <w:rPr>
          <w:rFonts w:ascii="Times New Roman" w:hAnsi="Times New Roman" w:eastAsia="Times New Roman" w:cs="Times New Roman"/>
          <w:spacing w:val="-2"/>
          <w:sz w:val="21"/>
          <w:szCs w:val="21"/>
        </w:rPr>
        <w:t>[90%</w:t>
      </w:r>
      <w:r>
        <w:rPr>
          <w:rFonts w:ascii="Times New Roman" w:hAnsi="Times New Roman" w:eastAsia="Times New Roman" w:cs="Times New Roman"/>
          <w:spacing w:val="-11"/>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100%)</w:t>
      </w: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分</w:t>
      </w:r>
    </w:p>
    <w:p w14:paraId="5C02E751">
      <w:pPr>
        <w:spacing w:before="69" w:line="214" w:lineRule="auto"/>
        <w:ind w:left="2112"/>
        <w:rPr>
          <w:rFonts w:ascii="宋体" w:hAnsi="宋体" w:eastAsia="宋体" w:cs="宋体"/>
          <w:sz w:val="21"/>
          <w:szCs w:val="21"/>
        </w:rPr>
      </w:pPr>
      <w:r>
        <w:rPr>
          <w:rFonts w:ascii="宋体" w:hAnsi="宋体" w:eastAsia="宋体" w:cs="宋体"/>
          <w:spacing w:val="-1"/>
          <w:sz w:val="21"/>
          <w:szCs w:val="21"/>
        </w:rPr>
        <w:t>公共交通站点</w:t>
      </w:r>
      <w:r>
        <w:rPr>
          <w:rFonts w:ascii="Times New Roman" w:hAnsi="Times New Roman" w:eastAsia="Times New Roman" w:cs="Times New Roman"/>
          <w:spacing w:val="-1"/>
          <w:sz w:val="21"/>
          <w:szCs w:val="21"/>
        </w:rPr>
        <w:t>500</w:t>
      </w:r>
      <w:r>
        <w:rPr>
          <w:rFonts w:ascii="宋体" w:hAnsi="宋体" w:eastAsia="宋体" w:cs="宋体"/>
          <w:spacing w:val="-1"/>
          <w:sz w:val="21"/>
          <w:szCs w:val="21"/>
        </w:rPr>
        <w:t>米覆盖率</w:t>
      </w:r>
      <w:r>
        <w:rPr>
          <w:rFonts w:ascii="Times New Roman" w:hAnsi="Times New Roman" w:eastAsia="Times New Roman" w:cs="Times New Roman"/>
          <w:spacing w:val="-1"/>
          <w:sz w:val="21"/>
          <w:szCs w:val="21"/>
        </w:rPr>
        <w:t>[85%,90%)</w:t>
      </w: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分</w:t>
      </w:r>
    </w:p>
    <w:p w14:paraId="31492F30">
      <w:pPr>
        <w:pStyle w:val="2"/>
        <w:spacing w:line="311" w:lineRule="auto"/>
      </w:pPr>
    </w:p>
    <w:p w14:paraId="4492F3C4">
      <w:pPr>
        <w:spacing w:before="68" w:line="234" w:lineRule="auto"/>
        <w:rPr>
          <w:rFonts w:ascii="宋体" w:hAnsi="宋体" w:eastAsia="宋体" w:cs="宋体"/>
          <w:sz w:val="21"/>
          <w:szCs w:val="21"/>
        </w:rPr>
      </w:pPr>
      <w:r>
        <w:rPr>
          <w:rFonts w:ascii="Times New Roman" w:hAnsi="Times New Roman" w:eastAsia="Times New Roman" w:cs="Times New Roman"/>
          <w:b/>
          <w:bCs/>
          <w:spacing w:val="-2"/>
          <w:sz w:val="21"/>
          <w:szCs w:val="21"/>
        </w:rPr>
        <w:t>B.7</w:t>
      </w:r>
      <w:r>
        <w:rPr>
          <w:rFonts w:ascii="宋体" w:hAnsi="宋体" w:eastAsia="宋体" w:cs="宋体"/>
          <w:b/>
          <w:bCs/>
          <w:spacing w:val="-2"/>
          <w:sz w:val="21"/>
          <w:szCs w:val="21"/>
        </w:rPr>
        <w:t>、</w:t>
      </w:r>
      <w:r>
        <w:rPr>
          <w:rFonts w:ascii="宋体" w:hAnsi="宋体" w:eastAsia="宋体" w:cs="宋体"/>
          <w:spacing w:val="-52"/>
          <w:sz w:val="21"/>
          <w:szCs w:val="21"/>
        </w:rPr>
        <w:t xml:space="preserve"> </w:t>
      </w:r>
      <w:r>
        <w:rPr>
          <w:rFonts w:ascii="宋体" w:hAnsi="宋体" w:eastAsia="宋体" w:cs="宋体"/>
          <w:b/>
          <w:bCs/>
          <w:spacing w:val="-2"/>
          <w:sz w:val="21"/>
          <w:szCs w:val="21"/>
        </w:rPr>
        <w:t>清洁能源普及率和可再生能源普及率</w:t>
      </w:r>
    </w:p>
    <w:p w14:paraId="6E873179">
      <w:pPr>
        <w:spacing w:before="44" w:line="274" w:lineRule="auto"/>
        <w:ind w:left="3" w:firstLine="420"/>
        <w:jc w:val="both"/>
        <w:rPr>
          <w:rFonts w:ascii="宋体" w:hAnsi="宋体" w:eastAsia="宋体" w:cs="宋体"/>
          <w:sz w:val="21"/>
          <w:szCs w:val="21"/>
        </w:rPr>
      </w:pPr>
      <w:r>
        <w:rPr>
          <w:rFonts w:ascii="宋体" w:hAnsi="宋体" w:eastAsia="宋体" w:cs="宋体"/>
          <w:spacing w:val="-2"/>
          <w:sz w:val="21"/>
          <w:szCs w:val="21"/>
        </w:rPr>
        <w:t>清洁能源普及率是指社区居民使用低污染的化石能源</w:t>
      </w:r>
      <w:r>
        <w:rPr>
          <w:rFonts w:ascii="Times New Roman" w:hAnsi="Times New Roman" w:eastAsia="Times New Roman" w:cs="Times New Roman"/>
          <w:spacing w:val="-2"/>
          <w:sz w:val="21"/>
          <w:szCs w:val="21"/>
        </w:rPr>
        <w:t>(</w:t>
      </w:r>
      <w:r>
        <w:rPr>
          <w:rFonts w:ascii="宋体" w:hAnsi="宋体" w:eastAsia="宋体" w:cs="宋体"/>
          <w:spacing w:val="-2"/>
          <w:sz w:val="21"/>
          <w:szCs w:val="21"/>
        </w:rPr>
        <w:t>如天然气、液化石油气等</w:t>
      </w:r>
      <w:r>
        <w:rPr>
          <w:rFonts w:ascii="Times New Roman" w:hAnsi="Times New Roman" w:eastAsia="Times New Roman" w:cs="Times New Roman"/>
          <w:spacing w:val="-2"/>
          <w:sz w:val="21"/>
          <w:szCs w:val="21"/>
        </w:rPr>
        <w:t>)</w:t>
      </w:r>
      <w:r>
        <w:rPr>
          <w:rFonts w:ascii="宋体" w:hAnsi="宋体" w:eastAsia="宋体" w:cs="宋体"/>
          <w:spacing w:val="-2"/>
          <w:sz w:val="21"/>
          <w:szCs w:val="21"/>
        </w:rPr>
        <w:t>及可再生能源（如</w:t>
      </w:r>
      <w:r>
        <w:rPr>
          <w:rFonts w:ascii="宋体" w:hAnsi="宋体" w:eastAsia="宋体" w:cs="宋体"/>
          <w:spacing w:val="2"/>
          <w:sz w:val="21"/>
          <w:szCs w:val="21"/>
        </w:rPr>
        <w:t xml:space="preserve"> </w:t>
      </w:r>
      <w:r>
        <w:rPr>
          <w:rFonts w:ascii="宋体" w:hAnsi="宋体" w:eastAsia="宋体" w:cs="宋体"/>
          <w:spacing w:val="1"/>
          <w:sz w:val="21"/>
          <w:szCs w:val="21"/>
        </w:rPr>
        <w:t>太阳能）的户数占社区总户数的比例。社区居民如果同时使用了清洁能源和高污染的化石燃料（如燃</w:t>
      </w:r>
      <w:r>
        <w:rPr>
          <w:rFonts w:ascii="宋体" w:hAnsi="宋体" w:eastAsia="宋体" w:cs="宋体"/>
          <w:spacing w:val="8"/>
          <w:sz w:val="21"/>
          <w:szCs w:val="21"/>
        </w:rPr>
        <w:t xml:space="preserve"> </w:t>
      </w:r>
      <w:r>
        <w:rPr>
          <w:rFonts w:ascii="宋体" w:hAnsi="宋体" w:eastAsia="宋体" w:cs="宋体"/>
          <w:spacing w:val="-1"/>
          <w:sz w:val="21"/>
          <w:szCs w:val="21"/>
        </w:rPr>
        <w:t>煤</w:t>
      </w:r>
      <w:r>
        <w:rPr>
          <w:rFonts w:ascii="宋体" w:hAnsi="宋体" w:eastAsia="宋体" w:cs="宋体"/>
          <w:spacing w:val="4"/>
          <w:sz w:val="21"/>
          <w:szCs w:val="21"/>
        </w:rPr>
        <w:t>），</w:t>
      </w:r>
      <w:r>
        <w:rPr>
          <w:rFonts w:ascii="宋体" w:hAnsi="宋体" w:eastAsia="宋体" w:cs="宋体"/>
          <w:spacing w:val="-1"/>
          <w:sz w:val="21"/>
          <w:szCs w:val="21"/>
        </w:rPr>
        <w:t>则不视为使用了清洁能源。</w:t>
      </w:r>
    </w:p>
    <w:p w14:paraId="673304B1">
      <w:pPr>
        <w:spacing w:before="2" w:line="221" w:lineRule="auto"/>
        <w:ind w:left="423"/>
        <w:rPr>
          <w:rFonts w:ascii="宋体" w:hAnsi="宋体" w:eastAsia="宋体" w:cs="宋体"/>
          <w:sz w:val="21"/>
          <w:szCs w:val="21"/>
        </w:rPr>
      </w:pPr>
      <w:r>
        <w:rPr>
          <w:rFonts w:ascii="宋体" w:hAnsi="宋体" w:eastAsia="宋体" w:cs="宋体"/>
          <w:spacing w:val="-3"/>
          <w:sz w:val="21"/>
          <w:szCs w:val="21"/>
        </w:rPr>
        <w:t>清洁能源普及率计算方法如下：</w:t>
      </w:r>
    </w:p>
    <w:p w14:paraId="1C5ED116">
      <w:pPr>
        <w:spacing w:before="215" w:line="164" w:lineRule="auto"/>
        <w:ind w:left="3025"/>
        <w:rPr>
          <w:rFonts w:ascii="宋体" w:hAnsi="宋体" w:eastAsia="宋体" w:cs="宋体"/>
          <w:sz w:val="21"/>
          <w:szCs w:val="21"/>
        </w:rPr>
      </w:pPr>
      <w:r>
        <w:rPr>
          <w:rFonts w:ascii="宋体" w:hAnsi="宋体" w:eastAsia="宋体" w:cs="宋体"/>
          <w:spacing w:val="-1"/>
          <w:sz w:val="21"/>
          <w:szCs w:val="21"/>
        </w:rPr>
        <w:t>社区居民使用清洁能源及可再生能源的户数（户数）</w:t>
      </w:r>
    </w:p>
    <w:p w14:paraId="3366D48D">
      <w:pPr>
        <w:spacing w:before="1" w:line="180" w:lineRule="auto"/>
        <w:ind w:left="4493" w:right="671" w:hanging="3820"/>
        <w:rPr>
          <w:rFonts w:ascii="宋体" w:hAnsi="宋体" w:eastAsia="宋体" w:cs="宋体"/>
          <w:sz w:val="21"/>
          <w:szCs w:val="21"/>
        </w:rPr>
      </w:pPr>
      <w:r>
        <w:rPr>
          <w:rFonts w:ascii="宋体" w:hAnsi="宋体" w:eastAsia="宋体" w:cs="宋体"/>
          <w:spacing w:val="-1"/>
          <w:sz w:val="21"/>
          <w:szCs w:val="21"/>
        </w:rPr>
        <w:t>清洁能源普及率（</w:t>
      </w:r>
      <w:r>
        <w:rPr>
          <w:rFonts w:ascii="Cambria Math" w:hAnsi="Cambria Math" w:eastAsia="Cambria Math" w:cs="Cambria Math"/>
          <w:spacing w:val="-1"/>
          <w:sz w:val="21"/>
          <w:szCs w:val="21"/>
        </w:rPr>
        <w:t>%</w:t>
      </w:r>
      <w:r>
        <w:rPr>
          <w:rFonts w:ascii="宋体" w:hAnsi="宋体" w:eastAsia="宋体" w:cs="宋体"/>
          <w:spacing w:val="-1"/>
          <w:sz w:val="21"/>
          <w:szCs w:val="21"/>
        </w:rPr>
        <w:t>）</w:t>
      </w:r>
      <w:r>
        <w:rPr>
          <w:rFonts w:ascii="宋体" w:hAnsi="宋体" w:eastAsia="宋体" w:cs="宋体"/>
          <w:spacing w:val="-25"/>
          <w:sz w:val="21"/>
          <w:szCs w:val="21"/>
        </w:rPr>
        <w:t xml:space="preserve"> </w:t>
      </w:r>
      <w:r>
        <w:rPr>
          <w:rFonts w:ascii="Cambria Math" w:hAnsi="Cambria Math" w:eastAsia="Cambria Math" w:cs="Cambria Math"/>
          <w:spacing w:val="-1"/>
          <w:sz w:val="21"/>
          <w:szCs w:val="21"/>
        </w:rPr>
        <w:t xml:space="preserve">= </w:t>
      </w:r>
      <w:r>
        <w:rPr>
          <w:rFonts w:ascii="Cambria Math" w:hAnsi="Cambria Math" w:eastAsia="Cambria Math" w:cs="Cambria Math"/>
          <w:strike/>
          <w:spacing w:val="-1"/>
          <w:sz w:val="21"/>
          <w:szCs w:val="21"/>
        </w:rPr>
        <w:t xml:space="preserve">                                                                                                          </w:t>
      </w:r>
      <w:r>
        <w:rPr>
          <w:rFonts w:ascii="Cambria Math" w:hAnsi="Cambria Math" w:eastAsia="Cambria Math" w:cs="Cambria Math"/>
          <w:spacing w:val="18"/>
          <w:sz w:val="21"/>
          <w:szCs w:val="21"/>
        </w:rPr>
        <w:t xml:space="preserve"> </w:t>
      </w:r>
      <w:r>
        <w:rPr>
          <w:rFonts w:ascii="Cambria Math" w:hAnsi="Cambria Math" w:eastAsia="Cambria Math" w:cs="Cambria Math"/>
          <w:spacing w:val="-1"/>
          <w:sz w:val="21"/>
          <w:szCs w:val="21"/>
        </w:rPr>
        <w:t>×</w:t>
      </w:r>
      <w:r>
        <w:rPr>
          <w:rFonts w:ascii="Cambria Math" w:hAnsi="Cambria Math" w:eastAsia="Cambria Math" w:cs="Cambria Math"/>
          <w:spacing w:val="18"/>
          <w:w w:val="101"/>
          <w:sz w:val="21"/>
          <w:szCs w:val="21"/>
        </w:rPr>
        <w:t xml:space="preserve"> </w:t>
      </w:r>
      <w:r>
        <w:rPr>
          <w:rFonts w:ascii="Cambria Math" w:hAnsi="Cambria Math" w:eastAsia="Cambria Math" w:cs="Cambria Math"/>
          <w:spacing w:val="-1"/>
          <w:sz w:val="21"/>
          <w:szCs w:val="21"/>
        </w:rPr>
        <w:t>100%</w:t>
      </w:r>
      <w:r>
        <w:rPr>
          <w:rFonts w:ascii="Cambria Math" w:hAnsi="Cambria Math" w:eastAsia="Cambria Math" w:cs="Cambria Math"/>
          <w:sz w:val="21"/>
          <w:szCs w:val="21"/>
        </w:rPr>
        <w:t xml:space="preserve"> </w:t>
      </w:r>
      <w:r>
        <w:rPr>
          <w:rFonts w:ascii="宋体" w:hAnsi="宋体" w:eastAsia="宋体" w:cs="宋体"/>
          <w:spacing w:val="-3"/>
          <w:sz w:val="21"/>
          <w:szCs w:val="21"/>
        </w:rPr>
        <w:t>社区总户数（户数）</w:t>
      </w:r>
    </w:p>
    <w:p w14:paraId="1498DAED">
      <w:pPr>
        <w:spacing w:before="186" w:line="234" w:lineRule="auto"/>
        <w:ind w:left="422"/>
        <w:rPr>
          <w:rFonts w:ascii="宋体" w:hAnsi="宋体" w:eastAsia="宋体" w:cs="宋体"/>
          <w:sz w:val="21"/>
          <w:szCs w:val="21"/>
        </w:rPr>
      </w:pPr>
      <w:r>
        <w:rPr>
          <w:rFonts w:ascii="宋体" w:hAnsi="宋体" w:eastAsia="宋体" w:cs="宋体"/>
          <w:sz w:val="21"/>
          <w:szCs w:val="21"/>
        </w:rPr>
        <w:t>评分标准：社区清洁能源普及率100</w:t>
      </w:r>
      <w:r>
        <w:rPr>
          <w:rFonts w:ascii="Times New Roman" w:hAnsi="Times New Roman" w:eastAsia="Times New Roman" w:cs="Times New Roman"/>
          <w:sz w:val="21"/>
          <w:szCs w:val="21"/>
        </w:rPr>
        <w:t>%</w:t>
      </w:r>
      <w:r>
        <w:rPr>
          <w:rFonts w:ascii="宋体" w:hAnsi="宋体" w:eastAsia="宋体" w:cs="宋体"/>
          <w:sz w:val="21"/>
          <w:szCs w:val="21"/>
        </w:rPr>
        <w:t>—</w:t>
      </w:r>
      <w:r>
        <w:rPr>
          <w:rFonts w:ascii="宋体" w:hAnsi="宋体" w:eastAsia="宋体" w:cs="宋体"/>
          <w:spacing w:val="-1"/>
          <w:sz w:val="21"/>
          <w:szCs w:val="21"/>
        </w:rPr>
        <w:t>—</w:t>
      </w:r>
      <w:r>
        <w:rPr>
          <w:rFonts w:ascii="Times New Roman" w:hAnsi="Times New Roman" w:eastAsia="Times New Roman" w:cs="Times New Roman"/>
          <w:spacing w:val="-1"/>
          <w:sz w:val="21"/>
          <w:szCs w:val="21"/>
        </w:rPr>
        <w:t>10</w:t>
      </w:r>
      <w:r>
        <w:rPr>
          <w:rFonts w:ascii="宋体" w:hAnsi="宋体" w:eastAsia="宋体" w:cs="宋体"/>
          <w:spacing w:val="-1"/>
          <w:sz w:val="21"/>
          <w:szCs w:val="21"/>
        </w:rPr>
        <w:t>分</w:t>
      </w:r>
    </w:p>
    <w:p w14:paraId="484C86A1">
      <w:pPr>
        <w:spacing w:before="45" w:line="214" w:lineRule="auto"/>
        <w:ind w:left="1476"/>
        <w:rPr>
          <w:rFonts w:ascii="宋体" w:hAnsi="宋体" w:eastAsia="宋体" w:cs="宋体"/>
          <w:sz w:val="21"/>
          <w:szCs w:val="21"/>
        </w:rPr>
      </w:pPr>
      <w:r>
        <w:rPr>
          <w:rFonts w:ascii="宋体" w:hAnsi="宋体" w:eastAsia="宋体" w:cs="宋体"/>
          <w:spacing w:val="-2"/>
          <w:sz w:val="21"/>
          <w:szCs w:val="21"/>
        </w:rPr>
        <w:t>社区清洁能源普及率</w:t>
      </w:r>
      <w:r>
        <w:rPr>
          <w:rFonts w:ascii="Times New Roman" w:hAnsi="Times New Roman" w:eastAsia="Times New Roman" w:cs="Times New Roman"/>
          <w:spacing w:val="-2"/>
          <w:sz w:val="21"/>
          <w:szCs w:val="21"/>
        </w:rPr>
        <w:t>[90%</w:t>
      </w:r>
      <w:r>
        <w:rPr>
          <w:rFonts w:ascii="Times New Roman" w:hAnsi="Times New Roman" w:eastAsia="Times New Roman" w:cs="Times New Roman"/>
          <w:spacing w:val="-12"/>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100% )</w:t>
      </w:r>
      <w:r>
        <w:rPr>
          <w:rFonts w:ascii="宋体" w:hAnsi="宋体" w:eastAsia="宋体" w:cs="宋体"/>
          <w:spacing w:val="-2"/>
          <w:sz w:val="21"/>
          <w:szCs w:val="21"/>
        </w:rPr>
        <w:t>——</w:t>
      </w:r>
      <w:r>
        <w:rPr>
          <w:rFonts w:ascii="Times New Roman" w:hAnsi="Times New Roman" w:eastAsia="Times New Roman" w:cs="Times New Roman"/>
          <w:spacing w:val="-2"/>
          <w:sz w:val="21"/>
          <w:szCs w:val="21"/>
        </w:rPr>
        <w:t>8</w:t>
      </w:r>
      <w:r>
        <w:rPr>
          <w:rFonts w:ascii="宋体" w:hAnsi="宋体" w:eastAsia="宋体" w:cs="宋体"/>
          <w:spacing w:val="-2"/>
          <w:sz w:val="21"/>
          <w:szCs w:val="21"/>
        </w:rPr>
        <w:t>分</w:t>
      </w:r>
    </w:p>
    <w:p w14:paraId="1572C6FF">
      <w:pPr>
        <w:spacing w:before="69" w:line="214" w:lineRule="auto"/>
        <w:ind w:left="1476"/>
        <w:rPr>
          <w:rFonts w:ascii="宋体" w:hAnsi="宋体" w:eastAsia="宋体" w:cs="宋体"/>
          <w:sz w:val="21"/>
          <w:szCs w:val="21"/>
        </w:rPr>
      </w:pPr>
      <w:r>
        <w:rPr>
          <w:rFonts w:ascii="宋体" w:hAnsi="宋体" w:eastAsia="宋体" w:cs="宋体"/>
          <w:spacing w:val="-2"/>
          <w:sz w:val="21"/>
          <w:szCs w:val="21"/>
        </w:rPr>
        <w:t>社区清洁能源普及率</w:t>
      </w:r>
      <w:r>
        <w:rPr>
          <w:rFonts w:ascii="Times New Roman" w:hAnsi="Times New Roman" w:eastAsia="Times New Roman" w:cs="Times New Roman"/>
          <w:spacing w:val="-2"/>
          <w:sz w:val="21"/>
          <w:szCs w:val="21"/>
        </w:rPr>
        <w:t>[80%</w:t>
      </w:r>
      <w:r>
        <w:rPr>
          <w:rFonts w:ascii="Times New Roman" w:hAnsi="Times New Roman" w:eastAsia="Times New Roman" w:cs="Times New Roman"/>
          <w:spacing w:val="-14"/>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90% )</w:t>
      </w:r>
      <w:r>
        <w:rPr>
          <w:rFonts w:ascii="宋体" w:hAnsi="宋体" w:eastAsia="宋体" w:cs="宋体"/>
          <w:spacing w:val="-2"/>
          <w:sz w:val="21"/>
          <w:szCs w:val="21"/>
        </w:rPr>
        <w:t>——</w:t>
      </w:r>
      <w:r>
        <w:rPr>
          <w:rFonts w:ascii="Times New Roman" w:hAnsi="Times New Roman" w:eastAsia="Times New Roman" w:cs="Times New Roman"/>
          <w:spacing w:val="-2"/>
          <w:sz w:val="21"/>
          <w:szCs w:val="21"/>
        </w:rPr>
        <w:t>6</w:t>
      </w:r>
      <w:r>
        <w:rPr>
          <w:rFonts w:ascii="宋体" w:hAnsi="宋体" w:eastAsia="宋体" w:cs="宋体"/>
          <w:spacing w:val="-2"/>
          <w:sz w:val="21"/>
          <w:szCs w:val="21"/>
        </w:rPr>
        <w:t>分</w:t>
      </w:r>
    </w:p>
    <w:p w14:paraId="091CAE6B">
      <w:pPr>
        <w:spacing w:before="69" w:line="214" w:lineRule="auto"/>
        <w:ind w:left="1476"/>
        <w:rPr>
          <w:rFonts w:ascii="宋体" w:hAnsi="宋体" w:eastAsia="宋体" w:cs="宋体"/>
          <w:sz w:val="21"/>
          <w:szCs w:val="21"/>
        </w:rPr>
      </w:pPr>
      <w:r>
        <w:rPr>
          <w:rFonts w:ascii="宋体" w:hAnsi="宋体" w:eastAsia="宋体" w:cs="宋体"/>
          <w:spacing w:val="-2"/>
          <w:sz w:val="21"/>
          <w:szCs w:val="21"/>
        </w:rPr>
        <w:t>社区清洁能源普及率</w:t>
      </w:r>
      <w:r>
        <w:rPr>
          <w:rFonts w:ascii="Times New Roman" w:hAnsi="Times New Roman" w:eastAsia="Times New Roman" w:cs="Times New Roman"/>
          <w:spacing w:val="-2"/>
          <w:sz w:val="21"/>
          <w:szCs w:val="21"/>
        </w:rPr>
        <w:t>[60%</w:t>
      </w:r>
      <w:r>
        <w:rPr>
          <w:rFonts w:ascii="Times New Roman" w:hAnsi="Times New Roman" w:eastAsia="Times New Roman" w:cs="Times New Roman"/>
          <w:spacing w:val="-14"/>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80% )</w:t>
      </w:r>
      <w:r>
        <w:rPr>
          <w:rFonts w:ascii="宋体" w:hAnsi="宋体" w:eastAsia="宋体" w:cs="宋体"/>
          <w:spacing w:val="-2"/>
          <w:sz w:val="21"/>
          <w:szCs w:val="21"/>
        </w:rPr>
        <w:t>——</w:t>
      </w:r>
      <w:r>
        <w:rPr>
          <w:rFonts w:ascii="Times New Roman" w:hAnsi="Times New Roman" w:eastAsia="Times New Roman" w:cs="Times New Roman"/>
          <w:spacing w:val="-2"/>
          <w:sz w:val="21"/>
          <w:szCs w:val="21"/>
        </w:rPr>
        <w:t>4</w:t>
      </w:r>
      <w:r>
        <w:rPr>
          <w:rFonts w:ascii="宋体" w:hAnsi="宋体" w:eastAsia="宋体" w:cs="宋体"/>
          <w:spacing w:val="-2"/>
          <w:sz w:val="21"/>
          <w:szCs w:val="21"/>
        </w:rPr>
        <w:t>分</w:t>
      </w:r>
    </w:p>
    <w:p w14:paraId="2F8A3EDA">
      <w:pPr>
        <w:spacing w:before="69" w:line="285" w:lineRule="auto"/>
        <w:ind w:left="362" w:right="4472" w:firstLine="1114"/>
        <w:rPr>
          <w:rFonts w:ascii="宋体" w:hAnsi="宋体" w:eastAsia="宋体" w:cs="宋体"/>
          <w:sz w:val="18"/>
          <w:szCs w:val="18"/>
        </w:rPr>
      </w:pPr>
      <w:r>
        <w:rPr>
          <w:rFonts w:ascii="宋体" w:hAnsi="宋体" w:eastAsia="宋体" w:cs="宋体"/>
          <w:spacing w:val="-1"/>
          <w:sz w:val="21"/>
          <w:szCs w:val="21"/>
        </w:rPr>
        <w:t>社区清洁能源普及率</w:t>
      </w:r>
      <w:r>
        <w:rPr>
          <w:rFonts w:ascii="Times New Roman" w:hAnsi="Times New Roman" w:eastAsia="Times New Roman" w:cs="Times New Roman"/>
          <w:spacing w:val="-1"/>
          <w:sz w:val="21"/>
          <w:szCs w:val="21"/>
        </w:rPr>
        <w:t>[0,60% )</w:t>
      </w: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分</w:t>
      </w:r>
      <w:r>
        <w:rPr>
          <w:rFonts w:ascii="宋体" w:hAnsi="宋体" w:eastAsia="宋体" w:cs="宋体"/>
          <w:spacing w:val="10"/>
          <w:sz w:val="21"/>
          <w:szCs w:val="21"/>
        </w:rPr>
        <w:t xml:space="preserve"> </w:t>
      </w:r>
      <w:r>
        <w:rPr>
          <w:rFonts w:ascii="宋体" w:hAnsi="宋体" w:eastAsia="宋体" w:cs="宋体"/>
          <w:spacing w:val="-2"/>
          <w:sz w:val="18"/>
          <w:szCs w:val="18"/>
        </w:rPr>
        <w:t>注：该指标适用于对城镇社区的评价。</w:t>
      </w:r>
    </w:p>
    <w:p w14:paraId="456675FD">
      <w:pPr>
        <w:spacing w:line="285" w:lineRule="auto"/>
        <w:rPr>
          <w:rFonts w:ascii="宋体" w:hAnsi="宋体" w:eastAsia="宋体" w:cs="宋体"/>
          <w:sz w:val="18"/>
          <w:szCs w:val="18"/>
        </w:rPr>
        <w:sectPr>
          <w:headerReference r:id="rId34" w:type="default"/>
          <w:footerReference r:id="rId35" w:type="default"/>
          <w:pgSz w:w="11907" w:h="16839"/>
          <w:pgMar w:top="1205" w:right="1298" w:bottom="1648" w:left="1308" w:header="880" w:footer="1446" w:gutter="0"/>
          <w:cols w:space="720" w:num="1"/>
        </w:sectPr>
      </w:pPr>
    </w:p>
    <w:p w14:paraId="5E7A73DC">
      <w:pPr>
        <w:spacing w:before="24" w:line="276" w:lineRule="auto"/>
        <w:ind w:left="4" w:right="907" w:firstLine="420"/>
        <w:jc w:val="both"/>
        <w:rPr>
          <w:rFonts w:ascii="宋体" w:hAnsi="宋体" w:eastAsia="宋体" w:cs="宋体"/>
          <w:sz w:val="21"/>
          <w:szCs w:val="21"/>
        </w:rPr>
      </w:pPr>
      <w:r>
        <w:rPr>
          <w:rFonts w:ascii="宋体" w:hAnsi="宋体" w:eastAsia="宋体" w:cs="宋体"/>
          <w:spacing w:val="1"/>
          <w:sz w:val="21"/>
          <w:szCs w:val="21"/>
        </w:rPr>
        <w:t>可再生能源普及率是指使用如风能、太阳能、沼气、地源热泵等可再生能源的农户数占农村社区</w:t>
      </w:r>
      <w:r>
        <w:rPr>
          <w:rFonts w:ascii="宋体" w:hAnsi="宋体" w:eastAsia="宋体" w:cs="宋体"/>
          <w:spacing w:val="5"/>
          <w:sz w:val="21"/>
          <w:szCs w:val="21"/>
        </w:rPr>
        <w:t xml:space="preserve"> </w:t>
      </w:r>
      <w:r>
        <w:rPr>
          <w:rFonts w:ascii="宋体" w:hAnsi="宋体" w:eastAsia="宋体" w:cs="宋体"/>
          <w:spacing w:val="-3"/>
          <w:sz w:val="21"/>
          <w:szCs w:val="21"/>
        </w:rPr>
        <w:t>总户数的比例。不经过处理、加工，直接焚烧秸秆的</w:t>
      </w:r>
      <w:r>
        <w:rPr>
          <w:rFonts w:ascii="宋体" w:hAnsi="宋体" w:eastAsia="宋体" w:cs="宋体"/>
          <w:spacing w:val="-4"/>
          <w:sz w:val="21"/>
          <w:szCs w:val="21"/>
        </w:rPr>
        <w:t>活动不计入评价范围内。可再生能源普及率计算方</w:t>
      </w:r>
      <w:r>
        <w:rPr>
          <w:rFonts w:ascii="宋体" w:hAnsi="宋体" w:eastAsia="宋体" w:cs="宋体"/>
          <w:sz w:val="21"/>
          <w:szCs w:val="21"/>
        </w:rPr>
        <w:t xml:space="preserve"> </w:t>
      </w:r>
      <w:r>
        <w:rPr>
          <w:rFonts w:ascii="宋体" w:hAnsi="宋体" w:eastAsia="宋体" w:cs="宋体"/>
          <w:spacing w:val="-2"/>
          <w:sz w:val="21"/>
          <w:szCs w:val="21"/>
        </w:rPr>
        <w:t>法如下：</w:t>
      </w:r>
    </w:p>
    <w:p w14:paraId="134A07EA">
      <w:pPr>
        <w:spacing w:before="148" w:line="556" w:lineRule="exact"/>
        <w:ind w:left="1515"/>
        <w:rPr>
          <w:rFonts w:ascii="Cambria Math" w:hAnsi="Cambria Math" w:eastAsia="Cambria Math" w:cs="Cambria Math"/>
          <w:sz w:val="21"/>
          <w:szCs w:val="21"/>
        </w:rPr>
      </w:pPr>
      <w:r>
        <w:rPr>
          <w:rFonts w:ascii="宋体" w:hAnsi="宋体" w:eastAsia="宋体" w:cs="宋体"/>
          <w:spacing w:val="-3"/>
          <w:position w:val="8"/>
          <w:sz w:val="21"/>
          <w:szCs w:val="21"/>
        </w:rPr>
        <w:t>可再生能源普及率（</w:t>
      </w:r>
      <w:r>
        <w:rPr>
          <w:rFonts w:ascii="Cambria Math" w:hAnsi="Cambria Math" w:eastAsia="Cambria Math" w:cs="Cambria Math"/>
          <w:spacing w:val="-3"/>
          <w:position w:val="8"/>
          <w:sz w:val="21"/>
          <w:szCs w:val="21"/>
        </w:rPr>
        <w:t>%</w:t>
      </w:r>
      <w:r>
        <w:rPr>
          <w:rFonts w:ascii="宋体" w:hAnsi="宋体" w:eastAsia="宋体" w:cs="宋体"/>
          <w:spacing w:val="-3"/>
          <w:position w:val="8"/>
          <w:sz w:val="21"/>
          <w:szCs w:val="21"/>
        </w:rPr>
        <w:t>）</w:t>
      </w:r>
      <w:r>
        <w:rPr>
          <w:rFonts w:ascii="宋体" w:hAnsi="宋体" w:eastAsia="宋体" w:cs="宋体"/>
          <w:spacing w:val="-34"/>
          <w:position w:val="8"/>
          <w:sz w:val="21"/>
          <w:szCs w:val="21"/>
        </w:rPr>
        <w:t xml:space="preserve"> </w:t>
      </w:r>
      <w:r>
        <w:rPr>
          <w:rFonts w:ascii="Cambria Math" w:hAnsi="Cambria Math" w:eastAsia="Cambria Math" w:cs="Cambria Math"/>
          <w:spacing w:val="-3"/>
          <w:position w:val="8"/>
          <w:sz w:val="21"/>
          <w:szCs w:val="21"/>
        </w:rPr>
        <w:t>=</w:t>
      </w:r>
      <w:r>
        <w:rPr>
          <w:rFonts w:ascii="Cambria Math" w:hAnsi="Cambria Math" w:eastAsia="Cambria Math" w:cs="Cambria Math"/>
          <w:spacing w:val="21"/>
          <w:w w:val="101"/>
          <w:position w:val="8"/>
          <w:sz w:val="21"/>
          <w:szCs w:val="21"/>
        </w:rPr>
        <w:t xml:space="preserve"> </w:t>
      </w:r>
      <w:r>
        <w:rPr>
          <w:rFonts w:ascii="宋体" w:hAnsi="宋体" w:eastAsia="宋体" w:cs="宋体"/>
          <w:spacing w:val="-3"/>
          <w:position w:val="23"/>
          <w:sz w:val="21"/>
          <w:szCs w:val="21"/>
        </w:rPr>
        <w:t>使用</w:t>
      </w:r>
      <w:r>
        <w:fldChar w:fldCharType="begin"/>
      </w:r>
      <w:r>
        <w:instrText xml:space="preserve">EQ \* jc3 \* hps21 \o\al(\s\up 7(</w:instrText>
      </w:r>
      <w:r>
        <w:rPr>
          <w:rFonts w:ascii="宋体" w:hAnsi="宋体" w:eastAsia="宋体" w:cs="宋体"/>
          <w:position w:val="9"/>
          <w:sz w:val="21"/>
          <w:szCs w:val="21"/>
        </w:rPr>
        <w:instrText xml:space="preserve">可再生能源的</w:instrText>
      </w:r>
      <w:r>
        <w:instrText xml:space="preserve">),</w:instrText>
      </w:r>
      <w:r>
        <w:rPr>
          <w:rFonts w:ascii="宋体" w:hAnsi="宋体" w:eastAsia="宋体" w:cs="宋体"/>
          <w:w w:val="109"/>
          <w:position w:val="-10"/>
          <w:sz w:val="21"/>
          <w:szCs w:val="21"/>
        </w:rPr>
        <w:instrText xml:space="preserve">社区总户数</w:instrText>
      </w:r>
      <w:r>
        <w:instrText xml:space="preserve">)</w:instrText>
      </w:r>
      <w:r>
        <w:fldChar w:fldCharType="end"/>
      </w:r>
      <w:r>
        <w:rPr>
          <w:rFonts w:ascii="宋体" w:hAnsi="宋体" w:eastAsia="宋体" w:cs="宋体"/>
          <w:spacing w:val="-3"/>
          <w:position w:val="23"/>
          <w:sz w:val="21"/>
          <w:szCs w:val="21"/>
        </w:rPr>
        <w:t>户</w:t>
      </w:r>
      <w:r>
        <w:rPr>
          <w:rFonts w:ascii="宋体" w:hAnsi="宋体" w:eastAsia="宋体" w:cs="宋体"/>
          <w:spacing w:val="-15"/>
          <w:w w:val="25"/>
          <w:position w:val="-10"/>
          <w:sz w:val="21"/>
          <w:szCs w:val="21"/>
        </w:rPr>
        <w:t>（</w:t>
      </w:r>
      <w:r>
        <w:fldChar w:fldCharType="begin"/>
      </w:r>
      <w:r>
        <w:instrText xml:space="preserve">EQ \* jc3 \* hps21 \o\al(\s\up 7(</w:instrText>
      </w:r>
      <w:r>
        <w:rPr>
          <w:rFonts w:ascii="宋体" w:hAnsi="宋体" w:eastAsia="宋体" w:cs="宋体"/>
          <w:w w:val="99"/>
          <w:position w:val="9"/>
          <w:sz w:val="21"/>
          <w:szCs w:val="21"/>
        </w:rPr>
        <w:instrText xml:space="preserve">数</w:instrText>
      </w:r>
      <w:r>
        <w:instrText xml:space="preserve">),</w:instrText>
      </w:r>
      <w:r>
        <w:rPr>
          <w:rFonts w:ascii="宋体" w:hAnsi="宋体" w:eastAsia="宋体" w:cs="宋体"/>
          <w:w w:val="74"/>
          <w:position w:val="-10"/>
          <w:sz w:val="21"/>
          <w:szCs w:val="21"/>
        </w:rPr>
        <w:instrText xml:space="preserve">户数</w:instrText>
      </w:r>
      <w:r>
        <w:instrText xml:space="preserve">)</w:instrText>
      </w:r>
      <w:r>
        <w:fldChar w:fldCharType="end"/>
      </w:r>
      <w:r>
        <w:rPr>
          <w:rFonts w:ascii="宋体" w:hAnsi="宋体" w:eastAsia="宋体" w:cs="宋体"/>
          <w:spacing w:val="-15"/>
          <w:w w:val="25"/>
          <w:position w:val="23"/>
          <w:sz w:val="21"/>
          <w:szCs w:val="21"/>
        </w:rPr>
        <w:t>（</w:t>
      </w:r>
      <w:r>
        <w:rPr>
          <w:rFonts w:ascii="宋体" w:hAnsi="宋体" w:eastAsia="宋体" w:cs="宋体"/>
          <w:spacing w:val="-15"/>
          <w:w w:val="25"/>
          <w:position w:val="-10"/>
          <w:sz w:val="21"/>
          <w:szCs w:val="21"/>
        </w:rPr>
        <w:t>）</w:t>
      </w:r>
      <w:r>
        <w:rPr>
          <w:rFonts w:ascii="宋体" w:hAnsi="宋体" w:eastAsia="宋体" w:cs="宋体"/>
          <w:spacing w:val="-3"/>
          <w:position w:val="23"/>
          <w:sz w:val="21"/>
          <w:szCs w:val="21"/>
        </w:rPr>
        <w:t>户数）</w:t>
      </w:r>
      <w:r>
        <w:rPr>
          <w:rFonts w:ascii="宋体" w:hAnsi="宋体" w:eastAsia="宋体" w:cs="宋体"/>
          <w:spacing w:val="-40"/>
          <w:position w:val="23"/>
          <w:sz w:val="21"/>
          <w:szCs w:val="21"/>
        </w:rPr>
        <w:t xml:space="preserve"> </w:t>
      </w:r>
      <w:r>
        <w:rPr>
          <w:rFonts w:ascii="Cambria Math" w:hAnsi="Cambria Math" w:eastAsia="Cambria Math" w:cs="Cambria Math"/>
          <w:spacing w:val="-3"/>
          <w:position w:val="8"/>
          <w:sz w:val="21"/>
          <w:szCs w:val="21"/>
        </w:rPr>
        <w:t>×</w:t>
      </w:r>
      <w:r>
        <w:rPr>
          <w:rFonts w:ascii="Cambria Math" w:hAnsi="Cambria Math" w:eastAsia="Cambria Math" w:cs="Cambria Math"/>
          <w:spacing w:val="18"/>
          <w:position w:val="8"/>
          <w:sz w:val="21"/>
          <w:szCs w:val="21"/>
        </w:rPr>
        <w:t xml:space="preserve"> </w:t>
      </w:r>
      <w:r>
        <w:rPr>
          <w:rFonts w:ascii="Cambria Math" w:hAnsi="Cambria Math" w:eastAsia="Cambria Math" w:cs="Cambria Math"/>
          <w:spacing w:val="-3"/>
          <w:position w:val="8"/>
          <w:sz w:val="21"/>
          <w:szCs w:val="21"/>
        </w:rPr>
        <w:t>1</w:t>
      </w:r>
      <w:r>
        <w:rPr>
          <w:rFonts w:ascii="Cambria Math" w:hAnsi="Cambria Math" w:eastAsia="Cambria Math" w:cs="Cambria Math"/>
          <w:spacing w:val="-4"/>
          <w:position w:val="8"/>
          <w:sz w:val="21"/>
          <w:szCs w:val="21"/>
        </w:rPr>
        <w:t>00%</w:t>
      </w:r>
    </w:p>
    <w:p w14:paraId="13FF7C79">
      <w:pPr>
        <w:spacing w:before="226" w:line="234" w:lineRule="auto"/>
        <w:ind w:left="422"/>
        <w:rPr>
          <w:rFonts w:ascii="宋体" w:hAnsi="宋体" w:eastAsia="宋体" w:cs="宋体"/>
          <w:sz w:val="21"/>
          <w:szCs w:val="21"/>
        </w:rPr>
      </w:pPr>
      <w:r>
        <w:rPr>
          <w:rFonts w:ascii="宋体" w:hAnsi="宋体" w:eastAsia="宋体" w:cs="宋体"/>
          <w:spacing w:val="-1"/>
          <w:sz w:val="21"/>
          <w:szCs w:val="21"/>
        </w:rPr>
        <w:t>评分标准：可再生能源普及率100</w:t>
      </w:r>
      <w:r>
        <w:rPr>
          <w:rFonts w:ascii="Times New Roman" w:hAnsi="Times New Roman" w:eastAsia="Times New Roman" w:cs="Times New Roman"/>
          <w:spacing w:val="-1"/>
          <w:sz w:val="21"/>
          <w:szCs w:val="21"/>
        </w:rPr>
        <w:t>%</w:t>
      </w:r>
      <w:r>
        <w:rPr>
          <w:rFonts w:ascii="宋体" w:hAnsi="宋体" w:eastAsia="宋体" w:cs="宋体"/>
          <w:spacing w:val="-1"/>
          <w:sz w:val="21"/>
          <w:szCs w:val="21"/>
        </w:rPr>
        <w:t>——</w:t>
      </w:r>
      <w:r>
        <w:rPr>
          <w:rFonts w:ascii="Times New Roman" w:hAnsi="Times New Roman" w:eastAsia="Times New Roman" w:cs="Times New Roman"/>
          <w:spacing w:val="-1"/>
          <w:sz w:val="21"/>
          <w:szCs w:val="21"/>
        </w:rPr>
        <w:t>10</w:t>
      </w:r>
      <w:r>
        <w:rPr>
          <w:rFonts w:ascii="宋体" w:hAnsi="宋体" w:eastAsia="宋体" w:cs="宋体"/>
          <w:spacing w:val="-1"/>
          <w:sz w:val="21"/>
          <w:szCs w:val="21"/>
        </w:rPr>
        <w:t>分</w:t>
      </w:r>
    </w:p>
    <w:p w14:paraId="192169F5">
      <w:pPr>
        <w:spacing w:before="44" w:line="214" w:lineRule="auto"/>
        <w:ind w:left="1476"/>
        <w:rPr>
          <w:rFonts w:ascii="宋体" w:hAnsi="宋体" w:eastAsia="宋体" w:cs="宋体"/>
          <w:sz w:val="21"/>
          <w:szCs w:val="21"/>
        </w:rPr>
      </w:pPr>
      <w:r>
        <w:rPr>
          <w:rFonts w:ascii="宋体" w:hAnsi="宋体" w:eastAsia="宋体" w:cs="宋体"/>
          <w:spacing w:val="-2"/>
          <w:sz w:val="21"/>
          <w:szCs w:val="21"/>
        </w:rPr>
        <w:t>可再生能源普及率</w:t>
      </w:r>
      <w:r>
        <w:rPr>
          <w:rFonts w:ascii="Times New Roman" w:hAnsi="Times New Roman" w:eastAsia="Times New Roman" w:cs="Times New Roman"/>
          <w:spacing w:val="-2"/>
          <w:sz w:val="21"/>
          <w:szCs w:val="21"/>
        </w:rPr>
        <w:t>[90%</w:t>
      </w:r>
      <w:r>
        <w:rPr>
          <w:rFonts w:ascii="Times New Roman" w:hAnsi="Times New Roman" w:eastAsia="Times New Roman" w:cs="Times New Roman"/>
          <w:spacing w:val="-13"/>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100% )</w:t>
      </w:r>
      <w:r>
        <w:rPr>
          <w:rFonts w:ascii="宋体" w:hAnsi="宋体" w:eastAsia="宋体" w:cs="宋体"/>
          <w:spacing w:val="-2"/>
          <w:sz w:val="21"/>
          <w:szCs w:val="21"/>
        </w:rPr>
        <w:t>——</w:t>
      </w:r>
      <w:r>
        <w:rPr>
          <w:rFonts w:ascii="Times New Roman" w:hAnsi="Times New Roman" w:eastAsia="Times New Roman" w:cs="Times New Roman"/>
          <w:spacing w:val="-2"/>
          <w:sz w:val="21"/>
          <w:szCs w:val="21"/>
        </w:rPr>
        <w:t>8</w:t>
      </w:r>
      <w:r>
        <w:rPr>
          <w:rFonts w:ascii="宋体" w:hAnsi="宋体" w:eastAsia="宋体" w:cs="宋体"/>
          <w:spacing w:val="-2"/>
          <w:sz w:val="21"/>
          <w:szCs w:val="21"/>
        </w:rPr>
        <w:t>分</w:t>
      </w:r>
    </w:p>
    <w:p w14:paraId="402A8BD1">
      <w:pPr>
        <w:spacing w:before="69" w:line="214" w:lineRule="auto"/>
        <w:ind w:left="1476"/>
        <w:rPr>
          <w:rFonts w:ascii="宋体" w:hAnsi="宋体" w:eastAsia="宋体" w:cs="宋体"/>
          <w:sz w:val="21"/>
          <w:szCs w:val="21"/>
        </w:rPr>
      </w:pPr>
      <w:r>
        <w:rPr>
          <w:rFonts w:ascii="宋体" w:hAnsi="宋体" w:eastAsia="宋体" w:cs="宋体"/>
          <w:spacing w:val="-2"/>
          <w:sz w:val="21"/>
          <w:szCs w:val="21"/>
        </w:rPr>
        <w:t>可再生能源普及率</w:t>
      </w:r>
      <w:r>
        <w:rPr>
          <w:rFonts w:ascii="Times New Roman" w:hAnsi="Times New Roman" w:eastAsia="Times New Roman" w:cs="Times New Roman"/>
          <w:spacing w:val="-2"/>
          <w:sz w:val="21"/>
          <w:szCs w:val="21"/>
        </w:rPr>
        <w:t>[80%</w:t>
      </w:r>
      <w:r>
        <w:rPr>
          <w:rFonts w:ascii="Times New Roman" w:hAnsi="Times New Roman" w:eastAsia="Times New Roman" w:cs="Times New Roman"/>
          <w:spacing w:val="-16"/>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90% )</w:t>
      </w:r>
      <w:r>
        <w:rPr>
          <w:rFonts w:ascii="宋体" w:hAnsi="宋体" w:eastAsia="宋体" w:cs="宋体"/>
          <w:spacing w:val="-2"/>
          <w:sz w:val="21"/>
          <w:szCs w:val="21"/>
        </w:rPr>
        <w:t>——</w:t>
      </w:r>
      <w:r>
        <w:rPr>
          <w:rFonts w:ascii="Times New Roman" w:hAnsi="Times New Roman" w:eastAsia="Times New Roman" w:cs="Times New Roman"/>
          <w:spacing w:val="-2"/>
          <w:sz w:val="21"/>
          <w:szCs w:val="21"/>
        </w:rPr>
        <w:t>6</w:t>
      </w:r>
      <w:r>
        <w:rPr>
          <w:rFonts w:ascii="宋体" w:hAnsi="宋体" w:eastAsia="宋体" w:cs="宋体"/>
          <w:spacing w:val="-2"/>
          <w:sz w:val="21"/>
          <w:szCs w:val="21"/>
        </w:rPr>
        <w:t>分</w:t>
      </w:r>
    </w:p>
    <w:p w14:paraId="3E3A88E2">
      <w:pPr>
        <w:spacing w:before="68" w:line="214" w:lineRule="auto"/>
        <w:ind w:left="1476"/>
        <w:rPr>
          <w:rFonts w:ascii="宋体" w:hAnsi="宋体" w:eastAsia="宋体" w:cs="宋体"/>
          <w:sz w:val="21"/>
          <w:szCs w:val="21"/>
        </w:rPr>
      </w:pPr>
      <w:r>
        <w:rPr>
          <w:rFonts w:ascii="宋体" w:hAnsi="宋体" w:eastAsia="宋体" w:cs="宋体"/>
          <w:spacing w:val="-2"/>
          <w:sz w:val="21"/>
          <w:szCs w:val="21"/>
        </w:rPr>
        <w:t>可再生能源普及率</w:t>
      </w:r>
      <w:r>
        <w:rPr>
          <w:rFonts w:ascii="Times New Roman" w:hAnsi="Times New Roman" w:eastAsia="Times New Roman" w:cs="Times New Roman"/>
          <w:spacing w:val="-2"/>
          <w:sz w:val="21"/>
          <w:szCs w:val="21"/>
        </w:rPr>
        <w:t>[60%</w:t>
      </w:r>
      <w:r>
        <w:rPr>
          <w:rFonts w:ascii="Times New Roman" w:hAnsi="Times New Roman" w:eastAsia="Times New Roman" w:cs="Times New Roman"/>
          <w:spacing w:val="-16"/>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80% )</w:t>
      </w:r>
      <w:r>
        <w:rPr>
          <w:rFonts w:ascii="宋体" w:hAnsi="宋体" w:eastAsia="宋体" w:cs="宋体"/>
          <w:spacing w:val="-2"/>
          <w:sz w:val="21"/>
          <w:szCs w:val="21"/>
        </w:rPr>
        <w:t>——</w:t>
      </w:r>
      <w:r>
        <w:rPr>
          <w:rFonts w:ascii="Times New Roman" w:hAnsi="Times New Roman" w:eastAsia="Times New Roman" w:cs="Times New Roman"/>
          <w:spacing w:val="-2"/>
          <w:sz w:val="21"/>
          <w:szCs w:val="21"/>
        </w:rPr>
        <w:t>4</w:t>
      </w:r>
      <w:r>
        <w:rPr>
          <w:rFonts w:ascii="宋体" w:hAnsi="宋体" w:eastAsia="宋体" w:cs="宋体"/>
          <w:spacing w:val="-2"/>
          <w:sz w:val="21"/>
          <w:szCs w:val="21"/>
        </w:rPr>
        <w:t>分</w:t>
      </w:r>
    </w:p>
    <w:p w14:paraId="1C33F31A">
      <w:pPr>
        <w:spacing w:before="70" w:line="285" w:lineRule="auto"/>
        <w:ind w:left="362" w:right="5587" w:firstLine="1114"/>
        <w:rPr>
          <w:rFonts w:ascii="宋体" w:hAnsi="宋体" w:eastAsia="宋体" w:cs="宋体"/>
          <w:sz w:val="18"/>
          <w:szCs w:val="18"/>
        </w:rPr>
      </w:pPr>
      <w:r>
        <w:rPr>
          <w:rFonts w:ascii="宋体" w:hAnsi="宋体" w:eastAsia="宋体" w:cs="宋体"/>
          <w:spacing w:val="-1"/>
          <w:sz w:val="21"/>
          <w:szCs w:val="21"/>
        </w:rPr>
        <w:t>可再生能源普及率</w:t>
      </w:r>
      <w:r>
        <w:rPr>
          <w:rFonts w:ascii="Times New Roman" w:hAnsi="Times New Roman" w:eastAsia="Times New Roman" w:cs="Times New Roman"/>
          <w:spacing w:val="-1"/>
          <w:sz w:val="21"/>
          <w:szCs w:val="21"/>
        </w:rPr>
        <w:t>[0,60% )</w:t>
      </w: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分</w:t>
      </w:r>
      <w:r>
        <w:rPr>
          <w:rFonts w:ascii="宋体" w:hAnsi="宋体" w:eastAsia="宋体" w:cs="宋体"/>
          <w:spacing w:val="11"/>
          <w:sz w:val="21"/>
          <w:szCs w:val="21"/>
        </w:rPr>
        <w:t xml:space="preserve"> </w:t>
      </w:r>
      <w:r>
        <w:rPr>
          <w:rFonts w:ascii="宋体" w:hAnsi="宋体" w:eastAsia="宋体" w:cs="宋体"/>
          <w:spacing w:val="-2"/>
          <w:sz w:val="18"/>
          <w:szCs w:val="18"/>
        </w:rPr>
        <w:t>注：该指标适用于对农村社区的评价。</w:t>
      </w:r>
    </w:p>
    <w:p w14:paraId="793AE932">
      <w:pPr>
        <w:pStyle w:val="2"/>
        <w:spacing w:line="264" w:lineRule="auto"/>
      </w:pPr>
    </w:p>
    <w:p w14:paraId="6495B498">
      <w:pPr>
        <w:spacing w:before="69" w:line="234" w:lineRule="auto"/>
        <w:rPr>
          <w:rFonts w:ascii="宋体" w:hAnsi="宋体" w:eastAsia="宋体" w:cs="宋体"/>
          <w:sz w:val="21"/>
          <w:szCs w:val="21"/>
        </w:rPr>
      </w:pPr>
      <w:r>
        <w:rPr>
          <w:rFonts w:ascii="Times New Roman" w:hAnsi="Times New Roman" w:eastAsia="Times New Roman" w:cs="Times New Roman"/>
          <w:b/>
          <w:bCs/>
          <w:spacing w:val="-3"/>
          <w:sz w:val="21"/>
          <w:szCs w:val="21"/>
        </w:rPr>
        <w:t>B.8</w:t>
      </w:r>
      <w:r>
        <w:rPr>
          <w:rFonts w:ascii="宋体" w:hAnsi="宋体" w:eastAsia="宋体" w:cs="宋体"/>
          <w:b/>
          <w:bCs/>
          <w:spacing w:val="-3"/>
          <w:sz w:val="21"/>
          <w:szCs w:val="21"/>
        </w:rPr>
        <w:t>、</w:t>
      </w:r>
      <w:r>
        <w:rPr>
          <w:rFonts w:ascii="宋体" w:hAnsi="宋体" w:eastAsia="宋体" w:cs="宋体"/>
          <w:spacing w:val="-43"/>
          <w:sz w:val="21"/>
          <w:szCs w:val="21"/>
        </w:rPr>
        <w:t xml:space="preserve"> </w:t>
      </w:r>
      <w:r>
        <w:rPr>
          <w:rFonts w:ascii="宋体" w:hAnsi="宋体" w:eastAsia="宋体" w:cs="宋体"/>
          <w:b/>
          <w:bCs/>
          <w:spacing w:val="-3"/>
          <w:sz w:val="21"/>
          <w:szCs w:val="21"/>
        </w:rPr>
        <w:t>公区绿色照明比例</w:t>
      </w:r>
    </w:p>
    <w:p w14:paraId="335DE0AC">
      <w:pPr>
        <w:spacing w:before="45" w:line="221" w:lineRule="auto"/>
        <w:ind w:left="430"/>
        <w:rPr>
          <w:rFonts w:ascii="宋体" w:hAnsi="宋体" w:eastAsia="宋体" w:cs="宋体"/>
          <w:sz w:val="21"/>
          <w:szCs w:val="21"/>
        </w:rPr>
      </w:pPr>
      <w:r>
        <w:rPr>
          <w:rFonts w:ascii="宋体" w:hAnsi="宋体" w:eastAsia="宋体" w:cs="宋体"/>
          <w:spacing w:val="-2"/>
          <w:sz w:val="21"/>
          <w:szCs w:val="21"/>
        </w:rPr>
        <w:t>照明比例是指公区使用绿色照明灯具</w:t>
      </w:r>
      <w:r>
        <w:rPr>
          <w:rFonts w:ascii="宋体" w:hAnsi="宋体" w:eastAsia="宋体" w:cs="宋体"/>
          <w:spacing w:val="18"/>
          <w:sz w:val="21"/>
          <w:szCs w:val="21"/>
        </w:rPr>
        <w:t>（）</w:t>
      </w:r>
      <w:r>
        <w:rPr>
          <w:rFonts w:ascii="宋体" w:hAnsi="宋体" w:eastAsia="宋体" w:cs="宋体"/>
          <w:spacing w:val="-2"/>
          <w:sz w:val="21"/>
          <w:szCs w:val="21"/>
        </w:rPr>
        <w:t>的数量占社区总照明灯具的比例。</w:t>
      </w:r>
    </w:p>
    <w:p w14:paraId="1C9BA1AC">
      <w:pPr>
        <w:spacing w:before="60" w:line="221" w:lineRule="auto"/>
        <w:ind w:left="425"/>
        <w:rPr>
          <w:rFonts w:ascii="宋体" w:hAnsi="宋体" w:eastAsia="宋体" w:cs="宋体"/>
          <w:sz w:val="21"/>
          <w:szCs w:val="21"/>
        </w:rPr>
      </w:pPr>
      <w:r>
        <w:rPr>
          <w:rFonts w:ascii="宋体" w:hAnsi="宋体" w:eastAsia="宋体" w:cs="宋体"/>
          <w:spacing w:val="-3"/>
          <w:sz w:val="21"/>
          <w:szCs w:val="21"/>
        </w:rPr>
        <w:t>绿色照明比例计算方法如下：</w:t>
      </w:r>
    </w:p>
    <w:p w14:paraId="51AEC65B">
      <w:pPr>
        <w:spacing w:before="215" w:line="557" w:lineRule="exact"/>
        <w:ind w:left="2250"/>
        <w:rPr>
          <w:rFonts w:ascii="Cambria Math" w:hAnsi="Cambria Math" w:eastAsia="Cambria Math" w:cs="Cambria Math"/>
          <w:sz w:val="21"/>
          <w:szCs w:val="21"/>
        </w:rPr>
      </w:pPr>
      <w:r>
        <w:rPr>
          <w:rFonts w:ascii="宋体" w:hAnsi="宋体" w:eastAsia="宋体" w:cs="宋体"/>
          <w:spacing w:val="-4"/>
          <w:position w:val="8"/>
          <w:sz w:val="21"/>
          <w:szCs w:val="21"/>
        </w:rPr>
        <w:t>绿色照明（</w:t>
      </w:r>
      <w:r>
        <w:rPr>
          <w:rFonts w:ascii="Cambria Math" w:hAnsi="Cambria Math" w:eastAsia="Cambria Math" w:cs="Cambria Math"/>
          <w:spacing w:val="-4"/>
          <w:position w:val="8"/>
          <w:sz w:val="21"/>
          <w:szCs w:val="21"/>
        </w:rPr>
        <w:t>%</w:t>
      </w:r>
      <w:r>
        <w:rPr>
          <w:rFonts w:ascii="宋体" w:hAnsi="宋体" w:eastAsia="宋体" w:cs="宋体"/>
          <w:spacing w:val="-4"/>
          <w:position w:val="8"/>
          <w:sz w:val="21"/>
          <w:szCs w:val="21"/>
        </w:rPr>
        <w:t>）</w:t>
      </w:r>
      <w:r>
        <w:rPr>
          <w:rFonts w:ascii="宋体" w:hAnsi="宋体" w:eastAsia="宋体" w:cs="宋体"/>
          <w:spacing w:val="-34"/>
          <w:position w:val="8"/>
          <w:sz w:val="21"/>
          <w:szCs w:val="21"/>
        </w:rPr>
        <w:t xml:space="preserve"> </w:t>
      </w:r>
      <w:r>
        <w:rPr>
          <w:rFonts w:ascii="Cambria Math" w:hAnsi="Cambria Math" w:eastAsia="Cambria Math" w:cs="Cambria Math"/>
          <w:spacing w:val="-4"/>
          <w:position w:val="8"/>
          <w:sz w:val="21"/>
          <w:szCs w:val="21"/>
        </w:rPr>
        <w:t>=</w:t>
      </w:r>
      <w:r>
        <w:rPr>
          <w:rFonts w:ascii="Cambria Math" w:hAnsi="Cambria Math" w:eastAsia="Cambria Math" w:cs="Cambria Math"/>
          <w:spacing w:val="26"/>
          <w:w w:val="101"/>
          <w:position w:val="8"/>
          <w:sz w:val="21"/>
          <w:szCs w:val="21"/>
        </w:rPr>
        <w:t xml:space="preserve"> </w:t>
      </w:r>
      <w:r>
        <w:rPr>
          <w:rFonts w:ascii="宋体" w:hAnsi="宋体" w:eastAsia="宋体" w:cs="宋体"/>
          <w:spacing w:val="-4"/>
          <w:position w:val="23"/>
          <w:sz w:val="21"/>
          <w:szCs w:val="21"/>
        </w:rPr>
        <w:t>公区</w:t>
      </w:r>
      <w:r>
        <w:fldChar w:fldCharType="begin"/>
      </w:r>
      <w:r>
        <w:instrText xml:space="preserve">EQ \* jc3 \* hps21 \o\al(\s\up 7(</w:instrText>
      </w:r>
      <w:r>
        <w:rPr>
          <w:rFonts w:ascii="宋体" w:hAnsi="宋体" w:eastAsia="宋体" w:cs="宋体"/>
          <w:position w:val="9"/>
          <w:sz w:val="21"/>
          <w:szCs w:val="21"/>
        </w:rPr>
        <w:instrText xml:space="preserve">使用绿色照明的</w:instrText>
      </w:r>
      <w:r>
        <w:instrText xml:space="preserve">),</w:instrText>
      </w:r>
      <w:r>
        <w:rPr>
          <w:rFonts w:ascii="宋体" w:hAnsi="宋体" w:eastAsia="宋体" w:cs="宋体"/>
          <w:position w:val="-11"/>
          <w:sz w:val="21"/>
          <w:szCs w:val="21"/>
        </w:rPr>
        <w:instrText xml:space="preserve">社区总照明灯具</w:instrText>
      </w:r>
      <w:r>
        <w:instrText xml:space="preserve">)</w:instrText>
      </w:r>
      <w:r>
        <w:fldChar w:fldCharType="end"/>
      </w:r>
      <w:r>
        <w:rPr>
          <w:rFonts w:ascii="宋体" w:hAnsi="宋体" w:eastAsia="宋体" w:cs="宋体"/>
          <w:spacing w:val="-4"/>
          <w:position w:val="23"/>
          <w:sz w:val="21"/>
          <w:szCs w:val="21"/>
        </w:rPr>
        <w:t>数量</w:t>
      </w:r>
      <w:r>
        <w:rPr>
          <w:rFonts w:ascii="宋体" w:hAnsi="宋体" w:eastAsia="宋体" w:cs="宋体"/>
          <w:spacing w:val="-44"/>
          <w:position w:val="23"/>
          <w:sz w:val="21"/>
          <w:szCs w:val="21"/>
        </w:rPr>
        <w:t xml:space="preserve"> </w:t>
      </w:r>
      <w:r>
        <w:rPr>
          <w:rFonts w:ascii="Cambria Math" w:hAnsi="Cambria Math" w:eastAsia="Cambria Math" w:cs="Cambria Math"/>
          <w:spacing w:val="-4"/>
          <w:position w:val="8"/>
          <w:sz w:val="21"/>
          <w:szCs w:val="21"/>
        </w:rPr>
        <w:t>×</w:t>
      </w:r>
      <w:r>
        <w:rPr>
          <w:rFonts w:ascii="Cambria Math" w:hAnsi="Cambria Math" w:eastAsia="Cambria Math" w:cs="Cambria Math"/>
          <w:spacing w:val="18"/>
          <w:w w:val="101"/>
          <w:position w:val="8"/>
          <w:sz w:val="21"/>
          <w:szCs w:val="21"/>
        </w:rPr>
        <w:t xml:space="preserve"> </w:t>
      </w:r>
      <w:r>
        <w:rPr>
          <w:rFonts w:ascii="Cambria Math" w:hAnsi="Cambria Math" w:eastAsia="Cambria Math" w:cs="Cambria Math"/>
          <w:spacing w:val="-4"/>
          <w:position w:val="8"/>
          <w:sz w:val="21"/>
          <w:szCs w:val="21"/>
        </w:rPr>
        <w:t>100%</w:t>
      </w:r>
    </w:p>
    <w:p w14:paraId="334FA267">
      <w:pPr>
        <w:spacing w:before="225" w:line="214" w:lineRule="auto"/>
        <w:ind w:left="422"/>
        <w:rPr>
          <w:rFonts w:ascii="宋体" w:hAnsi="宋体" w:eastAsia="宋体" w:cs="宋体"/>
          <w:sz w:val="21"/>
          <w:szCs w:val="21"/>
        </w:rPr>
      </w:pPr>
      <w:r>
        <w:rPr>
          <w:rFonts w:ascii="宋体" w:hAnsi="宋体" w:eastAsia="宋体" w:cs="宋体"/>
          <w:spacing w:val="-1"/>
          <w:sz w:val="21"/>
          <w:szCs w:val="21"/>
        </w:rPr>
        <w:t>评分标准：绿色照明率</w:t>
      </w:r>
      <w:r>
        <w:rPr>
          <w:rFonts w:ascii="Times New Roman" w:hAnsi="Times New Roman" w:eastAsia="Times New Roman" w:cs="Times New Roman"/>
          <w:spacing w:val="-1"/>
          <w:sz w:val="21"/>
          <w:szCs w:val="21"/>
        </w:rPr>
        <w:t>[95%</w:t>
      </w:r>
      <w:r>
        <w:rPr>
          <w:rFonts w:ascii="Times New Roman" w:hAnsi="Times New Roman" w:eastAsia="Times New Roman" w:cs="Times New Roman"/>
          <w:spacing w:val="-28"/>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100% )</w:t>
      </w:r>
      <w:r>
        <w:rPr>
          <w:rFonts w:ascii="宋体" w:hAnsi="宋体" w:eastAsia="宋体" w:cs="宋体"/>
          <w:spacing w:val="-2"/>
          <w:sz w:val="21"/>
          <w:szCs w:val="21"/>
        </w:rPr>
        <w:t>——</w:t>
      </w:r>
      <w:r>
        <w:rPr>
          <w:rFonts w:ascii="Times New Roman" w:hAnsi="Times New Roman" w:eastAsia="Times New Roman" w:cs="Times New Roman"/>
          <w:spacing w:val="-2"/>
          <w:sz w:val="21"/>
          <w:szCs w:val="21"/>
        </w:rPr>
        <w:t>5</w:t>
      </w:r>
      <w:r>
        <w:rPr>
          <w:rFonts w:ascii="宋体" w:hAnsi="宋体" w:eastAsia="宋体" w:cs="宋体"/>
          <w:spacing w:val="-2"/>
          <w:sz w:val="21"/>
          <w:szCs w:val="21"/>
        </w:rPr>
        <w:t>分</w:t>
      </w:r>
    </w:p>
    <w:p w14:paraId="5433B914">
      <w:pPr>
        <w:spacing w:before="69" w:line="214" w:lineRule="auto"/>
        <w:ind w:left="1476"/>
        <w:rPr>
          <w:rFonts w:ascii="宋体" w:hAnsi="宋体" w:eastAsia="宋体" w:cs="宋体"/>
          <w:sz w:val="21"/>
          <w:szCs w:val="21"/>
        </w:rPr>
      </w:pPr>
      <w:r>
        <w:rPr>
          <w:rFonts w:ascii="宋体" w:hAnsi="宋体" w:eastAsia="宋体" w:cs="宋体"/>
          <w:spacing w:val="-2"/>
          <w:sz w:val="21"/>
          <w:szCs w:val="21"/>
        </w:rPr>
        <w:t>绿色照明率</w:t>
      </w:r>
      <w:r>
        <w:rPr>
          <w:rFonts w:ascii="Times New Roman" w:hAnsi="Times New Roman" w:eastAsia="Times New Roman" w:cs="Times New Roman"/>
          <w:spacing w:val="-2"/>
          <w:sz w:val="21"/>
          <w:szCs w:val="21"/>
        </w:rPr>
        <w:t>[80%</w:t>
      </w:r>
      <w:r>
        <w:rPr>
          <w:rFonts w:ascii="Times New Roman" w:hAnsi="Times New Roman" w:eastAsia="Times New Roman" w:cs="Times New Roman"/>
          <w:spacing w:val="-21"/>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95% )</w:t>
      </w: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分</w:t>
      </w:r>
    </w:p>
    <w:p w14:paraId="6280EBF9">
      <w:pPr>
        <w:spacing w:before="68" w:line="214" w:lineRule="auto"/>
        <w:ind w:left="1476"/>
        <w:rPr>
          <w:rFonts w:ascii="宋体" w:hAnsi="宋体" w:eastAsia="宋体" w:cs="宋体"/>
          <w:sz w:val="21"/>
          <w:szCs w:val="21"/>
        </w:rPr>
      </w:pPr>
      <w:r>
        <w:rPr>
          <w:rFonts w:ascii="宋体" w:hAnsi="宋体" w:eastAsia="宋体" w:cs="宋体"/>
          <w:spacing w:val="-2"/>
          <w:sz w:val="21"/>
          <w:szCs w:val="21"/>
        </w:rPr>
        <w:t>绿色照明率</w:t>
      </w:r>
      <w:r>
        <w:rPr>
          <w:rFonts w:ascii="Times New Roman" w:hAnsi="Times New Roman" w:eastAsia="Times New Roman" w:cs="Times New Roman"/>
          <w:spacing w:val="-2"/>
          <w:sz w:val="21"/>
          <w:szCs w:val="21"/>
        </w:rPr>
        <w:t>[70%</w:t>
      </w:r>
      <w:r>
        <w:rPr>
          <w:rFonts w:ascii="Times New Roman" w:hAnsi="Times New Roman" w:eastAsia="Times New Roman" w:cs="Times New Roman"/>
          <w:spacing w:val="-22"/>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80% )</w:t>
      </w: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分</w:t>
      </w:r>
    </w:p>
    <w:p w14:paraId="21EEB8AE">
      <w:pPr>
        <w:pStyle w:val="2"/>
        <w:spacing w:line="310" w:lineRule="auto"/>
      </w:pPr>
    </w:p>
    <w:p w14:paraId="7D3C4EA5">
      <w:pPr>
        <w:spacing w:before="69" w:line="234" w:lineRule="auto"/>
        <w:rPr>
          <w:rFonts w:ascii="宋体" w:hAnsi="宋体" w:eastAsia="宋体" w:cs="宋体"/>
          <w:sz w:val="21"/>
          <w:szCs w:val="21"/>
        </w:rPr>
      </w:pPr>
      <w:r>
        <w:rPr>
          <w:rFonts w:ascii="Times New Roman" w:hAnsi="Times New Roman" w:eastAsia="Times New Roman" w:cs="Times New Roman"/>
          <w:b/>
          <w:bCs/>
          <w:spacing w:val="-3"/>
          <w:sz w:val="21"/>
          <w:szCs w:val="21"/>
        </w:rPr>
        <w:t>B.9</w:t>
      </w:r>
      <w:r>
        <w:rPr>
          <w:rFonts w:ascii="宋体" w:hAnsi="宋体" w:eastAsia="宋体" w:cs="宋体"/>
          <w:b/>
          <w:bCs/>
          <w:spacing w:val="-3"/>
          <w:sz w:val="21"/>
          <w:szCs w:val="21"/>
        </w:rPr>
        <w:t>、</w:t>
      </w:r>
      <w:r>
        <w:rPr>
          <w:rFonts w:ascii="宋体" w:hAnsi="宋体" w:eastAsia="宋体" w:cs="宋体"/>
          <w:spacing w:val="-43"/>
          <w:sz w:val="21"/>
          <w:szCs w:val="21"/>
        </w:rPr>
        <w:t xml:space="preserve"> </w:t>
      </w:r>
      <w:r>
        <w:rPr>
          <w:rFonts w:ascii="宋体" w:hAnsi="宋体" w:eastAsia="宋体" w:cs="宋体"/>
          <w:b/>
          <w:bCs/>
          <w:spacing w:val="-3"/>
          <w:sz w:val="21"/>
          <w:szCs w:val="21"/>
        </w:rPr>
        <w:t>非传统水源利用率</w:t>
      </w:r>
    </w:p>
    <w:p w14:paraId="0D115F4C">
      <w:pPr>
        <w:spacing w:before="47" w:line="274" w:lineRule="auto"/>
        <w:ind w:left="2" w:firstLine="424"/>
        <w:rPr>
          <w:rFonts w:ascii="宋体" w:hAnsi="宋体" w:eastAsia="宋体" w:cs="宋体"/>
          <w:sz w:val="21"/>
          <w:szCs w:val="21"/>
        </w:rPr>
      </w:pPr>
      <w:r>
        <w:rPr>
          <w:rFonts w:ascii="宋体" w:hAnsi="宋体" w:eastAsia="宋体" w:cs="宋体"/>
          <w:spacing w:val="-2"/>
          <w:sz w:val="21"/>
          <w:szCs w:val="21"/>
        </w:rPr>
        <w:t>非传统水源利用率是指采用再生水、雨水等非传统水源代替市政供水或地下水供给杂用（如景观、绿化、冲</w:t>
      </w:r>
      <w:r>
        <w:rPr>
          <w:rFonts w:ascii="宋体" w:hAnsi="宋体" w:eastAsia="宋体" w:cs="宋体"/>
          <w:spacing w:val="2"/>
          <w:sz w:val="21"/>
          <w:szCs w:val="21"/>
        </w:rPr>
        <w:t xml:space="preserve"> </w:t>
      </w:r>
      <w:r>
        <w:rPr>
          <w:rFonts w:ascii="宋体" w:hAnsi="宋体" w:eastAsia="宋体" w:cs="宋体"/>
          <w:spacing w:val="-1"/>
          <w:sz w:val="21"/>
          <w:szCs w:val="21"/>
        </w:rPr>
        <w:t>洗路面等）的年用水量占其总用水量的比例。</w:t>
      </w:r>
    </w:p>
    <w:p w14:paraId="3BA90828">
      <w:pPr>
        <w:spacing w:before="1" w:line="219" w:lineRule="auto"/>
        <w:ind w:left="427"/>
        <w:rPr>
          <w:rFonts w:ascii="宋体" w:hAnsi="宋体" w:eastAsia="宋体" w:cs="宋体"/>
          <w:sz w:val="21"/>
          <w:szCs w:val="21"/>
        </w:rPr>
      </w:pPr>
      <w:r>
        <w:rPr>
          <w:rFonts w:ascii="宋体" w:hAnsi="宋体" w:eastAsia="宋体" w:cs="宋体"/>
          <w:spacing w:val="-1"/>
          <w:sz w:val="21"/>
          <w:szCs w:val="21"/>
        </w:rPr>
        <w:t>非传统水源利用率计算方法如下：</w:t>
      </w:r>
    </w:p>
    <w:p w14:paraId="69C72856">
      <w:pPr>
        <w:spacing w:before="202" w:line="226" w:lineRule="auto"/>
        <w:ind w:left="2147"/>
        <w:rPr>
          <w:rFonts w:ascii="Cambria Math" w:hAnsi="Cambria Math" w:eastAsia="Cambria Math" w:cs="Cambria Math"/>
          <w:sz w:val="21"/>
          <w:szCs w:val="21"/>
        </w:rPr>
      </w:pPr>
      <w:r>
        <w:rPr>
          <w:rFonts w:ascii="宋体" w:hAnsi="宋体" w:eastAsia="宋体" w:cs="宋体"/>
          <w:spacing w:val="-4"/>
          <w:sz w:val="21"/>
          <w:szCs w:val="21"/>
        </w:rPr>
        <w:t>非传统水源利用率（</w:t>
      </w:r>
      <w:r>
        <w:rPr>
          <w:rFonts w:ascii="Cambria Math" w:hAnsi="Cambria Math" w:eastAsia="Cambria Math" w:cs="Cambria Math"/>
          <w:spacing w:val="-4"/>
          <w:sz w:val="21"/>
          <w:szCs w:val="21"/>
        </w:rPr>
        <w:t>%</w:t>
      </w:r>
      <w:r>
        <w:rPr>
          <w:rFonts w:ascii="宋体" w:hAnsi="宋体" w:eastAsia="宋体" w:cs="宋体"/>
          <w:spacing w:val="-4"/>
          <w:sz w:val="21"/>
          <w:szCs w:val="21"/>
        </w:rPr>
        <w:t>）</w:t>
      </w:r>
      <w:r>
        <w:rPr>
          <w:rFonts w:ascii="宋体" w:hAnsi="宋体" w:eastAsia="宋体" w:cs="宋体"/>
          <w:spacing w:val="-28"/>
          <w:sz w:val="21"/>
          <w:szCs w:val="21"/>
        </w:rPr>
        <w:t xml:space="preserve"> </w:t>
      </w:r>
      <w:r>
        <w:rPr>
          <w:rFonts w:ascii="Cambria Math" w:hAnsi="Cambria Math" w:eastAsia="Cambria Math" w:cs="Cambria Math"/>
          <w:spacing w:val="-4"/>
          <w:sz w:val="21"/>
          <w:szCs w:val="21"/>
        </w:rPr>
        <w:t>=</w:t>
      </w:r>
      <w:r>
        <w:rPr>
          <w:rFonts w:ascii="Cambria Math" w:hAnsi="Cambria Math" w:eastAsia="Cambria Math" w:cs="Cambria Math"/>
          <w:spacing w:val="23"/>
          <w:sz w:val="21"/>
          <w:szCs w:val="21"/>
        </w:rPr>
        <w:t xml:space="preserve"> </w:t>
      </w:r>
      <w:r>
        <w:fldChar w:fldCharType="begin"/>
      </w:r>
      <w:r>
        <w:instrText xml:space="preserve">EQ \* jc3 \* hps21 \o\al(\s\up 8(</w:instrText>
      </w:r>
      <w:r>
        <w:rPr>
          <w:rFonts w:ascii="宋体" w:hAnsi="宋体" w:eastAsia="宋体" w:cs="宋体"/>
          <w:w w:val="99"/>
          <w:sz w:val="21"/>
          <w:szCs w:val="21"/>
        </w:rPr>
        <w:instrText xml:space="preserve">非传统水源的使用量</w:instrText>
      </w:r>
      <w:r>
        <w:instrText xml:space="preserve">),</w:instrText>
      </w:r>
      <w:r>
        <w:rPr>
          <w:rFonts w:ascii="宋体" w:hAnsi="宋体" w:eastAsia="宋体" w:cs="宋体"/>
          <w:w w:val="99"/>
          <w:position w:val="-17"/>
          <w:sz w:val="21"/>
          <w:szCs w:val="21"/>
        </w:rPr>
        <w:instrText xml:space="preserve">社区杂用水总用水量</w:instrText>
      </w:r>
      <w:r>
        <w:instrText xml:space="preserve">)</w:instrText>
      </w:r>
      <w:r>
        <w:fldChar w:fldCharType="end"/>
      </w:r>
      <w:r>
        <w:rPr>
          <w:rFonts w:ascii="宋体" w:hAnsi="宋体" w:eastAsia="宋体" w:cs="宋体"/>
          <w:spacing w:val="-43"/>
          <w:w w:val="72"/>
          <w:position w:val="16"/>
          <w:sz w:val="21"/>
          <w:szCs w:val="21"/>
        </w:rPr>
        <w:t>（</w:t>
      </w:r>
      <w:r>
        <w:rPr>
          <w:rFonts w:ascii="宋体" w:hAnsi="宋体" w:eastAsia="宋体" w:cs="宋体"/>
          <w:spacing w:val="-43"/>
          <w:w w:val="72"/>
          <w:position w:val="-17"/>
          <w:sz w:val="21"/>
          <w:szCs w:val="21"/>
        </w:rPr>
        <w:t>（</w:t>
      </w:r>
      <w:r>
        <w:fldChar w:fldCharType="begin"/>
      </w:r>
      <w:r>
        <w:instrText xml:space="preserve">EQ \* jc3 \* hps15 \o\al(\s\up 9(</w:instrText>
      </w:r>
      <w:r>
        <w:rPr>
          <w:rFonts w:ascii="Cambria Math" w:hAnsi="Cambria Math" w:eastAsia="Cambria Math" w:cs="Cambria Math"/>
          <w:w w:val="126"/>
          <w:sz w:val="15"/>
          <w:szCs w:val="15"/>
        </w:rPr>
        <w:instrText xml:space="preserve">m3</w:instrText>
      </w:r>
      <w:r>
        <w:instrText xml:space="preserve">),</w:instrText>
      </w:r>
      <w:r>
        <w:rPr>
          <w:rFonts w:ascii="Cambria Math" w:hAnsi="Cambria Math" w:eastAsia="Cambria Math" w:cs="Cambria Math"/>
          <w:w w:val="126"/>
          <w:position w:val="-15"/>
          <w:sz w:val="15"/>
          <w:szCs w:val="15"/>
        </w:rPr>
        <w:instrText xml:space="preserve">m3</w:instrText>
      </w:r>
      <w:r>
        <w:instrText xml:space="preserve">)</w:instrText>
      </w:r>
      <w:r>
        <w:fldChar w:fldCharType="end"/>
      </w:r>
      <w:r>
        <w:rPr>
          <w:rFonts w:ascii="宋体" w:hAnsi="宋体" w:eastAsia="宋体" w:cs="宋体"/>
          <w:spacing w:val="-43"/>
          <w:w w:val="72"/>
          <w:position w:val="16"/>
          <w:sz w:val="21"/>
          <w:szCs w:val="21"/>
        </w:rPr>
        <w:t>）</w:t>
      </w:r>
      <w:r>
        <w:rPr>
          <w:rFonts w:ascii="宋体" w:hAnsi="宋体" w:eastAsia="宋体" w:cs="宋体"/>
          <w:spacing w:val="-43"/>
          <w:w w:val="72"/>
          <w:position w:val="-17"/>
          <w:sz w:val="21"/>
          <w:szCs w:val="21"/>
        </w:rPr>
        <w:t>）</w:t>
      </w:r>
      <w:r>
        <w:rPr>
          <w:rFonts w:ascii="宋体" w:hAnsi="宋体" w:eastAsia="宋体" w:cs="宋体"/>
          <w:spacing w:val="-41"/>
          <w:position w:val="-17"/>
          <w:sz w:val="21"/>
          <w:szCs w:val="21"/>
        </w:rPr>
        <w:t xml:space="preserve"> </w:t>
      </w:r>
      <w:r>
        <w:rPr>
          <w:rFonts w:ascii="Cambria Math" w:hAnsi="Cambria Math" w:eastAsia="Cambria Math" w:cs="Cambria Math"/>
          <w:spacing w:val="-4"/>
          <w:sz w:val="21"/>
          <w:szCs w:val="21"/>
        </w:rPr>
        <w:t>×</w:t>
      </w:r>
      <w:r>
        <w:rPr>
          <w:rFonts w:ascii="Cambria Math" w:hAnsi="Cambria Math" w:eastAsia="Cambria Math" w:cs="Cambria Math"/>
          <w:spacing w:val="18"/>
          <w:w w:val="101"/>
          <w:sz w:val="21"/>
          <w:szCs w:val="21"/>
        </w:rPr>
        <w:t xml:space="preserve"> </w:t>
      </w:r>
      <w:r>
        <w:rPr>
          <w:rFonts w:ascii="Cambria Math" w:hAnsi="Cambria Math" w:eastAsia="Cambria Math" w:cs="Cambria Math"/>
          <w:spacing w:val="-4"/>
          <w:sz w:val="21"/>
          <w:szCs w:val="21"/>
        </w:rPr>
        <w:t>100%</w:t>
      </w:r>
    </w:p>
    <w:p w14:paraId="4B225BB1">
      <w:pPr>
        <w:spacing w:before="209" w:line="234" w:lineRule="auto"/>
        <w:ind w:left="1054"/>
        <w:rPr>
          <w:rFonts w:ascii="宋体" w:hAnsi="宋体" w:eastAsia="宋体" w:cs="宋体"/>
          <w:sz w:val="21"/>
          <w:szCs w:val="21"/>
        </w:rPr>
      </w:pPr>
      <w:r>
        <w:rPr>
          <w:rFonts w:ascii="宋体" w:hAnsi="宋体" w:eastAsia="宋体" w:cs="宋体"/>
          <w:spacing w:val="-1"/>
          <w:sz w:val="21"/>
          <w:szCs w:val="21"/>
        </w:rPr>
        <w:t>评分标准：非传统水源利用率≥</w:t>
      </w:r>
      <w:r>
        <w:rPr>
          <w:rFonts w:ascii="Times New Roman" w:hAnsi="Times New Roman" w:eastAsia="Times New Roman" w:cs="Times New Roman"/>
          <w:spacing w:val="-1"/>
          <w:sz w:val="21"/>
          <w:szCs w:val="21"/>
        </w:rPr>
        <w:t>50%</w:t>
      </w:r>
      <w:r>
        <w:rPr>
          <w:rFonts w:ascii="宋体" w:hAnsi="宋体" w:eastAsia="宋体" w:cs="宋体"/>
          <w:spacing w:val="-1"/>
          <w:sz w:val="21"/>
          <w:szCs w:val="21"/>
        </w:rPr>
        <w:t>——</w:t>
      </w:r>
      <w:r>
        <w:rPr>
          <w:rFonts w:ascii="Times New Roman" w:hAnsi="Times New Roman" w:eastAsia="Times New Roman" w:cs="Times New Roman"/>
          <w:spacing w:val="-1"/>
          <w:sz w:val="21"/>
          <w:szCs w:val="21"/>
        </w:rPr>
        <w:t>5</w:t>
      </w:r>
      <w:r>
        <w:rPr>
          <w:rFonts w:ascii="宋体" w:hAnsi="宋体" w:eastAsia="宋体" w:cs="宋体"/>
          <w:spacing w:val="-1"/>
          <w:sz w:val="21"/>
          <w:szCs w:val="21"/>
        </w:rPr>
        <w:t>分</w:t>
      </w:r>
    </w:p>
    <w:p w14:paraId="6A125412">
      <w:pPr>
        <w:spacing w:before="45" w:line="214" w:lineRule="auto"/>
        <w:ind w:left="2109"/>
        <w:rPr>
          <w:rFonts w:ascii="宋体" w:hAnsi="宋体" w:eastAsia="宋体" w:cs="宋体"/>
          <w:sz w:val="21"/>
          <w:szCs w:val="21"/>
        </w:rPr>
      </w:pPr>
      <w:r>
        <w:rPr>
          <w:rFonts w:ascii="宋体" w:hAnsi="宋体" w:eastAsia="宋体" w:cs="宋体"/>
          <w:spacing w:val="-2"/>
          <w:sz w:val="21"/>
          <w:szCs w:val="21"/>
        </w:rPr>
        <w:t>非传统水源利用率</w:t>
      </w:r>
      <w:r>
        <w:rPr>
          <w:rFonts w:ascii="Times New Roman" w:hAnsi="Times New Roman" w:eastAsia="Times New Roman" w:cs="Times New Roman"/>
          <w:spacing w:val="-2"/>
          <w:sz w:val="21"/>
          <w:szCs w:val="21"/>
        </w:rPr>
        <w:t>[40%</w:t>
      </w:r>
      <w:r>
        <w:rPr>
          <w:rFonts w:ascii="Times New Roman" w:hAnsi="Times New Roman" w:eastAsia="Times New Roman" w:cs="Times New Roman"/>
          <w:spacing w:val="-17"/>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50% )</w:t>
      </w: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分</w:t>
      </w:r>
    </w:p>
    <w:p w14:paraId="43099DFE">
      <w:pPr>
        <w:spacing w:before="69" w:line="214" w:lineRule="auto"/>
        <w:ind w:left="2109"/>
        <w:rPr>
          <w:rFonts w:ascii="宋体" w:hAnsi="宋体" w:eastAsia="宋体" w:cs="宋体"/>
          <w:sz w:val="21"/>
          <w:szCs w:val="21"/>
        </w:rPr>
      </w:pPr>
      <w:r>
        <w:rPr>
          <w:rFonts w:ascii="宋体" w:hAnsi="宋体" w:eastAsia="宋体" w:cs="宋体"/>
          <w:spacing w:val="-1"/>
          <w:sz w:val="21"/>
          <w:szCs w:val="21"/>
        </w:rPr>
        <w:t>非传统水源利用率</w:t>
      </w:r>
      <w:r>
        <w:rPr>
          <w:rFonts w:ascii="Times New Roman" w:hAnsi="Times New Roman" w:eastAsia="Times New Roman" w:cs="Times New Roman"/>
          <w:spacing w:val="-1"/>
          <w:sz w:val="21"/>
          <w:szCs w:val="21"/>
        </w:rPr>
        <w:t>[30%,40% )</w:t>
      </w: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分</w:t>
      </w:r>
    </w:p>
    <w:p w14:paraId="78D79C7C">
      <w:pPr>
        <w:pStyle w:val="2"/>
        <w:spacing w:line="311" w:lineRule="auto"/>
      </w:pPr>
    </w:p>
    <w:p w14:paraId="6C9DC875">
      <w:pPr>
        <w:spacing w:before="69" w:line="234" w:lineRule="auto"/>
        <w:rPr>
          <w:rFonts w:ascii="宋体" w:hAnsi="宋体" w:eastAsia="宋体" w:cs="宋体"/>
          <w:sz w:val="21"/>
          <w:szCs w:val="21"/>
        </w:rPr>
      </w:pPr>
      <w:r>
        <w:rPr>
          <w:rFonts w:ascii="Times New Roman" w:hAnsi="Times New Roman" w:eastAsia="Times New Roman" w:cs="Times New Roman"/>
          <w:b/>
          <w:bCs/>
          <w:spacing w:val="-3"/>
          <w:sz w:val="21"/>
          <w:szCs w:val="21"/>
        </w:rPr>
        <w:t>B.10</w:t>
      </w:r>
      <w:r>
        <w:rPr>
          <w:rFonts w:ascii="宋体" w:hAnsi="宋体" w:eastAsia="宋体" w:cs="宋体"/>
          <w:b/>
          <w:bCs/>
          <w:spacing w:val="-3"/>
          <w:sz w:val="21"/>
          <w:szCs w:val="21"/>
        </w:rPr>
        <w:t>、</w:t>
      </w:r>
      <w:r>
        <w:rPr>
          <w:rFonts w:ascii="宋体" w:hAnsi="宋体" w:eastAsia="宋体" w:cs="宋体"/>
          <w:spacing w:val="-42"/>
          <w:sz w:val="21"/>
          <w:szCs w:val="21"/>
        </w:rPr>
        <w:t xml:space="preserve"> </w:t>
      </w:r>
      <w:r>
        <w:rPr>
          <w:rFonts w:ascii="宋体" w:hAnsi="宋体" w:eastAsia="宋体" w:cs="宋体"/>
          <w:b/>
          <w:bCs/>
          <w:spacing w:val="-3"/>
          <w:sz w:val="21"/>
          <w:szCs w:val="21"/>
        </w:rPr>
        <w:t>公区节水器具配备率</w:t>
      </w:r>
    </w:p>
    <w:p w14:paraId="4E547449">
      <w:pPr>
        <w:spacing w:before="46" w:line="274" w:lineRule="auto"/>
        <w:ind w:left="6" w:right="909" w:firstLine="424"/>
        <w:rPr>
          <w:rFonts w:ascii="宋体" w:hAnsi="宋体" w:eastAsia="宋体" w:cs="宋体"/>
          <w:sz w:val="21"/>
          <w:szCs w:val="21"/>
        </w:rPr>
      </w:pPr>
      <w:r>
        <w:rPr>
          <w:rFonts w:ascii="宋体" w:hAnsi="宋体" w:eastAsia="宋体" w:cs="宋体"/>
          <w:spacing w:val="1"/>
          <w:sz w:val="21"/>
          <w:szCs w:val="21"/>
        </w:rPr>
        <w:t>公区节水器具配备率是指公区配备节水器具（如节水水嘴、节水便器等）的数量占社区公区总用</w:t>
      </w:r>
      <w:r>
        <w:rPr>
          <w:rFonts w:ascii="宋体" w:hAnsi="宋体" w:eastAsia="宋体" w:cs="宋体"/>
          <w:spacing w:val="3"/>
          <w:sz w:val="21"/>
          <w:szCs w:val="21"/>
        </w:rPr>
        <w:t xml:space="preserve"> </w:t>
      </w:r>
      <w:r>
        <w:rPr>
          <w:rFonts w:ascii="宋体" w:hAnsi="宋体" w:eastAsia="宋体" w:cs="宋体"/>
          <w:spacing w:val="-4"/>
          <w:sz w:val="21"/>
          <w:szCs w:val="21"/>
        </w:rPr>
        <w:t>水器具的比例。</w:t>
      </w:r>
    </w:p>
    <w:p w14:paraId="5A745B78">
      <w:pPr>
        <w:spacing w:before="1" w:line="220" w:lineRule="auto"/>
        <w:ind w:left="423"/>
        <w:rPr>
          <w:rFonts w:ascii="宋体" w:hAnsi="宋体" w:eastAsia="宋体" w:cs="宋体"/>
          <w:sz w:val="21"/>
          <w:szCs w:val="21"/>
        </w:rPr>
      </w:pPr>
      <w:r>
        <w:rPr>
          <w:rFonts w:ascii="宋体" w:hAnsi="宋体" w:eastAsia="宋体" w:cs="宋体"/>
          <w:spacing w:val="-3"/>
          <w:sz w:val="21"/>
          <w:szCs w:val="21"/>
        </w:rPr>
        <w:t>节水器具配备率计算方法如下：</w:t>
      </w:r>
    </w:p>
    <w:p w14:paraId="6BC1D0DA">
      <w:pPr>
        <w:spacing w:before="214" w:line="557" w:lineRule="exact"/>
        <w:ind w:left="1933"/>
        <w:rPr>
          <w:rFonts w:ascii="Cambria Math" w:hAnsi="Cambria Math" w:eastAsia="Cambria Math" w:cs="Cambria Math"/>
          <w:sz w:val="21"/>
          <w:szCs w:val="21"/>
        </w:rPr>
      </w:pPr>
      <w:r>
        <w:rPr>
          <w:rFonts w:ascii="宋体" w:hAnsi="宋体" w:eastAsia="宋体" w:cs="宋体"/>
          <w:spacing w:val="-4"/>
          <w:position w:val="9"/>
          <w:sz w:val="21"/>
          <w:szCs w:val="21"/>
        </w:rPr>
        <w:t>节水器具配备率（</w:t>
      </w:r>
      <w:r>
        <w:rPr>
          <w:rFonts w:ascii="Cambria Math" w:hAnsi="Cambria Math" w:eastAsia="Cambria Math" w:cs="Cambria Math"/>
          <w:spacing w:val="-4"/>
          <w:position w:val="9"/>
          <w:sz w:val="21"/>
          <w:szCs w:val="21"/>
        </w:rPr>
        <w:t>%</w:t>
      </w:r>
      <w:r>
        <w:rPr>
          <w:rFonts w:ascii="宋体" w:hAnsi="宋体" w:eastAsia="宋体" w:cs="宋体"/>
          <w:spacing w:val="-4"/>
          <w:position w:val="9"/>
          <w:sz w:val="21"/>
          <w:szCs w:val="21"/>
        </w:rPr>
        <w:t>）</w:t>
      </w:r>
      <w:r>
        <w:rPr>
          <w:rFonts w:ascii="宋体" w:hAnsi="宋体" w:eastAsia="宋体" w:cs="宋体"/>
          <w:spacing w:val="-30"/>
          <w:position w:val="9"/>
          <w:sz w:val="21"/>
          <w:szCs w:val="21"/>
        </w:rPr>
        <w:t xml:space="preserve"> </w:t>
      </w:r>
      <w:r>
        <w:rPr>
          <w:rFonts w:ascii="Cambria Math" w:hAnsi="Cambria Math" w:eastAsia="Cambria Math" w:cs="Cambria Math"/>
          <w:spacing w:val="-4"/>
          <w:position w:val="9"/>
          <w:sz w:val="21"/>
          <w:szCs w:val="21"/>
        </w:rPr>
        <w:t>=</w:t>
      </w:r>
      <w:r>
        <w:rPr>
          <w:rFonts w:ascii="Cambria Math" w:hAnsi="Cambria Math" w:eastAsia="Cambria Math" w:cs="Cambria Math"/>
          <w:spacing w:val="25"/>
          <w:position w:val="9"/>
          <w:sz w:val="21"/>
          <w:szCs w:val="21"/>
        </w:rPr>
        <w:t xml:space="preserve"> </w:t>
      </w:r>
      <w:r>
        <w:rPr>
          <w:rFonts w:ascii="宋体" w:hAnsi="宋体" w:eastAsia="宋体" w:cs="宋体"/>
          <w:spacing w:val="-4"/>
          <w:position w:val="24"/>
          <w:sz w:val="21"/>
          <w:szCs w:val="21"/>
        </w:rPr>
        <w:t>公</w:t>
      </w:r>
      <w:r>
        <w:fldChar w:fldCharType="begin"/>
      </w:r>
      <w:r>
        <w:instrText xml:space="preserve">EQ \* jc3 \* hps21 \o\al(\s\up 7(</w:instrText>
      </w:r>
      <w:r>
        <w:rPr>
          <w:rFonts w:ascii="宋体" w:hAnsi="宋体" w:eastAsia="宋体" w:cs="宋体"/>
          <w:position w:val="9"/>
          <w:sz w:val="21"/>
          <w:szCs w:val="21"/>
        </w:rPr>
        <w:instrText xml:space="preserve">区配备节水器具的数</w:instrText>
      </w:r>
      <w:r>
        <w:instrText xml:space="preserve">),</w:instrText>
      </w:r>
      <w:r>
        <w:rPr>
          <w:rFonts w:ascii="宋体" w:hAnsi="宋体" w:eastAsia="宋体" w:cs="宋体"/>
          <w:position w:val="-9"/>
          <w:sz w:val="21"/>
          <w:szCs w:val="21"/>
        </w:rPr>
        <w:instrText xml:space="preserve">社区公区总用水器具</w:instrText>
      </w:r>
      <w:r>
        <w:instrText xml:space="preserve">)</w:instrText>
      </w:r>
      <w:r>
        <w:fldChar w:fldCharType="end"/>
      </w:r>
      <w:r>
        <w:rPr>
          <w:rFonts w:ascii="宋体" w:hAnsi="宋体" w:eastAsia="宋体" w:cs="宋体"/>
          <w:spacing w:val="-4"/>
          <w:position w:val="24"/>
          <w:sz w:val="21"/>
          <w:szCs w:val="21"/>
        </w:rPr>
        <w:t>量</w:t>
      </w:r>
      <w:r>
        <w:rPr>
          <w:rFonts w:ascii="宋体" w:hAnsi="宋体" w:eastAsia="宋体" w:cs="宋体"/>
          <w:spacing w:val="-44"/>
          <w:position w:val="24"/>
          <w:sz w:val="21"/>
          <w:szCs w:val="21"/>
        </w:rPr>
        <w:t xml:space="preserve"> </w:t>
      </w:r>
      <w:r>
        <w:rPr>
          <w:rFonts w:ascii="Cambria Math" w:hAnsi="Cambria Math" w:eastAsia="Cambria Math" w:cs="Cambria Math"/>
          <w:spacing w:val="-4"/>
          <w:position w:val="9"/>
          <w:sz w:val="21"/>
          <w:szCs w:val="21"/>
        </w:rPr>
        <w:t>×</w:t>
      </w:r>
      <w:r>
        <w:rPr>
          <w:rFonts w:ascii="Cambria Math" w:hAnsi="Cambria Math" w:eastAsia="Cambria Math" w:cs="Cambria Math"/>
          <w:spacing w:val="18"/>
          <w:w w:val="101"/>
          <w:position w:val="9"/>
          <w:sz w:val="21"/>
          <w:szCs w:val="21"/>
        </w:rPr>
        <w:t xml:space="preserve"> </w:t>
      </w:r>
      <w:r>
        <w:rPr>
          <w:rFonts w:ascii="Cambria Math" w:hAnsi="Cambria Math" w:eastAsia="Cambria Math" w:cs="Cambria Math"/>
          <w:spacing w:val="-4"/>
          <w:position w:val="9"/>
          <w:sz w:val="21"/>
          <w:szCs w:val="21"/>
        </w:rPr>
        <w:t>100%</w:t>
      </w:r>
    </w:p>
    <w:p w14:paraId="6CD26675">
      <w:pPr>
        <w:spacing w:before="225" w:line="214" w:lineRule="auto"/>
        <w:ind w:left="422"/>
        <w:rPr>
          <w:rFonts w:ascii="宋体" w:hAnsi="宋体" w:eastAsia="宋体" w:cs="宋体"/>
          <w:sz w:val="21"/>
          <w:szCs w:val="21"/>
        </w:rPr>
      </w:pPr>
      <w:r>
        <w:rPr>
          <w:rFonts w:ascii="宋体" w:hAnsi="宋体" w:eastAsia="宋体" w:cs="宋体"/>
          <w:spacing w:val="-1"/>
          <w:sz w:val="21"/>
          <w:szCs w:val="21"/>
        </w:rPr>
        <w:t>评分标准：节水器具配备率</w:t>
      </w:r>
      <w:r>
        <w:rPr>
          <w:rFonts w:ascii="Times New Roman" w:hAnsi="Times New Roman" w:eastAsia="Times New Roman" w:cs="Times New Roman"/>
          <w:spacing w:val="-1"/>
          <w:sz w:val="21"/>
          <w:szCs w:val="21"/>
        </w:rPr>
        <w:t>[95%</w:t>
      </w:r>
      <w:r>
        <w:rPr>
          <w:rFonts w:ascii="Times New Roman" w:hAnsi="Times New Roman" w:eastAsia="Times New Roman" w:cs="Times New Roman"/>
          <w:spacing w:val="-28"/>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100% )</w:t>
      </w:r>
      <w:r>
        <w:rPr>
          <w:rFonts w:ascii="宋体" w:hAnsi="宋体" w:eastAsia="宋体" w:cs="宋体"/>
          <w:spacing w:val="-1"/>
          <w:sz w:val="21"/>
          <w:szCs w:val="21"/>
        </w:rPr>
        <w:t>——</w:t>
      </w:r>
      <w:r>
        <w:rPr>
          <w:rFonts w:ascii="Times New Roman" w:hAnsi="Times New Roman" w:eastAsia="Times New Roman" w:cs="Times New Roman"/>
          <w:spacing w:val="-2"/>
          <w:sz w:val="21"/>
          <w:szCs w:val="21"/>
        </w:rPr>
        <w:t>5</w:t>
      </w:r>
      <w:r>
        <w:rPr>
          <w:rFonts w:ascii="宋体" w:hAnsi="宋体" w:eastAsia="宋体" w:cs="宋体"/>
          <w:spacing w:val="-2"/>
          <w:sz w:val="21"/>
          <w:szCs w:val="21"/>
        </w:rPr>
        <w:t>分</w:t>
      </w:r>
    </w:p>
    <w:p w14:paraId="5279893F">
      <w:pPr>
        <w:spacing w:before="69" w:line="214" w:lineRule="auto"/>
        <w:ind w:left="1474"/>
        <w:rPr>
          <w:rFonts w:ascii="宋体" w:hAnsi="宋体" w:eastAsia="宋体" w:cs="宋体"/>
          <w:sz w:val="21"/>
          <w:szCs w:val="21"/>
        </w:rPr>
      </w:pPr>
      <w:r>
        <w:rPr>
          <w:rFonts w:ascii="宋体" w:hAnsi="宋体" w:eastAsia="宋体" w:cs="宋体"/>
          <w:spacing w:val="-2"/>
          <w:sz w:val="21"/>
          <w:szCs w:val="21"/>
        </w:rPr>
        <w:t>节水器具配备率</w:t>
      </w:r>
      <w:r>
        <w:rPr>
          <w:rFonts w:ascii="Times New Roman" w:hAnsi="Times New Roman" w:eastAsia="Times New Roman" w:cs="Times New Roman"/>
          <w:spacing w:val="-2"/>
          <w:sz w:val="21"/>
          <w:szCs w:val="21"/>
        </w:rPr>
        <w:t>[80%</w:t>
      </w:r>
      <w:r>
        <w:rPr>
          <w:rFonts w:ascii="Times New Roman" w:hAnsi="Times New Roman" w:eastAsia="Times New Roman" w:cs="Times New Roman"/>
          <w:spacing w:val="-16"/>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95% )</w:t>
      </w: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分</w:t>
      </w:r>
    </w:p>
    <w:p w14:paraId="7D9C3790">
      <w:pPr>
        <w:spacing w:before="69" w:line="214" w:lineRule="auto"/>
        <w:ind w:left="1474"/>
        <w:rPr>
          <w:rFonts w:ascii="宋体" w:hAnsi="宋体" w:eastAsia="宋体" w:cs="宋体"/>
          <w:sz w:val="21"/>
          <w:szCs w:val="21"/>
        </w:rPr>
      </w:pPr>
      <w:r>
        <w:rPr>
          <w:rFonts w:ascii="宋体" w:hAnsi="宋体" w:eastAsia="宋体" w:cs="宋体"/>
          <w:spacing w:val="-2"/>
          <w:sz w:val="21"/>
          <w:szCs w:val="21"/>
        </w:rPr>
        <w:t>节水器具配备率</w:t>
      </w:r>
      <w:r>
        <w:rPr>
          <w:rFonts w:ascii="Times New Roman" w:hAnsi="Times New Roman" w:eastAsia="Times New Roman" w:cs="Times New Roman"/>
          <w:spacing w:val="-2"/>
          <w:sz w:val="21"/>
          <w:szCs w:val="21"/>
        </w:rPr>
        <w:t>[70%</w:t>
      </w:r>
      <w:r>
        <w:rPr>
          <w:rFonts w:ascii="Times New Roman" w:hAnsi="Times New Roman" w:eastAsia="Times New Roman" w:cs="Times New Roman"/>
          <w:spacing w:val="-16"/>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80% )</w:t>
      </w: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分</w:t>
      </w:r>
    </w:p>
    <w:p w14:paraId="274C0FF6">
      <w:pPr>
        <w:spacing w:line="214" w:lineRule="auto"/>
        <w:rPr>
          <w:rFonts w:ascii="宋体" w:hAnsi="宋体" w:eastAsia="宋体" w:cs="宋体"/>
          <w:sz w:val="21"/>
          <w:szCs w:val="21"/>
        </w:rPr>
        <w:sectPr>
          <w:headerReference r:id="rId36" w:type="default"/>
          <w:footerReference r:id="rId37" w:type="default"/>
          <w:pgSz w:w="11907" w:h="16839"/>
          <w:pgMar w:top="1205" w:right="391" w:bottom="1648" w:left="1308" w:header="880" w:footer="1448" w:gutter="0"/>
          <w:cols w:space="720" w:num="1"/>
        </w:sectPr>
      </w:pPr>
    </w:p>
    <w:p w14:paraId="52E18F22">
      <w:pPr>
        <w:pStyle w:val="2"/>
        <w:spacing w:line="267" w:lineRule="auto"/>
      </w:pPr>
    </w:p>
    <w:p w14:paraId="3AB15ACF">
      <w:pPr>
        <w:spacing w:before="69" w:line="234" w:lineRule="auto"/>
        <w:ind w:left="14"/>
        <w:rPr>
          <w:rFonts w:ascii="宋体" w:hAnsi="宋体" w:eastAsia="宋体" w:cs="宋体"/>
          <w:sz w:val="21"/>
          <w:szCs w:val="21"/>
        </w:rPr>
      </w:pPr>
      <w:r>
        <w:rPr>
          <w:rFonts w:ascii="Times New Roman" w:hAnsi="Times New Roman" w:eastAsia="Times New Roman" w:cs="Times New Roman"/>
          <w:b/>
          <w:bCs/>
          <w:spacing w:val="-2"/>
          <w:sz w:val="21"/>
          <w:szCs w:val="21"/>
        </w:rPr>
        <w:t>B.11</w:t>
      </w:r>
      <w:r>
        <w:rPr>
          <w:rFonts w:ascii="宋体" w:hAnsi="宋体" w:eastAsia="宋体" w:cs="宋体"/>
          <w:b/>
          <w:bCs/>
          <w:spacing w:val="-2"/>
          <w:sz w:val="21"/>
          <w:szCs w:val="21"/>
        </w:rPr>
        <w:t>、</w:t>
      </w:r>
      <w:r>
        <w:rPr>
          <w:rFonts w:ascii="宋体" w:hAnsi="宋体" w:eastAsia="宋体" w:cs="宋体"/>
          <w:spacing w:val="-56"/>
          <w:sz w:val="21"/>
          <w:szCs w:val="21"/>
        </w:rPr>
        <w:t xml:space="preserve"> </w:t>
      </w:r>
      <w:r>
        <w:rPr>
          <w:rFonts w:ascii="宋体" w:hAnsi="宋体" w:eastAsia="宋体" w:cs="宋体"/>
          <w:b/>
          <w:bCs/>
          <w:spacing w:val="-2"/>
          <w:sz w:val="21"/>
          <w:szCs w:val="21"/>
        </w:rPr>
        <w:t>生活垃圾分类收集率</w:t>
      </w:r>
    </w:p>
    <w:p w14:paraId="2F05D992">
      <w:pPr>
        <w:spacing w:before="44" w:line="274" w:lineRule="auto"/>
        <w:ind w:left="21" w:firstLine="418"/>
        <w:rPr>
          <w:rFonts w:ascii="宋体" w:hAnsi="宋体" w:eastAsia="宋体" w:cs="宋体"/>
          <w:sz w:val="21"/>
          <w:szCs w:val="21"/>
        </w:rPr>
      </w:pPr>
      <w:r>
        <w:rPr>
          <w:rFonts w:ascii="宋体" w:hAnsi="宋体" w:eastAsia="宋体" w:cs="宋体"/>
          <w:sz w:val="21"/>
          <w:szCs w:val="21"/>
        </w:rPr>
        <w:t>生活垃圾分类收集率是指实现分类收集部分生活垃圾数量占社区生活垃圾产生总量的百分比</w:t>
      </w:r>
      <w:r>
        <w:rPr>
          <w:rFonts w:ascii="Times New Roman" w:hAnsi="Times New Roman" w:eastAsia="Times New Roman" w:cs="Times New Roman"/>
          <w:sz w:val="21"/>
          <w:szCs w:val="21"/>
        </w:rPr>
        <w:t>,</w:t>
      </w:r>
      <w:r>
        <w:rPr>
          <w:rFonts w:ascii="宋体" w:hAnsi="宋体" w:eastAsia="宋体" w:cs="宋体"/>
          <w:spacing w:val="-1"/>
          <w:sz w:val="21"/>
          <w:szCs w:val="21"/>
        </w:rPr>
        <w:t>或实</w:t>
      </w:r>
      <w:r>
        <w:rPr>
          <w:rFonts w:ascii="宋体" w:hAnsi="宋体" w:eastAsia="宋体" w:cs="宋体"/>
          <w:sz w:val="21"/>
          <w:szCs w:val="21"/>
        </w:rPr>
        <w:t xml:space="preserve"> </w:t>
      </w:r>
      <w:r>
        <w:rPr>
          <w:rFonts w:ascii="宋体" w:hAnsi="宋体" w:eastAsia="宋体" w:cs="宋体"/>
          <w:spacing w:val="-1"/>
          <w:sz w:val="21"/>
          <w:szCs w:val="21"/>
        </w:rPr>
        <w:t>行垃圾分类收集的住户与社区居民总户数的比例。</w:t>
      </w:r>
    </w:p>
    <w:p w14:paraId="6A991ED2">
      <w:pPr>
        <w:spacing w:line="221" w:lineRule="auto"/>
        <w:ind w:left="439"/>
        <w:rPr>
          <w:rFonts w:ascii="宋体" w:hAnsi="宋体" w:eastAsia="宋体" w:cs="宋体"/>
          <w:sz w:val="21"/>
          <w:szCs w:val="21"/>
        </w:rPr>
      </w:pPr>
      <w:r>
        <w:rPr>
          <w:rFonts w:ascii="宋体" w:hAnsi="宋体" w:eastAsia="宋体" w:cs="宋体"/>
          <w:spacing w:val="-1"/>
          <w:sz w:val="21"/>
          <w:szCs w:val="21"/>
        </w:rPr>
        <w:t>生活垃圾分类收集率的计算方法如下：</w:t>
      </w:r>
    </w:p>
    <w:p w14:paraId="1117201B">
      <w:pPr>
        <w:pStyle w:val="2"/>
        <w:spacing w:line="302" w:lineRule="auto"/>
      </w:pPr>
    </w:p>
    <w:p w14:paraId="56EA0FB7">
      <w:pPr>
        <w:spacing w:before="68" w:line="197" w:lineRule="auto"/>
        <w:ind w:left="4291" w:right="1302" w:hanging="2966"/>
        <w:rPr>
          <w:rFonts w:ascii="Cambria Math" w:hAnsi="Cambria Math" w:eastAsia="Cambria Math" w:cs="Cambria Math"/>
          <w:sz w:val="21"/>
          <w:szCs w:val="21"/>
        </w:rPr>
      </w:pPr>
      <w:r>
        <w:pict>
          <v:shape id="_x0000_s1028" o:spid="_x0000_s1028" o:spt="202" type="#_x0000_t202" style="position:absolute;left:0pt;margin-left:191.7pt;margin-top:-6.05pt;height:14.9pt;width:170.8pt;z-index:251660288;mso-width-relative:page;mso-height-relative:page;" filled="f" stroked="f" coordsize="21600,21600">
            <v:path/>
            <v:fill on="f" focussize="0,0"/>
            <v:stroke on="f"/>
            <v:imagedata o:title=""/>
            <o:lock v:ext="edit" aspectratio="f"/>
            <v:textbox inset="0mm,0mm,0mm,0mm">
              <w:txbxContent>
                <w:p w14:paraId="690F4326">
                  <w:pPr>
                    <w:spacing w:before="19" w:line="227" w:lineRule="auto"/>
                    <w:ind w:left="20"/>
                    <w:rPr>
                      <w:rFonts w:ascii="Cambria Math" w:hAnsi="Cambria Math" w:eastAsia="Cambria Math" w:cs="Cambria Math"/>
                      <w:sz w:val="21"/>
                      <w:szCs w:val="21"/>
                    </w:rPr>
                  </w:pPr>
                  <w:r>
                    <w:rPr>
                      <w:rFonts w:ascii="宋体" w:hAnsi="宋体" w:eastAsia="宋体" w:cs="宋体"/>
                      <w:spacing w:val="-1"/>
                      <w:sz w:val="21"/>
                      <w:szCs w:val="21"/>
                    </w:rPr>
                    <w:t>实现分类收集部分生活</w:t>
                  </w:r>
                  <w:r>
                    <w:rPr>
                      <w:rFonts w:ascii="宋体" w:hAnsi="宋体" w:eastAsia="宋体" w:cs="宋体"/>
                      <w:spacing w:val="-38"/>
                      <w:sz w:val="21"/>
                      <w:szCs w:val="21"/>
                    </w:rPr>
                    <w:t xml:space="preserve"> </w:t>
                  </w:r>
                  <w:r>
                    <w:rPr>
                      <w:rFonts w:ascii="宋体" w:hAnsi="宋体" w:eastAsia="宋体" w:cs="宋体"/>
                      <w:spacing w:val="-1"/>
                      <w:sz w:val="21"/>
                      <w:szCs w:val="21"/>
                    </w:rPr>
                    <w:t>垃圾数量</w:t>
                  </w:r>
                  <w:r>
                    <w:rPr>
                      <w:rFonts w:ascii="Cambria Math" w:hAnsi="Cambria Math" w:eastAsia="Cambria Math" w:cs="Cambria Math"/>
                      <w:spacing w:val="-1"/>
                      <w:sz w:val="21"/>
                      <w:szCs w:val="21"/>
                    </w:rPr>
                    <w:t>(</w:t>
                  </w:r>
                  <w:r>
                    <w:rPr>
                      <w:rFonts w:ascii="宋体" w:hAnsi="宋体" w:eastAsia="宋体" w:cs="宋体"/>
                      <w:spacing w:val="-1"/>
                      <w:sz w:val="21"/>
                      <w:szCs w:val="21"/>
                    </w:rPr>
                    <w:t>吨</w:t>
                  </w:r>
                  <w:r>
                    <w:rPr>
                      <w:rFonts w:ascii="Cambria Math" w:hAnsi="Cambria Math" w:eastAsia="Cambria Math" w:cs="Cambria Math"/>
                      <w:spacing w:val="-1"/>
                      <w:sz w:val="21"/>
                      <w:szCs w:val="21"/>
                    </w:rPr>
                    <w:t>)</w:t>
                  </w:r>
                </w:p>
              </w:txbxContent>
            </v:textbox>
          </v:shape>
        </w:pict>
      </w:r>
      <w:r>
        <w:rPr>
          <w:rFonts w:ascii="宋体" w:hAnsi="宋体" w:eastAsia="宋体" w:cs="宋体"/>
          <w:spacing w:val="-3"/>
          <w:sz w:val="21"/>
          <w:szCs w:val="21"/>
        </w:rPr>
        <w:t>生活垃圾分类收集率</w:t>
      </w:r>
      <w:r>
        <w:rPr>
          <w:rFonts w:ascii="Cambria Math" w:hAnsi="Cambria Math" w:eastAsia="Cambria Math" w:cs="Cambria Math"/>
          <w:spacing w:val="-3"/>
          <w:sz w:val="21"/>
          <w:szCs w:val="21"/>
        </w:rPr>
        <w:t>(%)</w:t>
      </w:r>
      <w:r>
        <w:rPr>
          <w:rFonts w:ascii="Cambria Math" w:hAnsi="Cambria Math" w:eastAsia="Cambria Math" w:cs="Cambria Math"/>
          <w:spacing w:val="25"/>
          <w:w w:val="101"/>
          <w:sz w:val="21"/>
          <w:szCs w:val="21"/>
        </w:rPr>
        <w:t xml:space="preserve"> </w:t>
      </w:r>
      <w:r>
        <w:rPr>
          <w:rFonts w:ascii="Cambria Math" w:hAnsi="Cambria Math" w:eastAsia="Cambria Math" w:cs="Cambria Math"/>
          <w:spacing w:val="-3"/>
          <w:sz w:val="21"/>
          <w:szCs w:val="21"/>
        </w:rPr>
        <w:t>=</w:t>
      </w:r>
      <w:r>
        <w:rPr>
          <w:rFonts w:ascii="Cambria Math" w:hAnsi="Cambria Math" w:eastAsia="Cambria Math" w:cs="Cambria Math"/>
          <w:spacing w:val="11"/>
          <w:w w:val="102"/>
          <w:sz w:val="21"/>
          <w:szCs w:val="21"/>
        </w:rPr>
        <w:t xml:space="preserve"> </w:t>
      </w:r>
      <w:r>
        <w:rPr>
          <w:rFonts w:ascii="Cambria Math" w:hAnsi="Cambria Math" w:eastAsia="Cambria Math" w:cs="Cambria Math"/>
          <w:strike/>
          <w:sz w:val="21"/>
          <w:szCs w:val="21"/>
        </w:rPr>
        <w:t xml:space="preserve">                                                                         </w:t>
      </w:r>
      <w:r>
        <w:rPr>
          <w:rFonts w:ascii="Cambria Math" w:hAnsi="Cambria Math" w:eastAsia="Cambria Math" w:cs="Cambria Math"/>
          <w:spacing w:val="26"/>
          <w:w w:val="101"/>
          <w:sz w:val="21"/>
          <w:szCs w:val="21"/>
        </w:rPr>
        <w:t xml:space="preserve"> </w:t>
      </w:r>
      <w:r>
        <w:rPr>
          <w:rFonts w:ascii="Cambria Math" w:hAnsi="Cambria Math" w:eastAsia="Cambria Math" w:cs="Cambria Math"/>
          <w:spacing w:val="-3"/>
          <w:sz w:val="21"/>
          <w:szCs w:val="21"/>
        </w:rPr>
        <w:t>×</w:t>
      </w:r>
      <w:r>
        <w:rPr>
          <w:rFonts w:ascii="Cambria Math" w:hAnsi="Cambria Math" w:eastAsia="Cambria Math" w:cs="Cambria Math"/>
          <w:spacing w:val="18"/>
          <w:sz w:val="21"/>
          <w:szCs w:val="21"/>
        </w:rPr>
        <w:t xml:space="preserve"> </w:t>
      </w:r>
      <w:r>
        <w:rPr>
          <w:rFonts w:ascii="Cambria Math" w:hAnsi="Cambria Math" w:eastAsia="Cambria Math" w:cs="Cambria Math"/>
          <w:spacing w:val="-3"/>
          <w:sz w:val="21"/>
          <w:szCs w:val="21"/>
        </w:rPr>
        <w:t>100%</w:t>
      </w:r>
      <w:r>
        <w:rPr>
          <w:rFonts w:ascii="Cambria Math" w:hAnsi="Cambria Math" w:eastAsia="Cambria Math" w:cs="Cambria Math"/>
          <w:sz w:val="21"/>
          <w:szCs w:val="21"/>
        </w:rPr>
        <w:t xml:space="preserve"> </w:t>
      </w:r>
      <w:r>
        <w:rPr>
          <w:rFonts w:ascii="宋体" w:hAnsi="宋体" w:eastAsia="宋体" w:cs="宋体"/>
          <w:sz w:val="21"/>
          <w:szCs w:val="21"/>
        </w:rPr>
        <w:t>社区生活垃圾产生总量</w:t>
      </w:r>
      <w:r>
        <w:rPr>
          <w:rFonts w:ascii="Cambria Math" w:hAnsi="Cambria Math" w:eastAsia="Cambria Math" w:cs="Cambria Math"/>
          <w:sz w:val="21"/>
          <w:szCs w:val="21"/>
        </w:rPr>
        <w:t>(</w:t>
      </w:r>
      <w:r>
        <w:rPr>
          <w:rFonts w:ascii="宋体" w:hAnsi="宋体" w:eastAsia="宋体" w:cs="宋体"/>
          <w:sz w:val="21"/>
          <w:szCs w:val="21"/>
        </w:rPr>
        <w:t>吨</w:t>
      </w:r>
      <w:r>
        <w:rPr>
          <w:rFonts w:ascii="Cambria Math" w:hAnsi="Cambria Math" w:eastAsia="Cambria Math" w:cs="Cambria Math"/>
          <w:sz w:val="21"/>
          <w:szCs w:val="21"/>
        </w:rPr>
        <w:t>)</w:t>
      </w:r>
    </w:p>
    <w:p w14:paraId="26217BF4">
      <w:pPr>
        <w:spacing w:before="176" w:line="224" w:lineRule="auto"/>
        <w:ind w:left="440"/>
        <w:rPr>
          <w:rFonts w:ascii="宋体" w:hAnsi="宋体" w:eastAsia="宋体" w:cs="宋体"/>
          <w:sz w:val="21"/>
          <w:szCs w:val="21"/>
        </w:rPr>
      </w:pPr>
      <w:r>
        <w:rPr>
          <w:rFonts w:ascii="宋体" w:hAnsi="宋体" w:eastAsia="宋体" w:cs="宋体"/>
          <w:sz w:val="21"/>
          <w:szCs w:val="21"/>
        </w:rPr>
        <w:t>或</w:t>
      </w:r>
    </w:p>
    <w:p w14:paraId="3CEE8DB5">
      <w:pPr>
        <w:spacing w:before="205" w:line="202" w:lineRule="auto"/>
        <w:ind w:left="4715" w:right="1420" w:hanging="3272"/>
        <w:rPr>
          <w:rFonts w:ascii="Cambria Math" w:hAnsi="Cambria Math" w:eastAsia="Cambria Math" w:cs="Cambria Math"/>
          <w:sz w:val="21"/>
          <w:szCs w:val="21"/>
        </w:rPr>
      </w:pPr>
      <w:r>
        <w:rPr>
          <w:rFonts w:ascii="宋体" w:hAnsi="宋体" w:eastAsia="宋体" w:cs="宋体"/>
          <w:spacing w:val="-3"/>
          <w:position w:val="-7"/>
          <w:sz w:val="21"/>
          <w:szCs w:val="21"/>
        </w:rPr>
        <w:t>生活垃圾分类收集率</w:t>
      </w:r>
      <w:r>
        <w:rPr>
          <w:rFonts w:ascii="Cambria Math" w:hAnsi="Cambria Math" w:eastAsia="Cambria Math" w:cs="Cambria Math"/>
          <w:spacing w:val="-3"/>
          <w:position w:val="-7"/>
          <w:sz w:val="21"/>
          <w:szCs w:val="21"/>
        </w:rPr>
        <w:t>(%)</w:t>
      </w:r>
      <w:r>
        <w:rPr>
          <w:rFonts w:ascii="Cambria Math" w:hAnsi="Cambria Math" w:eastAsia="Cambria Math" w:cs="Cambria Math"/>
          <w:spacing w:val="31"/>
          <w:w w:val="101"/>
          <w:position w:val="-7"/>
          <w:sz w:val="21"/>
          <w:szCs w:val="21"/>
        </w:rPr>
        <w:t xml:space="preserve"> </w:t>
      </w:r>
      <w:r>
        <w:rPr>
          <w:rFonts w:ascii="Cambria Math" w:hAnsi="Cambria Math" w:eastAsia="Cambria Math" w:cs="Cambria Math"/>
          <w:spacing w:val="-3"/>
          <w:position w:val="-7"/>
          <w:sz w:val="21"/>
          <w:szCs w:val="21"/>
        </w:rPr>
        <w:t>=</w:t>
      </w:r>
      <w:r>
        <w:rPr>
          <w:rFonts w:ascii="Cambria Math" w:hAnsi="Cambria Math" w:eastAsia="Cambria Math" w:cs="Cambria Math"/>
          <w:spacing w:val="25"/>
          <w:w w:val="101"/>
          <w:position w:val="-7"/>
          <w:sz w:val="21"/>
          <w:szCs w:val="21"/>
        </w:rPr>
        <w:t xml:space="preserve"> </w:t>
      </w:r>
      <w:r>
        <w:rPr>
          <w:rFonts w:ascii="宋体" w:hAnsi="宋体" w:eastAsia="宋体" w:cs="宋体"/>
          <w:spacing w:val="-3"/>
          <w:position w:val="8"/>
          <w:sz w:val="21"/>
          <w:szCs w:val="21"/>
          <w:u w:val="single" w:color="auto"/>
        </w:rPr>
        <w:t>实行垃圾分类收集的户数（户数）</w:t>
      </w:r>
      <w:r>
        <w:rPr>
          <w:rFonts w:ascii="宋体" w:hAnsi="宋体" w:eastAsia="宋体" w:cs="宋体"/>
          <w:spacing w:val="-78"/>
          <w:position w:val="8"/>
          <w:sz w:val="21"/>
          <w:szCs w:val="21"/>
          <w:u w:val="single" w:color="auto"/>
        </w:rPr>
        <w:t xml:space="preserve"> </w:t>
      </w:r>
      <w:r>
        <w:rPr>
          <w:rFonts w:ascii="宋体" w:hAnsi="宋体" w:eastAsia="宋体" w:cs="宋体"/>
          <w:spacing w:val="-44"/>
          <w:position w:val="8"/>
          <w:sz w:val="21"/>
          <w:szCs w:val="21"/>
        </w:rPr>
        <w:t xml:space="preserve"> </w:t>
      </w:r>
      <w:r>
        <w:rPr>
          <w:rFonts w:ascii="Cambria Math" w:hAnsi="Cambria Math" w:eastAsia="Cambria Math" w:cs="Cambria Math"/>
          <w:spacing w:val="-3"/>
          <w:position w:val="-7"/>
          <w:sz w:val="21"/>
          <w:szCs w:val="21"/>
        </w:rPr>
        <w:t>×</w:t>
      </w:r>
      <w:r>
        <w:rPr>
          <w:rFonts w:ascii="Cambria Math" w:hAnsi="Cambria Math" w:eastAsia="Cambria Math" w:cs="Cambria Math"/>
          <w:spacing w:val="19"/>
          <w:position w:val="-7"/>
          <w:sz w:val="21"/>
          <w:szCs w:val="21"/>
        </w:rPr>
        <w:t xml:space="preserve"> </w:t>
      </w:r>
      <w:r>
        <w:rPr>
          <w:rFonts w:ascii="Cambria Math" w:hAnsi="Cambria Math" w:eastAsia="Cambria Math" w:cs="Cambria Math"/>
          <w:spacing w:val="-3"/>
          <w:position w:val="-7"/>
          <w:sz w:val="21"/>
          <w:szCs w:val="21"/>
        </w:rPr>
        <w:t>100%</w:t>
      </w:r>
      <w:r>
        <w:rPr>
          <w:rFonts w:ascii="Cambria Math" w:hAnsi="Cambria Math" w:eastAsia="Cambria Math" w:cs="Cambria Math"/>
          <w:position w:val="-7"/>
          <w:sz w:val="21"/>
          <w:szCs w:val="21"/>
        </w:rPr>
        <w:t xml:space="preserve"> </w:t>
      </w:r>
      <w:r>
        <w:rPr>
          <w:rFonts w:ascii="宋体" w:hAnsi="宋体" w:eastAsia="宋体" w:cs="宋体"/>
          <w:sz w:val="21"/>
          <w:szCs w:val="21"/>
        </w:rPr>
        <w:t>社区总户数</w:t>
      </w:r>
      <w:r>
        <w:rPr>
          <w:rFonts w:ascii="Cambria Math" w:hAnsi="Cambria Math" w:eastAsia="Cambria Math" w:cs="Cambria Math"/>
          <w:sz w:val="21"/>
          <w:szCs w:val="21"/>
        </w:rPr>
        <w:t>(</w:t>
      </w:r>
      <w:r>
        <w:rPr>
          <w:rFonts w:ascii="宋体" w:hAnsi="宋体" w:eastAsia="宋体" w:cs="宋体"/>
          <w:sz w:val="21"/>
          <w:szCs w:val="21"/>
        </w:rPr>
        <w:t>户数</w:t>
      </w:r>
      <w:r>
        <w:rPr>
          <w:rFonts w:ascii="Cambria Math" w:hAnsi="Cambria Math" w:eastAsia="Cambria Math" w:cs="Cambria Math"/>
          <w:sz w:val="21"/>
          <w:szCs w:val="21"/>
        </w:rPr>
        <w:t>)</w:t>
      </w:r>
    </w:p>
    <w:p w14:paraId="2D6E4ED9">
      <w:pPr>
        <w:spacing w:before="180" w:line="234" w:lineRule="auto"/>
        <w:ind w:left="437"/>
        <w:rPr>
          <w:rFonts w:ascii="宋体" w:hAnsi="宋体" w:eastAsia="宋体" w:cs="宋体"/>
          <w:sz w:val="21"/>
          <w:szCs w:val="21"/>
        </w:rPr>
      </w:pPr>
      <w:r>
        <w:rPr>
          <w:rFonts w:ascii="宋体" w:hAnsi="宋体" w:eastAsia="宋体" w:cs="宋体"/>
          <w:spacing w:val="-1"/>
          <w:sz w:val="21"/>
          <w:szCs w:val="21"/>
        </w:rPr>
        <w:t>评分标准：生活垃圾分类收集率≥</w:t>
      </w:r>
      <w:r>
        <w:rPr>
          <w:rFonts w:ascii="Times New Roman" w:hAnsi="Times New Roman" w:eastAsia="Times New Roman" w:cs="Times New Roman"/>
          <w:spacing w:val="-1"/>
          <w:sz w:val="21"/>
          <w:szCs w:val="21"/>
        </w:rPr>
        <w:t>90%</w:t>
      </w:r>
      <w:r>
        <w:rPr>
          <w:rFonts w:ascii="宋体" w:hAnsi="宋体" w:eastAsia="宋体" w:cs="宋体"/>
          <w:spacing w:val="-1"/>
          <w:sz w:val="21"/>
          <w:szCs w:val="21"/>
        </w:rPr>
        <w:t>——</w:t>
      </w:r>
      <w:r>
        <w:rPr>
          <w:rFonts w:ascii="Times New Roman" w:hAnsi="Times New Roman" w:eastAsia="Times New Roman" w:cs="Times New Roman"/>
          <w:spacing w:val="-1"/>
          <w:sz w:val="21"/>
          <w:szCs w:val="21"/>
        </w:rPr>
        <w:t>5</w:t>
      </w:r>
      <w:r>
        <w:rPr>
          <w:rFonts w:ascii="宋体" w:hAnsi="宋体" w:eastAsia="宋体" w:cs="宋体"/>
          <w:spacing w:val="-1"/>
          <w:sz w:val="21"/>
          <w:szCs w:val="21"/>
        </w:rPr>
        <w:t>分</w:t>
      </w:r>
    </w:p>
    <w:p w14:paraId="460BC60E">
      <w:pPr>
        <w:spacing w:before="45" w:line="214" w:lineRule="auto"/>
        <w:ind w:left="1491"/>
        <w:rPr>
          <w:rFonts w:ascii="宋体" w:hAnsi="宋体" w:eastAsia="宋体" w:cs="宋体"/>
          <w:sz w:val="21"/>
          <w:szCs w:val="21"/>
        </w:rPr>
      </w:pPr>
      <w:r>
        <w:rPr>
          <w:rFonts w:ascii="宋体" w:hAnsi="宋体" w:eastAsia="宋体" w:cs="宋体"/>
          <w:spacing w:val="-2"/>
          <w:sz w:val="21"/>
          <w:szCs w:val="21"/>
        </w:rPr>
        <w:t>生活垃圾分类收集率</w:t>
      </w:r>
      <w:r>
        <w:rPr>
          <w:rFonts w:ascii="Times New Roman" w:hAnsi="Times New Roman" w:eastAsia="Times New Roman" w:cs="Times New Roman"/>
          <w:spacing w:val="-2"/>
          <w:sz w:val="21"/>
          <w:szCs w:val="21"/>
        </w:rPr>
        <w:t>[80%</w:t>
      </w:r>
      <w:r>
        <w:rPr>
          <w:rFonts w:ascii="Times New Roman" w:hAnsi="Times New Roman" w:eastAsia="Times New Roman" w:cs="Times New Roman"/>
          <w:spacing w:val="-14"/>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90% )</w:t>
      </w: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分</w:t>
      </w:r>
    </w:p>
    <w:p w14:paraId="3E6DD488">
      <w:pPr>
        <w:spacing w:before="69" w:line="285" w:lineRule="auto"/>
        <w:ind w:left="436" w:right="4186" w:firstLine="1054"/>
        <w:rPr>
          <w:rFonts w:ascii="宋体" w:hAnsi="宋体" w:eastAsia="宋体" w:cs="宋体"/>
          <w:sz w:val="18"/>
          <w:szCs w:val="18"/>
        </w:rPr>
      </w:pPr>
      <w:r>
        <w:rPr>
          <w:rFonts w:ascii="宋体" w:hAnsi="宋体" w:eastAsia="宋体" w:cs="宋体"/>
          <w:spacing w:val="-1"/>
          <w:sz w:val="21"/>
          <w:szCs w:val="21"/>
        </w:rPr>
        <w:t>生活垃圾分类收集率</w:t>
      </w:r>
      <w:r>
        <w:rPr>
          <w:rFonts w:ascii="Times New Roman" w:hAnsi="Times New Roman" w:eastAsia="Times New Roman" w:cs="Times New Roman"/>
          <w:spacing w:val="-1"/>
          <w:sz w:val="21"/>
          <w:szCs w:val="21"/>
        </w:rPr>
        <w:t>[60%,80% )</w:t>
      </w: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分</w:t>
      </w:r>
      <w:r>
        <w:rPr>
          <w:rFonts w:ascii="宋体" w:hAnsi="宋体" w:eastAsia="宋体" w:cs="宋体"/>
          <w:spacing w:val="16"/>
          <w:sz w:val="21"/>
          <w:szCs w:val="21"/>
        </w:rPr>
        <w:t xml:space="preserve"> </w:t>
      </w:r>
      <w:r>
        <w:rPr>
          <w:rFonts w:ascii="宋体" w:hAnsi="宋体" w:eastAsia="宋体" w:cs="宋体"/>
          <w:spacing w:val="-2"/>
          <w:sz w:val="18"/>
          <w:szCs w:val="18"/>
        </w:rPr>
        <w:t>注：该指标适用于对城镇社区的评价。</w:t>
      </w:r>
    </w:p>
    <w:p w14:paraId="355D59F8">
      <w:pPr>
        <w:spacing w:before="22" w:line="234" w:lineRule="auto"/>
        <w:ind w:left="14"/>
        <w:rPr>
          <w:rFonts w:ascii="宋体" w:hAnsi="宋体" w:eastAsia="宋体" w:cs="宋体"/>
          <w:sz w:val="21"/>
          <w:szCs w:val="21"/>
        </w:rPr>
      </w:pPr>
      <w:r>
        <w:rPr>
          <w:rFonts w:ascii="Times New Roman" w:hAnsi="Times New Roman" w:eastAsia="Times New Roman" w:cs="Times New Roman"/>
          <w:b/>
          <w:bCs/>
          <w:spacing w:val="-2"/>
          <w:sz w:val="21"/>
          <w:szCs w:val="21"/>
        </w:rPr>
        <w:t>B.12</w:t>
      </w:r>
      <w:r>
        <w:rPr>
          <w:rFonts w:ascii="宋体" w:hAnsi="宋体" w:eastAsia="宋体" w:cs="宋体"/>
          <w:b/>
          <w:bCs/>
          <w:spacing w:val="-2"/>
          <w:sz w:val="21"/>
          <w:szCs w:val="21"/>
        </w:rPr>
        <w:t>、</w:t>
      </w:r>
      <w:r>
        <w:rPr>
          <w:rFonts w:ascii="宋体" w:hAnsi="宋体" w:eastAsia="宋体" w:cs="宋体"/>
          <w:spacing w:val="-57"/>
          <w:sz w:val="21"/>
          <w:szCs w:val="21"/>
        </w:rPr>
        <w:t xml:space="preserve"> </w:t>
      </w:r>
      <w:r>
        <w:rPr>
          <w:rFonts w:ascii="宋体" w:hAnsi="宋体" w:eastAsia="宋体" w:cs="宋体"/>
          <w:b/>
          <w:bCs/>
          <w:spacing w:val="-2"/>
          <w:sz w:val="21"/>
          <w:szCs w:val="21"/>
        </w:rPr>
        <w:t>生活垃圾无害化处理率</w:t>
      </w:r>
    </w:p>
    <w:p w14:paraId="0DBA4A12">
      <w:pPr>
        <w:spacing w:before="45" w:line="277" w:lineRule="auto"/>
        <w:ind w:left="21" w:right="2" w:firstLine="418"/>
        <w:rPr>
          <w:rFonts w:ascii="宋体" w:hAnsi="宋体" w:eastAsia="宋体" w:cs="宋体"/>
          <w:sz w:val="21"/>
          <w:szCs w:val="21"/>
        </w:rPr>
      </w:pPr>
      <w:r>
        <w:rPr>
          <w:rFonts w:ascii="宋体" w:hAnsi="宋体" w:eastAsia="宋体" w:cs="宋体"/>
          <w:spacing w:val="1"/>
          <w:sz w:val="21"/>
          <w:szCs w:val="21"/>
        </w:rPr>
        <w:t>生活垃圾无害化处理率是指社区内生活垃圾无害化处理的比例。生活垃圾无害化处理率计算方法</w:t>
      </w:r>
      <w:r>
        <w:rPr>
          <w:rFonts w:ascii="宋体" w:hAnsi="宋体" w:eastAsia="宋体" w:cs="宋体"/>
          <w:spacing w:val="5"/>
          <w:sz w:val="21"/>
          <w:szCs w:val="21"/>
        </w:rPr>
        <w:t xml:space="preserve"> </w:t>
      </w:r>
      <w:r>
        <w:rPr>
          <w:rFonts w:ascii="宋体" w:hAnsi="宋体" w:eastAsia="宋体" w:cs="宋体"/>
          <w:spacing w:val="-13"/>
          <w:sz w:val="21"/>
          <w:szCs w:val="21"/>
        </w:rPr>
        <w:t>如下：</w:t>
      </w:r>
    </w:p>
    <w:p w14:paraId="7C25B368">
      <w:pPr>
        <w:spacing w:before="148" w:line="557" w:lineRule="exact"/>
        <w:ind w:left="1337"/>
        <w:rPr>
          <w:rFonts w:ascii="Cambria Math" w:hAnsi="Cambria Math" w:eastAsia="Cambria Math" w:cs="Cambria Math"/>
          <w:sz w:val="21"/>
          <w:szCs w:val="21"/>
        </w:rPr>
      </w:pPr>
      <w:r>
        <w:rPr>
          <w:rFonts w:ascii="宋体" w:hAnsi="宋体" w:eastAsia="宋体" w:cs="宋体"/>
          <w:spacing w:val="-5"/>
          <w:position w:val="9"/>
          <w:sz w:val="21"/>
          <w:szCs w:val="21"/>
        </w:rPr>
        <w:t>生活垃圾无害化处理率</w:t>
      </w:r>
      <w:r>
        <w:rPr>
          <w:rFonts w:ascii="Cambria Math" w:hAnsi="Cambria Math" w:eastAsia="Cambria Math" w:cs="Cambria Math"/>
          <w:spacing w:val="-5"/>
          <w:position w:val="9"/>
          <w:sz w:val="21"/>
          <w:szCs w:val="21"/>
        </w:rPr>
        <w:t>(%)</w:t>
      </w:r>
      <w:r>
        <w:rPr>
          <w:rFonts w:ascii="Cambria Math" w:hAnsi="Cambria Math" w:eastAsia="Cambria Math" w:cs="Cambria Math"/>
          <w:spacing w:val="31"/>
          <w:w w:val="101"/>
          <w:position w:val="9"/>
          <w:sz w:val="21"/>
          <w:szCs w:val="21"/>
        </w:rPr>
        <w:t xml:space="preserve"> </w:t>
      </w:r>
      <w:r>
        <w:rPr>
          <w:rFonts w:ascii="Cambria Math" w:hAnsi="Cambria Math" w:eastAsia="Cambria Math" w:cs="Cambria Math"/>
          <w:spacing w:val="-5"/>
          <w:position w:val="9"/>
          <w:sz w:val="21"/>
          <w:szCs w:val="21"/>
        </w:rPr>
        <w:t>=</w:t>
      </w:r>
      <w:r>
        <w:rPr>
          <w:rFonts w:ascii="Cambria Math" w:hAnsi="Cambria Math" w:eastAsia="Cambria Math" w:cs="Cambria Math"/>
          <w:spacing w:val="19"/>
          <w:w w:val="101"/>
          <w:position w:val="9"/>
          <w:sz w:val="21"/>
          <w:szCs w:val="21"/>
        </w:rPr>
        <w:t xml:space="preserve"> </w:t>
      </w:r>
      <w:r>
        <w:rPr>
          <w:rFonts w:ascii="宋体" w:hAnsi="宋体" w:eastAsia="宋体" w:cs="宋体"/>
          <w:spacing w:val="-5"/>
          <w:position w:val="24"/>
          <w:sz w:val="21"/>
          <w:szCs w:val="21"/>
        </w:rPr>
        <w:t>生活</w:t>
      </w:r>
      <w:r>
        <w:fldChar w:fldCharType="begin"/>
      </w:r>
      <w:r>
        <w:instrText xml:space="preserve">EQ \* jc3 \* hps21 \o\al(\s\up 7(</w:instrText>
      </w:r>
      <w:r>
        <w:rPr>
          <w:rFonts w:ascii="宋体" w:hAnsi="宋体" w:eastAsia="宋体" w:cs="宋体"/>
          <w:position w:val="9"/>
          <w:sz w:val="21"/>
          <w:szCs w:val="21"/>
        </w:rPr>
        <w:instrText xml:space="preserve">垃圾无害化处理的</w:instrText>
      </w:r>
      <w:r>
        <w:instrText xml:space="preserve">),</w:instrText>
      </w:r>
      <w:r>
        <w:rPr>
          <w:rFonts w:ascii="宋体" w:hAnsi="宋体" w:eastAsia="宋体" w:cs="宋体"/>
          <w:position w:val="-10"/>
          <w:sz w:val="21"/>
          <w:szCs w:val="21"/>
        </w:rPr>
        <w:instrText xml:space="preserve">社区生活垃圾总量</w:instrText>
      </w:r>
      <w:r>
        <w:instrText xml:space="preserve">)</w:instrText>
      </w:r>
      <w:r>
        <w:fldChar w:fldCharType="end"/>
      </w:r>
      <w:r>
        <w:rPr>
          <w:rFonts w:ascii="宋体" w:hAnsi="宋体" w:eastAsia="宋体" w:cs="宋体"/>
          <w:spacing w:val="-5"/>
          <w:position w:val="24"/>
          <w:sz w:val="21"/>
          <w:szCs w:val="21"/>
        </w:rPr>
        <w:t>吨</w:t>
      </w:r>
      <w:r>
        <w:rPr>
          <w:rFonts w:ascii="宋体" w:hAnsi="宋体" w:eastAsia="宋体" w:cs="宋体"/>
          <w:spacing w:val="-37"/>
          <w:w w:val="61"/>
          <w:position w:val="-10"/>
          <w:sz w:val="21"/>
          <w:szCs w:val="21"/>
        </w:rPr>
        <w:t>（</w:t>
      </w:r>
      <w:r>
        <w:fldChar w:fldCharType="begin"/>
      </w:r>
      <w:r>
        <w:instrText xml:space="preserve">EQ \* jc3 \* hps21 \o\al(\s\up 7(</w:instrText>
      </w:r>
      <w:r>
        <w:rPr>
          <w:rFonts w:ascii="宋体" w:hAnsi="宋体" w:eastAsia="宋体" w:cs="宋体"/>
          <w:w w:val="95"/>
          <w:position w:val="9"/>
          <w:sz w:val="21"/>
          <w:szCs w:val="21"/>
        </w:rPr>
        <w:instrText xml:space="preserve">数</w:instrText>
      </w:r>
      <w:r>
        <w:instrText xml:space="preserve">),</w:instrText>
      </w:r>
      <w:r>
        <w:rPr>
          <w:rFonts w:ascii="宋体" w:hAnsi="宋体" w:eastAsia="宋体" w:cs="宋体"/>
          <w:w w:val="95"/>
          <w:position w:val="-10"/>
          <w:sz w:val="21"/>
          <w:szCs w:val="21"/>
        </w:rPr>
        <w:instrText xml:space="preserve">吨</w:instrText>
      </w:r>
      <w:r>
        <w:instrText xml:space="preserve">)</w:instrText>
      </w:r>
      <w:r>
        <w:fldChar w:fldCharType="end"/>
      </w:r>
      <w:r>
        <w:rPr>
          <w:rFonts w:ascii="宋体" w:hAnsi="宋体" w:eastAsia="宋体" w:cs="宋体"/>
          <w:spacing w:val="-37"/>
          <w:w w:val="61"/>
          <w:position w:val="-10"/>
          <w:sz w:val="21"/>
          <w:szCs w:val="21"/>
        </w:rPr>
        <w:t>）</w:t>
      </w:r>
      <w:r>
        <w:rPr>
          <w:rFonts w:ascii="宋体" w:hAnsi="宋体" w:eastAsia="宋体" w:cs="宋体"/>
          <w:spacing w:val="-37"/>
          <w:w w:val="61"/>
          <w:position w:val="24"/>
          <w:sz w:val="21"/>
          <w:szCs w:val="21"/>
        </w:rPr>
        <w:t>（</w:t>
      </w:r>
      <w:r>
        <w:rPr>
          <w:rFonts w:ascii="宋体" w:hAnsi="宋体" w:eastAsia="宋体" w:cs="宋体"/>
          <w:spacing w:val="-5"/>
          <w:position w:val="24"/>
          <w:sz w:val="21"/>
          <w:szCs w:val="21"/>
        </w:rPr>
        <w:t>吨）</w:t>
      </w:r>
      <w:r>
        <w:rPr>
          <w:rFonts w:ascii="宋体" w:hAnsi="宋体" w:eastAsia="宋体" w:cs="宋体"/>
          <w:spacing w:val="-41"/>
          <w:position w:val="24"/>
          <w:sz w:val="21"/>
          <w:szCs w:val="21"/>
        </w:rPr>
        <w:t xml:space="preserve"> </w:t>
      </w:r>
      <w:r>
        <w:rPr>
          <w:rFonts w:ascii="Cambria Math" w:hAnsi="Cambria Math" w:eastAsia="Cambria Math" w:cs="Cambria Math"/>
          <w:spacing w:val="-5"/>
          <w:position w:val="9"/>
          <w:sz w:val="21"/>
          <w:szCs w:val="21"/>
        </w:rPr>
        <w:t>×</w:t>
      </w:r>
      <w:r>
        <w:rPr>
          <w:rFonts w:ascii="Cambria Math" w:hAnsi="Cambria Math" w:eastAsia="Cambria Math" w:cs="Cambria Math"/>
          <w:spacing w:val="18"/>
          <w:w w:val="101"/>
          <w:position w:val="9"/>
          <w:sz w:val="21"/>
          <w:szCs w:val="21"/>
        </w:rPr>
        <w:t xml:space="preserve"> </w:t>
      </w:r>
      <w:r>
        <w:rPr>
          <w:rFonts w:ascii="Cambria Math" w:hAnsi="Cambria Math" w:eastAsia="Cambria Math" w:cs="Cambria Math"/>
          <w:spacing w:val="-5"/>
          <w:position w:val="9"/>
          <w:sz w:val="21"/>
          <w:szCs w:val="21"/>
        </w:rPr>
        <w:t>100%</w:t>
      </w:r>
    </w:p>
    <w:p w14:paraId="4E254929">
      <w:pPr>
        <w:spacing w:before="226" w:line="234" w:lineRule="auto"/>
        <w:ind w:left="437"/>
        <w:rPr>
          <w:rFonts w:ascii="宋体" w:hAnsi="宋体" w:eastAsia="宋体" w:cs="宋体"/>
          <w:sz w:val="21"/>
          <w:szCs w:val="21"/>
        </w:rPr>
      </w:pPr>
      <w:r>
        <w:rPr>
          <w:rFonts w:ascii="宋体" w:hAnsi="宋体" w:eastAsia="宋体" w:cs="宋体"/>
          <w:sz w:val="21"/>
          <w:szCs w:val="21"/>
        </w:rPr>
        <w:t>评分标准：生活垃圾无害化处理率≥</w:t>
      </w:r>
      <w:r>
        <w:rPr>
          <w:rFonts w:ascii="Times New Roman" w:hAnsi="Times New Roman" w:eastAsia="Times New Roman" w:cs="Times New Roman"/>
          <w:sz w:val="21"/>
          <w:szCs w:val="21"/>
        </w:rPr>
        <w:t>95%</w:t>
      </w:r>
      <w:r>
        <w:rPr>
          <w:rFonts w:ascii="宋体" w:hAnsi="宋体" w:eastAsia="宋体" w:cs="宋体"/>
          <w:spacing w:val="-1"/>
          <w:sz w:val="21"/>
          <w:szCs w:val="21"/>
        </w:rPr>
        <w:t>——</w:t>
      </w:r>
      <w:r>
        <w:rPr>
          <w:rFonts w:ascii="Times New Roman" w:hAnsi="Times New Roman" w:eastAsia="Times New Roman" w:cs="Times New Roman"/>
          <w:spacing w:val="-1"/>
          <w:sz w:val="21"/>
          <w:szCs w:val="21"/>
        </w:rPr>
        <w:t>5</w:t>
      </w:r>
      <w:r>
        <w:rPr>
          <w:rFonts w:ascii="宋体" w:hAnsi="宋体" w:eastAsia="宋体" w:cs="宋体"/>
          <w:spacing w:val="-1"/>
          <w:sz w:val="21"/>
          <w:szCs w:val="21"/>
        </w:rPr>
        <w:t>分</w:t>
      </w:r>
    </w:p>
    <w:p w14:paraId="704ED559">
      <w:pPr>
        <w:spacing w:before="45" w:line="214" w:lineRule="auto"/>
        <w:ind w:left="1491"/>
        <w:rPr>
          <w:rFonts w:ascii="宋体" w:hAnsi="宋体" w:eastAsia="宋体" w:cs="宋体"/>
          <w:sz w:val="21"/>
          <w:szCs w:val="21"/>
        </w:rPr>
      </w:pPr>
      <w:r>
        <w:rPr>
          <w:rFonts w:ascii="宋体" w:hAnsi="宋体" w:eastAsia="宋体" w:cs="宋体"/>
          <w:spacing w:val="-2"/>
          <w:sz w:val="21"/>
          <w:szCs w:val="21"/>
        </w:rPr>
        <w:t>生活垃圾无害化处理率</w:t>
      </w:r>
      <w:r>
        <w:rPr>
          <w:rFonts w:ascii="Times New Roman" w:hAnsi="Times New Roman" w:eastAsia="Times New Roman" w:cs="Times New Roman"/>
          <w:spacing w:val="-2"/>
          <w:sz w:val="21"/>
          <w:szCs w:val="21"/>
        </w:rPr>
        <w:t>[85%</w:t>
      </w:r>
      <w:r>
        <w:rPr>
          <w:rFonts w:ascii="Times New Roman" w:hAnsi="Times New Roman" w:eastAsia="Times New Roman" w:cs="Times New Roman"/>
          <w:spacing w:val="-12"/>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95% )</w:t>
      </w: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分</w:t>
      </w:r>
    </w:p>
    <w:p w14:paraId="416EB66B">
      <w:pPr>
        <w:spacing w:before="70" w:line="285" w:lineRule="auto"/>
        <w:ind w:left="376" w:right="3977" w:firstLine="1114"/>
        <w:rPr>
          <w:rFonts w:ascii="宋体" w:hAnsi="宋体" w:eastAsia="宋体" w:cs="宋体"/>
          <w:sz w:val="18"/>
          <w:szCs w:val="18"/>
        </w:rPr>
      </w:pPr>
      <w:r>
        <w:rPr>
          <w:rFonts w:ascii="宋体" w:hAnsi="宋体" w:eastAsia="宋体" w:cs="宋体"/>
          <w:spacing w:val="-1"/>
          <w:sz w:val="21"/>
          <w:szCs w:val="21"/>
        </w:rPr>
        <w:t>生活垃圾无害化处理率</w:t>
      </w:r>
      <w:r>
        <w:rPr>
          <w:rFonts w:ascii="Times New Roman" w:hAnsi="Times New Roman" w:eastAsia="Times New Roman" w:cs="Times New Roman"/>
          <w:spacing w:val="-1"/>
          <w:sz w:val="21"/>
          <w:szCs w:val="21"/>
        </w:rPr>
        <w:t>[60%,85% )</w:t>
      </w: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分</w:t>
      </w:r>
      <w:r>
        <w:rPr>
          <w:rFonts w:ascii="宋体" w:hAnsi="宋体" w:eastAsia="宋体" w:cs="宋体"/>
          <w:spacing w:val="16"/>
          <w:sz w:val="21"/>
          <w:szCs w:val="21"/>
        </w:rPr>
        <w:t xml:space="preserve"> </w:t>
      </w:r>
      <w:r>
        <w:rPr>
          <w:rFonts w:ascii="宋体" w:hAnsi="宋体" w:eastAsia="宋体" w:cs="宋体"/>
          <w:spacing w:val="-2"/>
          <w:sz w:val="18"/>
          <w:szCs w:val="18"/>
        </w:rPr>
        <w:t>注：该指标适用于对农村社区的评价。</w:t>
      </w:r>
    </w:p>
    <w:p w14:paraId="320B58E1">
      <w:pPr>
        <w:spacing w:before="22" w:line="234" w:lineRule="auto"/>
        <w:rPr>
          <w:rFonts w:ascii="宋体" w:hAnsi="宋体" w:eastAsia="宋体" w:cs="宋体"/>
          <w:sz w:val="21"/>
          <w:szCs w:val="21"/>
        </w:rPr>
      </w:pPr>
      <w:r>
        <w:rPr>
          <w:rFonts w:ascii="Times New Roman" w:hAnsi="Times New Roman" w:eastAsia="Times New Roman" w:cs="Times New Roman"/>
          <w:b/>
          <w:bCs/>
          <w:spacing w:val="-2"/>
          <w:sz w:val="21"/>
          <w:szCs w:val="21"/>
        </w:rPr>
        <w:t>B.13</w:t>
      </w:r>
      <w:r>
        <w:rPr>
          <w:rFonts w:ascii="宋体" w:hAnsi="宋体" w:eastAsia="宋体" w:cs="宋体"/>
          <w:b/>
          <w:bCs/>
          <w:spacing w:val="-2"/>
          <w:sz w:val="21"/>
          <w:szCs w:val="21"/>
        </w:rPr>
        <w:t>、再生资源回收站点数量</w:t>
      </w:r>
    </w:p>
    <w:p w14:paraId="7B00DC46">
      <w:pPr>
        <w:spacing w:before="45" w:line="234" w:lineRule="auto"/>
        <w:ind w:left="438"/>
        <w:rPr>
          <w:rFonts w:ascii="宋体" w:hAnsi="宋体" w:eastAsia="宋体" w:cs="宋体"/>
          <w:sz w:val="21"/>
          <w:szCs w:val="21"/>
        </w:rPr>
      </w:pPr>
      <w:r>
        <w:rPr>
          <w:rFonts w:ascii="宋体" w:hAnsi="宋体" w:eastAsia="宋体" w:cs="宋体"/>
          <w:spacing w:val="-1"/>
          <w:sz w:val="21"/>
          <w:szCs w:val="21"/>
        </w:rPr>
        <w:t>城镇社区及农村每千人以上村至少设立</w:t>
      </w:r>
      <w:r>
        <w:rPr>
          <w:rFonts w:ascii="Times New Roman" w:hAnsi="Times New Roman" w:eastAsia="Times New Roman" w:cs="Times New Roman"/>
          <w:spacing w:val="-1"/>
          <w:sz w:val="21"/>
          <w:szCs w:val="21"/>
        </w:rPr>
        <w:t>1</w:t>
      </w:r>
      <w:r>
        <w:rPr>
          <w:rFonts w:ascii="宋体" w:hAnsi="宋体" w:eastAsia="宋体" w:cs="宋体"/>
          <w:spacing w:val="-1"/>
          <w:sz w:val="21"/>
          <w:szCs w:val="21"/>
        </w:rPr>
        <w:t>个再生资源回收站点。</w:t>
      </w:r>
    </w:p>
    <w:p w14:paraId="242E6286">
      <w:pPr>
        <w:spacing w:before="46" w:line="221" w:lineRule="auto"/>
        <w:ind w:left="437"/>
        <w:rPr>
          <w:rFonts w:ascii="宋体" w:hAnsi="宋体" w:eastAsia="宋体" w:cs="宋体"/>
          <w:sz w:val="21"/>
          <w:szCs w:val="21"/>
        </w:rPr>
      </w:pPr>
      <w:r>
        <w:rPr>
          <w:rFonts w:ascii="宋体" w:hAnsi="宋体" w:eastAsia="宋体" w:cs="宋体"/>
          <w:spacing w:val="-6"/>
          <w:sz w:val="21"/>
          <w:szCs w:val="21"/>
        </w:rPr>
        <w:t>评分标准：</w:t>
      </w:r>
    </w:p>
    <w:p w14:paraId="4B75B593">
      <w:pPr>
        <w:spacing w:before="61" w:line="234" w:lineRule="auto"/>
        <w:ind w:left="438"/>
        <w:rPr>
          <w:rFonts w:ascii="宋体" w:hAnsi="宋体" w:eastAsia="宋体" w:cs="宋体"/>
          <w:sz w:val="21"/>
          <w:szCs w:val="21"/>
        </w:rPr>
      </w:pPr>
      <w:r>
        <w:rPr>
          <w:rFonts w:ascii="宋体" w:hAnsi="宋体" w:eastAsia="宋体" w:cs="宋体"/>
          <w:spacing w:val="-2"/>
          <w:sz w:val="21"/>
          <w:szCs w:val="21"/>
        </w:rPr>
        <w:t>满足站点数量要求，得</w:t>
      </w:r>
      <w:r>
        <w:rPr>
          <w:rFonts w:ascii="Times New Roman" w:hAnsi="Times New Roman" w:eastAsia="Times New Roman" w:cs="Times New Roman"/>
          <w:spacing w:val="-2"/>
          <w:sz w:val="21"/>
          <w:szCs w:val="21"/>
        </w:rPr>
        <w:t>5</w:t>
      </w:r>
      <w:r>
        <w:rPr>
          <w:rFonts w:ascii="宋体" w:hAnsi="宋体" w:eastAsia="宋体" w:cs="宋体"/>
          <w:spacing w:val="-2"/>
          <w:sz w:val="21"/>
          <w:szCs w:val="21"/>
        </w:rPr>
        <w:t>分。</w:t>
      </w:r>
    </w:p>
    <w:p w14:paraId="0018942E">
      <w:pPr>
        <w:spacing w:before="45" w:line="221" w:lineRule="auto"/>
        <w:ind w:left="441"/>
        <w:rPr>
          <w:rFonts w:ascii="宋体" w:hAnsi="宋体" w:eastAsia="宋体" w:cs="宋体"/>
          <w:sz w:val="21"/>
          <w:szCs w:val="21"/>
        </w:rPr>
      </w:pPr>
      <w:r>
        <w:rPr>
          <w:rFonts w:ascii="宋体" w:hAnsi="宋体" w:eastAsia="宋体" w:cs="宋体"/>
          <w:spacing w:val="-1"/>
          <w:sz w:val="21"/>
          <w:szCs w:val="21"/>
        </w:rPr>
        <w:t>不满足要求，不给分。</w:t>
      </w:r>
    </w:p>
    <w:p w14:paraId="3B361C87">
      <w:pPr>
        <w:spacing w:before="60" w:line="221" w:lineRule="auto"/>
        <w:ind w:left="19"/>
        <w:rPr>
          <w:rFonts w:ascii="宋体" w:hAnsi="宋体" w:eastAsia="宋体" w:cs="宋体"/>
          <w:sz w:val="21"/>
          <w:szCs w:val="21"/>
        </w:rPr>
      </w:pPr>
      <w:r>
        <w:rPr>
          <w:rFonts w:ascii="宋体" w:hAnsi="宋体" w:eastAsia="宋体" w:cs="宋体"/>
          <w:b/>
          <w:bCs/>
          <w:spacing w:val="-2"/>
          <w:sz w:val="21"/>
          <w:szCs w:val="21"/>
        </w:rPr>
        <w:t>社区治理的组织架构、低碳发展规划和实施方案</w:t>
      </w:r>
    </w:p>
    <w:p w14:paraId="45BD2C50">
      <w:pPr>
        <w:spacing w:before="60" w:line="275" w:lineRule="auto"/>
        <w:ind w:left="20" w:right="2" w:firstLine="419"/>
        <w:rPr>
          <w:rFonts w:ascii="宋体" w:hAnsi="宋体" w:eastAsia="宋体" w:cs="宋体"/>
          <w:sz w:val="21"/>
          <w:szCs w:val="21"/>
        </w:rPr>
      </w:pPr>
      <w:r>
        <w:rPr>
          <w:rFonts w:ascii="宋体" w:hAnsi="宋体" w:eastAsia="宋体" w:cs="宋体"/>
          <w:spacing w:val="1"/>
          <w:sz w:val="21"/>
          <w:szCs w:val="21"/>
        </w:rPr>
        <w:t>社区有明确的碳减排工作体系，有健全碳排放管理和统计制度，有专人负责本社区碳中和能力管</w:t>
      </w:r>
      <w:r>
        <w:rPr>
          <w:rFonts w:ascii="宋体" w:hAnsi="宋体" w:eastAsia="宋体" w:cs="宋体"/>
          <w:spacing w:val="5"/>
          <w:sz w:val="21"/>
          <w:szCs w:val="21"/>
        </w:rPr>
        <w:t xml:space="preserve"> </w:t>
      </w:r>
      <w:r>
        <w:rPr>
          <w:rFonts w:ascii="宋体" w:hAnsi="宋体" w:eastAsia="宋体" w:cs="宋体"/>
          <w:spacing w:val="-4"/>
          <w:sz w:val="21"/>
          <w:szCs w:val="21"/>
        </w:rPr>
        <w:t>理与提升工作。</w:t>
      </w:r>
    </w:p>
    <w:p w14:paraId="5721BC00">
      <w:pPr>
        <w:spacing w:before="1" w:line="221" w:lineRule="auto"/>
        <w:ind w:left="437"/>
        <w:rPr>
          <w:rFonts w:ascii="宋体" w:hAnsi="宋体" w:eastAsia="宋体" w:cs="宋体"/>
          <w:sz w:val="21"/>
          <w:szCs w:val="21"/>
        </w:rPr>
      </w:pPr>
      <w:r>
        <w:rPr>
          <w:rFonts w:ascii="宋体" w:hAnsi="宋体" w:eastAsia="宋体" w:cs="宋体"/>
          <w:spacing w:val="-6"/>
          <w:sz w:val="21"/>
          <w:szCs w:val="21"/>
        </w:rPr>
        <w:t>评分标准：</w:t>
      </w:r>
    </w:p>
    <w:p w14:paraId="382E08D0">
      <w:pPr>
        <w:spacing w:before="60" w:line="235" w:lineRule="auto"/>
        <w:ind w:left="437"/>
        <w:rPr>
          <w:rFonts w:ascii="宋体" w:hAnsi="宋体" w:eastAsia="宋体" w:cs="宋体"/>
          <w:sz w:val="21"/>
          <w:szCs w:val="21"/>
        </w:rPr>
      </w:pPr>
      <w:r>
        <w:rPr>
          <w:rFonts w:ascii="宋体" w:hAnsi="宋体" w:eastAsia="宋体" w:cs="宋体"/>
          <w:spacing w:val="-2"/>
          <w:sz w:val="21"/>
          <w:szCs w:val="21"/>
        </w:rPr>
        <w:t>视具体情况酌情给分，总分</w:t>
      </w:r>
      <w:r>
        <w:rPr>
          <w:rFonts w:ascii="Times New Roman" w:hAnsi="Times New Roman" w:eastAsia="Times New Roman" w:cs="Times New Roman"/>
          <w:spacing w:val="-2"/>
          <w:sz w:val="21"/>
          <w:szCs w:val="21"/>
        </w:rPr>
        <w:t>5</w:t>
      </w:r>
      <w:r>
        <w:rPr>
          <w:rFonts w:ascii="宋体" w:hAnsi="宋体" w:eastAsia="宋体" w:cs="宋体"/>
          <w:spacing w:val="-2"/>
          <w:sz w:val="21"/>
          <w:szCs w:val="21"/>
        </w:rPr>
        <w:t>分。</w:t>
      </w:r>
    </w:p>
    <w:p w14:paraId="486AFEF6">
      <w:pPr>
        <w:spacing w:before="45" w:line="234" w:lineRule="auto"/>
        <w:ind w:left="14"/>
        <w:rPr>
          <w:rFonts w:ascii="宋体" w:hAnsi="宋体" w:eastAsia="宋体" w:cs="宋体"/>
          <w:sz w:val="21"/>
          <w:szCs w:val="21"/>
        </w:rPr>
      </w:pPr>
      <w:r>
        <w:rPr>
          <w:rFonts w:ascii="Times New Roman" w:hAnsi="Times New Roman" w:eastAsia="Times New Roman" w:cs="Times New Roman"/>
          <w:b/>
          <w:bCs/>
          <w:spacing w:val="-2"/>
          <w:sz w:val="21"/>
          <w:szCs w:val="21"/>
        </w:rPr>
        <w:t>B.14</w:t>
      </w:r>
      <w:r>
        <w:rPr>
          <w:rFonts w:ascii="宋体" w:hAnsi="宋体" w:eastAsia="宋体" w:cs="宋体"/>
          <w:b/>
          <w:bCs/>
          <w:spacing w:val="-2"/>
          <w:sz w:val="21"/>
          <w:szCs w:val="21"/>
        </w:rPr>
        <w:t>、</w:t>
      </w:r>
      <w:r>
        <w:rPr>
          <w:rFonts w:ascii="宋体" w:hAnsi="宋体" w:eastAsia="宋体" w:cs="宋体"/>
          <w:spacing w:val="-57"/>
          <w:sz w:val="21"/>
          <w:szCs w:val="21"/>
        </w:rPr>
        <w:t xml:space="preserve"> </w:t>
      </w:r>
      <w:r>
        <w:rPr>
          <w:rFonts w:ascii="宋体" w:hAnsi="宋体" w:eastAsia="宋体" w:cs="宋体"/>
          <w:b/>
          <w:bCs/>
          <w:spacing w:val="-2"/>
          <w:sz w:val="21"/>
          <w:szCs w:val="21"/>
        </w:rPr>
        <w:t>社区能源统计及能源管理制度</w:t>
      </w:r>
    </w:p>
    <w:p w14:paraId="3F0F31B8">
      <w:pPr>
        <w:spacing w:before="46" w:line="274" w:lineRule="auto"/>
        <w:ind w:left="19" w:right="52" w:firstLine="420"/>
        <w:rPr>
          <w:rFonts w:ascii="宋体" w:hAnsi="宋体" w:eastAsia="宋体" w:cs="宋体"/>
          <w:sz w:val="21"/>
          <w:szCs w:val="21"/>
        </w:rPr>
      </w:pPr>
      <w:r>
        <w:rPr>
          <w:rFonts w:ascii="宋体" w:hAnsi="宋体" w:eastAsia="宋体" w:cs="宋体"/>
          <w:sz w:val="21"/>
          <w:szCs w:val="21"/>
        </w:rPr>
        <w:t>社区居委会及物业公司应积极配合所在区域的街道办事处或乡镇建立完善的能源统计及能</w:t>
      </w:r>
      <w:r>
        <w:rPr>
          <w:rFonts w:ascii="宋体" w:hAnsi="宋体" w:eastAsia="宋体" w:cs="宋体"/>
          <w:spacing w:val="-1"/>
          <w:sz w:val="21"/>
          <w:szCs w:val="21"/>
        </w:rPr>
        <w:t>源管理</w:t>
      </w:r>
      <w:r>
        <w:rPr>
          <w:rFonts w:ascii="宋体" w:hAnsi="宋体" w:eastAsia="宋体" w:cs="宋体"/>
          <w:sz w:val="21"/>
          <w:szCs w:val="21"/>
        </w:rPr>
        <w:t xml:space="preserve"> </w:t>
      </w:r>
      <w:r>
        <w:rPr>
          <w:rFonts w:ascii="宋体" w:hAnsi="宋体" w:eastAsia="宋体" w:cs="宋体"/>
          <w:spacing w:val="-9"/>
          <w:sz w:val="21"/>
          <w:szCs w:val="21"/>
        </w:rPr>
        <w:t>制度。</w:t>
      </w:r>
    </w:p>
    <w:p w14:paraId="06AD0BB8">
      <w:pPr>
        <w:spacing w:line="221" w:lineRule="auto"/>
        <w:ind w:left="437"/>
        <w:rPr>
          <w:rFonts w:ascii="宋体" w:hAnsi="宋体" w:eastAsia="宋体" w:cs="宋体"/>
          <w:sz w:val="21"/>
          <w:szCs w:val="21"/>
        </w:rPr>
      </w:pPr>
      <w:r>
        <w:rPr>
          <w:rFonts w:ascii="宋体" w:hAnsi="宋体" w:eastAsia="宋体" w:cs="宋体"/>
          <w:spacing w:val="-6"/>
          <w:sz w:val="21"/>
          <w:szCs w:val="21"/>
        </w:rPr>
        <w:t>评分标准：</w:t>
      </w:r>
    </w:p>
    <w:p w14:paraId="19D915FA">
      <w:pPr>
        <w:spacing w:before="61" w:line="235" w:lineRule="auto"/>
        <w:ind w:left="437"/>
        <w:rPr>
          <w:rFonts w:ascii="宋体" w:hAnsi="宋体" w:eastAsia="宋体" w:cs="宋体"/>
          <w:sz w:val="21"/>
          <w:szCs w:val="21"/>
        </w:rPr>
      </w:pPr>
      <w:r>
        <w:rPr>
          <w:rFonts w:ascii="宋体" w:hAnsi="宋体" w:eastAsia="宋体" w:cs="宋体"/>
          <w:spacing w:val="-2"/>
          <w:sz w:val="21"/>
          <w:szCs w:val="21"/>
        </w:rPr>
        <w:t>视具体情况合情给分，总分</w:t>
      </w:r>
      <w:r>
        <w:rPr>
          <w:rFonts w:ascii="Times New Roman" w:hAnsi="Times New Roman" w:eastAsia="Times New Roman" w:cs="Times New Roman"/>
          <w:spacing w:val="-2"/>
          <w:sz w:val="21"/>
          <w:szCs w:val="21"/>
        </w:rPr>
        <w:t>5</w:t>
      </w:r>
      <w:r>
        <w:rPr>
          <w:rFonts w:ascii="宋体" w:hAnsi="宋体" w:eastAsia="宋体" w:cs="宋体"/>
          <w:spacing w:val="-2"/>
          <w:sz w:val="21"/>
          <w:szCs w:val="21"/>
        </w:rPr>
        <w:t>分。</w:t>
      </w:r>
    </w:p>
    <w:p w14:paraId="0668F32D">
      <w:pPr>
        <w:spacing w:before="45" w:line="234" w:lineRule="auto"/>
        <w:ind w:left="14"/>
        <w:rPr>
          <w:rFonts w:ascii="宋体" w:hAnsi="宋体" w:eastAsia="宋体" w:cs="宋体"/>
          <w:sz w:val="21"/>
          <w:szCs w:val="21"/>
        </w:rPr>
      </w:pPr>
      <w:r>
        <w:rPr>
          <w:rFonts w:ascii="Times New Roman" w:hAnsi="Times New Roman" w:eastAsia="Times New Roman" w:cs="Times New Roman"/>
          <w:b/>
          <w:bCs/>
          <w:spacing w:val="-2"/>
          <w:sz w:val="21"/>
          <w:szCs w:val="21"/>
        </w:rPr>
        <w:t>B.15</w:t>
      </w:r>
      <w:r>
        <w:rPr>
          <w:rFonts w:ascii="宋体" w:hAnsi="宋体" w:eastAsia="宋体" w:cs="宋体"/>
          <w:b/>
          <w:bCs/>
          <w:spacing w:val="-2"/>
          <w:sz w:val="21"/>
          <w:szCs w:val="21"/>
        </w:rPr>
        <w:t>、</w:t>
      </w:r>
      <w:r>
        <w:rPr>
          <w:rFonts w:ascii="宋体" w:hAnsi="宋体" w:eastAsia="宋体" w:cs="宋体"/>
          <w:spacing w:val="-59"/>
          <w:sz w:val="21"/>
          <w:szCs w:val="21"/>
        </w:rPr>
        <w:t xml:space="preserve"> </w:t>
      </w:r>
      <w:r>
        <w:rPr>
          <w:rFonts w:ascii="宋体" w:hAnsi="宋体" w:eastAsia="宋体" w:cs="宋体"/>
          <w:b/>
          <w:bCs/>
          <w:spacing w:val="-2"/>
          <w:sz w:val="21"/>
          <w:szCs w:val="21"/>
        </w:rPr>
        <w:t>社区信息服务</w:t>
      </w:r>
    </w:p>
    <w:p w14:paraId="3CD281E4">
      <w:pPr>
        <w:spacing w:before="45" w:line="277" w:lineRule="auto"/>
        <w:ind w:left="437" w:right="28" w:firstLine="2"/>
        <w:rPr>
          <w:rFonts w:ascii="宋体" w:hAnsi="宋体" w:eastAsia="宋体" w:cs="宋体"/>
          <w:sz w:val="21"/>
          <w:szCs w:val="21"/>
        </w:rPr>
      </w:pPr>
      <w:r>
        <w:rPr>
          <w:rFonts w:ascii="宋体" w:hAnsi="宋体" w:eastAsia="宋体" w:cs="宋体"/>
          <w:spacing w:val="-4"/>
          <w:sz w:val="21"/>
          <w:szCs w:val="21"/>
        </w:rPr>
        <w:t>社区建设有为居民提供生活便利的公共服务信息的平台（如</w:t>
      </w:r>
      <w:r>
        <w:rPr>
          <w:rFonts w:ascii="宋体" w:hAnsi="宋体" w:eastAsia="宋体" w:cs="宋体"/>
          <w:spacing w:val="-5"/>
          <w:sz w:val="21"/>
          <w:szCs w:val="21"/>
        </w:rPr>
        <w:t>社区服务网站，电子信息公告版等）。</w:t>
      </w:r>
      <w:r>
        <w:rPr>
          <w:rFonts w:ascii="宋体" w:hAnsi="宋体" w:eastAsia="宋体" w:cs="宋体"/>
          <w:sz w:val="21"/>
          <w:szCs w:val="21"/>
        </w:rPr>
        <w:t xml:space="preserve"> </w:t>
      </w:r>
      <w:r>
        <w:rPr>
          <w:rFonts w:ascii="宋体" w:hAnsi="宋体" w:eastAsia="宋体" w:cs="宋体"/>
          <w:spacing w:val="-6"/>
          <w:sz w:val="21"/>
          <w:szCs w:val="21"/>
        </w:rPr>
        <w:t>评分标准：</w:t>
      </w:r>
    </w:p>
    <w:p w14:paraId="43315407">
      <w:pPr>
        <w:spacing w:line="277" w:lineRule="auto"/>
        <w:rPr>
          <w:rFonts w:ascii="宋体" w:hAnsi="宋体" w:eastAsia="宋体" w:cs="宋体"/>
          <w:sz w:val="21"/>
          <w:szCs w:val="21"/>
        </w:rPr>
        <w:sectPr>
          <w:headerReference r:id="rId38" w:type="default"/>
          <w:footerReference r:id="rId39" w:type="default"/>
          <w:pgSz w:w="11907" w:h="16839"/>
          <w:pgMar w:top="1205" w:right="1301" w:bottom="1648" w:left="1293" w:header="880" w:footer="1448" w:gutter="0"/>
          <w:cols w:space="720" w:num="1"/>
        </w:sectPr>
      </w:pPr>
    </w:p>
    <w:p w14:paraId="16A3CDE5">
      <w:pPr>
        <w:spacing w:before="24" w:line="235" w:lineRule="auto"/>
        <w:ind w:left="422"/>
        <w:rPr>
          <w:rFonts w:ascii="宋体" w:hAnsi="宋体" w:eastAsia="宋体" w:cs="宋体"/>
          <w:sz w:val="21"/>
          <w:szCs w:val="21"/>
        </w:rPr>
      </w:pPr>
      <w:r>
        <w:rPr>
          <w:rFonts w:ascii="宋体" w:hAnsi="宋体" w:eastAsia="宋体" w:cs="宋体"/>
          <w:spacing w:val="-2"/>
          <w:sz w:val="21"/>
          <w:szCs w:val="21"/>
        </w:rPr>
        <w:t>视具体情况酌情给分，总分不超过</w:t>
      </w:r>
      <w:r>
        <w:rPr>
          <w:rFonts w:ascii="Times New Roman" w:hAnsi="Times New Roman" w:eastAsia="Times New Roman" w:cs="Times New Roman"/>
          <w:spacing w:val="-2"/>
          <w:sz w:val="21"/>
          <w:szCs w:val="21"/>
        </w:rPr>
        <w:t>5</w:t>
      </w:r>
      <w:r>
        <w:rPr>
          <w:rFonts w:ascii="宋体" w:hAnsi="宋体" w:eastAsia="宋体" w:cs="宋体"/>
          <w:spacing w:val="-2"/>
          <w:sz w:val="21"/>
          <w:szCs w:val="21"/>
        </w:rPr>
        <w:t>分。</w:t>
      </w:r>
    </w:p>
    <w:p w14:paraId="5D28355C">
      <w:pPr>
        <w:spacing w:before="44" w:line="234" w:lineRule="auto"/>
        <w:rPr>
          <w:rFonts w:ascii="宋体" w:hAnsi="宋体" w:eastAsia="宋体" w:cs="宋体"/>
          <w:sz w:val="21"/>
          <w:szCs w:val="21"/>
        </w:rPr>
      </w:pPr>
      <w:r>
        <w:rPr>
          <w:rFonts w:ascii="Times New Roman" w:hAnsi="Times New Roman" w:eastAsia="Times New Roman" w:cs="Times New Roman"/>
          <w:b/>
          <w:bCs/>
          <w:spacing w:val="-2"/>
          <w:sz w:val="21"/>
          <w:szCs w:val="21"/>
        </w:rPr>
        <w:t>B.16</w:t>
      </w:r>
      <w:r>
        <w:rPr>
          <w:rFonts w:ascii="宋体" w:hAnsi="宋体" w:eastAsia="宋体" w:cs="宋体"/>
          <w:b/>
          <w:bCs/>
          <w:spacing w:val="-2"/>
          <w:sz w:val="21"/>
          <w:szCs w:val="21"/>
        </w:rPr>
        <w:t>、</w:t>
      </w:r>
      <w:r>
        <w:rPr>
          <w:rFonts w:ascii="宋体" w:hAnsi="宋体" w:eastAsia="宋体" w:cs="宋体"/>
          <w:spacing w:val="-56"/>
          <w:sz w:val="21"/>
          <w:szCs w:val="21"/>
        </w:rPr>
        <w:t xml:space="preserve"> </w:t>
      </w:r>
      <w:r>
        <w:rPr>
          <w:rFonts w:ascii="宋体" w:hAnsi="宋体" w:eastAsia="宋体" w:cs="宋体"/>
          <w:b/>
          <w:bCs/>
          <w:spacing w:val="-2"/>
          <w:sz w:val="21"/>
          <w:szCs w:val="21"/>
        </w:rPr>
        <w:t>碳中和宣传教育活动</w:t>
      </w:r>
    </w:p>
    <w:p w14:paraId="181A11AA">
      <w:pPr>
        <w:spacing w:before="46" w:line="274" w:lineRule="auto"/>
        <w:ind w:left="7" w:firstLine="418"/>
        <w:rPr>
          <w:rFonts w:ascii="宋体" w:hAnsi="宋体" w:eastAsia="宋体" w:cs="宋体"/>
          <w:sz w:val="21"/>
          <w:szCs w:val="21"/>
        </w:rPr>
      </w:pPr>
      <w:r>
        <w:rPr>
          <w:rFonts w:ascii="宋体" w:hAnsi="宋体" w:eastAsia="宋体" w:cs="宋体"/>
          <w:spacing w:val="-4"/>
          <w:sz w:val="21"/>
          <w:szCs w:val="21"/>
        </w:rPr>
        <w:t>社区对居民开展零碳相关活动，以及利用社区、街道公众号、宣传栏、黑板报等载体，张贴零碳生</w:t>
      </w:r>
      <w:r>
        <w:rPr>
          <w:rFonts w:ascii="宋体" w:hAnsi="宋体" w:eastAsia="宋体" w:cs="宋体"/>
          <w:spacing w:val="12"/>
          <w:sz w:val="21"/>
          <w:szCs w:val="21"/>
        </w:rPr>
        <w:t xml:space="preserve"> </w:t>
      </w:r>
      <w:r>
        <w:rPr>
          <w:rFonts w:ascii="宋体" w:hAnsi="宋体" w:eastAsia="宋体" w:cs="宋体"/>
          <w:spacing w:val="-2"/>
          <w:sz w:val="21"/>
          <w:szCs w:val="21"/>
        </w:rPr>
        <w:t>活、节能宣传口号、标语等的情况。</w:t>
      </w:r>
    </w:p>
    <w:p w14:paraId="30414158">
      <w:pPr>
        <w:spacing w:line="221" w:lineRule="auto"/>
        <w:ind w:left="422"/>
        <w:rPr>
          <w:rFonts w:ascii="宋体" w:hAnsi="宋体" w:eastAsia="宋体" w:cs="宋体"/>
          <w:sz w:val="21"/>
          <w:szCs w:val="21"/>
        </w:rPr>
      </w:pPr>
      <w:r>
        <w:rPr>
          <w:rFonts w:ascii="宋体" w:hAnsi="宋体" w:eastAsia="宋体" w:cs="宋体"/>
          <w:spacing w:val="-6"/>
          <w:sz w:val="21"/>
          <w:szCs w:val="21"/>
        </w:rPr>
        <w:t>评分标准：</w:t>
      </w:r>
    </w:p>
    <w:p w14:paraId="177E833F">
      <w:pPr>
        <w:spacing w:before="61" w:line="234" w:lineRule="auto"/>
        <w:ind w:left="423"/>
        <w:rPr>
          <w:rFonts w:ascii="宋体" w:hAnsi="宋体" w:eastAsia="宋体" w:cs="宋体"/>
          <w:sz w:val="21"/>
          <w:szCs w:val="21"/>
        </w:rPr>
      </w:pPr>
      <w:r>
        <w:rPr>
          <w:rFonts w:ascii="宋体" w:hAnsi="宋体" w:eastAsia="宋体" w:cs="宋体"/>
          <w:spacing w:val="-2"/>
          <w:sz w:val="21"/>
          <w:szCs w:val="21"/>
        </w:rPr>
        <w:t>满足活动次数要求，得</w:t>
      </w:r>
      <w:r>
        <w:rPr>
          <w:rFonts w:ascii="Times New Roman" w:hAnsi="Times New Roman" w:eastAsia="Times New Roman" w:cs="Times New Roman"/>
          <w:spacing w:val="-2"/>
          <w:sz w:val="21"/>
          <w:szCs w:val="21"/>
        </w:rPr>
        <w:t>5</w:t>
      </w:r>
      <w:r>
        <w:rPr>
          <w:rFonts w:ascii="宋体" w:hAnsi="宋体" w:eastAsia="宋体" w:cs="宋体"/>
          <w:spacing w:val="-2"/>
          <w:sz w:val="21"/>
          <w:szCs w:val="21"/>
        </w:rPr>
        <w:t>分。</w:t>
      </w:r>
    </w:p>
    <w:p w14:paraId="1B27E6BF">
      <w:pPr>
        <w:spacing w:before="46" w:line="234" w:lineRule="auto"/>
        <w:ind w:left="423"/>
        <w:rPr>
          <w:rFonts w:ascii="宋体" w:hAnsi="宋体" w:eastAsia="宋体" w:cs="宋体"/>
          <w:sz w:val="21"/>
          <w:szCs w:val="21"/>
        </w:rPr>
      </w:pPr>
      <w:r>
        <w:rPr>
          <w:rFonts w:ascii="宋体" w:hAnsi="宋体" w:eastAsia="宋体" w:cs="宋体"/>
          <w:spacing w:val="-1"/>
          <w:sz w:val="21"/>
          <w:szCs w:val="21"/>
        </w:rPr>
        <w:t>满足活动次数要求的一半以上，得</w:t>
      </w:r>
      <w:r>
        <w:rPr>
          <w:rFonts w:ascii="Times New Roman" w:hAnsi="Times New Roman" w:eastAsia="Times New Roman" w:cs="Times New Roman"/>
          <w:spacing w:val="-1"/>
          <w:sz w:val="21"/>
          <w:szCs w:val="21"/>
        </w:rPr>
        <w:t>2</w:t>
      </w:r>
      <w:r>
        <w:rPr>
          <w:rFonts w:ascii="宋体" w:hAnsi="宋体" w:eastAsia="宋体" w:cs="宋体"/>
          <w:spacing w:val="-1"/>
          <w:sz w:val="21"/>
          <w:szCs w:val="21"/>
        </w:rPr>
        <w:t>分；</w:t>
      </w:r>
    </w:p>
    <w:p w14:paraId="5F427E5A">
      <w:pPr>
        <w:spacing w:before="45" w:line="221" w:lineRule="auto"/>
        <w:ind w:left="427"/>
        <w:rPr>
          <w:rFonts w:ascii="宋体" w:hAnsi="宋体" w:eastAsia="宋体" w:cs="宋体"/>
          <w:sz w:val="21"/>
          <w:szCs w:val="21"/>
        </w:rPr>
      </w:pPr>
      <w:r>
        <w:rPr>
          <w:rFonts w:ascii="宋体" w:hAnsi="宋体" w:eastAsia="宋体" w:cs="宋体"/>
          <w:spacing w:val="-2"/>
          <w:sz w:val="21"/>
          <w:szCs w:val="21"/>
        </w:rPr>
        <w:t>不满足活动次数要求一半，不给分。</w:t>
      </w:r>
    </w:p>
    <w:p w14:paraId="4114CD73">
      <w:pPr>
        <w:spacing w:before="61" w:line="234" w:lineRule="auto"/>
        <w:rPr>
          <w:rFonts w:ascii="宋体" w:hAnsi="宋体" w:eastAsia="宋体" w:cs="宋体"/>
          <w:sz w:val="21"/>
          <w:szCs w:val="21"/>
        </w:rPr>
      </w:pPr>
      <w:r>
        <w:rPr>
          <w:rFonts w:ascii="Times New Roman" w:hAnsi="Times New Roman" w:eastAsia="Times New Roman" w:cs="Times New Roman"/>
          <w:b/>
          <w:bCs/>
          <w:spacing w:val="-2"/>
          <w:sz w:val="21"/>
          <w:szCs w:val="21"/>
        </w:rPr>
        <w:t>B.17</w:t>
      </w:r>
      <w:r>
        <w:rPr>
          <w:rFonts w:ascii="宋体" w:hAnsi="宋体" w:eastAsia="宋体" w:cs="宋体"/>
          <w:b/>
          <w:bCs/>
          <w:spacing w:val="-2"/>
          <w:sz w:val="21"/>
          <w:szCs w:val="21"/>
        </w:rPr>
        <w:t>、</w:t>
      </w:r>
      <w:r>
        <w:rPr>
          <w:rFonts w:ascii="宋体" w:hAnsi="宋体" w:eastAsia="宋体" w:cs="宋体"/>
          <w:spacing w:val="-56"/>
          <w:sz w:val="21"/>
          <w:szCs w:val="21"/>
        </w:rPr>
        <w:t xml:space="preserve"> </w:t>
      </w:r>
      <w:r>
        <w:rPr>
          <w:rFonts w:ascii="宋体" w:hAnsi="宋体" w:eastAsia="宋体" w:cs="宋体"/>
          <w:b/>
          <w:bCs/>
          <w:spacing w:val="-2"/>
          <w:sz w:val="21"/>
          <w:szCs w:val="21"/>
        </w:rPr>
        <w:t>循环经济和共享经济</w:t>
      </w:r>
    </w:p>
    <w:p w14:paraId="4D967816">
      <w:pPr>
        <w:spacing w:before="46" w:line="274" w:lineRule="auto"/>
        <w:ind w:left="422" w:right="28" w:firstLine="2"/>
        <w:rPr>
          <w:rFonts w:ascii="宋体" w:hAnsi="宋体" w:eastAsia="宋体" w:cs="宋体"/>
          <w:sz w:val="21"/>
          <w:szCs w:val="21"/>
        </w:rPr>
      </w:pPr>
      <w:r>
        <w:rPr>
          <w:rFonts w:ascii="宋体" w:hAnsi="宋体" w:eastAsia="宋体" w:cs="宋体"/>
          <w:spacing w:val="-4"/>
          <w:sz w:val="21"/>
          <w:szCs w:val="21"/>
        </w:rPr>
        <w:t>社区宜制定社区循环经济的方案。鼓励和引导社区内企业（</w:t>
      </w:r>
      <w:r>
        <w:rPr>
          <w:rFonts w:ascii="宋体" w:hAnsi="宋体" w:eastAsia="宋体" w:cs="宋体"/>
          <w:spacing w:val="-5"/>
          <w:sz w:val="21"/>
          <w:szCs w:val="21"/>
        </w:rPr>
        <w:t>如食品公司、商超等）发展循环经济。</w:t>
      </w:r>
      <w:r>
        <w:rPr>
          <w:rFonts w:ascii="宋体" w:hAnsi="宋体" w:eastAsia="宋体" w:cs="宋体"/>
          <w:sz w:val="21"/>
          <w:szCs w:val="21"/>
        </w:rPr>
        <w:t xml:space="preserve"> </w:t>
      </w:r>
      <w:r>
        <w:rPr>
          <w:rFonts w:ascii="宋体" w:hAnsi="宋体" w:eastAsia="宋体" w:cs="宋体"/>
          <w:spacing w:val="-6"/>
          <w:sz w:val="21"/>
          <w:szCs w:val="21"/>
        </w:rPr>
        <w:t>评分标准：</w:t>
      </w:r>
    </w:p>
    <w:p w14:paraId="5DEB64CA">
      <w:pPr>
        <w:spacing w:line="235" w:lineRule="auto"/>
        <w:ind w:left="422"/>
        <w:rPr>
          <w:rFonts w:ascii="宋体" w:hAnsi="宋体" w:eastAsia="宋体" w:cs="宋体"/>
          <w:sz w:val="21"/>
          <w:szCs w:val="21"/>
        </w:rPr>
      </w:pPr>
      <w:r>
        <w:rPr>
          <w:rFonts w:ascii="宋体" w:hAnsi="宋体" w:eastAsia="宋体" w:cs="宋体"/>
          <w:spacing w:val="-2"/>
          <w:sz w:val="21"/>
          <w:szCs w:val="21"/>
        </w:rPr>
        <w:t>视具体情况酌情给分，总分不超过</w:t>
      </w:r>
      <w:r>
        <w:rPr>
          <w:rFonts w:ascii="Times New Roman" w:hAnsi="Times New Roman" w:eastAsia="Times New Roman" w:cs="Times New Roman"/>
          <w:spacing w:val="-2"/>
          <w:sz w:val="21"/>
          <w:szCs w:val="21"/>
        </w:rPr>
        <w:t>5</w:t>
      </w:r>
      <w:r>
        <w:rPr>
          <w:rFonts w:ascii="宋体" w:hAnsi="宋体" w:eastAsia="宋体" w:cs="宋体"/>
          <w:spacing w:val="-2"/>
          <w:sz w:val="21"/>
          <w:szCs w:val="21"/>
        </w:rPr>
        <w:t>分。</w:t>
      </w:r>
    </w:p>
    <w:p w14:paraId="6E93B7A9">
      <w:pPr>
        <w:spacing w:line="235" w:lineRule="auto"/>
        <w:rPr>
          <w:rFonts w:ascii="宋体" w:hAnsi="宋体" w:eastAsia="宋体" w:cs="宋体"/>
          <w:sz w:val="21"/>
          <w:szCs w:val="21"/>
        </w:rPr>
        <w:sectPr>
          <w:headerReference r:id="rId40" w:type="default"/>
          <w:footerReference r:id="rId41" w:type="default"/>
          <w:pgSz w:w="11907" w:h="16839"/>
          <w:pgMar w:top="1205" w:right="1301" w:bottom="1648" w:left="1308" w:header="880" w:footer="1448" w:gutter="0"/>
          <w:cols w:space="720" w:num="1"/>
        </w:sectPr>
      </w:pPr>
    </w:p>
    <w:p w14:paraId="4C5D53C2">
      <w:pPr>
        <w:spacing w:before="79" w:line="220" w:lineRule="auto"/>
        <w:ind w:left="3773"/>
        <w:outlineLvl w:val="0"/>
        <w:rPr>
          <w:rFonts w:ascii="黑体" w:hAnsi="黑体" w:eastAsia="黑体" w:cs="黑体"/>
          <w:sz w:val="21"/>
          <w:szCs w:val="21"/>
        </w:rPr>
      </w:pPr>
      <w:bookmarkStart w:id="43" w:name="bookmark25"/>
      <w:bookmarkEnd w:id="43"/>
      <w:r>
        <w:rPr>
          <w:rFonts w:ascii="黑体" w:hAnsi="黑体" w:eastAsia="黑体" w:cs="黑体"/>
          <w:spacing w:val="-10"/>
          <w:sz w:val="21"/>
          <w:szCs w:val="21"/>
        </w:rPr>
        <w:t>附</w:t>
      </w:r>
      <w:r>
        <w:rPr>
          <w:rFonts w:ascii="黑体" w:hAnsi="黑体" w:eastAsia="黑体" w:cs="黑体"/>
          <w:spacing w:val="6"/>
          <w:sz w:val="21"/>
          <w:szCs w:val="21"/>
        </w:rPr>
        <w:t xml:space="preserve">  </w:t>
      </w:r>
      <w:r>
        <w:rPr>
          <w:rFonts w:ascii="黑体" w:hAnsi="黑体" w:eastAsia="黑体" w:cs="黑体"/>
          <w:spacing w:val="-10"/>
          <w:sz w:val="21"/>
          <w:szCs w:val="21"/>
        </w:rPr>
        <w:t>录</w:t>
      </w:r>
      <w:r>
        <w:rPr>
          <w:rFonts w:ascii="黑体" w:hAnsi="黑体" w:eastAsia="黑体" w:cs="黑体"/>
          <w:spacing w:val="4"/>
          <w:sz w:val="21"/>
          <w:szCs w:val="21"/>
        </w:rPr>
        <w:t xml:space="preserve">  </w:t>
      </w:r>
      <w:r>
        <w:rPr>
          <w:rFonts w:ascii="黑体" w:hAnsi="黑体" w:eastAsia="黑体" w:cs="黑体"/>
          <w:spacing w:val="-10"/>
          <w:sz w:val="21"/>
          <w:szCs w:val="21"/>
        </w:rPr>
        <w:t>D</w:t>
      </w:r>
    </w:p>
    <w:p w14:paraId="0D85D21A">
      <w:pPr>
        <w:spacing w:before="110" w:line="220" w:lineRule="auto"/>
        <w:ind w:left="3723"/>
        <w:outlineLvl w:val="0"/>
        <w:rPr>
          <w:rFonts w:ascii="黑体" w:hAnsi="黑体" w:eastAsia="黑体" w:cs="黑体"/>
          <w:sz w:val="21"/>
          <w:szCs w:val="21"/>
        </w:rPr>
      </w:pPr>
      <w:bookmarkStart w:id="44" w:name="bookmark25"/>
      <w:bookmarkEnd w:id="44"/>
      <w:r>
        <w:rPr>
          <w:rFonts w:ascii="黑体" w:hAnsi="黑体" w:eastAsia="黑体" w:cs="黑体"/>
          <w:spacing w:val="-7"/>
          <w:sz w:val="21"/>
          <w:szCs w:val="21"/>
        </w:rPr>
        <w:t>（资料性）</w:t>
      </w:r>
    </w:p>
    <w:p w14:paraId="45393DFD">
      <w:pPr>
        <w:spacing w:before="110" w:line="219" w:lineRule="auto"/>
        <w:ind w:left="3077"/>
        <w:outlineLvl w:val="0"/>
        <w:rPr>
          <w:rFonts w:ascii="黑体" w:hAnsi="黑体" w:eastAsia="黑体" w:cs="黑体"/>
          <w:sz w:val="21"/>
          <w:szCs w:val="21"/>
        </w:rPr>
      </w:pPr>
      <w:bookmarkStart w:id="45" w:name="bookmark25"/>
      <w:bookmarkEnd w:id="45"/>
      <w:r>
        <w:rPr>
          <w:rFonts w:ascii="黑体" w:hAnsi="黑体" w:eastAsia="黑体" w:cs="黑体"/>
          <w:spacing w:val="-1"/>
          <w:sz w:val="21"/>
          <w:szCs w:val="21"/>
        </w:rPr>
        <w:t>碳中和社区评价报告示例</w:t>
      </w:r>
    </w:p>
    <w:p w14:paraId="2B35116F">
      <w:pPr>
        <w:pStyle w:val="2"/>
        <w:spacing w:line="255" w:lineRule="auto"/>
      </w:pPr>
    </w:p>
    <w:p w14:paraId="18197BF1">
      <w:pPr>
        <w:pStyle w:val="2"/>
        <w:spacing w:line="255" w:lineRule="auto"/>
      </w:pPr>
    </w:p>
    <w:p w14:paraId="2511F67F">
      <w:pPr>
        <w:pStyle w:val="2"/>
        <w:spacing w:line="255" w:lineRule="auto"/>
      </w:pPr>
    </w:p>
    <w:p w14:paraId="7FF0851E">
      <w:pPr>
        <w:pStyle w:val="2"/>
        <w:spacing w:line="255" w:lineRule="auto"/>
      </w:pPr>
    </w:p>
    <w:p w14:paraId="7603AFAA">
      <w:pPr>
        <w:pStyle w:val="2"/>
        <w:spacing w:line="255" w:lineRule="auto"/>
      </w:pPr>
    </w:p>
    <w:p w14:paraId="124797E5">
      <w:pPr>
        <w:spacing w:before="68" w:line="219" w:lineRule="auto"/>
        <w:ind w:left="16"/>
        <w:rPr>
          <w:rFonts w:ascii="黑体" w:hAnsi="黑体" w:eastAsia="黑体" w:cs="黑体"/>
          <w:sz w:val="21"/>
          <w:szCs w:val="21"/>
        </w:rPr>
      </w:pPr>
      <w:r>
        <w:rPr>
          <w:rFonts w:ascii="黑体" w:hAnsi="黑体" w:eastAsia="黑体" w:cs="黑体"/>
          <w:spacing w:val="-6"/>
          <w:sz w:val="21"/>
          <w:szCs w:val="21"/>
        </w:rPr>
        <w:t>1.</w:t>
      </w:r>
      <w:r>
        <w:rPr>
          <w:rFonts w:ascii="黑体" w:hAnsi="黑体" w:eastAsia="黑体" w:cs="黑体"/>
          <w:spacing w:val="8"/>
          <w:sz w:val="21"/>
          <w:szCs w:val="21"/>
        </w:rPr>
        <w:t xml:space="preserve"> </w:t>
      </w:r>
      <w:r>
        <w:rPr>
          <w:rFonts w:ascii="黑体" w:hAnsi="黑体" w:eastAsia="黑体" w:cs="黑体"/>
          <w:spacing w:val="-6"/>
          <w:sz w:val="21"/>
          <w:szCs w:val="21"/>
        </w:rPr>
        <w:t>概述</w:t>
      </w:r>
    </w:p>
    <w:p w14:paraId="50D497C4">
      <w:pPr>
        <w:spacing w:before="219" w:line="221" w:lineRule="auto"/>
        <w:ind w:left="21"/>
        <w:rPr>
          <w:rFonts w:ascii="宋体" w:hAnsi="宋体" w:eastAsia="宋体" w:cs="宋体"/>
          <w:sz w:val="21"/>
          <w:szCs w:val="21"/>
        </w:rPr>
      </w:pPr>
      <w:r>
        <w:rPr>
          <w:rFonts w:ascii="宋体" w:hAnsi="宋体" w:eastAsia="宋体" w:cs="宋体"/>
          <w:spacing w:val="-3"/>
          <w:sz w:val="21"/>
          <w:szCs w:val="21"/>
        </w:rPr>
        <w:t>1.1. 评审目的</w:t>
      </w:r>
    </w:p>
    <w:p w14:paraId="23756DF3">
      <w:pPr>
        <w:pStyle w:val="2"/>
        <w:spacing w:line="303" w:lineRule="auto"/>
      </w:pPr>
    </w:p>
    <w:p w14:paraId="6E11207A">
      <w:pPr>
        <w:spacing w:before="68" w:line="221" w:lineRule="auto"/>
        <w:ind w:left="21"/>
        <w:rPr>
          <w:rFonts w:ascii="宋体" w:hAnsi="宋体" w:eastAsia="宋体" w:cs="宋体"/>
          <w:sz w:val="21"/>
          <w:szCs w:val="21"/>
        </w:rPr>
      </w:pPr>
      <w:r>
        <w:rPr>
          <w:rFonts w:ascii="宋体" w:hAnsi="宋体" w:eastAsia="宋体" w:cs="宋体"/>
          <w:spacing w:val="-3"/>
          <w:sz w:val="21"/>
          <w:szCs w:val="21"/>
        </w:rPr>
        <w:t>1.2. 评审范围</w:t>
      </w:r>
    </w:p>
    <w:p w14:paraId="2D782F05">
      <w:pPr>
        <w:pStyle w:val="2"/>
        <w:spacing w:line="302" w:lineRule="auto"/>
      </w:pPr>
    </w:p>
    <w:p w14:paraId="3B5A9F7B">
      <w:pPr>
        <w:spacing w:before="68" w:line="221" w:lineRule="auto"/>
        <w:ind w:left="21"/>
        <w:rPr>
          <w:rFonts w:ascii="宋体" w:hAnsi="宋体" w:eastAsia="宋体" w:cs="宋体"/>
          <w:sz w:val="21"/>
          <w:szCs w:val="21"/>
        </w:rPr>
      </w:pPr>
      <w:r>
        <w:rPr>
          <w:rFonts w:ascii="宋体" w:hAnsi="宋体" w:eastAsia="宋体" w:cs="宋体"/>
          <w:spacing w:val="-3"/>
          <w:sz w:val="21"/>
          <w:szCs w:val="21"/>
        </w:rPr>
        <w:t>1.3. 评审准则</w:t>
      </w:r>
    </w:p>
    <w:p w14:paraId="6A640AAB">
      <w:pPr>
        <w:pStyle w:val="2"/>
        <w:spacing w:line="302" w:lineRule="auto"/>
      </w:pPr>
    </w:p>
    <w:p w14:paraId="339D05B6">
      <w:pPr>
        <w:spacing w:before="69" w:line="219" w:lineRule="auto"/>
        <w:ind w:left="4"/>
        <w:rPr>
          <w:rFonts w:ascii="黑体" w:hAnsi="黑体" w:eastAsia="黑体" w:cs="黑体"/>
          <w:sz w:val="21"/>
          <w:szCs w:val="21"/>
        </w:rPr>
      </w:pPr>
      <w:r>
        <w:rPr>
          <w:rFonts w:ascii="黑体" w:hAnsi="黑体" w:eastAsia="黑体" w:cs="黑体"/>
          <w:spacing w:val="-1"/>
          <w:sz w:val="21"/>
          <w:szCs w:val="21"/>
        </w:rPr>
        <w:t>2. 评审过程和方法</w:t>
      </w:r>
    </w:p>
    <w:p w14:paraId="67D28110">
      <w:pPr>
        <w:spacing w:before="219" w:line="221" w:lineRule="auto"/>
        <w:ind w:left="8"/>
        <w:rPr>
          <w:rFonts w:ascii="宋体" w:hAnsi="宋体" w:eastAsia="宋体" w:cs="宋体"/>
          <w:sz w:val="21"/>
          <w:szCs w:val="21"/>
        </w:rPr>
      </w:pPr>
      <w:r>
        <w:rPr>
          <w:rFonts w:ascii="宋体" w:hAnsi="宋体" w:eastAsia="宋体" w:cs="宋体"/>
          <w:spacing w:val="-1"/>
          <w:sz w:val="21"/>
          <w:szCs w:val="21"/>
        </w:rPr>
        <w:t>2.1. 核查组安排</w:t>
      </w:r>
    </w:p>
    <w:p w14:paraId="249F8BB0">
      <w:pPr>
        <w:pStyle w:val="2"/>
        <w:spacing w:line="301" w:lineRule="auto"/>
      </w:pPr>
    </w:p>
    <w:p w14:paraId="758224A3">
      <w:pPr>
        <w:spacing w:before="69" w:line="221" w:lineRule="auto"/>
        <w:ind w:left="8"/>
        <w:rPr>
          <w:rFonts w:ascii="宋体" w:hAnsi="宋体" w:eastAsia="宋体" w:cs="宋体"/>
          <w:sz w:val="21"/>
          <w:szCs w:val="21"/>
        </w:rPr>
      </w:pPr>
      <w:r>
        <w:rPr>
          <w:rFonts w:ascii="宋体" w:hAnsi="宋体" w:eastAsia="宋体" w:cs="宋体"/>
          <w:spacing w:val="-1"/>
          <w:sz w:val="21"/>
          <w:szCs w:val="21"/>
        </w:rPr>
        <w:t>2.2. 文件评审</w:t>
      </w:r>
    </w:p>
    <w:p w14:paraId="7D9C978E">
      <w:pPr>
        <w:pStyle w:val="2"/>
        <w:spacing w:line="303" w:lineRule="auto"/>
      </w:pPr>
    </w:p>
    <w:p w14:paraId="3AB97018">
      <w:pPr>
        <w:spacing w:before="69" w:line="221" w:lineRule="auto"/>
        <w:ind w:left="8"/>
        <w:rPr>
          <w:rFonts w:ascii="宋体" w:hAnsi="宋体" w:eastAsia="宋体" w:cs="宋体"/>
          <w:sz w:val="21"/>
          <w:szCs w:val="21"/>
        </w:rPr>
      </w:pPr>
      <w:r>
        <w:rPr>
          <w:rFonts w:ascii="宋体" w:hAnsi="宋体" w:eastAsia="宋体" w:cs="宋体"/>
          <w:spacing w:val="-1"/>
          <w:sz w:val="21"/>
          <w:szCs w:val="21"/>
        </w:rPr>
        <w:t>2.3. 现场访问</w:t>
      </w:r>
    </w:p>
    <w:p w14:paraId="3A6108AE">
      <w:pPr>
        <w:pStyle w:val="2"/>
        <w:spacing w:line="302" w:lineRule="auto"/>
      </w:pPr>
    </w:p>
    <w:p w14:paraId="05F470C8">
      <w:pPr>
        <w:spacing w:before="69" w:line="219" w:lineRule="auto"/>
        <w:ind w:left="5"/>
        <w:rPr>
          <w:rFonts w:ascii="黑体" w:hAnsi="黑体" w:eastAsia="黑体" w:cs="黑体"/>
          <w:sz w:val="21"/>
          <w:szCs w:val="21"/>
        </w:rPr>
      </w:pPr>
      <w:r>
        <w:rPr>
          <w:rFonts w:ascii="黑体" w:hAnsi="黑体" w:eastAsia="黑体" w:cs="黑体"/>
          <w:spacing w:val="-1"/>
          <w:sz w:val="21"/>
          <w:szCs w:val="21"/>
        </w:rPr>
        <w:t>3. 评审发现</w:t>
      </w:r>
    </w:p>
    <w:p w14:paraId="1C3F51C5">
      <w:pPr>
        <w:spacing w:before="197" w:line="220" w:lineRule="auto"/>
        <w:ind w:left="9"/>
        <w:rPr>
          <w:rFonts w:ascii="宋体" w:hAnsi="宋体" w:eastAsia="宋体" w:cs="宋体"/>
          <w:sz w:val="21"/>
          <w:szCs w:val="21"/>
        </w:rPr>
      </w:pPr>
      <w:r>
        <w:rPr>
          <w:rFonts w:ascii="宋体" w:hAnsi="宋体" w:eastAsia="宋体" w:cs="宋体"/>
          <w:spacing w:val="-4"/>
          <w:sz w:val="21"/>
          <w:szCs w:val="21"/>
        </w:rPr>
        <w:t>3.1</w:t>
      </w:r>
      <w:r>
        <w:rPr>
          <w:rFonts w:ascii="宋体" w:hAnsi="宋体" w:eastAsia="宋体" w:cs="宋体"/>
          <w:spacing w:val="38"/>
          <w:sz w:val="21"/>
          <w:szCs w:val="21"/>
        </w:rPr>
        <w:t xml:space="preserve"> </w:t>
      </w:r>
      <w:r>
        <w:rPr>
          <w:rFonts w:ascii="宋体" w:hAnsi="宋体" w:eastAsia="宋体" w:cs="宋体"/>
          <w:spacing w:val="-4"/>
          <w:sz w:val="21"/>
          <w:szCs w:val="21"/>
        </w:rPr>
        <w:t>申报社区的基本信息</w:t>
      </w:r>
    </w:p>
    <w:p w14:paraId="065E5737">
      <w:pPr>
        <w:spacing w:before="294" w:line="219" w:lineRule="auto"/>
        <w:ind w:left="9"/>
        <w:rPr>
          <w:rFonts w:ascii="宋体" w:hAnsi="宋体" w:eastAsia="宋体" w:cs="宋体"/>
          <w:sz w:val="21"/>
          <w:szCs w:val="21"/>
        </w:rPr>
      </w:pPr>
      <w:r>
        <w:rPr>
          <w:rFonts w:ascii="宋体" w:hAnsi="宋体" w:eastAsia="宋体" w:cs="宋体"/>
          <w:spacing w:val="-3"/>
          <w:sz w:val="21"/>
          <w:szCs w:val="21"/>
        </w:rPr>
        <w:t>3.2</w:t>
      </w:r>
      <w:r>
        <w:rPr>
          <w:rFonts w:ascii="宋体" w:hAnsi="宋体" w:eastAsia="宋体" w:cs="宋体"/>
          <w:spacing w:val="36"/>
          <w:sz w:val="21"/>
          <w:szCs w:val="21"/>
        </w:rPr>
        <w:t xml:space="preserve"> </w:t>
      </w:r>
      <w:r>
        <w:rPr>
          <w:rFonts w:ascii="宋体" w:hAnsi="宋体" w:eastAsia="宋体" w:cs="宋体"/>
          <w:spacing w:val="-3"/>
          <w:sz w:val="21"/>
          <w:szCs w:val="21"/>
        </w:rPr>
        <w:t>申报社区与评价指标符合性</w:t>
      </w:r>
    </w:p>
    <w:p w14:paraId="3EB88FD2">
      <w:pPr>
        <w:spacing w:before="296" w:line="219" w:lineRule="auto"/>
        <w:ind w:left="9"/>
        <w:rPr>
          <w:rFonts w:ascii="宋体" w:hAnsi="宋体" w:eastAsia="宋体" w:cs="宋体"/>
          <w:sz w:val="21"/>
          <w:szCs w:val="21"/>
        </w:rPr>
      </w:pPr>
      <w:r>
        <w:rPr>
          <w:rFonts w:ascii="宋体" w:hAnsi="宋体" w:eastAsia="宋体" w:cs="宋体"/>
          <w:spacing w:val="-4"/>
          <w:sz w:val="21"/>
          <w:szCs w:val="21"/>
        </w:rPr>
        <w:t>3.3</w:t>
      </w:r>
      <w:r>
        <w:rPr>
          <w:rFonts w:ascii="宋体" w:hAnsi="宋体" w:eastAsia="宋体" w:cs="宋体"/>
          <w:spacing w:val="38"/>
          <w:sz w:val="21"/>
          <w:szCs w:val="21"/>
        </w:rPr>
        <w:t xml:space="preserve"> </w:t>
      </w:r>
      <w:r>
        <w:rPr>
          <w:rFonts w:ascii="宋体" w:hAnsi="宋体" w:eastAsia="宋体" w:cs="宋体"/>
          <w:spacing w:val="-4"/>
          <w:sz w:val="21"/>
          <w:szCs w:val="21"/>
        </w:rPr>
        <w:t>申报社区的评价结果</w:t>
      </w:r>
    </w:p>
    <w:p w14:paraId="24BCE621">
      <w:pPr>
        <w:pStyle w:val="2"/>
        <w:spacing w:line="287" w:lineRule="auto"/>
      </w:pPr>
    </w:p>
    <w:p w14:paraId="2D0E161D">
      <w:pPr>
        <w:spacing w:before="69" w:line="220" w:lineRule="auto"/>
        <w:rPr>
          <w:rFonts w:ascii="黑体" w:hAnsi="黑体" w:eastAsia="黑体" w:cs="黑体"/>
          <w:sz w:val="21"/>
          <w:szCs w:val="21"/>
        </w:rPr>
      </w:pPr>
      <w:r>
        <w:rPr>
          <w:rFonts w:ascii="黑体" w:hAnsi="黑体" w:eastAsia="黑体" w:cs="黑体"/>
          <w:spacing w:val="-3"/>
          <w:sz w:val="21"/>
          <w:szCs w:val="21"/>
        </w:rPr>
        <w:t>4.</w:t>
      </w:r>
      <w:r>
        <w:rPr>
          <w:rFonts w:ascii="黑体" w:hAnsi="黑体" w:eastAsia="黑体" w:cs="黑体"/>
          <w:spacing w:val="17"/>
          <w:sz w:val="21"/>
          <w:szCs w:val="21"/>
        </w:rPr>
        <w:t xml:space="preserve"> </w:t>
      </w:r>
      <w:r>
        <w:rPr>
          <w:rFonts w:ascii="黑体" w:hAnsi="黑体" w:eastAsia="黑体" w:cs="黑体"/>
          <w:spacing w:val="-3"/>
          <w:sz w:val="21"/>
          <w:szCs w:val="21"/>
        </w:rPr>
        <w:t>资料清单</w:t>
      </w:r>
    </w:p>
    <w:p w14:paraId="2D4B9610">
      <w:pPr>
        <w:spacing w:line="220" w:lineRule="auto"/>
        <w:rPr>
          <w:rFonts w:ascii="黑体" w:hAnsi="黑体" w:eastAsia="黑体" w:cs="黑体"/>
          <w:sz w:val="21"/>
          <w:szCs w:val="21"/>
        </w:rPr>
        <w:sectPr>
          <w:headerReference r:id="rId42" w:type="default"/>
          <w:footerReference r:id="rId43" w:type="default"/>
          <w:pgSz w:w="11907" w:h="16839"/>
          <w:pgMar w:top="1205" w:right="1303" w:bottom="1648" w:left="1726" w:header="880" w:footer="1448" w:gutter="0"/>
          <w:cols w:space="720" w:num="1"/>
        </w:sectPr>
      </w:pPr>
    </w:p>
    <w:p w14:paraId="7C376376">
      <w:pPr>
        <w:spacing w:before="24" w:line="220" w:lineRule="auto"/>
        <w:ind w:left="3483"/>
        <w:outlineLvl w:val="0"/>
        <w:rPr>
          <w:rFonts w:ascii="黑体" w:hAnsi="黑体" w:eastAsia="黑体" w:cs="黑体"/>
          <w:sz w:val="21"/>
          <w:szCs w:val="21"/>
        </w:rPr>
      </w:pPr>
      <w:bookmarkStart w:id="46" w:name="bookmark26"/>
      <w:bookmarkEnd w:id="46"/>
      <w:r>
        <w:rPr>
          <w:rFonts w:ascii="黑体" w:hAnsi="黑体" w:eastAsia="黑体" w:cs="黑体"/>
          <w:spacing w:val="-6"/>
          <w:sz w:val="21"/>
          <w:szCs w:val="21"/>
        </w:rPr>
        <w:t>参</w:t>
      </w:r>
      <w:r>
        <w:rPr>
          <w:rFonts w:ascii="黑体" w:hAnsi="黑体" w:eastAsia="黑体" w:cs="黑体"/>
          <w:spacing w:val="4"/>
          <w:sz w:val="21"/>
          <w:szCs w:val="21"/>
        </w:rPr>
        <w:t xml:space="preserve">  </w:t>
      </w:r>
      <w:r>
        <w:rPr>
          <w:rFonts w:ascii="黑体" w:hAnsi="黑体" w:eastAsia="黑体" w:cs="黑体"/>
          <w:spacing w:val="-6"/>
          <w:sz w:val="21"/>
          <w:szCs w:val="21"/>
        </w:rPr>
        <w:t>考</w:t>
      </w:r>
      <w:r>
        <w:rPr>
          <w:rFonts w:ascii="黑体" w:hAnsi="黑体" w:eastAsia="黑体" w:cs="黑体"/>
          <w:spacing w:val="5"/>
          <w:sz w:val="21"/>
          <w:szCs w:val="21"/>
        </w:rPr>
        <w:t xml:space="preserve">  </w:t>
      </w:r>
      <w:r>
        <w:rPr>
          <w:rFonts w:ascii="黑体" w:hAnsi="黑体" w:eastAsia="黑体" w:cs="黑体"/>
          <w:spacing w:val="-6"/>
          <w:sz w:val="21"/>
          <w:szCs w:val="21"/>
        </w:rPr>
        <w:t>文</w:t>
      </w:r>
      <w:r>
        <w:rPr>
          <w:rFonts w:ascii="黑体" w:hAnsi="黑体" w:eastAsia="黑体" w:cs="黑体"/>
          <w:spacing w:val="3"/>
          <w:sz w:val="21"/>
          <w:szCs w:val="21"/>
        </w:rPr>
        <w:t xml:space="preserve">  </w:t>
      </w:r>
      <w:r>
        <w:rPr>
          <w:rFonts w:ascii="黑体" w:hAnsi="黑体" w:eastAsia="黑体" w:cs="黑体"/>
          <w:spacing w:val="-6"/>
          <w:sz w:val="21"/>
          <w:szCs w:val="21"/>
        </w:rPr>
        <w:t>献</w:t>
      </w:r>
    </w:p>
    <w:p w14:paraId="33059719">
      <w:pPr>
        <w:pStyle w:val="2"/>
        <w:spacing w:line="351" w:lineRule="auto"/>
      </w:pPr>
    </w:p>
    <w:p w14:paraId="4F4D5961">
      <w:pPr>
        <w:spacing w:before="68" w:line="217" w:lineRule="auto"/>
        <w:rPr>
          <w:rFonts w:ascii="宋体" w:hAnsi="宋体" w:eastAsia="宋体" w:cs="宋体"/>
          <w:sz w:val="21"/>
          <w:szCs w:val="21"/>
        </w:rPr>
      </w:pPr>
      <w:r>
        <w:rPr>
          <w:rFonts w:ascii="Times New Roman" w:hAnsi="Times New Roman" w:eastAsia="Times New Roman" w:cs="Times New Roman"/>
          <w:spacing w:val="-1"/>
          <w:sz w:val="21"/>
          <w:szCs w:val="21"/>
        </w:rPr>
        <w:t>[1]</w:t>
      </w:r>
      <w:r>
        <w:rPr>
          <w:rFonts w:ascii="宋体" w:hAnsi="宋体" w:eastAsia="宋体" w:cs="宋体"/>
          <w:spacing w:val="-1"/>
          <w:sz w:val="21"/>
          <w:szCs w:val="21"/>
        </w:rPr>
        <w:t>《关于完整准确全面贯彻新发展理念做好碳达峰碳中和工作的意见》</w:t>
      </w:r>
    </w:p>
    <w:p w14:paraId="7F2535A8">
      <w:pPr>
        <w:spacing w:before="65" w:line="214" w:lineRule="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w:t>
      </w:r>
      <w:r>
        <w:rPr>
          <w:rFonts w:ascii="Times New Roman" w:hAnsi="Times New Roman" w:eastAsia="Times New Roman" w:cs="Times New Roman"/>
          <w:spacing w:val="-1"/>
          <w:sz w:val="21"/>
          <w:szCs w:val="21"/>
        </w:rPr>
        <w:t>2030</w:t>
      </w:r>
      <w:r>
        <w:rPr>
          <w:rFonts w:ascii="宋体" w:hAnsi="宋体" w:eastAsia="宋体" w:cs="宋体"/>
          <w:spacing w:val="-1"/>
          <w:sz w:val="21"/>
          <w:szCs w:val="21"/>
        </w:rPr>
        <w:t>年前碳达峰行动方案》</w:t>
      </w:r>
      <w:r>
        <w:rPr>
          <w:rFonts w:ascii="Times New Roman" w:hAnsi="Times New Roman" w:eastAsia="Times New Roman" w:cs="Times New Roman"/>
          <w:spacing w:val="-1"/>
          <w:sz w:val="21"/>
          <w:szCs w:val="21"/>
        </w:rPr>
        <w:t>(</w:t>
      </w:r>
      <w:r>
        <w:rPr>
          <w:rFonts w:ascii="宋体" w:hAnsi="宋体" w:eastAsia="宋体" w:cs="宋体"/>
          <w:spacing w:val="-1"/>
          <w:sz w:val="21"/>
          <w:szCs w:val="21"/>
        </w:rPr>
        <w:t>国发〔</w:t>
      </w:r>
      <w:r>
        <w:rPr>
          <w:rFonts w:ascii="Times New Roman" w:hAnsi="Times New Roman" w:eastAsia="Times New Roman" w:cs="Times New Roman"/>
          <w:spacing w:val="-1"/>
          <w:sz w:val="21"/>
          <w:szCs w:val="21"/>
        </w:rPr>
        <w:t>2021</w:t>
      </w:r>
      <w:r>
        <w:rPr>
          <w:rFonts w:ascii="宋体" w:hAnsi="宋体" w:eastAsia="宋体" w:cs="宋体"/>
          <w:spacing w:val="-1"/>
          <w:sz w:val="21"/>
          <w:szCs w:val="21"/>
        </w:rPr>
        <w:t>〕</w:t>
      </w:r>
      <w:r>
        <w:rPr>
          <w:rFonts w:ascii="Times New Roman" w:hAnsi="Times New Roman" w:eastAsia="Times New Roman" w:cs="Times New Roman"/>
          <w:spacing w:val="-1"/>
          <w:sz w:val="21"/>
          <w:szCs w:val="21"/>
        </w:rPr>
        <w:t>23</w:t>
      </w:r>
      <w:r>
        <w:rPr>
          <w:rFonts w:ascii="宋体" w:hAnsi="宋体" w:eastAsia="宋体" w:cs="宋体"/>
          <w:spacing w:val="-1"/>
          <w:sz w:val="21"/>
          <w:szCs w:val="21"/>
        </w:rPr>
        <w:t>号</w:t>
      </w:r>
      <w:r>
        <w:rPr>
          <w:rFonts w:ascii="Times New Roman" w:hAnsi="Times New Roman" w:eastAsia="Times New Roman" w:cs="Times New Roman"/>
          <w:spacing w:val="-1"/>
          <w:sz w:val="21"/>
          <w:szCs w:val="21"/>
        </w:rPr>
        <w:t>)</w:t>
      </w:r>
    </w:p>
    <w:p w14:paraId="4F951AA5">
      <w:pPr>
        <w:spacing w:before="68" w:line="21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r>
        <w:rPr>
          <w:rFonts w:ascii="宋体" w:hAnsi="宋体" w:eastAsia="宋体" w:cs="宋体"/>
          <w:sz w:val="21"/>
          <w:szCs w:val="21"/>
        </w:rPr>
        <w:t>《关于加快建立健全绿色低碳循环发展经济体系的指导意见》</w:t>
      </w:r>
      <w:r>
        <w:rPr>
          <w:rFonts w:ascii="Times New Roman" w:hAnsi="Times New Roman" w:eastAsia="Times New Roman" w:cs="Times New Roman"/>
          <w:spacing w:val="-1"/>
          <w:sz w:val="21"/>
          <w:szCs w:val="21"/>
        </w:rPr>
        <w:t>(</w:t>
      </w:r>
      <w:r>
        <w:rPr>
          <w:rFonts w:ascii="宋体" w:hAnsi="宋体" w:eastAsia="宋体" w:cs="宋体"/>
          <w:spacing w:val="-1"/>
          <w:sz w:val="21"/>
          <w:szCs w:val="21"/>
        </w:rPr>
        <w:t>国发〔</w:t>
      </w:r>
      <w:r>
        <w:rPr>
          <w:rFonts w:ascii="Times New Roman" w:hAnsi="Times New Roman" w:eastAsia="Times New Roman" w:cs="Times New Roman"/>
          <w:spacing w:val="-1"/>
          <w:sz w:val="21"/>
          <w:szCs w:val="21"/>
        </w:rPr>
        <w:t>2021</w:t>
      </w:r>
      <w:r>
        <w:rPr>
          <w:rFonts w:ascii="宋体" w:hAnsi="宋体" w:eastAsia="宋体" w:cs="宋体"/>
          <w:spacing w:val="-1"/>
          <w:sz w:val="21"/>
          <w:szCs w:val="21"/>
        </w:rPr>
        <w:t>〕</w:t>
      </w:r>
      <w:r>
        <w:rPr>
          <w:rFonts w:ascii="Times New Roman" w:hAnsi="Times New Roman" w:eastAsia="Times New Roman" w:cs="Times New Roman"/>
          <w:spacing w:val="-1"/>
          <w:sz w:val="21"/>
          <w:szCs w:val="21"/>
        </w:rPr>
        <w:t>4</w:t>
      </w:r>
      <w:r>
        <w:rPr>
          <w:rFonts w:ascii="宋体" w:hAnsi="宋体" w:eastAsia="宋体" w:cs="宋体"/>
          <w:spacing w:val="-1"/>
          <w:sz w:val="21"/>
          <w:szCs w:val="21"/>
        </w:rPr>
        <w:t>号</w:t>
      </w:r>
      <w:r>
        <w:rPr>
          <w:rFonts w:ascii="Times New Roman" w:hAnsi="Times New Roman" w:eastAsia="Times New Roman" w:cs="Times New Roman"/>
          <w:spacing w:val="-1"/>
          <w:sz w:val="21"/>
          <w:szCs w:val="21"/>
        </w:rPr>
        <w:t>)</w:t>
      </w:r>
    </w:p>
    <w:p w14:paraId="4959A5C5">
      <w:pPr>
        <w:spacing w:before="68" w:line="214" w:lineRule="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w:t>
      </w:r>
      <w:r>
        <w:rPr>
          <w:rFonts w:ascii="宋体" w:hAnsi="宋体" w:eastAsia="宋体" w:cs="宋体"/>
          <w:spacing w:val="-1"/>
          <w:sz w:val="21"/>
          <w:szCs w:val="21"/>
        </w:rPr>
        <w:t>《碳排放权交易管理办法</w:t>
      </w:r>
      <w:r>
        <w:rPr>
          <w:rFonts w:ascii="Times New Roman" w:hAnsi="Times New Roman" w:eastAsia="Times New Roman" w:cs="Times New Roman"/>
          <w:spacing w:val="-1"/>
          <w:sz w:val="21"/>
          <w:szCs w:val="21"/>
        </w:rPr>
        <w:t>(</w:t>
      </w:r>
      <w:r>
        <w:rPr>
          <w:rFonts w:ascii="宋体" w:hAnsi="宋体" w:eastAsia="宋体" w:cs="宋体"/>
          <w:spacing w:val="-1"/>
          <w:sz w:val="21"/>
          <w:szCs w:val="21"/>
        </w:rPr>
        <w:t>试行</w:t>
      </w:r>
      <w:r>
        <w:rPr>
          <w:rFonts w:ascii="Times New Roman" w:hAnsi="Times New Roman" w:eastAsia="Times New Roman" w:cs="Times New Roman"/>
          <w:spacing w:val="-1"/>
          <w:sz w:val="21"/>
          <w:szCs w:val="21"/>
        </w:rPr>
        <w:t>)</w:t>
      </w:r>
      <w:r>
        <w:rPr>
          <w:rFonts w:ascii="宋体" w:hAnsi="宋体" w:eastAsia="宋体" w:cs="宋体"/>
          <w:spacing w:val="-1"/>
          <w:sz w:val="21"/>
          <w:szCs w:val="21"/>
        </w:rPr>
        <w:t>》</w:t>
      </w:r>
      <w:r>
        <w:rPr>
          <w:rFonts w:ascii="Times New Roman" w:hAnsi="Times New Roman" w:eastAsia="Times New Roman" w:cs="Times New Roman"/>
          <w:spacing w:val="-1"/>
          <w:sz w:val="21"/>
          <w:szCs w:val="21"/>
        </w:rPr>
        <w:t>(</w:t>
      </w:r>
      <w:r>
        <w:rPr>
          <w:rFonts w:ascii="宋体" w:hAnsi="宋体" w:eastAsia="宋体" w:cs="宋体"/>
          <w:spacing w:val="-1"/>
          <w:sz w:val="21"/>
          <w:szCs w:val="21"/>
        </w:rPr>
        <w:t>部令第</w:t>
      </w:r>
      <w:r>
        <w:rPr>
          <w:rFonts w:ascii="Times New Roman" w:hAnsi="Times New Roman" w:eastAsia="Times New Roman" w:cs="Times New Roman"/>
          <w:spacing w:val="-1"/>
          <w:sz w:val="21"/>
          <w:szCs w:val="21"/>
        </w:rPr>
        <w:t>19</w:t>
      </w:r>
      <w:r>
        <w:rPr>
          <w:rFonts w:ascii="宋体" w:hAnsi="宋体" w:eastAsia="宋体" w:cs="宋体"/>
          <w:spacing w:val="-1"/>
          <w:sz w:val="21"/>
          <w:szCs w:val="21"/>
        </w:rPr>
        <w:t>号</w:t>
      </w:r>
      <w:r>
        <w:rPr>
          <w:rFonts w:ascii="Times New Roman" w:hAnsi="Times New Roman" w:eastAsia="Times New Roman" w:cs="Times New Roman"/>
          <w:spacing w:val="-1"/>
          <w:sz w:val="21"/>
          <w:szCs w:val="21"/>
        </w:rPr>
        <w:t>)</w:t>
      </w:r>
    </w:p>
    <w:p w14:paraId="785C7AB7">
      <w:pPr>
        <w:spacing w:before="69" w:line="21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r>
        <w:rPr>
          <w:rFonts w:ascii="宋体" w:hAnsi="宋体" w:eastAsia="宋体" w:cs="宋体"/>
          <w:sz w:val="21"/>
          <w:szCs w:val="21"/>
        </w:rPr>
        <w:t>《“十四五”全国清洁生产推行方案》</w:t>
      </w:r>
      <w:r>
        <w:rPr>
          <w:rFonts w:ascii="Times New Roman" w:hAnsi="Times New Roman" w:eastAsia="Times New Roman" w:cs="Times New Roman"/>
          <w:sz w:val="21"/>
          <w:szCs w:val="21"/>
        </w:rPr>
        <w:t>(</w:t>
      </w:r>
      <w:r>
        <w:rPr>
          <w:rFonts w:ascii="宋体" w:hAnsi="宋体" w:eastAsia="宋体" w:cs="宋体"/>
          <w:sz w:val="21"/>
          <w:szCs w:val="21"/>
        </w:rPr>
        <w:t>发改环</w:t>
      </w:r>
      <w:r>
        <w:rPr>
          <w:rFonts w:ascii="宋体" w:hAnsi="宋体" w:eastAsia="宋体" w:cs="宋体"/>
          <w:spacing w:val="-1"/>
          <w:sz w:val="21"/>
          <w:szCs w:val="21"/>
        </w:rPr>
        <w:t>资〔</w:t>
      </w:r>
      <w:r>
        <w:rPr>
          <w:rFonts w:ascii="Times New Roman" w:hAnsi="Times New Roman" w:eastAsia="Times New Roman" w:cs="Times New Roman"/>
          <w:spacing w:val="-1"/>
          <w:sz w:val="21"/>
          <w:szCs w:val="21"/>
        </w:rPr>
        <w:t>2021</w:t>
      </w:r>
      <w:r>
        <w:rPr>
          <w:rFonts w:ascii="宋体" w:hAnsi="宋体" w:eastAsia="宋体" w:cs="宋体"/>
          <w:spacing w:val="-1"/>
          <w:sz w:val="21"/>
          <w:szCs w:val="21"/>
        </w:rPr>
        <w:t>〕</w:t>
      </w:r>
      <w:r>
        <w:rPr>
          <w:rFonts w:ascii="Times New Roman" w:hAnsi="Times New Roman" w:eastAsia="Times New Roman" w:cs="Times New Roman"/>
          <w:spacing w:val="-1"/>
          <w:sz w:val="21"/>
          <w:szCs w:val="21"/>
        </w:rPr>
        <w:t>1524</w:t>
      </w:r>
      <w:r>
        <w:rPr>
          <w:rFonts w:ascii="宋体" w:hAnsi="宋体" w:eastAsia="宋体" w:cs="宋体"/>
          <w:spacing w:val="-1"/>
          <w:sz w:val="21"/>
          <w:szCs w:val="21"/>
        </w:rPr>
        <w:t>号</w:t>
      </w:r>
      <w:r>
        <w:rPr>
          <w:rFonts w:ascii="Times New Roman" w:hAnsi="Times New Roman" w:eastAsia="Times New Roman" w:cs="Times New Roman"/>
          <w:spacing w:val="-1"/>
          <w:sz w:val="21"/>
          <w:szCs w:val="21"/>
        </w:rPr>
        <w:t>)</w:t>
      </w:r>
    </w:p>
    <w:p w14:paraId="5052EC3B">
      <w:pPr>
        <w:spacing w:before="68" w:line="214" w:lineRule="auto"/>
        <w:rPr>
          <w:rFonts w:ascii="宋体" w:hAnsi="宋体" w:eastAsia="宋体" w:cs="宋体"/>
          <w:sz w:val="21"/>
          <w:szCs w:val="21"/>
        </w:rPr>
      </w:pPr>
      <w:r>
        <w:rPr>
          <w:rFonts w:ascii="Times New Roman" w:hAnsi="Times New Roman" w:eastAsia="Times New Roman" w:cs="Times New Roman"/>
          <w:sz w:val="21"/>
          <w:szCs w:val="21"/>
        </w:rPr>
        <w:t>[6]</w:t>
      </w:r>
      <w:r>
        <w:rPr>
          <w:rFonts w:ascii="宋体" w:hAnsi="宋体" w:eastAsia="宋体" w:cs="宋体"/>
          <w:sz w:val="21"/>
          <w:szCs w:val="21"/>
        </w:rPr>
        <w:t>《高耗能行业重点领域能效标杆水平和基准</w:t>
      </w:r>
      <w:r>
        <w:rPr>
          <w:rFonts w:ascii="宋体" w:hAnsi="宋体" w:eastAsia="宋体" w:cs="宋体"/>
          <w:spacing w:val="-1"/>
          <w:sz w:val="21"/>
          <w:szCs w:val="21"/>
        </w:rPr>
        <w:t>水平</w:t>
      </w:r>
      <w:r>
        <w:rPr>
          <w:rFonts w:ascii="Times New Roman" w:hAnsi="Times New Roman" w:eastAsia="Times New Roman" w:cs="Times New Roman"/>
          <w:spacing w:val="-1"/>
          <w:sz w:val="21"/>
          <w:szCs w:val="21"/>
        </w:rPr>
        <w:t>(2021</w:t>
      </w:r>
      <w:r>
        <w:rPr>
          <w:rFonts w:ascii="宋体" w:hAnsi="宋体" w:eastAsia="宋体" w:cs="宋体"/>
          <w:spacing w:val="-1"/>
          <w:sz w:val="21"/>
          <w:szCs w:val="21"/>
        </w:rPr>
        <w:t>年版</w:t>
      </w:r>
      <w:r>
        <w:rPr>
          <w:rFonts w:ascii="Times New Roman" w:hAnsi="Times New Roman" w:eastAsia="Times New Roman" w:cs="Times New Roman"/>
          <w:spacing w:val="-1"/>
          <w:sz w:val="21"/>
          <w:szCs w:val="21"/>
        </w:rPr>
        <w:t>)</w:t>
      </w:r>
      <w:r>
        <w:rPr>
          <w:rFonts w:ascii="宋体" w:hAnsi="宋体" w:eastAsia="宋体" w:cs="宋体"/>
          <w:spacing w:val="-1"/>
          <w:sz w:val="21"/>
          <w:szCs w:val="21"/>
        </w:rPr>
        <w:t>》</w:t>
      </w:r>
      <w:r>
        <w:rPr>
          <w:rFonts w:ascii="Times New Roman" w:hAnsi="Times New Roman" w:eastAsia="Times New Roman" w:cs="Times New Roman"/>
          <w:spacing w:val="-1"/>
          <w:sz w:val="21"/>
          <w:szCs w:val="21"/>
        </w:rPr>
        <w:t>(</w:t>
      </w:r>
      <w:r>
        <w:rPr>
          <w:rFonts w:ascii="宋体" w:hAnsi="宋体" w:eastAsia="宋体" w:cs="宋体"/>
          <w:spacing w:val="-1"/>
          <w:sz w:val="21"/>
          <w:szCs w:val="21"/>
        </w:rPr>
        <w:t>发改产业〔</w:t>
      </w:r>
      <w:r>
        <w:rPr>
          <w:rFonts w:ascii="Times New Roman" w:hAnsi="Times New Roman" w:eastAsia="Times New Roman" w:cs="Times New Roman"/>
          <w:spacing w:val="-1"/>
          <w:sz w:val="21"/>
          <w:szCs w:val="21"/>
        </w:rPr>
        <w:t>2021)1609</w:t>
      </w:r>
      <w:r>
        <w:rPr>
          <w:rFonts w:ascii="宋体" w:hAnsi="宋体" w:eastAsia="宋体" w:cs="宋体"/>
          <w:spacing w:val="-1"/>
          <w:sz w:val="21"/>
          <w:szCs w:val="21"/>
        </w:rPr>
        <w:t>号附件〕</w:t>
      </w:r>
    </w:p>
    <w:p w14:paraId="1A0C41A6">
      <w:pPr>
        <w:spacing w:before="69" w:line="217" w:lineRule="auto"/>
        <w:rPr>
          <w:rFonts w:ascii="宋体" w:hAnsi="宋体" w:eastAsia="宋体" w:cs="宋体"/>
          <w:sz w:val="21"/>
          <w:szCs w:val="21"/>
        </w:rPr>
      </w:pPr>
      <w:r>
        <w:drawing>
          <wp:anchor distT="0" distB="0" distL="0" distR="0" simplePos="0" relativeHeight="251661312" behindDoc="0" locked="0" layoutInCell="1" allowOverlap="1">
            <wp:simplePos x="0" y="0"/>
            <wp:positionH relativeFrom="column">
              <wp:posOffset>1705610</wp:posOffset>
            </wp:positionH>
            <wp:positionV relativeFrom="paragraph">
              <wp:posOffset>577215</wp:posOffset>
            </wp:positionV>
            <wp:extent cx="2204720"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1"/>
                    <a:stretch>
                      <a:fillRect/>
                    </a:stretch>
                  </pic:blipFill>
                  <pic:spPr>
                    <a:xfrm>
                      <a:off x="0" y="0"/>
                      <a:ext cx="2204667" cy="6350"/>
                    </a:xfrm>
                    <a:prstGeom prst="rect">
                      <a:avLst/>
                    </a:prstGeom>
                  </pic:spPr>
                </pic:pic>
              </a:graphicData>
            </a:graphic>
          </wp:anchor>
        </w:drawing>
      </w:r>
      <w:r>
        <w:rPr>
          <w:rFonts w:ascii="Times New Roman" w:hAnsi="Times New Roman" w:eastAsia="Times New Roman" w:cs="Times New Roman"/>
          <w:spacing w:val="5"/>
          <w:sz w:val="21"/>
          <w:szCs w:val="21"/>
        </w:rPr>
        <w:t>[7]T/</w:t>
      </w:r>
      <w:r>
        <w:rPr>
          <w:rFonts w:ascii="Times New Roman" w:hAnsi="Times New Roman" w:eastAsia="Times New Roman" w:cs="Times New Roman"/>
          <w:sz w:val="21"/>
          <w:szCs w:val="21"/>
        </w:rPr>
        <w:t>ACEF</w:t>
      </w:r>
      <w:r>
        <w:rPr>
          <w:rFonts w:ascii="Times New Roman" w:hAnsi="Times New Roman" w:eastAsia="Times New Roman" w:cs="Times New Roman"/>
          <w:spacing w:val="5"/>
          <w:sz w:val="21"/>
          <w:szCs w:val="21"/>
        </w:rPr>
        <w:t xml:space="preserve"> 031-2022</w:t>
      </w:r>
      <w:r>
        <w:rPr>
          <w:rFonts w:ascii="宋体" w:hAnsi="宋体" w:eastAsia="宋体" w:cs="宋体"/>
          <w:spacing w:val="5"/>
          <w:sz w:val="21"/>
          <w:szCs w:val="21"/>
        </w:rPr>
        <w:t>《公民绿色低碳行为温室气体减排量化导则》</w:t>
      </w:r>
    </w:p>
    <w:sectPr>
      <w:headerReference r:id="rId44" w:type="default"/>
      <w:footerReference r:id="rId45" w:type="default"/>
      <w:pgSz w:w="11907" w:h="16839"/>
      <w:pgMar w:top="1205" w:right="1303" w:bottom="1648" w:left="1740" w:header="880" w:footer="14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663F0">
    <w:pPr>
      <w:spacing w:line="223" w:lineRule="auto"/>
      <w:ind w:left="9026"/>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C52F0">
    <w:pPr>
      <w:spacing w:line="220" w:lineRule="auto"/>
      <w:ind w:left="896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0C58E">
    <w:pPr>
      <w:spacing w:line="220" w:lineRule="auto"/>
      <w:ind w:left="8964"/>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BA8F0">
    <w:pPr>
      <w:spacing w:line="220" w:lineRule="auto"/>
      <w:ind w:left="892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7EB0">
    <w:pPr>
      <w:spacing w:line="223" w:lineRule="auto"/>
      <w:ind w:left="893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66DA3">
    <w:pPr>
      <w:spacing w:line="223" w:lineRule="auto"/>
      <w:ind w:left="89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68AC4">
    <w:pPr>
      <w:spacing w:line="220" w:lineRule="auto"/>
      <w:ind w:left="89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95EEF">
    <w:pPr>
      <w:spacing w:line="223" w:lineRule="auto"/>
      <w:ind w:left="89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00373">
    <w:pPr>
      <w:spacing w:line="220" w:lineRule="auto"/>
      <w:ind w:left="89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D299B">
    <w:pPr>
      <w:spacing w:line="220" w:lineRule="auto"/>
      <w:ind w:left="894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FA25">
    <w:pPr>
      <w:spacing w:line="220" w:lineRule="auto"/>
      <w:ind w:left="89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0C32D">
    <w:pPr>
      <w:spacing w:line="223" w:lineRule="auto"/>
      <w:ind w:left="89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BBD99">
    <w:pPr>
      <w:spacing w:line="220" w:lineRule="auto"/>
      <w:ind w:left="85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D9E39">
    <w:pPr>
      <w:spacing w:line="220" w:lineRule="auto"/>
      <w:ind w:left="849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CF0AF">
    <w:pPr>
      <w:spacing w:line="223" w:lineRule="auto"/>
      <w:ind w:left="901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3E59">
    <w:pPr>
      <w:spacing w:line="223" w:lineRule="auto"/>
      <w:ind w:left="900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7F58C">
    <w:pPr>
      <w:spacing w:line="220" w:lineRule="auto"/>
      <w:ind w:left="900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65AC">
    <w:pPr>
      <w:spacing w:line="223" w:lineRule="auto"/>
      <w:ind w:left="900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5A0E">
    <w:pPr>
      <w:spacing w:line="220" w:lineRule="auto"/>
      <w:ind w:left="9007"/>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31909">
    <w:pPr>
      <w:spacing w:line="220" w:lineRule="auto"/>
      <w:ind w:left="9006"/>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C6210">
    <w:pPr>
      <w:spacing w:line="220" w:lineRule="auto"/>
      <w:ind w:left="9000"/>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BC09C">
    <w:pPr>
      <w:spacing w:before="56" w:line="227" w:lineRule="auto"/>
      <w:jc w:val="right"/>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3"/>
        <w:sz w:val="21"/>
        <w:szCs w:val="21"/>
      </w:rPr>
      <w:t xml:space="preserve"> </w:t>
    </w:r>
    <w:r>
      <w:rPr>
        <w:rFonts w:ascii="黑体" w:hAnsi="黑体" w:eastAsia="黑体" w:cs="黑体"/>
        <w:spacing w:val="-4"/>
        <w:sz w:val="21"/>
        <w:szCs w:val="21"/>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6024A">
    <w:pPr>
      <w:spacing w:before="56" w:line="227" w:lineRule="auto"/>
      <w:ind w:right="1"/>
      <w:jc w:val="right"/>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4"/>
        <w:sz w:val="21"/>
        <w:szCs w:val="21"/>
      </w:rPr>
      <w:t xml:space="preserve"> </w:t>
    </w:r>
    <w:r>
      <w:rPr>
        <w:rFonts w:ascii="黑体" w:hAnsi="黑体" w:eastAsia="黑体" w:cs="黑体"/>
        <w:spacing w:val="-4"/>
        <w:sz w:val="21"/>
        <w:szCs w:val="21"/>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1BC09">
    <w:pPr>
      <w:spacing w:before="56" w:line="227" w:lineRule="auto"/>
      <w:ind w:right="2"/>
      <w:jc w:val="right"/>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4"/>
        <w:sz w:val="21"/>
        <w:szCs w:val="21"/>
      </w:rPr>
      <w:t xml:space="preserve"> </w:t>
    </w:r>
    <w:r>
      <w:rPr>
        <w:rFonts w:ascii="黑体" w:hAnsi="黑体" w:eastAsia="黑体" w:cs="黑体"/>
        <w:spacing w:val="-4"/>
        <w:sz w:val="21"/>
        <w:szCs w:val="21"/>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68B91">
    <w:pPr>
      <w:spacing w:before="56" w:line="227" w:lineRule="auto"/>
      <w:jc w:val="right"/>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3"/>
        <w:sz w:val="21"/>
        <w:szCs w:val="21"/>
      </w:rPr>
      <w:t xml:space="preserve"> </w:t>
    </w:r>
    <w:r>
      <w:rPr>
        <w:rFonts w:ascii="黑体" w:hAnsi="黑体" w:eastAsia="黑体" w:cs="黑体"/>
        <w:spacing w:val="-4"/>
        <w:sz w:val="21"/>
        <w:szCs w:val="21"/>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0FB50">
    <w:pPr>
      <w:spacing w:before="57" w:line="203" w:lineRule="auto"/>
      <w:ind w:left="6682"/>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4"/>
        <w:sz w:val="21"/>
        <w:szCs w:val="21"/>
      </w:rPr>
      <w:t xml:space="preserve"> </w:t>
    </w:r>
    <w:r>
      <w:rPr>
        <w:rFonts w:ascii="黑体" w:hAnsi="黑体" w:eastAsia="黑体" w:cs="黑体"/>
        <w:spacing w:val="-4"/>
        <w:sz w:val="21"/>
        <w:szCs w:val="21"/>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71D6A">
    <w:pPr>
      <w:spacing w:before="56" w:line="227" w:lineRule="auto"/>
      <w:ind w:left="6677"/>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4"/>
        <w:sz w:val="21"/>
        <w:szCs w:val="21"/>
      </w:rPr>
      <w:t xml:space="preserve"> </w:t>
    </w:r>
    <w:r>
      <w:rPr>
        <w:rFonts w:ascii="黑体" w:hAnsi="黑体" w:eastAsia="黑体" w:cs="黑体"/>
        <w:spacing w:val="-4"/>
        <w:sz w:val="21"/>
        <w:szCs w:val="21"/>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38402">
    <w:pPr>
      <w:spacing w:before="56" w:line="227" w:lineRule="auto"/>
      <w:ind w:right="3"/>
      <w:jc w:val="right"/>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4"/>
        <w:sz w:val="21"/>
        <w:szCs w:val="21"/>
      </w:rPr>
      <w:t xml:space="preserve"> </w:t>
    </w:r>
    <w:r>
      <w:rPr>
        <w:rFonts w:ascii="黑体" w:hAnsi="黑体" w:eastAsia="黑体" w:cs="黑体"/>
        <w:spacing w:val="-4"/>
        <w:sz w:val="21"/>
        <w:szCs w:val="21"/>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BC9B9">
    <w:pPr>
      <w:spacing w:before="56" w:line="227" w:lineRule="auto"/>
      <w:ind w:left="6677"/>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4"/>
        <w:sz w:val="21"/>
        <w:szCs w:val="21"/>
      </w:rPr>
      <w:t xml:space="preserve"> </w:t>
    </w:r>
    <w:r>
      <w:rPr>
        <w:rFonts w:ascii="黑体" w:hAnsi="黑体" w:eastAsia="黑体" w:cs="黑体"/>
        <w:spacing w:val="-4"/>
        <w:sz w:val="21"/>
        <w:szCs w:val="21"/>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157FC">
    <w:pPr>
      <w:spacing w:before="56" w:line="227" w:lineRule="auto"/>
      <w:ind w:right="1"/>
      <w:jc w:val="right"/>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4"/>
        <w:sz w:val="21"/>
        <w:szCs w:val="21"/>
      </w:rPr>
      <w:t xml:space="preserve"> </w:t>
    </w:r>
    <w:r>
      <w:rPr>
        <w:rFonts w:ascii="黑体" w:hAnsi="黑体" w:eastAsia="黑体" w:cs="黑体"/>
        <w:spacing w:val="-4"/>
        <w:sz w:val="21"/>
        <w:szCs w:val="21"/>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54A8">
    <w:pPr>
      <w:spacing w:before="56" w:line="227" w:lineRule="auto"/>
      <w:jc w:val="right"/>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4"/>
        <w:sz w:val="21"/>
        <w:szCs w:val="21"/>
      </w:rPr>
      <w:t xml:space="preserve"> </w:t>
    </w:r>
    <w:r>
      <w:rPr>
        <w:rFonts w:ascii="黑体" w:hAnsi="黑体" w:eastAsia="黑体" w:cs="黑体"/>
        <w:spacing w:val="-4"/>
        <w:sz w:val="21"/>
        <w:szCs w:val="21"/>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A997E">
    <w:pPr>
      <w:spacing w:before="56" w:line="227" w:lineRule="auto"/>
      <w:jc w:val="right"/>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3"/>
        <w:sz w:val="21"/>
        <w:szCs w:val="21"/>
      </w:rPr>
      <w:t xml:space="preserve"> </w:t>
    </w:r>
    <w:r>
      <w:rPr>
        <w:rFonts w:ascii="黑体" w:hAnsi="黑体" w:eastAsia="黑体" w:cs="黑体"/>
        <w:spacing w:val="-4"/>
        <w:sz w:val="21"/>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F87CE">
    <w:pPr>
      <w:spacing w:before="56" w:line="227" w:lineRule="auto"/>
      <w:jc w:val="right"/>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3"/>
        <w:sz w:val="21"/>
        <w:szCs w:val="21"/>
      </w:rPr>
      <w:t xml:space="preserve"> </w:t>
    </w:r>
    <w:r>
      <w:rPr>
        <w:rFonts w:ascii="黑体" w:hAnsi="黑体" w:eastAsia="黑体" w:cs="黑体"/>
        <w:spacing w:val="-4"/>
        <w:sz w:val="21"/>
        <w:szCs w:val="21"/>
      </w:rPr>
      <w: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33BDE">
    <w:pPr>
      <w:spacing w:before="56" w:line="227" w:lineRule="auto"/>
      <w:jc w:val="right"/>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3"/>
        <w:sz w:val="21"/>
        <w:szCs w:val="21"/>
      </w:rPr>
      <w:t xml:space="preserve"> </w:t>
    </w:r>
    <w:r>
      <w:rPr>
        <w:rFonts w:ascii="黑体" w:hAnsi="黑体" w:eastAsia="黑体" w:cs="黑体"/>
        <w:spacing w:val="-4"/>
        <w:sz w:val="21"/>
        <w:szCs w:val="21"/>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3EE3">
    <w:pPr>
      <w:spacing w:before="56" w:line="227" w:lineRule="auto"/>
      <w:ind w:left="6675"/>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4"/>
        <w:sz w:val="21"/>
        <w:szCs w:val="21"/>
      </w:rPr>
      <w:t xml:space="preserve"> </w:t>
    </w:r>
    <w:r>
      <w:rPr>
        <w:rFonts w:ascii="黑体" w:hAnsi="黑体" w:eastAsia="黑体" w:cs="黑体"/>
        <w:spacing w:val="-4"/>
        <w:sz w:val="21"/>
        <w:szCs w:val="21"/>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F0A77">
    <w:pPr>
      <w:spacing w:before="56" w:line="227" w:lineRule="auto"/>
      <w:ind w:right="3"/>
      <w:jc w:val="right"/>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4"/>
        <w:sz w:val="21"/>
        <w:szCs w:val="21"/>
      </w:rPr>
      <w:t xml:space="preserve"> </w:t>
    </w:r>
    <w:r>
      <w:rPr>
        <w:rFonts w:ascii="黑体" w:hAnsi="黑体" w:eastAsia="黑体" w:cs="黑体"/>
        <w:spacing w:val="-4"/>
        <w:sz w:val="21"/>
        <w:szCs w:val="21"/>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E7D31">
    <w:pPr>
      <w:spacing w:before="56" w:line="227" w:lineRule="auto"/>
      <w:ind w:left="6681"/>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4"/>
        <w:sz w:val="21"/>
        <w:szCs w:val="21"/>
      </w:rPr>
      <w:t xml:space="preserve"> </w:t>
    </w:r>
    <w:r>
      <w:rPr>
        <w:rFonts w:ascii="黑体" w:hAnsi="黑体" w:eastAsia="黑体" w:cs="黑体"/>
        <w:spacing w:val="-4"/>
        <w:sz w:val="21"/>
        <w:szCs w:val="21"/>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AA6CD">
    <w:pPr>
      <w:spacing w:before="56" w:line="227" w:lineRule="auto"/>
      <w:ind w:left="6681"/>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4"/>
        <w:sz w:val="21"/>
        <w:szCs w:val="21"/>
      </w:rPr>
      <w:t xml:space="preserve"> </w:t>
    </w:r>
    <w:r>
      <w:rPr>
        <w:rFonts w:ascii="黑体" w:hAnsi="黑体" w:eastAsia="黑体" w:cs="黑体"/>
        <w:spacing w:val="-4"/>
        <w:sz w:val="21"/>
        <w:szCs w:val="21"/>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277C3">
    <w:pPr>
      <w:spacing w:before="56" w:line="227" w:lineRule="auto"/>
      <w:ind w:right="3"/>
      <w:jc w:val="right"/>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4"/>
        <w:sz w:val="21"/>
        <w:szCs w:val="21"/>
      </w:rPr>
      <w:t xml:space="preserve"> </w:t>
    </w:r>
    <w:r>
      <w:rPr>
        <w:rFonts w:ascii="黑体" w:hAnsi="黑体" w:eastAsia="黑体" w:cs="黑体"/>
        <w:spacing w:val="-4"/>
        <w:sz w:val="21"/>
        <w:szCs w:val="21"/>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734CC">
    <w:pPr>
      <w:spacing w:before="57" w:line="203" w:lineRule="auto"/>
      <w:jc w:val="right"/>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4"/>
        <w:sz w:val="21"/>
        <w:szCs w:val="21"/>
      </w:rPr>
      <w:t xml:space="preserve"> </w:t>
    </w:r>
    <w:r>
      <w:rPr>
        <w:rFonts w:ascii="黑体" w:hAnsi="黑体" w:eastAsia="黑体" w:cs="黑体"/>
        <w:spacing w:val="-4"/>
        <w:sz w:val="21"/>
        <w:szCs w:val="21"/>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5E35">
    <w:pPr>
      <w:spacing w:before="56" w:line="227" w:lineRule="auto"/>
      <w:ind w:right="3"/>
      <w:jc w:val="right"/>
      <w:rPr>
        <w:rFonts w:ascii="黑体" w:hAnsi="黑体" w:eastAsia="黑体" w:cs="黑体"/>
        <w:sz w:val="21"/>
        <w:szCs w:val="21"/>
      </w:rPr>
    </w:pPr>
    <w:r>
      <w:rPr>
        <w:rFonts w:ascii="黑体" w:hAnsi="黑体" w:eastAsia="黑体" w:cs="黑体"/>
        <w:spacing w:val="-4"/>
        <w:sz w:val="21"/>
        <w:szCs w:val="21"/>
      </w:rPr>
      <w:t>T/×××</w:t>
    </w:r>
    <w:r>
      <w:rPr>
        <w:rFonts w:ascii="黑体" w:hAnsi="黑体" w:eastAsia="黑体" w:cs="黑体"/>
        <w:spacing w:val="44"/>
        <w:sz w:val="21"/>
        <w:szCs w:val="21"/>
      </w:rPr>
      <w:t xml:space="preserve"> </w:t>
    </w:r>
    <w:r>
      <w:rPr>
        <w:rFonts w:ascii="黑体" w:hAnsi="黑体" w:eastAsia="黑体" w:cs="黑体"/>
        <w:spacing w:val="-4"/>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6D708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3" Type="http://schemas.openxmlformats.org/officeDocument/2006/relationships/fontTable" Target="fontTable.xml"/><Relationship Id="rId52" Type="http://schemas.openxmlformats.org/officeDocument/2006/relationships/customXml" Target="../customXml/item1.xml"/><Relationship Id="rId51" Type="http://schemas.openxmlformats.org/officeDocument/2006/relationships/image" Target="media/image5.png"/><Relationship Id="rId50" Type="http://schemas.openxmlformats.org/officeDocument/2006/relationships/image" Target="media/image4.png"/><Relationship Id="rId5" Type="http://schemas.openxmlformats.org/officeDocument/2006/relationships/header" Target="header1.xml"/><Relationship Id="rId49" Type="http://schemas.openxmlformats.org/officeDocument/2006/relationships/image" Target="media/image3.png"/><Relationship Id="rId48" Type="http://schemas.openxmlformats.org/officeDocument/2006/relationships/image" Target="media/image2.png"/><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10064</Words>
  <Characters>11501</Characters>
  <TotalTime>2</TotalTime>
  <ScaleCrop>false</ScaleCrop>
  <LinksUpToDate>false</LinksUpToDate>
  <CharactersWithSpaces>13507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2025-04-29T14:58:00Z</dcterms:created>
  <dc:creator>CNIS</dc:creator>
  <cp:lastModifiedBy>瑞瑞</cp:lastModifiedBy>
  <dcterms:modified xsi:type="dcterms:W3CDTF">2025-05-07T02:51:04Z</dcterms:modified>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2025-04-29T15:04:03Z</vt:filetime>
  </property>
  <property fmtid="{D5CDD505-2E9C-101B-9397-08002B2CF9AE}" pid="4" name="KSOTemplateDocerSaveRecord">
    <vt:lpwstr>eyJoZGlkIjoiNjU0ODY4MWRmOTNjNjdlOWQ0ZTM0NWE4MGJlZWMxYTIiLCJ1c2VySWQiOiI0Mjc1NTUzODEifQ==</vt:lpwstr>
  </property>
  <property fmtid="{D5CDD505-2E9C-101B-9397-08002B2CF9AE}" pid="5" name="KSOProductBuildVer">
    <vt:lpwstr>2052-12.1.0.20305</vt:lpwstr>
  </property>
  <property fmtid="{D5CDD505-2E9C-101B-9397-08002B2CF9AE}" pid="6" name="ICV">
    <vt:lpwstr>0F50A84133354718AD644ABDB29D9622_12</vt:lpwstr>
  </property>
</Properties>
</file>