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C833B42" w14:textId="77777777" w:rsidR="00386EDE" w:rsidRDefault="00000000">
      <w:pPr>
        <w:pStyle w:val="2"/>
        <w:widowControl/>
        <w:spacing w:before="0" w:line="560" w:lineRule="exact"/>
        <w:jc w:val="left"/>
        <w:rPr>
          <w:rFonts w:ascii="仿宋_GB2312" w:eastAsia="仿宋_GB2312" w:hAnsi="仿宋_GB2312" w:cs="仿宋_GB2312" w:hint="eastAsia"/>
          <w:sz w:val="32"/>
        </w:rPr>
      </w:pPr>
      <w:r>
        <w:rPr>
          <w:rFonts w:ascii="黑体" w:hAnsi="黑体" w:cs="黑体" w:hint="eastAsia"/>
          <w:bCs/>
          <w:sz w:val="32"/>
        </w:rPr>
        <w:t>附件1</w:t>
      </w:r>
    </w:p>
    <w:p w14:paraId="41851BF5" w14:textId="77777777" w:rsidR="00386EDE" w:rsidRDefault="00386EDE">
      <w:pPr>
        <w:spacing w:line="560" w:lineRule="exact"/>
      </w:pPr>
    </w:p>
    <w:p w14:paraId="2A8E5CB3" w14:textId="77777777" w:rsidR="00386EDE" w:rsidRDefault="00000000">
      <w:pPr>
        <w:spacing w:line="560" w:lineRule="exact"/>
        <w:jc w:val="center"/>
        <w:rPr>
          <w:rFonts w:ascii="方正小标宋简体" w:eastAsia="方正小标宋简体" w:hAnsi="方正小标宋简体" w:hint="eastAsia"/>
          <w:sz w:val="44"/>
        </w:rPr>
      </w:pPr>
      <w:r>
        <w:rPr>
          <w:rFonts w:ascii="方正小标宋简体" w:eastAsia="方正小标宋简体" w:hAnsi="方正小标宋简体" w:hint="eastAsia"/>
          <w:sz w:val="44"/>
        </w:rPr>
        <w:t>论文参考选题</w:t>
      </w:r>
    </w:p>
    <w:p w14:paraId="3286F893" w14:textId="77777777" w:rsidR="00386EDE" w:rsidRDefault="00386EDE">
      <w:pPr>
        <w:spacing w:line="560" w:lineRule="exact"/>
      </w:pPr>
    </w:p>
    <w:p w14:paraId="7EFAE60E" w14:textId="77777777" w:rsidR="00386EDE" w:rsidRDefault="00000000">
      <w:pPr>
        <w:pStyle w:val="a3"/>
        <w:widowControl/>
        <w:spacing w:before="0" w:after="0" w:line="56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一、深化AI与能源双向赋能构建绿色智能能源新生态</w:t>
      </w:r>
    </w:p>
    <w:p w14:paraId="7A58B24D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AI驱动的能源系统全生命周期智能管理模式创新​</w:t>
      </w:r>
    </w:p>
    <w:p w14:paraId="37BD20B2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基于AI的新能源发电功率精准预测与优化调度技术​</w:t>
      </w:r>
    </w:p>
    <w:p w14:paraId="6D9C15B7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能源大数据与AI融合赋能绿色能源消费行为引导机制</w:t>
      </w:r>
    </w:p>
    <w:p w14:paraId="17FA1182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AI技术在能源设备智能运维与故障预警中的应用研究</w:t>
      </w:r>
    </w:p>
    <w:p w14:paraId="6F7E5DCC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双向赋能视角下AI与储能系统协同优化运行策略​</w:t>
      </w:r>
    </w:p>
    <w:p w14:paraId="5DE15671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构建AI支撑的能源交易智能决策与风险防控体系​</w:t>
      </w:r>
    </w:p>
    <w:p w14:paraId="28BE064B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AI助力能源企业碳足迹精准核算与低碳转型路径​</w:t>
      </w:r>
    </w:p>
    <w:p w14:paraId="1D042B89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面向绿色能源生态的AI算法创新与应用实践探索​</w:t>
      </w:r>
    </w:p>
    <w:p w14:paraId="4406FAC4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AI赋能能源互联网多能流协同优化控制技术研究​</w:t>
      </w:r>
    </w:p>
    <w:p w14:paraId="5ACEFC6E" w14:textId="77777777" w:rsidR="00386EDE" w:rsidRDefault="00000000">
      <w:pPr>
        <w:pStyle w:val="a3"/>
        <w:widowControl/>
        <w:numPr>
          <w:ilvl w:val="0"/>
          <w:numId w:val="3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基于AI的能源项目环境影响智能评估与动态监管​</w:t>
      </w:r>
    </w:p>
    <w:p w14:paraId="51B6EFE3" w14:textId="77777777" w:rsidR="00386EDE" w:rsidRDefault="00000000">
      <w:pPr>
        <w:pStyle w:val="a3"/>
        <w:widowControl/>
        <w:spacing w:before="0" w:after="0" w:line="56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二、保障国家能源安全推进能源绿色发展​</w:t>
      </w:r>
    </w:p>
    <w:p w14:paraId="721DAED4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多能互补协同发展模式下国家能源安全保障机制研究</w:t>
      </w:r>
    </w:p>
    <w:p w14:paraId="77C8F346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新能源大规模并网背景下的能源供应安全风险与应对策略​</w:t>
      </w:r>
    </w:p>
    <w:p w14:paraId="7329B2CC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基于碳减排目标的国家能源结构绿色转型路径探索​</w:t>
      </w:r>
    </w:p>
    <w:p w14:paraId="21BD2B61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能源储备体系优化对保障国家能源安全的作用与实践</w:t>
      </w:r>
    </w:p>
    <w:p w14:paraId="7135F809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国际能源市场波动对我国能源安全的影响及防范措施</w:t>
      </w:r>
    </w:p>
    <w:p w14:paraId="3E795C44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绿色低碳技术创新驱动能源产业安全可持续发展研究</w:t>
      </w:r>
    </w:p>
    <w:p w14:paraId="50D5853A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乡村振兴战略中农村能源安全与绿色发展协同路径​</w:t>
      </w:r>
    </w:p>
    <w:p w14:paraId="2A64EAD2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海上风电开发对我国沿海地区能源安全的战略意义​</w:t>
      </w:r>
    </w:p>
    <w:p w14:paraId="7C915194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氢能产业发展在保障国家能源安全中的定位与推进策略</w:t>
      </w:r>
    </w:p>
    <w:p w14:paraId="6DF38C0E" w14:textId="77777777" w:rsidR="00386EDE" w:rsidRDefault="00000000">
      <w:pPr>
        <w:pStyle w:val="a3"/>
        <w:widowControl/>
        <w:numPr>
          <w:ilvl w:val="0"/>
          <w:numId w:val="4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能源基础设施韧性提升助力国家能源安全的实施路径</w:t>
      </w:r>
    </w:p>
    <w:p w14:paraId="3350E781" w14:textId="77777777" w:rsidR="00386EDE" w:rsidRDefault="00000000">
      <w:pPr>
        <w:pStyle w:val="a3"/>
        <w:widowControl/>
        <w:spacing w:before="0" w:after="0" w:line="56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三、提升用电水平赋能零碳生态​</w:t>
      </w:r>
    </w:p>
    <w:p w14:paraId="41CE016D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需求侧响应提升用电效率助力零碳生态建设研究​</w:t>
      </w:r>
    </w:p>
    <w:p w14:paraId="171989F8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分布式光伏与储能系统协同提升用户用电水平路径​</w:t>
      </w:r>
    </w:p>
    <w:p w14:paraId="49CE9AA0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智能电表数据挖掘以及在用电行为优化中的应用​</w:t>
      </w:r>
    </w:p>
    <w:p w14:paraId="160EDA6C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车网互动机制、策略以及对电网的影响​</w:t>
      </w:r>
    </w:p>
    <w:p w14:paraId="52DE2318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工业领域高耗能设备用电能效提升与脱碳方案​</w:t>
      </w:r>
    </w:p>
    <w:p w14:paraId="2EF542F6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建筑智能化用电管理系统构建与零碳建筑发展研究​</w:t>
      </w:r>
    </w:p>
    <w:p w14:paraId="121698C8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虚拟电厂参与用电调节促进零碳电力系统建设实践​</w:t>
      </w:r>
    </w:p>
    <w:p w14:paraId="07EFFA17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分时电价等机制设计及其对电网和社会能效的作用​</w:t>
      </w:r>
    </w:p>
    <w:p w14:paraId="1C59F822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微电网多能互补提升区域用电可靠性与低碳水平​</w:t>
      </w:r>
    </w:p>
    <w:p w14:paraId="4290F789" w14:textId="77777777" w:rsidR="00386EDE" w:rsidRDefault="00000000">
      <w:pPr>
        <w:pStyle w:val="a3"/>
        <w:widowControl/>
        <w:numPr>
          <w:ilvl w:val="0"/>
          <w:numId w:val="5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新型电力电子技术助力用电侧高效低碳转型探索​</w:t>
      </w:r>
    </w:p>
    <w:p w14:paraId="4E750BAD" w14:textId="77777777" w:rsidR="00386EDE" w:rsidRDefault="00000000">
      <w:pPr>
        <w:pStyle w:val="a3"/>
        <w:widowControl/>
        <w:spacing w:before="0" w:after="0" w:line="56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四、新型电力系统稳定调控与安全治理体系构建​</w:t>
      </w:r>
    </w:p>
    <w:p w14:paraId="7B4DBB91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高比例新能源接入下新型电力系统频率稳定控制</w:t>
      </w:r>
    </w:p>
    <w:p w14:paraId="7021B411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新型电力系统源网荷储协同互动稳定调控机制研究​</w:t>
      </w:r>
    </w:p>
    <w:p w14:paraId="5805DCE5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基于数字孪生的电力系统安全风险预警与防控体系​</w:t>
      </w:r>
    </w:p>
    <w:p w14:paraId="73F82C9B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新型电力系统跨区域输电通道稳定运行保障技术​</w:t>
      </w:r>
    </w:p>
    <w:p w14:paraId="12D43A56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电力市场环境下新型电力系统安全稳定调控的经济补偿机制</w:t>
      </w:r>
    </w:p>
    <w:p w14:paraId="72CEAAD0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极端天气对新型电力系统安全运行的影响及防御措施</w:t>
      </w:r>
    </w:p>
    <w:p w14:paraId="7D7BE8E4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新型电力系统继电保护适应性优化与安全防护体系</w:t>
      </w:r>
    </w:p>
    <w:p w14:paraId="15A2726F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储能配置优化提升新型电力系统稳定性的关键技术​</w:t>
      </w:r>
    </w:p>
    <w:p w14:paraId="140CCCB1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电力系统信息物理融合安全风险治理框架与实践​</w:t>
      </w:r>
    </w:p>
    <w:p w14:paraId="4A1556E6" w14:textId="77777777" w:rsidR="00386EDE" w:rsidRDefault="00000000">
      <w:pPr>
        <w:pStyle w:val="a3"/>
        <w:widowControl/>
        <w:numPr>
          <w:ilvl w:val="0"/>
          <w:numId w:val="6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新型电力系统稳定调控的人工智能辅助决策方法​</w:t>
      </w:r>
    </w:p>
    <w:p w14:paraId="2FB3A307" w14:textId="77777777" w:rsidR="00386EDE" w:rsidRDefault="00000000">
      <w:pPr>
        <w:pStyle w:val="a3"/>
        <w:widowControl/>
        <w:spacing w:before="0" w:after="0" w:line="560" w:lineRule="exact"/>
        <w:ind w:firstLine="640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五、城市能源系统低碳规划与安全运行​</w:t>
      </w:r>
    </w:p>
    <w:p w14:paraId="1982057C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“双碳”目标下城市能源系统低碳转型规划模型构建</w:t>
      </w:r>
    </w:p>
    <w:p w14:paraId="2C191388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城市综合能源系统多能协同优化运行与安全保障​</w:t>
      </w:r>
    </w:p>
    <w:p w14:paraId="590F05B2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基于情景分析的城市能源低碳发展路径动态规划​</w:t>
      </w:r>
    </w:p>
    <w:p w14:paraId="305A6DD5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城市交通能源系统电动化转型与低碳安全运行策略​</w:t>
      </w:r>
    </w:p>
    <w:p w14:paraId="18345B00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老旧城区能源基础设施低碳改造与安全升级方案​</w:t>
      </w:r>
    </w:p>
    <w:p w14:paraId="2B93C194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适应极端事件的城市能源互联网韧性评估及提升研究</w:t>
      </w:r>
    </w:p>
    <w:p w14:paraId="5E76158B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智慧城市建设中能源系统低碳管理与安全监测体系​</w:t>
      </w:r>
    </w:p>
    <w:p w14:paraId="732559F9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城市大规模公共建筑群低碳改造以及与电网互动</w:t>
      </w:r>
    </w:p>
    <w:p w14:paraId="7AF9958C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城市能源系统低碳规划中的公众参与机制与实施路径</w:t>
      </w:r>
    </w:p>
    <w:p w14:paraId="53EB11DF" w14:textId="77777777" w:rsidR="00386EDE" w:rsidRDefault="00000000">
      <w:pPr>
        <w:pStyle w:val="a3"/>
        <w:widowControl/>
        <w:numPr>
          <w:ilvl w:val="0"/>
          <w:numId w:val="7"/>
        </w:numPr>
        <w:spacing w:before="0" w:after="0" w:line="560" w:lineRule="exact"/>
        <w:ind w:firstLine="640"/>
        <w:jc w:val="left"/>
      </w:pPr>
      <w:r>
        <w:rPr>
          <w:rFonts w:ascii="仿宋_GB2312" w:eastAsia="仿宋_GB2312" w:hAnsi="仿宋_GB2312" w:cs="仿宋_GB2312" w:hint="eastAsia"/>
          <w:sz w:val="32"/>
          <w:szCs w:val="32"/>
        </w:rPr>
        <w:t>适应低空经济的城市能源系统构建及运行</w:t>
      </w: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14:paraId="7C197525" w14:textId="77777777" w:rsidR="00386EDE" w:rsidRDefault="00386EDE">
      <w:pPr>
        <w:pStyle w:val="a3"/>
        <w:widowControl/>
        <w:spacing w:before="0" w:after="0" w:line="560" w:lineRule="exact"/>
        <w:ind w:firstLineChars="0" w:firstLine="0"/>
        <w:jc w:val="left"/>
      </w:pPr>
    </w:p>
    <w:p w14:paraId="77B0042C" w14:textId="77777777" w:rsidR="00386EDE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政策建言类论文格式要求</w:t>
      </w:r>
    </w:p>
    <w:p w14:paraId="369D1661" w14:textId="77777777" w:rsidR="00386EDE" w:rsidRDefault="00386EDE">
      <w:pPr>
        <w:spacing w:line="560" w:lineRule="exact"/>
        <w:ind w:firstLineChars="200" w:firstLine="420"/>
      </w:pPr>
    </w:p>
    <w:p w14:paraId="43704D99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1.题目：大标题用二号华文中宋加黑，居中。副标题用三号楷体。</w:t>
      </w:r>
    </w:p>
    <w:p w14:paraId="465DAF90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2.作者：用小四号楷体，居中。如有多位作者，作者姓名用空格隔开。</w:t>
      </w:r>
    </w:p>
    <w:p w14:paraId="1324FE02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3.摘要：“摘要”用四号楷体左起顶格排，后空一格，接排摘要内容。摘要内容用五号楷体，200字以内。</w:t>
      </w:r>
    </w:p>
    <w:p w14:paraId="0D314C46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4.关键词：“关键词”用五号黑体左起顶格排，后空一格，接排关键词内容。关键词内容用五号楷体，多个关键词之间用空格隔开。</w:t>
      </w:r>
    </w:p>
    <w:p w14:paraId="3747E017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5.正文：正文用三号仿宋。一级标题用三号黑体；二级标题用三号宋体，加粗。计量单位，一律按照国际通用标准或国家标准。年代、年月日、数字一律用阿拉伯数字表示。注释为脚注，用五号仿宋。</w:t>
      </w:r>
    </w:p>
    <w:p w14:paraId="5B6C90D8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参考文献：“参考文献”用五号仿宋左起顶格排，另起一行，接排文献资料。文献资料用五号仿宋，格式如下：（1）书籍类文献：作者、作者，出版年份：《书名》，出版地：出版社；（2）期刊类文献：作者、作者，年份：《文章名》，《期刊名》卷（期）；（3）网页类文献：作者、作者，年份：《文章名》，网站名（网址）。</w:t>
      </w:r>
    </w:p>
    <w:p w14:paraId="6EFD9B0A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7.作者简介：“作者简介”用小五号黑体左起顶格排，后空一格，接排简介内容。简介内容用小五号仿宋，包括姓名、工作单位、职称职务、专业领域。如有多位作者，作者简介之间用分号隔开。</w:t>
      </w:r>
    </w:p>
    <w:p w14:paraId="1231B00B" w14:textId="77777777" w:rsidR="00386EDE" w:rsidRDefault="00000000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  <w:sectPr w:rsidR="00386EDE">
          <w:footerReference w:type="default" r:id="rId8"/>
          <w:pgSz w:w="11906" w:h="16838"/>
          <w:pgMar w:top="1559" w:right="1111" w:bottom="1559" w:left="1117" w:header="851" w:footer="992" w:gutter="0"/>
          <w:pgNumType w:fmt="numberInDash"/>
          <w:cols w:space="425"/>
          <w:docGrid w:linePitch="312" w:charSpace="83"/>
        </w:sectPr>
      </w:pPr>
      <w:r>
        <w:rPr>
          <w:rFonts w:ascii="仿宋_GB2312" w:eastAsia="仿宋_GB2312" w:hAnsi="仿宋_GB2312" w:cs="仿宋_GB2312" w:hint="eastAsia"/>
          <w:sz w:val="32"/>
          <w:szCs w:val="32"/>
        </w:rPr>
        <w:t>8.注意事项：文稿请用Word录入排版，图表直接插入正文中。</w:t>
      </w:r>
    </w:p>
    <w:p w14:paraId="173B4E92" w14:textId="77777777" w:rsidR="00386EDE" w:rsidRDefault="00386EDE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5941EFD5" w14:textId="77777777" w:rsidR="00386EDE" w:rsidRDefault="00000000">
      <w:pPr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bCs/>
          <w:sz w:val="32"/>
          <w:szCs w:val="32"/>
        </w:rPr>
        <w:lastRenderedPageBreak/>
        <w:t>附件3</w:t>
      </w:r>
    </w:p>
    <w:p w14:paraId="519AB271" w14:textId="77777777" w:rsidR="00386EDE" w:rsidRDefault="00386EDE">
      <w:pPr>
        <w:rPr>
          <w:rFonts w:ascii="黑体" w:eastAsia="黑体" w:hAnsi="黑体" w:cs="黑体" w:hint="eastAsia"/>
          <w:bCs/>
          <w:sz w:val="32"/>
          <w:szCs w:val="32"/>
        </w:rPr>
      </w:pPr>
    </w:p>
    <w:p w14:paraId="36BC80C1" w14:textId="77777777" w:rsidR="00386EDE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专业理论类论文模板</w:t>
      </w:r>
    </w:p>
    <w:p w14:paraId="78A42E92" w14:textId="77777777" w:rsidR="00386EDE" w:rsidRDefault="00000000">
      <w:pPr>
        <w:spacing w:beforeLines="100" w:before="240" w:afterLines="100" w:after="240" w:line="240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大标题</w:t>
      </w:r>
    </w:p>
    <w:p w14:paraId="4D9B9BA9" w14:textId="77777777" w:rsidR="00386EDE" w:rsidRDefault="00000000">
      <w:pPr>
        <w:jc w:val="center"/>
        <w:rPr>
          <w:rFonts w:ascii="宋体" w:hAnsi="宋体" w:hint="eastAsia"/>
          <w:b/>
          <w:color w:val="000000" w:themeColor="text1"/>
          <w:sz w:val="22"/>
          <w:szCs w:val="22"/>
        </w:rPr>
      </w:pPr>
      <w:r>
        <w:rPr>
          <w:rFonts w:ascii="宋体" w:hAnsi="宋体" w:hint="eastAsia"/>
          <w:b/>
          <w:color w:val="000000" w:themeColor="text1"/>
          <w:sz w:val="22"/>
          <w:szCs w:val="22"/>
        </w:rPr>
        <w:t>副标题</w:t>
      </w:r>
    </w:p>
    <w:p w14:paraId="65AF8FB7" w14:textId="77777777" w:rsidR="00386EDE" w:rsidRDefault="00000000">
      <w:pPr>
        <w:spacing w:line="240" w:lineRule="atLeast"/>
        <w:jc w:val="center"/>
        <w:rPr>
          <w:rFonts w:eastAsia="仿宋_GB2312"/>
          <w:b/>
          <w:color w:val="000000" w:themeColor="text1"/>
          <w:sz w:val="20"/>
        </w:rPr>
      </w:pPr>
      <w:r>
        <w:rPr>
          <w:rFonts w:eastAsia="仿宋_GB2312" w:hint="eastAsia"/>
          <w:b/>
          <w:color w:val="000000" w:themeColor="text1"/>
          <w:sz w:val="20"/>
        </w:rPr>
        <w:t>作者一</w:t>
      </w:r>
      <w:r>
        <w:rPr>
          <w:rFonts w:eastAsia="仿宋_GB2312"/>
          <w:b/>
          <w:color w:val="000000" w:themeColor="text1"/>
          <w:sz w:val="20"/>
          <w:vertAlign w:val="superscript"/>
        </w:rPr>
        <w:t>1</w:t>
      </w:r>
      <w:r>
        <w:rPr>
          <w:rFonts w:eastAsia="仿宋_GB2312"/>
          <w:b/>
          <w:color w:val="000000" w:themeColor="text1"/>
          <w:sz w:val="20"/>
        </w:rPr>
        <w:t>，</w:t>
      </w:r>
      <w:r>
        <w:rPr>
          <w:rFonts w:eastAsia="仿宋_GB2312" w:hint="eastAsia"/>
          <w:b/>
          <w:color w:val="000000" w:themeColor="text1"/>
          <w:sz w:val="20"/>
        </w:rPr>
        <w:t>作者二</w:t>
      </w:r>
      <w:r>
        <w:rPr>
          <w:rFonts w:eastAsia="仿宋_GB2312"/>
          <w:b/>
          <w:color w:val="000000" w:themeColor="text1"/>
          <w:sz w:val="20"/>
          <w:vertAlign w:val="superscript"/>
        </w:rPr>
        <w:t>2</w:t>
      </w:r>
      <w:r>
        <w:rPr>
          <w:rFonts w:eastAsia="仿宋_GB2312"/>
          <w:b/>
          <w:color w:val="000000" w:themeColor="text1"/>
          <w:sz w:val="20"/>
        </w:rPr>
        <w:t>，</w:t>
      </w:r>
      <w:r>
        <w:rPr>
          <w:rFonts w:eastAsia="仿宋_GB2312" w:hint="eastAsia"/>
          <w:b/>
          <w:color w:val="000000" w:themeColor="text1"/>
          <w:sz w:val="20"/>
        </w:rPr>
        <w:t>作者三</w:t>
      </w:r>
      <w:r>
        <w:rPr>
          <w:rFonts w:eastAsia="仿宋_GB2312"/>
          <w:b/>
          <w:color w:val="000000" w:themeColor="text1"/>
          <w:sz w:val="20"/>
          <w:vertAlign w:val="superscript"/>
        </w:rPr>
        <w:t>3</w:t>
      </w:r>
    </w:p>
    <w:p w14:paraId="1B2939D9" w14:textId="77777777" w:rsidR="00386EDE" w:rsidRDefault="00000000">
      <w:pPr>
        <w:spacing w:line="240" w:lineRule="atLeast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（</w:t>
      </w:r>
      <w:r>
        <w:rPr>
          <w:color w:val="000000" w:themeColor="text1"/>
          <w:sz w:val="16"/>
          <w:szCs w:val="16"/>
        </w:rPr>
        <w:t xml:space="preserve">1. </w:t>
      </w:r>
      <w:r>
        <w:rPr>
          <w:color w:val="000000" w:themeColor="text1"/>
          <w:sz w:val="16"/>
          <w:szCs w:val="16"/>
        </w:rPr>
        <w:t>单位，</w:t>
      </w:r>
      <w:r>
        <w:rPr>
          <w:rFonts w:hint="eastAsia"/>
          <w:color w:val="000000" w:themeColor="text1"/>
          <w:sz w:val="16"/>
          <w:szCs w:val="16"/>
        </w:rPr>
        <w:t>省</w:t>
      </w:r>
      <w:r>
        <w:rPr>
          <w:color w:val="000000" w:themeColor="text1"/>
          <w:sz w:val="16"/>
          <w:szCs w:val="16"/>
        </w:rPr>
        <w:t>市，国家，邮编；</w:t>
      </w:r>
      <w:r>
        <w:rPr>
          <w:color w:val="000000" w:themeColor="text1"/>
          <w:sz w:val="16"/>
          <w:szCs w:val="16"/>
        </w:rPr>
        <w:t xml:space="preserve">2. </w:t>
      </w:r>
      <w:r>
        <w:rPr>
          <w:color w:val="000000" w:themeColor="text1"/>
          <w:sz w:val="16"/>
          <w:szCs w:val="16"/>
        </w:rPr>
        <w:t>单位，</w:t>
      </w:r>
      <w:r>
        <w:rPr>
          <w:rFonts w:hint="eastAsia"/>
          <w:color w:val="000000" w:themeColor="text1"/>
          <w:sz w:val="16"/>
          <w:szCs w:val="16"/>
        </w:rPr>
        <w:t>省</w:t>
      </w:r>
      <w:r>
        <w:rPr>
          <w:color w:val="000000" w:themeColor="text1"/>
          <w:sz w:val="16"/>
          <w:szCs w:val="16"/>
        </w:rPr>
        <w:t>市，国家，邮编；</w:t>
      </w:r>
      <w:r>
        <w:rPr>
          <w:color w:val="000000" w:themeColor="text1"/>
          <w:sz w:val="16"/>
          <w:szCs w:val="16"/>
        </w:rPr>
        <w:t xml:space="preserve">3. </w:t>
      </w:r>
      <w:r>
        <w:rPr>
          <w:color w:val="000000" w:themeColor="text1"/>
          <w:sz w:val="16"/>
          <w:szCs w:val="16"/>
        </w:rPr>
        <w:t>单位，</w:t>
      </w:r>
      <w:r>
        <w:rPr>
          <w:rFonts w:hint="eastAsia"/>
          <w:color w:val="000000" w:themeColor="text1"/>
          <w:sz w:val="16"/>
          <w:szCs w:val="16"/>
        </w:rPr>
        <w:t>省</w:t>
      </w:r>
      <w:r>
        <w:rPr>
          <w:color w:val="000000" w:themeColor="text1"/>
          <w:sz w:val="16"/>
          <w:szCs w:val="16"/>
        </w:rPr>
        <w:t>市，国家，邮编）</w:t>
      </w:r>
    </w:p>
    <w:p w14:paraId="179CEF8F" w14:textId="77777777" w:rsidR="00386EDE" w:rsidRDefault="00386EDE">
      <w:pPr>
        <w:spacing w:line="300" w:lineRule="atLeast"/>
        <w:jc w:val="center"/>
        <w:rPr>
          <w:color w:val="000000" w:themeColor="text1"/>
          <w:sz w:val="15"/>
          <w:szCs w:val="15"/>
        </w:rPr>
      </w:pPr>
    </w:p>
    <w:p w14:paraId="7A9EFD7D" w14:textId="77777777" w:rsidR="00386EDE" w:rsidRDefault="00000000">
      <w:pPr>
        <w:spacing w:line="240" w:lineRule="atLeast"/>
        <w:rPr>
          <w:rFonts w:eastAsia="楷体_GB2312"/>
          <w:color w:val="000000" w:themeColor="text1"/>
          <w:sz w:val="20"/>
        </w:rPr>
      </w:pPr>
      <w:r>
        <w:rPr>
          <w:rFonts w:eastAsia="楷体_GB2312"/>
          <w:b/>
          <w:color w:val="000000" w:themeColor="text1"/>
          <w:sz w:val="20"/>
        </w:rPr>
        <w:t>摘</w:t>
      </w:r>
      <w:r>
        <w:rPr>
          <w:rFonts w:eastAsia="楷体_GB2312"/>
          <w:b/>
          <w:color w:val="000000" w:themeColor="text1"/>
          <w:sz w:val="20"/>
        </w:rPr>
        <w:t xml:space="preserve">  </w:t>
      </w:r>
      <w:r>
        <w:rPr>
          <w:rFonts w:eastAsia="楷体_GB2312"/>
          <w:b/>
          <w:color w:val="000000" w:themeColor="text1"/>
          <w:sz w:val="20"/>
        </w:rPr>
        <w:t>要：</w:t>
      </w:r>
      <w:r>
        <w:rPr>
          <w:rFonts w:eastAsia="楷体_GB2312" w:hint="eastAsia"/>
          <w:color w:val="000000" w:themeColor="text1"/>
          <w:sz w:val="20"/>
        </w:rPr>
        <w:t>本模板定义了征文的标准格式。为了方便作者直观了解论文标准格式，作者可直接以本文档为例，按模板各个板块填入文字、公式、表格和图片。为了征文保持美观性，增加阅读舒适感，请作者不要修改页面格式。</w:t>
      </w:r>
    </w:p>
    <w:p w14:paraId="406F9B9F" w14:textId="77777777" w:rsidR="00386EDE" w:rsidRDefault="00000000">
      <w:pPr>
        <w:spacing w:beforeLines="50" w:before="120" w:line="240" w:lineRule="atLeast"/>
        <w:rPr>
          <w:rFonts w:eastAsia="楷体_GB2312"/>
          <w:b/>
          <w:color w:val="000000" w:themeColor="text1"/>
          <w:sz w:val="20"/>
        </w:rPr>
      </w:pPr>
      <w:r>
        <w:rPr>
          <w:rFonts w:eastAsia="楷体_GB2312"/>
          <w:b/>
          <w:color w:val="000000" w:themeColor="text1"/>
          <w:sz w:val="20"/>
        </w:rPr>
        <w:t>关键词：</w:t>
      </w:r>
      <w:r>
        <w:rPr>
          <w:rFonts w:eastAsia="楷体_GB2312"/>
          <w:color w:val="000000" w:themeColor="text1"/>
          <w:sz w:val="20"/>
        </w:rPr>
        <w:t>模板；格式；学术会议；论文集</w:t>
      </w:r>
    </w:p>
    <w:p w14:paraId="14B1FC4E" w14:textId="77777777" w:rsidR="00386EDE" w:rsidRDefault="00386EDE">
      <w:pPr>
        <w:spacing w:line="300" w:lineRule="atLeast"/>
        <w:rPr>
          <w:rFonts w:eastAsia="楷体_GB2312"/>
          <w:color w:val="000000" w:themeColor="text1"/>
          <w:sz w:val="18"/>
          <w:szCs w:val="18"/>
        </w:rPr>
      </w:pPr>
    </w:p>
    <w:p w14:paraId="0B28F223" w14:textId="77777777" w:rsidR="00386EDE" w:rsidRDefault="00000000">
      <w:pPr>
        <w:spacing w:beforeLines="100" w:before="240" w:afterLines="100" w:after="240" w:line="240" w:lineRule="atLeast"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Paper Title</w:t>
      </w:r>
    </w:p>
    <w:p w14:paraId="3CDDEC3A" w14:textId="77777777" w:rsidR="00386EDE" w:rsidRDefault="00000000">
      <w:pPr>
        <w:ind w:leftChars="200" w:left="420" w:rightChars="200" w:right="420"/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Subtitle as needed</w:t>
      </w:r>
    </w:p>
    <w:p w14:paraId="28BC39CC" w14:textId="77777777" w:rsidR="00386EDE" w:rsidRDefault="00386EDE">
      <w:pPr>
        <w:ind w:leftChars="200" w:left="420" w:rightChars="200" w:right="420"/>
        <w:jc w:val="center"/>
        <w:rPr>
          <w:b/>
          <w:color w:val="000000" w:themeColor="text1"/>
          <w:sz w:val="22"/>
          <w:szCs w:val="22"/>
        </w:rPr>
      </w:pPr>
    </w:p>
    <w:p w14:paraId="580220F2" w14:textId="77777777" w:rsidR="00386EDE" w:rsidRDefault="00000000">
      <w:pPr>
        <w:spacing w:line="240" w:lineRule="atLeast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A</w:t>
      </w:r>
      <w:r>
        <w:rPr>
          <w:rFonts w:hint="eastAsia"/>
          <w:b/>
          <w:color w:val="000000" w:themeColor="text1"/>
          <w:sz w:val="20"/>
        </w:rPr>
        <w:t>uthor</w:t>
      </w:r>
      <w:r>
        <w:rPr>
          <w:rFonts w:eastAsia="楷体_GB2312"/>
          <w:b/>
          <w:color w:val="000000" w:themeColor="text1"/>
          <w:sz w:val="20"/>
          <w:vertAlign w:val="superscript"/>
        </w:rPr>
        <w:t xml:space="preserve"> 1</w:t>
      </w:r>
      <w:r>
        <w:rPr>
          <w:rFonts w:eastAsia="楷体_GB2312" w:hint="eastAsia"/>
          <w:b/>
          <w:color w:val="000000" w:themeColor="text1"/>
          <w:sz w:val="20"/>
        </w:rPr>
        <w:t>，</w:t>
      </w:r>
      <w:r>
        <w:rPr>
          <w:b/>
          <w:color w:val="000000" w:themeColor="text1"/>
          <w:sz w:val="20"/>
        </w:rPr>
        <w:t>A</w:t>
      </w:r>
      <w:r>
        <w:rPr>
          <w:rFonts w:hint="eastAsia"/>
          <w:b/>
          <w:color w:val="000000" w:themeColor="text1"/>
          <w:sz w:val="20"/>
        </w:rPr>
        <w:t>uthor</w:t>
      </w:r>
      <w:r>
        <w:rPr>
          <w:rFonts w:eastAsia="楷体_GB2312"/>
          <w:b/>
          <w:color w:val="000000" w:themeColor="text1"/>
          <w:sz w:val="20"/>
          <w:vertAlign w:val="superscript"/>
        </w:rPr>
        <w:t xml:space="preserve"> 2</w:t>
      </w:r>
      <w:r>
        <w:rPr>
          <w:rFonts w:eastAsia="楷体_GB2312" w:hint="eastAsia"/>
          <w:b/>
          <w:color w:val="000000" w:themeColor="text1"/>
          <w:sz w:val="20"/>
        </w:rPr>
        <w:t>，</w:t>
      </w:r>
      <w:r>
        <w:rPr>
          <w:b/>
          <w:color w:val="000000" w:themeColor="text1"/>
          <w:sz w:val="20"/>
        </w:rPr>
        <w:t>A</w:t>
      </w:r>
      <w:r>
        <w:rPr>
          <w:rFonts w:hint="eastAsia"/>
          <w:b/>
          <w:color w:val="000000" w:themeColor="text1"/>
          <w:sz w:val="20"/>
        </w:rPr>
        <w:t>uthor</w:t>
      </w:r>
      <w:r>
        <w:rPr>
          <w:rFonts w:eastAsia="楷体_GB2312"/>
          <w:b/>
          <w:color w:val="000000" w:themeColor="text1"/>
          <w:sz w:val="20"/>
          <w:vertAlign w:val="superscript"/>
        </w:rPr>
        <w:t xml:space="preserve"> 3</w:t>
      </w:r>
    </w:p>
    <w:p w14:paraId="64B6DBF3" w14:textId="77777777" w:rsidR="00386EDE" w:rsidRDefault="00000000">
      <w:pPr>
        <w:spacing w:line="240" w:lineRule="atLeast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（</w:t>
      </w:r>
      <w:r>
        <w:rPr>
          <w:color w:val="000000" w:themeColor="text1"/>
          <w:sz w:val="16"/>
          <w:szCs w:val="16"/>
        </w:rPr>
        <w:t>1.Scientific Research Department of NAEI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Shandong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Yantai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264001</w:t>
      </w:r>
      <w:r>
        <w:rPr>
          <w:color w:val="000000" w:themeColor="text1"/>
          <w:sz w:val="16"/>
          <w:szCs w:val="16"/>
        </w:rPr>
        <w:t>；</w:t>
      </w:r>
      <w:r>
        <w:rPr>
          <w:color w:val="000000" w:themeColor="text1"/>
          <w:sz w:val="16"/>
          <w:szCs w:val="16"/>
        </w:rPr>
        <w:t>2.Jiangsu CRAREFREE Pharmacal co.,Ltd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Jiangsu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Nanjing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210016</w:t>
      </w:r>
      <w:r>
        <w:rPr>
          <w:color w:val="000000" w:themeColor="text1"/>
          <w:sz w:val="16"/>
          <w:szCs w:val="16"/>
        </w:rPr>
        <w:t>）</w:t>
      </w:r>
    </w:p>
    <w:p w14:paraId="5620D2AA" w14:textId="77777777" w:rsidR="00386EDE" w:rsidRDefault="00000000">
      <w:pPr>
        <w:spacing w:line="240" w:lineRule="atLeast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（</w:t>
      </w:r>
      <w:r>
        <w:rPr>
          <w:color w:val="000000" w:themeColor="text1"/>
          <w:sz w:val="16"/>
          <w:szCs w:val="16"/>
        </w:rPr>
        <w:t>3.Binzhou Medical University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Shandong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Yantai</w:t>
      </w:r>
      <w:r>
        <w:rPr>
          <w:color w:val="000000" w:themeColor="text1"/>
          <w:sz w:val="16"/>
          <w:szCs w:val="16"/>
        </w:rPr>
        <w:t>，</w:t>
      </w:r>
      <w:r>
        <w:rPr>
          <w:color w:val="000000" w:themeColor="text1"/>
          <w:sz w:val="16"/>
          <w:szCs w:val="16"/>
        </w:rPr>
        <w:t>264001</w:t>
      </w:r>
      <w:r>
        <w:rPr>
          <w:color w:val="000000" w:themeColor="text1"/>
          <w:sz w:val="16"/>
          <w:szCs w:val="16"/>
        </w:rPr>
        <w:t>）</w:t>
      </w:r>
    </w:p>
    <w:p w14:paraId="443EB859" w14:textId="77777777" w:rsidR="00386EDE" w:rsidRDefault="00386EDE">
      <w:pPr>
        <w:spacing w:line="300" w:lineRule="atLeast"/>
        <w:jc w:val="center"/>
        <w:rPr>
          <w:color w:val="000000" w:themeColor="text1"/>
          <w:sz w:val="15"/>
          <w:szCs w:val="15"/>
        </w:rPr>
      </w:pPr>
    </w:p>
    <w:p w14:paraId="3532FA16" w14:textId="77777777" w:rsidR="00386EDE" w:rsidRDefault="00000000">
      <w:pPr>
        <w:spacing w:line="240" w:lineRule="atLeast"/>
        <w:rPr>
          <w:color w:val="000000" w:themeColor="text1"/>
          <w:sz w:val="20"/>
          <w:lang w:val="en-GB"/>
        </w:rPr>
      </w:pPr>
      <w:r>
        <w:rPr>
          <w:b/>
          <w:color w:val="000000" w:themeColor="text1"/>
          <w:sz w:val="20"/>
          <w:lang w:val="en-GB"/>
        </w:rPr>
        <w:t>Abstract</w:t>
      </w:r>
      <w:r>
        <w:rPr>
          <w:b/>
          <w:color w:val="000000" w:themeColor="text1"/>
          <w:sz w:val="20"/>
          <w:lang w:val="en-GB"/>
        </w:rPr>
        <w:t>：</w:t>
      </w:r>
      <w:r>
        <w:rPr>
          <w:color w:val="000000" w:themeColor="text1"/>
          <w:sz w:val="20"/>
          <w:lang w:val="en-GB"/>
        </w:rPr>
        <w:t>Virtual Reality has extensive foreground of application.</w:t>
      </w:r>
      <w:r>
        <w:rPr>
          <w:rFonts w:hint="eastAsia"/>
          <w:color w:val="000000" w:themeColor="text1"/>
          <w:sz w:val="20"/>
          <w:lang w:val="en-GB"/>
        </w:rPr>
        <w:t xml:space="preserve"> </w:t>
      </w:r>
      <w:r>
        <w:rPr>
          <w:color w:val="000000" w:themeColor="text1"/>
          <w:sz w:val="20"/>
          <w:lang w:val="en-GB"/>
        </w:rPr>
        <w:t>With the fast development of computer’s hardware and software, Virtual Reality has been get marked effect in fact.</w:t>
      </w:r>
      <w:r>
        <w:rPr>
          <w:rFonts w:hint="eastAsia"/>
          <w:color w:val="000000" w:themeColor="text1"/>
          <w:sz w:val="20"/>
          <w:lang w:val="en-GB"/>
        </w:rPr>
        <w:t xml:space="preserve"> </w:t>
      </w:r>
      <w:r>
        <w:rPr>
          <w:color w:val="000000" w:themeColor="text1"/>
          <w:sz w:val="20"/>
          <w:lang w:val="en-GB"/>
        </w:rPr>
        <w:t>First the concept of Virtual Reality and it’s application area is introduced.</w:t>
      </w:r>
      <w:r>
        <w:rPr>
          <w:rFonts w:hint="eastAsia"/>
          <w:color w:val="000000" w:themeColor="text1"/>
          <w:sz w:val="20"/>
          <w:lang w:val="en-GB"/>
        </w:rPr>
        <w:t xml:space="preserve"> </w:t>
      </w:r>
      <w:r>
        <w:rPr>
          <w:color w:val="000000" w:themeColor="text1"/>
          <w:sz w:val="20"/>
          <w:lang w:val="en-GB"/>
        </w:rPr>
        <w:t>Then, enumerates some medical application examples which developed by Virtual Reality. Expounds some key technology of virtual medicine.</w:t>
      </w:r>
      <w:r>
        <w:rPr>
          <w:rFonts w:hint="eastAsia"/>
          <w:color w:val="000000" w:themeColor="text1"/>
          <w:sz w:val="20"/>
          <w:lang w:val="en-GB"/>
        </w:rPr>
        <w:t xml:space="preserve"> </w:t>
      </w:r>
      <w:r>
        <w:rPr>
          <w:color w:val="000000" w:themeColor="text1"/>
          <w:sz w:val="20"/>
          <w:lang w:val="en-GB"/>
        </w:rPr>
        <w:t>And puts forward some problems which exists in applicting process.</w:t>
      </w:r>
      <w:r>
        <w:rPr>
          <w:rFonts w:hint="eastAsia"/>
          <w:color w:val="000000" w:themeColor="text1"/>
          <w:sz w:val="20"/>
          <w:lang w:val="en-GB"/>
        </w:rPr>
        <w:t xml:space="preserve"> </w:t>
      </w:r>
      <w:r>
        <w:rPr>
          <w:color w:val="000000" w:themeColor="text1"/>
          <w:sz w:val="20"/>
          <w:lang w:val="en-GB"/>
        </w:rPr>
        <w:t xml:space="preserve">At last, looks into the future about Application of Virtual Reality Technology in Medical Science. </w:t>
      </w:r>
    </w:p>
    <w:p w14:paraId="7FB0E9F7" w14:textId="77777777" w:rsidR="00386EDE" w:rsidRDefault="00000000">
      <w:pPr>
        <w:spacing w:line="240" w:lineRule="atLeast"/>
        <w:rPr>
          <w:color w:val="000000" w:themeColor="text1"/>
          <w:sz w:val="20"/>
          <w:lang w:val="en-GB"/>
        </w:rPr>
      </w:pPr>
      <w:r>
        <w:rPr>
          <w:b/>
          <w:color w:val="000000" w:themeColor="text1"/>
          <w:sz w:val="20"/>
          <w:lang w:val="en-GB"/>
        </w:rPr>
        <w:t>Key words</w:t>
      </w:r>
      <w:r>
        <w:rPr>
          <w:b/>
          <w:color w:val="000000" w:themeColor="text1"/>
          <w:sz w:val="20"/>
          <w:lang w:val="en-GB"/>
        </w:rPr>
        <w:t>：</w:t>
      </w:r>
      <w:r>
        <w:rPr>
          <w:color w:val="000000" w:themeColor="text1"/>
          <w:sz w:val="20"/>
          <w:lang w:val="en-GB"/>
        </w:rPr>
        <w:t>Virtual Reality (VR)</w:t>
      </w:r>
      <w:r>
        <w:rPr>
          <w:color w:val="000000" w:themeColor="text1"/>
          <w:sz w:val="20"/>
          <w:lang w:val="en-GB"/>
        </w:rPr>
        <w:t>；</w:t>
      </w:r>
      <w:r>
        <w:rPr>
          <w:color w:val="000000" w:themeColor="text1"/>
          <w:sz w:val="20"/>
          <w:lang w:val="en-GB"/>
        </w:rPr>
        <w:t>Digital Virtual Human Body</w:t>
      </w:r>
      <w:r>
        <w:rPr>
          <w:color w:val="000000" w:themeColor="text1"/>
          <w:sz w:val="20"/>
          <w:lang w:val="en-GB"/>
        </w:rPr>
        <w:t>；</w:t>
      </w:r>
      <w:r>
        <w:rPr>
          <w:color w:val="000000" w:themeColor="text1"/>
          <w:sz w:val="20"/>
          <w:lang w:val="en-GB"/>
        </w:rPr>
        <w:t>Virtual Surgery</w:t>
      </w:r>
      <w:r>
        <w:rPr>
          <w:color w:val="000000" w:themeColor="text1"/>
          <w:sz w:val="20"/>
          <w:lang w:val="en-GB"/>
        </w:rPr>
        <w:t>；</w:t>
      </w:r>
      <w:r>
        <w:rPr>
          <w:color w:val="000000" w:themeColor="text1"/>
          <w:sz w:val="20"/>
          <w:lang w:val="en-GB"/>
        </w:rPr>
        <w:t xml:space="preserve">Virtual Endoscopy(VE) </w:t>
      </w:r>
    </w:p>
    <w:p w14:paraId="410CAFFA" w14:textId="77777777" w:rsidR="00386EDE" w:rsidRDefault="00386EDE">
      <w:pPr>
        <w:spacing w:line="240" w:lineRule="atLeast"/>
        <w:rPr>
          <w:color w:val="000000" w:themeColor="text1"/>
          <w:sz w:val="20"/>
          <w:lang w:val="en-GB"/>
        </w:rPr>
      </w:pPr>
    </w:p>
    <w:p w14:paraId="1EC7DE6B" w14:textId="77777777" w:rsidR="00386EDE" w:rsidRDefault="00386EDE">
      <w:pPr>
        <w:spacing w:line="240" w:lineRule="atLeast"/>
        <w:rPr>
          <w:color w:val="000000" w:themeColor="text1"/>
          <w:sz w:val="20"/>
          <w:lang w:val="en-GB"/>
        </w:rPr>
      </w:pPr>
    </w:p>
    <w:p w14:paraId="74AC651E" w14:textId="77777777" w:rsidR="00386EDE" w:rsidRDefault="00386EDE">
      <w:pPr>
        <w:spacing w:line="240" w:lineRule="atLeast"/>
        <w:rPr>
          <w:color w:val="000000" w:themeColor="text1"/>
          <w:sz w:val="20"/>
          <w:lang w:val="en-GB"/>
        </w:rPr>
        <w:sectPr w:rsidR="00386EDE">
          <w:type w:val="continuous"/>
          <w:pgSz w:w="11906" w:h="16838"/>
          <w:pgMar w:top="1559" w:right="1111" w:bottom="1559" w:left="1117" w:header="851" w:footer="992" w:gutter="0"/>
          <w:pgNumType w:fmt="numberInDash"/>
          <w:cols w:space="425"/>
          <w:docGrid w:linePitch="312" w:charSpace="83"/>
        </w:sectPr>
      </w:pPr>
    </w:p>
    <w:p w14:paraId="14B01D39" w14:textId="77777777" w:rsidR="00386EDE" w:rsidRDefault="00000000">
      <w:pPr>
        <w:pStyle w:val="a8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>1</w:t>
      </w:r>
      <w:r>
        <w:rPr>
          <w:rFonts w:hint="eastAsia"/>
          <w:color w:val="000000" w:themeColor="text1"/>
          <w:lang w:eastAsia="zh-CN"/>
        </w:rPr>
        <w:t xml:space="preserve"> </w:t>
      </w:r>
      <w:r>
        <w:rPr>
          <w:color w:val="000000" w:themeColor="text1"/>
          <w:lang w:eastAsia="zh-CN"/>
        </w:rPr>
        <w:t>引言</w:t>
      </w:r>
      <w:r>
        <w:rPr>
          <w:color w:val="000000" w:themeColor="text1"/>
          <w:lang w:eastAsia="zh-CN"/>
        </w:rPr>
        <w:footnoteReference w:customMarkFollows="1" w:id="1"/>
        <w:sym w:font="Symbol" w:char="F020"/>
      </w:r>
    </w:p>
    <w:p w14:paraId="435DC7C8" w14:textId="77777777" w:rsidR="00386EDE" w:rsidRDefault="00000000">
      <w:pPr>
        <w:adjustRightInd w:val="0"/>
        <w:snapToGrid w:val="0"/>
        <w:spacing w:line="300" w:lineRule="atLeast"/>
        <w:ind w:firstLineChars="200" w:firstLine="380"/>
        <w:rPr>
          <w:color w:val="000000" w:themeColor="text1"/>
          <w:sz w:val="19"/>
          <w:szCs w:val="19"/>
          <w:lang w:val="en-GB"/>
        </w:rPr>
      </w:pPr>
      <w:r>
        <w:rPr>
          <w:rFonts w:hint="eastAsia"/>
          <w:color w:val="000000" w:themeColor="text1"/>
          <w:sz w:val="19"/>
          <w:szCs w:val="19"/>
          <w:lang w:val="en-GB"/>
        </w:rPr>
        <w:t>本模板是能源绿色发展大会论文集征文的标准格式。本模板用</w:t>
      </w:r>
      <w:r>
        <w:rPr>
          <w:rFonts w:hint="eastAsia"/>
          <w:color w:val="000000" w:themeColor="text1"/>
          <w:sz w:val="19"/>
          <w:szCs w:val="19"/>
          <w:lang w:val="en-GB"/>
        </w:rPr>
        <w:t>MS Word</w:t>
      </w:r>
      <w:r>
        <w:rPr>
          <w:rFonts w:hint="eastAsia"/>
          <w:color w:val="000000" w:themeColor="text1"/>
          <w:sz w:val="19"/>
          <w:szCs w:val="19"/>
          <w:lang w:val="en-GB"/>
        </w:rPr>
        <w:t>制作，并被保存为</w:t>
      </w:r>
      <w:r>
        <w:rPr>
          <w:rFonts w:hint="eastAsia"/>
          <w:color w:val="000000" w:themeColor="text1"/>
          <w:sz w:val="19"/>
          <w:szCs w:val="19"/>
          <w:lang w:val="en-GB"/>
        </w:rPr>
        <w:t>DOC</w:t>
      </w:r>
      <w:r>
        <w:rPr>
          <w:rFonts w:hint="eastAsia"/>
          <w:color w:val="000000" w:themeColor="text1"/>
          <w:sz w:val="19"/>
          <w:szCs w:val="19"/>
          <w:lang w:val="en-GB"/>
        </w:rPr>
        <w:t>格式，适用于使用</w:t>
      </w:r>
      <w:r>
        <w:rPr>
          <w:rFonts w:hint="eastAsia"/>
          <w:color w:val="000000" w:themeColor="text1"/>
          <w:sz w:val="19"/>
          <w:szCs w:val="19"/>
          <w:lang w:val="en-GB"/>
        </w:rPr>
        <w:t>MS Word</w:t>
      </w:r>
      <w:r>
        <w:rPr>
          <w:rFonts w:hint="eastAsia"/>
          <w:color w:val="000000" w:themeColor="text1"/>
          <w:sz w:val="19"/>
          <w:szCs w:val="19"/>
          <w:lang w:val="en-GB"/>
        </w:rPr>
        <w:t>编排论文的作者，为作者提供文章排版的格式规范。推荐所有向</w:t>
      </w:r>
      <w:r>
        <w:rPr>
          <w:rFonts w:hint="eastAsia"/>
          <w:color w:val="000000" w:themeColor="text1"/>
          <w:sz w:val="19"/>
          <w:szCs w:val="19"/>
          <w:lang w:val="en-GB"/>
        </w:rPr>
        <w:t>CCSSTA</w:t>
      </w:r>
      <w:r>
        <w:rPr>
          <w:rFonts w:hint="eastAsia"/>
          <w:color w:val="000000" w:themeColor="text1"/>
          <w:sz w:val="19"/>
          <w:szCs w:val="19"/>
          <w:lang w:val="en-GB"/>
        </w:rPr>
        <w:t>的会议投稿的作者使用本模板，一方面可以方便排版，另一方面可以统一论文集格式并确保所有论文符合出版规范。科技论文的各种元素的格式，包括页面空白、分栏、行距、图、表等，均在本模板中被定义。作者可直接以本文档为例，直观了解论文标准格式。</w:t>
      </w:r>
    </w:p>
    <w:p w14:paraId="7FC626B5" w14:textId="77777777" w:rsidR="00386EDE" w:rsidRDefault="00000000">
      <w:pPr>
        <w:pStyle w:val="a8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 </w:t>
      </w:r>
      <w:r>
        <w:rPr>
          <w:rFonts w:hint="eastAsia"/>
          <w:color w:val="000000" w:themeColor="text1"/>
          <w:lang w:eastAsia="zh-CN"/>
        </w:rPr>
        <w:t>使用须知</w:t>
      </w:r>
    </w:p>
    <w:p w14:paraId="6FC7F2E6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2.1 </w:t>
      </w:r>
      <w:r>
        <w:rPr>
          <w:rFonts w:hint="eastAsia"/>
          <w:color w:val="000000" w:themeColor="text1"/>
          <w:lang w:eastAsia="zh-CN"/>
        </w:rPr>
        <w:t>纸型</w:t>
      </w:r>
    </w:p>
    <w:p w14:paraId="64BE5937" w14:textId="77777777" w:rsidR="00386EDE" w:rsidRDefault="00000000">
      <w:pPr>
        <w:adjustRightInd w:val="0"/>
        <w:snapToGrid w:val="0"/>
        <w:spacing w:line="300" w:lineRule="atLeast"/>
        <w:ind w:firstLineChars="200" w:firstLine="380"/>
        <w:rPr>
          <w:color w:val="000000" w:themeColor="text1"/>
          <w:sz w:val="19"/>
          <w:szCs w:val="19"/>
          <w:lang w:val="en-GB"/>
        </w:rPr>
      </w:pPr>
      <w:r>
        <w:rPr>
          <w:rFonts w:hint="eastAsia"/>
          <w:color w:val="000000" w:themeColor="text1"/>
          <w:sz w:val="19"/>
          <w:szCs w:val="19"/>
          <w:lang w:val="en-GB"/>
        </w:rPr>
        <w:t>本模板仅针对采用</w:t>
      </w:r>
      <w:r>
        <w:rPr>
          <w:rFonts w:hint="eastAsia"/>
          <w:color w:val="000000" w:themeColor="text1"/>
          <w:sz w:val="19"/>
          <w:szCs w:val="19"/>
          <w:lang w:val="en-GB"/>
        </w:rPr>
        <w:t>A4</w:t>
      </w:r>
      <w:r>
        <w:rPr>
          <w:rFonts w:hint="eastAsia"/>
          <w:color w:val="000000" w:themeColor="text1"/>
          <w:sz w:val="19"/>
          <w:szCs w:val="19"/>
          <w:lang w:val="en-GB"/>
        </w:rPr>
        <w:t>纸型的会议论文集。请务必确保您的论文采用</w:t>
      </w:r>
      <w:r>
        <w:rPr>
          <w:rFonts w:hint="eastAsia"/>
          <w:color w:val="000000" w:themeColor="text1"/>
          <w:sz w:val="19"/>
          <w:szCs w:val="19"/>
          <w:lang w:val="en-GB"/>
        </w:rPr>
        <w:t>A4</w:t>
      </w:r>
      <w:r>
        <w:rPr>
          <w:rFonts w:hint="eastAsia"/>
          <w:color w:val="000000" w:themeColor="text1"/>
          <w:sz w:val="19"/>
          <w:szCs w:val="19"/>
          <w:lang w:val="en-GB"/>
        </w:rPr>
        <w:t>幅面</w:t>
      </w:r>
      <w:r>
        <w:rPr>
          <w:rFonts w:hint="eastAsia"/>
          <w:color w:val="000000" w:themeColor="text1"/>
          <w:sz w:val="19"/>
          <w:szCs w:val="19"/>
          <w:lang w:val="en-GB"/>
        </w:rPr>
        <w:t>(21</w:t>
      </w:r>
      <w:r>
        <w:rPr>
          <w:rFonts w:hint="eastAsia"/>
          <w:color w:val="000000" w:themeColor="text1"/>
          <w:sz w:val="19"/>
          <w:szCs w:val="19"/>
          <w:lang w:val="en-GB"/>
        </w:rPr>
        <w:t>厘米×</w:t>
      </w:r>
      <w:r>
        <w:rPr>
          <w:rFonts w:hint="eastAsia"/>
          <w:color w:val="000000" w:themeColor="text1"/>
          <w:sz w:val="19"/>
          <w:szCs w:val="19"/>
          <w:lang w:val="en-GB"/>
        </w:rPr>
        <w:t>28.5</w:t>
      </w:r>
      <w:r>
        <w:rPr>
          <w:rFonts w:hint="eastAsia"/>
          <w:color w:val="000000" w:themeColor="text1"/>
          <w:sz w:val="19"/>
          <w:szCs w:val="19"/>
          <w:lang w:val="en-GB"/>
        </w:rPr>
        <w:t>厘米</w:t>
      </w:r>
      <w:r>
        <w:rPr>
          <w:rFonts w:hint="eastAsia"/>
          <w:color w:val="000000" w:themeColor="text1"/>
          <w:sz w:val="19"/>
          <w:szCs w:val="19"/>
          <w:lang w:val="en-GB"/>
        </w:rPr>
        <w:t>)</w:t>
      </w:r>
      <w:r>
        <w:rPr>
          <w:rFonts w:hint="eastAsia"/>
          <w:color w:val="000000" w:themeColor="text1"/>
          <w:sz w:val="19"/>
          <w:szCs w:val="19"/>
          <w:lang w:val="en-GB"/>
        </w:rPr>
        <w:t>进行排版。</w:t>
      </w:r>
    </w:p>
    <w:p w14:paraId="75716FF7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2.2 </w:t>
      </w:r>
      <w:r>
        <w:rPr>
          <w:rFonts w:hint="eastAsia"/>
          <w:color w:val="000000" w:themeColor="text1"/>
          <w:lang w:eastAsia="zh-CN"/>
        </w:rPr>
        <w:t>排版规范的完整性</w:t>
      </w:r>
    </w:p>
    <w:p w14:paraId="1BE14088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本模板可直接用于论文及其文字的编排，有的页边距、栏宽、行距、字体都严格符合规定，请务必不要修改！尤其是页边距，由于论文集在后期制作过程中需要在页眉、页脚添加各种信息，所以所有论文务必确保现有的页边距不被修改，页面空白不被占用。</w:t>
      </w:r>
    </w:p>
    <w:p w14:paraId="2B75672B" w14:textId="77777777" w:rsidR="00386EDE" w:rsidRDefault="00000000">
      <w:pPr>
        <w:pStyle w:val="a8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3 </w:t>
      </w:r>
      <w:r>
        <w:rPr>
          <w:rFonts w:hint="eastAsia"/>
          <w:color w:val="000000" w:themeColor="text1"/>
          <w:lang w:eastAsia="zh-CN"/>
        </w:rPr>
        <w:t>征文标题、摘要与作者简介板块</w:t>
      </w:r>
    </w:p>
    <w:p w14:paraId="52039438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不要使用空格、制表符设置段落缩进，不要通过连</w:t>
      </w:r>
      <w:r>
        <w:rPr>
          <w:rFonts w:hint="eastAsia"/>
          <w:color w:val="000000" w:themeColor="text1"/>
          <w:sz w:val="19"/>
          <w:szCs w:val="19"/>
        </w:rPr>
        <w:lastRenderedPageBreak/>
        <w:t>续的回车符（换行符）调整段间距。</w:t>
      </w:r>
    </w:p>
    <w:p w14:paraId="6E59F9A3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3.1 </w:t>
      </w:r>
      <w:r>
        <w:rPr>
          <w:rFonts w:hint="eastAsia"/>
          <w:color w:val="000000" w:themeColor="text1"/>
          <w:lang w:eastAsia="zh-CN"/>
        </w:rPr>
        <w:t>英文缩写</w:t>
      </w:r>
    </w:p>
    <w:p w14:paraId="0CCAE57E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除了一些众所周知的英文缩写，如</w:t>
      </w:r>
      <w:r>
        <w:rPr>
          <w:color w:val="000000" w:themeColor="text1"/>
          <w:sz w:val="19"/>
          <w:szCs w:val="19"/>
        </w:rPr>
        <w:t>IP</w:t>
      </w:r>
      <w:r>
        <w:rPr>
          <w:rFonts w:hint="eastAsia"/>
          <w:color w:val="000000" w:themeColor="text1"/>
          <w:sz w:val="19"/>
          <w:szCs w:val="19"/>
        </w:rPr>
        <w:t>、</w:t>
      </w:r>
      <w:r>
        <w:rPr>
          <w:rFonts w:hint="eastAsia"/>
          <w:color w:val="000000" w:themeColor="text1"/>
          <w:sz w:val="19"/>
          <w:szCs w:val="19"/>
        </w:rPr>
        <w:t>CPU</w:t>
      </w:r>
      <w:r>
        <w:rPr>
          <w:rFonts w:hint="eastAsia"/>
          <w:color w:val="000000" w:themeColor="text1"/>
          <w:sz w:val="19"/>
          <w:szCs w:val="19"/>
        </w:rPr>
        <w:t>、</w:t>
      </w:r>
      <w:r>
        <w:rPr>
          <w:color w:val="000000" w:themeColor="text1"/>
          <w:sz w:val="19"/>
          <w:szCs w:val="19"/>
        </w:rPr>
        <w:t>FDA</w:t>
      </w:r>
      <w:r>
        <w:rPr>
          <w:rFonts w:hint="eastAsia"/>
          <w:color w:val="000000" w:themeColor="text1"/>
          <w:sz w:val="19"/>
          <w:szCs w:val="19"/>
        </w:rPr>
        <w:t>，所有的英文缩写在文中第一次出现时都应该给出其全称。文章标题中尽量避免使用生僻的英文缩写。</w:t>
      </w:r>
    </w:p>
    <w:p w14:paraId="5ED2CF3D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3.2 </w:t>
      </w:r>
      <w:r>
        <w:rPr>
          <w:rFonts w:hint="eastAsia"/>
          <w:color w:val="000000" w:themeColor="text1"/>
          <w:lang w:eastAsia="zh-CN"/>
        </w:rPr>
        <w:t>单位</w:t>
      </w:r>
    </w:p>
    <w:p w14:paraId="58654767" w14:textId="77777777" w:rsidR="00386EDE" w:rsidRDefault="00000000">
      <w:pPr>
        <w:numPr>
          <w:ilvl w:val="0"/>
          <w:numId w:val="8"/>
        </w:numPr>
        <w:spacing w:line="300" w:lineRule="atLeast"/>
        <w:ind w:left="567" w:hanging="283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尽可能使用国际标准单位（公制），如厘米、千克、秒，在特殊情况下可以使用英制单位，如“</w:t>
      </w:r>
      <w:r>
        <w:rPr>
          <w:color w:val="000000" w:themeColor="text1"/>
          <w:sz w:val="19"/>
          <w:szCs w:val="19"/>
        </w:rPr>
        <w:t>3.5</w:t>
      </w:r>
      <w:r>
        <w:rPr>
          <w:rFonts w:hint="eastAsia"/>
          <w:color w:val="000000" w:themeColor="text1"/>
          <w:sz w:val="19"/>
          <w:szCs w:val="19"/>
        </w:rPr>
        <w:t>英寸磁盘”。避免把公制与英制混合使用。</w:t>
      </w:r>
    </w:p>
    <w:p w14:paraId="40711801" w14:textId="77777777" w:rsidR="00386EDE" w:rsidRDefault="00000000">
      <w:pPr>
        <w:numPr>
          <w:ilvl w:val="0"/>
          <w:numId w:val="8"/>
        </w:numPr>
        <w:spacing w:line="300" w:lineRule="atLeast"/>
        <w:ind w:left="567" w:hanging="283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不要把单位的全称与缩写混合使用。可以使用“</w:t>
      </w:r>
      <w:r>
        <w:rPr>
          <w:color w:val="000000" w:themeColor="text1"/>
          <w:sz w:val="19"/>
          <w:szCs w:val="19"/>
        </w:rPr>
        <w:t>Wb/m</w:t>
      </w:r>
      <w:r>
        <w:rPr>
          <w:color w:val="000000" w:themeColor="text1"/>
          <w:sz w:val="19"/>
          <w:szCs w:val="19"/>
          <w:vertAlign w:val="superscript"/>
        </w:rPr>
        <w:t>2</w:t>
      </w:r>
      <w:r>
        <w:rPr>
          <w:rFonts w:hint="eastAsia"/>
          <w:color w:val="000000" w:themeColor="text1"/>
          <w:sz w:val="19"/>
          <w:szCs w:val="19"/>
        </w:rPr>
        <w:t>”或“</w:t>
      </w:r>
      <w:r>
        <w:rPr>
          <w:color w:val="000000" w:themeColor="text1"/>
          <w:sz w:val="19"/>
          <w:szCs w:val="19"/>
        </w:rPr>
        <w:t>Webers</w:t>
      </w:r>
      <w:r>
        <w:rPr>
          <w:rFonts w:hint="eastAsia"/>
          <w:color w:val="000000" w:themeColor="text1"/>
          <w:sz w:val="19"/>
          <w:szCs w:val="19"/>
        </w:rPr>
        <w:t>每平方米”，但不要写“</w:t>
      </w:r>
      <w:r>
        <w:rPr>
          <w:color w:val="000000" w:themeColor="text1"/>
          <w:sz w:val="19"/>
          <w:szCs w:val="19"/>
        </w:rPr>
        <w:t>Webers/m</w:t>
      </w:r>
      <w:r>
        <w:rPr>
          <w:color w:val="000000" w:themeColor="text1"/>
          <w:sz w:val="19"/>
          <w:szCs w:val="19"/>
          <w:vertAlign w:val="superscript"/>
        </w:rPr>
        <w:t>2</w:t>
      </w:r>
      <w:r>
        <w:rPr>
          <w:rFonts w:hint="eastAsia"/>
          <w:color w:val="000000" w:themeColor="text1"/>
          <w:sz w:val="19"/>
          <w:szCs w:val="19"/>
        </w:rPr>
        <w:t>”。</w:t>
      </w:r>
    </w:p>
    <w:p w14:paraId="4DB2B32E" w14:textId="77777777" w:rsidR="00386EDE" w:rsidRDefault="00000000">
      <w:pPr>
        <w:numPr>
          <w:ilvl w:val="0"/>
          <w:numId w:val="8"/>
        </w:numPr>
        <w:spacing w:line="300" w:lineRule="atLeast"/>
        <w:ind w:left="567" w:hanging="283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不要省略小数前面的</w:t>
      </w:r>
      <w:r>
        <w:rPr>
          <w:color w:val="000000" w:themeColor="text1"/>
          <w:sz w:val="19"/>
          <w:szCs w:val="19"/>
        </w:rPr>
        <w:t>0</w:t>
      </w:r>
      <w:r>
        <w:rPr>
          <w:rFonts w:hint="eastAsia"/>
          <w:color w:val="000000" w:themeColor="text1"/>
          <w:sz w:val="19"/>
          <w:szCs w:val="19"/>
        </w:rPr>
        <w:t>，例如不要把“</w:t>
      </w:r>
      <w:r>
        <w:rPr>
          <w:color w:val="000000" w:themeColor="text1"/>
          <w:sz w:val="19"/>
          <w:szCs w:val="19"/>
        </w:rPr>
        <w:t>0.25</w:t>
      </w:r>
      <w:r>
        <w:rPr>
          <w:rFonts w:hint="eastAsia"/>
          <w:color w:val="000000" w:themeColor="text1"/>
          <w:sz w:val="19"/>
          <w:szCs w:val="19"/>
        </w:rPr>
        <w:t>”写作“</w:t>
      </w:r>
      <w:r>
        <w:rPr>
          <w:color w:val="000000" w:themeColor="text1"/>
          <w:sz w:val="19"/>
          <w:szCs w:val="19"/>
        </w:rPr>
        <w:t>.25</w:t>
      </w:r>
      <w:r>
        <w:rPr>
          <w:rFonts w:hint="eastAsia"/>
          <w:color w:val="000000" w:themeColor="text1"/>
          <w:sz w:val="19"/>
          <w:szCs w:val="19"/>
        </w:rPr>
        <w:t>”。使用“</w:t>
      </w:r>
      <w:r>
        <w:rPr>
          <w:color w:val="000000" w:themeColor="text1"/>
          <w:sz w:val="19"/>
          <w:szCs w:val="19"/>
        </w:rPr>
        <w:t>cm</w:t>
      </w:r>
      <w:r>
        <w:rPr>
          <w:color w:val="000000" w:themeColor="text1"/>
          <w:sz w:val="19"/>
          <w:szCs w:val="19"/>
          <w:vertAlign w:val="superscript"/>
        </w:rPr>
        <w:t>3</w:t>
      </w:r>
      <w:r>
        <w:rPr>
          <w:rFonts w:hint="eastAsia"/>
          <w:color w:val="000000" w:themeColor="text1"/>
          <w:sz w:val="19"/>
          <w:szCs w:val="19"/>
        </w:rPr>
        <w:t>”，不要写“</w:t>
      </w:r>
      <w:r>
        <w:rPr>
          <w:color w:val="000000" w:themeColor="text1"/>
          <w:sz w:val="19"/>
          <w:szCs w:val="19"/>
        </w:rPr>
        <w:t>cc</w:t>
      </w:r>
      <w:r>
        <w:rPr>
          <w:rFonts w:hint="eastAsia"/>
          <w:color w:val="000000" w:themeColor="text1"/>
          <w:sz w:val="19"/>
          <w:szCs w:val="19"/>
        </w:rPr>
        <w:t>”。</w:t>
      </w:r>
    </w:p>
    <w:p w14:paraId="5B90DD3A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color w:val="000000" w:themeColor="text1"/>
          <w:lang w:eastAsia="zh-CN"/>
        </w:rPr>
        <w:t xml:space="preserve">3.3 </w:t>
      </w:r>
      <w:r>
        <w:rPr>
          <w:rFonts w:hint="eastAsia"/>
          <w:color w:val="000000" w:themeColor="text1"/>
          <w:lang w:eastAsia="zh-CN"/>
        </w:rPr>
        <w:t>公式</w:t>
      </w:r>
    </w:p>
    <w:p w14:paraId="5F83DB07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对于简单的公式，可以直接以文本方式输入；对于复杂的公式，用</w:t>
      </w:r>
      <w:r>
        <w:rPr>
          <w:rFonts w:hint="eastAsia"/>
          <w:color w:val="000000" w:themeColor="text1"/>
          <w:sz w:val="19"/>
          <w:szCs w:val="19"/>
        </w:rPr>
        <w:t>mathtype</w:t>
      </w:r>
      <w:r>
        <w:rPr>
          <w:rFonts w:hint="eastAsia"/>
          <w:color w:val="000000" w:themeColor="text1"/>
          <w:sz w:val="19"/>
          <w:szCs w:val="19"/>
        </w:rPr>
        <w:t>编辑后插入文档。编辑公式的过程中要特别注意减号“—”与连字符“－”的区别，前者较长，后者较短。</w:t>
      </w:r>
    </w:p>
    <w:p w14:paraId="60767707" w14:textId="77777777" w:rsidR="00386EDE" w:rsidRDefault="00000000">
      <w:pPr>
        <w:tabs>
          <w:tab w:val="center" w:pos="2410"/>
          <w:tab w:val="right" w:pos="4820"/>
        </w:tabs>
        <w:wordWrap w:val="0"/>
        <w:spacing w:beforeLines="30" w:before="72" w:afterLines="30" w:after="72"/>
        <w:jc w:val="right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>α</w:t>
      </w:r>
      <w:r>
        <w:rPr>
          <w:rFonts w:hint="eastAsia"/>
          <w:color w:val="000000" w:themeColor="text1"/>
          <w:sz w:val="19"/>
          <w:szCs w:val="19"/>
        </w:rPr>
        <w:t>＝</w:t>
      </w:r>
      <w:r>
        <w:rPr>
          <w:color w:val="000000" w:themeColor="text1"/>
          <w:sz w:val="19"/>
          <w:szCs w:val="19"/>
        </w:rPr>
        <w:t>β</w:t>
      </w:r>
      <w:r>
        <w:rPr>
          <w:rFonts w:hint="eastAsia"/>
          <w:color w:val="000000" w:themeColor="text1"/>
          <w:sz w:val="19"/>
          <w:szCs w:val="19"/>
        </w:rPr>
        <w:t>—</w:t>
      </w:r>
      <w:r>
        <w:rPr>
          <w:color w:val="000000" w:themeColor="text1"/>
          <w:sz w:val="19"/>
          <w:szCs w:val="19"/>
        </w:rPr>
        <w:t>γ</w:t>
      </w:r>
      <w:r>
        <w:rPr>
          <w:rFonts w:hint="eastAsia"/>
          <w:color w:val="000000" w:themeColor="text1"/>
          <w:sz w:val="19"/>
          <w:szCs w:val="19"/>
        </w:rPr>
        <w:t xml:space="preserve">                   </w:t>
      </w:r>
      <w:r>
        <w:rPr>
          <w:color w:val="000000" w:themeColor="text1"/>
          <w:sz w:val="19"/>
          <w:szCs w:val="19"/>
        </w:rPr>
        <w:t>(1)</w:t>
      </w:r>
    </w:p>
    <w:p w14:paraId="3BC13F6E" w14:textId="77777777" w:rsidR="00386EDE" w:rsidRDefault="00000000">
      <w:pPr>
        <w:tabs>
          <w:tab w:val="center" w:pos="2410"/>
          <w:tab w:val="right" w:pos="4820"/>
        </w:tabs>
        <w:wordWrap w:val="0"/>
        <w:spacing w:beforeLines="30" w:before="72" w:afterLines="30" w:after="72"/>
        <w:jc w:val="right"/>
        <w:rPr>
          <w:color w:val="000000" w:themeColor="text1"/>
          <w:sz w:val="19"/>
          <w:szCs w:val="19"/>
        </w:rPr>
      </w:pPr>
      <w:r>
        <w:rPr>
          <w:color w:val="000000" w:themeColor="text1"/>
          <w:position w:val="-22"/>
          <w:sz w:val="19"/>
          <w:szCs w:val="19"/>
        </w:rPr>
        <w:object w:dxaOrig="1978" w:dyaOrig="583" w14:anchorId="5343D8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8.9pt;height:29.15pt" o:ole="">
            <v:imagedata r:id="rId9" o:title=""/>
          </v:shape>
          <o:OLEObject Type="Embed" ProgID="Equation.DSMT4" ShapeID="_x0000_i1025" DrawAspect="Content" ObjectID="_1815161649" r:id="rId10"/>
        </w:object>
      </w:r>
      <w:r>
        <w:rPr>
          <w:rFonts w:hint="eastAsia"/>
          <w:color w:val="000000" w:themeColor="text1"/>
          <w:sz w:val="19"/>
          <w:szCs w:val="19"/>
        </w:rPr>
        <w:t xml:space="preserve">            </w:t>
      </w:r>
      <w:r>
        <w:rPr>
          <w:color w:val="000000" w:themeColor="text1"/>
          <w:sz w:val="19"/>
          <w:szCs w:val="19"/>
        </w:rPr>
        <w:t>(</w:t>
      </w:r>
      <w:r>
        <w:rPr>
          <w:rFonts w:hint="eastAsia"/>
          <w:color w:val="000000" w:themeColor="text1"/>
          <w:sz w:val="19"/>
          <w:szCs w:val="19"/>
        </w:rPr>
        <w:t>2</w:t>
      </w:r>
      <w:r>
        <w:rPr>
          <w:color w:val="000000" w:themeColor="text1"/>
          <w:sz w:val="19"/>
          <w:szCs w:val="19"/>
        </w:rPr>
        <w:t>)</w:t>
      </w:r>
    </w:p>
    <w:p w14:paraId="7FAB2A69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对于需要标注编号的公式，编号应写作“</w:t>
      </w:r>
      <w:r>
        <w:rPr>
          <w:color w:val="000000" w:themeColor="text1"/>
          <w:sz w:val="19"/>
          <w:szCs w:val="19"/>
        </w:rPr>
        <w:t>(1)</w:t>
      </w:r>
      <w:r>
        <w:rPr>
          <w:rFonts w:hint="eastAsia"/>
          <w:color w:val="000000" w:themeColor="text1"/>
          <w:sz w:val="19"/>
          <w:szCs w:val="19"/>
        </w:rPr>
        <w:t>”，不要写“</w:t>
      </w:r>
      <w:r>
        <w:rPr>
          <w:color w:val="000000" w:themeColor="text1"/>
          <w:sz w:val="19"/>
          <w:szCs w:val="19"/>
        </w:rPr>
        <w:t>Eq. (1)</w:t>
      </w:r>
      <w:r>
        <w:rPr>
          <w:rFonts w:hint="eastAsia"/>
          <w:color w:val="000000" w:themeColor="text1"/>
          <w:sz w:val="19"/>
          <w:szCs w:val="19"/>
        </w:rPr>
        <w:t>”或“</w:t>
      </w:r>
      <w:r>
        <w:rPr>
          <w:color w:val="000000" w:themeColor="text1"/>
          <w:sz w:val="19"/>
          <w:szCs w:val="19"/>
        </w:rPr>
        <w:t>Equation (1)</w:t>
      </w:r>
      <w:r>
        <w:rPr>
          <w:rFonts w:hint="eastAsia"/>
          <w:color w:val="000000" w:themeColor="text1"/>
          <w:sz w:val="19"/>
          <w:szCs w:val="19"/>
        </w:rPr>
        <w:t>”。</w:t>
      </w:r>
    </w:p>
    <w:p w14:paraId="6486FAF9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对于嵌入在正文段落中的公式</w:t>
      </w:r>
      <w:r>
        <w:rPr>
          <w:color w:val="000000" w:themeColor="text1"/>
          <w:position w:val="-22"/>
          <w:sz w:val="19"/>
          <w:szCs w:val="19"/>
        </w:rPr>
        <w:object w:dxaOrig="760" w:dyaOrig="560" w14:anchorId="6CDBAF6C">
          <v:shape id="_x0000_i1026" type="#_x0000_t75" style="width:38pt;height:28pt" o:ole="">
            <v:imagedata r:id="rId11" o:title=""/>
          </v:shape>
          <o:OLEObject Type="Embed" ProgID="Equation.DSMT4" ShapeID="_x0000_i1026" DrawAspect="Content" ObjectID="_1815161650" r:id="rId12"/>
        </w:object>
      </w:r>
      <w:r>
        <w:rPr>
          <w:rFonts w:hint="eastAsia"/>
          <w:color w:val="000000" w:themeColor="text1"/>
          <w:sz w:val="19"/>
          <w:szCs w:val="19"/>
        </w:rPr>
        <w:t>，如公式不能完整显示，可以将该段落的行距设置为“单倍行距”。公式设定为：标准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磅，符号</w:t>
      </w:r>
      <w:r>
        <w:rPr>
          <w:rFonts w:hint="eastAsia"/>
          <w:color w:val="000000" w:themeColor="text1"/>
          <w:sz w:val="19"/>
          <w:szCs w:val="19"/>
        </w:rPr>
        <w:t>5</w:t>
      </w:r>
      <w:r>
        <w:rPr>
          <w:rFonts w:hint="eastAsia"/>
          <w:color w:val="000000" w:themeColor="text1"/>
          <w:sz w:val="19"/>
          <w:szCs w:val="19"/>
        </w:rPr>
        <w:t>磅，下标</w:t>
      </w:r>
      <w:r>
        <w:rPr>
          <w:rFonts w:hint="eastAsia"/>
          <w:color w:val="000000" w:themeColor="text1"/>
          <w:sz w:val="19"/>
          <w:szCs w:val="19"/>
        </w:rPr>
        <w:t>/</w:t>
      </w:r>
      <w:r>
        <w:rPr>
          <w:rFonts w:hint="eastAsia"/>
          <w:color w:val="000000" w:themeColor="text1"/>
          <w:sz w:val="19"/>
          <w:szCs w:val="19"/>
        </w:rPr>
        <w:t>上标</w:t>
      </w:r>
      <w:r>
        <w:rPr>
          <w:rFonts w:hint="eastAsia"/>
          <w:color w:val="000000" w:themeColor="text1"/>
          <w:sz w:val="19"/>
          <w:szCs w:val="19"/>
        </w:rPr>
        <w:t>6</w:t>
      </w:r>
      <w:r>
        <w:rPr>
          <w:rFonts w:hint="eastAsia"/>
          <w:color w:val="000000" w:themeColor="text1"/>
          <w:sz w:val="19"/>
          <w:szCs w:val="19"/>
        </w:rPr>
        <w:t>磅，次符号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磅，下标</w:t>
      </w:r>
      <w:r>
        <w:rPr>
          <w:rFonts w:hint="eastAsia"/>
          <w:color w:val="000000" w:themeColor="text1"/>
          <w:sz w:val="19"/>
          <w:szCs w:val="19"/>
        </w:rPr>
        <w:t>/</w:t>
      </w:r>
      <w:r>
        <w:rPr>
          <w:rFonts w:hint="eastAsia"/>
          <w:color w:val="000000" w:themeColor="text1"/>
          <w:sz w:val="19"/>
          <w:szCs w:val="19"/>
        </w:rPr>
        <w:t>上标</w:t>
      </w:r>
      <w:r>
        <w:rPr>
          <w:rFonts w:hint="eastAsia"/>
          <w:color w:val="000000" w:themeColor="text1"/>
          <w:sz w:val="19"/>
          <w:szCs w:val="19"/>
        </w:rPr>
        <w:t>5</w:t>
      </w:r>
      <w:r>
        <w:rPr>
          <w:rFonts w:hint="eastAsia"/>
          <w:color w:val="000000" w:themeColor="text1"/>
          <w:sz w:val="19"/>
          <w:szCs w:val="19"/>
        </w:rPr>
        <w:t>磅。</w:t>
      </w:r>
    </w:p>
    <w:p w14:paraId="295713FA" w14:textId="77777777" w:rsidR="00386EDE" w:rsidRDefault="00000000">
      <w:pPr>
        <w:pStyle w:val="a8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4 </w:t>
      </w:r>
      <w:r>
        <w:rPr>
          <w:rFonts w:hint="eastAsia"/>
          <w:color w:val="000000" w:themeColor="text1"/>
          <w:lang w:eastAsia="zh-CN"/>
        </w:rPr>
        <w:t>论文格式编排</w:t>
      </w:r>
    </w:p>
    <w:p w14:paraId="0CA6186B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4.1 </w:t>
      </w:r>
      <w:r>
        <w:rPr>
          <w:rFonts w:hint="eastAsia"/>
          <w:color w:val="000000" w:themeColor="text1"/>
          <w:lang w:eastAsia="zh-CN"/>
        </w:rPr>
        <w:t>标题、作者信息、摘要和关键词</w:t>
      </w:r>
    </w:p>
    <w:p w14:paraId="5B0375FE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4.1.1 </w:t>
      </w:r>
      <w:r>
        <w:rPr>
          <w:rFonts w:hint="eastAsia"/>
          <w:color w:val="000000" w:themeColor="text1"/>
        </w:rPr>
        <w:t>中文标题</w:t>
      </w:r>
    </w:p>
    <w:p w14:paraId="2ED28929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中文标题置于论文第一页的最上方。</w:t>
      </w:r>
      <w:r>
        <w:rPr>
          <w:rFonts w:hint="eastAsia"/>
          <w:color w:val="000000" w:themeColor="text1"/>
          <w:sz w:val="18"/>
          <w:szCs w:val="18"/>
          <w:lang w:val="en-GB"/>
        </w:rPr>
        <w:t>黑体</w:t>
      </w:r>
      <w:r>
        <w:rPr>
          <w:rFonts w:hint="eastAsia"/>
          <w:color w:val="000000" w:themeColor="text1"/>
          <w:sz w:val="18"/>
          <w:szCs w:val="18"/>
          <w:lang w:val="en-GB"/>
        </w:rPr>
        <w:t>22</w:t>
      </w:r>
      <w:r>
        <w:rPr>
          <w:rFonts w:hint="eastAsia"/>
          <w:color w:val="000000" w:themeColor="text1"/>
          <w:sz w:val="18"/>
          <w:szCs w:val="18"/>
          <w:lang w:val="en-GB"/>
        </w:rPr>
        <w:t>磅，居中，加粗，段间距段前</w:t>
      </w:r>
      <w:r>
        <w:rPr>
          <w:rFonts w:hint="eastAsia"/>
          <w:color w:val="000000" w:themeColor="text1"/>
          <w:sz w:val="18"/>
          <w:szCs w:val="18"/>
          <w:lang w:val="en-GB"/>
        </w:rPr>
        <w:t>3</w:t>
      </w:r>
      <w:r>
        <w:rPr>
          <w:rFonts w:hint="eastAsia"/>
          <w:color w:val="000000" w:themeColor="text1"/>
          <w:sz w:val="18"/>
          <w:szCs w:val="18"/>
          <w:lang w:val="en-GB"/>
        </w:rPr>
        <w:t>行段后</w:t>
      </w:r>
      <w:r>
        <w:rPr>
          <w:rFonts w:hint="eastAsia"/>
          <w:color w:val="000000" w:themeColor="text1"/>
          <w:sz w:val="18"/>
          <w:szCs w:val="18"/>
          <w:lang w:val="en-GB"/>
        </w:rPr>
        <w:t>3</w:t>
      </w:r>
      <w:r>
        <w:rPr>
          <w:rFonts w:hint="eastAsia"/>
          <w:color w:val="000000" w:themeColor="text1"/>
          <w:sz w:val="18"/>
          <w:szCs w:val="18"/>
          <w:lang w:val="en-GB"/>
        </w:rPr>
        <w:t>行。</w:t>
      </w:r>
      <w:r>
        <w:rPr>
          <w:rFonts w:hint="eastAsia"/>
          <w:color w:val="000000" w:themeColor="text1"/>
          <w:sz w:val="19"/>
          <w:szCs w:val="19"/>
        </w:rPr>
        <w:t>如有需要，可在主标题下方增加子标题，子标题采用黑体，居中，</w:t>
      </w:r>
      <w:r>
        <w:rPr>
          <w:rFonts w:hint="eastAsia"/>
          <w:color w:val="000000" w:themeColor="text1"/>
          <w:sz w:val="19"/>
          <w:szCs w:val="19"/>
        </w:rPr>
        <w:t>11</w:t>
      </w:r>
      <w:r>
        <w:rPr>
          <w:rFonts w:hint="eastAsia"/>
          <w:color w:val="000000" w:themeColor="text1"/>
          <w:sz w:val="19"/>
          <w:szCs w:val="19"/>
        </w:rPr>
        <w:t>磅，加粗，单倍行距。</w:t>
      </w:r>
    </w:p>
    <w:p w14:paraId="5DE4B559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4.2.2 </w:t>
      </w:r>
      <w:r>
        <w:rPr>
          <w:rFonts w:hint="eastAsia"/>
          <w:color w:val="000000" w:themeColor="text1"/>
        </w:rPr>
        <w:t>中文作者信息</w:t>
      </w:r>
    </w:p>
    <w:p w14:paraId="2A0DEDCD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中文作者信息置于中文标题下方。所有作者的姓名列于第一行，用逗号隔开。姓名采用仿宋体，居中，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磅，加粗，行距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磅。</w:t>
      </w:r>
    </w:p>
    <w:p w14:paraId="73689C79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姓名下方放置作者的单位信息（中文），单位信息采用宋体，居中，</w:t>
      </w:r>
      <w:r>
        <w:rPr>
          <w:rFonts w:hint="eastAsia"/>
          <w:color w:val="000000" w:themeColor="text1"/>
          <w:sz w:val="19"/>
          <w:szCs w:val="19"/>
        </w:rPr>
        <w:t>8</w:t>
      </w:r>
      <w:r>
        <w:rPr>
          <w:rFonts w:hint="eastAsia"/>
          <w:color w:val="000000" w:themeColor="text1"/>
          <w:sz w:val="19"/>
          <w:szCs w:val="19"/>
        </w:rPr>
        <w:t>磅，行距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磅。如果有多名作者并且单位不同，可以将不同的单位分多行编排，并用阿拉伯数字进行标注。</w:t>
      </w:r>
    </w:p>
    <w:p w14:paraId="0F47C758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4.2.3 </w:t>
      </w:r>
      <w:r>
        <w:rPr>
          <w:rFonts w:hint="eastAsia"/>
          <w:color w:val="000000" w:themeColor="text1"/>
        </w:rPr>
        <w:t>中文摘要和关键词</w:t>
      </w:r>
    </w:p>
    <w:p w14:paraId="4FB73856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中文摘要置于中文作者信息下方。摘要采用楷体（如有英文则使用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字体），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磅，两端对齐。</w:t>
      </w:r>
    </w:p>
    <w:p w14:paraId="42F90C04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关键词置于中文摘要下方，采用楷体（如有英文则使用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字体），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磅，两端对齐，段前间隔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行。</w:t>
      </w:r>
    </w:p>
    <w:p w14:paraId="674EC7F2" w14:textId="77777777" w:rsidR="00386EDE" w:rsidRDefault="00000000">
      <w:pPr>
        <w:spacing w:line="300" w:lineRule="atLeast"/>
        <w:ind w:firstLineChars="200" w:firstLine="36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8"/>
          <w:szCs w:val="18"/>
        </w:rPr>
        <w:t>中图分类号</w:t>
      </w:r>
      <w:r>
        <w:rPr>
          <w:rFonts w:hint="eastAsia"/>
          <w:color w:val="000000" w:themeColor="text1"/>
          <w:sz w:val="19"/>
          <w:szCs w:val="19"/>
        </w:rPr>
        <w:t>置于关键词下方，采用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磅，两端对齐，段前间隔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行。</w:t>
      </w:r>
    </w:p>
    <w:p w14:paraId="54598E97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4.2.4 </w:t>
      </w:r>
      <w:r>
        <w:rPr>
          <w:rFonts w:hint="eastAsia"/>
          <w:color w:val="000000" w:themeColor="text1"/>
        </w:rPr>
        <w:t>英文标题</w:t>
      </w:r>
    </w:p>
    <w:p w14:paraId="0AC0247B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英文标题置于中文摘要和关键词的下方。主标题采用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字体，居中，</w:t>
      </w:r>
      <w:r>
        <w:rPr>
          <w:rFonts w:hint="eastAsia"/>
          <w:color w:val="000000" w:themeColor="text1"/>
          <w:sz w:val="19"/>
          <w:szCs w:val="19"/>
        </w:rPr>
        <w:t>16</w:t>
      </w:r>
      <w:r>
        <w:rPr>
          <w:rFonts w:hint="eastAsia"/>
          <w:color w:val="000000" w:themeColor="text1"/>
          <w:sz w:val="19"/>
          <w:szCs w:val="19"/>
        </w:rPr>
        <w:t>磅，加粗，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磅行距，段前间隔</w:t>
      </w:r>
      <w:r>
        <w:rPr>
          <w:rFonts w:hint="eastAsia"/>
          <w:color w:val="000000" w:themeColor="text1"/>
          <w:sz w:val="19"/>
          <w:szCs w:val="19"/>
        </w:rPr>
        <w:t>1</w:t>
      </w:r>
      <w:r>
        <w:rPr>
          <w:rFonts w:hint="eastAsia"/>
          <w:color w:val="000000" w:themeColor="text1"/>
          <w:sz w:val="19"/>
          <w:szCs w:val="19"/>
        </w:rPr>
        <w:t>行。如有需要，可在主标题下方增加子标题，子标题采用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字体，居中，</w:t>
      </w:r>
      <w:r>
        <w:rPr>
          <w:rFonts w:hint="eastAsia"/>
          <w:color w:val="000000" w:themeColor="text1"/>
          <w:sz w:val="19"/>
          <w:szCs w:val="19"/>
        </w:rPr>
        <w:t>11</w:t>
      </w:r>
      <w:r>
        <w:rPr>
          <w:rFonts w:hint="eastAsia"/>
          <w:color w:val="000000" w:themeColor="text1"/>
          <w:sz w:val="19"/>
          <w:szCs w:val="19"/>
        </w:rPr>
        <w:t>磅，加粗，单倍行距。</w:t>
      </w:r>
    </w:p>
    <w:p w14:paraId="08442C33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4.2.5 </w:t>
      </w:r>
      <w:r>
        <w:rPr>
          <w:rFonts w:hint="eastAsia"/>
          <w:color w:val="000000" w:themeColor="text1"/>
        </w:rPr>
        <w:t>英文作者信息</w:t>
      </w:r>
    </w:p>
    <w:p w14:paraId="3A6045C4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英文作者信息置于英文标题下方。所有作者的姓名列于第一行，用逗号隔开。姓名采用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字体，居中，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磅，加粗，行距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磅。</w:t>
      </w:r>
    </w:p>
    <w:p w14:paraId="1A61549C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姓名下方放置作者的单位信息（英文），单位信息采用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字体，居中，</w:t>
      </w:r>
      <w:r>
        <w:rPr>
          <w:rFonts w:hint="eastAsia"/>
          <w:color w:val="000000" w:themeColor="text1"/>
          <w:sz w:val="19"/>
          <w:szCs w:val="19"/>
        </w:rPr>
        <w:t>8</w:t>
      </w:r>
      <w:r>
        <w:rPr>
          <w:rFonts w:hint="eastAsia"/>
          <w:color w:val="000000" w:themeColor="text1"/>
          <w:sz w:val="19"/>
          <w:szCs w:val="19"/>
        </w:rPr>
        <w:t>磅，行距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磅。如果有多名作者并且单位不同，可以将不同的单位分多行编排，并用阿拉伯数字进行标注。</w:t>
      </w:r>
    </w:p>
    <w:p w14:paraId="22F7A76F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4.2.6 </w:t>
      </w:r>
      <w:r>
        <w:rPr>
          <w:rFonts w:hint="eastAsia"/>
          <w:color w:val="000000" w:themeColor="text1"/>
        </w:rPr>
        <w:t>英文摘要和关键词</w:t>
      </w:r>
    </w:p>
    <w:p w14:paraId="11DF2119" w14:textId="77777777" w:rsidR="00386EDE" w:rsidRDefault="00000000">
      <w:pPr>
        <w:spacing w:line="300" w:lineRule="atLeast"/>
        <w:ind w:firstLineChars="200" w:firstLine="368"/>
        <w:rPr>
          <w:color w:val="000000" w:themeColor="text1"/>
          <w:spacing w:val="-3"/>
          <w:sz w:val="19"/>
          <w:szCs w:val="19"/>
        </w:rPr>
      </w:pPr>
      <w:r>
        <w:rPr>
          <w:rFonts w:hint="eastAsia"/>
          <w:color w:val="000000" w:themeColor="text1"/>
          <w:spacing w:val="-3"/>
          <w:sz w:val="19"/>
          <w:szCs w:val="19"/>
        </w:rPr>
        <w:t>英文摘要置于英文作者信息下方。摘要采用</w:t>
      </w:r>
      <w:r>
        <w:rPr>
          <w:rFonts w:hint="eastAsia"/>
          <w:color w:val="000000" w:themeColor="text1"/>
          <w:spacing w:val="-3"/>
          <w:sz w:val="19"/>
          <w:szCs w:val="19"/>
        </w:rPr>
        <w:t>Times New Roman</w:t>
      </w:r>
      <w:r>
        <w:rPr>
          <w:rFonts w:hint="eastAsia"/>
          <w:color w:val="000000" w:themeColor="text1"/>
          <w:spacing w:val="-3"/>
          <w:sz w:val="19"/>
          <w:szCs w:val="19"/>
        </w:rPr>
        <w:t>字体，</w:t>
      </w:r>
      <w:r>
        <w:rPr>
          <w:rFonts w:hint="eastAsia"/>
          <w:color w:val="000000" w:themeColor="text1"/>
          <w:spacing w:val="-3"/>
          <w:sz w:val="19"/>
          <w:szCs w:val="19"/>
        </w:rPr>
        <w:t>10</w:t>
      </w:r>
      <w:r>
        <w:rPr>
          <w:rFonts w:hint="eastAsia"/>
          <w:color w:val="000000" w:themeColor="text1"/>
          <w:spacing w:val="-3"/>
          <w:sz w:val="19"/>
          <w:szCs w:val="19"/>
        </w:rPr>
        <w:t>磅，行距</w:t>
      </w:r>
      <w:r>
        <w:rPr>
          <w:rFonts w:hint="eastAsia"/>
          <w:color w:val="000000" w:themeColor="text1"/>
          <w:spacing w:val="-3"/>
          <w:sz w:val="19"/>
          <w:szCs w:val="19"/>
        </w:rPr>
        <w:t>12</w:t>
      </w:r>
      <w:r>
        <w:rPr>
          <w:rFonts w:hint="eastAsia"/>
          <w:color w:val="000000" w:themeColor="text1"/>
          <w:spacing w:val="-3"/>
          <w:sz w:val="19"/>
          <w:szCs w:val="19"/>
        </w:rPr>
        <w:t>磅，两端对齐。</w:t>
      </w:r>
    </w:p>
    <w:p w14:paraId="38057268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关键词至于英文摘要下方，采用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</w:t>
      </w:r>
      <w:r>
        <w:rPr>
          <w:rFonts w:hint="eastAsia"/>
          <w:color w:val="000000" w:themeColor="text1"/>
          <w:sz w:val="19"/>
          <w:szCs w:val="19"/>
        </w:rPr>
        <w:t>10</w:t>
      </w:r>
      <w:r>
        <w:rPr>
          <w:rFonts w:hint="eastAsia"/>
          <w:color w:val="000000" w:themeColor="text1"/>
          <w:sz w:val="19"/>
          <w:szCs w:val="19"/>
        </w:rPr>
        <w:t>磅，行距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磅，两端对齐。</w:t>
      </w:r>
    </w:p>
    <w:p w14:paraId="4402CDB5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4.3 </w:t>
      </w:r>
      <w:r>
        <w:rPr>
          <w:rFonts w:hint="eastAsia"/>
          <w:color w:val="000000" w:themeColor="text1"/>
          <w:lang w:eastAsia="zh-CN"/>
        </w:rPr>
        <w:t>正文</w:t>
      </w:r>
    </w:p>
    <w:p w14:paraId="3A9A6EFF" w14:textId="77777777" w:rsidR="00386EDE" w:rsidRDefault="00000000">
      <w:pPr>
        <w:pStyle w:val="aa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4.3.1 </w:t>
      </w:r>
      <w:r>
        <w:rPr>
          <w:rFonts w:hint="eastAsia"/>
          <w:color w:val="000000" w:themeColor="text1"/>
        </w:rPr>
        <w:t>章节标题</w:t>
      </w:r>
    </w:p>
    <w:p w14:paraId="51A10919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章节标题可划分为三个级别。各个级别的标题均使用黑体（如有英文或数字则使用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字体），加粗，行距</w:t>
      </w:r>
      <w:r>
        <w:rPr>
          <w:rFonts w:hint="eastAsia"/>
          <w:color w:val="000000" w:themeColor="text1"/>
          <w:sz w:val="19"/>
          <w:szCs w:val="19"/>
        </w:rPr>
        <w:t>16</w:t>
      </w:r>
      <w:r>
        <w:rPr>
          <w:rFonts w:hint="eastAsia"/>
          <w:color w:val="000000" w:themeColor="text1"/>
          <w:sz w:val="19"/>
          <w:szCs w:val="19"/>
        </w:rPr>
        <w:t>磅。标题用阿拉伯数字进行编号。</w:t>
      </w:r>
    </w:p>
    <w:p w14:paraId="29E6E378" w14:textId="77777777" w:rsidR="00386EDE" w:rsidRDefault="00000000">
      <w:pPr>
        <w:numPr>
          <w:ilvl w:val="0"/>
          <w:numId w:val="9"/>
        </w:numPr>
        <w:spacing w:line="300" w:lineRule="atLeast"/>
        <w:ind w:left="567" w:hanging="283"/>
        <w:rPr>
          <w:color w:val="000000" w:themeColor="text1"/>
          <w:spacing w:val="-4"/>
          <w:sz w:val="19"/>
          <w:szCs w:val="19"/>
        </w:rPr>
      </w:pPr>
      <w:r>
        <w:rPr>
          <w:rFonts w:hint="eastAsia"/>
          <w:color w:val="000000" w:themeColor="text1"/>
          <w:spacing w:val="-4"/>
          <w:sz w:val="19"/>
          <w:szCs w:val="19"/>
        </w:rPr>
        <w:t>一级标题黑体加粗，</w:t>
      </w:r>
      <w:r>
        <w:rPr>
          <w:rFonts w:hint="eastAsia"/>
          <w:color w:val="000000" w:themeColor="text1"/>
          <w:spacing w:val="-4"/>
          <w:sz w:val="19"/>
          <w:szCs w:val="19"/>
        </w:rPr>
        <w:t>12</w:t>
      </w:r>
      <w:r>
        <w:rPr>
          <w:rFonts w:hint="eastAsia"/>
          <w:color w:val="000000" w:themeColor="text1"/>
          <w:spacing w:val="-4"/>
          <w:sz w:val="19"/>
          <w:szCs w:val="19"/>
        </w:rPr>
        <w:t>磅；段前、段后各空</w:t>
      </w:r>
      <w:r>
        <w:rPr>
          <w:rFonts w:hint="eastAsia"/>
          <w:color w:val="000000" w:themeColor="text1"/>
          <w:spacing w:val="-4"/>
          <w:sz w:val="19"/>
          <w:szCs w:val="19"/>
        </w:rPr>
        <w:t>0.5</w:t>
      </w:r>
      <w:r>
        <w:rPr>
          <w:rFonts w:hint="eastAsia"/>
          <w:color w:val="000000" w:themeColor="text1"/>
          <w:spacing w:val="-4"/>
          <w:sz w:val="19"/>
          <w:szCs w:val="19"/>
        </w:rPr>
        <w:t>行。</w:t>
      </w:r>
    </w:p>
    <w:p w14:paraId="19B12ED7" w14:textId="77777777" w:rsidR="00386EDE" w:rsidRDefault="00000000">
      <w:pPr>
        <w:numPr>
          <w:ilvl w:val="0"/>
          <w:numId w:val="9"/>
        </w:numPr>
        <w:spacing w:line="300" w:lineRule="atLeast"/>
        <w:ind w:left="567" w:hanging="283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二级标题黑体加粗，</w:t>
      </w:r>
      <w:r>
        <w:rPr>
          <w:rFonts w:hint="eastAsia"/>
          <w:color w:val="000000" w:themeColor="text1"/>
          <w:sz w:val="19"/>
          <w:szCs w:val="19"/>
        </w:rPr>
        <w:t>11</w:t>
      </w:r>
      <w:r>
        <w:rPr>
          <w:rFonts w:hint="eastAsia"/>
          <w:color w:val="000000" w:themeColor="text1"/>
          <w:sz w:val="19"/>
          <w:szCs w:val="19"/>
        </w:rPr>
        <w:t>磅；段前、段后各空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行。</w:t>
      </w:r>
    </w:p>
    <w:p w14:paraId="3D5EA315" w14:textId="77777777" w:rsidR="00386EDE" w:rsidRDefault="00000000">
      <w:pPr>
        <w:numPr>
          <w:ilvl w:val="0"/>
          <w:numId w:val="9"/>
        </w:numPr>
        <w:spacing w:line="300" w:lineRule="atLeast"/>
        <w:ind w:left="567" w:hanging="283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pacing w:val="5"/>
          <w:sz w:val="19"/>
          <w:szCs w:val="19"/>
        </w:rPr>
        <w:t>三级标题黑体加粗，</w:t>
      </w:r>
      <w:r>
        <w:rPr>
          <w:rFonts w:hint="eastAsia"/>
          <w:color w:val="000000" w:themeColor="text1"/>
          <w:spacing w:val="5"/>
          <w:sz w:val="19"/>
          <w:szCs w:val="19"/>
        </w:rPr>
        <w:t>10</w:t>
      </w:r>
      <w:r>
        <w:rPr>
          <w:rFonts w:hint="eastAsia"/>
          <w:color w:val="000000" w:themeColor="text1"/>
          <w:spacing w:val="5"/>
          <w:sz w:val="19"/>
          <w:szCs w:val="19"/>
        </w:rPr>
        <w:t>磅；段前</w:t>
      </w:r>
      <w:r>
        <w:rPr>
          <w:rFonts w:hint="eastAsia"/>
          <w:color w:val="000000" w:themeColor="text1"/>
          <w:sz w:val="19"/>
          <w:szCs w:val="19"/>
        </w:rPr>
        <w:t>空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</w:t>
      </w:r>
      <w:r>
        <w:rPr>
          <w:rFonts w:hint="eastAsia"/>
          <w:color w:val="000000" w:themeColor="text1"/>
          <w:spacing w:val="5"/>
          <w:sz w:val="19"/>
          <w:szCs w:val="19"/>
        </w:rPr>
        <w:t>、段后不设置</w:t>
      </w:r>
      <w:r>
        <w:rPr>
          <w:rFonts w:hint="eastAsia"/>
          <w:color w:val="000000" w:themeColor="text1"/>
          <w:sz w:val="19"/>
          <w:szCs w:val="19"/>
        </w:rPr>
        <w:t>。</w:t>
      </w:r>
    </w:p>
    <w:p w14:paraId="72A32036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 xml:space="preserve">4.3.2 </w:t>
      </w:r>
      <w:r>
        <w:rPr>
          <w:rFonts w:hint="eastAsia"/>
          <w:color w:val="000000" w:themeColor="text1"/>
        </w:rPr>
        <w:t>正文</w:t>
      </w:r>
    </w:p>
    <w:p w14:paraId="7717B1AC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正文使用宋体，</w:t>
      </w:r>
      <w:r>
        <w:rPr>
          <w:rFonts w:hint="eastAsia"/>
          <w:color w:val="000000" w:themeColor="text1"/>
          <w:sz w:val="19"/>
          <w:szCs w:val="19"/>
        </w:rPr>
        <w:t>9.5</w:t>
      </w:r>
      <w:r>
        <w:rPr>
          <w:rFonts w:hint="eastAsia"/>
          <w:color w:val="000000" w:themeColor="text1"/>
          <w:sz w:val="19"/>
          <w:szCs w:val="19"/>
        </w:rPr>
        <w:t>磅，各段落首行缩进</w:t>
      </w:r>
      <w:r>
        <w:rPr>
          <w:rFonts w:hint="eastAsia"/>
          <w:color w:val="000000" w:themeColor="text1"/>
          <w:sz w:val="19"/>
          <w:szCs w:val="19"/>
        </w:rPr>
        <w:t>2</w:t>
      </w:r>
      <w:r>
        <w:rPr>
          <w:rFonts w:hint="eastAsia"/>
          <w:color w:val="000000" w:themeColor="text1"/>
          <w:sz w:val="19"/>
          <w:szCs w:val="19"/>
        </w:rPr>
        <w:t>字符，两端对齐，行距</w:t>
      </w:r>
      <w:r>
        <w:rPr>
          <w:rFonts w:hint="eastAsia"/>
          <w:color w:val="000000" w:themeColor="text1"/>
          <w:sz w:val="19"/>
          <w:szCs w:val="19"/>
        </w:rPr>
        <w:t>15</w:t>
      </w:r>
      <w:r>
        <w:rPr>
          <w:rFonts w:hint="eastAsia"/>
          <w:color w:val="000000" w:themeColor="text1"/>
          <w:sz w:val="19"/>
          <w:szCs w:val="19"/>
        </w:rPr>
        <w:t>磅；如正文是英文格式的，行距为单倍行距，数字则统一为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字体，并取消英文的“孤行控制”设置。</w:t>
      </w:r>
    </w:p>
    <w:p w14:paraId="63080FA4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4.3.3 </w:t>
      </w:r>
      <w:r>
        <w:rPr>
          <w:rFonts w:hint="eastAsia"/>
          <w:color w:val="000000" w:themeColor="text1"/>
        </w:rPr>
        <w:t>致谢</w:t>
      </w:r>
    </w:p>
    <w:p w14:paraId="474CDFAB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致谢信息置于文章末尾和参考文献之间，致谢的采用一级标题的格式，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磅，黑体加粗，段前、段后各空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行，但是不使用阿拉伯数字编号。致谢的正文部分采用与文章正文相同的格式。</w:t>
      </w:r>
    </w:p>
    <w:p w14:paraId="6B2D7BD5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4.3.4 </w:t>
      </w:r>
      <w:r>
        <w:rPr>
          <w:rFonts w:hint="eastAsia"/>
          <w:color w:val="000000" w:themeColor="text1"/>
        </w:rPr>
        <w:t>参考文献</w:t>
      </w:r>
    </w:p>
    <w:p w14:paraId="4AF49CFB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参考文献的标题采用一级标题的格式，但是不使用阿拉伯数字编号。参考文献的标题使用英文（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字体）和括号注明中文（黑体），加粗，字体为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磅，段前空</w:t>
      </w:r>
      <w:r>
        <w:rPr>
          <w:rFonts w:hint="eastAsia"/>
          <w:color w:val="000000" w:themeColor="text1"/>
          <w:sz w:val="19"/>
          <w:szCs w:val="19"/>
        </w:rPr>
        <w:t>1</w:t>
      </w:r>
      <w:r>
        <w:rPr>
          <w:rFonts w:hint="eastAsia"/>
          <w:color w:val="000000" w:themeColor="text1"/>
          <w:sz w:val="19"/>
          <w:szCs w:val="19"/>
        </w:rPr>
        <w:t>行，段后空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行，行距为单倍行距。</w:t>
      </w:r>
    </w:p>
    <w:p w14:paraId="253713BD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参考文献英文（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字体），中文采用宋体，</w:t>
      </w:r>
      <w:r>
        <w:rPr>
          <w:rFonts w:hint="eastAsia"/>
          <w:color w:val="000000" w:themeColor="text1"/>
          <w:sz w:val="19"/>
          <w:szCs w:val="19"/>
        </w:rPr>
        <w:t>8</w:t>
      </w:r>
      <w:r>
        <w:rPr>
          <w:rFonts w:hint="eastAsia"/>
          <w:color w:val="000000" w:themeColor="text1"/>
          <w:sz w:val="19"/>
          <w:szCs w:val="19"/>
        </w:rPr>
        <w:t>磅，行距单倍行距磅，并采用“</w:t>
      </w:r>
      <w:r>
        <w:rPr>
          <w:rFonts w:hint="eastAsia"/>
          <w:color w:val="000000" w:themeColor="text1"/>
          <w:sz w:val="19"/>
          <w:szCs w:val="19"/>
        </w:rPr>
        <w:t>[x]</w:t>
      </w:r>
      <w:r>
        <w:rPr>
          <w:rFonts w:hint="eastAsia"/>
          <w:color w:val="000000" w:themeColor="text1"/>
          <w:sz w:val="19"/>
          <w:szCs w:val="19"/>
        </w:rPr>
        <w:t>”的方式以数字形式编号。</w:t>
      </w:r>
    </w:p>
    <w:p w14:paraId="4CFD093C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所有参考文献必须列出英文，也就是说，对于中文参考文献，必须先列出该文献的英文信息，在下方另起一行列出该文献的中文信息。</w:t>
      </w:r>
    </w:p>
    <w:p w14:paraId="225818E4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在正文中需要标注对参考文献的引用。标注时也使用“</w:t>
      </w:r>
      <w:r>
        <w:rPr>
          <w:rFonts w:hint="eastAsia"/>
          <w:color w:val="000000" w:themeColor="text1"/>
          <w:sz w:val="19"/>
          <w:szCs w:val="19"/>
        </w:rPr>
        <w:t>[x]</w:t>
      </w:r>
      <w:r>
        <w:rPr>
          <w:rFonts w:hint="eastAsia"/>
          <w:color w:val="000000" w:themeColor="text1"/>
          <w:sz w:val="19"/>
          <w:szCs w:val="19"/>
        </w:rPr>
        <w:t>”的形式，但采用上标格式</w:t>
      </w:r>
      <w:r>
        <w:rPr>
          <w:rFonts w:hint="eastAsia"/>
          <w:color w:val="000000" w:themeColor="text1"/>
          <w:sz w:val="19"/>
          <w:szCs w:val="19"/>
        </w:rPr>
        <w:t>[2]</w:t>
      </w:r>
      <w:r>
        <w:rPr>
          <w:rFonts w:hint="eastAsia"/>
          <w:color w:val="000000" w:themeColor="text1"/>
          <w:sz w:val="19"/>
          <w:szCs w:val="19"/>
        </w:rPr>
        <w:t>。</w:t>
      </w:r>
    </w:p>
    <w:p w14:paraId="28BFB15B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 xml:space="preserve">4.4 </w:t>
      </w:r>
      <w:r>
        <w:rPr>
          <w:rFonts w:hint="eastAsia"/>
          <w:color w:val="000000" w:themeColor="text1"/>
          <w:lang w:eastAsia="zh-CN"/>
        </w:rPr>
        <w:t>图、表和公式</w:t>
      </w:r>
    </w:p>
    <w:p w14:paraId="5D03B152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4.4.1 </w:t>
      </w:r>
      <w:r>
        <w:rPr>
          <w:rFonts w:hint="eastAsia"/>
          <w:color w:val="000000" w:themeColor="text1"/>
        </w:rPr>
        <w:t>图片</w:t>
      </w:r>
    </w:p>
    <w:p w14:paraId="71B678A5" w14:textId="77777777" w:rsidR="00386EDE" w:rsidRDefault="00386EDE">
      <w:pPr>
        <w:spacing w:line="300" w:lineRule="exact"/>
        <w:jc w:val="center"/>
        <w:rPr>
          <w:rFonts w:eastAsia="黑体"/>
          <w:b/>
          <w:color w:val="000000" w:themeColor="text1"/>
          <w:sz w:val="16"/>
          <w:szCs w:val="16"/>
        </w:rPr>
      </w:pPr>
    </w:p>
    <w:p w14:paraId="003F3454" w14:textId="77777777" w:rsidR="00386EDE" w:rsidRDefault="00000000">
      <w:pPr>
        <w:jc w:val="center"/>
        <w:rPr>
          <w:color w:val="000000" w:themeColor="text1"/>
          <w:sz w:val="16"/>
          <w:szCs w:val="16"/>
        </w:rPr>
      </w:pPr>
      <w:r>
        <w:rPr>
          <w:noProof/>
          <w:color w:val="000000" w:themeColor="text1"/>
        </w:rPr>
        <w:drawing>
          <wp:inline distT="0" distB="0" distL="114300" distR="114300" wp14:anchorId="42E5AEE1" wp14:editId="0072D644">
            <wp:extent cx="2610485" cy="1484630"/>
            <wp:effectExtent l="0" t="0" r="18415" b="127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13"/>
                    <a:srcRect l="1688" t="16037" r="34747" b="27641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C71AAA" w14:textId="77777777" w:rsidR="00386EDE" w:rsidRDefault="00000000">
      <w:pPr>
        <w:spacing w:beforeLines="50" w:before="120" w:line="240" w:lineRule="exact"/>
        <w:jc w:val="center"/>
        <w:rPr>
          <w:rFonts w:eastAsia="黑体"/>
          <w:b/>
          <w:color w:val="000000" w:themeColor="text1"/>
          <w:sz w:val="16"/>
          <w:szCs w:val="16"/>
        </w:rPr>
      </w:pPr>
      <w:r>
        <w:rPr>
          <w:rFonts w:eastAsia="黑体" w:hint="eastAsia"/>
          <w:b/>
          <w:color w:val="000000" w:themeColor="text1"/>
          <w:sz w:val="16"/>
          <w:szCs w:val="16"/>
        </w:rPr>
        <w:t>图</w:t>
      </w:r>
      <w:r>
        <w:rPr>
          <w:rFonts w:eastAsia="黑体"/>
          <w:b/>
          <w:color w:val="000000" w:themeColor="text1"/>
          <w:sz w:val="16"/>
          <w:szCs w:val="16"/>
        </w:rPr>
        <w:t>1</w:t>
      </w:r>
      <w:r>
        <w:rPr>
          <w:rFonts w:eastAsia="黑体" w:hint="eastAsia"/>
          <w:b/>
          <w:color w:val="000000" w:themeColor="text1"/>
          <w:sz w:val="16"/>
          <w:szCs w:val="16"/>
        </w:rPr>
        <w:t xml:space="preserve">. </w:t>
      </w:r>
      <w:r>
        <w:rPr>
          <w:rFonts w:eastAsia="黑体"/>
          <w:b/>
          <w:color w:val="000000" w:themeColor="text1"/>
          <w:sz w:val="16"/>
          <w:szCs w:val="16"/>
        </w:rPr>
        <w:t>脱轨列车撞断第一根站房柱的柱顶竖向位移</w:t>
      </w:r>
    </w:p>
    <w:p w14:paraId="58569C50" w14:textId="77777777" w:rsidR="00386EDE" w:rsidRDefault="00000000">
      <w:pPr>
        <w:spacing w:line="240" w:lineRule="exact"/>
        <w:jc w:val="center"/>
        <w:rPr>
          <w:rFonts w:eastAsia="黑体"/>
          <w:b/>
          <w:color w:val="000000" w:themeColor="text1"/>
          <w:sz w:val="16"/>
          <w:szCs w:val="16"/>
        </w:rPr>
      </w:pPr>
      <w:r>
        <w:rPr>
          <w:rFonts w:eastAsia="黑体"/>
          <w:b/>
          <w:color w:val="000000" w:themeColor="text1"/>
          <w:sz w:val="16"/>
          <w:szCs w:val="16"/>
        </w:rPr>
        <w:t>Figure 1. The top of column vertical displacement after derailed train broken off three railway station’ column</w:t>
      </w:r>
      <w:r>
        <w:rPr>
          <w:rFonts w:eastAsia="黑体" w:hint="eastAsia"/>
          <w:b/>
          <w:color w:val="000000" w:themeColor="text1"/>
          <w:sz w:val="16"/>
          <w:szCs w:val="16"/>
        </w:rPr>
        <w:t>s</w:t>
      </w:r>
    </w:p>
    <w:p w14:paraId="0DB785E2" w14:textId="77777777" w:rsidR="00386EDE" w:rsidRDefault="00386EDE">
      <w:pPr>
        <w:spacing w:line="300" w:lineRule="exact"/>
        <w:jc w:val="center"/>
        <w:rPr>
          <w:rFonts w:eastAsia="黑体"/>
          <w:b/>
          <w:color w:val="000000" w:themeColor="text1"/>
          <w:sz w:val="16"/>
          <w:szCs w:val="16"/>
        </w:rPr>
      </w:pPr>
    </w:p>
    <w:p w14:paraId="5497EC78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文中的图片应确保内容清晰，尤其是文字。图片中的文字</w:t>
      </w:r>
      <w:r>
        <w:rPr>
          <w:rFonts w:hint="eastAsia"/>
          <w:color w:val="000000" w:themeColor="text1"/>
          <w:sz w:val="19"/>
          <w:szCs w:val="19"/>
        </w:rPr>
        <w:t>7.5</w:t>
      </w:r>
      <w:r>
        <w:rPr>
          <w:rFonts w:hint="eastAsia"/>
          <w:color w:val="000000" w:themeColor="text1"/>
          <w:sz w:val="19"/>
          <w:szCs w:val="19"/>
        </w:rPr>
        <w:t>磅。图片的尺寸可以根据需要适当放大或缩小，但是其长宽比例应与原图保持一致。对于比较大的图片，如果缩小后会导致内容不清晰，可以对该图片采用不分栏的格式。</w:t>
      </w:r>
    </w:p>
    <w:p w14:paraId="6357885D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所有图片应尽可能采用“嵌入式”环绕方式，尽量</w:t>
      </w:r>
      <w:r>
        <w:rPr>
          <w:rFonts w:hint="eastAsia"/>
          <w:color w:val="000000" w:themeColor="text1"/>
          <w:sz w:val="19"/>
          <w:szCs w:val="19"/>
        </w:rPr>
        <w:t>避免采用“四周型”环绕方式，否则排版过程中极易出现图片位置难以控制的情况。</w:t>
      </w:r>
    </w:p>
    <w:p w14:paraId="301750A5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图片居中。图片的标题放置于图片下方，所有图片必须列出英文标题，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字体，如有中文采用黑体，</w:t>
      </w:r>
      <w:r>
        <w:rPr>
          <w:rFonts w:hint="eastAsia"/>
          <w:color w:val="000000" w:themeColor="text1"/>
          <w:sz w:val="19"/>
          <w:szCs w:val="19"/>
        </w:rPr>
        <w:t>8</w:t>
      </w:r>
      <w:r>
        <w:rPr>
          <w:rFonts w:hint="eastAsia"/>
          <w:color w:val="000000" w:themeColor="text1"/>
          <w:sz w:val="19"/>
          <w:szCs w:val="19"/>
        </w:rPr>
        <w:t>磅，加粗，居中，行距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磅，段前间隔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行，并使用“图</w:t>
      </w:r>
      <w:r>
        <w:rPr>
          <w:rFonts w:hint="eastAsia"/>
          <w:color w:val="000000" w:themeColor="text1"/>
          <w:sz w:val="19"/>
          <w:szCs w:val="19"/>
        </w:rPr>
        <w:t>x</w:t>
      </w:r>
      <w:r>
        <w:rPr>
          <w:rFonts w:hint="eastAsia"/>
          <w:color w:val="000000" w:themeColor="text1"/>
          <w:sz w:val="19"/>
          <w:szCs w:val="19"/>
        </w:rPr>
        <w:t>”的形式进行编号。图片的上方和图片标题的下方各设置一空行，行距</w:t>
      </w:r>
      <w:r>
        <w:rPr>
          <w:rFonts w:hint="eastAsia"/>
          <w:color w:val="000000" w:themeColor="text1"/>
          <w:sz w:val="19"/>
          <w:szCs w:val="19"/>
        </w:rPr>
        <w:t>15</w:t>
      </w:r>
      <w:r>
        <w:rPr>
          <w:rFonts w:hint="eastAsia"/>
          <w:color w:val="000000" w:themeColor="text1"/>
          <w:sz w:val="19"/>
          <w:szCs w:val="19"/>
        </w:rPr>
        <w:t>磅。</w:t>
      </w:r>
    </w:p>
    <w:p w14:paraId="097DA342" w14:textId="77777777" w:rsidR="00386EDE" w:rsidRDefault="00000000">
      <w:pPr>
        <w:pStyle w:val="aa"/>
        <w:spacing w:beforeLines="50" w:before="12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4.4.2 </w:t>
      </w:r>
      <w:r>
        <w:rPr>
          <w:rFonts w:hint="eastAsia"/>
          <w:color w:val="000000" w:themeColor="text1"/>
        </w:rPr>
        <w:t>表格</w:t>
      </w:r>
    </w:p>
    <w:p w14:paraId="33ECE23C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表格中的文字</w:t>
      </w:r>
      <w:r>
        <w:rPr>
          <w:rFonts w:hint="eastAsia"/>
          <w:color w:val="000000" w:themeColor="text1"/>
          <w:sz w:val="19"/>
          <w:szCs w:val="19"/>
        </w:rPr>
        <w:t>7.5</w:t>
      </w:r>
      <w:r>
        <w:rPr>
          <w:rFonts w:hint="eastAsia"/>
          <w:color w:val="000000" w:themeColor="text1"/>
          <w:sz w:val="19"/>
          <w:szCs w:val="19"/>
        </w:rPr>
        <w:t>磅。对于比较大的表格，如果按照双栏方式难以容纳，可以对该表格采用不分栏的格式。</w:t>
      </w:r>
    </w:p>
    <w:p w14:paraId="21AFE7AC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所有表格尽量采用“无环绕”环绕方式，尽量避免采用“环绕式”。</w:t>
      </w:r>
    </w:p>
    <w:p w14:paraId="74577D16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表格应居中。表格的标题置于表格上方，采用英文</w:t>
      </w:r>
      <w:r>
        <w:rPr>
          <w:rFonts w:hint="eastAsia"/>
          <w:color w:val="000000" w:themeColor="text1"/>
          <w:sz w:val="19"/>
          <w:szCs w:val="19"/>
        </w:rPr>
        <w:t>Times New Roman</w:t>
      </w:r>
      <w:r>
        <w:rPr>
          <w:rFonts w:hint="eastAsia"/>
          <w:color w:val="000000" w:themeColor="text1"/>
          <w:sz w:val="19"/>
          <w:szCs w:val="19"/>
        </w:rPr>
        <w:t>字体（如有中文使用黑体），</w:t>
      </w:r>
      <w:r>
        <w:rPr>
          <w:rFonts w:hint="eastAsia"/>
          <w:color w:val="000000" w:themeColor="text1"/>
          <w:sz w:val="19"/>
          <w:szCs w:val="19"/>
        </w:rPr>
        <w:t>8</w:t>
      </w:r>
      <w:r>
        <w:rPr>
          <w:rFonts w:hint="eastAsia"/>
          <w:color w:val="000000" w:themeColor="text1"/>
          <w:sz w:val="19"/>
          <w:szCs w:val="19"/>
        </w:rPr>
        <w:t>磅，加粗，居中，行距</w:t>
      </w:r>
      <w:r>
        <w:rPr>
          <w:rFonts w:hint="eastAsia"/>
          <w:color w:val="000000" w:themeColor="text1"/>
          <w:sz w:val="19"/>
          <w:szCs w:val="19"/>
        </w:rPr>
        <w:t>12</w:t>
      </w:r>
      <w:r>
        <w:rPr>
          <w:rFonts w:hint="eastAsia"/>
          <w:color w:val="000000" w:themeColor="text1"/>
          <w:sz w:val="19"/>
          <w:szCs w:val="19"/>
        </w:rPr>
        <w:t>磅，段后间隔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行，并使用“表</w:t>
      </w:r>
      <w:r>
        <w:rPr>
          <w:rFonts w:hint="eastAsia"/>
          <w:color w:val="000000" w:themeColor="text1"/>
          <w:sz w:val="19"/>
          <w:szCs w:val="19"/>
        </w:rPr>
        <w:t>x</w:t>
      </w:r>
      <w:r>
        <w:rPr>
          <w:rFonts w:hint="eastAsia"/>
          <w:color w:val="000000" w:themeColor="text1"/>
          <w:sz w:val="19"/>
          <w:szCs w:val="19"/>
        </w:rPr>
        <w:t>”的形式进行编号。表格标题的上方和表格的下方各设置一空行，行距</w:t>
      </w:r>
      <w:r>
        <w:rPr>
          <w:rFonts w:hint="eastAsia"/>
          <w:color w:val="000000" w:themeColor="text1"/>
          <w:sz w:val="19"/>
          <w:szCs w:val="19"/>
        </w:rPr>
        <w:t>15</w:t>
      </w:r>
      <w:r>
        <w:rPr>
          <w:rFonts w:hint="eastAsia"/>
          <w:color w:val="000000" w:themeColor="text1"/>
          <w:sz w:val="19"/>
          <w:szCs w:val="19"/>
        </w:rPr>
        <w:t>磅。</w:t>
      </w:r>
    </w:p>
    <w:p w14:paraId="5B669965" w14:textId="77777777" w:rsidR="00386EDE" w:rsidRDefault="00386EDE">
      <w:pPr>
        <w:spacing w:line="300" w:lineRule="exact"/>
        <w:jc w:val="center"/>
        <w:rPr>
          <w:rFonts w:eastAsia="黑体"/>
          <w:b/>
          <w:color w:val="000000" w:themeColor="text1"/>
          <w:sz w:val="16"/>
          <w:szCs w:val="16"/>
        </w:rPr>
      </w:pPr>
    </w:p>
    <w:p w14:paraId="0A17A0D2" w14:textId="77777777" w:rsidR="00386EDE" w:rsidRDefault="00000000">
      <w:pPr>
        <w:jc w:val="center"/>
        <w:rPr>
          <w:rFonts w:eastAsia="黑体"/>
          <w:b/>
          <w:color w:val="000000" w:themeColor="text1"/>
          <w:sz w:val="16"/>
          <w:szCs w:val="16"/>
        </w:rPr>
      </w:pPr>
      <w:r>
        <w:rPr>
          <w:rFonts w:eastAsia="黑体" w:hint="eastAsia"/>
          <w:b/>
          <w:color w:val="000000" w:themeColor="text1"/>
          <w:sz w:val="16"/>
          <w:szCs w:val="16"/>
        </w:rPr>
        <w:t>表</w:t>
      </w:r>
      <w:r>
        <w:rPr>
          <w:rFonts w:eastAsia="黑体"/>
          <w:b/>
          <w:color w:val="000000" w:themeColor="text1"/>
          <w:sz w:val="16"/>
          <w:szCs w:val="16"/>
        </w:rPr>
        <w:t>1</w:t>
      </w:r>
      <w:r>
        <w:rPr>
          <w:rFonts w:eastAsia="黑体" w:hint="eastAsia"/>
          <w:b/>
          <w:color w:val="000000" w:themeColor="text1"/>
          <w:sz w:val="16"/>
          <w:szCs w:val="16"/>
        </w:rPr>
        <w:t xml:space="preserve">. </w:t>
      </w:r>
      <w:r>
        <w:rPr>
          <w:rFonts w:eastAsia="黑体" w:hint="eastAsia"/>
          <w:b/>
          <w:color w:val="000000" w:themeColor="text1"/>
          <w:sz w:val="16"/>
          <w:szCs w:val="16"/>
        </w:rPr>
        <w:t>标准试验系统结果数据</w:t>
      </w:r>
    </w:p>
    <w:p w14:paraId="478145B2" w14:textId="77777777" w:rsidR="00386EDE" w:rsidRDefault="00000000">
      <w:pPr>
        <w:spacing w:afterLines="50" w:after="120"/>
        <w:jc w:val="center"/>
        <w:rPr>
          <w:rFonts w:eastAsia="黑体"/>
          <w:b/>
          <w:color w:val="000000" w:themeColor="text1"/>
          <w:sz w:val="16"/>
          <w:szCs w:val="16"/>
        </w:rPr>
      </w:pPr>
      <w:r>
        <w:rPr>
          <w:rFonts w:eastAsia="黑体"/>
          <w:b/>
          <w:color w:val="000000" w:themeColor="text1"/>
          <w:sz w:val="16"/>
          <w:szCs w:val="16"/>
        </w:rPr>
        <w:t>Table 1. System resulting data of standard experiment</w:t>
      </w: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61"/>
        <w:gridCol w:w="896"/>
        <w:gridCol w:w="897"/>
        <w:gridCol w:w="897"/>
        <w:gridCol w:w="1028"/>
      </w:tblGrid>
      <w:tr w:rsidR="00386EDE" w14:paraId="5045E1E0" w14:textId="77777777">
        <w:trPr>
          <w:trHeight w:val="340"/>
          <w:jc w:val="center"/>
        </w:trPr>
        <w:tc>
          <w:tcPr>
            <w:tcW w:w="770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455B9A5A" w14:textId="77777777" w:rsidR="00386EDE" w:rsidRDefault="00000000">
            <w:pPr>
              <w:spacing w:line="220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数量</w:t>
            </w:r>
          </w:p>
        </w:tc>
        <w:tc>
          <w:tcPr>
            <w:tcW w:w="90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63D3C9E" w14:textId="77777777" w:rsidR="00386EDE" w:rsidRDefault="00000000">
            <w:pPr>
              <w:spacing w:line="220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质量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64B7601" w14:textId="77777777" w:rsidR="00386EDE" w:rsidRDefault="00000000">
            <w:pPr>
              <w:spacing w:line="220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排序</w:t>
            </w:r>
          </w:p>
        </w:tc>
        <w:tc>
          <w:tcPr>
            <w:tcW w:w="90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27FAE0D4" w14:textId="77777777" w:rsidR="00386EDE" w:rsidRDefault="00000000">
            <w:pPr>
              <w:spacing w:line="220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稿件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8FDE09" w14:textId="77777777" w:rsidR="00386EDE" w:rsidRDefault="00000000">
            <w:pPr>
              <w:spacing w:line="220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件数</w:t>
            </w:r>
          </w:p>
        </w:tc>
      </w:tr>
      <w:tr w:rsidR="00386EDE" w14:paraId="1F13CE0E" w14:textId="77777777">
        <w:trPr>
          <w:trHeight w:val="340"/>
          <w:jc w:val="center"/>
        </w:trPr>
        <w:tc>
          <w:tcPr>
            <w:tcW w:w="770" w:type="dxa"/>
            <w:tcBorders>
              <w:top w:val="single" w:sz="2" w:space="0" w:color="auto"/>
              <w:bottom w:val="nil"/>
            </w:tcBorders>
            <w:vAlign w:val="center"/>
          </w:tcPr>
          <w:p w14:paraId="23F729B7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1</w:t>
            </w:r>
          </w:p>
        </w:tc>
        <w:tc>
          <w:tcPr>
            <w:tcW w:w="907" w:type="dxa"/>
            <w:tcBorders>
              <w:top w:val="single" w:sz="2" w:space="0" w:color="auto"/>
              <w:bottom w:val="nil"/>
            </w:tcBorders>
            <w:vAlign w:val="center"/>
          </w:tcPr>
          <w:p w14:paraId="5C081510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08" w:type="dxa"/>
            <w:tcBorders>
              <w:top w:val="single" w:sz="2" w:space="0" w:color="auto"/>
              <w:bottom w:val="nil"/>
            </w:tcBorders>
            <w:vAlign w:val="center"/>
          </w:tcPr>
          <w:p w14:paraId="3D1D00DF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908" w:type="dxa"/>
            <w:tcBorders>
              <w:top w:val="single" w:sz="2" w:space="0" w:color="auto"/>
              <w:bottom w:val="nil"/>
            </w:tcBorders>
            <w:vAlign w:val="center"/>
          </w:tcPr>
          <w:p w14:paraId="1CB740BB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042" w:type="dxa"/>
            <w:tcBorders>
              <w:top w:val="single" w:sz="2" w:space="0" w:color="auto"/>
              <w:bottom w:val="nil"/>
            </w:tcBorders>
            <w:vAlign w:val="center"/>
          </w:tcPr>
          <w:p w14:paraId="3D3B17FB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8</w:t>
            </w:r>
          </w:p>
        </w:tc>
      </w:tr>
      <w:tr w:rsidR="00386EDE" w14:paraId="3939A2B9" w14:textId="77777777">
        <w:trPr>
          <w:trHeight w:val="340"/>
          <w:jc w:val="center"/>
        </w:trPr>
        <w:tc>
          <w:tcPr>
            <w:tcW w:w="770" w:type="dxa"/>
            <w:tcBorders>
              <w:top w:val="nil"/>
            </w:tcBorders>
            <w:vAlign w:val="center"/>
          </w:tcPr>
          <w:p w14:paraId="55D4A8B4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907" w:type="dxa"/>
            <w:tcBorders>
              <w:top w:val="nil"/>
            </w:tcBorders>
            <w:vAlign w:val="center"/>
          </w:tcPr>
          <w:p w14:paraId="5A58F561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21CA6AF9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08" w:type="dxa"/>
            <w:tcBorders>
              <w:top w:val="nil"/>
            </w:tcBorders>
            <w:vAlign w:val="center"/>
          </w:tcPr>
          <w:p w14:paraId="6D769909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42" w:type="dxa"/>
            <w:tcBorders>
              <w:top w:val="nil"/>
            </w:tcBorders>
            <w:vAlign w:val="center"/>
          </w:tcPr>
          <w:p w14:paraId="79D9F284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9</w:t>
            </w:r>
          </w:p>
        </w:tc>
      </w:tr>
      <w:tr w:rsidR="00386EDE" w14:paraId="4FB1913D" w14:textId="77777777">
        <w:trPr>
          <w:trHeight w:val="340"/>
          <w:jc w:val="center"/>
        </w:trPr>
        <w:tc>
          <w:tcPr>
            <w:tcW w:w="770" w:type="dxa"/>
            <w:vAlign w:val="center"/>
          </w:tcPr>
          <w:p w14:paraId="732454EB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07" w:type="dxa"/>
            <w:vAlign w:val="center"/>
          </w:tcPr>
          <w:p w14:paraId="53DAA0AC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908" w:type="dxa"/>
            <w:vAlign w:val="center"/>
          </w:tcPr>
          <w:p w14:paraId="0552D682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908" w:type="dxa"/>
            <w:vAlign w:val="center"/>
          </w:tcPr>
          <w:p w14:paraId="55FBDB8B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1042" w:type="dxa"/>
            <w:vAlign w:val="center"/>
          </w:tcPr>
          <w:p w14:paraId="3A2244AE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8</w:t>
            </w:r>
          </w:p>
        </w:tc>
      </w:tr>
      <w:tr w:rsidR="00386EDE" w14:paraId="5CACF1EC" w14:textId="77777777">
        <w:trPr>
          <w:trHeight w:val="340"/>
          <w:jc w:val="center"/>
        </w:trPr>
        <w:tc>
          <w:tcPr>
            <w:tcW w:w="770" w:type="dxa"/>
            <w:vAlign w:val="center"/>
          </w:tcPr>
          <w:p w14:paraId="6A1DBCAE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907" w:type="dxa"/>
            <w:vAlign w:val="center"/>
          </w:tcPr>
          <w:p w14:paraId="11DC5227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908" w:type="dxa"/>
            <w:vAlign w:val="center"/>
          </w:tcPr>
          <w:p w14:paraId="4C486E12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08" w:type="dxa"/>
            <w:vAlign w:val="center"/>
          </w:tcPr>
          <w:p w14:paraId="11B38275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42" w:type="dxa"/>
            <w:vAlign w:val="center"/>
          </w:tcPr>
          <w:p w14:paraId="2EA074C8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9</w:t>
            </w:r>
          </w:p>
        </w:tc>
      </w:tr>
      <w:tr w:rsidR="00386EDE" w14:paraId="3107813A" w14:textId="77777777">
        <w:trPr>
          <w:trHeight w:val="340"/>
          <w:jc w:val="center"/>
        </w:trPr>
        <w:tc>
          <w:tcPr>
            <w:tcW w:w="770" w:type="dxa"/>
            <w:vAlign w:val="center"/>
          </w:tcPr>
          <w:p w14:paraId="71C9DFB2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907" w:type="dxa"/>
            <w:vAlign w:val="center"/>
          </w:tcPr>
          <w:p w14:paraId="68979E42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908" w:type="dxa"/>
            <w:vAlign w:val="center"/>
          </w:tcPr>
          <w:p w14:paraId="1B9F27B7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08" w:type="dxa"/>
            <w:vAlign w:val="center"/>
          </w:tcPr>
          <w:p w14:paraId="43C353DF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42" w:type="dxa"/>
            <w:vAlign w:val="center"/>
          </w:tcPr>
          <w:p w14:paraId="37757B49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9</w:t>
            </w:r>
          </w:p>
        </w:tc>
      </w:tr>
      <w:tr w:rsidR="00386EDE" w14:paraId="4EBDDC57" w14:textId="77777777">
        <w:trPr>
          <w:trHeight w:val="340"/>
          <w:jc w:val="center"/>
        </w:trPr>
        <w:tc>
          <w:tcPr>
            <w:tcW w:w="770" w:type="dxa"/>
            <w:vAlign w:val="center"/>
          </w:tcPr>
          <w:p w14:paraId="07F56285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907" w:type="dxa"/>
            <w:vAlign w:val="center"/>
          </w:tcPr>
          <w:p w14:paraId="6BD130A0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908" w:type="dxa"/>
            <w:vAlign w:val="center"/>
          </w:tcPr>
          <w:p w14:paraId="53435FB0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08" w:type="dxa"/>
            <w:vAlign w:val="center"/>
          </w:tcPr>
          <w:p w14:paraId="5ABABCA0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42" w:type="dxa"/>
            <w:vAlign w:val="center"/>
          </w:tcPr>
          <w:p w14:paraId="48E33039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9</w:t>
            </w:r>
          </w:p>
        </w:tc>
      </w:tr>
      <w:tr w:rsidR="00386EDE" w14:paraId="16389A22" w14:textId="77777777">
        <w:trPr>
          <w:trHeight w:val="413"/>
          <w:jc w:val="center"/>
        </w:trPr>
        <w:tc>
          <w:tcPr>
            <w:tcW w:w="770" w:type="dxa"/>
            <w:tcBorders>
              <w:bottom w:val="single" w:sz="4" w:space="0" w:color="auto"/>
            </w:tcBorders>
            <w:vAlign w:val="center"/>
          </w:tcPr>
          <w:p w14:paraId="64BAC314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14:paraId="6BDACF6C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4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4454576C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3</w:t>
            </w:r>
          </w:p>
        </w:tc>
        <w:tc>
          <w:tcPr>
            <w:tcW w:w="908" w:type="dxa"/>
            <w:tcBorders>
              <w:bottom w:val="single" w:sz="4" w:space="0" w:color="auto"/>
            </w:tcBorders>
            <w:vAlign w:val="center"/>
          </w:tcPr>
          <w:p w14:paraId="72AAA75E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5</w:t>
            </w: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17E3B8E3" w14:textId="77777777" w:rsidR="00386EDE" w:rsidRDefault="00000000">
            <w:pPr>
              <w:spacing w:line="276" w:lineRule="exact"/>
              <w:jc w:val="center"/>
              <w:rPr>
                <w:color w:val="000000" w:themeColor="text1"/>
                <w:sz w:val="15"/>
                <w:szCs w:val="15"/>
              </w:rPr>
            </w:pPr>
            <w:r>
              <w:rPr>
                <w:color w:val="000000" w:themeColor="text1"/>
                <w:sz w:val="15"/>
                <w:szCs w:val="15"/>
              </w:rPr>
              <w:t>9</w:t>
            </w:r>
          </w:p>
        </w:tc>
      </w:tr>
    </w:tbl>
    <w:p w14:paraId="147DD0A3" w14:textId="77777777" w:rsidR="00386EDE" w:rsidRDefault="00386EDE">
      <w:pPr>
        <w:spacing w:line="300" w:lineRule="exact"/>
        <w:jc w:val="center"/>
        <w:rPr>
          <w:rFonts w:eastAsia="黑体"/>
          <w:b/>
          <w:color w:val="000000" w:themeColor="text1"/>
          <w:sz w:val="16"/>
          <w:szCs w:val="16"/>
        </w:rPr>
      </w:pPr>
    </w:p>
    <w:p w14:paraId="39B9BF3A" w14:textId="77777777" w:rsidR="00386EDE" w:rsidRDefault="00000000">
      <w:pPr>
        <w:spacing w:line="300" w:lineRule="atLeas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对于单独占据一个段落的公式，通常建议采用居中设置，并在段前、段后设置</w:t>
      </w:r>
      <w:r>
        <w:rPr>
          <w:rFonts w:hint="eastAsia"/>
          <w:color w:val="000000" w:themeColor="text1"/>
          <w:sz w:val="19"/>
          <w:szCs w:val="19"/>
        </w:rPr>
        <w:t>0.5</w:t>
      </w:r>
      <w:r>
        <w:rPr>
          <w:rFonts w:hint="eastAsia"/>
          <w:color w:val="000000" w:themeColor="text1"/>
          <w:sz w:val="19"/>
          <w:szCs w:val="19"/>
        </w:rPr>
        <w:t>行间隔。但该规则并不是强制性的，对于公式较多的论文，作者可以根据情况适当调整对其方式和段落间距，以求美观。</w:t>
      </w:r>
    </w:p>
    <w:p w14:paraId="25E9EEE3" w14:textId="77777777" w:rsidR="00386EDE" w:rsidRDefault="00000000">
      <w:pPr>
        <w:spacing w:line="300" w:lineRule="exact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为求美观，应注意公式中的字体大小。字体过大会导致比例失调，字体过小会导致看不清楚。</w:t>
      </w:r>
    </w:p>
    <w:p w14:paraId="1A7E33A3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致</w:t>
      </w:r>
      <w:r>
        <w:rPr>
          <w:rFonts w:hint="eastAsia"/>
          <w:color w:val="000000" w:themeColor="text1"/>
          <w:lang w:eastAsia="zh-CN"/>
        </w:rPr>
        <w:t xml:space="preserve">  </w:t>
      </w:r>
      <w:r>
        <w:rPr>
          <w:rFonts w:hint="eastAsia"/>
          <w:color w:val="000000" w:themeColor="text1"/>
          <w:lang w:eastAsia="zh-CN"/>
        </w:rPr>
        <w:t>谢</w:t>
      </w:r>
    </w:p>
    <w:p w14:paraId="768FBE64" w14:textId="77777777" w:rsidR="00386EDE" w:rsidRDefault="00000000">
      <w:pPr>
        <w:spacing w:line="300" w:lineRule="exact"/>
        <w:ind w:firstLineChars="200" w:firstLine="380"/>
        <w:rPr>
          <w:color w:val="000000" w:themeColor="text1"/>
          <w:sz w:val="19"/>
          <w:szCs w:val="19"/>
        </w:rPr>
      </w:pPr>
      <w:r>
        <w:rPr>
          <w:rFonts w:hint="eastAsia"/>
          <w:color w:val="000000" w:themeColor="text1"/>
          <w:sz w:val="19"/>
          <w:szCs w:val="19"/>
        </w:rPr>
        <w:t>本章节为作者提供“致谢”的示例。</w:t>
      </w:r>
    </w:p>
    <w:p w14:paraId="0387FBCA" w14:textId="77777777" w:rsidR="00386EDE" w:rsidRDefault="00000000">
      <w:pPr>
        <w:pStyle w:val="a9"/>
        <w:rPr>
          <w:color w:val="000000" w:themeColor="text1"/>
          <w:lang w:eastAsia="zh-CN"/>
        </w:rPr>
      </w:pPr>
      <w:r>
        <w:rPr>
          <w:rFonts w:hint="eastAsia"/>
          <w:color w:val="000000" w:themeColor="text1"/>
          <w:lang w:eastAsia="zh-CN"/>
        </w:rPr>
        <w:t>References (</w:t>
      </w:r>
      <w:r>
        <w:rPr>
          <w:rFonts w:hint="eastAsia"/>
          <w:color w:val="000000" w:themeColor="text1"/>
          <w:lang w:eastAsia="zh-CN"/>
        </w:rPr>
        <w:t>参考文献</w:t>
      </w:r>
      <w:r>
        <w:rPr>
          <w:rFonts w:hint="eastAsia"/>
          <w:color w:val="000000" w:themeColor="text1"/>
          <w:lang w:eastAsia="zh-CN"/>
        </w:rPr>
        <w:t xml:space="preserve">) </w:t>
      </w:r>
    </w:p>
    <w:p w14:paraId="12D338CC" w14:textId="77777777" w:rsidR="00386EDE" w:rsidRDefault="00000000">
      <w:pPr>
        <w:numPr>
          <w:ilvl w:val="0"/>
          <w:numId w:val="10"/>
        </w:numPr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参考文献</w:t>
      </w:r>
      <w:r>
        <w:rPr>
          <w:color w:val="000000" w:themeColor="text1"/>
          <w:sz w:val="16"/>
          <w:szCs w:val="16"/>
        </w:rPr>
        <w:t>按照标准格式编辑</w:t>
      </w:r>
      <w:r>
        <w:rPr>
          <w:color w:val="000000" w:themeColor="text1"/>
          <w:sz w:val="16"/>
          <w:szCs w:val="16"/>
        </w:rPr>
        <w:t>Sun Jian, Chen Zong-hai, Wang Peng et al. Multi-Region Coverage Method Based on Cost Map and Minimal Tree for Mobile Robot.  Robot, 2015, 37(4): 435-442.</w:t>
      </w:r>
    </w:p>
    <w:p w14:paraId="4C36975E" w14:textId="77777777" w:rsidR="00386EDE" w:rsidRDefault="00000000">
      <w:pPr>
        <w:numPr>
          <w:ilvl w:val="0"/>
          <w:numId w:val="10"/>
        </w:numPr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>M</w:t>
      </w:r>
      <w:r>
        <w:rPr>
          <w:rFonts w:hint="eastAsia"/>
          <w:color w:val="000000" w:themeColor="text1"/>
          <w:sz w:val="16"/>
          <w:szCs w:val="16"/>
        </w:rPr>
        <w:t>eng</w:t>
      </w:r>
      <w:r>
        <w:rPr>
          <w:color w:val="000000" w:themeColor="text1"/>
          <w:sz w:val="16"/>
          <w:szCs w:val="16"/>
        </w:rPr>
        <w:t xml:space="preserve"> Xiangping</w:t>
      </w:r>
      <w:r>
        <w:rPr>
          <w:rFonts w:hint="eastAsia"/>
          <w:color w:val="000000" w:themeColor="text1"/>
          <w:sz w:val="16"/>
          <w:szCs w:val="16"/>
        </w:rPr>
        <w:t>,</w:t>
      </w:r>
      <w:r>
        <w:rPr>
          <w:color w:val="000000" w:themeColor="text1"/>
          <w:sz w:val="16"/>
          <w:szCs w:val="16"/>
        </w:rPr>
        <w:t xml:space="preserve"> G</w:t>
      </w:r>
      <w:r>
        <w:rPr>
          <w:rFonts w:hint="eastAsia"/>
          <w:color w:val="000000" w:themeColor="text1"/>
          <w:sz w:val="16"/>
          <w:szCs w:val="16"/>
        </w:rPr>
        <w:t>ao</w:t>
      </w:r>
      <w:r>
        <w:rPr>
          <w:color w:val="000000" w:themeColor="text1"/>
          <w:sz w:val="16"/>
          <w:szCs w:val="16"/>
        </w:rPr>
        <w:t xml:space="preserve"> Yan. Electric systems analysis</w:t>
      </w:r>
      <w:r>
        <w:rPr>
          <w:rFonts w:hint="eastAsia"/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[M]. Beijing: Higher Education Press, 2004.</w:t>
      </w:r>
      <w:r>
        <w:rPr>
          <w:rFonts w:hint="eastAsia"/>
          <w:color w:val="000000" w:themeColor="text1"/>
          <w:sz w:val="16"/>
          <w:szCs w:val="16"/>
        </w:rPr>
        <w:t xml:space="preserve"> </w:t>
      </w:r>
      <w:r>
        <w:rPr>
          <w:color w:val="000000" w:themeColor="text1"/>
          <w:sz w:val="16"/>
          <w:szCs w:val="16"/>
        </w:rPr>
        <w:t>3</w:t>
      </w:r>
      <w:r>
        <w:rPr>
          <w:rFonts w:hint="eastAsia"/>
          <w:color w:val="000000" w:themeColor="text1"/>
          <w:sz w:val="16"/>
          <w:szCs w:val="16"/>
        </w:rPr>
        <w:t>-</w:t>
      </w:r>
      <w:r>
        <w:rPr>
          <w:color w:val="000000" w:themeColor="text1"/>
          <w:sz w:val="16"/>
          <w:szCs w:val="16"/>
        </w:rPr>
        <w:t>21.</w:t>
      </w:r>
    </w:p>
    <w:p w14:paraId="6559BFE5" w14:textId="77777777" w:rsidR="00386EDE" w:rsidRDefault="00000000">
      <w:pPr>
        <w:numPr>
          <w:ilvl w:val="0"/>
          <w:numId w:val="10"/>
        </w:numPr>
        <w:rPr>
          <w:color w:val="000000" w:themeColor="text1"/>
          <w:sz w:val="16"/>
          <w:szCs w:val="16"/>
        </w:rPr>
        <w:sectPr w:rsidR="00386EDE">
          <w:type w:val="continuous"/>
          <w:pgSz w:w="11906" w:h="16838"/>
          <w:pgMar w:top="1559" w:right="1111" w:bottom="1559" w:left="1117" w:header="851" w:footer="992" w:gutter="0"/>
          <w:pgNumType w:fmt="numberInDash"/>
          <w:cols w:num="2" w:space="720" w:equalWidth="0">
            <w:col w:w="4626" w:space="425"/>
            <w:col w:w="4626"/>
          </w:cols>
          <w:docGrid w:linePitch="312" w:charSpace="83"/>
        </w:sectPr>
      </w:pPr>
      <w:r>
        <w:rPr>
          <w:rFonts w:hint="eastAsia"/>
          <w:color w:val="000000" w:themeColor="text1"/>
          <w:sz w:val="16"/>
          <w:szCs w:val="16"/>
        </w:rPr>
        <w:t xml:space="preserve">Li Yu, Liu Jingsen. Mechanism and Improvement of Direct </w:t>
      </w:r>
    </w:p>
    <w:p w14:paraId="3F23B0B9" w14:textId="77777777" w:rsidR="00386EDE" w:rsidRDefault="00000000">
      <w:pPr>
        <w:numPr>
          <w:ilvl w:val="0"/>
          <w:numId w:val="10"/>
        </w:numPr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lastRenderedPageBreak/>
        <w:t xml:space="preserve">Anonymous Attestation Scheme[J]. </w:t>
      </w:r>
      <w:r>
        <w:rPr>
          <w:rFonts w:hint="eastAsia"/>
          <w:i/>
          <w:color w:val="000000" w:themeColor="text1"/>
          <w:sz w:val="16"/>
          <w:szCs w:val="16"/>
        </w:rPr>
        <w:t>Journal of Henan University</w:t>
      </w:r>
      <w:r>
        <w:rPr>
          <w:rFonts w:hint="eastAsia"/>
          <w:color w:val="000000" w:themeColor="text1"/>
          <w:sz w:val="16"/>
          <w:szCs w:val="16"/>
        </w:rPr>
        <w:t>, 2007, 37(2), 195-197.</w:t>
      </w:r>
    </w:p>
    <w:p w14:paraId="573F7EB3" w14:textId="77777777" w:rsidR="00386EDE" w:rsidRDefault="00000000">
      <w:pPr>
        <w:numPr>
          <w:ilvl w:val="0"/>
          <w:numId w:val="10"/>
        </w:numPr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包鹏，王鹏，张启彬，陈宗海</w:t>
      </w:r>
      <w:r>
        <w:rPr>
          <w:rFonts w:hint="eastAsia"/>
          <w:color w:val="000000" w:themeColor="text1"/>
          <w:sz w:val="16"/>
          <w:szCs w:val="16"/>
        </w:rPr>
        <w:t xml:space="preserve">. </w:t>
      </w:r>
      <w:r>
        <w:rPr>
          <w:rFonts w:hint="eastAsia"/>
          <w:color w:val="000000" w:themeColor="text1"/>
          <w:sz w:val="16"/>
          <w:szCs w:val="16"/>
        </w:rPr>
        <w:t>基于转动惯量轴的区域主方向识别方法</w:t>
      </w:r>
      <w:r>
        <w:rPr>
          <w:rFonts w:hint="eastAsia"/>
          <w:color w:val="000000" w:themeColor="text1"/>
          <w:sz w:val="16"/>
          <w:szCs w:val="16"/>
        </w:rPr>
        <w:t xml:space="preserve">[J]. </w:t>
      </w:r>
      <w:r>
        <w:rPr>
          <w:rFonts w:hint="eastAsia"/>
          <w:color w:val="000000" w:themeColor="text1"/>
          <w:sz w:val="16"/>
          <w:szCs w:val="16"/>
        </w:rPr>
        <w:t>系统仿真技术及其应用，</w:t>
      </w:r>
      <w:r>
        <w:rPr>
          <w:rFonts w:hint="eastAsia"/>
          <w:color w:val="000000" w:themeColor="text1"/>
          <w:sz w:val="16"/>
          <w:szCs w:val="16"/>
        </w:rPr>
        <w:t>2015</w:t>
      </w:r>
      <w:r>
        <w:rPr>
          <w:color w:val="000000" w:themeColor="text1"/>
          <w:sz w:val="16"/>
          <w:szCs w:val="16"/>
        </w:rPr>
        <w:t>(16)</w:t>
      </w:r>
      <w:r>
        <w:rPr>
          <w:rFonts w:hint="eastAsia"/>
          <w:color w:val="000000" w:themeColor="text1"/>
          <w:sz w:val="16"/>
          <w:szCs w:val="16"/>
        </w:rPr>
        <w:t>：</w:t>
      </w:r>
      <w:r>
        <w:rPr>
          <w:rFonts w:hint="eastAsia"/>
          <w:color w:val="000000" w:themeColor="text1"/>
          <w:sz w:val="16"/>
          <w:szCs w:val="16"/>
        </w:rPr>
        <w:t>363-366.</w:t>
      </w:r>
    </w:p>
    <w:p w14:paraId="39EC7C88" w14:textId="77777777" w:rsidR="00386EDE" w:rsidRDefault="00000000">
      <w:pPr>
        <w:numPr>
          <w:ilvl w:val="0"/>
          <w:numId w:val="10"/>
        </w:numPr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Gu Chenglin, Chen Qiaofu, Xiong Yonqian. Electric machinery [M]. Wuhan: Huazhong University of Science and Technology Press,2001.</w:t>
      </w:r>
    </w:p>
    <w:p w14:paraId="40724FA3" w14:textId="77777777" w:rsidR="00386EDE" w:rsidRDefault="00000000">
      <w:pPr>
        <w:numPr>
          <w:ilvl w:val="0"/>
          <w:numId w:val="10"/>
        </w:numPr>
        <w:rPr>
          <w:color w:val="000000" w:themeColor="text1"/>
          <w:sz w:val="16"/>
          <w:szCs w:val="16"/>
        </w:rPr>
      </w:pPr>
      <w:r>
        <w:rPr>
          <w:rFonts w:hint="eastAsia"/>
          <w:color w:val="000000" w:themeColor="text1"/>
          <w:sz w:val="16"/>
          <w:szCs w:val="16"/>
        </w:rPr>
        <w:t>Dufour, C, Dumur, G,Paquin, J N,et al. A PC-based Hard ware in the loop Simulator for the Integration Testing of Modern Train and Ship Propuision Systems [J]. Power electronics specialists conference,2008.444- 449.</w:t>
      </w:r>
    </w:p>
    <w:p w14:paraId="7C65FF12" w14:textId="77777777" w:rsidR="00386EDE" w:rsidRDefault="00000000">
      <w:pPr>
        <w:numPr>
          <w:ilvl w:val="0"/>
          <w:numId w:val="10"/>
        </w:numPr>
        <w:rPr>
          <w:sz w:val="19"/>
          <w:szCs w:val="19"/>
        </w:rPr>
      </w:pPr>
      <w:r>
        <w:rPr>
          <w:rFonts w:hint="eastAsia"/>
          <w:color w:val="000000" w:themeColor="text1"/>
          <w:sz w:val="16"/>
          <w:szCs w:val="16"/>
        </w:rPr>
        <w:t>Shen Songhua. Power Supplies for Aircrafts[M].Beijing:Beijing University of Aeronautics and Astronautics Press,2005.</w:t>
      </w:r>
    </w:p>
    <w:p w14:paraId="6FF75417" w14:textId="77777777" w:rsidR="00386EDE" w:rsidRDefault="00386EDE">
      <w:pPr>
        <w:spacing w:line="300" w:lineRule="atLeast"/>
        <w:ind w:firstLineChars="200" w:firstLine="380"/>
        <w:rPr>
          <w:rFonts w:hint="eastAsia"/>
          <w:sz w:val="19"/>
          <w:szCs w:val="19"/>
        </w:rPr>
        <w:sectPr w:rsidR="00386EDE">
          <w:type w:val="continuous"/>
          <w:pgSz w:w="11906" w:h="16838"/>
          <w:pgMar w:top="1559" w:right="1111" w:bottom="1559" w:left="1117" w:header="851" w:footer="992" w:gutter="0"/>
          <w:pgNumType w:fmt="numberInDash"/>
          <w:cols w:num="2" w:space="720" w:equalWidth="0">
            <w:col w:w="4626" w:space="425"/>
            <w:col w:w="4626"/>
          </w:cols>
          <w:docGrid w:linePitch="312" w:charSpace="83"/>
        </w:sectPr>
      </w:pPr>
    </w:p>
    <w:p w14:paraId="7E61EE9D" w14:textId="77777777" w:rsidR="00386EDE" w:rsidRDefault="00386EDE">
      <w:pPr>
        <w:spacing w:line="300" w:lineRule="atLeast"/>
        <w:ind w:firstLineChars="200" w:firstLine="362"/>
        <w:rPr>
          <w:sz w:val="19"/>
          <w:szCs w:val="19"/>
        </w:rPr>
      </w:pPr>
    </w:p>
    <w:p w14:paraId="0E0BEB68" w14:textId="77777777" w:rsidR="00386EDE" w:rsidRDefault="00386EDE">
      <w:pPr>
        <w:spacing w:line="300" w:lineRule="atLeast"/>
        <w:ind w:firstLineChars="200" w:firstLine="362"/>
        <w:rPr>
          <w:sz w:val="19"/>
          <w:szCs w:val="19"/>
        </w:rPr>
      </w:pPr>
    </w:p>
    <w:p w14:paraId="7A52BDAF" w14:textId="77777777" w:rsidR="00386EDE" w:rsidRDefault="00386EDE">
      <w:pPr>
        <w:spacing w:line="300" w:lineRule="atLeast"/>
        <w:ind w:firstLineChars="200" w:firstLine="362"/>
        <w:rPr>
          <w:sz w:val="19"/>
          <w:szCs w:val="19"/>
        </w:rPr>
      </w:pPr>
    </w:p>
    <w:sectPr w:rsidR="00386EDE">
      <w:headerReference w:type="default" r:id="rId14"/>
      <w:footerReference w:type="default" r:id="rId15"/>
      <w:pgSz w:w="11906" w:h="16838"/>
      <w:pgMar w:top="2041" w:right="1531" w:bottom="1984" w:left="1531" w:header="851" w:footer="1417" w:gutter="0"/>
      <w:pgNumType w:fmt="numberInDash"/>
      <w:cols w:space="720"/>
      <w:docGrid w:type="linesAndChars" w:linePitch="579" w:charSpace="-18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570CC" w14:textId="77777777" w:rsidR="00E65641" w:rsidRDefault="00E65641">
      <w:r>
        <w:separator/>
      </w:r>
    </w:p>
  </w:endnote>
  <w:endnote w:type="continuationSeparator" w:id="0">
    <w:p w14:paraId="642456A2" w14:textId="77777777" w:rsidR="00E65641" w:rsidRDefault="00E6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720FB" w14:textId="77777777" w:rsidR="00386EDE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D85DF3" wp14:editId="44992565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846E238" w14:textId="77777777" w:rsidR="00386EDE" w:rsidRDefault="00000000">
                          <w:pPr>
                            <w:pStyle w:val="a5"/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- 199 -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D85DF3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" filled="f" stroked="f" strokeweight=".5pt">
              <v:textbox style="mso-fit-shape-to-text:t" inset="0,0,0,0">
                <w:txbxContent>
                  <w:p w14:paraId="3846E238" w14:textId="77777777" w:rsidR="00386EDE" w:rsidRDefault="00000000">
                    <w:pPr>
                      <w:pStyle w:val="a5"/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- 199 -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3C5FAB" wp14:editId="212F040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610AA9" w14:textId="77777777" w:rsidR="00386EDE" w:rsidRDefault="00386EDE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3C5FAB" id="文本框 4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" filled="f" stroked="f" strokeweight=".5pt">
              <v:textbox style="mso-fit-shape-to-text:t" inset="0,0,0,0">
                <w:txbxContent>
                  <w:p w14:paraId="3C610AA9" w14:textId="77777777" w:rsidR="00386EDE" w:rsidRDefault="00386EDE"/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5431A" w14:textId="77777777" w:rsidR="00386EDE" w:rsidRDefault="00000000">
    <w:pPr>
      <w:pStyle w:val="a5"/>
      <w:framePr w:wrap="around" w:vAnchor="text" w:hAnchor="margin" w:xAlign="outside" w:yAlign="top"/>
      <w:rPr>
        <w:rStyle w:val="10"/>
      </w:rPr>
    </w:pPr>
    <w:r>
      <w:rPr>
        <w:rStyle w:val="10"/>
        <w:rFonts w:ascii="宋体" w:hAnsi="宋体" w:hint="eastAsia"/>
        <w:sz w:val="28"/>
      </w:rPr>
      <w:t xml:space="preserve">  </w:t>
    </w:r>
    <w:r>
      <w:rPr>
        <w:rFonts w:ascii="宋体" w:hAnsi="宋体" w:hint="eastAsia"/>
        <w:sz w:val="28"/>
      </w:rPr>
      <w:fldChar w:fldCharType="begin"/>
    </w:r>
    <w:r>
      <w:rPr>
        <w:rStyle w:val="10"/>
        <w:rFonts w:ascii="宋体" w:hAnsi="宋体" w:hint="eastAsia"/>
        <w:sz w:val="28"/>
      </w:rPr>
      <w:instrText xml:space="preserve"> PAGE  </w:instrText>
    </w:r>
    <w:r>
      <w:rPr>
        <w:rFonts w:ascii="宋体" w:hAnsi="宋体" w:hint="eastAsia"/>
        <w:sz w:val="28"/>
      </w:rPr>
      <w:fldChar w:fldCharType="separate"/>
    </w:r>
    <w:r>
      <w:rPr>
        <w:rStyle w:val="10"/>
        <w:rFonts w:ascii="宋体" w:hAnsi="宋体" w:hint="eastAsia"/>
        <w:sz w:val="28"/>
      </w:rPr>
      <w:t>- 1 -</w:t>
    </w:r>
    <w:r>
      <w:rPr>
        <w:rFonts w:ascii="宋体" w:hAnsi="宋体" w:hint="eastAsia"/>
        <w:sz w:val="28"/>
      </w:rPr>
      <w:fldChar w:fldCharType="end"/>
    </w:r>
    <w:r>
      <w:rPr>
        <w:rStyle w:val="10"/>
        <w:rFonts w:ascii="宋体" w:hAnsi="宋体" w:hint="eastAsia"/>
        <w:sz w:val="28"/>
      </w:rPr>
      <w:t xml:space="preserve"> </w:t>
    </w:r>
    <w:r>
      <w:rPr>
        <w:rStyle w:val="10"/>
        <w:rFonts w:ascii="宋体" w:hAnsi="宋体" w:hint="eastAsia"/>
        <w:color w:val="FFFFFF"/>
        <w:sz w:val="28"/>
      </w:rPr>
      <w:t>.</w:t>
    </w:r>
  </w:p>
  <w:p w14:paraId="407C2E43" w14:textId="77777777" w:rsidR="00386EDE" w:rsidRDefault="00386EDE">
    <w:pPr>
      <w:pStyle w:val="a5"/>
      <w:spacing w:afterLines="50" w:after="120"/>
      <w:ind w:rightChars="157" w:right="330" w:firstLine="360"/>
      <w:rPr>
        <w:rStyle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A7543" w14:textId="77777777" w:rsidR="00E65641" w:rsidRDefault="00E65641">
      <w:r>
        <w:separator/>
      </w:r>
    </w:p>
  </w:footnote>
  <w:footnote w:type="continuationSeparator" w:id="0">
    <w:p w14:paraId="010B1ECC" w14:textId="77777777" w:rsidR="00E65641" w:rsidRDefault="00E65641">
      <w:r>
        <w:continuationSeparator/>
      </w:r>
    </w:p>
  </w:footnote>
  <w:footnote w:id="1">
    <w:p w14:paraId="23B96EE2" w14:textId="77777777" w:rsidR="00386EDE" w:rsidRDefault="00000000">
      <w:pPr>
        <w:pStyle w:val="a4"/>
        <w:adjustRightInd w:val="0"/>
        <w:spacing w:line="200" w:lineRule="exact"/>
        <w:jc w:val="left"/>
        <w:rPr>
          <w:sz w:val="15"/>
          <w:szCs w:val="15"/>
        </w:rPr>
      </w:pPr>
      <w:r>
        <w:rPr>
          <w:rFonts w:ascii="黑体" w:eastAsia="黑体"/>
          <w:sz w:val="15"/>
          <w:szCs w:val="15"/>
        </w:rPr>
        <w:t>作者简介：</w:t>
      </w:r>
      <w:r>
        <w:rPr>
          <w:rFonts w:ascii="Times New Roman" w:hAnsi="Times New Roman" w:hint="eastAsia"/>
          <w:b/>
          <w:sz w:val="15"/>
          <w:szCs w:val="15"/>
        </w:rPr>
        <w:t>作者一</w:t>
      </w:r>
      <w:r>
        <w:rPr>
          <w:rFonts w:ascii="Times New Roman" w:hAnsi="Times New Roman"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出生年月-</w:t>
      </w:r>
      <w:r>
        <w:rPr>
          <w:rFonts w:ascii="Times New Roman" w:hAnsi="Times New Roman" w:hint="eastAsia"/>
          <w:sz w:val="15"/>
          <w:szCs w:val="15"/>
        </w:rPr>
        <w:t>)</w:t>
      </w:r>
      <w:r>
        <w:rPr>
          <w:rFonts w:ascii="Times New Roman" w:hAnsi="Times New Roman" w:hint="eastAsia"/>
          <w:sz w:val="15"/>
          <w:szCs w:val="15"/>
        </w:rPr>
        <w:t>，性别，籍贯，职称，学历，研究方向；</w:t>
      </w:r>
      <w:r>
        <w:rPr>
          <w:rFonts w:ascii="Times New Roman" w:hAnsi="Times New Roman" w:hint="eastAsia"/>
          <w:b/>
          <w:sz w:val="15"/>
          <w:szCs w:val="15"/>
        </w:rPr>
        <w:t>作者二</w:t>
      </w:r>
      <w:r>
        <w:rPr>
          <w:rFonts w:ascii="Times New Roman" w:hAnsi="Times New Roman"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出生年月-</w:t>
      </w:r>
      <w:r>
        <w:rPr>
          <w:rFonts w:ascii="Times New Roman" w:hAnsi="Times New Roman" w:hint="eastAsia"/>
          <w:sz w:val="15"/>
          <w:szCs w:val="15"/>
        </w:rPr>
        <w:t>)</w:t>
      </w:r>
      <w:r>
        <w:rPr>
          <w:rFonts w:ascii="Times New Roman" w:hAnsi="Times New Roman" w:hint="eastAsia"/>
          <w:sz w:val="15"/>
          <w:szCs w:val="15"/>
        </w:rPr>
        <w:t>，性别，籍贯，职称，学历，研究方向；</w:t>
      </w:r>
      <w:r>
        <w:rPr>
          <w:rFonts w:ascii="Times New Roman" w:hAnsi="Times New Roman" w:hint="eastAsia"/>
          <w:b/>
          <w:sz w:val="15"/>
          <w:szCs w:val="15"/>
        </w:rPr>
        <w:t>作者三</w:t>
      </w:r>
      <w:r>
        <w:rPr>
          <w:rFonts w:ascii="Times New Roman" w:hAnsi="Times New Roman" w:hint="eastAsia"/>
          <w:sz w:val="15"/>
          <w:szCs w:val="15"/>
        </w:rPr>
        <w:t>(</w:t>
      </w:r>
      <w:r>
        <w:rPr>
          <w:rFonts w:hint="eastAsia"/>
          <w:sz w:val="15"/>
          <w:szCs w:val="15"/>
        </w:rPr>
        <w:t>出生年月-</w:t>
      </w:r>
      <w:r>
        <w:rPr>
          <w:rFonts w:ascii="Times New Roman" w:hAnsi="Times New Roman" w:hint="eastAsia"/>
          <w:sz w:val="15"/>
          <w:szCs w:val="15"/>
        </w:rPr>
        <w:t>)</w:t>
      </w:r>
      <w:r>
        <w:rPr>
          <w:rFonts w:ascii="Times New Roman" w:hAnsi="Times New Roman" w:hint="eastAsia"/>
          <w:sz w:val="15"/>
          <w:szCs w:val="15"/>
        </w:rPr>
        <w:t>，性别，籍贯，职称，学历，研究方向</w:t>
      </w:r>
      <w:r>
        <w:rPr>
          <w:sz w:val="15"/>
          <w:szCs w:val="15"/>
        </w:rPr>
        <w:t>。</w:t>
      </w:r>
    </w:p>
    <w:p w14:paraId="1BDFA9BF" w14:textId="77777777" w:rsidR="00386EDE" w:rsidRDefault="00000000">
      <w:pPr>
        <w:pStyle w:val="a4"/>
        <w:adjustRightInd w:val="0"/>
        <w:spacing w:line="200" w:lineRule="exact"/>
        <w:jc w:val="left"/>
        <w:rPr>
          <w:rFonts w:hAnsi="宋体" w:hint="eastAsia"/>
          <w:sz w:val="15"/>
          <w:szCs w:val="15"/>
        </w:rPr>
      </w:pPr>
      <w:r>
        <w:rPr>
          <w:rFonts w:ascii="黑体" w:eastAsia="黑体" w:hint="eastAsia"/>
          <w:sz w:val="15"/>
          <w:szCs w:val="15"/>
        </w:rPr>
        <w:t>通讯作者</w:t>
      </w:r>
      <w:r>
        <w:rPr>
          <w:rFonts w:ascii="黑体" w:eastAsia="黑体"/>
          <w:sz w:val="15"/>
          <w:szCs w:val="15"/>
        </w:rPr>
        <w:t>：</w:t>
      </w:r>
      <w:r>
        <w:rPr>
          <w:rFonts w:ascii="Times New Roman" w:hAnsi="Times New Roman" w:hint="eastAsia"/>
          <w:b/>
          <w:sz w:val="15"/>
          <w:szCs w:val="15"/>
        </w:rPr>
        <w:t>姓名</w:t>
      </w:r>
      <w:r>
        <w:rPr>
          <w:rFonts w:ascii="Times New Roman" w:hAnsi="Times New Roman" w:hint="eastAsia"/>
          <w:sz w:val="15"/>
          <w:szCs w:val="15"/>
        </w:rPr>
        <w:t>，</w:t>
      </w:r>
      <w:r>
        <w:rPr>
          <w:rFonts w:ascii="Times New Roman" w:hAnsi="Times New Roman" w:hint="eastAsia"/>
          <w:sz w:val="15"/>
          <w:szCs w:val="15"/>
        </w:rPr>
        <w:t>Email</w:t>
      </w:r>
      <w:r>
        <w:rPr>
          <w:rFonts w:ascii="Times New Roman" w:hAnsi="Times New Roman" w:hint="eastAsia"/>
          <w:sz w:val="15"/>
          <w:szCs w:val="15"/>
        </w:rPr>
        <w:t>：</w:t>
      </w:r>
      <w:r>
        <w:rPr>
          <w:rFonts w:ascii="Times New Roman" w:hAnsi="Times New Roman"/>
          <w:sz w:val="15"/>
          <w:szCs w:val="15"/>
        </w:rPr>
        <w:t>example</w:t>
      </w:r>
      <w:r>
        <w:rPr>
          <w:rFonts w:ascii="Times New Roman" w:hAnsi="Times New Roman" w:hint="eastAsia"/>
          <w:sz w:val="15"/>
          <w:szCs w:val="15"/>
        </w:rPr>
        <w:t>@123.net</w:t>
      </w:r>
      <w:r>
        <w:rPr>
          <w:rFonts w:ascii="Times New Roman" w:hAnsi="Times New Roman" w:hint="eastAsia"/>
          <w:sz w:val="15"/>
          <w:szCs w:val="15"/>
        </w:rPr>
        <w:t>；</w:t>
      </w:r>
      <w:r>
        <w:rPr>
          <w:rFonts w:ascii="Times New Roman" w:hAnsi="Times New Roman" w:hint="eastAsia"/>
          <w:sz w:val="15"/>
          <w:szCs w:val="15"/>
        </w:rPr>
        <w:t>Tel</w:t>
      </w:r>
      <w:r>
        <w:rPr>
          <w:rFonts w:ascii="Times New Roman" w:hAnsi="Times New Roman" w:hint="eastAsia"/>
          <w:sz w:val="15"/>
          <w:szCs w:val="15"/>
        </w:rPr>
        <w:t>：区号</w:t>
      </w:r>
      <w:r>
        <w:rPr>
          <w:rFonts w:ascii="Times New Roman" w:hAnsi="Times New Roman" w:hint="eastAsia"/>
          <w:sz w:val="15"/>
          <w:szCs w:val="15"/>
        </w:rPr>
        <w:t>-XXXXXXXX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7F8E0" w14:textId="77777777" w:rsidR="00386EDE" w:rsidRDefault="00386EDE">
    <w:pPr>
      <w:pStyle w:val="a6"/>
      <w:rPr>
        <w:rFonts w:ascii="黑体" w:eastAsia="黑体" w:hAnsi="黑体" w:cs="黑体" w:hint="eastAsia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01644A0"/>
    <w:multiLevelType w:val="singleLevel"/>
    <w:tmpl w:val="801644A0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961D71D6"/>
    <w:multiLevelType w:val="singleLevel"/>
    <w:tmpl w:val="961D71D6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 w15:restartNumberingAfterBreak="0">
    <w:nsid w:val="A531359B"/>
    <w:multiLevelType w:val="singleLevel"/>
    <w:tmpl w:val="A531359B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ascii="仿宋_GB2312" w:eastAsia="仿宋_GB2312" w:hAnsi="仿宋_GB2312" w:cs="仿宋_GB2312" w:hint="default"/>
        <w:sz w:val="32"/>
        <w:szCs w:val="32"/>
      </w:rPr>
    </w:lvl>
  </w:abstractNum>
  <w:abstractNum w:abstractNumId="3" w15:restartNumberingAfterBreak="0">
    <w:nsid w:val="BA609935"/>
    <w:multiLevelType w:val="singleLevel"/>
    <w:tmpl w:val="BA609935"/>
    <w:lvl w:ilvl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4" w15:restartNumberingAfterBreak="0">
    <w:nsid w:val="E0CECEA5"/>
    <w:multiLevelType w:val="singleLevel"/>
    <w:tmpl w:val="E0CECEA5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5" w15:restartNumberingAfterBreak="0">
    <w:nsid w:val="11B801AB"/>
    <w:multiLevelType w:val="multilevel"/>
    <w:tmpl w:val="11B801AB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6" w15:restartNumberingAfterBreak="0">
    <w:nsid w:val="1536671E"/>
    <w:multiLevelType w:val="multilevel"/>
    <w:tmpl w:val="1536671E"/>
    <w:lvl w:ilvl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8F15E45"/>
    <w:multiLevelType w:val="singleLevel"/>
    <w:tmpl w:val="18F15E45"/>
    <w:lvl w:ilvl="0">
      <w:start w:val="1"/>
      <w:numFmt w:val="decimal"/>
      <w:suff w:val="space"/>
      <w:lvlText w:val="%1."/>
      <w:lvlJc w:val="left"/>
      <w:pPr>
        <w:ind w:left="0" w:firstLine="480"/>
      </w:pPr>
      <w:rPr>
        <w:rFonts w:hint="default"/>
      </w:rPr>
    </w:lvl>
  </w:abstractNum>
  <w:abstractNum w:abstractNumId="8" w15:restartNumberingAfterBreak="0">
    <w:nsid w:val="2805762E"/>
    <w:multiLevelType w:val="multilevel"/>
    <w:tmpl w:val="2805762E"/>
    <w:lvl w:ilvl="0">
      <w:start w:val="1"/>
      <w:numFmt w:val="bullet"/>
      <w:lvlText w:val=""/>
      <w:lvlJc w:val="left"/>
      <w:pPr>
        <w:ind w:left="8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2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9" w15:restartNumberingAfterBreak="0">
    <w:nsid w:val="7A93CA21"/>
    <w:multiLevelType w:val="singleLevel"/>
    <w:tmpl w:val="7A93CA21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 w16cid:durableId="283653864">
    <w:abstractNumId w:val="3"/>
  </w:num>
  <w:num w:numId="2" w16cid:durableId="313995161">
    <w:abstractNumId w:val="7"/>
  </w:num>
  <w:num w:numId="3" w16cid:durableId="802885817">
    <w:abstractNumId w:val="0"/>
  </w:num>
  <w:num w:numId="4" w16cid:durableId="2102023523">
    <w:abstractNumId w:val="9"/>
  </w:num>
  <w:num w:numId="5" w16cid:durableId="1022896506">
    <w:abstractNumId w:val="1"/>
  </w:num>
  <w:num w:numId="6" w16cid:durableId="1298413419">
    <w:abstractNumId w:val="4"/>
  </w:num>
  <w:num w:numId="7" w16cid:durableId="1728844833">
    <w:abstractNumId w:val="2"/>
  </w:num>
  <w:num w:numId="8" w16cid:durableId="1477140438">
    <w:abstractNumId w:val="8"/>
  </w:num>
  <w:num w:numId="9" w16cid:durableId="37124265">
    <w:abstractNumId w:val="5"/>
  </w:num>
  <w:num w:numId="10" w16cid:durableId="3110583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1"/>
  <w:drawingGridVerticalSpacing w:val="290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4964B0"/>
    <w:rsid w:val="00386EDE"/>
    <w:rsid w:val="006A57B9"/>
    <w:rsid w:val="00D95FB8"/>
    <w:rsid w:val="00E65641"/>
    <w:rsid w:val="01796D86"/>
    <w:rsid w:val="0B174585"/>
    <w:rsid w:val="18133ACD"/>
    <w:rsid w:val="21A179C5"/>
    <w:rsid w:val="3CAD0CD0"/>
    <w:rsid w:val="49EF3992"/>
    <w:rsid w:val="57AD2F16"/>
    <w:rsid w:val="5B4964B0"/>
    <w:rsid w:val="5F7836B0"/>
    <w:rsid w:val="6018760B"/>
    <w:rsid w:val="64805649"/>
    <w:rsid w:val="7BD8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D3EF6"/>
  <w15:docId w15:val="{4415964F-1603-4A08-B6DC-909FD2CBF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qFormat="1"/>
    <w:lsdException w:name="Body Tex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</w:rPr>
  </w:style>
  <w:style w:type="paragraph" w:styleId="1">
    <w:name w:val="heading 1"/>
    <w:next w:val="a"/>
    <w:qFormat/>
    <w:pPr>
      <w:widowControl w:val="0"/>
      <w:adjustRightInd w:val="0"/>
      <w:spacing w:before="320" w:line="300" w:lineRule="auto"/>
      <w:jc w:val="both"/>
      <w:outlineLvl w:val="0"/>
    </w:pPr>
    <w:rPr>
      <w:rFonts w:eastAsia="黑体" w:cs="Times New Roman"/>
      <w:color w:val="000000"/>
      <w:kern w:val="44"/>
      <w:sz w:val="32"/>
      <w:szCs w:val="44"/>
    </w:rPr>
  </w:style>
  <w:style w:type="paragraph" w:styleId="2">
    <w:name w:val="heading 2"/>
    <w:next w:val="a"/>
    <w:qFormat/>
    <w:pPr>
      <w:widowControl w:val="0"/>
      <w:adjustRightInd w:val="0"/>
      <w:spacing w:before="280" w:line="300" w:lineRule="auto"/>
      <w:jc w:val="both"/>
      <w:outlineLvl w:val="1"/>
    </w:pPr>
    <w:rPr>
      <w:rFonts w:eastAsia="黑体" w:cs="Times New Roman"/>
      <w:kern w:val="2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adjustRightInd w:val="0"/>
      <w:spacing w:before="100" w:after="100" w:line="300" w:lineRule="auto"/>
      <w:ind w:firstLineChars="200" w:firstLine="1044"/>
      <w:jc w:val="both"/>
    </w:pPr>
    <w:rPr>
      <w:rFonts w:cs="Times New Roman"/>
      <w:kern w:val="2"/>
      <w:sz w:val="24"/>
      <w:szCs w:val="24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character" w:customStyle="1" w:styleId="10">
    <w:name w:val="页码1"/>
    <w:basedOn w:val="a0"/>
    <w:qFormat/>
  </w:style>
  <w:style w:type="paragraph" w:customStyle="1" w:styleId="a8">
    <w:name w:val="一级标题"/>
    <w:basedOn w:val="a"/>
    <w:qFormat/>
    <w:pPr>
      <w:widowControl/>
      <w:spacing w:before="120" w:after="120" w:line="320" w:lineRule="exact"/>
      <w:outlineLvl w:val="0"/>
    </w:pPr>
    <w:rPr>
      <w:rFonts w:eastAsia="黑体" w:cs="宋体"/>
      <w:b/>
      <w:bCs/>
      <w:kern w:val="0"/>
      <w:sz w:val="24"/>
      <w:lang w:eastAsia="en-US"/>
    </w:rPr>
  </w:style>
  <w:style w:type="paragraph" w:customStyle="1" w:styleId="a9">
    <w:name w:val="二级标题"/>
    <w:basedOn w:val="a"/>
    <w:qFormat/>
    <w:pPr>
      <w:widowControl/>
      <w:spacing w:before="120" w:after="120" w:line="320" w:lineRule="exact"/>
      <w:outlineLvl w:val="1"/>
    </w:pPr>
    <w:rPr>
      <w:rFonts w:eastAsia="黑体" w:cs="宋体"/>
      <w:b/>
      <w:bCs/>
      <w:kern w:val="0"/>
      <w:sz w:val="22"/>
      <w:lang w:eastAsia="en-US"/>
    </w:rPr>
  </w:style>
  <w:style w:type="paragraph" w:customStyle="1" w:styleId="aa">
    <w:name w:val="三级标题"/>
    <w:basedOn w:val="a"/>
    <w:qFormat/>
    <w:pPr>
      <w:widowControl/>
      <w:spacing w:line="320" w:lineRule="exact"/>
      <w:outlineLvl w:val="2"/>
    </w:pPr>
    <w:rPr>
      <w:rFonts w:eastAsia="黑体"/>
      <w:b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844;&#25991;&#22788;&#29702;&#21150;&#27861;&#27169;&#26495;\&#38468;&#20214;3&#20043;6&#65288;&#65288;&#21150;&#20844;&#21381;%20&#36890;&#30693;%20&#65289;&#65289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附件3之6（（办公厅 通知 ））</Template>
  <TotalTime>5</TotalTime>
  <Pages>9</Pages>
  <Words>1120</Words>
  <Characters>6385</Characters>
  <Application>Microsoft Office Word</Application>
  <DocSecurity>0</DocSecurity>
  <Lines>53</Lines>
  <Paragraphs>14</Paragraphs>
  <ScaleCrop>false</ScaleCrop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M2</dc:title>
  <dc:creator>kinward</dc:creator>
  <cp:lastModifiedBy>申志铎</cp:lastModifiedBy>
  <cp:revision>2</cp:revision>
  <dcterms:created xsi:type="dcterms:W3CDTF">2025-07-27T14:47:00Z</dcterms:created>
  <dcterms:modified xsi:type="dcterms:W3CDTF">2025-07-27T14:47:00Z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57F7E21E16424C408015C4D0DBFB30FF_13</vt:lpwstr>
  </property>
  <property fmtid="{D5CDD505-2E9C-101B-9397-08002B2CF9AE}" pid="4" name="KSOTemplateDocerSaveRecord">
    <vt:lpwstr>eyJoZGlkIjoiNmZlNTdhNWM3ZjU0ZTMxYjZjYzM3MjFkMDkzNzNhZWMiLCJ1c2VySWQiOiI0NjMzNjUwNzIifQ==</vt:lpwstr>
  </property>
  <property fmtid="{D5CDD505-2E9C-101B-9397-08002B2CF9AE}" pid="5" name="oiioBoundaries">
    <vt:bool>true</vt:bool>
  </property>
</Properties>
</file>