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Ex>
              <w:trPr>
                <w:trHeight w:val="1021" w:hRule="exact"/>
              </w:trPr>
              <w:tc>
                <w:tcPr>
                  <w:tcW w:w="9242" w:type="dxa"/>
                  <w:vAlign w:val="center"/>
                </w:tcPr>
                <w:p>
                  <w:pPr>
                    <w:pStyle w:val="51"/>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2"/>
        <w:framePr w:w="9639" w:h="624" w:hRule="exact" w:hSpace="181" w:vSpace="181"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7"/>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8"/>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532044439"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3+I8zYAAAADAEAAA8AAAAAAAAAAQAgAAAAIgAA&#10;AGRycy9kb3ducmV2LnhtbFBLAQIUABQAAAAIAIdO4kDez4TdzwEAAGQDAAAOAAAAAAAAAAEAIAAA&#10;ACcBAABkcnMvZTJvRG9jLnhtbFBLBQYAAAAABgAGAFkBAABoBQ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hint="eastAsia" w:ascii="黑体" w:hAnsi="黑体" w:eastAsia="黑体"/>
          <w:b w:val="0"/>
          <w:bCs w:val="0"/>
          <w:w w:val="100"/>
        </w:rPr>
      </w:pPr>
    </w:p>
    <w:p>
      <w:pPr>
        <w:pStyle w:val="199"/>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生态核电评价规范 总则</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General principles of assessment standard for ecological nuclear power</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5"/>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3"/>
        <w:framePr w:h="584" w:hRule="exact" w:hSpace="181" w:vSpace="181"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中国能源研究会</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hint="eastAsia" w:ascii="宋体" w:hAnsi="宋体"/>
          <w:sz w:val="28"/>
          <w:szCs w:val="28"/>
        </w:rPr>
        <w:sectPr>
          <w:headerReference r:id="rId4" w:type="first"/>
          <w:footerReference r:id="rId6" w:type="first"/>
          <w:headerReference r:id="rId3" w:type="default"/>
          <w:footerReference r:id="rId5" w:type="even"/>
          <w:type w:val="continuous"/>
          <w:pgSz w:w="11906" w:h="16838"/>
          <w:pgMar w:top="567" w:right="1134" w:bottom="1134" w:left="1134" w:header="1418" w:footer="1134" w:gutter="284"/>
          <w:cols w:space="425" w:num="1"/>
          <w:titlePg/>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0" b="0"/>
                <wp:wrapNone/>
                <wp:docPr id="25079595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nRi9cAAAAOAQAADwAAAAAAAAABACAAAAAiAAAA&#10;ZHJzL2Rvd25yZXYueG1sUEsBAhQAFAAAAAgAh07iQCu7GrHPAQAAZAMAAA4AAAAAAAAAAQAgAAAA&#10;JgEAAGRycy9lMm9Eb2MueG1sUEsFBgAAAAAGAAYAWQEAAGcFAAAAAA==&#10;">
                <v:fill on="f" focussize="0,0"/>
                <v:stroke color="#000000" joinstyle="round"/>
                <v:imagedata o:title=""/>
                <o:lock v:ext="edit" aspectratio="f"/>
                <w10:anchorlock/>
              </v:line>
            </w:pict>
          </mc:Fallback>
        </mc:AlternateContent>
      </w:r>
    </w:p>
    <w:p>
      <w:pPr>
        <w:pStyle w:val="93"/>
        <w:spacing w:after="360"/>
      </w:pPr>
      <w:bookmarkStart w:id="21" w:name="BookMark1"/>
      <w:r>
        <w:rPr>
          <w:spacing w:val="320"/>
        </w:rPr>
        <w:t>目</w:t>
      </w:r>
      <w:r>
        <w:t>次</w:t>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"_Toc205919907" </w:instrText>
      </w:r>
      <w:r>
        <w:fldChar w:fldCharType="separate"/>
      </w:r>
      <w:r>
        <w:rPr>
          <w:rStyle w:val="34"/>
          <w:rFonts w:hint="eastAsia"/>
          <w:spacing w:val="320"/>
        </w:rPr>
        <w:t>前</w:t>
      </w:r>
      <w:r>
        <w:rPr>
          <w:rStyle w:val="34"/>
          <w:rFonts w:hint="eastAsia"/>
        </w:rPr>
        <w:t>言</w:t>
      </w:r>
      <w:r>
        <w:rPr>
          <w:rFonts w:hint="eastAsia"/>
        </w:rPr>
        <w:tab/>
      </w:r>
      <w:r>
        <w:rPr>
          <w:rFonts w:hint="eastAsia"/>
        </w:rPr>
        <w:fldChar w:fldCharType="begin"/>
      </w:r>
      <w:r>
        <w:rPr>
          <w:rFonts w:hint="eastAsia"/>
        </w:rPr>
        <w:instrText xml:space="preserve"> </w:instrText>
      </w:r>
      <w:r>
        <w:instrText xml:space="preserve">PAGEREF _Toc205919907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"_Toc205919908" </w:instrText>
      </w:r>
      <w:r>
        <w:fldChar w:fldCharType="separate"/>
      </w:r>
      <w:r>
        <w:rPr>
          <w:rStyle w:val="34"/>
          <w:rFonts w:hint="eastAsia"/>
        </w:rPr>
        <w:t>1 范围</w:t>
      </w:r>
      <w:r>
        <w:rPr>
          <w:rFonts w:hint="eastAsia"/>
        </w:rPr>
        <w:tab/>
      </w:r>
      <w:r>
        <w:rPr>
          <w:rFonts w:hint="eastAsia"/>
        </w:rPr>
        <w:fldChar w:fldCharType="begin"/>
      </w:r>
      <w:r>
        <w:rPr>
          <w:rFonts w:hint="eastAsia"/>
        </w:rPr>
        <w:instrText xml:space="preserve"> </w:instrText>
      </w:r>
      <w:r>
        <w:instrText xml:space="preserve">PAGEREF _Toc205919908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"_Toc205919909" </w:instrText>
      </w:r>
      <w:r>
        <w:fldChar w:fldCharType="separate"/>
      </w:r>
      <w:r>
        <w:rPr>
          <w:rStyle w:val="34"/>
          <w:rFonts w:hint="eastAsia"/>
        </w:rPr>
        <w:t>2 术语和定义</w:t>
      </w:r>
      <w:r>
        <w:rPr>
          <w:rFonts w:hint="eastAsia"/>
        </w:rPr>
        <w:tab/>
      </w:r>
      <w:r>
        <w:rPr>
          <w:rFonts w:hint="eastAsia"/>
        </w:rPr>
        <w:fldChar w:fldCharType="begin"/>
      </w:r>
      <w:r>
        <w:rPr>
          <w:rFonts w:hint="eastAsia"/>
        </w:rPr>
        <w:instrText xml:space="preserve"> </w:instrText>
      </w:r>
      <w:r>
        <w:instrText xml:space="preserve">PAGEREF _Toc205919909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"_Toc205919910" </w:instrText>
      </w:r>
      <w:r>
        <w:fldChar w:fldCharType="separate"/>
      </w:r>
      <w:r>
        <w:rPr>
          <w:rStyle w:val="34"/>
          <w:rFonts w:hint="eastAsia"/>
        </w:rPr>
        <w:t>3 基本原则</w:t>
      </w:r>
      <w:r>
        <w:rPr>
          <w:rFonts w:hint="eastAsia"/>
        </w:rPr>
        <w:tab/>
      </w:r>
      <w:r>
        <w:rPr>
          <w:rFonts w:hint="eastAsia"/>
        </w:rPr>
        <w:fldChar w:fldCharType="begin"/>
      </w:r>
      <w:r>
        <w:rPr>
          <w:rFonts w:hint="eastAsia"/>
        </w:rPr>
        <w:instrText xml:space="preserve"> </w:instrText>
      </w:r>
      <w:r>
        <w:instrText xml:space="preserve">PAGEREF _Toc205919910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"_Toc205919911" </w:instrText>
      </w:r>
      <w:r>
        <w:fldChar w:fldCharType="separate"/>
      </w:r>
      <w:r>
        <w:rPr>
          <w:rStyle w:val="34"/>
          <w:rFonts w:hint="eastAsia"/>
        </w:rPr>
        <w:t>3.1 科学性</w:t>
      </w:r>
      <w:r>
        <w:rPr>
          <w:rFonts w:hint="eastAsia"/>
        </w:rPr>
        <w:tab/>
      </w:r>
      <w:r>
        <w:rPr>
          <w:rFonts w:hint="eastAsia"/>
        </w:rPr>
        <w:fldChar w:fldCharType="begin"/>
      </w:r>
      <w:r>
        <w:rPr>
          <w:rFonts w:hint="eastAsia"/>
        </w:rPr>
        <w:instrText xml:space="preserve"> </w:instrText>
      </w:r>
      <w:r>
        <w:instrText xml:space="preserve">PAGEREF _Toc205919911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"_Toc205919912" </w:instrText>
      </w:r>
      <w:r>
        <w:fldChar w:fldCharType="separate"/>
      </w:r>
      <w:r>
        <w:rPr>
          <w:rStyle w:val="34"/>
          <w:rFonts w:hint="eastAsia"/>
        </w:rPr>
        <w:t>3.2 全面性</w:t>
      </w:r>
      <w:r>
        <w:rPr>
          <w:rFonts w:hint="eastAsia"/>
        </w:rPr>
        <w:tab/>
      </w:r>
      <w:r>
        <w:rPr>
          <w:rFonts w:hint="eastAsia"/>
        </w:rPr>
        <w:fldChar w:fldCharType="begin"/>
      </w:r>
      <w:r>
        <w:rPr>
          <w:rFonts w:hint="eastAsia"/>
        </w:rPr>
        <w:instrText xml:space="preserve"> </w:instrText>
      </w:r>
      <w:r>
        <w:instrText xml:space="preserve">PAGEREF _Toc205919912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"_Toc205919913" </w:instrText>
      </w:r>
      <w:r>
        <w:fldChar w:fldCharType="separate"/>
      </w:r>
      <w:r>
        <w:rPr>
          <w:rStyle w:val="34"/>
          <w:rFonts w:hint="eastAsia"/>
        </w:rPr>
        <w:t>3.3 透明性</w:t>
      </w:r>
      <w:r>
        <w:rPr>
          <w:rFonts w:hint="eastAsia"/>
        </w:rPr>
        <w:tab/>
      </w:r>
      <w:r>
        <w:rPr>
          <w:rFonts w:hint="eastAsia"/>
        </w:rPr>
        <w:fldChar w:fldCharType="begin"/>
      </w:r>
      <w:r>
        <w:rPr>
          <w:rFonts w:hint="eastAsia"/>
        </w:rPr>
        <w:instrText xml:space="preserve"> </w:instrText>
      </w:r>
      <w:r>
        <w:instrText xml:space="preserve">PAGEREF _Toc205919913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"_Toc205919914" </w:instrText>
      </w:r>
      <w:r>
        <w:fldChar w:fldCharType="separate"/>
      </w:r>
      <w:r>
        <w:rPr>
          <w:rStyle w:val="34"/>
          <w:rFonts w:hint="eastAsia"/>
        </w:rPr>
        <w:t>4 生态核电评价方法</w:t>
      </w:r>
      <w:r>
        <w:rPr>
          <w:rFonts w:hint="eastAsia"/>
        </w:rPr>
        <w:tab/>
      </w:r>
      <w:r>
        <w:rPr>
          <w:rFonts w:hint="eastAsia"/>
        </w:rPr>
        <w:fldChar w:fldCharType="begin"/>
      </w:r>
      <w:r>
        <w:rPr>
          <w:rFonts w:hint="eastAsia"/>
        </w:rPr>
        <w:instrText xml:space="preserve"> </w:instrText>
      </w:r>
      <w:r>
        <w:instrText xml:space="preserve">PAGEREF _Toc205919914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"_Toc205919915" </w:instrText>
      </w:r>
      <w:r>
        <w:fldChar w:fldCharType="separate"/>
      </w:r>
      <w:r>
        <w:rPr>
          <w:rStyle w:val="34"/>
          <w:rFonts w:hint="eastAsia"/>
        </w:rPr>
        <w:t>4.1 一般规定</w:t>
      </w:r>
      <w:r>
        <w:rPr>
          <w:rFonts w:hint="eastAsia"/>
        </w:rPr>
        <w:tab/>
      </w:r>
      <w:r>
        <w:rPr>
          <w:rFonts w:hint="eastAsia"/>
        </w:rPr>
        <w:fldChar w:fldCharType="begin"/>
      </w:r>
      <w:r>
        <w:rPr>
          <w:rFonts w:hint="eastAsia"/>
        </w:rPr>
        <w:instrText xml:space="preserve"> </w:instrText>
      </w:r>
      <w:r>
        <w:instrText xml:space="preserve">PAGEREF _Toc205919915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"_Toc205919916" </w:instrText>
      </w:r>
      <w:r>
        <w:fldChar w:fldCharType="separate"/>
      </w:r>
      <w:r>
        <w:rPr>
          <w:rStyle w:val="34"/>
          <w:rFonts w:hint="eastAsia"/>
        </w:rPr>
        <w:t>4.2 评价指标体系与等级划分</w:t>
      </w:r>
      <w:r>
        <w:rPr>
          <w:rFonts w:hint="eastAsia"/>
        </w:rPr>
        <w:tab/>
      </w:r>
      <w:r>
        <w:rPr>
          <w:rFonts w:hint="eastAsia"/>
        </w:rPr>
        <w:fldChar w:fldCharType="begin"/>
      </w:r>
      <w:r>
        <w:rPr>
          <w:rFonts w:hint="eastAsia"/>
        </w:rPr>
        <w:instrText xml:space="preserve"> </w:instrText>
      </w:r>
      <w:r>
        <w:instrText xml:space="preserve">PAGEREF _Toc205919916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"_Toc205919917" </w:instrText>
      </w:r>
      <w:r>
        <w:fldChar w:fldCharType="separate"/>
      </w:r>
      <w:r>
        <w:rPr>
          <w:rStyle w:val="34"/>
          <w:rFonts w:hint="eastAsia"/>
        </w:rPr>
        <w:t>4.3 评价形式</w:t>
      </w:r>
      <w:r>
        <w:rPr>
          <w:rFonts w:hint="eastAsia"/>
        </w:rPr>
        <w:tab/>
      </w:r>
      <w:r>
        <w:rPr>
          <w:rFonts w:hint="eastAsia"/>
        </w:rPr>
        <w:fldChar w:fldCharType="begin"/>
      </w:r>
      <w:r>
        <w:rPr>
          <w:rFonts w:hint="eastAsia"/>
        </w:rPr>
        <w:instrText xml:space="preserve"> </w:instrText>
      </w:r>
      <w:r>
        <w:instrText xml:space="preserve">PAGEREF _Toc205919917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"_Toc205919918" </w:instrText>
      </w:r>
      <w:r>
        <w:fldChar w:fldCharType="separate"/>
      </w:r>
      <w:r>
        <w:rPr>
          <w:rStyle w:val="34"/>
          <w:rFonts w:hint="eastAsia"/>
        </w:rPr>
        <w:t>4.4 评价程序</w:t>
      </w:r>
      <w:r>
        <w:rPr>
          <w:rFonts w:hint="eastAsia"/>
        </w:rPr>
        <w:tab/>
      </w:r>
      <w:r>
        <w:rPr>
          <w:rFonts w:hint="eastAsia"/>
        </w:rPr>
        <w:fldChar w:fldCharType="begin"/>
      </w:r>
      <w:r>
        <w:rPr>
          <w:rFonts w:hint="eastAsia"/>
        </w:rPr>
        <w:instrText xml:space="preserve"> </w:instrText>
      </w:r>
      <w:r>
        <w:instrText xml:space="preserve">PAGEREF _Toc205919918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"_Toc205919919" </w:instrText>
      </w:r>
      <w:r>
        <w:fldChar w:fldCharType="separate"/>
      </w:r>
      <w:r>
        <w:rPr>
          <w:rStyle w:val="34"/>
          <w:rFonts w:hint="eastAsia"/>
        </w:rPr>
        <w:t>参考文件</w:t>
      </w:r>
      <w:r>
        <w:rPr>
          <w:rFonts w:hint="eastAsia"/>
        </w:rPr>
        <w:tab/>
      </w:r>
      <w:r>
        <w:rPr>
          <w:rFonts w:hint="eastAsia"/>
        </w:rPr>
        <w:fldChar w:fldCharType="begin"/>
      </w:r>
      <w:r>
        <w:rPr>
          <w:rFonts w:hint="eastAsia"/>
        </w:rPr>
        <w:instrText xml:space="preserve"> </w:instrText>
      </w:r>
      <w:r>
        <w:instrText xml:space="preserve">PAGEREF _Toc205919919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93"/>
        <w:spacing w:after="360"/>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pPr>
        <w:pStyle w:val="91"/>
        <w:spacing w:before="900" w:after="360"/>
      </w:pPr>
      <w:bookmarkStart w:id="22" w:name="_Toc205919907"/>
      <w:bookmarkStart w:id="23" w:name="BookMark2"/>
      <w:r>
        <w:rPr>
          <w:spacing w:val="320"/>
        </w:rPr>
        <w:t>前</w:t>
      </w:r>
      <w:r>
        <w:t>言</w:t>
      </w:r>
      <w:bookmarkEnd w:id="22"/>
    </w:p>
    <w:p>
      <w:pPr>
        <w:pStyle w:val="58"/>
        <w:ind w:firstLine="420"/>
      </w:pPr>
      <w:r>
        <w:rPr>
          <w:rFonts w:hint="eastAsia"/>
        </w:rPr>
        <w:t>本文件按照GB/T 1.1—2020《标准化工作导则  第1部分：标准化文件的结构和起草规则》的规定起草。</w:t>
      </w:r>
    </w:p>
    <w:p>
      <w:pPr>
        <w:pStyle w:val="58"/>
        <w:ind w:firstLine="420"/>
      </w:pPr>
      <w:r>
        <w:rPr>
          <w:rFonts w:hint="eastAsia"/>
        </w:rPr>
        <w:t>请注意本文件的某些内容可能涉及专利。本文件的发布机构不承担识别专利的责任。</w:t>
      </w:r>
    </w:p>
    <w:p>
      <w:pPr>
        <w:pStyle w:val="58"/>
        <w:ind w:firstLine="420"/>
      </w:pPr>
      <w:r>
        <w:rPr>
          <w:rFonts w:hint="eastAsia"/>
        </w:rPr>
        <w:t>本文件由中国能源研究会提出。</w:t>
      </w:r>
    </w:p>
    <w:p>
      <w:pPr>
        <w:pStyle w:val="58"/>
        <w:ind w:firstLine="420"/>
      </w:pPr>
      <w:r>
        <w:rPr>
          <w:rFonts w:hint="eastAsia"/>
        </w:rPr>
        <w:t>本文件由中国能源研究会核能专业委员会归口。</w:t>
      </w:r>
    </w:p>
    <w:p>
      <w:pPr>
        <w:pStyle w:val="58"/>
        <w:ind w:firstLine="420"/>
      </w:pPr>
      <w:r>
        <w:rPr>
          <w:rFonts w:hint="eastAsia"/>
        </w:rPr>
        <w:t>本文件起草单位：中国能源研究会核能专委会、苏州热工研究院有限公司、惠州核电有限公司、阳江核电有限公司、中国科学院地理科学与资源研究所、深圳市鹏劳人力资源管理有限公司。</w:t>
      </w:r>
    </w:p>
    <w:p>
      <w:pPr>
        <w:pStyle w:val="58"/>
        <w:ind w:firstLine="420"/>
      </w:pPr>
      <w:r>
        <w:rPr>
          <w:rFonts w:hint="eastAsia"/>
        </w:rPr>
        <w:t>本文件主要起草人：</w:t>
      </w:r>
      <w:r>
        <w:rPr>
          <w:rFonts w:hint="eastAsia"/>
          <w:szCs w:val="21"/>
        </w:rPr>
        <w:t>许彪、林贤军、施楠、</w:t>
      </w:r>
      <w:r>
        <w:rPr>
          <w:szCs w:val="21"/>
        </w:rPr>
        <w:t>张晓峰</w:t>
      </w:r>
      <w:r>
        <w:rPr>
          <w:rFonts w:hint="eastAsia"/>
          <w:szCs w:val="21"/>
        </w:rPr>
        <w:t>、</w:t>
      </w:r>
      <w:r>
        <w:rPr>
          <w:szCs w:val="21"/>
        </w:rPr>
        <w:t>于家欢</w:t>
      </w:r>
      <w:r>
        <w:rPr>
          <w:rFonts w:hint="eastAsia"/>
          <w:szCs w:val="21"/>
        </w:rPr>
        <w:t>、李勇、朱小龙、余兴龙、肖奕、</w:t>
      </w:r>
      <w:r>
        <w:rPr>
          <w:szCs w:val="21"/>
        </w:rPr>
        <w:t>王绍强</w:t>
      </w:r>
      <w:r>
        <w:rPr>
          <w:rFonts w:hint="eastAsia"/>
          <w:szCs w:val="21"/>
        </w:rPr>
        <w:t>、</w:t>
      </w:r>
      <w:r>
        <w:rPr>
          <w:szCs w:val="21"/>
        </w:rPr>
        <w:t>王军邦</w:t>
      </w:r>
      <w:r>
        <w:rPr>
          <w:rFonts w:hint="eastAsia"/>
          <w:szCs w:val="21"/>
        </w:rPr>
        <w:t>、刘奇、赵海珠。</w:t>
      </w:r>
    </w:p>
    <w:p>
      <w:pPr>
        <w:pStyle w:val="58"/>
        <w:ind w:firstLine="420"/>
      </w:pPr>
    </w:p>
    <w:p>
      <w:pPr>
        <w:pStyle w:val="58"/>
        <w:ind w:firstLine="420"/>
        <w:sectPr>
          <w:pgSz w:w="11906" w:h="16838"/>
          <w:pgMar w:top="1928" w:right="1134" w:bottom="1134" w:left="1134" w:header="1418" w:footer="1134" w:gutter="284"/>
          <w:pgNumType w:fmt="upperRoman"/>
          <w:cols w:space="425" w:num="1"/>
          <w:formProt w:val="0"/>
          <w:docGrid w:linePitch="312" w:charSpace="0"/>
        </w:sectPr>
      </w:pPr>
    </w:p>
    <w:bookmarkEnd w:id="23"/>
    <w:p>
      <w:pPr>
        <w:spacing w:line="20" w:lineRule="exact"/>
        <w:jc w:val="center"/>
        <w:rPr>
          <w:rFonts w:hint="eastAsia" w:ascii="黑体" w:hAnsi="黑体" w:eastAsia="黑体"/>
          <w:sz w:val="32"/>
          <w:szCs w:val="32"/>
        </w:rPr>
      </w:pPr>
      <w:bookmarkStart w:id="24"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AFCFAE30205342A5A1C2890795461C01"/>
        </w:placeholder>
      </w:sdtPr>
      <w:sdtContent>
        <w:p>
          <w:pPr>
            <w:pStyle w:val="179"/>
            <w:spacing w:before="2" w:beforeLines="1" w:after="528" w:afterLines="220"/>
            <w:rPr>
              <w:rFonts w:hint="eastAsia"/>
            </w:rPr>
          </w:pPr>
          <w:bookmarkStart w:id="25" w:name="NEW_STAND_NAME"/>
          <w:r>
            <w:rPr>
              <w:rFonts w:hint="eastAsia"/>
            </w:rPr>
            <w:t>生态核电评价规范 总则</w:t>
          </w:r>
        </w:p>
      </w:sdtContent>
    </w:sdt>
    <w:bookmarkEnd w:id="25"/>
    <w:p>
      <w:pPr>
        <w:pStyle w:val="106"/>
        <w:spacing w:before="240" w:after="240"/>
      </w:pPr>
      <w:bookmarkStart w:id="26" w:name="_Toc26986530"/>
      <w:bookmarkStart w:id="27" w:name="_Toc24884218"/>
      <w:bookmarkStart w:id="28" w:name="_Toc26986771"/>
      <w:bookmarkStart w:id="29" w:name="_Toc26718930"/>
      <w:bookmarkStart w:id="30" w:name="_Toc26648465"/>
      <w:bookmarkStart w:id="31" w:name="_Toc97192964"/>
      <w:bookmarkStart w:id="32" w:name="_Toc24884211"/>
      <w:bookmarkStart w:id="33" w:name="_Toc17233333"/>
      <w:bookmarkStart w:id="34" w:name="_Toc205919908"/>
      <w:bookmarkStart w:id="35" w:name="_Toc17233325"/>
      <w:r>
        <w:rPr>
          <w:rFonts w:hint="eastAsia"/>
        </w:rPr>
        <w:t>范围</w:t>
      </w:r>
      <w:bookmarkEnd w:id="26"/>
      <w:bookmarkEnd w:id="27"/>
      <w:bookmarkEnd w:id="28"/>
      <w:bookmarkEnd w:id="29"/>
      <w:bookmarkEnd w:id="30"/>
      <w:bookmarkEnd w:id="31"/>
      <w:bookmarkEnd w:id="32"/>
      <w:bookmarkEnd w:id="33"/>
      <w:bookmarkEnd w:id="34"/>
      <w:bookmarkEnd w:id="35"/>
    </w:p>
    <w:p>
      <w:pPr>
        <w:pStyle w:val="58"/>
        <w:ind w:firstLine="420"/>
      </w:pPr>
      <w:bookmarkStart w:id="36" w:name="_Toc17233334"/>
      <w:bookmarkStart w:id="37" w:name="_Toc24884219"/>
      <w:bookmarkStart w:id="38" w:name="_Toc24884212"/>
      <w:bookmarkStart w:id="39" w:name="_Toc26648466"/>
      <w:bookmarkStart w:id="40" w:name="_Toc17233326"/>
      <w:r>
        <w:rPr>
          <w:rFonts w:hint="eastAsia"/>
        </w:rPr>
        <w:t>本文件定义了核电项目的生态核电评价规范。主要规定了环境影响、资源利用、社会和谐3个一级指标的控制项和评分项的基本要求和赋分原则。</w:t>
      </w:r>
    </w:p>
    <w:p>
      <w:pPr>
        <w:pStyle w:val="58"/>
        <w:ind w:firstLine="420"/>
      </w:pPr>
      <w:r>
        <w:rPr>
          <w:rFonts w:hint="eastAsia"/>
        </w:rPr>
        <w:t>本文件适用于中华人民共和国境内核电厂前期设计、工程建设、运营及退役阶段的生态核电评价。</w:t>
      </w:r>
    </w:p>
    <w:bookmarkEnd w:id="36"/>
    <w:bookmarkEnd w:id="37"/>
    <w:bookmarkEnd w:id="38"/>
    <w:bookmarkEnd w:id="39"/>
    <w:bookmarkEnd w:id="40"/>
    <w:p>
      <w:pPr>
        <w:pStyle w:val="106"/>
        <w:spacing w:before="240" w:after="240"/>
      </w:pPr>
      <w:bookmarkStart w:id="41" w:name="_Toc97192966"/>
      <w:bookmarkStart w:id="42" w:name="_Toc205919909"/>
      <w:r>
        <w:rPr>
          <w:rFonts w:hint="eastAsia"/>
          <w:szCs w:val="21"/>
        </w:rPr>
        <w:t>术语和定义</w:t>
      </w:r>
      <w:bookmarkEnd w:id="41"/>
      <w:bookmarkEnd w:id="42"/>
    </w:p>
    <w:sdt>
      <w:sdtPr>
        <w:id w:val="-1909835108"/>
        <w:placeholder>
          <w:docPart w:val="036E491FABC744EC91C40EB903C7E2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3" w:name="_Toc26986532"/>
          <w:bookmarkEnd w:id="43"/>
          <w:r>
            <w:t>下列术语和定义适用于本文件。</w:t>
          </w:r>
        </w:p>
      </w:sdtContent>
    </w:sdt>
    <w:p>
      <w:pPr>
        <w:pStyle w:val="225"/>
        <w:ind w:left="420" w:hanging="420" w:hangingChars="200"/>
        <w:rPr>
          <w:rFonts w:hint="eastAsia" w:ascii="黑体" w:hAnsi="黑体" w:eastAsia="黑体"/>
        </w:rPr>
      </w:pPr>
    </w:p>
    <w:p>
      <w:pPr>
        <w:pStyle w:val="225"/>
        <w:numPr>
          <w:ilvl w:val="0"/>
          <w:numId w:val="0"/>
        </w:numPr>
        <w:ind w:left="420"/>
        <w:rPr>
          <w:rFonts w:hint="eastAsia" w:ascii="黑体" w:hAnsi="黑体" w:eastAsia="黑体"/>
        </w:rPr>
      </w:pPr>
      <w:r>
        <w:rPr>
          <w:rFonts w:hint="eastAsia" w:ascii="黑体" w:hAnsi="黑体" w:eastAsia="黑体"/>
        </w:rPr>
        <w:t>生态核电 ecological nuclear power</w:t>
      </w:r>
    </w:p>
    <w:p>
      <w:pPr>
        <w:pStyle w:val="58"/>
        <w:ind w:firstLine="420"/>
        <w:rPr>
          <w:rFonts w:hint="eastAsia" w:hAnsi="宋体"/>
        </w:rPr>
      </w:pPr>
      <w:r>
        <w:rPr>
          <w:rFonts w:hint="eastAsia" w:hAnsi="宋体"/>
        </w:rPr>
        <w:t>在核电厂的规划、设计、建设、运营及退役全寿命周期内，遵循与自然、与社会和谐发展这一理念基础而取得的物质与精神成果的总和。</w:t>
      </w:r>
    </w:p>
    <w:p>
      <w:pPr>
        <w:pStyle w:val="225"/>
      </w:pPr>
    </w:p>
    <w:p>
      <w:pPr>
        <w:pStyle w:val="225"/>
        <w:numPr>
          <w:ilvl w:val="0"/>
          <w:numId w:val="0"/>
        </w:numPr>
        <w:ind w:left="420"/>
        <w:rPr>
          <w:rFonts w:hint="eastAsia" w:ascii="黑体" w:hAnsi="黑体" w:eastAsia="黑体"/>
          <w:szCs w:val="21"/>
        </w:rPr>
      </w:pPr>
      <w:r>
        <w:rPr>
          <w:rFonts w:hint="eastAsia" w:ascii="黑体" w:hAnsi="黑体" w:eastAsia="黑体"/>
          <w:szCs w:val="21"/>
        </w:rPr>
        <w:t xml:space="preserve">环境影响 </w:t>
      </w:r>
      <w:r>
        <w:rPr>
          <w:rFonts w:ascii="黑体" w:hAnsi="黑体" w:eastAsia="黑体"/>
          <w:szCs w:val="21"/>
        </w:rPr>
        <w:t>environmental influence</w:t>
      </w:r>
    </w:p>
    <w:p>
      <w:pPr>
        <w:pStyle w:val="58"/>
        <w:ind w:firstLine="420"/>
      </w:pPr>
      <w:r>
        <w:rPr>
          <w:rFonts w:hint="eastAsia"/>
        </w:rPr>
        <w:t>指的是人类活动对环境产生的改变及其对人类社会和经济的反作用。这种影响不仅包括人类活动对环境的直接影响,还涉及到环境变化对人类社会的间接影响。</w:t>
      </w:r>
    </w:p>
    <w:p>
      <w:pPr>
        <w:pStyle w:val="225"/>
      </w:pPr>
    </w:p>
    <w:p>
      <w:pPr>
        <w:pStyle w:val="225"/>
        <w:numPr>
          <w:ilvl w:val="0"/>
          <w:numId w:val="0"/>
        </w:numPr>
        <w:ind w:left="420"/>
        <w:rPr>
          <w:rFonts w:hint="eastAsia" w:ascii="黑体" w:hAnsi="黑体" w:eastAsia="黑体"/>
          <w:szCs w:val="21"/>
        </w:rPr>
      </w:pPr>
      <w:r>
        <w:rPr>
          <w:rFonts w:hint="eastAsia" w:ascii="黑体" w:hAnsi="黑体" w:eastAsia="黑体"/>
          <w:szCs w:val="21"/>
        </w:rPr>
        <w:t xml:space="preserve">资源利用 </w:t>
      </w:r>
      <w:r>
        <w:rPr>
          <w:rFonts w:ascii="黑体" w:hAnsi="黑体" w:eastAsia="黑体"/>
          <w:szCs w:val="21"/>
        </w:rPr>
        <w:t>resource utilization</w:t>
      </w:r>
    </w:p>
    <w:p>
      <w:pPr>
        <w:pStyle w:val="58"/>
        <w:ind w:firstLine="420"/>
      </w:pPr>
      <w:r>
        <w:rPr>
          <w:rFonts w:hint="eastAsia"/>
        </w:rPr>
        <w:t>指对有限资源的合理配置和高效使用，以确保资源的可持续性和最大化价值。</w:t>
      </w:r>
    </w:p>
    <w:p>
      <w:pPr>
        <w:pStyle w:val="225"/>
      </w:pPr>
    </w:p>
    <w:p>
      <w:pPr>
        <w:pStyle w:val="225"/>
        <w:numPr>
          <w:ilvl w:val="0"/>
          <w:numId w:val="0"/>
        </w:numPr>
        <w:ind w:left="420"/>
        <w:rPr>
          <w:rFonts w:hint="eastAsia" w:ascii="黑体" w:hAnsi="黑体" w:eastAsia="黑体"/>
          <w:szCs w:val="21"/>
        </w:rPr>
      </w:pPr>
      <w:r>
        <w:rPr>
          <w:rFonts w:hint="eastAsia" w:ascii="黑体" w:hAnsi="黑体" w:eastAsia="黑体"/>
          <w:szCs w:val="21"/>
        </w:rPr>
        <w:t xml:space="preserve">社会和谐 </w:t>
      </w:r>
      <w:r>
        <w:rPr>
          <w:rFonts w:ascii="黑体" w:hAnsi="黑体" w:eastAsia="黑体"/>
          <w:szCs w:val="21"/>
        </w:rPr>
        <w:t>social harmony</w:t>
      </w:r>
    </w:p>
    <w:p>
      <w:pPr>
        <w:pStyle w:val="58"/>
        <w:ind w:firstLine="420"/>
      </w:pPr>
      <w:r>
        <w:rPr>
          <w:rFonts w:hint="eastAsia"/>
        </w:rPr>
        <w:t>是指构成社会系统的各部分、要素运行协调、相互适应、相互促进的状态。</w:t>
      </w:r>
    </w:p>
    <w:p>
      <w:pPr>
        <w:pStyle w:val="106"/>
        <w:spacing w:before="240" w:after="240"/>
      </w:pPr>
      <w:bookmarkStart w:id="44" w:name="_Toc205919910"/>
      <w:r>
        <w:rPr>
          <w:rFonts w:hint="eastAsia"/>
        </w:rPr>
        <w:t>基本原则</w:t>
      </w:r>
      <w:bookmarkEnd w:id="44"/>
    </w:p>
    <w:p>
      <w:pPr>
        <w:pStyle w:val="107"/>
        <w:spacing w:before="120" w:after="120"/>
      </w:pPr>
      <w:bookmarkStart w:id="45" w:name="_Toc205919911"/>
      <w:r>
        <w:rPr>
          <w:rFonts w:hint="eastAsia"/>
        </w:rPr>
        <w:t>科学性</w:t>
      </w:r>
      <w:bookmarkEnd w:id="45"/>
    </w:p>
    <w:p>
      <w:pPr>
        <w:pStyle w:val="58"/>
        <w:ind w:firstLine="420"/>
      </w:pPr>
      <w:r>
        <w:rPr>
          <w:rFonts w:hint="eastAsia"/>
        </w:rPr>
        <w:t>应</w:t>
      </w:r>
      <w:r>
        <w:t>充分收集已有数据和信息，基于最新科学证据，根据生态</w:t>
      </w:r>
      <w:r>
        <w:rPr>
          <w:rFonts w:hint="eastAsia"/>
        </w:rPr>
        <w:t>核电</w:t>
      </w:r>
      <w:r>
        <w:t>管理需要、评估目的、数据可获得性和有效性，科学合理确定评估方案，确保评估过程的系统性、完整性以及评估结论的客观性。</w:t>
      </w:r>
    </w:p>
    <w:p>
      <w:pPr>
        <w:pStyle w:val="107"/>
        <w:spacing w:before="120" w:after="120"/>
      </w:pPr>
      <w:bookmarkStart w:id="46" w:name="_Toc205919912"/>
      <w:r>
        <w:rPr>
          <w:rFonts w:hint="eastAsia"/>
        </w:rPr>
        <w:t>全面性</w:t>
      </w:r>
      <w:bookmarkEnd w:id="46"/>
    </w:p>
    <w:p>
      <w:pPr>
        <w:pStyle w:val="58"/>
        <w:ind w:firstLine="420"/>
      </w:pPr>
      <w:r>
        <w:rPr>
          <w:rFonts w:hint="eastAsia"/>
        </w:rPr>
        <w:t>生态核电评价</w:t>
      </w:r>
      <w:r>
        <w:t>应</w:t>
      </w:r>
      <w:r>
        <w:rPr>
          <w:rFonts w:hint="eastAsia"/>
        </w:rPr>
        <w:t>包含各类极端条件、事件对核电厂生态的影响</w:t>
      </w:r>
      <w:r>
        <w:t>。</w:t>
      </w:r>
    </w:p>
    <w:p>
      <w:pPr>
        <w:pStyle w:val="107"/>
        <w:spacing w:before="120" w:after="120"/>
      </w:pPr>
      <w:bookmarkStart w:id="47" w:name="_Toc205919913"/>
      <w:r>
        <w:rPr>
          <w:rFonts w:hint="eastAsia"/>
        </w:rPr>
        <w:t>透明性</w:t>
      </w:r>
      <w:bookmarkEnd w:id="47"/>
    </w:p>
    <w:p>
      <w:pPr>
        <w:pStyle w:val="58"/>
        <w:ind w:firstLine="420"/>
      </w:pPr>
      <w:r>
        <w:rPr>
          <w:rFonts w:hint="eastAsia"/>
        </w:rPr>
        <w:t>对生态核电的整个评价过程应进行完整且系统记录。其中，应特别注意记录评估的制约因素、不确定性和假设及其处理方法、评估中的不同意见和观点、直接影响评估结果的重大决策等内容。</w:t>
      </w:r>
    </w:p>
    <w:p>
      <w:pPr>
        <w:pStyle w:val="106"/>
        <w:spacing w:before="240" w:after="240"/>
      </w:pPr>
      <w:bookmarkStart w:id="48" w:name="_Toc205919914"/>
      <w:r>
        <w:rPr>
          <w:rFonts w:hint="eastAsia"/>
        </w:rPr>
        <w:t>生态核电评价方法</w:t>
      </w:r>
      <w:bookmarkEnd w:id="48"/>
    </w:p>
    <w:p>
      <w:pPr>
        <w:pStyle w:val="107"/>
        <w:spacing w:before="120" w:after="120"/>
      </w:pPr>
      <w:bookmarkStart w:id="49" w:name="_Toc205919915"/>
      <w:r>
        <w:rPr>
          <w:rFonts w:hint="eastAsia"/>
        </w:rPr>
        <w:t>一般规定</w:t>
      </w:r>
      <w:bookmarkEnd w:id="49"/>
    </w:p>
    <w:p>
      <w:pPr>
        <w:pStyle w:val="226"/>
      </w:pPr>
      <w:r>
        <w:rPr>
          <w:rFonts w:hint="eastAsia"/>
        </w:rPr>
        <w:t>生态核电评价应以核电项目</w:t>
      </w:r>
      <w:r>
        <w:t>为评价对象</w:t>
      </w:r>
      <w:r>
        <w:rPr>
          <w:rFonts w:hint="eastAsia"/>
        </w:rPr>
        <w:t>，核电厂的规划设计、工程建设、运营及退役单位应有</w:t>
      </w:r>
      <w:r>
        <w:t>明确</w:t>
      </w:r>
      <w:r>
        <w:rPr>
          <w:rFonts w:hint="eastAsia"/>
        </w:rPr>
        <w:t>的生态核电工作体系。</w:t>
      </w:r>
    </w:p>
    <w:p>
      <w:pPr>
        <w:pStyle w:val="226"/>
      </w:pPr>
      <w:r>
        <w:t>评价机构应按本标准的有关要求，对申请评价方提交的</w:t>
      </w:r>
      <w:r>
        <w:rPr>
          <w:rFonts w:hint="eastAsia"/>
        </w:rPr>
        <w:t>数据、方案、</w:t>
      </w:r>
      <w:r>
        <w:t>规划、报告等文件进行审查，并进行现场考察和公众调查，出具评价报告，确定等级</w:t>
      </w:r>
      <w:r>
        <w:rPr>
          <w:rFonts w:hint="eastAsia"/>
        </w:rPr>
        <w:t>，并给出改进建议</w:t>
      </w:r>
      <w:r>
        <w:t>。</w:t>
      </w:r>
    </w:p>
    <w:p>
      <w:pPr>
        <w:pStyle w:val="226"/>
      </w:pPr>
      <w:r>
        <w:rPr>
          <w:rFonts w:hint="eastAsia"/>
        </w:rPr>
        <w:t>获得生态核电评价等级的核电厂规划设计、工程建设、运营及退役单位应定期组织开展生态核电评价等级复审或同行评审，不断提升核电厂前期设计、工程建设、运营及退役过程中产生的数据水平。</w:t>
      </w:r>
    </w:p>
    <w:p>
      <w:pPr>
        <w:pStyle w:val="107"/>
        <w:spacing w:before="120" w:after="120"/>
      </w:pPr>
      <w:bookmarkStart w:id="50" w:name="_Toc205919916"/>
      <w:r>
        <w:rPr>
          <w:rFonts w:hint="eastAsia"/>
        </w:rPr>
        <w:t>评价指标体系与等级划分</w:t>
      </w:r>
      <w:bookmarkEnd w:id="50"/>
    </w:p>
    <w:p>
      <w:pPr>
        <w:pStyle w:val="167"/>
      </w:pPr>
      <w:r>
        <w:rPr>
          <w:rFonts w:hint="eastAsia"/>
        </w:rPr>
        <w:t>核电厂生态核电评估的基础指标包括环境影响、资源利用和社会和谐3个一级指标，一级指标下包含若干二级指标，二级指标包含若干三级指标（如有）。</w:t>
      </w:r>
    </w:p>
    <w:p>
      <w:pPr>
        <w:pStyle w:val="167"/>
      </w:pPr>
      <w:r>
        <w:t>控制项的评定结果为满足或不满足；评分项评定结果为分值。</w:t>
      </w:r>
    </w:p>
    <w:p>
      <w:pPr>
        <w:pStyle w:val="167"/>
      </w:pPr>
      <w:r>
        <w:rPr>
          <w:rFonts w:hint="eastAsia"/>
        </w:rPr>
        <w:t>生态核电</w:t>
      </w:r>
      <w:r>
        <w:t>评价应按</w:t>
      </w:r>
      <w:r>
        <w:rPr>
          <w:rFonts w:hint="eastAsia"/>
        </w:rPr>
        <w:t>控制项确定是否满足生态核电标准，由评分项</w:t>
      </w:r>
      <w:r>
        <w:t>总得分确定等级。</w:t>
      </w:r>
    </w:p>
    <w:p>
      <w:pPr>
        <w:pStyle w:val="167"/>
      </w:pPr>
      <w:r>
        <w:t>评价指标体系</w:t>
      </w:r>
      <w:r>
        <w:rPr>
          <w:rFonts w:hint="eastAsia"/>
        </w:rPr>
        <w:t>3个一级指标</w:t>
      </w:r>
      <w:r>
        <w:t>的</w:t>
      </w:r>
      <w:r>
        <w:rPr>
          <w:rFonts w:hint="eastAsia"/>
          <w:lang w:val="en-US" w:eastAsia="zh-CN"/>
        </w:rPr>
        <w:t>评分项总分</w:t>
      </w:r>
      <w:r>
        <w:rPr>
          <w:rFonts w:hint="eastAsia"/>
        </w:rPr>
        <w:t>满分为100</w:t>
      </w:r>
      <w:r>
        <w:t>分</w:t>
      </w:r>
      <w:r>
        <w:rPr>
          <w:rFonts w:hint="eastAsia"/>
        </w:rPr>
        <w:t>，3个一级指标的分数根据</w:t>
      </w:r>
      <w:r>
        <w:rPr>
          <w:rFonts w:hint="eastAsia"/>
          <w:lang w:val="en-US" w:eastAsia="zh-CN"/>
        </w:rPr>
        <w:t>评价对象</w:t>
      </w:r>
      <w:r>
        <w:rPr>
          <w:rFonts w:hint="eastAsia"/>
        </w:rPr>
        <w:t>的</w:t>
      </w:r>
      <w:r>
        <w:rPr>
          <w:rFonts w:hint="eastAsia"/>
          <w:lang w:val="en-US" w:eastAsia="zh-CN"/>
        </w:rPr>
        <w:t>对应</w:t>
      </w:r>
      <w:r>
        <w:rPr>
          <w:rFonts w:hint="eastAsia"/>
        </w:rPr>
        <w:t>二级指标总和计算得出。</w:t>
      </w:r>
    </w:p>
    <w:p>
      <w:pPr>
        <w:pStyle w:val="167"/>
      </w:pPr>
      <w:r>
        <w:rPr>
          <w:rFonts w:hint="eastAsia"/>
        </w:rPr>
        <w:t>生态核电评价等级分为三星级、四星级、五星级3个等级。3个等级的核电厂生态核电评价均应满足本标准所有控制项要求。当生态核电评价总得分分别达到60分、75分、90分时，等级分别为三星级、四星级</w:t>
      </w:r>
      <w:r>
        <w:t>、</w:t>
      </w:r>
      <w:r>
        <w:rPr>
          <w:rFonts w:hint="eastAsia"/>
        </w:rPr>
        <w:t>五</w:t>
      </w:r>
      <w:r>
        <w:t>星级。</w:t>
      </w:r>
      <w:r>
        <w:rPr>
          <w:rFonts w:hint="eastAsia"/>
          <w:lang w:eastAsia="zh-CN"/>
        </w:rPr>
        <w:t>不满</w:t>
      </w:r>
      <w:r>
        <w:rPr>
          <w:rFonts w:hint="eastAsia"/>
          <w:lang w:val="en-US" w:eastAsia="zh-CN"/>
        </w:rPr>
        <w:t>60分的，不予评价等级。</w:t>
      </w:r>
    </w:p>
    <w:p>
      <w:pPr>
        <w:pStyle w:val="107"/>
        <w:spacing w:before="120" w:after="120"/>
      </w:pPr>
      <w:bookmarkStart w:id="51" w:name="_Toc205919917"/>
      <w:r>
        <w:rPr>
          <w:rFonts w:hint="eastAsia"/>
        </w:rPr>
        <w:t>评价形式</w:t>
      </w:r>
      <w:bookmarkEnd w:id="51"/>
    </w:p>
    <w:p>
      <w:pPr>
        <w:pStyle w:val="167"/>
      </w:pPr>
      <w:r>
        <w:rPr>
          <w:rFonts w:hint="eastAsia"/>
        </w:rPr>
        <w:t>核电厂生态核电评价形式为核电厂规划设计、工程建设、运营及退役单位委托评价。</w:t>
      </w:r>
    </w:p>
    <w:p>
      <w:pPr>
        <w:pStyle w:val="167"/>
      </w:pPr>
      <w:bookmarkStart w:id="55" w:name="_GoBack"/>
      <w:bookmarkEnd w:id="55"/>
      <w:r>
        <w:rPr>
          <w:rFonts w:hint="eastAsia"/>
        </w:rPr>
        <w:t>单位委托评价应以核电厂前期设计、工程建设、运营及退役阶段等相关信息和数据为基础，结合公开资料开展评价，再通过实地调查交流、现场验证检查后，根据现场情况与核电厂生态核电评价报告相印证，得出对应分值，并确定相应评价等级。</w:t>
      </w:r>
    </w:p>
    <w:p>
      <w:pPr>
        <w:pStyle w:val="107"/>
        <w:spacing w:before="120" w:after="120"/>
      </w:pPr>
      <w:bookmarkStart w:id="52" w:name="_Toc205919918"/>
      <w:r>
        <w:rPr>
          <w:rFonts w:hint="eastAsia"/>
        </w:rPr>
        <w:t>评价程序</w:t>
      </w:r>
      <w:bookmarkEnd w:id="52"/>
    </w:p>
    <w:p>
      <w:pPr>
        <w:pStyle w:val="58"/>
        <w:ind w:firstLine="420"/>
      </w:pPr>
      <w:r>
        <w:rPr>
          <w:rFonts w:hint="eastAsia"/>
        </w:rPr>
        <w:t>核电厂生态核电评价程序见下图。</w:t>
      </w:r>
    </w:p>
    <w:p>
      <w:pPr>
        <w:pStyle w:val="58"/>
        <w:ind w:firstLine="420"/>
      </w:pPr>
      <w:r>
        <w:rPr>
          <w:rFonts w:hint="eastAsia"/>
        </w:rPr>
        <w:drawing>
          <wp:inline distT="0" distB="0" distL="0" distR="0">
            <wp:extent cx="5937250" cy="3987800"/>
            <wp:effectExtent l="0" t="0" r="6350" b="0"/>
            <wp:docPr id="10193168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1684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37250" cy="3987800"/>
                    </a:xfrm>
                    <a:prstGeom prst="rect">
                      <a:avLst/>
                    </a:prstGeom>
                    <a:noFill/>
                    <a:ln>
                      <a:noFill/>
                    </a:ln>
                  </pic:spPr>
                </pic:pic>
              </a:graphicData>
            </a:graphic>
          </wp:inline>
        </w:drawing>
      </w:r>
    </w:p>
    <w:p>
      <w:pPr>
        <w:pStyle w:val="116"/>
        <w:spacing w:before="120" w:after="120"/>
      </w:pPr>
      <w:r>
        <w:rPr>
          <w:rFonts w:hint="eastAsia"/>
        </w:rPr>
        <w:t>核电厂生态核电评价程序</w:t>
      </w:r>
    </w:p>
    <w:p>
      <w:pPr>
        <w:pStyle w:val="67"/>
        <w:spacing w:before="120" w:after="120"/>
      </w:pPr>
      <w:r>
        <w:rPr>
          <w:rFonts w:hint="eastAsia"/>
        </w:rPr>
        <w:t>设立评价工作小组</w:t>
      </w:r>
    </w:p>
    <w:p>
      <w:pPr>
        <w:pStyle w:val="166"/>
      </w:pPr>
      <w:r>
        <w:rPr>
          <w:rFonts w:hint="eastAsia"/>
        </w:rPr>
        <w:t>评价程序由核电厂规划设计、工程建设、运营及退役单位申请发起。</w:t>
      </w:r>
    </w:p>
    <w:p>
      <w:pPr>
        <w:pStyle w:val="166"/>
      </w:pPr>
      <w:r>
        <w:rPr>
          <w:rFonts w:hint="eastAsia"/>
        </w:rPr>
        <w:t>需设立至少由三名成员组成的评价工作小组，且至少有一名成员来自中国能源研究会专家组，在确定小组组长后，由组长负责总体协调安排评价工作。</w:t>
      </w:r>
    </w:p>
    <w:p>
      <w:pPr>
        <w:pStyle w:val="166"/>
      </w:pPr>
      <w:r>
        <w:rPr>
          <w:rFonts w:hint="eastAsia"/>
        </w:rPr>
        <w:t>评价工作小组人员的专业领域应符合生态核电评价相关专业要求。</w:t>
      </w:r>
    </w:p>
    <w:p>
      <w:pPr>
        <w:pStyle w:val="67"/>
        <w:spacing w:before="120" w:after="120"/>
      </w:pPr>
      <w:r>
        <w:rPr>
          <w:rFonts w:hint="eastAsia"/>
        </w:rPr>
        <w:t>成立评审委员会</w:t>
      </w:r>
    </w:p>
    <w:p>
      <w:pPr>
        <w:pStyle w:val="58"/>
        <w:ind w:firstLine="420"/>
      </w:pPr>
      <w:r>
        <w:rPr>
          <w:rFonts w:hint="eastAsia"/>
        </w:rPr>
        <w:t>由中国能源研究会结合参与生态核电研究情况及相关专业经验，挑选五名及以上专家成立生态核电评价评审委员会，负责审定相关评价等级。</w:t>
      </w:r>
    </w:p>
    <w:p>
      <w:pPr>
        <w:pStyle w:val="67"/>
        <w:spacing w:before="120" w:after="120"/>
      </w:pPr>
      <w:r>
        <w:rPr>
          <w:rFonts w:hint="eastAsia"/>
        </w:rPr>
        <w:t>信息收集与尽职调查</w:t>
      </w:r>
    </w:p>
    <w:p>
      <w:pPr>
        <w:pStyle w:val="96"/>
        <w:spacing w:before="120" w:after="120"/>
      </w:pPr>
      <w:r>
        <w:rPr>
          <w:rFonts w:hint="eastAsia"/>
        </w:rPr>
        <w:t>信息收集</w:t>
      </w:r>
    </w:p>
    <w:p>
      <w:pPr>
        <w:pStyle w:val="58"/>
        <w:ind w:firstLine="420"/>
      </w:pPr>
      <w:r>
        <w:rPr>
          <w:rFonts w:hint="eastAsia"/>
        </w:rPr>
        <w:t>包括以下内容：</w:t>
      </w:r>
    </w:p>
    <w:p>
      <w:pPr>
        <w:pStyle w:val="141"/>
        <w:rPr>
          <w:rFonts w:hint="eastAsia"/>
        </w:rPr>
      </w:pPr>
      <w:r>
        <w:rPr>
          <w:rFonts w:hint="eastAsia"/>
        </w:rPr>
        <w:t>从政府单位或机构披露的核电厂前期设计报告、运行及退役产生的数据中提取相关信息或内容；</w:t>
      </w:r>
    </w:p>
    <w:p>
      <w:pPr>
        <w:pStyle w:val="141"/>
        <w:rPr>
          <w:rFonts w:hint="eastAsia"/>
        </w:rPr>
      </w:pPr>
      <w:r>
        <w:rPr>
          <w:rFonts w:hint="eastAsia"/>
        </w:rPr>
        <w:t>从规划设计、工程建设、运营及退役单位公开披露的环境信息报告或ESG报告、可持续发展报告、社会责任报告中收集提取相关信息或内容；</w:t>
      </w:r>
    </w:p>
    <w:p>
      <w:pPr>
        <w:pStyle w:val="141"/>
        <w:rPr>
          <w:rFonts w:hint="eastAsia"/>
        </w:rPr>
      </w:pPr>
      <w:r>
        <w:rPr>
          <w:rFonts w:hint="eastAsia"/>
        </w:rPr>
        <w:t>规划设计、工程建设、运营及退役单位披露的核电厂前期设计、建造、运行及退役数据中提取相关信息或内容；</w:t>
      </w:r>
    </w:p>
    <w:p>
      <w:pPr>
        <w:pStyle w:val="141"/>
        <w:rPr>
          <w:rFonts w:hint="eastAsia"/>
        </w:rPr>
      </w:pPr>
      <w:r>
        <w:rPr>
          <w:rFonts w:hint="eastAsia"/>
        </w:rPr>
        <w:t>从公开信息系统、政府部分、社会组织，以及第三方公开披露的相关文件中提取信息或内容，非直接披露信息应说明信息来源以备查阅。</w:t>
      </w:r>
    </w:p>
    <w:p>
      <w:pPr>
        <w:pStyle w:val="96"/>
        <w:spacing w:before="120" w:after="120"/>
      </w:pPr>
      <w:r>
        <w:rPr>
          <w:rFonts w:hint="eastAsia"/>
        </w:rPr>
        <w:t>尽职调查</w:t>
      </w:r>
    </w:p>
    <w:p>
      <w:pPr>
        <w:pStyle w:val="58"/>
        <w:ind w:firstLine="420"/>
      </w:pPr>
      <w:r>
        <w:rPr>
          <w:rFonts w:hint="eastAsia"/>
        </w:rPr>
        <w:t>包括以下内容：</w:t>
      </w:r>
    </w:p>
    <w:p>
      <w:pPr>
        <w:pStyle w:val="141"/>
        <w:rPr>
          <w:rFonts w:hint="eastAsia"/>
        </w:rPr>
      </w:pPr>
      <w:r>
        <w:rPr>
          <w:rFonts w:hint="eastAsia"/>
        </w:rPr>
        <w:t>访谈规划设计、工程建设、运营及退役单位相关责任人员和现场调研，了解规划设计、工程建设、运营及退役单位在核电厂生态核电方面的相关信息，并形成调查报告；</w:t>
      </w:r>
    </w:p>
    <w:p>
      <w:pPr>
        <w:pStyle w:val="141"/>
        <w:rPr>
          <w:rFonts w:hint="eastAsia"/>
        </w:rPr>
      </w:pPr>
      <w:r>
        <w:rPr>
          <w:rFonts w:hint="eastAsia"/>
        </w:rPr>
        <w:t>现场收集与生态核电评价相关的信息（包括电子资料和纸质资料），并形成资料清单。</w:t>
      </w:r>
    </w:p>
    <w:p>
      <w:pPr>
        <w:pStyle w:val="67"/>
        <w:spacing w:before="120" w:after="120"/>
      </w:pPr>
      <w:r>
        <w:rPr>
          <w:rFonts w:hint="eastAsia"/>
        </w:rPr>
        <w:t>数据处理与信息分析</w:t>
      </w:r>
    </w:p>
    <w:p>
      <w:pPr>
        <w:pStyle w:val="58"/>
        <w:ind w:firstLine="420"/>
      </w:pPr>
      <w:r>
        <w:rPr>
          <w:rFonts w:hint="eastAsia"/>
        </w:rPr>
        <w:t>根据收集和调查的信息或相关资料，按照不同的评价指标进行分类汇总，进行数据分析与信息处理。</w:t>
      </w:r>
    </w:p>
    <w:p>
      <w:pPr>
        <w:pStyle w:val="67"/>
        <w:spacing w:before="120" w:after="120"/>
      </w:pPr>
      <w:r>
        <w:rPr>
          <w:rFonts w:hint="eastAsia"/>
        </w:rPr>
        <w:t>编制评价报告</w:t>
      </w:r>
    </w:p>
    <w:p>
      <w:pPr>
        <w:pStyle w:val="96"/>
        <w:spacing w:before="120" w:after="120"/>
      </w:pPr>
      <w:r>
        <w:rPr>
          <w:rFonts w:hint="eastAsia"/>
        </w:rPr>
        <w:t>指标评分</w:t>
      </w:r>
    </w:p>
    <w:p>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包括以下内容：</w:t>
      </w:r>
    </w:p>
    <w:p>
      <w:pPr>
        <w:pStyle w:val="141"/>
        <w:rPr>
          <w:rFonts w:hint="eastAsia"/>
        </w:rPr>
      </w:pPr>
      <w:r>
        <w:rPr>
          <w:rFonts w:hint="eastAsia"/>
        </w:rPr>
        <w:t>根据数据分析和信息处理结果，确定是否符合控制项要求，控制项全部符合可进行下一步评价流程；</w:t>
      </w:r>
    </w:p>
    <w:p>
      <w:pPr>
        <w:pStyle w:val="141"/>
        <w:rPr>
          <w:rFonts w:hint="eastAsia"/>
        </w:rPr>
      </w:pPr>
      <w:r>
        <w:rPr>
          <w:rFonts w:hint="eastAsia"/>
        </w:rPr>
        <w:t>根据数据分析和信息处理结果，按照评分项逐项计算各评价指标分值。</w:t>
      </w:r>
    </w:p>
    <w:p>
      <w:pPr>
        <w:pStyle w:val="96"/>
        <w:spacing w:before="120" w:after="120"/>
      </w:pPr>
      <w:r>
        <w:rPr>
          <w:rFonts w:hint="eastAsia"/>
        </w:rPr>
        <w:t>总分计算</w:t>
      </w:r>
    </w:p>
    <w:p>
      <w:pPr>
        <w:pStyle w:val="58"/>
        <w:ind w:firstLine="420"/>
      </w:pPr>
      <w:r>
        <w:rPr>
          <w:rFonts w:hint="eastAsia"/>
        </w:rPr>
        <w:t>根据核电厂前期设计、工程建设、运营及退役阶段评价规范要求的不同评分项计算得到的各项分值，按公式（1）计算出每个一级指标分数值：</w:t>
      </w:r>
    </w:p>
    <w:p>
      <w:pPr>
        <w:pStyle w:val="115"/>
        <w:rPr>
          <w:rFonts w:hint="eastAsia"/>
          <w:i/>
        </w:rPr>
      </w:pPr>
      <m:oMathPara>
        <m:oMathParaPr>
          <m:jc m:val="center"/>
        </m:oMathParaPr>
        <m:oMath>
          <m:sSub>
            <m:sSubPr>
              <m:ctrlPr>
                <w:rPr>
                  <w:rFonts w:ascii="Cambria Math" w:hAnsi="Cambria Math"/>
                </w:rPr>
              </m:ctrlPr>
            </m:sSubPr>
            <m:e>
              <m:r>
                <m:rPr>
                  <m:sty m:val="p"/>
                </m:rPr>
                <w:rPr>
                  <w:rFonts w:hint="eastAsia" w:ascii="Cambria Math" w:hAnsi="Cambria Math"/>
                </w:rPr>
                <m:t>S</m:t>
              </m:r>
              <m:ctrlPr>
                <w:rPr>
                  <w:rFonts w:ascii="Cambria Math" w:hAnsi="Cambria Math"/>
                </w:rPr>
              </m:ctrlPr>
            </m:e>
            <m:sub>
              <m:r>
                <w:rPr>
                  <w:rFonts w:ascii="Cambria Math" w:hAnsi="Cambria Math"/>
                </w:rPr>
                <m:t>t</m:t>
              </m:r>
              <m:ctrlPr>
                <w:rPr>
                  <w:rFonts w:ascii="Cambria Math" w:hAnsi="Cambria Math"/>
                </w:rPr>
              </m:ctrlPr>
            </m:sub>
          </m:sSub>
          <m:r>
            <m:rPr>
              <m:sty m:val="p"/>
            </m:rPr>
            <w:rPr>
              <w:rFonts w:ascii="Cambria Math" w:hAnsi="Cambria Math"/>
            </w:rPr>
            <m:t>=</m:t>
          </m:r>
          <m:nary>
            <m:naryPr>
              <m:chr m:val="∑"/>
              <m:limLoc m:val="undOvr"/>
              <m:ctrlPr>
                <w:rPr>
                  <w:rFonts w:ascii="Cambria Math" w:hAnsi="Cambria Math"/>
                </w:rPr>
              </m:ctrlPr>
            </m:naryPr>
            <m:sub>
              <m:ctrlPr>
                <w:rPr>
                  <w:rFonts w:ascii="Cambria Math" w:hAnsi="Cambria Math"/>
                </w:rPr>
              </m:ctrlPr>
            </m:sub>
            <m:sup>
              <m:r>
                <w:rPr>
                  <w:rFonts w:hint="eastAsia" w:ascii="Cambria Math" w:hAnsi="Cambria Math"/>
                </w:rPr>
                <m:t>l</m:t>
              </m:r>
              <m:ctrlPr>
                <w:rPr>
                  <w:rFonts w:ascii="Cambria Math" w:hAnsi="Cambria Math"/>
                </w:rPr>
              </m:ctrlPr>
            </m:sup>
            <m:e>
              <m:sSub>
                <m:sSubPr>
                  <m:ctrlPr>
                    <w:rPr>
                      <w:rFonts w:ascii="Cambria Math" w:hAnsi="Cambria Math"/>
                      <w:i/>
                    </w:rPr>
                  </m:ctrlPr>
                </m:sSubPr>
                <m:e>
                  <m:r>
                    <w:rPr>
                      <w:rFonts w:hint="eastAsia" w:ascii="Cambria Math" w:hAnsi="Cambria Math"/>
                    </w:rPr>
                    <m:t>F</m:t>
                  </m:r>
                  <m:ctrlPr>
                    <w:rPr>
                      <w:rFonts w:ascii="Cambria Math" w:hAnsi="Cambria Math"/>
                      <w:i/>
                    </w:rPr>
                  </m:ctrlPr>
                </m:e>
                <m:sub>
                  <m:r>
                    <w:rPr>
                      <w:rFonts w:ascii="Cambria Math" w:hAnsi="Cambria Math"/>
                    </w:rPr>
                    <m:t>ij</m:t>
                  </m:r>
                  <m:ctrlPr>
                    <w:rPr>
                      <w:rFonts w:ascii="Cambria Math" w:hAnsi="Cambria Math"/>
                      <w:i/>
                    </w:rPr>
                  </m:ctrlPr>
                </m:sub>
              </m:sSub>
              <m:ctrlPr>
                <w:rPr>
                  <w:rFonts w:ascii="Cambria Math" w:hAnsi="Cambria Math"/>
                </w:rPr>
              </m:ctrlPr>
            </m:e>
          </m:nary>
          <m:r>
            <w:rPr>
              <w:rFonts w:ascii="Cambria Math" w:hAnsi="Cambria Math"/>
            </w:rPr>
            <m:t>………..(1)</m:t>
          </m:r>
        </m:oMath>
      </m:oMathPara>
    </w:p>
    <w:p>
      <w:pPr>
        <w:pStyle w:val="58"/>
        <w:ind w:firstLine="420"/>
      </w:pPr>
      <w:r>
        <w:rPr>
          <w:rFonts w:hint="eastAsia"/>
        </w:rPr>
        <w:t>式中：</w:t>
      </w:r>
    </w:p>
    <w:p>
      <w:pPr>
        <w:pStyle w:val="58"/>
        <w:ind w:firstLine="420"/>
      </w:pPr>
      <w:r>
        <w:rPr>
          <w:rFonts w:hint="eastAsia"/>
        </w:rPr>
        <w:t>t  ——一级指标序号；</w:t>
      </w:r>
    </w:p>
    <w:p>
      <w:pPr>
        <w:pStyle w:val="58"/>
        <w:ind w:firstLine="420"/>
      </w:pPr>
      <w:r>
        <w:rPr>
          <w:rFonts w:hint="eastAsia"/>
        </w:rPr>
        <w:t>i  ——二级指标序号；</w:t>
      </w:r>
    </w:p>
    <w:p>
      <w:pPr>
        <w:pStyle w:val="58"/>
        <w:ind w:firstLine="420"/>
      </w:pPr>
      <w:r>
        <w:rPr>
          <w:rFonts w:hint="eastAsia"/>
        </w:rPr>
        <w:t>j  ——三级指标序号；</w:t>
      </w:r>
    </w:p>
    <w:p>
      <w:pPr>
        <w:pStyle w:val="58"/>
        <w:ind w:firstLine="420"/>
      </w:pPr>
      <w:r>
        <w:rPr>
          <w:rFonts w:hint="eastAsia"/>
        </w:rPr>
        <w:t>l  ——第i个二级指标下最大的三级指标序号；</w:t>
      </w:r>
    </w:p>
    <w:p>
      <w:pPr>
        <w:pStyle w:val="58"/>
        <w:ind w:firstLine="420"/>
      </w:pPr>
      <m:oMath>
        <m:sSub>
          <m:sSubPr>
            <m:ctrlPr>
              <w:rPr>
                <w:rFonts w:ascii="Cambria Math" w:hAnsi="Cambria Math"/>
                <w:i/>
              </w:rPr>
            </m:ctrlPr>
          </m:sSubPr>
          <m:e>
            <m:r>
              <w:rPr>
                <w:rFonts w:hint="eastAsia" w:ascii="Cambria Math" w:hAnsi="Cambria Math"/>
              </w:rPr>
              <m:t>F</m:t>
            </m:r>
            <m:ctrlPr>
              <w:rPr>
                <w:rFonts w:ascii="Cambria Math" w:hAnsi="Cambria Math"/>
                <w:i/>
              </w:rPr>
            </m:ctrlPr>
          </m:e>
          <m:sub>
            <m:r>
              <w:rPr>
                <w:rFonts w:hint="eastAsia" w:ascii="Cambria Math" w:hAnsi="Cambria Math"/>
              </w:rPr>
              <m:t>ij</m:t>
            </m:r>
            <m:ctrlPr>
              <w:rPr>
                <w:rFonts w:ascii="Cambria Math" w:hAnsi="Cambria Math"/>
                <w:i/>
              </w:rPr>
            </m:ctrlPr>
          </m:sub>
        </m:sSub>
      </m:oMath>
      <w:r>
        <w:rPr>
          <w:rFonts w:hint="eastAsia"/>
        </w:rPr>
        <w:t xml:space="preserve"> ——第i个二级指标下的第j个三级指标的分数值；</w:t>
      </w:r>
    </w:p>
    <w:p>
      <w:pPr>
        <w:pStyle w:val="58"/>
        <w:ind w:firstLine="420"/>
      </w:pPr>
      <m:oMath>
        <m:sSub>
          <m:sSubPr>
            <m:ctrlPr>
              <w:rPr>
                <w:rFonts w:ascii="Cambria Math" w:hAnsi="Cambria Math"/>
              </w:rPr>
            </m:ctrlPr>
          </m:sSubPr>
          <m:e>
            <m:r>
              <m:rPr>
                <m:sty m:val="p"/>
              </m:rPr>
              <w:rPr>
                <w:rFonts w:hint="eastAsia" w:ascii="Cambria Math" w:hAnsi="Cambria Math"/>
              </w:rPr>
              <m:t>S</m:t>
            </m:r>
            <m:ctrlPr>
              <w:rPr>
                <w:rFonts w:ascii="Cambria Math" w:hAnsi="Cambria Math"/>
              </w:rPr>
            </m:ctrlPr>
          </m:e>
          <m:sub>
            <m:r>
              <w:rPr>
                <w:rFonts w:ascii="Cambria Math" w:hAnsi="Cambria Math"/>
              </w:rPr>
              <m:t>t</m:t>
            </m:r>
            <m:ctrlPr>
              <w:rPr>
                <w:rFonts w:ascii="Cambria Math" w:hAnsi="Cambria Math"/>
              </w:rPr>
            </m:ctrlPr>
          </m:sub>
        </m:sSub>
      </m:oMath>
      <w:r>
        <w:rPr>
          <w:rFonts w:hint="eastAsia"/>
        </w:rPr>
        <w:t xml:space="preserve">  ——第t个一级指标的分数值。</w:t>
      </w:r>
    </w:p>
    <w:p>
      <w:pPr>
        <w:pStyle w:val="58"/>
        <w:ind w:firstLine="420"/>
      </w:pPr>
      <w:r>
        <w:rPr>
          <w:rFonts w:hint="eastAsia"/>
        </w:rPr>
        <w:t>按公式（2）计算出核电厂生态核电评价总分值：</w:t>
      </w:r>
    </w:p>
    <w:p>
      <w:pPr>
        <w:pStyle w:val="115"/>
        <w:rPr>
          <w:rFonts w:hint="eastAsia"/>
        </w:rPr>
      </w:pPr>
      <m:oMathPara>
        <m:oMath>
          <m:r>
            <m:rPr>
              <m:sty m:val="p"/>
            </m:rPr>
            <w:rPr>
              <w:rFonts w:hint="eastAsia" w:ascii="Cambria Math" w:hAnsi="Cambria Math"/>
            </w:rPr>
            <m:t>S</m:t>
          </m:r>
          <m:r>
            <m:rPr>
              <m:sty m:val="p"/>
            </m:rPr>
            <w:rPr>
              <w:rFonts w:ascii="Cambria Math" w:hAnsi="Cambria Math"/>
            </w:rPr>
            <m:t>=</m:t>
          </m:r>
          <m:nary>
            <m:naryPr>
              <m:chr m:val="∑"/>
              <m:limLoc m:val="undOvr"/>
              <m:ctrlPr>
                <w:rPr>
                  <w:rFonts w:ascii="Cambria Math" w:hAnsi="Cambria Math"/>
                </w:rPr>
              </m:ctrlPr>
            </m:naryPr>
            <m:sub>
              <m:ctrlPr>
                <w:rPr>
                  <w:rFonts w:ascii="Cambria Math" w:hAnsi="Cambria Math"/>
                </w:rPr>
              </m:ctrlPr>
            </m:sub>
            <m:sup>
              <m:r>
                <w:rPr>
                  <w:rFonts w:ascii="Cambria Math" w:hAnsi="Cambria Math"/>
                </w:rPr>
                <m:t>3</m:t>
              </m:r>
              <m:ctrlPr>
                <w:rPr>
                  <w:rFonts w:ascii="Cambria Math" w:hAnsi="Cambria Math"/>
                </w:rPr>
              </m:ctrlPr>
            </m:sup>
            <m:e>
              <m:sSub>
                <m:sSubPr>
                  <m:ctrlPr>
                    <w:rPr>
                      <w:rFonts w:ascii="Cambria Math" w:hAnsi="Cambria Math"/>
                      <w:i/>
                    </w:rPr>
                  </m:ctrlPr>
                </m:sSubPr>
                <m:e>
                  <m:r>
                    <w:rPr>
                      <w:rFonts w:hint="eastAsia" w:ascii="Cambria Math" w:hAnsi="Cambria Math"/>
                    </w:rPr>
                    <m:t>S</m:t>
                  </m:r>
                  <m:ctrlPr>
                    <w:rPr>
                      <w:rFonts w:ascii="Cambria Math" w:hAnsi="Cambria Math"/>
                      <w:i/>
                    </w:rPr>
                  </m:ctrlPr>
                </m:e>
                <m:sub>
                  <m:r>
                    <w:rPr>
                      <w:rFonts w:ascii="Cambria Math" w:hAnsi="Cambria Math"/>
                    </w:rPr>
                    <m:t>t</m:t>
                  </m:r>
                  <m:ctrlPr>
                    <w:rPr>
                      <w:rFonts w:ascii="Cambria Math" w:hAnsi="Cambria Math"/>
                      <w:i/>
                    </w:rPr>
                  </m:ctrlPr>
                </m:sub>
              </m:sSub>
              <m:ctrlPr>
                <w:rPr>
                  <w:rFonts w:ascii="Cambria Math" w:hAnsi="Cambria Math"/>
                </w:rPr>
              </m:ctrlPr>
            </m:e>
          </m:nary>
          <m:r>
            <w:rPr>
              <w:rFonts w:ascii="Cambria Math" w:hAnsi="Cambria Math"/>
            </w:rPr>
            <m:t>………(2)</m:t>
          </m:r>
        </m:oMath>
      </m:oMathPara>
    </w:p>
    <w:p>
      <w:pPr>
        <w:pStyle w:val="58"/>
        <w:ind w:firstLine="420"/>
      </w:pPr>
      <w:r>
        <w:rPr>
          <w:rFonts w:hint="eastAsia"/>
        </w:rPr>
        <w:t>式中：</w:t>
      </w:r>
    </w:p>
    <w:p>
      <w:pPr>
        <w:pStyle w:val="58"/>
        <w:ind w:firstLine="420"/>
      </w:pPr>
      <w:r>
        <w:rPr>
          <w:rFonts w:hint="eastAsia"/>
        </w:rPr>
        <w:t>t  ——一级指标序号；</w:t>
      </w:r>
    </w:p>
    <w:p>
      <w:pPr>
        <w:pStyle w:val="58"/>
        <w:ind w:firstLine="420"/>
      </w:pPr>
      <w:r>
        <w:rPr>
          <w:rFonts w:hint="eastAsia"/>
        </w:rPr>
        <w:t>3  ——一级指标的最大序号；</w:t>
      </w:r>
    </w:p>
    <w:p>
      <w:pPr>
        <w:pStyle w:val="58"/>
        <w:ind w:firstLine="420"/>
        <w:rPr>
          <w:kern w:val="2"/>
          <w:szCs w:val="21"/>
        </w:rPr>
      </w:pPr>
      <m:oMath>
        <m:sSub>
          <m:sSubPr>
            <m:ctrlPr>
              <w:rPr>
                <w:rFonts w:ascii="Cambria Math" w:hAnsi="Cambria Math"/>
                <w:i/>
                <w:kern w:val="2"/>
                <w:szCs w:val="21"/>
              </w:rPr>
            </m:ctrlPr>
          </m:sSubPr>
          <m:e>
            <m:r>
              <w:rPr>
                <w:rFonts w:hint="eastAsia" w:ascii="Cambria Math" w:hAnsi="Cambria Math"/>
              </w:rPr>
              <m:t>S</m:t>
            </m:r>
            <m:ctrlPr>
              <w:rPr>
                <w:rFonts w:ascii="Cambria Math" w:hAnsi="Cambria Math"/>
                <w:i/>
                <w:kern w:val="2"/>
                <w:szCs w:val="21"/>
              </w:rPr>
            </m:ctrlPr>
          </m:e>
          <m:sub>
            <m:r>
              <w:rPr>
                <w:rFonts w:ascii="Cambria Math" w:hAnsi="Cambria Math"/>
              </w:rPr>
              <m:t>t</m:t>
            </m:r>
            <m:ctrlPr>
              <w:rPr>
                <w:rFonts w:ascii="Cambria Math" w:hAnsi="Cambria Math"/>
                <w:i/>
                <w:kern w:val="2"/>
                <w:szCs w:val="21"/>
              </w:rPr>
            </m:ctrlPr>
          </m:sub>
        </m:sSub>
      </m:oMath>
      <w:r>
        <w:rPr>
          <w:rFonts w:hint="eastAsia"/>
          <w:kern w:val="2"/>
          <w:szCs w:val="21"/>
        </w:rPr>
        <w:t xml:space="preserve">  ——第t个一级指标的分数值；</w:t>
      </w:r>
    </w:p>
    <w:p>
      <w:pPr>
        <w:pStyle w:val="58"/>
        <w:ind w:firstLine="420"/>
      </w:pPr>
      <m:oMath>
        <m:r>
          <m:rPr>
            <m:sty m:val="p"/>
          </m:rPr>
          <w:rPr>
            <w:rFonts w:hint="eastAsia" w:ascii="Cambria Math" w:hAnsi="Cambria Math"/>
          </w:rPr>
          <m:t>S</m:t>
        </m:r>
      </m:oMath>
      <w:r>
        <w:rPr>
          <w:rFonts w:hint="eastAsia"/>
        </w:rPr>
        <w:t xml:space="preserve">  ——总分值。</w:t>
      </w:r>
    </w:p>
    <w:p>
      <w:pPr>
        <w:pStyle w:val="96"/>
        <w:spacing w:before="120" w:after="120"/>
      </w:pPr>
      <w:r>
        <w:rPr>
          <w:rFonts w:hint="eastAsia"/>
          <w:lang w:val="en-US" w:eastAsia="zh-CN"/>
        </w:rPr>
        <w:t>评价等级</w:t>
      </w:r>
    </w:p>
    <w:p>
      <w:pPr>
        <w:pStyle w:val="58"/>
        <w:ind w:firstLine="420"/>
      </w:pPr>
      <w:r>
        <w:rPr>
          <w:rFonts w:hint="eastAsia"/>
        </w:rPr>
        <w:t>根据4.4.5.2计算得到的总分值，确定核电厂生态核电评价初步等级。</w:t>
      </w:r>
    </w:p>
    <w:p>
      <w:pPr>
        <w:pStyle w:val="96"/>
        <w:spacing w:before="120" w:after="120"/>
      </w:pPr>
      <w:r>
        <w:rPr>
          <w:rFonts w:hint="eastAsia"/>
        </w:rPr>
        <w:t>确认评价等级</w:t>
      </w:r>
    </w:p>
    <w:p>
      <w:pPr>
        <w:pStyle w:val="58"/>
        <w:ind w:firstLine="420"/>
      </w:pPr>
      <w:r>
        <w:rPr>
          <w:rFonts w:hint="eastAsia"/>
        </w:rPr>
        <w:t>评审委员会未予通过的评价等级，需返至评价工作小组重新进行数据分析、核实与评价，根据5.2.4.2计算得到的总分值，经评审委员会复评后，由评审委员会确定核电厂生态核电评价等级。</w:t>
      </w:r>
    </w:p>
    <w:p>
      <w:pPr>
        <w:pStyle w:val="96"/>
        <w:spacing w:before="120" w:after="120"/>
      </w:pPr>
      <w:r>
        <w:rPr>
          <w:rFonts w:hint="eastAsia"/>
        </w:rPr>
        <w:t>撰写评价报告</w:t>
      </w:r>
    </w:p>
    <w:p>
      <w:pPr>
        <w:pStyle w:val="58"/>
        <w:ind w:firstLine="420"/>
      </w:pPr>
      <w:r>
        <w:rPr>
          <w:rFonts w:hint="eastAsia"/>
        </w:rPr>
        <w:t>根据4.4.1~4.4.5的工作内容，从环境影响、资源利用和社会和谐三个维度阐述和分析该核电厂各方面的运行情况，撰写核电厂生态核电初步评价报告。</w:t>
      </w:r>
    </w:p>
    <w:p>
      <w:pPr>
        <w:pStyle w:val="96"/>
        <w:spacing w:before="120" w:after="120"/>
      </w:pPr>
      <w:r>
        <w:rPr>
          <w:rFonts w:hint="eastAsia"/>
        </w:rPr>
        <w:t>资料归档保存</w:t>
      </w:r>
    </w:p>
    <w:p>
      <w:pPr>
        <w:pStyle w:val="58"/>
        <w:ind w:firstLine="420"/>
      </w:pPr>
      <w:r>
        <w:rPr>
          <w:rFonts w:hint="eastAsia"/>
        </w:rPr>
        <w:t>梳理核电厂生态核电评价过程资料，并根据内容进行分类归档保存。</w:t>
      </w:r>
    </w:p>
    <w:p>
      <w:pPr>
        <w:pStyle w:val="67"/>
        <w:spacing w:before="120" w:after="120"/>
      </w:pPr>
      <w:r>
        <w:rPr>
          <w:rFonts w:hint="eastAsia"/>
        </w:rPr>
        <w:t>发送评价报告</w:t>
      </w:r>
    </w:p>
    <w:p>
      <w:pPr>
        <w:pStyle w:val="58"/>
        <w:ind w:firstLine="420"/>
      </w:pPr>
      <w:r>
        <w:rPr>
          <w:rFonts w:hint="eastAsia"/>
        </w:rPr>
        <w:t>向规划设计、工程建设、运营及退役单位发送核电厂生态核电初步评价等级通知书和评价报告，评价结果有效期一般为三年。</w:t>
      </w:r>
    </w:p>
    <w:p>
      <w:pPr>
        <w:pStyle w:val="67"/>
        <w:spacing w:before="120" w:after="120"/>
      </w:pPr>
      <w:r>
        <w:rPr>
          <w:rFonts w:hint="eastAsia"/>
        </w:rPr>
        <w:t>跟踪评价</w:t>
      </w:r>
    </w:p>
    <w:p>
      <w:pPr>
        <w:pStyle w:val="58"/>
        <w:ind w:firstLine="420"/>
      </w:pPr>
      <w:r>
        <w:rPr>
          <w:rFonts w:hint="eastAsia"/>
        </w:rPr>
        <w:t>根据</w:t>
      </w:r>
      <w:r>
        <w:rPr>
          <w:rFonts w:hint="eastAsia"/>
          <w:lang w:eastAsia="zh-CN"/>
        </w:rPr>
        <w:t>委托评价</w:t>
      </w:r>
      <w:r>
        <w:rPr>
          <w:rFonts w:hint="eastAsia"/>
        </w:rPr>
        <w:t>单位在生态核电评价指标方面的改进及表现情况，在第三年对核电厂进行跟踪复审或同行评审，决定是否取消评级或调整评价等级。</w:t>
      </w:r>
    </w:p>
    <w:bookmarkEnd w:id="24"/>
    <w:p>
      <w:pPr>
        <w:pStyle w:val="246"/>
        <w:adjustRightInd/>
        <w:spacing w:line="240" w:lineRule="auto"/>
        <w:rPr>
          <w:rFonts w:hAnsi="Times New Roman"/>
        </w:rPr>
      </w:pPr>
      <w:bookmarkStart w:id="53" w:name="_Toc205919919"/>
      <w:bookmarkStart w:id="54" w:name="BookMark8"/>
      <w:r>
        <w:rPr>
          <w:rFonts w:hint="eastAsia" w:hAnsi="Times New Roman"/>
        </w:rPr>
        <w:t>参考文件</w:t>
      </w:r>
      <w:bookmarkEnd w:id="53"/>
    </w:p>
    <w:bookmarkEnd w:id="54"/>
    <w:p>
      <w:pPr>
        <w:adjustRightInd/>
        <w:snapToGrid w:val="0"/>
        <w:spacing w:line="300" w:lineRule="auto"/>
        <w:jc w:val="center"/>
        <w:rPr>
          <w:rFonts w:hint="eastAsia" w:ascii="宋体" w:hAnsi="宋体" w:cs="宋体"/>
          <w:bCs/>
          <w:sz w:val="28"/>
          <w:szCs w:val="28"/>
        </w:rPr>
      </w:pPr>
      <w:r>
        <w:drawing>
          <wp:inline distT="0" distB="0" distL="114300" distR="114300">
            <wp:extent cx="1485900" cy="317500"/>
            <wp:effectExtent l="0" t="0" r="0" b="0"/>
            <wp:docPr id="10" name="图片 3"/>
            <wp:cNvGraphicFramePr/>
            <a:graphic xmlns:a="http://schemas.openxmlformats.org/drawingml/2006/main">
              <a:graphicData uri="http://schemas.openxmlformats.org/drawingml/2006/picture">
                <pic:pic xmlns:pic="http://schemas.openxmlformats.org/drawingml/2006/picture">
                  <pic:nvPicPr>
                    <pic:cNvPr id="10" name="图片 3"/>
                    <pic:cNvPicPr/>
                  </pic:nvPicPr>
                  <pic:blipFill>
                    <a:blip r:embed="rId14"/>
                    <a:stretch>
                      <a:fillRect/>
                    </a:stretch>
                  </pic:blipFill>
                  <pic:spPr>
                    <a:xfrm>
                      <a:off x="0" y="0"/>
                      <a:ext cx="1485900" cy="317500"/>
                    </a:xfrm>
                    <a:prstGeom prst="rect">
                      <a:avLst/>
                    </a:prstGeom>
                    <a:noFill/>
                    <a:ln>
                      <a:noFill/>
                    </a:ln>
                  </pic:spPr>
                </pic:pic>
              </a:graphicData>
            </a:graphic>
          </wp:inline>
        </w:drawing>
      </w:r>
    </w:p>
    <w:p>
      <w:pPr>
        <w:jc w:val="center"/>
        <w:rPr>
          <w:rFonts w:ascii="黑体" w:eastAsia="黑体"/>
          <w:color w:val="000000"/>
        </w:rPr>
      </w:pPr>
    </w:p>
    <w:sectPr>
      <w:pgSz w:w="11906" w:h="16838"/>
      <w:pgMar w:top="1928" w:right="1134" w:bottom="1134" w:left="1134" w:header="1418" w:footer="1134" w:gutter="284"/>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fldChar w:fldCharType="begin"/>
    </w:r>
    <w:r>
      <w:instrText xml:space="preserve"> STYLEREF  标准文件_文件编号  \* MERGEFORMAT </w:instrText>
    </w:r>
    <w:r>
      <w:fldChar w:fldCharType="separate"/>
    </w:r>
    <w:r>
      <w:rPr>
        <w:rFonts w:hint="eastAsia"/>
      </w:rP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1266"/>
        </w:tabs>
        <w:ind w:left="1266" w:hanging="426"/>
      </w:pPr>
      <w:rPr>
        <w:rFonts w:hint="eastAsia" w:ascii="宋体" w:hAnsi="Times New Roman" w:eastAsia="宋体"/>
        <w:b w:val="0"/>
        <w:i w:val="0"/>
        <w:sz w:val="21"/>
      </w:rPr>
    </w:lvl>
    <w:lvl w:ilvl="1" w:tentative="0">
      <w:start w:val="1"/>
      <w:numFmt w:val="none"/>
      <w:pStyle w:val="189"/>
      <w:lvlText w:val=""/>
      <w:lvlJc w:val="left"/>
      <w:pPr>
        <w:ind w:left="1266" w:hanging="431"/>
      </w:pPr>
      <w:rPr>
        <w:rFonts w:hint="default" w:ascii="Symbol" w:hAnsi="Symbol"/>
        <w:sz w:val="21"/>
      </w:rPr>
    </w:lvl>
    <w:lvl w:ilvl="2" w:tentative="0">
      <w:start w:val="1"/>
      <w:numFmt w:val="bullet"/>
      <w:pStyle w:val="174"/>
      <w:lvlText w:val=""/>
      <w:lvlJc w:val="left"/>
      <w:pPr>
        <w:ind w:left="1266" w:hanging="426"/>
      </w:pPr>
      <w:rPr>
        <w:rFonts w:hint="default" w:ascii="Wingdings" w:hAnsi="Wingdings"/>
        <w:sz w:val="21"/>
      </w:rPr>
    </w:lvl>
    <w:lvl w:ilvl="3" w:tentative="0">
      <w:start w:val="1"/>
      <w:numFmt w:val="decimal"/>
      <w:lvlText w:val="%4."/>
      <w:lvlJc w:val="left"/>
      <w:pPr>
        <w:tabs>
          <w:tab w:val="left" w:pos="2486"/>
        </w:tabs>
        <w:ind w:left="2299" w:hanging="528"/>
      </w:pPr>
      <w:rPr>
        <w:rFonts w:hint="eastAsia"/>
      </w:rPr>
    </w:lvl>
    <w:lvl w:ilvl="4" w:tentative="0">
      <w:start w:val="1"/>
      <w:numFmt w:val="lowerLetter"/>
      <w:lvlText w:val="%5)"/>
      <w:lvlJc w:val="left"/>
      <w:pPr>
        <w:tabs>
          <w:tab w:val="left" w:pos="2798"/>
        </w:tabs>
        <w:ind w:left="2611" w:hanging="528"/>
      </w:pPr>
      <w:rPr>
        <w:rFonts w:hint="eastAsia"/>
      </w:rPr>
    </w:lvl>
    <w:lvl w:ilvl="5" w:tentative="0">
      <w:start w:val="1"/>
      <w:numFmt w:val="lowerRoman"/>
      <w:lvlText w:val="%6."/>
      <w:lvlJc w:val="right"/>
      <w:pPr>
        <w:tabs>
          <w:tab w:val="left" w:pos="3110"/>
        </w:tabs>
        <w:ind w:left="2923" w:hanging="528"/>
      </w:pPr>
      <w:rPr>
        <w:rFonts w:hint="eastAsia"/>
      </w:rPr>
    </w:lvl>
    <w:lvl w:ilvl="6" w:tentative="0">
      <w:start w:val="1"/>
      <w:numFmt w:val="decimal"/>
      <w:lvlText w:val="%7."/>
      <w:lvlJc w:val="left"/>
      <w:pPr>
        <w:tabs>
          <w:tab w:val="left" w:pos="3422"/>
        </w:tabs>
        <w:ind w:left="3235" w:hanging="528"/>
      </w:pPr>
      <w:rPr>
        <w:rFonts w:hint="eastAsia"/>
      </w:rPr>
    </w:lvl>
    <w:lvl w:ilvl="7" w:tentative="0">
      <w:start w:val="1"/>
      <w:numFmt w:val="lowerLetter"/>
      <w:lvlText w:val="%8)"/>
      <w:lvlJc w:val="left"/>
      <w:pPr>
        <w:tabs>
          <w:tab w:val="left" w:pos="3734"/>
        </w:tabs>
        <w:ind w:left="3547" w:hanging="528"/>
      </w:pPr>
      <w:rPr>
        <w:rFonts w:hint="eastAsia"/>
      </w:rPr>
    </w:lvl>
    <w:lvl w:ilvl="8" w:tentative="0">
      <w:start w:val="1"/>
      <w:numFmt w:val="lowerRoman"/>
      <w:lvlText w:val="%9."/>
      <w:lvlJc w:val="right"/>
      <w:pPr>
        <w:tabs>
          <w:tab w:val="left" w:pos="4046"/>
        </w:tabs>
        <w:ind w:left="3859"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937"/>
        </w:tabs>
        <w:ind w:left="1555"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18"/>
  </w:num>
  <w:num w:numId="5">
    <w:abstractNumId w:val="23"/>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attachedTemplate r:id="rId1"/>
  <w:documentProtection w:edit="forms" w:enforcement="1"/>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1YTdlNDUzZTQwZjNmNzU3YmExM2FlNTE0ZGFjOGIifQ=="/>
  </w:docVars>
  <w:rsids>
    <w:rsidRoot w:val="00916AD8"/>
    <w:rsid w:val="0000040A"/>
    <w:rsid w:val="00000A94"/>
    <w:rsid w:val="00001972"/>
    <w:rsid w:val="00001D9A"/>
    <w:rsid w:val="0000219A"/>
    <w:rsid w:val="00002554"/>
    <w:rsid w:val="00007B3A"/>
    <w:rsid w:val="000107E0"/>
    <w:rsid w:val="00011FDE"/>
    <w:rsid w:val="00012DA5"/>
    <w:rsid w:val="00012EC1"/>
    <w:rsid w:val="00012FFD"/>
    <w:rsid w:val="00014162"/>
    <w:rsid w:val="00014340"/>
    <w:rsid w:val="00016A9C"/>
    <w:rsid w:val="00017B9D"/>
    <w:rsid w:val="000208D9"/>
    <w:rsid w:val="00020D82"/>
    <w:rsid w:val="00022184"/>
    <w:rsid w:val="00022762"/>
    <w:rsid w:val="000238E0"/>
    <w:rsid w:val="00023CC9"/>
    <w:rsid w:val="000241CE"/>
    <w:rsid w:val="000249DB"/>
    <w:rsid w:val="0002595E"/>
    <w:rsid w:val="000302E2"/>
    <w:rsid w:val="000303C3"/>
    <w:rsid w:val="000331D3"/>
    <w:rsid w:val="000346A5"/>
    <w:rsid w:val="000347B1"/>
    <w:rsid w:val="000359C3"/>
    <w:rsid w:val="00035A7D"/>
    <w:rsid w:val="000362E6"/>
    <w:rsid w:val="000365ED"/>
    <w:rsid w:val="0004249A"/>
    <w:rsid w:val="00043282"/>
    <w:rsid w:val="00044286"/>
    <w:rsid w:val="000442C8"/>
    <w:rsid w:val="00047F28"/>
    <w:rsid w:val="000503AA"/>
    <w:rsid w:val="000506A1"/>
    <w:rsid w:val="000515DD"/>
    <w:rsid w:val="0005265A"/>
    <w:rsid w:val="000529A7"/>
    <w:rsid w:val="00053566"/>
    <w:rsid w:val="000539DD"/>
    <w:rsid w:val="00053BD3"/>
    <w:rsid w:val="00053E34"/>
    <w:rsid w:val="00054F69"/>
    <w:rsid w:val="000556ED"/>
    <w:rsid w:val="00055FE2"/>
    <w:rsid w:val="0005616F"/>
    <w:rsid w:val="000566C9"/>
    <w:rsid w:val="00060C2E"/>
    <w:rsid w:val="00061033"/>
    <w:rsid w:val="000619E9"/>
    <w:rsid w:val="000622D4"/>
    <w:rsid w:val="0006357D"/>
    <w:rsid w:val="00067875"/>
    <w:rsid w:val="00067F1E"/>
    <w:rsid w:val="00071CC0"/>
    <w:rsid w:val="00071CFC"/>
    <w:rsid w:val="000736D7"/>
    <w:rsid w:val="00073C8C"/>
    <w:rsid w:val="00075971"/>
    <w:rsid w:val="00075B6E"/>
    <w:rsid w:val="00076E4C"/>
    <w:rsid w:val="0007747A"/>
    <w:rsid w:val="00077B64"/>
    <w:rsid w:val="00080A1C"/>
    <w:rsid w:val="00080ED1"/>
    <w:rsid w:val="00081291"/>
    <w:rsid w:val="000819AE"/>
    <w:rsid w:val="00082317"/>
    <w:rsid w:val="00083528"/>
    <w:rsid w:val="00083D2C"/>
    <w:rsid w:val="00084B73"/>
    <w:rsid w:val="00086AA1"/>
    <w:rsid w:val="00087A77"/>
    <w:rsid w:val="00090CA6"/>
    <w:rsid w:val="0009278D"/>
    <w:rsid w:val="00092B8A"/>
    <w:rsid w:val="00092FB0"/>
    <w:rsid w:val="0009327E"/>
    <w:rsid w:val="000934C5"/>
    <w:rsid w:val="00093D25"/>
    <w:rsid w:val="00093DAB"/>
    <w:rsid w:val="0009415F"/>
    <w:rsid w:val="00094D73"/>
    <w:rsid w:val="00095472"/>
    <w:rsid w:val="000961E0"/>
    <w:rsid w:val="00096D63"/>
    <w:rsid w:val="00097DDA"/>
    <w:rsid w:val="000A0B60"/>
    <w:rsid w:val="000A0EB8"/>
    <w:rsid w:val="000A0ED4"/>
    <w:rsid w:val="000A19FC"/>
    <w:rsid w:val="000A251D"/>
    <w:rsid w:val="000A296B"/>
    <w:rsid w:val="000A301D"/>
    <w:rsid w:val="000A4DD2"/>
    <w:rsid w:val="000A5139"/>
    <w:rsid w:val="000A7311"/>
    <w:rsid w:val="000B060F"/>
    <w:rsid w:val="000B1592"/>
    <w:rsid w:val="000B1A30"/>
    <w:rsid w:val="000B1FF2"/>
    <w:rsid w:val="000B20E1"/>
    <w:rsid w:val="000B35CF"/>
    <w:rsid w:val="000B3CDA"/>
    <w:rsid w:val="000B6A0B"/>
    <w:rsid w:val="000B6CA3"/>
    <w:rsid w:val="000C0F6C"/>
    <w:rsid w:val="000C11DB"/>
    <w:rsid w:val="000C1492"/>
    <w:rsid w:val="000C190B"/>
    <w:rsid w:val="000C252D"/>
    <w:rsid w:val="000C2F55"/>
    <w:rsid w:val="000C2FBD"/>
    <w:rsid w:val="000C3AF0"/>
    <w:rsid w:val="000C4B41"/>
    <w:rsid w:val="000C57D6"/>
    <w:rsid w:val="000C6362"/>
    <w:rsid w:val="000C7170"/>
    <w:rsid w:val="000C7666"/>
    <w:rsid w:val="000C776D"/>
    <w:rsid w:val="000D0A9C"/>
    <w:rsid w:val="000D1499"/>
    <w:rsid w:val="000D1795"/>
    <w:rsid w:val="000D329A"/>
    <w:rsid w:val="000D4B9C"/>
    <w:rsid w:val="000D4EB6"/>
    <w:rsid w:val="000D5EB8"/>
    <w:rsid w:val="000D753B"/>
    <w:rsid w:val="000E045D"/>
    <w:rsid w:val="000E4C9E"/>
    <w:rsid w:val="000E4E28"/>
    <w:rsid w:val="000E5D2A"/>
    <w:rsid w:val="000E6FD7"/>
    <w:rsid w:val="000E7144"/>
    <w:rsid w:val="000F0696"/>
    <w:rsid w:val="000F06E1"/>
    <w:rsid w:val="000F0E3C"/>
    <w:rsid w:val="000F19D5"/>
    <w:rsid w:val="000F1AFF"/>
    <w:rsid w:val="000F4050"/>
    <w:rsid w:val="000F4AEA"/>
    <w:rsid w:val="000F67E9"/>
    <w:rsid w:val="0010189C"/>
    <w:rsid w:val="00101D55"/>
    <w:rsid w:val="00104926"/>
    <w:rsid w:val="00105AAE"/>
    <w:rsid w:val="00106A0A"/>
    <w:rsid w:val="00111BC7"/>
    <w:rsid w:val="00112CC3"/>
    <w:rsid w:val="00113B1E"/>
    <w:rsid w:val="00113C00"/>
    <w:rsid w:val="001154D2"/>
    <w:rsid w:val="0011653E"/>
    <w:rsid w:val="001165FC"/>
    <w:rsid w:val="00116F27"/>
    <w:rsid w:val="0011711C"/>
    <w:rsid w:val="00121601"/>
    <w:rsid w:val="00124E4F"/>
    <w:rsid w:val="001257C7"/>
    <w:rsid w:val="001260B7"/>
    <w:rsid w:val="001265CB"/>
    <w:rsid w:val="00130C20"/>
    <w:rsid w:val="0013217D"/>
    <w:rsid w:val="001321C6"/>
    <w:rsid w:val="001325C4"/>
    <w:rsid w:val="00132618"/>
    <w:rsid w:val="00133010"/>
    <w:rsid w:val="001338EE"/>
    <w:rsid w:val="00133AAE"/>
    <w:rsid w:val="00134B4C"/>
    <w:rsid w:val="00135323"/>
    <w:rsid w:val="001356C4"/>
    <w:rsid w:val="00137565"/>
    <w:rsid w:val="00141114"/>
    <w:rsid w:val="0014272D"/>
    <w:rsid w:val="00142969"/>
    <w:rsid w:val="00143B02"/>
    <w:rsid w:val="001446C2"/>
    <w:rsid w:val="001457E7"/>
    <w:rsid w:val="00145D9D"/>
    <w:rsid w:val="00146388"/>
    <w:rsid w:val="001529E5"/>
    <w:rsid w:val="00152B96"/>
    <w:rsid w:val="00152FB3"/>
    <w:rsid w:val="0015356A"/>
    <w:rsid w:val="00153815"/>
    <w:rsid w:val="0015397F"/>
    <w:rsid w:val="00153C7E"/>
    <w:rsid w:val="00154CEC"/>
    <w:rsid w:val="00155B0E"/>
    <w:rsid w:val="00156B25"/>
    <w:rsid w:val="00156B76"/>
    <w:rsid w:val="00156E1A"/>
    <w:rsid w:val="00157894"/>
    <w:rsid w:val="00157B55"/>
    <w:rsid w:val="00163563"/>
    <w:rsid w:val="001642FA"/>
    <w:rsid w:val="001649EB"/>
    <w:rsid w:val="00164BAF"/>
    <w:rsid w:val="00164FA8"/>
    <w:rsid w:val="00165065"/>
    <w:rsid w:val="00165434"/>
    <w:rsid w:val="0016580B"/>
    <w:rsid w:val="00165CE5"/>
    <w:rsid w:val="00165F49"/>
    <w:rsid w:val="00166B88"/>
    <w:rsid w:val="0016770A"/>
    <w:rsid w:val="00170804"/>
    <w:rsid w:val="001708E9"/>
    <w:rsid w:val="00171162"/>
    <w:rsid w:val="00172CE3"/>
    <w:rsid w:val="0017340B"/>
    <w:rsid w:val="00173FB1"/>
    <w:rsid w:val="00176DFD"/>
    <w:rsid w:val="00176E93"/>
    <w:rsid w:val="00177690"/>
    <w:rsid w:val="0018180A"/>
    <w:rsid w:val="001852C9"/>
    <w:rsid w:val="00185CC6"/>
    <w:rsid w:val="001871BD"/>
    <w:rsid w:val="00187A0B"/>
    <w:rsid w:val="00190087"/>
    <w:rsid w:val="001913C4"/>
    <w:rsid w:val="001926A8"/>
    <w:rsid w:val="0019348F"/>
    <w:rsid w:val="00193A07"/>
    <w:rsid w:val="001942A6"/>
    <w:rsid w:val="00194C95"/>
    <w:rsid w:val="00195C34"/>
    <w:rsid w:val="00196EF5"/>
    <w:rsid w:val="001A1A53"/>
    <w:rsid w:val="001A234A"/>
    <w:rsid w:val="001A2900"/>
    <w:rsid w:val="001A37E1"/>
    <w:rsid w:val="001A3E07"/>
    <w:rsid w:val="001A4CF3"/>
    <w:rsid w:val="001A6696"/>
    <w:rsid w:val="001A6EF7"/>
    <w:rsid w:val="001B06E8"/>
    <w:rsid w:val="001B2C27"/>
    <w:rsid w:val="001B52F2"/>
    <w:rsid w:val="001B58BB"/>
    <w:rsid w:val="001B71D0"/>
    <w:rsid w:val="001B71EE"/>
    <w:rsid w:val="001C04A8"/>
    <w:rsid w:val="001C0E14"/>
    <w:rsid w:val="001C2C03"/>
    <w:rsid w:val="001C42F7"/>
    <w:rsid w:val="001C49E5"/>
    <w:rsid w:val="001C680C"/>
    <w:rsid w:val="001C7FEA"/>
    <w:rsid w:val="001D0499"/>
    <w:rsid w:val="001D0BBE"/>
    <w:rsid w:val="001D0ED4"/>
    <w:rsid w:val="001D1E07"/>
    <w:rsid w:val="001D212F"/>
    <w:rsid w:val="001D29D7"/>
    <w:rsid w:val="001D2DE7"/>
    <w:rsid w:val="001D3D1A"/>
    <w:rsid w:val="001D411C"/>
    <w:rsid w:val="001D44A9"/>
    <w:rsid w:val="001E1B6A"/>
    <w:rsid w:val="001E2484"/>
    <w:rsid w:val="001E2D90"/>
    <w:rsid w:val="001E3CC4"/>
    <w:rsid w:val="001E4882"/>
    <w:rsid w:val="001E4CA5"/>
    <w:rsid w:val="001E4F1A"/>
    <w:rsid w:val="001E73AB"/>
    <w:rsid w:val="001E7C7E"/>
    <w:rsid w:val="001E7FB8"/>
    <w:rsid w:val="001F08F2"/>
    <w:rsid w:val="001F092D"/>
    <w:rsid w:val="001F1034"/>
    <w:rsid w:val="001F13FC"/>
    <w:rsid w:val="001F143A"/>
    <w:rsid w:val="001F1605"/>
    <w:rsid w:val="001F2508"/>
    <w:rsid w:val="001F4816"/>
    <w:rsid w:val="001F5714"/>
    <w:rsid w:val="001F6052"/>
    <w:rsid w:val="001F69B4"/>
    <w:rsid w:val="001F77C7"/>
    <w:rsid w:val="00200183"/>
    <w:rsid w:val="00200333"/>
    <w:rsid w:val="0020107D"/>
    <w:rsid w:val="00202AA4"/>
    <w:rsid w:val="002031F7"/>
    <w:rsid w:val="0020383D"/>
    <w:rsid w:val="002040E6"/>
    <w:rsid w:val="0020527B"/>
    <w:rsid w:val="0020586B"/>
    <w:rsid w:val="00205F2C"/>
    <w:rsid w:val="00206D3C"/>
    <w:rsid w:val="00210B15"/>
    <w:rsid w:val="00211E69"/>
    <w:rsid w:val="00211F49"/>
    <w:rsid w:val="002142EA"/>
    <w:rsid w:val="00214919"/>
    <w:rsid w:val="00215ADD"/>
    <w:rsid w:val="002163EC"/>
    <w:rsid w:val="00217963"/>
    <w:rsid w:val="002204BB"/>
    <w:rsid w:val="00221063"/>
    <w:rsid w:val="00221B79"/>
    <w:rsid w:val="00221C6B"/>
    <w:rsid w:val="00223705"/>
    <w:rsid w:val="002253A1"/>
    <w:rsid w:val="00225CF8"/>
    <w:rsid w:val="002264D0"/>
    <w:rsid w:val="0022735C"/>
    <w:rsid w:val="0022794E"/>
    <w:rsid w:val="00231CEB"/>
    <w:rsid w:val="00233D64"/>
    <w:rsid w:val="0023482A"/>
    <w:rsid w:val="002359CB"/>
    <w:rsid w:val="00235AF9"/>
    <w:rsid w:val="00241B5E"/>
    <w:rsid w:val="00243540"/>
    <w:rsid w:val="0024472B"/>
    <w:rsid w:val="0024497B"/>
    <w:rsid w:val="0024515B"/>
    <w:rsid w:val="00246021"/>
    <w:rsid w:val="0024666E"/>
    <w:rsid w:val="00247F52"/>
    <w:rsid w:val="00250288"/>
    <w:rsid w:val="00250B25"/>
    <w:rsid w:val="00250BBE"/>
    <w:rsid w:val="002515C2"/>
    <w:rsid w:val="0025194F"/>
    <w:rsid w:val="00255453"/>
    <w:rsid w:val="00257695"/>
    <w:rsid w:val="002577B0"/>
    <w:rsid w:val="0026148A"/>
    <w:rsid w:val="00262696"/>
    <w:rsid w:val="00262B71"/>
    <w:rsid w:val="00262F15"/>
    <w:rsid w:val="00263B8A"/>
    <w:rsid w:val="00263D25"/>
    <w:rsid w:val="00263D8C"/>
    <w:rsid w:val="002643C3"/>
    <w:rsid w:val="00264A0C"/>
    <w:rsid w:val="00266C8C"/>
    <w:rsid w:val="00266EEB"/>
    <w:rsid w:val="00267EF4"/>
    <w:rsid w:val="002704AC"/>
    <w:rsid w:val="00270CB8"/>
    <w:rsid w:val="00272B08"/>
    <w:rsid w:val="00272B62"/>
    <w:rsid w:val="00273A90"/>
    <w:rsid w:val="00276AEA"/>
    <w:rsid w:val="00280454"/>
    <w:rsid w:val="00281BB8"/>
    <w:rsid w:val="00281E9E"/>
    <w:rsid w:val="00282405"/>
    <w:rsid w:val="00285170"/>
    <w:rsid w:val="00285361"/>
    <w:rsid w:val="002865F0"/>
    <w:rsid w:val="00291097"/>
    <w:rsid w:val="00292D60"/>
    <w:rsid w:val="00293B30"/>
    <w:rsid w:val="00294945"/>
    <w:rsid w:val="00294D34"/>
    <w:rsid w:val="00294E3B"/>
    <w:rsid w:val="0029586E"/>
    <w:rsid w:val="00296193"/>
    <w:rsid w:val="0029671B"/>
    <w:rsid w:val="00296C66"/>
    <w:rsid w:val="00296EBE"/>
    <w:rsid w:val="002974E3"/>
    <w:rsid w:val="00297A96"/>
    <w:rsid w:val="002A084B"/>
    <w:rsid w:val="002A084D"/>
    <w:rsid w:val="002A1260"/>
    <w:rsid w:val="002A1589"/>
    <w:rsid w:val="002A1608"/>
    <w:rsid w:val="002A25DC"/>
    <w:rsid w:val="002A2D41"/>
    <w:rsid w:val="002A2EF5"/>
    <w:rsid w:val="002A3AAB"/>
    <w:rsid w:val="002A4CEA"/>
    <w:rsid w:val="002A5194"/>
    <w:rsid w:val="002A5977"/>
    <w:rsid w:val="002A5A13"/>
    <w:rsid w:val="002A757F"/>
    <w:rsid w:val="002A7F44"/>
    <w:rsid w:val="002B0C40"/>
    <w:rsid w:val="002B1966"/>
    <w:rsid w:val="002B4508"/>
    <w:rsid w:val="002B4FE0"/>
    <w:rsid w:val="002B5779"/>
    <w:rsid w:val="002B66CC"/>
    <w:rsid w:val="002B691A"/>
    <w:rsid w:val="002B6EB1"/>
    <w:rsid w:val="002B7332"/>
    <w:rsid w:val="002B7F51"/>
    <w:rsid w:val="002C09E7"/>
    <w:rsid w:val="002C1E06"/>
    <w:rsid w:val="002C2DE4"/>
    <w:rsid w:val="002C30D5"/>
    <w:rsid w:val="002C3F07"/>
    <w:rsid w:val="002C5278"/>
    <w:rsid w:val="002C5F57"/>
    <w:rsid w:val="002C766A"/>
    <w:rsid w:val="002C7EBB"/>
    <w:rsid w:val="002D06C1"/>
    <w:rsid w:val="002D35C3"/>
    <w:rsid w:val="002D42B5"/>
    <w:rsid w:val="002D4F1A"/>
    <w:rsid w:val="002D6EC6"/>
    <w:rsid w:val="002D79AC"/>
    <w:rsid w:val="002E039D"/>
    <w:rsid w:val="002E4367"/>
    <w:rsid w:val="002E4D5A"/>
    <w:rsid w:val="002E5FB0"/>
    <w:rsid w:val="002E6326"/>
    <w:rsid w:val="002F30E0"/>
    <w:rsid w:val="002F35E4"/>
    <w:rsid w:val="002F3730"/>
    <w:rsid w:val="002F38E1"/>
    <w:rsid w:val="002F4E49"/>
    <w:rsid w:val="002F7AF6"/>
    <w:rsid w:val="00300E63"/>
    <w:rsid w:val="00302F5F"/>
    <w:rsid w:val="00303A88"/>
    <w:rsid w:val="0030441D"/>
    <w:rsid w:val="00306063"/>
    <w:rsid w:val="00306CFE"/>
    <w:rsid w:val="0031316E"/>
    <w:rsid w:val="00313B85"/>
    <w:rsid w:val="003145BB"/>
    <w:rsid w:val="0031718E"/>
    <w:rsid w:val="00317988"/>
    <w:rsid w:val="003221B4"/>
    <w:rsid w:val="0032258D"/>
    <w:rsid w:val="00322DB3"/>
    <w:rsid w:val="00322E62"/>
    <w:rsid w:val="0032344A"/>
    <w:rsid w:val="00323461"/>
    <w:rsid w:val="003236E9"/>
    <w:rsid w:val="00324D13"/>
    <w:rsid w:val="00324EDD"/>
    <w:rsid w:val="00327FF4"/>
    <w:rsid w:val="003331E4"/>
    <w:rsid w:val="003344C2"/>
    <w:rsid w:val="0033520F"/>
    <w:rsid w:val="00336457"/>
    <w:rsid w:val="003365EC"/>
    <w:rsid w:val="00336654"/>
    <w:rsid w:val="00336C64"/>
    <w:rsid w:val="00337162"/>
    <w:rsid w:val="0034194F"/>
    <w:rsid w:val="00343B9C"/>
    <w:rsid w:val="00344605"/>
    <w:rsid w:val="003474AA"/>
    <w:rsid w:val="00347543"/>
    <w:rsid w:val="00347D5F"/>
    <w:rsid w:val="00350D1D"/>
    <w:rsid w:val="00352C83"/>
    <w:rsid w:val="00352F1A"/>
    <w:rsid w:val="003609AA"/>
    <w:rsid w:val="0036107C"/>
    <w:rsid w:val="00361255"/>
    <w:rsid w:val="003615D2"/>
    <w:rsid w:val="0036429C"/>
    <w:rsid w:val="003646D0"/>
    <w:rsid w:val="00364A53"/>
    <w:rsid w:val="003654CB"/>
    <w:rsid w:val="00365AA9"/>
    <w:rsid w:val="00365F86"/>
    <w:rsid w:val="00365F87"/>
    <w:rsid w:val="003664ED"/>
    <w:rsid w:val="00366E89"/>
    <w:rsid w:val="003670F8"/>
    <w:rsid w:val="003705F4"/>
    <w:rsid w:val="00370D58"/>
    <w:rsid w:val="00371316"/>
    <w:rsid w:val="00373525"/>
    <w:rsid w:val="00375A31"/>
    <w:rsid w:val="00376078"/>
    <w:rsid w:val="00376713"/>
    <w:rsid w:val="00377E56"/>
    <w:rsid w:val="00381815"/>
    <w:rsid w:val="003819AF"/>
    <w:rsid w:val="003820E9"/>
    <w:rsid w:val="00382DE7"/>
    <w:rsid w:val="00384FFC"/>
    <w:rsid w:val="003872FC"/>
    <w:rsid w:val="00387447"/>
    <w:rsid w:val="00387ADC"/>
    <w:rsid w:val="00387FC5"/>
    <w:rsid w:val="00390020"/>
    <w:rsid w:val="003903D6"/>
    <w:rsid w:val="00390EE6"/>
    <w:rsid w:val="0039118F"/>
    <w:rsid w:val="0039264E"/>
    <w:rsid w:val="00392AD7"/>
    <w:rsid w:val="003938D9"/>
    <w:rsid w:val="00394376"/>
    <w:rsid w:val="003943FF"/>
    <w:rsid w:val="003957FC"/>
    <w:rsid w:val="003964EC"/>
    <w:rsid w:val="003974EB"/>
    <w:rsid w:val="00397CC5"/>
    <w:rsid w:val="003A11D1"/>
    <w:rsid w:val="003A1582"/>
    <w:rsid w:val="003A3D9C"/>
    <w:rsid w:val="003A3DE7"/>
    <w:rsid w:val="003A4077"/>
    <w:rsid w:val="003A4AA7"/>
    <w:rsid w:val="003A5B5B"/>
    <w:rsid w:val="003A6F09"/>
    <w:rsid w:val="003A7852"/>
    <w:rsid w:val="003A7995"/>
    <w:rsid w:val="003B09AD"/>
    <w:rsid w:val="003B0DEC"/>
    <w:rsid w:val="003B1F18"/>
    <w:rsid w:val="003B2676"/>
    <w:rsid w:val="003B2A2D"/>
    <w:rsid w:val="003B5BF0"/>
    <w:rsid w:val="003B60BF"/>
    <w:rsid w:val="003B6591"/>
    <w:rsid w:val="003B6BE3"/>
    <w:rsid w:val="003B7A08"/>
    <w:rsid w:val="003C008C"/>
    <w:rsid w:val="003C010C"/>
    <w:rsid w:val="003C0A6C"/>
    <w:rsid w:val="003C14F8"/>
    <w:rsid w:val="003C157E"/>
    <w:rsid w:val="003C1BFF"/>
    <w:rsid w:val="003C2516"/>
    <w:rsid w:val="003C4DA5"/>
    <w:rsid w:val="003C5594"/>
    <w:rsid w:val="003C5A43"/>
    <w:rsid w:val="003C65F9"/>
    <w:rsid w:val="003C78C7"/>
    <w:rsid w:val="003D0519"/>
    <w:rsid w:val="003D0FF6"/>
    <w:rsid w:val="003D171E"/>
    <w:rsid w:val="003D1A89"/>
    <w:rsid w:val="003D262C"/>
    <w:rsid w:val="003D3C73"/>
    <w:rsid w:val="003D4567"/>
    <w:rsid w:val="003D6D61"/>
    <w:rsid w:val="003E019F"/>
    <w:rsid w:val="003E06F9"/>
    <w:rsid w:val="003E091D"/>
    <w:rsid w:val="003E1C53"/>
    <w:rsid w:val="003E2A69"/>
    <w:rsid w:val="003E2D49"/>
    <w:rsid w:val="003E2FD4"/>
    <w:rsid w:val="003E49F6"/>
    <w:rsid w:val="003E4C4C"/>
    <w:rsid w:val="003E5ABD"/>
    <w:rsid w:val="003E660F"/>
    <w:rsid w:val="003F06DB"/>
    <w:rsid w:val="003F0841"/>
    <w:rsid w:val="003F0E3A"/>
    <w:rsid w:val="003F23D3"/>
    <w:rsid w:val="003F2BED"/>
    <w:rsid w:val="003F3140"/>
    <w:rsid w:val="003F3F08"/>
    <w:rsid w:val="003F4090"/>
    <w:rsid w:val="003F49F1"/>
    <w:rsid w:val="003F54A5"/>
    <w:rsid w:val="003F5D27"/>
    <w:rsid w:val="003F5D7B"/>
    <w:rsid w:val="003F6272"/>
    <w:rsid w:val="00400E72"/>
    <w:rsid w:val="00401400"/>
    <w:rsid w:val="00404869"/>
    <w:rsid w:val="00404FF4"/>
    <w:rsid w:val="004054B0"/>
    <w:rsid w:val="00405884"/>
    <w:rsid w:val="00407D39"/>
    <w:rsid w:val="0041370B"/>
    <w:rsid w:val="004145C1"/>
    <w:rsid w:val="0041477A"/>
    <w:rsid w:val="0041577B"/>
    <w:rsid w:val="00416130"/>
    <w:rsid w:val="004167A3"/>
    <w:rsid w:val="00416BB7"/>
    <w:rsid w:val="00421119"/>
    <w:rsid w:val="00421AD8"/>
    <w:rsid w:val="004243E9"/>
    <w:rsid w:val="0043110F"/>
    <w:rsid w:val="00431C5E"/>
    <w:rsid w:val="00431EB4"/>
    <w:rsid w:val="00432DAA"/>
    <w:rsid w:val="004341D8"/>
    <w:rsid w:val="00434305"/>
    <w:rsid w:val="00435DF7"/>
    <w:rsid w:val="0043741A"/>
    <w:rsid w:val="0044083F"/>
    <w:rsid w:val="0044103A"/>
    <w:rsid w:val="004414BC"/>
    <w:rsid w:val="00441AE7"/>
    <w:rsid w:val="00441E10"/>
    <w:rsid w:val="00445574"/>
    <w:rsid w:val="004467FB"/>
    <w:rsid w:val="0045151C"/>
    <w:rsid w:val="004527E0"/>
    <w:rsid w:val="00452D6B"/>
    <w:rsid w:val="00453CC1"/>
    <w:rsid w:val="00453DE5"/>
    <w:rsid w:val="00454484"/>
    <w:rsid w:val="0045517B"/>
    <w:rsid w:val="00457696"/>
    <w:rsid w:val="00463B77"/>
    <w:rsid w:val="00463C7B"/>
    <w:rsid w:val="004644A6"/>
    <w:rsid w:val="004659BD"/>
    <w:rsid w:val="00465B87"/>
    <w:rsid w:val="00470775"/>
    <w:rsid w:val="004708D1"/>
    <w:rsid w:val="00470E72"/>
    <w:rsid w:val="0047346C"/>
    <w:rsid w:val="004746B1"/>
    <w:rsid w:val="0047583F"/>
    <w:rsid w:val="00475DE8"/>
    <w:rsid w:val="00481C44"/>
    <w:rsid w:val="00483946"/>
    <w:rsid w:val="004845A5"/>
    <w:rsid w:val="00484936"/>
    <w:rsid w:val="004857D0"/>
    <w:rsid w:val="00485C89"/>
    <w:rsid w:val="00486BE3"/>
    <w:rsid w:val="00487CC7"/>
    <w:rsid w:val="004905E4"/>
    <w:rsid w:val="00490A89"/>
    <w:rsid w:val="00490AB4"/>
    <w:rsid w:val="00490F3C"/>
    <w:rsid w:val="00492F02"/>
    <w:rsid w:val="004939AE"/>
    <w:rsid w:val="00494388"/>
    <w:rsid w:val="00496EC6"/>
    <w:rsid w:val="004A0C42"/>
    <w:rsid w:val="004A12DF"/>
    <w:rsid w:val="004A1BA8"/>
    <w:rsid w:val="004A21E5"/>
    <w:rsid w:val="004A4B57"/>
    <w:rsid w:val="004A63FA"/>
    <w:rsid w:val="004A6853"/>
    <w:rsid w:val="004A6A3D"/>
    <w:rsid w:val="004A6DB3"/>
    <w:rsid w:val="004B0272"/>
    <w:rsid w:val="004B2701"/>
    <w:rsid w:val="004B2E1B"/>
    <w:rsid w:val="004B3AA8"/>
    <w:rsid w:val="004B3E93"/>
    <w:rsid w:val="004B5A2F"/>
    <w:rsid w:val="004C1FBC"/>
    <w:rsid w:val="004C25A2"/>
    <w:rsid w:val="004C38FD"/>
    <w:rsid w:val="004C3F1D"/>
    <w:rsid w:val="004C458D"/>
    <w:rsid w:val="004C553C"/>
    <w:rsid w:val="004C7556"/>
    <w:rsid w:val="004C7BF0"/>
    <w:rsid w:val="004C7E8B"/>
    <w:rsid w:val="004C7E9D"/>
    <w:rsid w:val="004C7EF0"/>
    <w:rsid w:val="004C7F67"/>
    <w:rsid w:val="004D076D"/>
    <w:rsid w:val="004D0EF1"/>
    <w:rsid w:val="004D2253"/>
    <w:rsid w:val="004D4406"/>
    <w:rsid w:val="004D4CF2"/>
    <w:rsid w:val="004D4D39"/>
    <w:rsid w:val="004D7C42"/>
    <w:rsid w:val="004E0465"/>
    <w:rsid w:val="004E127B"/>
    <w:rsid w:val="004E1C0A"/>
    <w:rsid w:val="004E30C5"/>
    <w:rsid w:val="004E47D3"/>
    <w:rsid w:val="004E4AA5"/>
    <w:rsid w:val="004E4AEE"/>
    <w:rsid w:val="004E59E3"/>
    <w:rsid w:val="004E67C0"/>
    <w:rsid w:val="004F2F35"/>
    <w:rsid w:val="004F391A"/>
    <w:rsid w:val="004F3CFB"/>
    <w:rsid w:val="004F4DF8"/>
    <w:rsid w:val="004F4E20"/>
    <w:rsid w:val="004F6456"/>
    <w:rsid w:val="004F696E"/>
    <w:rsid w:val="004F6BDA"/>
    <w:rsid w:val="004F6C71"/>
    <w:rsid w:val="004F7FE7"/>
    <w:rsid w:val="00501139"/>
    <w:rsid w:val="00502394"/>
    <w:rsid w:val="0050363E"/>
    <w:rsid w:val="005039BC"/>
    <w:rsid w:val="005043BB"/>
    <w:rsid w:val="00504A3D"/>
    <w:rsid w:val="00504A3E"/>
    <w:rsid w:val="00505767"/>
    <w:rsid w:val="005073F0"/>
    <w:rsid w:val="00507C2F"/>
    <w:rsid w:val="00510A7B"/>
    <w:rsid w:val="005114A1"/>
    <w:rsid w:val="0051155D"/>
    <w:rsid w:val="00511B9E"/>
    <w:rsid w:val="00511D61"/>
    <w:rsid w:val="00512F6E"/>
    <w:rsid w:val="00513038"/>
    <w:rsid w:val="00514174"/>
    <w:rsid w:val="00516088"/>
    <w:rsid w:val="00516351"/>
    <w:rsid w:val="0051675F"/>
    <w:rsid w:val="00516B0B"/>
    <w:rsid w:val="005220EC"/>
    <w:rsid w:val="005226D4"/>
    <w:rsid w:val="00523036"/>
    <w:rsid w:val="00523F95"/>
    <w:rsid w:val="00524D65"/>
    <w:rsid w:val="00525B16"/>
    <w:rsid w:val="0053155E"/>
    <w:rsid w:val="00531AAD"/>
    <w:rsid w:val="0053360B"/>
    <w:rsid w:val="00533D04"/>
    <w:rsid w:val="00534804"/>
    <w:rsid w:val="00534BDF"/>
    <w:rsid w:val="005354EA"/>
    <w:rsid w:val="0053585F"/>
    <w:rsid w:val="00535EC4"/>
    <w:rsid w:val="00535ED9"/>
    <w:rsid w:val="0053692B"/>
    <w:rsid w:val="005371CC"/>
    <w:rsid w:val="00540816"/>
    <w:rsid w:val="00541853"/>
    <w:rsid w:val="00543BDA"/>
    <w:rsid w:val="00543F63"/>
    <w:rsid w:val="005441CC"/>
    <w:rsid w:val="005479DA"/>
    <w:rsid w:val="00547BCC"/>
    <w:rsid w:val="0055013B"/>
    <w:rsid w:val="00551F6F"/>
    <w:rsid w:val="00551F77"/>
    <w:rsid w:val="00555044"/>
    <w:rsid w:val="00561475"/>
    <w:rsid w:val="00562308"/>
    <w:rsid w:val="00564046"/>
    <w:rsid w:val="00564408"/>
    <w:rsid w:val="0056487B"/>
    <w:rsid w:val="00564EF6"/>
    <w:rsid w:val="00564FB9"/>
    <w:rsid w:val="0056718F"/>
    <w:rsid w:val="00570095"/>
    <w:rsid w:val="00573D9E"/>
    <w:rsid w:val="00577AAC"/>
    <w:rsid w:val="00577AB4"/>
    <w:rsid w:val="005801E3"/>
    <w:rsid w:val="00581802"/>
    <w:rsid w:val="00581EAE"/>
    <w:rsid w:val="00582A1B"/>
    <w:rsid w:val="00582D74"/>
    <w:rsid w:val="005836A8"/>
    <w:rsid w:val="0058409C"/>
    <w:rsid w:val="00584262"/>
    <w:rsid w:val="005857F5"/>
    <w:rsid w:val="00586630"/>
    <w:rsid w:val="00587ADD"/>
    <w:rsid w:val="00593A49"/>
    <w:rsid w:val="00594CC8"/>
    <w:rsid w:val="00595B15"/>
    <w:rsid w:val="00596160"/>
    <w:rsid w:val="005966E2"/>
    <w:rsid w:val="00596C25"/>
    <w:rsid w:val="00597007"/>
    <w:rsid w:val="005A0966"/>
    <w:rsid w:val="005A11B7"/>
    <w:rsid w:val="005A260B"/>
    <w:rsid w:val="005A4A1B"/>
    <w:rsid w:val="005A6A38"/>
    <w:rsid w:val="005A6C76"/>
    <w:rsid w:val="005A7830"/>
    <w:rsid w:val="005A7FCE"/>
    <w:rsid w:val="005B0F3F"/>
    <w:rsid w:val="005B191C"/>
    <w:rsid w:val="005B4884"/>
    <w:rsid w:val="005B4903"/>
    <w:rsid w:val="005B51CE"/>
    <w:rsid w:val="005B5885"/>
    <w:rsid w:val="005B5CD7"/>
    <w:rsid w:val="005B6CF6"/>
    <w:rsid w:val="005B7422"/>
    <w:rsid w:val="005B7A55"/>
    <w:rsid w:val="005C0CAE"/>
    <w:rsid w:val="005C29B8"/>
    <w:rsid w:val="005C475F"/>
    <w:rsid w:val="005C5919"/>
    <w:rsid w:val="005C5F21"/>
    <w:rsid w:val="005C7156"/>
    <w:rsid w:val="005C7E93"/>
    <w:rsid w:val="005D0C75"/>
    <w:rsid w:val="005D2312"/>
    <w:rsid w:val="005D4171"/>
    <w:rsid w:val="005D4DA3"/>
    <w:rsid w:val="005D66DB"/>
    <w:rsid w:val="005D6A95"/>
    <w:rsid w:val="005D6B2C"/>
    <w:rsid w:val="005D6D9C"/>
    <w:rsid w:val="005E2335"/>
    <w:rsid w:val="005E34CA"/>
    <w:rsid w:val="005E3C18"/>
    <w:rsid w:val="005E3F6A"/>
    <w:rsid w:val="005E4250"/>
    <w:rsid w:val="005E45EF"/>
    <w:rsid w:val="005E559D"/>
    <w:rsid w:val="005E5BFB"/>
    <w:rsid w:val="005E5D7D"/>
    <w:rsid w:val="005E6812"/>
    <w:rsid w:val="005E763D"/>
    <w:rsid w:val="005E7881"/>
    <w:rsid w:val="005E78E0"/>
    <w:rsid w:val="005F0B28"/>
    <w:rsid w:val="005F0D9C"/>
    <w:rsid w:val="005F181E"/>
    <w:rsid w:val="005F284E"/>
    <w:rsid w:val="005F521D"/>
    <w:rsid w:val="006001FE"/>
    <w:rsid w:val="00600E54"/>
    <w:rsid w:val="006015CE"/>
    <w:rsid w:val="00602047"/>
    <w:rsid w:val="00603661"/>
    <w:rsid w:val="00604784"/>
    <w:rsid w:val="00605B67"/>
    <w:rsid w:val="006063F6"/>
    <w:rsid w:val="00606419"/>
    <w:rsid w:val="00607B6B"/>
    <w:rsid w:val="00607B6D"/>
    <w:rsid w:val="00607D29"/>
    <w:rsid w:val="00610EDC"/>
    <w:rsid w:val="00612952"/>
    <w:rsid w:val="00614A61"/>
    <w:rsid w:val="00614CC1"/>
    <w:rsid w:val="00615A9D"/>
    <w:rsid w:val="00617387"/>
    <w:rsid w:val="00617F53"/>
    <w:rsid w:val="006205D6"/>
    <w:rsid w:val="00620AB7"/>
    <w:rsid w:val="0062149C"/>
    <w:rsid w:val="006235CC"/>
    <w:rsid w:val="00623FB2"/>
    <w:rsid w:val="006252D8"/>
    <w:rsid w:val="00625696"/>
    <w:rsid w:val="006259BC"/>
    <w:rsid w:val="0062636B"/>
    <w:rsid w:val="00627FAA"/>
    <w:rsid w:val="00631478"/>
    <w:rsid w:val="00632182"/>
    <w:rsid w:val="00632AC5"/>
    <w:rsid w:val="00632AE0"/>
    <w:rsid w:val="00633709"/>
    <w:rsid w:val="00633C17"/>
    <w:rsid w:val="00634979"/>
    <w:rsid w:val="00634D9E"/>
    <w:rsid w:val="00636E3E"/>
    <w:rsid w:val="006379F7"/>
    <w:rsid w:val="00637E4D"/>
    <w:rsid w:val="006401E6"/>
    <w:rsid w:val="00640620"/>
    <w:rsid w:val="00641A1F"/>
    <w:rsid w:val="00645904"/>
    <w:rsid w:val="00651ACB"/>
    <w:rsid w:val="00651C47"/>
    <w:rsid w:val="00652AB2"/>
    <w:rsid w:val="00653FED"/>
    <w:rsid w:val="006541F8"/>
    <w:rsid w:val="00654EC0"/>
    <w:rsid w:val="0065525B"/>
    <w:rsid w:val="006554EE"/>
    <w:rsid w:val="00655D4F"/>
    <w:rsid w:val="00656D29"/>
    <w:rsid w:val="00661203"/>
    <w:rsid w:val="006640E5"/>
    <w:rsid w:val="006646F1"/>
    <w:rsid w:val="00664929"/>
    <w:rsid w:val="00664F62"/>
    <w:rsid w:val="006655E1"/>
    <w:rsid w:val="00671F7A"/>
    <w:rsid w:val="00672060"/>
    <w:rsid w:val="00672BFD"/>
    <w:rsid w:val="00673DAA"/>
    <w:rsid w:val="00676CFC"/>
    <w:rsid w:val="006770F4"/>
    <w:rsid w:val="00677A84"/>
    <w:rsid w:val="0068026D"/>
    <w:rsid w:val="00680A27"/>
    <w:rsid w:val="00681169"/>
    <w:rsid w:val="006816A4"/>
    <w:rsid w:val="006819B8"/>
    <w:rsid w:val="00681F96"/>
    <w:rsid w:val="006840A6"/>
    <w:rsid w:val="006850CD"/>
    <w:rsid w:val="00685AAB"/>
    <w:rsid w:val="00693962"/>
    <w:rsid w:val="00696454"/>
    <w:rsid w:val="006975DD"/>
    <w:rsid w:val="006A07AA"/>
    <w:rsid w:val="006A115A"/>
    <w:rsid w:val="006A25E5"/>
    <w:rsid w:val="006A2B46"/>
    <w:rsid w:val="006A2C4B"/>
    <w:rsid w:val="006A336D"/>
    <w:rsid w:val="006A37B9"/>
    <w:rsid w:val="006A79FC"/>
    <w:rsid w:val="006B2672"/>
    <w:rsid w:val="006B2930"/>
    <w:rsid w:val="006B402A"/>
    <w:rsid w:val="006B4D18"/>
    <w:rsid w:val="006B54BF"/>
    <w:rsid w:val="006B5F44"/>
    <w:rsid w:val="006B5F90"/>
    <w:rsid w:val="006B62E4"/>
    <w:rsid w:val="006C1791"/>
    <w:rsid w:val="006C1BBA"/>
    <w:rsid w:val="006C2079"/>
    <w:rsid w:val="006C3D9C"/>
    <w:rsid w:val="006C4384"/>
    <w:rsid w:val="006C5A62"/>
    <w:rsid w:val="006C5C76"/>
    <w:rsid w:val="006C5D68"/>
    <w:rsid w:val="006C6514"/>
    <w:rsid w:val="006C6976"/>
    <w:rsid w:val="006C6DD0"/>
    <w:rsid w:val="006D04EA"/>
    <w:rsid w:val="006D16C4"/>
    <w:rsid w:val="006D3335"/>
    <w:rsid w:val="006D3E96"/>
    <w:rsid w:val="006D4515"/>
    <w:rsid w:val="006D4B90"/>
    <w:rsid w:val="006D4BB1"/>
    <w:rsid w:val="006D6593"/>
    <w:rsid w:val="006E02CC"/>
    <w:rsid w:val="006E5F3D"/>
    <w:rsid w:val="006E7DEC"/>
    <w:rsid w:val="006F03A8"/>
    <w:rsid w:val="006F249B"/>
    <w:rsid w:val="006F2ACA"/>
    <w:rsid w:val="006F2ADC"/>
    <w:rsid w:val="006F2BFE"/>
    <w:rsid w:val="006F31E9"/>
    <w:rsid w:val="006F6284"/>
    <w:rsid w:val="006F69DC"/>
    <w:rsid w:val="006F6DC7"/>
    <w:rsid w:val="007002C5"/>
    <w:rsid w:val="00703D37"/>
    <w:rsid w:val="00704387"/>
    <w:rsid w:val="00707669"/>
    <w:rsid w:val="00710E35"/>
    <w:rsid w:val="00711CBA"/>
    <w:rsid w:val="00711FB5"/>
    <w:rsid w:val="00712A01"/>
    <w:rsid w:val="00714F58"/>
    <w:rsid w:val="00716E5F"/>
    <w:rsid w:val="00721D3F"/>
    <w:rsid w:val="00722FBF"/>
    <w:rsid w:val="00722FC2"/>
    <w:rsid w:val="0072452F"/>
    <w:rsid w:val="00724E1B"/>
    <w:rsid w:val="00725949"/>
    <w:rsid w:val="00725B48"/>
    <w:rsid w:val="00727FA2"/>
    <w:rsid w:val="007303E1"/>
    <w:rsid w:val="007322D9"/>
    <w:rsid w:val="00732BC0"/>
    <w:rsid w:val="007335D2"/>
    <w:rsid w:val="007342DB"/>
    <w:rsid w:val="0073720F"/>
    <w:rsid w:val="00737796"/>
    <w:rsid w:val="007403F2"/>
    <w:rsid w:val="00740629"/>
    <w:rsid w:val="00740B02"/>
    <w:rsid w:val="0074165C"/>
    <w:rsid w:val="00742C35"/>
    <w:rsid w:val="007432CA"/>
    <w:rsid w:val="007436D4"/>
    <w:rsid w:val="007439EB"/>
    <w:rsid w:val="00743CB4"/>
    <w:rsid w:val="00743F0A"/>
    <w:rsid w:val="00744155"/>
    <w:rsid w:val="007444E8"/>
    <w:rsid w:val="0074548E"/>
    <w:rsid w:val="00745773"/>
    <w:rsid w:val="00746800"/>
    <w:rsid w:val="007475D3"/>
    <w:rsid w:val="007501A8"/>
    <w:rsid w:val="00750D61"/>
    <w:rsid w:val="00750D9D"/>
    <w:rsid w:val="00750EE1"/>
    <w:rsid w:val="007525D5"/>
    <w:rsid w:val="00752B4D"/>
    <w:rsid w:val="00755402"/>
    <w:rsid w:val="00755E01"/>
    <w:rsid w:val="00756B26"/>
    <w:rsid w:val="00756EDF"/>
    <w:rsid w:val="007600E3"/>
    <w:rsid w:val="007629AD"/>
    <w:rsid w:val="00763D79"/>
    <w:rsid w:val="00765C43"/>
    <w:rsid w:val="00765EFB"/>
    <w:rsid w:val="007671CA"/>
    <w:rsid w:val="0076750F"/>
    <w:rsid w:val="00767C61"/>
    <w:rsid w:val="00767ED4"/>
    <w:rsid w:val="0077008A"/>
    <w:rsid w:val="00773401"/>
    <w:rsid w:val="00773C1F"/>
    <w:rsid w:val="00774DA4"/>
    <w:rsid w:val="007756C3"/>
    <w:rsid w:val="00776599"/>
    <w:rsid w:val="007803E4"/>
    <w:rsid w:val="0078051B"/>
    <w:rsid w:val="0078114B"/>
    <w:rsid w:val="00781DD2"/>
    <w:rsid w:val="00783059"/>
    <w:rsid w:val="00783ECF"/>
    <w:rsid w:val="007840D4"/>
    <w:rsid w:val="0078413A"/>
    <w:rsid w:val="007857E3"/>
    <w:rsid w:val="007873F4"/>
    <w:rsid w:val="0078796B"/>
    <w:rsid w:val="00792F0A"/>
    <w:rsid w:val="007937B0"/>
    <w:rsid w:val="00793BEA"/>
    <w:rsid w:val="007956A3"/>
    <w:rsid w:val="007959E8"/>
    <w:rsid w:val="00795E9C"/>
    <w:rsid w:val="007A0521"/>
    <w:rsid w:val="007A18DF"/>
    <w:rsid w:val="007A212C"/>
    <w:rsid w:val="007A2E12"/>
    <w:rsid w:val="007A3475"/>
    <w:rsid w:val="007A41C8"/>
    <w:rsid w:val="007A54CE"/>
    <w:rsid w:val="007A5D3A"/>
    <w:rsid w:val="007A6FD9"/>
    <w:rsid w:val="007A7FFA"/>
    <w:rsid w:val="007B04EB"/>
    <w:rsid w:val="007B0D4F"/>
    <w:rsid w:val="007B1A24"/>
    <w:rsid w:val="007B5A3D"/>
    <w:rsid w:val="007B5B95"/>
    <w:rsid w:val="007B6032"/>
    <w:rsid w:val="007B68EA"/>
    <w:rsid w:val="007B7453"/>
    <w:rsid w:val="007C004F"/>
    <w:rsid w:val="007C2D89"/>
    <w:rsid w:val="007C4593"/>
    <w:rsid w:val="007C5309"/>
    <w:rsid w:val="007C6012"/>
    <w:rsid w:val="007C6069"/>
    <w:rsid w:val="007D06C4"/>
    <w:rsid w:val="007D1352"/>
    <w:rsid w:val="007D20F9"/>
    <w:rsid w:val="007D2508"/>
    <w:rsid w:val="007D346A"/>
    <w:rsid w:val="007D346D"/>
    <w:rsid w:val="007D3B14"/>
    <w:rsid w:val="007D64FE"/>
    <w:rsid w:val="007D6518"/>
    <w:rsid w:val="007D76BD"/>
    <w:rsid w:val="007D7EC6"/>
    <w:rsid w:val="007E0BF1"/>
    <w:rsid w:val="007E3608"/>
    <w:rsid w:val="007E5498"/>
    <w:rsid w:val="007F0ED8"/>
    <w:rsid w:val="007F0F63"/>
    <w:rsid w:val="007F4E0A"/>
    <w:rsid w:val="007F75CE"/>
    <w:rsid w:val="008009F2"/>
    <w:rsid w:val="008013A4"/>
    <w:rsid w:val="00801DA9"/>
    <w:rsid w:val="008027CE"/>
    <w:rsid w:val="00802F42"/>
    <w:rsid w:val="00804383"/>
    <w:rsid w:val="00804BB7"/>
    <w:rsid w:val="00804D41"/>
    <w:rsid w:val="00806C49"/>
    <w:rsid w:val="00810257"/>
    <w:rsid w:val="008104F5"/>
    <w:rsid w:val="00811072"/>
    <w:rsid w:val="00811369"/>
    <w:rsid w:val="008116D1"/>
    <w:rsid w:val="008118D4"/>
    <w:rsid w:val="00815419"/>
    <w:rsid w:val="008154BA"/>
    <w:rsid w:val="008163C8"/>
    <w:rsid w:val="008164A1"/>
    <w:rsid w:val="00816582"/>
    <w:rsid w:val="00817325"/>
    <w:rsid w:val="0082098D"/>
    <w:rsid w:val="008209E6"/>
    <w:rsid w:val="0082143B"/>
    <w:rsid w:val="00821D19"/>
    <w:rsid w:val="00823303"/>
    <w:rsid w:val="008233B2"/>
    <w:rsid w:val="00823A9F"/>
    <w:rsid w:val="00823C85"/>
    <w:rsid w:val="00825138"/>
    <w:rsid w:val="00825697"/>
    <w:rsid w:val="008269DD"/>
    <w:rsid w:val="00830621"/>
    <w:rsid w:val="00830ED8"/>
    <w:rsid w:val="0083125A"/>
    <w:rsid w:val="00831347"/>
    <w:rsid w:val="008319ED"/>
    <w:rsid w:val="00833398"/>
    <w:rsid w:val="0083348C"/>
    <w:rsid w:val="00835DAE"/>
    <w:rsid w:val="008373D3"/>
    <w:rsid w:val="008375CC"/>
    <w:rsid w:val="00840617"/>
    <w:rsid w:val="00840F48"/>
    <w:rsid w:val="00840F84"/>
    <w:rsid w:val="00842993"/>
    <w:rsid w:val="00842A47"/>
    <w:rsid w:val="00843C13"/>
    <w:rsid w:val="00843DEF"/>
    <w:rsid w:val="008454F8"/>
    <w:rsid w:val="00846E95"/>
    <w:rsid w:val="0085173A"/>
    <w:rsid w:val="0085306A"/>
    <w:rsid w:val="00854C7E"/>
    <w:rsid w:val="00854F8E"/>
    <w:rsid w:val="0085604B"/>
    <w:rsid w:val="00856790"/>
    <w:rsid w:val="008603CE"/>
    <w:rsid w:val="008620FC"/>
    <w:rsid w:val="0086279A"/>
    <w:rsid w:val="008627A5"/>
    <w:rsid w:val="00863E05"/>
    <w:rsid w:val="0086515A"/>
    <w:rsid w:val="00865ACA"/>
    <w:rsid w:val="00865D28"/>
    <w:rsid w:val="00865F85"/>
    <w:rsid w:val="00867C10"/>
    <w:rsid w:val="00870439"/>
    <w:rsid w:val="00870DA1"/>
    <w:rsid w:val="00871870"/>
    <w:rsid w:val="00874223"/>
    <w:rsid w:val="008756DB"/>
    <w:rsid w:val="00882545"/>
    <w:rsid w:val="00883F93"/>
    <w:rsid w:val="00884DB3"/>
    <w:rsid w:val="00885A9D"/>
    <w:rsid w:val="008862F7"/>
    <w:rsid w:val="008864F6"/>
    <w:rsid w:val="00887FE7"/>
    <w:rsid w:val="0089049D"/>
    <w:rsid w:val="008928C9"/>
    <w:rsid w:val="008930CB"/>
    <w:rsid w:val="008938DC"/>
    <w:rsid w:val="00893FD1"/>
    <w:rsid w:val="00894836"/>
    <w:rsid w:val="00894C78"/>
    <w:rsid w:val="00895172"/>
    <w:rsid w:val="00895680"/>
    <w:rsid w:val="0089594A"/>
    <w:rsid w:val="00896DFF"/>
    <w:rsid w:val="00896F7E"/>
    <w:rsid w:val="0089762C"/>
    <w:rsid w:val="00897CE5"/>
    <w:rsid w:val="008A10BC"/>
    <w:rsid w:val="008A173B"/>
    <w:rsid w:val="008A1893"/>
    <w:rsid w:val="008A1AF2"/>
    <w:rsid w:val="008A2502"/>
    <w:rsid w:val="008A3B27"/>
    <w:rsid w:val="008A4AAC"/>
    <w:rsid w:val="008A57E6"/>
    <w:rsid w:val="008A6F81"/>
    <w:rsid w:val="008A758E"/>
    <w:rsid w:val="008A769A"/>
    <w:rsid w:val="008B0703"/>
    <w:rsid w:val="008B0C9C"/>
    <w:rsid w:val="008B105A"/>
    <w:rsid w:val="008B166D"/>
    <w:rsid w:val="008B17F4"/>
    <w:rsid w:val="008B3615"/>
    <w:rsid w:val="008B3FF5"/>
    <w:rsid w:val="008B41B6"/>
    <w:rsid w:val="008B4AC4"/>
    <w:rsid w:val="008B50C8"/>
    <w:rsid w:val="008B5281"/>
    <w:rsid w:val="008B7E05"/>
    <w:rsid w:val="008C1797"/>
    <w:rsid w:val="008C219C"/>
    <w:rsid w:val="008C475E"/>
    <w:rsid w:val="008C5BF0"/>
    <w:rsid w:val="008C619A"/>
    <w:rsid w:val="008D0CE8"/>
    <w:rsid w:val="008D2282"/>
    <w:rsid w:val="008D2CF8"/>
    <w:rsid w:val="008D2D1D"/>
    <w:rsid w:val="008D31C2"/>
    <w:rsid w:val="008D453D"/>
    <w:rsid w:val="008D53AD"/>
    <w:rsid w:val="008D562B"/>
    <w:rsid w:val="008D5733"/>
    <w:rsid w:val="008D622B"/>
    <w:rsid w:val="008D666C"/>
    <w:rsid w:val="008D6BB6"/>
    <w:rsid w:val="008D6BE2"/>
    <w:rsid w:val="008D7B54"/>
    <w:rsid w:val="008E0C9D"/>
    <w:rsid w:val="008E1648"/>
    <w:rsid w:val="008E1A7D"/>
    <w:rsid w:val="008E1B3E"/>
    <w:rsid w:val="008E2319"/>
    <w:rsid w:val="008E4BB6"/>
    <w:rsid w:val="008E4C91"/>
    <w:rsid w:val="008E5518"/>
    <w:rsid w:val="008E57F3"/>
    <w:rsid w:val="008E64D3"/>
    <w:rsid w:val="008E654D"/>
    <w:rsid w:val="008E6A84"/>
    <w:rsid w:val="008F0CDC"/>
    <w:rsid w:val="008F17A3"/>
    <w:rsid w:val="008F1ED3"/>
    <w:rsid w:val="008F2A0C"/>
    <w:rsid w:val="008F42B2"/>
    <w:rsid w:val="008F4C29"/>
    <w:rsid w:val="008F5008"/>
    <w:rsid w:val="008F70BD"/>
    <w:rsid w:val="008F788F"/>
    <w:rsid w:val="008F7EA2"/>
    <w:rsid w:val="00902722"/>
    <w:rsid w:val="009027BC"/>
    <w:rsid w:val="009062E6"/>
    <w:rsid w:val="0090679D"/>
    <w:rsid w:val="00911BE5"/>
    <w:rsid w:val="00913A95"/>
    <w:rsid w:val="00913CA9"/>
    <w:rsid w:val="00914376"/>
    <w:rsid w:val="009145AE"/>
    <w:rsid w:val="009146CE"/>
    <w:rsid w:val="00914CA7"/>
    <w:rsid w:val="00915C3E"/>
    <w:rsid w:val="009161A8"/>
    <w:rsid w:val="00916AD8"/>
    <w:rsid w:val="00917714"/>
    <w:rsid w:val="009200A2"/>
    <w:rsid w:val="009245AE"/>
    <w:rsid w:val="009245F5"/>
    <w:rsid w:val="009249EC"/>
    <w:rsid w:val="009273B3"/>
    <w:rsid w:val="009304E9"/>
    <w:rsid w:val="009305B5"/>
    <w:rsid w:val="009322AE"/>
    <w:rsid w:val="009378DD"/>
    <w:rsid w:val="00937984"/>
    <w:rsid w:val="0094259F"/>
    <w:rsid w:val="009429D5"/>
    <w:rsid w:val="00942BF1"/>
    <w:rsid w:val="00943999"/>
    <w:rsid w:val="00945180"/>
    <w:rsid w:val="00945428"/>
    <w:rsid w:val="00945A89"/>
    <w:rsid w:val="00945DF3"/>
    <w:rsid w:val="0094607B"/>
    <w:rsid w:val="0095003D"/>
    <w:rsid w:val="00950279"/>
    <w:rsid w:val="00953604"/>
    <w:rsid w:val="0095496B"/>
    <w:rsid w:val="00960F1E"/>
    <w:rsid w:val="009610DC"/>
    <w:rsid w:val="00961490"/>
    <w:rsid w:val="00962ACC"/>
    <w:rsid w:val="0096381A"/>
    <w:rsid w:val="009657D3"/>
    <w:rsid w:val="00965E04"/>
    <w:rsid w:val="0096738A"/>
    <w:rsid w:val="009674AD"/>
    <w:rsid w:val="00970CDC"/>
    <w:rsid w:val="009739E5"/>
    <w:rsid w:val="00975727"/>
    <w:rsid w:val="009763A4"/>
    <w:rsid w:val="00976A59"/>
    <w:rsid w:val="00977010"/>
    <w:rsid w:val="00977D02"/>
    <w:rsid w:val="00977FF9"/>
    <w:rsid w:val="009809BB"/>
    <w:rsid w:val="00980E95"/>
    <w:rsid w:val="0098364B"/>
    <w:rsid w:val="00985C27"/>
    <w:rsid w:val="009908A3"/>
    <w:rsid w:val="009911AF"/>
    <w:rsid w:val="00991875"/>
    <w:rsid w:val="00991F92"/>
    <w:rsid w:val="00992985"/>
    <w:rsid w:val="00993889"/>
    <w:rsid w:val="0099551B"/>
    <w:rsid w:val="00996BD2"/>
    <w:rsid w:val="00997BF1"/>
    <w:rsid w:val="009A089C"/>
    <w:rsid w:val="009A118E"/>
    <w:rsid w:val="009A21CD"/>
    <w:rsid w:val="009A278C"/>
    <w:rsid w:val="009A2808"/>
    <w:rsid w:val="009A2BC2"/>
    <w:rsid w:val="009A3082"/>
    <w:rsid w:val="009A42C1"/>
    <w:rsid w:val="009A457A"/>
    <w:rsid w:val="009A5295"/>
    <w:rsid w:val="009A5429"/>
    <w:rsid w:val="009A59E5"/>
    <w:rsid w:val="009A6F03"/>
    <w:rsid w:val="009A72AD"/>
    <w:rsid w:val="009B09E0"/>
    <w:rsid w:val="009B0BC5"/>
    <w:rsid w:val="009B1059"/>
    <w:rsid w:val="009B1247"/>
    <w:rsid w:val="009B6029"/>
    <w:rsid w:val="009B684F"/>
    <w:rsid w:val="009B6971"/>
    <w:rsid w:val="009B7B52"/>
    <w:rsid w:val="009B7DA9"/>
    <w:rsid w:val="009C27F1"/>
    <w:rsid w:val="009C2C00"/>
    <w:rsid w:val="009C3152"/>
    <w:rsid w:val="009C3257"/>
    <w:rsid w:val="009C4A5A"/>
    <w:rsid w:val="009C4CFA"/>
    <w:rsid w:val="009C5070"/>
    <w:rsid w:val="009C623B"/>
    <w:rsid w:val="009D112C"/>
    <w:rsid w:val="009D1385"/>
    <w:rsid w:val="009D2D90"/>
    <w:rsid w:val="009D47FA"/>
    <w:rsid w:val="009D4C5B"/>
    <w:rsid w:val="009D50D2"/>
    <w:rsid w:val="009D6BCA"/>
    <w:rsid w:val="009D7917"/>
    <w:rsid w:val="009E058B"/>
    <w:rsid w:val="009E0F62"/>
    <w:rsid w:val="009E1EF9"/>
    <w:rsid w:val="009E4A58"/>
    <w:rsid w:val="009E5A2D"/>
    <w:rsid w:val="009E5AB2"/>
    <w:rsid w:val="009E6219"/>
    <w:rsid w:val="009F03B3"/>
    <w:rsid w:val="009F1396"/>
    <w:rsid w:val="009F1F41"/>
    <w:rsid w:val="009F4612"/>
    <w:rsid w:val="009F71BB"/>
    <w:rsid w:val="00A0096C"/>
    <w:rsid w:val="00A01757"/>
    <w:rsid w:val="00A028C0"/>
    <w:rsid w:val="00A02BAE"/>
    <w:rsid w:val="00A046AA"/>
    <w:rsid w:val="00A06983"/>
    <w:rsid w:val="00A06A6B"/>
    <w:rsid w:val="00A07E47"/>
    <w:rsid w:val="00A10A18"/>
    <w:rsid w:val="00A126C7"/>
    <w:rsid w:val="00A129D0"/>
    <w:rsid w:val="00A12C33"/>
    <w:rsid w:val="00A13364"/>
    <w:rsid w:val="00A138BA"/>
    <w:rsid w:val="00A14B29"/>
    <w:rsid w:val="00A14C8E"/>
    <w:rsid w:val="00A153D9"/>
    <w:rsid w:val="00A15A08"/>
    <w:rsid w:val="00A15F09"/>
    <w:rsid w:val="00A16573"/>
    <w:rsid w:val="00A169B6"/>
    <w:rsid w:val="00A173B7"/>
    <w:rsid w:val="00A17F0D"/>
    <w:rsid w:val="00A2271D"/>
    <w:rsid w:val="00A237D5"/>
    <w:rsid w:val="00A24969"/>
    <w:rsid w:val="00A266CA"/>
    <w:rsid w:val="00A30EFC"/>
    <w:rsid w:val="00A31984"/>
    <w:rsid w:val="00A32D73"/>
    <w:rsid w:val="00A33341"/>
    <w:rsid w:val="00A3367B"/>
    <w:rsid w:val="00A33C67"/>
    <w:rsid w:val="00A349EF"/>
    <w:rsid w:val="00A34BE7"/>
    <w:rsid w:val="00A3597D"/>
    <w:rsid w:val="00A359ED"/>
    <w:rsid w:val="00A36DD1"/>
    <w:rsid w:val="00A4006C"/>
    <w:rsid w:val="00A40091"/>
    <w:rsid w:val="00A4030F"/>
    <w:rsid w:val="00A41C79"/>
    <w:rsid w:val="00A41CB5"/>
    <w:rsid w:val="00A42CDF"/>
    <w:rsid w:val="00A43DC3"/>
    <w:rsid w:val="00A4452E"/>
    <w:rsid w:val="00A4472C"/>
    <w:rsid w:val="00A44E69"/>
    <w:rsid w:val="00A45088"/>
    <w:rsid w:val="00A45ADA"/>
    <w:rsid w:val="00A4661E"/>
    <w:rsid w:val="00A4750B"/>
    <w:rsid w:val="00A52133"/>
    <w:rsid w:val="00A54177"/>
    <w:rsid w:val="00A55BD1"/>
    <w:rsid w:val="00A55BD6"/>
    <w:rsid w:val="00A55D50"/>
    <w:rsid w:val="00A56778"/>
    <w:rsid w:val="00A57142"/>
    <w:rsid w:val="00A61ACC"/>
    <w:rsid w:val="00A63711"/>
    <w:rsid w:val="00A6453D"/>
    <w:rsid w:val="00A648CD"/>
    <w:rsid w:val="00A6537A"/>
    <w:rsid w:val="00A65EF5"/>
    <w:rsid w:val="00A66425"/>
    <w:rsid w:val="00A67866"/>
    <w:rsid w:val="00A70B07"/>
    <w:rsid w:val="00A723F8"/>
    <w:rsid w:val="00A7517A"/>
    <w:rsid w:val="00A76689"/>
    <w:rsid w:val="00A77CCB"/>
    <w:rsid w:val="00A839BF"/>
    <w:rsid w:val="00A83D8D"/>
    <w:rsid w:val="00A8446B"/>
    <w:rsid w:val="00A8473F"/>
    <w:rsid w:val="00A862D6"/>
    <w:rsid w:val="00A8715E"/>
    <w:rsid w:val="00A92089"/>
    <w:rsid w:val="00A9295B"/>
    <w:rsid w:val="00A92C3C"/>
    <w:rsid w:val="00A932FD"/>
    <w:rsid w:val="00A93AB1"/>
    <w:rsid w:val="00A93B09"/>
    <w:rsid w:val="00A952D7"/>
    <w:rsid w:val="00A963F7"/>
    <w:rsid w:val="00A96AD8"/>
    <w:rsid w:val="00A97046"/>
    <w:rsid w:val="00A97A80"/>
    <w:rsid w:val="00A97B62"/>
    <w:rsid w:val="00AA052C"/>
    <w:rsid w:val="00AA1178"/>
    <w:rsid w:val="00AA1DAC"/>
    <w:rsid w:val="00AA1E45"/>
    <w:rsid w:val="00AA4286"/>
    <w:rsid w:val="00AA456B"/>
    <w:rsid w:val="00AA57F5"/>
    <w:rsid w:val="00AA672E"/>
    <w:rsid w:val="00AA6EC9"/>
    <w:rsid w:val="00AB2769"/>
    <w:rsid w:val="00AB2C0A"/>
    <w:rsid w:val="00AB4A46"/>
    <w:rsid w:val="00AB5F4C"/>
    <w:rsid w:val="00AB6309"/>
    <w:rsid w:val="00AB6C5F"/>
    <w:rsid w:val="00AB7129"/>
    <w:rsid w:val="00AC0E0F"/>
    <w:rsid w:val="00AC27A6"/>
    <w:rsid w:val="00AC280A"/>
    <w:rsid w:val="00AC30F7"/>
    <w:rsid w:val="00AC3A5A"/>
    <w:rsid w:val="00AC48D7"/>
    <w:rsid w:val="00AC4D95"/>
    <w:rsid w:val="00AC4E65"/>
    <w:rsid w:val="00AC5DF4"/>
    <w:rsid w:val="00AD0AEF"/>
    <w:rsid w:val="00AD11B7"/>
    <w:rsid w:val="00AD1A94"/>
    <w:rsid w:val="00AD1C05"/>
    <w:rsid w:val="00AD2762"/>
    <w:rsid w:val="00AD2BE3"/>
    <w:rsid w:val="00AD4126"/>
    <w:rsid w:val="00AD421C"/>
    <w:rsid w:val="00AD44FA"/>
    <w:rsid w:val="00AD5184"/>
    <w:rsid w:val="00AD5996"/>
    <w:rsid w:val="00AE070A"/>
    <w:rsid w:val="00AE101C"/>
    <w:rsid w:val="00AE21A3"/>
    <w:rsid w:val="00AE2A69"/>
    <w:rsid w:val="00AE37E5"/>
    <w:rsid w:val="00AE473D"/>
    <w:rsid w:val="00AE4B1C"/>
    <w:rsid w:val="00AE5EB4"/>
    <w:rsid w:val="00AE76E4"/>
    <w:rsid w:val="00AF0C18"/>
    <w:rsid w:val="00AF199E"/>
    <w:rsid w:val="00AF47C5"/>
    <w:rsid w:val="00AF5398"/>
    <w:rsid w:val="00AF7680"/>
    <w:rsid w:val="00B01BFF"/>
    <w:rsid w:val="00B04700"/>
    <w:rsid w:val="00B049AF"/>
    <w:rsid w:val="00B07242"/>
    <w:rsid w:val="00B10534"/>
    <w:rsid w:val="00B113DB"/>
    <w:rsid w:val="00B11D8A"/>
    <w:rsid w:val="00B12981"/>
    <w:rsid w:val="00B13613"/>
    <w:rsid w:val="00B147DD"/>
    <w:rsid w:val="00B156FD"/>
    <w:rsid w:val="00B16799"/>
    <w:rsid w:val="00B16D18"/>
    <w:rsid w:val="00B21F61"/>
    <w:rsid w:val="00B261F1"/>
    <w:rsid w:val="00B265BC"/>
    <w:rsid w:val="00B2682B"/>
    <w:rsid w:val="00B31FB1"/>
    <w:rsid w:val="00B33952"/>
    <w:rsid w:val="00B33C5E"/>
    <w:rsid w:val="00B342F4"/>
    <w:rsid w:val="00B34369"/>
    <w:rsid w:val="00B34DC2"/>
    <w:rsid w:val="00B378E5"/>
    <w:rsid w:val="00B4017B"/>
    <w:rsid w:val="00B412E7"/>
    <w:rsid w:val="00B41AC6"/>
    <w:rsid w:val="00B42147"/>
    <w:rsid w:val="00B4346D"/>
    <w:rsid w:val="00B440F4"/>
    <w:rsid w:val="00B447A5"/>
    <w:rsid w:val="00B4654C"/>
    <w:rsid w:val="00B47293"/>
    <w:rsid w:val="00B50E50"/>
    <w:rsid w:val="00B52120"/>
    <w:rsid w:val="00B53C38"/>
    <w:rsid w:val="00B54ABC"/>
    <w:rsid w:val="00B56BD9"/>
    <w:rsid w:val="00B56FBE"/>
    <w:rsid w:val="00B60ACF"/>
    <w:rsid w:val="00B62B58"/>
    <w:rsid w:val="00B64022"/>
    <w:rsid w:val="00B65149"/>
    <w:rsid w:val="00B6586A"/>
    <w:rsid w:val="00B66567"/>
    <w:rsid w:val="00B66F52"/>
    <w:rsid w:val="00B66FE5"/>
    <w:rsid w:val="00B6742E"/>
    <w:rsid w:val="00B7019D"/>
    <w:rsid w:val="00B72528"/>
    <w:rsid w:val="00B72880"/>
    <w:rsid w:val="00B754C0"/>
    <w:rsid w:val="00B758BF"/>
    <w:rsid w:val="00B75F0A"/>
    <w:rsid w:val="00B77EC8"/>
    <w:rsid w:val="00B80F3C"/>
    <w:rsid w:val="00B81DCB"/>
    <w:rsid w:val="00B827A6"/>
    <w:rsid w:val="00B831CE"/>
    <w:rsid w:val="00B84FFE"/>
    <w:rsid w:val="00B86677"/>
    <w:rsid w:val="00B87131"/>
    <w:rsid w:val="00B87F0C"/>
    <w:rsid w:val="00B939B1"/>
    <w:rsid w:val="00B94118"/>
    <w:rsid w:val="00B9450D"/>
    <w:rsid w:val="00B96D40"/>
    <w:rsid w:val="00B96D72"/>
    <w:rsid w:val="00B97386"/>
    <w:rsid w:val="00BA11FF"/>
    <w:rsid w:val="00BA263B"/>
    <w:rsid w:val="00BA2B5B"/>
    <w:rsid w:val="00BA416F"/>
    <w:rsid w:val="00BA42B2"/>
    <w:rsid w:val="00BA58D4"/>
    <w:rsid w:val="00BA5B9E"/>
    <w:rsid w:val="00BA7C9A"/>
    <w:rsid w:val="00BB3045"/>
    <w:rsid w:val="00BB32F5"/>
    <w:rsid w:val="00BB442D"/>
    <w:rsid w:val="00BB4691"/>
    <w:rsid w:val="00BB5ACC"/>
    <w:rsid w:val="00BB5DE3"/>
    <w:rsid w:val="00BB5F8F"/>
    <w:rsid w:val="00BB657A"/>
    <w:rsid w:val="00BC1A4E"/>
    <w:rsid w:val="00BC256D"/>
    <w:rsid w:val="00BC5DC7"/>
    <w:rsid w:val="00BC6B8B"/>
    <w:rsid w:val="00BC73D8"/>
    <w:rsid w:val="00BD52D7"/>
    <w:rsid w:val="00BD5AD2"/>
    <w:rsid w:val="00BD5F6C"/>
    <w:rsid w:val="00BE05FA"/>
    <w:rsid w:val="00BE1288"/>
    <w:rsid w:val="00BE227A"/>
    <w:rsid w:val="00BE22F3"/>
    <w:rsid w:val="00BE34C2"/>
    <w:rsid w:val="00BE4A1B"/>
    <w:rsid w:val="00BE583F"/>
    <w:rsid w:val="00BE5B52"/>
    <w:rsid w:val="00BE7B8D"/>
    <w:rsid w:val="00BF0993"/>
    <w:rsid w:val="00BF10A9"/>
    <w:rsid w:val="00BF1703"/>
    <w:rsid w:val="00BF231C"/>
    <w:rsid w:val="00BF278B"/>
    <w:rsid w:val="00BF4016"/>
    <w:rsid w:val="00BF51E5"/>
    <w:rsid w:val="00BF6B1B"/>
    <w:rsid w:val="00BF74A6"/>
    <w:rsid w:val="00BF753F"/>
    <w:rsid w:val="00C013AD"/>
    <w:rsid w:val="00C046BA"/>
    <w:rsid w:val="00C04904"/>
    <w:rsid w:val="00C049C4"/>
    <w:rsid w:val="00C056B3"/>
    <w:rsid w:val="00C06FA2"/>
    <w:rsid w:val="00C103E5"/>
    <w:rsid w:val="00C13116"/>
    <w:rsid w:val="00C13319"/>
    <w:rsid w:val="00C13A0E"/>
    <w:rsid w:val="00C13EE9"/>
    <w:rsid w:val="00C2077F"/>
    <w:rsid w:val="00C21540"/>
    <w:rsid w:val="00C21906"/>
    <w:rsid w:val="00C21BFA"/>
    <w:rsid w:val="00C224D2"/>
    <w:rsid w:val="00C22E78"/>
    <w:rsid w:val="00C240A7"/>
    <w:rsid w:val="00C24509"/>
    <w:rsid w:val="00C24C8D"/>
    <w:rsid w:val="00C25FE2"/>
    <w:rsid w:val="00C26B53"/>
    <w:rsid w:val="00C279B2"/>
    <w:rsid w:val="00C33A6C"/>
    <w:rsid w:val="00C33E50"/>
    <w:rsid w:val="00C34015"/>
    <w:rsid w:val="00C3440D"/>
    <w:rsid w:val="00C34C20"/>
    <w:rsid w:val="00C35A3E"/>
    <w:rsid w:val="00C36B0A"/>
    <w:rsid w:val="00C42130"/>
    <w:rsid w:val="00C423A4"/>
    <w:rsid w:val="00C423E3"/>
    <w:rsid w:val="00C42529"/>
    <w:rsid w:val="00C42665"/>
    <w:rsid w:val="00C44BF5"/>
    <w:rsid w:val="00C455A3"/>
    <w:rsid w:val="00C45CE9"/>
    <w:rsid w:val="00C46E52"/>
    <w:rsid w:val="00C51E39"/>
    <w:rsid w:val="00C51EB6"/>
    <w:rsid w:val="00C521D6"/>
    <w:rsid w:val="00C52344"/>
    <w:rsid w:val="00C52E58"/>
    <w:rsid w:val="00C53B1D"/>
    <w:rsid w:val="00C549F0"/>
    <w:rsid w:val="00C55232"/>
    <w:rsid w:val="00C553A4"/>
    <w:rsid w:val="00C55A06"/>
    <w:rsid w:val="00C55D03"/>
    <w:rsid w:val="00C565B9"/>
    <w:rsid w:val="00C601BC"/>
    <w:rsid w:val="00C61FB7"/>
    <w:rsid w:val="00C6329F"/>
    <w:rsid w:val="00C63340"/>
    <w:rsid w:val="00C6411E"/>
    <w:rsid w:val="00C643F9"/>
    <w:rsid w:val="00C64E95"/>
    <w:rsid w:val="00C6703A"/>
    <w:rsid w:val="00C710E8"/>
    <w:rsid w:val="00C71372"/>
    <w:rsid w:val="00C71496"/>
    <w:rsid w:val="00C72410"/>
    <w:rsid w:val="00C7287F"/>
    <w:rsid w:val="00C72C07"/>
    <w:rsid w:val="00C739A7"/>
    <w:rsid w:val="00C73DD7"/>
    <w:rsid w:val="00C80CB8"/>
    <w:rsid w:val="00C819F8"/>
    <w:rsid w:val="00C8248C"/>
    <w:rsid w:val="00C84E33"/>
    <w:rsid w:val="00C868C8"/>
    <w:rsid w:val="00C86CD6"/>
    <w:rsid w:val="00C86D6F"/>
    <w:rsid w:val="00C905FC"/>
    <w:rsid w:val="00C91DFC"/>
    <w:rsid w:val="00C92736"/>
    <w:rsid w:val="00C92D03"/>
    <w:rsid w:val="00C9319C"/>
    <w:rsid w:val="00C93324"/>
    <w:rsid w:val="00C9435D"/>
    <w:rsid w:val="00C9445B"/>
    <w:rsid w:val="00C94DF2"/>
    <w:rsid w:val="00C95444"/>
    <w:rsid w:val="00C96741"/>
    <w:rsid w:val="00CA21A7"/>
    <w:rsid w:val="00CA2D1B"/>
    <w:rsid w:val="00CA375D"/>
    <w:rsid w:val="00CA4681"/>
    <w:rsid w:val="00CA4F12"/>
    <w:rsid w:val="00CA662A"/>
    <w:rsid w:val="00CA7AFD"/>
    <w:rsid w:val="00CA7C3C"/>
    <w:rsid w:val="00CB0189"/>
    <w:rsid w:val="00CB04CA"/>
    <w:rsid w:val="00CB0BA2"/>
    <w:rsid w:val="00CB1A42"/>
    <w:rsid w:val="00CB1B0C"/>
    <w:rsid w:val="00CB2C0B"/>
    <w:rsid w:val="00CB2D95"/>
    <w:rsid w:val="00CB4A70"/>
    <w:rsid w:val="00CB517D"/>
    <w:rsid w:val="00CB5C50"/>
    <w:rsid w:val="00CC038D"/>
    <w:rsid w:val="00CC08DB"/>
    <w:rsid w:val="00CC39FF"/>
    <w:rsid w:val="00CC3C2F"/>
    <w:rsid w:val="00CC4AC8"/>
    <w:rsid w:val="00CC5233"/>
    <w:rsid w:val="00CC5DE6"/>
    <w:rsid w:val="00CC6425"/>
    <w:rsid w:val="00CC6E4E"/>
    <w:rsid w:val="00CC6FE8"/>
    <w:rsid w:val="00CC7202"/>
    <w:rsid w:val="00CC7D07"/>
    <w:rsid w:val="00CD2808"/>
    <w:rsid w:val="00CD28BF"/>
    <w:rsid w:val="00CD4092"/>
    <w:rsid w:val="00CD4A20"/>
    <w:rsid w:val="00CD50A1"/>
    <w:rsid w:val="00CD519E"/>
    <w:rsid w:val="00CD7B2B"/>
    <w:rsid w:val="00CD7BE0"/>
    <w:rsid w:val="00CE0C4F"/>
    <w:rsid w:val="00CE30EA"/>
    <w:rsid w:val="00CE66DF"/>
    <w:rsid w:val="00CF048A"/>
    <w:rsid w:val="00CF155A"/>
    <w:rsid w:val="00CF2947"/>
    <w:rsid w:val="00CF357A"/>
    <w:rsid w:val="00CF3BAD"/>
    <w:rsid w:val="00CF4682"/>
    <w:rsid w:val="00CF686F"/>
    <w:rsid w:val="00CF6E60"/>
    <w:rsid w:val="00CF7BCA"/>
    <w:rsid w:val="00D008FD"/>
    <w:rsid w:val="00D024A9"/>
    <w:rsid w:val="00D0321C"/>
    <w:rsid w:val="00D035EC"/>
    <w:rsid w:val="00D04DF7"/>
    <w:rsid w:val="00D0514E"/>
    <w:rsid w:val="00D05B10"/>
    <w:rsid w:val="00D06AB1"/>
    <w:rsid w:val="00D06B3D"/>
    <w:rsid w:val="00D06FC1"/>
    <w:rsid w:val="00D072ED"/>
    <w:rsid w:val="00D07A16"/>
    <w:rsid w:val="00D1067E"/>
    <w:rsid w:val="00D10F50"/>
    <w:rsid w:val="00D11272"/>
    <w:rsid w:val="00D126F5"/>
    <w:rsid w:val="00D13E65"/>
    <w:rsid w:val="00D1489E"/>
    <w:rsid w:val="00D15688"/>
    <w:rsid w:val="00D15920"/>
    <w:rsid w:val="00D17B9D"/>
    <w:rsid w:val="00D20737"/>
    <w:rsid w:val="00D208B3"/>
    <w:rsid w:val="00D21E81"/>
    <w:rsid w:val="00D223DE"/>
    <w:rsid w:val="00D23FC1"/>
    <w:rsid w:val="00D25E37"/>
    <w:rsid w:val="00D2651A"/>
    <w:rsid w:val="00D2661A"/>
    <w:rsid w:val="00D267D5"/>
    <w:rsid w:val="00D27582"/>
    <w:rsid w:val="00D27EC4"/>
    <w:rsid w:val="00D32719"/>
    <w:rsid w:val="00D33333"/>
    <w:rsid w:val="00D352A2"/>
    <w:rsid w:val="00D359EA"/>
    <w:rsid w:val="00D36BC8"/>
    <w:rsid w:val="00D4162B"/>
    <w:rsid w:val="00D4514F"/>
    <w:rsid w:val="00D451E2"/>
    <w:rsid w:val="00D45E89"/>
    <w:rsid w:val="00D45E8D"/>
    <w:rsid w:val="00D466AE"/>
    <w:rsid w:val="00D4734F"/>
    <w:rsid w:val="00D51BF3"/>
    <w:rsid w:val="00D6035D"/>
    <w:rsid w:val="00D62ACE"/>
    <w:rsid w:val="00D66846"/>
    <w:rsid w:val="00D66948"/>
    <w:rsid w:val="00D675FB"/>
    <w:rsid w:val="00D71DF2"/>
    <w:rsid w:val="00D71F25"/>
    <w:rsid w:val="00D72A9C"/>
    <w:rsid w:val="00D75CD4"/>
    <w:rsid w:val="00D767D7"/>
    <w:rsid w:val="00D77031"/>
    <w:rsid w:val="00D800E2"/>
    <w:rsid w:val="00D826CB"/>
    <w:rsid w:val="00D83DFC"/>
    <w:rsid w:val="00D84941"/>
    <w:rsid w:val="00D84FA1"/>
    <w:rsid w:val="00D851F0"/>
    <w:rsid w:val="00D85FD4"/>
    <w:rsid w:val="00D86DB7"/>
    <w:rsid w:val="00D87BF5"/>
    <w:rsid w:val="00D90721"/>
    <w:rsid w:val="00D90C57"/>
    <w:rsid w:val="00D9211E"/>
    <w:rsid w:val="00D926D0"/>
    <w:rsid w:val="00D93030"/>
    <w:rsid w:val="00D950E1"/>
    <w:rsid w:val="00D952A6"/>
    <w:rsid w:val="00D97CF1"/>
    <w:rsid w:val="00D97F99"/>
    <w:rsid w:val="00DA186D"/>
    <w:rsid w:val="00DA1E08"/>
    <w:rsid w:val="00DA24F8"/>
    <w:rsid w:val="00DA28E8"/>
    <w:rsid w:val="00DA2E12"/>
    <w:rsid w:val="00DA38D3"/>
    <w:rsid w:val="00DA3932"/>
    <w:rsid w:val="00DA3AFC"/>
    <w:rsid w:val="00DA4F2D"/>
    <w:rsid w:val="00DA64F8"/>
    <w:rsid w:val="00DA6C15"/>
    <w:rsid w:val="00DB0258"/>
    <w:rsid w:val="00DB10D4"/>
    <w:rsid w:val="00DB3376"/>
    <w:rsid w:val="00DB38EE"/>
    <w:rsid w:val="00DB4021"/>
    <w:rsid w:val="00DB498B"/>
    <w:rsid w:val="00DB66CA"/>
    <w:rsid w:val="00DB6BCA"/>
    <w:rsid w:val="00DB6F54"/>
    <w:rsid w:val="00DB73F7"/>
    <w:rsid w:val="00DC0321"/>
    <w:rsid w:val="00DC1477"/>
    <w:rsid w:val="00DC3067"/>
    <w:rsid w:val="00DC370B"/>
    <w:rsid w:val="00DC5B90"/>
    <w:rsid w:val="00DD00FF"/>
    <w:rsid w:val="00DD0619"/>
    <w:rsid w:val="00DD07FB"/>
    <w:rsid w:val="00DD25C6"/>
    <w:rsid w:val="00DD4FE5"/>
    <w:rsid w:val="00DD54B0"/>
    <w:rsid w:val="00DD57EE"/>
    <w:rsid w:val="00DD5D20"/>
    <w:rsid w:val="00DD6BCC"/>
    <w:rsid w:val="00DD7EA9"/>
    <w:rsid w:val="00DE07F4"/>
    <w:rsid w:val="00DE0A4B"/>
    <w:rsid w:val="00DE15D8"/>
    <w:rsid w:val="00DE2410"/>
    <w:rsid w:val="00DE2939"/>
    <w:rsid w:val="00DE6E81"/>
    <w:rsid w:val="00DE703F"/>
    <w:rsid w:val="00DE7595"/>
    <w:rsid w:val="00DE78E7"/>
    <w:rsid w:val="00DF0E14"/>
    <w:rsid w:val="00DF12A2"/>
    <w:rsid w:val="00DF1961"/>
    <w:rsid w:val="00DF2197"/>
    <w:rsid w:val="00DF2790"/>
    <w:rsid w:val="00DF308F"/>
    <w:rsid w:val="00DF44DE"/>
    <w:rsid w:val="00DF56F3"/>
    <w:rsid w:val="00E01138"/>
    <w:rsid w:val="00E02DFB"/>
    <w:rsid w:val="00E030F9"/>
    <w:rsid w:val="00E0311A"/>
    <w:rsid w:val="00E03138"/>
    <w:rsid w:val="00E06404"/>
    <w:rsid w:val="00E064EC"/>
    <w:rsid w:val="00E07A7B"/>
    <w:rsid w:val="00E11A68"/>
    <w:rsid w:val="00E11A85"/>
    <w:rsid w:val="00E12072"/>
    <w:rsid w:val="00E12495"/>
    <w:rsid w:val="00E1333F"/>
    <w:rsid w:val="00E15CCD"/>
    <w:rsid w:val="00E163EF"/>
    <w:rsid w:val="00E202EF"/>
    <w:rsid w:val="00E210B5"/>
    <w:rsid w:val="00E23499"/>
    <w:rsid w:val="00E24C0D"/>
    <w:rsid w:val="00E2552F"/>
    <w:rsid w:val="00E3137A"/>
    <w:rsid w:val="00E31563"/>
    <w:rsid w:val="00E327AB"/>
    <w:rsid w:val="00E32CCF"/>
    <w:rsid w:val="00E34A98"/>
    <w:rsid w:val="00E35D1E"/>
    <w:rsid w:val="00E362A8"/>
    <w:rsid w:val="00E364F9"/>
    <w:rsid w:val="00E365FA"/>
    <w:rsid w:val="00E36789"/>
    <w:rsid w:val="00E36E6C"/>
    <w:rsid w:val="00E37F1C"/>
    <w:rsid w:val="00E41E2F"/>
    <w:rsid w:val="00E42781"/>
    <w:rsid w:val="00E43834"/>
    <w:rsid w:val="00E43844"/>
    <w:rsid w:val="00E44A83"/>
    <w:rsid w:val="00E45EEE"/>
    <w:rsid w:val="00E47929"/>
    <w:rsid w:val="00E502C1"/>
    <w:rsid w:val="00E502DD"/>
    <w:rsid w:val="00E50D3A"/>
    <w:rsid w:val="00E51387"/>
    <w:rsid w:val="00E51E68"/>
    <w:rsid w:val="00E52EFD"/>
    <w:rsid w:val="00E5408A"/>
    <w:rsid w:val="00E54F42"/>
    <w:rsid w:val="00E55955"/>
    <w:rsid w:val="00E56800"/>
    <w:rsid w:val="00E60C63"/>
    <w:rsid w:val="00E62FF9"/>
    <w:rsid w:val="00E635D6"/>
    <w:rsid w:val="00E639BC"/>
    <w:rsid w:val="00E643DE"/>
    <w:rsid w:val="00E664CC"/>
    <w:rsid w:val="00E669B8"/>
    <w:rsid w:val="00E70388"/>
    <w:rsid w:val="00E7051B"/>
    <w:rsid w:val="00E709A2"/>
    <w:rsid w:val="00E70F92"/>
    <w:rsid w:val="00E7213A"/>
    <w:rsid w:val="00E74313"/>
    <w:rsid w:val="00E74C54"/>
    <w:rsid w:val="00E77A03"/>
    <w:rsid w:val="00E8086C"/>
    <w:rsid w:val="00E822E8"/>
    <w:rsid w:val="00E82554"/>
    <w:rsid w:val="00E82606"/>
    <w:rsid w:val="00E831C1"/>
    <w:rsid w:val="00E8370D"/>
    <w:rsid w:val="00E84635"/>
    <w:rsid w:val="00E846C8"/>
    <w:rsid w:val="00E84957"/>
    <w:rsid w:val="00E84A55"/>
    <w:rsid w:val="00E85BFF"/>
    <w:rsid w:val="00E87AA2"/>
    <w:rsid w:val="00E900AB"/>
    <w:rsid w:val="00E90391"/>
    <w:rsid w:val="00E906C2"/>
    <w:rsid w:val="00E91595"/>
    <w:rsid w:val="00E9311F"/>
    <w:rsid w:val="00E934D1"/>
    <w:rsid w:val="00E94800"/>
    <w:rsid w:val="00E94AF0"/>
    <w:rsid w:val="00E95D13"/>
    <w:rsid w:val="00E95DD3"/>
    <w:rsid w:val="00E969D5"/>
    <w:rsid w:val="00E973B8"/>
    <w:rsid w:val="00EA0C08"/>
    <w:rsid w:val="00EA230F"/>
    <w:rsid w:val="00EA58D1"/>
    <w:rsid w:val="00EA61BC"/>
    <w:rsid w:val="00EA681A"/>
    <w:rsid w:val="00EA735B"/>
    <w:rsid w:val="00EA7E44"/>
    <w:rsid w:val="00EB1E69"/>
    <w:rsid w:val="00EB2086"/>
    <w:rsid w:val="00EB31ED"/>
    <w:rsid w:val="00EB5EDF"/>
    <w:rsid w:val="00EB60FE"/>
    <w:rsid w:val="00EB74DB"/>
    <w:rsid w:val="00EC5359"/>
    <w:rsid w:val="00EC562A"/>
    <w:rsid w:val="00ED00FD"/>
    <w:rsid w:val="00ED067A"/>
    <w:rsid w:val="00ED1342"/>
    <w:rsid w:val="00ED2B50"/>
    <w:rsid w:val="00ED5254"/>
    <w:rsid w:val="00ED5255"/>
    <w:rsid w:val="00ED71D0"/>
    <w:rsid w:val="00EE0350"/>
    <w:rsid w:val="00EE0719"/>
    <w:rsid w:val="00EE0E80"/>
    <w:rsid w:val="00EE3782"/>
    <w:rsid w:val="00EE3BCD"/>
    <w:rsid w:val="00EE613F"/>
    <w:rsid w:val="00EE7295"/>
    <w:rsid w:val="00EE7869"/>
    <w:rsid w:val="00EF054A"/>
    <w:rsid w:val="00EF0E7A"/>
    <w:rsid w:val="00EF3235"/>
    <w:rsid w:val="00EF555D"/>
    <w:rsid w:val="00EF6E64"/>
    <w:rsid w:val="00EF78E3"/>
    <w:rsid w:val="00EF7E72"/>
    <w:rsid w:val="00F00F84"/>
    <w:rsid w:val="00F02582"/>
    <w:rsid w:val="00F050AC"/>
    <w:rsid w:val="00F06D37"/>
    <w:rsid w:val="00F07B9D"/>
    <w:rsid w:val="00F101C2"/>
    <w:rsid w:val="00F10FC3"/>
    <w:rsid w:val="00F11586"/>
    <w:rsid w:val="00F1183B"/>
    <w:rsid w:val="00F11C9F"/>
    <w:rsid w:val="00F12263"/>
    <w:rsid w:val="00F1409D"/>
    <w:rsid w:val="00F14214"/>
    <w:rsid w:val="00F144A3"/>
    <w:rsid w:val="00F157A9"/>
    <w:rsid w:val="00F16F00"/>
    <w:rsid w:val="00F2286B"/>
    <w:rsid w:val="00F2459D"/>
    <w:rsid w:val="00F25BB6"/>
    <w:rsid w:val="00F25EBD"/>
    <w:rsid w:val="00F261D5"/>
    <w:rsid w:val="00F26B7E"/>
    <w:rsid w:val="00F27A3B"/>
    <w:rsid w:val="00F32780"/>
    <w:rsid w:val="00F33817"/>
    <w:rsid w:val="00F3747F"/>
    <w:rsid w:val="00F4074C"/>
    <w:rsid w:val="00F410F4"/>
    <w:rsid w:val="00F420D5"/>
    <w:rsid w:val="00F43BE9"/>
    <w:rsid w:val="00F451EA"/>
    <w:rsid w:val="00F45447"/>
    <w:rsid w:val="00F456C6"/>
    <w:rsid w:val="00F4577B"/>
    <w:rsid w:val="00F46496"/>
    <w:rsid w:val="00F474D0"/>
    <w:rsid w:val="00F50179"/>
    <w:rsid w:val="00F515EE"/>
    <w:rsid w:val="00F56511"/>
    <w:rsid w:val="00F57D54"/>
    <w:rsid w:val="00F6194E"/>
    <w:rsid w:val="00F623AC"/>
    <w:rsid w:val="00F6412A"/>
    <w:rsid w:val="00F65893"/>
    <w:rsid w:val="00F660A1"/>
    <w:rsid w:val="00F66A4A"/>
    <w:rsid w:val="00F66EF1"/>
    <w:rsid w:val="00F71E22"/>
    <w:rsid w:val="00F72142"/>
    <w:rsid w:val="00F72AE7"/>
    <w:rsid w:val="00F72CE0"/>
    <w:rsid w:val="00F80758"/>
    <w:rsid w:val="00F833BA"/>
    <w:rsid w:val="00F84FD0"/>
    <w:rsid w:val="00F859A8"/>
    <w:rsid w:val="00F86D87"/>
    <w:rsid w:val="00F9108B"/>
    <w:rsid w:val="00F91349"/>
    <w:rsid w:val="00F91C96"/>
    <w:rsid w:val="00F927A6"/>
    <w:rsid w:val="00F93A8A"/>
    <w:rsid w:val="00F93B1A"/>
    <w:rsid w:val="00F94598"/>
    <w:rsid w:val="00F94CFF"/>
    <w:rsid w:val="00F95248"/>
    <w:rsid w:val="00F956A9"/>
    <w:rsid w:val="00F95DEE"/>
    <w:rsid w:val="00F963ED"/>
    <w:rsid w:val="00F966CF"/>
    <w:rsid w:val="00F96778"/>
    <w:rsid w:val="00F96CAE"/>
    <w:rsid w:val="00F97C99"/>
    <w:rsid w:val="00FA008F"/>
    <w:rsid w:val="00FA33D5"/>
    <w:rsid w:val="00FA35E5"/>
    <w:rsid w:val="00FA373B"/>
    <w:rsid w:val="00FA3C70"/>
    <w:rsid w:val="00FA662D"/>
    <w:rsid w:val="00FA73B1"/>
    <w:rsid w:val="00FB0CB9"/>
    <w:rsid w:val="00FB0EB4"/>
    <w:rsid w:val="00FB231D"/>
    <w:rsid w:val="00FB30DE"/>
    <w:rsid w:val="00FB45F1"/>
    <w:rsid w:val="00FB4A72"/>
    <w:rsid w:val="00FB54E8"/>
    <w:rsid w:val="00FB632F"/>
    <w:rsid w:val="00FB7054"/>
    <w:rsid w:val="00FC0BA0"/>
    <w:rsid w:val="00FC0EB2"/>
    <w:rsid w:val="00FC17B7"/>
    <w:rsid w:val="00FC2CB7"/>
    <w:rsid w:val="00FC4090"/>
    <w:rsid w:val="00FC513B"/>
    <w:rsid w:val="00FC55B4"/>
    <w:rsid w:val="00FD00E6"/>
    <w:rsid w:val="00FD09A1"/>
    <w:rsid w:val="00FD0A20"/>
    <w:rsid w:val="00FD17CF"/>
    <w:rsid w:val="00FD1AB9"/>
    <w:rsid w:val="00FD1ABD"/>
    <w:rsid w:val="00FD2A7C"/>
    <w:rsid w:val="00FD4718"/>
    <w:rsid w:val="00FD59EB"/>
    <w:rsid w:val="00FD7299"/>
    <w:rsid w:val="00FE1FBE"/>
    <w:rsid w:val="00FE3901"/>
    <w:rsid w:val="00FE39D3"/>
    <w:rsid w:val="00FE4BCE"/>
    <w:rsid w:val="00FE54AE"/>
    <w:rsid w:val="00FE576A"/>
    <w:rsid w:val="00FE7E79"/>
    <w:rsid w:val="00FF02C8"/>
    <w:rsid w:val="00FF3E7D"/>
    <w:rsid w:val="00FF5B99"/>
    <w:rsid w:val="00FF730C"/>
    <w:rsid w:val="00FF73F4"/>
    <w:rsid w:val="00FF7CE4"/>
    <w:rsid w:val="00FF7E39"/>
    <w:rsid w:val="06250A5D"/>
    <w:rsid w:val="084C38DA"/>
    <w:rsid w:val="09D973F0"/>
    <w:rsid w:val="0ABD3BF9"/>
    <w:rsid w:val="0AC76AEE"/>
    <w:rsid w:val="0BD8194A"/>
    <w:rsid w:val="0E286E32"/>
    <w:rsid w:val="0E975183"/>
    <w:rsid w:val="0EDC703A"/>
    <w:rsid w:val="0F5529E7"/>
    <w:rsid w:val="0FB14691"/>
    <w:rsid w:val="10390BE8"/>
    <w:rsid w:val="11E825EC"/>
    <w:rsid w:val="12352B66"/>
    <w:rsid w:val="13203999"/>
    <w:rsid w:val="139F5206"/>
    <w:rsid w:val="140409FB"/>
    <w:rsid w:val="14237BE5"/>
    <w:rsid w:val="14A21F50"/>
    <w:rsid w:val="181115D4"/>
    <w:rsid w:val="1D7F5B6D"/>
    <w:rsid w:val="209377B8"/>
    <w:rsid w:val="214B077B"/>
    <w:rsid w:val="22145011"/>
    <w:rsid w:val="232E3E2C"/>
    <w:rsid w:val="253B1F46"/>
    <w:rsid w:val="268D2C7D"/>
    <w:rsid w:val="27644345"/>
    <w:rsid w:val="29D56BC2"/>
    <w:rsid w:val="326A483D"/>
    <w:rsid w:val="382828EC"/>
    <w:rsid w:val="39DE190D"/>
    <w:rsid w:val="45C472DA"/>
    <w:rsid w:val="461C7F36"/>
    <w:rsid w:val="490C34C6"/>
    <w:rsid w:val="4E375A60"/>
    <w:rsid w:val="51324FD6"/>
    <w:rsid w:val="523476E3"/>
    <w:rsid w:val="53316F22"/>
    <w:rsid w:val="57B7551B"/>
    <w:rsid w:val="57F02674"/>
    <w:rsid w:val="582A1ACB"/>
    <w:rsid w:val="58A81A34"/>
    <w:rsid w:val="5C322F6D"/>
    <w:rsid w:val="5CBA078A"/>
    <w:rsid w:val="5F100333"/>
    <w:rsid w:val="5F593A88"/>
    <w:rsid w:val="61966598"/>
    <w:rsid w:val="629E5C56"/>
    <w:rsid w:val="630A1DE1"/>
    <w:rsid w:val="64E53D97"/>
    <w:rsid w:val="65A610A9"/>
    <w:rsid w:val="69923E1A"/>
    <w:rsid w:val="6C6677E4"/>
    <w:rsid w:val="6D5D56FA"/>
    <w:rsid w:val="70316161"/>
    <w:rsid w:val="706F478E"/>
    <w:rsid w:val="71C31E24"/>
    <w:rsid w:val="721D73B0"/>
    <w:rsid w:val="72604CD6"/>
    <w:rsid w:val="733817AF"/>
    <w:rsid w:val="742C1485"/>
    <w:rsid w:val="76F65C09"/>
    <w:rsid w:val="77DF044B"/>
    <w:rsid w:val="78645A16"/>
    <w:rsid w:val="78DF4BA6"/>
    <w:rsid w:val="7AAB02D3"/>
    <w:rsid w:val="7C352037"/>
    <w:rsid w:val="7E9A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tabs>
        <w:tab w:val="left" w:pos="330"/>
        <w:tab w:val="clear" w:pos="937"/>
      </w:tabs>
      <w:ind w:left="948"/>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4"/>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spacing w:before="50" w:beforeLines="50" w:after="50" w:afterLines="50"/>
      <w:ind w:firstLine="0" w:firstLineChars="0"/>
    </w:pPr>
    <w:rPr>
      <w:rFonts w:ascii="黑体" w:eastAsia="黑体"/>
    </w:rPr>
  </w:style>
  <w:style w:type="paragraph" w:customStyle="1" w:styleId="203">
    <w:name w:val="标准文件_引言二级条标题"/>
    <w:basedOn w:val="58"/>
    <w:next w:val="58"/>
    <w:qFormat/>
    <w:uiPriority w:val="0"/>
    <w:pPr>
      <w:spacing w:before="50" w:beforeLines="50" w:after="50" w:afterLines="50"/>
      <w:ind w:firstLine="0"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link w:val="2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未处理的提及1"/>
    <w:basedOn w:val="30"/>
    <w:semiHidden/>
    <w:unhideWhenUsed/>
    <w:qFormat/>
    <w:uiPriority w:val="99"/>
    <w:rPr>
      <w:color w:val="605E5C"/>
      <w:shd w:val="clear" w:color="auto" w:fill="E1DFDD"/>
    </w:rPr>
  </w:style>
  <w:style w:type="table" w:customStyle="1" w:styleId="234">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5">
    <w:name w:val="不明显参考11"/>
    <w:qFormat/>
    <w:uiPriority w:val="31"/>
    <w:rPr>
      <w:smallCaps/>
      <w:color w:val="C0504D"/>
      <w:u w:val="single"/>
    </w:rPr>
  </w:style>
  <w:style w:type="paragraph" w:customStyle="1" w:styleId="236">
    <w:name w:val="附录五级条标题"/>
    <w:basedOn w:val="237"/>
    <w:next w:val="232"/>
    <w:qFormat/>
    <w:uiPriority w:val="0"/>
    <w:pPr>
      <w:tabs>
        <w:tab w:val="left" w:pos="360"/>
      </w:tabs>
      <w:outlineLvl w:val="6"/>
    </w:pPr>
  </w:style>
  <w:style w:type="paragraph" w:customStyle="1" w:styleId="237">
    <w:name w:val="附录四级条标题"/>
    <w:basedOn w:val="238"/>
    <w:next w:val="232"/>
    <w:qFormat/>
    <w:uiPriority w:val="0"/>
    <w:pPr>
      <w:tabs>
        <w:tab w:val="left" w:pos="360"/>
      </w:tabs>
      <w:outlineLvl w:val="5"/>
    </w:pPr>
  </w:style>
  <w:style w:type="paragraph" w:customStyle="1" w:styleId="238">
    <w:name w:val="附录三级条标题"/>
    <w:basedOn w:val="239"/>
    <w:next w:val="232"/>
    <w:qFormat/>
    <w:uiPriority w:val="0"/>
    <w:pPr>
      <w:tabs>
        <w:tab w:val="left" w:pos="360"/>
      </w:tabs>
      <w:outlineLvl w:val="4"/>
    </w:pPr>
  </w:style>
  <w:style w:type="paragraph" w:customStyle="1" w:styleId="239">
    <w:name w:val="附录二级条标题"/>
    <w:basedOn w:val="1"/>
    <w:next w:val="232"/>
    <w:qFormat/>
    <w:uiPriority w:val="0"/>
    <w:pPr>
      <w:widowControl/>
      <w:tabs>
        <w:tab w:val="left" w:pos="360"/>
      </w:tabs>
      <w:wordWrap w:val="0"/>
      <w:overflowPunct w:val="0"/>
      <w:autoSpaceDE w:val="0"/>
      <w:autoSpaceDN w:val="0"/>
      <w:adjustRightInd/>
      <w:spacing w:before="50" w:beforeLines="50" w:after="50" w:afterLines="50" w:line="240" w:lineRule="auto"/>
      <w:textAlignment w:val="baseline"/>
      <w:outlineLvl w:val="3"/>
    </w:pPr>
    <w:rPr>
      <w:rFonts w:ascii="黑体" w:hAnsi="Times New Roman" w:eastAsia="黑体"/>
      <w:kern w:val="21"/>
      <w:szCs w:val="20"/>
    </w:rPr>
  </w:style>
  <w:style w:type="paragraph" w:customStyle="1" w:styleId="240">
    <w:name w:val="附录一级无"/>
    <w:basedOn w:val="1"/>
    <w:qFormat/>
    <w:uiPriority w:val="0"/>
    <w:pPr>
      <w:widowControl/>
      <w:wordWrap w:val="0"/>
      <w:overflowPunct w:val="0"/>
      <w:autoSpaceDE w:val="0"/>
      <w:autoSpaceDN w:val="0"/>
      <w:adjustRightInd/>
      <w:spacing w:line="240" w:lineRule="auto"/>
      <w:textAlignment w:val="baseline"/>
      <w:outlineLvl w:val="2"/>
    </w:pPr>
    <w:rPr>
      <w:rFonts w:ascii="宋体" w:hAnsi="Times New Roman"/>
      <w:kern w:val="21"/>
    </w:rPr>
  </w:style>
  <w:style w:type="paragraph" w:customStyle="1" w:styleId="241">
    <w:name w:val="附录章标题"/>
    <w:next w:val="232"/>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2">
    <w:name w:val="附录标识"/>
    <w:basedOn w:val="1"/>
    <w:next w:val="232"/>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character" w:customStyle="1" w:styleId="243">
    <w:name w:val="段 Char"/>
    <w:link w:val="232"/>
    <w:qFormat/>
    <w:uiPriority w:val="0"/>
    <w:rPr>
      <w:rFonts w:ascii="宋体" w:hAnsi="Times New Roman"/>
      <w:sz w:val="21"/>
    </w:rPr>
  </w:style>
  <w:style w:type="paragraph" w:styleId="244">
    <w:name w:val="List Paragraph"/>
    <w:basedOn w:val="1"/>
    <w:unhideWhenUsed/>
    <w:qFormat/>
    <w:uiPriority w:val="99"/>
    <w:pPr>
      <w:ind w:firstLine="420" w:firstLineChars="200"/>
    </w:pPr>
  </w:style>
  <w:style w:type="character" w:customStyle="1" w:styleId="245">
    <w:name w:val="未处理的提及2"/>
    <w:basedOn w:val="30"/>
    <w:semiHidden/>
    <w:unhideWhenUsed/>
    <w:qFormat/>
    <w:uiPriority w:val="99"/>
    <w:rPr>
      <w:color w:val="605E5C"/>
      <w:shd w:val="clear" w:color="auto" w:fill="E1DFDD"/>
    </w:rPr>
  </w:style>
  <w:style w:type="paragraph" w:customStyle="1" w:styleId="246">
    <w:name w:val="参考文献"/>
    <w:basedOn w:val="1"/>
    <w:next w:val="232"/>
    <w:qFormat/>
    <w:uiPriority w:val="0"/>
    <w:pPr>
      <w:keepNext/>
      <w:pageBreakBefore/>
      <w:widowControl/>
      <w:shd w:val="clear" w:color="FFFFFF" w:fill="FFFFFF"/>
      <w:spacing w:before="640" w:after="20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CFAE30205342A5A1C2890795461C01"/>
        <w:style w:val=""/>
        <w:category>
          <w:name w:val="常规"/>
          <w:gallery w:val="placeholder"/>
        </w:category>
        <w:types>
          <w:type w:val="bbPlcHdr"/>
        </w:types>
        <w:behaviors>
          <w:behavior w:val="content"/>
        </w:behaviors>
        <w:description w:val=""/>
        <w:guid w:val="{030EBA24-C342-446E-9EC4-4888370F205C}"/>
      </w:docPartPr>
      <w:docPartBody>
        <w:p>
          <w:pPr>
            <w:pStyle w:val="5"/>
            <w:rPr>
              <w:rFonts w:hint="eastAsia"/>
            </w:rPr>
          </w:pPr>
          <w:r>
            <w:rPr>
              <w:rStyle w:val="4"/>
              <w:rFonts w:hint="eastAsia"/>
            </w:rPr>
            <w:t>单击或点击此处输入文字。</w:t>
          </w:r>
        </w:p>
      </w:docPartBody>
    </w:docPart>
    <w:docPart>
      <w:docPartPr>
        <w:name w:val="036E491FABC744EC91C40EB903C7E258"/>
        <w:style w:val=""/>
        <w:category>
          <w:name w:val="常规"/>
          <w:gallery w:val="placeholder"/>
        </w:category>
        <w:types>
          <w:type w:val="bbPlcHdr"/>
        </w:types>
        <w:behaviors>
          <w:behavior w:val="content"/>
        </w:behaviors>
        <w:description w:val=""/>
        <w:guid w:val="{C6F4B6A1-1424-4B25-9827-D7412866E03B}"/>
      </w:docPartPr>
      <w:docPartBody>
        <w:p>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8D"/>
    <w:rsid w:val="000100F0"/>
    <w:rsid w:val="00030140"/>
    <w:rsid w:val="0003016D"/>
    <w:rsid w:val="0007747A"/>
    <w:rsid w:val="00080ED1"/>
    <w:rsid w:val="0009327E"/>
    <w:rsid w:val="000B17C1"/>
    <w:rsid w:val="000B35CF"/>
    <w:rsid w:val="000E4A41"/>
    <w:rsid w:val="001257C7"/>
    <w:rsid w:val="00127D0D"/>
    <w:rsid w:val="001453AE"/>
    <w:rsid w:val="001B478F"/>
    <w:rsid w:val="001D0452"/>
    <w:rsid w:val="001D58BE"/>
    <w:rsid w:val="001E7FE7"/>
    <w:rsid w:val="002225E3"/>
    <w:rsid w:val="002264D0"/>
    <w:rsid w:val="002704AC"/>
    <w:rsid w:val="00284740"/>
    <w:rsid w:val="002E4367"/>
    <w:rsid w:val="0033520F"/>
    <w:rsid w:val="00337E43"/>
    <w:rsid w:val="00342B6B"/>
    <w:rsid w:val="003472DA"/>
    <w:rsid w:val="003616D7"/>
    <w:rsid w:val="00375CE6"/>
    <w:rsid w:val="003E7091"/>
    <w:rsid w:val="004054B0"/>
    <w:rsid w:val="00410403"/>
    <w:rsid w:val="00423C02"/>
    <w:rsid w:val="004243E9"/>
    <w:rsid w:val="00483946"/>
    <w:rsid w:val="00492307"/>
    <w:rsid w:val="004930E0"/>
    <w:rsid w:val="004A19C7"/>
    <w:rsid w:val="004A21E5"/>
    <w:rsid w:val="004A45D2"/>
    <w:rsid w:val="004B2E6B"/>
    <w:rsid w:val="004D4611"/>
    <w:rsid w:val="004E7831"/>
    <w:rsid w:val="004F1F70"/>
    <w:rsid w:val="00502394"/>
    <w:rsid w:val="0053287C"/>
    <w:rsid w:val="00546E14"/>
    <w:rsid w:val="00564EF6"/>
    <w:rsid w:val="00566665"/>
    <w:rsid w:val="005670E6"/>
    <w:rsid w:val="00576885"/>
    <w:rsid w:val="00584845"/>
    <w:rsid w:val="005B7944"/>
    <w:rsid w:val="005D66DB"/>
    <w:rsid w:val="005F3E1F"/>
    <w:rsid w:val="006235CC"/>
    <w:rsid w:val="00634979"/>
    <w:rsid w:val="00676CFC"/>
    <w:rsid w:val="00691A6B"/>
    <w:rsid w:val="006B7FB4"/>
    <w:rsid w:val="006D47F4"/>
    <w:rsid w:val="00764EBF"/>
    <w:rsid w:val="007B1A24"/>
    <w:rsid w:val="007F328D"/>
    <w:rsid w:val="008066C6"/>
    <w:rsid w:val="00886534"/>
    <w:rsid w:val="00896097"/>
    <w:rsid w:val="008F2A0C"/>
    <w:rsid w:val="008F2F91"/>
    <w:rsid w:val="009001D1"/>
    <w:rsid w:val="00904729"/>
    <w:rsid w:val="009226CA"/>
    <w:rsid w:val="00924E20"/>
    <w:rsid w:val="00945A89"/>
    <w:rsid w:val="009A6A98"/>
    <w:rsid w:val="009B7DA9"/>
    <w:rsid w:val="009C3144"/>
    <w:rsid w:val="009C4A5A"/>
    <w:rsid w:val="009E1438"/>
    <w:rsid w:val="00A36BB8"/>
    <w:rsid w:val="00A55BD1"/>
    <w:rsid w:val="00A65A78"/>
    <w:rsid w:val="00A92C3C"/>
    <w:rsid w:val="00A97B62"/>
    <w:rsid w:val="00AC4E65"/>
    <w:rsid w:val="00B55376"/>
    <w:rsid w:val="00B648CA"/>
    <w:rsid w:val="00B718A4"/>
    <w:rsid w:val="00B923DC"/>
    <w:rsid w:val="00BC6213"/>
    <w:rsid w:val="00BD1B98"/>
    <w:rsid w:val="00BF20F4"/>
    <w:rsid w:val="00BF753F"/>
    <w:rsid w:val="00C279AC"/>
    <w:rsid w:val="00C45CE9"/>
    <w:rsid w:val="00C72C07"/>
    <w:rsid w:val="00C85AEF"/>
    <w:rsid w:val="00CC2ED9"/>
    <w:rsid w:val="00D06DB4"/>
    <w:rsid w:val="00D13E65"/>
    <w:rsid w:val="00D16E1A"/>
    <w:rsid w:val="00D27229"/>
    <w:rsid w:val="00D40293"/>
    <w:rsid w:val="00D671E6"/>
    <w:rsid w:val="00D7519E"/>
    <w:rsid w:val="00D8170E"/>
    <w:rsid w:val="00DD4353"/>
    <w:rsid w:val="00DF12A2"/>
    <w:rsid w:val="00DF2197"/>
    <w:rsid w:val="00E064EC"/>
    <w:rsid w:val="00E23C56"/>
    <w:rsid w:val="00E7051B"/>
    <w:rsid w:val="00EA5941"/>
    <w:rsid w:val="00ED6917"/>
    <w:rsid w:val="00EE66A5"/>
    <w:rsid w:val="00EF5DBD"/>
    <w:rsid w:val="00EF6D50"/>
    <w:rsid w:val="00F55FE9"/>
    <w:rsid w:val="00FC07CC"/>
    <w:rsid w:val="00FF5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FCFAE30205342A5A1C2890795461C0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036E491FABC744EC91C40EB903C7E2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54EE9-B604-4B81-AFDC-96C0928BF35E}">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697</Words>
  <Characters>3979</Characters>
  <Lines>33</Lines>
  <Paragraphs>9</Paragraphs>
  <TotalTime>653</TotalTime>
  <ScaleCrop>false</ScaleCrop>
  <LinksUpToDate>false</LinksUpToDate>
  <CharactersWithSpaces>4667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2025-01-26T07:28:00Z</dcterms:created>
  <dc:creator>ys</dc:creator>
  <cp:lastModifiedBy>Administrator</cp:lastModifiedBy>
  <cp:lastPrinted>2021-02-02T08:22:00Z</cp:lastPrinted>
  <dcterms:modified xsi:type="dcterms:W3CDTF">2025-08-26T07:47:35Z</dcterms:modified>
  <dc:title>团体标准</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2052-11.8.2.8361</vt:lpwstr>
  </property>
  <property fmtid="{D5CDD505-2E9C-101B-9397-08002B2CF9AE}" pid="15" name="ICV">
    <vt:lpwstr>10DAFCED8CFB44C4A58C7E9EABFBC89D_13</vt:lpwstr>
  </property>
</Properties>
</file>