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9228" w:hSpace="180" w:vSpace="180" w:wrap="around" w:vAnchor="margin" w:hAnchor="page" w:x="1240" w:y="1" w:anchorLock="1"/>
        <w:widowControl w:val="0"/>
        <w:ind w:firstLine="420"/>
        <w:textAlignment w:val="center"/>
        <w:rPr>
          <w:rFonts w:hint="default" w:ascii="Times New Roman" w:hAnsi="Times New Roman" w:eastAsia="黑体" w:cs="Times New Roman"/>
          <w:color w:val="auto"/>
          <w:kern w:val="0"/>
          <w:sz w:val="21"/>
          <w:szCs w:val="21"/>
          <w:lang w:val="en-US" w:eastAsia="zh-CN"/>
        </w:rPr>
      </w:pPr>
      <w:r>
        <w:rPr>
          <w:rFonts w:hint="default" w:ascii="Times New Roman" w:hAnsi="Times New Roman" w:eastAsia="黑体" w:cs="Times New Roman"/>
          <w:color w:val="auto"/>
          <w:kern w:val="0"/>
          <w:sz w:val="21"/>
          <w:szCs w:val="21"/>
        </w:rPr>
        <w:t>ICS </w:t>
      </w:r>
      <w:r>
        <w:rPr>
          <w:rFonts w:hint="default" w:ascii="Times New Roman" w:hAnsi="Times New Roman" w:eastAsia="黑体" w:cs="Times New Roman"/>
          <w:color w:val="auto"/>
          <w:kern w:val="0"/>
          <w:sz w:val="21"/>
          <w:szCs w:val="21"/>
          <w:lang w:val="en-US" w:eastAsia="zh-CN"/>
        </w:rPr>
        <w:t>03.100.01</w:t>
      </w:r>
    </w:p>
    <w:p>
      <w:pPr>
        <w:framePr w:w="9228" w:hSpace="180" w:vSpace="180" w:wrap="around" w:vAnchor="margin" w:hAnchor="page" w:x="1240" w:y="1" w:anchorLock="1"/>
        <w:widowControl w:val="0"/>
        <w:ind w:firstLine="420"/>
        <w:textAlignment w:val="center"/>
        <w:rPr>
          <w:rFonts w:hint="default" w:ascii="Times New Roman" w:hAnsi="Times New Roman" w:eastAsia="黑体" w:cs="Times New Roman"/>
          <w:color w:val="auto"/>
          <w:kern w:val="0"/>
          <w:sz w:val="21"/>
          <w:szCs w:val="21"/>
          <w:lang w:val="en-US" w:eastAsia="zh-CN"/>
        </w:rPr>
      </w:pPr>
      <w:r>
        <w:rPr>
          <w:rFonts w:hint="default" w:ascii="Times New Roman" w:hAnsi="Times New Roman" w:eastAsia="黑体" w:cs="Times New Roman"/>
          <w:color w:val="auto"/>
          <w:kern w:val="0"/>
          <w:sz w:val="21"/>
          <w:szCs w:val="21"/>
        </w:rPr>
        <w:t xml:space="preserve">CCS </w:t>
      </w:r>
      <w:r>
        <w:rPr>
          <w:rFonts w:hint="default" w:ascii="Times New Roman" w:hAnsi="Times New Roman" w:eastAsia="黑体" w:cs="Times New Roman"/>
          <w:color w:val="auto"/>
          <w:kern w:val="0"/>
          <w:sz w:val="21"/>
          <w:szCs w:val="21"/>
          <w:lang w:val="en-US" w:eastAsia="zh-CN"/>
        </w:rPr>
        <w:t>F 00/09</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framePr w:w="9228" w:hSpace="180" w:vSpace="180" w:wrap="around" w:vAnchor="margin" w:hAnchor="page" w:x="1240" w:y="1" w:anchorLock="1"/>
              <w:widowControl w:val="0"/>
              <w:ind w:firstLine="420"/>
              <w:textAlignment w:val="center"/>
              <w:rPr>
                <w:rFonts w:ascii="黑体" w:eastAsia="黑体"/>
                <w:kern w:val="0"/>
                <w:sz w:val="21"/>
                <w:szCs w:val="21"/>
              </w:rPr>
            </w:pPr>
            <w: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3" name="矩形 8"/>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矩形 8"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iuL+zVAAAA&#10;BwEAAA8AAAAAAAAAAQAgAAAAIgAAAGRycy9kb3ducmV2LnhtbFBLAQIUABQAAAAIAIdO4kB+Qp+R&#10;IAIAADMEAAAOAAAAAAAAAAEAIAAAACQBAABkcnMvZTJvRG9jLnhtbFBLBQYAAAAABgAGAFkBAAC2&#10;BQAAAAA=&#10;">
                      <v:fill on="t" focussize="0,0"/>
                      <v:stroke on="f"/>
                      <v:imagedata o:title=""/>
                      <o:lock v:ext="edit" aspectratio="f"/>
                    </v:rect>
                  </w:pict>
                </mc:Fallback>
              </mc:AlternateContent>
            </w:r>
            <w:r>
              <w:rPr>
                <w:rFonts w:ascii="黑体" w:eastAsia="黑体"/>
                <w:kern w:val="0"/>
                <w:sz w:val="21"/>
                <w:szCs w:val="21"/>
              </w:rPr>
              <w:fldChar w:fldCharType="begin">
                <w:ffData>
                  <w:name w:val="BAH"/>
                  <w:enabled/>
                  <w:calcOnExit w:val="0"/>
                  <w:textInput/>
                </w:ffData>
              </w:fldChar>
            </w:r>
            <w:bookmarkStart w:id="0" w:name="BAH"/>
            <w:r>
              <w:rPr>
                <w:rFonts w:ascii="黑体" w:eastAsia="黑体"/>
                <w:kern w:val="0"/>
                <w:sz w:val="21"/>
                <w:szCs w:val="21"/>
              </w:rPr>
              <w:instrText xml:space="preserve"> FORMTEXT </w:instrText>
            </w:r>
            <w:r>
              <w:rPr>
                <w:rFonts w:ascii="黑体" w:eastAsia="黑体"/>
                <w:kern w:val="0"/>
                <w:sz w:val="21"/>
                <w:szCs w:val="21"/>
              </w:rPr>
              <w:fldChar w:fldCharType="separate"/>
            </w:r>
            <w:r>
              <w:rPr>
                <w:rFonts w:ascii="黑体" w:eastAsia="黑体"/>
                <w:kern w:val="0"/>
                <w:sz w:val="21"/>
                <w:szCs w:val="21"/>
              </w:rPr>
              <w:t>     </w:t>
            </w:r>
            <w:r>
              <w:rPr>
                <w:rFonts w:ascii="黑体" w:eastAsia="黑体"/>
                <w:kern w:val="0"/>
                <w:sz w:val="21"/>
                <w:szCs w:val="21"/>
              </w:rPr>
              <w:fldChar w:fldCharType="end"/>
            </w:r>
            <w:bookmarkEnd w:id="0"/>
          </w:p>
        </w:tc>
      </w:tr>
    </w:tbl>
    <w:p>
      <w:pPr>
        <w:framePr w:w="7684" w:h="861" w:hRule="exact" w:hSpace="181" w:vSpace="181" w:wrap="around" w:vAnchor="page" w:hAnchor="page" w:x="2025" w:y="2286" w:anchorLock="1"/>
        <w:widowControl w:val="0"/>
        <w:spacing w:line="0" w:lineRule="atLeast"/>
        <w:jc w:val="distribute"/>
        <w:rPr>
          <w:rFonts w:eastAsia="黑体"/>
          <w:spacing w:val="-40"/>
          <w:kern w:val="0"/>
          <w:sz w:val="72"/>
          <w:szCs w:val="72"/>
        </w:rPr>
      </w:pPr>
      <w:r>
        <w:rPr>
          <w:rFonts w:hint="eastAsia" w:eastAsia="黑体"/>
          <w:spacing w:val="-40"/>
          <w:kern w:val="0"/>
          <w:sz w:val="72"/>
          <w:szCs w:val="72"/>
        </w:rPr>
        <w:t>团体标准</w:t>
      </w:r>
    </w:p>
    <w:p>
      <w:pPr>
        <w:framePr w:w="9189" w:h="926" w:hRule="exact" w:hSpace="284" w:wrap="around" w:vAnchor="page" w:hAnchor="page" w:x="1383" w:y="3190" w:anchorLock="1"/>
        <w:spacing w:before="357" w:line="280" w:lineRule="exact"/>
        <w:ind w:firstLine="640"/>
        <w:jc w:val="right"/>
        <w:rPr>
          <w:rFonts w:ascii="黑体" w:hAnsi="黑体" w:eastAsia="黑体"/>
          <w:kern w:val="0"/>
          <w:sz w:val="32"/>
          <w:szCs w:val="32"/>
        </w:rPr>
      </w:pPr>
      <w:r>
        <w:rPr>
          <w:rFonts w:ascii="黑体" w:hAnsi="黑体" w:eastAsia="黑体"/>
          <w:kern w:val="0"/>
          <w:sz w:val="32"/>
          <w:szCs w:val="32"/>
        </w:rPr>
        <w:t>T/</w:t>
      </w:r>
      <w:r>
        <w:rPr>
          <w:rFonts w:hint="eastAsia" w:ascii="黑体" w:hAnsi="黑体" w:eastAsia="黑体"/>
          <w:kern w:val="0"/>
          <w:sz w:val="32"/>
          <w:szCs w:val="32"/>
        </w:rPr>
        <w:t>CERS</w:t>
      </w:r>
      <w:r>
        <w:rPr>
          <w:rFonts w:hint="eastAsia" w:ascii="黑体" w:eastAsia="黑体"/>
          <w:kern w:val="0"/>
          <w:sz w:val="32"/>
          <w:szCs w:val="32"/>
        </w:rPr>
        <w:t>XXXX</w:t>
      </w:r>
      <w:r>
        <w:rPr>
          <w:rFonts w:hint="eastAsia" w:ascii="黑体" w:hAnsi="黑体" w:eastAsia="黑体"/>
          <w:kern w:val="0"/>
          <w:sz w:val="32"/>
          <w:szCs w:val="32"/>
        </w:rPr>
        <w:t>—</w:t>
      </w:r>
      <w:r>
        <w:rPr>
          <w:rFonts w:hint="eastAsia" w:ascii="黑体" w:eastAsia="黑体"/>
          <w:kern w:val="0"/>
          <w:sz w:val="32"/>
          <w:szCs w:val="32"/>
        </w:rPr>
        <w:t>202X</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framePr w:w="9189" w:h="926" w:hRule="exact" w:hSpace="284" w:wrap="around" w:vAnchor="page" w:hAnchor="page" w:x="1383" w:y="3190" w:anchorLock="1"/>
              <w:widowControl w:val="0"/>
              <w:spacing w:before="57" w:line="280" w:lineRule="exact"/>
              <w:ind w:left="363" w:firstLine="420"/>
              <w:jc w:val="right"/>
              <w:rPr>
                <w:rFonts w:ascii="宋体"/>
                <w:kern w:val="0"/>
                <w:sz w:val="21"/>
                <w:szCs w:val="21"/>
              </w:rPr>
            </w:pPr>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2" name="矩形 7"/>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矩形 7"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xPZG0R0C&#10;AAA0BAAADgAAAAAAAAABACAAAAAlAQAAZHJzL2Uyb0RvYy54bWxQSwUGAAAAAAYABgBZAQAAtAUA&#10;AAAA&#10;">
                      <v:fill on="t" focussize="0,0"/>
                      <v:stroke on="f"/>
                      <v:imagedata o:title=""/>
                      <o:lock v:ext="edit" aspectratio="f"/>
                    </v:rect>
                  </w:pict>
                </mc:Fallback>
              </mc:AlternateContent>
            </w:r>
            <w:r>
              <w:rPr>
                <w:rFonts w:ascii="宋体"/>
                <w:kern w:val="0"/>
                <w:sz w:val="21"/>
                <w:szCs w:val="21"/>
              </w:rPr>
              <w:fldChar w:fldCharType="begin">
                <w:ffData>
                  <w:name w:val="DT"/>
                  <w:enabled/>
                  <w:calcOnExit w:val="0"/>
                  <w:entryMacro w:val="ShowHelp4"/>
                  <w:textInput/>
                </w:ffData>
              </w:fldChar>
            </w:r>
            <w:bookmarkStart w:id="1" w:name="DT"/>
            <w:r>
              <w:rPr>
                <w:rFonts w:ascii="宋体"/>
                <w:kern w:val="0"/>
                <w:sz w:val="21"/>
                <w:szCs w:val="21"/>
              </w:rPr>
              <w:instrText xml:space="preserve"> FORMTEXT </w:instrText>
            </w:r>
            <w:r>
              <w:rPr>
                <w:rFonts w:ascii="宋体"/>
                <w:kern w:val="0"/>
                <w:sz w:val="21"/>
                <w:szCs w:val="21"/>
              </w:rPr>
              <w:fldChar w:fldCharType="separate"/>
            </w:r>
            <w:r>
              <w:rPr>
                <w:rFonts w:ascii="宋体"/>
                <w:kern w:val="0"/>
                <w:sz w:val="21"/>
                <w:szCs w:val="21"/>
              </w:rPr>
              <w:t>     </w:t>
            </w:r>
            <w:r>
              <w:rPr>
                <w:rFonts w:ascii="宋体"/>
                <w:kern w:val="0"/>
                <w:sz w:val="21"/>
                <w:szCs w:val="21"/>
              </w:rPr>
              <w:fldChar w:fldCharType="end"/>
            </w:r>
            <w:bookmarkEnd w:id="1"/>
          </w:p>
        </w:tc>
      </w:tr>
    </w:tbl>
    <w:p>
      <w:pPr>
        <w:framePr w:w="9189" w:h="926" w:hRule="exact" w:hSpace="284" w:wrap="around" w:vAnchor="page" w:hAnchor="page" w:x="1383" w:y="3190" w:anchorLock="1"/>
        <w:spacing w:before="357" w:line="280" w:lineRule="exact"/>
        <w:ind w:firstLine="560"/>
        <w:jc w:val="right"/>
        <w:rPr>
          <w:rFonts w:ascii="黑体" w:hAnsi="黑体" w:eastAsia="黑体"/>
          <w:kern w:val="0"/>
          <w:sz w:val="28"/>
          <w:szCs w:val="28"/>
        </w:rPr>
      </w:pPr>
    </w:p>
    <w:p>
      <w:pPr>
        <w:framePr w:w="9189" w:h="926" w:hRule="exact" w:hSpace="284" w:wrap="around" w:vAnchor="page" w:hAnchor="page" w:x="1383" w:y="3190" w:anchorLock="1"/>
        <w:spacing w:before="357" w:line="280" w:lineRule="exact"/>
        <w:ind w:firstLine="560"/>
        <w:jc w:val="right"/>
        <w:rPr>
          <w:rFonts w:ascii="黑体" w:hAnsi="黑体" w:eastAsia="黑体"/>
          <w:kern w:val="0"/>
          <w:sz w:val="28"/>
          <w:szCs w:val="28"/>
        </w:rPr>
      </w:pPr>
    </w:p>
    <w:p>
      <w:pPr>
        <w:framePr w:w="9639" w:h="6917" w:hRule="exact" w:wrap="around" w:vAnchor="page" w:hAnchor="page" w:x="973" w:y="6397" w:anchorLock="1"/>
        <w:widowControl w:val="0"/>
        <w:jc w:val="center"/>
        <w:textAlignment w:val="center"/>
        <w:rPr>
          <w:rFonts w:hint="eastAsia" w:ascii="黑体" w:hAnsi="黑体" w:eastAsia="黑体" w:cs="黑体"/>
          <w:kern w:val="0"/>
          <w:sz w:val="52"/>
          <w:szCs w:val="21"/>
          <w:lang w:eastAsia="zh-CN"/>
        </w:rPr>
      </w:pPr>
      <w:r>
        <w:rPr>
          <w:rFonts w:hint="eastAsia" w:ascii="黑体" w:hAnsi="黑体" w:eastAsia="黑体" w:cs="黑体"/>
          <w:kern w:val="0"/>
          <w:sz w:val="52"/>
          <w:szCs w:val="21"/>
        </w:rPr>
        <w:t>能源企业绿色采购评价</w:t>
      </w:r>
    </w:p>
    <w:p>
      <w:pPr>
        <w:framePr w:w="9639" w:h="6917" w:hRule="exact" w:wrap="around" w:vAnchor="page" w:hAnchor="page" w:x="973" w:y="6397" w:anchorLock="1"/>
        <w:widowControl w:val="0"/>
        <w:ind w:left="363" w:firstLine="560"/>
        <w:jc w:val="center"/>
        <w:textAlignment w:val="center"/>
        <w:rPr>
          <w:rFonts w:eastAsia="黑体"/>
          <w:kern w:val="0"/>
          <w:sz w:val="28"/>
          <w:szCs w:val="28"/>
        </w:rPr>
      </w:pPr>
    </w:p>
    <w:p>
      <w:pPr>
        <w:framePr w:w="9639" w:h="6917" w:hRule="exact" w:wrap="around" w:vAnchor="page" w:hAnchor="page" w:x="973" w:y="6397" w:anchorLock="1"/>
        <w:widowControl w:val="0"/>
        <w:jc w:val="center"/>
        <w:textAlignment w:val="center"/>
        <w:rPr>
          <w:rFonts w:ascii="黑体" w:hAnsi="黑体" w:eastAsia="黑体" w:cs="黑体"/>
          <w:kern w:val="0"/>
          <w:sz w:val="28"/>
          <w:szCs w:val="28"/>
        </w:rPr>
      </w:pPr>
      <w:r>
        <w:rPr>
          <w:rFonts w:hint="eastAsia" w:ascii="黑体" w:hAnsi="黑体" w:eastAsia="黑体" w:cs="黑体"/>
        </w:rPr>
        <w:t xml:space="preserve"> </w:t>
      </w:r>
      <w:r>
        <w:rPr>
          <w:rFonts w:hint="eastAsia" w:ascii="黑体" w:hAnsi="黑体" w:eastAsia="黑体" w:cs="黑体"/>
          <w:kern w:val="0"/>
          <w:sz w:val="28"/>
          <w:szCs w:val="28"/>
        </w:rPr>
        <w:t>Green procurement evaluation for energy enterprises</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framePr w:w="9639" w:h="6917" w:hRule="exact" w:wrap="around" w:vAnchor="page" w:hAnchor="page" w:x="973" w:y="6397" w:anchorLock="1"/>
              <w:widowControl w:val="0"/>
              <w:spacing w:before="500"/>
              <w:jc w:val="center"/>
              <w:textAlignment w:val="center"/>
              <w:rPr>
                <w:rFonts w:ascii="宋体"/>
                <w:kern w:val="0"/>
                <w:sz w:val="21"/>
                <w:szCs w:val="28"/>
              </w:rPr>
            </w:pPr>
          </w:p>
          <w:p>
            <w:pPr>
              <w:framePr w:w="9639" w:h="6917" w:hRule="exact" w:wrap="around" w:vAnchor="page" w:hAnchor="page" w:x="973" w:y="6397" w:anchorLock="1"/>
              <w:widowControl w:val="0"/>
              <w:spacing w:before="180" w:after="160"/>
              <w:jc w:val="center"/>
              <w:textAlignment w:val="center"/>
              <w:rPr>
                <w:rFonts w:ascii="黑体" w:hAnsi="黑体" w:eastAsia="黑体"/>
                <w:kern w:val="0"/>
                <w:sz w:val="28"/>
                <w:szCs w:val="28"/>
              </w:rPr>
            </w:pPr>
            <w:r>
              <w:rPr>
                <w:rFonts w:hint="eastAsia" w:ascii="黑体" w:hAnsi="黑体" w:eastAsia="黑体"/>
                <w:kern w:val="0"/>
                <w:sz w:val="28"/>
                <w:szCs w:val="28"/>
              </w:rPr>
              <w:t>（</w:t>
            </w:r>
            <w:r>
              <w:rPr>
                <w:rFonts w:hint="eastAsia" w:ascii="黑体" w:hAnsi="黑体" w:eastAsia="黑体"/>
                <w:kern w:val="0"/>
                <w:sz w:val="28"/>
                <w:szCs w:val="28"/>
                <w:lang w:val="en-US" w:eastAsia="zh-CN"/>
              </w:rPr>
              <w:t>征求意见</w:t>
            </w:r>
            <w:r>
              <w:rPr>
                <w:rFonts w:hint="eastAsia" w:ascii="黑体" w:hAnsi="黑体" w:eastAsia="黑体"/>
                <w:kern w:val="0"/>
                <w:sz w:val="28"/>
                <w:szCs w:val="28"/>
              </w:rPr>
              <w:t>稿）</w:t>
            </w:r>
          </w:p>
        </w:tc>
      </w:tr>
    </w:tbl>
    <w:p>
      <w:pPr>
        <w:framePr w:w="3997" w:h="471" w:hRule="exact" w:vSpace="181" w:wrap="around" w:vAnchor="page" w:hAnchor="page" w:x="1132" w:y="14081" w:anchorLock="1"/>
        <w:ind w:firstLine="560"/>
        <w:rPr>
          <w:rFonts w:eastAsia="黑体"/>
          <w:kern w:val="0"/>
          <w:sz w:val="28"/>
          <w:szCs w:val="20"/>
        </w:rPr>
      </w:pPr>
      <w:r>
        <w:rPr>
          <w:rFonts w:ascii="黑体" w:eastAsia="黑体"/>
          <w:kern w:val="0"/>
          <w:sz w:val="28"/>
          <w:szCs w:val="20"/>
        </w:rPr>
        <w:fldChar w:fldCharType="begin">
          <w:ffData>
            <w:name w:val="FY"/>
            <w:enabled/>
            <w:calcOnExit w:val="0"/>
            <w:entryMacro w:val="ShowHelp8"/>
            <w:textInput>
              <w:default w:val="20××"/>
              <w:maxLength w:val="4"/>
            </w:textInput>
          </w:ffData>
        </w:fldChar>
      </w:r>
      <w:bookmarkStart w:id="2" w:name="FY"/>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t>20××</w:t>
      </w:r>
      <w:r>
        <w:rPr>
          <w:rFonts w:ascii="黑体" w:eastAsia="黑体"/>
          <w:kern w:val="0"/>
          <w:sz w:val="28"/>
          <w:szCs w:val="20"/>
        </w:rPr>
        <w:fldChar w:fldCharType="end"/>
      </w:r>
      <w:bookmarkEnd w:id="2"/>
      <w:r>
        <w:rPr>
          <w:rFonts w:eastAsia="黑体"/>
          <w:kern w:val="0"/>
          <w:sz w:val="28"/>
          <w:szCs w:val="20"/>
        </w:rPr>
        <w:t xml:space="preserve"> </w:t>
      </w:r>
      <w:r>
        <w:rPr>
          <w:rFonts w:ascii="黑体" w:eastAsia="黑体"/>
          <w:kern w:val="0"/>
          <w:sz w:val="28"/>
          <w:szCs w:val="20"/>
        </w:rPr>
        <w:t>-</w:t>
      </w:r>
      <w:r>
        <w:rPr>
          <w:rFonts w:eastAsia="黑体"/>
          <w:kern w:val="0"/>
          <w:sz w:val="28"/>
          <w:szCs w:val="20"/>
        </w:rPr>
        <w:t xml:space="preserve"> </w:t>
      </w:r>
      <w:r>
        <w:rPr>
          <w:rFonts w:ascii="黑体" w:eastAsia="黑体"/>
          <w:kern w:val="0"/>
          <w:sz w:val="28"/>
          <w:szCs w:val="20"/>
        </w:rPr>
        <w:fldChar w:fldCharType="begin">
          <w:ffData>
            <w:name w:val="FM"/>
            <w:enabled/>
            <w:calcOnExit w:val="0"/>
            <w:entryMacro w:val="ShowHelp8"/>
            <w:textInput>
              <w:default w:val="××"/>
              <w:maxLength w:val="2"/>
            </w:textInput>
          </w:ffData>
        </w:fldChar>
      </w:r>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t>××</w:t>
      </w:r>
      <w:r>
        <w:rPr>
          <w:rFonts w:ascii="黑体" w:eastAsia="黑体"/>
          <w:kern w:val="0"/>
          <w:sz w:val="28"/>
          <w:szCs w:val="20"/>
        </w:rPr>
        <w:fldChar w:fldCharType="end"/>
      </w:r>
      <w:r>
        <w:rPr>
          <w:rFonts w:eastAsia="黑体"/>
          <w:kern w:val="0"/>
          <w:sz w:val="28"/>
          <w:szCs w:val="20"/>
        </w:rPr>
        <w:t xml:space="preserve"> </w:t>
      </w:r>
      <w:r>
        <w:rPr>
          <w:rFonts w:ascii="黑体" w:eastAsia="黑体"/>
          <w:kern w:val="0"/>
          <w:sz w:val="28"/>
          <w:szCs w:val="20"/>
        </w:rPr>
        <w:t>-</w:t>
      </w:r>
      <w:r>
        <w:rPr>
          <w:rFonts w:eastAsia="黑体"/>
          <w:kern w:val="0"/>
          <w:sz w:val="28"/>
          <w:szCs w:val="20"/>
        </w:rPr>
        <w:t xml:space="preserve"> </w:t>
      </w:r>
      <w:r>
        <w:rPr>
          <w:rFonts w:ascii="黑体" w:eastAsia="黑体"/>
          <w:kern w:val="0"/>
          <w:sz w:val="28"/>
          <w:szCs w:val="20"/>
        </w:rPr>
        <w:fldChar w:fldCharType="begin">
          <w:ffData>
            <w:name w:val="FD"/>
            <w:enabled/>
            <w:calcOnExit w:val="0"/>
            <w:entryMacro w:val="ShowHelp8"/>
            <w:textInput>
              <w:default w:val="××"/>
              <w:maxLength w:val="2"/>
            </w:textInput>
          </w:ffData>
        </w:fldChar>
      </w:r>
      <w:bookmarkStart w:id="3" w:name="FD"/>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t>××</w:t>
      </w:r>
      <w:r>
        <w:rPr>
          <w:rFonts w:ascii="黑体" w:eastAsia="黑体"/>
          <w:kern w:val="0"/>
          <w:sz w:val="28"/>
          <w:szCs w:val="20"/>
        </w:rPr>
        <w:fldChar w:fldCharType="end"/>
      </w:r>
      <w:bookmarkEnd w:id="3"/>
      <w:r>
        <w:rPr>
          <w:rFonts w:hint="eastAsia" w:eastAsia="黑体"/>
          <w:kern w:val="0"/>
          <w:sz w:val="28"/>
          <w:szCs w:val="20"/>
        </w:rPr>
        <w:t>发布</w:t>
      </w: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-6250940</wp:posOffset>
                </wp:positionV>
                <wp:extent cx="6120130" cy="0"/>
                <wp:effectExtent l="0" t="0" r="0" b="0"/>
                <wp:wrapNone/>
                <wp:docPr id="4"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9050">
                          <a:solidFill>
                            <a:srgbClr val="000000"/>
                          </a:solidFill>
                          <a:round/>
                        </a:ln>
                        <a:effectLst/>
                      </wps:spPr>
                      <wps:bodyPr/>
                    </wps:wsp>
                  </a:graphicData>
                </a:graphic>
              </wp:anchor>
            </w:drawing>
          </mc:Choice>
          <mc:Fallback>
            <w:pict>
              <v:line id="直接连接符 6" o:spid="_x0000_s1026" o:spt="20" style="position:absolute;left:0pt;margin-left:-0.05pt;margin-top:-492.2pt;height:0pt;width:481.9pt;z-index:251662336;mso-width-relative:page;mso-height-relative:page;" filled="f" stroked="t" coordsize="21600,21600" o:gfxdata="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wOQedYA&#10;AAALAQAADwAAAAAAAAABACAAAAAiAAAAZHJzL2Rvd25yZXYueG1sUEsBAhQAFAAAAAgAh07iQC3j&#10;3iDoAQAAuQMAAA4AAAAAAAAAAQAgAAAAJQEAAGRycy9lMm9Eb2MueG1sUEsFBgAAAAAGAAYAWQEA&#10;AH8FAAAAAA==&#10;">
                <v:fill on="f" focussize="0,0"/>
                <v:stroke weight="1.5pt" color="#000000" joinstyle="round"/>
                <v:imagedata o:title=""/>
                <o:lock v:ext="edit" aspectratio="f"/>
              </v:line>
            </w:pict>
          </mc:Fallback>
        </mc:AlternateContent>
      </w:r>
    </w:p>
    <w:p>
      <w:pPr>
        <w:framePr w:w="3997" w:h="471" w:hRule="exact" w:vSpace="181" w:wrap="around" w:vAnchor="page" w:hAnchor="page" w:x="6749" w:y="14020"/>
        <w:ind w:firstLine="560"/>
        <w:jc w:val="right"/>
        <w:rPr>
          <w:rFonts w:eastAsia="黑体"/>
          <w:kern w:val="0"/>
          <w:sz w:val="28"/>
          <w:szCs w:val="20"/>
        </w:rPr>
      </w:pPr>
      <w:r>
        <w:rPr>
          <w:rFonts w:ascii="黑体" w:eastAsia="黑体"/>
          <w:kern w:val="0"/>
          <w:sz w:val="28"/>
          <w:szCs w:val="20"/>
        </w:rPr>
        <w:fldChar w:fldCharType="begin">
          <w:ffData>
            <w:name w:val="SY"/>
            <w:enabled/>
            <w:calcOnExit w:val="0"/>
            <w:entryMacro w:val="ShowHelp9"/>
            <w:textInput>
              <w:default w:val="20××"/>
              <w:maxLength w:val="4"/>
            </w:textInput>
          </w:ffData>
        </w:fldChar>
      </w:r>
      <w:bookmarkStart w:id="4" w:name="SY"/>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t>20××</w:t>
      </w:r>
      <w:r>
        <w:rPr>
          <w:rFonts w:ascii="黑体" w:eastAsia="黑体"/>
          <w:kern w:val="0"/>
          <w:sz w:val="28"/>
          <w:szCs w:val="20"/>
        </w:rPr>
        <w:fldChar w:fldCharType="end"/>
      </w:r>
      <w:bookmarkEnd w:id="4"/>
      <w:r>
        <w:rPr>
          <w:rFonts w:eastAsia="黑体"/>
          <w:kern w:val="0"/>
          <w:sz w:val="28"/>
          <w:szCs w:val="20"/>
        </w:rPr>
        <w:t xml:space="preserve"> </w:t>
      </w:r>
      <w:r>
        <w:rPr>
          <w:rFonts w:ascii="黑体" w:eastAsia="黑体"/>
          <w:kern w:val="0"/>
          <w:sz w:val="28"/>
          <w:szCs w:val="20"/>
        </w:rPr>
        <w:t>-</w:t>
      </w:r>
      <w:r>
        <w:rPr>
          <w:rFonts w:eastAsia="黑体"/>
          <w:kern w:val="0"/>
          <w:sz w:val="28"/>
          <w:szCs w:val="20"/>
        </w:rPr>
        <w:t xml:space="preserve"> </w:t>
      </w:r>
      <w:r>
        <w:rPr>
          <w:rFonts w:ascii="黑体" w:eastAsia="黑体"/>
          <w:kern w:val="0"/>
          <w:sz w:val="28"/>
          <w:szCs w:val="20"/>
        </w:rPr>
        <w:fldChar w:fldCharType="begin">
          <w:ffData>
            <w:name w:val="SM"/>
            <w:enabled/>
            <w:calcOnExit w:val="0"/>
            <w:entryMacro w:val="ShowHelp9"/>
            <w:textInput>
              <w:default w:val="××"/>
              <w:maxLength w:val="2"/>
            </w:textInput>
          </w:ffData>
        </w:fldChar>
      </w:r>
      <w:bookmarkStart w:id="5" w:name="SM"/>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t>××</w:t>
      </w:r>
      <w:r>
        <w:rPr>
          <w:rFonts w:ascii="黑体" w:eastAsia="黑体"/>
          <w:kern w:val="0"/>
          <w:sz w:val="28"/>
          <w:szCs w:val="20"/>
        </w:rPr>
        <w:fldChar w:fldCharType="end"/>
      </w:r>
      <w:bookmarkEnd w:id="5"/>
      <w:r>
        <w:rPr>
          <w:rFonts w:eastAsia="黑体"/>
          <w:kern w:val="0"/>
          <w:sz w:val="28"/>
          <w:szCs w:val="20"/>
        </w:rPr>
        <w:t xml:space="preserve"> </w:t>
      </w:r>
      <w:r>
        <w:rPr>
          <w:rFonts w:ascii="黑体" w:eastAsia="黑体"/>
          <w:kern w:val="0"/>
          <w:sz w:val="28"/>
          <w:szCs w:val="20"/>
        </w:rPr>
        <w:t>-</w:t>
      </w:r>
      <w:r>
        <w:rPr>
          <w:rFonts w:eastAsia="黑体"/>
          <w:kern w:val="0"/>
          <w:sz w:val="28"/>
          <w:szCs w:val="20"/>
        </w:rPr>
        <w:t xml:space="preserve"> </w:t>
      </w:r>
      <w:r>
        <w:rPr>
          <w:rFonts w:ascii="黑体" w:eastAsia="黑体"/>
          <w:kern w:val="0"/>
          <w:sz w:val="28"/>
          <w:szCs w:val="20"/>
        </w:rPr>
        <w:fldChar w:fldCharType="begin">
          <w:ffData>
            <w:name w:val="SD"/>
            <w:enabled/>
            <w:calcOnExit w:val="0"/>
            <w:entryMacro w:val="ShowHelp9"/>
            <w:textInput>
              <w:default w:val="××"/>
              <w:maxLength w:val="2"/>
            </w:textInput>
          </w:ffData>
        </w:fldChar>
      </w:r>
      <w:bookmarkStart w:id="6" w:name="SD"/>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t>××</w:t>
      </w:r>
      <w:r>
        <w:rPr>
          <w:rFonts w:ascii="黑体" w:eastAsia="黑体"/>
          <w:kern w:val="0"/>
          <w:sz w:val="28"/>
          <w:szCs w:val="20"/>
        </w:rPr>
        <w:fldChar w:fldCharType="end"/>
      </w:r>
      <w:bookmarkEnd w:id="6"/>
      <w:r>
        <w:rPr>
          <w:rFonts w:hint="eastAsia" w:eastAsia="黑体"/>
          <w:kern w:val="0"/>
          <w:sz w:val="28"/>
          <w:szCs w:val="20"/>
        </w:rPr>
        <w:t>实施</w:t>
      </w:r>
    </w:p>
    <w:p>
      <w:pPr>
        <w:framePr w:w="7938" w:h="758" w:hRule="exact" w:hSpace="125" w:vSpace="181" w:wrap="around" w:vAnchor="page" w:hAnchor="page" w:x="2150" w:y="15310" w:anchorLock="1"/>
        <w:widowControl w:val="0"/>
        <w:numPr>
          <w:ilvl w:val="0"/>
          <w:numId w:val="3"/>
        </w:numPr>
        <w:spacing w:line="0" w:lineRule="atLeast"/>
        <w:ind w:left="0" w:firstLine="900"/>
        <w:jc w:val="center"/>
        <w:rPr>
          <w:rFonts w:ascii="黑体" w:eastAsia="黑体"/>
          <w:spacing w:val="20"/>
          <w:w w:val="135"/>
          <w:kern w:val="0"/>
          <w:sz w:val="28"/>
          <w:szCs w:val="20"/>
        </w:rPr>
      </w:pPr>
      <w:r>
        <w:rPr>
          <w:rFonts w:hint="eastAsia" w:ascii="黑体" w:eastAsia="黑体"/>
          <w:spacing w:val="20"/>
          <w:w w:val="135"/>
          <w:kern w:val="0"/>
          <w:sz w:val="32"/>
          <w:szCs w:val="32"/>
        </w:rPr>
        <w:t>X X X X X X X</w:t>
      </w:r>
      <w:r>
        <w:rPr>
          <w:rFonts w:ascii="黑体" w:eastAsia="黑体"/>
          <w:spacing w:val="85"/>
          <w:kern w:val="0"/>
          <w:position w:val="3"/>
          <w:sz w:val="28"/>
          <w:szCs w:val="28"/>
        </w:rPr>
        <w:t xml:space="preserve"> </w:t>
      </w:r>
      <w:r>
        <w:rPr>
          <w:rFonts w:hint="eastAsia" w:ascii="黑体" w:eastAsia="黑体"/>
          <w:spacing w:val="85"/>
          <w:kern w:val="0"/>
          <w:position w:val="3"/>
          <w:sz w:val="28"/>
          <w:szCs w:val="28"/>
        </w:rPr>
        <w:t>发布</w:t>
      </w:r>
    </w:p>
    <w:p>
      <w:pPr>
        <w:ind w:firstLine="560"/>
        <w:rPr>
          <w:rFonts w:ascii="宋体" w:hAnsi="宋体"/>
          <w:sz w:val="28"/>
          <w:szCs w:val="28"/>
        </w:rPr>
        <w:sectPr>
          <w:headerReference r:id="rId4" w:type="first"/>
          <w:footerReference r:id="rId6" w:type="first"/>
          <w:headerReference r:id="rId3" w:type="default"/>
          <w:footerReference r:id="rId5" w:type="even"/>
          <w:pgSz w:w="11906" w:h="16838"/>
          <w:pgMar w:top="1440" w:right="1800" w:bottom="1440" w:left="1800" w:header="851" w:footer="992" w:gutter="0"/>
          <w:cols w:space="720" w:num="1"/>
          <w:docGrid w:type="lines" w:linePitch="312" w:charSpace="0"/>
        </w:sectPr>
      </w:pPr>
      <w: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9252585</wp:posOffset>
                </wp:positionV>
                <wp:extent cx="6120130" cy="0"/>
                <wp:effectExtent l="0" t="0" r="0" b="0"/>
                <wp:wrapNone/>
                <wp:docPr id="1"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55pt;height:0pt;width:481.9pt;mso-position-horizontal-relative:page;mso-position-vertical-relative:page;z-index:251662336;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mp0YvX&#10;AAAADgEAAA8AAAAAAAAAAQAgAAAAIgAAAGRycy9kb3ducmV2LnhtbFBLAQIUABQAAAAIAIdO4kBB&#10;SFw+6AEAALgDAAAOAAAAAAAAAAEAIAAAACYBAABkcnMvZTJvRG9jLnhtbFBLBQYAAAAABgAGAFkB&#10;AACABQAAAAA=&#10;">
                <v:fill on="f" focussize="0,0"/>
                <v:stroke color="#000000" joinstyle="round"/>
                <v:imagedata o:title=""/>
                <o:lock v:ext="edit" aspectratio="f"/>
                <w10:anchorlock/>
              </v:line>
            </w:pict>
          </mc:Fallback>
        </mc:AlternateContent>
      </w:r>
    </w:p>
    <w:p>
      <w:pPr>
        <w:pStyle w:val="48"/>
        <w:ind w:firstLine="420"/>
        <w:outlineLvl w:val="9"/>
      </w:pPr>
      <w:bookmarkStart w:id="7" w:name="_Toc170383064"/>
      <w:bookmarkStart w:id="8" w:name="_Toc209185551"/>
      <w:r>
        <w:rPr>
          <w:rFonts w:hint="eastAsia"/>
        </w:rPr>
        <w:t>目    次</w:t>
      </w:r>
      <w:bookmarkEnd w:id="7"/>
      <w:bookmarkEnd w:id="8"/>
    </w:p>
    <w:p>
      <w:pPr>
        <w:pStyle w:val="11"/>
        <w:tabs>
          <w:tab w:val="right" w:leader="dot" w:pos="9344"/>
        </w:tabs>
        <w:rPr>
          <w:rFonts w:ascii="宋体" w:hAnsi="宋体" w:eastAsia="宋体"/>
          <w:b w:val="0"/>
          <w:sz w:val="21"/>
          <w:szCs w:val="21"/>
        </w:rPr>
      </w:pPr>
      <w:r>
        <w:rPr>
          <w:rFonts w:hint="eastAsia" w:ascii="宋体" w:hAnsi="宋体" w:eastAsia="宋体"/>
          <w:b w:val="0"/>
          <w:kern w:val="0"/>
          <w:sz w:val="21"/>
          <w:szCs w:val="21"/>
        </w:rPr>
        <w:fldChar w:fldCharType="begin"/>
      </w:r>
      <w:r>
        <w:rPr>
          <w:rFonts w:hint="eastAsia" w:ascii="宋体" w:hAnsi="宋体" w:eastAsia="宋体"/>
          <w:b w:val="0"/>
          <w:kern w:val="0"/>
          <w:sz w:val="21"/>
          <w:szCs w:val="21"/>
        </w:rPr>
        <w:instrText xml:space="preserve"> TOC \o "1-4" </w:instrText>
      </w:r>
      <w:r>
        <w:rPr>
          <w:rFonts w:hint="eastAsia" w:ascii="宋体" w:hAnsi="宋体" w:eastAsia="宋体"/>
          <w:b w:val="0"/>
          <w:kern w:val="0"/>
          <w:sz w:val="21"/>
          <w:szCs w:val="21"/>
        </w:rPr>
        <w:fldChar w:fldCharType="separate"/>
      </w:r>
      <w:r>
        <w:rPr>
          <w:rFonts w:hint="eastAsia" w:ascii="宋体" w:hAnsi="宋体" w:eastAsia="宋体"/>
          <w:b w:val="0"/>
          <w:sz w:val="21"/>
          <w:szCs w:val="21"/>
          <w:lang w:val="en-US" w:eastAsia="zh-CN"/>
        </w:rPr>
        <w:t>前言</w:t>
      </w:r>
      <w:r>
        <w:rPr>
          <w:rFonts w:ascii="宋体" w:hAnsi="宋体" w:eastAsia="宋体"/>
          <w:b w:val="0"/>
          <w:sz w:val="21"/>
          <w:szCs w:val="21"/>
        </w:rPr>
        <w:tab/>
      </w:r>
      <w:r>
        <w:rPr>
          <w:rFonts w:ascii="宋体" w:hAnsi="宋体" w:eastAsia="宋体"/>
          <w:b w:val="0"/>
          <w:sz w:val="21"/>
          <w:szCs w:val="21"/>
        </w:rPr>
        <w:fldChar w:fldCharType="begin"/>
      </w:r>
      <w:r>
        <w:rPr>
          <w:rFonts w:ascii="宋体" w:hAnsi="宋体" w:eastAsia="宋体"/>
          <w:b w:val="0"/>
          <w:sz w:val="21"/>
          <w:szCs w:val="21"/>
        </w:rPr>
        <w:instrText xml:space="preserve"> PAGEREF _Toc209185551 \h </w:instrText>
      </w:r>
      <w:r>
        <w:rPr>
          <w:rFonts w:ascii="宋体" w:hAnsi="宋体" w:eastAsia="宋体"/>
          <w:b w:val="0"/>
          <w:sz w:val="21"/>
          <w:szCs w:val="21"/>
        </w:rPr>
        <w:fldChar w:fldCharType="separate"/>
      </w:r>
      <w:r>
        <w:rPr>
          <w:rFonts w:ascii="宋体" w:hAnsi="宋体" w:eastAsia="宋体"/>
          <w:b w:val="0"/>
          <w:sz w:val="21"/>
          <w:szCs w:val="21"/>
        </w:rPr>
        <w:t>I</w:t>
      </w:r>
      <w:r>
        <w:rPr>
          <w:rFonts w:ascii="宋体" w:hAnsi="宋体" w:eastAsia="宋体"/>
          <w:b w:val="0"/>
          <w:sz w:val="21"/>
          <w:szCs w:val="21"/>
        </w:rPr>
        <w:fldChar w:fldCharType="end"/>
      </w:r>
    </w:p>
    <w:p>
      <w:pPr>
        <w:pStyle w:val="11"/>
        <w:tabs>
          <w:tab w:val="right" w:leader="dot" w:pos="9344"/>
        </w:tabs>
        <w:rPr>
          <w:rFonts w:ascii="宋体" w:hAnsi="宋体" w:eastAsia="宋体"/>
          <w:b w:val="0"/>
          <w:sz w:val="21"/>
          <w:szCs w:val="21"/>
        </w:rPr>
      </w:pPr>
      <w:r>
        <w:rPr>
          <w:rFonts w:hint="eastAsia" w:ascii="宋体" w:hAnsi="宋体" w:eastAsia="宋体"/>
          <w:b w:val="0"/>
          <w:sz w:val="21"/>
          <w:szCs w:val="21"/>
          <w:lang w:val="en-US" w:eastAsia="zh-CN"/>
        </w:rPr>
        <w:t>引</w:t>
      </w:r>
      <w:r>
        <w:rPr>
          <w:rFonts w:ascii="宋体" w:hAnsi="宋体" w:eastAsia="宋体"/>
          <w:b w:val="0"/>
          <w:sz w:val="21"/>
          <w:szCs w:val="21"/>
        </w:rPr>
        <w:t>言</w:t>
      </w:r>
      <w:r>
        <w:rPr>
          <w:rFonts w:ascii="宋体" w:hAnsi="宋体" w:eastAsia="宋体"/>
          <w:b w:val="0"/>
          <w:sz w:val="21"/>
          <w:szCs w:val="21"/>
        </w:rPr>
        <w:tab/>
      </w:r>
      <w:r>
        <w:rPr>
          <w:rFonts w:ascii="宋体" w:hAnsi="宋体" w:eastAsia="宋体"/>
          <w:b w:val="0"/>
          <w:sz w:val="21"/>
          <w:szCs w:val="21"/>
        </w:rPr>
        <w:fldChar w:fldCharType="begin"/>
      </w:r>
      <w:r>
        <w:rPr>
          <w:rFonts w:ascii="宋体" w:hAnsi="宋体" w:eastAsia="宋体"/>
          <w:b w:val="0"/>
          <w:sz w:val="21"/>
          <w:szCs w:val="21"/>
        </w:rPr>
        <w:instrText xml:space="preserve"> PAGEREF _Toc209185552 \h </w:instrText>
      </w:r>
      <w:r>
        <w:rPr>
          <w:rFonts w:ascii="宋体" w:hAnsi="宋体" w:eastAsia="宋体"/>
          <w:b w:val="0"/>
          <w:sz w:val="21"/>
          <w:szCs w:val="21"/>
        </w:rPr>
        <w:fldChar w:fldCharType="separate"/>
      </w:r>
      <w:r>
        <w:rPr>
          <w:rFonts w:ascii="宋体" w:hAnsi="宋体" w:eastAsia="宋体"/>
          <w:b w:val="0"/>
          <w:sz w:val="21"/>
          <w:szCs w:val="21"/>
        </w:rPr>
        <w:t>II</w:t>
      </w:r>
      <w:r>
        <w:rPr>
          <w:rFonts w:ascii="宋体" w:hAnsi="宋体" w:eastAsia="宋体"/>
          <w:b w:val="0"/>
          <w:sz w:val="21"/>
          <w:szCs w:val="21"/>
        </w:rPr>
        <w:fldChar w:fldCharType="end"/>
      </w:r>
    </w:p>
    <w:p>
      <w:pPr>
        <w:pStyle w:val="11"/>
        <w:tabs>
          <w:tab w:val="right" w:leader="dot" w:pos="9344"/>
        </w:tabs>
        <w:rPr>
          <w:rFonts w:hint="eastAsia" w:ascii="宋体" w:hAnsi="宋体" w:eastAsia="宋体"/>
          <w:b w:val="0"/>
          <w:sz w:val="21"/>
          <w:szCs w:val="21"/>
          <w:lang w:eastAsia="zh-CN"/>
        </w:rPr>
      </w:pPr>
      <w:r>
        <w:rPr>
          <w:rFonts w:ascii="宋体" w:hAnsi="宋体" w:eastAsia="宋体"/>
          <w:b w:val="0"/>
          <w:sz w:val="21"/>
          <w:szCs w:val="21"/>
        </w:rPr>
        <w:t>1 范围</w:t>
      </w:r>
      <w:r>
        <w:rPr>
          <w:rFonts w:ascii="宋体" w:hAnsi="宋体" w:eastAsia="宋体"/>
          <w:b w:val="0"/>
          <w:sz w:val="21"/>
          <w:szCs w:val="21"/>
        </w:rPr>
        <w:tab/>
      </w:r>
      <w:r>
        <w:rPr>
          <w:rFonts w:hint="eastAsia" w:ascii="宋体" w:hAnsi="宋体" w:eastAsia="宋体"/>
          <w:b w:val="0"/>
          <w:sz w:val="21"/>
          <w:szCs w:val="21"/>
          <w:lang w:val="en-US" w:eastAsia="zh-CN"/>
        </w:rPr>
        <w:t>1</w:t>
      </w:r>
    </w:p>
    <w:p>
      <w:pPr>
        <w:pStyle w:val="11"/>
        <w:tabs>
          <w:tab w:val="right" w:leader="dot" w:pos="9344"/>
        </w:tabs>
        <w:rPr>
          <w:rFonts w:hint="eastAsia"/>
          <w:lang w:eastAsia="zh-CN"/>
        </w:rPr>
      </w:pPr>
      <w:r>
        <w:rPr>
          <w:rFonts w:ascii="宋体" w:hAnsi="宋体" w:eastAsia="宋体"/>
          <w:b w:val="0"/>
          <w:sz w:val="21"/>
          <w:szCs w:val="21"/>
        </w:rPr>
        <w:t>2 规范性引用文件</w:t>
      </w:r>
      <w:r>
        <w:rPr>
          <w:rFonts w:ascii="宋体" w:hAnsi="宋体" w:eastAsia="宋体"/>
          <w:b w:val="0"/>
          <w:sz w:val="21"/>
          <w:szCs w:val="21"/>
        </w:rPr>
        <w:tab/>
      </w:r>
      <w:r>
        <w:rPr>
          <w:rFonts w:hint="eastAsia" w:ascii="宋体" w:hAnsi="宋体" w:eastAsia="宋体"/>
          <w:b w:val="0"/>
          <w:sz w:val="21"/>
          <w:szCs w:val="21"/>
          <w:lang w:val="en-US" w:eastAsia="zh-CN"/>
        </w:rPr>
        <w:t>1</w:t>
      </w:r>
    </w:p>
    <w:p>
      <w:pPr>
        <w:pStyle w:val="11"/>
        <w:tabs>
          <w:tab w:val="right" w:leader="dot" w:pos="9344"/>
        </w:tabs>
        <w:rPr>
          <w:rFonts w:hint="eastAsia" w:ascii="宋体" w:hAnsi="宋体" w:eastAsia="宋体"/>
          <w:b w:val="0"/>
          <w:sz w:val="21"/>
          <w:szCs w:val="21"/>
          <w:lang w:eastAsia="zh-CN"/>
        </w:rPr>
      </w:pPr>
      <w:r>
        <w:rPr>
          <w:rFonts w:ascii="宋体" w:hAnsi="宋体" w:eastAsia="宋体"/>
          <w:b w:val="0"/>
          <w:sz w:val="21"/>
          <w:szCs w:val="21"/>
        </w:rPr>
        <w:t>3 术语和定义</w:t>
      </w:r>
      <w:r>
        <w:rPr>
          <w:rFonts w:ascii="宋体" w:hAnsi="宋体" w:eastAsia="宋体"/>
          <w:b w:val="0"/>
          <w:sz w:val="21"/>
          <w:szCs w:val="21"/>
        </w:rPr>
        <w:tab/>
      </w:r>
      <w:r>
        <w:rPr>
          <w:rFonts w:hint="eastAsia" w:ascii="宋体" w:hAnsi="宋体" w:eastAsia="宋体"/>
          <w:b w:val="0"/>
          <w:sz w:val="21"/>
          <w:szCs w:val="21"/>
          <w:lang w:val="en-US" w:eastAsia="zh-CN"/>
        </w:rPr>
        <w:t>1</w:t>
      </w:r>
    </w:p>
    <w:p>
      <w:pPr>
        <w:pStyle w:val="11"/>
        <w:tabs>
          <w:tab w:val="right" w:leader="dot" w:pos="9344"/>
        </w:tabs>
        <w:rPr>
          <w:rFonts w:hint="eastAsia" w:ascii="宋体" w:hAnsi="宋体" w:eastAsia="宋体"/>
          <w:b w:val="0"/>
          <w:sz w:val="21"/>
          <w:szCs w:val="21"/>
          <w:lang w:eastAsia="zh-CN"/>
        </w:rPr>
      </w:pPr>
      <w:r>
        <w:rPr>
          <w:rFonts w:ascii="宋体" w:hAnsi="宋体" w:eastAsia="宋体"/>
          <w:b w:val="0"/>
          <w:sz w:val="21"/>
          <w:szCs w:val="21"/>
        </w:rPr>
        <w:t>4 评价目的和范围</w:t>
      </w:r>
      <w:r>
        <w:rPr>
          <w:rFonts w:ascii="宋体" w:hAnsi="宋体" w:eastAsia="宋体"/>
          <w:b w:val="0"/>
          <w:sz w:val="21"/>
          <w:szCs w:val="21"/>
        </w:rPr>
        <w:tab/>
      </w:r>
      <w:r>
        <w:rPr>
          <w:rFonts w:hint="eastAsia" w:ascii="宋体" w:hAnsi="宋体" w:eastAsia="宋体"/>
          <w:b w:val="0"/>
          <w:sz w:val="21"/>
          <w:szCs w:val="21"/>
          <w:lang w:val="en-US" w:eastAsia="zh-CN"/>
        </w:rPr>
        <w:t>1</w:t>
      </w:r>
    </w:p>
    <w:p>
      <w:pPr>
        <w:pStyle w:val="11"/>
        <w:tabs>
          <w:tab w:val="right" w:leader="dot" w:pos="9344"/>
        </w:tabs>
        <w:rPr>
          <w:rFonts w:hint="eastAsia" w:ascii="宋体" w:hAnsi="宋体" w:eastAsia="宋体"/>
          <w:b w:val="0"/>
          <w:sz w:val="21"/>
          <w:szCs w:val="21"/>
          <w:lang w:eastAsia="zh-CN"/>
        </w:rPr>
      </w:pPr>
      <w:r>
        <w:rPr>
          <w:rFonts w:ascii="宋体" w:hAnsi="宋体" w:eastAsia="宋体"/>
          <w:b w:val="0"/>
          <w:sz w:val="21"/>
          <w:szCs w:val="21"/>
        </w:rPr>
        <w:t>5 总体原则和要求</w:t>
      </w:r>
      <w:r>
        <w:rPr>
          <w:rFonts w:ascii="宋体" w:hAnsi="宋体" w:eastAsia="宋体"/>
          <w:b w:val="0"/>
          <w:sz w:val="21"/>
          <w:szCs w:val="21"/>
        </w:rPr>
        <w:tab/>
      </w:r>
      <w:r>
        <w:rPr>
          <w:rFonts w:hint="eastAsia" w:ascii="宋体" w:hAnsi="宋体" w:eastAsia="宋体"/>
          <w:b w:val="0"/>
          <w:sz w:val="21"/>
          <w:szCs w:val="21"/>
          <w:lang w:val="en-US" w:eastAsia="zh-CN"/>
        </w:rPr>
        <w:t>2</w:t>
      </w:r>
    </w:p>
    <w:p>
      <w:pPr>
        <w:pStyle w:val="11"/>
        <w:tabs>
          <w:tab w:val="right" w:leader="dot" w:pos="9344"/>
        </w:tabs>
        <w:rPr>
          <w:rFonts w:hint="eastAsia" w:ascii="宋体" w:hAnsi="宋体" w:eastAsia="宋体"/>
          <w:b w:val="0"/>
          <w:sz w:val="21"/>
          <w:szCs w:val="21"/>
          <w:lang w:eastAsia="zh-CN"/>
        </w:rPr>
      </w:pPr>
      <w:r>
        <w:rPr>
          <w:rFonts w:ascii="宋体" w:hAnsi="宋体" w:eastAsia="宋体"/>
          <w:b w:val="0"/>
          <w:sz w:val="21"/>
          <w:szCs w:val="21"/>
        </w:rPr>
        <w:t>6 评价指标体系</w:t>
      </w:r>
      <w:r>
        <w:rPr>
          <w:rFonts w:ascii="宋体" w:hAnsi="宋体" w:eastAsia="宋体"/>
          <w:b w:val="0"/>
          <w:sz w:val="21"/>
          <w:szCs w:val="21"/>
        </w:rPr>
        <w:tab/>
      </w:r>
      <w:r>
        <w:rPr>
          <w:rFonts w:hint="eastAsia" w:ascii="宋体" w:hAnsi="宋体" w:eastAsia="宋体"/>
          <w:b w:val="0"/>
          <w:sz w:val="21"/>
          <w:szCs w:val="21"/>
          <w:lang w:val="en-US" w:eastAsia="zh-CN"/>
        </w:rPr>
        <w:t>2</w:t>
      </w:r>
    </w:p>
    <w:p>
      <w:pPr>
        <w:pStyle w:val="11"/>
        <w:tabs>
          <w:tab w:val="right" w:leader="dot" w:pos="9344"/>
        </w:tabs>
        <w:rPr>
          <w:rFonts w:hint="eastAsia" w:ascii="宋体" w:hAnsi="宋体" w:eastAsia="宋体"/>
          <w:b w:val="0"/>
          <w:sz w:val="21"/>
          <w:szCs w:val="21"/>
          <w:lang w:eastAsia="zh-CN"/>
        </w:rPr>
      </w:pPr>
      <w:r>
        <w:rPr>
          <w:rFonts w:ascii="宋体" w:hAnsi="宋体" w:eastAsia="宋体"/>
          <w:b w:val="0"/>
          <w:sz w:val="21"/>
          <w:szCs w:val="21"/>
        </w:rPr>
        <w:t>7 取值规则</w:t>
      </w:r>
      <w:r>
        <w:rPr>
          <w:rFonts w:ascii="宋体" w:hAnsi="宋体" w:eastAsia="宋体"/>
          <w:b w:val="0"/>
          <w:sz w:val="21"/>
          <w:szCs w:val="21"/>
        </w:rPr>
        <w:tab/>
      </w:r>
      <w:r>
        <w:rPr>
          <w:rFonts w:hint="eastAsia" w:ascii="宋体" w:hAnsi="宋体" w:eastAsia="宋体"/>
          <w:b w:val="0"/>
          <w:sz w:val="21"/>
          <w:szCs w:val="21"/>
          <w:lang w:val="en-US" w:eastAsia="zh-CN"/>
        </w:rPr>
        <w:t>3</w:t>
      </w:r>
    </w:p>
    <w:p>
      <w:pPr>
        <w:pStyle w:val="11"/>
        <w:tabs>
          <w:tab w:val="right" w:leader="dot" w:pos="9344"/>
        </w:tabs>
        <w:rPr>
          <w:rFonts w:hint="eastAsia" w:ascii="宋体" w:hAnsi="宋体" w:eastAsia="宋体"/>
          <w:b w:val="0"/>
          <w:sz w:val="21"/>
          <w:szCs w:val="21"/>
          <w:lang w:eastAsia="zh-CN"/>
        </w:rPr>
      </w:pPr>
      <w:r>
        <w:rPr>
          <w:rFonts w:ascii="宋体" w:hAnsi="宋体" w:eastAsia="宋体"/>
          <w:b w:val="0"/>
          <w:sz w:val="21"/>
          <w:szCs w:val="21"/>
        </w:rPr>
        <w:t>8 评价结果形成规则</w:t>
      </w:r>
      <w:r>
        <w:rPr>
          <w:rFonts w:ascii="宋体" w:hAnsi="宋体" w:eastAsia="宋体"/>
          <w:b w:val="0"/>
          <w:sz w:val="21"/>
          <w:szCs w:val="21"/>
        </w:rPr>
        <w:tab/>
      </w:r>
      <w:r>
        <w:rPr>
          <w:rFonts w:hint="eastAsia" w:ascii="宋体" w:hAnsi="宋体" w:eastAsia="宋体"/>
          <w:b w:val="0"/>
          <w:sz w:val="21"/>
          <w:szCs w:val="21"/>
          <w:lang w:val="en-US" w:eastAsia="zh-CN"/>
        </w:rPr>
        <w:t>4</w:t>
      </w:r>
    </w:p>
    <w:p>
      <w:pPr>
        <w:pStyle w:val="11"/>
        <w:tabs>
          <w:tab w:val="right" w:leader="dot" w:pos="9344"/>
        </w:tabs>
        <w:rPr>
          <w:rFonts w:hint="eastAsia" w:ascii="宋体" w:hAnsi="宋体" w:eastAsia="宋体"/>
          <w:b w:val="0"/>
          <w:sz w:val="21"/>
          <w:szCs w:val="21"/>
          <w:lang w:eastAsia="zh-CN"/>
        </w:rPr>
      </w:pPr>
      <w:r>
        <w:rPr>
          <w:rFonts w:ascii="宋体" w:hAnsi="宋体" w:eastAsia="宋体"/>
          <w:b w:val="0"/>
          <w:sz w:val="21"/>
          <w:szCs w:val="21"/>
        </w:rPr>
        <w:t>9 评价活动组织实施</w:t>
      </w:r>
      <w:r>
        <w:rPr>
          <w:rFonts w:ascii="宋体" w:hAnsi="宋体" w:eastAsia="宋体"/>
          <w:b w:val="0"/>
          <w:sz w:val="21"/>
          <w:szCs w:val="21"/>
        </w:rPr>
        <w:tab/>
      </w:r>
      <w:r>
        <w:rPr>
          <w:rFonts w:hint="eastAsia" w:ascii="宋体" w:hAnsi="宋体" w:eastAsia="宋体"/>
          <w:b w:val="0"/>
          <w:sz w:val="21"/>
          <w:szCs w:val="21"/>
          <w:lang w:val="en-US" w:eastAsia="zh-CN"/>
        </w:rPr>
        <w:t>4</w:t>
      </w:r>
    </w:p>
    <w:p>
      <w:pPr>
        <w:pStyle w:val="11"/>
        <w:tabs>
          <w:tab w:val="right" w:leader="dot" w:pos="9344"/>
        </w:tabs>
        <w:rPr>
          <w:rFonts w:hint="eastAsia" w:ascii="宋体" w:hAnsi="宋体" w:eastAsia="宋体"/>
          <w:b w:val="0"/>
          <w:sz w:val="21"/>
          <w:szCs w:val="21"/>
          <w:lang w:val="en-US" w:eastAsia="zh-CN"/>
        </w:rPr>
      </w:pPr>
      <w:r>
        <w:rPr>
          <w:rFonts w:ascii="宋体" w:hAnsi="宋体" w:eastAsia="宋体"/>
          <w:b w:val="0"/>
          <w:sz w:val="21"/>
          <w:szCs w:val="21"/>
        </w:rPr>
        <w:t>附录A（资料性）</w:t>
      </w:r>
      <w:r>
        <w:rPr>
          <w:rFonts w:hint="eastAsia" w:ascii="宋体" w:hAnsi="宋体" w:eastAsia="宋体"/>
          <w:b w:val="0"/>
          <w:sz w:val="21"/>
          <w:szCs w:val="21"/>
          <w:lang w:val="en-US" w:eastAsia="zh-CN"/>
        </w:rPr>
        <w:t xml:space="preserve">  </w:t>
      </w:r>
      <w:r>
        <w:rPr>
          <w:rFonts w:ascii="宋体" w:hAnsi="宋体" w:eastAsia="宋体"/>
          <w:b w:val="0"/>
          <w:sz w:val="21"/>
          <w:szCs w:val="21"/>
        </w:rPr>
        <w:t>能源企业绿色采购评价指标体系</w:t>
      </w:r>
      <w:r>
        <w:rPr>
          <w:rFonts w:ascii="宋体" w:hAnsi="宋体" w:eastAsia="宋体"/>
          <w:b w:val="0"/>
          <w:sz w:val="21"/>
          <w:szCs w:val="21"/>
        </w:rPr>
        <w:tab/>
      </w:r>
      <w:r>
        <w:rPr>
          <w:rFonts w:hint="eastAsia" w:ascii="宋体" w:hAnsi="宋体" w:eastAsia="宋体"/>
          <w:b w:val="0"/>
          <w:sz w:val="21"/>
          <w:szCs w:val="21"/>
          <w:lang w:val="en-US" w:eastAsia="zh-CN"/>
        </w:rPr>
        <w:t>6</w:t>
      </w:r>
    </w:p>
    <w:p>
      <w:pPr>
        <w:pStyle w:val="11"/>
        <w:tabs>
          <w:tab w:val="right" w:leader="dot" w:pos="9344"/>
        </w:tabs>
        <w:rPr>
          <w:rFonts w:hint="eastAsia"/>
          <w:lang w:eastAsia="zh-CN"/>
        </w:rPr>
      </w:pPr>
      <w:r>
        <w:rPr>
          <w:rFonts w:hint="eastAsia" w:ascii="宋体" w:hAnsi="宋体" w:eastAsia="宋体"/>
          <w:b w:val="0"/>
          <w:bCs w:val="0"/>
          <w:sz w:val="21"/>
          <w:szCs w:val="21"/>
        </w:rPr>
        <w:t>参考文献</w:t>
      </w:r>
      <w:r>
        <w:rPr>
          <w:rFonts w:ascii="宋体" w:hAnsi="宋体" w:eastAsia="宋体"/>
          <w:b w:val="0"/>
          <w:sz w:val="21"/>
          <w:szCs w:val="21"/>
        </w:rPr>
        <w:tab/>
      </w:r>
      <w:r>
        <w:rPr>
          <w:rFonts w:hint="eastAsia" w:ascii="宋体" w:hAnsi="宋体" w:eastAsia="宋体"/>
          <w:b w:val="0"/>
          <w:sz w:val="21"/>
          <w:szCs w:val="21"/>
          <w:lang w:val="en-US" w:eastAsia="zh-CN"/>
        </w:rPr>
        <w:t>9</w:t>
      </w:r>
    </w:p>
    <w:p>
      <w:pPr>
        <w:pStyle w:val="12"/>
        <w:tabs>
          <w:tab w:val="right" w:leader="dot" w:pos="9354"/>
        </w:tabs>
        <w:snapToGrid w:val="0"/>
        <w:spacing w:before="60" w:beforeLines="25" w:after="60" w:afterLines="25" w:line="360" w:lineRule="exact"/>
        <w:ind w:left="0"/>
        <w:jc w:val="both"/>
        <w:rPr>
          <w:spacing w:val="320"/>
          <w:sz w:val="21"/>
          <w:szCs w:val="21"/>
        </w:rPr>
      </w:pPr>
      <w:r>
        <w:rPr>
          <w:rFonts w:hint="eastAsia" w:ascii="宋体" w:hAnsi="宋体" w:eastAsia="宋体"/>
          <w:bCs/>
          <w:kern w:val="0"/>
          <w:sz w:val="21"/>
          <w:szCs w:val="21"/>
        </w:rPr>
        <w:fldChar w:fldCharType="end"/>
      </w:r>
    </w:p>
    <w:p>
      <w:pPr>
        <w:pStyle w:val="48"/>
        <w:ind w:firstLine="420"/>
        <w:rPr>
          <w:rFonts w:hint="eastAsia"/>
        </w:rPr>
        <w:sectPr>
          <w:headerReference r:id="rId7" w:type="default"/>
          <w:footerReference r:id="rId9" w:type="default"/>
          <w:headerReference r:id="rId8" w:type="even"/>
          <w:pgSz w:w="11906" w:h="16838"/>
          <w:pgMar w:top="567" w:right="1134" w:bottom="1134" w:left="1134" w:header="1418" w:footer="1134" w:gutter="284"/>
          <w:pgNumType w:fmt="upperRoman" w:start="1"/>
          <w:cols w:space="720" w:num="1"/>
          <w:formProt w:val="0"/>
          <w:docGrid w:linePitch="312" w:charSpace="0"/>
        </w:sectPr>
      </w:pPr>
      <w:bookmarkStart w:id="9" w:name="_Toc209185552"/>
      <w:bookmarkStart w:id="10" w:name="_Toc170376026"/>
    </w:p>
    <w:p>
      <w:pPr>
        <w:pStyle w:val="48"/>
        <w:ind w:firstLine="420"/>
      </w:pPr>
      <w:r>
        <w:rPr>
          <w:rFonts w:hint="eastAsia"/>
        </w:rPr>
        <w:t xml:space="preserve">前   </w:t>
      </w:r>
      <w:r>
        <w:t>言</w:t>
      </w:r>
      <w:bookmarkEnd w:id="9"/>
      <w:bookmarkEnd w:id="10"/>
    </w:p>
    <w:p>
      <w:pPr>
        <w:pStyle w:val="46"/>
      </w:pPr>
      <w:r>
        <w:rPr>
          <w:rFonts w:hint="eastAsia"/>
        </w:rPr>
        <w:t>本文件按照 GB/T 1.1—2020《标准化工作导则 第1部分：标准化文件的结构和起草规则》的规定</w:t>
      </w:r>
    </w:p>
    <w:p>
      <w:pPr>
        <w:pStyle w:val="46"/>
        <w:ind w:firstLine="0" w:firstLineChars="0"/>
      </w:pPr>
      <w:r>
        <w:rPr>
          <w:rFonts w:hint="eastAsia"/>
        </w:rPr>
        <w:t>起草。</w:t>
      </w:r>
    </w:p>
    <w:p>
      <w:pPr>
        <w:pStyle w:val="46"/>
      </w:pPr>
      <w:r>
        <w:rPr>
          <w:rFonts w:hint="eastAsia"/>
        </w:rPr>
        <w:t>请注意本文件的某些内容可能涉及专利。本文件的发布机构不承担识别专利的责任。</w:t>
      </w:r>
    </w:p>
    <w:p>
      <w:pPr>
        <w:pStyle w:val="46"/>
      </w:pPr>
      <w:r>
        <w:rPr>
          <w:rFonts w:hint="eastAsia"/>
        </w:rPr>
        <w:t>本文件由中国能源研究会提出并归口。</w:t>
      </w:r>
    </w:p>
    <w:p>
      <w:pPr>
        <w:pStyle w:val="46"/>
      </w:pPr>
      <w:r>
        <w:rPr>
          <w:rFonts w:hint="eastAsia"/>
        </w:rPr>
        <w:t>本文件起草单位：国网冀北电力有限公司、国网物资有限公司、国家电网有限公司信息通信中心（大数据中心）、中国科学院生态环境研究中心、华北电力大学、北京物资学院。</w:t>
      </w:r>
    </w:p>
    <w:p>
      <w:pPr>
        <w:pStyle w:val="46"/>
      </w:pPr>
      <w:r>
        <w:rPr>
          <w:rFonts w:hint="eastAsia"/>
        </w:rPr>
        <w:t>本文件主要起草人：李朋、崔璐、皮海营、苏行、周京、李超、白孝轩、齐小涵、王洁、丁宁、刘开云、杨凯、刘泽其、于晓辉、赵振峰。</w:t>
      </w:r>
    </w:p>
    <w:p>
      <w:pPr>
        <w:pStyle w:val="46"/>
      </w:pPr>
      <w:r>
        <w:rPr>
          <w:rFonts w:hint="eastAsia"/>
        </w:rPr>
        <w:t>本文件在执行过程中的意见或建议反馈至中国能源研究会(北京市西城区三里河路 54 号 469 室，100045)。</w:t>
      </w:r>
    </w:p>
    <w:p>
      <w:pPr>
        <w:pStyle w:val="36"/>
        <w:ind w:firstLine="420"/>
      </w:pPr>
    </w:p>
    <w:p>
      <w:pPr>
        <w:pStyle w:val="36"/>
        <w:ind w:firstLine="0" w:firstLineChars="0"/>
        <w:sectPr>
          <w:footerReference r:id="rId10" w:type="default"/>
          <w:pgSz w:w="11906" w:h="16838"/>
          <w:pgMar w:top="567" w:right="1134" w:bottom="1134" w:left="1134" w:header="1418" w:footer="1134" w:gutter="284"/>
          <w:pgNumType w:fmt="upperRoman" w:start="1"/>
          <w:cols w:space="720" w:num="1"/>
          <w:formProt w:val="0"/>
          <w:docGrid w:linePitch="312" w:charSpace="0"/>
        </w:sectPr>
      </w:pPr>
    </w:p>
    <w:p>
      <w:pPr>
        <w:keepNext/>
        <w:pageBreakBefore/>
        <w:widowControl w:val="0"/>
        <w:shd w:val="clear" w:color="FFFFFF" w:fill="FFFFFF"/>
        <w:spacing w:before="640" w:after="560"/>
        <w:jc w:val="center"/>
        <w:outlineLvl w:val="0"/>
        <w:rPr>
          <w:rFonts w:ascii="黑体" w:eastAsia="黑体"/>
          <w:kern w:val="0"/>
          <w:sz w:val="32"/>
          <w:szCs w:val="20"/>
        </w:rPr>
      </w:pPr>
      <w:bookmarkStart w:id="11" w:name="_Toc525302992"/>
      <w:bookmarkStart w:id="12" w:name="_Toc525119159"/>
      <w:bookmarkStart w:id="13" w:name="_Toc524441523"/>
      <w:bookmarkStart w:id="14" w:name="BookMark4"/>
      <w:r>
        <w:rPr>
          <w:rFonts w:hint="eastAsia" w:ascii="黑体" w:eastAsia="黑体"/>
          <w:kern w:val="0"/>
          <w:sz w:val="32"/>
          <w:szCs w:val="20"/>
        </w:rPr>
        <w:t>引</w:t>
      </w:r>
      <w:bookmarkStart w:id="15" w:name="BKYY"/>
      <w:r>
        <w:rPr>
          <w:rFonts w:ascii="黑体" w:hAnsi="黑体" w:eastAsia="黑体"/>
          <w:kern w:val="0"/>
          <w:sz w:val="32"/>
          <w:szCs w:val="20"/>
        </w:rPr>
        <w:t> </w:t>
      </w:r>
      <w:r>
        <w:rPr>
          <w:rFonts w:hint="eastAsia" w:ascii="黑体" w:hAnsi="黑体" w:eastAsia="黑体"/>
          <w:kern w:val="0"/>
          <w:sz w:val="32"/>
          <w:szCs w:val="20"/>
        </w:rPr>
        <w:t xml:space="preserve"> </w:t>
      </w:r>
      <w:r>
        <w:rPr>
          <w:rFonts w:hint="eastAsia" w:ascii="黑体" w:eastAsia="黑体"/>
          <w:kern w:val="0"/>
          <w:sz w:val="32"/>
          <w:szCs w:val="20"/>
        </w:rPr>
        <w:t>言</w:t>
      </w:r>
      <w:bookmarkEnd w:id="11"/>
      <w:bookmarkEnd w:id="12"/>
      <w:bookmarkEnd w:id="13"/>
      <w:bookmarkEnd w:id="15"/>
    </w:p>
    <w:p>
      <w:pPr>
        <w:tabs>
          <w:tab w:val="center" w:pos="4201"/>
          <w:tab w:val="right" w:leader="dot" w:pos="9298"/>
        </w:tabs>
        <w:autoSpaceDE w:val="0"/>
        <w:autoSpaceDN w:val="0"/>
        <w:ind w:firstLine="420" w:firstLineChars="200"/>
        <w:jc w:val="both"/>
        <w:rPr>
          <w:rFonts w:ascii="宋体"/>
          <w:kern w:val="0"/>
          <w:sz w:val="21"/>
          <w:szCs w:val="20"/>
        </w:rPr>
      </w:pPr>
      <w:r>
        <w:rPr>
          <w:rFonts w:hint="eastAsia" w:ascii="宋体"/>
          <w:kern w:val="0"/>
          <w:sz w:val="21"/>
          <w:szCs w:val="20"/>
        </w:rPr>
        <w:t>随着全球社会对环境保护和可持续发展的日益关注，企业在经营过程中承担的社会责任日益凸显。能源企业作为能源供应的主要提供者，在社会发展中扮演着至关重要的角色。面对全球环境问题的挑战，能源企业不仅需要确保能源供应的可靠性和稳定性，还需要积极履行社会责任，推动绿色低碳发展，促进资源利用效率和环境保护。因此，制定评价规程标准成为能源企业积极响应社会，呼吁、推动绿色采购的必然选择。绿色采购作为一种可持续发展的采购方式，强调在产品和服务的整个生命周期中考虑环境、社会和经济因素。能源企业作为主要的采购方，加大对绿色产品和服务的采购力度，不仅有助于降低环境风险，还能提升能源企业的社会形象和品牌价值。</w:t>
      </w:r>
    </w:p>
    <w:p>
      <w:pPr>
        <w:spacing w:line="20" w:lineRule="exact"/>
        <w:ind w:firstLine="640"/>
        <w:jc w:val="center"/>
        <w:rPr>
          <w:rFonts w:ascii="黑体" w:hAnsi="黑体" w:eastAsia="黑体"/>
          <w:sz w:val="32"/>
          <w:szCs w:val="32"/>
        </w:rPr>
        <w:sectPr>
          <w:footerReference r:id="rId11" w:type="default"/>
          <w:pgSz w:w="11906" w:h="16838"/>
          <w:pgMar w:top="567" w:right="1134" w:bottom="1134" w:left="1134" w:header="1418" w:footer="1134" w:gutter="284"/>
          <w:pgNumType w:fmt="upperRoman"/>
          <w:cols w:space="720" w:num="1"/>
          <w:formProt w:val="0"/>
          <w:docGrid w:linePitch="312" w:charSpace="0"/>
        </w:sectPr>
      </w:pPr>
    </w:p>
    <w:p>
      <w:pPr>
        <w:spacing w:line="20" w:lineRule="exact"/>
        <w:ind w:firstLine="640"/>
        <w:jc w:val="center"/>
        <w:rPr>
          <w:rFonts w:ascii="黑体" w:hAnsi="黑体" w:eastAsia="黑体"/>
          <w:sz w:val="32"/>
          <w:szCs w:val="32"/>
        </w:rPr>
      </w:pPr>
    </w:p>
    <w:p>
      <w:pPr>
        <w:spacing w:line="20" w:lineRule="exact"/>
        <w:ind w:firstLine="640"/>
        <w:jc w:val="center"/>
        <w:rPr>
          <w:rFonts w:ascii="黑体" w:hAnsi="黑体" w:eastAsia="黑体"/>
          <w:sz w:val="32"/>
          <w:szCs w:val="32"/>
        </w:rPr>
      </w:pPr>
    </w:p>
    <w:p>
      <w:pPr>
        <w:pStyle w:val="45"/>
        <w:spacing w:before="436" w:beforeLines="182" w:after="528" w:afterLines="220"/>
        <w:ind w:firstLine="420"/>
      </w:pPr>
      <w:bookmarkStart w:id="16" w:name="NEW_STAND_NAME"/>
      <w:r>
        <w:rPr>
          <w:rFonts w:hint="eastAsia"/>
        </w:rPr>
        <w:t>能源企业绿色采购评价规程</w:t>
      </w:r>
    </w:p>
    <w:bookmarkEnd w:id="16"/>
    <w:p>
      <w:pPr>
        <w:pStyle w:val="42"/>
        <w:spacing w:before="240" w:after="240"/>
        <w:jc w:val="left"/>
        <w:rPr>
          <w:szCs w:val="21"/>
        </w:rPr>
      </w:pPr>
      <w:bookmarkStart w:id="17" w:name="_Toc17233325"/>
      <w:bookmarkStart w:id="18" w:name="_Toc26986771"/>
      <w:bookmarkStart w:id="19" w:name="_Toc26648465"/>
      <w:bookmarkStart w:id="20" w:name="_Toc94036250"/>
      <w:bookmarkStart w:id="21" w:name="_Toc24884211"/>
      <w:bookmarkStart w:id="22" w:name="_Toc24884218"/>
      <w:bookmarkStart w:id="23" w:name="_Toc26986530"/>
      <w:bookmarkStart w:id="24" w:name="_Toc209185553"/>
      <w:bookmarkStart w:id="25" w:name="_Toc17233333"/>
      <w:bookmarkStart w:id="26" w:name="_Toc94038872"/>
      <w:bookmarkStart w:id="27" w:name="_Toc26718930"/>
      <w:r>
        <w:rPr>
          <w:rFonts w:hint="eastAsia"/>
          <w:szCs w:val="21"/>
        </w:rPr>
        <w:t>范围</w:t>
      </w:r>
      <w:bookmarkEnd w:id="17"/>
      <w:bookmarkEnd w:id="18"/>
      <w:bookmarkEnd w:id="19"/>
      <w:bookmarkEnd w:id="20"/>
      <w:bookmarkEnd w:id="21"/>
      <w:bookmarkEnd w:id="22"/>
      <w:bookmarkEnd w:id="23"/>
      <w:bookmarkEnd w:id="24"/>
      <w:bookmarkEnd w:id="25"/>
      <w:bookmarkEnd w:id="26"/>
      <w:bookmarkEnd w:id="27"/>
    </w:p>
    <w:p>
      <w:pPr>
        <w:pStyle w:val="36"/>
        <w:ind w:firstLine="420"/>
        <w:rPr>
          <w:szCs w:val="21"/>
        </w:rPr>
      </w:pPr>
      <w:bookmarkStart w:id="28" w:name="_Toc24884219"/>
      <w:bookmarkStart w:id="29" w:name="_Toc17233334"/>
      <w:bookmarkStart w:id="30" w:name="_Toc24884212"/>
      <w:bookmarkStart w:id="31" w:name="_Toc26648466"/>
      <w:bookmarkStart w:id="32" w:name="_Toc17233326"/>
      <w:r>
        <w:rPr>
          <w:rFonts w:hint="eastAsia"/>
          <w:szCs w:val="21"/>
        </w:rPr>
        <w:t>本文件确立了能源企业绿色采购评价的总体原则和要求、评价指标体系，规定了评价指标的取值规则，描述了评价结果的形成规则、</w:t>
      </w:r>
      <w:r>
        <w:rPr>
          <w:rFonts w:hint="eastAsia" w:ascii="宋体" w:hAnsi="宋体"/>
          <w:szCs w:val="21"/>
        </w:rPr>
        <w:t>评价活动组织实施</w:t>
      </w:r>
      <w:r>
        <w:rPr>
          <w:rFonts w:hint="eastAsia"/>
          <w:szCs w:val="21"/>
        </w:rPr>
        <w:t>。</w:t>
      </w:r>
    </w:p>
    <w:p>
      <w:pPr>
        <w:pStyle w:val="36"/>
        <w:snapToGrid w:val="0"/>
        <w:ind w:firstLine="420"/>
        <w:rPr>
          <w:szCs w:val="21"/>
        </w:rPr>
      </w:pPr>
      <w:r>
        <w:rPr>
          <w:rFonts w:hint="eastAsia"/>
          <w:szCs w:val="21"/>
        </w:rPr>
        <w:t>本文件适用于能源企业绿色采购评价，其他企业的绿色采购评价参照使用。</w:t>
      </w:r>
    </w:p>
    <w:p>
      <w:pPr>
        <w:pStyle w:val="42"/>
        <w:spacing w:before="240" w:after="240"/>
        <w:jc w:val="left"/>
        <w:rPr>
          <w:szCs w:val="21"/>
        </w:rPr>
      </w:pPr>
      <w:bookmarkStart w:id="33" w:name="_Toc94038873"/>
      <w:bookmarkStart w:id="34" w:name="_Toc94036251"/>
      <w:bookmarkStart w:id="35" w:name="_Toc209185554"/>
      <w:bookmarkStart w:id="36" w:name="_Toc26986531"/>
      <w:bookmarkStart w:id="37" w:name="_Toc26986772"/>
      <w:bookmarkStart w:id="38" w:name="_Toc26718931"/>
      <w:r>
        <w:rPr>
          <w:rFonts w:hint="eastAsia"/>
          <w:szCs w:val="21"/>
        </w:rPr>
        <w:t>规范性引用文件</w:t>
      </w:r>
      <w:bookmarkEnd w:id="28"/>
      <w:bookmarkEnd w:id="29"/>
      <w:bookmarkEnd w:id="30"/>
      <w:bookmarkEnd w:id="31"/>
      <w:bookmarkEnd w:id="32"/>
      <w:bookmarkEnd w:id="33"/>
      <w:bookmarkEnd w:id="34"/>
      <w:bookmarkEnd w:id="35"/>
      <w:bookmarkEnd w:id="36"/>
      <w:bookmarkEnd w:id="37"/>
      <w:bookmarkEnd w:id="38"/>
    </w:p>
    <w:p>
      <w:pPr>
        <w:pStyle w:val="36"/>
        <w:ind w:firstLine="420"/>
        <w:rPr>
          <w:szCs w:val="21"/>
        </w:rPr>
      </w:pPr>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6"/>
        <w:ind w:firstLine="420"/>
        <w:rPr>
          <w:szCs w:val="21"/>
        </w:rPr>
      </w:pPr>
      <w:bookmarkStart w:id="39" w:name="_Hlk170333363"/>
      <w:r>
        <w:rPr>
          <w:rFonts w:hint="eastAsia"/>
          <w:szCs w:val="21"/>
        </w:rPr>
        <w:t>GB/T 18354   物流术语</w:t>
      </w:r>
    </w:p>
    <w:bookmarkEnd w:id="39"/>
    <w:p>
      <w:pPr>
        <w:pStyle w:val="42"/>
        <w:spacing w:before="240" w:after="240"/>
        <w:jc w:val="left"/>
        <w:rPr>
          <w:szCs w:val="21"/>
        </w:rPr>
      </w:pPr>
      <w:bookmarkStart w:id="40" w:name="_Toc94038874"/>
      <w:bookmarkStart w:id="41" w:name="_Toc209185555"/>
      <w:bookmarkStart w:id="42" w:name="_Toc94036252"/>
      <w:r>
        <w:rPr>
          <w:rFonts w:hint="eastAsia"/>
          <w:szCs w:val="21"/>
        </w:rPr>
        <w:t>术语和定义</w:t>
      </w:r>
      <w:bookmarkEnd w:id="40"/>
      <w:bookmarkEnd w:id="41"/>
      <w:bookmarkEnd w:id="42"/>
    </w:p>
    <w:p>
      <w:pPr>
        <w:pStyle w:val="36"/>
        <w:ind w:firstLine="420"/>
        <w:rPr>
          <w:szCs w:val="21"/>
        </w:rPr>
      </w:pPr>
      <w:bookmarkStart w:id="43" w:name="_Toc26986532"/>
      <w:bookmarkEnd w:id="43"/>
      <w:r>
        <w:rPr>
          <w:rFonts w:hint="eastAsia"/>
          <w:szCs w:val="21"/>
        </w:rPr>
        <w:t>GB/T 18354界定的及下列术语和定义适用于本文件。</w:t>
      </w:r>
    </w:p>
    <w:p>
      <w:pPr>
        <w:pStyle w:val="43"/>
        <w:spacing w:before="120" w:after="120"/>
        <w:rPr>
          <w:szCs w:val="21"/>
        </w:rPr>
      </w:pPr>
      <w:bookmarkStart w:id="44" w:name="_Toc170329943"/>
      <w:bookmarkEnd w:id="44"/>
      <w:bookmarkStart w:id="45" w:name="_Toc99347352"/>
      <w:bookmarkEnd w:id="45"/>
      <w:bookmarkStart w:id="46" w:name="_Toc170383069"/>
      <w:bookmarkEnd w:id="46"/>
      <w:bookmarkStart w:id="47" w:name="_Toc209185558"/>
      <w:bookmarkEnd w:id="47"/>
      <w:bookmarkStart w:id="48" w:name="_Toc209185487"/>
      <w:bookmarkEnd w:id="48"/>
      <w:bookmarkStart w:id="49" w:name="_Toc99347356"/>
      <w:bookmarkEnd w:id="49"/>
      <w:bookmarkStart w:id="50" w:name="_Toc99347354"/>
      <w:bookmarkEnd w:id="50"/>
      <w:bookmarkStart w:id="51" w:name="_Toc209185489"/>
      <w:bookmarkEnd w:id="51"/>
      <w:bookmarkStart w:id="52" w:name="_Toc209185560"/>
      <w:bookmarkEnd w:id="52"/>
      <w:bookmarkStart w:id="53" w:name="_Toc99347350"/>
      <w:bookmarkEnd w:id="53"/>
      <w:bookmarkStart w:id="54" w:name="_Toc170330535"/>
      <w:bookmarkEnd w:id="54"/>
      <w:bookmarkStart w:id="55" w:name="_Toc209185491"/>
      <w:bookmarkEnd w:id="55"/>
      <w:bookmarkStart w:id="56" w:name="_Toc99347585"/>
      <w:bookmarkEnd w:id="56"/>
      <w:bookmarkStart w:id="57" w:name="_Toc99347583"/>
      <w:bookmarkEnd w:id="57"/>
      <w:bookmarkStart w:id="58" w:name="_Toc170330537"/>
      <w:bookmarkEnd w:id="58"/>
      <w:bookmarkStart w:id="59" w:name="_Toc170330539"/>
      <w:bookmarkEnd w:id="59"/>
      <w:bookmarkStart w:id="60" w:name="_Toc209185556"/>
      <w:bookmarkEnd w:id="60"/>
      <w:bookmarkStart w:id="61" w:name="_Toc170383073"/>
      <w:bookmarkEnd w:id="61"/>
      <w:bookmarkStart w:id="62" w:name="_Toc170329941"/>
      <w:bookmarkEnd w:id="62"/>
      <w:bookmarkStart w:id="63" w:name="_Toc99347581"/>
      <w:bookmarkEnd w:id="63"/>
      <w:bookmarkStart w:id="64" w:name="_Toc170383071"/>
      <w:bookmarkEnd w:id="64"/>
      <w:bookmarkStart w:id="65" w:name="_Toc99347587"/>
      <w:bookmarkEnd w:id="65"/>
      <w:bookmarkStart w:id="66" w:name="_Toc170329939"/>
      <w:bookmarkEnd w:id="66"/>
      <w:bookmarkStart w:id="67" w:name="_Toc94038878"/>
      <w:bookmarkStart w:id="68" w:name="_Toc26766"/>
      <w:bookmarkStart w:id="69" w:name="_Toc94036256"/>
      <w:bookmarkStart w:id="70" w:name="_Toc94034433"/>
      <w:bookmarkStart w:id="71" w:name="_Toc97240639"/>
      <w:bookmarkStart w:id="72" w:name="_Toc94038571"/>
      <w:bookmarkStart w:id="73" w:name="_Toc94049339"/>
      <w:bookmarkStart w:id="74" w:name="_Toc94038970"/>
    </w:p>
    <w:p>
      <w:pPr>
        <w:pStyle w:val="43"/>
        <w:numPr>
          <w:ilvl w:val="0"/>
          <w:numId w:val="0"/>
        </w:numPr>
        <w:spacing w:before="120" w:after="120"/>
        <w:ind w:firstLine="420" w:firstLineChars="200"/>
        <w:outlineLvl w:val="9"/>
        <w:rPr>
          <w:szCs w:val="21"/>
        </w:rPr>
      </w:pPr>
      <w:bookmarkStart w:id="75" w:name="_Toc99347588"/>
      <w:bookmarkStart w:id="76" w:name="_Toc170330540"/>
      <w:bookmarkStart w:id="77" w:name="_Toc170329944"/>
      <w:bookmarkStart w:id="78" w:name="_Toc170383074"/>
      <w:bookmarkStart w:id="79" w:name="_Toc209185561"/>
      <w:bookmarkStart w:id="80" w:name="_Toc209185492"/>
      <w:bookmarkStart w:id="81" w:name="_Toc99347357"/>
      <w:r>
        <w:rPr>
          <w:rFonts w:hint="eastAsia"/>
          <w:szCs w:val="21"/>
        </w:rPr>
        <w:t>绿色采购 green procurement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36"/>
        <w:ind w:firstLine="420"/>
        <w:rPr>
          <w:rFonts w:hAnsi="宋体"/>
          <w:szCs w:val="21"/>
        </w:rPr>
      </w:pPr>
      <w:r>
        <w:rPr>
          <w:rFonts w:hint="eastAsia" w:hAnsi="宋体"/>
          <w:szCs w:val="21"/>
        </w:rPr>
        <w:t>企业在采购活动中，推广绿色低碳理念，充分考虑环境保护、资源节约、安全健康、循环低碳和回收促进，优先采购和使用节能、节水、节材等有利于环境保护的原材料、产品和服务的行为。</w:t>
      </w:r>
    </w:p>
    <w:p>
      <w:pPr>
        <w:pStyle w:val="36"/>
        <w:ind w:firstLine="420"/>
        <w:rPr>
          <w:szCs w:val="21"/>
        </w:rPr>
      </w:pPr>
      <w:r>
        <w:rPr>
          <w:szCs w:val="21"/>
        </w:rPr>
        <w:t>[</w:t>
      </w:r>
      <w:r>
        <w:rPr>
          <w:rFonts w:hAnsi="宋体"/>
          <w:szCs w:val="21"/>
        </w:rPr>
        <w:t>来源：</w:t>
      </w:r>
      <w:r>
        <w:rPr>
          <w:szCs w:val="21"/>
        </w:rPr>
        <w:t>GB/T</w:t>
      </w:r>
      <w:r>
        <w:rPr>
          <w:rFonts w:hint="eastAsia"/>
          <w:szCs w:val="21"/>
        </w:rPr>
        <w:t xml:space="preserve"> </w:t>
      </w:r>
      <w:r>
        <w:rPr>
          <w:szCs w:val="21"/>
        </w:rPr>
        <w:t>33635</w:t>
      </w:r>
      <w:r>
        <w:rPr>
          <w:rFonts w:hint="eastAsia"/>
          <w:szCs w:val="21"/>
        </w:rPr>
        <w:t>—</w:t>
      </w:r>
      <w:r>
        <w:rPr>
          <w:szCs w:val="21"/>
        </w:rPr>
        <w:t>2017</w:t>
      </w:r>
      <w:r>
        <w:rPr>
          <w:rFonts w:hint="eastAsia"/>
          <w:szCs w:val="21"/>
        </w:rPr>
        <w:t>，定义</w:t>
      </w:r>
      <w:r>
        <w:rPr>
          <w:szCs w:val="21"/>
        </w:rPr>
        <w:t>3.21]</w:t>
      </w:r>
    </w:p>
    <w:p>
      <w:pPr>
        <w:pStyle w:val="43"/>
        <w:spacing w:before="120" w:after="120"/>
        <w:outlineLvl w:val="9"/>
        <w:rPr>
          <w:szCs w:val="21"/>
        </w:rPr>
      </w:pPr>
      <w:bookmarkStart w:id="82" w:name="_Toc99347589"/>
      <w:bookmarkEnd w:id="82"/>
      <w:bookmarkStart w:id="83" w:name="_Toc170383075"/>
      <w:bookmarkEnd w:id="83"/>
      <w:bookmarkStart w:id="84" w:name="_Toc209185493"/>
      <w:bookmarkEnd w:id="84"/>
      <w:bookmarkStart w:id="85" w:name="_Toc209185562"/>
      <w:bookmarkEnd w:id="85"/>
      <w:bookmarkStart w:id="86" w:name="_Toc170330541"/>
      <w:bookmarkEnd w:id="86"/>
      <w:bookmarkStart w:id="87" w:name="_Toc170329945"/>
      <w:bookmarkEnd w:id="87"/>
      <w:bookmarkStart w:id="88" w:name="_Toc99347358"/>
      <w:bookmarkEnd w:id="88"/>
      <w:bookmarkStart w:id="89" w:name="_Toc35202692"/>
      <w:bookmarkStart w:id="90" w:name="_Toc94034434"/>
      <w:bookmarkStart w:id="91" w:name="_Toc94038572"/>
      <w:bookmarkStart w:id="92" w:name="_Toc94038971"/>
      <w:bookmarkStart w:id="93" w:name="_Toc85556758"/>
      <w:bookmarkStart w:id="94" w:name="_Toc94049340"/>
      <w:bookmarkStart w:id="95" w:name="_Toc94038879"/>
      <w:bookmarkStart w:id="96" w:name="_Toc97240640"/>
      <w:bookmarkStart w:id="97" w:name="_Toc94036257"/>
      <w:bookmarkStart w:id="98" w:name="_Toc11932"/>
      <w:bookmarkStart w:id="99" w:name="_Toc85556678"/>
    </w:p>
    <w:p>
      <w:pPr>
        <w:pStyle w:val="43"/>
        <w:numPr>
          <w:ilvl w:val="0"/>
          <w:numId w:val="0"/>
        </w:numPr>
        <w:spacing w:before="120" w:after="120"/>
        <w:ind w:firstLine="420" w:firstLineChars="200"/>
        <w:outlineLvl w:val="9"/>
        <w:rPr>
          <w:szCs w:val="21"/>
        </w:rPr>
      </w:pPr>
      <w:bookmarkStart w:id="100" w:name="_Toc170329946"/>
      <w:bookmarkStart w:id="101" w:name="_Toc99347359"/>
      <w:bookmarkStart w:id="102" w:name="_Toc170330542"/>
      <w:bookmarkStart w:id="103" w:name="_Toc99347590"/>
      <w:bookmarkStart w:id="104" w:name="_Toc209185494"/>
      <w:bookmarkStart w:id="105" w:name="_Toc170383076"/>
      <w:bookmarkStart w:id="106" w:name="_Toc209185563"/>
      <w:r>
        <w:rPr>
          <w:rFonts w:hint="eastAsia"/>
          <w:szCs w:val="21"/>
        </w:rPr>
        <w:t>绿色供应商</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szCs w:val="21"/>
        </w:rPr>
        <w:t xml:space="preserve">  </w:t>
      </w:r>
      <w:r>
        <w:rPr>
          <w:szCs w:val="21"/>
        </w:rPr>
        <w:t>green supplier</w:t>
      </w:r>
      <w:bookmarkEnd w:id="104"/>
      <w:bookmarkEnd w:id="105"/>
      <w:bookmarkEnd w:id="106"/>
    </w:p>
    <w:p>
      <w:pPr>
        <w:pStyle w:val="46"/>
        <w:adjustRightInd w:val="0"/>
        <w:snapToGrid w:val="0"/>
        <w:rPr>
          <w:rFonts w:ascii="Times New Roman" w:hAnsi="宋体"/>
          <w:szCs w:val="21"/>
        </w:rPr>
      </w:pPr>
      <w:r>
        <w:rPr>
          <w:rFonts w:hint="eastAsia" w:ascii="Times New Roman"/>
          <w:szCs w:val="21"/>
        </w:rPr>
        <w:t>在生产、制造和/或提供产品过程中，采取一定措施来减少环境影响、节约资源、提高产品质量，同时对员工福利和社会承担有责任感，并愿意共同推动环境保护的供应商</w:t>
      </w:r>
      <w:r>
        <w:rPr>
          <w:rFonts w:ascii="Times New Roman" w:hAnsi="宋体"/>
          <w:szCs w:val="21"/>
        </w:rPr>
        <w:t>。</w:t>
      </w:r>
    </w:p>
    <w:p>
      <w:pPr>
        <w:pStyle w:val="42"/>
        <w:spacing w:before="240" w:after="240"/>
        <w:rPr>
          <w:szCs w:val="21"/>
        </w:rPr>
      </w:pPr>
      <w:bookmarkStart w:id="107" w:name="_Toc170329952"/>
      <w:bookmarkEnd w:id="107"/>
      <w:bookmarkStart w:id="108" w:name="_Toc99347603"/>
      <w:bookmarkEnd w:id="108"/>
      <w:bookmarkStart w:id="109" w:name="_Toc170330546"/>
      <w:bookmarkEnd w:id="109"/>
      <w:bookmarkStart w:id="110" w:name="_Toc99347594"/>
      <w:bookmarkEnd w:id="110"/>
      <w:bookmarkStart w:id="111" w:name="_Toc99347372"/>
      <w:bookmarkEnd w:id="111"/>
      <w:bookmarkStart w:id="112" w:name="_Toc99347370"/>
      <w:bookmarkEnd w:id="112"/>
      <w:bookmarkStart w:id="113" w:name="_Toc170329947"/>
      <w:bookmarkEnd w:id="113"/>
      <w:bookmarkStart w:id="114" w:name="_Toc170329950"/>
      <w:bookmarkEnd w:id="114"/>
      <w:bookmarkStart w:id="115" w:name="_Toc99347363"/>
      <w:bookmarkEnd w:id="115"/>
      <w:bookmarkStart w:id="116" w:name="_Toc170330548"/>
      <w:bookmarkEnd w:id="116"/>
      <w:bookmarkStart w:id="117" w:name="_Toc99347360"/>
      <w:bookmarkEnd w:id="117"/>
      <w:bookmarkStart w:id="118" w:name="_Toc99347591"/>
      <w:bookmarkEnd w:id="118"/>
      <w:bookmarkStart w:id="119" w:name="_Toc99347601"/>
      <w:bookmarkEnd w:id="119"/>
      <w:bookmarkStart w:id="120" w:name="_Toc170330543"/>
      <w:bookmarkEnd w:id="120"/>
      <w:bookmarkStart w:id="121" w:name="_Toc209185564"/>
      <w:r>
        <w:rPr>
          <w:rFonts w:hint="eastAsia"/>
          <w:szCs w:val="21"/>
        </w:rPr>
        <w:t>评价目的和范围</w:t>
      </w:r>
      <w:bookmarkEnd w:id="121"/>
    </w:p>
    <w:p>
      <w:pPr>
        <w:pStyle w:val="43"/>
        <w:spacing w:before="120" w:after="120"/>
        <w:outlineLvl w:val="9"/>
      </w:pPr>
      <w:bookmarkStart w:id="122" w:name="_Toc209185496"/>
      <w:bookmarkStart w:id="123" w:name="_Toc170383078"/>
      <w:bookmarkStart w:id="124" w:name="_Toc209185565"/>
      <w:bookmarkStart w:id="125" w:name="_Toc170330557"/>
      <w:bookmarkStart w:id="126" w:name="_Toc170329961"/>
      <w:bookmarkStart w:id="127" w:name="_Hlk99136236"/>
      <w:r>
        <w:rPr>
          <w:rFonts w:hint="eastAsia"/>
        </w:rPr>
        <w:t>评价目的</w:t>
      </w:r>
      <w:bookmarkEnd w:id="122"/>
      <w:bookmarkEnd w:id="123"/>
      <w:bookmarkEnd w:id="124"/>
      <w:bookmarkEnd w:id="125"/>
      <w:bookmarkEnd w:id="126"/>
    </w:p>
    <w:p>
      <w:pPr>
        <w:pStyle w:val="36"/>
        <w:ind w:firstLine="420"/>
      </w:pPr>
      <w:r>
        <w:rPr>
          <w:rFonts w:hint="eastAsia"/>
        </w:rPr>
        <w:t>依据绿色采购管理目标和要求，基于能源企业业务流程，通过对能源企业采购环节有关绿色要素的识别、分析和评价，评估企业采购绿色化程度，发现问题，识别可改进和提升空间，为企业绿色采购管理的提升以及相关方绿色采购提供依据</w:t>
      </w:r>
    </w:p>
    <w:p>
      <w:pPr>
        <w:pStyle w:val="43"/>
        <w:spacing w:before="120" w:after="120"/>
        <w:outlineLvl w:val="9"/>
      </w:pPr>
      <w:bookmarkStart w:id="128" w:name="_Toc170329962"/>
      <w:bookmarkStart w:id="129" w:name="_Toc209185566"/>
      <w:bookmarkStart w:id="130" w:name="_Toc170330558"/>
      <w:bookmarkStart w:id="131" w:name="_Toc170383079"/>
      <w:bookmarkStart w:id="132" w:name="_Toc209185497"/>
      <w:r>
        <w:rPr>
          <w:rFonts w:hint="eastAsia"/>
        </w:rPr>
        <w:t>评价范围</w:t>
      </w:r>
      <w:bookmarkEnd w:id="128"/>
      <w:bookmarkEnd w:id="129"/>
      <w:bookmarkEnd w:id="130"/>
      <w:bookmarkEnd w:id="131"/>
      <w:bookmarkEnd w:id="132"/>
    </w:p>
    <w:p>
      <w:pPr>
        <w:pStyle w:val="46"/>
        <w:adjustRightInd w:val="0"/>
        <w:snapToGrid w:val="0"/>
        <w:ind w:left="900" w:leftChars="200" w:hanging="420" w:hangingChars="200"/>
        <w:rPr>
          <w:rFonts w:ascii="Times New Roman"/>
        </w:rPr>
      </w:pPr>
      <w:r>
        <w:rPr>
          <w:rFonts w:hint="eastAsia" w:ascii="Times New Roman"/>
        </w:rPr>
        <w:t>电子电器产品碳足迹的评价范围应与评价目的相一致。评价范围一般包括以下方面：</w:t>
      </w:r>
    </w:p>
    <w:p>
      <w:pPr>
        <w:pStyle w:val="46"/>
        <w:adjustRightInd w:val="0"/>
        <w:snapToGrid w:val="0"/>
        <w:ind w:left="900" w:leftChars="200" w:hanging="420" w:hangingChars="200"/>
        <w:rPr>
          <w:rFonts w:ascii="Times New Roman"/>
        </w:rPr>
      </w:pPr>
      <w:r>
        <w:rPr>
          <w:rFonts w:hint="eastAsia" w:ascii="Times New Roman"/>
        </w:rPr>
        <w:t>——绿色采购政策和指导原则，应评估能源企业是否建立了明确的绿色采购政策，并是否提供相关采购行为的指导原则；</w:t>
      </w:r>
    </w:p>
    <w:p>
      <w:pPr>
        <w:pStyle w:val="46"/>
        <w:adjustRightInd w:val="0"/>
        <w:snapToGrid w:val="0"/>
        <w:ind w:left="900" w:leftChars="200" w:hanging="420" w:hangingChars="200"/>
        <w:rPr>
          <w:rFonts w:ascii="Times New Roman"/>
        </w:rPr>
      </w:pPr>
      <w:r>
        <w:rPr>
          <w:rFonts w:hint="eastAsia" w:ascii="Times New Roman"/>
        </w:rPr>
        <w:t>——供应商选择和评估，应评估企业的供应商选择流程，包括供应商评估标准、供应商资质认证和绩效评价等方面；</w:t>
      </w:r>
    </w:p>
    <w:p>
      <w:pPr>
        <w:pStyle w:val="46"/>
        <w:adjustRightInd w:val="0"/>
        <w:snapToGrid w:val="0"/>
        <w:ind w:left="900" w:leftChars="200" w:hanging="420" w:hangingChars="200"/>
        <w:rPr>
          <w:rFonts w:ascii="Times New Roman"/>
        </w:rPr>
      </w:pPr>
      <w:r>
        <w:rPr>
          <w:rFonts w:hint="eastAsia" w:ascii="Times New Roman"/>
        </w:rPr>
        <w:t>——产品和服务评价，应评估企业对采购的产品和服务的绿色性、可持续性、环保性等方面的评价标准和标准化程序；</w:t>
      </w:r>
    </w:p>
    <w:p>
      <w:pPr>
        <w:pStyle w:val="46"/>
        <w:adjustRightInd w:val="0"/>
        <w:snapToGrid w:val="0"/>
        <w:ind w:left="900" w:leftChars="200" w:hanging="420" w:hangingChars="200"/>
        <w:rPr>
          <w:rFonts w:ascii="Times New Roman"/>
        </w:rPr>
      </w:pPr>
      <w:r>
        <w:rPr>
          <w:rFonts w:hint="eastAsia" w:ascii="Times New Roman"/>
        </w:rPr>
        <w:t>——环保标准符合性，应评估企业采购产品和服务是否符合国家和地方法律法规、环保标准和行业标准要求；</w:t>
      </w:r>
    </w:p>
    <w:p>
      <w:pPr>
        <w:pStyle w:val="46"/>
        <w:adjustRightInd w:val="0"/>
        <w:snapToGrid w:val="0"/>
        <w:ind w:left="900" w:leftChars="200" w:hanging="420" w:hangingChars="200"/>
        <w:rPr>
          <w:rFonts w:hint="eastAsia" w:ascii="Times New Roman" w:eastAsia="宋体"/>
          <w:lang w:eastAsia="zh-CN"/>
        </w:rPr>
      </w:pPr>
      <w:r>
        <w:rPr>
          <w:rFonts w:hint="eastAsia" w:ascii="Times New Roman"/>
        </w:rPr>
        <w:t>——绿色采购管理，应评估企业是否通过供应链管理推动供应商参与绿色采购，建立起整个供应链的绿色理念和实践</w:t>
      </w:r>
      <w:r>
        <w:rPr>
          <w:rFonts w:hint="eastAsia" w:ascii="Times New Roman"/>
          <w:lang w:eastAsia="zh-CN"/>
        </w:rPr>
        <w:t>；</w:t>
      </w:r>
    </w:p>
    <w:p>
      <w:pPr>
        <w:pStyle w:val="46"/>
        <w:adjustRightInd w:val="0"/>
        <w:snapToGrid w:val="0"/>
        <w:ind w:left="900" w:leftChars="200" w:hanging="420" w:hangingChars="200"/>
        <w:rPr>
          <w:rFonts w:ascii="Times New Roman"/>
        </w:rPr>
      </w:pPr>
      <w:r>
        <w:rPr>
          <w:rFonts w:hint="eastAsia" w:ascii="Times New Roman"/>
        </w:rPr>
        <w:t>——数据记录和报告，应评估企业是否建立了完善的数据记录和报告机制，能够对绿色采购活动进行监测和评估；</w:t>
      </w:r>
    </w:p>
    <w:p>
      <w:pPr>
        <w:pStyle w:val="46"/>
        <w:adjustRightInd w:val="0"/>
        <w:snapToGrid w:val="0"/>
        <w:ind w:left="900" w:leftChars="200" w:hanging="420" w:hangingChars="200"/>
        <w:rPr>
          <w:rFonts w:hint="default" w:ascii="Times New Roman" w:eastAsia="宋体"/>
          <w:lang w:val="en-US" w:eastAsia="zh-CN"/>
        </w:rPr>
      </w:pPr>
      <w:r>
        <w:rPr>
          <w:rFonts w:hint="eastAsia" w:ascii="Times New Roman"/>
        </w:rPr>
        <w:t>——持续改进机制，应评估企业是否建立了对绿色采购活动进行持续改进的机制，包括定期评估、反馈机制和识别改进机会等。</w:t>
      </w:r>
    </w:p>
    <w:bookmarkEnd w:id="127"/>
    <w:p>
      <w:pPr>
        <w:pStyle w:val="42"/>
        <w:spacing w:before="240" w:after="240"/>
        <w:rPr>
          <w:szCs w:val="21"/>
        </w:rPr>
      </w:pPr>
      <w:bookmarkStart w:id="133" w:name="_Toc94036271"/>
      <w:bookmarkStart w:id="134" w:name="_Toc94038893"/>
      <w:bookmarkStart w:id="135" w:name="_Toc209185567"/>
      <w:bookmarkStart w:id="136" w:name="_Toc85556772"/>
      <w:r>
        <w:rPr>
          <w:rFonts w:hint="eastAsia"/>
          <w:szCs w:val="21"/>
        </w:rPr>
        <w:t>总体</w:t>
      </w:r>
      <w:r>
        <w:rPr>
          <w:szCs w:val="21"/>
        </w:rPr>
        <w:t>原则</w:t>
      </w:r>
      <w:r>
        <w:rPr>
          <w:rFonts w:hint="eastAsia"/>
          <w:szCs w:val="21"/>
        </w:rPr>
        <w:t>和要求</w:t>
      </w:r>
      <w:bookmarkEnd w:id="133"/>
      <w:bookmarkEnd w:id="134"/>
      <w:bookmarkEnd w:id="135"/>
      <w:bookmarkEnd w:id="136"/>
    </w:p>
    <w:p>
      <w:pPr>
        <w:pStyle w:val="46"/>
        <w:adjustRightInd w:val="0"/>
        <w:snapToGrid w:val="0"/>
        <w:ind w:left="900" w:leftChars="200" w:hanging="420" w:hangingChars="200"/>
        <w:rPr>
          <w:rFonts w:ascii="Times New Roman"/>
        </w:rPr>
      </w:pPr>
      <w:r>
        <w:rPr>
          <w:rFonts w:hint="eastAsia" w:ascii="Times New Roman"/>
        </w:rPr>
        <w:t>总体原则和要求如下：</w:t>
      </w:r>
      <w:bookmarkStart w:id="137" w:name="_Toc99347614"/>
      <w:bookmarkStart w:id="138" w:name="_Toc99347383"/>
      <w:bookmarkStart w:id="139" w:name="_Toc97240777"/>
    </w:p>
    <w:p>
      <w:pPr>
        <w:pStyle w:val="46"/>
        <w:adjustRightInd w:val="0"/>
        <w:snapToGrid w:val="0"/>
        <w:ind w:left="900" w:leftChars="200" w:hanging="420" w:hangingChars="200"/>
        <w:rPr>
          <w:rFonts w:ascii="Times New Roman"/>
        </w:rPr>
      </w:pPr>
      <w:r>
        <w:rPr>
          <w:rFonts w:hint="eastAsia" w:ascii="Times New Roman"/>
        </w:rPr>
        <w:t>——应制定绿色采购政策和指导原则，明确能源企业的绿色采购政策和原则，确保采购行为符合环保和可持续发展的要求；</w:t>
      </w:r>
    </w:p>
    <w:p>
      <w:pPr>
        <w:pStyle w:val="46"/>
        <w:adjustRightInd w:val="0"/>
        <w:snapToGrid w:val="0"/>
        <w:ind w:left="900" w:leftChars="200" w:hanging="420" w:hangingChars="200"/>
        <w:rPr>
          <w:rFonts w:ascii="Times New Roman"/>
        </w:rPr>
      </w:pPr>
      <w:r>
        <w:rPr>
          <w:rFonts w:hint="eastAsia" w:ascii="Times New Roman"/>
        </w:rPr>
        <w:t>——应建立绿色采购管理体系，建立完善的供应商选择、评估和管理机制，促进采购的绿色化和可持续化发展；</w:t>
      </w:r>
    </w:p>
    <w:p>
      <w:pPr>
        <w:pStyle w:val="46"/>
        <w:adjustRightInd w:val="0"/>
        <w:snapToGrid w:val="0"/>
        <w:ind w:left="900" w:leftChars="200" w:hanging="420" w:hangingChars="200"/>
        <w:rPr>
          <w:rFonts w:ascii="Times New Roman"/>
        </w:rPr>
      </w:pPr>
      <w:r>
        <w:rPr>
          <w:rFonts w:hint="eastAsia" w:ascii="Times New Roman"/>
        </w:rPr>
        <w:t>——应明确产品和服务评价标准，建立绿色采购产品和服务的评价标准和程序，确保采购的产品和服务符合绿色、环保的要求；</w:t>
      </w:r>
    </w:p>
    <w:p>
      <w:pPr>
        <w:pStyle w:val="46"/>
        <w:adjustRightInd w:val="0"/>
        <w:snapToGrid w:val="0"/>
        <w:ind w:left="900" w:leftChars="200" w:hanging="420" w:hangingChars="200"/>
        <w:rPr>
          <w:rFonts w:ascii="Times New Roman"/>
        </w:rPr>
      </w:pPr>
      <w:r>
        <w:rPr>
          <w:rFonts w:hint="eastAsia" w:ascii="Times New Roman"/>
        </w:rPr>
        <w:t>——应遵守环保法规标准，确保采购活动符合国家和地方法律法规、环保标准和行业规定，避免环境污染和资源浪费；</w:t>
      </w:r>
    </w:p>
    <w:p>
      <w:pPr>
        <w:pStyle w:val="46"/>
        <w:adjustRightInd w:val="0"/>
        <w:snapToGrid w:val="0"/>
        <w:ind w:left="900" w:leftChars="200" w:hanging="420" w:hangingChars="200"/>
        <w:rPr>
          <w:rFonts w:hint="eastAsia" w:ascii="Times New Roman" w:eastAsia="宋体"/>
          <w:lang w:eastAsia="zh-CN"/>
        </w:rPr>
      </w:pPr>
      <w:r>
        <w:rPr>
          <w:rFonts w:hint="eastAsia" w:ascii="Times New Roman"/>
        </w:rPr>
        <w:t>——应完善数据记录和报告要求，建立完善的数据记录和报告机制，对绿色采购活动进行监控和评估，及时反馈改进信息。</w:t>
      </w:r>
      <w:bookmarkEnd w:id="137"/>
      <w:bookmarkEnd w:id="138"/>
      <w:bookmarkEnd w:id="139"/>
    </w:p>
    <w:p>
      <w:pPr>
        <w:pStyle w:val="42"/>
        <w:spacing w:before="240" w:after="240"/>
      </w:pPr>
      <w:bookmarkStart w:id="140" w:name="_Toc209185568"/>
      <w:r>
        <w:rPr>
          <w:rFonts w:hint="eastAsia"/>
        </w:rPr>
        <w:t>评价指标体系</w:t>
      </w:r>
      <w:bookmarkEnd w:id="140"/>
    </w:p>
    <w:p>
      <w:pPr>
        <w:pStyle w:val="42"/>
        <w:numPr>
          <w:ilvl w:val="0"/>
          <w:numId w:val="0"/>
        </w:numPr>
        <w:spacing w:before="240" w:after="240"/>
        <w:outlineLvl w:val="1"/>
      </w:pPr>
      <w:bookmarkStart w:id="141" w:name="_Toc209185569"/>
      <w:bookmarkStart w:id="142" w:name="_Toc170383082"/>
      <w:r>
        <w:rPr>
          <w:rFonts w:hint="eastAsia"/>
        </w:rPr>
        <w:t>6.1  评价原则</w:t>
      </w:r>
      <w:bookmarkEnd w:id="141"/>
      <w:bookmarkEnd w:id="142"/>
    </w:p>
    <w:p>
      <w:pPr>
        <w:pStyle w:val="36"/>
        <w:ind w:firstLine="420"/>
      </w:pPr>
      <w:r>
        <w:rPr>
          <w:rFonts w:hint="eastAsia"/>
        </w:rPr>
        <w:t>评价指标全面、系统、科学。评价依据完整、准确、可信。评价过程规范，评价文件完整、统一、清晰可追溯。评价结果客观、准确、公正。</w:t>
      </w:r>
    </w:p>
    <w:p>
      <w:pPr>
        <w:pStyle w:val="42"/>
        <w:numPr>
          <w:ilvl w:val="0"/>
          <w:numId w:val="0"/>
        </w:numPr>
        <w:spacing w:before="240" w:after="240"/>
        <w:outlineLvl w:val="1"/>
      </w:pPr>
      <w:bookmarkStart w:id="143" w:name="_Toc209185570"/>
      <w:bookmarkStart w:id="144" w:name="_Toc170383083"/>
      <w:r>
        <w:rPr>
          <w:rFonts w:hint="eastAsia"/>
        </w:rPr>
        <w:t>6.2  评价方式</w:t>
      </w:r>
      <w:bookmarkEnd w:id="143"/>
      <w:bookmarkEnd w:id="144"/>
    </w:p>
    <w:p>
      <w:pPr>
        <w:pStyle w:val="36"/>
        <w:ind w:firstLine="420"/>
        <w:rPr>
          <w:rFonts w:hint="eastAsia" w:eastAsia="宋体"/>
          <w:lang w:eastAsia="zh-CN"/>
        </w:rPr>
      </w:pPr>
      <w:r>
        <w:rPr>
          <w:rFonts w:hint="eastAsia"/>
        </w:rPr>
        <w:t>绿色采购评价可由第一方（企业自我评价）、第二方（相关方，如采购方）或第三方组织实施</w:t>
      </w:r>
      <w:r>
        <w:rPr>
          <w:rFonts w:hint="eastAsia"/>
          <w:lang w:eastAsia="zh-CN"/>
        </w:rPr>
        <w:t>。</w:t>
      </w:r>
      <w:r>
        <w:rPr>
          <w:rFonts w:hint="eastAsia"/>
        </w:rPr>
        <w:t>第一方评价结论可用于能源企业绿色采购改进或企业自我声明。当评价结论用于对外宣告时，应由具备评价资格，独立于企业的第三方评价机构进行。</w:t>
      </w:r>
    </w:p>
    <w:p>
      <w:pPr>
        <w:pStyle w:val="42"/>
        <w:numPr>
          <w:ilvl w:val="0"/>
          <w:numId w:val="0"/>
        </w:numPr>
        <w:spacing w:before="240" w:after="240"/>
        <w:outlineLvl w:val="1"/>
      </w:pPr>
      <w:bookmarkStart w:id="145" w:name="_Toc209185571"/>
      <w:bookmarkStart w:id="146" w:name="_Toc170383084"/>
      <w:r>
        <w:rPr>
          <w:rFonts w:hint="eastAsia"/>
        </w:rPr>
        <w:t>6.3  评价方法</w:t>
      </w:r>
      <w:bookmarkEnd w:id="145"/>
      <w:bookmarkEnd w:id="146"/>
    </w:p>
    <w:p>
      <w:pPr>
        <w:pStyle w:val="36"/>
        <w:ind w:firstLine="420"/>
      </w:pPr>
      <w:r>
        <w:rPr>
          <w:rFonts w:hint="eastAsia"/>
        </w:rPr>
        <w:t>能源企业绿色采购评价采用打分法。依据绿色采购评价指标、要求和评价依据，文件评审和现场评审相结合，通过综合打分进行评价。</w:t>
      </w:r>
    </w:p>
    <w:p>
      <w:pPr>
        <w:pStyle w:val="42"/>
        <w:numPr>
          <w:ilvl w:val="0"/>
          <w:numId w:val="0"/>
        </w:numPr>
        <w:spacing w:before="240" w:after="240"/>
        <w:outlineLvl w:val="1"/>
      </w:pPr>
      <w:bookmarkStart w:id="147" w:name="_Toc209185572"/>
      <w:bookmarkStart w:id="148" w:name="_Toc170383085"/>
      <w:bookmarkStart w:id="149" w:name="_Hlk170379853"/>
      <w:r>
        <w:rPr>
          <w:rFonts w:hint="eastAsia"/>
        </w:rPr>
        <w:t>6.4  评价指标选择原则</w:t>
      </w:r>
      <w:bookmarkEnd w:id="147"/>
      <w:bookmarkEnd w:id="148"/>
    </w:p>
    <w:p>
      <w:pPr>
        <w:pStyle w:val="36"/>
        <w:spacing w:before="120" w:beforeLines="50" w:after="120" w:afterLines="50"/>
        <w:ind w:firstLine="0" w:firstLineChars="0"/>
        <w:rPr>
          <w:rFonts w:ascii="黑体" w:hAnsi="黑体" w:eastAsia="黑体"/>
        </w:rPr>
      </w:pPr>
      <w:r>
        <w:rPr>
          <w:rFonts w:hint="eastAsia" w:ascii="黑体" w:hAnsi="黑体" w:eastAsia="黑体"/>
        </w:rPr>
        <w:t>6.4.1  全面性和系统性原则</w:t>
      </w:r>
    </w:p>
    <w:p>
      <w:pPr>
        <w:pStyle w:val="36"/>
        <w:ind w:firstLine="420"/>
      </w:pPr>
      <w:r>
        <w:rPr>
          <w:rFonts w:hint="eastAsia"/>
        </w:rPr>
        <w:t>评价指标应涵盖的评价范围见4.2，评价指标体系应全面系统、层次清晰。</w:t>
      </w:r>
    </w:p>
    <w:p>
      <w:pPr>
        <w:pStyle w:val="36"/>
        <w:spacing w:before="120" w:beforeLines="50" w:after="120" w:afterLines="50"/>
        <w:ind w:firstLine="0" w:firstLineChars="0"/>
        <w:rPr>
          <w:rFonts w:ascii="黑体" w:hAnsi="黑体" w:eastAsia="黑体"/>
        </w:rPr>
      </w:pPr>
      <w:r>
        <w:rPr>
          <w:rFonts w:hint="eastAsia" w:ascii="黑体" w:hAnsi="黑体" w:eastAsia="黑体"/>
        </w:rPr>
        <w:t>6.4.2  可量化和可测量(或可评价)原则</w:t>
      </w:r>
    </w:p>
    <w:p>
      <w:pPr>
        <w:pStyle w:val="36"/>
        <w:ind w:firstLine="420"/>
      </w:pPr>
      <w:r>
        <w:rPr>
          <w:rFonts w:hint="eastAsia"/>
        </w:rPr>
        <w:t>评价指标应可量化、可测量或可评价，满足企业绿色采购水平定量分析和客观评价需要。应采用定量与定性相结合的方式，结合文件评审、现场核实及数据分析开展。</w:t>
      </w:r>
    </w:p>
    <w:p>
      <w:pPr>
        <w:pStyle w:val="36"/>
        <w:ind w:firstLine="420"/>
      </w:pPr>
      <w:r>
        <w:rPr>
          <w:rFonts w:hint="eastAsia"/>
        </w:rPr>
        <w:t>对于可量化指标，通过企业提供的原始数据、第三方检测报告及公开信息进行定量核算；</w:t>
      </w:r>
    </w:p>
    <w:p>
      <w:pPr>
        <w:pStyle w:val="36"/>
        <w:ind w:firstLine="420"/>
      </w:pPr>
      <w:r>
        <w:rPr>
          <w:rFonts w:hint="eastAsia"/>
        </w:rPr>
        <w:t>对于现阶段难以量化的定性指标，采用专家评审法，结合行业基准及实践案例进行定性评估；</w:t>
      </w:r>
    </w:p>
    <w:p>
      <w:pPr>
        <w:pStyle w:val="36"/>
        <w:ind w:firstLine="420"/>
      </w:pPr>
      <w:r>
        <w:rPr>
          <w:rFonts w:hint="eastAsia"/>
        </w:rPr>
        <w:t>评价过程宜引入信息化工具，通过数据自动抓取、真实性验证及智能分析提升效率与准确性。</w:t>
      </w:r>
    </w:p>
    <w:p>
      <w:pPr>
        <w:pStyle w:val="36"/>
        <w:spacing w:before="120" w:beforeLines="50" w:after="120" w:afterLines="50"/>
        <w:ind w:firstLine="0" w:firstLineChars="0"/>
        <w:rPr>
          <w:rFonts w:ascii="黑体" w:hAnsi="黑体" w:eastAsia="黑体"/>
        </w:rPr>
      </w:pPr>
      <w:r>
        <w:rPr>
          <w:rFonts w:hint="eastAsia" w:ascii="黑体" w:hAnsi="黑体" w:eastAsia="黑体"/>
        </w:rPr>
        <w:t>6.4.3  独立性和代表性原则</w:t>
      </w:r>
    </w:p>
    <w:p>
      <w:pPr>
        <w:pStyle w:val="36"/>
        <w:ind w:firstLine="420"/>
      </w:pPr>
      <w:r>
        <w:rPr>
          <w:rFonts w:hint="eastAsia"/>
        </w:rPr>
        <w:t>评价指标应相对独立并且具有代表性。指标及权重应体现产品(或行业)特征，突出企业(或行业)重要绿色属性。</w:t>
      </w:r>
    </w:p>
    <w:p>
      <w:pPr>
        <w:pStyle w:val="36"/>
        <w:spacing w:before="120" w:beforeLines="50" w:after="120" w:afterLines="50"/>
        <w:ind w:firstLine="0" w:firstLineChars="0"/>
        <w:rPr>
          <w:rFonts w:ascii="黑体" w:hAnsi="黑体" w:eastAsia="黑体"/>
        </w:rPr>
      </w:pPr>
      <w:r>
        <w:rPr>
          <w:rFonts w:hint="eastAsia" w:ascii="黑体" w:hAnsi="黑体" w:eastAsia="黑体"/>
        </w:rPr>
        <w:t>6.4.4</w:t>
      </w:r>
      <w:r>
        <w:rPr>
          <w:rFonts w:ascii="黑体" w:hAnsi="黑体" w:eastAsia="黑体"/>
        </w:rPr>
        <w:t xml:space="preserve">  </w:t>
      </w:r>
      <w:r>
        <w:rPr>
          <w:rFonts w:hint="eastAsia" w:ascii="黑体" w:hAnsi="黑体" w:eastAsia="黑体"/>
        </w:rPr>
        <w:t>政策导向性原则</w:t>
      </w:r>
    </w:p>
    <w:p>
      <w:pPr>
        <w:pStyle w:val="36"/>
        <w:ind w:firstLine="420"/>
      </w:pPr>
      <w:r>
        <w:rPr>
          <w:rFonts w:hint="eastAsia"/>
        </w:rPr>
        <w:t>指标应符合国家 “双碳” 目标、绿色供应链管理等政策要求，对接 GB/T 33635、GB/T 39257 等国家标准.</w:t>
      </w:r>
    </w:p>
    <w:p>
      <w:pPr>
        <w:pStyle w:val="36"/>
        <w:spacing w:before="120" w:beforeLines="50" w:after="120" w:afterLines="50"/>
        <w:ind w:firstLine="0" w:firstLineChars="0"/>
      </w:pPr>
      <w:r>
        <w:rPr>
          <w:rFonts w:hint="eastAsia" w:ascii="黑体" w:hAnsi="黑体" w:eastAsia="黑体"/>
        </w:rPr>
        <w:t>6.4.5</w:t>
      </w:r>
      <w:r>
        <w:rPr>
          <w:rFonts w:ascii="黑体" w:hAnsi="黑体" w:eastAsia="黑体"/>
        </w:rPr>
        <w:t xml:space="preserve">  </w:t>
      </w:r>
      <w:r>
        <w:rPr>
          <w:rFonts w:hint="eastAsia" w:ascii="黑体" w:hAnsi="黑体" w:eastAsia="黑体"/>
        </w:rPr>
        <w:t>动态适应性原则</w:t>
      </w:r>
    </w:p>
    <w:p>
      <w:pPr>
        <w:pStyle w:val="36"/>
        <w:spacing w:before="120" w:beforeLines="50" w:after="120" w:afterLines="50"/>
        <w:ind w:firstLine="420"/>
      </w:pPr>
      <w:r>
        <w:rPr>
          <w:rFonts w:hint="eastAsia"/>
        </w:rPr>
        <w:t>指标体系应随行业技术发展及政策更新动态调整，兼顾当前水平与长远发展。</w:t>
      </w:r>
    </w:p>
    <w:bookmarkEnd w:id="149"/>
    <w:p>
      <w:pPr>
        <w:pStyle w:val="42"/>
        <w:numPr>
          <w:ilvl w:val="0"/>
          <w:numId w:val="0"/>
        </w:numPr>
        <w:spacing w:before="240" w:after="240"/>
        <w:outlineLvl w:val="1"/>
      </w:pPr>
      <w:bookmarkStart w:id="150" w:name="_Toc209185573"/>
      <w:bookmarkStart w:id="151" w:name="_Toc170383086"/>
      <w:r>
        <w:rPr>
          <w:rFonts w:hint="eastAsia"/>
        </w:rPr>
        <w:t>6.5  评价指标</w:t>
      </w:r>
      <w:bookmarkEnd w:id="150"/>
      <w:bookmarkEnd w:id="151"/>
    </w:p>
    <w:p>
      <w:pPr>
        <w:pStyle w:val="36"/>
        <w:ind w:firstLine="420"/>
      </w:pPr>
      <w:r>
        <w:rPr>
          <w:rFonts w:hint="eastAsia"/>
        </w:rPr>
        <w:t>绿色采购评价指标分为三级，按附录A规定。表A.1给出一级和二级评价指标，其中一级评价指标7项，二级评价指标47项，三级评价指标由企业、行业或评价方自行确定。根据指标可量化程度，评价指标分为定量指标和定性指标两类。</w:t>
      </w:r>
    </w:p>
    <w:bookmarkEnd w:id="14"/>
    <w:p>
      <w:pPr>
        <w:pStyle w:val="42"/>
        <w:spacing w:before="240" w:after="240"/>
        <w:rPr>
          <w:szCs w:val="21"/>
        </w:rPr>
      </w:pPr>
      <w:bookmarkStart w:id="152" w:name="_Toc209185574"/>
      <w:r>
        <w:rPr>
          <w:rFonts w:hint="eastAsia"/>
          <w:szCs w:val="21"/>
        </w:rPr>
        <w:t>取值规则</w:t>
      </w:r>
      <w:bookmarkEnd w:id="152"/>
    </w:p>
    <w:p>
      <w:pPr>
        <w:pStyle w:val="42"/>
        <w:numPr>
          <w:ilvl w:val="0"/>
          <w:numId w:val="0"/>
        </w:numPr>
        <w:spacing w:before="240" w:after="240"/>
        <w:outlineLvl w:val="1"/>
      </w:pPr>
      <w:r>
        <w:rPr>
          <w:rFonts w:hint="eastAsia"/>
        </w:rPr>
        <w:t>7</w:t>
      </w:r>
      <w:r>
        <w:t xml:space="preserve">.1 </w:t>
      </w:r>
      <w:r>
        <w:rPr>
          <w:rFonts w:hint="eastAsia"/>
        </w:rPr>
        <w:t>指标标准化</w:t>
      </w:r>
    </w:p>
    <w:p>
      <w:pPr>
        <w:pStyle w:val="42"/>
        <w:numPr>
          <w:ilvl w:val="0"/>
          <w:numId w:val="0"/>
        </w:numPr>
        <w:spacing w:before="240" w:after="240"/>
        <w:ind w:firstLine="315" w:firstLineChars="150"/>
        <w:outlineLvl w:val="9"/>
        <w:rPr>
          <w:rFonts w:ascii="Times New Roman" w:eastAsia="宋体"/>
        </w:rPr>
      </w:pPr>
      <w:r>
        <w:rPr>
          <w:rFonts w:hint="eastAsia" w:ascii="Times New Roman" w:eastAsia="宋体"/>
        </w:rPr>
        <w:t>采用极值法对指标数据进行处理以保证指标类型一致化，利用各指标的“区间标杆”将该指标统一转化为介于0到1之间的一个数值。其中，指标的“区间标杆”为参评供应商中该指标实际观测值的最大和最小值形成的数值区间。指标标准化方法如下：</w:t>
      </w:r>
    </w:p>
    <w:p>
      <w:pPr>
        <w:pStyle w:val="42"/>
        <w:numPr>
          <w:ilvl w:val="0"/>
          <w:numId w:val="0"/>
        </w:numPr>
        <w:spacing w:before="240" w:after="240"/>
        <w:ind w:firstLine="315" w:firstLineChars="150"/>
        <w:outlineLvl w:val="9"/>
        <w:rPr>
          <w:rFonts w:ascii="Times New Roman" w:eastAsia="宋体"/>
        </w:rPr>
      </w:pPr>
      <w:r>
        <w:rPr>
          <w:rFonts w:ascii="Times New Roman" w:eastAsia="宋体"/>
        </w:rPr>
        <w:t xml:space="preserve">a) </w:t>
      </w:r>
      <w:r>
        <w:rPr>
          <w:rFonts w:hint="eastAsia" w:ascii="Times New Roman" w:eastAsia="宋体"/>
        </w:rPr>
        <w:t>正向指标：</w:t>
      </w:r>
    </w:p>
    <w:p>
      <w:pPr>
        <w:pStyle w:val="6"/>
        <w:spacing w:line="276" w:lineRule="auto"/>
        <w:ind w:firstLine="480"/>
        <w:jc w:val="right"/>
      </w:pPr>
      <m:oMath>
        <m:sSub>
          <w:bookmarkStart w:id="153" w:name="MTBlankEqn"/>
          <m:sSubPr>
            <m:ctrlPr>
              <w:rPr>
                <w:rFonts w:ascii="Cambria Math" w:hAnsi="Cambria Math"/>
                <w:i/>
                <w:szCs w:val="30"/>
              </w:rPr>
            </m:ctrlPr>
          </m:sSubPr>
          <m:e>
            <m:r>
              <m:rPr/>
              <w:rPr>
                <w:rFonts w:ascii="Cambria Math" w:hAnsi="Cambria Math"/>
                <w:szCs w:val="30"/>
              </w:rPr>
              <m:t>x</m:t>
            </m:r>
            <m:ctrlPr>
              <w:rPr>
                <w:rFonts w:ascii="Cambria Math" w:hAnsi="Cambria Math"/>
                <w:i/>
                <w:szCs w:val="30"/>
              </w:rPr>
            </m:ctrlPr>
          </m:e>
          <m:sub>
            <m:r>
              <m:rPr/>
              <w:rPr>
                <w:rFonts w:ascii="Cambria Math" w:hAnsi="Cambria Math"/>
              </w:rPr>
              <m:t>ij</m:t>
            </m:r>
            <m:ctrlPr>
              <w:rPr>
                <w:rFonts w:ascii="Cambria Math" w:hAnsi="Cambria Math"/>
                <w:i/>
                <w:szCs w:val="30"/>
              </w:rPr>
            </m:ctrlPr>
          </m:sub>
        </m:sSub>
        <m:r>
          <m:rPr/>
          <w:rPr>
            <w:rFonts w:ascii="Cambria Math" w:hAnsi="Cambria Math"/>
          </w:rPr>
          <m:t>=</m:t>
        </m:r>
        <m:f>
          <m:fPr>
            <m:ctrlPr>
              <w:rPr>
                <w:rFonts w:ascii="Cambria Math" w:hAnsi="Cambria Math"/>
                <w:i/>
                <w:szCs w:val="30"/>
              </w:rPr>
            </m:ctrlPr>
          </m:fPr>
          <m:num>
            <m:r>
              <m:rPr/>
              <w:rPr>
                <w:rFonts w:ascii="Cambria Math" w:hAnsi="Cambria Math"/>
                <w:szCs w:val="30"/>
              </w:rPr>
              <m:t>[</m:t>
            </m:r>
            <m:sSub>
              <m:sSubPr>
                <m:ctrlPr>
                  <w:rPr>
                    <w:rFonts w:ascii="Cambria Math" w:hAnsi="Cambria Math"/>
                    <w:i/>
                    <w:szCs w:val="30"/>
                  </w:rPr>
                </m:ctrlPr>
              </m:sSubPr>
              <m:e>
                <m:r>
                  <m:rPr/>
                  <w:rPr>
                    <w:rFonts w:ascii="Cambria Math" w:hAnsi="Cambria Math"/>
                  </w:rPr>
                  <m:t>x</m:t>
                </m:r>
                <m:ctrlPr>
                  <w:rPr>
                    <w:rFonts w:ascii="Cambria Math" w:hAnsi="Cambria Math"/>
                    <w:i/>
                    <w:szCs w:val="30"/>
                  </w:rPr>
                </m:ctrlPr>
              </m:e>
              <m:sub>
                <m:r>
                  <m:rPr/>
                  <w:rPr>
                    <w:rFonts w:ascii="Cambria Math" w:hAnsi="Cambria Math"/>
                  </w:rPr>
                  <m:t>ij</m:t>
                </m:r>
                <m:ctrlPr>
                  <w:rPr>
                    <w:rFonts w:ascii="Cambria Math" w:hAnsi="Cambria Math"/>
                    <w:i/>
                    <w:szCs w:val="30"/>
                  </w:rPr>
                </m:ctrlPr>
              </m:sub>
            </m:sSub>
            <m:r>
              <m:rPr/>
              <w:rPr>
                <w:rFonts w:ascii="Cambria Math" w:hAnsi="Cambria Math"/>
              </w:rPr>
              <m:t>]−</m:t>
            </m:r>
            <m:func>
              <m:funcPr>
                <m:ctrlPr>
                  <w:rPr>
                    <w:rFonts w:ascii="Cambria Math" w:hAnsi="Cambria Math"/>
                    <w:i/>
                    <w:szCs w:val="30"/>
                  </w:rPr>
                </m:ctrlPr>
              </m:funcPr>
              <m:fName>
                <m:r>
                  <m:rPr/>
                  <w:rPr>
                    <w:rFonts w:ascii="Cambria Math" w:hAnsi="Cambria Math"/>
                  </w:rPr>
                  <m:t>min</m:t>
                </m:r>
                <m:ctrlPr>
                  <w:rPr>
                    <w:rFonts w:ascii="Cambria Math" w:hAnsi="Cambria Math"/>
                    <w:i/>
                    <w:szCs w:val="30"/>
                  </w:rPr>
                </m:ctrlPr>
              </m:fName>
              <m:e>
                <m:r>
                  <m:rPr/>
                  <w:rPr>
                    <w:rFonts w:ascii="Cambria Math" w:hAnsi="Cambria Math"/>
                  </w:rPr>
                  <m:t>{</m:t>
                </m:r>
                <m:ctrlPr>
                  <w:rPr>
                    <w:rFonts w:ascii="Cambria Math" w:hAnsi="Cambria Math"/>
                    <w:i/>
                    <w:szCs w:val="30"/>
                  </w:rPr>
                </m:ctrlPr>
              </m:e>
            </m:func>
            <m:sSub>
              <m:sSubPr>
                <m:ctrlPr>
                  <w:rPr>
                    <w:rFonts w:ascii="Cambria Math" w:hAnsi="Cambria Math"/>
                    <w:i/>
                    <w:szCs w:val="30"/>
                  </w:rPr>
                </m:ctrlPr>
              </m:sSubPr>
              <m:e>
                <m:r>
                  <m:rPr/>
                  <w:rPr>
                    <w:rFonts w:ascii="Cambria Math" w:hAnsi="Cambria Math"/>
                  </w:rPr>
                  <m:t>x</m:t>
                </m:r>
                <m:ctrlPr>
                  <w:rPr>
                    <w:rFonts w:ascii="Cambria Math" w:hAnsi="Cambria Math"/>
                    <w:i/>
                    <w:szCs w:val="30"/>
                  </w:rPr>
                </m:ctrlPr>
              </m:e>
              <m:sub>
                <m:r>
                  <m:rPr/>
                  <w:rPr>
                    <w:rFonts w:ascii="Cambria Math" w:hAnsi="Cambria Math"/>
                  </w:rPr>
                  <m:t>ij</m:t>
                </m:r>
                <m:ctrlPr>
                  <w:rPr>
                    <w:rFonts w:ascii="Cambria Math" w:hAnsi="Cambria Math"/>
                    <w:i/>
                    <w:szCs w:val="30"/>
                  </w:rPr>
                </m:ctrlPr>
              </m:sub>
            </m:sSub>
            <m:r>
              <m:rPr/>
              <w:rPr>
                <w:rFonts w:ascii="Cambria Math" w:hAnsi="Cambria Math"/>
              </w:rPr>
              <m:t>}</m:t>
            </m:r>
            <m:ctrlPr>
              <w:rPr>
                <w:rFonts w:ascii="Cambria Math" w:hAnsi="Cambria Math"/>
                <w:i/>
                <w:szCs w:val="30"/>
              </w:rPr>
            </m:ctrlPr>
          </m:num>
          <m:den>
            <m:func>
              <m:funcPr>
                <m:ctrlPr>
                  <w:rPr>
                    <w:rFonts w:ascii="Cambria Math" w:hAnsi="Cambria Math"/>
                    <w:i/>
                    <w:szCs w:val="30"/>
                  </w:rPr>
                </m:ctrlPr>
              </m:funcPr>
              <m:fName>
                <m:r>
                  <m:rPr/>
                  <w:rPr>
                    <w:rFonts w:ascii="Cambria Math" w:hAnsi="Cambria Math"/>
                  </w:rPr>
                  <m:t>max</m:t>
                </m:r>
                <m:ctrlPr>
                  <w:rPr>
                    <w:rFonts w:ascii="Cambria Math" w:hAnsi="Cambria Math"/>
                    <w:i/>
                    <w:szCs w:val="30"/>
                  </w:rPr>
                </m:ctrlPr>
              </m:fName>
              <m:e>
                <m:r>
                  <m:rPr/>
                  <w:rPr>
                    <w:rFonts w:ascii="Cambria Math" w:hAnsi="Cambria Math"/>
                  </w:rPr>
                  <m:t>{</m:t>
                </m:r>
                <m:ctrlPr>
                  <w:rPr>
                    <w:rFonts w:ascii="Cambria Math" w:hAnsi="Cambria Math"/>
                    <w:i/>
                    <w:szCs w:val="30"/>
                  </w:rPr>
                </m:ctrlPr>
              </m:e>
            </m:func>
            <m:sSub>
              <m:sSubPr>
                <m:ctrlPr>
                  <w:rPr>
                    <w:rFonts w:ascii="Cambria Math" w:hAnsi="Cambria Math"/>
                    <w:i/>
                    <w:szCs w:val="30"/>
                  </w:rPr>
                </m:ctrlPr>
              </m:sSubPr>
              <m:e>
                <m:r>
                  <m:rPr/>
                  <w:rPr>
                    <w:rFonts w:ascii="Cambria Math" w:hAnsi="Cambria Math"/>
                  </w:rPr>
                  <m:t>x</m:t>
                </m:r>
                <m:ctrlPr>
                  <w:rPr>
                    <w:rFonts w:ascii="Cambria Math" w:hAnsi="Cambria Math"/>
                    <w:i/>
                    <w:szCs w:val="30"/>
                  </w:rPr>
                </m:ctrlPr>
              </m:e>
              <m:sub>
                <m:r>
                  <m:rPr/>
                  <w:rPr>
                    <w:rFonts w:ascii="Cambria Math" w:hAnsi="Cambria Math"/>
                  </w:rPr>
                  <m:t>ij</m:t>
                </m:r>
                <m:ctrlPr>
                  <w:rPr>
                    <w:rFonts w:ascii="Cambria Math" w:hAnsi="Cambria Math"/>
                    <w:i/>
                    <w:szCs w:val="30"/>
                  </w:rPr>
                </m:ctrlPr>
              </m:sub>
            </m:sSub>
            <m:r>
              <m:rPr/>
              <w:rPr>
                <w:rFonts w:ascii="Cambria Math" w:hAnsi="Cambria Math"/>
              </w:rPr>
              <m:t>}−</m:t>
            </m:r>
            <m:func>
              <m:funcPr>
                <m:ctrlPr>
                  <w:rPr>
                    <w:rFonts w:ascii="Cambria Math" w:hAnsi="Cambria Math"/>
                    <w:i/>
                    <w:szCs w:val="30"/>
                  </w:rPr>
                </m:ctrlPr>
              </m:funcPr>
              <m:fName>
                <m:r>
                  <m:rPr/>
                  <w:rPr>
                    <w:rFonts w:ascii="Cambria Math" w:hAnsi="Cambria Math"/>
                  </w:rPr>
                  <m:t>min</m:t>
                </m:r>
                <m:ctrlPr>
                  <w:rPr>
                    <w:rFonts w:ascii="Cambria Math" w:hAnsi="Cambria Math"/>
                    <w:i/>
                    <w:szCs w:val="30"/>
                  </w:rPr>
                </m:ctrlPr>
              </m:fName>
              <m:e>
                <m:r>
                  <m:rPr/>
                  <w:rPr>
                    <w:rFonts w:ascii="Cambria Math" w:hAnsi="Cambria Math"/>
                  </w:rPr>
                  <m:t>{</m:t>
                </m:r>
                <m:ctrlPr>
                  <w:rPr>
                    <w:rFonts w:ascii="Cambria Math" w:hAnsi="Cambria Math"/>
                    <w:i/>
                    <w:szCs w:val="30"/>
                  </w:rPr>
                </m:ctrlPr>
              </m:e>
            </m:func>
            <m:sSub>
              <m:sSubPr>
                <m:ctrlPr>
                  <w:rPr>
                    <w:rFonts w:ascii="Cambria Math" w:hAnsi="Cambria Math"/>
                    <w:i/>
                    <w:szCs w:val="30"/>
                  </w:rPr>
                </m:ctrlPr>
              </m:sSubPr>
              <m:e>
                <m:r>
                  <m:rPr/>
                  <w:rPr>
                    <w:rFonts w:ascii="Cambria Math" w:hAnsi="Cambria Math"/>
                  </w:rPr>
                  <m:t>x</m:t>
                </m:r>
                <m:ctrlPr>
                  <w:rPr>
                    <w:rFonts w:ascii="Cambria Math" w:hAnsi="Cambria Math"/>
                    <w:i/>
                    <w:szCs w:val="30"/>
                  </w:rPr>
                </m:ctrlPr>
              </m:e>
              <m:sub>
                <m:r>
                  <m:rPr/>
                  <w:rPr>
                    <w:rFonts w:ascii="Cambria Math" w:hAnsi="Cambria Math"/>
                  </w:rPr>
                  <m:t>ij</m:t>
                </m:r>
                <m:ctrlPr>
                  <w:rPr>
                    <w:rFonts w:ascii="Cambria Math" w:hAnsi="Cambria Math"/>
                    <w:i/>
                    <w:szCs w:val="30"/>
                  </w:rPr>
                </m:ctrlPr>
              </m:sub>
            </m:sSub>
            <m:r>
              <m:rPr/>
              <w:rPr>
                <w:rFonts w:ascii="Cambria Math" w:hAnsi="Cambria Math"/>
              </w:rPr>
              <m:t>}</m:t>
            </m:r>
            <m:ctrlPr>
              <w:rPr>
                <w:rFonts w:ascii="Cambria Math" w:hAnsi="Cambria Math"/>
                <w:i/>
                <w:szCs w:val="30"/>
              </w:rPr>
            </m:ctrlPr>
          </m:den>
        </m:f>
        <m:r>
          <m:rPr>
            <m:nor/>
            <m:sty m:val="p"/>
          </m:rPr>
          <w:rPr>
            <w:rFonts w:ascii="Cambria Math" w:hAnsi="Cambria Math"/>
            <w:b w:val="0"/>
            <w:i w:val="0"/>
          </w:rPr>
          <m:t xml:space="preserve"> </m:t>
        </m:r>
        <m:r>
          <m:rPr>
            <m:nor/>
            <m:sty m:val="p"/>
          </m:rPr>
          <w:rPr>
            <w:rFonts w:hint="default" w:ascii="Cambria Math" w:hAnsi="Cambria Math" w:cs="Times New Roman"/>
            <w:b w:val="0"/>
            <w:i w:val="0"/>
          </w:rPr>
          <m:t xml:space="preserve"> </m:t>
        </m:r>
      </m:oMath>
      <w:bookmarkEnd w:id="153"/>
      <w:r>
        <w:rPr>
          <w:rFonts w:hint="default" w:ascii="Times New Roman" w:hAnsi="Times New Roman" w:cs="Times New Roman"/>
        </w:rPr>
        <w:t>…………</w:t>
      </w:r>
      <w:bookmarkStart w:id="154" w:name="_Hlk209187607"/>
      <w:r>
        <w:rPr>
          <w:rFonts w:hint="default" w:ascii="Times New Roman" w:hAnsi="Times New Roman" w:cs="Times New Roman"/>
        </w:rPr>
        <w:t>…</w:t>
      </w:r>
      <w:bookmarkEnd w:id="154"/>
      <w:r>
        <w:rPr>
          <w:rFonts w:hint="default" w:ascii="Times New Roman" w:hAnsi="Times New Roman" w:cs="Times New Roman"/>
        </w:rPr>
        <w:t>……………….   （1）</w:t>
      </w:r>
    </w:p>
    <w:p>
      <w:pPr>
        <w:pStyle w:val="42"/>
        <w:numPr>
          <w:ilvl w:val="0"/>
          <w:numId w:val="0"/>
        </w:numPr>
        <w:spacing w:before="240" w:after="240"/>
        <w:ind w:firstLine="315" w:firstLineChars="150"/>
        <w:outlineLvl w:val="9"/>
        <w:rPr>
          <w:rFonts w:ascii="Times New Roman" w:eastAsia="宋体"/>
        </w:rPr>
      </w:pPr>
      <w:r>
        <w:rPr>
          <w:rFonts w:hint="eastAsia" w:ascii="Times New Roman" w:eastAsia="宋体"/>
        </w:rPr>
        <w:t>b)</w:t>
      </w:r>
      <w:r>
        <w:rPr>
          <w:rFonts w:ascii="Times New Roman" w:eastAsia="宋体"/>
        </w:rPr>
        <w:t xml:space="preserve"> </w:t>
      </w:r>
      <w:r>
        <w:rPr>
          <w:rFonts w:hint="eastAsia" w:ascii="Times New Roman" w:eastAsia="宋体"/>
        </w:rPr>
        <w:t>负向指标：</w:t>
      </w:r>
    </w:p>
    <w:p>
      <w:pPr>
        <w:pStyle w:val="6"/>
        <w:spacing w:line="276" w:lineRule="auto"/>
        <w:ind w:firstLine="480"/>
        <w:jc w:val="right"/>
        <w:rPr>
          <w:rFonts w:ascii="Cambria Math" w:hAnsi="Cambria Math"/>
          <w:szCs w:val="30"/>
        </w:rPr>
      </w:pPr>
      <m:oMath>
        <m:sSub>
          <m:sSubPr>
            <m:ctrlPr>
              <w:rPr>
                <w:rFonts w:ascii="Cambria Math" w:hAnsi="Cambria Math"/>
                <w:i/>
                <w:szCs w:val="30"/>
              </w:rPr>
            </m:ctrlPr>
          </m:sSubPr>
          <m:e>
            <m:r>
              <m:rPr/>
              <w:rPr>
                <w:rFonts w:ascii="Cambria Math" w:hAnsi="Cambria Math"/>
                <w:szCs w:val="30"/>
              </w:rPr>
              <m:t>x</m:t>
            </m:r>
            <m:ctrlPr>
              <w:rPr>
                <w:rFonts w:ascii="Cambria Math" w:hAnsi="Cambria Math"/>
                <w:i/>
                <w:szCs w:val="30"/>
              </w:rPr>
            </m:ctrlPr>
          </m:e>
          <m:sub>
            <m:r>
              <m:rPr/>
              <w:rPr>
                <w:rFonts w:ascii="Cambria Math" w:hAnsi="Cambria Math"/>
                <w:szCs w:val="30"/>
              </w:rPr>
              <m:t>ij</m:t>
            </m:r>
            <m:ctrlPr>
              <w:rPr>
                <w:rFonts w:ascii="Cambria Math" w:hAnsi="Cambria Math"/>
                <w:i/>
                <w:szCs w:val="30"/>
              </w:rPr>
            </m:ctrlPr>
          </m:sub>
        </m:sSub>
        <m:r>
          <m:rPr/>
          <w:rPr>
            <w:rFonts w:ascii="Cambria Math" w:hAnsi="Cambria Math"/>
            <w:szCs w:val="30"/>
          </w:rPr>
          <m:t>=</m:t>
        </m:r>
        <m:f>
          <m:fPr>
            <m:ctrlPr>
              <w:rPr>
                <w:rFonts w:ascii="Cambria Math" w:hAnsi="Cambria Math"/>
                <w:i/>
                <w:szCs w:val="30"/>
              </w:rPr>
            </m:ctrlPr>
          </m:fPr>
          <m:num>
            <m:func>
              <m:funcPr>
                <m:ctrlPr>
                  <w:rPr>
                    <w:rFonts w:ascii="Cambria Math" w:hAnsi="Cambria Math"/>
                    <w:i/>
                    <w:szCs w:val="30"/>
                  </w:rPr>
                </m:ctrlPr>
              </m:funcPr>
              <m:fName>
                <m:r>
                  <m:rPr/>
                  <w:rPr>
                    <w:rFonts w:ascii="Cambria Math" w:hAnsi="Cambria Math"/>
                    <w:szCs w:val="30"/>
                  </w:rPr>
                  <m:t>max</m:t>
                </m:r>
                <m:ctrlPr>
                  <w:rPr>
                    <w:rFonts w:ascii="Cambria Math" w:hAnsi="Cambria Math"/>
                    <w:i/>
                    <w:szCs w:val="30"/>
                  </w:rPr>
                </m:ctrlPr>
              </m:fName>
              <m:e>
                <m:r>
                  <m:rPr/>
                  <w:rPr>
                    <w:rFonts w:ascii="Cambria Math" w:hAnsi="Cambria Math"/>
                    <w:szCs w:val="30"/>
                  </w:rPr>
                  <m:t>{</m:t>
                </m:r>
                <m:ctrlPr>
                  <w:rPr>
                    <w:rFonts w:ascii="Cambria Math" w:hAnsi="Cambria Math"/>
                    <w:i/>
                    <w:szCs w:val="30"/>
                  </w:rPr>
                </m:ctrlPr>
              </m:e>
            </m:func>
            <m:sSub>
              <m:sSubPr>
                <m:ctrlPr>
                  <w:rPr>
                    <w:rFonts w:ascii="Cambria Math" w:hAnsi="Cambria Math"/>
                    <w:i/>
                    <w:szCs w:val="30"/>
                  </w:rPr>
                </m:ctrlPr>
              </m:sSubPr>
              <m:e>
                <m:r>
                  <m:rPr/>
                  <w:rPr>
                    <w:rFonts w:ascii="Cambria Math" w:hAnsi="Cambria Math"/>
                    <w:szCs w:val="30"/>
                  </w:rPr>
                  <m:t>x</m:t>
                </m:r>
                <m:ctrlPr>
                  <w:rPr>
                    <w:rFonts w:ascii="Cambria Math" w:hAnsi="Cambria Math"/>
                    <w:i/>
                    <w:szCs w:val="30"/>
                  </w:rPr>
                </m:ctrlPr>
              </m:e>
              <m:sub>
                <m:r>
                  <m:rPr/>
                  <w:rPr>
                    <w:rFonts w:ascii="Cambria Math" w:hAnsi="Cambria Math"/>
                    <w:szCs w:val="30"/>
                  </w:rPr>
                  <m:t>ij</m:t>
                </m:r>
                <m:ctrlPr>
                  <w:rPr>
                    <w:rFonts w:ascii="Cambria Math" w:hAnsi="Cambria Math"/>
                    <w:i/>
                    <w:szCs w:val="30"/>
                  </w:rPr>
                </m:ctrlPr>
              </m:sub>
            </m:sSub>
            <m:r>
              <m:rPr/>
              <w:rPr>
                <w:rFonts w:ascii="Cambria Math" w:hAnsi="Cambria Math"/>
                <w:szCs w:val="30"/>
              </w:rPr>
              <m:t>}−</m:t>
            </m:r>
            <m:sSub>
              <m:sSubPr>
                <m:ctrlPr>
                  <w:rPr>
                    <w:rFonts w:ascii="Cambria Math" w:hAnsi="Cambria Math"/>
                    <w:i/>
                    <w:szCs w:val="30"/>
                  </w:rPr>
                </m:ctrlPr>
              </m:sSubPr>
              <m:e>
                <m:r>
                  <m:rPr/>
                  <w:rPr>
                    <w:rFonts w:ascii="Cambria Math" w:hAnsi="Cambria Math"/>
                    <w:szCs w:val="30"/>
                  </w:rPr>
                  <m:t>[x</m:t>
                </m:r>
                <m:ctrlPr>
                  <w:rPr>
                    <w:rFonts w:ascii="Cambria Math" w:hAnsi="Cambria Math"/>
                    <w:i/>
                    <w:szCs w:val="30"/>
                  </w:rPr>
                </m:ctrlPr>
              </m:e>
              <m:sub>
                <m:r>
                  <m:rPr/>
                  <w:rPr>
                    <w:rFonts w:ascii="Cambria Math" w:hAnsi="Cambria Math"/>
                    <w:szCs w:val="30"/>
                  </w:rPr>
                  <m:t>ij</m:t>
                </m:r>
                <m:ctrlPr>
                  <w:rPr>
                    <w:rFonts w:ascii="Cambria Math" w:hAnsi="Cambria Math"/>
                    <w:i/>
                    <w:szCs w:val="30"/>
                  </w:rPr>
                </m:ctrlPr>
              </m:sub>
            </m:sSub>
            <m:r>
              <m:rPr/>
              <w:rPr>
                <w:rFonts w:ascii="Cambria Math" w:hAnsi="Cambria Math"/>
                <w:szCs w:val="30"/>
              </w:rPr>
              <m:t>]</m:t>
            </m:r>
            <m:ctrlPr>
              <w:rPr>
                <w:rFonts w:ascii="Cambria Math" w:hAnsi="Cambria Math"/>
                <w:i/>
                <w:szCs w:val="30"/>
              </w:rPr>
            </m:ctrlPr>
          </m:num>
          <m:den>
            <m:func>
              <m:funcPr>
                <m:ctrlPr>
                  <w:rPr>
                    <w:rFonts w:ascii="Cambria Math" w:hAnsi="Cambria Math"/>
                    <w:i/>
                    <w:szCs w:val="30"/>
                  </w:rPr>
                </m:ctrlPr>
              </m:funcPr>
              <m:fName>
                <m:r>
                  <m:rPr/>
                  <w:rPr>
                    <w:rFonts w:ascii="Cambria Math" w:hAnsi="Cambria Math"/>
                    <w:szCs w:val="30"/>
                  </w:rPr>
                  <m:t>max</m:t>
                </m:r>
                <m:ctrlPr>
                  <w:rPr>
                    <w:rFonts w:ascii="Cambria Math" w:hAnsi="Cambria Math"/>
                    <w:i/>
                    <w:szCs w:val="30"/>
                  </w:rPr>
                </m:ctrlPr>
              </m:fName>
              <m:e>
                <m:r>
                  <m:rPr/>
                  <w:rPr>
                    <w:rFonts w:ascii="Cambria Math" w:hAnsi="Cambria Math"/>
                    <w:szCs w:val="30"/>
                  </w:rPr>
                  <m:t>{</m:t>
                </m:r>
                <m:ctrlPr>
                  <w:rPr>
                    <w:rFonts w:ascii="Cambria Math" w:hAnsi="Cambria Math"/>
                    <w:i/>
                    <w:szCs w:val="30"/>
                  </w:rPr>
                </m:ctrlPr>
              </m:e>
            </m:func>
            <m:sSub>
              <m:sSubPr>
                <m:ctrlPr>
                  <w:rPr>
                    <w:rFonts w:ascii="Cambria Math" w:hAnsi="Cambria Math"/>
                    <w:i/>
                    <w:szCs w:val="30"/>
                  </w:rPr>
                </m:ctrlPr>
              </m:sSubPr>
              <m:e>
                <m:r>
                  <m:rPr/>
                  <w:rPr>
                    <w:rFonts w:ascii="Cambria Math" w:hAnsi="Cambria Math"/>
                    <w:szCs w:val="30"/>
                  </w:rPr>
                  <m:t>x</m:t>
                </m:r>
                <m:ctrlPr>
                  <w:rPr>
                    <w:rFonts w:ascii="Cambria Math" w:hAnsi="Cambria Math"/>
                    <w:i/>
                    <w:szCs w:val="30"/>
                  </w:rPr>
                </m:ctrlPr>
              </m:e>
              <m:sub>
                <m:r>
                  <m:rPr/>
                  <w:rPr>
                    <w:rFonts w:ascii="Cambria Math" w:hAnsi="Cambria Math"/>
                    <w:szCs w:val="30"/>
                  </w:rPr>
                  <m:t>ij</m:t>
                </m:r>
                <m:ctrlPr>
                  <w:rPr>
                    <w:rFonts w:ascii="Cambria Math" w:hAnsi="Cambria Math"/>
                    <w:i/>
                    <w:szCs w:val="30"/>
                  </w:rPr>
                </m:ctrlPr>
              </m:sub>
            </m:sSub>
            <m:r>
              <m:rPr/>
              <w:rPr>
                <w:rFonts w:ascii="Cambria Math" w:hAnsi="Cambria Math"/>
                <w:szCs w:val="30"/>
              </w:rPr>
              <m:t>}−</m:t>
            </m:r>
            <m:func>
              <m:funcPr>
                <m:ctrlPr>
                  <w:rPr>
                    <w:rFonts w:ascii="Cambria Math" w:hAnsi="Cambria Math"/>
                    <w:i/>
                    <w:szCs w:val="30"/>
                  </w:rPr>
                </m:ctrlPr>
              </m:funcPr>
              <m:fName>
                <m:r>
                  <m:rPr/>
                  <w:rPr>
                    <w:rFonts w:ascii="Cambria Math" w:hAnsi="Cambria Math"/>
                    <w:szCs w:val="30"/>
                  </w:rPr>
                  <m:t>min</m:t>
                </m:r>
                <m:ctrlPr>
                  <w:rPr>
                    <w:rFonts w:ascii="Cambria Math" w:hAnsi="Cambria Math"/>
                    <w:i/>
                    <w:szCs w:val="30"/>
                  </w:rPr>
                </m:ctrlPr>
              </m:fName>
              <m:e>
                <m:r>
                  <m:rPr/>
                  <w:rPr>
                    <w:rFonts w:ascii="Cambria Math" w:hAnsi="Cambria Math"/>
                    <w:szCs w:val="30"/>
                  </w:rPr>
                  <m:t>{</m:t>
                </m:r>
                <m:ctrlPr>
                  <w:rPr>
                    <w:rFonts w:ascii="Cambria Math" w:hAnsi="Cambria Math"/>
                    <w:i/>
                    <w:szCs w:val="30"/>
                  </w:rPr>
                </m:ctrlPr>
              </m:e>
            </m:func>
            <m:sSub>
              <m:sSubPr>
                <m:ctrlPr>
                  <w:rPr>
                    <w:rFonts w:ascii="Cambria Math" w:hAnsi="Cambria Math"/>
                    <w:i/>
                    <w:szCs w:val="30"/>
                  </w:rPr>
                </m:ctrlPr>
              </m:sSubPr>
              <m:e>
                <m:r>
                  <m:rPr/>
                  <w:rPr>
                    <w:rFonts w:ascii="Cambria Math" w:hAnsi="Cambria Math"/>
                    <w:szCs w:val="30"/>
                  </w:rPr>
                  <m:t>x</m:t>
                </m:r>
                <m:ctrlPr>
                  <w:rPr>
                    <w:rFonts w:ascii="Cambria Math" w:hAnsi="Cambria Math"/>
                    <w:i/>
                    <w:szCs w:val="30"/>
                  </w:rPr>
                </m:ctrlPr>
              </m:e>
              <m:sub>
                <m:r>
                  <m:rPr/>
                  <w:rPr>
                    <w:rFonts w:ascii="Cambria Math" w:hAnsi="Cambria Math"/>
                    <w:szCs w:val="30"/>
                  </w:rPr>
                  <m:t>ij</m:t>
                </m:r>
                <m:ctrlPr>
                  <w:rPr>
                    <w:rFonts w:ascii="Cambria Math" w:hAnsi="Cambria Math"/>
                    <w:i/>
                    <w:szCs w:val="30"/>
                  </w:rPr>
                </m:ctrlPr>
              </m:sub>
            </m:sSub>
            <m:r>
              <m:rPr/>
              <w:rPr>
                <w:rFonts w:ascii="Cambria Math" w:hAnsi="Cambria Math"/>
                <w:szCs w:val="30"/>
              </w:rPr>
              <m:t>}</m:t>
            </m:r>
            <m:ctrlPr>
              <w:rPr>
                <w:rFonts w:ascii="Cambria Math" w:hAnsi="Cambria Math"/>
                <w:i/>
                <w:szCs w:val="30"/>
              </w:rPr>
            </m:ctrlPr>
          </m:den>
        </m:f>
        <m:r>
          <m:rPr>
            <m:nor/>
          </m:rPr>
          <w:rPr>
            <w:rFonts w:ascii="Cambria Math" w:hAnsi="Cambria Math"/>
            <w:i/>
            <w:szCs w:val="30"/>
          </w:rPr>
          <m:t xml:space="preserve">  </m:t>
        </m:r>
      </m:oMath>
      <w:r>
        <w:rPr>
          <w:rFonts w:hint="default" w:ascii="Times New Roman" w:hAnsi="Times New Roman" w:cs="Times New Roman"/>
          <w:szCs w:val="30"/>
        </w:rPr>
        <w:t>………</w:t>
      </w:r>
      <w:r>
        <w:rPr>
          <w:rFonts w:hint="default" w:ascii="Times New Roman" w:hAnsi="Times New Roman" w:cs="Times New Roman"/>
        </w:rPr>
        <w:t>…</w:t>
      </w:r>
      <w:r>
        <w:rPr>
          <w:rFonts w:hint="default" w:ascii="Times New Roman" w:hAnsi="Times New Roman" w:cs="Times New Roman"/>
          <w:szCs w:val="30"/>
        </w:rPr>
        <w:t>…</w:t>
      </w:r>
      <w:r>
        <w:rPr>
          <w:rFonts w:hint="default" w:ascii="Times New Roman" w:hAnsi="Times New Roman" w:cs="Times New Roman"/>
        </w:rPr>
        <w:t>…</w:t>
      </w:r>
      <w:r>
        <w:rPr>
          <w:rFonts w:hint="default" w:ascii="Times New Roman" w:hAnsi="Times New Roman" w:cs="Times New Roman"/>
          <w:szCs w:val="30"/>
        </w:rPr>
        <w:t>…………….   （</w:t>
      </w:r>
      <w:r>
        <w:rPr>
          <w:rFonts w:hint="default" w:ascii="Times New Roman" w:hAnsi="Times New Roman" w:cs="Times New Roman"/>
        </w:rPr>
        <w:t>2）</w:t>
      </w:r>
    </w:p>
    <w:p>
      <w:pPr>
        <w:autoSpaceDE w:val="0"/>
        <w:autoSpaceDN w:val="0"/>
        <w:ind w:firstLine="420" w:firstLineChars="200"/>
        <w:jc w:val="both"/>
        <w:rPr>
          <w:iCs/>
          <w:sz w:val="21"/>
        </w:rPr>
      </w:pPr>
      <w:bookmarkStart w:id="155" w:name="_Hlk209187261"/>
      <w:r>
        <w:rPr>
          <w:rFonts w:hint="eastAsia"/>
          <w:iCs/>
          <w:sz w:val="21"/>
        </w:rPr>
        <w:t>式中：</w:t>
      </w:r>
    </w:p>
    <w:p>
      <w:pPr>
        <w:autoSpaceDE w:val="0"/>
        <w:autoSpaceDN w:val="0"/>
        <w:ind w:firstLine="420" w:firstLineChars="200"/>
        <w:jc w:val="both"/>
        <w:rPr>
          <w:i/>
          <w:iCs/>
          <w:sz w:val="21"/>
        </w:rPr>
      </w:pPr>
      <w:bookmarkStart w:id="156" w:name="_Hlk209187350"/>
      <w:r>
        <w:rPr>
          <w:i/>
          <w:iCs/>
          <w:sz w:val="21"/>
        </w:rPr>
        <w:t>x</w:t>
      </w:r>
      <w:r>
        <w:rPr>
          <w:i/>
          <w:iCs/>
          <w:sz w:val="21"/>
          <w:vertAlign w:val="subscript"/>
        </w:rPr>
        <w:t>ij</w:t>
      </w:r>
      <w:r>
        <w:rPr>
          <w:i/>
          <w:iCs/>
          <w:sz w:val="21"/>
        </w:rPr>
        <w:t xml:space="preserve">           </w:t>
      </w:r>
      <w:r>
        <w:rPr>
          <w:rFonts w:hint="eastAsia"/>
          <w:i/>
          <w:iCs/>
          <w:sz w:val="21"/>
        </w:rPr>
        <w:t xml:space="preserve"> </w:t>
      </w:r>
      <w:r>
        <w:rPr>
          <w:i/>
          <w:iCs/>
          <w:sz w:val="21"/>
        </w:rPr>
        <w:t xml:space="preserve"> </w:t>
      </w:r>
      <w:r>
        <w:rPr>
          <w:kern w:val="0"/>
          <w:sz w:val="21"/>
        </w:rPr>
        <w:t>——第i个一级指标中第j个二级指标的</w:t>
      </w:r>
      <w:r>
        <w:rPr>
          <w:rFonts w:hint="eastAsia"/>
          <w:kern w:val="0"/>
          <w:sz w:val="21"/>
        </w:rPr>
        <w:t>打分</w:t>
      </w:r>
      <w:r>
        <w:rPr>
          <w:rFonts w:hint="eastAsia"/>
          <w:kern w:val="0"/>
          <w:sz w:val="21"/>
          <w:lang w:val="en-US" w:eastAsia="zh-CN"/>
        </w:rPr>
        <w:t>权重</w:t>
      </w:r>
      <w:r>
        <w:rPr>
          <w:rFonts w:hint="eastAsia"/>
          <w:kern w:val="0"/>
          <w:sz w:val="21"/>
        </w:rPr>
        <w:t>；</w:t>
      </w:r>
    </w:p>
    <w:p>
      <w:pPr>
        <w:autoSpaceDE w:val="0"/>
        <w:autoSpaceDN w:val="0"/>
        <w:ind w:firstLine="420" w:firstLineChars="200"/>
        <w:jc w:val="both"/>
        <w:rPr>
          <w:kern w:val="0"/>
          <w:sz w:val="21"/>
        </w:rPr>
      </w:pPr>
      <w:r>
        <w:rPr>
          <w:i/>
          <w:iCs/>
          <w:sz w:val="21"/>
        </w:rPr>
        <w:t>[x</w:t>
      </w:r>
      <w:r>
        <w:rPr>
          <w:i/>
          <w:iCs/>
          <w:sz w:val="21"/>
          <w:vertAlign w:val="subscript"/>
        </w:rPr>
        <w:t>ij</w:t>
      </w:r>
      <w:bookmarkEnd w:id="156"/>
      <w:r>
        <w:rPr>
          <w:i/>
          <w:iCs/>
          <w:sz w:val="21"/>
        </w:rPr>
        <w:t xml:space="preserve"> ]       </w:t>
      </w:r>
      <w:r>
        <w:rPr>
          <w:rFonts w:hint="eastAsia"/>
          <w:i/>
          <w:iCs/>
          <w:sz w:val="21"/>
        </w:rPr>
        <w:t xml:space="preserve"> </w:t>
      </w:r>
      <w:r>
        <w:rPr>
          <w:i/>
          <w:iCs/>
          <w:sz w:val="21"/>
        </w:rPr>
        <w:t xml:space="preserve"> </w:t>
      </w:r>
      <w:r>
        <w:rPr>
          <w:kern w:val="0"/>
          <w:sz w:val="21"/>
        </w:rPr>
        <w:t>——第i个一级指标中第j个二级指标的</w:t>
      </w:r>
      <w:r>
        <w:rPr>
          <w:rFonts w:hint="eastAsia"/>
          <w:kern w:val="0"/>
          <w:sz w:val="21"/>
        </w:rPr>
        <w:t>原始值</w:t>
      </w:r>
      <w:r>
        <w:rPr>
          <w:kern w:val="0"/>
          <w:sz w:val="21"/>
        </w:rPr>
        <w:t>；</w:t>
      </w:r>
    </w:p>
    <w:bookmarkEnd w:id="155"/>
    <w:p>
      <w:pPr>
        <w:autoSpaceDE w:val="0"/>
        <w:autoSpaceDN w:val="0"/>
        <w:ind w:firstLine="420" w:firstLineChars="200"/>
        <w:jc w:val="both"/>
        <w:rPr>
          <w:kern w:val="0"/>
          <w:sz w:val="21"/>
        </w:rPr>
      </w:pPr>
      <w:r>
        <w:rPr>
          <w:i/>
          <w:iCs/>
          <w:sz w:val="21"/>
        </w:rPr>
        <w:t>max{x</w:t>
      </w:r>
      <w:r>
        <w:rPr>
          <w:i/>
          <w:iCs/>
          <w:sz w:val="21"/>
          <w:vertAlign w:val="subscript"/>
        </w:rPr>
        <w:t>ij</w:t>
      </w:r>
      <w:r>
        <w:rPr>
          <w:i/>
          <w:iCs/>
          <w:sz w:val="21"/>
        </w:rPr>
        <w:t xml:space="preserve"> }</w:t>
      </w:r>
      <w:r>
        <w:rPr>
          <w:rFonts w:hint="eastAsia"/>
          <w:i/>
          <w:iCs/>
          <w:sz w:val="21"/>
        </w:rPr>
        <w:t xml:space="preserve"> </w:t>
      </w:r>
      <w:r>
        <w:rPr>
          <w:i/>
          <w:iCs/>
          <w:sz w:val="21"/>
        </w:rPr>
        <w:t xml:space="preserve"> </w:t>
      </w:r>
      <w:r>
        <w:rPr>
          <w:kern w:val="0"/>
          <w:sz w:val="21"/>
        </w:rPr>
        <w:t>——指标</w:t>
      </w:r>
      <w:r>
        <w:rPr>
          <w:i/>
          <w:iCs/>
          <w:sz w:val="21"/>
        </w:rPr>
        <w:t>x</w:t>
      </w:r>
      <w:r>
        <w:rPr>
          <w:i/>
          <w:iCs/>
          <w:sz w:val="21"/>
          <w:vertAlign w:val="subscript"/>
        </w:rPr>
        <w:t>ij</w:t>
      </w:r>
      <w:r>
        <w:rPr>
          <w:rFonts w:hint="eastAsia"/>
          <w:kern w:val="0"/>
          <w:sz w:val="21"/>
        </w:rPr>
        <w:t>在所有参评供应商中观测到的最大值</w:t>
      </w:r>
      <w:r>
        <w:rPr>
          <w:kern w:val="0"/>
          <w:sz w:val="21"/>
        </w:rPr>
        <w:t>；</w:t>
      </w:r>
    </w:p>
    <w:p>
      <w:pPr>
        <w:autoSpaceDE w:val="0"/>
        <w:autoSpaceDN w:val="0"/>
        <w:ind w:firstLine="420" w:firstLineChars="200"/>
        <w:jc w:val="both"/>
        <w:rPr>
          <w:kern w:val="0"/>
          <w:sz w:val="21"/>
        </w:rPr>
      </w:pPr>
      <w:r>
        <w:rPr>
          <w:i/>
          <w:iCs/>
          <w:sz w:val="21"/>
        </w:rPr>
        <w:t>min{x</w:t>
      </w:r>
      <w:r>
        <w:rPr>
          <w:i/>
          <w:iCs/>
          <w:sz w:val="21"/>
          <w:vertAlign w:val="subscript"/>
        </w:rPr>
        <w:t>ij</w:t>
      </w:r>
      <w:r>
        <w:rPr>
          <w:i/>
          <w:iCs/>
          <w:sz w:val="21"/>
        </w:rPr>
        <w:t xml:space="preserve"> }</w:t>
      </w:r>
      <w:r>
        <w:rPr>
          <w:rFonts w:hint="eastAsia"/>
          <w:i/>
          <w:iCs/>
          <w:sz w:val="21"/>
        </w:rPr>
        <w:t xml:space="preserve"> </w:t>
      </w:r>
      <w:r>
        <w:rPr>
          <w:i/>
          <w:iCs/>
          <w:sz w:val="21"/>
        </w:rPr>
        <w:t xml:space="preserve"> </w:t>
      </w:r>
      <w:r>
        <w:rPr>
          <w:kern w:val="0"/>
          <w:sz w:val="21"/>
        </w:rPr>
        <w:t>——指标</w:t>
      </w:r>
      <w:r>
        <w:rPr>
          <w:i/>
          <w:iCs/>
          <w:sz w:val="21"/>
        </w:rPr>
        <w:t>x</w:t>
      </w:r>
      <w:r>
        <w:rPr>
          <w:i/>
          <w:iCs/>
          <w:sz w:val="21"/>
          <w:vertAlign w:val="subscript"/>
        </w:rPr>
        <w:t>ij</w:t>
      </w:r>
      <w:r>
        <w:rPr>
          <w:rFonts w:hint="eastAsia"/>
          <w:kern w:val="0"/>
          <w:sz w:val="21"/>
        </w:rPr>
        <w:t>在所有参评供应商中观测到的最小值。</w:t>
      </w:r>
    </w:p>
    <w:p>
      <w:pPr>
        <w:pStyle w:val="42"/>
        <w:numPr>
          <w:ilvl w:val="0"/>
          <w:numId w:val="0"/>
        </w:numPr>
        <w:spacing w:before="240" w:after="240"/>
        <w:ind w:firstLine="420" w:firstLineChars="200"/>
        <w:outlineLvl w:val="9"/>
        <w:rPr>
          <w:rFonts w:ascii="Times New Roman" w:eastAsia="宋体"/>
        </w:rPr>
      </w:pPr>
      <w:r>
        <w:rPr>
          <w:rFonts w:hint="eastAsia" w:ascii="Times New Roman" w:eastAsia="宋体"/>
        </w:rPr>
        <w:t>其中，正向指标指的是数值越大、供应商绿色低碳发展状况越好的指标；负向指标指的是数值越大，供应商绿色低碳发展状况越差的指标。</w:t>
      </w:r>
    </w:p>
    <w:p>
      <w:pPr>
        <w:pStyle w:val="42"/>
        <w:numPr>
          <w:ilvl w:val="0"/>
          <w:numId w:val="0"/>
        </w:numPr>
        <w:spacing w:before="240" w:after="240"/>
        <w:outlineLvl w:val="1"/>
      </w:pPr>
      <w:r>
        <w:rPr>
          <w:rFonts w:hint="eastAsia"/>
        </w:rPr>
        <w:t>7</w:t>
      </w:r>
      <w:r>
        <w:t xml:space="preserve">.2 </w:t>
      </w:r>
      <w:r>
        <w:rPr>
          <w:rFonts w:hint="eastAsia"/>
        </w:rPr>
        <w:t xml:space="preserve"> </w:t>
      </w:r>
      <w:r>
        <w:t>指标权重确定</w:t>
      </w:r>
    </w:p>
    <w:p>
      <w:pPr>
        <w:autoSpaceDE w:val="0"/>
        <w:autoSpaceDN w:val="0"/>
        <w:adjustRightInd w:val="0"/>
        <w:snapToGrid w:val="0"/>
        <w:ind w:firstLine="420" w:firstLineChars="200"/>
        <w:jc w:val="both"/>
        <w:rPr>
          <w:sz w:val="21"/>
        </w:rPr>
      </w:pPr>
      <w:r>
        <w:rPr>
          <w:sz w:val="21"/>
        </w:rPr>
        <w:t>结合层次分析法（AHP）与专家打分法确定权重</w:t>
      </w:r>
      <w:r>
        <w:rPr>
          <w:rFonts w:hint="eastAsia"/>
          <w:sz w:val="21"/>
        </w:rPr>
        <w:t>：</w:t>
      </w:r>
    </w:p>
    <w:p>
      <w:pPr>
        <w:autoSpaceDE w:val="0"/>
        <w:autoSpaceDN w:val="0"/>
        <w:adjustRightInd w:val="0"/>
        <w:snapToGrid w:val="0"/>
        <w:ind w:firstLine="420" w:firstLineChars="200"/>
        <w:jc w:val="both"/>
        <w:rPr>
          <w:sz w:val="21"/>
        </w:rPr>
      </w:pPr>
      <w:r>
        <w:rPr>
          <w:sz w:val="21"/>
        </w:rPr>
        <w:t xml:space="preserve">a) </w:t>
      </w:r>
      <w:r>
        <w:rPr>
          <w:rFonts w:hint="eastAsia"/>
          <w:sz w:val="21"/>
        </w:rPr>
        <w:t xml:space="preserve">   </w:t>
      </w:r>
      <w:r>
        <w:rPr>
          <w:sz w:val="21"/>
        </w:rPr>
        <w:t>构建目标层（绿色采购水平）、准则层（一级指标）、指标层（二级指标）的层次结构；</w:t>
      </w:r>
    </w:p>
    <w:p>
      <w:pPr>
        <w:autoSpaceDE w:val="0"/>
        <w:autoSpaceDN w:val="0"/>
        <w:adjustRightInd w:val="0"/>
        <w:snapToGrid w:val="0"/>
        <w:ind w:firstLine="420" w:firstLineChars="200"/>
        <w:jc w:val="both"/>
        <w:rPr>
          <w:rFonts w:hint="eastAsia" w:eastAsia="宋体"/>
          <w:sz w:val="21"/>
          <w:lang w:eastAsia="zh-CN"/>
        </w:rPr>
      </w:pPr>
      <w:r>
        <w:rPr>
          <w:sz w:val="21"/>
        </w:rPr>
        <w:t xml:space="preserve">b) </w:t>
      </w:r>
      <w:r>
        <w:rPr>
          <w:rFonts w:hint="eastAsia"/>
          <w:sz w:val="21"/>
        </w:rPr>
        <w:t xml:space="preserve">   </w:t>
      </w:r>
      <w:r>
        <w:rPr>
          <w:sz w:val="21"/>
        </w:rPr>
        <w:t>通过 9 分位标度法构建判断矩阵，计算特征向量</w:t>
      </w:r>
      <w:r>
        <w:rPr>
          <w:rFonts w:hint="eastAsia"/>
          <w:sz w:val="21"/>
        </w:rPr>
        <w:t>，</w:t>
      </w:r>
      <w:r>
        <w:rPr>
          <w:sz w:val="21"/>
        </w:rPr>
        <w:t>并进行一致性检验（CR&lt;0.1）</w:t>
      </w:r>
      <w:r>
        <w:rPr>
          <w:rFonts w:hint="eastAsia"/>
          <w:sz w:val="21"/>
          <w:lang w:eastAsia="zh-CN"/>
        </w:rPr>
        <w:t>；</w:t>
      </w:r>
    </w:p>
    <w:p>
      <w:pPr>
        <w:autoSpaceDE w:val="0"/>
        <w:autoSpaceDN w:val="0"/>
        <w:adjustRightInd w:val="0"/>
        <w:snapToGrid w:val="0"/>
        <w:ind w:firstLine="420" w:firstLineChars="200"/>
        <w:jc w:val="both"/>
        <w:rPr>
          <w:sz w:val="21"/>
        </w:rPr>
      </w:pPr>
      <w:r>
        <w:rPr>
          <w:rFonts w:hint="eastAsia"/>
          <w:sz w:val="21"/>
        </w:rPr>
        <w:t>c</w:t>
      </w:r>
      <w:r>
        <w:rPr>
          <w:sz w:val="21"/>
        </w:rPr>
        <w:t>)    权重分配应体现行业特性</w:t>
      </w:r>
      <w:r>
        <w:rPr>
          <w:rFonts w:hint="eastAsia"/>
          <w:sz w:val="21"/>
        </w:rPr>
        <w:t>。</w:t>
      </w:r>
    </w:p>
    <w:p>
      <w:pPr>
        <w:autoSpaceDE w:val="0"/>
        <w:autoSpaceDN w:val="0"/>
        <w:adjustRightInd w:val="0"/>
        <w:snapToGrid w:val="0"/>
        <w:ind w:firstLine="420" w:firstLineChars="200"/>
        <w:jc w:val="both"/>
        <w:rPr>
          <w:sz w:val="21"/>
        </w:rPr>
      </w:pPr>
    </w:p>
    <w:p>
      <w:pPr>
        <w:snapToGrid w:val="0"/>
        <w:spacing w:before="120" w:beforeLines="50"/>
        <w:ind w:firstLine="420"/>
        <w:jc w:val="center"/>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rPr>
        <w:t>表1</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9分位标度法</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7"/>
        <w:gridCol w:w="4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247" w:type="dxa"/>
            <w:tcBorders>
              <w:top w:val="single" w:color="auto" w:sz="8" w:space="0"/>
              <w:left w:val="single" w:color="auto" w:sz="8" w:space="0"/>
              <w:bottom w:val="single" w:color="auto" w:sz="8" w:space="0"/>
            </w:tcBorders>
            <w:vAlign w:val="center"/>
          </w:tcPr>
          <w:p>
            <w:pPr>
              <w:snapToGrid w:val="0"/>
              <w:jc w:val="center"/>
              <w:rPr>
                <w:rFonts w:ascii="宋体" w:hAnsi="宋体"/>
                <w:b w:val="0"/>
                <w:bCs/>
                <w:sz w:val="18"/>
              </w:rPr>
            </w:pPr>
            <w:r>
              <w:rPr>
                <w:rFonts w:hint="eastAsia" w:ascii="宋体" w:hAnsi="宋体"/>
                <w:b w:val="0"/>
                <w:bCs/>
                <w:sz w:val="18"/>
              </w:rPr>
              <w:t>标度</w:t>
            </w:r>
          </w:p>
        </w:tc>
        <w:tc>
          <w:tcPr>
            <w:tcW w:w="4646" w:type="dxa"/>
            <w:tcBorders>
              <w:top w:val="single" w:color="auto" w:sz="8" w:space="0"/>
              <w:bottom w:val="single" w:color="auto" w:sz="8" w:space="0"/>
            </w:tcBorders>
            <w:vAlign w:val="center"/>
          </w:tcPr>
          <w:p>
            <w:pPr>
              <w:snapToGrid w:val="0"/>
              <w:jc w:val="center"/>
              <w:rPr>
                <w:rFonts w:ascii="宋体" w:hAnsi="宋体"/>
                <w:b w:val="0"/>
                <w:bCs/>
                <w:sz w:val="18"/>
              </w:rPr>
            </w:pPr>
            <w:r>
              <w:rPr>
                <w:rFonts w:hint="eastAsia" w:ascii="宋体" w:hAnsi="宋体"/>
                <w:b w:val="0"/>
                <w:bCs/>
                <w:sz w:val="18"/>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kern w:val="0"/>
                <w:sz w:val="18"/>
                <w:szCs w:val="18"/>
              </w:rPr>
            </w:pPr>
            <w:r>
              <w:rPr>
                <w:rFonts w:ascii="宋体" w:hAnsi="宋体"/>
                <w:sz w:val="18"/>
                <w:szCs w:val="18"/>
              </w:rPr>
              <w:t>1</w:t>
            </w:r>
          </w:p>
        </w:tc>
        <w:tc>
          <w:tcPr>
            <w:tcW w:w="464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宋体" w:hAnsi="宋体"/>
                <w:sz w:val="18"/>
                <w:szCs w:val="18"/>
              </w:rPr>
            </w:pPr>
            <w:r>
              <w:rPr>
                <w:rFonts w:ascii="宋体" w:hAnsi="宋体"/>
                <w:sz w:val="18"/>
                <w:szCs w:val="18"/>
              </w:rPr>
              <w:t>两指标相比同样重要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sz w:val="18"/>
                <w:szCs w:val="18"/>
              </w:rPr>
              <w:t>3</w:t>
            </w:r>
          </w:p>
        </w:tc>
        <w:tc>
          <w:tcPr>
            <w:tcW w:w="464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宋体" w:hAnsi="宋体"/>
                <w:sz w:val="18"/>
                <w:szCs w:val="18"/>
              </w:rPr>
            </w:pPr>
            <w:r>
              <w:rPr>
                <w:rFonts w:ascii="宋体" w:hAnsi="宋体"/>
                <w:sz w:val="18"/>
                <w:szCs w:val="18"/>
              </w:rPr>
              <w:t>两指标相比，一个指标比另一个指标稍微重要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sz w:val="18"/>
                <w:szCs w:val="18"/>
              </w:rPr>
              <w:t>5</w:t>
            </w:r>
          </w:p>
        </w:tc>
        <w:tc>
          <w:tcPr>
            <w:tcW w:w="464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宋体" w:hAnsi="宋体"/>
                <w:sz w:val="18"/>
                <w:szCs w:val="18"/>
              </w:rPr>
            </w:pPr>
            <w:r>
              <w:rPr>
                <w:rFonts w:ascii="宋体" w:hAnsi="宋体"/>
                <w:sz w:val="18"/>
                <w:szCs w:val="18"/>
              </w:rPr>
              <w:t>两指标相比，一个指标比另一个指标明显重要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7</w:t>
            </w:r>
          </w:p>
        </w:tc>
        <w:tc>
          <w:tcPr>
            <w:tcW w:w="464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宋体" w:hAnsi="宋体"/>
                <w:sz w:val="18"/>
                <w:szCs w:val="18"/>
              </w:rPr>
            </w:pPr>
            <w:r>
              <w:rPr>
                <w:rFonts w:ascii="宋体" w:hAnsi="宋体"/>
                <w:sz w:val="18"/>
                <w:szCs w:val="18"/>
              </w:rPr>
              <w:t>两指标相比，一个指标比另一个指标强烈重要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9</w:t>
            </w:r>
          </w:p>
        </w:tc>
        <w:tc>
          <w:tcPr>
            <w:tcW w:w="464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宋体" w:hAnsi="宋体"/>
                <w:sz w:val="18"/>
                <w:szCs w:val="18"/>
              </w:rPr>
            </w:pPr>
            <w:r>
              <w:rPr>
                <w:rFonts w:ascii="宋体" w:hAnsi="宋体"/>
                <w:sz w:val="18"/>
                <w:szCs w:val="18"/>
              </w:rPr>
              <w:t>两指标相比，一个指标比另一个指标极其重要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2、4、6、8</w:t>
            </w:r>
          </w:p>
        </w:tc>
        <w:tc>
          <w:tcPr>
            <w:tcW w:w="464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宋体" w:hAnsi="宋体"/>
                <w:sz w:val="18"/>
                <w:szCs w:val="18"/>
              </w:rPr>
            </w:pPr>
            <w:r>
              <w:rPr>
                <w:rFonts w:ascii="宋体" w:hAnsi="宋体"/>
                <w:sz w:val="18"/>
                <w:szCs w:val="18"/>
              </w:rPr>
              <w:t>上述五种情况的中间值，需要折中时使用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倒数</w:t>
            </w:r>
          </w:p>
        </w:tc>
        <w:tc>
          <w:tcPr>
            <w:tcW w:w="464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宋体" w:hAnsi="宋体"/>
                <w:sz w:val="18"/>
                <w:szCs w:val="18"/>
              </w:rPr>
            </w:pPr>
            <w:r>
              <w:rPr>
                <w:rFonts w:ascii="宋体" w:hAnsi="宋体"/>
                <w:sz w:val="18"/>
                <w:szCs w:val="18"/>
              </w:rPr>
              <w:t>若指标</w:t>
            </w:r>
            <w:r>
              <w:rPr>
                <w:rFonts w:ascii="宋体" w:hAnsi="宋体"/>
                <w:sz w:val="18"/>
                <w:szCs w:val="18"/>
              </w:rPr>
              <w:object>
                <v:shape id="_x0000_i1025" o:spt="75" type="#_x0000_t75" style="height:12.75pt;width:7.9pt;" o:ole="t" filled="f" o:preferrelative="t" stroked="f" coordsize="21600,21600">
                  <v:path/>
                  <v:fill on="f" focussize="0,0"/>
                  <v:stroke on="f" joinstyle="miter"/>
                  <v:imagedata r:id="rId21" o:title=""/>
                  <o:lock v:ext="edit" aspectratio="t"/>
                  <w10:wrap type="none"/>
                  <w10:anchorlock/>
                </v:shape>
                <o:OLEObject Type="Embed" ProgID="Equation.DSMT4" ShapeID="_x0000_i1025" DrawAspect="Content" ObjectID="_1468075725" r:id="rId20">
                  <o:LockedField>false</o:LockedField>
                </o:OLEObject>
              </w:object>
            </w:r>
            <w:r>
              <w:rPr>
                <w:rFonts w:ascii="宋体" w:hAnsi="宋体"/>
                <w:sz w:val="18"/>
                <w:szCs w:val="18"/>
              </w:rPr>
              <w:t>与指标</w:t>
            </w:r>
            <w:r>
              <w:rPr>
                <w:rFonts w:ascii="宋体" w:hAnsi="宋体"/>
                <w:sz w:val="18"/>
                <w:szCs w:val="18"/>
              </w:rPr>
              <w:object>
                <v:shape id="_x0000_i1026" o:spt="75" type="#_x0000_t75" style="height:12.75pt;width:7.9pt;" o:ole="t" filled="f" o:preferrelative="t" stroked="f" coordsize="21600,21600">
                  <v:path/>
                  <v:fill on="f" focussize="0,0"/>
                  <v:stroke on="f" joinstyle="miter"/>
                  <v:imagedata r:id="rId23" o:title=""/>
                  <o:lock v:ext="edit" aspectratio="t"/>
                  <w10:wrap type="none"/>
                  <w10:anchorlock/>
                </v:shape>
                <o:OLEObject Type="Embed" ProgID="Equation.DSMT4" ShapeID="_x0000_i1026" DrawAspect="Content" ObjectID="_1468075726" r:id="rId22">
                  <o:LockedField>false</o:LockedField>
                </o:OLEObject>
              </w:object>
            </w:r>
            <w:r>
              <w:rPr>
                <w:rFonts w:ascii="宋体" w:hAnsi="宋体"/>
                <w:sz w:val="18"/>
                <w:szCs w:val="18"/>
              </w:rPr>
              <w:t>的重要性之比为</w:t>
            </w:r>
            <w:r>
              <w:rPr>
                <w:rFonts w:ascii="宋体" w:hAnsi="宋体"/>
                <w:sz w:val="18"/>
                <w:szCs w:val="18"/>
              </w:rPr>
              <w:pict>
                <v:shape id="_x0000_i1027" o:spt="75" type="#_x0000_t75" style="height:12pt;width:9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10&quot;/&gt;&lt;w:characterSpacingControl w:val=&quot;DontCompress&quot;/&gt;&lt;w:documentProtection w:enforcement=&quot;off&quot;/&gt;&lt;w:punctuationKerning/&gt;&lt;w:embedTrueTypeFonts/&gt;&lt;w:doNotEmbedSystemFonts/&gt;&lt;w:saveSubsetFonts/&gt;&lt;w:bordersDontSurroundHeader/&gt;&lt;w:bordersDontSurroundFooter/&gt;&lt;w:defaultTabStop w:val=&quot;420&quot;/&gt;&lt;w:displayHorizontalDrawingGridEvery w:val=&quot;1&quot;/&gt;&lt;w:displayVerticalDrawingGridEvery w:val=&quot;1&quot;/&gt;&lt;w:compat&gt;&lt;w:useFELayout/&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hint=&quot;default&quot;/&gt;&lt;w:sz w:val=&quot;18&quot;/&gt;&lt;w:sz-cs w:val=&quot;18&quot;/&gt;&lt;/w:rPr&gt;&lt;/m:ctrlPr&gt;&lt;/m:sSubPr&gt;&lt;m:e&gt;&lt;m:r&gt;&lt;m:rPr&gt;&lt;m:scr m:val=&quot;roman&quot;/&gt;&lt;/m:rPr&gt;&lt;w:rPr&gt;&lt;w:rFonts w:ascii=&quot;Cambria Math&quot; w:h-ansi=&quot;Cambria Math&quot; w:hint=&quot;default&quot;/&gt;&lt;w:sz w:val=&quot;18&quot;/&gt;&lt;w:sz-cs w:val=&quot;18&quot;/&gt;&lt;/w:rPr&gt;&lt;m:t&gt;e&lt;/m:t&gt;&lt;/m:r&gt;&lt;m:ctrlPr&gt;&lt;w:rPr&gt;&lt;w:rFonts w:ascii=&quot;Cambria Math&quot; w:h-ansi=&quot;Cambria Math&quot; w:hint=&quot;default&quot;/&gt;&lt;w:sz w:val=&quot;18&quot;/&gt;&lt;w:sz-cs w:val=&quot;18&quot;/&gt;&lt;/w:rPr&gt;&lt;/m:ctrlPr&gt;&lt;/m:e&gt;&lt;m:sub&gt;&lt;m:r&gt;&lt;m:rPr&gt;&lt;m:scr m:val=&quot;roman&quot;/&gt;&lt;/m:rPr&gt;&lt;w:rPr&gt;&lt;w:rFonts w:ascii=&quot;Cambria Math&quot; w:h-ansi=&quot;Cambria Math&quot; w:hint=&quot;default&quot;/&gt;&lt;w:sz w:val=&quot;18&quot;/&gt;&lt;w:sz-cs w:val=&quot;18&quot;/&gt;&lt;/w:rPr&gt;&lt;m:t&gt;ij&lt;/m:t&gt;&lt;/m:r&gt;&lt;m:ctrlPr&gt;&lt;w:rPr&gt;&lt;w:rFonts w:ascii=&quot;Cambria Math&quot; w:h-ansi=&quot;Cambria Math&quot; w:hint=&quot;default&quot;/&gt;&lt;w:sz w:val=&quot;18&quot;/&gt;&lt;w:sz-cs w:val=&quot;18&quot;/&gt;&lt;/w:rPr&gt;&lt;/m:ctrlPr&gt;&lt;/m:sub&gt;&lt;/m:sSub&gt;&lt;/m:oMath&gt;&lt;/m:oMathPara&gt;&lt;/w:p&gt;&lt;/wx:sect&gt;&lt;/w:body&gt;&lt;/w:wordDocument">
                  <v:path/>
                  <v:fill on="f" focussize="0,0"/>
                  <v:stroke on="f" joinstyle="miter"/>
                  <v:imagedata r:id="rId24" o:title=""/>
                  <o:lock v:ext="edit" aspectratio="f"/>
                  <w10:wrap type="none"/>
                  <w10:anchorlock/>
                </v:shape>
              </w:pict>
            </w:r>
            <w:r>
              <w:rPr>
                <w:rFonts w:ascii="宋体" w:hAnsi="宋体"/>
                <w:sz w:val="18"/>
                <w:szCs w:val="18"/>
              </w:rPr>
              <w:t>，则指标</w:t>
            </w:r>
            <w:r>
              <w:rPr>
                <w:rFonts w:ascii="宋体" w:hAnsi="宋体"/>
                <w:sz w:val="18"/>
                <w:szCs w:val="18"/>
              </w:rPr>
              <w:object>
                <v:shape id="_x0000_i1028" o:spt="75" type="#_x0000_t75" style="height:12.75pt;width:7.9pt;" o:ole="t" filled="f" o:preferrelative="t" stroked="f" coordsize="21600,21600">
                  <v:path/>
                  <v:fill on="f" focussize="0,0"/>
                  <v:stroke on="f" joinstyle="miter"/>
                  <v:imagedata r:id="rId26" o:title=""/>
                  <o:lock v:ext="edit" aspectratio="t"/>
                  <w10:wrap type="none"/>
                  <w10:anchorlock/>
                </v:shape>
                <o:OLEObject Type="Embed" ProgID="Equation.DSMT4" ShapeID="_x0000_i1028" DrawAspect="Content" ObjectID="_1468075727" r:id="rId25">
                  <o:LockedField>false</o:LockedField>
                </o:OLEObject>
              </w:object>
            </w:r>
            <w:r>
              <w:rPr>
                <w:rFonts w:ascii="宋体" w:hAnsi="宋体"/>
                <w:sz w:val="18"/>
                <w:szCs w:val="18"/>
              </w:rPr>
              <w:t>与指标</w:t>
            </w:r>
            <w:r>
              <w:rPr>
                <w:rFonts w:ascii="宋体" w:hAnsi="宋体"/>
                <w:sz w:val="18"/>
                <w:szCs w:val="18"/>
              </w:rPr>
              <w:object>
                <v:shape id="_x0000_i1029" o:spt="75" type="#_x0000_t75" style="height:12.75pt;width:7.9pt;" o:ole="t" filled="f" o:preferrelative="t" stroked="f" coordsize="21600,21600">
                  <v:path/>
                  <v:fill on="f" focussize="0,0"/>
                  <v:stroke on="f" joinstyle="miter"/>
                  <v:imagedata r:id="rId28" o:title=""/>
                  <o:lock v:ext="edit" aspectratio="t"/>
                  <w10:wrap type="none"/>
                  <w10:anchorlock/>
                </v:shape>
                <o:OLEObject Type="Embed" ProgID="Equation.DSMT4" ShapeID="_x0000_i1029" DrawAspect="Content" ObjectID="_1468075728" r:id="rId27">
                  <o:LockedField>false</o:LockedField>
                </o:OLEObject>
              </w:object>
            </w:r>
            <w:r>
              <w:rPr>
                <w:rFonts w:ascii="宋体" w:hAnsi="宋体"/>
                <w:sz w:val="18"/>
                <w:szCs w:val="18"/>
              </w:rPr>
              <w:t>的重要性之比为</w:t>
            </w:r>
            <w:r>
              <w:rPr>
                <w:rFonts w:ascii="宋体" w:hAnsi="宋体"/>
                <w:sz w:val="18"/>
                <w:szCs w:val="18"/>
              </w:rPr>
              <w:pict>
                <v:shape id="_x0000_i1030" o:spt="75" type="#_x0000_t75" style="height:12pt;width:39.4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10&quot;/&gt;&lt;w:characterSpacingControl w:val=&quot;DontCompress&quot;/&gt;&lt;w:documentProtection w:enforcement=&quot;off&quot;/&gt;&lt;w:punctuationKerning/&gt;&lt;w:embedTrueTypeFonts/&gt;&lt;w:doNotEmbedSystemFonts/&gt;&lt;w:saveSubsetFonts/&gt;&lt;w:bordersDontSurroundHeader/&gt;&lt;w:bordersDontSurroundFooter/&gt;&lt;w:defaultTabStop w:val=&quot;420&quot;/&gt;&lt;w:displayHorizontalDrawingGridEvery w:val=&quot;1&quot;/&gt;&lt;w:displayVerticalDrawingGridEvery w:val=&quot;1&quot;/&gt;&lt;w:compat&gt;&lt;w:useFELayout/&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hint=&quot;default&quot;/&gt;&lt;w:sz w:val=&quot;18&quot;/&gt;&lt;w:sz-cs w:val=&quot;18&quot;/&gt;&lt;/w:rPr&gt;&lt;/m:ctrlPr&gt;&lt;/m:sSubPr&gt;&lt;m:e&gt;&lt;m:r&gt;&lt;m:rPr&gt;&lt;m:scr m:val=&quot;roman&quot;/&gt;&lt;/m:rPr&gt;&lt;w:rPr&gt;&lt;w:rFonts w:ascii=&quot;Cambria Math&quot; w:h-ansi=&quot;Cambria Math&quot; w:hint=&quot;default&quot;/&gt;&lt;w:sz w:val=&quot;18&quot;/&gt;&lt;w:sz-cs w:val=&quot;18&quot;/&gt;&lt;/w:rPr&gt;&lt;m:t&gt;e&lt;/m:t&gt;&lt;/m:r&gt;&lt;m:ctrlPr&gt;&lt;w:rPr&gt;&lt;w:rFonts w:ascii=&quot;Cambria Math&quot; w:h-ansi=&quot;Cambria Math&quot; w:hint=&quot;default&quot;/&gt;&lt;w:sz w:val=&quot;18&quot;/&gt;&lt;w:sz-cs w:val=&quot;18&quot;/&gt;&lt;/w:rPr&gt;&lt;/m:ctrlPr&gt;&lt;/m:e&gt;&lt;m:sub&gt;&lt;m:r&gt;&lt;m:rPr&gt;&lt;m:scr m:val=&quot;roman&quot;/&gt;&lt;/m:rPr&gt;&lt;w:rPr&gt;&lt;w:rFonts w:ascii=&quot;Cambria Math&quot; w:h-ansi=&quot;Cambria Math&quot; w:hint=&quot;default&quot;/&gt;&lt;w:sz w:val=&quot;18&quot;/&gt;&lt;w:sz-cs w:val=&quot;18&quot;/&gt;&lt;/w:rPr&gt;&lt;m:t&gt;ji&lt;/m:t&gt;&lt;/m:r&gt;&lt;m:ctrlPr&gt;&lt;w:rPr&gt;&lt;w:rFonts w:ascii=&quot;Cambria Math&quot; w:h-ansi=&quot;Cambria Math&quot; w:hint=&quot;default&quot;/&gt;&lt;w:sz w:val=&quot;18&quot;/&gt;&lt;w:sz-cs w:val=&quot;18&quot;/&gt;&lt;/w:rPr&gt;&lt;/m:ctrlPr&gt;&lt;/m:sub&gt;&lt;/m:sSub&gt;&lt;m:r&gt;&lt;m:rPr&gt;&lt;m:sty m:val=&quot;p&quot;/&gt;&lt;m:scr m:val=&quot;roman&quot;/&gt;&lt;/m:rPr&gt;&lt;w:rPr&gt;&lt;w:rFonts w:ascii=&quot;Cambria Math&quot; w:h-ansi=&quot;Cambria Math&quot; w:hint=&quot;default&quot;/&gt;&lt;w:sz w:val=&quot;18&quot;/&gt;&lt;w:sz-cs w:val=&quot;18&quot;/&gt;&lt;/w:rPr&gt;&lt;m:t&gt;=1/&lt;/m:t&gt;&lt;/m:r&gt;&lt;m:sSub&gt;&lt;m:sSubPr&gt;&lt;m:ctrlPr&gt;&lt;w:rPr&gt;&lt;w:rFonts w:ascii=&quot;Cambria Math&quot; w:h-ansi=&quot;Cambria Math&quot; w:hint=&quot;default&quot;/&gt;&lt;w:sz w:val=&quot;18&quot;/&gt;&lt;w:sz-cs w:val=&quot;18&quot;/&gt;&lt;/w:rPr&gt;&lt;/m:ctrlPr&gt;&lt;/m:sSubPr&gt;&lt;m:e&gt;&lt;m:r&gt;&lt;m:rPr&gt;&lt;m:scr m:val=&quot;roman&quot;/&gt;&lt;/m:rPr&gt;&lt;w:rPr&gt;&lt;w:rFonts w:ascii=&quot;Cambria Math&quot; w:h-ansi=&quot;Cambria Math&quot; w:hint=&quot;default&quot;/&gt;&lt;w:sz w:val=&quot;18&quot;/&gt;&lt;w:sz-cs w:val=&quot;18&quot;/&gt;&lt;/w:rPr&gt;&lt;m:t&gt;e&lt;/m:t&gt;&lt;/m:r&gt;&lt;m:ctrlPr&gt;&lt;w:rPr&gt;&lt;w:rFonts w:ascii=&quot;Cambria Math&quot; w:h-ansi=&quot;Cambria Math&quot; w:hint=&quot;default&quot;/&gt;&lt;w:sz w:val=&quot;18&quot;/&gt;&lt;w:sz-cs w:val=&quot;18&quot;/&gt;&lt;/w:rPr&gt;&lt;/m:ctrlPr&gt;&lt;/m:e&gt;&lt;m:sub&gt;&lt;m:r&gt;&lt;m:rPr&gt;&lt;m:scr m:val=&quot;roman&quot;/&gt;&lt;/m:rPr&gt;&lt;w:rPr&gt;&lt;w:rFonts w:ascii=&quot;Cambria Math&quot; w:h-ansi=&quot;Cambria Math&quot; w:hint=&quot;default&quot;/&gt;&lt;w:sz w:val=&quot;18&quot;/&gt;&lt;w:sz-cs w:val=&quot;18&quot;/&gt;&lt;/w:rPr&gt;&lt;m:t&gt;ij&lt;/m:t&gt;&lt;/m:r&gt;&lt;m:ctrlPr&gt;&lt;w:rPr&gt;&lt;w:rFonts w:ascii=&quot;Cambria Math&quot; w:h-ansi=&quot;Cambria Math&quot; w:hint=&quot;default&quot;/&gt;&lt;w:sz w:val=&quot;18&quot;/&gt;&lt;w:sz-cs w:val=&quot;18&quot;/&gt;&lt;/w:rPr&gt;&lt;/m:ctrlPr&gt;&lt;/m:sub&gt;&lt;/m:sSub&gt;&lt;/m:oMath&gt;&lt;/m:oMathPara&gt;&lt;/w:p&gt;&lt;/wx:sect&gt;&lt;/w:body&gt;&lt;/w:wordDocument">
                  <v:path/>
                  <v:fill on="f" focussize="0,0"/>
                  <v:stroke on="f" joinstyle="miter"/>
                  <v:imagedata r:id="rId29" o:title=""/>
                  <o:lock v:ext="edit" aspectratio="f"/>
                  <w10:wrap type="none"/>
                  <w10:anchorlock/>
                </v:shape>
              </w:pict>
            </w:r>
          </w:p>
        </w:tc>
      </w:tr>
    </w:tbl>
    <w:p>
      <w:pPr>
        <w:pStyle w:val="42"/>
        <w:spacing w:before="240" w:after="240"/>
        <w:rPr>
          <w:szCs w:val="21"/>
        </w:rPr>
      </w:pPr>
      <w:bookmarkStart w:id="157" w:name="_Toc209185575"/>
      <w:r>
        <w:rPr>
          <w:rFonts w:hint="eastAsia"/>
          <w:szCs w:val="21"/>
        </w:rPr>
        <w:t>评价结果形成规则</w:t>
      </w:r>
      <w:bookmarkEnd w:id="157"/>
    </w:p>
    <w:p>
      <w:pPr>
        <w:pStyle w:val="42"/>
        <w:numPr>
          <w:ilvl w:val="0"/>
          <w:numId w:val="0"/>
        </w:numPr>
        <w:spacing w:before="240" w:after="240"/>
        <w:outlineLvl w:val="1"/>
        <w:rPr>
          <w:rFonts w:hint="eastAsia" w:eastAsia="黑体"/>
          <w:lang w:eastAsia="zh-CN"/>
        </w:rPr>
      </w:pPr>
      <w:bookmarkStart w:id="158" w:name="_Toc170383089"/>
      <w:bookmarkStart w:id="159" w:name="_Toc209185507"/>
      <w:bookmarkStart w:id="160" w:name="_Toc139873379"/>
      <w:bookmarkStart w:id="161" w:name="_Toc209185576"/>
      <w:bookmarkStart w:id="162" w:name="_Hlk170378645"/>
      <w:r>
        <w:rPr>
          <w:rFonts w:hint="eastAsia"/>
        </w:rPr>
        <w:t>8.1</w:t>
      </w:r>
      <w:r>
        <w:t xml:space="preserve"> </w:t>
      </w:r>
      <w:bookmarkEnd w:id="158"/>
      <w:bookmarkEnd w:id="159"/>
      <w:bookmarkEnd w:id="160"/>
      <w:bookmarkEnd w:id="161"/>
      <w:r>
        <w:rPr>
          <w:rFonts w:hint="eastAsia"/>
        </w:rPr>
        <w:t>综合得分计算</w:t>
      </w:r>
    </w:p>
    <w:p>
      <w:pPr>
        <w:ind w:firstLine="420" w:firstLineChars="200"/>
        <w:rPr>
          <w:rFonts w:ascii="宋体"/>
          <w:sz w:val="21"/>
        </w:rPr>
      </w:pPr>
      <w:r>
        <w:rPr>
          <w:rFonts w:hint="eastAsia" w:ascii="宋体"/>
          <w:sz w:val="21"/>
        </w:rPr>
        <w:t>能源企业绿色采购评价宜采用加权综合评分法，</w:t>
      </w:r>
      <w:r>
        <w:rPr>
          <w:rFonts w:ascii="宋体"/>
          <w:sz w:val="21"/>
        </w:rPr>
        <w:t>企业绿色</w:t>
      </w:r>
      <w:r>
        <w:rPr>
          <w:rFonts w:hint="eastAsia" w:ascii="宋体"/>
          <w:sz w:val="21"/>
        </w:rPr>
        <w:t>采购</w:t>
      </w:r>
      <w:r>
        <w:rPr>
          <w:rFonts w:ascii="宋体"/>
          <w:sz w:val="21"/>
        </w:rPr>
        <w:t>评价体系评分计算方法如下:</w:t>
      </w:r>
    </w:p>
    <w:p>
      <w:pPr>
        <w:pStyle w:val="36"/>
        <w:numPr>
          <w:ilvl w:val="0"/>
          <w:numId w:val="4"/>
        </w:numPr>
        <w:ind w:firstLine="420"/>
      </w:pPr>
      <w:r>
        <w:rPr>
          <w:rFonts w:hint="eastAsia"/>
        </w:rPr>
        <w:t xml:space="preserve">  以</w:t>
      </w:r>
      <w:r>
        <w:t>附录A评分标准</w:t>
      </w:r>
      <w:r>
        <w:rPr>
          <w:rFonts w:hint="eastAsia"/>
        </w:rPr>
        <w:t>权重为例</w:t>
      </w:r>
      <w:r>
        <w:t>，对各项二级指标进行评价打分；</w:t>
      </w:r>
    </w:p>
    <w:p>
      <w:pPr>
        <w:pStyle w:val="36"/>
        <w:numPr>
          <w:ilvl w:val="0"/>
          <w:numId w:val="4"/>
        </w:numPr>
        <w:ind w:firstLine="420"/>
      </w:pPr>
      <w:r>
        <w:rPr>
          <w:rFonts w:hint="eastAsia"/>
        </w:rPr>
        <w:t xml:space="preserve">  </w:t>
      </w:r>
      <w:r>
        <w:t>二级指标评价打分</w:t>
      </w:r>
      <w:r>
        <w:rPr>
          <w:rFonts w:hint="eastAsia"/>
          <w:lang w:val="en-US" w:eastAsia="zh-CN"/>
        </w:rPr>
        <w:t>权重</w:t>
      </w:r>
      <w:r>
        <w:t>x</w:t>
      </w:r>
      <w:r>
        <w:rPr>
          <w:vertAlign w:val="subscript"/>
        </w:rPr>
        <w:t>ij</w:t>
      </w:r>
      <w:r>
        <w:t>，各项二级指标得分之和为对应一级指标评价得分x</w:t>
      </w:r>
      <w:r>
        <w:rPr>
          <w:vertAlign w:val="subscript"/>
        </w:rPr>
        <w:t>i</w:t>
      </w:r>
      <w:r>
        <w:t>，计算公式</w:t>
      </w:r>
      <w:r>
        <w:rPr>
          <w:rFonts w:hint="eastAsia"/>
        </w:rPr>
        <w:t>如</w:t>
      </w:r>
      <w:r>
        <w:t>式（3）：</w:t>
      </w:r>
    </w:p>
    <w:p>
      <w:pPr>
        <w:pStyle w:val="36"/>
        <w:ind w:firstLine="420"/>
        <w:jc w:val="right"/>
      </w:pPr>
      <w:r>
        <w:t xml:space="preserve">                         </w:t>
      </w:r>
      <m:oMath>
        <m:r>
          <m:rPr>
            <m:sty m:val="p"/>
          </m:rPr>
          <w:br w:type="textWrapping"/>
        </m:r>
      </m:oMath>
      <m:oMath>
        <m:sSubSup>
          <w:bookmarkStart w:id="163" w:name="_Hlk209187974"/>
          <m:sSubSupPr>
            <m:ctrlPr>
              <w:rPr>
                <w:rFonts w:ascii="Cambria Math" w:hAnsi="Cambria Math"/>
              </w:rPr>
            </m:ctrlPr>
          </m:sSubSupPr>
          <m:e>
            <m:r>
              <m:rPr/>
              <w:rPr>
                <w:rFonts w:hint="eastAsia" w:ascii="Cambria Math"/>
              </w:rPr>
              <m:t>X</m:t>
            </m:r>
            <m:ctrlPr>
              <w:rPr>
                <w:rFonts w:ascii="Cambria Math" w:hAnsi="Cambria Math"/>
              </w:rPr>
            </m:ctrlPr>
          </m:e>
          <m:sub>
            <m:r>
              <m:rPr>
                <m:sty m:val="p"/>
              </m:rPr>
              <w:rPr>
                <w:rFonts w:hint="eastAsia" w:ascii="Cambria Math" w:hAnsi="Cambria Math"/>
              </w:rPr>
              <m:t>i</m:t>
            </m:r>
            <m:ctrlPr>
              <w:rPr>
                <w:rFonts w:ascii="Cambria Math" w:hAnsi="Cambria Math"/>
              </w:rPr>
            </m:ctrlPr>
          </m:sub>
          <m:sup>
            <m:r>
              <m:rPr/>
              <w:rPr>
                <w:rFonts w:ascii="Cambria Math"/>
              </w:rPr>
              <m:t xml:space="preserve"> </m:t>
            </m:r>
            <m:ctrlPr>
              <w:rPr>
                <w:rFonts w:ascii="Cambria Math" w:hAnsi="Cambria Math"/>
              </w:rPr>
            </m:ctrlPr>
          </m:sup>
        </m:sSubSup>
        <m:r>
          <m:rPr>
            <m:sty m:val="p"/>
          </m:rPr>
          <w:rPr>
            <w:rFonts w:ascii="Cambria Math" w:hAnsi="Cambria Math"/>
          </w:rPr>
          <m:t xml:space="preserve"> = </m:t>
        </m:r>
        <m:nary>
          <m:naryPr>
            <m:chr m:val="∑"/>
            <m:ctrlPr>
              <w:rPr>
                <w:rFonts w:ascii="Cambria Math" w:hAnsi="Cambria Math"/>
              </w:rPr>
            </m:ctrlPr>
          </m:naryPr>
          <m:sub>
            <m:r>
              <m:rPr>
                <m:sty m:val="p"/>
              </m:rPr>
              <w:rPr>
                <w:rFonts w:ascii="Cambria Math" w:hAnsi="Cambria Math"/>
              </w:rPr>
              <m:t>j=1</m:t>
            </m:r>
            <m:ctrlPr>
              <w:rPr>
                <w:rFonts w:ascii="Cambria Math" w:hAnsi="Cambria Math"/>
              </w:rPr>
            </m:ctrlPr>
          </m:sub>
          <m:sup>
            <m:r>
              <m:rPr>
                <m:sty m:val="p"/>
              </m:rPr>
              <w:rPr>
                <w:rFonts w:ascii="Cambria Math" w:hAnsi="Cambria Math"/>
              </w:rPr>
              <m:t>n</m:t>
            </m:r>
            <m:ctrlPr>
              <w:rPr>
                <w:rFonts w:ascii="Cambria Math" w:hAnsi="Cambria Math"/>
              </w:rPr>
            </m:ctrlPr>
          </m:sup>
          <m:e>
            <m:sSubSup>
              <m:sSubSupPr>
                <m:ctrlPr>
                  <w:rPr>
                    <w:rFonts w:ascii="Cambria Math" w:hAnsi="Cambria Math"/>
                  </w:rPr>
                </m:ctrlPr>
              </m:sSubSupPr>
              <m:e>
                <m:r>
                  <m:rPr/>
                  <w:rPr>
                    <w:rFonts w:ascii="Cambria Math"/>
                  </w:rPr>
                  <m:t>x</m:t>
                </m:r>
                <m:ctrlPr>
                  <w:rPr>
                    <w:rFonts w:ascii="Cambria Math" w:hAnsi="Cambria Math"/>
                  </w:rPr>
                </m:ctrlPr>
              </m:e>
              <m:sub>
                <m:r>
                  <m:rPr>
                    <m:sty m:val="p"/>
                  </m:rPr>
                  <w:rPr>
                    <w:rFonts w:ascii="Cambria Math" w:hAnsi="Cambria Math"/>
                  </w:rPr>
                  <m:t>ij</m:t>
                </m:r>
                <m:ctrlPr>
                  <w:rPr>
                    <w:rFonts w:ascii="Cambria Math" w:hAnsi="Cambria Math"/>
                  </w:rPr>
                </m:ctrlPr>
              </m:sub>
              <m:sup>
                <m:r>
                  <m:rPr>
                    <m:sty m:val="p"/>
                  </m:rPr>
                  <w:rPr>
                    <w:rFonts w:ascii="Cambria Math" w:hAnsi="Cambria Math"/>
                  </w:rPr>
                  <m:t xml:space="preserve"> </m:t>
                </m:r>
                <m:ctrlPr>
                  <w:rPr>
                    <w:rFonts w:ascii="Cambria Math" w:hAnsi="Cambria Math"/>
                  </w:rPr>
                </m:ctrlPr>
              </m:sup>
            </m:sSubSup>
            <m:ctrlPr>
              <w:rPr>
                <w:rFonts w:ascii="Cambria Math" w:hAnsi="Cambria Math"/>
              </w:rPr>
            </m:ctrlPr>
          </m:e>
        </m:nary>
        <w:bookmarkStart w:id="164" w:name="_Hlk211344860"/>
        <m:r>
          <m:rPr>
            <m:sty m:val="p"/>
          </m:rPr>
          <w:rPr>
            <w:rFonts w:ascii="Cambria Math" w:hAnsi="Cambria Math"/>
          </w:rPr>
          <m:t>×</m:t>
        </m:r>
        <w:bookmarkEnd w:id="164"/>
        <m:sSubSup>
          <m:sSubSupPr>
            <m:ctrlPr>
              <w:rPr>
                <w:rFonts w:ascii="Cambria Math" w:hAnsi="Cambria Math"/>
              </w:rPr>
            </m:ctrlPr>
          </m:sSubSupPr>
          <m:e>
            <m:r>
              <m:rPr>
                <m:sty m:val="p"/>
              </m:rPr>
              <w:rPr>
                <w:rFonts w:ascii="Cambria Math" w:hAnsi="Cambria Math"/>
              </w:rPr>
              <m:t>s</m:t>
            </m:r>
            <m:ctrlPr>
              <w:rPr>
                <w:rFonts w:ascii="Cambria Math" w:hAnsi="Cambria Math"/>
              </w:rPr>
            </m:ctrlPr>
          </m:e>
          <m:sub>
            <m:r>
              <m:rPr>
                <m:sty m:val="p"/>
              </m:rPr>
              <w:rPr>
                <w:rFonts w:ascii="Cambria Math" w:hAnsi="Cambria Math"/>
              </w:rPr>
              <m:t>ij</m:t>
            </m:r>
            <m:ctrlPr>
              <w:rPr>
                <w:rFonts w:ascii="Cambria Math" w:hAnsi="Cambria Math"/>
              </w:rPr>
            </m:ctrlPr>
          </m:sub>
          <m:sup>
            <m:r>
              <m:rPr>
                <m:sty m:val="p"/>
              </m:rPr>
              <w:rPr>
                <w:rFonts w:ascii="Cambria Math" w:hAnsi="Cambria Math"/>
              </w:rPr>
              <m:t xml:space="preserve"> </m:t>
            </m:r>
            <w:bookmarkEnd w:id="163"/>
            <m:ctrlPr>
              <w:rPr>
                <w:rFonts w:ascii="Cambria Math" w:hAnsi="Cambria Math"/>
              </w:rPr>
            </m:ctrlPr>
          </m:sup>
        </m:sSubSup>
      </m:oMath>
      <w:bookmarkStart w:id="165" w:name="_Hlk205557061"/>
      <w:r>
        <w:rPr>
          <w:rFonts w:hint="default" w:ascii="Times New Roman" w:hAnsi="Times New Roman" w:cs="Times New Roman"/>
        </w:rPr>
        <w:t>………………..……………………  （3）</w:t>
      </w:r>
    </w:p>
    <w:bookmarkEnd w:id="165"/>
    <w:p>
      <w:pPr>
        <w:pStyle w:val="36"/>
        <w:ind w:firstLine="420"/>
      </w:pPr>
      <w:r>
        <w:t>式中：</w:t>
      </w:r>
    </w:p>
    <w:p>
      <w:pPr>
        <w:pStyle w:val="36"/>
        <w:ind w:right="840" w:firstLine="420"/>
        <w:rPr>
          <w:iCs/>
          <w:kern w:val="0"/>
        </w:rPr>
      </w:pPr>
      <w:r>
        <w:rPr>
          <w:i/>
          <w:iCs/>
          <w:kern w:val="0"/>
        </w:rPr>
        <w:t>X</w:t>
      </w:r>
      <w:r>
        <w:rPr>
          <w:i/>
          <w:iCs/>
          <w:kern w:val="0"/>
          <w:vertAlign w:val="subscript"/>
        </w:rPr>
        <w:t>i</w:t>
      </w:r>
      <w:r>
        <w:rPr>
          <w:rFonts w:hint="eastAsia"/>
          <w:i/>
          <w:iCs/>
          <w:kern w:val="0"/>
          <w:vertAlign w:val="subscript"/>
          <w:lang w:val="en-US" w:eastAsia="zh-CN"/>
        </w:rPr>
        <w:t xml:space="preserve">   </w:t>
      </w:r>
      <w:r>
        <w:rPr>
          <w:iCs/>
          <w:kern w:val="0"/>
        </w:rPr>
        <w:t>——第i个一级指标的分数；</w:t>
      </w:r>
    </w:p>
    <w:p>
      <w:pPr>
        <w:pStyle w:val="36"/>
        <w:ind w:firstLine="420"/>
        <w:rPr>
          <w:iCs/>
          <w:kern w:val="0"/>
        </w:rPr>
      </w:pPr>
      <w:r>
        <w:rPr>
          <w:rFonts w:hint="eastAsia"/>
          <w:i/>
          <w:kern w:val="0"/>
          <w:lang w:val="en-US" w:eastAsia="zh-CN"/>
        </w:rPr>
        <w:t>n</w:t>
      </w:r>
      <w:r>
        <w:rPr>
          <w:rFonts w:hint="eastAsia"/>
          <w:kern w:val="0"/>
          <w:lang w:val="en-US" w:eastAsia="zh-CN"/>
        </w:rPr>
        <w:t xml:space="preserve">  </w:t>
      </w:r>
      <w:r>
        <w:rPr>
          <w:iCs/>
          <w:kern w:val="0"/>
        </w:rPr>
        <w:t>——第i个一级指标中包含二级指标的数量；</w:t>
      </w:r>
    </w:p>
    <w:p>
      <w:pPr>
        <w:pStyle w:val="36"/>
        <w:ind w:firstLine="420"/>
        <w:rPr>
          <w:iCs/>
          <w:kern w:val="0"/>
        </w:rPr>
      </w:pPr>
      <w:r>
        <w:rPr>
          <w:i/>
          <w:kern w:val="0"/>
        </w:rPr>
        <w:t>j</w:t>
      </w:r>
      <w:r>
        <w:rPr>
          <w:rFonts w:hint="eastAsia"/>
          <w:i/>
          <w:kern w:val="0"/>
          <w:lang w:val="en-US" w:eastAsia="zh-CN"/>
        </w:rPr>
        <w:t xml:space="preserve">  </w:t>
      </w:r>
      <w:r>
        <w:rPr>
          <w:iCs/>
          <w:kern w:val="0"/>
        </w:rPr>
        <w:t>——</w:t>
      </w:r>
      <w:r>
        <w:rPr>
          <w:rFonts w:hint="eastAsia"/>
          <w:iCs/>
          <w:kern w:val="0"/>
          <w:lang w:val="en-US" w:eastAsia="zh-CN"/>
        </w:rPr>
        <w:t xml:space="preserve"> </w:t>
      </w:r>
      <w:r>
        <w:rPr>
          <w:iCs/>
          <w:kern w:val="0"/>
        </w:rPr>
        <w:t>二级指标的序号；</w:t>
      </w:r>
    </w:p>
    <w:p>
      <w:pPr>
        <w:pStyle w:val="36"/>
        <w:ind w:firstLine="420"/>
        <w:rPr>
          <w:kern w:val="0"/>
        </w:rPr>
      </w:pPr>
      <w:bookmarkStart w:id="166" w:name="_Hlk209186550"/>
      <w:r>
        <w:rPr>
          <w:i/>
          <w:iCs/>
        </w:rPr>
        <w:t>x</w:t>
      </w:r>
      <w:r>
        <w:rPr>
          <w:i/>
          <w:iCs/>
          <w:vertAlign w:val="subscript"/>
        </w:rPr>
        <w:t>ij</w:t>
      </w:r>
      <w:r>
        <w:rPr>
          <w:rFonts w:hint="eastAsia"/>
          <w:i/>
          <w:iCs/>
          <w:vertAlign w:val="subscript"/>
          <w:lang w:val="en-US" w:eastAsia="zh-CN"/>
        </w:rPr>
        <w:t xml:space="preserve">  </w:t>
      </w:r>
      <w:r>
        <w:rPr>
          <w:kern w:val="0"/>
        </w:rPr>
        <w:t>——第i个一级指标中第j个二级指标的打分</w:t>
      </w:r>
      <w:r>
        <w:rPr>
          <w:rFonts w:hint="eastAsia"/>
          <w:kern w:val="0"/>
          <w:lang w:val="en-US" w:eastAsia="zh-CN"/>
        </w:rPr>
        <w:t>权重</w:t>
      </w:r>
      <w:r>
        <w:rPr>
          <w:kern w:val="0"/>
        </w:rPr>
        <w:t>；</w:t>
      </w:r>
    </w:p>
    <w:p>
      <w:pPr>
        <w:pStyle w:val="36"/>
        <w:ind w:firstLine="420"/>
        <w:rPr>
          <w:rFonts w:hint="eastAsia" w:eastAsia="宋体"/>
          <w:color w:val="FF0000"/>
          <w:kern w:val="0"/>
          <w:lang w:eastAsia="zh-CN"/>
        </w:rPr>
      </w:pPr>
      <w:r>
        <w:rPr>
          <w:i/>
          <w:iCs/>
        </w:rPr>
        <w:t>s</w:t>
      </w:r>
      <w:r>
        <w:rPr>
          <w:i/>
          <w:iCs/>
          <w:vertAlign w:val="subscript"/>
        </w:rPr>
        <w:t>ij</w:t>
      </w:r>
      <w:r>
        <w:rPr>
          <w:rFonts w:hint="eastAsia"/>
          <w:i/>
          <w:iCs/>
        </w:rPr>
        <w:t xml:space="preserve"> </w:t>
      </w:r>
      <w:r>
        <w:rPr>
          <w:rFonts w:hint="eastAsia"/>
          <w:i/>
          <w:iCs/>
          <w:lang w:val="en-US" w:eastAsia="zh-CN"/>
        </w:rPr>
        <w:t xml:space="preserve"> </w:t>
      </w:r>
      <w:r>
        <w:rPr>
          <w:iCs/>
          <w:kern w:val="0"/>
        </w:rPr>
        <w:t>——</w:t>
      </w:r>
      <w:r>
        <w:rPr>
          <w:kern w:val="0"/>
        </w:rPr>
        <w:t>第i个一级指标中第j个二级指标的打分</w:t>
      </w:r>
      <w:r>
        <w:rPr>
          <w:rFonts w:hint="eastAsia"/>
          <w:kern w:val="0"/>
        </w:rPr>
        <w:t>。</w:t>
      </w:r>
    </w:p>
    <w:bookmarkEnd w:id="166"/>
    <w:p>
      <w:pPr>
        <w:pStyle w:val="36"/>
        <w:numPr>
          <w:ilvl w:val="0"/>
          <w:numId w:val="4"/>
        </w:numPr>
        <w:ind w:firstLine="420"/>
        <w:rPr>
          <w:kern w:val="0"/>
        </w:rPr>
      </w:pPr>
      <w:r>
        <w:rPr>
          <w:rFonts w:hint="eastAsia"/>
          <w:kern w:val="0"/>
        </w:rPr>
        <w:t xml:space="preserve">  </w:t>
      </w:r>
      <w:r>
        <w:rPr>
          <w:kern w:val="0"/>
        </w:rPr>
        <w:t>将各一级指标得分进行加和</w:t>
      </w:r>
      <w:r>
        <w:rPr>
          <w:rFonts w:hint="eastAsia"/>
          <w:kern w:val="0"/>
        </w:rPr>
        <w:t>后乘以100，</w:t>
      </w:r>
      <w:r>
        <w:rPr>
          <w:kern w:val="0"/>
        </w:rPr>
        <w:t>得到企业绿色供应链管理体系评价最终得分</w:t>
      </w:r>
      <w:r>
        <w:rPr>
          <w:i/>
          <w:kern w:val="0"/>
        </w:rPr>
        <w:t>X</w:t>
      </w:r>
      <w:r>
        <w:rPr>
          <w:rFonts w:hint="eastAsia"/>
          <w:kern w:val="0"/>
        </w:rPr>
        <w:t>（满分100）</w:t>
      </w:r>
      <w:r>
        <w:rPr>
          <w:kern w:val="0"/>
        </w:rPr>
        <w:t>，计算公式</w:t>
      </w:r>
      <w:r>
        <w:rPr>
          <w:rFonts w:hint="eastAsia"/>
          <w:kern w:val="0"/>
        </w:rPr>
        <w:t>如</w:t>
      </w:r>
      <w:r>
        <w:rPr>
          <w:kern w:val="0"/>
        </w:rPr>
        <w:t>式（4）：</w:t>
      </w:r>
    </w:p>
    <w:p>
      <w:pPr>
        <w:pStyle w:val="36"/>
        <w:ind w:firstLine="420"/>
        <w:jc w:val="right"/>
        <w:rPr>
          <w:kern w:val="0"/>
        </w:rPr>
      </w:pPr>
      <w:r>
        <w:t xml:space="preserve">                             </w:t>
      </w:r>
      <m:oMath>
        <m:sSubSup>
          <m:sSubSupPr>
            <m:ctrlPr>
              <w:rPr>
                <w:rFonts w:ascii="Cambria Math" w:hAnsi="Cambria Math"/>
              </w:rPr>
            </m:ctrlPr>
          </m:sSubSupPr>
          <m:e>
            <m:r>
              <m:rPr/>
              <w:rPr>
                <w:rFonts w:hint="eastAsia" w:ascii="Cambria Math"/>
              </w:rPr>
              <m:t>X</m:t>
            </m:r>
            <m:ctrlPr>
              <w:rPr>
                <w:rFonts w:ascii="Cambria Math" w:hAnsi="Cambria Math"/>
              </w:rPr>
            </m:ctrlPr>
          </m:e>
          <m:sub>
            <m:r>
              <m:rPr>
                <m:sty m:val="p"/>
              </m:rPr>
              <w:rPr>
                <w:rFonts w:ascii="Cambria Math" w:hAnsi="Cambria Math"/>
              </w:rPr>
              <m:t xml:space="preserve"> </m:t>
            </m:r>
            <m:ctrlPr>
              <w:rPr>
                <w:rFonts w:ascii="Cambria Math" w:hAnsi="Cambria Math"/>
              </w:rPr>
            </m:ctrlPr>
          </m:sub>
          <m:sup>
            <m:r>
              <m:rPr/>
              <w:rPr>
                <w:rFonts w:ascii="Cambria Math"/>
              </w:rPr>
              <m:t xml:space="preserve"> </m:t>
            </m:r>
            <m:ctrlPr>
              <w:rPr>
                <w:rFonts w:ascii="Cambria Math" w:hAnsi="Cambria Math"/>
              </w:rPr>
            </m:ctrlPr>
          </m:sup>
        </m:sSubSup>
        <m:r>
          <m:rPr>
            <m:sty m:val="p"/>
          </m:rPr>
          <w:rPr>
            <w:rFonts w:ascii="Cambria Math" w:hAnsi="Cambria Math"/>
          </w:rPr>
          <m:t xml:space="preserve"> = </m:t>
        </m:r>
        <m:nary>
          <m:naryPr>
            <m:chr m:val="∑"/>
            <m:limLoc m:val="undOvr"/>
            <m:ctrlPr>
              <w:rPr>
                <w:rFonts w:ascii="Cambria Math" w:hAnsi="Cambria Math"/>
                <w:i/>
              </w:rPr>
            </m:ctrlPr>
          </m:naryPr>
          <m:sub>
            <m:r>
              <m:rPr/>
              <w:rPr>
                <w:rFonts w:ascii="Cambria Math" w:hAnsi="Cambria Math"/>
              </w:rPr>
              <m:t>i</m:t>
            </m:r>
            <m:ctrlPr>
              <w:rPr>
                <w:rFonts w:ascii="Cambria Math" w:hAnsi="Cambria Math"/>
                <w:i/>
              </w:rPr>
            </m:ctrlPr>
          </m:sub>
          <m:sup>
            <m:r>
              <m:rPr/>
              <w:rPr>
                <w:rFonts w:ascii="Cambria Math" w:hAnsi="Cambria Math"/>
              </w:rPr>
              <m:t>n</m:t>
            </m:r>
            <m:ctrlPr>
              <w:rPr>
                <w:rFonts w:ascii="Cambria Math" w:hAnsi="Cambria Math"/>
                <w:i/>
              </w:rPr>
            </m:ctrlPr>
          </m:sup>
          <m:e>
            <m:sSubSup>
              <m:sSubSupPr>
                <m:ctrlPr>
                  <w:rPr>
                    <w:rFonts w:ascii="Cambria Math" w:hAnsi="Cambria Math"/>
                    <w:i/>
                  </w:rPr>
                </m:ctrlPr>
              </m:sSubSupPr>
              <m:e>
                <m:r>
                  <m:rPr/>
                  <w:rPr>
                    <w:rFonts w:ascii="Cambria Math"/>
                  </w:rPr>
                  <m:t>X</m:t>
                </m:r>
                <m:ctrlPr>
                  <w:rPr>
                    <w:rFonts w:ascii="Cambria Math" w:hAnsi="Cambria Math"/>
                    <w:i/>
                  </w:rPr>
                </m:ctrlPr>
              </m:e>
              <m:sub>
                <m:r>
                  <m:rPr/>
                  <w:rPr>
                    <w:rFonts w:hint="eastAsia" w:ascii="Cambria Math" w:hAnsi="Cambria Math"/>
                  </w:rPr>
                  <m:t>i</m:t>
                </m:r>
                <m:ctrlPr>
                  <w:rPr>
                    <w:rFonts w:ascii="Cambria Math" w:hAnsi="Cambria Math"/>
                    <w:i/>
                  </w:rPr>
                </m:ctrlPr>
              </m:sub>
              <m:sup>
                <m:r>
                  <m:rPr/>
                  <w:rPr>
                    <w:rFonts w:ascii="Cambria Math"/>
                  </w:rPr>
                  <m:t xml:space="preserve"> </m:t>
                </m:r>
                <m:ctrlPr>
                  <w:rPr>
                    <w:rFonts w:ascii="Cambria Math" w:hAnsi="Cambria Math"/>
                    <w:i/>
                  </w:rPr>
                </m:ctrlPr>
              </m:sup>
            </m:sSubSup>
            <m:ctrlPr>
              <w:rPr>
                <w:rFonts w:ascii="Cambria Math" w:hAnsi="Cambria Math"/>
                <w:i/>
              </w:rPr>
            </m:ctrlPr>
          </m:e>
        </m:nary>
        <m:r>
          <m:rPr/>
          <w:rPr>
            <w:rFonts w:hint="eastAsia" w:ascii="Cambria Math" w:hAnsi="Cambria Math"/>
          </w:rPr>
          <m:t>×</m:t>
        </m:r>
      </m:oMath>
      <w:r>
        <w:rPr>
          <w:rFonts w:hint="eastAsia"/>
        </w:rPr>
        <w:t>100</w:t>
      </w:r>
      <w:r>
        <w:rPr>
          <w:rFonts w:hint="default" w:ascii="Times New Roman" w:hAnsi="Times New Roman" w:cs="Times New Roman"/>
        </w:rPr>
        <w:t>…</w:t>
      </w:r>
      <w:bookmarkStart w:id="167" w:name="_Hlk209187535"/>
      <w:r>
        <w:rPr>
          <w:rFonts w:hint="default" w:ascii="Times New Roman" w:hAnsi="Times New Roman" w:cs="Times New Roman"/>
        </w:rPr>
        <w:t>…………………………………….   （4）</w:t>
      </w:r>
      <w:bookmarkEnd w:id="167"/>
    </w:p>
    <w:p>
      <w:pPr>
        <w:pStyle w:val="36"/>
        <w:ind w:firstLine="420"/>
        <w:rPr>
          <w:kern w:val="0"/>
        </w:rPr>
      </w:pPr>
      <w:r>
        <w:rPr>
          <w:kern w:val="0"/>
        </w:rPr>
        <w:t>式中：</w:t>
      </w:r>
    </w:p>
    <w:p>
      <w:pPr>
        <w:pStyle w:val="36"/>
        <w:ind w:firstLine="420"/>
        <w:rPr>
          <w:kern w:val="0"/>
        </w:rPr>
      </w:pPr>
      <w:r>
        <w:rPr>
          <w:i/>
          <w:kern w:val="0"/>
        </w:rPr>
        <w:t>X</w:t>
      </w:r>
      <w:r>
        <w:rPr>
          <w:kern w:val="0"/>
        </w:rPr>
        <w:t xml:space="preserve">  ——总得分；</w:t>
      </w:r>
    </w:p>
    <w:p>
      <w:pPr>
        <w:pStyle w:val="36"/>
        <w:ind w:firstLine="420"/>
        <w:rPr>
          <w:kern w:val="0"/>
        </w:rPr>
      </w:pPr>
      <w:r>
        <w:rPr>
          <w:i/>
          <w:kern w:val="0"/>
        </w:rPr>
        <w:t>i</w:t>
      </w:r>
      <w:r>
        <w:rPr>
          <w:kern w:val="0"/>
        </w:rPr>
        <w:t xml:space="preserve">   ——一级指标的序号；</w:t>
      </w:r>
    </w:p>
    <w:p>
      <w:pPr>
        <w:pStyle w:val="36"/>
        <w:ind w:firstLine="420"/>
        <w:rPr>
          <w:kern w:val="0"/>
        </w:rPr>
      </w:pPr>
      <w:r>
        <w:rPr>
          <w:i/>
          <w:kern w:val="0"/>
        </w:rPr>
        <w:t>n</w:t>
      </w:r>
      <w:r>
        <w:rPr>
          <w:kern w:val="0"/>
        </w:rPr>
        <w:t xml:space="preserve">  ——一级指标的数量。</w:t>
      </w:r>
    </w:p>
    <w:p>
      <w:pPr>
        <w:pStyle w:val="42"/>
        <w:numPr>
          <w:ilvl w:val="0"/>
          <w:numId w:val="0"/>
        </w:numPr>
        <w:spacing w:before="240" w:after="240"/>
        <w:outlineLvl w:val="1"/>
        <w:rPr>
          <w:rFonts w:hint="eastAsia" w:eastAsia="黑体"/>
          <w:lang w:eastAsia="zh-CN"/>
        </w:rPr>
      </w:pPr>
      <w:bookmarkStart w:id="168" w:name="_Toc139873380"/>
      <w:bookmarkStart w:id="169" w:name="_Toc170383090"/>
      <w:r>
        <w:rPr>
          <w:rFonts w:hint="eastAsia"/>
        </w:rPr>
        <w:t xml:space="preserve"> </w:t>
      </w:r>
      <w:bookmarkStart w:id="170" w:name="_Toc209185577"/>
      <w:bookmarkStart w:id="171" w:name="_Toc209185508"/>
      <w:r>
        <w:rPr>
          <w:rFonts w:hint="eastAsia"/>
        </w:rPr>
        <w:t>8.2</w:t>
      </w:r>
      <w:r>
        <w:t xml:space="preserve"> 级别划分</w:t>
      </w:r>
      <w:bookmarkEnd w:id="168"/>
      <w:bookmarkEnd w:id="169"/>
      <w:bookmarkEnd w:id="170"/>
      <w:bookmarkEnd w:id="171"/>
    </w:p>
    <w:bookmarkEnd w:id="162"/>
    <w:p>
      <w:pPr>
        <w:pStyle w:val="46"/>
        <w:spacing w:before="120" w:after="120"/>
      </w:pPr>
      <w:bookmarkStart w:id="172" w:name="_Hlk205556287"/>
      <w:r>
        <w:t>按照表2绿色</w:t>
      </w:r>
      <w:r>
        <w:rPr>
          <w:rFonts w:hint="eastAsia"/>
        </w:rPr>
        <w:t>采购</w:t>
      </w:r>
      <w:r>
        <w:t>体系评价结果，评价得分大于等于90分的企业，为优秀等级，认定为优秀绿色</w:t>
      </w:r>
      <w:r>
        <w:rPr>
          <w:rFonts w:hint="eastAsia"/>
        </w:rPr>
        <w:t>采购</w:t>
      </w:r>
      <w:r>
        <w:t>管理的企业；评价得分大于等于80分的企业，为</w:t>
      </w:r>
      <w:r>
        <w:rPr>
          <w:rFonts w:hint="eastAsia"/>
          <w:lang w:val="en-US" w:eastAsia="zh-CN"/>
        </w:rPr>
        <w:t>良好</w:t>
      </w:r>
      <w:r>
        <w:t>等级，认定为建立</w:t>
      </w:r>
      <w:r>
        <w:rPr>
          <w:rFonts w:hint="eastAsia"/>
          <w:lang w:val="en-US" w:eastAsia="zh-CN"/>
        </w:rPr>
        <w:t>并执行良好的</w:t>
      </w:r>
      <w:r>
        <w:t>绿色</w:t>
      </w:r>
      <w:r>
        <w:rPr>
          <w:rFonts w:hint="eastAsia"/>
        </w:rPr>
        <w:t>采购</w:t>
      </w:r>
      <w:r>
        <w:t>管理企业，需要进一步整改完善；评价得分小于80分的企业，为合格等级，认定为基本建立绿色</w:t>
      </w:r>
      <w:r>
        <w:rPr>
          <w:rFonts w:hint="eastAsia"/>
        </w:rPr>
        <w:t>采购</w:t>
      </w:r>
      <w:r>
        <w:t>管理的企业</w:t>
      </w:r>
      <w:r>
        <w:rPr>
          <w:rFonts w:hint="eastAsia"/>
          <w:lang w:eastAsia="zh-CN"/>
        </w:rPr>
        <w:t>，</w:t>
      </w:r>
      <w:r>
        <w:t>需</w:t>
      </w:r>
      <w:r>
        <w:rPr>
          <w:rFonts w:hint="eastAsia"/>
          <w:lang w:val="en-US" w:eastAsia="zh-CN"/>
        </w:rPr>
        <w:t>加大</w:t>
      </w:r>
      <w:r>
        <w:t>整改完善</w:t>
      </w:r>
      <w:r>
        <w:rPr>
          <w:rFonts w:hint="eastAsia"/>
          <w:lang w:val="en-US" w:eastAsia="zh-CN"/>
        </w:rPr>
        <w:t>力度</w:t>
      </w:r>
      <w:r>
        <w:t>。</w:t>
      </w:r>
    </w:p>
    <w:p>
      <w:pPr>
        <w:snapToGrid w:val="0"/>
        <w:spacing w:before="120" w:beforeLines="50"/>
        <w:ind w:firstLine="420"/>
        <w:jc w:val="center"/>
        <w:rPr>
          <w:rFonts w:hint="eastAsia" w:ascii="黑体" w:hAnsi="黑体" w:eastAsia="黑体" w:cs="黑体"/>
          <w:b w:val="0"/>
          <w:bCs w:val="0"/>
          <w:i w:val="0"/>
          <w:iCs w:val="0"/>
          <w:sz w:val="21"/>
          <w:szCs w:val="21"/>
        </w:rPr>
      </w:pPr>
      <w:r>
        <w:rPr>
          <w:rFonts w:hint="eastAsia" w:ascii="黑体" w:hAnsi="黑体" w:eastAsia="黑体" w:cs="黑体"/>
          <w:b w:val="0"/>
          <w:bCs w:val="0"/>
          <w:i w:val="0"/>
          <w:iCs w:val="0"/>
          <w:sz w:val="21"/>
          <w:szCs w:val="21"/>
        </w:rPr>
        <w:t>表</w:t>
      </w:r>
      <w:bookmarkStart w:id="173" w:name="_Hlk138789734"/>
      <w:r>
        <w:rPr>
          <w:rFonts w:hint="eastAsia" w:ascii="黑体" w:hAnsi="黑体" w:eastAsia="黑体" w:cs="黑体"/>
          <w:b w:val="0"/>
          <w:bCs w:val="0"/>
          <w:i w:val="0"/>
          <w:iCs w:val="0"/>
          <w:sz w:val="21"/>
          <w:szCs w:val="21"/>
          <w:lang w:val="en-US" w:eastAsia="zh-CN"/>
        </w:rPr>
        <w:t xml:space="preserve">2   </w:t>
      </w:r>
      <w:r>
        <w:rPr>
          <w:rFonts w:hint="eastAsia" w:ascii="黑体" w:hAnsi="黑体" w:eastAsia="黑体" w:cs="黑体"/>
          <w:b w:val="0"/>
          <w:bCs w:val="0"/>
          <w:i w:val="0"/>
          <w:iCs w:val="0"/>
          <w:sz w:val="21"/>
          <w:szCs w:val="21"/>
        </w:rPr>
        <w:t>绿色采购体系评价结果</w:t>
      </w:r>
      <w:bookmarkEnd w:id="173"/>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3"/>
        <w:gridCol w:w="1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4213" w:type="dxa"/>
            <w:tcBorders>
              <w:top w:val="single" w:color="auto" w:sz="8" w:space="0"/>
              <w:left w:val="single" w:color="auto" w:sz="8" w:space="0"/>
              <w:bottom w:val="single" w:color="auto" w:sz="8" w:space="0"/>
            </w:tcBorders>
            <w:vAlign w:val="center"/>
          </w:tcPr>
          <w:p>
            <w:pPr>
              <w:snapToGrid w:val="0"/>
              <w:ind w:firstLine="361"/>
              <w:jc w:val="center"/>
              <w:rPr>
                <w:rFonts w:ascii="宋体" w:hAnsi="宋体" w:cs="宋体"/>
                <w:bCs/>
                <w:sz w:val="18"/>
              </w:rPr>
            </w:pPr>
            <w:r>
              <w:rPr>
                <w:rFonts w:hint="eastAsia" w:ascii="宋体" w:hAnsi="宋体" w:cs="宋体"/>
                <w:bCs/>
                <w:sz w:val="18"/>
              </w:rPr>
              <w:t>评价指标得分值（X）</w:t>
            </w:r>
          </w:p>
        </w:tc>
        <w:tc>
          <w:tcPr>
            <w:tcW w:w="1680" w:type="dxa"/>
            <w:tcBorders>
              <w:top w:val="single" w:color="auto" w:sz="8" w:space="0"/>
              <w:bottom w:val="single" w:color="auto" w:sz="8" w:space="0"/>
            </w:tcBorders>
            <w:vAlign w:val="center"/>
          </w:tcPr>
          <w:p>
            <w:pPr>
              <w:snapToGrid w:val="0"/>
              <w:ind w:firstLine="361"/>
              <w:rPr>
                <w:rFonts w:ascii="宋体" w:hAnsi="宋体" w:cs="宋体"/>
                <w:bCs/>
                <w:sz w:val="18"/>
              </w:rPr>
            </w:pPr>
            <w:r>
              <w:rPr>
                <w:rFonts w:hint="eastAsia" w:ascii="宋体" w:hAnsi="宋体" w:cs="宋体"/>
                <w:bCs/>
                <w:sz w:val="18"/>
              </w:rPr>
              <w:t>评价结果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213" w:type="dxa"/>
            <w:tcBorders>
              <w:top w:val="single" w:color="auto" w:sz="8" w:space="0"/>
              <w:left w:val="single" w:color="auto" w:sz="8" w:space="0"/>
            </w:tcBorders>
            <w:vAlign w:val="center"/>
          </w:tcPr>
          <w:p>
            <w:pPr>
              <w:ind w:firstLine="360"/>
              <w:jc w:val="center"/>
              <w:rPr>
                <w:color w:val="000000"/>
                <w:kern w:val="0"/>
                <w:sz w:val="18"/>
                <w:szCs w:val="18"/>
              </w:rPr>
            </w:pPr>
            <w:r>
              <w:rPr>
                <w:color w:val="000000"/>
                <w:sz w:val="18"/>
                <w:szCs w:val="18"/>
              </w:rPr>
              <w:t>X≥90</w:t>
            </w:r>
          </w:p>
        </w:tc>
        <w:tc>
          <w:tcPr>
            <w:tcW w:w="1680" w:type="dxa"/>
            <w:tcBorders>
              <w:top w:val="single" w:color="auto" w:sz="8" w:space="0"/>
            </w:tcBorders>
            <w:vAlign w:val="center"/>
          </w:tcPr>
          <w:p>
            <w:pPr>
              <w:snapToGrid w:val="0"/>
              <w:ind w:firstLine="540" w:firstLineChars="300"/>
              <w:rPr>
                <w:sz w:val="18"/>
              </w:rPr>
            </w:pPr>
            <w:r>
              <w:rPr>
                <w:color w:val="000000"/>
                <w:sz w:val="18"/>
                <w:szCs w:val="18"/>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213" w:type="dxa"/>
            <w:tcBorders>
              <w:left w:val="single" w:color="auto" w:sz="8" w:space="0"/>
            </w:tcBorders>
            <w:vAlign w:val="center"/>
          </w:tcPr>
          <w:p>
            <w:pPr>
              <w:ind w:firstLine="360"/>
              <w:jc w:val="center"/>
              <w:rPr>
                <w:color w:val="000000"/>
                <w:sz w:val="18"/>
                <w:szCs w:val="18"/>
              </w:rPr>
            </w:pPr>
            <w:r>
              <w:rPr>
                <w:color w:val="000000"/>
                <w:sz w:val="18"/>
                <w:szCs w:val="18"/>
              </w:rPr>
              <w:t>80≤X＜90</w:t>
            </w:r>
          </w:p>
        </w:tc>
        <w:tc>
          <w:tcPr>
            <w:tcW w:w="1680" w:type="dxa"/>
            <w:vAlign w:val="center"/>
          </w:tcPr>
          <w:p>
            <w:pPr>
              <w:snapToGrid w:val="0"/>
              <w:ind w:firstLine="540" w:firstLineChars="300"/>
              <w:rPr>
                <w:rFonts w:hint="eastAsia" w:eastAsia="宋体"/>
                <w:sz w:val="18"/>
                <w:lang w:val="en-US" w:eastAsia="zh-CN"/>
              </w:rPr>
            </w:pPr>
            <w:r>
              <w:rPr>
                <w:rFonts w:hint="eastAsia"/>
                <w:sz w:val="18"/>
                <w:lang w:val="en-US" w:eastAsia="zh-CN"/>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213" w:type="dxa"/>
            <w:tcBorders>
              <w:left w:val="single" w:color="auto" w:sz="8" w:space="0"/>
              <w:bottom w:val="single" w:color="auto" w:sz="8" w:space="0"/>
            </w:tcBorders>
            <w:vAlign w:val="center"/>
          </w:tcPr>
          <w:p>
            <w:pPr>
              <w:ind w:firstLine="360"/>
              <w:jc w:val="center"/>
              <w:rPr>
                <w:color w:val="000000"/>
                <w:sz w:val="18"/>
                <w:szCs w:val="18"/>
              </w:rPr>
            </w:pPr>
            <w:r>
              <w:rPr>
                <w:color w:val="000000"/>
                <w:sz w:val="18"/>
                <w:szCs w:val="18"/>
              </w:rPr>
              <w:t>X＜80</w:t>
            </w:r>
          </w:p>
        </w:tc>
        <w:tc>
          <w:tcPr>
            <w:tcW w:w="1680" w:type="dxa"/>
            <w:tcBorders>
              <w:bottom w:val="single" w:color="auto" w:sz="8" w:space="0"/>
            </w:tcBorders>
            <w:vAlign w:val="center"/>
          </w:tcPr>
          <w:p>
            <w:pPr>
              <w:snapToGrid w:val="0"/>
              <w:jc w:val="center"/>
              <w:rPr>
                <w:sz w:val="18"/>
              </w:rPr>
            </w:pPr>
            <w:r>
              <w:rPr>
                <w:color w:val="000000"/>
                <w:sz w:val="18"/>
                <w:szCs w:val="18"/>
              </w:rPr>
              <w:t>合格</w:t>
            </w:r>
          </w:p>
        </w:tc>
      </w:tr>
      <w:bookmarkEnd w:id="172"/>
    </w:tbl>
    <w:p>
      <w:pPr>
        <w:pStyle w:val="42"/>
        <w:spacing w:before="240" w:after="240"/>
        <w:rPr>
          <w:szCs w:val="21"/>
        </w:rPr>
      </w:pPr>
      <w:bookmarkStart w:id="174" w:name="_Toc209185578"/>
      <w:r>
        <w:rPr>
          <w:rFonts w:hint="eastAsia"/>
          <w:szCs w:val="21"/>
        </w:rPr>
        <w:t>评价活动组织实施</w:t>
      </w:r>
      <w:bookmarkEnd w:id="174"/>
    </w:p>
    <w:p>
      <w:pPr>
        <w:pStyle w:val="42"/>
        <w:numPr>
          <w:ilvl w:val="0"/>
          <w:numId w:val="0"/>
        </w:numPr>
        <w:spacing w:before="240" w:after="240"/>
        <w:outlineLvl w:val="1"/>
      </w:pPr>
      <w:bookmarkStart w:id="175" w:name="_Toc209185579"/>
      <w:bookmarkStart w:id="176" w:name="_Toc209185510"/>
      <w:bookmarkStart w:id="177" w:name="_Toc170383092"/>
      <w:r>
        <w:rPr>
          <w:rFonts w:hint="eastAsia"/>
        </w:rPr>
        <w:t>9.1</w:t>
      </w:r>
      <w:r>
        <w:t xml:space="preserve"> </w:t>
      </w:r>
      <w:r>
        <w:rPr>
          <w:rFonts w:hint="eastAsia"/>
          <w:lang w:val="en-US" w:eastAsia="zh-CN"/>
        </w:rPr>
        <w:t xml:space="preserve"> </w:t>
      </w:r>
      <w:r>
        <w:rPr>
          <w:rFonts w:hint="eastAsia"/>
        </w:rPr>
        <w:t>评价报告</w:t>
      </w:r>
      <w:bookmarkEnd w:id="175"/>
      <w:bookmarkEnd w:id="176"/>
    </w:p>
    <w:p>
      <w:pPr>
        <w:pStyle w:val="36"/>
        <w:adjustRightInd w:val="0"/>
        <w:snapToGrid w:val="0"/>
        <w:spacing w:before="120" w:beforeLines="50" w:after="120" w:afterLines="50"/>
        <w:ind w:firstLine="0" w:firstLineChars="0"/>
        <w:rPr>
          <w:rFonts w:ascii="黑体" w:hAnsi="黑体" w:eastAsia="黑体"/>
        </w:rPr>
      </w:pPr>
      <w:r>
        <w:rPr>
          <w:rFonts w:hint="eastAsia" w:ascii="黑体" w:hAnsi="黑体" w:eastAsia="黑体"/>
        </w:rPr>
        <w:t>9.1.1</w:t>
      </w:r>
      <w:r>
        <w:rPr>
          <w:rFonts w:ascii="黑体" w:hAnsi="黑体" w:eastAsia="黑体"/>
        </w:rPr>
        <w:t xml:space="preserve"> </w:t>
      </w:r>
      <w:r>
        <w:rPr>
          <w:rFonts w:hint="eastAsia" w:ascii="黑体" w:hAnsi="黑体" w:eastAsia="黑体"/>
          <w:lang w:val="en-US" w:eastAsia="zh-CN"/>
        </w:rPr>
        <w:t xml:space="preserve"> </w:t>
      </w:r>
      <w:r>
        <w:rPr>
          <w:rFonts w:hint="eastAsia" w:ascii="黑体" w:hAnsi="黑体" w:eastAsia="黑体"/>
        </w:rPr>
        <w:t>评价报告内容及要求</w:t>
      </w:r>
      <w:bookmarkEnd w:id="177"/>
    </w:p>
    <w:p>
      <w:pPr>
        <w:pStyle w:val="36"/>
        <w:ind w:firstLine="420"/>
      </w:pPr>
      <w:r>
        <w:rPr>
          <w:rFonts w:hint="eastAsia"/>
        </w:rPr>
        <w:t>能源企业绿色采购管理评价报告应充分体现评价组在现场开展评价的实施过程，内容简要、证据充分支撑评价结论。针对每一项评价条款的要求，详细阐述评价的过程和判定企业符合情况的充分依据，对引用的关键内容给出证据文件来源，对计算给出详细的计算过程和数据依据，做到证据和信息可信、内容精要、判定准确。</w:t>
      </w:r>
    </w:p>
    <w:p>
      <w:pPr>
        <w:pStyle w:val="36"/>
        <w:ind w:firstLine="420"/>
      </w:pPr>
      <w:r>
        <w:rPr>
          <w:rFonts w:hint="eastAsia"/>
        </w:rPr>
        <w:t>评价报告应包括以下内容:</w:t>
      </w:r>
    </w:p>
    <w:p>
      <w:pPr>
        <w:pStyle w:val="36"/>
        <w:ind w:firstLine="420"/>
      </w:pPr>
      <w:r>
        <w:rPr>
          <w:rFonts w:hint="eastAsia"/>
        </w:rPr>
        <w:t>——企业产品及工艺过程简述；</w:t>
      </w:r>
    </w:p>
    <w:p>
      <w:pPr>
        <w:pStyle w:val="36"/>
        <w:ind w:firstLine="420"/>
      </w:pPr>
      <w:r>
        <w:rPr>
          <w:rFonts w:hint="eastAsia"/>
        </w:rPr>
        <w:t>——绿色管理及其绿色性指标；</w:t>
      </w:r>
    </w:p>
    <w:p>
      <w:pPr>
        <w:pStyle w:val="36"/>
        <w:ind w:firstLine="420"/>
      </w:pPr>
      <w:r>
        <w:rPr>
          <w:rFonts w:hint="eastAsia"/>
        </w:rPr>
        <w:t>——评价信息(评价范围、评价数据来源、评价依据和记录等)；</w:t>
      </w:r>
    </w:p>
    <w:p>
      <w:pPr>
        <w:pStyle w:val="36"/>
        <w:ind w:firstLine="420" w:firstLineChars="0"/>
      </w:pPr>
      <w:r>
        <w:rPr>
          <w:rFonts w:hint="eastAsia"/>
        </w:rPr>
        <w:t>——评价方法、指标选取、指标权重和分值、结果解释等其他说明；数据来源和数据</w:t>
      </w:r>
    </w:p>
    <w:p>
      <w:pPr>
        <w:pStyle w:val="36"/>
        <w:ind w:firstLine="840" w:firstLineChars="400"/>
      </w:pPr>
      <w:r>
        <w:rPr>
          <w:rFonts w:hint="eastAsia"/>
        </w:rPr>
        <w:t>分析说明；</w:t>
      </w:r>
    </w:p>
    <w:p>
      <w:pPr>
        <w:pStyle w:val="36"/>
        <w:ind w:firstLine="420"/>
      </w:pPr>
      <w:r>
        <w:rPr>
          <w:rFonts w:hint="eastAsia"/>
        </w:rPr>
        <w:t>——评价结论及说明等；</w:t>
      </w:r>
    </w:p>
    <w:p>
      <w:pPr>
        <w:pStyle w:val="36"/>
        <w:ind w:firstLine="420"/>
      </w:pPr>
      <w:r>
        <w:rPr>
          <w:rFonts w:hint="eastAsia"/>
        </w:rPr>
        <w:t>——问题及风险分析；</w:t>
      </w:r>
    </w:p>
    <w:p>
      <w:pPr>
        <w:pStyle w:val="36"/>
        <w:ind w:firstLine="420"/>
      </w:pPr>
      <w:r>
        <w:rPr>
          <w:rFonts w:hint="eastAsia"/>
        </w:rPr>
        <w:t>——改进建议等。</w:t>
      </w:r>
    </w:p>
    <w:p>
      <w:pPr>
        <w:pStyle w:val="36"/>
        <w:adjustRightInd w:val="0"/>
        <w:snapToGrid w:val="0"/>
        <w:spacing w:before="120" w:beforeLines="50" w:after="120" w:afterLines="50"/>
        <w:ind w:firstLine="0" w:firstLineChars="0"/>
        <w:rPr>
          <w:rFonts w:hint="eastAsia" w:ascii="黑体" w:hAnsi="黑体" w:eastAsia="黑体"/>
          <w:lang w:eastAsia="zh-CN"/>
        </w:rPr>
      </w:pPr>
      <w:bookmarkStart w:id="178" w:name="_Toc170383093"/>
      <w:r>
        <w:rPr>
          <w:rFonts w:hint="eastAsia" w:ascii="黑体" w:hAnsi="黑体" w:eastAsia="黑体"/>
        </w:rPr>
        <w:t>9.1.2</w:t>
      </w:r>
      <w:r>
        <w:rPr>
          <w:rFonts w:ascii="黑体" w:hAnsi="黑体" w:eastAsia="黑体"/>
        </w:rPr>
        <w:t xml:space="preserve"> </w:t>
      </w:r>
      <w:r>
        <w:rPr>
          <w:rFonts w:hint="eastAsia" w:ascii="黑体" w:hAnsi="黑体" w:eastAsia="黑体"/>
          <w:lang w:val="en-US" w:eastAsia="zh-CN"/>
        </w:rPr>
        <w:t xml:space="preserve"> </w:t>
      </w:r>
      <w:r>
        <w:rPr>
          <w:rFonts w:hint="eastAsia" w:ascii="黑体" w:hAnsi="黑体" w:eastAsia="黑体"/>
        </w:rPr>
        <w:t>评价报告责任要求</w:t>
      </w:r>
      <w:bookmarkEnd w:id="178"/>
    </w:p>
    <w:p>
      <w:pPr>
        <w:pStyle w:val="36"/>
        <w:ind w:firstLine="420"/>
      </w:pPr>
      <w:r>
        <w:rPr>
          <w:rFonts w:hint="eastAsia"/>
        </w:rPr>
        <w:t>第三方评价机构对出具的绿色供应链管理评价报告负责，对报告内容的真实性承担责任。企业或相关方对评价报告内容有异议时，评价机构有责任进行解释说明。</w:t>
      </w:r>
    </w:p>
    <w:p>
      <w:pPr>
        <w:pStyle w:val="42"/>
        <w:numPr>
          <w:ilvl w:val="0"/>
          <w:numId w:val="0"/>
        </w:numPr>
        <w:spacing w:before="240" w:after="240"/>
        <w:outlineLvl w:val="1"/>
      </w:pPr>
      <w:bookmarkStart w:id="179" w:name="_Toc209185580"/>
      <w:bookmarkStart w:id="180" w:name="_Toc209185511"/>
      <w:r>
        <w:rPr>
          <w:rFonts w:hint="eastAsia"/>
        </w:rPr>
        <w:t>9.2</w:t>
      </w:r>
      <w:r>
        <w:t xml:space="preserve"> </w:t>
      </w:r>
      <w:r>
        <w:rPr>
          <w:rFonts w:hint="eastAsia"/>
          <w:lang w:val="en-US" w:eastAsia="zh-CN"/>
        </w:rPr>
        <w:t xml:space="preserve"> </w:t>
      </w:r>
      <w:r>
        <w:rPr>
          <w:rFonts w:hint="eastAsia"/>
        </w:rPr>
        <w:t>管理评审</w:t>
      </w:r>
      <w:bookmarkEnd w:id="179"/>
      <w:bookmarkEnd w:id="180"/>
    </w:p>
    <w:p>
      <w:pPr>
        <w:pStyle w:val="36"/>
        <w:adjustRightInd w:val="0"/>
        <w:snapToGrid w:val="0"/>
        <w:ind w:firstLine="420"/>
      </w:pPr>
      <w:r>
        <w:rPr>
          <w:rFonts w:hint="eastAsia"/>
        </w:rPr>
        <w:t>最高管理者应按照策划的时间间隔对组织的供应商进行绿色采购管理评审，以确保其持续的充分性、有效性和适宜性。评审内容应包括：</w:t>
      </w:r>
    </w:p>
    <w:p>
      <w:pPr>
        <w:pStyle w:val="36"/>
        <w:adjustRightInd w:val="0"/>
        <w:snapToGrid w:val="0"/>
        <w:ind w:firstLine="420"/>
      </w:pPr>
      <w:r>
        <w:rPr>
          <w:rFonts w:hint="eastAsia"/>
        </w:rPr>
        <w:t>——目标和指标的实现程度；</w:t>
      </w:r>
    </w:p>
    <w:p>
      <w:pPr>
        <w:pStyle w:val="36"/>
        <w:adjustRightInd w:val="0"/>
        <w:snapToGrid w:val="0"/>
        <w:ind w:firstLine="420"/>
      </w:pPr>
      <w:r>
        <w:rPr>
          <w:rFonts w:hint="eastAsia"/>
        </w:rPr>
        <w:t>——生命周期各阶段的实施情况和收效情况；</w:t>
      </w:r>
    </w:p>
    <w:p>
      <w:pPr>
        <w:pStyle w:val="36"/>
        <w:adjustRightInd w:val="0"/>
        <w:snapToGrid w:val="0"/>
        <w:ind w:firstLine="420"/>
      </w:pPr>
      <w:r>
        <w:rPr>
          <w:rFonts w:hint="eastAsia"/>
        </w:rPr>
        <w:t>——取得的经济效益和社会效益；</w:t>
      </w:r>
    </w:p>
    <w:p>
      <w:pPr>
        <w:pStyle w:val="36"/>
        <w:adjustRightInd w:val="0"/>
        <w:snapToGrid w:val="0"/>
        <w:ind w:firstLine="420"/>
      </w:pPr>
      <w:r>
        <w:rPr>
          <w:rFonts w:hint="eastAsia"/>
        </w:rPr>
        <w:t>——纠正措施的有效性；</w:t>
      </w:r>
    </w:p>
    <w:p>
      <w:pPr>
        <w:pStyle w:val="36"/>
        <w:adjustRightInd w:val="0"/>
        <w:snapToGrid w:val="0"/>
        <w:ind w:firstLine="420"/>
      </w:pPr>
      <w:r>
        <w:rPr>
          <w:rFonts w:hint="eastAsia"/>
        </w:rPr>
        <w:t>——外部相关方(如顾客、供应商等)的交流信息；</w:t>
      </w:r>
    </w:p>
    <w:p>
      <w:pPr>
        <w:pStyle w:val="36"/>
        <w:adjustRightInd w:val="0"/>
        <w:snapToGrid w:val="0"/>
        <w:ind w:firstLine="420"/>
      </w:pPr>
      <w:r>
        <w:rPr>
          <w:rFonts w:hint="eastAsia"/>
        </w:rPr>
        <w:t>——与相关法律、政策的符合性；</w:t>
      </w:r>
    </w:p>
    <w:p>
      <w:pPr>
        <w:pStyle w:val="36"/>
        <w:adjustRightInd w:val="0"/>
        <w:snapToGrid w:val="0"/>
        <w:ind w:firstLine="420"/>
      </w:pPr>
      <w:r>
        <w:rPr>
          <w:rFonts w:hint="eastAsia"/>
        </w:rPr>
        <w:t>——资源的充分性；</w:t>
      </w:r>
    </w:p>
    <w:p>
      <w:pPr>
        <w:pStyle w:val="36"/>
        <w:adjustRightInd w:val="0"/>
        <w:snapToGrid w:val="0"/>
        <w:ind w:firstLine="420"/>
      </w:pPr>
      <w:r>
        <w:rPr>
          <w:rFonts w:hint="eastAsia"/>
        </w:rPr>
        <w:t>——改进的机会。</w:t>
      </w:r>
    </w:p>
    <w:p>
      <w:pPr>
        <w:pStyle w:val="36"/>
        <w:adjustRightInd w:val="0"/>
        <w:snapToGrid w:val="0"/>
        <w:ind w:firstLine="420"/>
      </w:pPr>
      <w:r>
        <w:rPr>
          <w:rFonts w:hint="eastAsia"/>
        </w:rPr>
        <w:t>组织应保留成文信息，为管理评审结果的证据。</w:t>
      </w:r>
    </w:p>
    <w:p>
      <w:pPr>
        <w:pStyle w:val="42"/>
        <w:numPr>
          <w:ilvl w:val="0"/>
          <w:numId w:val="0"/>
        </w:numPr>
        <w:spacing w:before="240" w:after="240"/>
        <w:outlineLvl w:val="1"/>
      </w:pPr>
      <w:bookmarkStart w:id="181" w:name="_Toc209185581"/>
      <w:bookmarkStart w:id="182" w:name="_Toc209185512"/>
      <w:r>
        <w:rPr>
          <w:rFonts w:hint="eastAsia"/>
        </w:rPr>
        <w:t>9.3</w:t>
      </w:r>
      <w:r>
        <w:t xml:space="preserve"> </w:t>
      </w:r>
      <w:r>
        <w:rPr>
          <w:rFonts w:hint="eastAsia"/>
          <w:lang w:val="en-US" w:eastAsia="zh-CN"/>
        </w:rPr>
        <w:t xml:space="preserve"> </w:t>
      </w:r>
      <w:r>
        <w:rPr>
          <w:rFonts w:hint="eastAsia"/>
        </w:rPr>
        <w:t>持续改进</w:t>
      </w:r>
      <w:bookmarkEnd w:id="181"/>
      <w:bookmarkEnd w:id="182"/>
    </w:p>
    <w:p>
      <w:pPr>
        <w:pStyle w:val="36"/>
        <w:ind w:firstLine="420"/>
      </w:pPr>
      <w:r>
        <w:rPr>
          <w:rFonts w:hint="eastAsia"/>
        </w:rPr>
        <w:t>组织应对运行过程中发现的不符合进行纠正，并通过原因分析，评价是否需要采取纠正措施，以消除不符合产生的原因，避免其再次发生或在其他场合发生。纠正措施应与不符合的影响相适应，并且组织应评审所采取纠正措施的有效性。</w:t>
      </w:r>
    </w:p>
    <w:p>
      <w:pPr>
        <w:pStyle w:val="36"/>
        <w:ind w:firstLine="420"/>
      </w:pPr>
      <w:r>
        <w:rPr>
          <w:rFonts w:hint="eastAsia"/>
        </w:rPr>
        <w:t>组织应确定改进机会，并实施必要的措施，以持续改进绿色采购管理的充分性、适宜性与有效性。改进机会一般应包括：</w:t>
      </w:r>
    </w:p>
    <w:p>
      <w:pPr>
        <w:pStyle w:val="36"/>
        <w:ind w:firstLine="420"/>
      </w:pPr>
      <w:r>
        <w:rPr>
          <w:rFonts w:hint="eastAsia"/>
        </w:rPr>
        <w:t>——分析和评价现状，识别改进领域和改进项目；</w:t>
      </w:r>
    </w:p>
    <w:p>
      <w:pPr>
        <w:pStyle w:val="36"/>
        <w:ind w:firstLine="420"/>
      </w:pPr>
      <w:r>
        <w:rPr>
          <w:rFonts w:hint="eastAsia"/>
        </w:rPr>
        <w:t>——设定改进目标；</w:t>
      </w:r>
    </w:p>
    <w:p>
      <w:pPr>
        <w:pStyle w:val="36"/>
        <w:ind w:firstLine="420"/>
      </w:pPr>
      <w:r>
        <w:rPr>
          <w:rFonts w:hint="eastAsia"/>
        </w:rPr>
        <w:t>——分析可能解决的办法；</w:t>
      </w:r>
    </w:p>
    <w:p>
      <w:pPr>
        <w:pStyle w:val="36"/>
        <w:ind w:firstLine="420"/>
      </w:pPr>
      <w:r>
        <w:rPr>
          <w:rFonts w:hint="eastAsia"/>
        </w:rPr>
        <w:t>——评价和选择解决的方案；</w:t>
      </w:r>
    </w:p>
    <w:p>
      <w:pPr>
        <w:pStyle w:val="36"/>
        <w:ind w:firstLine="420"/>
      </w:pPr>
      <w:r>
        <w:rPr>
          <w:rFonts w:hint="eastAsia"/>
        </w:rPr>
        <w:t>——实施解决的方案；</w:t>
      </w:r>
    </w:p>
    <w:p>
      <w:pPr>
        <w:pStyle w:val="36"/>
        <w:ind w:firstLine="420"/>
      </w:pPr>
      <w:r>
        <w:rPr>
          <w:rFonts w:hint="eastAsia"/>
        </w:rPr>
        <w:t>——评价实施结果；</w:t>
      </w:r>
    </w:p>
    <w:p>
      <w:pPr>
        <w:pStyle w:val="36"/>
        <w:ind w:firstLine="420"/>
        <w:rPr>
          <w:rFonts w:hint="eastAsia" w:eastAsia="宋体"/>
          <w:lang w:eastAsia="zh-CN"/>
        </w:rPr>
      </w:pPr>
      <w:r>
        <w:rPr>
          <w:rFonts w:hint="eastAsia"/>
        </w:rPr>
        <w:t>——验证改进结果的有效性。</w:t>
      </w:r>
    </w:p>
    <w:p>
      <w:pPr>
        <w:rPr>
          <w:rFonts w:ascii="黑体" w:hAnsi="黑体" w:eastAsia="黑体"/>
          <w:sz w:val="21"/>
          <w:szCs w:val="21"/>
        </w:rPr>
      </w:pPr>
      <w:bookmarkStart w:id="183" w:name="_Toc170330566"/>
      <w:r>
        <w:rPr>
          <w:rFonts w:hAnsi="黑体"/>
          <w:szCs w:val="21"/>
        </w:rPr>
        <w:br w:type="page"/>
      </w:r>
    </w:p>
    <w:p>
      <w:pPr>
        <w:pStyle w:val="42"/>
        <w:numPr>
          <w:ilvl w:val="0"/>
          <w:numId w:val="0"/>
        </w:numPr>
        <w:spacing w:beforeLines="0" w:afterLines="0"/>
        <w:jc w:val="center"/>
        <w:rPr>
          <w:rFonts w:hAnsi="黑体"/>
          <w:szCs w:val="21"/>
        </w:rPr>
      </w:pPr>
      <w:bookmarkStart w:id="184" w:name="_Toc170383096"/>
      <w:bookmarkStart w:id="185" w:name="_Toc209185582"/>
      <w:r>
        <w:rPr>
          <w:rFonts w:hint="eastAsia" w:hAnsi="黑体"/>
          <w:szCs w:val="21"/>
        </w:rPr>
        <w:t>附  录  A</w:t>
      </w:r>
      <w:bookmarkEnd w:id="183"/>
      <w:bookmarkEnd w:id="184"/>
      <w:bookmarkStart w:id="186" w:name="_Toc170383097"/>
      <w:bookmarkStart w:id="187" w:name="_Toc170330567"/>
    </w:p>
    <w:p>
      <w:pPr>
        <w:pStyle w:val="42"/>
        <w:numPr>
          <w:ilvl w:val="0"/>
          <w:numId w:val="0"/>
        </w:numPr>
        <w:spacing w:beforeLines="0" w:afterLines="0"/>
        <w:jc w:val="center"/>
        <w:rPr>
          <w:rFonts w:hAnsi="黑体"/>
          <w:szCs w:val="21"/>
        </w:rPr>
      </w:pPr>
      <w:r>
        <w:rPr>
          <w:rFonts w:hint="eastAsia" w:hAnsi="黑体"/>
          <w:szCs w:val="21"/>
        </w:rPr>
        <w:t>（资料性）</w:t>
      </w:r>
      <w:bookmarkEnd w:id="186"/>
      <w:bookmarkEnd w:id="187"/>
    </w:p>
    <w:p>
      <w:pPr>
        <w:pStyle w:val="42"/>
        <w:numPr>
          <w:ilvl w:val="0"/>
          <w:numId w:val="0"/>
        </w:numPr>
        <w:spacing w:beforeLines="0" w:afterLines="0"/>
        <w:jc w:val="center"/>
        <w:rPr>
          <w:rFonts w:hAnsi="黑体"/>
          <w:szCs w:val="21"/>
        </w:rPr>
      </w:pPr>
      <w:r>
        <w:rPr>
          <w:rFonts w:hint="eastAsia" w:hAnsi="黑体"/>
          <w:szCs w:val="21"/>
        </w:rPr>
        <w:t>能源企业绿色采购评价指标体系</w:t>
      </w:r>
      <w:bookmarkEnd w:id="185"/>
      <w:bookmarkStart w:id="188" w:name="_Hlk170378038"/>
    </w:p>
    <w:p>
      <w:pPr>
        <w:pStyle w:val="42"/>
        <w:numPr>
          <w:ilvl w:val="0"/>
          <w:numId w:val="0"/>
        </w:numPr>
        <w:spacing w:beforeLines="0" w:afterLines="0"/>
        <w:jc w:val="center"/>
        <w:rPr>
          <w:rFonts w:hAnsi="黑体"/>
          <w:szCs w:val="21"/>
        </w:rPr>
      </w:pPr>
    </w:p>
    <w:bookmarkEnd w:id="188"/>
    <w:p>
      <w:pPr>
        <w:pStyle w:val="36"/>
        <w:ind w:firstLine="420"/>
        <w:rPr>
          <w:rFonts w:hAnsi="宋体"/>
        </w:rPr>
      </w:pPr>
      <w:r>
        <w:rPr>
          <w:rFonts w:hint="eastAsia" w:hAnsi="宋体"/>
        </w:rPr>
        <w:t>能源企业绿色采购评价指标体系如表A.1所示。</w:t>
      </w:r>
    </w:p>
    <w:p>
      <w:pPr>
        <w:pStyle w:val="7"/>
        <w:keepNext/>
        <w:spacing w:after="120" w:afterLines="50"/>
        <w:jc w:val="center"/>
        <w:rPr>
          <w:rFonts w:hint="eastAsia" w:ascii="黑体" w:hAnsi="黑体" w:eastAsia="黑体"/>
          <w:lang w:eastAsia="zh-CN"/>
        </w:rPr>
      </w:pPr>
      <w:bookmarkStart w:id="189" w:name="_Hlk205556274"/>
      <w:r>
        <w:rPr>
          <w:rFonts w:hint="eastAsia" w:ascii="黑体" w:hAnsi="黑体"/>
        </w:rPr>
        <w:t>A.1  能源企业绿色采购评价指标体系</w:t>
      </w:r>
    </w:p>
    <w:tbl>
      <w:tblPr>
        <w:tblStyle w:val="17"/>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635"/>
        <w:gridCol w:w="757"/>
        <w:gridCol w:w="640"/>
        <w:gridCol w:w="151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044" w:type="dxa"/>
            <w:vAlign w:val="center"/>
          </w:tcPr>
          <w:p>
            <w:pPr>
              <w:spacing w:line="276" w:lineRule="auto"/>
              <w:jc w:val="center"/>
              <w:rPr>
                <w:b w:val="0"/>
                <w:bCs/>
                <w:sz w:val="18"/>
                <w:szCs w:val="18"/>
              </w:rPr>
            </w:pPr>
            <w:r>
              <w:rPr>
                <w:rFonts w:hint="eastAsia"/>
                <w:b w:val="0"/>
                <w:bCs/>
                <w:sz w:val="18"/>
                <w:szCs w:val="18"/>
              </w:rPr>
              <w:t>一级指标</w:t>
            </w:r>
          </w:p>
        </w:tc>
        <w:tc>
          <w:tcPr>
            <w:tcW w:w="1635" w:type="dxa"/>
            <w:vAlign w:val="center"/>
          </w:tcPr>
          <w:p>
            <w:pPr>
              <w:spacing w:line="276" w:lineRule="auto"/>
              <w:jc w:val="center"/>
              <w:rPr>
                <w:b w:val="0"/>
                <w:bCs/>
                <w:sz w:val="18"/>
                <w:szCs w:val="18"/>
              </w:rPr>
            </w:pPr>
            <w:r>
              <w:rPr>
                <w:rFonts w:hint="eastAsia"/>
                <w:b w:val="0"/>
                <w:bCs/>
                <w:sz w:val="18"/>
                <w:szCs w:val="18"/>
              </w:rPr>
              <w:t>二级指标</w:t>
            </w:r>
          </w:p>
        </w:tc>
        <w:tc>
          <w:tcPr>
            <w:tcW w:w="757" w:type="dxa"/>
            <w:vAlign w:val="center"/>
          </w:tcPr>
          <w:p>
            <w:pPr>
              <w:spacing w:line="276" w:lineRule="auto"/>
              <w:jc w:val="center"/>
              <w:rPr>
                <w:b w:val="0"/>
                <w:bCs/>
                <w:sz w:val="18"/>
                <w:szCs w:val="18"/>
              </w:rPr>
            </w:pPr>
            <w:r>
              <w:rPr>
                <w:rFonts w:hint="eastAsia"/>
                <w:b w:val="0"/>
                <w:bCs/>
                <w:sz w:val="18"/>
                <w:szCs w:val="18"/>
              </w:rPr>
              <w:t>单位</w:t>
            </w:r>
          </w:p>
        </w:tc>
        <w:tc>
          <w:tcPr>
            <w:tcW w:w="640" w:type="dxa"/>
            <w:vAlign w:val="center"/>
          </w:tcPr>
          <w:p>
            <w:pPr>
              <w:spacing w:line="276" w:lineRule="auto"/>
              <w:rPr>
                <w:b w:val="0"/>
                <w:bCs/>
                <w:sz w:val="18"/>
                <w:szCs w:val="18"/>
              </w:rPr>
            </w:pPr>
            <w:r>
              <w:rPr>
                <w:rFonts w:hint="eastAsia"/>
                <w:b w:val="0"/>
                <w:bCs/>
                <w:sz w:val="18"/>
                <w:szCs w:val="18"/>
              </w:rPr>
              <w:t>属性</w:t>
            </w:r>
          </w:p>
        </w:tc>
        <w:tc>
          <w:tcPr>
            <w:tcW w:w="1510" w:type="dxa"/>
            <w:vAlign w:val="center"/>
          </w:tcPr>
          <w:p>
            <w:pPr>
              <w:spacing w:line="276" w:lineRule="auto"/>
              <w:jc w:val="center"/>
              <w:rPr>
                <w:b w:val="0"/>
                <w:bCs/>
                <w:sz w:val="18"/>
                <w:szCs w:val="18"/>
              </w:rPr>
            </w:pPr>
            <w:r>
              <w:rPr>
                <w:rFonts w:hint="eastAsia"/>
                <w:b w:val="0"/>
                <w:bCs/>
                <w:sz w:val="18"/>
                <w:szCs w:val="18"/>
              </w:rPr>
              <w:t>载体</w:t>
            </w:r>
          </w:p>
        </w:tc>
        <w:tc>
          <w:tcPr>
            <w:tcW w:w="3600" w:type="dxa"/>
            <w:vAlign w:val="center"/>
          </w:tcPr>
          <w:p>
            <w:pPr>
              <w:spacing w:line="276" w:lineRule="auto"/>
              <w:jc w:val="center"/>
              <w:rPr>
                <w:b w:val="0"/>
                <w:bCs/>
                <w:sz w:val="18"/>
                <w:szCs w:val="18"/>
              </w:rPr>
            </w:pPr>
            <w:r>
              <w:rPr>
                <w:rFonts w:hint="eastAsia"/>
                <w:b w:val="0"/>
                <w:bCs/>
                <w:sz w:val="18"/>
                <w:szCs w:val="18"/>
              </w:rPr>
              <w:t>赋值依据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restart"/>
            <w:vAlign w:val="center"/>
          </w:tcPr>
          <w:p>
            <w:pPr>
              <w:spacing w:line="276" w:lineRule="auto"/>
              <w:rPr>
                <w:sz w:val="18"/>
                <w:szCs w:val="18"/>
              </w:rPr>
            </w:pPr>
            <w:r>
              <w:rPr>
                <w:rFonts w:hint="eastAsia"/>
                <w:sz w:val="18"/>
                <w:szCs w:val="18"/>
              </w:rPr>
              <w:t>绿色管理体系建设</w:t>
            </w:r>
          </w:p>
        </w:tc>
        <w:tc>
          <w:tcPr>
            <w:tcW w:w="1635" w:type="dxa"/>
            <w:vAlign w:val="center"/>
          </w:tcPr>
          <w:p>
            <w:pPr>
              <w:spacing w:line="276" w:lineRule="auto"/>
              <w:rPr>
                <w:sz w:val="18"/>
                <w:szCs w:val="18"/>
              </w:rPr>
            </w:pPr>
            <w:r>
              <w:rPr>
                <w:rFonts w:hint="eastAsia"/>
                <w:sz w:val="18"/>
                <w:szCs w:val="18"/>
              </w:rPr>
              <w:t>能源管理体系</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认证证书</w:t>
            </w:r>
          </w:p>
        </w:tc>
        <w:tc>
          <w:tcPr>
            <w:tcW w:w="3600" w:type="dxa"/>
            <w:vAlign w:val="center"/>
          </w:tcPr>
          <w:p>
            <w:pPr>
              <w:spacing w:line="276" w:lineRule="auto"/>
              <w:rPr>
                <w:sz w:val="18"/>
                <w:szCs w:val="18"/>
              </w:rPr>
            </w:pPr>
            <w:r>
              <w:rPr>
                <w:rFonts w:hint="eastAsia"/>
                <w:sz w:val="18"/>
                <w:szCs w:val="18"/>
              </w:rPr>
              <w:t>建立并实施《能源管理体系—要求及使用指南》（GB/T 23331-2020）、I</w:t>
            </w:r>
            <w:r>
              <w:rPr>
                <w:sz w:val="18"/>
                <w:szCs w:val="18"/>
              </w:rPr>
              <w:t>SO50001</w:t>
            </w:r>
            <w:r>
              <w:rPr>
                <w:rFonts w:hint="eastAsia"/>
                <w:sz w:val="18"/>
                <w:szCs w:val="18"/>
              </w:rPr>
              <w:t>能源管理体系，并获得第三方认证证书，该指标得1分，否则得0分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环境管理体系</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认证证书</w:t>
            </w:r>
          </w:p>
        </w:tc>
        <w:tc>
          <w:tcPr>
            <w:tcW w:w="3600" w:type="dxa"/>
            <w:vAlign w:val="center"/>
          </w:tcPr>
          <w:p>
            <w:pPr>
              <w:spacing w:line="276" w:lineRule="auto"/>
              <w:rPr>
                <w:sz w:val="18"/>
                <w:szCs w:val="18"/>
              </w:rPr>
            </w:pPr>
            <w:r>
              <w:rPr>
                <w:rFonts w:hint="eastAsia"/>
                <w:sz w:val="18"/>
                <w:szCs w:val="18"/>
              </w:rPr>
              <w:t>建立并实施《环境管理体系标准》（ISO14001），并获得第三方认证证书，该指标得1分，否则得0分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质量管理体系</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认证证书</w:t>
            </w:r>
          </w:p>
        </w:tc>
        <w:tc>
          <w:tcPr>
            <w:tcW w:w="3600" w:type="dxa"/>
            <w:vAlign w:val="center"/>
          </w:tcPr>
          <w:p>
            <w:pPr>
              <w:spacing w:line="276" w:lineRule="auto"/>
              <w:rPr>
                <w:sz w:val="18"/>
                <w:szCs w:val="18"/>
              </w:rPr>
            </w:pPr>
            <w:r>
              <w:rPr>
                <w:rFonts w:hint="eastAsia"/>
                <w:sz w:val="18"/>
                <w:szCs w:val="18"/>
              </w:rPr>
              <w:t>建立并实施《质量管理体系——要求》（GB/T 19001）、I</w:t>
            </w:r>
            <w:r>
              <w:rPr>
                <w:sz w:val="18"/>
                <w:szCs w:val="18"/>
              </w:rPr>
              <w:t>SO9001</w:t>
            </w:r>
            <w:r>
              <w:rPr>
                <w:rFonts w:hint="eastAsia"/>
                <w:sz w:val="18"/>
                <w:szCs w:val="18"/>
              </w:rPr>
              <w:t>质量管理体系，并获得第三方认证证书，该指标得1分，否则得0分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职业健康安全管理体系</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认证证书</w:t>
            </w:r>
          </w:p>
        </w:tc>
        <w:tc>
          <w:tcPr>
            <w:tcW w:w="3600" w:type="dxa"/>
            <w:vAlign w:val="center"/>
          </w:tcPr>
          <w:p>
            <w:pPr>
              <w:spacing w:line="276" w:lineRule="auto"/>
              <w:rPr>
                <w:sz w:val="18"/>
                <w:szCs w:val="18"/>
              </w:rPr>
            </w:pPr>
            <w:r>
              <w:rPr>
                <w:rFonts w:hint="eastAsia"/>
                <w:sz w:val="18"/>
                <w:szCs w:val="18"/>
              </w:rPr>
              <w:t>建立并实施《职业健康安全管理体系—要求及使用指南》（GB/T 45001-2020）、I</w:t>
            </w:r>
            <w:r>
              <w:rPr>
                <w:sz w:val="18"/>
                <w:szCs w:val="18"/>
              </w:rPr>
              <w:t>SO45001</w:t>
            </w:r>
            <w:r>
              <w:rPr>
                <w:rFonts w:hint="eastAsia"/>
                <w:sz w:val="18"/>
                <w:szCs w:val="18"/>
              </w:rPr>
              <w:t>职业健康安全管理体系，并获得第三方认证证书，该指标得1分，否则得0分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绿色供应链管理战略</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企业提供认证材料</w:t>
            </w:r>
          </w:p>
        </w:tc>
        <w:tc>
          <w:tcPr>
            <w:tcW w:w="3600" w:type="dxa"/>
            <w:vAlign w:val="center"/>
          </w:tcPr>
          <w:p>
            <w:pPr>
              <w:spacing w:line="276" w:lineRule="auto"/>
              <w:rPr>
                <w:sz w:val="18"/>
                <w:szCs w:val="18"/>
              </w:rPr>
            </w:pPr>
            <w:r>
              <w:rPr>
                <w:rFonts w:hint="eastAsia"/>
                <w:sz w:val="18"/>
                <w:szCs w:val="18"/>
              </w:rPr>
              <w:t>考察：①纳入公司发展规划。②制定绿色供应链管理目标。③设置专门管理机构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restart"/>
            <w:vAlign w:val="center"/>
          </w:tcPr>
          <w:p>
            <w:pPr>
              <w:spacing w:line="276" w:lineRule="auto"/>
              <w:rPr>
                <w:sz w:val="18"/>
                <w:szCs w:val="18"/>
              </w:rPr>
            </w:pPr>
            <w:r>
              <w:rPr>
                <w:rFonts w:hint="eastAsia"/>
                <w:sz w:val="18"/>
                <w:szCs w:val="18"/>
              </w:rPr>
              <w:t>绿色生产</w:t>
            </w:r>
          </w:p>
        </w:tc>
        <w:tc>
          <w:tcPr>
            <w:tcW w:w="1635" w:type="dxa"/>
            <w:vAlign w:val="center"/>
          </w:tcPr>
          <w:p>
            <w:pPr>
              <w:spacing w:line="276" w:lineRule="auto"/>
              <w:rPr>
                <w:sz w:val="18"/>
                <w:szCs w:val="18"/>
              </w:rPr>
            </w:pPr>
            <w:r>
              <w:rPr>
                <w:rFonts w:hint="eastAsia"/>
                <w:sz w:val="18"/>
                <w:szCs w:val="18"/>
              </w:rPr>
              <w:t>单位产值能耗</w:t>
            </w:r>
          </w:p>
        </w:tc>
        <w:tc>
          <w:tcPr>
            <w:tcW w:w="757" w:type="dxa"/>
            <w:vAlign w:val="center"/>
          </w:tcPr>
          <w:p>
            <w:pPr>
              <w:spacing w:line="276" w:lineRule="auto"/>
              <w:rPr>
                <w:sz w:val="18"/>
                <w:szCs w:val="18"/>
              </w:rPr>
            </w:pPr>
            <w:r>
              <w:rPr>
                <w:rFonts w:hint="eastAsia"/>
                <w:sz w:val="18"/>
                <w:szCs w:val="18"/>
              </w:rPr>
              <w:t>吨标煤</w:t>
            </w:r>
            <w:r>
              <w:rPr>
                <w:sz w:val="18"/>
                <w:szCs w:val="18"/>
              </w:rPr>
              <w:t>/</w:t>
            </w:r>
            <w:r>
              <w:rPr>
                <w:rFonts w:hint="eastAsia"/>
                <w:sz w:val="18"/>
                <w:szCs w:val="18"/>
              </w:rPr>
              <w:t>万元</w:t>
            </w:r>
          </w:p>
        </w:tc>
        <w:tc>
          <w:tcPr>
            <w:tcW w:w="640" w:type="dxa"/>
            <w:vAlign w:val="center"/>
          </w:tcPr>
          <w:p>
            <w:pPr>
              <w:spacing w:line="276" w:lineRule="auto"/>
              <w:rPr>
                <w:sz w:val="18"/>
                <w:szCs w:val="18"/>
              </w:rPr>
            </w:pPr>
            <w:r>
              <w:rPr>
                <w:rFonts w:hint="eastAsia"/>
                <w:sz w:val="18"/>
                <w:szCs w:val="18"/>
              </w:rPr>
              <w:t>负</w:t>
            </w:r>
          </w:p>
        </w:tc>
        <w:tc>
          <w:tcPr>
            <w:tcW w:w="1510" w:type="dxa"/>
            <w:vMerge w:val="restart"/>
            <w:vAlign w:val="center"/>
          </w:tcPr>
          <w:p>
            <w:pPr>
              <w:spacing w:line="276" w:lineRule="auto"/>
              <w:rPr>
                <w:sz w:val="18"/>
                <w:szCs w:val="18"/>
              </w:rPr>
            </w:pPr>
            <w:r>
              <w:rPr>
                <w:rFonts w:hint="eastAsia"/>
                <w:sz w:val="18"/>
                <w:szCs w:val="18"/>
              </w:rPr>
              <w:t>企业官方数据</w:t>
            </w:r>
          </w:p>
        </w:tc>
        <w:tc>
          <w:tcPr>
            <w:tcW w:w="3600" w:type="dxa"/>
            <w:vMerge w:val="restart"/>
            <w:vAlign w:val="center"/>
          </w:tcPr>
          <w:p>
            <w:pPr>
              <w:spacing w:line="276" w:lineRule="auto"/>
              <w:rPr>
                <w:sz w:val="18"/>
                <w:szCs w:val="18"/>
              </w:rPr>
            </w:pPr>
            <w:r>
              <w:rPr>
                <w:rFonts w:hint="eastAsia"/>
                <w:sz w:val="18"/>
                <w:szCs w:val="18"/>
              </w:rPr>
              <w:t>依据国务院：《2024-2025年节能降碳行动方案》，结合定量与定性指标综合反映供应商生产过程的绿色水平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非化石能源消费比率</w:t>
            </w:r>
          </w:p>
        </w:tc>
        <w:tc>
          <w:tcPr>
            <w:tcW w:w="757" w:type="dxa"/>
            <w:vAlign w:val="center"/>
          </w:tcPr>
          <w:p>
            <w:pPr>
              <w:spacing w:line="276" w:lineRule="auto"/>
              <w:rPr>
                <w:sz w:val="18"/>
                <w:szCs w:val="18"/>
              </w:rPr>
            </w:pPr>
            <w:r>
              <w:rPr>
                <w:rFonts w:hint="eastAsia"/>
                <w:sz w:val="18"/>
                <w:szCs w:val="18"/>
              </w:rPr>
              <w:t>%</w:t>
            </w:r>
          </w:p>
        </w:tc>
        <w:tc>
          <w:tcPr>
            <w:tcW w:w="640" w:type="dxa"/>
            <w:vAlign w:val="center"/>
          </w:tcPr>
          <w:p>
            <w:pPr>
              <w:spacing w:line="276" w:lineRule="auto"/>
              <w:rPr>
                <w:sz w:val="18"/>
                <w:szCs w:val="18"/>
              </w:rPr>
            </w:pPr>
            <w:r>
              <w:rPr>
                <w:rFonts w:hint="eastAsia"/>
                <w:sz w:val="18"/>
                <w:szCs w:val="18"/>
              </w:rPr>
              <w:t>正</w:t>
            </w:r>
          </w:p>
        </w:tc>
        <w:tc>
          <w:tcPr>
            <w:tcW w:w="1510" w:type="dxa"/>
            <w:vMerge w:val="continue"/>
            <w:vAlign w:val="center"/>
          </w:tcPr>
          <w:p>
            <w:pPr>
              <w:spacing w:line="276" w:lineRule="auto"/>
              <w:rPr>
                <w:sz w:val="18"/>
                <w:szCs w:val="18"/>
              </w:rPr>
            </w:pPr>
          </w:p>
        </w:tc>
        <w:tc>
          <w:tcPr>
            <w:tcW w:w="3600" w:type="dxa"/>
            <w:vMerge w:val="continue"/>
            <w:vAlign w:val="center"/>
          </w:tcPr>
          <w:p>
            <w:pPr>
              <w:spacing w:line="276"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绿色制造体系建设</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认证证书</w:t>
            </w:r>
          </w:p>
        </w:tc>
        <w:tc>
          <w:tcPr>
            <w:tcW w:w="3600" w:type="dxa"/>
            <w:vAlign w:val="center"/>
          </w:tcPr>
          <w:p>
            <w:pPr>
              <w:spacing w:line="276" w:lineRule="auto"/>
              <w:rPr>
                <w:sz w:val="18"/>
                <w:szCs w:val="18"/>
              </w:rPr>
            </w:pPr>
            <w:r>
              <w:rPr>
                <w:rFonts w:hint="eastAsia"/>
                <w:sz w:val="18"/>
                <w:szCs w:val="18"/>
              </w:rPr>
              <w:t>对于开展绿色企业、绿色工厂、绿色园区、绿色供应链建设的供应商，获得政府主管部门颁授证书或入选名单的，国家级得1分，省级0.5分，地市级0.2分，否则得0分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清洁生产</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企业清洁生产报告</w:t>
            </w:r>
          </w:p>
        </w:tc>
        <w:tc>
          <w:tcPr>
            <w:tcW w:w="3600" w:type="dxa"/>
            <w:vAlign w:val="center"/>
          </w:tcPr>
          <w:p>
            <w:pPr>
              <w:spacing w:line="276" w:lineRule="auto"/>
              <w:rPr>
                <w:sz w:val="18"/>
                <w:szCs w:val="18"/>
              </w:rPr>
            </w:pPr>
            <w:r>
              <w:rPr>
                <w:rFonts w:hint="eastAsia"/>
                <w:sz w:val="18"/>
                <w:szCs w:val="18"/>
              </w:rPr>
              <w:t>提供经政府或第三方机构评估或出具颁发的符合清洁生产标准的报告等材料得1分，未经政府或第三方机构评估、不符合标准、未提供的报告的得0分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环境行为承诺</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《企业环境行为承诺书》、《有害物质限用声明》</w:t>
            </w:r>
          </w:p>
        </w:tc>
        <w:tc>
          <w:tcPr>
            <w:tcW w:w="3600" w:type="dxa"/>
            <w:vAlign w:val="center"/>
          </w:tcPr>
          <w:p>
            <w:pPr>
              <w:spacing w:line="276" w:lineRule="auto"/>
              <w:rPr>
                <w:sz w:val="18"/>
                <w:szCs w:val="18"/>
              </w:rPr>
            </w:pPr>
            <w:r>
              <w:rPr>
                <w:rFonts w:hint="eastAsia"/>
                <w:sz w:val="18"/>
                <w:szCs w:val="18"/>
              </w:rPr>
              <w:t>提供《企业环境行为承诺书》的得1分；否则得0分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restart"/>
            <w:vAlign w:val="center"/>
          </w:tcPr>
          <w:p>
            <w:pPr>
              <w:spacing w:line="276" w:lineRule="auto"/>
              <w:rPr>
                <w:sz w:val="18"/>
                <w:szCs w:val="18"/>
              </w:rPr>
            </w:pPr>
            <w:r>
              <w:rPr>
                <w:rFonts w:hint="eastAsia"/>
                <w:sz w:val="18"/>
                <w:szCs w:val="18"/>
              </w:rPr>
              <w:t>绿色物流及回收</w:t>
            </w:r>
          </w:p>
        </w:tc>
        <w:tc>
          <w:tcPr>
            <w:tcW w:w="1635" w:type="dxa"/>
            <w:vAlign w:val="center"/>
          </w:tcPr>
          <w:p>
            <w:pPr>
              <w:spacing w:line="276" w:lineRule="auto"/>
              <w:rPr>
                <w:sz w:val="18"/>
                <w:szCs w:val="18"/>
              </w:rPr>
            </w:pPr>
            <w:r>
              <w:rPr>
                <w:rFonts w:hint="eastAsia"/>
                <w:sz w:val="18"/>
                <w:szCs w:val="18"/>
              </w:rPr>
              <w:t>绿色运输</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企业绿色运输报告或认证证书</w:t>
            </w:r>
          </w:p>
        </w:tc>
        <w:tc>
          <w:tcPr>
            <w:tcW w:w="3600" w:type="dxa"/>
            <w:vAlign w:val="center"/>
          </w:tcPr>
          <w:p>
            <w:pPr>
              <w:spacing w:line="276" w:lineRule="auto"/>
              <w:rPr>
                <w:sz w:val="18"/>
                <w:szCs w:val="18"/>
              </w:rPr>
            </w:pPr>
            <w:r>
              <w:rPr>
                <w:rFonts w:hint="eastAsia"/>
                <w:sz w:val="18"/>
                <w:szCs w:val="18"/>
              </w:rPr>
              <w:t>综合考察供应商绿色运输报告，涵盖绿色运输开展情况及成效、下一步工作计划，内容包括但不限于新能源车辆使用、集装单元化运输、串点联运（多式联运）、ELP运输监控等；未提供绿色运输报告得0分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绿色包装</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企业绿色运输报告或认证证书</w:t>
            </w:r>
          </w:p>
        </w:tc>
        <w:tc>
          <w:tcPr>
            <w:tcW w:w="3600" w:type="dxa"/>
            <w:vAlign w:val="center"/>
          </w:tcPr>
          <w:p>
            <w:pPr>
              <w:spacing w:line="276" w:lineRule="auto"/>
              <w:rPr>
                <w:sz w:val="18"/>
                <w:szCs w:val="18"/>
              </w:rPr>
            </w:pPr>
            <w:r>
              <w:rPr>
                <w:rFonts w:hint="eastAsia"/>
                <w:sz w:val="18"/>
                <w:szCs w:val="18"/>
              </w:rPr>
              <w:t>综合考察材料减量化、环保性与可回收性、可再生性、可降解性、无害化技术说明、可重复利用包装产品清单和使用方法、回收利用包装产品清单和使用方法、简化包装结构技术说明、回收利用包装产品认证情况等；未提供绿色包装材料部分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产品回收率</w:t>
            </w:r>
          </w:p>
        </w:tc>
        <w:tc>
          <w:tcPr>
            <w:tcW w:w="757" w:type="dxa"/>
            <w:vAlign w:val="center"/>
          </w:tcPr>
          <w:p>
            <w:pPr>
              <w:spacing w:line="276" w:lineRule="auto"/>
              <w:rPr>
                <w:sz w:val="18"/>
                <w:szCs w:val="18"/>
              </w:rPr>
            </w:pPr>
            <w:r>
              <w:rPr>
                <w:rFonts w:hint="eastAsia"/>
                <w:sz w:val="18"/>
                <w:szCs w:val="18"/>
              </w:rPr>
              <w:t>%</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企业官方数据</w:t>
            </w:r>
          </w:p>
        </w:tc>
        <w:tc>
          <w:tcPr>
            <w:tcW w:w="3600" w:type="dxa"/>
            <w:vAlign w:val="center"/>
          </w:tcPr>
          <w:p>
            <w:pPr>
              <w:spacing w:line="276" w:lineRule="auto"/>
              <w:rPr>
                <w:sz w:val="18"/>
                <w:szCs w:val="18"/>
              </w:rPr>
            </w:pPr>
            <w:r>
              <w:rPr>
                <w:rFonts w:hint="eastAsia"/>
                <w:sz w:val="18"/>
                <w:szCs w:val="18"/>
              </w:rPr>
              <w:t>产品回收率 = 回收物重量（或体积）÷ 废弃物总重量（或体积）×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restart"/>
            <w:vAlign w:val="center"/>
          </w:tcPr>
          <w:p>
            <w:pPr>
              <w:spacing w:line="276" w:lineRule="auto"/>
              <w:rPr>
                <w:sz w:val="18"/>
                <w:szCs w:val="18"/>
              </w:rPr>
            </w:pPr>
            <w:r>
              <w:rPr>
                <w:rFonts w:hint="eastAsia"/>
                <w:sz w:val="18"/>
                <w:szCs w:val="18"/>
              </w:rPr>
              <w:t>企业碳减排</w:t>
            </w:r>
          </w:p>
        </w:tc>
        <w:tc>
          <w:tcPr>
            <w:tcW w:w="1635" w:type="dxa"/>
            <w:vAlign w:val="center"/>
          </w:tcPr>
          <w:p>
            <w:pPr>
              <w:spacing w:line="276" w:lineRule="auto"/>
              <w:rPr>
                <w:sz w:val="18"/>
                <w:szCs w:val="18"/>
              </w:rPr>
            </w:pPr>
            <w:r>
              <w:rPr>
                <w:rFonts w:hint="eastAsia"/>
                <w:sz w:val="18"/>
                <w:szCs w:val="18"/>
              </w:rPr>
              <w:t>“双碳”承诺</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Merge w:val="restart"/>
            <w:vAlign w:val="center"/>
          </w:tcPr>
          <w:p>
            <w:pPr>
              <w:spacing w:line="276" w:lineRule="auto"/>
              <w:rPr>
                <w:sz w:val="18"/>
                <w:szCs w:val="18"/>
              </w:rPr>
            </w:pPr>
            <w:r>
              <w:rPr>
                <w:rFonts w:hint="eastAsia"/>
                <w:sz w:val="18"/>
                <w:szCs w:val="18"/>
              </w:rPr>
              <w:t>企业碳排放报告或证书</w:t>
            </w:r>
          </w:p>
        </w:tc>
        <w:tc>
          <w:tcPr>
            <w:tcW w:w="3600" w:type="dxa"/>
            <w:vAlign w:val="center"/>
          </w:tcPr>
          <w:p>
            <w:pPr>
              <w:spacing w:line="276" w:lineRule="auto"/>
              <w:rPr>
                <w:sz w:val="18"/>
                <w:szCs w:val="18"/>
              </w:rPr>
            </w:pPr>
            <w:r>
              <w:rPr>
                <w:rFonts w:hint="eastAsia"/>
                <w:sz w:val="18"/>
                <w:szCs w:val="18"/>
              </w:rPr>
              <w:t>提供“双碳”承诺该指标得1分，否则得0分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碳排放总量</w:t>
            </w:r>
          </w:p>
        </w:tc>
        <w:tc>
          <w:tcPr>
            <w:tcW w:w="757" w:type="dxa"/>
            <w:vAlign w:val="center"/>
          </w:tcPr>
          <w:p>
            <w:pPr>
              <w:spacing w:line="276" w:lineRule="auto"/>
              <w:rPr>
                <w:sz w:val="18"/>
                <w:szCs w:val="18"/>
              </w:rPr>
            </w:pPr>
            <w:r>
              <w:rPr>
                <w:rFonts w:hint="eastAsia"/>
                <w:sz w:val="18"/>
                <w:szCs w:val="18"/>
              </w:rPr>
              <w:t>吨</w:t>
            </w:r>
          </w:p>
        </w:tc>
        <w:tc>
          <w:tcPr>
            <w:tcW w:w="640" w:type="dxa"/>
            <w:vAlign w:val="center"/>
          </w:tcPr>
          <w:p>
            <w:pPr>
              <w:spacing w:line="276" w:lineRule="auto"/>
              <w:rPr>
                <w:sz w:val="18"/>
                <w:szCs w:val="18"/>
              </w:rPr>
            </w:pPr>
            <w:r>
              <w:rPr>
                <w:rFonts w:hint="eastAsia"/>
                <w:sz w:val="18"/>
                <w:szCs w:val="18"/>
              </w:rPr>
              <w:t>负</w:t>
            </w:r>
          </w:p>
        </w:tc>
        <w:tc>
          <w:tcPr>
            <w:tcW w:w="1510" w:type="dxa"/>
            <w:vMerge w:val="continue"/>
            <w:vAlign w:val="center"/>
          </w:tcPr>
          <w:p>
            <w:pPr>
              <w:spacing w:line="276" w:lineRule="auto"/>
              <w:ind w:firstLine="560"/>
              <w:rPr>
                <w:sz w:val="18"/>
                <w:szCs w:val="18"/>
              </w:rPr>
            </w:pPr>
          </w:p>
        </w:tc>
        <w:tc>
          <w:tcPr>
            <w:tcW w:w="3600" w:type="dxa"/>
            <w:vAlign w:val="center"/>
          </w:tcPr>
          <w:p>
            <w:pPr>
              <w:spacing w:line="276" w:lineRule="auto"/>
              <w:rPr>
                <w:sz w:val="18"/>
                <w:szCs w:val="18"/>
              </w:rPr>
            </w:pPr>
            <w:r>
              <w:rPr>
                <w:rFonts w:hint="eastAsia"/>
                <w:sz w:val="18"/>
                <w:szCs w:val="18"/>
              </w:rPr>
              <w:t>碳排放总量应覆盖范围1、范围2、范围3和总量，若排放边界完整，该指标得分按照排放数据标准化处理后得到指标得分；若排放边界不完整，该指标不需经过标准化处理，得分为0分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碳排放强度</w:t>
            </w:r>
          </w:p>
        </w:tc>
        <w:tc>
          <w:tcPr>
            <w:tcW w:w="757" w:type="dxa"/>
            <w:vAlign w:val="center"/>
          </w:tcPr>
          <w:p>
            <w:pPr>
              <w:spacing w:line="276" w:lineRule="auto"/>
              <w:rPr>
                <w:sz w:val="18"/>
                <w:szCs w:val="18"/>
              </w:rPr>
            </w:pPr>
            <w:r>
              <w:rPr>
                <w:rFonts w:hint="eastAsia"/>
                <w:sz w:val="18"/>
                <w:szCs w:val="18"/>
              </w:rPr>
              <w:t>吨/万元</w:t>
            </w:r>
          </w:p>
        </w:tc>
        <w:tc>
          <w:tcPr>
            <w:tcW w:w="640" w:type="dxa"/>
            <w:vAlign w:val="center"/>
          </w:tcPr>
          <w:p>
            <w:pPr>
              <w:spacing w:line="276" w:lineRule="auto"/>
              <w:rPr>
                <w:sz w:val="18"/>
                <w:szCs w:val="18"/>
              </w:rPr>
            </w:pPr>
            <w:r>
              <w:rPr>
                <w:rFonts w:hint="eastAsia"/>
                <w:sz w:val="18"/>
                <w:szCs w:val="18"/>
              </w:rPr>
              <w:t>负</w:t>
            </w:r>
          </w:p>
        </w:tc>
        <w:tc>
          <w:tcPr>
            <w:tcW w:w="1510" w:type="dxa"/>
            <w:vMerge w:val="continue"/>
            <w:vAlign w:val="center"/>
          </w:tcPr>
          <w:p>
            <w:pPr>
              <w:spacing w:line="276" w:lineRule="auto"/>
              <w:ind w:firstLine="560"/>
              <w:rPr>
                <w:sz w:val="18"/>
                <w:szCs w:val="18"/>
              </w:rPr>
            </w:pPr>
          </w:p>
        </w:tc>
        <w:tc>
          <w:tcPr>
            <w:tcW w:w="3600" w:type="dxa"/>
            <w:vAlign w:val="center"/>
          </w:tcPr>
          <w:p>
            <w:pPr>
              <w:spacing w:line="276" w:lineRule="auto"/>
              <w:rPr>
                <w:sz w:val="18"/>
                <w:szCs w:val="18"/>
              </w:rPr>
            </w:pPr>
            <w:r>
              <w:rPr>
                <w:rFonts w:hint="eastAsia"/>
                <w:sz w:val="18"/>
                <w:szCs w:val="18"/>
              </w:rPr>
              <w:t>碳排放强度 = 碳排放总量 ÷ 企业产值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碳排放增长率</w:t>
            </w:r>
          </w:p>
        </w:tc>
        <w:tc>
          <w:tcPr>
            <w:tcW w:w="757" w:type="dxa"/>
            <w:vAlign w:val="center"/>
          </w:tcPr>
          <w:p>
            <w:pPr>
              <w:spacing w:line="276" w:lineRule="auto"/>
              <w:rPr>
                <w:sz w:val="18"/>
                <w:szCs w:val="18"/>
              </w:rPr>
            </w:pPr>
            <w:r>
              <w:rPr>
                <w:rFonts w:hint="eastAsia"/>
                <w:sz w:val="18"/>
                <w:szCs w:val="18"/>
              </w:rPr>
              <w:t>%</w:t>
            </w:r>
          </w:p>
        </w:tc>
        <w:tc>
          <w:tcPr>
            <w:tcW w:w="640" w:type="dxa"/>
            <w:vAlign w:val="center"/>
          </w:tcPr>
          <w:p>
            <w:pPr>
              <w:spacing w:line="276" w:lineRule="auto"/>
              <w:rPr>
                <w:sz w:val="18"/>
                <w:szCs w:val="18"/>
              </w:rPr>
            </w:pPr>
            <w:r>
              <w:rPr>
                <w:rFonts w:hint="eastAsia"/>
                <w:sz w:val="18"/>
                <w:szCs w:val="18"/>
              </w:rPr>
              <w:t>负</w:t>
            </w:r>
          </w:p>
        </w:tc>
        <w:tc>
          <w:tcPr>
            <w:tcW w:w="1510" w:type="dxa"/>
            <w:vMerge w:val="continue"/>
            <w:vAlign w:val="center"/>
          </w:tcPr>
          <w:p>
            <w:pPr>
              <w:spacing w:line="276" w:lineRule="auto"/>
              <w:ind w:firstLine="560"/>
              <w:rPr>
                <w:sz w:val="18"/>
                <w:szCs w:val="18"/>
              </w:rPr>
            </w:pPr>
          </w:p>
        </w:tc>
        <w:tc>
          <w:tcPr>
            <w:tcW w:w="3600" w:type="dxa"/>
            <w:vAlign w:val="center"/>
          </w:tcPr>
          <w:p>
            <w:pPr>
              <w:spacing w:line="276" w:lineRule="auto"/>
              <w:rPr>
                <w:sz w:val="18"/>
                <w:szCs w:val="18"/>
              </w:rPr>
            </w:pPr>
            <w:r>
              <w:rPr>
                <w:rFonts w:hint="eastAsia"/>
                <w:sz w:val="18"/>
                <w:szCs w:val="18"/>
              </w:rPr>
              <w:t>碳排放增长率 = （本期碳排放量 - 上期碳排放量） ÷ 上期碳排放量 ×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节能减排措施</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Merge w:val="continue"/>
            <w:vAlign w:val="center"/>
          </w:tcPr>
          <w:p>
            <w:pPr>
              <w:spacing w:line="276" w:lineRule="auto"/>
              <w:ind w:firstLine="560"/>
              <w:rPr>
                <w:sz w:val="18"/>
                <w:szCs w:val="18"/>
              </w:rPr>
            </w:pPr>
          </w:p>
        </w:tc>
        <w:tc>
          <w:tcPr>
            <w:tcW w:w="3600" w:type="dxa"/>
            <w:vAlign w:val="center"/>
          </w:tcPr>
          <w:p>
            <w:pPr>
              <w:spacing w:line="276" w:lineRule="auto"/>
              <w:rPr>
                <w:sz w:val="18"/>
                <w:szCs w:val="18"/>
              </w:rPr>
            </w:pPr>
            <w:r>
              <w:rPr>
                <w:rFonts w:hint="eastAsia"/>
                <w:sz w:val="18"/>
                <w:szCs w:val="18"/>
              </w:rPr>
              <w:t>提供企业节能减排措施及成效，措施科学合理、取得成效并有佐证材料的，最高可得1分，根据措施成效与科学性酌情赋分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碳信息披露</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Merge w:val="continue"/>
            <w:vAlign w:val="center"/>
          </w:tcPr>
          <w:p>
            <w:pPr>
              <w:spacing w:line="276" w:lineRule="auto"/>
              <w:rPr>
                <w:sz w:val="18"/>
                <w:szCs w:val="18"/>
              </w:rPr>
            </w:pPr>
          </w:p>
        </w:tc>
        <w:tc>
          <w:tcPr>
            <w:tcW w:w="3600" w:type="dxa"/>
            <w:vAlign w:val="center"/>
          </w:tcPr>
          <w:p>
            <w:pPr>
              <w:spacing w:line="276" w:lineRule="auto"/>
              <w:rPr>
                <w:sz w:val="18"/>
                <w:szCs w:val="18"/>
              </w:rPr>
            </w:pPr>
            <w:r>
              <w:rPr>
                <w:rFonts w:hint="eastAsia"/>
                <w:sz w:val="18"/>
                <w:szCs w:val="18"/>
              </w:rPr>
              <w:t>通过企业官网、权威媒体、公共平台、发展报告等途径，准确披露“双碳”承诺、碳减排目标、碳排放现状、碳排放设施等信息，该指标得1分；否则得0分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绿电消费数量</w:t>
            </w:r>
          </w:p>
        </w:tc>
        <w:tc>
          <w:tcPr>
            <w:tcW w:w="757" w:type="dxa"/>
            <w:vAlign w:val="center"/>
          </w:tcPr>
          <w:p>
            <w:pPr>
              <w:spacing w:line="276" w:lineRule="auto"/>
              <w:rPr>
                <w:sz w:val="18"/>
                <w:szCs w:val="18"/>
              </w:rPr>
            </w:pPr>
            <w:r>
              <w:rPr>
                <w:rFonts w:hint="eastAsia"/>
                <w:sz w:val="18"/>
                <w:szCs w:val="18"/>
              </w:rPr>
              <w:t>千瓦时</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省级及以上电力交易机构出具的交易结算凭证：绿色电力消费证明（绿电）</w:t>
            </w:r>
          </w:p>
        </w:tc>
        <w:tc>
          <w:tcPr>
            <w:tcW w:w="3600" w:type="dxa"/>
            <w:vAlign w:val="center"/>
          </w:tcPr>
          <w:p>
            <w:pPr>
              <w:spacing w:line="276" w:lineRule="auto"/>
              <w:rPr>
                <w:sz w:val="18"/>
                <w:szCs w:val="18"/>
              </w:rPr>
            </w:pPr>
            <w:r>
              <w:rPr>
                <w:rFonts w:hint="eastAsia"/>
                <w:sz w:val="18"/>
                <w:szCs w:val="18"/>
              </w:rPr>
              <w:t>体现供应商参与绿电交易的积极性，由绿色电力消费证明记录和跟踪所购入的绿电数量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绿证购买数量</w:t>
            </w:r>
          </w:p>
        </w:tc>
        <w:tc>
          <w:tcPr>
            <w:tcW w:w="757" w:type="dxa"/>
            <w:vAlign w:val="center"/>
          </w:tcPr>
          <w:p>
            <w:pPr>
              <w:spacing w:line="276" w:lineRule="auto"/>
              <w:rPr>
                <w:sz w:val="18"/>
                <w:szCs w:val="18"/>
              </w:rPr>
            </w:pPr>
            <w:r>
              <w:rPr>
                <w:rFonts w:hint="eastAsia"/>
                <w:sz w:val="18"/>
                <w:szCs w:val="18"/>
              </w:rPr>
              <w:t>千瓦时</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省级及以上电力交易机构出具的交易结算凭证：绿色电力购买证明（绿证）</w:t>
            </w:r>
          </w:p>
        </w:tc>
        <w:tc>
          <w:tcPr>
            <w:tcW w:w="3600" w:type="dxa"/>
            <w:vAlign w:val="center"/>
          </w:tcPr>
          <w:p>
            <w:pPr>
              <w:spacing w:line="276" w:lineRule="auto"/>
              <w:rPr>
                <w:sz w:val="18"/>
                <w:szCs w:val="18"/>
              </w:rPr>
            </w:pPr>
            <w:r>
              <w:rPr>
                <w:rFonts w:hint="eastAsia"/>
                <w:sz w:val="18"/>
                <w:szCs w:val="18"/>
              </w:rPr>
              <w:t>资助能源消费结构调整的证明，展示供应商对脱碳目标的贡献。绿证购买数量通过绿色电力购买证明记录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restart"/>
            <w:vAlign w:val="center"/>
          </w:tcPr>
          <w:p>
            <w:pPr>
              <w:spacing w:line="276" w:lineRule="auto"/>
              <w:rPr>
                <w:sz w:val="18"/>
                <w:szCs w:val="18"/>
              </w:rPr>
            </w:pPr>
            <w:r>
              <w:rPr>
                <w:rFonts w:hint="eastAsia"/>
                <w:sz w:val="18"/>
                <w:szCs w:val="18"/>
              </w:rPr>
              <w:t>产品碳足迹</w:t>
            </w:r>
          </w:p>
        </w:tc>
        <w:tc>
          <w:tcPr>
            <w:tcW w:w="1635" w:type="dxa"/>
            <w:vAlign w:val="center"/>
          </w:tcPr>
          <w:p>
            <w:pPr>
              <w:spacing w:line="276" w:lineRule="auto"/>
              <w:rPr>
                <w:sz w:val="18"/>
                <w:szCs w:val="18"/>
              </w:rPr>
            </w:pPr>
            <w:r>
              <w:rPr>
                <w:rFonts w:hint="eastAsia"/>
                <w:sz w:val="18"/>
                <w:szCs w:val="18"/>
              </w:rPr>
              <w:t>产品碳足迹核算</w:t>
            </w:r>
          </w:p>
        </w:tc>
        <w:tc>
          <w:tcPr>
            <w:tcW w:w="757" w:type="dxa"/>
            <w:vAlign w:val="center"/>
          </w:tcPr>
          <w:p>
            <w:pPr>
              <w:spacing w:line="276" w:lineRule="auto"/>
              <w:rPr>
                <w:sz w:val="18"/>
                <w:szCs w:val="18"/>
              </w:rPr>
            </w:pPr>
            <w:r>
              <w:rPr>
                <w:rFonts w:hint="eastAsia"/>
                <w:sz w:val="18"/>
                <w:szCs w:val="18"/>
              </w:rPr>
              <w:t>千克</w:t>
            </w:r>
          </w:p>
        </w:tc>
        <w:tc>
          <w:tcPr>
            <w:tcW w:w="640" w:type="dxa"/>
            <w:vAlign w:val="center"/>
          </w:tcPr>
          <w:p>
            <w:pPr>
              <w:spacing w:line="276" w:lineRule="auto"/>
              <w:rPr>
                <w:sz w:val="18"/>
                <w:szCs w:val="18"/>
              </w:rPr>
            </w:pPr>
            <w:r>
              <w:rPr>
                <w:rFonts w:hint="eastAsia"/>
                <w:sz w:val="18"/>
                <w:szCs w:val="18"/>
              </w:rPr>
              <w:t>负</w:t>
            </w:r>
          </w:p>
        </w:tc>
        <w:tc>
          <w:tcPr>
            <w:tcW w:w="1510" w:type="dxa"/>
            <w:vAlign w:val="center"/>
          </w:tcPr>
          <w:p>
            <w:pPr>
              <w:spacing w:line="276" w:lineRule="auto"/>
              <w:rPr>
                <w:sz w:val="18"/>
                <w:szCs w:val="18"/>
              </w:rPr>
            </w:pPr>
            <w:r>
              <w:rPr>
                <w:rFonts w:hint="eastAsia"/>
                <w:sz w:val="18"/>
                <w:szCs w:val="18"/>
              </w:rPr>
              <w:t>投标产品碳足迹报告或证书</w:t>
            </w:r>
          </w:p>
        </w:tc>
        <w:tc>
          <w:tcPr>
            <w:tcW w:w="3600" w:type="dxa"/>
            <w:vAlign w:val="center"/>
          </w:tcPr>
          <w:p>
            <w:pPr>
              <w:spacing w:line="276" w:lineRule="auto"/>
              <w:rPr>
                <w:sz w:val="18"/>
                <w:szCs w:val="18"/>
              </w:rPr>
            </w:pPr>
            <w:r>
              <w:rPr>
                <w:rFonts w:hint="eastAsia"/>
                <w:sz w:val="18"/>
                <w:szCs w:val="18"/>
              </w:rPr>
              <w:t>需要明确核算产品原材料获取、原材料运输、产品生产3个阶段的碳足迹，若核算边界完整，该指标得分按照产品碳足迹标准化处理后得到指标得分；若未提供产品碳足迹报告或证书以及核算边界不完整，该指标不需经过标准化处理，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产品碳减排措施</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Align w:val="center"/>
          </w:tcPr>
          <w:p>
            <w:pPr>
              <w:spacing w:line="276" w:lineRule="auto"/>
              <w:rPr>
                <w:sz w:val="18"/>
                <w:szCs w:val="18"/>
              </w:rPr>
            </w:pPr>
            <w:r>
              <w:rPr>
                <w:rFonts w:hint="eastAsia"/>
                <w:sz w:val="18"/>
                <w:szCs w:val="18"/>
              </w:rPr>
              <w:t>投标产品碳减排技术清单</w:t>
            </w:r>
          </w:p>
        </w:tc>
        <w:tc>
          <w:tcPr>
            <w:tcW w:w="3600" w:type="dxa"/>
            <w:vAlign w:val="center"/>
          </w:tcPr>
          <w:p>
            <w:pPr>
              <w:spacing w:line="276" w:lineRule="auto"/>
              <w:rPr>
                <w:sz w:val="18"/>
                <w:szCs w:val="18"/>
              </w:rPr>
            </w:pPr>
            <w:r>
              <w:rPr>
                <w:rFonts w:hint="eastAsia"/>
                <w:sz w:val="18"/>
                <w:szCs w:val="18"/>
              </w:rPr>
              <w:t>提供投标产品的碳减排措施及成效，措施科学合理、取得成效并有佐证材料的，最高可得1分，根据措施成效与科学性酌情赋分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restart"/>
            <w:vAlign w:val="center"/>
          </w:tcPr>
          <w:p>
            <w:pPr>
              <w:spacing w:line="276" w:lineRule="auto"/>
              <w:rPr>
                <w:sz w:val="18"/>
                <w:szCs w:val="18"/>
              </w:rPr>
            </w:pPr>
            <w:r>
              <w:rPr>
                <w:rFonts w:hint="eastAsia"/>
                <w:sz w:val="18"/>
                <w:szCs w:val="18"/>
              </w:rPr>
              <w:t>绿色低碳服务能力</w:t>
            </w:r>
          </w:p>
        </w:tc>
        <w:tc>
          <w:tcPr>
            <w:tcW w:w="1635" w:type="dxa"/>
            <w:vAlign w:val="center"/>
          </w:tcPr>
          <w:p>
            <w:pPr>
              <w:spacing w:line="276" w:lineRule="auto"/>
              <w:rPr>
                <w:sz w:val="18"/>
                <w:szCs w:val="18"/>
              </w:rPr>
            </w:pPr>
            <w:r>
              <w:rPr>
                <w:rFonts w:hint="eastAsia"/>
                <w:sz w:val="18"/>
                <w:szCs w:val="18"/>
              </w:rPr>
              <w:t>R</w:t>
            </w:r>
            <w:r>
              <w:rPr>
                <w:sz w:val="18"/>
                <w:szCs w:val="18"/>
              </w:rPr>
              <w:t>&amp;D</w:t>
            </w:r>
            <w:r>
              <w:rPr>
                <w:rFonts w:hint="eastAsia"/>
                <w:sz w:val="18"/>
                <w:szCs w:val="18"/>
              </w:rPr>
              <w:t>经费支出比例</w:t>
            </w:r>
          </w:p>
        </w:tc>
        <w:tc>
          <w:tcPr>
            <w:tcW w:w="757" w:type="dxa"/>
            <w:vAlign w:val="center"/>
          </w:tcPr>
          <w:p>
            <w:pPr>
              <w:spacing w:line="276" w:lineRule="auto"/>
              <w:rPr>
                <w:sz w:val="18"/>
                <w:szCs w:val="18"/>
              </w:rPr>
            </w:pPr>
            <w:r>
              <w:rPr>
                <w:rFonts w:hint="eastAsia"/>
                <w:sz w:val="18"/>
                <w:szCs w:val="18"/>
              </w:rPr>
              <w:t>%</w:t>
            </w:r>
          </w:p>
        </w:tc>
        <w:tc>
          <w:tcPr>
            <w:tcW w:w="640" w:type="dxa"/>
            <w:vAlign w:val="center"/>
          </w:tcPr>
          <w:p>
            <w:pPr>
              <w:spacing w:line="276" w:lineRule="auto"/>
              <w:rPr>
                <w:sz w:val="18"/>
                <w:szCs w:val="18"/>
              </w:rPr>
            </w:pPr>
            <w:r>
              <w:rPr>
                <w:rFonts w:hint="eastAsia"/>
                <w:sz w:val="18"/>
                <w:szCs w:val="18"/>
              </w:rPr>
              <w:t>正</w:t>
            </w:r>
          </w:p>
        </w:tc>
        <w:tc>
          <w:tcPr>
            <w:tcW w:w="1510" w:type="dxa"/>
            <w:vMerge w:val="restart"/>
            <w:vAlign w:val="center"/>
          </w:tcPr>
          <w:p>
            <w:pPr>
              <w:spacing w:line="276" w:lineRule="auto"/>
              <w:rPr>
                <w:sz w:val="18"/>
                <w:szCs w:val="18"/>
              </w:rPr>
            </w:pPr>
            <w:r>
              <w:rPr>
                <w:rFonts w:hint="eastAsia"/>
                <w:sz w:val="18"/>
                <w:szCs w:val="18"/>
              </w:rPr>
              <w:t>企业官方数据</w:t>
            </w:r>
          </w:p>
        </w:tc>
        <w:tc>
          <w:tcPr>
            <w:tcW w:w="3600" w:type="dxa"/>
            <w:vAlign w:val="center"/>
          </w:tcPr>
          <w:p>
            <w:pPr>
              <w:spacing w:line="276" w:lineRule="auto"/>
              <w:rPr>
                <w:sz w:val="18"/>
                <w:szCs w:val="18"/>
              </w:rPr>
            </w:pPr>
            <w:r>
              <w:rPr>
                <w:rFonts w:hint="eastAsia"/>
                <w:sz w:val="18"/>
                <w:szCs w:val="18"/>
              </w:rPr>
              <w:t>R&amp;D经费支出比例 = R&amp;D经费支出 ÷ 营业收入 ×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绿色低碳课题合同金额</w:t>
            </w:r>
          </w:p>
        </w:tc>
        <w:tc>
          <w:tcPr>
            <w:tcW w:w="757" w:type="dxa"/>
            <w:vAlign w:val="center"/>
          </w:tcPr>
          <w:p>
            <w:pPr>
              <w:spacing w:line="276" w:lineRule="auto"/>
              <w:rPr>
                <w:sz w:val="18"/>
                <w:szCs w:val="18"/>
              </w:rPr>
            </w:pPr>
            <w:r>
              <w:rPr>
                <w:rFonts w:hint="eastAsia"/>
                <w:sz w:val="18"/>
                <w:szCs w:val="18"/>
              </w:rPr>
              <w:t>万元</w:t>
            </w:r>
          </w:p>
        </w:tc>
        <w:tc>
          <w:tcPr>
            <w:tcW w:w="640" w:type="dxa"/>
            <w:vAlign w:val="center"/>
          </w:tcPr>
          <w:p>
            <w:pPr>
              <w:spacing w:line="276" w:lineRule="auto"/>
              <w:rPr>
                <w:sz w:val="18"/>
                <w:szCs w:val="18"/>
              </w:rPr>
            </w:pPr>
            <w:r>
              <w:rPr>
                <w:rFonts w:hint="eastAsia"/>
                <w:sz w:val="18"/>
                <w:szCs w:val="18"/>
              </w:rPr>
              <w:t>正</w:t>
            </w:r>
          </w:p>
        </w:tc>
        <w:tc>
          <w:tcPr>
            <w:tcW w:w="1510" w:type="dxa"/>
            <w:vMerge w:val="continue"/>
            <w:vAlign w:val="center"/>
          </w:tcPr>
          <w:p>
            <w:pPr>
              <w:spacing w:line="276" w:lineRule="auto"/>
              <w:rPr>
                <w:sz w:val="18"/>
                <w:szCs w:val="18"/>
              </w:rPr>
            </w:pPr>
          </w:p>
        </w:tc>
        <w:tc>
          <w:tcPr>
            <w:tcW w:w="3600" w:type="dxa"/>
            <w:vAlign w:val="center"/>
          </w:tcPr>
          <w:p>
            <w:pPr>
              <w:spacing w:line="276" w:lineRule="auto"/>
              <w:rPr>
                <w:sz w:val="18"/>
                <w:szCs w:val="18"/>
              </w:rPr>
            </w:pPr>
            <w:r>
              <w:rPr>
                <w:rFonts w:hint="eastAsia"/>
                <w:sz w:val="18"/>
                <w:szCs w:val="18"/>
              </w:rPr>
              <w:t>供应商在前五年度涉及节能减排、绿色环保、可持续发展等相关绿色、低碳领域研究课题的合同金额总量，该指标反映了供应商对绿色课题的重视程度和资源配置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vMerge w:val="continue"/>
            <w:vAlign w:val="center"/>
          </w:tcPr>
          <w:p>
            <w:pPr>
              <w:spacing w:line="276" w:lineRule="auto"/>
              <w:rPr>
                <w:sz w:val="18"/>
                <w:szCs w:val="18"/>
              </w:rPr>
            </w:pPr>
          </w:p>
        </w:tc>
        <w:tc>
          <w:tcPr>
            <w:tcW w:w="1635" w:type="dxa"/>
            <w:vAlign w:val="center"/>
          </w:tcPr>
          <w:p>
            <w:pPr>
              <w:spacing w:line="276" w:lineRule="auto"/>
              <w:rPr>
                <w:sz w:val="18"/>
                <w:szCs w:val="18"/>
              </w:rPr>
            </w:pPr>
            <w:r>
              <w:rPr>
                <w:rFonts w:hint="eastAsia"/>
                <w:sz w:val="18"/>
                <w:szCs w:val="18"/>
              </w:rPr>
              <w:t>绿色低碳课题获奖</w:t>
            </w:r>
          </w:p>
        </w:tc>
        <w:tc>
          <w:tcPr>
            <w:tcW w:w="757" w:type="dxa"/>
            <w:vAlign w:val="center"/>
          </w:tcPr>
          <w:p>
            <w:pPr>
              <w:spacing w:line="276" w:lineRule="auto"/>
              <w:rPr>
                <w:sz w:val="18"/>
                <w:szCs w:val="18"/>
              </w:rPr>
            </w:pPr>
            <w:r>
              <w:rPr>
                <w:rFonts w:hint="eastAsia"/>
                <w:sz w:val="18"/>
                <w:szCs w:val="18"/>
              </w:rPr>
              <w:t>分</w:t>
            </w:r>
          </w:p>
        </w:tc>
        <w:tc>
          <w:tcPr>
            <w:tcW w:w="640" w:type="dxa"/>
            <w:vAlign w:val="center"/>
          </w:tcPr>
          <w:p>
            <w:pPr>
              <w:spacing w:line="276" w:lineRule="auto"/>
              <w:rPr>
                <w:sz w:val="18"/>
                <w:szCs w:val="18"/>
              </w:rPr>
            </w:pPr>
            <w:r>
              <w:rPr>
                <w:rFonts w:hint="eastAsia"/>
                <w:sz w:val="18"/>
                <w:szCs w:val="18"/>
              </w:rPr>
              <w:t>正</w:t>
            </w:r>
          </w:p>
        </w:tc>
        <w:tc>
          <w:tcPr>
            <w:tcW w:w="1510" w:type="dxa"/>
            <w:vMerge w:val="continue"/>
            <w:vAlign w:val="center"/>
          </w:tcPr>
          <w:p>
            <w:pPr>
              <w:spacing w:line="276" w:lineRule="auto"/>
              <w:rPr>
                <w:sz w:val="18"/>
                <w:szCs w:val="18"/>
              </w:rPr>
            </w:pPr>
          </w:p>
        </w:tc>
        <w:tc>
          <w:tcPr>
            <w:tcW w:w="3600" w:type="dxa"/>
            <w:vAlign w:val="center"/>
          </w:tcPr>
          <w:p>
            <w:pPr>
              <w:spacing w:line="276" w:lineRule="auto"/>
              <w:rPr>
                <w:sz w:val="18"/>
                <w:szCs w:val="18"/>
              </w:rPr>
            </w:pPr>
            <w:r>
              <w:rPr>
                <w:rFonts w:hint="eastAsia"/>
                <w:sz w:val="18"/>
                <w:szCs w:val="18"/>
              </w:rPr>
              <w:t>若有绿色课题获得国家级奖励，该指标得1分；若获得省部级或全国等级行业协会奖励，该指标得0.5分；若获得地市级或省级行业协会奖励，该指标得0.2分，否则不得分</w:t>
            </w:r>
          </w:p>
        </w:tc>
      </w:tr>
    </w:tbl>
    <w:p/>
    <w:p/>
    <w:bookmarkEnd w:id="189"/>
    <w:p>
      <w:pPr>
        <w:pStyle w:val="36"/>
        <w:ind w:firstLine="0" w:firstLineChars="0"/>
        <w:sectPr>
          <w:footerReference r:id="rId12" w:type="default"/>
          <w:pgSz w:w="11906" w:h="16838"/>
          <w:pgMar w:top="567" w:right="1134" w:bottom="1134" w:left="1134" w:header="1418" w:footer="1134" w:gutter="284"/>
          <w:pgNumType w:fmt="decimal" w:start="1"/>
          <w:cols w:space="720" w:num="1"/>
          <w:formProt w:val="0"/>
          <w:docGrid w:linePitch="312" w:charSpace="0"/>
        </w:sectPr>
      </w:pPr>
      <w:r>
        <w:rPr/>
        <w:br w:type="textWrapping" w:clear="all"/>
      </w:r>
    </w:p>
    <w:p>
      <w:pPr>
        <w:pStyle w:val="42"/>
        <w:numPr>
          <w:ilvl w:val="0"/>
          <w:numId w:val="0"/>
        </w:numPr>
        <w:spacing w:beforeLines="0" w:afterLines="0"/>
        <w:jc w:val="center"/>
        <w:rPr>
          <w:rFonts w:hint="eastAsia" w:hAnsi="黑体"/>
          <w:szCs w:val="21"/>
        </w:rPr>
      </w:pPr>
      <w:r>
        <w:rPr>
          <w:rFonts w:hint="eastAsia" w:hAnsi="黑体"/>
          <w:szCs w:val="21"/>
        </w:rPr>
        <w:t>参  考  文  献</w:t>
      </w:r>
    </w:p>
    <w:p>
      <w:pPr>
        <w:jc w:val="center"/>
        <w:outlineLvl w:val="0"/>
        <w:rPr>
          <w:rFonts w:hint="default" w:ascii="Times New Roman" w:hAnsi="Times New Roman" w:cs="Times New Roman"/>
          <w:sz w:val="21"/>
          <w:szCs w:val="21"/>
        </w:rPr>
      </w:pPr>
    </w:p>
    <w:p>
      <w:pPr>
        <w:ind w:left="240" w:leftChars="100"/>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rPr>
        <w:tab/>
      </w:r>
      <w:r>
        <w:rPr>
          <w:rFonts w:hint="default" w:ascii="Times New Roman" w:hAnsi="Times New Roman" w:cs="Times New Roman"/>
          <w:sz w:val="21"/>
          <w:szCs w:val="21"/>
        </w:rPr>
        <w:t>GB/T 23331  能源管理体系  要求及使用指南</w:t>
      </w:r>
    </w:p>
    <w:p>
      <w:pPr>
        <w:ind w:left="240" w:leftChars="100"/>
        <w:rPr>
          <w:rFonts w:hint="default" w:ascii="Times New Roman" w:hAnsi="Times New Roman" w:cs="Times New Roman"/>
          <w:sz w:val="21"/>
          <w:szCs w:val="21"/>
        </w:rPr>
      </w:pPr>
      <w:r>
        <w:rPr>
          <w:rFonts w:hint="default" w:ascii="Times New Roman" w:hAnsi="Times New Roman" w:cs="Times New Roman"/>
          <w:sz w:val="21"/>
          <w:szCs w:val="21"/>
        </w:rPr>
        <w:t>[2]</w:t>
      </w:r>
      <w:r>
        <w:rPr>
          <w:rFonts w:hint="default" w:ascii="Times New Roman" w:hAnsi="Times New Roman" w:cs="Times New Roman"/>
          <w:sz w:val="21"/>
          <w:szCs w:val="21"/>
        </w:rPr>
        <w:tab/>
      </w:r>
      <w:r>
        <w:rPr>
          <w:rFonts w:hint="default" w:ascii="Times New Roman" w:hAnsi="Times New Roman" w:cs="Times New Roman"/>
          <w:sz w:val="21"/>
          <w:szCs w:val="21"/>
        </w:rPr>
        <w:t>GB/T 7119  节水型企业评价导则</w:t>
      </w:r>
    </w:p>
    <w:p>
      <w:pPr>
        <w:ind w:left="240" w:leftChars="100"/>
        <w:rPr>
          <w:rFonts w:hint="default" w:ascii="Times New Roman" w:hAnsi="Times New Roman" w:cs="Times New Roman"/>
          <w:sz w:val="21"/>
          <w:szCs w:val="21"/>
        </w:rPr>
      </w:pPr>
      <w:r>
        <w:rPr>
          <w:rFonts w:hint="default" w:ascii="Times New Roman" w:hAnsi="Times New Roman" w:cs="Times New Roman"/>
          <w:sz w:val="21"/>
          <w:szCs w:val="21"/>
        </w:rPr>
        <w:t>[3]</w:t>
      </w:r>
      <w:r>
        <w:rPr>
          <w:rFonts w:hint="default" w:ascii="Times New Roman" w:hAnsi="Times New Roman" w:cs="Times New Roman"/>
          <w:sz w:val="21"/>
          <w:szCs w:val="21"/>
        </w:rPr>
        <w:tab/>
      </w:r>
      <w:r>
        <w:rPr>
          <w:rFonts w:hint="default" w:ascii="Times New Roman" w:hAnsi="Times New Roman" w:cs="Times New Roman"/>
          <w:sz w:val="21"/>
          <w:szCs w:val="21"/>
        </w:rPr>
        <w:t>GB/T 24420  供应链风险管理指南</w:t>
      </w:r>
    </w:p>
    <w:p>
      <w:pPr>
        <w:ind w:left="240" w:leftChars="100"/>
        <w:rPr>
          <w:rFonts w:hint="default" w:ascii="Times New Roman" w:hAnsi="Times New Roman" w:cs="Times New Roman"/>
          <w:sz w:val="21"/>
          <w:szCs w:val="21"/>
        </w:rPr>
      </w:pPr>
      <w:r>
        <w:rPr>
          <w:rFonts w:hint="default" w:ascii="Times New Roman" w:hAnsi="Times New Roman" w:cs="Times New Roman"/>
          <w:sz w:val="21"/>
          <w:szCs w:val="21"/>
        </w:rPr>
        <w:t>[4]</w:t>
      </w:r>
      <w:r>
        <w:rPr>
          <w:rFonts w:hint="default" w:ascii="Times New Roman" w:hAnsi="Times New Roman" w:cs="Times New Roman"/>
          <w:sz w:val="21"/>
          <w:szCs w:val="21"/>
        </w:rPr>
        <w:tab/>
      </w:r>
      <w:r>
        <w:rPr>
          <w:rFonts w:hint="default" w:ascii="Times New Roman" w:hAnsi="Times New Roman" w:cs="Times New Roman"/>
          <w:sz w:val="21"/>
          <w:szCs w:val="21"/>
        </w:rPr>
        <w:t>GB/T 33635  绿色制造企业绿色供应链管理导则</w:t>
      </w:r>
    </w:p>
    <w:p>
      <w:pPr>
        <w:ind w:left="240" w:leftChars="100"/>
        <w:rPr>
          <w:rFonts w:hint="default" w:ascii="Times New Roman" w:hAnsi="Times New Roman" w:cs="Times New Roman"/>
          <w:sz w:val="21"/>
          <w:szCs w:val="21"/>
        </w:rPr>
      </w:pPr>
      <w:r>
        <w:rPr>
          <w:rFonts w:hint="default" w:ascii="Times New Roman" w:hAnsi="Times New Roman" w:cs="Times New Roman"/>
          <w:sz w:val="21"/>
          <w:szCs w:val="21"/>
        </w:rPr>
        <w:t>[5]</w:t>
      </w:r>
      <w:r>
        <w:rPr>
          <w:rFonts w:hint="default" w:ascii="Times New Roman" w:hAnsi="Times New Roman" w:cs="Times New Roman"/>
          <w:sz w:val="21"/>
          <w:szCs w:val="21"/>
        </w:rPr>
        <w:tab/>
      </w:r>
      <w:r>
        <w:rPr>
          <w:rFonts w:hint="default" w:ascii="Times New Roman" w:hAnsi="Times New Roman" w:cs="Times New Roman"/>
          <w:sz w:val="21"/>
          <w:szCs w:val="21"/>
        </w:rPr>
        <w:t>GB/T 39256  绿色制造企业绿色供应链管理信息化平台规范</w:t>
      </w:r>
    </w:p>
    <w:p>
      <w:pPr>
        <w:ind w:left="240" w:leftChars="100"/>
        <w:rPr>
          <w:rFonts w:hint="default" w:ascii="Times New Roman" w:hAnsi="Times New Roman" w:cs="Times New Roman"/>
          <w:sz w:val="21"/>
          <w:szCs w:val="21"/>
        </w:rPr>
      </w:pPr>
      <w:r>
        <w:rPr>
          <w:rFonts w:hint="default" w:ascii="Times New Roman" w:hAnsi="Times New Roman" w:cs="Times New Roman"/>
          <w:sz w:val="21"/>
          <w:szCs w:val="21"/>
        </w:rPr>
        <w:t>[6]</w:t>
      </w:r>
      <w:r>
        <w:rPr>
          <w:rFonts w:hint="default" w:ascii="Times New Roman" w:hAnsi="Times New Roman" w:cs="Times New Roman"/>
          <w:sz w:val="21"/>
          <w:szCs w:val="21"/>
        </w:rPr>
        <w:tab/>
      </w:r>
      <w:r>
        <w:rPr>
          <w:rFonts w:hint="default" w:ascii="Times New Roman" w:hAnsi="Times New Roman" w:cs="Times New Roman"/>
          <w:sz w:val="21"/>
          <w:szCs w:val="21"/>
        </w:rPr>
        <w:t>GB/T 39258  绿色制造企业绿色供应链管理采购控制</w:t>
      </w:r>
    </w:p>
    <w:p>
      <w:pPr>
        <w:ind w:left="240" w:leftChars="100"/>
        <w:rPr>
          <w:rFonts w:hint="default" w:ascii="Times New Roman" w:hAnsi="Times New Roman" w:cs="Times New Roman"/>
          <w:sz w:val="21"/>
          <w:szCs w:val="21"/>
        </w:rPr>
      </w:pPr>
      <w:r>
        <w:rPr>
          <w:rFonts w:hint="default" w:ascii="Times New Roman" w:hAnsi="Times New Roman" w:cs="Times New Roman"/>
          <w:sz w:val="21"/>
          <w:szCs w:val="21"/>
        </w:rPr>
        <w:t>[7]</w:t>
      </w:r>
      <w:r>
        <w:rPr>
          <w:rFonts w:hint="default" w:ascii="Times New Roman" w:hAnsi="Times New Roman" w:cs="Times New Roman"/>
          <w:sz w:val="21"/>
          <w:szCs w:val="21"/>
        </w:rPr>
        <w:tab/>
      </w:r>
      <w:r>
        <w:rPr>
          <w:rFonts w:hint="default" w:ascii="Times New Roman" w:hAnsi="Times New Roman" w:cs="Times New Roman"/>
          <w:sz w:val="21"/>
          <w:szCs w:val="21"/>
        </w:rPr>
        <w:t>GB/T 39259  绿色制造企业绿色供应链</w:t>
      </w:r>
      <w:bookmarkStart w:id="196" w:name="_GoBack"/>
      <w:bookmarkEnd w:id="196"/>
      <w:r>
        <w:rPr>
          <w:rFonts w:hint="default" w:ascii="Times New Roman" w:hAnsi="Times New Roman" w:cs="Times New Roman"/>
          <w:sz w:val="21"/>
          <w:szCs w:val="21"/>
        </w:rPr>
        <w:t>管理物料清单要求</w:t>
      </w:r>
    </w:p>
    <w:p>
      <w:pPr>
        <w:ind w:left="240" w:leftChars="100"/>
        <w:rPr>
          <w:rFonts w:hint="default" w:ascii="Times New Roman" w:hAnsi="Times New Roman" w:cs="Times New Roman"/>
          <w:sz w:val="21"/>
          <w:szCs w:val="21"/>
        </w:rPr>
      </w:pPr>
      <w:r>
        <w:rPr>
          <w:rFonts w:hint="default" w:ascii="Times New Roman" w:hAnsi="Times New Roman" w:cs="Times New Roman"/>
          <w:sz w:val="21"/>
          <w:szCs w:val="21"/>
        </w:rPr>
        <w:t>[8]</w:t>
      </w:r>
      <w:r>
        <w:rPr>
          <w:rFonts w:hint="default" w:ascii="Times New Roman" w:hAnsi="Times New Roman" w:cs="Times New Roman"/>
          <w:sz w:val="21"/>
          <w:szCs w:val="21"/>
        </w:rPr>
        <w:tab/>
      </w:r>
      <w:r>
        <w:rPr>
          <w:rFonts w:hint="default" w:ascii="Times New Roman" w:hAnsi="Times New Roman" w:cs="Times New Roman"/>
          <w:sz w:val="21"/>
          <w:szCs w:val="21"/>
        </w:rPr>
        <w:t>IS0 14001 Environmental management systems-Requirements with guidance</w:t>
      </w:r>
    </w:p>
    <w:p>
      <w:pPr>
        <w:rPr>
          <w:rFonts w:hint="default" w:ascii="Times New Roman" w:hAnsi="Times New Roman" w:cs="Times New Roman"/>
          <w:sz w:val="21"/>
          <w:szCs w:val="21"/>
        </w:rPr>
      </w:pPr>
      <w:r>
        <w:rPr>
          <w:rFonts w:hint="default" w:ascii="Times New Roman" w:hAnsi="Times New Roman" w:cs="Times New Roman"/>
          <w:sz w:val="21"/>
          <w:szCs w:val="21"/>
        </w:rPr>
        <w:t>for use</w:t>
      </w:r>
    </w:p>
    <w:p>
      <w:pPr>
        <w:numPr>
          <w:ilvl w:val="0"/>
          <w:numId w:val="5"/>
        </w:numPr>
        <w:ind w:left="240" w:leftChars="100"/>
        <w:rPr>
          <w:rFonts w:hint="default" w:ascii="Times New Roman" w:hAnsi="Times New Roman" w:cs="Times New Roman"/>
          <w:sz w:val="21"/>
          <w:szCs w:val="21"/>
        </w:rPr>
      </w:pPr>
      <w:r>
        <w:rPr>
          <w:rFonts w:hint="default" w:ascii="Times New Roman" w:hAnsi="Times New Roman" w:cs="Times New Roman"/>
          <w:sz w:val="21"/>
          <w:szCs w:val="21"/>
        </w:rPr>
        <w:t>ISO 45001 0ccupational health and safety management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systems</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Requirements with </w:t>
      </w:r>
    </w:p>
    <w:p>
      <w:pPr>
        <w:numPr>
          <w:numId w:val="0"/>
        </w:numPr>
        <w:rPr>
          <w:rFonts w:hint="default" w:ascii="Times New Roman" w:hAnsi="Times New Roman" w:cs="Times New Roman"/>
          <w:sz w:val="21"/>
          <w:szCs w:val="21"/>
        </w:rPr>
      </w:pPr>
      <w:r>
        <w:rPr>
          <w:rFonts w:hint="default" w:ascii="Times New Roman" w:hAnsi="Times New Roman" w:cs="Times New Roman"/>
          <w:sz w:val="21"/>
          <w:szCs w:val="21"/>
        </w:rPr>
        <w:t>guidance for use</w:t>
      </w:r>
    </w:p>
    <w:p>
      <w:pPr>
        <w:ind w:left="240" w:leftChars="100"/>
        <w:rPr>
          <w:rFonts w:hint="default" w:ascii="Times New Roman" w:hAnsi="Times New Roman" w:cs="Times New Roman"/>
          <w:sz w:val="21"/>
          <w:szCs w:val="21"/>
        </w:rPr>
      </w:pPr>
      <w:r>
        <w:rPr>
          <w:rFonts w:hint="default" w:ascii="Times New Roman" w:hAnsi="Times New Roman" w:cs="Times New Roman"/>
          <w:sz w:val="21"/>
          <w:szCs w:val="21"/>
        </w:rPr>
        <w:t>[10]</w:t>
      </w:r>
      <w:r>
        <w:rPr>
          <w:rFonts w:hint="default" w:ascii="Times New Roman" w:hAnsi="Times New Roman" w:cs="Times New Roman"/>
          <w:sz w:val="21"/>
          <w:szCs w:val="21"/>
        </w:rPr>
        <w:tab/>
      </w:r>
      <w:r>
        <w:rPr>
          <w:rFonts w:hint="default" w:ascii="Times New Roman" w:hAnsi="Times New Roman" w:cs="Times New Roman"/>
          <w:sz w:val="21"/>
          <w:szCs w:val="21"/>
        </w:rPr>
        <w:t>ISO 5000l Energy management systems—Requirements with guidance for use</w:t>
      </w:r>
    </w:p>
    <w:p>
      <w:pPr>
        <w:ind w:left="240" w:leftChars="100"/>
        <w:rPr>
          <w:rFonts w:hint="default" w:ascii="Times New Roman" w:hAnsi="Times New Roman" w:cs="Times New Roman"/>
        </w:rPr>
      </w:pPr>
    </w:p>
    <w:p>
      <w:pPr>
        <w:ind w:left="240" w:leftChars="100"/>
      </w:pPr>
    </w:p>
    <w:p>
      <w:pPr>
        <w:pStyle w:val="46"/>
        <w:jc w:val="center"/>
      </w:pPr>
      <w:r>
        <w:t>_________________________________</w:t>
      </w: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8BF684-E247-4BCE-8068-CEFDC9053C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95D94DC-B8CD-4966-8E17-FBF45BE42F92}"/>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embedRegular r:id="rId3" w:fontKey="{04A3030E-5D8F-4F35-BD2A-3160B4F06E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420"/>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42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ind w:firstLine="420"/>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5"/>
                      <w:ind w:firstLine="420"/>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42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ind w:firstLine="420"/>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5"/>
                      <w:ind w:firstLine="420"/>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20"/>
      <w:jc w:val="right"/>
      <w:rPr>
        <w:rFonts w:ascii="黑体" w:hAnsi="黑体"/>
        <w:sz w:val="21"/>
        <w:szCs w:val="21"/>
      </w:rPr>
    </w:pPr>
    <w:bookmarkStart w:id="190" w:name="_Hlk170321453"/>
    <w:bookmarkStart w:id="191" w:name="BookMark2"/>
    <w:bookmarkStart w:id="192" w:name="_Toc99347576"/>
    <w:bookmarkStart w:id="193" w:name="_Hlk170321452"/>
    <w:bookmarkStart w:id="194" w:name="_Toc94036249"/>
    <w:bookmarkStart w:id="195" w:name="_Toc94038871"/>
    <w:r>
      <w:rPr>
        <w:rFonts w:hint="eastAsia" w:ascii="宋体" w:hAnsi="宋体" w:cs="宋体"/>
        <w:sz w:val="21"/>
        <w:szCs w:val="21"/>
      </w:rPr>
      <w:t>T/CERS—202X</w:t>
    </w:r>
    <w:bookmarkEnd w:id="190"/>
    <w:bookmarkEnd w:id="191"/>
    <w:bookmarkEnd w:id="192"/>
    <w:bookmarkEnd w:id="193"/>
    <w:bookmarkEnd w:id="194"/>
    <w:bookmarkEnd w:id="195"/>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20"/>
      <w:jc w:val="right"/>
    </w:pPr>
    <w:r>
      <w:fldChar w:fldCharType="begin"/>
    </w:r>
    <w:r>
      <w:instrText xml:space="preserve"> STYLEREF  标准文件_文件编号  \* MERGEFORMAT </w:instrText>
    </w:r>
    <w:r>
      <w:fldChar w:fldCharType="separate"/>
    </w:r>
    <w:r>
      <w:rPr>
        <w:b/>
      </w:rPr>
      <w:t>错误！未定义样式。</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9E80C"/>
    <w:multiLevelType w:val="singleLevel"/>
    <w:tmpl w:val="9FA9E80C"/>
    <w:lvl w:ilvl="0" w:tentative="0">
      <w:start w:val="1"/>
      <w:numFmt w:val="lowerLetter"/>
      <w:suff w:val="space"/>
      <w:lvlText w:val="%1)"/>
      <w:lvlJc w:val="left"/>
    </w:lvl>
  </w:abstractNum>
  <w:abstractNum w:abstractNumId="1">
    <w:nsid w:val="24B435DB"/>
    <w:multiLevelType w:val="multilevel"/>
    <w:tmpl w:val="24B435DB"/>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
    <w:nsid w:val="57F77038"/>
    <w:multiLevelType w:val="multilevel"/>
    <w:tmpl w:val="57F77038"/>
    <w:lvl w:ilvl="0" w:tentative="0">
      <w:start w:val="1"/>
      <w:numFmt w:val="decimal"/>
      <w:pStyle w:val="2"/>
      <w:lvlText w:val="%1"/>
      <w:lvlJc w:val="left"/>
      <w:pPr>
        <w:ind w:left="850" w:hanging="425"/>
      </w:pPr>
      <w:rPr>
        <w:rFonts w:hint="eastAsia"/>
      </w:rPr>
    </w:lvl>
    <w:lvl w:ilvl="1" w:tentative="0">
      <w:start w:val="1"/>
      <w:numFmt w:val="decimal"/>
      <w:lvlText w:val="%1.%2"/>
      <w:lvlJc w:val="left"/>
      <w:pPr>
        <w:ind w:left="1417" w:hanging="567"/>
      </w:pPr>
      <w:rPr>
        <w:rFonts w:hint="eastAsia"/>
      </w:rPr>
    </w:lvl>
    <w:lvl w:ilvl="2" w:tentative="0">
      <w:start w:val="1"/>
      <w:numFmt w:val="decimal"/>
      <w:lvlText w:val="%1.%2.%3"/>
      <w:lvlJc w:val="left"/>
      <w:pPr>
        <w:ind w:left="1843" w:hanging="567"/>
      </w:pPr>
      <w:rPr>
        <w:rFonts w:hint="eastAsia"/>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3">
    <w:nsid w:val="6CEA2025"/>
    <w:multiLevelType w:val="multilevel"/>
    <w:tmpl w:val="6CEA2025"/>
    <w:lvl w:ilvl="0" w:tentative="0">
      <w:start w:val="1"/>
      <w:numFmt w:val="none"/>
      <w:pStyle w:val="44"/>
      <w:suff w:val="nothing"/>
      <w:lvlText w:val="%1"/>
      <w:lvlJc w:val="left"/>
      <w:pPr>
        <w:ind w:left="0" w:firstLine="0"/>
      </w:pPr>
      <w:rPr>
        <w:rFonts w:hint="eastAsia"/>
      </w:rPr>
    </w:lvl>
    <w:lvl w:ilvl="1" w:tentative="0">
      <w:start w:val="1"/>
      <w:numFmt w:val="decimal"/>
      <w:pStyle w:val="42"/>
      <w:suff w:val="nothing"/>
      <w:lvlText w:val="%1%2　"/>
      <w:lvlJc w:val="left"/>
      <w:pPr>
        <w:ind w:left="0" w:firstLine="0"/>
      </w:pPr>
      <w:rPr>
        <w:rFonts w:hint="eastAsia" w:ascii="黑体" w:eastAsia="黑体"/>
        <w:b w:val="0"/>
        <w:i w:val="0"/>
        <w:sz w:val="21"/>
      </w:rPr>
    </w:lvl>
    <w:lvl w:ilvl="2" w:tentative="0">
      <w:start w:val="1"/>
      <w:numFmt w:val="decimal"/>
      <w:pStyle w:val="4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8"/>
      <w:suff w:val="nothing"/>
      <w:lvlText w:val="%1%2.%3.%4　"/>
      <w:lvlJc w:val="left"/>
      <w:pPr>
        <w:ind w:left="0" w:firstLine="0"/>
      </w:pPr>
      <w:rPr>
        <w:rFonts w:hint="eastAsia" w:ascii="黑体" w:eastAsia="黑体"/>
        <w:b w:val="0"/>
        <w:i w:val="0"/>
        <w:sz w:val="21"/>
      </w:rPr>
    </w:lvl>
    <w:lvl w:ilvl="4" w:tentative="0">
      <w:start w:val="1"/>
      <w:numFmt w:val="decimal"/>
      <w:pStyle w:val="39"/>
      <w:suff w:val="nothing"/>
      <w:lvlText w:val="%1%2.%3.%4.%5　"/>
      <w:lvlJc w:val="left"/>
      <w:pPr>
        <w:ind w:left="0" w:firstLine="0"/>
      </w:pPr>
      <w:rPr>
        <w:rFonts w:hint="eastAsia" w:ascii="黑体" w:eastAsia="黑体"/>
        <w:b w:val="0"/>
        <w:i w:val="0"/>
        <w:sz w:val="21"/>
      </w:rPr>
    </w:lvl>
    <w:lvl w:ilvl="5" w:tentative="0">
      <w:start w:val="1"/>
      <w:numFmt w:val="decimal"/>
      <w:pStyle w:val="40"/>
      <w:suff w:val="nothing"/>
      <w:lvlText w:val="%1%2.%3.%4.%5.%6　"/>
      <w:lvlJc w:val="left"/>
      <w:pPr>
        <w:ind w:left="0" w:firstLine="0"/>
      </w:pPr>
      <w:rPr>
        <w:rFonts w:hint="eastAsia" w:ascii="黑体" w:eastAsia="黑体"/>
        <w:b w:val="0"/>
        <w:i w:val="0"/>
        <w:sz w:val="21"/>
      </w:rPr>
    </w:lvl>
    <w:lvl w:ilvl="6" w:tentative="0">
      <w:start w:val="1"/>
      <w:numFmt w:val="decimal"/>
      <w:pStyle w:val="4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DAE506B"/>
    <w:multiLevelType w:val="singleLevel"/>
    <w:tmpl w:val="6DAE506B"/>
    <w:lvl w:ilvl="0" w:tentative="0">
      <w:start w:val="9"/>
      <w:numFmt w:val="decimal"/>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characterSpacingControl w:val="doNotCompress"/>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72"/>
    <w:rsid w:val="00004135"/>
    <w:rsid w:val="000053C8"/>
    <w:rsid w:val="0004031A"/>
    <w:rsid w:val="0006290E"/>
    <w:rsid w:val="00066307"/>
    <w:rsid w:val="00147820"/>
    <w:rsid w:val="001A749C"/>
    <w:rsid w:val="001B0BFB"/>
    <w:rsid w:val="001B3E83"/>
    <w:rsid w:val="001F32FA"/>
    <w:rsid w:val="0022216B"/>
    <w:rsid w:val="00223BEA"/>
    <w:rsid w:val="00225D99"/>
    <w:rsid w:val="00250182"/>
    <w:rsid w:val="00275AF4"/>
    <w:rsid w:val="002A1EA3"/>
    <w:rsid w:val="002B153A"/>
    <w:rsid w:val="002F1B80"/>
    <w:rsid w:val="00351B7A"/>
    <w:rsid w:val="00397F17"/>
    <w:rsid w:val="003A1DB3"/>
    <w:rsid w:val="003C352F"/>
    <w:rsid w:val="0043556B"/>
    <w:rsid w:val="00447C47"/>
    <w:rsid w:val="00483F88"/>
    <w:rsid w:val="0049518E"/>
    <w:rsid w:val="004D04DC"/>
    <w:rsid w:val="004D636E"/>
    <w:rsid w:val="004E1112"/>
    <w:rsid w:val="004E7B80"/>
    <w:rsid w:val="00525648"/>
    <w:rsid w:val="005435DC"/>
    <w:rsid w:val="00553DD6"/>
    <w:rsid w:val="00652E24"/>
    <w:rsid w:val="006D3C39"/>
    <w:rsid w:val="00726AF3"/>
    <w:rsid w:val="00736757"/>
    <w:rsid w:val="007C2033"/>
    <w:rsid w:val="007D4826"/>
    <w:rsid w:val="007E45EC"/>
    <w:rsid w:val="00814726"/>
    <w:rsid w:val="00814BED"/>
    <w:rsid w:val="00826B0F"/>
    <w:rsid w:val="00862F4D"/>
    <w:rsid w:val="00884392"/>
    <w:rsid w:val="008E553D"/>
    <w:rsid w:val="00915B69"/>
    <w:rsid w:val="009443F7"/>
    <w:rsid w:val="009831E4"/>
    <w:rsid w:val="009A7EB5"/>
    <w:rsid w:val="009C52F0"/>
    <w:rsid w:val="00A74BDE"/>
    <w:rsid w:val="00AE4C89"/>
    <w:rsid w:val="00AF3B2D"/>
    <w:rsid w:val="00B42174"/>
    <w:rsid w:val="00B5562B"/>
    <w:rsid w:val="00B91F56"/>
    <w:rsid w:val="00B962E0"/>
    <w:rsid w:val="00BB79A2"/>
    <w:rsid w:val="00BC0A5C"/>
    <w:rsid w:val="00C11729"/>
    <w:rsid w:val="00C25AF7"/>
    <w:rsid w:val="00C25EAB"/>
    <w:rsid w:val="00C377FE"/>
    <w:rsid w:val="00C73A17"/>
    <w:rsid w:val="00CA6B85"/>
    <w:rsid w:val="00CC7FF7"/>
    <w:rsid w:val="00CE2497"/>
    <w:rsid w:val="00D10E40"/>
    <w:rsid w:val="00D370C5"/>
    <w:rsid w:val="00D65220"/>
    <w:rsid w:val="00D873F8"/>
    <w:rsid w:val="00DA61AC"/>
    <w:rsid w:val="00DF2D93"/>
    <w:rsid w:val="00E12134"/>
    <w:rsid w:val="00E339F9"/>
    <w:rsid w:val="00E62FCE"/>
    <w:rsid w:val="00EB56BF"/>
    <w:rsid w:val="00EE75F3"/>
    <w:rsid w:val="00F33C72"/>
    <w:rsid w:val="00F91EDA"/>
    <w:rsid w:val="00F946E7"/>
    <w:rsid w:val="00FA4BE7"/>
    <w:rsid w:val="00FD7846"/>
    <w:rsid w:val="091A7535"/>
    <w:rsid w:val="09775921"/>
    <w:rsid w:val="0CDF27B8"/>
    <w:rsid w:val="0D552B6D"/>
    <w:rsid w:val="0EC62C70"/>
    <w:rsid w:val="14837AED"/>
    <w:rsid w:val="156A222E"/>
    <w:rsid w:val="19170735"/>
    <w:rsid w:val="1B997A46"/>
    <w:rsid w:val="1C5142D8"/>
    <w:rsid w:val="1E713794"/>
    <w:rsid w:val="1EDB18E2"/>
    <w:rsid w:val="20692F46"/>
    <w:rsid w:val="21B74176"/>
    <w:rsid w:val="2458511D"/>
    <w:rsid w:val="24E11586"/>
    <w:rsid w:val="25FD3EE1"/>
    <w:rsid w:val="2806431F"/>
    <w:rsid w:val="28C356E0"/>
    <w:rsid w:val="2D492FD0"/>
    <w:rsid w:val="32960D15"/>
    <w:rsid w:val="33AB121D"/>
    <w:rsid w:val="33BC4197"/>
    <w:rsid w:val="346E0D2F"/>
    <w:rsid w:val="383255CB"/>
    <w:rsid w:val="38875A35"/>
    <w:rsid w:val="3CC44D40"/>
    <w:rsid w:val="3D3900A3"/>
    <w:rsid w:val="46FB0C02"/>
    <w:rsid w:val="47346725"/>
    <w:rsid w:val="49ED4CA2"/>
    <w:rsid w:val="4AE864E7"/>
    <w:rsid w:val="4D194CC2"/>
    <w:rsid w:val="4F360182"/>
    <w:rsid w:val="507B68D9"/>
    <w:rsid w:val="51E44919"/>
    <w:rsid w:val="5352399E"/>
    <w:rsid w:val="55E10C2B"/>
    <w:rsid w:val="57795DF7"/>
    <w:rsid w:val="5A5D7C66"/>
    <w:rsid w:val="5FBE0553"/>
    <w:rsid w:val="62BB79EE"/>
    <w:rsid w:val="63864720"/>
    <w:rsid w:val="689B6EBF"/>
    <w:rsid w:val="703B0538"/>
    <w:rsid w:val="72C13A69"/>
    <w:rsid w:val="75786D3D"/>
    <w:rsid w:val="772C0914"/>
    <w:rsid w:val="773F40B1"/>
    <w:rsid w:val="7AAF3AA9"/>
    <w:rsid w:val="7B622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4"/>
      <w:szCs w:val="24"/>
      <w:lang w:val="en-US" w:eastAsia="zh-CN" w:bidi="ar-SA"/>
    </w:rPr>
  </w:style>
  <w:style w:type="paragraph" w:styleId="2">
    <w:name w:val="heading 1"/>
    <w:basedOn w:val="1"/>
    <w:next w:val="1"/>
    <w:link w:val="22"/>
    <w:qFormat/>
    <w:uiPriority w:val="9"/>
    <w:pPr>
      <w:keepNext/>
      <w:keepLines/>
      <w:numPr>
        <w:ilvl w:val="0"/>
        <w:numId w:val="1"/>
      </w:numPr>
      <w:spacing w:before="340" w:after="330" w:line="578" w:lineRule="atLeast"/>
      <w:ind w:firstLine="0"/>
      <w:outlineLvl w:val="0"/>
    </w:pPr>
    <w:rPr>
      <w:b/>
      <w:bCs/>
      <w:kern w:val="44"/>
      <w:sz w:val="44"/>
      <w:szCs w:val="44"/>
    </w:rPr>
  </w:style>
  <w:style w:type="paragraph" w:styleId="3">
    <w:name w:val="heading 2"/>
    <w:basedOn w:val="1"/>
    <w:next w:val="1"/>
    <w:link w:val="23"/>
    <w:qFormat/>
    <w:uiPriority w:val="9"/>
    <w:pPr>
      <w:keepNext/>
      <w:keepLines/>
      <w:spacing w:before="25" w:beforeLines="25" w:after="25" w:afterLines="25"/>
      <w:outlineLvl w:val="1"/>
    </w:pPr>
    <w:rPr>
      <w:rFonts w:ascii="等线 Light" w:hAnsi="等线 Light"/>
      <w:b/>
      <w:bCs/>
      <w:szCs w:val="32"/>
    </w:rPr>
  </w:style>
  <w:style w:type="paragraph" w:styleId="4">
    <w:name w:val="heading 3"/>
    <w:basedOn w:val="1"/>
    <w:next w:val="1"/>
    <w:link w:val="24"/>
    <w:qFormat/>
    <w:uiPriority w:val="9"/>
    <w:pPr>
      <w:keepNext/>
      <w:keepLines/>
      <w:spacing w:before="260" w:after="260" w:line="416" w:lineRule="atLeast"/>
      <w:outlineLvl w:val="2"/>
    </w:pPr>
    <w:rPr>
      <w:b/>
      <w:bCs/>
      <w:szCs w:val="32"/>
    </w:rPr>
  </w:style>
  <w:style w:type="paragraph" w:styleId="5">
    <w:name w:val="heading 4"/>
    <w:basedOn w:val="1"/>
    <w:next w:val="1"/>
    <w:link w:val="25"/>
    <w:qFormat/>
    <w:uiPriority w:val="9"/>
    <w:pPr>
      <w:keepNext/>
      <w:keepLines/>
      <w:spacing w:before="280" w:after="290" w:line="376" w:lineRule="atLeast"/>
      <w:outlineLvl w:val="3"/>
    </w:pPr>
    <w:rPr>
      <w:rFonts w:ascii="等线 Light" w:hAnsi="等线 Light"/>
      <w:b/>
      <w:bCs/>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3"/>
    <w:unhideWhenUsed/>
    <w:qFormat/>
    <w:uiPriority w:val="0"/>
    <w:pPr>
      <w:ind w:firstLine="420" w:firstLineChars="200"/>
    </w:pPr>
  </w:style>
  <w:style w:type="paragraph" w:styleId="7">
    <w:name w:val="caption"/>
    <w:basedOn w:val="1"/>
    <w:next w:val="1"/>
    <w:link w:val="26"/>
    <w:qFormat/>
    <w:uiPriority w:val="35"/>
    <w:rPr>
      <w:rFonts w:ascii="等线 Light" w:hAnsi="等线 Light" w:eastAsia="黑体"/>
      <w:sz w:val="20"/>
      <w:szCs w:val="20"/>
    </w:rPr>
  </w:style>
  <w:style w:type="paragraph" w:styleId="8">
    <w:name w:val="Balloon Text"/>
    <w:basedOn w:val="1"/>
    <w:link w:val="52"/>
    <w:semiHidden/>
    <w:unhideWhenUsed/>
    <w:qFormat/>
    <w:uiPriority w:val="99"/>
    <w:rPr>
      <w:sz w:val="18"/>
      <w:szCs w:val="18"/>
    </w:rPr>
  </w:style>
  <w:style w:type="paragraph" w:styleId="9">
    <w:name w:val="footer"/>
    <w:basedOn w:val="1"/>
    <w:link w:val="27"/>
    <w:unhideWhenUsed/>
    <w:qFormat/>
    <w:uiPriority w:val="99"/>
    <w:pPr>
      <w:tabs>
        <w:tab w:val="center" w:pos="4153"/>
        <w:tab w:val="right" w:pos="8306"/>
      </w:tabs>
      <w:snapToGrid w:val="0"/>
      <w:spacing w:line="240" w:lineRule="atLeast"/>
    </w:pPr>
    <w:rPr>
      <w:sz w:val="18"/>
      <w:szCs w:val="18"/>
    </w:rPr>
  </w:style>
  <w:style w:type="paragraph" w:styleId="10">
    <w:name w:val="header"/>
    <w:basedOn w:val="1"/>
    <w:link w:val="28"/>
    <w:unhideWhenUsed/>
    <w:qFormat/>
    <w:uiPriority w:val="0"/>
    <w:pPr>
      <w:tabs>
        <w:tab w:val="center" w:pos="4153"/>
        <w:tab w:val="right" w:pos="8306"/>
      </w:tabs>
      <w:snapToGrid w:val="0"/>
      <w:spacing w:line="240" w:lineRule="atLeast"/>
      <w:jc w:val="center"/>
    </w:pPr>
    <w:rPr>
      <w:sz w:val="18"/>
      <w:szCs w:val="18"/>
    </w:rPr>
  </w:style>
  <w:style w:type="paragraph" w:styleId="11">
    <w:name w:val="toc 1"/>
    <w:basedOn w:val="1"/>
    <w:next w:val="1"/>
    <w:unhideWhenUsed/>
    <w:qFormat/>
    <w:uiPriority w:val="39"/>
    <w:pPr>
      <w:widowControl w:val="0"/>
      <w:adjustRightInd w:val="0"/>
      <w:spacing w:before="120" w:line="400" w:lineRule="exact"/>
    </w:pPr>
    <w:rPr>
      <w:rFonts w:ascii="等线" w:hAnsi="Calibri" w:eastAsia="等线"/>
      <w:b/>
      <w:bCs/>
    </w:rPr>
  </w:style>
  <w:style w:type="paragraph" w:styleId="12">
    <w:name w:val="toc 4"/>
    <w:basedOn w:val="1"/>
    <w:next w:val="1"/>
    <w:unhideWhenUsed/>
    <w:qFormat/>
    <w:uiPriority w:val="39"/>
    <w:pPr>
      <w:widowControl w:val="0"/>
      <w:adjustRightInd w:val="0"/>
      <w:spacing w:line="400" w:lineRule="exact"/>
      <w:ind w:left="630"/>
    </w:pPr>
    <w:rPr>
      <w:rFonts w:ascii="等线" w:hAnsi="Calibri" w:eastAsia="等线"/>
      <w:sz w:val="20"/>
      <w:szCs w:val="20"/>
    </w:rPr>
  </w:style>
  <w:style w:type="paragraph" w:styleId="13">
    <w:name w:val="Subtitle"/>
    <w:basedOn w:val="1"/>
    <w:next w:val="1"/>
    <w:link w:val="29"/>
    <w:qFormat/>
    <w:uiPriority w:val="11"/>
    <w:pPr>
      <w:spacing w:before="240" w:after="60" w:line="312" w:lineRule="auto"/>
      <w:jc w:val="center"/>
      <w:outlineLvl w:val="1"/>
    </w:pPr>
    <w:rPr>
      <w:rFonts w:eastAsia="等线"/>
      <w:b/>
      <w:bCs/>
      <w:kern w:val="28"/>
      <w:sz w:val="32"/>
      <w:szCs w:val="32"/>
    </w:rPr>
  </w:style>
  <w:style w:type="paragraph" w:styleId="14">
    <w:name w:val="footnote text"/>
    <w:basedOn w:val="1"/>
    <w:link w:val="30"/>
    <w:unhideWhenUsed/>
    <w:qFormat/>
    <w:uiPriority w:val="99"/>
    <w:pPr>
      <w:snapToGrid w:val="0"/>
    </w:pPr>
    <w:rPr>
      <w:sz w:val="18"/>
      <w:szCs w:val="18"/>
    </w:rPr>
  </w:style>
  <w:style w:type="paragraph" w:styleId="15">
    <w:name w:val="toc 2"/>
    <w:basedOn w:val="1"/>
    <w:next w:val="1"/>
    <w:unhideWhenUsed/>
    <w:qFormat/>
    <w:uiPriority w:val="39"/>
    <w:pPr>
      <w:ind w:left="420" w:leftChars="2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qFormat/>
    <w:uiPriority w:val="20"/>
    <w:rPr>
      <w:i/>
      <w:iCs/>
    </w:rPr>
  </w:style>
  <w:style w:type="character" w:styleId="20">
    <w:name w:val="Hyperlink"/>
    <w:qFormat/>
    <w:uiPriority w:val="99"/>
    <w:rPr>
      <w:rFonts w:ascii="宋体" w:hAnsi="Times New Roman" w:eastAsia="宋体" w:cs="Times New Roman"/>
      <w:color w:val="auto"/>
      <w:spacing w:val="0"/>
      <w:w w:val="100"/>
      <w:position w:val="0"/>
      <w:sz w:val="21"/>
      <w:u w:val="none"/>
      <w:vertAlign w:val="baseline"/>
      <w:lang w:val="en-US" w:eastAsia="zh-CN" w:bidi="ar-SA"/>
    </w:rPr>
  </w:style>
  <w:style w:type="character" w:styleId="21">
    <w:name w:val="footnote reference"/>
    <w:unhideWhenUsed/>
    <w:qFormat/>
    <w:uiPriority w:val="99"/>
    <w:rPr>
      <w:vertAlign w:val="superscript"/>
    </w:rPr>
  </w:style>
  <w:style w:type="character" w:customStyle="1" w:styleId="22">
    <w:name w:val="标题 1 字符"/>
    <w:link w:val="2"/>
    <w:qFormat/>
    <w:uiPriority w:val="9"/>
    <w:rPr>
      <w:rFonts w:ascii="Times New Roman" w:hAnsi="Times New Roman" w:eastAsia="宋体"/>
      <w:b/>
      <w:bCs/>
      <w:kern w:val="44"/>
      <w:sz w:val="44"/>
      <w:szCs w:val="44"/>
    </w:rPr>
  </w:style>
  <w:style w:type="character" w:customStyle="1" w:styleId="23">
    <w:name w:val="标题 2 字符"/>
    <w:link w:val="3"/>
    <w:qFormat/>
    <w:uiPriority w:val="9"/>
    <w:rPr>
      <w:rFonts w:ascii="等线 Light" w:hAnsi="等线 Light" w:eastAsia="宋体" w:cs="Times New Roman"/>
      <w:b/>
      <w:bCs/>
      <w:szCs w:val="32"/>
    </w:rPr>
  </w:style>
  <w:style w:type="character" w:customStyle="1" w:styleId="24">
    <w:name w:val="标题 3 字符"/>
    <w:link w:val="4"/>
    <w:qFormat/>
    <w:uiPriority w:val="9"/>
    <w:rPr>
      <w:rFonts w:ascii="Times New Roman" w:hAnsi="Times New Roman" w:eastAsia="宋体"/>
      <w:b/>
      <w:bCs/>
      <w:szCs w:val="32"/>
    </w:rPr>
  </w:style>
  <w:style w:type="character" w:customStyle="1" w:styleId="25">
    <w:name w:val="标题 4 字符"/>
    <w:link w:val="5"/>
    <w:qFormat/>
    <w:uiPriority w:val="9"/>
    <w:rPr>
      <w:rFonts w:ascii="等线 Light" w:hAnsi="等线 Light" w:eastAsia="宋体" w:cs="Times New Roman"/>
      <w:b/>
      <w:bCs/>
      <w:szCs w:val="28"/>
    </w:rPr>
  </w:style>
  <w:style w:type="character" w:customStyle="1" w:styleId="26">
    <w:name w:val="题注 字符"/>
    <w:link w:val="7"/>
    <w:qFormat/>
    <w:uiPriority w:val="35"/>
    <w:rPr>
      <w:rFonts w:ascii="等线 Light" w:hAnsi="等线 Light" w:eastAsia="黑体" w:cs="Times New Roman"/>
      <w:sz w:val="20"/>
      <w:szCs w:val="20"/>
    </w:rPr>
  </w:style>
  <w:style w:type="character" w:customStyle="1" w:styleId="27">
    <w:name w:val="页脚 字符"/>
    <w:link w:val="9"/>
    <w:qFormat/>
    <w:uiPriority w:val="99"/>
    <w:rPr>
      <w:rFonts w:ascii="Times New Roman" w:hAnsi="Times New Roman" w:eastAsia="宋体"/>
      <w:sz w:val="18"/>
      <w:szCs w:val="18"/>
    </w:rPr>
  </w:style>
  <w:style w:type="character" w:customStyle="1" w:styleId="28">
    <w:name w:val="页眉 字符"/>
    <w:link w:val="10"/>
    <w:qFormat/>
    <w:uiPriority w:val="0"/>
    <w:rPr>
      <w:rFonts w:ascii="Times New Roman" w:hAnsi="Times New Roman" w:eastAsia="宋体"/>
      <w:sz w:val="18"/>
      <w:szCs w:val="18"/>
    </w:rPr>
  </w:style>
  <w:style w:type="character" w:customStyle="1" w:styleId="29">
    <w:name w:val="副标题 字符"/>
    <w:link w:val="13"/>
    <w:qFormat/>
    <w:uiPriority w:val="11"/>
    <w:rPr>
      <w:rFonts w:ascii="Times New Roman" w:hAnsi="Times New Roman"/>
      <w:b/>
      <w:bCs/>
      <w:kern w:val="28"/>
      <w:sz w:val="32"/>
      <w:szCs w:val="32"/>
    </w:rPr>
  </w:style>
  <w:style w:type="character" w:customStyle="1" w:styleId="30">
    <w:name w:val="脚注文本 字符"/>
    <w:link w:val="14"/>
    <w:semiHidden/>
    <w:qFormat/>
    <w:uiPriority w:val="99"/>
    <w:rPr>
      <w:rFonts w:ascii="Times New Roman" w:hAnsi="Times New Roman" w:eastAsia="宋体"/>
      <w:sz w:val="18"/>
      <w:szCs w:val="18"/>
    </w:rPr>
  </w:style>
  <w:style w:type="paragraph" w:customStyle="1" w:styleId="31">
    <w:name w:val="公式"/>
    <w:basedOn w:val="1"/>
    <w:link w:val="32"/>
    <w:qFormat/>
    <w:uiPriority w:val="0"/>
    <w:pPr>
      <w:tabs>
        <w:tab w:val="center" w:pos="4200"/>
      </w:tabs>
      <w:ind w:firstLine="800" w:firstLineChars="800"/>
      <w:textAlignment w:val="center"/>
    </w:pPr>
  </w:style>
  <w:style w:type="character" w:customStyle="1" w:styleId="32">
    <w:name w:val="公式 字符"/>
    <w:link w:val="31"/>
    <w:qFormat/>
    <w:uiPriority w:val="0"/>
    <w:rPr>
      <w:rFonts w:ascii="Times New Roman" w:hAnsi="Times New Roman" w:eastAsia="宋体"/>
    </w:rPr>
  </w:style>
  <w:style w:type="paragraph" w:styleId="33">
    <w:name w:val="No Spacing"/>
    <w:qFormat/>
    <w:uiPriority w:val="1"/>
    <w:pPr>
      <w:widowControl w:val="0"/>
      <w:jc w:val="both"/>
    </w:pPr>
    <w:rPr>
      <w:rFonts w:ascii="等线" w:hAnsi="等线" w:eastAsia="等线" w:cs="Times New Roman"/>
      <w:kern w:val="2"/>
      <w:sz w:val="28"/>
      <w:szCs w:val="22"/>
      <w:lang w:val="en-US" w:eastAsia="zh-CN" w:bidi="ar-SA"/>
    </w:rPr>
  </w:style>
  <w:style w:type="paragraph" w:styleId="34">
    <w:name w:val="List Paragraph"/>
    <w:basedOn w:val="1"/>
    <w:qFormat/>
    <w:uiPriority w:val="34"/>
    <w:pPr>
      <w:ind w:firstLine="420"/>
    </w:pPr>
    <w:rPr>
      <w:szCs w:val="21"/>
    </w:rPr>
  </w:style>
  <w:style w:type="paragraph" w:customStyle="1" w:styleId="35">
    <w:name w:val="标准文件_页脚奇数页"/>
    <w:qFormat/>
    <w:uiPriority w:val="0"/>
    <w:pPr>
      <w:ind w:right="227"/>
      <w:jc w:val="right"/>
    </w:pPr>
    <w:rPr>
      <w:rFonts w:ascii="宋体" w:hAnsi="Times New Roman" w:eastAsia="宋体" w:cs="Times New Roman"/>
      <w:kern w:val="2"/>
      <w:sz w:val="18"/>
      <w:szCs w:val="24"/>
      <w:lang w:val="en-US" w:eastAsia="zh-CN" w:bidi="ar-SA"/>
    </w:rPr>
  </w:style>
  <w:style w:type="paragraph" w:customStyle="1" w:styleId="36">
    <w:name w:val="标准文件_段"/>
    <w:link w:val="37"/>
    <w:qFormat/>
    <w:uiPriority w:val="0"/>
    <w:pPr>
      <w:autoSpaceDE w:val="0"/>
      <w:autoSpaceDN w:val="0"/>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37">
    <w:name w:val="标准文件_段 Char"/>
    <w:link w:val="36"/>
    <w:qFormat/>
    <w:uiPriority w:val="0"/>
    <w:rPr>
      <w:rFonts w:ascii="Times New Roman" w:hAnsi="Times New Roman" w:eastAsia="宋体" w:cs="Times New Roman"/>
      <w:szCs w:val="24"/>
    </w:rPr>
  </w:style>
  <w:style w:type="paragraph" w:customStyle="1" w:styleId="38">
    <w:name w:val="标准文件_二级条标题"/>
    <w:next w:val="36"/>
    <w:qFormat/>
    <w:uiPriority w:val="0"/>
    <w:pPr>
      <w:widowControl w:val="0"/>
      <w:numPr>
        <w:ilvl w:val="3"/>
        <w:numId w:val="2"/>
      </w:numPr>
      <w:spacing w:beforeLines="50" w:afterLines="50"/>
      <w:jc w:val="both"/>
      <w:outlineLvl w:val="2"/>
    </w:pPr>
    <w:rPr>
      <w:rFonts w:ascii="黑体" w:hAnsi="Times New Roman" w:eastAsia="黑体" w:cs="Times New Roman"/>
      <w:kern w:val="2"/>
      <w:sz w:val="21"/>
      <w:szCs w:val="24"/>
      <w:lang w:val="en-US" w:eastAsia="zh-CN" w:bidi="ar-SA"/>
    </w:rPr>
  </w:style>
  <w:style w:type="paragraph" w:customStyle="1" w:styleId="39">
    <w:name w:val="标准文件_三级条标题"/>
    <w:basedOn w:val="38"/>
    <w:next w:val="36"/>
    <w:qFormat/>
    <w:uiPriority w:val="0"/>
    <w:pPr>
      <w:widowControl/>
      <w:numPr>
        <w:ilvl w:val="4"/>
      </w:numPr>
      <w:ind w:left="2976" w:hanging="850"/>
      <w:outlineLvl w:val="3"/>
    </w:pPr>
  </w:style>
  <w:style w:type="paragraph" w:customStyle="1" w:styleId="40">
    <w:name w:val="标准文件_四级条标题"/>
    <w:next w:val="36"/>
    <w:qFormat/>
    <w:uiPriority w:val="0"/>
    <w:pPr>
      <w:widowControl w:val="0"/>
      <w:numPr>
        <w:ilvl w:val="5"/>
        <w:numId w:val="2"/>
      </w:numPr>
      <w:spacing w:beforeLines="50" w:afterLines="50"/>
      <w:ind w:left="3685" w:hanging="1134"/>
      <w:jc w:val="both"/>
      <w:outlineLvl w:val="4"/>
    </w:pPr>
    <w:rPr>
      <w:rFonts w:ascii="黑体" w:hAnsi="Times New Roman" w:eastAsia="黑体" w:cs="Times New Roman"/>
      <w:kern w:val="2"/>
      <w:sz w:val="21"/>
      <w:szCs w:val="24"/>
      <w:lang w:val="en-US" w:eastAsia="zh-CN" w:bidi="ar-SA"/>
    </w:rPr>
  </w:style>
  <w:style w:type="paragraph" w:customStyle="1" w:styleId="41">
    <w:name w:val="标准文件_五级条标题"/>
    <w:next w:val="36"/>
    <w:qFormat/>
    <w:uiPriority w:val="0"/>
    <w:pPr>
      <w:widowControl w:val="0"/>
      <w:numPr>
        <w:ilvl w:val="6"/>
        <w:numId w:val="2"/>
      </w:numPr>
      <w:spacing w:beforeLines="50" w:afterLines="50"/>
      <w:ind w:left="4252" w:hanging="1276"/>
      <w:jc w:val="both"/>
      <w:outlineLvl w:val="5"/>
    </w:pPr>
    <w:rPr>
      <w:rFonts w:ascii="黑体" w:hAnsi="Times New Roman" w:eastAsia="黑体" w:cs="Times New Roman"/>
      <w:kern w:val="2"/>
      <w:sz w:val="21"/>
      <w:szCs w:val="24"/>
      <w:lang w:val="en-US" w:eastAsia="zh-CN" w:bidi="ar-SA"/>
    </w:rPr>
  </w:style>
  <w:style w:type="paragraph" w:customStyle="1" w:styleId="42">
    <w:name w:val="标准文件_章标题"/>
    <w:next w:val="36"/>
    <w:qFormat/>
    <w:uiPriority w:val="0"/>
    <w:pPr>
      <w:numPr>
        <w:ilvl w:val="1"/>
        <w:numId w:val="2"/>
      </w:numPr>
      <w:spacing w:beforeLines="100" w:afterLines="100"/>
      <w:jc w:val="both"/>
      <w:outlineLvl w:val="0"/>
    </w:pPr>
    <w:rPr>
      <w:rFonts w:ascii="黑体" w:hAnsi="Times New Roman" w:eastAsia="黑体" w:cs="Times New Roman"/>
      <w:kern w:val="2"/>
      <w:sz w:val="21"/>
      <w:szCs w:val="24"/>
      <w:lang w:val="en-US" w:eastAsia="zh-CN" w:bidi="ar-SA"/>
    </w:rPr>
  </w:style>
  <w:style w:type="paragraph" w:customStyle="1" w:styleId="43">
    <w:name w:val="标准文件_一级条标题"/>
    <w:basedOn w:val="42"/>
    <w:next w:val="36"/>
    <w:qFormat/>
    <w:uiPriority w:val="0"/>
    <w:pPr>
      <w:numPr>
        <w:ilvl w:val="2"/>
      </w:numPr>
      <w:spacing w:beforeLines="50" w:afterLines="50"/>
      <w:outlineLvl w:val="1"/>
    </w:pPr>
  </w:style>
  <w:style w:type="paragraph" w:customStyle="1" w:styleId="44">
    <w:name w:val="前言标题"/>
    <w:next w:val="1"/>
    <w:qFormat/>
    <w:uiPriority w:val="0"/>
    <w:pPr>
      <w:numPr>
        <w:ilvl w:val="0"/>
        <w:numId w:val="2"/>
      </w:numPr>
      <w:shd w:val="clear" w:color="FFFFFF" w:fill="FFFFFF"/>
      <w:spacing w:before="540" w:after="600"/>
      <w:ind w:left="850" w:hanging="425"/>
      <w:jc w:val="center"/>
      <w:outlineLvl w:val="0"/>
    </w:pPr>
    <w:rPr>
      <w:rFonts w:ascii="黑体" w:hAnsi="Times New Roman" w:eastAsia="黑体" w:cs="Times New Roman"/>
      <w:kern w:val="2"/>
      <w:sz w:val="32"/>
      <w:szCs w:val="24"/>
      <w:lang w:val="en-US" w:eastAsia="zh-CN" w:bidi="ar-SA"/>
    </w:rPr>
  </w:style>
  <w:style w:type="paragraph" w:customStyle="1" w:styleId="45">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46">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4"/>
      <w:lang w:val="en-US" w:eastAsia="zh-CN" w:bidi="ar-SA"/>
    </w:rPr>
  </w:style>
  <w:style w:type="character" w:customStyle="1" w:styleId="47">
    <w:name w:val="段 Char"/>
    <w:link w:val="46"/>
    <w:qFormat/>
    <w:uiPriority w:val="0"/>
    <w:rPr>
      <w:rFonts w:ascii="宋体" w:hAnsi="Times New Roman" w:eastAsia="宋体" w:cs="Times New Roman"/>
      <w:szCs w:val="24"/>
    </w:rPr>
  </w:style>
  <w:style w:type="paragraph" w:customStyle="1" w:styleId="48">
    <w:name w:val="前言、引言标题"/>
    <w:next w:val="4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50">
    <w:name w:val="table 字符"/>
    <w:link w:val="51"/>
    <w:qFormat/>
    <w:locked/>
    <w:uiPriority w:val="0"/>
    <w:rPr>
      <w:rFonts w:eastAsia="方正仿宋_GBK"/>
      <w:sz w:val="28"/>
      <w:szCs w:val="28"/>
    </w:rPr>
  </w:style>
  <w:style w:type="paragraph" w:customStyle="1" w:styleId="51">
    <w:name w:val="table"/>
    <w:basedOn w:val="6"/>
    <w:link w:val="50"/>
    <w:qFormat/>
    <w:uiPriority w:val="0"/>
    <w:pPr>
      <w:widowControl w:val="0"/>
      <w:adjustRightInd w:val="0"/>
      <w:snapToGrid w:val="0"/>
      <w:ind w:firstLine="0" w:firstLineChars="0"/>
      <w:jc w:val="center"/>
    </w:pPr>
    <w:rPr>
      <w:rFonts w:ascii="等线" w:hAnsi="等线" w:eastAsia="方正仿宋_GBK"/>
      <w:sz w:val="28"/>
      <w:szCs w:val="28"/>
    </w:rPr>
  </w:style>
  <w:style w:type="character" w:customStyle="1" w:styleId="52">
    <w:name w:val="批注框文本 字符"/>
    <w:link w:val="8"/>
    <w:semiHidden/>
    <w:qFormat/>
    <w:uiPriority w:val="99"/>
    <w:rPr>
      <w:rFonts w:ascii="Times New Roman" w:hAnsi="Times New Roman" w:eastAsia="宋体"/>
      <w:kern w:val="2"/>
      <w:sz w:val="18"/>
      <w:szCs w:val="18"/>
    </w:rPr>
  </w:style>
  <w:style w:type="character" w:customStyle="1" w:styleId="53">
    <w:name w:val="正文缩进 字符"/>
    <w:link w:val="6"/>
    <w:qFormat/>
    <w:uiPriority w:val="0"/>
    <w:rPr>
      <w:rFonts w:ascii="Times New Roman" w:hAnsi="Times New Roman" w:eastAsia="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6.png"/><Relationship Id="rId28" Type="http://schemas.openxmlformats.org/officeDocument/2006/relationships/image" Target="media/image5.wmf"/><Relationship Id="rId27" Type="http://schemas.openxmlformats.org/officeDocument/2006/relationships/oleObject" Target="embeddings/oleObject4.bin"/><Relationship Id="rId26" Type="http://schemas.openxmlformats.org/officeDocument/2006/relationships/image" Target="media/image4.wmf"/><Relationship Id="rId25" Type="http://schemas.openxmlformats.org/officeDocument/2006/relationships/oleObject" Target="embeddings/oleObject3.bin"/><Relationship Id="rId24" Type="http://schemas.openxmlformats.org/officeDocument/2006/relationships/image" Target="media/image3.png"/><Relationship Id="rId23" Type="http://schemas.openxmlformats.org/officeDocument/2006/relationships/image" Target="media/image2.wmf"/><Relationship Id="rId22" Type="http://schemas.openxmlformats.org/officeDocument/2006/relationships/oleObject" Target="embeddings/oleObject2.bin"/><Relationship Id="rId21" Type="http://schemas.openxmlformats.org/officeDocument/2006/relationships/image" Target="media/image1.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D1B10-1F25-475C-A186-FF0AE2F1577D}">
  <ds:schemaRefs/>
</ds:datastoreItem>
</file>

<file path=docProps/app.xml><?xml version="1.0" encoding="utf-8"?>
<Properties xmlns="http://schemas.openxmlformats.org/officeDocument/2006/extended-properties" xmlns:vt="http://schemas.openxmlformats.org/officeDocument/2006/docPropsVTypes">
  <Template>Normal</Template>
  <Pages>14</Pages>
  <Words>1364</Words>
  <Characters>7781</Characters>
  <Lines>64</Lines>
  <Paragraphs>18</Paragraphs>
  <TotalTime>2</TotalTime>
  <ScaleCrop>false</ScaleCrop>
  <LinksUpToDate>false</LinksUpToDate>
  <CharactersWithSpaces>9127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2025-10-14T06:37:00Z</dcterms:created>
  <dc:creator>商盈润</dc:creator>
  <cp:lastModifiedBy>李超</cp:lastModifiedBy>
  <dcterms:modified xsi:type="dcterms:W3CDTF">2025-11-12T07:20:54Z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eyJoZGlkIjoiMWMxYTBmM2ExNDA5MTI5NmEwNjA4YTk5MmRmY2Y2MzgiLCJ1c2VySWQiOiIyMzA4OTA2MDYifQ==</vt:lpwstr>
  </property>
  <property fmtid="{D5CDD505-2E9C-101B-9397-08002B2CF9AE}" pid="3" name="KSOProductBuildVer">
    <vt:lpwstr>2052-11.8.2.12085</vt:lpwstr>
  </property>
  <property fmtid="{D5CDD505-2E9C-101B-9397-08002B2CF9AE}" pid="4" name="ICV">
    <vt:lpwstr>0EF8F3194B3E4C5184FBC51883D8904B</vt:lpwstr>
  </property>
</Properties>
</file>