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9F1DA">
      <w:pPr>
        <w:pStyle w:val="116"/>
        <w:framePr w:w="7955" w:wrap="notBeside" w:x="2206"/>
        <w:spacing w:before="62"/>
        <w:rPr>
          <w:rFonts w:ascii="Times New Roman" w:hAnsi="Times New Roman"/>
        </w:rPr>
      </w:pPr>
      <w:bookmarkStart w:id="0" w:name="StdNo0"/>
      <w:r>
        <w:rPr>
          <w:rFonts w:hint="eastAsia" w:ascii="Times New Roman" w:hAnsi="Times New Roman"/>
          <w:sz w:val="76"/>
          <w:szCs w:val="76"/>
        </w:rPr>
        <w:t>团体标准</w:t>
      </w:r>
    </w:p>
    <w:bookmarkEnd w:id="0"/>
    <w:p w14:paraId="0DBFE348">
      <w:pPr>
        <w:pStyle w:val="53"/>
        <w:framePr w:w="4077" w:h="709" w:hRule="exact" w:wrap="notBeside" w:x="6482" w:y="3454"/>
        <w:rPr>
          <w:rFonts w:ascii="Times New Roman"/>
        </w:rPr>
      </w:pPr>
    </w:p>
    <w:p w14:paraId="157F05A5">
      <w:pPr>
        <w:pStyle w:val="84"/>
        <w:framePr w:h="8760" w:hRule="exact" w:wrap="notBeside"/>
        <w:rPr>
          <w:rFonts w:ascii="Times New Roman"/>
          <w:sz w:val="28"/>
          <w:szCs w:val="28"/>
        </w:rPr>
      </w:pPr>
      <w:bookmarkStart w:id="1" w:name="FY"/>
      <w:r>
        <w:rPr>
          <w:rFonts w:hint="eastAsia" w:ascii="Times New Roman"/>
          <w:szCs w:val="52"/>
        </w:rPr>
        <w:t>光伏电站组件供应商绿色低碳能力评价</w:t>
      </w:r>
    </w:p>
    <w:p w14:paraId="45083F2B">
      <w:pPr>
        <w:pStyle w:val="84"/>
        <w:framePr w:h="8760" w:hRule="exact" w:wrap="notBeside"/>
        <w:rPr>
          <w:rFonts w:ascii="Times New Roman"/>
          <w:szCs w:val="28"/>
        </w:rPr>
      </w:pPr>
      <w:r>
        <w:rPr>
          <w:rFonts w:hint="eastAsia" w:ascii="Times New Roman"/>
          <w:szCs w:val="28"/>
        </w:rPr>
        <w:t>编制说明</w:t>
      </w:r>
    </w:p>
    <w:p w14:paraId="686C1F3F">
      <w:pPr>
        <w:pStyle w:val="84"/>
        <w:framePr w:h="8760" w:hRule="exact" w:wrap="notBeside"/>
        <w:rPr>
          <w:rFonts w:ascii="Times New Roman"/>
          <w:shd w:val="pct10" w:color="auto" w:fill="FFFFFF"/>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0A02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6F7B0CC">
            <w:pPr>
              <w:pStyle w:val="88"/>
              <w:framePr w:h="8760" w:hRule="exact" w:wrap="notBeside"/>
              <w:rPr>
                <w:rFonts w:ascii="Times New Roman"/>
              </w:rPr>
            </w:pPr>
          </w:p>
          <w:p w14:paraId="37462DB8">
            <w:pPr>
              <w:pStyle w:val="88"/>
              <w:framePr w:h="8760" w:hRule="exact" w:wrap="notBeside"/>
              <w:rPr>
                <w:rFonts w:ascii="Times New Roman"/>
              </w:rPr>
            </w:pPr>
          </w:p>
          <w:p w14:paraId="1A54BABF">
            <w:pPr>
              <w:pStyle w:val="88"/>
              <w:framePr w:h="8760" w:hRule="exact" w:wrap="notBeside"/>
              <w:rPr>
                <w:rFonts w:ascii="Times New Roman"/>
              </w:rPr>
            </w:pPr>
          </w:p>
          <w:p w14:paraId="3F8CEF21">
            <w:pPr>
              <w:pStyle w:val="88"/>
              <w:framePr w:h="8760" w:hRule="exact" w:wrap="notBeside"/>
              <w:rPr>
                <w:rFonts w:ascii="Times New Roman"/>
              </w:rPr>
            </w:pPr>
          </w:p>
          <w:p w14:paraId="1CBE923E">
            <w:pPr>
              <w:pStyle w:val="88"/>
              <w:framePr w:h="8760" w:hRule="exact" w:wrap="notBeside"/>
              <w:rPr>
                <w:rFonts w:ascii="Times New Roman"/>
              </w:rPr>
            </w:pPr>
          </w:p>
          <w:p w14:paraId="55FD126A">
            <w:pPr>
              <w:pStyle w:val="88"/>
              <w:framePr w:h="8760" w:hRule="exact" w:wrap="notBeside"/>
              <w:rPr>
                <w:rFonts w:ascii="Times New Roman"/>
              </w:rPr>
            </w:pPr>
          </w:p>
          <w:p w14:paraId="68B847B2">
            <w:pPr>
              <w:pStyle w:val="88"/>
              <w:framePr w:h="8760" w:hRule="exact" w:wrap="notBeside"/>
              <w:rPr>
                <w:rFonts w:ascii="Times New Roman"/>
              </w:rPr>
            </w:pPr>
          </w:p>
          <w:p w14:paraId="00A353AE">
            <w:pPr>
              <w:pStyle w:val="88"/>
              <w:framePr w:h="8760" w:hRule="exact" w:wrap="notBeside"/>
              <w:rPr>
                <w:rFonts w:ascii="Times New Roman"/>
              </w:rPr>
            </w:pPr>
          </w:p>
          <w:p w14:paraId="14CDEFCA">
            <w:pPr>
              <w:pStyle w:val="88"/>
              <w:framePr w:h="8760" w:hRule="exact" w:wrap="notBeside"/>
              <w:rPr>
                <w:rFonts w:ascii="Times New Roman"/>
              </w:rPr>
            </w:pPr>
          </w:p>
          <w:p w14:paraId="3B74C6FD">
            <w:pPr>
              <w:pStyle w:val="88"/>
              <w:framePr w:h="8760" w:hRule="exact" w:wrap="notBeside"/>
              <w:rPr>
                <w:rFonts w:ascii="Times New Roman"/>
              </w:rPr>
            </w:pPr>
            <w:r>
              <w:rPr>
                <w:rFonts w:hint="eastAsia" w:ascii="Times New Roman"/>
              </w:rPr>
              <w:t>2025-XX-XX</w:t>
            </w:r>
          </w:p>
        </w:tc>
      </w:tr>
      <w:bookmarkEnd w:id="1"/>
    </w:tbl>
    <w:p w14:paraId="260661E7"/>
    <w:p w14:paraId="5DE6A7DE">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TnBKxygEAAKADAAAOAAAAZHJzL2Uyb0RvYy54bWytU01v&#10;2zAMvQ/YfxB0X5wETbcYcXpI0F2yLUC7H6DIsi1UEgVRiZ1/P0pO0rW79DAfBIkfj3yP9OphsIad&#10;VEANruKzyZQz5STU2rUV//38+OUbZxiFq4UBpyp+Vsgf1p8/rXpfqjl0YGoVGIE4LHtf8S5GXxYF&#10;yk5ZgRPwypGzgWBFpGdoizqIntCtKebT6X3RQ6h9AKkQybodnfyCGD4CCE2jpdqCPFrl4ogalBGR&#10;KGGnPfJ17rZplIy/mgZVZKbixDTmk4rQ/ZDOYr0SZRuE77S8tCA+0sI7TlZoR0VvUFsRBTsG/Q+U&#10;1TIAQhMnEmwxEsmKEIvZ9J02T53wKnMhqdHfRMf/Byt/nvaB6Zo2gTMnLA18p51is1mSpvdYUsTG&#10;7UMiJwf35HcgX5A52HTCtSq3+Hz2lJczijcp6YGeChz6H1BTjDhGyDoNTbAJkhRgQx7H+TYONUQm&#10;ybhY3i/vvi45k1dfIcprog8YvyuwLF0qbqjpDCxOO4zUOoVeQ1IdB4/amDxt41hf8eVivsgJCEbX&#10;yZnCMLSHjQnsJNK+5C/pQGBvwgIcXT3ajSP3leeo2AHq8z4kd7LT4DLAZcnSZvz9zlGvP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grYXXAAAACQEAAA8AAAAAAAAAAQAgAAAAIgAAAGRycy9k&#10;b3ducmV2LnhtbFBLAQIUABQAAAAIAIdO4kBTnBKxygEAAKADAAAOAAAAAAAAAAEAIAAAACYBAABk&#10;cnMvZTJvRG9jLnhtbFBLBQYAAAAABgAGAFkBAABiBQAAAAA=&#10;">
                <v:fill on="f" focussize="0,0"/>
                <v:stroke color="#000000" joinstyle="round"/>
                <v:imagedata o:title=""/>
                <o:lock v:ext="edit" aspectratio="f"/>
              </v:line>
            </w:pict>
          </mc:Fallback>
        </mc:AlternateContent>
      </w:r>
      <w:r>
        <w:rPr>
          <w:rFonts w:hint="eastAsia"/>
        </w:rPr>
        <w:tab/>
      </w:r>
    </w:p>
    <w:p w14:paraId="74C2DE64"/>
    <w:p w14:paraId="72DA8DFF"/>
    <w:p w14:paraId="45867097"/>
    <w:p w14:paraId="519A1B8F"/>
    <w:p w14:paraId="20201A76"/>
    <w:p w14:paraId="0AA3EEB9"/>
    <w:p w14:paraId="4E09D81E"/>
    <w:p w14:paraId="6AB4D77B"/>
    <w:p w14:paraId="4EAC346D">
      <w:pPr>
        <w:adjustRightInd w:val="0"/>
        <w:snapToGrid w:val="0"/>
        <w:spacing w:line="240" w:lineRule="atLeast"/>
        <w:jc w:val="center"/>
        <w:rPr>
          <w:rFonts w:eastAsia="方正小标宋简体"/>
          <w:sz w:val="30"/>
          <w:szCs w:val="30"/>
        </w:rPr>
      </w:pPr>
      <w:r>
        <w:rPr>
          <w:rFonts w:hint="eastAsia" w:eastAsia="方正小标宋简体"/>
          <w:sz w:val="30"/>
          <w:szCs w:val="30"/>
        </w:rPr>
        <w:t>《光伏电站组件供应商绿色低碳能力评价》</w:t>
      </w:r>
    </w:p>
    <w:p w14:paraId="3F64298A">
      <w:pPr>
        <w:adjustRightInd w:val="0"/>
        <w:snapToGrid w:val="0"/>
        <w:spacing w:line="240" w:lineRule="atLeast"/>
        <w:jc w:val="center"/>
        <w:rPr>
          <w:rFonts w:eastAsiaTheme="minorEastAsia"/>
          <w:sz w:val="30"/>
          <w:szCs w:val="30"/>
        </w:rPr>
      </w:pPr>
      <w:r>
        <w:rPr>
          <w:rFonts w:hint="eastAsia" w:eastAsiaTheme="minorEastAsia"/>
          <w:sz w:val="30"/>
          <w:szCs w:val="30"/>
        </w:rPr>
        <w:t>编制说明</w:t>
      </w:r>
    </w:p>
    <w:p w14:paraId="009A7B36">
      <w:pPr>
        <w:rPr>
          <w:rFonts w:eastAsia="仿宋_GB2312"/>
          <w:sz w:val="32"/>
          <w:szCs w:val="32"/>
        </w:rPr>
      </w:pPr>
    </w:p>
    <w:p w14:paraId="4175858F">
      <w:pPr>
        <w:spacing w:line="360" w:lineRule="auto"/>
        <w:rPr>
          <w:rFonts w:eastAsia="仿宋" w:cs="仿宋"/>
          <w:b/>
          <w:sz w:val="24"/>
        </w:rPr>
      </w:pPr>
      <w:r>
        <w:rPr>
          <w:rFonts w:hint="eastAsia" w:eastAsia="仿宋" w:cs="仿宋"/>
          <w:b/>
          <w:sz w:val="24"/>
        </w:rPr>
        <w:t xml:space="preserve">1 </w:t>
      </w:r>
      <w:r>
        <w:rPr>
          <w:rFonts w:hint="eastAsia" w:eastAsia="仿宋" w:cs="仿宋"/>
          <w:b/>
          <w:spacing w:val="6"/>
          <w:sz w:val="24"/>
        </w:rPr>
        <w:t>任务来源、协作单位</w:t>
      </w:r>
    </w:p>
    <w:p w14:paraId="5491889B">
      <w:pPr>
        <w:spacing w:line="360" w:lineRule="auto"/>
        <w:rPr>
          <w:rFonts w:eastAsia="仿宋" w:cs="仿宋"/>
          <w:b/>
          <w:spacing w:val="6"/>
          <w:sz w:val="24"/>
        </w:rPr>
      </w:pPr>
      <w:r>
        <w:rPr>
          <w:rFonts w:hint="eastAsia" w:eastAsia="仿宋" w:cs="仿宋"/>
          <w:b/>
          <w:sz w:val="24"/>
        </w:rPr>
        <w:t xml:space="preserve">1.1 </w:t>
      </w:r>
      <w:r>
        <w:rPr>
          <w:rFonts w:hint="eastAsia" w:eastAsia="仿宋" w:cs="仿宋"/>
          <w:b/>
          <w:spacing w:val="6"/>
          <w:sz w:val="24"/>
        </w:rPr>
        <w:t>任务来源</w:t>
      </w:r>
    </w:p>
    <w:p w14:paraId="6E327673">
      <w:pPr>
        <w:spacing w:line="360" w:lineRule="auto"/>
        <w:ind w:firstLine="504" w:firstLineChars="200"/>
        <w:rPr>
          <w:rFonts w:eastAsia="仿宋" w:cs="仿宋"/>
          <w:spacing w:val="6"/>
          <w:sz w:val="24"/>
          <w:highlight w:val="yellow"/>
        </w:rPr>
      </w:pPr>
      <w:r>
        <w:rPr>
          <w:rFonts w:hint="eastAsia" w:eastAsia="仿宋" w:cs="仿宋"/>
          <w:spacing w:val="6"/>
          <w:sz w:val="24"/>
        </w:rPr>
        <w:t>协会下达计划的批次：2025年第x批次；项目名称：光伏电站组件供应商绿色低碳能力评价；项目编号：T/CERSXXXX—202X；项目期限：</w:t>
      </w:r>
      <w:r>
        <w:rPr>
          <w:rFonts w:eastAsia="仿宋" w:cs="仿宋"/>
          <w:spacing w:val="6"/>
          <w:sz w:val="24"/>
        </w:rPr>
        <w:t>202</w:t>
      </w:r>
      <w:r>
        <w:rPr>
          <w:rFonts w:hint="eastAsia" w:eastAsia="仿宋" w:cs="仿宋"/>
          <w:spacing w:val="6"/>
          <w:sz w:val="24"/>
        </w:rPr>
        <w:t>5年5月至202</w:t>
      </w:r>
      <w:r>
        <w:rPr>
          <w:rFonts w:hint="eastAsia" w:eastAsia="仿宋" w:cs="仿宋"/>
          <w:spacing w:val="6"/>
          <w:sz w:val="24"/>
          <w:lang w:val="en-US" w:eastAsia="zh-CN"/>
        </w:rPr>
        <w:t>6</w:t>
      </w:r>
      <w:r>
        <w:rPr>
          <w:rFonts w:hint="eastAsia" w:eastAsia="仿宋" w:cs="仿宋"/>
          <w:spacing w:val="6"/>
          <w:sz w:val="24"/>
        </w:rPr>
        <w:t>年2月；提出单位：华电金沙江上游水电开发有限公司。</w:t>
      </w:r>
    </w:p>
    <w:p w14:paraId="20F7194F">
      <w:pPr>
        <w:spacing w:line="360" w:lineRule="auto"/>
        <w:rPr>
          <w:rFonts w:eastAsia="仿宋" w:cs="仿宋"/>
          <w:b/>
          <w:spacing w:val="6"/>
          <w:sz w:val="24"/>
        </w:rPr>
      </w:pPr>
      <w:r>
        <w:rPr>
          <w:rFonts w:hint="eastAsia" w:eastAsia="仿宋" w:cs="仿宋"/>
          <w:b/>
          <w:spacing w:val="6"/>
          <w:sz w:val="24"/>
        </w:rPr>
        <w:t>1.2 协作单位</w:t>
      </w:r>
    </w:p>
    <w:p w14:paraId="4292A505">
      <w:pPr>
        <w:spacing w:line="360" w:lineRule="auto"/>
        <w:ind w:firstLine="504" w:firstLineChars="200"/>
        <w:rPr>
          <w:rFonts w:eastAsia="仿宋" w:cs="仿宋"/>
          <w:spacing w:val="6"/>
          <w:sz w:val="24"/>
        </w:rPr>
      </w:pPr>
      <w:r>
        <w:rPr>
          <w:rFonts w:hint="eastAsia" w:eastAsia="仿宋" w:cs="仿宋"/>
          <w:spacing w:val="6"/>
          <w:sz w:val="24"/>
        </w:rPr>
        <w:t>华电金上（甘孜）电力开发有限公司、中国华电集团物资有限公司、中国水利水电科学研究院、河海大学、</w:t>
      </w:r>
      <w:r>
        <w:rPr>
          <w:rFonts w:hint="eastAsia" w:eastAsia="仿宋" w:cs="仿宋"/>
          <w:spacing w:val="6"/>
          <w:sz w:val="24"/>
          <w:highlight w:val="none"/>
        </w:rPr>
        <w:t>晶澳太阳能科技股份有限公司、隆基绿能科技股份有限公司、晶科能源股份有限公司、天合光能股份有限公司、通威股份有限公司、协鑫集成科技股份有限公司、正泰新能科技股份有限公司</w:t>
      </w:r>
      <w:r>
        <w:rPr>
          <w:rFonts w:hint="eastAsia" w:eastAsia="仿宋" w:cs="仿宋"/>
          <w:spacing w:val="6"/>
          <w:sz w:val="24"/>
          <w:highlight w:val="none"/>
          <w:lang w:eastAsia="zh-CN"/>
        </w:rPr>
        <w:t>、TCL中环新能源科技股份有限公司、</w:t>
      </w:r>
      <w:r>
        <w:rPr>
          <w:rFonts w:hint="eastAsia" w:eastAsia="仿宋" w:cs="仿宋"/>
          <w:spacing w:val="6"/>
          <w:sz w:val="24"/>
          <w:highlight w:val="none"/>
          <w:lang w:val="en-US" w:eastAsia="zh-CN"/>
        </w:rPr>
        <w:t>上海</w:t>
      </w:r>
      <w:r>
        <w:rPr>
          <w:rFonts w:hint="eastAsia" w:eastAsia="仿宋" w:cs="仿宋"/>
          <w:spacing w:val="6"/>
          <w:sz w:val="24"/>
          <w:highlight w:val="none"/>
          <w:lang w:eastAsia="zh-CN"/>
        </w:rPr>
        <w:t>爱旭</w:t>
      </w:r>
      <w:r>
        <w:rPr>
          <w:rFonts w:hint="eastAsia" w:eastAsia="仿宋" w:cs="仿宋"/>
          <w:spacing w:val="6"/>
          <w:sz w:val="24"/>
          <w:highlight w:val="none"/>
          <w:lang w:val="en-US" w:eastAsia="zh-CN"/>
        </w:rPr>
        <w:t>新能源股份</w:t>
      </w:r>
      <w:r>
        <w:rPr>
          <w:rFonts w:hint="eastAsia" w:eastAsia="仿宋" w:cs="仿宋"/>
          <w:spacing w:val="6"/>
          <w:sz w:val="24"/>
          <w:highlight w:val="none"/>
          <w:lang w:eastAsia="zh-CN"/>
        </w:rPr>
        <w:t>有限公司、一道新能源科技股份有限公司</w:t>
      </w:r>
      <w:r>
        <w:rPr>
          <w:rFonts w:hint="eastAsia" w:eastAsia="仿宋" w:cs="仿宋"/>
          <w:spacing w:val="6"/>
          <w:sz w:val="24"/>
          <w:highlight w:val="none"/>
        </w:rPr>
        <w:t>。</w:t>
      </w:r>
    </w:p>
    <w:p w14:paraId="0ED188EF">
      <w:pPr>
        <w:spacing w:line="360" w:lineRule="auto"/>
        <w:rPr>
          <w:rFonts w:eastAsia="仿宋" w:cs="仿宋"/>
          <w:b/>
          <w:sz w:val="24"/>
        </w:rPr>
      </w:pPr>
      <w:r>
        <w:rPr>
          <w:rFonts w:hint="eastAsia" w:eastAsia="仿宋" w:cs="仿宋"/>
          <w:b/>
          <w:sz w:val="24"/>
        </w:rPr>
        <w:t>2 编制工作组简况</w:t>
      </w:r>
    </w:p>
    <w:p w14:paraId="177F03AE">
      <w:pPr>
        <w:spacing w:line="360" w:lineRule="auto"/>
        <w:rPr>
          <w:rFonts w:eastAsia="仿宋" w:cs="仿宋"/>
          <w:b/>
          <w:sz w:val="24"/>
        </w:rPr>
      </w:pPr>
      <w:r>
        <w:rPr>
          <w:rFonts w:hint="eastAsia" w:eastAsia="仿宋" w:cs="仿宋"/>
          <w:b/>
          <w:sz w:val="24"/>
        </w:rPr>
        <w:t>2.1 编制工作组及其成员情况</w:t>
      </w:r>
    </w:p>
    <w:p w14:paraId="7EBCEF4B">
      <w:pPr>
        <w:spacing w:line="360" w:lineRule="auto"/>
        <w:ind w:firstLine="504" w:firstLineChars="200"/>
        <w:rPr>
          <w:rFonts w:eastAsia="仿宋" w:cs="仿宋"/>
          <w:b/>
          <w:sz w:val="24"/>
        </w:rPr>
      </w:pPr>
      <w:r>
        <w:rPr>
          <w:rFonts w:hint="eastAsia" w:eastAsia="仿宋" w:cs="仿宋"/>
          <w:spacing w:val="6"/>
          <w:sz w:val="24"/>
        </w:rPr>
        <w:t>柳春娜、申宏波、</w:t>
      </w:r>
      <w:bookmarkStart w:id="2" w:name="_Hlk200624508"/>
      <w:r>
        <w:rPr>
          <w:rFonts w:hint="eastAsia" w:eastAsia="仿宋" w:cs="仿宋"/>
          <w:spacing w:val="6"/>
          <w:sz w:val="24"/>
        </w:rPr>
        <w:t>邢伟</w:t>
      </w:r>
      <w:bookmarkEnd w:id="2"/>
      <w:r>
        <w:rPr>
          <w:rFonts w:hint="eastAsia" w:eastAsia="仿宋" w:cs="仿宋"/>
          <w:spacing w:val="6"/>
          <w:sz w:val="24"/>
        </w:rPr>
        <w:t>、张进、杨红梅、黄晓应、阚思蒙、卫永波、赵延慧、石常峰、卢佳、王鲁海、李锐、刘轶、王亚楠。</w:t>
      </w:r>
    </w:p>
    <w:p w14:paraId="3134FC38">
      <w:pPr>
        <w:spacing w:line="360" w:lineRule="auto"/>
        <w:rPr>
          <w:rFonts w:eastAsia="仿宋" w:cs="仿宋"/>
          <w:b/>
          <w:sz w:val="24"/>
        </w:rPr>
      </w:pPr>
      <w:r>
        <w:rPr>
          <w:rFonts w:hint="eastAsia" w:eastAsia="仿宋" w:cs="仿宋"/>
          <w:b/>
          <w:sz w:val="24"/>
        </w:rPr>
        <w:t>2.2 标准主要起草人及其所做的工作</w:t>
      </w:r>
    </w:p>
    <w:p w14:paraId="58BCC071">
      <w:pPr>
        <w:spacing w:line="360" w:lineRule="auto"/>
        <w:ind w:firstLine="480" w:firstLineChars="200"/>
        <w:rPr>
          <w:rFonts w:eastAsia="仿宋" w:cs="仿宋"/>
          <w:sz w:val="24"/>
        </w:rPr>
      </w:pPr>
      <w:r>
        <w:rPr>
          <w:rFonts w:hint="eastAsia" w:eastAsia="仿宋" w:cs="仿宋"/>
          <w:sz w:val="24"/>
        </w:rPr>
        <w:t>申宏波主要负责第1、2和3节的撰写和校正；柳春娜主要负责第4和5节的撰写和校正；邢伟主要负责第6和7节的撰写和校正；张进主要负责第8节的撰写和校正。</w:t>
      </w:r>
    </w:p>
    <w:p w14:paraId="5C2F8F8F">
      <w:pPr>
        <w:spacing w:line="360" w:lineRule="auto"/>
        <w:rPr>
          <w:rFonts w:eastAsia="仿宋" w:cs="仿宋"/>
          <w:b/>
          <w:sz w:val="24"/>
        </w:rPr>
      </w:pPr>
      <w:r>
        <w:rPr>
          <w:rFonts w:hint="eastAsia" w:eastAsia="仿宋" w:cs="仿宋"/>
          <w:b/>
          <w:sz w:val="24"/>
        </w:rPr>
        <w:t>3 起草阶段的主要工作内容</w:t>
      </w:r>
    </w:p>
    <w:p w14:paraId="27A338FE">
      <w:pPr>
        <w:spacing w:line="360" w:lineRule="auto"/>
        <w:ind w:firstLine="504" w:firstLineChars="200"/>
        <w:rPr>
          <w:rFonts w:eastAsia="仿宋" w:cs="仿宋"/>
          <w:spacing w:val="6"/>
          <w:sz w:val="24"/>
        </w:rPr>
      </w:pPr>
      <w:r>
        <w:rPr>
          <w:rFonts w:hint="eastAsia" w:eastAsia="仿宋" w:cs="仿宋"/>
          <w:spacing w:val="6"/>
          <w:sz w:val="24"/>
        </w:rPr>
        <w:t>在编制《光伏电站组件供应商绿色低碳能力评价标准》过程中，组建了涵盖多领域专家及企业代表的编制小组，以确保标准的科学性与实用性。工作组内部明确了各自的职责分工，确保了工作的有序推进。通过紧密的协作与沟通，工作组力求使标准能够全面、客观地反映光伏电站组件供应商的绿色低碳能力。</w:t>
      </w:r>
    </w:p>
    <w:p w14:paraId="3BCE2C29">
      <w:pPr>
        <w:spacing w:line="360" w:lineRule="auto"/>
        <w:ind w:firstLine="504" w:firstLineChars="200"/>
        <w:rPr>
          <w:rFonts w:eastAsia="仿宋" w:cs="仿宋"/>
          <w:spacing w:val="6"/>
          <w:sz w:val="24"/>
        </w:rPr>
      </w:pPr>
      <w:r>
        <w:rPr>
          <w:rFonts w:hint="eastAsia" w:eastAsia="仿宋" w:cs="仿宋"/>
          <w:spacing w:val="6"/>
          <w:sz w:val="24"/>
        </w:rPr>
        <w:t>在起草阶段，首先对国内外光伏产业的发展现状进行了深入调研。分析了光伏电站组件供应商在生产过程中能源消耗、温室气体排放、资源利用效率等方面的情况，明确了评价供应商绿色低碳能力的关键指标与维度。同时也对已有的相关标准进行了系统梳理，如ISO 14001环境管理体系标准、GB/T 24001等，借鉴其有益的内容与方法，为本标准的制定提供了参考依据。</w:t>
      </w:r>
    </w:p>
    <w:p w14:paraId="6F80EA19">
      <w:pPr>
        <w:spacing w:line="360" w:lineRule="auto"/>
        <w:ind w:firstLine="504" w:firstLineChars="200"/>
        <w:rPr>
          <w:rFonts w:eastAsia="仿宋" w:cs="仿宋"/>
          <w:spacing w:val="6"/>
          <w:sz w:val="24"/>
        </w:rPr>
      </w:pPr>
      <w:r>
        <w:rPr>
          <w:rFonts w:hint="eastAsia" w:eastAsia="仿宋" w:cs="仿宋"/>
          <w:spacing w:val="6"/>
          <w:sz w:val="24"/>
        </w:rPr>
        <w:t>在标准框架设计方面，经过多轮研讨与论证，确定了标准的主要结构。包括总则、术语与定义、评价指标体系、评价方法、评价程序等部分。评价指标体系涵盖了基本要素、能源与资源属性、环境属性和产品属性四个方面，力求全面、准确地评价光伏电站组件供应商的绿色低碳能力。在具体的指标设定上，依据大量的调研数据与行业实际情况，对各项指标的权重、评分标准等进行了详细规定，确保了评价结果的科学性与公正性。在此过程中，涉及的主要争议问题包括绿色低碳技术指标的设定、评价方法的合理性等。编制小组通过对比分析现有标准、检测数据及开展内部研讨，促进成员间有效沟通，最终就争议问题达成一致意见，并对相关内容进行调整和完善。</w:t>
      </w:r>
    </w:p>
    <w:p w14:paraId="3FA1ACAE">
      <w:pPr>
        <w:spacing w:line="360" w:lineRule="auto"/>
        <w:ind w:firstLine="504" w:firstLineChars="200"/>
        <w:rPr>
          <w:rFonts w:eastAsia="仿宋" w:cs="仿宋"/>
          <w:spacing w:val="6"/>
          <w:sz w:val="24"/>
        </w:rPr>
      </w:pPr>
      <w:r>
        <w:rPr>
          <w:rFonts w:hint="eastAsia" w:eastAsia="仿宋" w:cs="仿宋"/>
          <w:spacing w:val="6"/>
          <w:sz w:val="24"/>
        </w:rPr>
        <w:t>标准草案经工作组内部基本达成一致后，严格按照规定程序面向全社会公开征求意见。征求意见渠道覆盖了主要光伏组件制造商、原材料供应商、电站开发商、设计院、行业组织、研究机构及政府相关部门。在规定的征求意见期内，共收到来自数十家单位及专家的书面反馈意见。工作组对所有反馈意见进行了逐条登记、分类整理和深入分析，形成详细的意见处理汇总表。对于合理化建议，如进一步明确特定数据核算边界、补充对可再生能源使用比例的具体核查要求、优化部分评价条款的表述以增强可操作性等，均在标准修改中予以采纳吸收；对于存在分歧或需进一步论证的建议，工作组通过邮件、电话会议或小型研讨会等方式与提出方进行了充分沟通解释，阐明未予采纳的具体原因和技术依据，最终就意见处理达成理解或共识。</w:t>
      </w:r>
    </w:p>
    <w:p w14:paraId="386A62C2">
      <w:pPr>
        <w:spacing w:line="360" w:lineRule="auto"/>
        <w:ind w:firstLine="504" w:firstLineChars="200"/>
        <w:rPr>
          <w:rFonts w:eastAsia="仿宋" w:cs="仿宋"/>
          <w:spacing w:val="6"/>
          <w:sz w:val="24"/>
        </w:rPr>
      </w:pPr>
      <w:r>
        <w:rPr>
          <w:rFonts w:hint="eastAsia" w:eastAsia="仿宋" w:cs="仿宋"/>
          <w:spacing w:val="6"/>
          <w:sz w:val="24"/>
        </w:rPr>
        <w:t>在充分吸纳公开征求意见的基础上，标准编制工作组对草案进行了系统修改和完善，形成标准送审稿。送审稿注重技术细节准确性与表述清晰性，以保障标准的操作性与可行性。送审稿提交后，及时收集审查单位反馈意见，针对审查中提出的如标准适用范围、评价指标权重分配等问题，小组逐一核对，依据有效建议进行必要修改。在综合考量审查意见与行业反馈后，对标准内容进行最终修改，确保其科学性、合理性与适用性，使意见获得充分沟通，保障标准符合行业实际需求与发展导向。整个编制过程历时严谨，各阶段争议均通过充分讨论、数据支撑和协商一致得以妥善解决，确保标准内容科学、合理、可行，并获得了行业内的广泛认可。</w:t>
      </w:r>
    </w:p>
    <w:p w14:paraId="645B7442">
      <w:pPr>
        <w:spacing w:line="360" w:lineRule="auto"/>
        <w:rPr>
          <w:rFonts w:eastAsia="仿宋" w:cs="仿宋"/>
          <w:b/>
          <w:sz w:val="24"/>
        </w:rPr>
      </w:pPr>
      <w:r>
        <w:rPr>
          <w:rFonts w:hint="eastAsia" w:eastAsia="仿宋" w:cs="仿宋"/>
          <w:b/>
          <w:sz w:val="24"/>
        </w:rPr>
        <w:t>4 标准编制原则及与国家法律法规和强制性标准及有关标准的关系</w:t>
      </w:r>
    </w:p>
    <w:p w14:paraId="2387E244">
      <w:pPr>
        <w:spacing w:line="360" w:lineRule="auto"/>
        <w:rPr>
          <w:rFonts w:eastAsia="仿宋" w:cs="仿宋"/>
          <w:b/>
          <w:bCs/>
          <w:spacing w:val="6"/>
          <w:sz w:val="24"/>
        </w:rPr>
      </w:pPr>
      <w:r>
        <w:rPr>
          <w:rFonts w:hint="eastAsia" w:eastAsia="仿宋" w:cs="仿宋"/>
          <w:b/>
          <w:bCs/>
          <w:spacing w:val="6"/>
          <w:sz w:val="24"/>
        </w:rPr>
        <w:t>4.1 编制原则</w:t>
      </w:r>
    </w:p>
    <w:p w14:paraId="3783FCE0">
      <w:pPr>
        <w:spacing w:line="360" w:lineRule="auto"/>
        <w:ind w:firstLine="504" w:firstLineChars="200"/>
        <w:rPr>
          <w:rFonts w:hint="eastAsia" w:eastAsia="仿宋" w:cs="仿宋"/>
          <w:spacing w:val="6"/>
          <w:sz w:val="24"/>
        </w:rPr>
      </w:pPr>
      <w:r>
        <w:rPr>
          <w:rFonts w:hint="eastAsia" w:eastAsia="仿宋" w:cs="仿宋"/>
          <w:spacing w:val="6"/>
          <w:sz w:val="24"/>
        </w:rPr>
        <w:t>本标准的编制严格遵循统一性、协调性、实用性、规范性原则。</w:t>
      </w:r>
    </w:p>
    <w:p w14:paraId="32D1A251">
      <w:pPr>
        <w:spacing w:line="360" w:lineRule="auto"/>
        <w:ind w:firstLine="504" w:firstLineChars="200"/>
        <w:rPr>
          <w:rFonts w:hint="eastAsia" w:eastAsia="仿宋" w:cs="仿宋"/>
          <w:spacing w:val="6"/>
          <w:sz w:val="24"/>
          <w:lang w:val="en-US" w:eastAsia="zh-CN"/>
        </w:rPr>
      </w:pPr>
      <w:r>
        <w:rPr>
          <w:rFonts w:hint="eastAsia" w:eastAsia="仿宋" w:cs="仿宋"/>
          <w:spacing w:val="6"/>
          <w:sz w:val="24"/>
          <w:lang w:val="en-US" w:eastAsia="zh-CN"/>
        </w:rPr>
        <w:t>1.统一性原则：本标准遵循标准内部统一，包括：标准结构的统一，即标准的条、段和附录的排列顺序的一致；文体的统一，即类似的条款应用类似的措辞来表达，相同的条款应用相同的措辞来表达；术语的统一，即同一个概念使用同一个术语；形式的统一，即标准的表述形式，诸如标准中标题的表述形式统一。</w:t>
      </w:r>
    </w:p>
    <w:p w14:paraId="09103857">
      <w:pPr>
        <w:spacing w:line="360" w:lineRule="auto"/>
        <w:ind w:firstLine="504" w:firstLineChars="200"/>
        <w:rPr>
          <w:rFonts w:hint="eastAsia" w:eastAsia="仿宋" w:cs="仿宋"/>
          <w:spacing w:val="6"/>
          <w:sz w:val="24"/>
          <w:lang w:val="en-US" w:eastAsia="zh-CN"/>
        </w:rPr>
      </w:pPr>
      <w:r>
        <w:rPr>
          <w:rFonts w:hint="eastAsia" w:eastAsia="仿宋" w:cs="仿宋"/>
          <w:spacing w:val="6"/>
          <w:sz w:val="24"/>
          <w:lang w:val="en-US" w:eastAsia="zh-CN"/>
        </w:rPr>
        <w:t>2.协调性原则：本标准符合国家的政策和法律法规，贯彻实施现有基础标准，贯彻实施特定技术领域的通用标准。</w:t>
      </w:r>
    </w:p>
    <w:p w14:paraId="003DE531">
      <w:pPr>
        <w:spacing w:line="360" w:lineRule="auto"/>
        <w:ind w:firstLine="504" w:firstLineChars="200"/>
        <w:rPr>
          <w:rFonts w:hint="eastAsia" w:eastAsia="仿宋" w:cs="仿宋"/>
          <w:spacing w:val="6"/>
          <w:sz w:val="24"/>
          <w:lang w:val="en-US" w:eastAsia="zh-CN"/>
        </w:rPr>
      </w:pPr>
      <w:r>
        <w:rPr>
          <w:rFonts w:hint="eastAsia" w:eastAsia="仿宋" w:cs="仿宋"/>
          <w:spacing w:val="6"/>
          <w:sz w:val="24"/>
          <w:lang w:val="en-US" w:eastAsia="zh-CN"/>
        </w:rPr>
        <w:t>3.实用性原则：本标准的编制充分结合了光伏电站组件供应商绿色低碳能力的实际情况，内容涵盖了基本要素、能源与资源属性、环境属性、产品属性四个方面，结构清晰、内容翔实，可实施性、可操作性强。</w:t>
      </w:r>
    </w:p>
    <w:p w14:paraId="5409595D">
      <w:pPr>
        <w:spacing w:line="360" w:lineRule="auto"/>
        <w:ind w:firstLine="504" w:firstLineChars="200"/>
        <w:rPr>
          <w:rFonts w:hint="default" w:eastAsia="仿宋" w:cs="仿宋"/>
          <w:spacing w:val="6"/>
          <w:sz w:val="24"/>
          <w:lang w:val="en-US" w:eastAsia="zh-CN"/>
        </w:rPr>
      </w:pPr>
      <w:r>
        <w:rPr>
          <w:rFonts w:hint="eastAsia" w:eastAsia="仿宋" w:cs="仿宋"/>
          <w:spacing w:val="6"/>
          <w:sz w:val="24"/>
          <w:lang w:val="en-US" w:eastAsia="zh-CN"/>
        </w:rPr>
        <w:t>4.规范性原则：本标准的起草遵守标准制定有关的基础标准，遵守我国支撑标准编制修订工作的基础性系列中国光伏行业推荐性标准。</w:t>
      </w:r>
    </w:p>
    <w:p w14:paraId="2F4CCDE6">
      <w:pPr>
        <w:spacing w:line="360" w:lineRule="auto"/>
        <w:rPr>
          <w:rFonts w:eastAsia="仿宋" w:cs="仿宋"/>
          <w:b/>
          <w:bCs/>
          <w:spacing w:val="6"/>
          <w:sz w:val="24"/>
        </w:rPr>
      </w:pPr>
      <w:r>
        <w:rPr>
          <w:rFonts w:hint="eastAsia" w:eastAsia="仿宋" w:cs="仿宋"/>
          <w:b/>
          <w:bCs/>
          <w:spacing w:val="6"/>
          <w:sz w:val="24"/>
        </w:rPr>
        <w:t>4.2 与法律法规及强制性标准的关系</w:t>
      </w:r>
    </w:p>
    <w:p w14:paraId="3083CD8B">
      <w:pPr>
        <w:spacing w:line="360" w:lineRule="auto"/>
        <w:ind w:firstLine="504" w:firstLineChars="200"/>
        <w:rPr>
          <w:rFonts w:eastAsia="仿宋" w:cs="仿宋"/>
          <w:spacing w:val="6"/>
          <w:sz w:val="24"/>
        </w:rPr>
      </w:pPr>
      <w:r>
        <w:rPr>
          <w:rFonts w:hint="eastAsia" w:eastAsia="仿宋" w:cs="仿宋"/>
          <w:spacing w:val="6"/>
          <w:sz w:val="24"/>
        </w:rPr>
        <w:t>本标准严格遵循《中华人民共和国环境保护法》《中华人民共和国可再生能源法》《碳排放权交易管理办法》等国家法律法规对绿色低碳发展的强制性要求，并在技术条款中直接引用GB 17167（用能单位能源计量器具配备与管理通则）、GB 24789（用水单位水计量器具配备和管理通则）等强制性国家标准的数据采集规范。同时，标准中涉及污染物排放限值、危废管理等要求，均以GB 30484（电池工业污染物排放标准）、GB 18597（危险废物贮存污染控制标准）等强制性标准为底线约束，确保评价体系具备法律合规性基础。通过对这些强制性标准的引用和融合，本标准从多个维度对光伏电站组件供应商进行绿色低碳能力评价，既保证了评价的全面性和科学性，又强化了对供应商在安全、环保、质量等基础性要求的监督和约束，推动供应商在合法合规的基础上实现绿色低碳发展。</w:t>
      </w:r>
    </w:p>
    <w:p w14:paraId="4B7110EE">
      <w:pPr>
        <w:spacing w:line="360" w:lineRule="auto"/>
        <w:rPr>
          <w:rFonts w:eastAsia="仿宋" w:cs="仿宋"/>
          <w:b/>
          <w:bCs/>
          <w:spacing w:val="6"/>
          <w:sz w:val="24"/>
        </w:rPr>
      </w:pPr>
      <w:r>
        <w:rPr>
          <w:rFonts w:hint="eastAsia" w:eastAsia="仿宋" w:cs="仿宋"/>
          <w:b/>
          <w:bCs/>
          <w:spacing w:val="6"/>
          <w:sz w:val="24"/>
        </w:rPr>
        <w:t>4.3 与上位标准或其他相关标准的比较</w:t>
      </w:r>
    </w:p>
    <w:p w14:paraId="4BA36695">
      <w:pPr>
        <w:spacing w:line="360" w:lineRule="auto"/>
        <w:ind w:firstLine="504" w:firstLineChars="200"/>
        <w:rPr>
          <w:rFonts w:eastAsia="仿宋" w:cs="仿宋"/>
          <w:spacing w:val="6"/>
          <w:sz w:val="24"/>
        </w:rPr>
      </w:pPr>
      <w:r>
        <w:rPr>
          <w:rFonts w:hint="eastAsia" w:eastAsia="仿宋" w:cs="仿宋"/>
          <w:spacing w:val="6"/>
          <w:sz w:val="24"/>
        </w:rPr>
        <w:t>相较于其他相关标准，本标准在技术指标上实现显著细化、提升与补充：能源与资源属性层面，突破泛化要求，明确可再生能源使用占比、</w:t>
      </w:r>
      <w:r>
        <w:rPr>
          <w:rFonts w:hint="eastAsia" w:eastAsia="仿宋" w:cs="仿宋"/>
          <w:spacing w:val="6"/>
          <w:sz w:val="24"/>
          <w:lang w:val="en-US" w:eastAsia="zh-CN"/>
        </w:rPr>
        <w:t>单位产值对应的能源消耗量</w:t>
      </w:r>
      <w:r>
        <w:rPr>
          <w:rFonts w:hint="eastAsia" w:eastAsia="仿宋" w:cs="仿宋"/>
          <w:spacing w:val="6"/>
          <w:sz w:val="24"/>
        </w:rPr>
        <w:t>和水资源循环及重复利用比例等量化限值，强化可操作性；环境属性层面，在传统污染控制基础上，强制纳入</w:t>
      </w:r>
      <w:r>
        <w:rPr>
          <w:rFonts w:hint="eastAsia" w:eastAsia="仿宋" w:cs="仿宋"/>
          <w:spacing w:val="6"/>
          <w:sz w:val="24"/>
          <w:lang w:val="en-US" w:eastAsia="zh-CN"/>
        </w:rPr>
        <w:t>污染物控制、</w:t>
      </w:r>
      <w:r>
        <w:rPr>
          <w:rFonts w:hint="eastAsia" w:eastAsia="仿宋" w:cs="仿宋"/>
          <w:spacing w:val="6"/>
          <w:sz w:val="24"/>
        </w:rPr>
        <w:t>有害物质使用及供应链碳管理，凸显气候治理导向；产品属性层面，将评价维度延伸至组件产品碳足迹、</w:t>
      </w:r>
      <w:r>
        <w:rPr>
          <w:rFonts w:hint="eastAsia" w:eastAsia="仿宋" w:cs="仿宋"/>
          <w:spacing w:val="6"/>
          <w:sz w:val="24"/>
          <w:lang w:val="en-US" w:eastAsia="zh-CN"/>
        </w:rPr>
        <w:t>衰减</w:t>
      </w:r>
      <w:r>
        <w:rPr>
          <w:rFonts w:hint="eastAsia" w:eastAsia="仿宋" w:cs="仿宋"/>
          <w:spacing w:val="6"/>
          <w:sz w:val="24"/>
        </w:rPr>
        <w:t>率及光电转换效率等，推动产品低碳化与绿色竞争力升级。本标准通过关键指标的精细化设定与评价维度的结构性创新，进一步探索了供应商层级绿色低碳能力评价标准，为光伏产业可持续发展提供核心牵引力。</w:t>
      </w:r>
    </w:p>
    <w:p w14:paraId="56A34017">
      <w:pPr>
        <w:spacing w:line="360" w:lineRule="auto"/>
        <w:rPr>
          <w:rFonts w:eastAsia="仿宋" w:cs="仿宋"/>
          <w:b/>
          <w:sz w:val="24"/>
        </w:rPr>
      </w:pPr>
      <w:r>
        <w:rPr>
          <w:rFonts w:hint="eastAsia" w:eastAsia="仿宋" w:cs="仿宋"/>
          <w:b/>
          <w:sz w:val="24"/>
        </w:rPr>
        <w:t>5 标准主要技术内容的论据或依据；修订标准时，应增加新、旧标准水平的对比情况</w:t>
      </w:r>
    </w:p>
    <w:p w14:paraId="4FDE83A7">
      <w:pPr>
        <w:spacing w:line="360" w:lineRule="auto"/>
        <w:rPr>
          <w:rFonts w:eastAsia="仿宋" w:cs="仿宋"/>
          <w:b/>
          <w:sz w:val="24"/>
        </w:rPr>
      </w:pPr>
      <w:r>
        <w:rPr>
          <w:rFonts w:hint="eastAsia" w:eastAsia="仿宋" w:cs="仿宋"/>
          <w:b/>
          <w:sz w:val="24"/>
        </w:rPr>
        <w:t>5.1 标准主要技术内容的论据或依据</w:t>
      </w:r>
    </w:p>
    <w:p w14:paraId="266D7A95">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本标准的技术思路是构建一套全面、系统的评价体系，以科学、合理的方式量化评估光伏电站组件供应商在绿色低碳方面的综合能力。通过对光伏电站组件供应商的生产运营全过程进行深入分析，从基本要素、能源与资源属性、环境属性和产品属性等多个维度设定关键评价指标，形成覆盖全生命周期的评价链条。同时，紧密结合国家相关法律法规、政策导向以及行业发展趋势，确保评价内容的前瞻性和引领性，推动光伏产业向绿色低碳方向转型升级。</w:t>
      </w:r>
    </w:p>
    <w:p w14:paraId="51046298">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标准基于生命周期评价理论和环境管理理论，从原材料获取、生产加工、运输、使用到废弃处理的全生命周期角度，全面评估光伏电站组件供应商的绿色低碳表现。引入先进的碳管理理念和技术要求，如碳排放核算与报告、供应链碳足迹管理等，为企业提供明确的低碳发展方向。在标准制定过程中，选取10家具有代表性的光伏电站组件供应商及5家发电公司。涵盖不同规模、不同技术路线以及不同产品类型，充分确保试验验证结果能够反映行业的普遍情况和主要特点。收集并分析了大量来自光伏企业的生产运营数据、环境监测数据以及市场调研数据。通过数据统计分析，确定了各项评价指标的合理范围和权重分配，如</w:t>
      </w:r>
      <w:r>
        <w:rPr>
          <w:rFonts w:hint="eastAsia" w:eastAsia="仿宋" w:cs="仿宋"/>
          <w:color w:val="000000" w:themeColor="text1"/>
          <w:spacing w:val="6"/>
          <w:sz w:val="24"/>
          <w:lang w:val="en-US" w:eastAsia="zh-CN"/>
          <w14:textFill>
            <w14:solidFill>
              <w14:schemeClr w14:val="tx1"/>
            </w14:solidFill>
          </w14:textFill>
        </w:rPr>
        <w:t>可再生能源使用比例</w:t>
      </w:r>
      <w:r>
        <w:rPr>
          <w:rFonts w:hint="eastAsia" w:eastAsia="仿宋" w:cs="仿宋"/>
          <w:color w:val="000000" w:themeColor="text1"/>
          <w:spacing w:val="6"/>
          <w:sz w:val="24"/>
          <w14:textFill>
            <w14:solidFill>
              <w14:schemeClr w14:val="tx1"/>
            </w14:solidFill>
          </w14:textFill>
        </w:rPr>
        <w:t>、水资源循环及重复利用比例</w:t>
      </w:r>
      <w:r>
        <w:rPr>
          <w:rFonts w:hint="eastAsia" w:eastAsia="仿宋" w:cs="仿宋"/>
          <w:color w:val="000000" w:themeColor="text1"/>
          <w:spacing w:val="6"/>
          <w:sz w:val="24"/>
          <w:lang w:eastAsia="zh-CN"/>
          <w14:textFill>
            <w14:solidFill>
              <w14:schemeClr w14:val="tx1"/>
            </w14:solidFill>
          </w14:textFill>
        </w:rPr>
        <w:t>、</w:t>
      </w:r>
      <w:r>
        <w:rPr>
          <w:rFonts w:hint="eastAsia" w:eastAsia="仿宋" w:cs="仿宋"/>
          <w:color w:val="000000" w:themeColor="text1"/>
          <w:spacing w:val="6"/>
          <w:sz w:val="24"/>
          <w:lang w:val="en-US" w:eastAsia="zh-CN"/>
          <w14:textFill>
            <w14:solidFill>
              <w14:schemeClr w14:val="tx1"/>
            </w14:solidFill>
          </w14:textFill>
        </w:rPr>
        <w:t>产品得光电转换效率</w:t>
      </w:r>
      <w:r>
        <w:rPr>
          <w:rFonts w:hint="eastAsia" w:eastAsia="仿宋" w:cs="仿宋"/>
          <w:color w:val="000000" w:themeColor="text1"/>
          <w:spacing w:val="6"/>
          <w:sz w:val="24"/>
          <w14:textFill>
            <w14:solidFill>
              <w14:schemeClr w14:val="tx1"/>
            </w14:solidFill>
          </w14:textFill>
        </w:rPr>
        <w:t>等指标的行业平均水平和先进水平，为标准中的量化要求提供了数据支撑。标准充分借鉴了国内外光伏行业先进的管理经验和技术实践案例。参考了多家光伏组件供应商在绿色低碳发展方面的成功经验，包括他们在能源管理、资源循环利用、污染排放控制和低碳产品研发等方面的优秀做法，将这些实践成果转化为具有普适性的评价指标和要求，确保标准能够在实际应用中取得良好的效果。</w:t>
      </w:r>
    </w:p>
    <w:p w14:paraId="30475176">
      <w:pPr>
        <w:spacing w:line="300" w:lineRule="auto"/>
        <w:rPr>
          <w:rFonts w:eastAsia="仿宋" w:cs="仿宋"/>
          <w:b/>
          <w:sz w:val="24"/>
        </w:rPr>
      </w:pPr>
      <w:r>
        <w:rPr>
          <w:rFonts w:hint="eastAsia" w:eastAsia="仿宋" w:cs="仿宋"/>
          <w:b/>
          <w:sz w:val="24"/>
        </w:rPr>
        <w:t>5.2 修订标准时，应增加新、旧标准水平的对比</w:t>
      </w:r>
    </w:p>
    <w:p w14:paraId="3B0CF974">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在基本要素方面，初始标准主要依据绿色工厂通用规范及合规性要求，侧重于企业是否符合法律法规、政策标准，并关注近三年无重大安全、环保与质量事故。修订后的标准在此基础上，进一步强化了对组织绿色治理与低碳能力建设的系统性要求，不仅明确需通过ISO 9001、ISO 14001及ISO 45001等管理体系认证，还强调设立专门的绿色低碳管理部门、制定内部碳管理战略文件，并鼓励披露碳足迹报告或建立内部碳披露机制。同时，新标准将零碳工厂认证</w:t>
      </w:r>
      <w:r>
        <w:rPr>
          <w:rFonts w:hint="eastAsia" w:eastAsia="仿宋" w:cs="仿宋"/>
          <w:color w:val="000000" w:themeColor="text1"/>
          <w:spacing w:val="6"/>
          <w:sz w:val="24"/>
          <w:lang w:val="en-US" w:eastAsia="zh-CN"/>
          <w14:textFill>
            <w14:solidFill>
              <w14:schemeClr w14:val="tx1"/>
            </w14:solidFill>
          </w14:textFill>
        </w:rPr>
        <w:t>和ISO 50001能源体系认证</w:t>
      </w:r>
      <w:r>
        <w:rPr>
          <w:rFonts w:hint="eastAsia" w:eastAsia="仿宋" w:cs="仿宋"/>
          <w:color w:val="000000" w:themeColor="text1"/>
          <w:spacing w:val="6"/>
          <w:sz w:val="24"/>
          <w14:textFill>
            <w14:solidFill>
              <w14:schemeClr w14:val="tx1"/>
            </w14:solidFill>
          </w14:textFill>
        </w:rPr>
        <w:t>纳入评价体系，这些补充使标准在绿色低碳管理维度更全面、更具可操作性，更好地支撑企业对绿色转型的系统化推进。</w:t>
      </w:r>
    </w:p>
    <w:p w14:paraId="7BCAABF5">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在能源与资源属性方面，旧标准对能源结构与资源利用效率提出了一定的框架性要求，但缺乏明确的量化指标和系统性的管理指引。新标准则进一步细化了</w:t>
      </w:r>
      <w:r>
        <w:rPr>
          <w:rFonts w:hint="eastAsia" w:eastAsia="仿宋" w:cs="仿宋"/>
          <w:color w:val="000000" w:themeColor="text1"/>
          <w:spacing w:val="6"/>
          <w:sz w:val="24"/>
          <w:lang w:val="en-US" w:eastAsia="zh-CN"/>
          <w14:textFill>
            <w14:solidFill>
              <w14:schemeClr w14:val="tx1"/>
            </w14:solidFill>
          </w14:textFill>
        </w:rPr>
        <w:t>可再生能源利用</w:t>
      </w:r>
      <w:r>
        <w:rPr>
          <w:rFonts w:hint="eastAsia" w:eastAsia="仿宋" w:cs="仿宋"/>
          <w:color w:val="000000" w:themeColor="text1"/>
          <w:spacing w:val="6"/>
          <w:sz w:val="24"/>
          <w14:textFill>
            <w14:solidFill>
              <w14:schemeClr w14:val="tx1"/>
            </w14:solidFill>
          </w14:textFill>
        </w:rPr>
        <w:t>、</w:t>
      </w:r>
      <w:r>
        <w:rPr>
          <w:rFonts w:hint="eastAsia" w:eastAsia="仿宋" w:cs="仿宋"/>
          <w:color w:val="000000" w:themeColor="text1"/>
          <w:spacing w:val="6"/>
          <w:sz w:val="24"/>
          <w:lang w:val="en-US" w:eastAsia="zh-CN"/>
          <w14:textFill>
            <w14:solidFill>
              <w14:schemeClr w14:val="tx1"/>
            </w14:solidFill>
          </w14:textFill>
        </w:rPr>
        <w:t>能源消耗</w:t>
      </w:r>
      <w:r>
        <w:rPr>
          <w:rFonts w:hint="eastAsia" w:eastAsia="仿宋" w:cs="仿宋"/>
          <w:color w:val="000000" w:themeColor="text1"/>
          <w:spacing w:val="6"/>
          <w:sz w:val="24"/>
          <w14:textFill>
            <w14:solidFill>
              <w14:schemeClr w14:val="tx1"/>
            </w14:solidFill>
          </w14:textFill>
        </w:rPr>
        <w:t>、水资源节约和材料循环利用等方面的具体要求，如明确可再生能源使用</w:t>
      </w:r>
      <w:r>
        <w:rPr>
          <w:rFonts w:hint="eastAsia" w:eastAsia="仿宋" w:cs="仿宋"/>
          <w:color w:val="000000" w:themeColor="text1"/>
          <w:spacing w:val="6"/>
          <w:sz w:val="24"/>
          <w:lang w:val="en-US" w:eastAsia="zh-CN"/>
          <w14:textFill>
            <w14:solidFill>
              <w14:schemeClr w14:val="tx1"/>
            </w14:solidFill>
          </w14:textFill>
        </w:rPr>
        <w:t>比例</w:t>
      </w:r>
      <w:r>
        <w:rPr>
          <w:rFonts w:hint="eastAsia" w:eastAsia="仿宋" w:cs="仿宋"/>
          <w:color w:val="000000" w:themeColor="text1"/>
          <w:spacing w:val="6"/>
          <w:sz w:val="24"/>
          <w14:textFill>
            <w14:solidFill>
              <w14:schemeClr w14:val="tx1"/>
            </w14:solidFill>
          </w14:textFill>
        </w:rPr>
        <w:t>、单位产值对应的能源消耗量、水资源循环及重复利用比例，以及一般固体废弃物回收利用率等具体指标，并配套了相应的证明材料和核查机制。这些更新使得新标准在能源与资源管理方面更具操作性、系统性和科学性，全面提升了对光伏组件供应商绿色低碳能力的评价维度与深度。</w:t>
      </w:r>
    </w:p>
    <w:p w14:paraId="2933C786">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在环境属性方面，旧标准主要关注污染物排放合规性及有害物质控制，但对供应链碳足迹和全生命周期环境影响的系统性管理较为薄弱。新标准在污染控制基础上，进一步强化了对挥发性有机物、一般工业固废的监测要求，并引入供应链碳管理，明确关键原材料供应商碳足迹认证覆盖率，同时要求企业提供运输活动碳排放核算报告及第三方认证，这些补充显著提升了环境管理的全面性和可追溯性。</w:t>
      </w:r>
    </w:p>
    <w:p w14:paraId="427A1A59">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最后，产品属性方面，旧标准侧重产品基本性能与包装合规，但对产品全生命周期的资源循环和碳足迹缺乏细化要求。新标准则系统增加了对产品性能水平、绿色包装认证、可再生利用率及产品碳足迹披露的量化评价，要求企业出具基于GB/T 24067-2024等标准的全生命周期碳足迹报告，这些更新使产品绿色低碳性能的评价更具科学性和可比性。</w:t>
      </w:r>
    </w:p>
    <w:p w14:paraId="6151AAC9">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总结来说，新标准在旧标准基础上，增加了更多具体要求和量化指标，引入新技术和管理理念，如碳排放信息披露、供应链碳足迹管理、产品碳足迹等，使标准更全面、系统和科学，更好地指导光伏电站组件供应商提升绿色低碳能力，推动光伏产业可持续发展。</w:t>
      </w:r>
    </w:p>
    <w:p w14:paraId="1511D4C9">
      <w:pPr>
        <w:spacing w:line="300" w:lineRule="auto"/>
        <w:rPr>
          <w:rFonts w:eastAsia="仿宋" w:cs="仿宋"/>
          <w:b/>
          <w:sz w:val="24"/>
        </w:rPr>
      </w:pPr>
      <w:r>
        <w:rPr>
          <w:rFonts w:hint="eastAsia" w:eastAsia="仿宋" w:cs="仿宋"/>
          <w:b/>
          <w:sz w:val="24"/>
        </w:rPr>
        <w:t>6 主要试验（验证）的分析、综述报告，技术经济论证，预期的经济效果</w:t>
      </w:r>
    </w:p>
    <w:p w14:paraId="681CEED8">
      <w:pPr>
        <w:spacing w:line="300" w:lineRule="auto"/>
        <w:rPr>
          <w:rFonts w:eastAsia="仿宋" w:cs="仿宋"/>
          <w:b/>
          <w:sz w:val="24"/>
        </w:rPr>
      </w:pPr>
      <w:r>
        <w:rPr>
          <w:rFonts w:hint="eastAsia" w:eastAsia="仿宋" w:cs="仿宋"/>
          <w:b/>
          <w:sz w:val="24"/>
        </w:rPr>
        <w:t>6.1 主要试验（验证）的分析</w:t>
      </w:r>
    </w:p>
    <w:p w14:paraId="3903CDC7">
      <w:pPr>
        <w:spacing w:line="360" w:lineRule="auto"/>
        <w:ind w:firstLine="504" w:firstLineChars="200"/>
        <w:rPr>
          <w:rFonts w:eastAsia="仿宋" w:cs="仿宋"/>
          <w:color w:val="000000" w:themeColor="text1"/>
          <w:spacing w:val="6"/>
          <w:sz w:val="24"/>
          <w14:textFill>
            <w14:solidFill>
              <w14:schemeClr w14:val="tx1"/>
            </w14:solidFill>
          </w14:textFill>
        </w:rPr>
      </w:pPr>
      <w:r>
        <w:rPr>
          <w:rFonts w:eastAsia="仿宋" w:cs="仿宋"/>
          <w:color w:val="000000" w:themeColor="text1"/>
          <w:spacing w:val="6"/>
          <w:sz w:val="24"/>
          <w14:textFill>
            <w14:solidFill>
              <w14:schemeClr w14:val="tx1"/>
            </w14:solidFill>
          </w14:textFill>
        </w:rPr>
        <w:t>在《光伏电站组件供应商绿色低碳能力评价》团体标准的制定过程中，试验验证工作严谨开展，具体情况如下：</w:t>
      </w:r>
    </w:p>
    <w:p w14:paraId="61FA280D">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试验验证对象与范围：选取10家具有代表性的光伏电站组件供应商</w:t>
      </w:r>
      <w:r>
        <w:rPr>
          <w:rFonts w:hint="eastAsia" w:eastAsia="仿宋" w:cs="仿宋"/>
          <w:color w:val="000000" w:themeColor="text1"/>
          <w:spacing w:val="6"/>
          <w:sz w:val="24"/>
          <w14:textFill>
            <w14:solidFill>
              <w14:schemeClr w14:val="tx1"/>
            </w14:solidFill>
          </w14:textFill>
        </w:rPr>
        <w:t>及5家发电公司</w:t>
      </w:r>
      <w:r>
        <w:rPr>
          <w:rFonts w:eastAsia="仿宋" w:cs="仿宋"/>
          <w:color w:val="000000" w:themeColor="text1"/>
          <w:spacing w:val="6"/>
          <w:sz w:val="24"/>
          <w14:textFill>
            <w14:solidFill>
              <w14:schemeClr w14:val="tx1"/>
            </w14:solidFill>
          </w14:textFill>
        </w:rPr>
        <w:t>作为试验验证对象，这些供应商</w:t>
      </w:r>
      <w:r>
        <w:rPr>
          <w:rFonts w:hint="eastAsia" w:eastAsia="仿宋" w:cs="仿宋"/>
          <w:color w:val="000000" w:themeColor="text1"/>
          <w:spacing w:val="6"/>
          <w:sz w:val="24"/>
          <w14:textFill>
            <w14:solidFill>
              <w14:schemeClr w14:val="tx1"/>
            </w14:solidFill>
          </w14:textFill>
        </w:rPr>
        <w:t>将涵盖</w:t>
      </w:r>
      <w:r>
        <w:rPr>
          <w:rFonts w:eastAsia="仿宋" w:cs="仿宋"/>
          <w:color w:val="000000" w:themeColor="text1"/>
          <w:spacing w:val="6"/>
          <w:sz w:val="24"/>
          <w14:textFill>
            <w14:solidFill>
              <w14:schemeClr w14:val="tx1"/>
            </w14:solidFill>
          </w14:textFill>
        </w:rPr>
        <w:t>不同规模、不同技术路线以及不同产品类型，充分确保试验验证结果能够反映行业的普遍情况和主要特点。</w:t>
      </w:r>
    </w:p>
    <w:p w14:paraId="54DF75FB">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试验验证指标：依据标准中拟定的评价指标体系，对供应商的绿色低碳能力进行了全面试验验证。验证内容涵盖了供应商的绿色低碳管理体系、产品</w:t>
      </w:r>
      <w:r>
        <w:rPr>
          <w:rFonts w:hint="eastAsia" w:eastAsia="仿宋" w:cs="仿宋"/>
          <w:color w:val="000000" w:themeColor="text1"/>
          <w:spacing w:val="6"/>
          <w:sz w:val="24"/>
          <w:lang w:val="en-US" w:eastAsia="zh-CN"/>
          <w14:textFill>
            <w14:solidFill>
              <w14:schemeClr w14:val="tx1"/>
            </w14:solidFill>
          </w14:textFill>
        </w:rPr>
        <w:t>包装</w:t>
      </w:r>
      <w:bookmarkStart w:id="3" w:name="_GoBack"/>
      <w:bookmarkEnd w:id="3"/>
      <w:r>
        <w:rPr>
          <w:rFonts w:eastAsia="仿宋" w:cs="仿宋"/>
          <w:color w:val="000000" w:themeColor="text1"/>
          <w:spacing w:val="6"/>
          <w:sz w:val="24"/>
          <w14:textFill>
            <w14:solidFill>
              <w14:schemeClr w14:val="tx1"/>
            </w14:solidFill>
          </w14:textFill>
        </w:rPr>
        <w:t>、生产流程、能源</w:t>
      </w:r>
      <w:r>
        <w:rPr>
          <w:rFonts w:hint="eastAsia" w:eastAsia="仿宋" w:cs="仿宋"/>
          <w:color w:val="000000" w:themeColor="text1"/>
          <w:spacing w:val="6"/>
          <w:sz w:val="24"/>
          <w:lang w:val="en-US" w:eastAsia="zh-CN"/>
          <w14:textFill>
            <w14:solidFill>
              <w14:schemeClr w14:val="tx1"/>
            </w14:solidFill>
          </w14:textFill>
        </w:rPr>
        <w:t>消耗</w:t>
      </w:r>
      <w:r>
        <w:rPr>
          <w:rFonts w:eastAsia="仿宋" w:cs="仿宋"/>
          <w:color w:val="000000" w:themeColor="text1"/>
          <w:spacing w:val="6"/>
          <w:sz w:val="24"/>
          <w14:textFill>
            <w14:solidFill>
              <w14:schemeClr w14:val="tx1"/>
            </w14:solidFill>
          </w14:textFill>
        </w:rPr>
        <w:t>、资源循环利用、碳排放控制等关键环节，具体包括环境管理体系文件的完整性与规范性、能源管理体系文件的完善程度、碳排放核算的准确性、组件产品的光电转换效率、衰减率、碳足迹等关键性能指标。</w:t>
      </w:r>
    </w:p>
    <w:p w14:paraId="1BBDF04F">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试验验证方法：综合运用了资料审查、现场调研、抽样检测、模型分析等多种方法。一方面，对供应商提供的相关文件资料进行详细审查，核实其环境管理和能源管理体系建设情况；另一方面，深入供应商的生产现场，实地考察组件生产过程中的能源利用效率、污染物排放情况等，并按照标准规定的检测方法，对组件产品的光电转换效率、衰减率、碳足迹等关键性能指标进行抽样检测。同时，运用</w:t>
      </w:r>
      <w:r>
        <w:rPr>
          <w:rFonts w:hint="eastAsia" w:eastAsia="仿宋" w:cs="仿宋"/>
          <w:color w:val="000000" w:themeColor="text1"/>
          <w:spacing w:val="6"/>
          <w:sz w:val="24"/>
          <w14:textFill>
            <w14:solidFill>
              <w14:schemeClr w14:val="tx1"/>
            </w14:solidFill>
          </w14:textFill>
        </w:rPr>
        <w:t>层次分析法</w:t>
      </w:r>
      <w:r>
        <w:rPr>
          <w:rFonts w:eastAsia="仿宋" w:cs="仿宋"/>
          <w:color w:val="000000" w:themeColor="text1"/>
          <w:spacing w:val="6"/>
          <w:sz w:val="24"/>
          <w14:textFill>
            <w14:solidFill>
              <w14:schemeClr w14:val="tx1"/>
            </w14:solidFill>
          </w14:textFill>
        </w:rPr>
        <w:t>，对组件产品从</w:t>
      </w:r>
      <w:r>
        <w:rPr>
          <w:rFonts w:hint="eastAsia" w:eastAsia="仿宋" w:cs="仿宋"/>
          <w:color w:val="000000" w:themeColor="text1"/>
          <w:spacing w:val="6"/>
          <w:sz w:val="24"/>
          <w14:textFill>
            <w14:solidFill>
              <w14:schemeClr w14:val="tx1"/>
            </w14:solidFill>
          </w14:textFill>
        </w:rPr>
        <w:t>资源</w:t>
      </w:r>
      <w:r>
        <w:rPr>
          <w:rFonts w:eastAsia="仿宋" w:cs="仿宋"/>
          <w:color w:val="000000" w:themeColor="text1"/>
          <w:spacing w:val="6"/>
          <w:sz w:val="24"/>
          <w14:textFill>
            <w14:solidFill>
              <w14:schemeClr w14:val="tx1"/>
            </w14:solidFill>
          </w14:textFill>
        </w:rPr>
        <w:t>、</w:t>
      </w:r>
      <w:r>
        <w:rPr>
          <w:rFonts w:hint="eastAsia" w:eastAsia="仿宋" w:cs="仿宋"/>
          <w:color w:val="000000" w:themeColor="text1"/>
          <w:spacing w:val="6"/>
          <w:sz w:val="24"/>
          <w14:textFill>
            <w14:solidFill>
              <w14:schemeClr w14:val="tx1"/>
            </w14:solidFill>
          </w14:textFill>
        </w:rPr>
        <w:t>能源</w:t>
      </w:r>
      <w:r>
        <w:rPr>
          <w:rFonts w:eastAsia="仿宋" w:cs="仿宋"/>
          <w:color w:val="000000" w:themeColor="text1"/>
          <w:spacing w:val="6"/>
          <w:sz w:val="24"/>
          <w14:textFill>
            <w14:solidFill>
              <w14:schemeClr w14:val="tx1"/>
            </w14:solidFill>
          </w14:textFill>
        </w:rPr>
        <w:t>、</w:t>
      </w:r>
      <w:r>
        <w:rPr>
          <w:rFonts w:hint="eastAsia" w:eastAsia="仿宋" w:cs="仿宋"/>
          <w:color w:val="000000" w:themeColor="text1"/>
          <w:spacing w:val="6"/>
          <w:sz w:val="24"/>
          <w14:textFill>
            <w14:solidFill>
              <w14:schemeClr w14:val="tx1"/>
            </w14:solidFill>
          </w14:textFill>
        </w:rPr>
        <w:t>环境和产品等</w:t>
      </w:r>
      <w:r>
        <w:rPr>
          <w:rFonts w:eastAsia="仿宋" w:cs="仿宋"/>
          <w:color w:val="000000" w:themeColor="text1"/>
          <w:spacing w:val="6"/>
          <w:sz w:val="24"/>
          <w14:textFill>
            <w14:solidFill>
              <w14:schemeClr w14:val="tx1"/>
            </w14:solidFill>
          </w14:textFill>
        </w:rPr>
        <w:t>的绿色低碳性能进行分析评估。</w:t>
      </w:r>
    </w:p>
    <w:p w14:paraId="60B8BD2C">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（4）</w:t>
      </w:r>
      <w:r>
        <w:rPr>
          <w:rFonts w:eastAsia="仿宋" w:cs="仿宋"/>
          <w:color w:val="000000" w:themeColor="text1"/>
          <w:spacing w:val="6"/>
          <w:sz w:val="24"/>
          <w14:textFill>
            <w14:solidFill>
              <w14:schemeClr w14:val="tx1"/>
            </w14:solidFill>
          </w14:textFill>
        </w:rPr>
        <w:t>试验验证结果及分析：</w:t>
      </w:r>
      <w:r>
        <w:rPr>
          <w:rFonts w:hint="eastAsia" w:eastAsia="仿宋" w:cs="仿宋"/>
          <w:color w:val="000000" w:themeColor="text1"/>
          <w:spacing w:val="6"/>
          <w:sz w:val="24"/>
          <w14:textFill>
            <w14:solidFill>
              <w14:schemeClr w14:val="tx1"/>
            </w14:solidFill>
          </w14:textFill>
        </w:rPr>
        <w:t>标准实施过程中将</w:t>
      </w:r>
      <w:r>
        <w:rPr>
          <w:rFonts w:eastAsia="仿宋" w:cs="仿宋"/>
          <w:color w:val="000000" w:themeColor="text1"/>
          <w:spacing w:val="6"/>
          <w:sz w:val="24"/>
          <w14:textFill>
            <w14:solidFill>
              <w14:schemeClr w14:val="tx1"/>
            </w14:solidFill>
          </w14:textFill>
        </w:rPr>
        <w:t>通过试验验证工作，收集大量的数据和案例。分析供应商在环境管理体系和能源管理体系方面</w:t>
      </w:r>
      <w:r>
        <w:rPr>
          <w:rFonts w:hint="eastAsia" w:eastAsia="仿宋" w:cs="仿宋"/>
          <w:color w:val="000000" w:themeColor="text1"/>
          <w:spacing w:val="6"/>
          <w:sz w:val="24"/>
          <w14:textFill>
            <w14:solidFill>
              <w14:schemeClr w14:val="tx1"/>
            </w14:solidFill>
          </w14:textFill>
        </w:rPr>
        <w:t>是否</w:t>
      </w:r>
      <w:r>
        <w:rPr>
          <w:rFonts w:eastAsia="仿宋" w:cs="仿宋"/>
          <w:color w:val="000000" w:themeColor="text1"/>
          <w:spacing w:val="6"/>
          <w:sz w:val="24"/>
          <w14:textFill>
            <w14:solidFill>
              <w14:schemeClr w14:val="tx1"/>
            </w14:solidFill>
          </w14:textFill>
        </w:rPr>
        <w:t>已初步建立相关制度，</w:t>
      </w:r>
      <w:r>
        <w:rPr>
          <w:rFonts w:hint="eastAsia" w:eastAsia="仿宋" w:cs="仿宋"/>
          <w:color w:val="000000" w:themeColor="text1"/>
          <w:spacing w:val="6"/>
          <w:sz w:val="24"/>
          <w14:textFill>
            <w14:solidFill>
              <w14:schemeClr w14:val="tx1"/>
            </w14:solidFill>
          </w14:textFill>
        </w:rPr>
        <w:t>了解</w:t>
      </w:r>
      <w:r>
        <w:rPr>
          <w:rFonts w:eastAsia="仿宋" w:cs="仿宋"/>
          <w:color w:val="000000" w:themeColor="text1"/>
          <w:spacing w:val="6"/>
          <w:sz w:val="24"/>
          <w14:textFill>
            <w14:solidFill>
              <w14:schemeClr w14:val="tx1"/>
            </w14:solidFill>
          </w14:textFill>
        </w:rPr>
        <w:t>在具体执行过程中存在的问题，如部分企业环境管理体系文件与实际运行情况不符，能源统计台账不完善等。在碳排放核算与减排措施方面，</w:t>
      </w:r>
      <w:r>
        <w:rPr>
          <w:rFonts w:hint="eastAsia" w:eastAsia="仿宋" w:cs="仿宋"/>
          <w:color w:val="000000" w:themeColor="text1"/>
          <w:spacing w:val="6"/>
          <w:sz w:val="24"/>
          <w14:textFill>
            <w14:solidFill>
              <w14:schemeClr w14:val="tx1"/>
            </w14:solidFill>
          </w14:textFill>
        </w:rPr>
        <w:t>调查</w:t>
      </w:r>
      <w:r>
        <w:rPr>
          <w:rFonts w:eastAsia="仿宋" w:cs="仿宋"/>
          <w:color w:val="000000" w:themeColor="text1"/>
          <w:spacing w:val="6"/>
          <w:sz w:val="24"/>
          <w14:textFill>
            <w14:solidFill>
              <w14:schemeClr w14:val="tx1"/>
            </w14:solidFill>
          </w14:textFill>
        </w:rPr>
        <w:t>供应商</w:t>
      </w:r>
      <w:r>
        <w:rPr>
          <w:rFonts w:hint="eastAsia" w:eastAsia="仿宋" w:cs="仿宋"/>
          <w:color w:val="000000" w:themeColor="text1"/>
          <w:spacing w:val="6"/>
          <w:sz w:val="24"/>
          <w14:textFill>
            <w14:solidFill>
              <w14:schemeClr w14:val="tx1"/>
            </w14:solidFill>
          </w14:textFill>
        </w:rPr>
        <w:t>是否</w:t>
      </w:r>
      <w:r>
        <w:rPr>
          <w:rFonts w:eastAsia="仿宋" w:cs="仿宋"/>
          <w:color w:val="000000" w:themeColor="text1"/>
          <w:spacing w:val="6"/>
          <w:sz w:val="24"/>
          <w14:textFill>
            <w14:solidFill>
              <w14:schemeClr w14:val="tx1"/>
            </w14:solidFill>
          </w14:textFill>
        </w:rPr>
        <w:t>能够准确核算自身的碳排放量并制定有效的减排方案</w:t>
      </w:r>
      <w:r>
        <w:rPr>
          <w:rFonts w:hint="eastAsia" w:eastAsia="仿宋" w:cs="仿宋"/>
          <w:color w:val="000000" w:themeColor="text1"/>
          <w:spacing w:val="6"/>
          <w:sz w:val="24"/>
          <w14:textFill>
            <w14:solidFill>
              <w14:schemeClr w14:val="tx1"/>
            </w14:solidFill>
          </w14:textFill>
        </w:rPr>
        <w:t>。</w:t>
      </w:r>
    </w:p>
    <w:p w14:paraId="2A3E1CD9">
      <w:pPr>
        <w:spacing w:line="300" w:lineRule="auto"/>
        <w:rPr>
          <w:rFonts w:eastAsia="仿宋" w:cs="仿宋"/>
          <w:b/>
          <w:bCs/>
          <w:spacing w:val="6"/>
          <w:sz w:val="24"/>
        </w:rPr>
      </w:pPr>
      <w:r>
        <w:rPr>
          <w:rFonts w:eastAsia="仿宋" w:cs="仿宋"/>
          <w:b/>
          <w:bCs/>
          <w:spacing w:val="6"/>
          <w:sz w:val="24"/>
        </w:rPr>
        <w:t>6.2 综述报告</w:t>
      </w:r>
    </w:p>
    <w:p w14:paraId="2BE57ED5">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标准的必要性和紧迫性：随着全球对气候变化问题的关注度不断提高，以及可再生能源产业的快速发展，光伏电站作为清洁能源的重要组成部分，其绿色低碳属性愈发受到重视。光伏电站组件供应商作为产业链的关键环节，其绿色低碳能力直接关系到整个光伏电站的环境效益和可持续发展能力。因此，制定一套科学合理的光伏电站组件供应商绿色低碳能力评价标准具有重要的现实意义。</w:t>
      </w:r>
    </w:p>
    <w:p w14:paraId="1E3F8E98">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标准的创新性和先进性：本标准在充分借鉴国内外相关标准和研究成果的基础上，结合光伏电站组件供应商行业的特点和发展趋势，提出一套</w:t>
      </w:r>
      <w:r>
        <w:rPr>
          <w:rFonts w:hint="eastAsia" w:eastAsia="仿宋" w:cs="仿宋"/>
          <w:color w:val="000000" w:themeColor="text1"/>
          <w:spacing w:val="6"/>
          <w:sz w:val="24"/>
          <w14:textFill>
            <w14:solidFill>
              <w14:schemeClr w14:val="tx1"/>
            </w14:solidFill>
          </w14:textFill>
        </w:rPr>
        <w:t>较为</w:t>
      </w:r>
      <w:r>
        <w:rPr>
          <w:rFonts w:eastAsia="仿宋" w:cs="仿宋"/>
          <w:color w:val="000000" w:themeColor="text1"/>
          <w:spacing w:val="6"/>
          <w:sz w:val="24"/>
          <w14:textFill>
            <w14:solidFill>
              <w14:schemeClr w14:val="tx1"/>
            </w14:solidFill>
          </w14:textFill>
        </w:rPr>
        <w:t>系统全面、具有创新性和先进性的评价指标体系。该体系不仅涵盖供应商自身的环境管理和能源管理能力，还关注组件产品全生命周期的绿色低碳性能，从原材料采购、生产制造、运输安装到使用维护和退役回收等各个环节，全面评估供应商的绿色低碳表现。</w:t>
      </w:r>
    </w:p>
    <w:p w14:paraId="074E0F33">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试验验证工作的成效和经验总结：</w:t>
      </w:r>
      <w:r>
        <w:rPr>
          <w:rFonts w:hint="eastAsia" w:eastAsia="仿宋" w:cs="仿宋"/>
          <w:color w:val="000000" w:themeColor="text1"/>
          <w:spacing w:val="6"/>
          <w:sz w:val="24"/>
          <w14:textFill>
            <w14:solidFill>
              <w14:schemeClr w14:val="tx1"/>
            </w14:solidFill>
          </w14:textFill>
        </w:rPr>
        <w:t>团队将</w:t>
      </w:r>
      <w:r>
        <w:rPr>
          <w:rFonts w:eastAsia="仿宋" w:cs="仿宋"/>
          <w:color w:val="000000" w:themeColor="text1"/>
          <w:spacing w:val="6"/>
          <w:sz w:val="24"/>
          <w14:textFill>
            <w14:solidFill>
              <w14:schemeClr w14:val="tx1"/>
            </w14:solidFill>
          </w14:textFill>
        </w:rPr>
        <w:t>通过开展广泛的试验验证工作，验证标准的科学性和可操作性，同时发现</w:t>
      </w:r>
      <w:r>
        <w:rPr>
          <w:rFonts w:hint="eastAsia" w:eastAsia="仿宋" w:cs="仿宋"/>
          <w:color w:val="000000" w:themeColor="text1"/>
          <w:spacing w:val="6"/>
          <w:sz w:val="24"/>
          <w14:textFill>
            <w14:solidFill>
              <w14:schemeClr w14:val="tx1"/>
            </w14:solidFill>
          </w14:textFill>
        </w:rPr>
        <w:t>实际应用中的</w:t>
      </w:r>
      <w:r>
        <w:rPr>
          <w:rFonts w:eastAsia="仿宋" w:cs="仿宋"/>
          <w:color w:val="000000" w:themeColor="text1"/>
          <w:spacing w:val="6"/>
          <w:sz w:val="24"/>
          <w14:textFill>
            <w14:solidFill>
              <w14:schemeClr w14:val="tx1"/>
            </w14:solidFill>
          </w14:textFill>
        </w:rPr>
        <w:t>问题</w:t>
      </w:r>
      <w:r>
        <w:rPr>
          <w:rFonts w:hint="eastAsia" w:eastAsia="仿宋" w:cs="仿宋"/>
          <w:color w:val="000000" w:themeColor="text1"/>
          <w:spacing w:val="6"/>
          <w:sz w:val="24"/>
          <w14:textFill>
            <w14:solidFill>
              <w14:schemeClr w14:val="tx1"/>
            </w14:solidFill>
          </w14:textFill>
        </w:rPr>
        <w:t>与</w:t>
      </w:r>
      <w:r>
        <w:rPr>
          <w:rFonts w:eastAsia="仿宋" w:cs="仿宋"/>
          <w:color w:val="000000" w:themeColor="text1"/>
          <w:spacing w:val="6"/>
          <w:sz w:val="24"/>
          <w14:textFill>
            <w14:solidFill>
              <w14:schemeClr w14:val="tx1"/>
            </w14:solidFill>
          </w14:textFill>
        </w:rPr>
        <w:t>不足之处，为标准的进一步完善提供实践经验。在试验验证过程中，</w:t>
      </w:r>
      <w:r>
        <w:rPr>
          <w:rFonts w:hint="eastAsia" w:eastAsia="仿宋" w:cs="仿宋"/>
          <w:color w:val="000000" w:themeColor="text1"/>
          <w:spacing w:val="6"/>
          <w:sz w:val="24"/>
          <w14:textFill>
            <w14:solidFill>
              <w14:schemeClr w14:val="tx1"/>
            </w14:solidFill>
          </w14:textFill>
        </w:rPr>
        <w:t>前往</w:t>
      </w:r>
      <w:r>
        <w:rPr>
          <w:rFonts w:eastAsia="仿宋" w:cs="仿宋"/>
          <w:color w:val="000000" w:themeColor="text1"/>
          <w:spacing w:val="6"/>
          <w:sz w:val="24"/>
          <w14:textFill>
            <w14:solidFill>
              <w14:schemeClr w14:val="tx1"/>
            </w14:solidFill>
          </w14:textFill>
        </w:rPr>
        <w:t>多家光伏电站组件供应商进行深入的合作与交流，为标准的顺利推广和实施奠定良好的基础。</w:t>
      </w:r>
    </w:p>
    <w:p w14:paraId="58A9D0EC">
      <w:pPr>
        <w:spacing w:line="300" w:lineRule="auto"/>
        <w:rPr>
          <w:rFonts w:eastAsia="仿宋" w:cs="仿宋"/>
          <w:b/>
          <w:bCs/>
          <w:spacing w:val="6"/>
          <w:sz w:val="24"/>
        </w:rPr>
      </w:pPr>
      <w:r>
        <w:rPr>
          <w:rFonts w:eastAsia="仿宋" w:cs="仿宋"/>
          <w:b/>
          <w:bCs/>
          <w:spacing w:val="6"/>
          <w:sz w:val="24"/>
        </w:rPr>
        <w:t>6.3 技术经济论证</w:t>
      </w:r>
    </w:p>
    <w:p w14:paraId="05C0CCD2">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spacing w:val="6"/>
          <w:sz w:val="24"/>
        </w:rPr>
        <w:t>（</w:t>
      </w: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技术可行性：目前光伏电站组件供应商绿色低碳能力评价所涉及的各项技术指标和方法均已相对成熟。对于环境管理体系和能源管理体系的评估，已有国际标准如ISO14001和ISO50001作为参考依据，企业可以通过建立和运行符合标准要求的管理体系，实现对环境和能源的有效管控。在碳排放核算方面，国际上也有多种通用的核算方法和工具可供选择，如IPCC国家温室气体清单指南等，能够保证碳排放数据的准确性和可靠性。</w:t>
      </w:r>
    </w:p>
    <w:p w14:paraId="507E5B05">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经济合理性：从经济角度来看，实施本标准将有助于光伏电站组件供应商降低生产成本、提高市场竞争力、增加经济效益。通过优化环境管理和能源管理体系企业，能够有效减少能源消耗和污染物排放，降低能源采购成本和环境治理成本。在碳排放交易市场日益完善的背景下，供应商通过实施减排措施和提高产品的绿色低碳性能，还可以获得碳排放配额交易收益，进一步增加企业的经济效益。此外，符合绿色低碳标准的组件产品在市场上将更具竞争力，能够吸引更多的客户和投资者，促进企业的市场份额扩大和业务增长。</w:t>
      </w:r>
    </w:p>
    <w:p w14:paraId="1A76BAA4">
      <w:pPr>
        <w:spacing w:line="300" w:lineRule="auto"/>
        <w:rPr>
          <w:rFonts w:eastAsia="仿宋" w:cs="仿宋"/>
          <w:spacing w:val="6"/>
          <w:sz w:val="24"/>
        </w:rPr>
      </w:pPr>
      <w:r>
        <w:rPr>
          <w:rFonts w:eastAsia="仿宋" w:cs="仿宋"/>
          <w:b/>
          <w:bCs/>
          <w:spacing w:val="6"/>
          <w:sz w:val="24"/>
        </w:rPr>
        <w:t>6.4 预期的经济效果</w:t>
      </w:r>
    </w:p>
    <w:p w14:paraId="57E2E7AA">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整体行业经济效益提升：随着本标准的实施和推广，预计将在光伏电站组件行业产生显著的经济效益。一方面，通过引导企业提升绿色低碳能力，优化生产流程和资源配置，降低生产成本，提高产品质量和生产效率，从而增强整个行业的竞争力和盈利能力。另一方面，标准的实施将促进光伏电站组件行业的规模化、集约化发展，推动产业升级和技术创新，带动相关产业的协同发展，为整个行业创造更多的就业机会和经济增长点。</w:t>
      </w:r>
      <w:r>
        <w:rPr>
          <w:rFonts w:hint="eastAsia" w:eastAsia="仿宋" w:cs="仿宋"/>
          <w:color w:val="000000" w:themeColor="text1"/>
          <w:spacing w:val="6"/>
          <w:sz w:val="24"/>
          <w14:textFill>
            <w14:solidFill>
              <w14:schemeClr w14:val="tx1"/>
            </w14:solidFill>
          </w14:textFill>
        </w:rPr>
        <w:t>据估算，未来</w:t>
      </w:r>
      <w:r>
        <w:rPr>
          <w:rFonts w:eastAsia="仿宋" w:cs="仿宋"/>
          <w:color w:val="000000" w:themeColor="text1"/>
          <w:spacing w:val="6"/>
          <w:sz w:val="24"/>
          <w14:textFill>
            <w14:solidFill>
              <w14:schemeClr w14:val="tx1"/>
            </w14:solidFill>
          </w14:textFill>
        </w:rPr>
        <w:t>3</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5</w:t>
      </w:r>
      <w:r>
        <w:rPr>
          <w:rFonts w:hint="eastAsia" w:eastAsia="仿宋" w:cs="仿宋"/>
          <w:color w:val="000000" w:themeColor="text1"/>
          <w:spacing w:val="6"/>
          <w:sz w:val="24"/>
          <w14:textFill>
            <w14:solidFill>
              <w14:schemeClr w14:val="tx1"/>
            </w14:solidFill>
          </w14:textFill>
        </w:rPr>
        <w:t>年内，光伏电站组件供应商行业因实施本标准所带来的整体经济效益将提升</w:t>
      </w:r>
      <w:r>
        <w:rPr>
          <w:rFonts w:eastAsia="仿宋" w:cs="仿宋"/>
          <w:color w:val="000000" w:themeColor="text1"/>
          <w:spacing w:val="6"/>
          <w:sz w:val="24"/>
          <w14:textFill>
            <w14:solidFill>
              <w14:schemeClr w14:val="tx1"/>
            </w14:solidFill>
          </w14:textFill>
        </w:rPr>
        <w:t>15</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20</w:t>
      </w:r>
      <w:r>
        <w:rPr>
          <w:rFonts w:hint="eastAsia" w:eastAsia="仿宋" w:cs="仿宋"/>
          <w:color w:val="000000" w:themeColor="text1"/>
          <w:spacing w:val="6"/>
          <w:sz w:val="24"/>
          <w14:textFill>
            <w14:solidFill>
              <w14:schemeClr w14:val="tx1"/>
            </w14:solidFill>
          </w14:textFill>
        </w:rPr>
        <w:t>%左右</w:t>
      </w:r>
      <w:r>
        <w:rPr>
          <w:rFonts w:eastAsia="仿宋" w:cs="仿宋"/>
          <w:color w:val="000000" w:themeColor="text1"/>
          <w:spacing w:val="6"/>
          <w:sz w:val="24"/>
          <w14:textFill>
            <w14:solidFill>
              <w14:schemeClr w14:val="tx1"/>
            </w14:solidFill>
          </w14:textFill>
        </w:rPr>
        <w:t>。</w:t>
      </w:r>
    </w:p>
    <w:p w14:paraId="36DE468A">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推动光伏产业可持续发展：从光伏产业的整体发展来看，本标准的实施将有助于提高光伏电站的环境效益和可持续发展能力。通过采购符合绿色低碳标准的组件产品，光伏电站能够降低全生命周期的碳排放量，提高能源利用效率，提升光伏电站的综合效益和市场竞争力</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进一步促进光伏产业的健康发展，加快我国能源结构的调整和优化，为实现碳达峰、碳中和目标做出重要贡献。同时，光伏产业发展也将带动上下游相关产业的繁荣，形成庞大的绿色低碳产业链，为经济社会的可持续发展注入新的动力。</w:t>
      </w:r>
    </w:p>
    <w:p w14:paraId="0844F78D">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促进节能减排和环境保护：</w:t>
      </w:r>
      <w:r>
        <w:rPr>
          <w:rFonts w:hint="eastAsia" w:eastAsia="仿宋" w:cs="仿宋"/>
          <w:color w:val="000000" w:themeColor="text1"/>
          <w:spacing w:val="6"/>
          <w:sz w:val="24"/>
          <w14:textFill>
            <w14:solidFill>
              <w14:schemeClr w14:val="tx1"/>
            </w14:solidFill>
          </w14:textFill>
        </w:rPr>
        <w:t>预计</w:t>
      </w:r>
      <w:r>
        <w:rPr>
          <w:rFonts w:eastAsia="仿宋" w:cs="仿宋"/>
          <w:color w:val="000000" w:themeColor="text1"/>
          <w:spacing w:val="6"/>
          <w:sz w:val="24"/>
          <w14:textFill>
            <w14:solidFill>
              <w14:schemeClr w14:val="tx1"/>
            </w14:solidFill>
          </w14:textFill>
        </w:rPr>
        <w:t>本标准的实施</w:t>
      </w:r>
      <w:r>
        <w:rPr>
          <w:rFonts w:hint="eastAsia" w:eastAsia="仿宋" w:cs="仿宋"/>
          <w:color w:val="000000" w:themeColor="text1"/>
          <w:spacing w:val="6"/>
          <w:sz w:val="24"/>
          <w14:textFill>
            <w14:solidFill>
              <w14:schemeClr w14:val="tx1"/>
            </w14:solidFill>
          </w14:textFill>
        </w:rPr>
        <w:t>在节能减排效率提升方面</w:t>
      </w:r>
      <w:r>
        <w:rPr>
          <w:rFonts w:eastAsia="仿宋" w:cs="仿宋"/>
          <w:color w:val="000000" w:themeColor="text1"/>
          <w:spacing w:val="6"/>
          <w:sz w:val="24"/>
          <w14:textFill>
            <w14:solidFill>
              <w14:schemeClr w14:val="tx1"/>
            </w14:solidFill>
          </w14:textFill>
        </w:rPr>
        <w:t>将产生</w:t>
      </w:r>
      <w:r>
        <w:rPr>
          <w:rFonts w:hint="eastAsia" w:eastAsia="仿宋" w:cs="仿宋"/>
          <w:color w:val="000000" w:themeColor="text1"/>
          <w:spacing w:val="6"/>
          <w:sz w:val="24"/>
          <w14:textFill>
            <w14:solidFill>
              <w14:schemeClr w14:val="tx1"/>
            </w14:solidFill>
          </w14:textFill>
        </w:rPr>
        <w:t>较大</w:t>
      </w:r>
      <w:r>
        <w:rPr>
          <w:rFonts w:eastAsia="仿宋" w:cs="仿宋"/>
          <w:color w:val="000000" w:themeColor="text1"/>
          <w:spacing w:val="6"/>
          <w:sz w:val="24"/>
          <w14:textFill>
            <w14:solidFill>
              <w14:schemeClr w14:val="tx1"/>
            </w14:solidFill>
          </w14:textFill>
        </w:rPr>
        <w:t>的经济和环境效益。通过对光伏电站组件供应商的绿色低碳能力评价和引导，预计到2030年，</w:t>
      </w:r>
      <w:r>
        <w:rPr>
          <w:rFonts w:hint="eastAsia" w:eastAsia="仿宋" w:cs="仿宋"/>
          <w:color w:val="000000" w:themeColor="text1"/>
          <w:spacing w:val="6"/>
          <w:sz w:val="24"/>
          <w14:textFill>
            <w14:solidFill>
              <w14:schemeClr w14:val="tx1"/>
            </w14:solidFill>
          </w14:textFill>
        </w:rPr>
        <w:t>光伏电站组件行业的碳排放强度将降低</w:t>
      </w:r>
      <w:r>
        <w:rPr>
          <w:rFonts w:eastAsia="仿宋" w:cs="仿宋"/>
          <w:color w:val="000000" w:themeColor="text1"/>
          <w:spacing w:val="6"/>
          <w:sz w:val="24"/>
          <w14:textFill>
            <w14:solidFill>
              <w14:schemeClr w14:val="tx1"/>
            </w14:solidFill>
          </w14:textFill>
        </w:rPr>
        <w:t>20</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30</w:t>
      </w:r>
      <w:r>
        <w:rPr>
          <w:rFonts w:hint="eastAsia" w:eastAsia="仿宋" w:cs="仿宋"/>
          <w:color w:val="000000" w:themeColor="text1"/>
          <w:spacing w:val="6"/>
          <w:sz w:val="24"/>
          <w14:textFill>
            <w14:solidFill>
              <w14:schemeClr w14:val="tx1"/>
            </w14:solidFill>
          </w14:textFill>
        </w:rPr>
        <w:t xml:space="preserve">%，能源消耗降低 </w:t>
      </w:r>
      <w:r>
        <w:rPr>
          <w:rFonts w:eastAsia="仿宋" w:cs="仿宋"/>
          <w:color w:val="000000" w:themeColor="text1"/>
          <w:spacing w:val="6"/>
          <w:sz w:val="24"/>
          <w14:textFill>
            <w14:solidFill>
              <w14:schemeClr w14:val="tx1"/>
            </w14:solidFill>
          </w14:textFill>
        </w:rPr>
        <w:t>10</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20</w:t>
      </w:r>
      <w:r>
        <w:rPr>
          <w:rFonts w:hint="eastAsia" w:eastAsia="仿宋" w:cs="仿宋"/>
          <w:color w:val="000000" w:themeColor="text1"/>
          <w:spacing w:val="6"/>
          <w:sz w:val="24"/>
          <w14:textFill>
            <w14:solidFill>
              <w14:schemeClr w14:val="tx1"/>
            </w14:solidFill>
          </w14:textFill>
        </w:rPr>
        <w:t>%，污染物排放减少</w:t>
      </w:r>
      <w:r>
        <w:rPr>
          <w:rFonts w:eastAsia="仿宋" w:cs="仿宋"/>
          <w:color w:val="000000" w:themeColor="text1"/>
          <w:spacing w:val="6"/>
          <w:sz w:val="24"/>
          <w14:textFill>
            <w14:solidFill>
              <w14:schemeClr w14:val="tx1"/>
            </w14:solidFill>
          </w14:textFill>
        </w:rPr>
        <w:t>30</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40</w:t>
      </w:r>
      <w:r>
        <w:rPr>
          <w:rFonts w:hint="eastAsia" w:eastAsia="仿宋" w:cs="仿宋"/>
          <w:color w:val="000000" w:themeColor="text1"/>
          <w:spacing w:val="6"/>
          <w:sz w:val="24"/>
          <w14:textFill>
            <w14:solidFill>
              <w14:schemeClr w14:val="tx1"/>
            </w14:solidFill>
          </w14:textFill>
        </w:rPr>
        <w:t>%。</w:t>
      </w:r>
      <w:r>
        <w:rPr>
          <w:rFonts w:eastAsia="仿宋" w:cs="仿宋"/>
          <w:color w:val="000000" w:themeColor="text1"/>
          <w:spacing w:val="6"/>
          <w:sz w:val="24"/>
          <w14:textFill>
            <w14:solidFill>
              <w14:schemeClr w14:val="tx1"/>
            </w14:solidFill>
          </w14:textFill>
        </w:rPr>
        <w:t>这将为我国实现节能减排目标做出重要贡献，同时也将减少因环境污染和生态破坏所带来的经济损失，创造巨大的环境效益，为经济社会的可持续发展提供有力的保障。</w:t>
      </w:r>
    </w:p>
    <w:p w14:paraId="58D98069">
      <w:pPr>
        <w:spacing w:line="300" w:lineRule="auto"/>
        <w:rPr>
          <w:rFonts w:eastAsia="仿宋" w:cs="仿宋"/>
          <w:b/>
          <w:sz w:val="24"/>
        </w:rPr>
      </w:pPr>
      <w:r>
        <w:rPr>
          <w:rFonts w:hint="eastAsia" w:eastAsia="仿宋" w:cs="仿宋"/>
          <w:b/>
          <w:sz w:val="24"/>
        </w:rPr>
        <w:t>7  采用国际标准的程度及水平的简要说明</w:t>
      </w:r>
    </w:p>
    <w:p w14:paraId="2B203215">
      <w:pPr>
        <w:spacing w:line="300" w:lineRule="auto"/>
        <w:ind w:firstLine="504" w:firstLineChars="200"/>
        <w:rPr>
          <w:rFonts w:eastAsia="仿宋" w:cs="仿宋"/>
          <w:spacing w:val="6"/>
          <w:sz w:val="24"/>
          <w:highlight w:val="lightGray"/>
        </w:rPr>
      </w:pPr>
      <w:r>
        <w:rPr>
          <w:rFonts w:hint="eastAsia" w:eastAsia="仿宋" w:cs="仿宋"/>
          <w:spacing w:val="6"/>
          <w:sz w:val="24"/>
        </w:rPr>
        <w:t>无</w:t>
      </w:r>
    </w:p>
    <w:p w14:paraId="0D2E25BA">
      <w:pPr>
        <w:spacing w:line="300" w:lineRule="auto"/>
        <w:rPr>
          <w:rFonts w:eastAsia="仿宋" w:cs="仿宋"/>
          <w:b/>
          <w:sz w:val="24"/>
        </w:rPr>
      </w:pPr>
      <w:r>
        <w:rPr>
          <w:rFonts w:hint="eastAsia" w:eastAsia="仿宋" w:cs="仿宋"/>
          <w:b/>
          <w:sz w:val="24"/>
        </w:rPr>
        <w:t>8  重大分歧意见的处理经过和依据</w:t>
      </w:r>
    </w:p>
    <w:p w14:paraId="3E69F8BB">
      <w:pPr>
        <w:spacing w:line="360" w:lineRule="auto"/>
        <w:ind w:firstLine="504" w:firstLineChars="200"/>
        <w:rPr>
          <w:rFonts w:eastAsia="仿宋" w:cs="仿宋"/>
          <w:spacing w:val="6"/>
          <w:sz w:val="24"/>
        </w:rPr>
      </w:pPr>
      <w:r>
        <w:rPr>
          <w:rFonts w:hint="eastAsia" w:eastAsia="仿宋" w:cs="仿宋"/>
          <w:spacing w:val="6"/>
          <w:sz w:val="24"/>
        </w:rPr>
        <w:t>无</w:t>
      </w:r>
    </w:p>
    <w:p w14:paraId="02780590">
      <w:pPr>
        <w:spacing w:line="300" w:lineRule="auto"/>
        <w:rPr>
          <w:rFonts w:eastAsia="仿宋" w:cs="仿宋"/>
          <w:b/>
          <w:sz w:val="24"/>
        </w:rPr>
      </w:pPr>
      <w:r>
        <w:rPr>
          <w:rFonts w:hint="eastAsia" w:eastAsia="仿宋" w:cs="仿宋"/>
          <w:b/>
          <w:sz w:val="24"/>
        </w:rPr>
        <w:t>9  贯彻标准的要求和措施建议（包括组织措施、技术措施、过渡办法等内容）</w:t>
      </w:r>
    </w:p>
    <w:p w14:paraId="517A20CE">
      <w:pPr>
        <w:spacing w:line="360" w:lineRule="auto"/>
        <w:ind w:firstLine="506" w:firstLineChars="200"/>
        <w:rPr>
          <w:rFonts w:eastAsia="仿宋" w:cs="仿宋"/>
          <w:b/>
          <w:bCs/>
          <w:color w:val="000000" w:themeColor="text1"/>
          <w:spacing w:val="6"/>
          <w:sz w:val="24"/>
          <w14:textFill>
            <w14:solidFill>
              <w14:schemeClr w14:val="tx1"/>
            </w14:solidFill>
          </w14:textFill>
        </w:rPr>
      </w:pPr>
      <w:r>
        <w:rPr>
          <w:rFonts w:eastAsia="仿宋" w:cs="仿宋"/>
          <w:b/>
          <w:bCs/>
          <w:color w:val="000000" w:themeColor="text1"/>
          <w:spacing w:val="6"/>
          <w:sz w:val="24"/>
          <w14:textFill>
            <w14:solidFill>
              <w14:schemeClr w14:val="tx1"/>
            </w14:solidFill>
          </w14:textFill>
        </w:rPr>
        <w:t>9.1 标准培训工作的要求和建议</w:t>
      </w:r>
    </w:p>
    <w:p w14:paraId="55496138">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成立标准推广小组：建议在行业协会或相关机构内成立专门的《光伏电站组件供应商绿色低碳能力评价》标准推广小组，负责标准的宣传、培训和实施工作。该小组应由行业专家、标准起草人员以及具有丰富实践经验的专业人士组成，确保能够准确解读和传达标准的各项要求。</w:t>
      </w:r>
    </w:p>
    <w:p w14:paraId="7B237EC7">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搭建行业信息平台：创建一个易于访问和使用的行业信息平台，提供标准文档、案例分析、技术指南、培训资料以及相关政策解读等资源。方便各单位随时获取相关信息，促进技术交流与合作，为标准的实施提供信息支持。</w:t>
      </w:r>
    </w:p>
    <w:p w14:paraId="1BC3858A">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组织系列培训课程：针对不同层面的人员组织系列培训课程。例如，针对管理人员，重点培训标准的整体框架、核心要求以及如何在企业内部推动标准实施；针对技术人员，详细讲解评价指标体系、取值规则、评价方法以及数据收集与分析的具体操作；针对操作人员，侧重于现场管理、数据记录与初步整理等方面的培训。通过分层次的培训，确保所有从业者都能掌握标准的核心要素与技术细节。</w:t>
      </w:r>
    </w:p>
    <w:p w14:paraId="36E6D287">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（4）</w:t>
      </w:r>
      <w:r>
        <w:rPr>
          <w:rFonts w:eastAsia="仿宋" w:cs="仿宋"/>
          <w:color w:val="000000" w:themeColor="text1"/>
          <w:spacing w:val="6"/>
          <w:sz w:val="24"/>
          <w14:textFill>
            <w14:solidFill>
              <w14:schemeClr w14:val="tx1"/>
            </w14:solidFill>
          </w14:textFill>
        </w:rPr>
        <w:t>编制技术指导手册：编制详细的技术指导手册，内容涵盖自清洁涂层的具体应用、施工方法、检测标准以及常见问题解答等。手册应语言简洁、图文并茂、易于理解，便于用户在实际操作中随时参考和遵循。</w:t>
      </w:r>
    </w:p>
    <w:p w14:paraId="50276540">
      <w:pPr>
        <w:spacing w:line="360" w:lineRule="auto"/>
        <w:ind w:firstLine="506" w:firstLineChars="200"/>
        <w:rPr>
          <w:rFonts w:eastAsia="仿宋" w:cs="仿宋"/>
          <w:b/>
          <w:bCs/>
          <w:color w:val="000000" w:themeColor="text1"/>
          <w:spacing w:val="6"/>
          <w:sz w:val="24"/>
          <w14:textFill>
            <w14:solidFill>
              <w14:schemeClr w14:val="tx1"/>
            </w14:solidFill>
          </w14:textFill>
        </w:rPr>
      </w:pPr>
      <w:r>
        <w:rPr>
          <w:rFonts w:eastAsia="仿宋" w:cs="仿宋"/>
          <w:b/>
          <w:bCs/>
          <w:color w:val="000000" w:themeColor="text1"/>
          <w:spacing w:val="6"/>
          <w:sz w:val="24"/>
          <w14:textFill>
            <w14:solidFill>
              <w14:schemeClr w14:val="tx1"/>
            </w14:solidFill>
          </w14:textFill>
        </w:rPr>
        <w:t>9.2 推广应用标准的手段和方式建议</w:t>
      </w:r>
    </w:p>
    <w:p w14:paraId="12642AC9">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举办专题宣讲活动：通过行业协会、展会、研讨会等形式，举办关于《光伏电站组件供应商绿色低碳能力评价》标准的专题宣讲会。邀请行业内的专家、学者以及企业代表参加，向广大企业和用户普及标准的重要性、实施方法及应用前景。在宣讲活动中，可以结合实际案例，展示标准实施带来的经济效益和环境效益，增强企业和用户对标准的认知度和认同感。</w:t>
      </w:r>
    </w:p>
    <w:p w14:paraId="27CA0F07">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总结与发布应用案例：收集和整理成功应用《光伏电站组件供应商绿色低碳能力评价》标准的企业案例，深入分析这些企业在标准实施过程中的经验做法、取得的成效以及遇到的问题和解决方案。通过行业媒体、网站、微信公众号等渠道发布这些案例，为其他企业提供直观的学习样本和借鉴经验。同时，组织企业之间的交流活动，促进企业之间的经验共享和技术合作。</w:t>
      </w:r>
    </w:p>
    <w:p w14:paraId="0DAF4741">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开展示范项目试点：鼓励企业开展《光伏电站组件供应商绿色低碳能力评价》标准的示范项目试点。选择一批具有代表性的光伏电站组件供应商，按照标准要求进行绿色低碳能力评价和改进。通过试点项目的实施，展示标准的实际效果和价值，积累标准实施的经验和数据。在试点项目取得成功后，及时总结经验并向其他企业推广，带动整个行业逐步实施标准。</w:t>
      </w:r>
    </w:p>
    <w:p w14:paraId="184D3593">
      <w:pPr>
        <w:spacing w:line="360" w:lineRule="auto"/>
        <w:ind w:firstLine="506" w:firstLineChars="200"/>
        <w:rPr>
          <w:rFonts w:eastAsia="仿宋" w:cs="仿宋"/>
          <w:b/>
          <w:bCs/>
          <w:color w:val="000000" w:themeColor="text1"/>
          <w:spacing w:val="6"/>
          <w:sz w:val="24"/>
          <w14:textFill>
            <w14:solidFill>
              <w14:schemeClr w14:val="tx1"/>
            </w14:solidFill>
          </w14:textFill>
        </w:rPr>
      </w:pPr>
      <w:r>
        <w:rPr>
          <w:rFonts w:eastAsia="仿宋" w:cs="仿宋"/>
          <w:b/>
          <w:bCs/>
          <w:color w:val="000000" w:themeColor="text1"/>
          <w:spacing w:val="6"/>
          <w:sz w:val="24"/>
          <w14:textFill>
            <w14:solidFill>
              <w14:schemeClr w14:val="tx1"/>
            </w14:solidFill>
          </w14:textFill>
        </w:rPr>
        <w:t>9.3 标准贯彻效果检查和评估的建议</w:t>
      </w:r>
    </w:p>
    <w:p w14:paraId="650CFB47">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（1）</w:t>
      </w:r>
      <w:r>
        <w:rPr>
          <w:rFonts w:eastAsia="仿宋" w:cs="仿宋"/>
          <w:color w:val="000000" w:themeColor="text1"/>
          <w:spacing w:val="6"/>
          <w:sz w:val="24"/>
          <w14:textFill>
            <w14:solidFill>
              <w14:schemeClr w14:val="tx1"/>
            </w14:solidFill>
          </w14:textFill>
        </w:rPr>
        <w:t>建立定期评估机制：建议建立《光伏电站组件供应商绿色低碳能力评价》标准贯彻效果的定期评估机制。制定详细的评估计划和指标体系，定期对标准在行业内的落实情况进行全面检查和评估。评估指标可以包括技术指标达成率、市场接受度、用户反馈、企业绿色低碳能力提升程度、环境效益等方面，通过定量和定性相结合的方式，准确衡量标准的实施效果。</w:t>
      </w:r>
    </w:p>
    <w:p w14:paraId="3E10B972">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（2）</w:t>
      </w:r>
      <w:r>
        <w:rPr>
          <w:rFonts w:eastAsia="仿宋" w:cs="仿宋"/>
          <w:color w:val="000000" w:themeColor="text1"/>
          <w:spacing w:val="6"/>
          <w:sz w:val="24"/>
          <w14:textFill>
            <w14:solidFill>
              <w14:schemeClr w14:val="tx1"/>
            </w14:solidFill>
          </w14:textFill>
        </w:rPr>
        <w:t>开展问卷调查与访谈：通过问卷调查、企业走访、专家访谈等方式收集用户对于标准实施效果的反馈。了解企业在标准实施过程中遇到的困难和问题，听取用户对标准的意见和建议，及时发现标准实施过程中存在的不足之处。根据反馈信息，对标准进行针对性的调整和优化，确保标准能够更好地满足行业需求。</w:t>
      </w:r>
    </w:p>
    <w:p w14:paraId="22A71E69">
      <w:pPr>
        <w:spacing w:line="360" w:lineRule="auto"/>
        <w:ind w:firstLine="504" w:firstLineChars="200"/>
        <w:rPr>
          <w:rFonts w:eastAsia="仿宋" w:cs="仿宋"/>
          <w:color w:val="000000" w:themeColor="text1"/>
          <w:spacing w:val="6"/>
          <w:sz w:val="24"/>
          <w14:textFill>
            <w14:solidFill>
              <w14:schemeClr w14:val="tx1"/>
            </w14:solidFill>
          </w14:textFill>
        </w:rPr>
      </w:pPr>
      <w:r>
        <w:rPr>
          <w:rFonts w:hint="eastAsia" w:eastAsia="仿宋" w:cs="仿宋"/>
          <w:color w:val="000000" w:themeColor="text1"/>
          <w:spacing w:val="6"/>
          <w:sz w:val="24"/>
          <w14:textFill>
            <w14:solidFill>
              <w14:schemeClr w14:val="tx1"/>
            </w14:solidFill>
          </w14:textFill>
        </w:rPr>
        <w:t>（3）</w:t>
      </w:r>
      <w:r>
        <w:rPr>
          <w:rFonts w:eastAsia="仿宋" w:cs="仿宋"/>
          <w:color w:val="000000" w:themeColor="text1"/>
          <w:spacing w:val="6"/>
          <w:sz w:val="24"/>
          <w14:textFill>
            <w14:solidFill>
              <w14:schemeClr w14:val="tx1"/>
            </w14:solidFill>
          </w14:textFill>
        </w:rPr>
        <w:t>将标准实施情况纳入企业绩效考核：建议将《光伏电站组件供应商绿色低碳能力评价》标准的实施情况作为企业绩效考核的一项重要指标。鼓励企业将标准实施与自身的管理绩效、经济效益、环境效益等挂钩，通过绩效考核机制激励企业积极贯彻标准，提高标准的执行力度和效果。同时，定期通报企业标准实施情况，对表现优秀的企业进行表彰和奖励，对实施不力的企业进行督促和指导，营造良好的标准实施氛围。</w:t>
      </w:r>
    </w:p>
    <w:p w14:paraId="00466D60">
      <w:pPr>
        <w:spacing w:line="300" w:lineRule="auto"/>
        <w:rPr>
          <w:rFonts w:eastAsia="仿宋" w:cs="仿宋"/>
          <w:b/>
          <w:sz w:val="24"/>
        </w:rPr>
      </w:pPr>
      <w:r>
        <w:rPr>
          <w:rFonts w:hint="eastAsia" w:eastAsia="仿宋" w:cs="仿宋"/>
          <w:b/>
          <w:sz w:val="24"/>
        </w:rPr>
        <w:t>10  其他应予说明的事项，如涉及专利的处理等</w:t>
      </w:r>
    </w:p>
    <w:p w14:paraId="28DEBD70">
      <w:pPr>
        <w:spacing w:line="360" w:lineRule="auto"/>
        <w:ind w:firstLine="480" w:firstLineChars="200"/>
        <w:rPr>
          <w:rFonts w:eastAsia="仿宋" w:cs="仿宋"/>
          <w:sz w:val="24"/>
        </w:rPr>
      </w:pPr>
      <w:r>
        <w:rPr>
          <w:rFonts w:hint="eastAsia" w:eastAsia="仿宋" w:cs="仿宋"/>
          <w:sz w:val="24"/>
        </w:rPr>
        <w:t>无</w:t>
      </w: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05E14EC"/>
    <w:multiLevelType w:val="multilevel"/>
    <w:tmpl w:val="105E14EC"/>
    <w:lvl w:ilvl="0" w:tentative="0">
      <w:start w:val="1"/>
      <w:numFmt w:val="lowerLetter"/>
      <w:pStyle w:val="17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tentative="0">
      <w:start w:val="1"/>
      <w:numFmt w:val="decimal"/>
      <w:pStyle w:val="7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1"/>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4"/>
      <w:suff w:val="nothing"/>
      <w:lvlText w:val="%1——"/>
      <w:lvlJc w:val="left"/>
      <w:pPr>
        <w:ind w:left="83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pStyle w:val="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B733A5F"/>
    <w:multiLevelType w:val="multilevel"/>
    <w:tmpl w:val="4B733A5F"/>
    <w:lvl w:ilvl="0" w:tentative="0">
      <w:start w:val="1"/>
      <w:numFmt w:val="decimal"/>
      <w:pStyle w:val="6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9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3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90"/>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840" w:firstLine="0"/>
      </w:pPr>
      <w:rPr>
        <w:rFonts w:hint="eastAsia" w:ascii="黑体" w:hAnsi="Times New Roman" w:eastAsia="黑体"/>
        <w:b w:val="0"/>
        <w:i w:val="0"/>
        <w:sz w:val="21"/>
      </w:rPr>
    </w:lvl>
    <w:lvl w:ilvl="3" w:tentative="0">
      <w:start w:val="1"/>
      <w:numFmt w:val="decimal"/>
      <w:pStyle w:val="94"/>
      <w:suff w:val="nothing"/>
      <w:lvlText w:val="%1.%2.%3.%4　"/>
      <w:lvlJc w:val="left"/>
      <w:pPr>
        <w:ind w:left="840" w:firstLine="0"/>
      </w:pPr>
      <w:rPr>
        <w:rFonts w:hint="eastAsia" w:ascii="黑体" w:hAnsi="Times New Roman" w:eastAsia="黑体"/>
        <w:b w:val="0"/>
        <w:i w:val="0"/>
        <w:sz w:val="21"/>
      </w:rPr>
    </w:lvl>
    <w:lvl w:ilvl="4" w:tentative="0">
      <w:start w:val="1"/>
      <w:numFmt w:val="decimal"/>
      <w:pStyle w:val="99"/>
      <w:suff w:val="nothing"/>
      <w:lvlText w:val="%1.%2.%3.%4.%5　"/>
      <w:lvlJc w:val="left"/>
      <w:pPr>
        <w:ind w:left="840" w:firstLine="0"/>
      </w:pPr>
      <w:rPr>
        <w:rFonts w:hint="eastAsia" w:ascii="黑体" w:hAnsi="Times New Roman" w:eastAsia="黑体"/>
        <w:b w:val="0"/>
        <w:i w:val="0"/>
        <w:sz w:val="21"/>
      </w:rPr>
    </w:lvl>
    <w:lvl w:ilvl="5" w:tentative="0">
      <w:start w:val="1"/>
      <w:numFmt w:val="decimal"/>
      <w:pStyle w:val="102"/>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16">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933628F"/>
    <w:multiLevelType w:val="multilevel"/>
    <w:tmpl w:val="7933628F"/>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11"/>
  </w:num>
  <w:num w:numId="3">
    <w:abstractNumId w:val="7"/>
  </w:num>
  <w:num w:numId="4">
    <w:abstractNumId w:val="10"/>
  </w:num>
  <w:num w:numId="5">
    <w:abstractNumId w:val="18"/>
  </w:num>
  <w:num w:numId="6">
    <w:abstractNumId w:val="17"/>
  </w:num>
  <w:num w:numId="7">
    <w:abstractNumId w:val="0"/>
  </w:num>
  <w:num w:numId="8">
    <w:abstractNumId w:val="12"/>
  </w:num>
  <w:num w:numId="9">
    <w:abstractNumId w:val="8"/>
  </w:num>
  <w:num w:numId="10">
    <w:abstractNumId w:val="6"/>
  </w:num>
  <w:num w:numId="11">
    <w:abstractNumId w:val="15"/>
  </w:num>
  <w:num w:numId="12">
    <w:abstractNumId w:val="13"/>
  </w:num>
  <w:num w:numId="13">
    <w:abstractNumId w:val="16"/>
  </w:num>
  <w:num w:numId="14">
    <w:abstractNumId w:val="9"/>
  </w:num>
  <w:num w:numId="15">
    <w:abstractNumId w:val="1"/>
  </w:num>
  <w:num w:numId="16">
    <w:abstractNumId w:val="4"/>
  </w:num>
  <w:num w:numId="17">
    <w:abstractNumId w:val="14"/>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3F8A"/>
    <w:rsid w:val="00004DA4"/>
    <w:rsid w:val="0000586F"/>
    <w:rsid w:val="0000693A"/>
    <w:rsid w:val="00010B01"/>
    <w:rsid w:val="00010F23"/>
    <w:rsid w:val="00011970"/>
    <w:rsid w:val="0001221C"/>
    <w:rsid w:val="000134DF"/>
    <w:rsid w:val="00013D86"/>
    <w:rsid w:val="00013E02"/>
    <w:rsid w:val="000143EA"/>
    <w:rsid w:val="00014704"/>
    <w:rsid w:val="000147DB"/>
    <w:rsid w:val="00015122"/>
    <w:rsid w:val="0001520A"/>
    <w:rsid w:val="00015C7E"/>
    <w:rsid w:val="000177A9"/>
    <w:rsid w:val="00017E89"/>
    <w:rsid w:val="0002071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8DB"/>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85C"/>
    <w:rsid w:val="000B3EA6"/>
    <w:rsid w:val="000B4860"/>
    <w:rsid w:val="000B4937"/>
    <w:rsid w:val="000B4FC5"/>
    <w:rsid w:val="000B514C"/>
    <w:rsid w:val="000B72C9"/>
    <w:rsid w:val="000B7822"/>
    <w:rsid w:val="000B7F30"/>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0F7DE8"/>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2EE6"/>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204A"/>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4FB8"/>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70E"/>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5EA0"/>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85C"/>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97ED9"/>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D61"/>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8DB"/>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5C21"/>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6F76"/>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153F"/>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C7E17"/>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2D6"/>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7BE"/>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8FA"/>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5CE4"/>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27ED7"/>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5EE6"/>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01F"/>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3A38"/>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27E0"/>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CD6"/>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3179"/>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68BF"/>
    <w:rsid w:val="00D17325"/>
    <w:rsid w:val="00D2055E"/>
    <w:rsid w:val="00D211FF"/>
    <w:rsid w:val="00D21D78"/>
    <w:rsid w:val="00D23334"/>
    <w:rsid w:val="00D23837"/>
    <w:rsid w:val="00D24740"/>
    <w:rsid w:val="00D25377"/>
    <w:rsid w:val="00D25A60"/>
    <w:rsid w:val="00D25CB1"/>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01"/>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C20"/>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124"/>
    <w:rsid w:val="00DF3CC1"/>
    <w:rsid w:val="00DF3F0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3F20"/>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573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17A0A"/>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890"/>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1DDE"/>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954"/>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9E7"/>
    <w:rsid w:val="00FF7D83"/>
    <w:rsid w:val="01615A50"/>
    <w:rsid w:val="04C06E57"/>
    <w:rsid w:val="0990783C"/>
    <w:rsid w:val="0B4F08C1"/>
    <w:rsid w:val="0C3A3FB7"/>
    <w:rsid w:val="116369F4"/>
    <w:rsid w:val="14A87CF4"/>
    <w:rsid w:val="1791130A"/>
    <w:rsid w:val="1D3F7112"/>
    <w:rsid w:val="20505479"/>
    <w:rsid w:val="247455FA"/>
    <w:rsid w:val="25C26428"/>
    <w:rsid w:val="2BFF0FD9"/>
    <w:rsid w:val="2ED74F14"/>
    <w:rsid w:val="352D5354"/>
    <w:rsid w:val="35F42345"/>
    <w:rsid w:val="37B616FE"/>
    <w:rsid w:val="39E124FA"/>
    <w:rsid w:val="3A336BD9"/>
    <w:rsid w:val="3E9151CC"/>
    <w:rsid w:val="417F38AB"/>
    <w:rsid w:val="47E30849"/>
    <w:rsid w:val="48780F9E"/>
    <w:rsid w:val="4886618B"/>
    <w:rsid w:val="50F03964"/>
    <w:rsid w:val="51B358CC"/>
    <w:rsid w:val="53790E64"/>
    <w:rsid w:val="59D45F82"/>
    <w:rsid w:val="5FD8409D"/>
    <w:rsid w:val="6E8C4448"/>
    <w:rsid w:val="73FA0701"/>
    <w:rsid w:val="74A2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ind w:firstLine="363"/>
      <w:jc w:val="center"/>
      <w:outlineLvl w:val="0"/>
    </w:pPr>
    <w:rPr>
      <w:b/>
      <w:bCs/>
      <w:kern w:val="44"/>
      <w:sz w:val="28"/>
      <w:szCs w:val="44"/>
      <w:lang w:val="zh-CN"/>
    </w:rPr>
  </w:style>
  <w:style w:type="paragraph" w:styleId="3">
    <w:name w:val="heading 2"/>
    <w:basedOn w:val="1"/>
    <w:next w:val="1"/>
    <w:link w:val="145"/>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146"/>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7"/>
    <w:qFormat/>
    <w:uiPriority w:val="0"/>
    <w:pPr>
      <w:outlineLvl w:val="3"/>
    </w:pPr>
    <w:rPr>
      <w:bCs/>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0"/>
    <w:semiHidden/>
    <w:qFormat/>
    <w:uiPriority w:val="99"/>
    <w:pPr>
      <w:shd w:val="clear" w:color="auto" w:fill="000080"/>
    </w:pPr>
    <w:rPr>
      <w:lang w:val="zh-CN"/>
    </w:rPr>
  </w:style>
  <w:style w:type="paragraph" w:styleId="11">
    <w:name w:val="annotation text"/>
    <w:basedOn w:val="1"/>
    <w:link w:val="156"/>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4"/>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8"/>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5"/>
    <w:qFormat/>
    <w:uiPriority w:val="0"/>
    <w:pPr>
      <w:snapToGrid w:val="0"/>
      <w:ind w:right="210" w:rightChars="100"/>
      <w:jc w:val="right"/>
    </w:pPr>
    <w:rPr>
      <w:sz w:val="18"/>
      <w:szCs w:val="18"/>
      <w:lang w:val="zh-CN"/>
    </w:rPr>
  </w:style>
  <w:style w:type="paragraph" w:styleId="22">
    <w:name w:val="header"/>
    <w:basedOn w:val="1"/>
    <w:link w:val="153"/>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link w:val="157"/>
    <w:qFormat/>
    <w:uiPriority w:val="0"/>
    <w:pPr>
      <w:widowControl/>
      <w:spacing w:after="60"/>
      <w:jc w:val="left"/>
      <w:outlineLvl w:val="0"/>
    </w:pPr>
    <w:rPr>
      <w:rFonts w:ascii="Arial" w:hAnsi="Arial"/>
      <w:b/>
      <w:kern w:val="0"/>
      <w:sz w:val="30"/>
      <w:szCs w:val="20"/>
      <w:lang w:val="zh-CN"/>
    </w:rPr>
  </w:style>
  <w:style w:type="paragraph" w:styleId="36">
    <w:name w:val="annotation subject"/>
    <w:basedOn w:val="11"/>
    <w:next w:val="11"/>
    <w:link w:val="152"/>
    <w:qFormat/>
    <w:uiPriority w:val="0"/>
    <w:pPr>
      <w:topLinePunct/>
      <w:adjustRightInd/>
      <w:spacing w:beforeLines="20" w:line="288" w:lineRule="auto"/>
      <w:ind w:firstLine="200" w:firstLineChars="200"/>
      <w:textAlignment w:val="auto"/>
    </w:pPr>
    <w:rPr>
      <w:b/>
      <w:bCs/>
      <w:color w:val="000000"/>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段 Char"/>
    <w:link w:val="27"/>
    <w:qFormat/>
    <w:uiPriority w:val="0"/>
    <w:rPr>
      <w:rFonts w:ascii="宋体"/>
      <w:sz w:val="21"/>
      <w:lang w:val="en-US" w:eastAsia="zh-CN" w:bidi="ar-SA"/>
    </w:rPr>
  </w:style>
  <w:style w:type="paragraph" w:customStyle="1" w:styleId="48">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2">
    <w:name w:val="二级条标题"/>
    <w:basedOn w:val="48"/>
    <w:next w:val="27"/>
    <w:qFormat/>
    <w:uiPriority w:val="0"/>
    <w:pPr>
      <w:numPr>
        <w:ilvl w:val="2"/>
      </w:numPr>
      <w:spacing w:before="50" w:after="50"/>
      <w:outlineLvl w:val="3"/>
    </w:p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5">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三级条标题"/>
    <w:basedOn w:val="52"/>
    <w:next w:val="27"/>
    <w:qFormat/>
    <w:uiPriority w:val="0"/>
    <w:pPr>
      <w:numPr>
        <w:ilvl w:val="0"/>
        <w:numId w:val="0"/>
      </w:numPr>
      <w:outlineLvl w:val="4"/>
    </w:pPr>
  </w:style>
  <w:style w:type="paragraph" w:customStyle="1" w:styleId="58">
    <w:name w:val="示例"/>
    <w:next w:val="59"/>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1">
    <w:name w:val="四级条标题"/>
    <w:basedOn w:val="57"/>
    <w:next w:val="27"/>
    <w:qFormat/>
    <w:uiPriority w:val="0"/>
    <w:pPr>
      <w:numPr>
        <w:ilvl w:val="4"/>
        <w:numId w:val="3"/>
      </w:numPr>
      <w:outlineLvl w:val="5"/>
    </w:pPr>
  </w:style>
  <w:style w:type="paragraph" w:customStyle="1" w:styleId="62">
    <w:name w:val="五级条标题"/>
    <w:basedOn w:val="61"/>
    <w:next w:val="27"/>
    <w:qFormat/>
    <w:uiPriority w:val="0"/>
    <w:pPr>
      <w:numPr>
        <w:ilvl w:val="5"/>
      </w:numPr>
      <w:outlineLvl w:val="6"/>
    </w:pPr>
  </w:style>
  <w:style w:type="paragraph" w:customStyle="1" w:styleId="63">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4">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6">
    <w:name w:val="列项◆（三级）"/>
    <w:basedOn w:val="1"/>
    <w:qFormat/>
    <w:uiPriority w:val="0"/>
    <w:pPr>
      <w:numPr>
        <w:ilvl w:val="2"/>
        <w:numId w:val="4"/>
      </w:numPr>
    </w:pPr>
    <w:rPr>
      <w:rFonts w:ascii="宋体"/>
      <w:szCs w:val="21"/>
    </w:rPr>
  </w:style>
  <w:style w:type="paragraph" w:customStyle="1" w:styleId="67">
    <w:name w:val="编号列项（三级）"/>
    <w:qFormat/>
    <w:uiPriority w:val="0"/>
    <w:rPr>
      <w:rFonts w:ascii="宋体" w:hAnsi="Times New Roman" w:eastAsia="宋体" w:cs="Times New Roman"/>
      <w:sz w:val="21"/>
      <w:lang w:val="en-US" w:eastAsia="zh-CN" w:bidi="ar-SA"/>
    </w:rPr>
  </w:style>
  <w:style w:type="paragraph" w:customStyle="1" w:styleId="68">
    <w:name w:val="示例×："/>
    <w:basedOn w:val="51"/>
    <w:qFormat/>
    <w:uiPriority w:val="0"/>
    <w:pPr>
      <w:numPr>
        <w:numId w:val="8"/>
      </w:numPr>
      <w:spacing w:before="0" w:beforeLines="0" w:after="0" w:afterLines="0"/>
      <w:outlineLvl w:val="9"/>
    </w:pPr>
    <w:rPr>
      <w:rFonts w:ascii="宋体" w:eastAsia="宋体"/>
      <w:sz w:val="18"/>
      <w:szCs w:val="18"/>
    </w:rPr>
  </w:style>
  <w:style w:type="paragraph" w:customStyle="1" w:styleId="69">
    <w:name w:val="二级无"/>
    <w:basedOn w:val="52"/>
    <w:qFormat/>
    <w:uiPriority w:val="0"/>
    <w:pPr>
      <w:spacing w:before="0" w:beforeLines="0" w:after="0" w:afterLines="0"/>
      <w:ind w:left="0"/>
    </w:pPr>
    <w:rPr>
      <w:rFonts w:ascii="宋体" w:eastAsia="宋体"/>
    </w:rPr>
  </w:style>
  <w:style w:type="paragraph" w:customStyle="1" w:styleId="70">
    <w:name w:val="注：（正文）"/>
    <w:basedOn w:val="63"/>
    <w:next w:val="27"/>
    <w:qFormat/>
    <w:uiPriority w:val="0"/>
    <w:pPr>
      <w:numPr>
        <w:ilvl w:val="0"/>
        <w:numId w:val="9"/>
      </w:numPr>
    </w:pPr>
  </w:style>
  <w:style w:type="paragraph" w:customStyle="1" w:styleId="7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5">
    <w:name w:val="标准书眉_偶数页"/>
    <w:basedOn w:val="50"/>
    <w:next w:val="1"/>
    <w:qFormat/>
    <w:uiPriority w:val="0"/>
    <w:pPr>
      <w:jc w:val="left"/>
    </w:p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8">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
    <w:basedOn w:val="84"/>
    <w:qFormat/>
    <w:uiPriority w:val="0"/>
    <w:pPr>
      <w:framePr w:wrap="around"/>
      <w:spacing w:before="370" w:line="400" w:lineRule="exact"/>
    </w:pPr>
    <w:rPr>
      <w:rFonts w:ascii="Times New Roman"/>
      <w:sz w:val="28"/>
      <w:szCs w:val="28"/>
    </w:rPr>
  </w:style>
  <w:style w:type="paragraph" w:customStyle="1" w:styleId="86">
    <w:name w:val="封面一致性程度标识"/>
    <w:basedOn w:val="85"/>
    <w:qFormat/>
    <w:uiPriority w:val="0"/>
    <w:pPr>
      <w:framePr w:wrap="around"/>
      <w:spacing w:before="440"/>
    </w:pPr>
    <w:rPr>
      <w:rFonts w:ascii="宋体" w:eastAsia="宋体"/>
    </w:rPr>
  </w:style>
  <w:style w:type="paragraph" w:customStyle="1" w:styleId="87">
    <w:name w:val="封面标准文稿类别"/>
    <w:basedOn w:val="86"/>
    <w:qFormat/>
    <w:uiPriority w:val="0"/>
    <w:pPr>
      <w:framePr w:wrap="around"/>
      <w:spacing w:after="160" w:line="240" w:lineRule="auto"/>
    </w:pPr>
    <w:rPr>
      <w:sz w:val="24"/>
    </w:rPr>
  </w:style>
  <w:style w:type="paragraph" w:customStyle="1" w:styleId="88">
    <w:name w:val="封面标准文稿编辑信息"/>
    <w:basedOn w:val="87"/>
    <w:qFormat/>
    <w:uiPriority w:val="0"/>
    <w:pPr>
      <w:framePr w:wrap="around"/>
      <w:spacing w:before="180" w:line="180" w:lineRule="exact"/>
    </w:pPr>
    <w:rPr>
      <w:sz w:val="21"/>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1">
    <w:name w:val="附录标题"/>
    <w:basedOn w:val="27"/>
    <w:next w:val="27"/>
    <w:qFormat/>
    <w:uiPriority w:val="0"/>
    <w:pPr>
      <w:ind w:firstLine="0" w:firstLineChars="0"/>
      <w:jc w:val="center"/>
    </w:pPr>
    <w:rPr>
      <w:rFonts w:ascii="黑体" w:eastAsia="黑体"/>
    </w:rPr>
  </w:style>
  <w:style w:type="paragraph" w:customStyle="1" w:styleId="92">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3">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4">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附录二级无"/>
    <w:basedOn w:val="94"/>
    <w:qFormat/>
    <w:uiPriority w:val="0"/>
    <w:pPr>
      <w:tabs>
        <w:tab w:val="clear" w:pos="360"/>
      </w:tabs>
      <w:spacing w:before="0" w:beforeLines="0" w:after="0" w:afterLines="0"/>
    </w:pPr>
    <w:rPr>
      <w:rFonts w:ascii="宋体" w:eastAsia="宋体"/>
      <w:szCs w:val="21"/>
    </w:rPr>
  </w:style>
  <w:style w:type="paragraph" w:customStyle="1" w:styleId="96">
    <w:name w:val="附录公式"/>
    <w:basedOn w:val="27"/>
    <w:next w:val="27"/>
    <w:link w:val="97"/>
    <w:qFormat/>
    <w:uiPriority w:val="0"/>
  </w:style>
  <w:style w:type="character" w:customStyle="1" w:styleId="97">
    <w:name w:val="附录公式 Char"/>
    <w:basedOn w:val="47"/>
    <w:link w:val="96"/>
    <w:qFormat/>
    <w:uiPriority w:val="0"/>
    <w:rPr>
      <w:rFonts w:ascii="宋体"/>
      <w:sz w:val="21"/>
      <w:lang w:val="en-US" w:eastAsia="zh-CN" w:bidi="ar-SA"/>
    </w:rPr>
  </w:style>
  <w:style w:type="paragraph" w:customStyle="1" w:styleId="98">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4"/>
    <w:next w:val="27"/>
    <w:qFormat/>
    <w:uiPriority w:val="0"/>
    <w:pPr>
      <w:numPr>
        <w:ilvl w:val="4"/>
      </w:numPr>
      <w:outlineLvl w:val="4"/>
    </w:pPr>
  </w:style>
  <w:style w:type="paragraph" w:customStyle="1" w:styleId="100">
    <w:name w:val="附录三级无"/>
    <w:basedOn w:val="99"/>
    <w:qFormat/>
    <w:uiPriority w:val="0"/>
    <w:pPr>
      <w:tabs>
        <w:tab w:val="clear" w:pos="360"/>
      </w:tabs>
      <w:spacing w:before="0" w:beforeLines="0" w:after="0" w:afterLines="0"/>
    </w:pPr>
    <w:rPr>
      <w:rFonts w:ascii="宋体" w:eastAsia="宋体"/>
      <w:szCs w:val="21"/>
    </w:rPr>
  </w:style>
  <w:style w:type="paragraph" w:customStyle="1" w:styleId="10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2">
    <w:name w:val="附录四级条标题"/>
    <w:basedOn w:val="99"/>
    <w:next w:val="27"/>
    <w:qFormat/>
    <w:uiPriority w:val="0"/>
    <w:pPr>
      <w:numPr>
        <w:ilvl w:val="5"/>
      </w:numPr>
      <w:outlineLvl w:val="5"/>
    </w:pPr>
  </w:style>
  <w:style w:type="paragraph" w:customStyle="1" w:styleId="103">
    <w:name w:val="附录四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5">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6">
    <w:name w:val="附录五级条标题"/>
    <w:basedOn w:val="102"/>
    <w:next w:val="27"/>
    <w:qFormat/>
    <w:uiPriority w:val="0"/>
    <w:pPr>
      <w:numPr>
        <w:ilvl w:val="6"/>
      </w:numPr>
      <w:outlineLvl w:val="6"/>
    </w:pPr>
  </w:style>
  <w:style w:type="paragraph" w:customStyle="1" w:styleId="107">
    <w:name w:val="附录五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7"/>
    <w:qFormat/>
    <w:uiPriority w:val="0"/>
    <w:pPr>
      <w:numPr>
        <w:ilvl w:val="2"/>
      </w:numPr>
      <w:tabs>
        <w:tab w:val="left" w:pos="360"/>
      </w:tabs>
      <w:autoSpaceDN w:val="0"/>
      <w:spacing w:before="50" w:beforeLines="50" w:after="50" w:afterLines="50"/>
      <w:outlineLvl w:val="2"/>
    </w:pPr>
  </w:style>
  <w:style w:type="paragraph" w:customStyle="1" w:styleId="110">
    <w:name w:val="附录一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2"/>
    <w:qFormat/>
    <w:uiPriority w:val="0"/>
    <w:pPr>
      <w:framePr w:w="6101" w:wrap="around" w:vAnchor="page" w:hAnchor="page" w:x="4673" w:y="942"/>
    </w:pPr>
    <w:rPr>
      <w:w w:val="130"/>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0"/>
    <w:qFormat/>
    <w:uiPriority w:val="0"/>
    <w:pPr>
      <w:framePr w:wrap="around" w:y="15310"/>
      <w:spacing w:line="0" w:lineRule="atLeast"/>
    </w:pPr>
    <w:rPr>
      <w:rFonts w:ascii="黑体" w:eastAsia="黑体"/>
      <w:b w:val="0"/>
    </w:rPr>
  </w:style>
  <w:style w:type="paragraph" w:customStyle="1" w:styleId="118">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7"/>
    <w:qFormat/>
    <w:uiPriority w:val="0"/>
    <w:pPr>
      <w:spacing w:before="0" w:beforeLines="0" w:after="0" w:afterLines="0"/>
    </w:pPr>
    <w:rPr>
      <w:rFonts w:ascii="宋体" w:eastAsia="宋体"/>
    </w:rPr>
  </w:style>
  <w:style w:type="paragraph" w:customStyle="1" w:styleId="120">
    <w:name w:val="实施日期"/>
    <w:basedOn w:val="81"/>
    <w:qFormat/>
    <w:uiPriority w:val="0"/>
    <w:pPr>
      <w:framePr w:wrap="around" w:vAnchor="page" w:hAnchor="text"/>
      <w:jc w:val="right"/>
    </w:pPr>
  </w:style>
  <w:style w:type="paragraph" w:customStyle="1" w:styleId="121">
    <w:name w:val="示例后文字"/>
    <w:basedOn w:val="27"/>
    <w:next w:val="27"/>
    <w:qFormat/>
    <w:uiPriority w:val="0"/>
    <w:pPr>
      <w:ind w:firstLine="360"/>
    </w:pPr>
    <w:rPr>
      <w:sz w:val="18"/>
    </w:rPr>
  </w:style>
  <w:style w:type="paragraph" w:customStyle="1" w:styleId="122">
    <w:name w:val="首示例"/>
    <w:next w:val="27"/>
    <w:link w:val="123"/>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3">
    <w:name w:val="首示例 Char"/>
    <w:link w:val="122"/>
    <w:qFormat/>
    <w:uiPriority w:val="0"/>
    <w:rPr>
      <w:rFonts w:ascii="宋体" w:hAnsi="宋体"/>
      <w:kern w:val="2"/>
      <w:sz w:val="18"/>
      <w:szCs w:val="18"/>
      <w:lang w:val="en-US" w:eastAsia="zh-CN" w:bidi="ar-SA"/>
    </w:rPr>
  </w:style>
  <w:style w:type="paragraph" w:customStyle="1" w:styleId="124">
    <w:name w:val="四级无"/>
    <w:basedOn w:val="61"/>
    <w:qFormat/>
    <w:uiPriority w:val="0"/>
    <w:pPr>
      <w:spacing w:before="0" w:beforeLines="0" w:after="0" w:afterLines="0"/>
    </w:pPr>
    <w:rPr>
      <w:rFonts w:ascii="宋体" w:eastAsia="宋体"/>
    </w:rPr>
  </w:style>
  <w:style w:type="paragraph" w:customStyle="1" w:styleId="125">
    <w:name w:val="条文脚注"/>
    <w:basedOn w:val="28"/>
    <w:qFormat/>
    <w:uiPriority w:val="0"/>
    <w:pPr>
      <w:numPr>
        <w:numId w:val="0"/>
      </w:numPr>
      <w:jc w:val="both"/>
    </w:pPr>
  </w:style>
  <w:style w:type="paragraph" w:customStyle="1" w:styleId="126">
    <w:name w:val="图标脚注说明"/>
    <w:basedOn w:val="27"/>
    <w:qFormat/>
    <w:uiPriority w:val="0"/>
    <w:pPr>
      <w:ind w:left="840" w:hanging="420" w:firstLineChars="0"/>
    </w:pPr>
    <w:rPr>
      <w:sz w:val="18"/>
      <w:szCs w:val="18"/>
    </w:rPr>
  </w:style>
  <w:style w:type="paragraph" w:customStyle="1" w:styleId="127">
    <w:name w:val="图表脚注说明"/>
    <w:basedOn w:val="1"/>
    <w:qFormat/>
    <w:uiPriority w:val="0"/>
    <w:pPr>
      <w:numPr>
        <w:ilvl w:val="0"/>
        <w:numId w:val="16"/>
      </w:numPr>
    </w:pPr>
    <w:rPr>
      <w:rFonts w:ascii="宋体"/>
      <w:sz w:val="18"/>
      <w:szCs w:val="18"/>
    </w:rPr>
  </w:style>
  <w:style w:type="paragraph" w:customStyle="1" w:styleId="128">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62"/>
    <w:qFormat/>
    <w:uiPriority w:val="0"/>
    <w:pPr>
      <w:spacing w:before="0" w:beforeLines="0" w:after="0" w:afterLines="0"/>
    </w:pPr>
    <w:rPr>
      <w:rFonts w:ascii="宋体" w:eastAsia="宋体"/>
    </w:rPr>
  </w:style>
  <w:style w:type="paragraph" w:customStyle="1" w:styleId="131">
    <w:name w:val="一级无"/>
    <w:basedOn w:val="48"/>
    <w:qFormat/>
    <w:uiPriority w:val="0"/>
    <w:pPr>
      <w:spacing w:before="0" w:beforeLines="0" w:after="0" w:afterLines="0"/>
    </w:pPr>
    <w:rPr>
      <w:rFonts w:ascii="宋体" w:eastAsia="宋体"/>
    </w:rPr>
  </w:style>
  <w:style w:type="paragraph" w:customStyle="1" w:styleId="132">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正文公式编号制表符"/>
    <w:basedOn w:val="27"/>
    <w:next w:val="27"/>
    <w:qFormat/>
    <w:uiPriority w:val="0"/>
    <w:pPr>
      <w:ind w:firstLine="0" w:firstLineChars="0"/>
    </w:pPr>
  </w:style>
  <w:style w:type="paragraph" w:customStyle="1" w:styleId="134">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其他发布日期"/>
    <w:basedOn w:val="81"/>
    <w:qFormat/>
    <w:uiPriority w:val="0"/>
    <w:pPr>
      <w:framePr w:wrap="around" w:vAnchor="page" w:hAnchor="text" w:x="1419"/>
    </w:pPr>
  </w:style>
  <w:style w:type="paragraph" w:customStyle="1" w:styleId="137">
    <w:name w:val="其他实施日期"/>
    <w:basedOn w:val="120"/>
    <w:qFormat/>
    <w:uiPriority w:val="0"/>
    <w:pPr>
      <w:framePr w:wrap="around"/>
    </w:pPr>
  </w:style>
  <w:style w:type="paragraph" w:customStyle="1" w:styleId="138">
    <w:name w:val="封面标准名称2"/>
    <w:basedOn w:val="84"/>
    <w:qFormat/>
    <w:uiPriority w:val="0"/>
    <w:pPr>
      <w:framePr w:wrap="around" w:y="4469"/>
      <w:spacing w:before="630" w:beforeLines="630"/>
    </w:pPr>
  </w:style>
  <w:style w:type="paragraph" w:customStyle="1" w:styleId="139">
    <w:name w:val="封面标准英文名称2"/>
    <w:basedOn w:val="85"/>
    <w:qFormat/>
    <w:uiPriority w:val="0"/>
    <w:pPr>
      <w:framePr w:wrap="around" w:y="4469"/>
    </w:pPr>
  </w:style>
  <w:style w:type="paragraph" w:customStyle="1" w:styleId="140">
    <w:name w:val="封面一致性程度标识2"/>
    <w:basedOn w:val="86"/>
    <w:qFormat/>
    <w:uiPriority w:val="0"/>
    <w:pPr>
      <w:framePr w:wrap="around" w:y="4469"/>
    </w:pPr>
  </w:style>
  <w:style w:type="paragraph" w:customStyle="1" w:styleId="141">
    <w:name w:val="封面标准文稿类别2"/>
    <w:basedOn w:val="87"/>
    <w:qFormat/>
    <w:uiPriority w:val="0"/>
    <w:pPr>
      <w:framePr w:wrap="around" w:y="4469"/>
    </w:pPr>
  </w:style>
  <w:style w:type="paragraph" w:customStyle="1" w:styleId="142">
    <w:name w:val="封面标准文稿编辑信息2"/>
    <w:basedOn w:val="88"/>
    <w:qFormat/>
    <w:uiPriority w:val="0"/>
    <w:pPr>
      <w:framePr w:wrap="around" w:y="4469"/>
    </w:pPr>
  </w:style>
  <w:style w:type="paragraph" w:customStyle="1" w:styleId="143">
    <w:name w:val="字元 字元 Char Char Char Char Char Char Char"/>
    <w:basedOn w:val="1"/>
    <w:qFormat/>
    <w:uiPriority w:val="0"/>
    <w:rPr>
      <w:rFonts w:ascii="宋体"/>
      <w:sz w:val="24"/>
    </w:rPr>
  </w:style>
  <w:style w:type="character" w:customStyle="1" w:styleId="144">
    <w:name w:val="标题 1 字符"/>
    <w:link w:val="2"/>
    <w:qFormat/>
    <w:uiPriority w:val="0"/>
    <w:rPr>
      <w:b/>
      <w:bCs/>
      <w:kern w:val="44"/>
      <w:sz w:val="28"/>
      <w:szCs w:val="44"/>
      <w:lang w:val="zh-CN" w:eastAsia="zh-CN"/>
    </w:rPr>
  </w:style>
  <w:style w:type="character" w:customStyle="1" w:styleId="145">
    <w:name w:val="标题 2 字符"/>
    <w:link w:val="3"/>
    <w:qFormat/>
    <w:uiPriority w:val="0"/>
    <w:rPr>
      <w:rFonts w:ascii="Cambria" w:hAnsi="Cambria"/>
      <w:b/>
      <w:bCs/>
      <w:sz w:val="32"/>
      <w:szCs w:val="32"/>
      <w:lang w:val="zh-CN" w:eastAsia="zh-CN"/>
    </w:rPr>
  </w:style>
  <w:style w:type="character" w:customStyle="1" w:styleId="146">
    <w:name w:val="标题 3 字符"/>
    <w:link w:val="4"/>
    <w:qFormat/>
    <w:uiPriority w:val="0"/>
    <w:rPr>
      <w:b/>
      <w:color w:val="000000"/>
      <w:sz w:val="28"/>
      <w:szCs w:val="24"/>
      <w:lang w:val="zh-CN" w:eastAsia="zh-CN"/>
    </w:rPr>
  </w:style>
  <w:style w:type="character" w:customStyle="1" w:styleId="147">
    <w:name w:val="标题 4 字符"/>
    <w:link w:val="5"/>
    <w:qFormat/>
    <w:uiPriority w:val="0"/>
    <w:rPr>
      <w:b/>
      <w:bCs/>
      <w:color w:val="000000"/>
      <w:sz w:val="28"/>
      <w:szCs w:val="24"/>
      <w:lang w:val="zh-CN" w:eastAsia="zh-CN"/>
    </w:rPr>
  </w:style>
  <w:style w:type="paragraph" w:customStyle="1" w:styleId="148">
    <w:name w:val="振文"/>
    <w:basedOn w:val="1"/>
    <w:link w:val="149"/>
    <w:qFormat/>
    <w:uiPriority w:val="0"/>
    <w:pPr>
      <w:spacing w:line="480" w:lineRule="exact"/>
      <w:ind w:firstLine="480" w:firstLineChars="200"/>
    </w:pPr>
    <w:rPr>
      <w:rFonts w:ascii="宋体" w:hAnsi="宋体"/>
      <w:color w:val="000000"/>
      <w:sz w:val="24"/>
      <w:szCs w:val="28"/>
      <w:lang w:val="zh-CN"/>
    </w:rPr>
  </w:style>
  <w:style w:type="character" w:customStyle="1" w:styleId="149">
    <w:name w:val="振文 Char"/>
    <w:link w:val="148"/>
    <w:qFormat/>
    <w:uiPriority w:val="0"/>
    <w:rPr>
      <w:rFonts w:ascii="宋体" w:hAnsi="宋体"/>
      <w:color w:val="000000"/>
      <w:kern w:val="2"/>
      <w:sz w:val="24"/>
      <w:szCs w:val="28"/>
      <w:lang w:val="zh-CN" w:eastAsia="zh-CN"/>
    </w:rPr>
  </w:style>
  <w:style w:type="character" w:customStyle="1" w:styleId="150">
    <w:name w:val="文档结构图 字符"/>
    <w:link w:val="10"/>
    <w:semiHidden/>
    <w:qFormat/>
    <w:uiPriority w:val="99"/>
    <w:rPr>
      <w:kern w:val="2"/>
      <w:sz w:val="21"/>
      <w:szCs w:val="24"/>
      <w:shd w:val="clear" w:color="auto" w:fill="000080"/>
    </w:rPr>
  </w:style>
  <w:style w:type="character" w:customStyle="1" w:styleId="151">
    <w:name w:val="日期 Char1"/>
    <w:qFormat/>
    <w:uiPriority w:val="0"/>
    <w:rPr>
      <w:kern w:val="2"/>
      <w:sz w:val="21"/>
      <w:szCs w:val="24"/>
    </w:rPr>
  </w:style>
  <w:style w:type="character" w:customStyle="1" w:styleId="152">
    <w:name w:val="批注主题 字符"/>
    <w:link w:val="36"/>
    <w:qFormat/>
    <w:uiPriority w:val="0"/>
    <w:rPr>
      <w:rFonts w:ascii="Calibri" w:hAnsi="Calibri"/>
      <w:b/>
      <w:bCs/>
      <w:color w:val="000000"/>
      <w:sz w:val="24"/>
    </w:rPr>
  </w:style>
  <w:style w:type="character" w:customStyle="1" w:styleId="153">
    <w:name w:val="页眉 字符"/>
    <w:link w:val="22"/>
    <w:qFormat/>
    <w:uiPriority w:val="99"/>
    <w:rPr>
      <w:kern w:val="2"/>
      <w:sz w:val="18"/>
      <w:szCs w:val="18"/>
    </w:rPr>
  </w:style>
  <w:style w:type="character" w:customStyle="1" w:styleId="154">
    <w:name w:val="日期 字符"/>
    <w:link w:val="18"/>
    <w:qFormat/>
    <w:uiPriority w:val="99"/>
    <w:rPr>
      <w:szCs w:val="22"/>
    </w:rPr>
  </w:style>
  <w:style w:type="character" w:customStyle="1" w:styleId="155">
    <w:name w:val="页脚 字符"/>
    <w:link w:val="21"/>
    <w:qFormat/>
    <w:uiPriority w:val="0"/>
    <w:rPr>
      <w:kern w:val="2"/>
      <w:sz w:val="18"/>
      <w:szCs w:val="18"/>
    </w:rPr>
  </w:style>
  <w:style w:type="character" w:customStyle="1" w:styleId="156">
    <w:name w:val="批注文字 字符"/>
    <w:link w:val="11"/>
    <w:qFormat/>
    <w:uiPriority w:val="0"/>
    <w:rPr>
      <w:rFonts w:ascii="Calibri" w:hAnsi="Calibri"/>
      <w:sz w:val="24"/>
    </w:rPr>
  </w:style>
  <w:style w:type="character" w:customStyle="1" w:styleId="157">
    <w:name w:val="标题 字符"/>
    <w:link w:val="35"/>
    <w:qFormat/>
    <w:uiPriority w:val="0"/>
    <w:rPr>
      <w:rFonts w:ascii="Arial" w:hAnsi="Arial"/>
      <w:b/>
      <w:sz w:val="30"/>
    </w:rPr>
  </w:style>
  <w:style w:type="character" w:customStyle="1" w:styleId="158">
    <w:name w:val="批注框文本 字符"/>
    <w:link w:val="20"/>
    <w:qFormat/>
    <w:uiPriority w:val="0"/>
    <w:rPr>
      <w:rFonts w:ascii="Calibri" w:hAnsi="Calibri"/>
      <w:color w:val="000000"/>
      <w:sz w:val="18"/>
      <w:szCs w:val="18"/>
    </w:rPr>
  </w:style>
  <w:style w:type="character" w:customStyle="1" w:styleId="159">
    <w:name w:val="批注文字 Char1"/>
    <w:qFormat/>
    <w:uiPriority w:val="0"/>
    <w:rPr>
      <w:kern w:val="2"/>
      <w:sz w:val="21"/>
      <w:szCs w:val="24"/>
    </w:rPr>
  </w:style>
  <w:style w:type="character" w:customStyle="1" w:styleId="160">
    <w:name w:val="批注框文本 Char1"/>
    <w:qFormat/>
    <w:uiPriority w:val="0"/>
    <w:rPr>
      <w:kern w:val="2"/>
      <w:sz w:val="18"/>
      <w:szCs w:val="18"/>
    </w:rPr>
  </w:style>
  <w:style w:type="character" w:customStyle="1" w:styleId="161">
    <w:name w:val="批注主题 Char1"/>
    <w:qFormat/>
    <w:uiPriority w:val="0"/>
    <w:rPr>
      <w:b/>
      <w:bCs/>
      <w:kern w:val="2"/>
      <w:sz w:val="21"/>
      <w:szCs w:val="24"/>
    </w:rPr>
  </w:style>
  <w:style w:type="character" w:customStyle="1" w:styleId="162">
    <w:name w:val="日期 Char2"/>
    <w:qFormat/>
    <w:uiPriority w:val="0"/>
    <w:rPr>
      <w:kern w:val="2"/>
      <w:sz w:val="21"/>
      <w:szCs w:val="24"/>
    </w:rPr>
  </w:style>
  <w:style w:type="character" w:customStyle="1" w:styleId="163">
    <w:name w:val="标题 Char1"/>
    <w:qFormat/>
    <w:uiPriority w:val="0"/>
    <w:rPr>
      <w:rFonts w:ascii="Cambria" w:hAnsi="Cambria" w:cs="Times New Roman"/>
      <w:b/>
      <w:bCs/>
      <w:kern w:val="2"/>
      <w:sz w:val="32"/>
      <w:szCs w:val="32"/>
    </w:rPr>
  </w:style>
  <w:style w:type="paragraph" w:customStyle="1" w:styleId="164">
    <w:name w:val="网格型8-表格内容-左对齐"/>
    <w:basedOn w:val="1"/>
    <w:qFormat/>
    <w:uiPriority w:val="0"/>
    <w:pPr>
      <w:spacing w:line="288" w:lineRule="auto"/>
    </w:pPr>
    <w:rPr>
      <w:sz w:val="24"/>
      <w:szCs w:val="18"/>
    </w:rPr>
  </w:style>
  <w:style w:type="paragraph" w:styleId="165">
    <w:name w:val="List Paragraph"/>
    <w:basedOn w:val="1"/>
    <w:qFormat/>
    <w:uiPriority w:val="34"/>
    <w:pPr>
      <w:topLinePunct/>
      <w:spacing w:beforeLines="20" w:line="288" w:lineRule="auto"/>
      <w:ind w:firstLine="420" w:firstLineChars="200"/>
      <w:jc w:val="left"/>
    </w:pPr>
    <w:rPr>
      <w:rFonts w:ascii="Calibri" w:hAnsi="Calibri"/>
      <w:color w:val="000000"/>
      <w:sz w:val="24"/>
      <w:szCs w:val="21"/>
    </w:rPr>
  </w:style>
  <w:style w:type="paragraph" w:customStyle="1" w:styleId="166">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7">
    <w:name w:val="_Style 12"/>
    <w:basedOn w:val="1"/>
    <w:qFormat/>
    <w:uiPriority w:val="34"/>
    <w:pPr>
      <w:ind w:firstLine="420" w:firstLineChars="200"/>
    </w:pPr>
    <w:rPr>
      <w:rFonts w:ascii="Calibri" w:hAnsi="Calibri"/>
      <w:sz w:val="24"/>
    </w:rPr>
  </w:style>
  <w:style w:type="paragraph" w:customStyle="1" w:styleId="168">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69">
    <w:name w:val="页脚格式"/>
    <w:basedOn w:val="1"/>
    <w:qFormat/>
    <w:uiPriority w:val="0"/>
    <w:pPr>
      <w:topLinePunct/>
      <w:spacing w:line="288" w:lineRule="auto"/>
      <w:jc w:val="left"/>
    </w:pPr>
    <w:rPr>
      <w:rFonts w:ascii="Calibri" w:hAnsi="Calibri"/>
      <w:color w:val="000000"/>
      <w:sz w:val="18"/>
      <w:szCs w:val="18"/>
    </w:rPr>
  </w:style>
  <w:style w:type="paragraph" w:customStyle="1" w:styleId="170">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1">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3">
    <w:name w:val="表格文字"/>
    <w:basedOn w:val="1"/>
    <w:qFormat/>
    <w:uiPriority w:val="0"/>
    <w:pPr>
      <w:snapToGrid w:val="0"/>
      <w:jc w:val="center"/>
    </w:pPr>
    <w:rPr>
      <w:rFonts w:cs="宋体"/>
      <w:szCs w:val="20"/>
    </w:rPr>
  </w:style>
  <w:style w:type="paragraph" w:customStyle="1" w:styleId="174">
    <w:name w:val="列出段落1"/>
    <w:basedOn w:val="1"/>
    <w:qFormat/>
    <w:uiPriority w:val="34"/>
    <w:pPr>
      <w:ind w:firstLine="420" w:firstLineChars="200"/>
    </w:pPr>
  </w:style>
  <w:style w:type="paragraph" w:customStyle="1" w:styleId="175">
    <w:name w:val="联演正文"/>
    <w:basedOn w:val="1"/>
    <w:link w:val="176"/>
    <w:qFormat/>
    <w:uiPriority w:val="0"/>
    <w:pPr>
      <w:tabs>
        <w:tab w:val="left" w:pos="540"/>
        <w:tab w:val="left" w:pos="720"/>
      </w:tabs>
      <w:spacing w:line="360" w:lineRule="auto"/>
      <w:ind w:right="-147" w:rightChars="-70" w:firstLine="720"/>
      <w:jc w:val="left"/>
    </w:pPr>
    <w:rPr>
      <w:rFonts w:ascii="仿宋_GB2312" w:hAnsi="宋体" w:eastAsia="仿宋_GB2312"/>
      <w:sz w:val="28"/>
      <w:szCs w:val="28"/>
      <w:lang w:val="zh-CN"/>
    </w:rPr>
  </w:style>
  <w:style w:type="character" w:customStyle="1" w:styleId="176">
    <w:name w:val="联演正文 Char"/>
    <w:link w:val="175"/>
    <w:qFormat/>
    <w:uiPriority w:val="0"/>
    <w:rPr>
      <w:rFonts w:ascii="仿宋_GB2312" w:hAnsi="宋体" w:eastAsia="仿宋_GB2312"/>
      <w:kern w:val="2"/>
      <w:sz w:val="28"/>
      <w:szCs w:val="28"/>
    </w:rPr>
  </w:style>
  <w:style w:type="paragraph" w:customStyle="1" w:styleId="17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3986-9A00-4763-9C32-70652D4C63A5}">
  <ds:schemaRefs/>
</ds:datastoreItem>
</file>

<file path=docProps/app.xml><?xml version="1.0" encoding="utf-8"?>
<Properties xmlns="http://schemas.openxmlformats.org/officeDocument/2006/extended-properties" xmlns:vt="http://schemas.openxmlformats.org/officeDocument/2006/docPropsVTypes">
  <Template>Normal.dotm</Template>
  <Company>crec</Company>
  <Pages>10</Pages>
  <Words>8374</Words>
  <Characters>8575</Characters>
  <Lines>61</Lines>
  <Paragraphs>17</Paragraphs>
  <TotalTime>170</TotalTime>
  <ScaleCrop>false</ScaleCrop>
  <LinksUpToDate>false</LinksUpToDate>
  <CharactersWithSpaces>8619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2025-06-16T06:50:00Z</dcterms:created>
  <dc:creator>CNIS</dc:creator>
  <cp:lastModifiedBy>张然</cp:lastModifiedBy>
  <cp:lastPrinted>2021-06-30T06:13:00Z</cp:lastPrinted>
  <dcterms:modified xsi:type="dcterms:W3CDTF">2025-11-13T11:23:26Z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270AC5CB2BD942538C77F9ADF3E06B11_13</vt:lpwstr>
  </property>
  <property fmtid="{D5CDD505-2E9C-101B-9397-08002B2CF9AE}" pid="4" name="KSOTemplateDocerSaveRecord">
    <vt:lpwstr>eyJoZGlkIjoiMDAwNTg5Yzg4YzllZTNjNjcwNjM0ZmI4N2IyZTY5YTEiLCJ1c2VySWQiOiIyNzE4MTc2NiJ9</vt:lpwstr>
  </property>
</Properties>
</file>