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292" w:type="pct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3263"/>
        <w:gridCol w:w="2687"/>
      </w:tblGrid>
      <w:tr w:rsidR="00917AE6" w14:paraId="0C607DC5" w14:textId="77777777" w:rsidTr="00B7707E">
        <w:trPr>
          <w:trHeight w:val="567"/>
        </w:trPr>
        <w:tc>
          <w:tcPr>
            <w:tcW w:w="886" w:type="pct"/>
            <w:vAlign w:val="center"/>
          </w:tcPr>
          <w:p w14:paraId="5E3EC3DD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08</w:t>
            </w:r>
            <w:r>
              <w:rPr>
                <w:rFonts w:eastAsia="仿宋_GB2312"/>
                <w:color w:val="000000"/>
                <w:kern w:val="0"/>
                <w:sz w:val="24"/>
              </w:rPr>
              <w:t>:00-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09</w:t>
            </w:r>
            <w:r>
              <w:rPr>
                <w:rFonts w:eastAsia="仿宋_GB2312"/>
                <w:color w:val="000000"/>
                <w:kern w:val="0"/>
                <w:sz w:val="24"/>
              </w:rPr>
              <w:t>: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0</w:t>
            </w:r>
            <w:r>
              <w:rPr>
                <w:rFonts w:eastAsia="仿宋_GB2312"/>
                <w:color w:val="000000"/>
                <w:kern w:val="0"/>
                <w:sz w:val="24"/>
              </w:rPr>
              <w:t>0</w:t>
            </w:r>
          </w:p>
        </w:tc>
        <w:tc>
          <w:tcPr>
            <w:tcW w:w="726" w:type="pct"/>
            <w:vAlign w:val="center"/>
          </w:tcPr>
          <w:p w14:paraId="28ECEF7F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会议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签到</w:t>
            </w:r>
          </w:p>
        </w:tc>
        <w:tc>
          <w:tcPr>
            <w:tcW w:w="3388" w:type="pct"/>
            <w:gridSpan w:val="2"/>
            <w:vAlign w:val="center"/>
          </w:tcPr>
          <w:p w14:paraId="24AC986E" w14:textId="77777777" w:rsidR="00917AE6" w:rsidRDefault="00917AE6">
            <w:pPr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917AE6" w14:paraId="746AB73A" w14:textId="77777777">
        <w:trPr>
          <w:trHeight w:val="633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6CC59ED1" w14:textId="77777777" w:rsidR="00917AE6" w:rsidRDefault="0033767E">
            <w:pPr>
              <w:adjustRightInd w:val="0"/>
              <w:snapToGrid w:val="0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一、</w:t>
            </w:r>
            <w:r>
              <w:rPr>
                <w:rFonts w:eastAsia="黑体" w:hint="eastAsia"/>
                <w:color w:val="000000"/>
                <w:kern w:val="0"/>
                <w:sz w:val="24"/>
              </w:rPr>
              <w:t>开幕式</w:t>
            </w:r>
          </w:p>
        </w:tc>
      </w:tr>
      <w:tr w:rsidR="00917AE6" w14:paraId="6A328A4D" w14:textId="77777777" w:rsidTr="00B7707E">
        <w:trPr>
          <w:trHeight w:val="501"/>
        </w:trPr>
        <w:tc>
          <w:tcPr>
            <w:tcW w:w="886" w:type="pct"/>
            <w:vMerge w:val="restart"/>
            <w:vAlign w:val="center"/>
          </w:tcPr>
          <w:p w14:paraId="3D041D4A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09</w:t>
            </w:r>
            <w:r>
              <w:rPr>
                <w:rFonts w:eastAsia="仿宋_GB2312"/>
                <w:kern w:val="0"/>
                <w:sz w:val="24"/>
              </w:rPr>
              <w:t>:</w:t>
            </w:r>
            <w:r>
              <w:rPr>
                <w:rFonts w:eastAsia="仿宋_GB2312" w:hint="eastAsia"/>
                <w:kern w:val="0"/>
                <w:sz w:val="24"/>
              </w:rPr>
              <w:t>0</w:t>
            </w:r>
            <w:r>
              <w:rPr>
                <w:rFonts w:eastAsia="仿宋_GB2312"/>
                <w:kern w:val="0"/>
                <w:sz w:val="24"/>
              </w:rPr>
              <w:t>0-</w:t>
            </w:r>
            <w:r>
              <w:rPr>
                <w:rFonts w:eastAsia="仿宋_GB2312" w:hint="eastAsia"/>
                <w:kern w:val="0"/>
                <w:sz w:val="24"/>
              </w:rPr>
              <w:t>09</w:t>
            </w:r>
            <w:r>
              <w:rPr>
                <w:rFonts w:eastAsia="仿宋_GB2312"/>
                <w:kern w:val="0"/>
                <w:sz w:val="24"/>
              </w:rPr>
              <w:t>:</w:t>
            </w:r>
            <w:r>
              <w:rPr>
                <w:rFonts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726" w:type="pct"/>
            <w:vAlign w:val="center"/>
          </w:tcPr>
          <w:p w14:paraId="61E4650A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主持人</w:t>
            </w:r>
          </w:p>
        </w:tc>
        <w:tc>
          <w:tcPr>
            <w:tcW w:w="3388" w:type="pct"/>
            <w:gridSpan w:val="2"/>
            <w:vAlign w:val="center"/>
          </w:tcPr>
          <w:p w14:paraId="12052393" w14:textId="77777777" w:rsidR="00917AE6" w:rsidRDefault="0033767E">
            <w:pPr>
              <w:adjustRightInd w:val="0"/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 w:hint="eastAsia"/>
                <w:kern w:val="0"/>
                <w:sz w:val="24"/>
              </w:rPr>
              <w:t>陈尘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北极星总编</w:t>
            </w:r>
          </w:p>
        </w:tc>
      </w:tr>
      <w:tr w:rsidR="00917AE6" w14:paraId="54C710AE" w14:textId="77777777" w:rsidTr="00B7707E">
        <w:trPr>
          <w:trHeight w:val="567"/>
        </w:trPr>
        <w:tc>
          <w:tcPr>
            <w:tcW w:w="886" w:type="pct"/>
            <w:vMerge/>
            <w:vAlign w:val="center"/>
          </w:tcPr>
          <w:p w14:paraId="2FF0AC40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26" w:type="pct"/>
            <w:vMerge w:val="restart"/>
            <w:vAlign w:val="center"/>
          </w:tcPr>
          <w:p w14:paraId="3F0CEBE4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致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辞</w:t>
            </w:r>
          </w:p>
        </w:tc>
        <w:tc>
          <w:tcPr>
            <w:tcW w:w="3388" w:type="pct"/>
            <w:gridSpan w:val="2"/>
            <w:vAlign w:val="center"/>
          </w:tcPr>
          <w:p w14:paraId="6DC25F18" w14:textId="77777777" w:rsidR="00917AE6" w:rsidRDefault="0033767E">
            <w:pPr>
              <w:adjustRightInd w:val="0"/>
              <w:snapToGrid w:val="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ascii="仿宋" w:eastAsia="仿宋" w:hAnsi="仿宋" w:cs="仿宋"/>
                <w:kern w:val="0"/>
                <w:sz w:val="24"/>
              </w:rPr>
              <w:t>康重庆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  <w:sz w:val="24"/>
              </w:rPr>
              <w:t>中国能源研究会虚拟电厂专委会主任委员、清华大学电机系主任</w:t>
            </w:r>
          </w:p>
        </w:tc>
      </w:tr>
      <w:tr w:rsidR="00917AE6" w14:paraId="27AC2D3A" w14:textId="77777777" w:rsidTr="00B7707E">
        <w:trPr>
          <w:trHeight w:val="463"/>
        </w:trPr>
        <w:tc>
          <w:tcPr>
            <w:tcW w:w="886" w:type="pct"/>
            <w:vMerge/>
            <w:vAlign w:val="center"/>
          </w:tcPr>
          <w:p w14:paraId="73D7D1E1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399B8971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3388" w:type="pct"/>
            <w:gridSpan w:val="2"/>
            <w:vAlign w:val="center"/>
          </w:tcPr>
          <w:p w14:paraId="1EF492B0" w14:textId="77777777" w:rsidR="00917AE6" w:rsidRDefault="0033767E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周荃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北极星总裁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/>
                <w:kern w:val="0"/>
                <w:sz w:val="24"/>
              </w:rPr>
              <w:t>中国能源研究会虚拟电厂专委会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秘书长</w:t>
            </w:r>
          </w:p>
        </w:tc>
      </w:tr>
      <w:tr w:rsidR="00917AE6" w14:paraId="404BB845" w14:textId="77777777">
        <w:trPr>
          <w:trHeight w:val="558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40F98AB9" w14:textId="77777777" w:rsidR="00917AE6" w:rsidRDefault="0033767E">
            <w:pPr>
              <w:adjustRightInd w:val="0"/>
              <w:snapToGrid w:val="0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二、主旨报告</w:t>
            </w:r>
          </w:p>
        </w:tc>
      </w:tr>
      <w:tr w:rsidR="00917AE6" w14:paraId="0BB75899" w14:textId="77777777">
        <w:trPr>
          <w:trHeight w:val="445"/>
        </w:trPr>
        <w:tc>
          <w:tcPr>
            <w:tcW w:w="5000" w:type="pct"/>
            <w:gridSpan w:val="4"/>
            <w:vAlign w:val="center"/>
          </w:tcPr>
          <w:p w14:paraId="28FC1FD1" w14:textId="77777777" w:rsidR="00917AE6" w:rsidRDefault="0033767E"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lang w:bidi="ar"/>
              </w:rPr>
              <w:t>主题：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32"/>
              </w:rPr>
              <w:t>聚能生态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32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  <w:szCs w:val="32"/>
              </w:rPr>
              <w:t>电链未来</w:t>
            </w:r>
            <w:proofErr w:type="gramEnd"/>
          </w:p>
        </w:tc>
      </w:tr>
      <w:tr w:rsidR="00917AE6" w14:paraId="4209BD22" w14:textId="77777777" w:rsidTr="00B7707E">
        <w:trPr>
          <w:trHeight w:val="419"/>
        </w:trPr>
        <w:tc>
          <w:tcPr>
            <w:tcW w:w="886" w:type="pct"/>
            <w:vMerge w:val="restart"/>
            <w:vAlign w:val="center"/>
          </w:tcPr>
          <w:p w14:paraId="13CE9D8E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09</w:t>
            </w:r>
            <w:r>
              <w:rPr>
                <w:rFonts w:eastAsia="仿宋_GB2312"/>
                <w:color w:val="000000"/>
                <w:kern w:val="0"/>
                <w:sz w:val="24"/>
              </w:rPr>
              <w:t>: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30</w:t>
            </w:r>
            <w:r>
              <w:rPr>
                <w:rFonts w:eastAsia="仿宋_GB2312"/>
                <w:color w:val="000000"/>
                <w:kern w:val="0"/>
                <w:sz w:val="24"/>
              </w:rPr>
              <w:t>-1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</w:rPr>
              <w:t>: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00</w:t>
            </w:r>
          </w:p>
        </w:tc>
        <w:tc>
          <w:tcPr>
            <w:tcW w:w="726" w:type="pct"/>
            <w:vAlign w:val="center"/>
          </w:tcPr>
          <w:p w14:paraId="787F1E5C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主持人</w:t>
            </w:r>
          </w:p>
        </w:tc>
        <w:tc>
          <w:tcPr>
            <w:tcW w:w="3388" w:type="pct"/>
            <w:gridSpan w:val="2"/>
            <w:vAlign w:val="center"/>
          </w:tcPr>
          <w:p w14:paraId="3FBC9E17" w14:textId="77777777" w:rsidR="00917AE6" w:rsidRDefault="0033767E">
            <w:pPr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proofErr w:type="gramStart"/>
            <w:r>
              <w:rPr>
                <w:rFonts w:eastAsia="仿宋_GB2312" w:hint="eastAsia"/>
                <w:kern w:val="0"/>
                <w:sz w:val="24"/>
              </w:rPr>
              <w:t>陈尘</w:t>
            </w:r>
            <w:proofErr w:type="gramEnd"/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北极星总编</w:t>
            </w:r>
            <w:proofErr w:type="gramStart"/>
            <w:r>
              <w:rPr>
                <w:rFonts w:eastAsia="仿宋_GB2312" w:hint="eastAsia"/>
                <w:kern w:val="0"/>
                <w:sz w:val="24"/>
              </w:rPr>
              <w:t>编</w:t>
            </w:r>
            <w:proofErr w:type="gramEnd"/>
          </w:p>
        </w:tc>
      </w:tr>
      <w:tr w:rsidR="00917AE6" w14:paraId="1AB2EE38" w14:textId="77777777" w:rsidTr="00B7707E">
        <w:trPr>
          <w:trHeight w:val="122"/>
        </w:trPr>
        <w:tc>
          <w:tcPr>
            <w:tcW w:w="886" w:type="pct"/>
            <w:vMerge/>
            <w:vAlign w:val="center"/>
          </w:tcPr>
          <w:p w14:paraId="0AA9A6F5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 w:val="restart"/>
            <w:vAlign w:val="center"/>
          </w:tcPr>
          <w:p w14:paraId="2976C42C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主旨报告</w:t>
            </w:r>
          </w:p>
        </w:tc>
        <w:tc>
          <w:tcPr>
            <w:tcW w:w="1858" w:type="pct"/>
            <w:vMerge w:val="restart"/>
            <w:vAlign w:val="center"/>
          </w:tcPr>
          <w:p w14:paraId="6CC28503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板块</w:t>
            </w:r>
            <w:proofErr w:type="gramStart"/>
            <w:r>
              <w:rPr>
                <w:rFonts w:eastAsia="仿宋_GB2312" w:hint="eastAsia"/>
                <w:color w:val="000000"/>
                <w:kern w:val="0"/>
                <w:sz w:val="24"/>
              </w:rPr>
              <w:t>一</w:t>
            </w:r>
            <w:proofErr w:type="gramEnd"/>
            <w:r>
              <w:rPr>
                <w:rFonts w:eastAsia="仿宋_GB2312" w:hint="eastAsia"/>
                <w:color w:val="000000"/>
                <w:kern w:val="0"/>
                <w:sz w:val="22"/>
                <w:szCs w:val="22"/>
              </w:rPr>
              <w:t>：</w:t>
            </w:r>
          </w:p>
          <w:p w14:paraId="59E3F1E9" w14:textId="77777777" w:rsidR="00917AE6" w:rsidRDefault="0033767E">
            <w:pPr>
              <w:rPr>
                <w:rFonts w:ascii="仿宋" w:eastAsia="仿宋" w:hAnsi="仿宋" w:cs="仿宋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关键技术突破与系统集成</w:t>
            </w:r>
            <w:r>
              <w:rPr>
                <w:rFonts w:ascii="仿宋" w:eastAsia="仿宋" w:hAnsi="仿宋" w:cs="仿宋" w:hint="eastAsia"/>
                <w:sz w:val="24"/>
                <w:szCs w:val="32"/>
              </w:rPr>
              <w:t xml:space="preserve"> </w:t>
            </w:r>
          </w:p>
          <w:p w14:paraId="339E23A7" w14:textId="77777777" w:rsidR="00917AE6" w:rsidRDefault="0033767E"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核心焦点：探讨虚拟电厂规模化发展的核心技术路径，提升系统稳定性与效率。</w:t>
            </w:r>
          </w:p>
        </w:tc>
        <w:tc>
          <w:tcPr>
            <w:tcW w:w="1530" w:type="pct"/>
            <w:vAlign w:val="center"/>
          </w:tcPr>
          <w:p w14:paraId="1140D9DD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虚拟电厂在西部能源格局中的战略定位</w:t>
            </w:r>
          </w:p>
        </w:tc>
      </w:tr>
      <w:tr w:rsidR="00917AE6" w14:paraId="36B72858" w14:textId="77777777" w:rsidTr="00B7707E">
        <w:trPr>
          <w:trHeight w:val="295"/>
        </w:trPr>
        <w:tc>
          <w:tcPr>
            <w:tcW w:w="886" w:type="pct"/>
            <w:vMerge/>
            <w:vAlign w:val="center"/>
          </w:tcPr>
          <w:p w14:paraId="3980CDA2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1D5DA5AE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2CA9D848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747B19A6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分布式资源聚合与智能控制技术</w:t>
            </w:r>
          </w:p>
        </w:tc>
      </w:tr>
      <w:tr w:rsidR="00917AE6" w14:paraId="494A90C4" w14:textId="77777777" w:rsidTr="00B7707E">
        <w:trPr>
          <w:trHeight w:val="365"/>
        </w:trPr>
        <w:tc>
          <w:tcPr>
            <w:tcW w:w="886" w:type="pct"/>
            <w:vMerge/>
            <w:vAlign w:val="center"/>
          </w:tcPr>
          <w:p w14:paraId="11A8A481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0DBB9A3F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71190AE5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1BC958E9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风光储协同预测与优化调度</w:t>
            </w:r>
          </w:p>
        </w:tc>
      </w:tr>
      <w:tr w:rsidR="00917AE6" w14:paraId="6AE05374" w14:textId="77777777" w:rsidTr="00B7707E">
        <w:trPr>
          <w:trHeight w:val="209"/>
        </w:trPr>
        <w:tc>
          <w:tcPr>
            <w:tcW w:w="886" w:type="pct"/>
            <w:vMerge/>
            <w:vAlign w:val="center"/>
          </w:tcPr>
          <w:p w14:paraId="40577BB2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77314443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0C6648B3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322927F9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跨区域通信协议与数据安全体系</w:t>
            </w:r>
          </w:p>
        </w:tc>
      </w:tr>
      <w:tr w:rsidR="00917AE6" w14:paraId="7A4B891F" w14:textId="77777777" w:rsidTr="00B7707E">
        <w:trPr>
          <w:trHeight w:val="90"/>
        </w:trPr>
        <w:tc>
          <w:tcPr>
            <w:tcW w:w="886" w:type="pct"/>
            <w:vMerge/>
            <w:vAlign w:val="center"/>
          </w:tcPr>
          <w:p w14:paraId="4CB40999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31E10634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4572B4BF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1E732524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平台标准化与接口兼容性设计</w:t>
            </w:r>
          </w:p>
        </w:tc>
      </w:tr>
      <w:tr w:rsidR="00917AE6" w14:paraId="57814E90" w14:textId="77777777" w:rsidTr="00B7707E">
        <w:trPr>
          <w:trHeight w:val="314"/>
        </w:trPr>
        <w:tc>
          <w:tcPr>
            <w:tcW w:w="886" w:type="pct"/>
            <w:vMerge/>
            <w:vAlign w:val="center"/>
          </w:tcPr>
          <w:p w14:paraId="53391F90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2B1065EF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 w:val="restart"/>
            <w:vAlign w:val="center"/>
          </w:tcPr>
          <w:p w14:paraId="08F999D7" w14:textId="77777777" w:rsidR="00917AE6" w:rsidRDefault="0033767E">
            <w:pPr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 w:val="22"/>
                <w:szCs w:val="22"/>
              </w:rPr>
              <w:t>板块二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：</w:t>
            </w:r>
          </w:p>
          <w:p w14:paraId="04511475" w14:textId="77777777" w:rsidR="00917AE6" w:rsidRDefault="0033767E">
            <w:pPr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市场化机制与商业模式创新</w:t>
            </w:r>
            <w:r>
              <w:rPr>
                <w:rFonts w:ascii="仿宋" w:eastAsia="仿宋" w:hAnsi="仿宋" w:cs="仿宋" w:hint="eastAsia"/>
                <w:sz w:val="22"/>
                <w:szCs w:val="28"/>
              </w:rPr>
              <w:t xml:space="preserve"> </w:t>
            </w:r>
          </w:p>
          <w:p w14:paraId="3562D18F" w14:textId="77777777" w:rsidR="00917AE6" w:rsidRDefault="0033767E">
            <w:pPr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8"/>
              </w:rPr>
              <w:t>核心焦点：</w:t>
            </w:r>
            <w:r>
              <w:rPr>
                <w:rFonts w:ascii="仿宋" w:eastAsia="仿宋" w:hAnsi="仿宋" w:cs="仿宋" w:hint="eastAsia"/>
                <w:sz w:val="24"/>
                <w:szCs w:val="32"/>
              </w:rPr>
              <w:t>设计可持续商业模式，激发多元主体参与。</w:t>
            </w:r>
          </w:p>
        </w:tc>
        <w:tc>
          <w:tcPr>
            <w:tcW w:w="1530" w:type="pct"/>
            <w:vAlign w:val="center"/>
          </w:tcPr>
          <w:p w14:paraId="3BC631B2" w14:textId="77777777" w:rsidR="00917AE6" w:rsidRDefault="0033767E">
            <w:pPr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国内电力市场改革下虚拟电厂的西部机遇</w:t>
            </w:r>
          </w:p>
        </w:tc>
      </w:tr>
      <w:tr w:rsidR="00917AE6" w14:paraId="6F300494" w14:textId="77777777" w:rsidTr="00B7707E">
        <w:trPr>
          <w:trHeight w:val="277"/>
        </w:trPr>
        <w:tc>
          <w:tcPr>
            <w:tcW w:w="886" w:type="pct"/>
            <w:vMerge/>
            <w:vAlign w:val="center"/>
          </w:tcPr>
          <w:p w14:paraId="24179DD3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4CCE85BF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59576EC6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0" w:type="pct"/>
            <w:vAlign w:val="center"/>
          </w:tcPr>
          <w:p w14:paraId="02FCE7A5" w14:textId="77777777" w:rsidR="00917AE6" w:rsidRDefault="0033767E">
            <w:pPr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碳交易、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32"/>
              </w:rPr>
              <w:t>绿电认证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32"/>
              </w:rPr>
              <w:t>与虚拟电厂协同机制</w:t>
            </w:r>
          </w:p>
        </w:tc>
      </w:tr>
      <w:tr w:rsidR="00917AE6" w14:paraId="171AD588" w14:textId="77777777" w:rsidTr="00B7707E">
        <w:trPr>
          <w:trHeight w:val="90"/>
        </w:trPr>
        <w:tc>
          <w:tcPr>
            <w:tcW w:w="886" w:type="pct"/>
            <w:vMerge/>
            <w:vAlign w:val="center"/>
          </w:tcPr>
          <w:p w14:paraId="7CBBE7CB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7F7DC7B7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45C7E68A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0" w:type="pct"/>
            <w:vAlign w:val="center"/>
          </w:tcPr>
          <w:p w14:paraId="3E7D4C5D" w14:textId="77777777" w:rsidR="00917AE6" w:rsidRDefault="0033767E">
            <w:pPr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分布式资源参与现货市场与辅助服务交易</w:t>
            </w:r>
          </w:p>
        </w:tc>
      </w:tr>
      <w:tr w:rsidR="00917AE6" w14:paraId="039B1D82" w14:textId="77777777" w:rsidTr="00B7707E">
        <w:trPr>
          <w:trHeight w:val="352"/>
        </w:trPr>
        <w:tc>
          <w:tcPr>
            <w:tcW w:w="886" w:type="pct"/>
            <w:vMerge/>
            <w:vAlign w:val="center"/>
          </w:tcPr>
          <w:p w14:paraId="6923B582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5BCBF341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5B55AF95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0" w:type="pct"/>
            <w:vAlign w:val="center"/>
          </w:tcPr>
          <w:p w14:paraId="723E64E3" w14:textId="77777777" w:rsidR="00917AE6" w:rsidRDefault="0033767E">
            <w:pPr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金融工具创新与投资风险管控</w:t>
            </w:r>
          </w:p>
        </w:tc>
      </w:tr>
      <w:tr w:rsidR="00917AE6" w14:paraId="47ECA387" w14:textId="77777777" w:rsidTr="00B7707E">
        <w:trPr>
          <w:trHeight w:val="127"/>
        </w:trPr>
        <w:tc>
          <w:tcPr>
            <w:tcW w:w="886" w:type="pct"/>
            <w:vMerge/>
            <w:vAlign w:val="center"/>
          </w:tcPr>
          <w:p w14:paraId="5299EDB3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3723FB5B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4F4074E1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30" w:type="pct"/>
            <w:vAlign w:val="center"/>
          </w:tcPr>
          <w:p w14:paraId="336F05C9" w14:textId="77777777" w:rsidR="00917AE6" w:rsidRDefault="0033767E">
            <w:pPr>
              <w:rPr>
                <w:rFonts w:ascii="仿宋" w:eastAsia="仿宋" w:hAnsi="仿宋" w:cs="仿宋"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农村及工业园区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32"/>
              </w:rPr>
              <w:t>级商业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32"/>
              </w:rPr>
              <w:t>模式案例</w:t>
            </w:r>
          </w:p>
        </w:tc>
      </w:tr>
      <w:tr w:rsidR="00917AE6" w14:paraId="1203980F" w14:textId="77777777" w:rsidTr="00B7707E">
        <w:trPr>
          <w:trHeight w:val="700"/>
        </w:trPr>
        <w:tc>
          <w:tcPr>
            <w:tcW w:w="886" w:type="pct"/>
            <w:vMerge/>
            <w:vAlign w:val="center"/>
          </w:tcPr>
          <w:p w14:paraId="0E55BE36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752A86E5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 w:val="restart"/>
            <w:vAlign w:val="center"/>
          </w:tcPr>
          <w:p w14:paraId="3FB708C0" w14:textId="77777777" w:rsidR="00917AE6" w:rsidRDefault="0033767E"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板块三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：</w:t>
            </w:r>
          </w:p>
          <w:p w14:paraId="5D359889" w14:textId="77777777" w:rsidR="00917AE6" w:rsidRDefault="0033767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典型案例与实践路径探索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</w:p>
          <w:p w14:paraId="7279F11A" w14:textId="77777777" w:rsidR="00917AE6" w:rsidRDefault="0033767E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核心焦点：</w:t>
            </w:r>
            <w:r>
              <w:rPr>
                <w:rFonts w:ascii="仿宋" w:eastAsia="仿宋" w:hAnsi="仿宋" w:cs="仿宋" w:hint="eastAsia"/>
                <w:sz w:val="24"/>
              </w:rPr>
              <w:t>分享可复制实践，推动规模化落地。</w:t>
            </w:r>
          </w:p>
        </w:tc>
        <w:tc>
          <w:tcPr>
            <w:tcW w:w="1530" w:type="pct"/>
            <w:vAlign w:val="center"/>
          </w:tcPr>
          <w:p w14:paraId="45950E8C" w14:textId="77777777" w:rsidR="00917AE6" w:rsidRDefault="0033767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成渝地区虚拟电厂试点经验：负荷聚合与电网互动</w:t>
            </w:r>
          </w:p>
        </w:tc>
      </w:tr>
      <w:tr w:rsidR="00917AE6" w14:paraId="3854F451" w14:textId="77777777" w:rsidTr="00B7707E">
        <w:trPr>
          <w:trHeight w:val="700"/>
        </w:trPr>
        <w:tc>
          <w:tcPr>
            <w:tcW w:w="886" w:type="pct"/>
            <w:vMerge/>
            <w:vAlign w:val="center"/>
          </w:tcPr>
          <w:p w14:paraId="6ECDBE1E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659ADEC2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4800D60D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11DC9022" w14:textId="77777777" w:rsidR="00917AE6" w:rsidRDefault="0033767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大型新能源基地配套虚拟电厂案例（如四川水电</w:t>
            </w:r>
            <w:r>
              <w:rPr>
                <w:rFonts w:ascii="仿宋" w:eastAsia="仿宋" w:hAnsi="仿宋" w:cs="仿宋" w:hint="eastAsia"/>
                <w:sz w:val="24"/>
              </w:rPr>
              <w:t>+</w:t>
            </w:r>
            <w:r>
              <w:rPr>
                <w:rFonts w:ascii="仿宋" w:eastAsia="仿宋" w:hAnsi="仿宋" w:cs="仿宋" w:hint="eastAsia"/>
                <w:sz w:val="24"/>
              </w:rPr>
              <w:t>光伏）</w:t>
            </w:r>
          </w:p>
        </w:tc>
      </w:tr>
      <w:tr w:rsidR="00917AE6" w14:paraId="57402691" w14:textId="77777777" w:rsidTr="00B7707E">
        <w:trPr>
          <w:trHeight w:val="700"/>
        </w:trPr>
        <w:tc>
          <w:tcPr>
            <w:tcW w:w="886" w:type="pct"/>
            <w:vMerge/>
            <w:vAlign w:val="center"/>
          </w:tcPr>
          <w:p w14:paraId="7F027DC1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0CAD38DE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02A07C6C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111756CD" w14:textId="77777777" w:rsidR="00917AE6" w:rsidRDefault="0033767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虚拟电厂运营商（</w:t>
            </w:r>
            <w:r>
              <w:rPr>
                <w:rFonts w:ascii="仿宋" w:eastAsia="仿宋" w:hAnsi="仿宋" w:cs="仿宋" w:hint="eastAsia"/>
                <w:sz w:val="24"/>
              </w:rPr>
              <w:t>VPPO</w:t>
            </w:r>
            <w:r>
              <w:rPr>
                <w:rFonts w:ascii="仿宋" w:eastAsia="仿宋" w:hAnsi="仿宋" w:cs="仿宋" w:hint="eastAsia"/>
                <w:sz w:val="24"/>
              </w:rPr>
              <w:t>）的标准化运营流程</w:t>
            </w:r>
          </w:p>
        </w:tc>
      </w:tr>
      <w:tr w:rsidR="00917AE6" w14:paraId="30B8E1E1" w14:textId="77777777" w:rsidTr="00B7707E">
        <w:trPr>
          <w:trHeight w:val="700"/>
        </w:trPr>
        <w:tc>
          <w:tcPr>
            <w:tcW w:w="886" w:type="pct"/>
            <w:vMerge/>
            <w:vAlign w:val="center"/>
          </w:tcPr>
          <w:p w14:paraId="0BB97341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1F61B6FD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11F3A3DE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1EA5FFD1" w14:textId="77777777" w:rsidR="00917AE6" w:rsidRDefault="0033767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跨省跨区协同挑战与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破局思路</w:t>
            </w:r>
            <w:proofErr w:type="gramEnd"/>
          </w:p>
        </w:tc>
      </w:tr>
      <w:tr w:rsidR="00917AE6" w14:paraId="7292C662" w14:textId="77777777" w:rsidTr="00B7707E">
        <w:trPr>
          <w:trHeight w:val="700"/>
        </w:trPr>
        <w:tc>
          <w:tcPr>
            <w:tcW w:w="886" w:type="pct"/>
            <w:vMerge/>
            <w:vAlign w:val="center"/>
          </w:tcPr>
          <w:p w14:paraId="6F3D28FD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26" w:type="pct"/>
            <w:vMerge/>
            <w:vAlign w:val="center"/>
          </w:tcPr>
          <w:p w14:paraId="1F5352DB" w14:textId="77777777" w:rsidR="00917AE6" w:rsidRDefault="00917AE6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58" w:type="pct"/>
            <w:vMerge/>
            <w:vAlign w:val="center"/>
          </w:tcPr>
          <w:p w14:paraId="6EB7796F" w14:textId="77777777" w:rsidR="00917AE6" w:rsidRDefault="00917AE6">
            <w:pPr>
              <w:adjustRightInd w:val="0"/>
              <w:snapToGrid w:val="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0" w:type="pct"/>
            <w:vAlign w:val="center"/>
          </w:tcPr>
          <w:p w14:paraId="24729EE6" w14:textId="77777777" w:rsidR="00917AE6" w:rsidRDefault="0033767E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虚拟电厂与乡村振兴融合路径</w:t>
            </w:r>
          </w:p>
        </w:tc>
      </w:tr>
      <w:tr w:rsidR="00917AE6" w14:paraId="50EF47C5" w14:textId="77777777">
        <w:trPr>
          <w:trHeight w:val="547"/>
        </w:trPr>
        <w:tc>
          <w:tcPr>
            <w:tcW w:w="5000" w:type="pct"/>
            <w:gridSpan w:val="4"/>
            <w:shd w:val="clear" w:color="auto" w:fill="BFBFBF" w:themeFill="background1" w:themeFillShade="BF"/>
            <w:vAlign w:val="center"/>
          </w:tcPr>
          <w:p w14:paraId="6DC24573" w14:textId="77777777" w:rsidR="00917AE6" w:rsidRDefault="0033767E">
            <w:pPr>
              <w:adjustRightInd w:val="0"/>
              <w:snapToGrid w:val="0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三、圆桌对话</w:t>
            </w:r>
          </w:p>
        </w:tc>
      </w:tr>
      <w:tr w:rsidR="00917AE6" w14:paraId="73B5FD7B" w14:textId="77777777">
        <w:trPr>
          <w:trHeight w:val="454"/>
        </w:trPr>
        <w:tc>
          <w:tcPr>
            <w:tcW w:w="5000" w:type="pct"/>
            <w:gridSpan w:val="4"/>
            <w:vAlign w:val="center"/>
          </w:tcPr>
          <w:p w14:paraId="06A143E3" w14:textId="77777777" w:rsidR="00917AE6" w:rsidRDefault="0033767E">
            <w:pPr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主题：</w:t>
            </w:r>
            <w:r>
              <w:rPr>
                <w:rFonts w:ascii="仿宋" w:eastAsia="仿宋" w:hAnsi="仿宋" w:cs="仿宋" w:hint="eastAsia"/>
                <w:sz w:val="24"/>
                <w:szCs w:val="32"/>
              </w:rPr>
              <w:t>聚能生态</w:t>
            </w:r>
            <w:r>
              <w:rPr>
                <w:rFonts w:ascii="仿宋" w:eastAsia="仿宋" w:hAnsi="仿宋" w:cs="仿宋" w:hint="eastAsia"/>
                <w:sz w:val="24"/>
                <w:szCs w:val="32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32"/>
              </w:rPr>
              <w:t>电链未来</w:t>
            </w:r>
            <w:proofErr w:type="gramEnd"/>
          </w:p>
        </w:tc>
      </w:tr>
      <w:tr w:rsidR="00917AE6" w14:paraId="2C7BDD5E" w14:textId="77777777" w:rsidTr="00B7707E">
        <w:trPr>
          <w:trHeight w:val="451"/>
        </w:trPr>
        <w:tc>
          <w:tcPr>
            <w:tcW w:w="886" w:type="pct"/>
            <w:vAlign w:val="center"/>
          </w:tcPr>
          <w:p w14:paraId="27CA435B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84" w:type="pct"/>
            <w:gridSpan w:val="2"/>
            <w:vAlign w:val="center"/>
          </w:tcPr>
          <w:p w14:paraId="1586D4A6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对话议题</w:t>
            </w:r>
          </w:p>
        </w:tc>
        <w:tc>
          <w:tcPr>
            <w:tcW w:w="1530" w:type="pct"/>
            <w:vAlign w:val="center"/>
          </w:tcPr>
          <w:p w14:paraId="7098AEEE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对话嘉宾</w:t>
            </w:r>
          </w:p>
        </w:tc>
      </w:tr>
      <w:tr w:rsidR="00917AE6" w14:paraId="470D8F9D" w14:textId="77777777" w:rsidTr="00B7707E">
        <w:trPr>
          <w:trHeight w:val="2360"/>
        </w:trPr>
        <w:tc>
          <w:tcPr>
            <w:tcW w:w="886" w:type="pct"/>
            <w:vMerge w:val="restart"/>
            <w:vAlign w:val="center"/>
          </w:tcPr>
          <w:p w14:paraId="26E83132" w14:textId="77777777" w:rsidR="00917AE6" w:rsidRDefault="0033767E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1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3</w:t>
            </w:r>
            <w:r>
              <w:rPr>
                <w:rFonts w:eastAsia="仿宋_GB2312"/>
                <w:color w:val="000000"/>
                <w:kern w:val="0"/>
                <w:sz w:val="24"/>
              </w:rPr>
              <w:t>:30-17: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0</w:t>
            </w:r>
            <w:r>
              <w:rPr>
                <w:rFonts w:eastAsia="仿宋_GB2312"/>
                <w:color w:val="000000"/>
                <w:kern w:val="0"/>
                <w:sz w:val="24"/>
              </w:rPr>
              <w:t>0</w:t>
            </w:r>
          </w:p>
        </w:tc>
        <w:tc>
          <w:tcPr>
            <w:tcW w:w="2584" w:type="pct"/>
            <w:gridSpan w:val="2"/>
            <w:vAlign w:val="center"/>
          </w:tcPr>
          <w:p w14:paraId="22DC072B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：</w:t>
            </w:r>
          </w:p>
          <w:p w14:paraId="69C3371C" w14:textId="77777777" w:rsidR="00917AE6" w:rsidRDefault="0033767E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从“补贴驱动”到“市场为王”——虚拟电厂商业闭环的路径</w:t>
            </w:r>
            <w:r>
              <w:rPr>
                <w:rFonts w:ascii="仿宋" w:eastAsia="仿宋" w:hAnsi="仿宋" w:cs="仿宋" w:hint="eastAsia"/>
                <w:sz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核心探讨：随着电力现货市场的推进，虚拟电厂如何摆脱对补贴的依赖？结合成都“源网荷储”一体化政策，探讨如何通过参与现货市场、辅助服务市场实现真正的盈利模式。</w:t>
            </w:r>
          </w:p>
        </w:tc>
        <w:tc>
          <w:tcPr>
            <w:tcW w:w="1530" w:type="pct"/>
            <w:vMerge w:val="restart"/>
            <w:vAlign w:val="center"/>
          </w:tcPr>
          <w:p w14:paraId="2D46547A" w14:textId="77777777" w:rsidR="00917AE6" w:rsidRDefault="0033767E">
            <w:pPr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主持人：待定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 </w:t>
            </w:r>
          </w:p>
          <w:p w14:paraId="7E238C28" w14:textId="77777777" w:rsidR="00917AE6" w:rsidRDefault="0033767E">
            <w:pPr>
              <w:widowControl/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对话专家（</w:t>
            </w:r>
            <w:r>
              <w:rPr>
                <w:rFonts w:eastAsia="仿宋_GB2312"/>
                <w:color w:val="000000"/>
                <w:kern w:val="0"/>
                <w:sz w:val="24"/>
              </w:rPr>
              <w:t>2</w:t>
            </w:r>
            <w:r>
              <w:rPr>
                <w:rFonts w:eastAsia="仿宋_GB2312"/>
                <w:color w:val="000000"/>
                <w:kern w:val="0"/>
                <w:sz w:val="24"/>
              </w:rPr>
              <w:t>人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？</w:t>
            </w:r>
            <w:r>
              <w:rPr>
                <w:rFonts w:eastAsia="仿宋_GB2312"/>
                <w:color w:val="000000"/>
                <w:kern w:val="0"/>
                <w:sz w:val="24"/>
              </w:rPr>
              <w:t>）：</w:t>
            </w:r>
          </w:p>
          <w:p w14:paraId="08913E3E" w14:textId="77777777" w:rsidR="00917AE6" w:rsidRDefault="0033767E">
            <w:pPr>
              <w:adjustRightInd w:val="0"/>
              <w:snapToGrid w:val="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虚拟电厂实践负责人等</w:t>
            </w:r>
          </w:p>
        </w:tc>
      </w:tr>
      <w:tr w:rsidR="00917AE6" w14:paraId="17464471" w14:textId="77777777" w:rsidTr="00B7707E">
        <w:trPr>
          <w:trHeight w:val="2567"/>
        </w:trPr>
        <w:tc>
          <w:tcPr>
            <w:tcW w:w="886" w:type="pct"/>
            <w:vMerge/>
            <w:vAlign w:val="center"/>
          </w:tcPr>
          <w:p w14:paraId="11372ADE" w14:textId="77777777" w:rsidR="00917AE6" w:rsidRDefault="00917AE6">
            <w:pPr>
              <w:widowControl/>
              <w:adjustRightInd w:val="0"/>
              <w:snapToGrid w:val="0"/>
            </w:pPr>
          </w:p>
        </w:tc>
        <w:tc>
          <w:tcPr>
            <w:tcW w:w="2584" w:type="pct"/>
            <w:gridSpan w:val="2"/>
            <w:vAlign w:val="center"/>
          </w:tcPr>
          <w:p w14:paraId="3D0E25F6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主题二：</w:t>
            </w:r>
          </w:p>
          <w:p w14:paraId="55595E2E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</w:t>
            </w:r>
            <w:r>
              <w:rPr>
                <w:rFonts w:ascii="仿宋" w:eastAsia="仿宋" w:hAnsi="仿宋" w:cs="仿宋" w:hint="eastAsia"/>
                <w:sz w:val="24"/>
              </w:rPr>
              <w:t>赋能与量子计算——打造城市级“智慧能源大脑”</w:t>
            </w:r>
            <w:r>
              <w:rPr>
                <w:rFonts w:ascii="仿宋" w:eastAsia="仿宋" w:hAnsi="仿宋" w:cs="仿宋" w:hint="eastAsia"/>
                <w:sz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核心探讨：聚焦成都最新提出的“地铁量子虚拟电厂”构想，讨论人工智能、大数据及未来量子计算技术如何解决海量分散资源（如地铁、充电桩）的毫秒级调度难题。</w:t>
            </w:r>
          </w:p>
        </w:tc>
        <w:tc>
          <w:tcPr>
            <w:tcW w:w="1530" w:type="pct"/>
            <w:vMerge/>
            <w:vAlign w:val="center"/>
          </w:tcPr>
          <w:p w14:paraId="0434F8CE" w14:textId="77777777" w:rsidR="00917AE6" w:rsidRDefault="00917AE6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917AE6" w14:paraId="702460D6" w14:textId="77777777" w:rsidTr="00B7707E">
        <w:trPr>
          <w:trHeight w:val="2286"/>
        </w:trPr>
        <w:tc>
          <w:tcPr>
            <w:tcW w:w="886" w:type="pct"/>
            <w:vMerge/>
            <w:vAlign w:val="center"/>
          </w:tcPr>
          <w:p w14:paraId="56103D21" w14:textId="77777777" w:rsidR="00917AE6" w:rsidRDefault="00917AE6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584" w:type="pct"/>
            <w:gridSpan w:val="2"/>
            <w:vAlign w:val="center"/>
          </w:tcPr>
          <w:p w14:paraId="65BF8699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主题三：</w:t>
            </w:r>
          </w:p>
          <w:p w14:paraId="2F3830C9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车网互动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sz w:val="24"/>
              </w:rPr>
              <w:t>V2G</w:t>
            </w:r>
            <w:r>
              <w:rPr>
                <w:rFonts w:ascii="仿宋" w:eastAsia="仿宋" w:hAnsi="仿宋" w:cs="仿宋" w:hint="eastAsia"/>
                <w:sz w:val="24"/>
              </w:rPr>
              <w:t>）与交通能源融合——挖掘成都“移动充电宝”潜力</w:t>
            </w:r>
            <w:r>
              <w:rPr>
                <w:rFonts w:ascii="仿宋" w:eastAsia="仿宋" w:hAnsi="仿宋" w:cs="仿宋" w:hint="eastAsia"/>
                <w:sz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核心探讨：成都是新能源汽车保有量高地，如何利用</w:t>
            </w:r>
            <w:r>
              <w:rPr>
                <w:rFonts w:ascii="仿宋" w:eastAsia="仿宋" w:hAnsi="仿宋" w:cs="仿宋" w:hint="eastAsia"/>
                <w:sz w:val="24"/>
              </w:rPr>
              <w:t>V2G</w:t>
            </w:r>
            <w:r>
              <w:rPr>
                <w:rFonts w:ascii="仿宋" w:eastAsia="仿宋" w:hAnsi="仿宋" w:cs="仿宋" w:hint="eastAsia"/>
                <w:sz w:val="24"/>
              </w:rPr>
              <w:t>技术将电动汽车、地铁交通网转化为巨大的“移动储能池”，实现交通网与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能源网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的双向赋能。</w:t>
            </w:r>
          </w:p>
        </w:tc>
        <w:tc>
          <w:tcPr>
            <w:tcW w:w="1530" w:type="pct"/>
            <w:vMerge/>
            <w:vAlign w:val="center"/>
          </w:tcPr>
          <w:p w14:paraId="69CD6694" w14:textId="77777777" w:rsidR="00917AE6" w:rsidRDefault="00917AE6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917AE6" w14:paraId="619DAA2F" w14:textId="77777777" w:rsidTr="00B7707E">
        <w:trPr>
          <w:trHeight w:val="1551"/>
        </w:trPr>
        <w:tc>
          <w:tcPr>
            <w:tcW w:w="886" w:type="pct"/>
            <w:vMerge/>
            <w:vAlign w:val="center"/>
          </w:tcPr>
          <w:p w14:paraId="3015ED3B" w14:textId="77777777" w:rsidR="00917AE6" w:rsidRDefault="00917AE6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584" w:type="pct"/>
            <w:gridSpan w:val="2"/>
            <w:vAlign w:val="center"/>
          </w:tcPr>
          <w:p w14:paraId="7B59DF83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主题四：</w:t>
            </w:r>
          </w:p>
          <w:p w14:paraId="28F91137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西部首座虚拟电厂的进阶之路——从“高新西区样板”到全域推广</w:t>
            </w:r>
            <w:r>
              <w:rPr>
                <w:rFonts w:ascii="仿宋" w:eastAsia="仿宋" w:hAnsi="仿宋" w:cs="仿宋" w:hint="eastAsia"/>
                <w:sz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核心探讨：复盘成都高新西区虚拟电厂（国家级示范项目）的实战经验，探讨如何将这种“园区级”成功模式复制到全成都，甚至推广至整个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西部受端电网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。</w:t>
            </w:r>
          </w:p>
        </w:tc>
        <w:tc>
          <w:tcPr>
            <w:tcW w:w="1530" w:type="pct"/>
            <w:vMerge/>
            <w:vAlign w:val="center"/>
          </w:tcPr>
          <w:p w14:paraId="0BAD248C" w14:textId="77777777" w:rsidR="00917AE6" w:rsidRDefault="00917AE6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917AE6" w14:paraId="6862C31C" w14:textId="77777777" w:rsidTr="00B7707E">
        <w:trPr>
          <w:trHeight w:val="1551"/>
        </w:trPr>
        <w:tc>
          <w:tcPr>
            <w:tcW w:w="886" w:type="pct"/>
            <w:vMerge/>
            <w:vAlign w:val="center"/>
          </w:tcPr>
          <w:p w14:paraId="1D188AF4" w14:textId="77777777" w:rsidR="00917AE6" w:rsidRDefault="00917AE6">
            <w:pPr>
              <w:widowControl/>
              <w:adjustRightInd w:val="0"/>
              <w:snapToGrid w:val="0"/>
            </w:pPr>
          </w:p>
        </w:tc>
        <w:tc>
          <w:tcPr>
            <w:tcW w:w="2584" w:type="pct"/>
            <w:gridSpan w:val="2"/>
            <w:vAlign w:val="center"/>
          </w:tcPr>
          <w:p w14:paraId="7583627A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主题五：</w:t>
            </w:r>
          </w:p>
          <w:p w14:paraId="7F05F121" w14:textId="77777777" w:rsidR="00917AE6" w:rsidRDefault="0033767E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迎峰度夏的“隐形防线”——虚拟电厂在城市应急保供中的实战价值</w:t>
            </w:r>
            <w:r>
              <w:rPr>
                <w:rFonts w:ascii="仿宋" w:eastAsia="仿宋" w:hAnsi="仿宋" w:cs="仿宋" w:hint="eastAsia"/>
                <w:sz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核心探讨：面对极端高温天气下的电力缺口，对话政府与电网代表，讨论虚拟电厂如何从“锦上添花”转变为城市电力保供的“刚需”基础设施，建立弹性负荷响应机制。</w:t>
            </w:r>
          </w:p>
        </w:tc>
        <w:tc>
          <w:tcPr>
            <w:tcW w:w="1530" w:type="pct"/>
            <w:vMerge/>
            <w:vAlign w:val="center"/>
          </w:tcPr>
          <w:p w14:paraId="51A5E411" w14:textId="77777777" w:rsidR="00917AE6" w:rsidRDefault="00917AE6">
            <w:pPr>
              <w:widowControl/>
              <w:adjustRightInd w:val="0"/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2AD9056A" w14:textId="77777777" w:rsidR="00917AE6" w:rsidRDefault="00917AE6"/>
    <w:sectPr w:rsidR="00917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D868" w14:textId="77777777" w:rsidR="0033767E" w:rsidRDefault="0033767E" w:rsidP="00FA643E">
      <w:r>
        <w:separator/>
      </w:r>
    </w:p>
  </w:endnote>
  <w:endnote w:type="continuationSeparator" w:id="0">
    <w:p w14:paraId="78870CC1" w14:textId="77777777" w:rsidR="0033767E" w:rsidRDefault="0033767E" w:rsidP="00FA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47751" w14:textId="77777777" w:rsidR="0033767E" w:rsidRDefault="0033767E" w:rsidP="00FA643E">
      <w:r>
        <w:separator/>
      </w:r>
    </w:p>
  </w:footnote>
  <w:footnote w:type="continuationSeparator" w:id="0">
    <w:p w14:paraId="18E5B5B9" w14:textId="77777777" w:rsidR="0033767E" w:rsidRDefault="0033767E" w:rsidP="00FA6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BD6"/>
    <w:rsid w:val="000543D2"/>
    <w:rsid w:val="0033767E"/>
    <w:rsid w:val="007E7363"/>
    <w:rsid w:val="00917AE6"/>
    <w:rsid w:val="00B04BD6"/>
    <w:rsid w:val="00B7707E"/>
    <w:rsid w:val="00FA643E"/>
    <w:rsid w:val="00FE644D"/>
    <w:rsid w:val="01F24615"/>
    <w:rsid w:val="323E083E"/>
    <w:rsid w:val="7114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E56898-B065-4994-96F6-427D9CE4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XuWei</dc:creator>
  <cp:lastModifiedBy>- XuWei</cp:lastModifiedBy>
  <cp:revision>6</cp:revision>
  <dcterms:created xsi:type="dcterms:W3CDTF">2026-04-27T03:46:00Z</dcterms:created>
  <dcterms:modified xsi:type="dcterms:W3CDTF">2026-04-27T06:18:00Z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eyJoZGlkIjoiNjE5YmQyNzI2ZTNmMjdiYWYxMTdmMjVlNDc3OTUwMTYiLCJ1c2VySWQiOiIxMzkxNzIyNDM3In0=</vt:lpwstr>
  </property>
  <property fmtid="{D5CDD505-2E9C-101B-9397-08002B2CF9AE}" pid="3" name="KSOProductBuildVer">
    <vt:lpwstr>2052-12.1.0.25865</vt:lpwstr>
  </property>
  <property fmtid="{D5CDD505-2E9C-101B-9397-08002B2CF9AE}" pid="4" name="ICV">
    <vt:lpwstr>954AD3A161B14C248FBCC1A6F0A6761D_13</vt:lpwstr>
  </property>
</Properties>
</file>