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CAEFE9">
      <w:pPr>
        <w:pStyle w:val="129"/>
        <w:framePr w:w="9228" w:wrap="around" w:hAnchor="page" w:x="1240"/>
      </w:pPr>
      <w:r>
        <w:rPr>
          <w:rFonts w:ascii="Times New Roman"/>
        </w:rPr>
        <w:t>ICS</w:t>
      </w:r>
      <w:r>
        <w:rPr>
          <w:rFonts w:hAnsi="黑体"/>
        </w:rPr>
        <w:t> </w:t>
      </w:r>
      <w:r>
        <w:fldChar w:fldCharType="begin">
          <w:ffData>
            <w:name w:val="ICS"/>
            <w:enabled/>
            <w:calcOnExit w:val="0"/>
            <w:helpText w:type="text" w:val="请输入正确的ICS号："/>
            <w:textInput>
              <w:default w:val="29.020"/>
            </w:textInput>
          </w:ffData>
        </w:fldChar>
      </w:r>
      <w:r>
        <w:instrText xml:space="preserve"> </w:instrText>
      </w:r>
      <w:bookmarkStart w:id="0" w:name="ICS"/>
      <w:r>
        <w:instrText xml:space="preserve">FORMTEXT </w:instrText>
      </w:r>
      <w:r>
        <w:fldChar w:fldCharType="separate"/>
      </w:r>
      <w:r>
        <w:t>29.020</w:t>
      </w:r>
      <w:r>
        <w:fldChar w:fldCharType="end"/>
      </w:r>
      <w:bookmarkEnd w:id="0"/>
    </w:p>
    <w:tbl>
      <w:tblPr>
        <w:tblStyle w:val="35"/>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44"/>
      </w:tblGrid>
      <w:tr w14:paraId="00817A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44" w:type="dxa"/>
            <w:tcBorders>
              <w:top w:val="nil"/>
              <w:left w:val="nil"/>
              <w:bottom w:val="nil"/>
              <w:right w:val="nil"/>
            </w:tcBorders>
          </w:tcPr>
          <w:p w14:paraId="6D62C08B">
            <w:pPr>
              <w:pStyle w:val="129"/>
              <w:framePr w:w="9228" w:wrap="around" w:hAnchor="page" w:x="1240"/>
            </w:pPr>
            <w:r>
              <mc:AlternateContent>
                <mc:Choice Requires="wps">
                  <w:drawing>
                    <wp:anchor distT="0" distB="0" distL="114300" distR="114300" simplePos="0" relativeHeight="251662336" behindDoc="1" locked="0" layoutInCell="1" allowOverlap="1">
                      <wp:simplePos x="0" y="0"/>
                      <wp:positionH relativeFrom="column">
                        <wp:posOffset>-66675</wp:posOffset>
                      </wp:positionH>
                      <wp:positionV relativeFrom="paragraph">
                        <wp:posOffset>0</wp:posOffset>
                      </wp:positionV>
                      <wp:extent cx="866775" cy="198120"/>
                      <wp:effectExtent l="0" t="0" r="3810" b="0"/>
                      <wp:wrapNone/>
                      <wp:docPr id="1969351051" name="BAH"/>
                      <wp:cNvGraphicFramePr/>
                      <a:graphic xmlns:a="http://schemas.openxmlformats.org/drawingml/2006/main">
                        <a:graphicData uri="http://schemas.microsoft.com/office/word/2010/wordprocessingShape">
                          <wps:wsp>
                            <wps:cNvSpPr>
                              <a:spLocks noChangeArrowheads="1"/>
                            </wps:cNvSpPr>
                            <wps:spPr bwMode="auto">
                              <a:xfrm>
                                <a:off x="0" y="0"/>
                                <a:ext cx="866775" cy="19812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w:pict>
                    <v:rect id="BAH" o:spid="_x0000_s1026" o:spt="1" style="position:absolute;left:0pt;margin-left:-5.25pt;margin-top:0pt;height:15.6pt;width:68.25pt;z-index:-251654144;mso-width-relative:page;mso-height-relative:page;" fillcolor="#FFFFFF" filled="t" stroked="f" coordsize="21600,21600" o:gfxdata="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Iri/s1QAAAAcBAAAPAAAAAAAA&#10;AAEAIAAAACIAAABkcnMvZG93bnJldi54bWxQSwECFAAUAAAACACHTuJACFqSZhUCAAApBAAADgAA&#10;AAAAAAABACAAAAAkAQAAZHJzL2Uyb0RvYy54bWxQSwUGAAAAAAYABgBZAQAAqwUAAAAA&#10;">
                      <v:fill on="t" focussize="0,0"/>
                      <v:stroke on="f"/>
                      <v:imagedata o:title=""/>
                      <o:lock v:ext="edit" aspectratio="f"/>
                    </v:rect>
                  </w:pict>
                </mc:Fallback>
              </mc:AlternateContent>
            </w:r>
            <w:r>
              <w:fldChar w:fldCharType="begin">
                <w:ffData>
                  <w:name w:val="BAH"/>
                  <w:enabled/>
                  <w:calcOnExit w:val="0"/>
                  <w:textInput>
                    <w:default w:val="F 20"/>
                  </w:textInput>
                </w:ffData>
              </w:fldChar>
            </w:r>
            <w:r>
              <w:instrText xml:space="preserve"> FORMTEXT </w:instrText>
            </w:r>
            <w:r>
              <w:fldChar w:fldCharType="separate"/>
            </w:r>
            <w:r>
              <w:t>F 20</w:t>
            </w:r>
            <w:r>
              <w:fldChar w:fldCharType="end"/>
            </w:r>
          </w:p>
        </w:tc>
      </w:tr>
    </w:tbl>
    <w:p w14:paraId="02559544">
      <w:pPr>
        <w:pStyle w:val="147"/>
        <w:framePr w:w="7684" w:h="861" w:hRule="exact" w:wrap="around" w:x="2025"/>
        <w:rPr>
          <w:rFonts w:ascii="Times New Roman" w:hAnsi="Times New Roman"/>
          <w:sz w:val="72"/>
          <w:szCs w:val="72"/>
        </w:rPr>
      </w:pPr>
      <w:r>
        <w:rPr>
          <w:rFonts w:hint="eastAsia" w:ascii="Times New Roman" w:hAnsi="Times New Roman"/>
          <w:sz w:val="72"/>
          <w:szCs w:val="72"/>
        </w:rPr>
        <w:t>团体标准</w:t>
      </w:r>
    </w:p>
    <w:p w14:paraId="284C09E7">
      <w:pPr>
        <w:pStyle w:val="119"/>
        <w:framePr w:w="9189" w:h="926" w:hRule="exact" w:wrap="around" w:x="1627" w:y="2951"/>
        <w:rPr>
          <w:rFonts w:hint="eastAsia" w:hAnsi="黑体"/>
        </w:rPr>
      </w:pPr>
      <w:r>
        <w:rPr>
          <w:rFonts w:hint="eastAsia" w:hAnsi="黑体" w:cs="宋体"/>
          <w:spacing w:val="1"/>
        </w:rPr>
        <w:t>T</w:t>
      </w:r>
      <w:r>
        <w:rPr>
          <w:rFonts w:hAnsi="黑体" w:cs="宋体"/>
          <w:spacing w:val="1"/>
        </w:rPr>
        <w:t>/CERS</w:t>
      </w:r>
      <w:r>
        <w:rPr>
          <w:rFonts w:hint="eastAsia" w:hAnsi="黑体" w:cs="宋体"/>
          <w:spacing w:val="1"/>
        </w:rPr>
        <w:t>XXXX</w:t>
      </w:r>
      <w:r>
        <w:rPr>
          <w:rFonts w:hAnsi="黑体" w:cs="宋体"/>
          <w:spacing w:val="1"/>
        </w:rPr>
        <w:t>-202</w:t>
      </w:r>
      <w:r>
        <w:rPr>
          <w:rFonts w:hint="eastAsia" w:hAnsi="黑体" w:cs="宋体"/>
          <w:spacing w:val="1"/>
        </w:rPr>
        <w:t>6</w:t>
      </w:r>
      <w:r>
        <w:rPr>
          <w:rFonts w:hAnsi="黑体"/>
        </w:rPr>
        <w:t xml:space="preserve"> </w:t>
      </w:r>
    </w:p>
    <w:tbl>
      <w:tblPr>
        <w:tblStyle w:val="35"/>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56"/>
      </w:tblGrid>
      <w:tr w14:paraId="01B6C8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tcBorders>
              <w:top w:val="nil"/>
              <w:left w:val="nil"/>
              <w:bottom w:val="nil"/>
              <w:right w:val="nil"/>
            </w:tcBorders>
          </w:tcPr>
          <w:p w14:paraId="0824AABD">
            <w:pPr>
              <w:pStyle w:val="141"/>
              <w:framePr w:w="9189" w:h="926" w:hRule="exact" w:wrap="around" w:x="1627" w:y="2951"/>
            </w:pPr>
            <w:r>
              <mc:AlternateContent>
                <mc:Choice Requires="wps">
                  <w:drawing>
                    <wp:anchor distT="0" distB="0" distL="114300" distR="114300" simplePos="0" relativeHeight="251659264" behindDoc="1" locked="0" layoutInCell="1" allowOverlap="1">
                      <wp:simplePos x="0" y="0"/>
                      <wp:positionH relativeFrom="column">
                        <wp:posOffset>4734560</wp:posOffset>
                      </wp:positionH>
                      <wp:positionV relativeFrom="paragraph">
                        <wp:posOffset>34290</wp:posOffset>
                      </wp:positionV>
                      <wp:extent cx="1143000" cy="228600"/>
                      <wp:effectExtent l="4445" t="0" r="0" b="2540"/>
                      <wp:wrapNone/>
                      <wp:docPr id="135704550" name="DT"/>
                      <wp:cNvGraphicFramePr/>
                      <a:graphic xmlns:a="http://schemas.openxmlformats.org/drawingml/2006/main">
                        <a:graphicData uri="http://schemas.microsoft.com/office/word/2010/wordprocessingShape">
                          <wps:wsp>
                            <wps:cNvSpPr>
                              <a:spLocks noChangeArrowheads="1"/>
                            </wps:cNvSpPr>
                            <wps:spPr bwMode="auto">
                              <a:xfrm>
                                <a:off x="0" y="0"/>
                                <a:ext cx="1143000" cy="22860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w:pict>
                    <v:rect id="DT" o:spid="_x0000_s1026" o:spt="1" style="position:absolute;left:0pt;margin-left:372.8pt;margin-top:2.7pt;height:18pt;width:90pt;z-index:-251657216;mso-width-relative:page;mso-height-relative:page;" fillcolor="#FFFFFF" filled="t" stroked="f" coordsize="21600,21600" o:gfxdata="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B5g8svWAAAACAEAAA8AAAAAAAAAAQAg&#10;AAAAIgAAAGRycy9kb3ducmV2LnhtbFBLAQIUABQAAAAIAIdO4kB5/kI9EAIAACgEAAAOAAAAAAAA&#10;AAEAIAAAACUBAABkcnMvZTJvRG9jLnhtbFBLBQYAAAAABgAGAFkBAACnBQAAAAA=&#10;">
                      <v:fill on="t" focussize="0,0"/>
                      <v:stroke on="f"/>
                      <v:imagedata o:title=""/>
                      <o:lock v:ext="edit" aspectratio="f"/>
                    </v:rect>
                  </w:pict>
                </mc:Fallback>
              </mc:AlternateContent>
            </w:r>
          </w:p>
        </w:tc>
      </w:tr>
    </w:tbl>
    <w:p w14:paraId="5C2D0831">
      <w:pPr>
        <w:pStyle w:val="119"/>
        <w:framePr w:w="9189" w:h="926" w:hRule="exact" w:wrap="around" w:x="1627" w:y="2951"/>
        <w:rPr>
          <w:rFonts w:hint="eastAsia" w:hAnsi="黑体"/>
        </w:rPr>
      </w:pPr>
    </w:p>
    <w:p w14:paraId="46A02631">
      <w:pPr>
        <w:pStyle w:val="119"/>
        <w:framePr w:w="9189" w:h="926" w:hRule="exact" w:wrap="around" w:x="1627" w:y="2951"/>
        <w:rPr>
          <w:rFonts w:hint="eastAsia" w:hAnsi="黑体"/>
        </w:rPr>
      </w:pPr>
    </w:p>
    <w:p w14:paraId="08E60B8F">
      <w:pPr>
        <w:pStyle w:val="70"/>
        <w:framePr w:wrap="around" w:x="1166" w:y="6824"/>
      </w:pPr>
      <w:bookmarkStart w:id="230" w:name="_GoBack"/>
      <w:bookmarkStart w:id="1" w:name="OLE_LINK3"/>
      <w:r>
        <w:fldChar w:fldCharType="begin">
          <w:ffData>
            <w:name w:val="StdName"/>
            <w:enabled/>
            <w:calcOnExit w:val="0"/>
            <w:textInput>
              <w:default w:val="虚拟电厂运营商技术支持系统技术要求"/>
            </w:textInput>
          </w:ffData>
        </w:fldChar>
      </w:r>
      <w:r>
        <w:instrText xml:space="preserve"> </w:instrText>
      </w:r>
      <w:bookmarkStart w:id="2" w:name="StdName"/>
      <w:r>
        <w:instrText xml:space="preserve">FORMTEXT </w:instrText>
      </w:r>
      <w:r>
        <w:fldChar w:fldCharType="separate"/>
      </w:r>
      <w:r>
        <w:rPr>
          <w:rFonts w:hint="eastAsia"/>
        </w:rPr>
        <w:t>光伏电站发电设备设施检修</w:t>
      </w:r>
      <w:r>
        <w:rPr>
          <w:rFonts w:hint="eastAsia"/>
          <w:lang w:val="en-US" w:eastAsia="zh-CN"/>
        </w:rPr>
        <w:t>技术要求</w:t>
      </w:r>
      <w:r>
        <w:fldChar w:fldCharType="end"/>
      </w:r>
      <w:bookmarkEnd w:id="1"/>
      <w:bookmarkEnd w:id="2"/>
    </w:p>
    <w:bookmarkEnd w:id="230"/>
    <w:p w14:paraId="7C5613AF">
      <w:pPr>
        <w:pStyle w:val="69"/>
        <w:framePr w:wrap="around" w:x="1166" w:y="6824"/>
      </w:pPr>
      <w:r>
        <w:fldChar w:fldCharType="begin">
          <w:ffData>
            <w:name w:val="StdEnglishName"/>
            <w:enabled/>
            <w:calcOnExit w:val="0"/>
            <w:textInput>
              <w:default w:val="Technical requirements for virtual power plant operator technical support system"/>
            </w:textInput>
          </w:ffData>
        </w:fldChar>
      </w:r>
      <w:r>
        <w:instrText xml:space="preserve"> </w:instrText>
      </w:r>
      <w:bookmarkStart w:id="3" w:name="StdEnglishName"/>
      <w:r>
        <w:instrText xml:space="preserve">FORMTEXT </w:instrText>
      </w:r>
      <w:r>
        <w:fldChar w:fldCharType="separate"/>
      </w:r>
      <w:bookmarkStart w:id="4" w:name="OLE_LINK2"/>
      <w:r>
        <w:t>Technical requirements for maintenance of photovoltaic power station generation equipment and facilities</w:t>
      </w:r>
      <w:bookmarkEnd w:id="4"/>
      <w:r>
        <w:fldChar w:fldCharType="end"/>
      </w:r>
      <w:bookmarkEnd w:id="3"/>
    </w:p>
    <w:p w14:paraId="0D3E1D42">
      <w:pPr>
        <w:pStyle w:val="72"/>
        <w:framePr w:wrap="around" w:x="1166" w:y="6824"/>
        <w:jc w:val="both"/>
      </w:pPr>
    </w:p>
    <w:tbl>
      <w:tblPr>
        <w:tblStyle w:val="35"/>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55"/>
      </w:tblGrid>
      <w:tr w14:paraId="325AC3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5" w:type="dxa"/>
            <w:tcBorders>
              <w:top w:val="nil"/>
              <w:left w:val="nil"/>
              <w:bottom w:val="nil"/>
              <w:right w:val="nil"/>
            </w:tcBorders>
          </w:tcPr>
          <w:p w14:paraId="22F52A0C">
            <w:pPr>
              <w:pStyle w:val="91"/>
              <w:framePr w:wrap="around" w:x="1166" w:y="6824"/>
            </w:pPr>
            <w:r>
              <w:rPr>
                <w:rFonts w:hint="eastAsia"/>
              </w:rPr>
              <w:t>（征求意见稿）</w:t>
            </w:r>
            <w:r>
              <mc:AlternateContent>
                <mc:Choice Requires="wps">
                  <w:drawing>
                    <wp:anchor distT="0" distB="0" distL="114300" distR="114300" simplePos="0" relativeHeight="251661312" behindDoc="1" locked="1" layoutInCell="1" allowOverlap="1">
                      <wp:simplePos x="0" y="0"/>
                      <wp:positionH relativeFrom="column">
                        <wp:posOffset>2200910</wp:posOffset>
                      </wp:positionH>
                      <wp:positionV relativeFrom="paragraph">
                        <wp:posOffset>573405</wp:posOffset>
                      </wp:positionV>
                      <wp:extent cx="1905000" cy="254000"/>
                      <wp:effectExtent l="0" t="0" r="2540" b="0"/>
                      <wp:wrapNone/>
                      <wp:docPr id="1031502720" name="RQ"/>
                      <wp:cNvGraphicFramePr/>
                      <a:graphic xmlns:a="http://schemas.openxmlformats.org/drawingml/2006/main">
                        <a:graphicData uri="http://schemas.microsoft.com/office/word/2010/wordprocessingShape">
                          <wps:wsp>
                            <wps:cNvSpPr>
                              <a:spLocks noChangeArrowheads="1"/>
                            </wps:cNvSpPr>
                            <wps:spPr bwMode="auto">
                              <a:xfrm>
                                <a:off x="0" y="0"/>
                                <a:ext cx="1905000" cy="25400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w:pict>
                    <v:rect id="RQ" o:spid="_x0000_s1026" o:spt="1" style="position:absolute;left:0pt;margin-left:173.3pt;margin-top:45.15pt;height:20pt;width:150pt;z-index:-251655168;mso-width-relative:page;mso-height-relative:page;" fillcolor="#FFFFFF" filled="t" stroked="f" coordsize="21600,21600" o:gfxdata="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Fia6S1QAAAAoBAAAPAAAAAAAAAAEAIAAA&#10;ACIAAABkcnMvZG93bnJldi54bWxQSwECFAAUAAAACACHTuJAoWWosw8CAAApBAAADgAAAAAAAAAB&#10;ACAAAAAkAQAAZHJzL2Uyb0RvYy54bWxQSwUGAAAAAAYABgBZAQAApQUAAAAA&#10;">
                      <v:fill on="t" focussize="0,0"/>
                      <v:stroke on="f"/>
                      <v:imagedata o:title=""/>
                      <o:lock v:ext="edit" aspectratio="f"/>
                      <w10:anchorlock/>
                    </v:rect>
                  </w:pict>
                </mc:Fallback>
              </mc:AlternateContent>
            </w:r>
            <w:r>
              <mc:AlternateContent>
                <mc:Choice Requires="wps">
                  <w:drawing>
                    <wp:anchor distT="0" distB="0" distL="114300" distR="114300" simplePos="0" relativeHeight="251660288" behindDoc="1" locked="0" layoutInCell="1" allowOverlap="1">
                      <wp:simplePos x="0" y="0"/>
                      <wp:positionH relativeFrom="column">
                        <wp:posOffset>2454910</wp:posOffset>
                      </wp:positionH>
                      <wp:positionV relativeFrom="paragraph">
                        <wp:posOffset>255905</wp:posOffset>
                      </wp:positionV>
                      <wp:extent cx="1270000" cy="304800"/>
                      <wp:effectExtent l="3810" t="3810" r="2540" b="0"/>
                      <wp:wrapNone/>
                      <wp:docPr id="1016892432" name="LB"/>
                      <wp:cNvGraphicFramePr/>
                      <a:graphic xmlns:a="http://schemas.openxmlformats.org/drawingml/2006/main">
                        <a:graphicData uri="http://schemas.microsoft.com/office/word/2010/wordprocessingShape">
                          <wps:wsp>
                            <wps:cNvSpPr>
                              <a:spLocks noChangeArrowheads="1"/>
                            </wps:cNvSpPr>
                            <wps:spPr bwMode="auto">
                              <a:xfrm>
                                <a:off x="0" y="0"/>
                                <a:ext cx="1270000" cy="30480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w:pict>
                    <v:rect id="LB" o:spid="_x0000_s1026" o:spt="1" style="position:absolute;left:0pt;margin-left:193.3pt;margin-top:20.15pt;height:24pt;width:100pt;z-index:-251656192;mso-width-relative:page;mso-height-relative:page;" fillcolor="#FFFFFF" filled="t" stroked="f" coordsize="21600,21600" o:gfxdata="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D4Yvl1gAAAAkBAAAPAAAAAAAAAAEA&#10;IAAAACIAAABkcnMvZG93bnJldi54bWxQSwECFAAUAAAACACHTuJAdp9Z1RECAAApBAAADgAAAAAA&#10;AAABACAAAAAlAQAAZHJzL2Uyb0RvYy54bWxQSwUGAAAAAAYABgBZAQAAqAUAAAAA&#10;">
                      <v:fill on="t" focussize="0,0"/>
                      <v:stroke on="f"/>
                      <v:imagedata o:title=""/>
                      <o:lock v:ext="edit" aspectratio="f"/>
                    </v:rect>
                  </w:pict>
                </mc:Fallback>
              </mc:AlternateContent>
            </w:r>
          </w:p>
        </w:tc>
      </w:tr>
      <w:tr w14:paraId="5C1597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5" w:type="dxa"/>
            <w:tcBorders>
              <w:top w:val="nil"/>
              <w:left w:val="nil"/>
              <w:bottom w:val="nil"/>
              <w:right w:val="nil"/>
            </w:tcBorders>
          </w:tcPr>
          <w:p w14:paraId="5F019DF5">
            <w:pPr>
              <w:pStyle w:val="93"/>
              <w:framePr w:wrap="around" w:x="1166" w:y="6824"/>
              <w:jc w:val="both"/>
            </w:pPr>
          </w:p>
        </w:tc>
      </w:tr>
    </w:tbl>
    <w:p w14:paraId="436E28A2">
      <w:pPr>
        <w:pStyle w:val="111"/>
        <w:framePr w:wrap="around" w:x="1132" w:y="14081"/>
      </w:pPr>
      <w:r>
        <w:rPr>
          <w:rFonts w:hint="eastAsia" w:ascii="黑体"/>
        </w:rPr>
        <w:t>2026</w:t>
      </w:r>
      <w:r>
        <w:t xml:space="preserve"> </w:t>
      </w:r>
      <w:r>
        <w:rPr>
          <w:rFonts w:ascii="黑体"/>
        </w:rPr>
        <w:t>-</w:t>
      </w:r>
      <w:r>
        <w:rPr>
          <w:rFonts w:hint="eastAsia" w:ascii="黑体"/>
        </w:rPr>
        <w:t>XX</w:t>
      </w:r>
      <w:r>
        <w:rPr>
          <w:rFonts w:ascii="黑体"/>
        </w:rPr>
        <w:t>-</w:t>
      </w:r>
      <w:r>
        <w:rPr>
          <w:rFonts w:hint="eastAsia" w:ascii="黑体"/>
        </w:rPr>
        <w:t>XX</w:t>
      </w:r>
      <w:r>
        <w:rPr>
          <w:rFonts w:hint="eastAsia"/>
        </w:rPr>
        <w:t>发布</w:t>
      </w:r>
      <w:r>
        <mc:AlternateContent>
          <mc:Choice Requires="wps">
            <w:drawing>
              <wp:anchor distT="0" distB="0" distL="114300" distR="114300" simplePos="0" relativeHeight="251663360" behindDoc="0" locked="0" layoutInCell="1" allowOverlap="1">
                <wp:simplePos x="0" y="0"/>
                <wp:positionH relativeFrom="column">
                  <wp:posOffset>-635</wp:posOffset>
                </wp:positionH>
                <wp:positionV relativeFrom="paragraph">
                  <wp:posOffset>-6250940</wp:posOffset>
                </wp:positionV>
                <wp:extent cx="6120130" cy="0"/>
                <wp:effectExtent l="12700" t="13335" r="10795" b="15240"/>
                <wp:wrapNone/>
                <wp:docPr id="739947157" name="直线 45"/>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19050">
                          <a:solidFill>
                            <a:srgbClr val="000000"/>
                          </a:solidFill>
                          <a:round/>
                        </a:ln>
                      </wps:spPr>
                      <wps:bodyPr/>
                    </wps:wsp>
                  </a:graphicData>
                </a:graphic>
              </wp:anchor>
            </w:drawing>
          </mc:Choice>
          <mc:Fallback>
            <w:pict>
              <v:line id="直线 45" o:spid="_x0000_s1026" o:spt="20" style="position:absolute;left:0pt;margin-left:-0.05pt;margin-top:-492.2pt;height:0pt;width:481.9pt;z-index:251663360;mso-width-relative:page;mso-height-relative:page;" filled="f" stroked="t" coordsize="21600,21600" o:gfxdata="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CwOQedYAAAALAQAADwAA&#10;AAAAAAABACAAAAAiAAAAZHJzL2Rvd25yZXYueG1sUEsBAhQAFAAAAAgAh07iQKMUWCbfAQAAqwMA&#10;AA4AAAAAAAAAAQAgAAAAJQEAAGRycy9lMm9Eb2MueG1sUEsFBgAAAAAGAAYAWQEAAHYFAAAAAA==&#10;">
                <v:fill on="f" focussize="0,0"/>
                <v:stroke weight="1.5pt" color="#000000" joinstyle="round"/>
                <v:imagedata o:title=""/>
                <o:lock v:ext="edit" aspectratio="f"/>
              </v:line>
            </w:pict>
          </mc:Fallback>
        </mc:AlternateContent>
      </w:r>
    </w:p>
    <w:p w14:paraId="7419A46B">
      <w:pPr>
        <w:pStyle w:val="106"/>
        <w:framePr w:wrap="around" w:x="6749" w:y="14020"/>
      </w:pPr>
      <w:r>
        <w:rPr>
          <w:rFonts w:hint="eastAsia" w:ascii="黑体"/>
        </w:rPr>
        <w:t>2026</w:t>
      </w:r>
      <w:r>
        <w:t xml:space="preserve"> </w:t>
      </w:r>
      <w:r>
        <w:rPr>
          <w:rFonts w:ascii="黑体"/>
        </w:rPr>
        <w:t>-</w:t>
      </w:r>
      <w:r>
        <w:rPr>
          <w:rFonts w:hint="eastAsia" w:ascii="黑体"/>
        </w:rPr>
        <w:t>XX</w:t>
      </w:r>
      <w:r>
        <w:t xml:space="preserve"> </w:t>
      </w:r>
      <w:r>
        <w:rPr>
          <w:rFonts w:ascii="黑体"/>
        </w:rPr>
        <w:t>-</w:t>
      </w:r>
      <w:r>
        <w:rPr>
          <w:rFonts w:hint="eastAsia"/>
        </w:rPr>
        <w:t>XX实施</w:t>
      </w:r>
    </w:p>
    <w:p w14:paraId="16C58759">
      <w:pPr>
        <w:pStyle w:val="130"/>
        <w:framePr w:h="758" w:hRule="exact" w:wrap="around"/>
        <w:rPr>
          <w:sz w:val="32"/>
          <w:szCs w:val="32"/>
        </w:rPr>
      </w:pPr>
      <w:r>
        <w:rPr>
          <w:rFonts w:hint="eastAsia"/>
          <w:sz w:val="32"/>
          <w:szCs w:val="32"/>
        </w:rPr>
        <w:t>中国能源研究会</w:t>
      </w:r>
      <w:r>
        <w:rPr>
          <w:sz w:val="32"/>
          <w:szCs w:val="32"/>
        </w:rPr>
        <w:t>发布</w:t>
      </w:r>
    </w:p>
    <w:p w14:paraId="32E61928">
      <w:pPr>
        <w:pStyle w:val="25"/>
        <w:sectPr>
          <w:pgSz w:w="11906" w:h="16838"/>
          <w:pgMar w:top="567" w:right="1418" w:bottom="1134" w:left="1418" w:header="0" w:footer="0" w:gutter="0"/>
          <w:pgNumType w:start="1"/>
          <w:cols w:space="720" w:num="1"/>
          <w:docGrid w:type="lines" w:linePitch="312" w:charSpace="0"/>
        </w:sectPr>
      </w:pPr>
      <w:r>
        <w:rPr>
          <w:rFonts w:ascii="黑体"/>
        </w:rPr>
        <mc:AlternateContent>
          <mc:Choice Requires="wps">
            <w:drawing>
              <wp:anchor distT="0" distB="0" distL="114300" distR="114300" simplePos="0" relativeHeight="251664384" behindDoc="0" locked="0" layoutInCell="1" allowOverlap="1">
                <wp:simplePos x="0" y="0"/>
                <wp:positionH relativeFrom="column">
                  <wp:posOffset>-182245</wp:posOffset>
                </wp:positionH>
                <wp:positionV relativeFrom="paragraph">
                  <wp:posOffset>8891905</wp:posOffset>
                </wp:positionV>
                <wp:extent cx="6120130" cy="0"/>
                <wp:effectExtent l="13335" t="12700" r="10160" b="6350"/>
                <wp:wrapNone/>
                <wp:docPr id="423985796" name="直线 44"/>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w:pict>
              <v:line id="直线 44" o:spid="_x0000_s1026" o:spt="20" style="position:absolute;left:0pt;margin-left:-14.35pt;margin-top:700.15pt;height:0pt;width:481.9pt;z-index:251664384;mso-width-relative:page;mso-height-relative:page;" filled="f" stroked="t" coordsize="21600,21600" o:gfxdata="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Of0Ww/YAAAADQEAAA8A&#10;AAAAAAAAAQAgAAAAIgAAAGRycy9kb3ducmV2LnhtbFBLAQIUABQAAAAIAIdO4kCIU9993gEAAKoD&#10;AAAOAAAAAAAAAAEAIAAAACcBAABkcnMvZTJvRG9jLnhtbFBLBQYAAAAABgAGAFkBAAB3BQAAAAA=&#10;">
                <v:fill on="f" focussize="0,0"/>
                <v:stroke color="#000000" joinstyle="round"/>
                <v:imagedata o:title=""/>
                <o:lock v:ext="edit" aspectratio="f"/>
              </v:line>
            </w:pict>
          </mc:Fallback>
        </mc:AlternateContent>
      </w:r>
    </w:p>
    <w:p w14:paraId="405FD35F">
      <w:pPr>
        <w:jc w:val="center"/>
        <w:rPr>
          <w:rFonts w:hint="eastAsia" w:ascii="黑体" w:hAnsi="黑体" w:eastAsia="黑体"/>
          <w:b/>
          <w:bCs/>
          <w:sz w:val="32"/>
          <w:szCs w:val="32"/>
        </w:rPr>
      </w:pPr>
      <w:bookmarkStart w:id="5" w:name="_Toc525119157"/>
      <w:bookmarkStart w:id="6" w:name="_Toc525302990"/>
      <w:r>
        <w:rPr>
          <w:rFonts w:hint="eastAsia" w:ascii="黑体" w:hAnsi="黑体" w:eastAsia="黑体"/>
          <w:b/>
          <w:bCs/>
          <w:sz w:val="32"/>
          <w:szCs w:val="32"/>
        </w:rPr>
        <w:t>目</w:t>
      </w:r>
      <w:bookmarkStart w:id="7" w:name="BKML"/>
      <w:r>
        <w:rPr>
          <w:rFonts w:ascii="黑体" w:hAnsi="黑体" w:eastAsia="黑体"/>
          <w:b/>
          <w:bCs/>
          <w:sz w:val="32"/>
          <w:szCs w:val="32"/>
        </w:rPr>
        <w:t>  </w:t>
      </w:r>
      <w:r>
        <w:rPr>
          <w:rFonts w:hint="eastAsia" w:ascii="黑体" w:hAnsi="黑体" w:eastAsia="黑体"/>
          <w:b/>
          <w:bCs/>
          <w:sz w:val="32"/>
          <w:szCs w:val="32"/>
        </w:rPr>
        <w:t>次</w:t>
      </w:r>
      <w:bookmarkEnd w:id="5"/>
      <w:bookmarkEnd w:id="6"/>
      <w:bookmarkEnd w:id="7"/>
    </w:p>
    <w:p w14:paraId="373CB40F">
      <w:pPr>
        <w:jc w:val="center"/>
        <w:rPr>
          <w:rFonts w:hint="eastAsia" w:ascii="黑体" w:hAnsi="黑体" w:eastAsia="黑体"/>
          <w:b/>
          <w:bCs/>
          <w:sz w:val="32"/>
          <w:szCs w:val="32"/>
        </w:rPr>
      </w:pPr>
    </w:p>
    <w:p w14:paraId="00C22CF5">
      <w:pPr>
        <w:pStyle w:val="21"/>
        <w:tabs>
          <w:tab w:val="right" w:leader="dot" w:pos="9298"/>
          <w:tab w:val="clear" w:pos="9241"/>
        </w:tabs>
      </w:pPr>
      <w:r>
        <w:fldChar w:fldCharType="begin"/>
      </w:r>
      <w:r>
        <w:instrText xml:space="preserve"> TOC \o "1-3" \h \z \u </w:instrText>
      </w:r>
      <w:r>
        <w:fldChar w:fldCharType="separate"/>
      </w:r>
      <w:r>
        <w:fldChar w:fldCharType="begin"/>
      </w:r>
      <w:r>
        <w:instrText xml:space="preserve"> HYPERLINK \l _Toc10922 </w:instrText>
      </w:r>
      <w:r>
        <w:fldChar w:fldCharType="separate"/>
      </w:r>
      <w:r>
        <w:rPr>
          <w:rFonts w:hint="eastAsia"/>
        </w:rPr>
        <w:t>前</w:t>
      </w:r>
      <w:r>
        <w:rPr>
          <w:rFonts w:hAnsi="黑体"/>
        </w:rPr>
        <w:t>  </w:t>
      </w:r>
      <w:r>
        <w:rPr>
          <w:rFonts w:hint="eastAsia"/>
        </w:rPr>
        <w:t>言</w:t>
      </w:r>
      <w:r>
        <w:tab/>
      </w:r>
      <w:r>
        <w:fldChar w:fldCharType="begin"/>
      </w:r>
      <w:r>
        <w:instrText xml:space="preserve"> PAGEREF _Toc10922 \h </w:instrText>
      </w:r>
      <w:r>
        <w:fldChar w:fldCharType="separate"/>
      </w:r>
      <w:r>
        <w:t>II</w:t>
      </w:r>
      <w:r>
        <w:fldChar w:fldCharType="end"/>
      </w:r>
      <w:r>
        <w:fldChar w:fldCharType="end"/>
      </w:r>
    </w:p>
    <w:p w14:paraId="5F703A6E">
      <w:pPr>
        <w:pStyle w:val="30"/>
        <w:tabs>
          <w:tab w:val="right" w:leader="dot" w:pos="9298"/>
          <w:tab w:val="clear" w:pos="9241"/>
        </w:tabs>
      </w:pPr>
      <w:r>
        <w:fldChar w:fldCharType="begin"/>
      </w:r>
      <w:r>
        <w:instrText xml:space="preserve"> HYPERLINK \l _Toc11020 </w:instrText>
      </w:r>
      <w:r>
        <w:fldChar w:fldCharType="separate"/>
      </w:r>
      <w:r>
        <w:rPr>
          <w:rFonts w:hint="eastAsia" w:ascii="黑体" w:hAnsi="Times New Roman" w:eastAsia="黑体"/>
          <w:i w:val="0"/>
          <w:szCs w:val="21"/>
        </w:rPr>
        <w:t xml:space="preserve">1 </w:t>
      </w:r>
      <w:r>
        <w:rPr>
          <w:rFonts w:hint="eastAsia"/>
        </w:rPr>
        <w:t>范围</w:t>
      </w:r>
      <w:r>
        <w:tab/>
      </w:r>
      <w:r>
        <w:fldChar w:fldCharType="begin"/>
      </w:r>
      <w:r>
        <w:instrText xml:space="preserve"> PAGEREF _Toc11020 \h </w:instrText>
      </w:r>
      <w:r>
        <w:fldChar w:fldCharType="separate"/>
      </w:r>
      <w:r>
        <w:t>1</w:t>
      </w:r>
      <w:r>
        <w:fldChar w:fldCharType="end"/>
      </w:r>
      <w:r>
        <w:fldChar w:fldCharType="end"/>
      </w:r>
    </w:p>
    <w:p w14:paraId="0E15E5A1">
      <w:pPr>
        <w:pStyle w:val="30"/>
        <w:tabs>
          <w:tab w:val="right" w:leader="dot" w:pos="9298"/>
          <w:tab w:val="clear" w:pos="9241"/>
        </w:tabs>
      </w:pPr>
      <w:r>
        <w:fldChar w:fldCharType="begin"/>
      </w:r>
      <w:r>
        <w:instrText xml:space="preserve"> HYPERLINK \l _Toc21067 </w:instrText>
      </w:r>
      <w:r>
        <w:fldChar w:fldCharType="separate"/>
      </w:r>
      <w:r>
        <w:rPr>
          <w:rFonts w:hint="eastAsia" w:ascii="黑体" w:hAnsi="Times New Roman" w:eastAsia="黑体"/>
          <w:i w:val="0"/>
          <w:szCs w:val="21"/>
        </w:rPr>
        <w:t xml:space="preserve">2 </w:t>
      </w:r>
      <w:r>
        <w:rPr>
          <w:rFonts w:hint="eastAsia"/>
        </w:rPr>
        <w:t>规范性引用文件</w:t>
      </w:r>
      <w:r>
        <w:tab/>
      </w:r>
      <w:r>
        <w:fldChar w:fldCharType="begin"/>
      </w:r>
      <w:r>
        <w:instrText xml:space="preserve"> PAGEREF _Toc21067 \h </w:instrText>
      </w:r>
      <w:r>
        <w:fldChar w:fldCharType="separate"/>
      </w:r>
      <w:r>
        <w:t>1</w:t>
      </w:r>
      <w:r>
        <w:fldChar w:fldCharType="end"/>
      </w:r>
      <w:r>
        <w:fldChar w:fldCharType="end"/>
      </w:r>
    </w:p>
    <w:p w14:paraId="396FC678">
      <w:pPr>
        <w:pStyle w:val="30"/>
        <w:tabs>
          <w:tab w:val="right" w:leader="dot" w:pos="9298"/>
          <w:tab w:val="clear" w:pos="9241"/>
        </w:tabs>
      </w:pPr>
      <w:r>
        <w:fldChar w:fldCharType="begin"/>
      </w:r>
      <w:r>
        <w:instrText xml:space="preserve"> HYPERLINK \l _Toc9919 </w:instrText>
      </w:r>
      <w:r>
        <w:fldChar w:fldCharType="separate"/>
      </w:r>
      <w:r>
        <w:rPr>
          <w:rFonts w:hint="eastAsia" w:ascii="黑体" w:hAnsi="Times New Roman" w:eastAsia="黑体"/>
          <w:i w:val="0"/>
          <w:szCs w:val="21"/>
        </w:rPr>
        <w:t xml:space="preserve">3 </w:t>
      </w:r>
      <w:r>
        <w:rPr>
          <w:rFonts w:hint="eastAsia"/>
        </w:rPr>
        <w:t>术语和定义</w:t>
      </w:r>
      <w:r>
        <w:tab/>
      </w:r>
      <w:r>
        <w:fldChar w:fldCharType="begin"/>
      </w:r>
      <w:r>
        <w:instrText xml:space="preserve"> PAGEREF _Toc9919 \h </w:instrText>
      </w:r>
      <w:r>
        <w:fldChar w:fldCharType="separate"/>
      </w:r>
      <w:r>
        <w:t>1</w:t>
      </w:r>
      <w:r>
        <w:fldChar w:fldCharType="end"/>
      </w:r>
      <w:r>
        <w:fldChar w:fldCharType="end"/>
      </w:r>
    </w:p>
    <w:p w14:paraId="1FEA5861">
      <w:pPr>
        <w:pStyle w:val="14"/>
        <w:tabs>
          <w:tab w:val="right" w:leader="dot" w:pos="9298"/>
          <w:tab w:val="clear" w:pos="9241"/>
        </w:tabs>
      </w:pPr>
      <w:r>
        <w:fldChar w:fldCharType="begin"/>
      </w:r>
      <w:r>
        <w:instrText xml:space="preserve"> HYPERLINK \l _Toc20860 </w:instrText>
      </w:r>
      <w:r>
        <w:fldChar w:fldCharType="separate"/>
      </w:r>
      <w:r>
        <w:rPr>
          <w:rFonts w:hint="eastAsia" w:ascii="黑体" w:hAnsi="Times New Roman" w:eastAsia="黑体" w:cs="Times New Roman"/>
          <w:bCs w:val="0"/>
          <w:i w:val="0"/>
          <w:iCs w:val="0"/>
          <w:caps w:val="0"/>
          <w:strike w:val="0"/>
          <w:dstrike w:val="0"/>
          <w:vanish w:val="0"/>
          <w:spacing w:val="0"/>
          <w:kern w:val="0"/>
          <w:position w:val="0"/>
          <w:szCs w:val="21"/>
          <w:vertAlign w:val="baseline"/>
        </w:rPr>
        <w:t xml:space="preserve">3.1 </w:t>
      </w:r>
      <w:r>
        <w:fldChar w:fldCharType="end"/>
      </w:r>
      <w:r>
        <w:fldChar w:fldCharType="begin"/>
      </w:r>
      <w:r>
        <w:instrText xml:space="preserve"> HYPERLINK \l _Toc1254 </w:instrText>
      </w:r>
      <w:r>
        <w:fldChar w:fldCharType="separate"/>
      </w:r>
      <w:r>
        <w:rPr>
          <w:rFonts w:hint="eastAsia"/>
        </w:rPr>
        <w:t xml:space="preserve">光伏发电单元 </w:t>
      </w:r>
      <w:r>
        <w:tab/>
      </w:r>
      <w:r>
        <w:fldChar w:fldCharType="begin"/>
      </w:r>
      <w:r>
        <w:instrText xml:space="preserve"> PAGEREF _Toc1254 \h </w:instrText>
      </w:r>
      <w:r>
        <w:fldChar w:fldCharType="separate"/>
      </w:r>
      <w:r>
        <w:t>1</w:t>
      </w:r>
      <w:r>
        <w:fldChar w:fldCharType="end"/>
      </w:r>
      <w:r>
        <w:fldChar w:fldCharType="end"/>
      </w:r>
    </w:p>
    <w:p w14:paraId="47E342A0">
      <w:pPr>
        <w:pStyle w:val="14"/>
        <w:tabs>
          <w:tab w:val="right" w:leader="dot" w:pos="9298"/>
          <w:tab w:val="clear" w:pos="9241"/>
        </w:tabs>
      </w:pPr>
      <w:r>
        <w:fldChar w:fldCharType="begin"/>
      </w:r>
      <w:r>
        <w:instrText xml:space="preserve"> HYPERLINK \l _Toc3060 </w:instrText>
      </w:r>
      <w:r>
        <w:fldChar w:fldCharType="separate"/>
      </w:r>
      <w:r>
        <w:rPr>
          <w:rFonts w:hint="eastAsia" w:ascii="黑体" w:hAnsi="Times New Roman" w:eastAsia="黑体" w:cs="Times New Roman"/>
          <w:bCs w:val="0"/>
          <w:i w:val="0"/>
          <w:iCs w:val="0"/>
          <w:caps w:val="0"/>
          <w:strike w:val="0"/>
          <w:dstrike w:val="0"/>
          <w:vanish w:val="0"/>
          <w:spacing w:val="0"/>
          <w:kern w:val="0"/>
          <w:position w:val="0"/>
          <w:szCs w:val="21"/>
          <w:vertAlign w:val="baseline"/>
        </w:rPr>
        <w:t xml:space="preserve">3.2 </w:t>
      </w:r>
      <w:r>
        <w:fldChar w:fldCharType="end"/>
      </w:r>
      <w:r>
        <w:fldChar w:fldCharType="begin"/>
      </w:r>
      <w:r>
        <w:instrText xml:space="preserve"> HYPERLINK \l _Toc7768 </w:instrText>
      </w:r>
      <w:r>
        <w:fldChar w:fldCharType="separate"/>
      </w:r>
      <w:r>
        <w:rPr>
          <w:rFonts w:hint="eastAsia"/>
        </w:rPr>
        <w:t xml:space="preserve">定期检修 </w:t>
      </w:r>
      <w:r>
        <w:tab/>
      </w:r>
      <w:r>
        <w:fldChar w:fldCharType="begin"/>
      </w:r>
      <w:r>
        <w:instrText xml:space="preserve"> PAGEREF _Toc7768 \h </w:instrText>
      </w:r>
      <w:r>
        <w:fldChar w:fldCharType="separate"/>
      </w:r>
      <w:r>
        <w:t>1</w:t>
      </w:r>
      <w:r>
        <w:fldChar w:fldCharType="end"/>
      </w:r>
      <w:r>
        <w:fldChar w:fldCharType="end"/>
      </w:r>
    </w:p>
    <w:p w14:paraId="05910DDD">
      <w:pPr>
        <w:pStyle w:val="14"/>
        <w:tabs>
          <w:tab w:val="right" w:leader="dot" w:pos="9298"/>
          <w:tab w:val="clear" w:pos="9241"/>
        </w:tabs>
      </w:pPr>
      <w:r>
        <w:fldChar w:fldCharType="begin"/>
      </w:r>
      <w:r>
        <w:instrText xml:space="preserve"> HYPERLINK \l _Toc3641 </w:instrText>
      </w:r>
      <w:r>
        <w:fldChar w:fldCharType="separate"/>
      </w:r>
      <w:r>
        <w:rPr>
          <w:rFonts w:hint="eastAsia" w:ascii="黑体" w:hAnsi="Times New Roman" w:eastAsia="黑体" w:cs="Times New Roman"/>
          <w:bCs w:val="0"/>
          <w:i w:val="0"/>
          <w:iCs w:val="0"/>
          <w:caps w:val="0"/>
          <w:strike w:val="0"/>
          <w:dstrike w:val="0"/>
          <w:vanish w:val="0"/>
          <w:spacing w:val="0"/>
          <w:kern w:val="0"/>
          <w:position w:val="0"/>
          <w:szCs w:val="21"/>
          <w:vertAlign w:val="baseline"/>
        </w:rPr>
        <w:t xml:space="preserve">3.3 </w:t>
      </w:r>
      <w:r>
        <w:fldChar w:fldCharType="end"/>
      </w:r>
      <w:r>
        <w:fldChar w:fldCharType="begin"/>
      </w:r>
      <w:r>
        <w:instrText xml:space="preserve"> HYPERLINK \l _Toc12383 </w:instrText>
      </w:r>
      <w:r>
        <w:fldChar w:fldCharType="separate"/>
      </w:r>
      <w:r>
        <w:rPr>
          <w:rFonts w:hint="eastAsia"/>
        </w:rPr>
        <w:t>故障检修</w:t>
      </w:r>
      <w:r>
        <w:t xml:space="preserve"> </w:t>
      </w:r>
      <w:r>
        <w:tab/>
      </w:r>
      <w:r>
        <w:fldChar w:fldCharType="begin"/>
      </w:r>
      <w:r>
        <w:instrText xml:space="preserve"> PAGEREF _Toc12383 \h </w:instrText>
      </w:r>
      <w:r>
        <w:fldChar w:fldCharType="separate"/>
      </w:r>
      <w:r>
        <w:t>1</w:t>
      </w:r>
      <w:r>
        <w:fldChar w:fldCharType="end"/>
      </w:r>
      <w:r>
        <w:fldChar w:fldCharType="end"/>
      </w:r>
    </w:p>
    <w:p w14:paraId="30ED18ED">
      <w:pPr>
        <w:pStyle w:val="14"/>
        <w:tabs>
          <w:tab w:val="right" w:leader="dot" w:pos="9298"/>
          <w:tab w:val="clear" w:pos="9241"/>
        </w:tabs>
      </w:pPr>
      <w:r>
        <w:fldChar w:fldCharType="begin"/>
      </w:r>
      <w:r>
        <w:instrText xml:space="preserve"> HYPERLINK \l _Toc32705 </w:instrText>
      </w:r>
      <w:r>
        <w:fldChar w:fldCharType="separate"/>
      </w:r>
      <w:r>
        <w:rPr>
          <w:rFonts w:hint="eastAsia" w:ascii="黑体" w:hAnsi="Times New Roman" w:eastAsia="黑体" w:cs="Times New Roman"/>
          <w:bCs w:val="0"/>
          <w:i w:val="0"/>
          <w:iCs w:val="0"/>
          <w:caps w:val="0"/>
          <w:strike w:val="0"/>
          <w:dstrike w:val="0"/>
          <w:vanish w:val="0"/>
          <w:spacing w:val="0"/>
          <w:kern w:val="0"/>
          <w:position w:val="0"/>
          <w:szCs w:val="21"/>
          <w:vertAlign w:val="baseline"/>
        </w:rPr>
        <w:t xml:space="preserve">3.4 </w:t>
      </w:r>
      <w:r>
        <w:fldChar w:fldCharType="end"/>
      </w:r>
      <w:r>
        <w:fldChar w:fldCharType="begin"/>
      </w:r>
      <w:r>
        <w:instrText xml:space="preserve"> HYPERLINK \l _Toc3725 </w:instrText>
      </w:r>
      <w:r>
        <w:fldChar w:fldCharType="separate"/>
      </w:r>
      <w:r>
        <w:rPr>
          <w:rFonts w:hint="eastAsia"/>
        </w:rPr>
        <w:t xml:space="preserve">状态检修 </w:t>
      </w:r>
      <w:r>
        <w:tab/>
      </w:r>
      <w:r>
        <w:fldChar w:fldCharType="begin"/>
      </w:r>
      <w:r>
        <w:instrText xml:space="preserve"> PAGEREF _Toc3725 \h </w:instrText>
      </w:r>
      <w:r>
        <w:fldChar w:fldCharType="separate"/>
      </w:r>
      <w:r>
        <w:t>2</w:t>
      </w:r>
      <w:r>
        <w:fldChar w:fldCharType="end"/>
      </w:r>
      <w:r>
        <w:fldChar w:fldCharType="end"/>
      </w:r>
    </w:p>
    <w:p w14:paraId="1B37F76B">
      <w:pPr>
        <w:pStyle w:val="14"/>
        <w:tabs>
          <w:tab w:val="right" w:leader="dot" w:pos="9298"/>
          <w:tab w:val="clear" w:pos="9241"/>
        </w:tabs>
      </w:pPr>
      <w:r>
        <w:fldChar w:fldCharType="begin"/>
      </w:r>
      <w:r>
        <w:instrText xml:space="preserve"> HYPERLINK \l _Toc20485 </w:instrText>
      </w:r>
      <w:r>
        <w:fldChar w:fldCharType="separate"/>
      </w:r>
      <w:r>
        <w:rPr>
          <w:rFonts w:hint="eastAsia" w:ascii="黑体" w:hAnsi="Times New Roman" w:eastAsia="黑体" w:cs="Times New Roman"/>
          <w:bCs w:val="0"/>
          <w:i w:val="0"/>
          <w:iCs w:val="0"/>
          <w:caps w:val="0"/>
          <w:strike w:val="0"/>
          <w:dstrike w:val="0"/>
          <w:vanish w:val="0"/>
          <w:spacing w:val="0"/>
          <w:kern w:val="0"/>
          <w:position w:val="0"/>
          <w:szCs w:val="21"/>
          <w:vertAlign w:val="baseline"/>
        </w:rPr>
        <w:t xml:space="preserve">3.5 </w:t>
      </w:r>
      <w:r>
        <w:fldChar w:fldCharType="end"/>
      </w:r>
      <w:r>
        <w:fldChar w:fldCharType="begin"/>
      </w:r>
      <w:r>
        <w:instrText xml:space="preserve"> HYPERLINK \l _Toc21498 </w:instrText>
      </w:r>
      <w:r>
        <w:fldChar w:fldCharType="separate"/>
      </w:r>
      <w:r>
        <w:rPr>
          <w:rFonts w:hint="eastAsia"/>
        </w:rPr>
        <w:t xml:space="preserve">例行试验 </w:t>
      </w:r>
      <w:r>
        <w:tab/>
      </w:r>
      <w:r>
        <w:fldChar w:fldCharType="begin"/>
      </w:r>
      <w:r>
        <w:instrText xml:space="preserve"> PAGEREF _Toc21498 \h </w:instrText>
      </w:r>
      <w:r>
        <w:fldChar w:fldCharType="separate"/>
      </w:r>
      <w:r>
        <w:t>2</w:t>
      </w:r>
      <w:r>
        <w:fldChar w:fldCharType="end"/>
      </w:r>
      <w:r>
        <w:fldChar w:fldCharType="end"/>
      </w:r>
    </w:p>
    <w:p w14:paraId="5807B2FB">
      <w:pPr>
        <w:pStyle w:val="14"/>
        <w:tabs>
          <w:tab w:val="right" w:leader="dot" w:pos="9298"/>
          <w:tab w:val="clear" w:pos="9241"/>
        </w:tabs>
      </w:pPr>
      <w:r>
        <w:fldChar w:fldCharType="begin"/>
      </w:r>
      <w:r>
        <w:instrText xml:space="preserve"> HYPERLINK \l _Toc31028 </w:instrText>
      </w:r>
      <w:r>
        <w:fldChar w:fldCharType="separate"/>
      </w:r>
      <w:r>
        <w:rPr>
          <w:rFonts w:hint="eastAsia" w:ascii="黑体" w:hAnsi="Times New Roman" w:eastAsia="黑体" w:cs="Times New Roman"/>
          <w:bCs w:val="0"/>
          <w:i w:val="0"/>
          <w:iCs w:val="0"/>
          <w:caps w:val="0"/>
          <w:strike w:val="0"/>
          <w:dstrike w:val="0"/>
          <w:vanish w:val="0"/>
          <w:spacing w:val="0"/>
          <w:kern w:val="0"/>
          <w:position w:val="0"/>
          <w:szCs w:val="21"/>
          <w:vertAlign w:val="baseline"/>
        </w:rPr>
        <w:t xml:space="preserve">3.6 </w:t>
      </w:r>
      <w:r>
        <w:fldChar w:fldCharType="end"/>
      </w:r>
      <w:r>
        <w:fldChar w:fldCharType="begin"/>
      </w:r>
      <w:r>
        <w:instrText xml:space="preserve"> HYPERLINK \l _Toc6055 </w:instrText>
      </w:r>
      <w:r>
        <w:fldChar w:fldCharType="separate"/>
      </w:r>
      <w:r>
        <w:rPr>
          <w:rFonts w:hint="eastAsia"/>
        </w:rPr>
        <w:t xml:space="preserve">诊断性试验 </w:t>
      </w:r>
      <w:r>
        <w:tab/>
      </w:r>
      <w:r>
        <w:fldChar w:fldCharType="begin"/>
      </w:r>
      <w:r>
        <w:instrText xml:space="preserve"> PAGEREF _Toc6055 \h </w:instrText>
      </w:r>
      <w:r>
        <w:fldChar w:fldCharType="separate"/>
      </w:r>
      <w:r>
        <w:t>2</w:t>
      </w:r>
      <w:r>
        <w:fldChar w:fldCharType="end"/>
      </w:r>
      <w:r>
        <w:fldChar w:fldCharType="end"/>
      </w:r>
    </w:p>
    <w:p w14:paraId="5347F95D">
      <w:pPr>
        <w:pStyle w:val="14"/>
        <w:tabs>
          <w:tab w:val="right" w:leader="dot" w:pos="9298"/>
          <w:tab w:val="clear" w:pos="9241"/>
        </w:tabs>
      </w:pPr>
      <w:r>
        <w:fldChar w:fldCharType="begin"/>
      </w:r>
      <w:r>
        <w:instrText xml:space="preserve"> HYPERLINK \l _Toc28054 </w:instrText>
      </w:r>
      <w:r>
        <w:fldChar w:fldCharType="separate"/>
      </w:r>
      <w:r>
        <w:rPr>
          <w:rFonts w:hint="eastAsia" w:ascii="黑体" w:hAnsi="Times New Roman" w:eastAsia="黑体" w:cs="Times New Roman"/>
          <w:bCs w:val="0"/>
          <w:i w:val="0"/>
          <w:iCs w:val="0"/>
          <w:caps w:val="0"/>
          <w:strike w:val="0"/>
          <w:dstrike w:val="0"/>
          <w:vanish w:val="0"/>
          <w:spacing w:val="0"/>
          <w:kern w:val="0"/>
          <w:position w:val="0"/>
          <w:szCs w:val="21"/>
          <w:vertAlign w:val="baseline"/>
        </w:rPr>
        <w:t xml:space="preserve">3.7 </w:t>
      </w:r>
      <w:r>
        <w:fldChar w:fldCharType="end"/>
      </w:r>
      <w:r>
        <w:fldChar w:fldCharType="begin"/>
      </w:r>
      <w:r>
        <w:instrText xml:space="preserve"> HYPERLINK \l _Toc1252 </w:instrText>
      </w:r>
      <w:r>
        <w:fldChar w:fldCharType="separate"/>
      </w:r>
      <w:r>
        <w:rPr>
          <w:rFonts w:hint="eastAsia"/>
        </w:rPr>
        <w:t xml:space="preserve">验收试验 </w:t>
      </w:r>
      <w:r>
        <w:tab/>
      </w:r>
      <w:r>
        <w:fldChar w:fldCharType="begin"/>
      </w:r>
      <w:r>
        <w:instrText xml:space="preserve"> PAGEREF _Toc1252 \h </w:instrText>
      </w:r>
      <w:r>
        <w:fldChar w:fldCharType="separate"/>
      </w:r>
      <w:r>
        <w:t>2</w:t>
      </w:r>
      <w:r>
        <w:fldChar w:fldCharType="end"/>
      </w:r>
      <w:r>
        <w:fldChar w:fldCharType="end"/>
      </w:r>
    </w:p>
    <w:p w14:paraId="38241F05">
      <w:pPr>
        <w:pStyle w:val="21"/>
        <w:tabs>
          <w:tab w:val="right" w:leader="dot" w:pos="9298"/>
          <w:tab w:val="clear" w:pos="9241"/>
        </w:tabs>
      </w:pPr>
      <w:r>
        <w:fldChar w:fldCharType="begin"/>
      </w:r>
      <w:r>
        <w:instrText xml:space="preserve"> HYPERLINK \l _Toc11478 </w:instrText>
      </w:r>
      <w:r>
        <w:fldChar w:fldCharType="separate"/>
      </w:r>
      <w:r>
        <w:rPr>
          <w:rFonts w:hint="eastAsia" w:ascii="黑体" w:hAnsi="Times New Roman" w:eastAsia="黑体"/>
          <w:i w:val="0"/>
          <w:szCs w:val="21"/>
        </w:rPr>
        <w:t xml:space="preserve">4 </w:t>
      </w:r>
      <w:r>
        <w:rPr>
          <w:rFonts w:hint="eastAsia"/>
        </w:rPr>
        <w:t>总体原则</w:t>
      </w:r>
      <w:r>
        <w:tab/>
      </w:r>
      <w:r>
        <w:fldChar w:fldCharType="begin"/>
      </w:r>
      <w:r>
        <w:instrText xml:space="preserve"> PAGEREF _Toc11478 \h </w:instrText>
      </w:r>
      <w:r>
        <w:fldChar w:fldCharType="separate"/>
      </w:r>
      <w:r>
        <w:t>2</w:t>
      </w:r>
      <w:r>
        <w:fldChar w:fldCharType="end"/>
      </w:r>
      <w:r>
        <w:fldChar w:fldCharType="end"/>
      </w:r>
    </w:p>
    <w:p w14:paraId="4C37BA7E">
      <w:pPr>
        <w:pStyle w:val="21"/>
        <w:tabs>
          <w:tab w:val="right" w:leader="dot" w:pos="9298"/>
          <w:tab w:val="clear" w:pos="9241"/>
        </w:tabs>
      </w:pPr>
      <w:r>
        <w:fldChar w:fldCharType="begin"/>
      </w:r>
      <w:r>
        <w:instrText xml:space="preserve"> HYPERLINK \l _Toc22699 </w:instrText>
      </w:r>
      <w:r>
        <w:fldChar w:fldCharType="separate"/>
      </w:r>
      <w:r>
        <w:rPr>
          <w:rFonts w:hint="eastAsia" w:ascii="黑体" w:hAnsi="Times New Roman" w:eastAsia="黑体"/>
          <w:i w:val="0"/>
          <w:szCs w:val="21"/>
        </w:rPr>
        <w:t xml:space="preserve">5 </w:t>
      </w:r>
      <w:r>
        <w:rPr>
          <w:rFonts w:hint="eastAsia"/>
        </w:rPr>
        <w:t>定期检修要求</w:t>
      </w:r>
      <w:r>
        <w:tab/>
      </w:r>
      <w:r>
        <w:fldChar w:fldCharType="begin"/>
      </w:r>
      <w:r>
        <w:instrText xml:space="preserve"> PAGEREF _Toc22699 \h </w:instrText>
      </w:r>
      <w:r>
        <w:fldChar w:fldCharType="separate"/>
      </w:r>
      <w:r>
        <w:t>3</w:t>
      </w:r>
      <w:r>
        <w:fldChar w:fldCharType="end"/>
      </w:r>
      <w:r>
        <w:fldChar w:fldCharType="end"/>
      </w:r>
    </w:p>
    <w:p w14:paraId="7A7AC98B">
      <w:pPr>
        <w:pStyle w:val="14"/>
        <w:tabs>
          <w:tab w:val="right" w:leader="dot" w:pos="9298"/>
          <w:tab w:val="clear" w:pos="9241"/>
        </w:tabs>
      </w:pPr>
      <w:r>
        <w:fldChar w:fldCharType="begin"/>
      </w:r>
      <w:r>
        <w:instrText xml:space="preserve"> HYPERLINK \l _Toc17648 </w:instrText>
      </w:r>
      <w:r>
        <w:fldChar w:fldCharType="separate"/>
      </w:r>
      <w:r>
        <w:rPr>
          <w:rFonts w:hint="eastAsia"/>
        </w:rPr>
        <w:t xml:space="preserve">5.1 </w:t>
      </w:r>
      <w:r>
        <w:rPr>
          <w:rFonts w:hint="eastAsia"/>
          <w:lang w:val="en-US" w:eastAsia="zh-CN"/>
        </w:rPr>
        <w:t>一般</w:t>
      </w:r>
      <w:r>
        <w:rPr>
          <w:rFonts w:hint="eastAsia"/>
        </w:rPr>
        <w:t>要求</w:t>
      </w:r>
      <w:r>
        <w:tab/>
      </w:r>
      <w:r>
        <w:fldChar w:fldCharType="begin"/>
      </w:r>
      <w:r>
        <w:instrText xml:space="preserve"> PAGEREF _Toc17648 \h </w:instrText>
      </w:r>
      <w:r>
        <w:fldChar w:fldCharType="separate"/>
      </w:r>
      <w:r>
        <w:t>3</w:t>
      </w:r>
      <w:r>
        <w:fldChar w:fldCharType="end"/>
      </w:r>
      <w:r>
        <w:fldChar w:fldCharType="end"/>
      </w:r>
    </w:p>
    <w:p w14:paraId="1789A09A">
      <w:pPr>
        <w:pStyle w:val="14"/>
        <w:tabs>
          <w:tab w:val="right" w:leader="dot" w:pos="9298"/>
          <w:tab w:val="clear" w:pos="9241"/>
        </w:tabs>
      </w:pPr>
      <w:r>
        <w:fldChar w:fldCharType="begin"/>
      </w:r>
      <w:r>
        <w:instrText xml:space="preserve"> HYPERLINK \l _Toc14341 </w:instrText>
      </w:r>
      <w:r>
        <w:fldChar w:fldCharType="separate"/>
      </w:r>
      <w:r>
        <w:rPr>
          <w:rFonts w:hint="eastAsia"/>
        </w:rPr>
        <w:t>5.2 具体要求</w:t>
      </w:r>
      <w:r>
        <w:tab/>
      </w:r>
      <w:r>
        <w:fldChar w:fldCharType="begin"/>
      </w:r>
      <w:r>
        <w:instrText xml:space="preserve"> PAGEREF _Toc14341 \h </w:instrText>
      </w:r>
      <w:r>
        <w:fldChar w:fldCharType="separate"/>
      </w:r>
      <w:r>
        <w:t>3</w:t>
      </w:r>
      <w:r>
        <w:fldChar w:fldCharType="end"/>
      </w:r>
      <w:r>
        <w:fldChar w:fldCharType="end"/>
      </w:r>
    </w:p>
    <w:p w14:paraId="560616F2">
      <w:pPr>
        <w:pStyle w:val="21"/>
        <w:tabs>
          <w:tab w:val="right" w:leader="dot" w:pos="9298"/>
          <w:tab w:val="clear" w:pos="9241"/>
        </w:tabs>
      </w:pPr>
      <w:r>
        <w:fldChar w:fldCharType="begin"/>
      </w:r>
      <w:r>
        <w:instrText xml:space="preserve"> HYPERLINK \l _Toc20175 </w:instrText>
      </w:r>
      <w:r>
        <w:fldChar w:fldCharType="separate"/>
      </w:r>
      <w:r>
        <w:rPr>
          <w:rFonts w:hint="eastAsia" w:ascii="黑体" w:hAnsi="Times New Roman" w:eastAsia="黑体"/>
          <w:i w:val="0"/>
          <w:szCs w:val="21"/>
        </w:rPr>
        <w:t xml:space="preserve">6 </w:t>
      </w:r>
      <w:r>
        <w:t>故障检修</w:t>
      </w:r>
      <w:r>
        <w:rPr>
          <w:rFonts w:hint="eastAsia"/>
          <w:lang w:val="en-US" w:eastAsia="zh-CN"/>
        </w:rPr>
        <w:t>要求</w:t>
      </w:r>
      <w:r>
        <w:tab/>
      </w:r>
      <w:r>
        <w:fldChar w:fldCharType="begin"/>
      </w:r>
      <w:r>
        <w:instrText xml:space="preserve"> PAGEREF _Toc20175 \h </w:instrText>
      </w:r>
      <w:r>
        <w:fldChar w:fldCharType="separate"/>
      </w:r>
      <w:r>
        <w:t>3</w:t>
      </w:r>
      <w:r>
        <w:fldChar w:fldCharType="end"/>
      </w:r>
      <w:r>
        <w:fldChar w:fldCharType="end"/>
      </w:r>
    </w:p>
    <w:p w14:paraId="43C17599">
      <w:pPr>
        <w:pStyle w:val="14"/>
        <w:tabs>
          <w:tab w:val="right" w:leader="dot" w:pos="9298"/>
          <w:tab w:val="clear" w:pos="9241"/>
        </w:tabs>
      </w:pPr>
      <w:r>
        <w:fldChar w:fldCharType="begin"/>
      </w:r>
      <w:r>
        <w:instrText xml:space="preserve"> HYPERLINK \l _Toc13124 </w:instrText>
      </w:r>
      <w:r>
        <w:fldChar w:fldCharType="separate"/>
      </w:r>
      <w:r>
        <w:rPr>
          <w:rFonts w:hint="eastAsia"/>
        </w:rPr>
        <w:t xml:space="preserve">6.1 </w:t>
      </w:r>
      <w:r>
        <w:rPr>
          <w:rFonts w:hint="eastAsia"/>
          <w:lang w:val="en-US" w:eastAsia="zh-CN"/>
        </w:rPr>
        <w:t>一般</w:t>
      </w:r>
      <w:r>
        <w:rPr>
          <w:rFonts w:hint="eastAsia"/>
        </w:rPr>
        <w:t>要求</w:t>
      </w:r>
      <w:r>
        <w:tab/>
      </w:r>
      <w:r>
        <w:fldChar w:fldCharType="begin"/>
      </w:r>
      <w:r>
        <w:instrText xml:space="preserve"> PAGEREF _Toc13124 \h </w:instrText>
      </w:r>
      <w:r>
        <w:fldChar w:fldCharType="separate"/>
      </w:r>
      <w:r>
        <w:t>3</w:t>
      </w:r>
      <w:r>
        <w:fldChar w:fldCharType="end"/>
      </w:r>
      <w:r>
        <w:fldChar w:fldCharType="end"/>
      </w:r>
    </w:p>
    <w:p w14:paraId="2B8B9375">
      <w:pPr>
        <w:pStyle w:val="14"/>
        <w:tabs>
          <w:tab w:val="right" w:leader="dot" w:pos="9298"/>
          <w:tab w:val="clear" w:pos="9241"/>
        </w:tabs>
      </w:pPr>
      <w:r>
        <w:fldChar w:fldCharType="begin"/>
      </w:r>
      <w:r>
        <w:instrText xml:space="preserve"> HYPERLINK \l _Toc24730 </w:instrText>
      </w:r>
      <w:r>
        <w:fldChar w:fldCharType="separate"/>
      </w:r>
      <w:r>
        <w:rPr>
          <w:rFonts w:hint="eastAsia"/>
        </w:rPr>
        <w:t>6.2 特殊要求</w:t>
      </w:r>
      <w:r>
        <w:tab/>
      </w:r>
      <w:r>
        <w:fldChar w:fldCharType="begin"/>
      </w:r>
      <w:r>
        <w:instrText xml:space="preserve"> PAGEREF _Toc24730 \h </w:instrText>
      </w:r>
      <w:r>
        <w:fldChar w:fldCharType="separate"/>
      </w:r>
      <w:r>
        <w:t>4</w:t>
      </w:r>
      <w:r>
        <w:fldChar w:fldCharType="end"/>
      </w:r>
      <w:r>
        <w:fldChar w:fldCharType="end"/>
      </w:r>
    </w:p>
    <w:p w14:paraId="2A220196">
      <w:pPr>
        <w:pStyle w:val="21"/>
        <w:tabs>
          <w:tab w:val="right" w:leader="dot" w:pos="9298"/>
          <w:tab w:val="clear" w:pos="9241"/>
        </w:tabs>
      </w:pPr>
      <w:r>
        <w:fldChar w:fldCharType="begin"/>
      </w:r>
      <w:r>
        <w:instrText xml:space="preserve"> HYPERLINK \l _Toc2280 </w:instrText>
      </w:r>
      <w:r>
        <w:fldChar w:fldCharType="separate"/>
      </w:r>
      <w:r>
        <w:rPr>
          <w:rFonts w:hint="eastAsia" w:ascii="黑体" w:hAnsi="Times New Roman" w:eastAsia="黑体"/>
          <w:i w:val="0"/>
          <w:szCs w:val="21"/>
        </w:rPr>
        <w:t xml:space="preserve">7 </w:t>
      </w:r>
      <w:r>
        <w:rPr>
          <w:rFonts w:hint="eastAsia"/>
        </w:rPr>
        <w:t>状态检修</w:t>
      </w:r>
      <w:r>
        <w:rPr>
          <w:rFonts w:hint="eastAsia"/>
          <w:lang w:val="en-US" w:eastAsia="zh-CN"/>
        </w:rPr>
        <w:t>要求</w:t>
      </w:r>
      <w:r>
        <w:tab/>
      </w:r>
      <w:r>
        <w:fldChar w:fldCharType="begin"/>
      </w:r>
      <w:r>
        <w:instrText xml:space="preserve"> PAGEREF _Toc2280 \h </w:instrText>
      </w:r>
      <w:r>
        <w:fldChar w:fldCharType="separate"/>
      </w:r>
      <w:r>
        <w:t>4</w:t>
      </w:r>
      <w:r>
        <w:fldChar w:fldCharType="end"/>
      </w:r>
      <w:r>
        <w:fldChar w:fldCharType="end"/>
      </w:r>
    </w:p>
    <w:p w14:paraId="42C0AB22">
      <w:pPr>
        <w:pStyle w:val="14"/>
        <w:tabs>
          <w:tab w:val="right" w:leader="dot" w:pos="9298"/>
          <w:tab w:val="clear" w:pos="9241"/>
        </w:tabs>
      </w:pPr>
      <w:r>
        <w:fldChar w:fldCharType="begin"/>
      </w:r>
      <w:r>
        <w:instrText xml:space="preserve"> HYPERLINK \l _Toc32191 </w:instrText>
      </w:r>
      <w:r>
        <w:fldChar w:fldCharType="separate"/>
      </w:r>
      <w:r>
        <w:rPr>
          <w:rFonts w:hint="eastAsia"/>
        </w:rPr>
        <w:t xml:space="preserve">7.1 </w:t>
      </w:r>
      <w:r>
        <w:rPr>
          <w:rFonts w:hint="eastAsia"/>
          <w:lang w:val="en-US" w:eastAsia="zh-CN"/>
        </w:rPr>
        <w:t>一般</w:t>
      </w:r>
      <w:r>
        <w:rPr>
          <w:rFonts w:hint="eastAsia"/>
        </w:rPr>
        <w:t>要求</w:t>
      </w:r>
      <w:r>
        <w:tab/>
      </w:r>
      <w:r>
        <w:fldChar w:fldCharType="begin"/>
      </w:r>
      <w:r>
        <w:instrText xml:space="preserve"> PAGEREF _Toc32191 \h </w:instrText>
      </w:r>
      <w:r>
        <w:fldChar w:fldCharType="separate"/>
      </w:r>
      <w:r>
        <w:t>4</w:t>
      </w:r>
      <w:r>
        <w:fldChar w:fldCharType="end"/>
      </w:r>
      <w:r>
        <w:fldChar w:fldCharType="end"/>
      </w:r>
    </w:p>
    <w:p w14:paraId="2F58288F">
      <w:pPr>
        <w:pStyle w:val="14"/>
        <w:tabs>
          <w:tab w:val="right" w:leader="dot" w:pos="9298"/>
          <w:tab w:val="clear" w:pos="9241"/>
        </w:tabs>
      </w:pPr>
      <w:r>
        <w:fldChar w:fldCharType="begin"/>
      </w:r>
      <w:r>
        <w:instrText xml:space="preserve"> HYPERLINK \l _Toc6632 </w:instrText>
      </w:r>
      <w:r>
        <w:fldChar w:fldCharType="separate"/>
      </w:r>
      <w:r>
        <w:rPr>
          <w:rFonts w:hint="eastAsia"/>
        </w:rPr>
        <w:t>7.2 特殊要求</w:t>
      </w:r>
      <w:r>
        <w:tab/>
      </w:r>
      <w:r>
        <w:fldChar w:fldCharType="begin"/>
      </w:r>
      <w:r>
        <w:instrText xml:space="preserve"> PAGEREF _Toc6632 \h </w:instrText>
      </w:r>
      <w:r>
        <w:fldChar w:fldCharType="separate"/>
      </w:r>
      <w:r>
        <w:t>4</w:t>
      </w:r>
      <w:r>
        <w:fldChar w:fldCharType="end"/>
      </w:r>
      <w:r>
        <w:fldChar w:fldCharType="end"/>
      </w:r>
    </w:p>
    <w:p w14:paraId="29E10293">
      <w:pPr>
        <w:pStyle w:val="21"/>
        <w:tabs>
          <w:tab w:val="right" w:leader="dot" w:pos="9298"/>
          <w:tab w:val="clear" w:pos="9241"/>
        </w:tabs>
      </w:pPr>
      <w:r>
        <w:fldChar w:fldCharType="begin"/>
      </w:r>
      <w:r>
        <w:instrText xml:space="preserve"> HYPERLINK \l _Toc18831 </w:instrText>
      </w:r>
      <w:r>
        <w:fldChar w:fldCharType="separate"/>
      </w:r>
      <w:r>
        <w:rPr>
          <w:rFonts w:hint="eastAsia" w:ascii="黑体" w:hAnsi="Times New Roman" w:eastAsia="黑体"/>
          <w:i w:val="0"/>
          <w:szCs w:val="21"/>
        </w:rPr>
        <w:t xml:space="preserve">8 </w:t>
      </w:r>
      <w:r>
        <w:rPr>
          <w:rFonts w:hint="eastAsia"/>
          <w:lang w:val="en-US" w:eastAsia="zh-CN"/>
        </w:rPr>
        <w:t>检修</w:t>
      </w:r>
      <w:r>
        <w:rPr>
          <w:rFonts w:hint="eastAsia"/>
        </w:rPr>
        <w:t>试验</w:t>
      </w:r>
      <w:r>
        <w:rPr>
          <w:rFonts w:hint="eastAsia"/>
          <w:lang w:val="en-US" w:eastAsia="zh-CN"/>
        </w:rPr>
        <w:t>要求</w:t>
      </w:r>
      <w:r>
        <w:tab/>
      </w:r>
      <w:r>
        <w:fldChar w:fldCharType="begin"/>
      </w:r>
      <w:r>
        <w:instrText xml:space="preserve"> PAGEREF _Toc18831 \h </w:instrText>
      </w:r>
      <w:r>
        <w:fldChar w:fldCharType="separate"/>
      </w:r>
      <w:r>
        <w:t>5</w:t>
      </w:r>
      <w:r>
        <w:fldChar w:fldCharType="end"/>
      </w:r>
      <w:r>
        <w:fldChar w:fldCharType="end"/>
      </w:r>
    </w:p>
    <w:p w14:paraId="24077D66">
      <w:pPr>
        <w:pStyle w:val="14"/>
        <w:tabs>
          <w:tab w:val="right" w:leader="dot" w:pos="9298"/>
          <w:tab w:val="clear" w:pos="9241"/>
        </w:tabs>
      </w:pPr>
      <w:r>
        <w:fldChar w:fldCharType="begin"/>
      </w:r>
      <w:r>
        <w:instrText xml:space="preserve"> HYPERLINK \l _Toc4516 </w:instrText>
      </w:r>
      <w:r>
        <w:fldChar w:fldCharType="separate"/>
      </w:r>
      <w:r>
        <w:rPr>
          <w:rFonts w:hint="eastAsia"/>
        </w:rPr>
        <w:t xml:space="preserve">8.1 </w:t>
      </w:r>
      <w:r>
        <w:rPr>
          <w:rFonts w:hint="eastAsia"/>
          <w:lang w:val="en-US" w:eastAsia="zh-CN"/>
        </w:rPr>
        <w:t>一般</w:t>
      </w:r>
      <w:r>
        <w:rPr>
          <w:rFonts w:hint="eastAsia"/>
        </w:rPr>
        <w:t>要求</w:t>
      </w:r>
      <w:r>
        <w:tab/>
      </w:r>
      <w:r>
        <w:fldChar w:fldCharType="begin"/>
      </w:r>
      <w:r>
        <w:instrText xml:space="preserve"> PAGEREF _Toc4516 \h </w:instrText>
      </w:r>
      <w:r>
        <w:fldChar w:fldCharType="separate"/>
      </w:r>
      <w:r>
        <w:t>5</w:t>
      </w:r>
      <w:r>
        <w:fldChar w:fldCharType="end"/>
      </w:r>
      <w:r>
        <w:fldChar w:fldCharType="end"/>
      </w:r>
    </w:p>
    <w:p w14:paraId="427451EC">
      <w:pPr>
        <w:pStyle w:val="14"/>
        <w:tabs>
          <w:tab w:val="right" w:leader="dot" w:pos="9298"/>
          <w:tab w:val="clear" w:pos="9241"/>
        </w:tabs>
      </w:pPr>
      <w:r>
        <w:fldChar w:fldCharType="begin"/>
      </w:r>
      <w:r>
        <w:instrText xml:space="preserve"> HYPERLINK \l _Toc18937 </w:instrText>
      </w:r>
      <w:r>
        <w:fldChar w:fldCharType="separate"/>
      </w:r>
      <w:r>
        <w:rPr>
          <w:rFonts w:hint="eastAsia"/>
        </w:rPr>
        <w:t>8.2 特殊要求</w:t>
      </w:r>
      <w:r>
        <w:tab/>
      </w:r>
      <w:r>
        <w:fldChar w:fldCharType="begin"/>
      </w:r>
      <w:r>
        <w:instrText xml:space="preserve"> PAGEREF _Toc18937 \h </w:instrText>
      </w:r>
      <w:r>
        <w:fldChar w:fldCharType="separate"/>
      </w:r>
      <w:r>
        <w:t>5</w:t>
      </w:r>
      <w:r>
        <w:fldChar w:fldCharType="end"/>
      </w:r>
      <w:r>
        <w:fldChar w:fldCharType="end"/>
      </w:r>
    </w:p>
    <w:p w14:paraId="41BFD20D">
      <w:pPr>
        <w:pStyle w:val="21"/>
        <w:tabs>
          <w:tab w:val="right" w:leader="dot" w:pos="9298"/>
          <w:tab w:val="clear" w:pos="9241"/>
        </w:tabs>
      </w:pPr>
      <w:r>
        <w:fldChar w:fldCharType="begin"/>
      </w:r>
      <w:r>
        <w:instrText xml:space="preserve"> HYPERLINK \l _Toc28209 </w:instrText>
      </w:r>
      <w:r>
        <w:fldChar w:fldCharType="separate"/>
      </w:r>
      <w:r>
        <w:rPr>
          <w:rFonts w:hint="eastAsia"/>
        </w:rPr>
        <w:t>附录A（</w:t>
      </w:r>
      <w:r>
        <w:rPr>
          <w:rFonts w:hint="eastAsia"/>
          <w:lang w:val="en-US" w:eastAsia="zh-CN"/>
        </w:rPr>
        <w:t>资料</w:t>
      </w:r>
      <w:r>
        <w:rPr>
          <w:rFonts w:hint="eastAsia"/>
        </w:rPr>
        <w:t>性） 光伏发电单元定期检修项目及要求</w:t>
      </w:r>
      <w:r>
        <w:tab/>
      </w:r>
      <w:r>
        <w:fldChar w:fldCharType="begin"/>
      </w:r>
      <w:r>
        <w:instrText xml:space="preserve"> PAGEREF _Toc28209 \h </w:instrText>
      </w:r>
      <w:r>
        <w:fldChar w:fldCharType="separate"/>
      </w:r>
      <w:r>
        <w:t>7</w:t>
      </w:r>
      <w:r>
        <w:fldChar w:fldCharType="end"/>
      </w:r>
      <w:r>
        <w:fldChar w:fldCharType="end"/>
      </w:r>
    </w:p>
    <w:p w14:paraId="194EF57E">
      <w:pPr>
        <w:pStyle w:val="21"/>
        <w:tabs>
          <w:tab w:val="right" w:leader="dot" w:pos="9298"/>
          <w:tab w:val="clear" w:pos="9241"/>
        </w:tabs>
      </w:pPr>
      <w:r>
        <w:fldChar w:fldCharType="begin"/>
      </w:r>
      <w:r>
        <w:instrText xml:space="preserve"> HYPERLINK \l _Toc23827 </w:instrText>
      </w:r>
      <w:r>
        <w:fldChar w:fldCharType="separate"/>
      </w:r>
      <w:r>
        <w:rPr>
          <w:rFonts w:hint="eastAsia"/>
        </w:rPr>
        <w:t>附录B（</w:t>
      </w:r>
      <w:r>
        <w:rPr>
          <w:rFonts w:hint="eastAsia"/>
          <w:lang w:val="en-US" w:eastAsia="zh-CN"/>
        </w:rPr>
        <w:t>资料</w:t>
      </w:r>
      <w:r>
        <w:rPr>
          <w:rFonts w:hint="eastAsia"/>
        </w:rPr>
        <w:t>性） 光伏发电单元故障检修项目及要求</w:t>
      </w:r>
      <w:r>
        <w:tab/>
      </w:r>
      <w:r>
        <w:fldChar w:fldCharType="begin"/>
      </w:r>
      <w:r>
        <w:instrText xml:space="preserve"> PAGEREF _Toc23827 \h </w:instrText>
      </w:r>
      <w:r>
        <w:fldChar w:fldCharType="separate"/>
      </w:r>
      <w:r>
        <w:t>10</w:t>
      </w:r>
      <w:r>
        <w:fldChar w:fldCharType="end"/>
      </w:r>
      <w:r>
        <w:fldChar w:fldCharType="end"/>
      </w:r>
    </w:p>
    <w:p w14:paraId="7A1785FF">
      <w:pPr>
        <w:pStyle w:val="21"/>
        <w:tabs>
          <w:tab w:val="right" w:leader="dot" w:pos="9298"/>
          <w:tab w:val="clear" w:pos="9241"/>
        </w:tabs>
      </w:pPr>
      <w:r>
        <w:fldChar w:fldCharType="begin"/>
      </w:r>
      <w:r>
        <w:instrText xml:space="preserve"> HYPERLINK \l _Toc29757 </w:instrText>
      </w:r>
      <w:r>
        <w:fldChar w:fldCharType="separate"/>
      </w:r>
      <w:r>
        <w:rPr>
          <w:rFonts w:hint="eastAsia"/>
        </w:rPr>
        <w:t>附录C（</w:t>
      </w:r>
      <w:r>
        <w:rPr>
          <w:rFonts w:hint="eastAsia"/>
          <w:lang w:val="en-US" w:eastAsia="zh-CN"/>
        </w:rPr>
        <w:t>资料</w:t>
      </w:r>
      <w:r>
        <w:rPr>
          <w:rFonts w:hint="eastAsia"/>
        </w:rPr>
        <w:t>性） 光伏电站故障记录表</w:t>
      </w:r>
      <w:r>
        <w:tab/>
      </w:r>
      <w:r>
        <w:fldChar w:fldCharType="begin"/>
      </w:r>
      <w:r>
        <w:instrText xml:space="preserve"> PAGEREF _Toc29757 \h </w:instrText>
      </w:r>
      <w:r>
        <w:fldChar w:fldCharType="separate"/>
      </w:r>
      <w:r>
        <w:t>13</w:t>
      </w:r>
      <w:r>
        <w:fldChar w:fldCharType="end"/>
      </w:r>
      <w:r>
        <w:fldChar w:fldCharType="end"/>
      </w:r>
    </w:p>
    <w:p w14:paraId="4D5C8402">
      <w:pPr>
        <w:pStyle w:val="21"/>
        <w:tabs>
          <w:tab w:val="right" w:leader="dot" w:pos="9298"/>
          <w:tab w:val="clear" w:pos="9241"/>
        </w:tabs>
      </w:pPr>
      <w:r>
        <w:fldChar w:fldCharType="begin"/>
      </w:r>
      <w:r>
        <w:instrText xml:space="preserve"> HYPERLINK \l _Toc24578 </w:instrText>
      </w:r>
      <w:r>
        <w:fldChar w:fldCharType="separate"/>
      </w:r>
      <w:r>
        <w:rPr>
          <w:rFonts w:hint="eastAsia"/>
        </w:rPr>
        <w:t>附录D（</w:t>
      </w:r>
      <w:r>
        <w:rPr>
          <w:rFonts w:hint="eastAsia"/>
          <w:lang w:val="en-US" w:eastAsia="zh-CN"/>
        </w:rPr>
        <w:t>资料</w:t>
      </w:r>
      <w:r>
        <w:rPr>
          <w:rFonts w:hint="eastAsia"/>
        </w:rPr>
        <w:t>性） 光伏发电单元状态检修及试验</w:t>
      </w:r>
      <w:r>
        <w:tab/>
      </w:r>
      <w:r>
        <w:fldChar w:fldCharType="begin"/>
      </w:r>
      <w:r>
        <w:instrText xml:space="preserve"> PAGEREF _Toc24578 \h </w:instrText>
      </w:r>
      <w:r>
        <w:fldChar w:fldCharType="separate"/>
      </w:r>
      <w:r>
        <w:t>14</w:t>
      </w:r>
      <w:r>
        <w:fldChar w:fldCharType="end"/>
      </w:r>
      <w:r>
        <w:fldChar w:fldCharType="end"/>
      </w:r>
    </w:p>
    <w:p w14:paraId="07F7BB0E">
      <w:pPr>
        <w:spacing w:line="360" w:lineRule="exact"/>
      </w:pPr>
      <w:r>
        <w:fldChar w:fldCharType="end"/>
      </w:r>
    </w:p>
    <w:p w14:paraId="45CFAD2D"/>
    <w:p w14:paraId="4B336DD1">
      <w:pPr>
        <w:pStyle w:val="20"/>
      </w:pPr>
    </w:p>
    <w:p w14:paraId="0F08B5EF">
      <w:pPr>
        <w:pStyle w:val="94"/>
      </w:pPr>
      <w:bookmarkStart w:id="8" w:name="_Toc10922"/>
      <w:bookmarkStart w:id="9" w:name="_Toc524441522"/>
      <w:bookmarkStart w:id="10" w:name="_Toc525119158"/>
      <w:r>
        <w:rPr>
          <w:rFonts w:hint="eastAsia"/>
        </w:rPr>
        <w:t>前</w:t>
      </w:r>
      <w:bookmarkStart w:id="11" w:name="BKQY"/>
      <w:r>
        <w:rPr>
          <w:rFonts w:hAnsi="黑体"/>
        </w:rPr>
        <w:t>  </w:t>
      </w:r>
      <w:r>
        <w:rPr>
          <w:rFonts w:hint="eastAsia"/>
        </w:rPr>
        <w:t>言</w:t>
      </w:r>
      <w:bookmarkEnd w:id="8"/>
      <w:bookmarkEnd w:id="9"/>
      <w:bookmarkEnd w:id="10"/>
      <w:bookmarkEnd w:id="11"/>
    </w:p>
    <w:p w14:paraId="5C383E7B">
      <w:pPr>
        <w:pStyle w:val="25"/>
      </w:pPr>
      <w:r>
        <w:rPr>
          <w:rFonts w:hint="eastAsia"/>
        </w:rPr>
        <w:t>本文件按照GB/T 1.1-2020《标准化工作导则 第1部分：标准化文件的结构和起草规则》给出的规则起草。</w:t>
      </w:r>
    </w:p>
    <w:p w14:paraId="74C1D869">
      <w:pPr>
        <w:pStyle w:val="25"/>
      </w:pPr>
      <w:r>
        <w:rPr>
          <w:rFonts w:hint="eastAsia"/>
        </w:rPr>
        <w:t>本文件由中国能源研究会提出并归口。</w:t>
      </w:r>
    </w:p>
    <w:p w14:paraId="4B982B48">
      <w:pPr>
        <w:pStyle w:val="25"/>
      </w:pPr>
      <w:r>
        <w:rPr>
          <w:rFonts w:hint="eastAsia"/>
        </w:rPr>
        <w:t>本文件起草单位：</w:t>
      </w:r>
      <w:bookmarkStart w:id="12" w:name="_Hlk214517614"/>
      <w:r>
        <w:rPr>
          <w:rFonts w:hint="eastAsia"/>
        </w:rPr>
        <w:t>国网冀北张家口风光储输新能源有限公司、国网冀北电力有限公司电力科学研究院、中国大唐集团科学技术研究总院有限公司华北电力试验研究院、北京京能清洁能源电力股份有限公司、国网江苏省电力有限公司南京供电分公司</w:t>
      </w:r>
      <w:r>
        <w:rPr>
          <w:rFonts w:hint="eastAsia"/>
          <w:lang w:eastAsia="zh-CN"/>
        </w:rPr>
        <w:t>、</w:t>
      </w:r>
      <w:r>
        <w:rPr>
          <w:rFonts w:hint="eastAsia"/>
        </w:rPr>
        <w:t>苏州壹伏安科技有限公司、金风科技股份有限公司、北京金风慧能技术有限公司、山西世纪中试电力科学技术有限公司。</w:t>
      </w:r>
    </w:p>
    <w:bookmarkEnd w:id="12"/>
    <w:p w14:paraId="27C13BCE">
      <w:pPr>
        <w:pStyle w:val="25"/>
      </w:pPr>
      <w:r>
        <w:rPr>
          <w:rFonts w:hint="eastAsia"/>
        </w:rPr>
        <w:t>本文件主要起草人：闫志强、吴劲芳、王海、王耀函、吴瑊、刘美、李耀、肖光旭、张四维</w:t>
      </w:r>
      <w:r>
        <w:rPr>
          <w:rFonts w:hint="eastAsia"/>
          <w:lang w:eastAsia="zh-CN"/>
        </w:rPr>
        <w:t>、</w:t>
      </w:r>
      <w:r>
        <w:rPr>
          <w:rFonts w:hint="eastAsia"/>
        </w:rPr>
        <w:t>郭绍伟、</w:t>
      </w:r>
      <w:r>
        <w:rPr>
          <w:rFonts w:hint="eastAsia"/>
          <w:lang w:val="en-US" w:eastAsia="zh-CN"/>
        </w:rPr>
        <w:t>杨春雨、</w:t>
      </w:r>
      <w:r>
        <w:rPr>
          <w:rFonts w:hint="eastAsia"/>
        </w:rPr>
        <w:t>姬瑞强、尹旭佳。</w:t>
      </w:r>
    </w:p>
    <w:p w14:paraId="3B200EB9">
      <w:pPr>
        <w:pStyle w:val="25"/>
      </w:pPr>
    </w:p>
    <w:p w14:paraId="57E1B495">
      <w:pPr>
        <w:pStyle w:val="47"/>
        <w:sectPr>
          <w:headerReference r:id="rId3" w:type="default"/>
          <w:footerReference r:id="rId4" w:type="default"/>
          <w:pgSz w:w="11906" w:h="16838"/>
          <w:pgMar w:top="567" w:right="1304" w:bottom="1134" w:left="1304" w:header="1418" w:footer="1134" w:gutter="0"/>
          <w:pgNumType w:fmt="upperRoman" w:start="1"/>
          <w:cols w:space="720" w:num="1"/>
          <w:formProt w:val="0"/>
          <w:docGrid w:type="lines" w:linePitch="312" w:charSpace="0"/>
        </w:sectPr>
      </w:pPr>
      <w:bookmarkStart w:id="13" w:name="StandardName"/>
      <w:bookmarkEnd w:id="13"/>
    </w:p>
    <w:p w14:paraId="08D9AF1E">
      <w:pPr>
        <w:pStyle w:val="47"/>
      </w:pPr>
      <w:bookmarkStart w:id="14" w:name="_Toc2963"/>
      <w:bookmarkStart w:id="15" w:name="_Toc229522945"/>
      <w:bookmarkStart w:id="16" w:name="_Toc9867"/>
      <w:r>
        <w:rPr>
          <w:rFonts w:hint="eastAsia"/>
        </w:rPr>
        <w:t>光伏电站发电设备设施检修技术要求</w:t>
      </w:r>
      <w:bookmarkEnd w:id="14"/>
      <w:bookmarkEnd w:id="15"/>
      <w:bookmarkEnd w:id="16"/>
    </w:p>
    <w:p w14:paraId="221FD676">
      <w:pPr>
        <w:pStyle w:val="88"/>
        <w:spacing w:before="312" w:after="312"/>
      </w:pPr>
      <w:bookmarkStart w:id="17" w:name="_Toc525119161"/>
      <w:bookmarkStart w:id="18" w:name="_Toc11020"/>
      <w:bookmarkStart w:id="19" w:name="_Toc524441524"/>
      <w:r>
        <w:rPr>
          <w:rFonts w:hint="eastAsia"/>
        </w:rPr>
        <w:t>范围</w:t>
      </w:r>
      <w:bookmarkEnd w:id="17"/>
      <w:bookmarkEnd w:id="18"/>
      <w:bookmarkEnd w:id="19"/>
    </w:p>
    <w:p w14:paraId="64E194B4">
      <w:pPr>
        <w:pStyle w:val="25"/>
        <w:spacing w:line="360" w:lineRule="exact"/>
        <w:rPr>
          <w:rFonts w:hint="eastAsia"/>
        </w:rPr>
      </w:pPr>
      <w:r>
        <w:rPr>
          <w:rFonts w:hint="eastAsia"/>
        </w:rPr>
        <w:t>本文件规定了光伏电站发电设备设施检修技术要求，包括总体要求、定期检修要求、故障检修要求、状态检修要求和检修试验要求。</w:t>
      </w:r>
    </w:p>
    <w:p w14:paraId="6ED4B451">
      <w:pPr>
        <w:pStyle w:val="25"/>
        <w:spacing w:line="360" w:lineRule="exact"/>
      </w:pPr>
      <w:r>
        <w:rPr>
          <w:rFonts w:hint="eastAsia"/>
        </w:rPr>
        <w:t>本文件适用于并网光伏电站发电设备设施的检修工作，主要包括光伏组件、光伏组串及方阵、汇流设备、逆变器、跟踪系统以及与发电单元运行相关的辅助设备设施。</w:t>
      </w:r>
    </w:p>
    <w:p w14:paraId="711684B4">
      <w:pPr>
        <w:pStyle w:val="88"/>
        <w:spacing w:before="312" w:after="312"/>
      </w:pPr>
      <w:bookmarkStart w:id="20" w:name="_Toc525119162"/>
      <w:bookmarkStart w:id="21" w:name="_Toc21067"/>
      <w:bookmarkStart w:id="22" w:name="_Toc524441525"/>
      <w:r>
        <w:rPr>
          <w:rFonts w:hint="eastAsia"/>
        </w:rPr>
        <w:t>规范性引用文件</w:t>
      </w:r>
      <w:bookmarkEnd w:id="20"/>
      <w:bookmarkEnd w:id="21"/>
    </w:p>
    <w:p w14:paraId="07EDE235">
      <w:pPr>
        <w:pStyle w:val="25"/>
        <w:spacing w:line="360" w:lineRule="exact"/>
        <w:rPr>
          <w:szCs w:val="22"/>
        </w:rPr>
      </w:pPr>
      <w:r>
        <w:rPr>
          <w:rFonts w:hint="eastAsia"/>
          <w:szCs w:val="22"/>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0FF22D5A">
      <w:pPr>
        <w:pStyle w:val="25"/>
        <w:spacing w:line="360" w:lineRule="exact"/>
        <w:rPr>
          <w:rFonts w:hint="eastAsia"/>
          <w:szCs w:val="22"/>
        </w:rPr>
      </w:pPr>
      <w:r>
        <w:rPr>
          <w:rFonts w:hint="eastAsia"/>
          <w:szCs w:val="22"/>
        </w:rPr>
        <w:t>GB/T 20513 光伏系统性能监测、测量、数据交换和分析导则</w:t>
      </w:r>
    </w:p>
    <w:p w14:paraId="0CF576C7">
      <w:pPr>
        <w:pStyle w:val="25"/>
        <w:spacing w:line="360" w:lineRule="exact"/>
        <w:rPr>
          <w:rFonts w:hint="eastAsia"/>
          <w:szCs w:val="22"/>
        </w:rPr>
      </w:pPr>
      <w:r>
        <w:rPr>
          <w:rFonts w:hint="eastAsia"/>
          <w:szCs w:val="22"/>
        </w:rPr>
        <w:t>GB/T 30427 并网光伏电站专用逆变器技术要求和试验方法</w:t>
      </w:r>
    </w:p>
    <w:p w14:paraId="3101A510">
      <w:pPr>
        <w:pStyle w:val="25"/>
        <w:spacing w:line="360" w:lineRule="exact"/>
        <w:rPr>
          <w:rFonts w:hint="eastAsia"/>
          <w:szCs w:val="22"/>
        </w:rPr>
      </w:pPr>
      <w:r>
        <w:rPr>
          <w:rFonts w:hint="eastAsia"/>
          <w:szCs w:val="22"/>
        </w:rPr>
        <w:t>GB/T 29320—2024 光伏电站太阳跟踪系统技术要求</w:t>
      </w:r>
    </w:p>
    <w:p w14:paraId="1AE16B55">
      <w:pPr>
        <w:pStyle w:val="25"/>
        <w:spacing w:line="360" w:lineRule="exact"/>
        <w:rPr>
          <w:rFonts w:hint="eastAsia"/>
          <w:szCs w:val="22"/>
        </w:rPr>
      </w:pPr>
      <w:r>
        <w:rPr>
          <w:rFonts w:hint="eastAsia"/>
          <w:szCs w:val="22"/>
        </w:rPr>
        <w:t>GB/T 38330—2019 光伏发电站逆变器检修维护规程</w:t>
      </w:r>
    </w:p>
    <w:p w14:paraId="6101B5E7">
      <w:pPr>
        <w:pStyle w:val="25"/>
        <w:spacing w:line="360" w:lineRule="exact"/>
        <w:rPr>
          <w:rFonts w:hint="eastAsia"/>
          <w:szCs w:val="22"/>
        </w:rPr>
      </w:pPr>
      <w:r>
        <w:rPr>
          <w:rFonts w:hint="eastAsia"/>
          <w:szCs w:val="22"/>
        </w:rPr>
        <w:t>GB/T 36567—2018 光伏组件检修规程</w:t>
      </w:r>
    </w:p>
    <w:p w14:paraId="040DD849">
      <w:pPr>
        <w:pStyle w:val="25"/>
        <w:spacing w:line="360" w:lineRule="exact"/>
        <w:rPr>
          <w:rFonts w:hint="eastAsia"/>
          <w:szCs w:val="22"/>
        </w:rPr>
      </w:pPr>
      <w:r>
        <w:rPr>
          <w:rFonts w:hint="eastAsia"/>
          <w:szCs w:val="22"/>
        </w:rPr>
        <w:t>GB/T 36568—2018 光伏方阵检修规程</w:t>
      </w:r>
    </w:p>
    <w:p w14:paraId="623E4BBB">
      <w:pPr>
        <w:pStyle w:val="25"/>
        <w:spacing w:line="360" w:lineRule="exact"/>
        <w:rPr>
          <w:rFonts w:hint="eastAsia"/>
          <w:szCs w:val="22"/>
        </w:rPr>
      </w:pPr>
      <w:r>
        <w:rPr>
          <w:rFonts w:hint="eastAsia"/>
          <w:szCs w:val="22"/>
        </w:rPr>
        <w:t>GB/T 35694—2017 光伏发电站安全规程</w:t>
      </w:r>
    </w:p>
    <w:p w14:paraId="65046D87">
      <w:pPr>
        <w:pStyle w:val="25"/>
        <w:spacing w:line="360" w:lineRule="exact"/>
        <w:rPr>
          <w:szCs w:val="22"/>
        </w:rPr>
      </w:pPr>
      <w:r>
        <w:rPr>
          <w:rFonts w:hint="eastAsia"/>
          <w:szCs w:val="22"/>
        </w:rPr>
        <w:t>DL/T 573 电力变压器检修导则</w:t>
      </w:r>
      <w:bookmarkEnd w:id="22"/>
    </w:p>
    <w:p w14:paraId="75EABA51">
      <w:pPr>
        <w:pStyle w:val="88"/>
        <w:spacing w:before="312" w:after="312"/>
      </w:pPr>
      <w:bookmarkStart w:id="23" w:name="_Toc9919"/>
      <w:r>
        <w:rPr>
          <w:rFonts w:hint="eastAsia"/>
        </w:rPr>
        <w:t>术语和定义</w:t>
      </w:r>
      <w:bookmarkEnd w:id="23"/>
    </w:p>
    <w:p w14:paraId="48FAB34E">
      <w:pPr>
        <w:pStyle w:val="25"/>
      </w:pPr>
      <w:r>
        <w:rPr>
          <w:rFonts w:hint="eastAsia" w:hAnsi="宋体" w:cs="宋体"/>
        </w:rPr>
        <w:t>下列术语和定义适用于本文件。</w:t>
      </w:r>
      <w:bookmarkStart w:id="24" w:name="_Toc102070403"/>
      <w:bookmarkStart w:id="25" w:name="_Toc118811284"/>
      <w:bookmarkStart w:id="26" w:name="_Toc225756453"/>
      <w:bookmarkStart w:id="27" w:name="_Toc1707860491"/>
    </w:p>
    <w:bookmarkEnd w:id="24"/>
    <w:bookmarkEnd w:id="25"/>
    <w:bookmarkEnd w:id="26"/>
    <w:bookmarkEnd w:id="27"/>
    <w:p w14:paraId="754C8DA3">
      <w:pPr>
        <w:pStyle w:val="76"/>
        <w:spacing w:before="156" w:after="156"/>
      </w:pPr>
      <w:bookmarkStart w:id="28" w:name="_Toc20860"/>
      <w:bookmarkEnd w:id="28"/>
    </w:p>
    <w:p w14:paraId="54BD972B">
      <w:pPr>
        <w:pStyle w:val="76"/>
        <w:numPr>
          <w:ilvl w:val="0"/>
          <w:numId w:val="0"/>
        </w:numPr>
        <w:spacing w:before="156" w:after="156"/>
        <w:ind w:firstLine="420"/>
      </w:pPr>
      <w:bookmarkStart w:id="29" w:name="_Toc1254"/>
      <w:r>
        <w:rPr>
          <w:rFonts w:hint="eastAsia"/>
        </w:rPr>
        <w:t>光伏发电单元 photovoltaic (PV) unit</w:t>
      </w:r>
      <w:bookmarkEnd w:id="29"/>
    </w:p>
    <w:p w14:paraId="085D32AD">
      <w:pPr>
        <w:pStyle w:val="25"/>
      </w:pPr>
      <w:r>
        <w:rPr>
          <w:rFonts w:hint="eastAsia" w:hAnsi="宋体" w:cs="宋体"/>
        </w:rPr>
        <w:t>以一定数量的光伏组件，通过汇流设备多串汇集，经逆变器逆变成交流电，可以作为独立电源被光伏分系统监控系统直接调度的单元。</w:t>
      </w:r>
      <w:bookmarkStart w:id="30" w:name="_Toc118811285"/>
    </w:p>
    <w:bookmarkEnd w:id="30"/>
    <w:p w14:paraId="62F0AEDE">
      <w:pPr>
        <w:pStyle w:val="76"/>
        <w:spacing w:before="156" w:after="156"/>
      </w:pPr>
      <w:bookmarkStart w:id="31" w:name="_Toc3060"/>
      <w:bookmarkEnd w:id="31"/>
    </w:p>
    <w:p w14:paraId="7A6DD975">
      <w:pPr>
        <w:pStyle w:val="76"/>
        <w:numPr>
          <w:ilvl w:val="0"/>
          <w:numId w:val="0"/>
        </w:numPr>
        <w:spacing w:before="156" w:after="156"/>
        <w:ind w:firstLine="420"/>
      </w:pPr>
      <w:bookmarkStart w:id="32" w:name="_Toc7768"/>
      <w:r>
        <w:rPr>
          <w:rFonts w:hint="eastAsia"/>
        </w:rPr>
        <w:t>定期检修 regular maintenance</w:t>
      </w:r>
      <w:bookmarkEnd w:id="32"/>
    </w:p>
    <w:p w14:paraId="633C49B3">
      <w:pPr>
        <w:pStyle w:val="25"/>
      </w:pPr>
      <w:r>
        <w:rPr>
          <w:rFonts w:hint="eastAsia" w:hAnsi="宋体" w:cs="宋体"/>
        </w:rPr>
        <w:t>根据设备磨损、老化和消耗的规律，事先确定检修项目和基准周期的检修方式。</w:t>
      </w:r>
      <w:bookmarkStart w:id="33" w:name="_Toc118811286"/>
    </w:p>
    <w:bookmarkEnd w:id="33"/>
    <w:p w14:paraId="08C2630C">
      <w:pPr>
        <w:pStyle w:val="76"/>
        <w:spacing w:before="156" w:after="156"/>
      </w:pPr>
      <w:bookmarkStart w:id="34" w:name="_Toc3641"/>
      <w:bookmarkEnd w:id="34"/>
    </w:p>
    <w:p w14:paraId="1AE43CF5">
      <w:pPr>
        <w:pStyle w:val="76"/>
        <w:numPr>
          <w:ilvl w:val="0"/>
          <w:numId w:val="0"/>
        </w:numPr>
        <w:spacing w:before="156" w:after="156"/>
        <w:ind w:firstLine="420"/>
      </w:pPr>
      <w:bookmarkStart w:id="35" w:name="_Toc12383"/>
      <w:r>
        <w:rPr>
          <w:rFonts w:hint="eastAsia"/>
        </w:rPr>
        <w:t>故障检修</w:t>
      </w:r>
      <w:r>
        <w:t xml:space="preserve"> corrective maintenance</w:t>
      </w:r>
      <w:bookmarkEnd w:id="35"/>
    </w:p>
    <w:p w14:paraId="4103502E">
      <w:pPr>
        <w:pStyle w:val="25"/>
        <w:rPr>
          <w:rFonts w:hint="eastAsia" w:hAnsi="宋体" w:cs="宋体"/>
        </w:rPr>
      </w:pPr>
      <w:r>
        <w:rPr>
          <w:rFonts w:hint="eastAsia" w:hAnsi="宋体" w:cs="宋体"/>
        </w:rPr>
        <w:t>设备在发生故障或其他失效时进行的检查、隔离和修理等非计划检修方式。</w:t>
      </w:r>
    </w:p>
    <w:p w14:paraId="30ADD9C1">
      <w:pPr>
        <w:pStyle w:val="76"/>
        <w:spacing w:before="156" w:after="156"/>
      </w:pPr>
      <w:bookmarkStart w:id="36" w:name="_Toc32705"/>
      <w:bookmarkEnd w:id="36"/>
    </w:p>
    <w:p w14:paraId="3727D1FF">
      <w:pPr>
        <w:pStyle w:val="76"/>
        <w:numPr>
          <w:ilvl w:val="1"/>
          <w:numId w:val="0"/>
        </w:numPr>
        <w:spacing w:before="156" w:after="156"/>
        <w:ind w:leftChars="0" w:firstLine="420" w:firstLineChars="0"/>
      </w:pPr>
      <w:bookmarkStart w:id="37" w:name="_Toc3725"/>
      <w:r>
        <w:rPr>
          <w:rFonts w:hint="eastAsia"/>
        </w:rPr>
        <w:t>状态检修 condition-based maintenance</w:t>
      </w:r>
      <w:bookmarkEnd w:id="37"/>
    </w:p>
    <w:p w14:paraId="0DB002F3">
      <w:pPr>
        <w:pStyle w:val="25"/>
        <w:rPr>
          <w:rFonts w:hint="eastAsia" w:hAnsi="宋体" w:cs="宋体"/>
        </w:rPr>
      </w:pPr>
      <w:bookmarkStart w:id="38" w:name="_Hlk141775176"/>
      <w:r>
        <w:rPr>
          <w:rFonts w:hint="eastAsia" w:hAnsi="宋体" w:cs="宋体"/>
        </w:rPr>
        <w:t>根据状态监测和诊断技术提供的设备状态信息评估设备状况，在故障发生前实施的预知检修方式。</w:t>
      </w:r>
      <w:bookmarkEnd w:id="38"/>
    </w:p>
    <w:p w14:paraId="1C5084A2">
      <w:pPr>
        <w:pStyle w:val="76"/>
        <w:spacing w:before="156" w:after="156"/>
        <w:rPr>
          <w:u w:val="single"/>
        </w:rPr>
      </w:pPr>
      <w:bookmarkStart w:id="39" w:name="_Toc20485"/>
      <w:bookmarkEnd w:id="39"/>
    </w:p>
    <w:p w14:paraId="346DD98D">
      <w:pPr>
        <w:pStyle w:val="76"/>
        <w:numPr>
          <w:ilvl w:val="1"/>
          <w:numId w:val="0"/>
        </w:numPr>
        <w:spacing w:before="156" w:after="156"/>
        <w:ind w:leftChars="0" w:firstLine="420" w:firstLineChars="0"/>
        <w:rPr>
          <w:u w:val="none"/>
        </w:rPr>
      </w:pPr>
      <w:bookmarkStart w:id="40" w:name="_Toc21498"/>
      <w:r>
        <w:rPr>
          <w:rFonts w:hint="eastAsia"/>
          <w:u w:val="none"/>
        </w:rPr>
        <w:t>例行试验 routine test</w:t>
      </w:r>
      <w:bookmarkEnd w:id="40"/>
    </w:p>
    <w:p w14:paraId="753FD5AE">
      <w:pPr>
        <w:pStyle w:val="25"/>
      </w:pPr>
      <w:r>
        <w:rPr>
          <w:rFonts w:hint="eastAsia" w:hAnsi="宋体" w:cs="宋体"/>
        </w:rPr>
        <w:t>为获取设备状态量、评估设备状态，及时发现事故隐患，定期进行的各种带电检测和停电试验。</w:t>
      </w:r>
    </w:p>
    <w:p w14:paraId="2CA68FE4">
      <w:pPr>
        <w:pStyle w:val="76"/>
        <w:spacing w:before="156" w:after="156"/>
      </w:pPr>
      <w:bookmarkStart w:id="41" w:name="_Toc31028"/>
      <w:bookmarkEnd w:id="41"/>
    </w:p>
    <w:p w14:paraId="2CF55DC9">
      <w:pPr>
        <w:pStyle w:val="76"/>
        <w:numPr>
          <w:ilvl w:val="1"/>
          <w:numId w:val="0"/>
        </w:numPr>
        <w:spacing w:before="156" w:after="156"/>
        <w:ind w:leftChars="0" w:firstLine="420" w:firstLineChars="0"/>
      </w:pPr>
      <w:bookmarkStart w:id="42" w:name="_Toc6055"/>
      <w:r>
        <w:rPr>
          <w:rFonts w:hint="eastAsia"/>
        </w:rPr>
        <w:t>诊断性试验 diagnostic test</w:t>
      </w:r>
      <w:bookmarkEnd w:id="42"/>
    </w:p>
    <w:p w14:paraId="5C1BBF4F">
      <w:pPr>
        <w:pStyle w:val="25"/>
        <w:rPr>
          <w:rFonts w:hint="eastAsia" w:hAnsi="宋体" w:cs="宋体"/>
        </w:rPr>
      </w:pPr>
      <w:r>
        <w:rPr>
          <w:rFonts w:hint="eastAsia" w:hAnsi="宋体" w:cs="宋体"/>
        </w:rPr>
        <w:t>设备在运行过程中发现设备状态不良、或受家族缺陷警示，或连续运行了较长时间，为进一步确</w:t>
      </w:r>
    </w:p>
    <w:p w14:paraId="2F872AFE">
      <w:pPr>
        <w:pStyle w:val="25"/>
        <w:ind w:left="0" w:leftChars="0" w:firstLine="0" w:firstLineChars="0"/>
        <w:rPr>
          <w:rFonts w:hint="eastAsia" w:hAnsi="宋体" w:cs="宋体"/>
        </w:rPr>
      </w:pPr>
      <w:r>
        <w:rPr>
          <w:rFonts w:hint="eastAsia" w:hAnsi="宋体" w:cs="宋体"/>
        </w:rPr>
        <w:t>定缺陷原因或部位所进行的试验。</w:t>
      </w:r>
    </w:p>
    <w:p w14:paraId="6D2B048D">
      <w:pPr>
        <w:pStyle w:val="76"/>
        <w:spacing w:before="156" w:after="156"/>
      </w:pPr>
      <w:bookmarkStart w:id="43" w:name="_Toc28054"/>
      <w:bookmarkEnd w:id="43"/>
    </w:p>
    <w:p w14:paraId="6F891E53">
      <w:pPr>
        <w:pStyle w:val="76"/>
        <w:numPr>
          <w:ilvl w:val="1"/>
          <w:numId w:val="0"/>
        </w:numPr>
        <w:spacing w:before="156" w:after="156"/>
        <w:ind w:leftChars="0" w:firstLine="420" w:firstLineChars="0"/>
      </w:pPr>
      <w:bookmarkStart w:id="44" w:name="_Toc1252"/>
      <w:r>
        <w:rPr>
          <w:rFonts w:hint="eastAsia"/>
        </w:rPr>
        <w:t>验收试验 acceptance test</w:t>
      </w:r>
      <w:bookmarkEnd w:id="44"/>
    </w:p>
    <w:p w14:paraId="7A5D3E00">
      <w:pPr>
        <w:pStyle w:val="25"/>
        <w:rPr>
          <w:rFonts w:hint="eastAsia" w:hAnsi="宋体" w:cs="宋体"/>
        </w:rPr>
      </w:pPr>
      <w:r>
        <w:rPr>
          <w:rFonts w:hint="eastAsia" w:hAnsi="宋体" w:cs="宋体"/>
        </w:rPr>
        <w:t>依据设备运行周期的关键节点，或设备经历重大故障检修后开展的试验。</w:t>
      </w:r>
    </w:p>
    <w:p w14:paraId="66207CE9">
      <w:pPr>
        <w:pStyle w:val="88"/>
        <w:tabs>
          <w:tab w:val="left" w:pos="720"/>
        </w:tabs>
        <w:spacing w:before="312" w:after="312"/>
        <w:outlineLvl w:val="0"/>
      </w:pPr>
      <w:bookmarkStart w:id="45" w:name="_Toc11478"/>
      <w:r>
        <w:rPr>
          <w:rFonts w:hint="eastAsia"/>
        </w:rPr>
        <w:t>总体原则</w:t>
      </w:r>
      <w:bookmarkEnd w:id="45"/>
    </w:p>
    <w:p w14:paraId="0764DAAD">
      <w:pPr>
        <w:pStyle w:val="76"/>
        <w:spacing w:before="50" w:beforeLines="0" w:after="50" w:afterLines="0"/>
        <w:rPr>
          <w:rFonts w:hint="eastAsia" w:ascii="宋体" w:hAnsi="宋体" w:eastAsia="宋体" w:cs="宋体"/>
        </w:rPr>
      </w:pPr>
      <w:bookmarkStart w:id="46" w:name="_Toc32738"/>
      <w:bookmarkStart w:id="47" w:name="_Toc229522957"/>
      <w:bookmarkStart w:id="48" w:name="_Toc5199"/>
      <w:bookmarkStart w:id="49" w:name="_Toc1702482563"/>
      <w:bookmarkStart w:id="50" w:name="_Toc118811295"/>
      <w:bookmarkStart w:id="51" w:name="_Toc1450541225"/>
      <w:bookmarkStart w:id="52" w:name="_Toc102070408"/>
      <w:r>
        <w:rPr>
          <w:rFonts w:hint="eastAsia" w:ascii="宋体" w:hAnsi="宋体" w:eastAsia="宋体" w:cs="宋体"/>
        </w:rPr>
        <w:t>光伏发电单元现场检修应遵循“安全第一、预防为主、定期检修、定期试验”的原则。</w:t>
      </w:r>
      <w:bookmarkEnd w:id="46"/>
      <w:bookmarkEnd w:id="47"/>
      <w:bookmarkEnd w:id="48"/>
    </w:p>
    <w:p w14:paraId="4325E521">
      <w:pPr>
        <w:pStyle w:val="76"/>
        <w:spacing w:before="50" w:beforeLines="0" w:after="50" w:afterLines="0"/>
        <w:rPr>
          <w:rFonts w:hint="eastAsia" w:ascii="宋体" w:hAnsi="宋体" w:eastAsia="宋体" w:cs="宋体"/>
        </w:rPr>
      </w:pPr>
      <w:bookmarkStart w:id="53" w:name="_Toc229522958"/>
      <w:bookmarkStart w:id="54" w:name="_Toc22688"/>
      <w:bookmarkStart w:id="55" w:name="_Toc10442"/>
      <w:r>
        <w:rPr>
          <w:rFonts w:hint="eastAsia" w:ascii="宋体" w:hAnsi="宋体" w:eastAsia="宋体" w:cs="宋体"/>
        </w:rPr>
        <w:t>光伏发电单元现场检修安全应符合国家、行业以及电</w:t>
      </w:r>
      <w:r>
        <w:rPr>
          <w:rFonts w:hint="eastAsia" w:ascii="宋体" w:hAnsi="宋体" w:eastAsia="宋体" w:cs="宋体"/>
          <w:lang w:val="en-US" w:eastAsia="zh-CN"/>
        </w:rPr>
        <w:t>力</w:t>
      </w:r>
      <w:r>
        <w:rPr>
          <w:rFonts w:hint="eastAsia" w:ascii="宋体" w:hAnsi="宋体" w:eastAsia="宋体" w:cs="宋体"/>
        </w:rPr>
        <w:t>企业现行安全管理规定和现场作业安全要求。</w:t>
      </w:r>
      <w:bookmarkEnd w:id="53"/>
      <w:bookmarkEnd w:id="54"/>
      <w:bookmarkEnd w:id="55"/>
    </w:p>
    <w:p w14:paraId="1FD40B5E">
      <w:pPr>
        <w:pStyle w:val="76"/>
        <w:spacing w:before="50" w:beforeLines="0" w:after="50" w:afterLines="0"/>
        <w:rPr>
          <w:rFonts w:hint="eastAsia" w:ascii="宋体" w:hAnsi="宋体" w:eastAsia="宋体" w:cs="宋体"/>
        </w:rPr>
      </w:pPr>
      <w:bookmarkStart w:id="56" w:name="_Toc32729"/>
      <w:bookmarkStart w:id="57" w:name="_Toc229522959"/>
      <w:bookmarkStart w:id="58" w:name="_Toc28483"/>
      <w:r>
        <w:rPr>
          <w:rFonts w:hint="eastAsia" w:ascii="宋体" w:hAnsi="宋体" w:eastAsia="宋体" w:cs="宋体"/>
        </w:rPr>
        <w:t>光伏电站发电设备设施检修应突出光伏发电单元运行安全、发电性能和故障闭环管理要求。</w:t>
      </w:r>
      <w:bookmarkEnd w:id="56"/>
      <w:bookmarkEnd w:id="57"/>
      <w:bookmarkEnd w:id="58"/>
    </w:p>
    <w:p w14:paraId="2C76D21E">
      <w:pPr>
        <w:pStyle w:val="76"/>
        <w:spacing w:before="50" w:beforeLines="0" w:after="50" w:afterLines="0"/>
        <w:rPr>
          <w:rFonts w:hint="eastAsia" w:ascii="宋体" w:hAnsi="宋体" w:eastAsia="宋体" w:cs="宋体"/>
        </w:rPr>
      </w:pPr>
      <w:bookmarkStart w:id="59" w:name="_Toc7555"/>
      <w:bookmarkStart w:id="60" w:name="_Toc229522961"/>
      <w:bookmarkStart w:id="61" w:name="_Toc32711"/>
      <w:r>
        <w:rPr>
          <w:rFonts w:hint="eastAsia" w:ascii="宋体" w:hAnsi="宋体" w:eastAsia="宋体" w:cs="宋体"/>
        </w:rPr>
        <w:t>应按照有关设备技术文件、同类型设备检修经验等，合理安排并执行检修计划；检修计划可根据设备运行状态、现场条件和停电安排进行动态调整。</w:t>
      </w:r>
      <w:bookmarkEnd w:id="59"/>
      <w:bookmarkEnd w:id="60"/>
      <w:bookmarkEnd w:id="61"/>
    </w:p>
    <w:p w14:paraId="65679313">
      <w:pPr>
        <w:pStyle w:val="76"/>
        <w:spacing w:before="50" w:beforeLines="0" w:after="50" w:afterLines="0"/>
        <w:rPr>
          <w:rFonts w:hint="eastAsia" w:ascii="宋体" w:hAnsi="宋体" w:eastAsia="宋体" w:cs="宋体"/>
        </w:rPr>
      </w:pPr>
      <w:bookmarkStart w:id="62" w:name="_Toc4961"/>
      <w:bookmarkStart w:id="63" w:name="_Toc21361"/>
      <w:r>
        <w:rPr>
          <w:rFonts w:hint="eastAsia" w:ascii="宋体" w:hAnsi="宋体" w:eastAsia="宋体" w:cs="宋体"/>
        </w:rPr>
        <w:t>应在规定期限内完成光伏发电单元定期检修和试验作业；半年检、全年检可结合设备运行状态、环境条件和停电安排统筹实施，并达到质量标准，保证光伏发电单元安全、稳定、经济运行。</w:t>
      </w:r>
      <w:bookmarkEnd w:id="62"/>
      <w:bookmarkEnd w:id="63"/>
    </w:p>
    <w:p w14:paraId="5182395C">
      <w:pPr>
        <w:pStyle w:val="76"/>
        <w:spacing w:before="50" w:beforeLines="0" w:after="50" w:afterLines="0"/>
        <w:rPr>
          <w:rFonts w:hint="eastAsia" w:ascii="宋体" w:hAnsi="宋体" w:eastAsia="宋体" w:cs="宋体"/>
        </w:rPr>
      </w:pPr>
      <w:bookmarkStart w:id="64" w:name="_Toc465"/>
      <w:bookmarkStart w:id="65" w:name="_Toc229522963"/>
      <w:bookmarkStart w:id="66" w:name="_Toc24215"/>
      <w:r>
        <w:rPr>
          <w:rFonts w:hint="eastAsia" w:ascii="宋体" w:hAnsi="宋体" w:eastAsia="宋体" w:cs="宋体"/>
        </w:rPr>
        <w:t>现场检修作业应结合现场具体情况，制定标准化作业指导卡，明确检修对象、作业步骤、质量要求、安全措施、风险控制要求和验收要求，并在检修过程中的关键节点完成检修记录、试验报告、缺陷记录等执行文件；检修过程执行文件应及时归档保存。</w:t>
      </w:r>
      <w:bookmarkEnd w:id="64"/>
      <w:bookmarkEnd w:id="65"/>
      <w:bookmarkEnd w:id="66"/>
    </w:p>
    <w:p w14:paraId="115278DC">
      <w:pPr>
        <w:pStyle w:val="76"/>
        <w:spacing w:before="50" w:beforeLines="0" w:after="50" w:afterLines="0"/>
        <w:rPr>
          <w:rFonts w:hint="eastAsia" w:hAnsi="宋体" w:eastAsia="宋体" w:cs="宋体"/>
        </w:rPr>
      </w:pPr>
      <w:bookmarkStart w:id="67" w:name="_Toc4281"/>
      <w:bookmarkStart w:id="68" w:name="_Toc229522964"/>
      <w:bookmarkStart w:id="69" w:name="_Toc26950"/>
      <w:r>
        <w:rPr>
          <w:rFonts w:hint="eastAsia" w:ascii="宋体" w:hAnsi="宋体" w:eastAsia="宋体" w:cs="宋体"/>
        </w:rPr>
        <w:t>设备检修人员应经过岗位培训和安全技术交底，掌握相应设备检修工艺、工序、调试方法和质量要求；从事高处作业、电气作业等特种作业的人员应取得有效资格证书。</w:t>
      </w:r>
      <w:bookmarkEnd w:id="67"/>
      <w:bookmarkEnd w:id="68"/>
      <w:bookmarkEnd w:id="69"/>
    </w:p>
    <w:p w14:paraId="307472B5">
      <w:pPr>
        <w:pStyle w:val="76"/>
        <w:spacing w:before="50" w:beforeLines="0" w:after="50" w:afterLines="0"/>
        <w:rPr>
          <w:rFonts w:hint="eastAsia" w:hAnsi="宋体" w:eastAsia="宋体" w:cs="宋体"/>
        </w:rPr>
      </w:pPr>
      <w:bookmarkStart w:id="70" w:name="_Toc27656"/>
      <w:bookmarkStart w:id="71" w:name="_Toc4997"/>
      <w:r>
        <w:rPr>
          <w:rFonts w:hint="eastAsia" w:ascii="宋体" w:hAnsi="宋体" w:eastAsia="宋体" w:cs="宋体"/>
        </w:rPr>
        <w:t>设备检修人员应身体健康，并经具备资质的医疗机构体检合格，无妨碍从事光伏发电设备设施检修工作的病症。</w:t>
      </w:r>
      <w:bookmarkEnd w:id="70"/>
      <w:bookmarkEnd w:id="71"/>
    </w:p>
    <w:p w14:paraId="6E8F4932">
      <w:pPr>
        <w:pStyle w:val="76"/>
        <w:spacing w:before="50" w:beforeLines="0" w:after="50" w:afterLines="0"/>
        <w:rPr>
          <w:rFonts w:hint="eastAsia" w:hAnsi="宋体" w:eastAsia="宋体" w:cs="宋体"/>
        </w:rPr>
      </w:pPr>
      <w:bookmarkStart w:id="72" w:name="_Toc17859"/>
      <w:bookmarkStart w:id="73" w:name="_Toc520"/>
      <w:r>
        <w:rPr>
          <w:rFonts w:hint="eastAsia" w:ascii="宋体" w:hAnsi="宋体" w:eastAsia="宋体" w:cs="宋体"/>
        </w:rPr>
        <w:t>光伏发电单元现场检修应执行工作票制度；涉及高处作业、临近带电体作业、动火作业等高风险作业时，应编制专项安全措施并履行审批手续。</w:t>
      </w:r>
      <w:bookmarkEnd w:id="72"/>
      <w:bookmarkEnd w:id="73"/>
    </w:p>
    <w:p w14:paraId="247CCFAF">
      <w:pPr>
        <w:pStyle w:val="76"/>
        <w:spacing w:before="50" w:beforeLines="0" w:after="50" w:afterLines="0"/>
        <w:rPr>
          <w:rFonts w:hint="eastAsia" w:hAnsi="宋体" w:eastAsia="宋体" w:cs="宋体"/>
        </w:rPr>
      </w:pPr>
      <w:bookmarkStart w:id="74" w:name="_Toc375"/>
      <w:bookmarkStart w:id="75" w:name="_Toc29504"/>
      <w:r>
        <w:rPr>
          <w:rFonts w:hint="eastAsia" w:ascii="宋体" w:hAnsi="宋体" w:eastAsia="宋体" w:cs="宋体"/>
        </w:rPr>
        <w:t>户外检修应结合天气和现场环境条件实施；雷雨、大风、冰雹、沙尘、能见度低等恶劣天气下，不应开展高处、带电邻近及吊装等户外作业。</w:t>
      </w:r>
      <w:bookmarkEnd w:id="74"/>
      <w:bookmarkEnd w:id="75"/>
    </w:p>
    <w:bookmarkEnd w:id="49"/>
    <w:bookmarkEnd w:id="50"/>
    <w:bookmarkEnd w:id="51"/>
    <w:bookmarkEnd w:id="52"/>
    <w:p w14:paraId="14D096EB">
      <w:pPr>
        <w:pStyle w:val="88"/>
        <w:tabs>
          <w:tab w:val="left" w:pos="720"/>
        </w:tabs>
        <w:spacing w:before="312" w:after="312"/>
        <w:outlineLvl w:val="0"/>
      </w:pPr>
      <w:bookmarkStart w:id="76" w:name="_Toc148531832"/>
      <w:bookmarkStart w:id="77" w:name="_Toc22699"/>
      <w:r>
        <w:rPr>
          <w:rFonts w:hint="eastAsia"/>
        </w:rPr>
        <w:t>定期检修要求</w:t>
      </w:r>
      <w:bookmarkEnd w:id="76"/>
      <w:bookmarkEnd w:id="77"/>
    </w:p>
    <w:p w14:paraId="213A61E1">
      <w:pPr>
        <w:pStyle w:val="76"/>
        <w:spacing w:before="156" w:after="156"/>
        <w:outlineLvl w:val="1"/>
      </w:pPr>
      <w:bookmarkStart w:id="78" w:name="_Toc118811296"/>
      <w:bookmarkStart w:id="79" w:name="_Toc17648"/>
      <w:bookmarkStart w:id="80" w:name="_Toc148531833"/>
      <w:r>
        <w:rPr>
          <w:rFonts w:hint="eastAsia"/>
          <w:lang w:val="en-US" w:eastAsia="zh-CN"/>
        </w:rPr>
        <w:t>一般</w:t>
      </w:r>
      <w:r>
        <w:rPr>
          <w:rFonts w:hint="eastAsia"/>
        </w:rPr>
        <w:t>要求</w:t>
      </w:r>
      <w:bookmarkEnd w:id="78"/>
      <w:bookmarkEnd w:id="79"/>
      <w:bookmarkEnd w:id="80"/>
    </w:p>
    <w:p w14:paraId="57C9CA88">
      <w:pPr>
        <w:pStyle w:val="75"/>
        <w:spacing w:beforeLines="0" w:afterLines="0"/>
        <w:ind w:left="0"/>
        <w:rPr>
          <w:rFonts w:hint="eastAsia" w:ascii="宋体" w:hAnsi="宋体" w:eastAsia="宋体" w:cs="宋体"/>
        </w:rPr>
      </w:pPr>
      <w:r>
        <w:rPr>
          <w:rFonts w:hint="eastAsia" w:ascii="宋体" w:hAnsi="宋体" w:eastAsia="宋体" w:cs="宋体"/>
        </w:rPr>
        <w:t>光伏发电单元现场定期检修应明确作业范围、停送电安排、工器具和备品备件准备、质量验收要求以及风险控制措施。</w:t>
      </w:r>
    </w:p>
    <w:p w14:paraId="736B9C6B">
      <w:pPr>
        <w:pStyle w:val="75"/>
        <w:spacing w:beforeLines="0" w:afterLines="0"/>
        <w:ind w:left="0"/>
        <w:rPr>
          <w:rFonts w:hint="eastAsia" w:ascii="宋体" w:hAnsi="宋体" w:eastAsia="宋体" w:cs="宋体"/>
        </w:rPr>
      </w:pPr>
      <w:r>
        <w:rPr>
          <w:rFonts w:hint="eastAsia" w:ascii="宋体" w:hAnsi="宋体" w:eastAsia="宋体" w:cs="宋体"/>
        </w:rPr>
        <w:t>定期检修应做好施工组织、质量验收和检修后评估工作。</w:t>
      </w:r>
    </w:p>
    <w:p w14:paraId="025CACFC">
      <w:pPr>
        <w:pStyle w:val="75"/>
        <w:spacing w:beforeLines="0" w:afterLines="0"/>
        <w:ind w:left="0"/>
        <w:rPr>
          <w:rFonts w:hint="eastAsia" w:ascii="宋体" w:hAnsi="宋体" w:eastAsia="宋体" w:cs="宋体"/>
        </w:rPr>
      </w:pPr>
      <w:r>
        <w:rPr>
          <w:rFonts w:hint="eastAsia" w:ascii="宋体" w:hAnsi="宋体" w:eastAsia="宋体" w:cs="宋体"/>
        </w:rPr>
        <w:t>现场检修应实施全过程管理，使检修计划制定、材料和备品备件采购、技术文件编制、施工、验收及检修总结等环节处于受控状态，以达到预期的检修效果和质量目标。</w:t>
      </w:r>
    </w:p>
    <w:p w14:paraId="3864F99E">
      <w:pPr>
        <w:pStyle w:val="75"/>
        <w:spacing w:beforeLines="0" w:afterLines="0"/>
        <w:ind w:left="0"/>
        <w:rPr>
          <w:rFonts w:hint="eastAsia" w:ascii="宋体" w:hAnsi="宋体" w:eastAsia="宋体" w:cs="宋体"/>
        </w:rPr>
      </w:pPr>
      <w:r>
        <w:rPr>
          <w:rFonts w:hint="eastAsia" w:ascii="宋体" w:hAnsi="宋体" w:eastAsia="宋体" w:cs="宋体"/>
        </w:rPr>
        <w:t>定期检修计划、检修记录等过程执行文件和信息应及时保存，完成申请、审核、实施、验收的全过程闭环管理。</w:t>
      </w:r>
    </w:p>
    <w:p w14:paraId="14C8F37A">
      <w:pPr>
        <w:pStyle w:val="75"/>
        <w:spacing w:beforeLines="0" w:afterLines="0"/>
        <w:ind w:left="0"/>
        <w:rPr>
          <w:rFonts w:hint="eastAsia" w:ascii="宋体" w:hAnsi="宋体" w:eastAsia="宋体" w:cs="宋体"/>
        </w:rPr>
      </w:pPr>
      <w:r>
        <w:rPr>
          <w:rFonts w:hint="eastAsia" w:ascii="宋体" w:hAnsi="宋体" w:eastAsia="宋体" w:cs="宋体"/>
        </w:rPr>
        <w:t>检修后，应及时提交设备检修记录、报告和设备变更等技术文件，并作为技术档案保存。</w:t>
      </w:r>
    </w:p>
    <w:p w14:paraId="7C3147F6">
      <w:pPr>
        <w:pStyle w:val="75"/>
        <w:spacing w:beforeLines="0" w:afterLines="0"/>
        <w:ind w:left="0"/>
        <w:rPr>
          <w:rFonts w:hint="eastAsia" w:ascii="宋体" w:hAnsi="宋体" w:eastAsia="宋体" w:cs="宋体"/>
        </w:rPr>
      </w:pPr>
      <w:r>
        <w:rPr>
          <w:rFonts w:hint="eastAsia" w:ascii="宋体" w:hAnsi="宋体" w:eastAsia="宋体" w:cs="宋体"/>
        </w:rPr>
        <w:t>定期检修实施时间可结合气候条件、设备运行状态、停电安排和现场作业条件适当调整。</w:t>
      </w:r>
    </w:p>
    <w:p w14:paraId="28BFA1F0">
      <w:pPr>
        <w:pStyle w:val="75"/>
        <w:spacing w:beforeLines="0" w:afterLines="0"/>
        <w:ind w:left="0"/>
        <w:rPr>
          <w:rFonts w:hint="eastAsia"/>
        </w:rPr>
      </w:pPr>
      <w:r>
        <w:rPr>
          <w:rFonts w:hint="eastAsia" w:ascii="宋体" w:hAnsi="宋体" w:eastAsia="宋体" w:cs="宋体"/>
        </w:rPr>
        <w:t>光伏发电单元定期检修包括光伏组件、支架、汇流箱、交直流配电柜、逆变器、跟踪系统及辅助系统等，具体技术要求按附录 A 执行。</w:t>
      </w:r>
    </w:p>
    <w:p w14:paraId="09A2B4DD">
      <w:pPr>
        <w:pStyle w:val="76"/>
        <w:spacing w:before="156" w:after="156"/>
        <w:outlineLvl w:val="1"/>
      </w:pPr>
      <w:bookmarkStart w:id="81" w:name="_Toc14341"/>
      <w:bookmarkStart w:id="82" w:name="_Toc118811304"/>
      <w:bookmarkStart w:id="83" w:name="_Toc148531834"/>
      <w:r>
        <w:rPr>
          <w:rFonts w:hint="eastAsia"/>
        </w:rPr>
        <w:t>具体要求</w:t>
      </w:r>
      <w:bookmarkEnd w:id="81"/>
      <w:bookmarkEnd w:id="82"/>
      <w:bookmarkEnd w:id="83"/>
    </w:p>
    <w:p w14:paraId="42012594">
      <w:pPr>
        <w:pStyle w:val="75"/>
        <w:spacing w:beforeLines="0" w:afterLines="0"/>
        <w:ind w:left="0"/>
        <w:rPr>
          <w:rFonts w:hint="eastAsia" w:ascii="宋体" w:hAnsi="宋体" w:eastAsia="宋体" w:cs="宋体"/>
        </w:rPr>
      </w:pPr>
      <w:r>
        <w:rPr>
          <w:rFonts w:hint="eastAsia" w:ascii="宋体" w:hAnsi="宋体" w:eastAsia="宋体" w:cs="宋体"/>
        </w:rPr>
        <w:t>设备定期检修计划的制定应统筹考虑输变电设备检修计划、发电计划和现场停电条件，减少重复停运。</w:t>
      </w:r>
    </w:p>
    <w:p w14:paraId="410B6772">
      <w:pPr>
        <w:pStyle w:val="75"/>
        <w:spacing w:beforeLines="0" w:afterLines="0"/>
        <w:ind w:left="0"/>
        <w:rPr>
          <w:rFonts w:hint="eastAsia" w:ascii="宋体" w:hAnsi="宋体" w:eastAsia="宋体" w:cs="宋体"/>
        </w:rPr>
      </w:pPr>
      <w:r>
        <w:rPr>
          <w:rFonts w:hint="eastAsia" w:ascii="宋体" w:hAnsi="宋体" w:eastAsia="宋体" w:cs="宋体"/>
        </w:rPr>
        <w:t>定期检修计划宜包含半年检和全年检，具体检修周期可按表1执行，并可结合设备运行状态进行优化调整。</w:t>
      </w:r>
    </w:p>
    <w:tbl>
      <w:tblPr>
        <w:tblStyle w:val="35"/>
        <w:tblW w:w="9316" w:type="dxa"/>
        <w:tblInd w:w="13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661"/>
        <w:gridCol w:w="4655"/>
      </w:tblGrid>
      <w:tr w14:paraId="4A1CF0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blHeader/>
        </w:trPr>
        <w:tc>
          <w:tcPr>
            <w:tcW w:w="4661" w:type="dxa"/>
            <w:vAlign w:val="center"/>
          </w:tcPr>
          <w:p w14:paraId="6D8C6198">
            <w:pPr>
              <w:widowControl/>
              <w:autoSpaceDE w:val="0"/>
              <w:autoSpaceDN w:val="0"/>
              <w:snapToGrid w:val="0"/>
              <w:jc w:val="center"/>
              <w:rPr>
                <w:rFonts w:hint="eastAsia" w:ascii="宋体" w:hAnsi="宋体"/>
                <w:bCs/>
                <w:kern w:val="0"/>
                <w:sz w:val="18"/>
                <w:szCs w:val="18"/>
              </w:rPr>
            </w:pPr>
            <w:r>
              <w:rPr>
                <w:rFonts w:ascii="宋体" w:hAnsi="宋体"/>
                <w:bCs/>
                <w:kern w:val="0"/>
                <w:sz w:val="18"/>
                <w:szCs w:val="18"/>
              </w:rPr>
              <w:t>设备种类</w:t>
            </w:r>
          </w:p>
        </w:tc>
        <w:tc>
          <w:tcPr>
            <w:tcW w:w="4655" w:type="dxa"/>
            <w:vAlign w:val="center"/>
          </w:tcPr>
          <w:p w14:paraId="3D88F49D">
            <w:pPr>
              <w:widowControl/>
              <w:autoSpaceDE w:val="0"/>
              <w:autoSpaceDN w:val="0"/>
              <w:snapToGrid w:val="0"/>
              <w:jc w:val="center"/>
              <w:rPr>
                <w:rFonts w:hint="eastAsia" w:ascii="宋体" w:hAnsi="宋体"/>
                <w:bCs/>
                <w:kern w:val="0"/>
                <w:sz w:val="18"/>
                <w:szCs w:val="18"/>
              </w:rPr>
            </w:pPr>
            <w:r>
              <w:rPr>
                <w:rFonts w:hint="eastAsia" w:ascii="宋体" w:hAnsi="宋体"/>
                <w:bCs/>
                <w:kern w:val="0"/>
                <w:sz w:val="18"/>
                <w:szCs w:val="18"/>
              </w:rPr>
              <w:t>检修周期</w:t>
            </w:r>
          </w:p>
        </w:tc>
      </w:tr>
      <w:tr w14:paraId="6AE6DC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661" w:type="dxa"/>
            <w:vAlign w:val="center"/>
          </w:tcPr>
          <w:p w14:paraId="53377ABD">
            <w:pPr>
              <w:widowControl/>
              <w:autoSpaceDE w:val="0"/>
              <w:autoSpaceDN w:val="0"/>
              <w:snapToGrid w:val="0"/>
              <w:jc w:val="center"/>
              <w:rPr>
                <w:rFonts w:hint="eastAsia" w:ascii="宋体" w:hAnsi="宋体"/>
                <w:bCs/>
                <w:kern w:val="0"/>
                <w:sz w:val="18"/>
                <w:szCs w:val="18"/>
              </w:rPr>
            </w:pPr>
            <w:r>
              <w:rPr>
                <w:rFonts w:ascii="宋体" w:hAnsi="宋体"/>
                <w:bCs/>
                <w:kern w:val="0"/>
                <w:sz w:val="18"/>
                <w:szCs w:val="18"/>
              </w:rPr>
              <w:t>逆变器</w:t>
            </w:r>
            <w:r>
              <w:rPr>
                <w:rFonts w:hint="eastAsia" w:ascii="宋体" w:hAnsi="宋体"/>
                <w:bCs/>
                <w:kern w:val="0"/>
                <w:sz w:val="18"/>
                <w:szCs w:val="18"/>
              </w:rPr>
              <w:t>（含交直流柜）</w:t>
            </w:r>
          </w:p>
        </w:tc>
        <w:tc>
          <w:tcPr>
            <w:tcW w:w="4655" w:type="dxa"/>
            <w:vAlign w:val="center"/>
          </w:tcPr>
          <w:p w14:paraId="126C96EE">
            <w:pPr>
              <w:widowControl/>
              <w:autoSpaceDE w:val="0"/>
              <w:autoSpaceDN w:val="0"/>
              <w:snapToGrid w:val="0"/>
              <w:jc w:val="center"/>
              <w:rPr>
                <w:rFonts w:hint="eastAsia" w:ascii="宋体" w:hAnsi="宋体"/>
                <w:bCs/>
                <w:kern w:val="0"/>
                <w:sz w:val="18"/>
                <w:szCs w:val="18"/>
              </w:rPr>
            </w:pPr>
            <w:r>
              <w:rPr>
                <w:rFonts w:hint="eastAsia" w:ascii="宋体" w:hAnsi="宋体"/>
                <w:bCs/>
                <w:kern w:val="0"/>
                <w:sz w:val="18"/>
                <w:szCs w:val="18"/>
              </w:rPr>
              <w:t>6个月</w:t>
            </w:r>
          </w:p>
        </w:tc>
      </w:tr>
      <w:tr w14:paraId="52A237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661" w:type="dxa"/>
            <w:vAlign w:val="center"/>
          </w:tcPr>
          <w:p w14:paraId="359337BB">
            <w:pPr>
              <w:widowControl/>
              <w:autoSpaceDE w:val="0"/>
              <w:autoSpaceDN w:val="0"/>
              <w:snapToGrid w:val="0"/>
              <w:jc w:val="center"/>
              <w:rPr>
                <w:rFonts w:hint="eastAsia" w:ascii="宋体" w:hAnsi="宋体"/>
                <w:bCs/>
                <w:kern w:val="0"/>
                <w:sz w:val="18"/>
                <w:szCs w:val="18"/>
              </w:rPr>
            </w:pPr>
            <w:r>
              <w:rPr>
                <w:rFonts w:ascii="宋体" w:hAnsi="宋体"/>
                <w:bCs/>
                <w:kern w:val="0"/>
                <w:sz w:val="18"/>
                <w:szCs w:val="18"/>
              </w:rPr>
              <w:t>汇流箱</w:t>
            </w:r>
          </w:p>
        </w:tc>
        <w:tc>
          <w:tcPr>
            <w:tcW w:w="4655" w:type="dxa"/>
            <w:vAlign w:val="center"/>
          </w:tcPr>
          <w:p w14:paraId="6BCDD646">
            <w:pPr>
              <w:widowControl/>
              <w:autoSpaceDE w:val="0"/>
              <w:autoSpaceDN w:val="0"/>
              <w:snapToGrid w:val="0"/>
              <w:jc w:val="center"/>
              <w:rPr>
                <w:rFonts w:hint="eastAsia" w:ascii="宋体" w:hAnsi="宋体"/>
                <w:bCs/>
                <w:kern w:val="0"/>
                <w:sz w:val="18"/>
                <w:szCs w:val="18"/>
              </w:rPr>
            </w:pPr>
            <w:r>
              <w:rPr>
                <w:rFonts w:hint="eastAsia" w:ascii="宋体" w:hAnsi="宋体"/>
                <w:bCs/>
                <w:kern w:val="0"/>
                <w:sz w:val="18"/>
                <w:szCs w:val="18"/>
              </w:rPr>
              <w:t>6个月</w:t>
            </w:r>
          </w:p>
        </w:tc>
      </w:tr>
      <w:tr w14:paraId="1103ED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661" w:type="dxa"/>
            <w:vAlign w:val="center"/>
          </w:tcPr>
          <w:p w14:paraId="3432AF0C">
            <w:pPr>
              <w:widowControl/>
              <w:autoSpaceDE w:val="0"/>
              <w:autoSpaceDN w:val="0"/>
              <w:snapToGrid w:val="0"/>
              <w:jc w:val="center"/>
              <w:rPr>
                <w:rFonts w:hint="eastAsia" w:ascii="宋体" w:hAnsi="宋体"/>
                <w:bCs/>
                <w:kern w:val="0"/>
                <w:sz w:val="18"/>
                <w:szCs w:val="18"/>
              </w:rPr>
            </w:pPr>
            <w:r>
              <w:rPr>
                <w:rFonts w:ascii="宋体" w:hAnsi="宋体"/>
                <w:bCs/>
                <w:kern w:val="0"/>
                <w:sz w:val="18"/>
                <w:szCs w:val="18"/>
              </w:rPr>
              <w:t>光伏组件</w:t>
            </w:r>
          </w:p>
        </w:tc>
        <w:tc>
          <w:tcPr>
            <w:tcW w:w="4655" w:type="dxa"/>
            <w:vAlign w:val="center"/>
          </w:tcPr>
          <w:p w14:paraId="1772250C">
            <w:pPr>
              <w:widowControl/>
              <w:autoSpaceDE w:val="0"/>
              <w:autoSpaceDN w:val="0"/>
              <w:snapToGrid w:val="0"/>
              <w:jc w:val="center"/>
              <w:rPr>
                <w:rFonts w:hint="eastAsia" w:ascii="宋体" w:hAnsi="宋体"/>
                <w:bCs/>
                <w:kern w:val="0"/>
                <w:sz w:val="18"/>
                <w:szCs w:val="18"/>
              </w:rPr>
            </w:pPr>
            <w:r>
              <w:rPr>
                <w:rFonts w:hint="eastAsia" w:ascii="宋体" w:hAnsi="宋体"/>
                <w:bCs/>
                <w:kern w:val="0"/>
                <w:sz w:val="18"/>
                <w:szCs w:val="18"/>
              </w:rPr>
              <w:t>一年</w:t>
            </w:r>
          </w:p>
        </w:tc>
      </w:tr>
      <w:tr w14:paraId="4A7638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661" w:type="dxa"/>
            <w:vAlign w:val="center"/>
          </w:tcPr>
          <w:p w14:paraId="5ECDD854">
            <w:pPr>
              <w:widowControl/>
              <w:autoSpaceDE w:val="0"/>
              <w:autoSpaceDN w:val="0"/>
              <w:snapToGrid w:val="0"/>
              <w:jc w:val="center"/>
              <w:rPr>
                <w:rFonts w:hint="eastAsia" w:ascii="宋体" w:hAnsi="宋体"/>
                <w:bCs/>
                <w:kern w:val="0"/>
                <w:sz w:val="18"/>
                <w:szCs w:val="18"/>
              </w:rPr>
            </w:pPr>
            <w:r>
              <w:rPr>
                <w:rFonts w:ascii="宋体" w:hAnsi="宋体"/>
                <w:bCs/>
                <w:kern w:val="0"/>
                <w:sz w:val="18"/>
                <w:szCs w:val="18"/>
              </w:rPr>
              <w:t>光伏支架</w:t>
            </w:r>
          </w:p>
        </w:tc>
        <w:tc>
          <w:tcPr>
            <w:tcW w:w="4655" w:type="dxa"/>
            <w:vAlign w:val="center"/>
          </w:tcPr>
          <w:p w14:paraId="19F0EB0E">
            <w:pPr>
              <w:widowControl/>
              <w:autoSpaceDE w:val="0"/>
              <w:autoSpaceDN w:val="0"/>
              <w:snapToGrid w:val="0"/>
              <w:jc w:val="center"/>
              <w:rPr>
                <w:rFonts w:hint="eastAsia" w:ascii="宋体" w:hAnsi="宋体"/>
                <w:bCs/>
                <w:kern w:val="0"/>
                <w:sz w:val="18"/>
                <w:szCs w:val="18"/>
              </w:rPr>
            </w:pPr>
            <w:r>
              <w:rPr>
                <w:rFonts w:hint="eastAsia" w:ascii="宋体" w:hAnsi="宋体"/>
                <w:bCs/>
                <w:kern w:val="0"/>
                <w:sz w:val="18"/>
                <w:szCs w:val="18"/>
              </w:rPr>
              <w:t>一年</w:t>
            </w:r>
          </w:p>
        </w:tc>
      </w:tr>
    </w:tbl>
    <w:p w14:paraId="12127045">
      <w:pPr>
        <w:pStyle w:val="75"/>
        <w:spacing w:beforeLines="0" w:afterLines="0"/>
        <w:ind w:left="0"/>
        <w:rPr>
          <w:rFonts w:hint="eastAsia" w:ascii="宋体" w:hAnsi="宋体" w:eastAsia="宋体" w:cs="宋体"/>
        </w:rPr>
      </w:pPr>
      <w:r>
        <w:rPr>
          <w:rFonts w:hint="eastAsia" w:ascii="宋体" w:hAnsi="宋体" w:eastAsia="宋体" w:cs="宋体"/>
        </w:rPr>
        <w:t>设备检修计划可根据设备巡检、缺陷、试验、故障和状态评估等信息进行调整。</w:t>
      </w:r>
    </w:p>
    <w:p w14:paraId="6869C541">
      <w:pPr>
        <w:pStyle w:val="75"/>
        <w:spacing w:beforeLines="0" w:afterLines="0"/>
        <w:ind w:left="0"/>
        <w:rPr>
          <w:rFonts w:hint="eastAsia" w:ascii="宋体" w:hAnsi="宋体" w:eastAsia="宋体" w:cs="宋体"/>
        </w:rPr>
      </w:pPr>
      <w:r>
        <w:rPr>
          <w:rFonts w:hint="eastAsia" w:ascii="宋体" w:hAnsi="宋体" w:eastAsia="宋体" w:cs="宋体"/>
        </w:rPr>
        <w:t>设备检修计划可根据输变电设备故障或临时停电安排进行调整。</w:t>
      </w:r>
    </w:p>
    <w:p w14:paraId="3CC145AD">
      <w:pPr>
        <w:pStyle w:val="75"/>
        <w:spacing w:beforeLines="0" w:afterLines="0"/>
        <w:ind w:left="0"/>
        <w:rPr>
          <w:rFonts w:hint="eastAsia" w:ascii="宋体" w:hAnsi="宋体" w:eastAsia="宋体" w:cs="宋体"/>
        </w:rPr>
      </w:pPr>
      <w:r>
        <w:rPr>
          <w:rFonts w:hint="eastAsia" w:ascii="宋体" w:hAnsi="宋体" w:eastAsia="宋体" w:cs="宋体"/>
        </w:rPr>
        <w:t>定期检修应提前落实物资准备和检修施工场地布置，并制定施工技术措施、组织措施、安全措施、施工方案和应急预案。</w:t>
      </w:r>
    </w:p>
    <w:p w14:paraId="03414DE3">
      <w:pPr>
        <w:pStyle w:val="75"/>
        <w:spacing w:beforeLines="0" w:afterLines="0"/>
        <w:ind w:left="0"/>
        <w:rPr>
          <w:rFonts w:hint="eastAsia" w:ascii="宋体" w:hAnsi="宋体" w:eastAsia="宋体" w:cs="宋体"/>
        </w:rPr>
      </w:pPr>
      <w:r>
        <w:rPr>
          <w:rFonts w:hint="eastAsia" w:ascii="宋体" w:hAnsi="宋体" w:eastAsia="宋体" w:cs="宋体"/>
        </w:rPr>
        <w:t>检修验收完成后，应及时更新检修设备台账，并关联更新已有设备缺陷记录。</w:t>
      </w:r>
    </w:p>
    <w:p w14:paraId="18D9E93D">
      <w:pPr>
        <w:pStyle w:val="88"/>
        <w:tabs>
          <w:tab w:val="left" w:pos="720"/>
        </w:tabs>
        <w:spacing w:before="312" w:after="312"/>
        <w:outlineLvl w:val="0"/>
      </w:pPr>
      <w:bookmarkStart w:id="84" w:name="_Toc148531836"/>
      <w:bookmarkStart w:id="85" w:name="_Toc20175"/>
      <w:r>
        <w:t>故障检修</w:t>
      </w:r>
      <w:bookmarkEnd w:id="84"/>
      <w:r>
        <w:rPr>
          <w:rFonts w:hint="eastAsia"/>
          <w:lang w:val="en-US" w:eastAsia="zh-CN"/>
        </w:rPr>
        <w:t>要求</w:t>
      </w:r>
      <w:bookmarkEnd w:id="85"/>
    </w:p>
    <w:p w14:paraId="7AD58ACB">
      <w:pPr>
        <w:pStyle w:val="76"/>
        <w:spacing w:before="156" w:after="156"/>
        <w:outlineLvl w:val="1"/>
      </w:pPr>
      <w:bookmarkStart w:id="86" w:name="_Toc13124"/>
      <w:bookmarkStart w:id="87" w:name="_Toc148531837"/>
      <w:r>
        <w:rPr>
          <w:rFonts w:hint="eastAsia"/>
          <w:lang w:val="en-US" w:eastAsia="zh-CN"/>
        </w:rPr>
        <w:t>一般</w:t>
      </w:r>
      <w:r>
        <w:rPr>
          <w:rFonts w:hint="eastAsia"/>
        </w:rPr>
        <w:t>要求</w:t>
      </w:r>
      <w:bookmarkEnd w:id="86"/>
      <w:bookmarkEnd w:id="87"/>
    </w:p>
    <w:p w14:paraId="016EF7D1">
      <w:pPr>
        <w:pStyle w:val="75"/>
        <w:spacing w:beforeLines="0" w:afterLines="0"/>
        <w:ind w:left="0"/>
        <w:rPr>
          <w:rFonts w:hint="eastAsia" w:ascii="宋体" w:hAnsi="宋体" w:eastAsia="宋体" w:cs="宋体"/>
        </w:rPr>
      </w:pPr>
      <w:r>
        <w:rPr>
          <w:rFonts w:hint="eastAsia" w:ascii="宋体" w:hAnsi="宋体" w:eastAsia="宋体" w:cs="宋体"/>
        </w:rPr>
        <w:t>设备故障检修应执行工作票制度，并根据故障性质落实停电、验电、接地、隔离、警示和监护等安全措施。</w:t>
      </w:r>
    </w:p>
    <w:p w14:paraId="1925BAEF">
      <w:pPr>
        <w:pStyle w:val="75"/>
        <w:spacing w:beforeLines="0" w:afterLines="0"/>
        <w:ind w:left="0"/>
        <w:rPr>
          <w:rFonts w:hint="eastAsia" w:ascii="宋体" w:hAnsi="宋体" w:eastAsia="宋体" w:cs="宋体"/>
        </w:rPr>
      </w:pPr>
      <w:r>
        <w:rPr>
          <w:rFonts w:hint="eastAsia" w:ascii="宋体" w:hAnsi="宋体" w:eastAsia="宋体" w:cs="宋体"/>
        </w:rPr>
        <w:t>临时性故障检修应提前核实材料和工器具是否齐备，并办理相关审批手续。</w:t>
      </w:r>
    </w:p>
    <w:p w14:paraId="57812A88">
      <w:pPr>
        <w:pStyle w:val="75"/>
        <w:spacing w:beforeLines="0" w:afterLines="0"/>
        <w:ind w:left="0"/>
        <w:rPr>
          <w:rFonts w:hint="eastAsia" w:ascii="宋体" w:hAnsi="宋体" w:eastAsia="宋体" w:cs="宋体"/>
        </w:rPr>
      </w:pPr>
      <w:r>
        <w:rPr>
          <w:rFonts w:hint="eastAsia" w:ascii="宋体" w:hAnsi="宋体" w:eastAsia="宋体" w:cs="宋体"/>
        </w:rPr>
        <w:t>设备故障检修后，应及时提交检修报告、设备变更记录、检修总结等，并作为技术档案归档保存。光伏电站故障记录表见附录C。</w:t>
      </w:r>
    </w:p>
    <w:p w14:paraId="1149823B">
      <w:pPr>
        <w:pStyle w:val="75"/>
        <w:spacing w:beforeLines="0" w:afterLines="0"/>
        <w:ind w:left="0"/>
        <w:rPr>
          <w:rFonts w:hint="eastAsia" w:ascii="宋体" w:hAnsi="宋体" w:eastAsia="宋体" w:cs="宋体"/>
        </w:rPr>
      </w:pPr>
      <w:r>
        <w:rPr>
          <w:rFonts w:hint="eastAsia" w:ascii="宋体" w:hAnsi="宋体" w:eastAsia="宋体" w:cs="宋体"/>
        </w:rPr>
        <w:t>设备故障检修的过程执行记录应及时存档。涉及零部件更换时，应及时完成设备台账的更新。</w:t>
      </w:r>
    </w:p>
    <w:p w14:paraId="5B670B30">
      <w:pPr>
        <w:pStyle w:val="75"/>
        <w:spacing w:beforeLines="0" w:afterLines="0"/>
        <w:ind w:left="0"/>
        <w:rPr>
          <w:rFonts w:hint="eastAsia" w:ascii="宋体" w:hAnsi="宋体" w:eastAsia="宋体" w:cs="宋体"/>
        </w:rPr>
      </w:pPr>
      <w:r>
        <w:rPr>
          <w:rFonts w:hint="eastAsia" w:ascii="宋体" w:hAnsi="宋体" w:eastAsia="宋体" w:cs="宋体"/>
        </w:rPr>
        <w:t>光伏发电单元故障检修包括光伏组件、支架、汇流箱、交直流配电柜、逆变器、跟踪系统及辅助系统等，具体技术要求按附录B。</w:t>
      </w:r>
    </w:p>
    <w:p w14:paraId="1B2512D2">
      <w:pPr>
        <w:pStyle w:val="76"/>
        <w:spacing w:before="156" w:after="156"/>
        <w:outlineLvl w:val="1"/>
      </w:pPr>
      <w:bookmarkStart w:id="88" w:name="_Toc118811308"/>
      <w:bookmarkStart w:id="89" w:name="_Toc148531838"/>
      <w:bookmarkStart w:id="90" w:name="_Toc24730"/>
      <w:r>
        <w:rPr>
          <w:rFonts w:hint="eastAsia"/>
        </w:rPr>
        <w:t>特殊要求</w:t>
      </w:r>
      <w:bookmarkEnd w:id="88"/>
      <w:bookmarkEnd w:id="89"/>
      <w:bookmarkEnd w:id="90"/>
    </w:p>
    <w:p w14:paraId="2992865F">
      <w:pPr>
        <w:pStyle w:val="75"/>
        <w:spacing w:beforeLines="0" w:afterLines="0"/>
        <w:ind w:left="0"/>
        <w:rPr>
          <w:rFonts w:hint="eastAsia" w:ascii="宋体" w:hAnsi="宋体" w:eastAsia="宋体" w:cs="宋体"/>
        </w:rPr>
      </w:pPr>
      <w:bookmarkStart w:id="91" w:name="_Toc148520789"/>
      <w:r>
        <w:rPr>
          <w:rFonts w:hint="eastAsia" w:ascii="宋体" w:hAnsi="宋体" w:eastAsia="宋体" w:cs="宋体"/>
        </w:rPr>
        <w:t>逆变器检修前应断开交直流侧开关及前后级断路器，完成停电、验电、放电和安全隔离措施，确认无电压后方可开展作业。</w:t>
      </w:r>
    </w:p>
    <w:p w14:paraId="7539B211">
      <w:pPr>
        <w:pStyle w:val="75"/>
        <w:spacing w:beforeLines="0" w:afterLines="0"/>
        <w:ind w:left="0"/>
        <w:rPr>
          <w:rFonts w:hint="eastAsia" w:ascii="宋体" w:hAnsi="宋体" w:eastAsia="宋体" w:cs="宋体"/>
        </w:rPr>
      </w:pPr>
      <w:r>
        <w:rPr>
          <w:rFonts w:hint="eastAsia" w:ascii="宋体" w:hAnsi="宋体" w:eastAsia="宋体" w:cs="宋体"/>
        </w:rPr>
        <w:t>逆变器退出运行后，应按设备技术文件要求完成放电；需打开柜门作业时，宜等待不少于 30 min，并经再次验电确认无电压后方可操作。</w:t>
      </w:r>
    </w:p>
    <w:p w14:paraId="417121EC">
      <w:pPr>
        <w:pStyle w:val="75"/>
        <w:spacing w:beforeLines="0" w:afterLines="0"/>
        <w:ind w:left="0"/>
        <w:rPr>
          <w:rFonts w:hint="eastAsia" w:ascii="宋体" w:hAnsi="宋体" w:eastAsia="宋体" w:cs="宋体"/>
        </w:rPr>
      </w:pPr>
      <w:r>
        <w:rPr>
          <w:rFonts w:hint="eastAsia" w:ascii="宋体" w:hAnsi="宋体" w:eastAsia="宋体" w:cs="宋体"/>
        </w:rPr>
        <w:t>当逆变器处于防孤岛效应保护状态时，仍应按停电、验电、放电和安全隔离程序执行。</w:t>
      </w:r>
    </w:p>
    <w:p w14:paraId="2C2F3C5E">
      <w:pPr>
        <w:pStyle w:val="75"/>
        <w:spacing w:beforeLines="0" w:afterLines="0"/>
        <w:ind w:left="0"/>
        <w:rPr>
          <w:rFonts w:hint="eastAsia" w:ascii="宋体" w:hAnsi="宋体" w:eastAsia="宋体" w:cs="宋体"/>
        </w:rPr>
      </w:pPr>
      <w:r>
        <w:rPr>
          <w:rFonts w:hint="eastAsia" w:ascii="宋体" w:hAnsi="宋体" w:eastAsia="宋体" w:cs="宋体"/>
        </w:rPr>
        <w:t>检修结束前应由专人核查柜内无遗留工器具、螺栓、垫圈等异物，确认柜门、端子、接地和防护件恢复到位后方可结束作业。</w:t>
      </w:r>
    </w:p>
    <w:p w14:paraId="6144D1F5">
      <w:pPr>
        <w:pStyle w:val="75"/>
        <w:spacing w:beforeLines="0" w:afterLines="0"/>
        <w:ind w:left="0"/>
        <w:rPr>
          <w:rFonts w:hint="eastAsia" w:ascii="宋体" w:hAnsi="宋体" w:eastAsia="宋体" w:cs="宋体"/>
        </w:rPr>
      </w:pPr>
      <w:r>
        <w:rPr>
          <w:rFonts w:hint="eastAsia" w:ascii="宋体" w:hAnsi="宋体" w:eastAsia="宋体" w:cs="宋体"/>
        </w:rPr>
        <w:t>汇流箱检修时应检查熔断器及熔断器底座接触状态；发现接触不良、松动、烧蚀或变形时，应使用符合安全要求的专用工具进行紧固或更换。</w:t>
      </w:r>
      <w:bookmarkEnd w:id="91"/>
    </w:p>
    <w:p w14:paraId="28379AFE">
      <w:pPr>
        <w:pStyle w:val="88"/>
        <w:tabs>
          <w:tab w:val="left" w:pos="720"/>
        </w:tabs>
        <w:spacing w:before="312" w:after="312"/>
        <w:outlineLvl w:val="0"/>
      </w:pPr>
      <w:bookmarkStart w:id="92" w:name="_Toc148531839"/>
      <w:bookmarkStart w:id="93" w:name="_Toc2280"/>
      <w:r>
        <w:rPr>
          <w:rFonts w:hint="eastAsia"/>
        </w:rPr>
        <w:t>状态检修</w:t>
      </w:r>
      <w:bookmarkEnd w:id="92"/>
      <w:r>
        <w:rPr>
          <w:rFonts w:hint="eastAsia"/>
          <w:lang w:val="en-US" w:eastAsia="zh-CN"/>
        </w:rPr>
        <w:t>要求</w:t>
      </w:r>
      <w:bookmarkEnd w:id="93"/>
    </w:p>
    <w:p w14:paraId="37AA99E1">
      <w:pPr>
        <w:pStyle w:val="76"/>
        <w:spacing w:before="156" w:after="156"/>
        <w:outlineLvl w:val="1"/>
      </w:pPr>
      <w:bookmarkStart w:id="94" w:name="_Toc32191"/>
      <w:r>
        <w:rPr>
          <w:rFonts w:hint="eastAsia"/>
          <w:lang w:val="en-US" w:eastAsia="zh-CN"/>
        </w:rPr>
        <w:t>一般</w:t>
      </w:r>
      <w:r>
        <w:rPr>
          <w:rFonts w:hint="eastAsia"/>
        </w:rPr>
        <w:t>要求</w:t>
      </w:r>
      <w:bookmarkEnd w:id="94"/>
    </w:p>
    <w:p w14:paraId="642C05DD">
      <w:pPr>
        <w:pStyle w:val="75"/>
        <w:spacing w:beforeLines="0" w:afterLines="0"/>
        <w:ind w:left="0"/>
        <w:rPr>
          <w:rFonts w:hint="eastAsia" w:ascii="宋体" w:hAnsi="宋体" w:eastAsia="宋体" w:cs="宋体"/>
        </w:rPr>
      </w:pPr>
      <w:r>
        <w:rPr>
          <w:rFonts w:hint="eastAsia" w:ascii="宋体" w:hAnsi="宋体" w:eastAsia="宋体" w:cs="宋体"/>
        </w:rPr>
        <w:t>光伏电站发电设备设施状态检修应以设备运行状态监测、巡视检查、试验检测、缺陷记录、故障记录、发电性能数据和环境条件等信息为依据，对设备状态进行综合分析和评估。</w:t>
      </w:r>
    </w:p>
    <w:p w14:paraId="7708AF20">
      <w:pPr>
        <w:pStyle w:val="75"/>
        <w:spacing w:beforeLines="0" w:afterLines="0"/>
        <w:ind w:left="0"/>
        <w:rPr>
          <w:rFonts w:hint="eastAsia" w:ascii="宋体" w:hAnsi="宋体" w:eastAsia="宋体" w:cs="宋体"/>
        </w:rPr>
      </w:pPr>
      <w:r>
        <w:rPr>
          <w:rFonts w:hint="eastAsia" w:ascii="宋体" w:hAnsi="宋体" w:eastAsia="宋体" w:cs="宋体"/>
        </w:rPr>
        <w:t>状态检修应与定期检修、故障检修和试验工作相</w:t>
      </w:r>
      <w:r>
        <w:rPr>
          <w:rFonts w:hint="eastAsia" w:ascii="宋体" w:hAnsi="宋体" w:eastAsia="宋体" w:cs="宋体"/>
          <w:lang w:val="en-US" w:eastAsia="zh-CN"/>
        </w:rPr>
        <w:t>结合</w:t>
      </w:r>
      <w:r>
        <w:rPr>
          <w:rFonts w:hint="eastAsia" w:ascii="宋体" w:hAnsi="宋体" w:eastAsia="宋体" w:cs="宋体"/>
        </w:rPr>
        <w:t>。经状态评价确认设备存在异常、缺陷或故障隐患，且影响设备安全运行或发电性能时，应根据缺陷严重程度安排故障检修、专项试验或计划性检修。</w:t>
      </w:r>
    </w:p>
    <w:p w14:paraId="0197F251">
      <w:pPr>
        <w:pStyle w:val="75"/>
        <w:spacing w:beforeLines="0" w:afterLines="0"/>
        <w:ind w:left="0"/>
        <w:rPr>
          <w:rFonts w:hint="eastAsia" w:ascii="宋体" w:hAnsi="宋体" w:eastAsia="宋体" w:cs="宋体"/>
        </w:rPr>
      </w:pPr>
      <w:r>
        <w:rPr>
          <w:rFonts w:hint="eastAsia" w:ascii="宋体" w:hAnsi="宋体" w:eastAsia="宋体" w:cs="宋体"/>
        </w:rPr>
        <w:t>状态检修应重点关注光伏组件、光伏支架及跟踪系统、光伏方阵、汇流设备、交直流配电设备、逆变器及相关辅助设备的运行状态。对影响发电单元正常运行的设备、部件，应及时采取检修、试验、调整、更换或其他处置措施。</w:t>
      </w:r>
    </w:p>
    <w:p w14:paraId="7513E075">
      <w:pPr>
        <w:pStyle w:val="75"/>
        <w:spacing w:beforeLines="0" w:afterLines="0"/>
        <w:ind w:left="0"/>
        <w:rPr>
          <w:rFonts w:hint="eastAsia" w:ascii="宋体" w:hAnsi="宋体" w:eastAsia="宋体" w:cs="宋体"/>
        </w:rPr>
      </w:pPr>
      <w:r>
        <w:rPr>
          <w:rFonts w:hint="eastAsia" w:ascii="宋体" w:hAnsi="宋体" w:eastAsia="宋体" w:cs="宋体"/>
        </w:rPr>
        <w:t>状态检修应充分利用在线监测、后台运行数据、无人机巡检、红外热成像、组串电流监测、发电量对比分析、智能巡检系统等技术手段，对设备异常趋势、性能衰减、局部发热、绝缘异常、连接松动、支架变形、跟踪偏差等问题进行识别和判断。</w:t>
      </w:r>
    </w:p>
    <w:p w14:paraId="1955A5E7">
      <w:pPr>
        <w:pStyle w:val="75"/>
        <w:spacing w:beforeLines="0" w:afterLines="0"/>
        <w:ind w:left="0"/>
        <w:rPr>
          <w:rFonts w:hint="eastAsia" w:ascii="宋体" w:hAnsi="宋体" w:eastAsia="宋体" w:cs="宋体"/>
        </w:rPr>
      </w:pPr>
      <w:r>
        <w:rPr>
          <w:rFonts w:hint="eastAsia" w:ascii="宋体" w:hAnsi="宋体" w:eastAsia="宋体" w:cs="宋体"/>
        </w:rPr>
        <w:t>状态检修应形成状态评价记录和检修处置记录。记录内容宜包括设备名称、设备编号、异常现象、监测数据、判断依据、处置措施、检修结果、复核结论和责任人员等。涉及设备更换、参数调整或缺陷闭环的，应同步更新设备台账和缺陷记录。</w:t>
      </w:r>
    </w:p>
    <w:p w14:paraId="40746033">
      <w:pPr>
        <w:pStyle w:val="75"/>
        <w:spacing w:beforeLines="0" w:afterLines="0"/>
        <w:ind w:left="0"/>
        <w:rPr>
          <w:rFonts w:hint="eastAsia" w:ascii="宋体" w:hAnsi="宋体" w:eastAsia="宋体" w:cs="宋体"/>
        </w:rPr>
      </w:pPr>
      <w:r>
        <w:rPr>
          <w:rFonts w:hint="eastAsia" w:ascii="宋体" w:hAnsi="宋体" w:eastAsia="宋体" w:cs="宋体"/>
        </w:rPr>
        <w:t>光伏发电单元状态检修项目及试验要求应按照附录 D 执行。</w:t>
      </w:r>
    </w:p>
    <w:p w14:paraId="7625AAA7">
      <w:pPr>
        <w:pStyle w:val="76"/>
        <w:spacing w:before="156" w:after="156"/>
        <w:outlineLvl w:val="1"/>
      </w:pPr>
      <w:bookmarkStart w:id="95" w:name="_Toc6632"/>
      <w:r>
        <w:rPr>
          <w:rFonts w:hint="eastAsia"/>
        </w:rPr>
        <w:t>特殊要求</w:t>
      </w:r>
      <w:bookmarkEnd w:id="95"/>
    </w:p>
    <w:p w14:paraId="34B5D028">
      <w:pPr>
        <w:pStyle w:val="75"/>
        <w:spacing w:beforeLines="0" w:afterLines="0"/>
        <w:ind w:left="0"/>
        <w:rPr>
          <w:rFonts w:hint="eastAsia" w:ascii="宋体" w:hAnsi="宋体" w:eastAsia="宋体" w:cs="宋体"/>
        </w:rPr>
      </w:pPr>
      <w:r>
        <w:rPr>
          <w:rFonts w:hint="eastAsia" w:ascii="宋体" w:hAnsi="宋体" w:eastAsia="宋体" w:cs="宋体"/>
        </w:rPr>
        <w:t>监测发现某一光伏组串电流值与同一汇流箱中其他组串平均电流相比偏差率超过 5% 时，应结合辐照条件、遮挡、污染、组串配置差异、限发及监测装置误差等因素进行核查。经排除非故障因素并确认存在异常时，应按故障检修要求进行处理。</w:t>
      </w:r>
    </w:p>
    <w:p w14:paraId="20FD8484">
      <w:pPr>
        <w:pStyle w:val="75"/>
        <w:spacing w:beforeLines="0" w:afterLines="0"/>
        <w:ind w:left="0"/>
        <w:rPr>
          <w:rFonts w:hint="eastAsia" w:ascii="宋体" w:hAnsi="宋体" w:eastAsia="宋体" w:cs="宋体"/>
        </w:rPr>
      </w:pPr>
      <w:r>
        <w:rPr>
          <w:rFonts w:hint="eastAsia" w:ascii="宋体" w:hAnsi="宋体" w:eastAsia="宋体" w:cs="宋体"/>
        </w:rPr>
        <w:t>相同运行条件下，某一汇流箱发电量低于同一逆变器其他汇流箱 15% 以上时，应核查遮挡、污染、组串配置差异、设备停运、通讯异常和限发等因素。经排除非故障因素后，应开展现场检查或专项试验，并根据检查结果按故障检修要求进行处理。</w:t>
      </w:r>
    </w:p>
    <w:p w14:paraId="539FD4BB">
      <w:pPr>
        <w:pStyle w:val="75"/>
        <w:spacing w:beforeLines="0" w:afterLines="0"/>
        <w:ind w:left="0"/>
        <w:rPr>
          <w:rFonts w:hint="eastAsia" w:ascii="宋体" w:hAnsi="宋体" w:eastAsia="宋体" w:cs="宋体"/>
        </w:rPr>
      </w:pPr>
      <w:r>
        <w:rPr>
          <w:rFonts w:hint="eastAsia" w:ascii="宋体" w:hAnsi="宋体" w:eastAsia="宋体" w:cs="宋体"/>
        </w:rPr>
        <w:t>光伏组件出现明显颜色变化、背板灼焦、热斑、隐裂、玻璃破损、接线盒异常发热、插接头发热或输出异常等情况时，应采用红外热成像、I-V 特性测试、绝缘测试等方式进行诊断。经确认影响安全运行或发电性能时，应进行修复或更换。</w:t>
      </w:r>
    </w:p>
    <w:p w14:paraId="5639583A">
      <w:pPr>
        <w:pStyle w:val="75"/>
        <w:spacing w:beforeLines="0" w:afterLines="0"/>
        <w:ind w:left="0"/>
        <w:rPr>
          <w:rFonts w:hint="eastAsia" w:ascii="宋体" w:hAnsi="宋体" w:eastAsia="宋体" w:cs="宋体"/>
        </w:rPr>
      </w:pPr>
      <w:r>
        <w:rPr>
          <w:rFonts w:hint="eastAsia" w:ascii="宋体" w:hAnsi="宋体" w:eastAsia="宋体" w:cs="宋体"/>
        </w:rPr>
        <w:t>巡视检查或智能巡检发现光伏组件间插接头松动、连接线破损、接地线脱落、组件边框连接异常等情况时，应及时紧固、修复或更换相关部件；涉及绝缘破损、接地异常或发热隐患的，应采取停电安全措施后处理。</w:t>
      </w:r>
    </w:p>
    <w:p w14:paraId="744F4FF8">
      <w:pPr>
        <w:pStyle w:val="75"/>
        <w:spacing w:beforeLines="0" w:afterLines="0"/>
        <w:ind w:left="0"/>
        <w:rPr>
          <w:rFonts w:hint="eastAsia" w:ascii="宋体" w:hAnsi="宋体" w:eastAsia="宋体" w:cs="宋体"/>
        </w:rPr>
      </w:pPr>
      <w:r>
        <w:rPr>
          <w:rFonts w:hint="eastAsia" w:ascii="宋体" w:hAnsi="宋体" w:eastAsia="宋体" w:cs="宋体"/>
        </w:rPr>
        <w:t>光伏支架及跟踪系统存在下列情况之一时，应判定为影响正常运行，并按故障检修或专项检修要求处理：</w:t>
      </w:r>
    </w:p>
    <w:p w14:paraId="08D68D0D">
      <w:pPr>
        <w:pStyle w:val="75"/>
        <w:numPr>
          <w:ilvl w:val="2"/>
          <w:numId w:val="0"/>
        </w:numPr>
        <w:spacing w:beforeLines="0" w:afterLines="0"/>
        <w:ind w:firstLine="420" w:firstLineChars="0"/>
        <w:rPr>
          <w:rFonts w:hint="eastAsia" w:ascii="宋体" w:hAnsi="宋体" w:eastAsia="宋体" w:cs="宋体"/>
        </w:rPr>
      </w:pPr>
      <w:r>
        <w:rPr>
          <w:rFonts w:hint="eastAsia" w:ascii="宋体" w:hAnsi="宋体" w:eastAsia="宋体" w:cs="宋体"/>
        </w:rPr>
        <w:t>a）光伏支架基础下陷、支架变形或阵列结构发生明显偏移；</w:t>
      </w:r>
    </w:p>
    <w:p w14:paraId="26E54D3C">
      <w:pPr>
        <w:pStyle w:val="75"/>
        <w:numPr>
          <w:ilvl w:val="2"/>
          <w:numId w:val="0"/>
        </w:numPr>
        <w:spacing w:beforeLines="0" w:afterLines="0"/>
        <w:ind w:leftChars="0" w:firstLine="420" w:firstLineChars="0"/>
        <w:rPr>
          <w:rFonts w:hint="eastAsia" w:ascii="宋体" w:hAnsi="宋体" w:eastAsia="宋体" w:cs="宋体"/>
        </w:rPr>
      </w:pPr>
      <w:r>
        <w:rPr>
          <w:rFonts w:hint="eastAsia" w:ascii="宋体" w:hAnsi="宋体" w:eastAsia="宋体" w:cs="宋体"/>
        </w:rPr>
        <w:t>b）固定支架连接螺栓松动、脱落、锈蚀严重或连接可靠性不足；</w:t>
      </w:r>
    </w:p>
    <w:p w14:paraId="4D94BD2D">
      <w:pPr>
        <w:pStyle w:val="75"/>
        <w:numPr>
          <w:ilvl w:val="2"/>
          <w:numId w:val="0"/>
        </w:numPr>
        <w:spacing w:beforeLines="0" w:afterLines="0"/>
        <w:ind w:leftChars="0" w:firstLine="420" w:firstLineChars="0"/>
        <w:rPr>
          <w:rFonts w:hint="eastAsia" w:ascii="宋体" w:hAnsi="宋体" w:eastAsia="宋体" w:cs="宋体"/>
        </w:rPr>
      </w:pPr>
      <w:r>
        <w:rPr>
          <w:rFonts w:hint="eastAsia" w:ascii="宋体" w:hAnsi="宋体" w:eastAsia="宋体" w:cs="宋体"/>
        </w:rPr>
        <w:t>c）跟踪系统传动装置卡涩、异常振动、异常噪声，连接件或紧固件松动，密封件渗油、漏油；</w:t>
      </w:r>
    </w:p>
    <w:p w14:paraId="2FBB6E94">
      <w:pPr>
        <w:pStyle w:val="75"/>
        <w:numPr>
          <w:ilvl w:val="2"/>
          <w:numId w:val="0"/>
        </w:numPr>
        <w:spacing w:beforeLines="0" w:afterLines="0"/>
        <w:ind w:leftChars="0" w:firstLine="420" w:firstLineChars="0"/>
        <w:rPr>
          <w:rFonts w:hint="eastAsia" w:ascii="宋体" w:hAnsi="宋体" w:eastAsia="宋体" w:cs="宋体"/>
        </w:rPr>
      </w:pPr>
      <w:r>
        <w:rPr>
          <w:rFonts w:hint="eastAsia" w:ascii="宋体" w:hAnsi="宋体" w:eastAsia="宋体" w:cs="宋体"/>
        </w:rPr>
        <w:t>d）跟踪系统动力装置运行异常、控制异常或不能按指令动作；</w:t>
      </w:r>
    </w:p>
    <w:p w14:paraId="4D533920">
      <w:pPr>
        <w:pStyle w:val="75"/>
        <w:numPr>
          <w:ilvl w:val="2"/>
          <w:numId w:val="0"/>
        </w:numPr>
        <w:spacing w:beforeLines="0" w:afterLines="0"/>
        <w:ind w:leftChars="0" w:firstLine="420" w:firstLineChars="0"/>
        <w:rPr>
          <w:rFonts w:hint="eastAsia" w:ascii="宋体" w:hAnsi="宋体" w:eastAsia="宋体" w:cs="宋体"/>
        </w:rPr>
      </w:pPr>
      <w:r>
        <w:rPr>
          <w:rFonts w:hint="eastAsia" w:ascii="宋体" w:hAnsi="宋体" w:eastAsia="宋体" w:cs="宋体"/>
        </w:rPr>
        <w:t>e）跟踪系统跟踪精度存在明显偏差，超出设计文件、设备技术文件或运行维护要求；</w:t>
      </w:r>
    </w:p>
    <w:p w14:paraId="352683FA">
      <w:pPr>
        <w:pStyle w:val="75"/>
        <w:numPr>
          <w:ilvl w:val="2"/>
          <w:numId w:val="0"/>
        </w:numPr>
        <w:spacing w:beforeLines="0" w:afterLines="0"/>
        <w:ind w:leftChars="0" w:firstLine="420" w:firstLineChars="0"/>
        <w:rPr>
          <w:rFonts w:hint="eastAsia" w:ascii="宋体" w:hAnsi="宋体" w:eastAsia="宋体" w:cs="宋体"/>
        </w:rPr>
      </w:pPr>
      <w:r>
        <w:rPr>
          <w:rFonts w:hint="eastAsia" w:ascii="宋体" w:hAnsi="宋体" w:eastAsia="宋体" w:cs="宋体"/>
        </w:rPr>
        <w:t>f）其他影响支架及跟踪系统安全稳定运行的情况。</w:t>
      </w:r>
    </w:p>
    <w:p w14:paraId="7930EF74">
      <w:pPr>
        <w:pStyle w:val="75"/>
        <w:spacing w:beforeLines="0" w:afterLines="0"/>
        <w:ind w:left="0"/>
        <w:rPr>
          <w:rFonts w:hint="eastAsia" w:ascii="宋体" w:hAnsi="宋体" w:eastAsia="宋体" w:cs="宋体"/>
        </w:rPr>
      </w:pPr>
      <w:r>
        <w:rPr>
          <w:rFonts w:hint="eastAsia" w:ascii="宋体" w:hAnsi="宋体" w:eastAsia="宋体" w:cs="宋体"/>
        </w:rPr>
        <w:t>光伏方阵存在下列情况之一时，应判定为影响正常运行，并根据异常性质开展故障检修或专项试验：</w:t>
      </w:r>
    </w:p>
    <w:p w14:paraId="0BF0B01D">
      <w:pPr>
        <w:pStyle w:val="75"/>
        <w:numPr>
          <w:ilvl w:val="2"/>
          <w:numId w:val="0"/>
        </w:numPr>
        <w:spacing w:beforeLines="0" w:afterLines="0"/>
        <w:ind w:leftChars="0" w:firstLine="420" w:firstLineChars="0"/>
        <w:rPr>
          <w:rFonts w:hint="eastAsia" w:ascii="宋体" w:hAnsi="宋体" w:eastAsia="宋体" w:cs="宋体"/>
        </w:rPr>
      </w:pPr>
      <w:r>
        <w:rPr>
          <w:rFonts w:hint="eastAsia" w:ascii="宋体" w:hAnsi="宋体" w:eastAsia="宋体" w:cs="宋体"/>
        </w:rPr>
        <w:t>a）发生 7.2.1 或 7.2.2 所列组串电流异常、汇流箱发电量异常情况；</w:t>
      </w:r>
    </w:p>
    <w:p w14:paraId="44C4E9FF">
      <w:pPr>
        <w:pStyle w:val="75"/>
        <w:numPr>
          <w:ilvl w:val="2"/>
          <w:numId w:val="0"/>
        </w:numPr>
        <w:spacing w:beforeLines="0" w:afterLines="0"/>
        <w:ind w:leftChars="0" w:firstLine="420" w:firstLineChars="0"/>
        <w:rPr>
          <w:rFonts w:hint="eastAsia" w:ascii="宋体" w:hAnsi="宋体" w:eastAsia="宋体" w:cs="宋体"/>
        </w:rPr>
      </w:pPr>
      <w:r>
        <w:rPr>
          <w:rFonts w:hint="eastAsia" w:ascii="宋体" w:hAnsi="宋体" w:eastAsia="宋体" w:cs="宋体"/>
        </w:rPr>
        <w:t>b）接地装置损坏、接地连接异常或接地连续性不满足要求；</w:t>
      </w:r>
    </w:p>
    <w:p w14:paraId="1AC81B7B">
      <w:pPr>
        <w:pStyle w:val="75"/>
        <w:numPr>
          <w:ilvl w:val="2"/>
          <w:numId w:val="0"/>
        </w:numPr>
        <w:spacing w:beforeLines="0" w:afterLines="0"/>
        <w:ind w:leftChars="0" w:firstLine="420" w:firstLineChars="0"/>
        <w:rPr>
          <w:rFonts w:hint="eastAsia" w:ascii="宋体" w:hAnsi="宋体" w:eastAsia="宋体" w:cs="宋体"/>
        </w:rPr>
      </w:pPr>
      <w:r>
        <w:rPr>
          <w:rFonts w:hint="eastAsia" w:ascii="宋体" w:hAnsi="宋体" w:eastAsia="宋体" w:cs="宋体"/>
        </w:rPr>
        <w:t>c）电缆绝缘层破损、老化、烧蚀，或存在直流接地、绝缘异常等情况；</w:t>
      </w:r>
    </w:p>
    <w:p w14:paraId="31A8519D">
      <w:pPr>
        <w:pStyle w:val="75"/>
        <w:numPr>
          <w:ilvl w:val="2"/>
          <w:numId w:val="0"/>
        </w:numPr>
        <w:spacing w:beforeLines="0" w:afterLines="0"/>
        <w:ind w:leftChars="0" w:firstLine="420" w:firstLineChars="0"/>
        <w:rPr>
          <w:rFonts w:hint="eastAsia" w:ascii="宋体" w:hAnsi="宋体" w:eastAsia="宋体" w:cs="宋体"/>
        </w:rPr>
      </w:pPr>
      <w:r>
        <w:rPr>
          <w:rFonts w:hint="eastAsia" w:ascii="宋体" w:hAnsi="宋体" w:eastAsia="宋体" w:cs="宋体"/>
        </w:rPr>
        <w:t>d）断路器、熔断器、浪涌保护器、防雷器、汇流排等部件损坏或动作异常；</w:t>
      </w:r>
    </w:p>
    <w:p w14:paraId="4FE1CDCB">
      <w:pPr>
        <w:pStyle w:val="75"/>
        <w:numPr>
          <w:ilvl w:val="2"/>
          <w:numId w:val="0"/>
        </w:numPr>
        <w:spacing w:beforeLines="0" w:afterLines="0"/>
        <w:ind w:leftChars="0" w:firstLine="420" w:firstLineChars="0"/>
        <w:rPr>
          <w:rFonts w:hint="eastAsia" w:ascii="宋体" w:hAnsi="宋体" w:eastAsia="宋体" w:cs="宋体"/>
        </w:rPr>
      </w:pPr>
      <w:r>
        <w:rPr>
          <w:rFonts w:hint="eastAsia" w:ascii="宋体" w:hAnsi="宋体" w:eastAsia="宋体" w:cs="宋体"/>
        </w:rPr>
        <w:t>e）其他影响光伏方阵安全运行、发电性能或保护功能正常发挥的情况。</w:t>
      </w:r>
    </w:p>
    <w:p w14:paraId="3B20AD22">
      <w:pPr>
        <w:pStyle w:val="75"/>
        <w:spacing w:beforeLines="0" w:afterLines="0"/>
        <w:ind w:left="0"/>
        <w:rPr>
          <w:rFonts w:hint="eastAsia" w:ascii="宋体" w:hAnsi="宋体" w:eastAsia="宋体" w:cs="宋体"/>
        </w:rPr>
      </w:pPr>
      <w:r>
        <w:rPr>
          <w:rFonts w:hint="eastAsia" w:ascii="宋体" w:hAnsi="宋体" w:eastAsia="宋体" w:cs="宋体"/>
        </w:rPr>
        <w:t>状态检修判断结果存在不确定性时，应结合例行试验、诊断性试验或现场复核进一步确认；在故障原因未查明前，不宜简单恢复运行。对可能引发人身安全、电气火灾、设备扩大损坏或大面积发电损失的异常，应及时采取隔离、停运、限功率运行或其他安全控制措施</w:t>
      </w:r>
      <w:bookmarkStart w:id="96" w:name="_Toc118811310"/>
      <w:bookmarkStart w:id="97" w:name="_Toc501256115"/>
      <w:bookmarkStart w:id="98" w:name="_Toc1692624486"/>
      <w:bookmarkStart w:id="99" w:name="_Toc102070415"/>
      <w:r>
        <w:rPr>
          <w:rFonts w:hint="eastAsia" w:ascii="宋体" w:hAnsi="宋体" w:eastAsia="宋体" w:cs="宋体"/>
        </w:rPr>
        <w:t>。</w:t>
      </w:r>
    </w:p>
    <w:bookmarkEnd w:id="96"/>
    <w:bookmarkEnd w:id="97"/>
    <w:bookmarkEnd w:id="98"/>
    <w:bookmarkEnd w:id="99"/>
    <w:p w14:paraId="6F9ECE56">
      <w:pPr>
        <w:pStyle w:val="88"/>
        <w:tabs>
          <w:tab w:val="left" w:pos="720"/>
        </w:tabs>
        <w:spacing w:before="312" w:after="312"/>
        <w:outlineLvl w:val="0"/>
      </w:pPr>
      <w:bookmarkStart w:id="100" w:name="_Toc148531844"/>
      <w:bookmarkStart w:id="101" w:name="_Toc18831"/>
      <w:r>
        <w:rPr>
          <w:rFonts w:hint="eastAsia"/>
          <w:lang w:val="en-US" w:eastAsia="zh-CN"/>
        </w:rPr>
        <w:t>检修</w:t>
      </w:r>
      <w:r>
        <w:rPr>
          <w:rFonts w:hint="eastAsia"/>
        </w:rPr>
        <w:t>试验</w:t>
      </w:r>
      <w:bookmarkEnd w:id="100"/>
      <w:r>
        <w:rPr>
          <w:rFonts w:hint="eastAsia"/>
          <w:lang w:val="en-US" w:eastAsia="zh-CN"/>
        </w:rPr>
        <w:t>要求</w:t>
      </w:r>
      <w:bookmarkEnd w:id="101"/>
    </w:p>
    <w:p w14:paraId="3A5EA30B">
      <w:pPr>
        <w:pStyle w:val="76"/>
        <w:spacing w:before="156" w:after="156"/>
        <w:outlineLvl w:val="1"/>
      </w:pPr>
      <w:bookmarkStart w:id="102" w:name="_Toc148531845"/>
      <w:bookmarkStart w:id="103" w:name="_Toc4516"/>
      <w:r>
        <w:rPr>
          <w:rFonts w:hint="eastAsia"/>
          <w:lang w:val="en-US" w:eastAsia="zh-CN"/>
        </w:rPr>
        <w:t>一般</w:t>
      </w:r>
      <w:r>
        <w:rPr>
          <w:rFonts w:hint="eastAsia"/>
        </w:rPr>
        <w:t>要求</w:t>
      </w:r>
      <w:bookmarkEnd w:id="102"/>
      <w:bookmarkEnd w:id="103"/>
    </w:p>
    <w:p w14:paraId="5EDC14EE">
      <w:pPr>
        <w:pStyle w:val="75"/>
        <w:spacing w:beforeLines="0" w:afterLines="0"/>
        <w:ind w:left="0"/>
        <w:rPr>
          <w:rFonts w:hint="eastAsia" w:ascii="宋体" w:hAnsi="宋体" w:eastAsia="宋体" w:cs="宋体"/>
        </w:rPr>
      </w:pPr>
      <w:bookmarkStart w:id="104" w:name="_Toc118811311"/>
      <w:bookmarkStart w:id="105" w:name="_Toc102070416"/>
      <w:bookmarkStart w:id="106" w:name="_Toc223864393"/>
      <w:bookmarkStart w:id="107" w:name="_Toc33177624"/>
      <w:r>
        <w:rPr>
          <w:rFonts w:hint="eastAsia" w:ascii="宋体" w:hAnsi="宋体" w:eastAsia="宋体" w:cs="宋体"/>
        </w:rPr>
        <w:t>检修试验人员应经过相关培训，具备相应专业知识，熟悉试验流程、仪器操作和现场安全作业要求。</w:t>
      </w:r>
    </w:p>
    <w:p w14:paraId="7D0C9C39">
      <w:pPr>
        <w:pStyle w:val="75"/>
        <w:spacing w:beforeLines="0" w:afterLines="0"/>
        <w:ind w:left="0"/>
        <w:rPr>
          <w:rFonts w:hint="eastAsia" w:ascii="宋体" w:hAnsi="宋体" w:eastAsia="宋体" w:cs="宋体"/>
        </w:rPr>
      </w:pPr>
      <w:r>
        <w:rPr>
          <w:rFonts w:hint="eastAsia" w:ascii="宋体" w:hAnsi="宋体" w:eastAsia="宋体" w:cs="宋体"/>
        </w:rPr>
        <w:t>试验用仪器、仪表的精度应符合有关规程要求，并在检定、校准或计量认证有效期内。</w:t>
      </w:r>
    </w:p>
    <w:p w14:paraId="1D1E78F7">
      <w:pPr>
        <w:pStyle w:val="75"/>
        <w:spacing w:beforeLines="0" w:afterLines="0"/>
        <w:ind w:left="0"/>
        <w:rPr>
          <w:rFonts w:hint="eastAsia" w:ascii="宋体" w:hAnsi="宋体" w:eastAsia="宋体" w:cs="宋体"/>
        </w:rPr>
      </w:pPr>
      <w:r>
        <w:rPr>
          <w:rFonts w:hint="eastAsia" w:ascii="宋体" w:hAnsi="宋体" w:eastAsia="宋体" w:cs="宋体"/>
        </w:rPr>
        <w:t>试验原始数据应详细记录并留存，试验计划、试验数据、试验报告等过程执行文件应及时归档管理。</w:t>
      </w:r>
    </w:p>
    <w:p w14:paraId="4C64DDF6">
      <w:pPr>
        <w:pStyle w:val="75"/>
        <w:spacing w:beforeLines="0" w:afterLines="0"/>
        <w:ind w:left="0"/>
        <w:rPr>
          <w:rFonts w:hint="eastAsia"/>
        </w:rPr>
      </w:pPr>
      <w:r>
        <w:rPr>
          <w:rFonts w:hint="eastAsia" w:ascii="宋体" w:hAnsi="宋体" w:eastAsia="宋体" w:cs="宋体"/>
        </w:rPr>
        <w:t>光伏发电单元检修试验应按附录 D 执行。</w:t>
      </w:r>
    </w:p>
    <w:p w14:paraId="3DAB0770">
      <w:pPr>
        <w:pStyle w:val="76"/>
        <w:spacing w:before="156" w:after="156"/>
        <w:outlineLvl w:val="1"/>
      </w:pPr>
      <w:bookmarkStart w:id="108" w:name="_Toc18937"/>
      <w:bookmarkStart w:id="109" w:name="_Toc148531846"/>
      <w:r>
        <w:rPr>
          <w:rFonts w:hint="eastAsia"/>
        </w:rPr>
        <w:t>特殊要求</w:t>
      </w:r>
      <w:bookmarkEnd w:id="108"/>
      <w:bookmarkEnd w:id="109"/>
    </w:p>
    <w:p w14:paraId="428A9A4D">
      <w:pPr>
        <w:pStyle w:val="75"/>
        <w:spacing w:beforeLines="0" w:afterLines="0"/>
        <w:ind w:left="0"/>
        <w:rPr>
          <w:rFonts w:hint="eastAsia" w:ascii="宋体" w:hAnsi="宋体" w:eastAsia="宋体" w:cs="宋体"/>
        </w:rPr>
      </w:pPr>
      <w:r>
        <w:rPr>
          <w:rFonts w:hint="eastAsia" w:ascii="宋体" w:hAnsi="宋体" w:eastAsia="宋体" w:cs="宋体"/>
        </w:rPr>
        <w:t>光伏电站宜定期开展用于评估设备状态的例行试验，包括光伏发电单元红外热成像试验、汇流箱组串一致性试验等。</w:t>
      </w:r>
    </w:p>
    <w:p w14:paraId="12FDB57F">
      <w:pPr>
        <w:pStyle w:val="75"/>
        <w:spacing w:beforeLines="0" w:afterLines="0"/>
        <w:ind w:left="0"/>
        <w:rPr>
          <w:rFonts w:hint="eastAsia" w:ascii="宋体" w:hAnsi="宋体" w:eastAsia="宋体" w:cs="宋体"/>
        </w:rPr>
      </w:pPr>
      <w:r>
        <w:rPr>
          <w:rFonts w:hint="eastAsia" w:ascii="宋体" w:hAnsi="宋体" w:eastAsia="宋体" w:cs="宋体"/>
        </w:rPr>
        <w:t>光伏发电设备在运行过程中发现设备状态不良或出现家族缺陷时，应开展诊断性试验。例如，设备发生直流接地故障后，如无直接接地点，可进行绝缘电阻测试，检查设备绝缘是否合格；光伏汇流箱或光伏组件在雷击过电压下发生除防雷器失效外的其他元器件损坏时，可开展设备接地阻抗试验，检查接地阻抗是否符合要求。</w:t>
      </w:r>
    </w:p>
    <w:p w14:paraId="083B9BC3">
      <w:pPr>
        <w:pStyle w:val="75"/>
        <w:spacing w:beforeLines="0" w:afterLines="0"/>
        <w:ind w:left="0"/>
      </w:pPr>
      <w:r>
        <w:rPr>
          <w:rFonts w:hint="eastAsia" w:ascii="宋体" w:hAnsi="宋体" w:eastAsia="宋体" w:cs="宋体"/>
        </w:rPr>
        <w:t>更换设备整体、设备经过重大检修或重要部件更换后，应开展验收试验；设备投运一年或关键质保节点前，可结合状态评价开展专项验收试验或诊断性试验。</w:t>
      </w:r>
      <w:bookmarkEnd w:id="104"/>
      <w:bookmarkEnd w:id="105"/>
      <w:bookmarkEnd w:id="106"/>
      <w:bookmarkEnd w:id="107"/>
      <w:bookmarkStart w:id="110" w:name="_Toc102070422"/>
      <w:bookmarkStart w:id="111" w:name="_Toc728237141"/>
      <w:bookmarkStart w:id="112" w:name="_Toc1192582113"/>
      <w:r>
        <w:rPr>
          <w:rFonts w:hint="eastAsia"/>
        </w:rPr>
        <w:br w:type="page"/>
      </w:r>
    </w:p>
    <w:bookmarkEnd w:id="110"/>
    <w:bookmarkEnd w:id="111"/>
    <w:bookmarkEnd w:id="112"/>
    <w:p w14:paraId="71D33D1C">
      <w:pPr>
        <w:pStyle w:val="88"/>
        <w:numPr>
          <w:ilvl w:val="0"/>
          <w:numId w:val="0"/>
        </w:numPr>
        <w:spacing w:before="312" w:after="312"/>
        <w:outlineLvl w:val="0"/>
      </w:pPr>
      <w:bookmarkStart w:id="113" w:name="_Toc148531847"/>
      <w:bookmarkStart w:id="114" w:name="_Toc28209"/>
      <w:bookmarkStart w:id="115" w:name="_Toc148520801"/>
      <w:r>
        <w:rPr>
          <w:rFonts w:hint="eastAsia"/>
        </w:rPr>
        <w:t>附录A（</w:t>
      </w:r>
      <w:r>
        <w:rPr>
          <w:rFonts w:hint="eastAsia"/>
          <w:lang w:val="en-US" w:eastAsia="zh-CN"/>
        </w:rPr>
        <w:t>资料</w:t>
      </w:r>
      <w:r>
        <w:rPr>
          <w:rFonts w:hint="eastAsia"/>
        </w:rPr>
        <w:t>性） 光伏发电单元定期检修项目及要求</w:t>
      </w:r>
      <w:bookmarkEnd w:id="113"/>
      <w:bookmarkEnd w:id="114"/>
      <w:bookmarkEnd w:id="115"/>
      <w:bookmarkStart w:id="116" w:name="_Hlk140528078"/>
    </w:p>
    <w:p w14:paraId="4FDC60FE">
      <w:pPr>
        <w:pStyle w:val="25"/>
        <w:spacing w:before="156" w:beforeLines="50" w:after="156" w:afterLines="50"/>
        <w:jc w:val="center"/>
        <w:rPr>
          <w:rFonts w:hint="eastAsia" w:hAnsi="宋体" w:cs="宋体"/>
        </w:rPr>
      </w:pPr>
      <w:r>
        <w:rPr>
          <w:rFonts w:hint="eastAsia" w:ascii="黑体" w:hAnsi="黑体" w:eastAsia="黑体" w:cs="黑体"/>
        </w:rPr>
        <w:t>表A 光伏发电单元定期检修项目及要求</w:t>
      </w:r>
    </w:p>
    <w:bookmarkEnd w:id="116"/>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6"/>
        <w:gridCol w:w="1134"/>
        <w:gridCol w:w="6412"/>
        <w:gridCol w:w="1180"/>
      </w:tblGrid>
      <w:tr w14:paraId="5DEE5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16" w:type="dxa"/>
            <w:vAlign w:val="center"/>
          </w:tcPr>
          <w:p w14:paraId="5481D9FF">
            <w:pPr>
              <w:jc w:val="center"/>
              <w:rPr>
                <w:rFonts w:hint="eastAsia" w:ascii="宋体" w:hAnsi="宋体" w:cs="宋体"/>
                <w:sz w:val="18"/>
                <w:szCs w:val="18"/>
              </w:rPr>
            </w:pPr>
            <w:r>
              <w:rPr>
                <w:rFonts w:hint="eastAsia" w:ascii="宋体" w:hAnsi="宋体" w:cs="宋体"/>
                <w:sz w:val="18"/>
                <w:szCs w:val="18"/>
              </w:rPr>
              <w:t>序号</w:t>
            </w:r>
          </w:p>
        </w:tc>
        <w:tc>
          <w:tcPr>
            <w:tcW w:w="1134" w:type="dxa"/>
            <w:vAlign w:val="center"/>
          </w:tcPr>
          <w:p w14:paraId="1494F0CB">
            <w:pPr>
              <w:jc w:val="center"/>
              <w:rPr>
                <w:rFonts w:hint="eastAsia" w:ascii="宋体" w:hAnsi="宋体" w:cs="宋体"/>
                <w:sz w:val="18"/>
                <w:szCs w:val="18"/>
              </w:rPr>
            </w:pPr>
            <w:r>
              <w:rPr>
                <w:rFonts w:hint="eastAsia" w:ascii="宋体" w:hAnsi="宋体" w:cs="宋体"/>
                <w:sz w:val="18"/>
                <w:szCs w:val="18"/>
              </w:rPr>
              <w:t>项目名称</w:t>
            </w:r>
          </w:p>
        </w:tc>
        <w:tc>
          <w:tcPr>
            <w:tcW w:w="6412" w:type="dxa"/>
            <w:vAlign w:val="center"/>
          </w:tcPr>
          <w:p w14:paraId="30E65777">
            <w:pPr>
              <w:jc w:val="center"/>
              <w:rPr>
                <w:rFonts w:hint="eastAsia" w:ascii="宋体" w:hAnsi="宋体" w:cs="宋体"/>
                <w:sz w:val="18"/>
                <w:szCs w:val="18"/>
              </w:rPr>
            </w:pPr>
            <w:r>
              <w:rPr>
                <w:rFonts w:hint="eastAsia" w:ascii="宋体" w:hAnsi="宋体" w:cs="宋体"/>
                <w:sz w:val="18"/>
                <w:szCs w:val="18"/>
              </w:rPr>
              <w:t>项目内容</w:t>
            </w:r>
          </w:p>
        </w:tc>
        <w:tc>
          <w:tcPr>
            <w:tcW w:w="1180" w:type="dxa"/>
          </w:tcPr>
          <w:p w14:paraId="0FB64128">
            <w:pPr>
              <w:jc w:val="center"/>
              <w:rPr>
                <w:rFonts w:hint="eastAsia" w:ascii="宋体" w:hAnsi="宋体" w:cs="宋体"/>
                <w:sz w:val="18"/>
                <w:szCs w:val="18"/>
              </w:rPr>
            </w:pPr>
            <w:r>
              <w:rPr>
                <w:rFonts w:hint="eastAsia" w:ascii="宋体" w:hAnsi="宋体" w:cs="宋体"/>
                <w:sz w:val="18"/>
                <w:szCs w:val="18"/>
              </w:rPr>
              <w:t>检修周期</w:t>
            </w:r>
          </w:p>
        </w:tc>
      </w:tr>
      <w:tr w14:paraId="0F546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6" w:type="dxa"/>
            <w:vAlign w:val="center"/>
          </w:tcPr>
          <w:p w14:paraId="1B56C605">
            <w:pPr>
              <w:jc w:val="center"/>
              <w:rPr>
                <w:rFonts w:hint="eastAsia" w:ascii="宋体" w:hAnsi="宋体" w:cs="宋体"/>
                <w:sz w:val="18"/>
                <w:szCs w:val="18"/>
              </w:rPr>
            </w:pPr>
            <w:r>
              <w:rPr>
                <w:rFonts w:hint="eastAsia" w:ascii="宋体" w:hAnsi="宋体" w:cs="宋体"/>
                <w:sz w:val="18"/>
                <w:szCs w:val="18"/>
              </w:rPr>
              <w:t>1</w:t>
            </w:r>
          </w:p>
        </w:tc>
        <w:tc>
          <w:tcPr>
            <w:tcW w:w="1134" w:type="dxa"/>
            <w:vAlign w:val="center"/>
          </w:tcPr>
          <w:p w14:paraId="6AF775D2">
            <w:pPr>
              <w:jc w:val="center"/>
              <w:rPr>
                <w:rFonts w:hint="eastAsia" w:ascii="宋体" w:hAnsi="宋体" w:cs="宋体"/>
                <w:sz w:val="18"/>
                <w:szCs w:val="18"/>
              </w:rPr>
            </w:pPr>
            <w:bookmarkStart w:id="117" w:name="_Toc148520802"/>
            <w:r>
              <w:rPr>
                <w:rFonts w:hint="eastAsia" w:ascii="宋体" w:hAnsi="宋体" w:cs="宋体"/>
                <w:sz w:val="18"/>
                <w:szCs w:val="18"/>
              </w:rPr>
              <w:t>光伏组件</w:t>
            </w:r>
            <w:bookmarkEnd w:id="117"/>
          </w:p>
        </w:tc>
        <w:tc>
          <w:tcPr>
            <w:tcW w:w="6412" w:type="dxa"/>
            <w:vAlign w:val="center"/>
          </w:tcPr>
          <w:p w14:paraId="326FE87C">
            <w:pPr>
              <w:rPr>
                <w:rFonts w:hint="eastAsia" w:ascii="宋体" w:hAnsi="宋体" w:cs="宋体"/>
                <w:sz w:val="18"/>
                <w:szCs w:val="18"/>
              </w:rPr>
            </w:pPr>
            <w:r>
              <w:rPr>
                <w:rFonts w:hint="eastAsia" w:ascii="宋体" w:hAnsi="宋体" w:cs="宋体"/>
                <w:sz w:val="18"/>
                <w:szCs w:val="18"/>
              </w:rPr>
              <w:t>（1）检查光伏组件是否有开裂、弯曲、不规整、外表面损伤及破碎。破碎部分影响安全或发电量时,应更换光伏组件；</w:t>
            </w:r>
          </w:p>
          <w:p w14:paraId="0A36A5CE">
            <w:pPr>
              <w:rPr>
                <w:rFonts w:hint="eastAsia" w:ascii="宋体" w:hAnsi="宋体" w:cs="宋体"/>
                <w:sz w:val="18"/>
                <w:szCs w:val="18"/>
              </w:rPr>
            </w:pPr>
            <w:r>
              <w:rPr>
                <w:rFonts w:hint="eastAsia" w:ascii="宋体" w:hAnsi="宋体" w:cs="宋体"/>
                <w:sz w:val="18"/>
                <w:szCs w:val="18"/>
              </w:rPr>
              <w:t>（2）检查背板接线盒密封是否完好,检查接线端子是否有过热、烧灼痕迹,检查旁路二极管是否损坏。存在安全隐患或损坏时,应更换接线盒、接线端子或光伏组件；</w:t>
            </w:r>
          </w:p>
          <w:p w14:paraId="6D83919F">
            <w:pPr>
              <w:rPr>
                <w:rFonts w:hint="eastAsia" w:ascii="宋体" w:hAnsi="宋体" w:cs="宋体"/>
                <w:sz w:val="18"/>
                <w:szCs w:val="18"/>
              </w:rPr>
            </w:pPr>
            <w:r>
              <w:rPr>
                <w:rFonts w:hint="eastAsia" w:ascii="宋体" w:hAnsi="宋体" w:cs="宋体"/>
                <w:sz w:val="18"/>
                <w:szCs w:val="18"/>
              </w:rPr>
              <w:t>（3）检查光伏组件插接头和连接引线是否破损、断开和连接不牢固。连接不牢固时应紧固;存在破损或断开时,应更换；</w:t>
            </w:r>
          </w:p>
          <w:p w14:paraId="6B766D08">
            <w:pPr>
              <w:rPr>
                <w:rFonts w:hint="eastAsia" w:ascii="宋体" w:hAnsi="宋体" w:cs="宋体"/>
                <w:sz w:val="18"/>
                <w:szCs w:val="18"/>
              </w:rPr>
            </w:pPr>
            <w:r>
              <w:rPr>
                <w:rFonts w:hint="eastAsia" w:ascii="宋体" w:hAnsi="宋体" w:cs="宋体"/>
                <w:sz w:val="18"/>
                <w:szCs w:val="18"/>
              </w:rPr>
              <w:t>（4）检查光伏组件金属边框的接地线连接是否紧固、可靠,有无松动、脱落与裸露。存在上述现象时,应对接地线进行紧固或替换,确保可靠接地；</w:t>
            </w:r>
          </w:p>
          <w:p w14:paraId="3941B7E1">
            <w:pPr>
              <w:rPr>
                <w:rFonts w:hint="eastAsia" w:ascii="宋体" w:hAnsi="宋体" w:cs="宋体"/>
                <w:sz w:val="18"/>
                <w:szCs w:val="18"/>
              </w:rPr>
            </w:pPr>
            <w:r>
              <w:rPr>
                <w:rFonts w:hint="eastAsia" w:ascii="宋体" w:hAnsi="宋体" w:cs="宋体"/>
                <w:sz w:val="18"/>
                <w:szCs w:val="18"/>
              </w:rPr>
              <w:t>（5）检查光伏组件与支架的卡件固定是否牢固、卡件有无脱落,检查光伏卡件是否有锈蚀。支架有松动现象时应紧固支架,卡件锈蚀时应更换卡件；</w:t>
            </w:r>
          </w:p>
          <w:p w14:paraId="293802D7">
            <w:pPr>
              <w:rPr>
                <w:rFonts w:hint="eastAsia" w:ascii="宋体" w:hAnsi="宋体" w:cs="宋体"/>
                <w:sz w:val="18"/>
                <w:szCs w:val="18"/>
              </w:rPr>
            </w:pPr>
            <w:r>
              <w:rPr>
                <w:rFonts w:hint="eastAsia" w:ascii="宋体" w:hAnsi="宋体" w:cs="宋体"/>
                <w:sz w:val="18"/>
                <w:szCs w:val="18"/>
              </w:rPr>
              <w:t>（6）检查光伏组件间的接线有无松动、断裂现象,接线绑扎是否牢固。存在松动、断裂现象时,应更换或重新绑扎；</w:t>
            </w:r>
          </w:p>
          <w:p w14:paraId="64D1AC3F">
            <w:pPr>
              <w:rPr>
                <w:rFonts w:hint="eastAsia" w:ascii="宋体" w:hAnsi="宋体" w:cs="宋体"/>
                <w:sz w:val="18"/>
                <w:szCs w:val="18"/>
              </w:rPr>
            </w:pPr>
            <w:r>
              <w:rPr>
                <w:rFonts w:hint="eastAsia" w:ascii="宋体" w:hAnsi="宋体" w:cs="宋体"/>
                <w:sz w:val="18"/>
                <w:szCs w:val="18"/>
              </w:rPr>
              <w:t>（7）检查光伏组件是否存在组件热斑、组件隐裂等。影响安全或发电量时,应进行故障检修或更换光伏组件。</w:t>
            </w:r>
          </w:p>
        </w:tc>
        <w:tc>
          <w:tcPr>
            <w:tcW w:w="1180" w:type="dxa"/>
            <w:vAlign w:val="center"/>
          </w:tcPr>
          <w:p w14:paraId="5AC9EB4A">
            <w:pPr>
              <w:jc w:val="center"/>
              <w:rPr>
                <w:rFonts w:hint="eastAsia" w:ascii="宋体" w:hAnsi="宋体" w:cs="宋体"/>
                <w:sz w:val="18"/>
                <w:szCs w:val="18"/>
              </w:rPr>
            </w:pPr>
            <w:r>
              <w:rPr>
                <w:rFonts w:hint="eastAsia" w:ascii="宋体" w:hAnsi="宋体" w:cs="宋体"/>
                <w:sz w:val="18"/>
                <w:szCs w:val="18"/>
              </w:rPr>
              <w:t>6个月</w:t>
            </w:r>
          </w:p>
        </w:tc>
      </w:tr>
      <w:tr w14:paraId="112ED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16" w:type="dxa"/>
            <w:vAlign w:val="center"/>
          </w:tcPr>
          <w:p w14:paraId="32F8C18F">
            <w:pPr>
              <w:jc w:val="center"/>
              <w:rPr>
                <w:rFonts w:hint="eastAsia" w:ascii="宋体" w:hAnsi="宋体" w:cs="宋体"/>
                <w:sz w:val="18"/>
                <w:szCs w:val="18"/>
              </w:rPr>
            </w:pPr>
            <w:r>
              <w:rPr>
                <w:rFonts w:hint="eastAsia" w:ascii="宋体" w:hAnsi="宋体" w:cs="宋体"/>
                <w:sz w:val="18"/>
                <w:szCs w:val="18"/>
              </w:rPr>
              <w:t>2</w:t>
            </w:r>
          </w:p>
        </w:tc>
        <w:tc>
          <w:tcPr>
            <w:tcW w:w="1134" w:type="dxa"/>
            <w:vAlign w:val="center"/>
          </w:tcPr>
          <w:p w14:paraId="0C265030">
            <w:pPr>
              <w:jc w:val="center"/>
              <w:rPr>
                <w:rFonts w:hint="eastAsia" w:ascii="宋体" w:hAnsi="宋体" w:cs="宋体"/>
                <w:sz w:val="18"/>
                <w:szCs w:val="18"/>
              </w:rPr>
            </w:pPr>
            <w:bookmarkStart w:id="118" w:name="_Toc148520803"/>
            <w:r>
              <w:rPr>
                <w:rFonts w:hint="eastAsia" w:ascii="宋体" w:hAnsi="宋体" w:cs="宋体"/>
                <w:sz w:val="18"/>
                <w:szCs w:val="18"/>
              </w:rPr>
              <w:t>支架和跟踪系统</w:t>
            </w:r>
            <w:bookmarkEnd w:id="118"/>
            <w:r>
              <w:rPr>
                <w:rFonts w:hint="eastAsia" w:ascii="宋体" w:hAnsi="宋体" w:cs="宋体"/>
                <w:sz w:val="18"/>
                <w:szCs w:val="18"/>
              </w:rPr>
              <w:t xml:space="preserve"> </w:t>
            </w:r>
          </w:p>
        </w:tc>
        <w:tc>
          <w:tcPr>
            <w:tcW w:w="6412" w:type="dxa"/>
            <w:vAlign w:val="center"/>
          </w:tcPr>
          <w:p w14:paraId="34DEEE9F">
            <w:pPr>
              <w:rPr>
                <w:rFonts w:hint="eastAsia" w:ascii="宋体" w:hAnsi="宋体" w:cs="宋体"/>
                <w:sz w:val="18"/>
                <w:szCs w:val="18"/>
              </w:rPr>
            </w:pPr>
            <w:r>
              <w:rPr>
                <w:rFonts w:hint="eastAsia" w:ascii="宋体" w:hAnsi="宋体" w:cs="宋体"/>
                <w:sz w:val="18"/>
                <w:szCs w:val="18"/>
              </w:rPr>
              <w:t>（1）检查支架连接螺栓紧固度、可靠性是否符合 GB/T 29320—2024的规定,各接线是否紧固、可靠；</w:t>
            </w:r>
            <w:r>
              <w:rPr>
                <w:rFonts w:hint="eastAsia" w:ascii="宋体" w:hAnsi="宋体" w:cs="宋体"/>
                <w:sz w:val="18"/>
                <w:szCs w:val="18"/>
              </w:rPr>
              <w:br w:type="textWrapping"/>
            </w:r>
            <w:r>
              <w:rPr>
                <w:rFonts w:hint="eastAsia" w:ascii="宋体" w:hAnsi="宋体" w:cs="宋体"/>
                <w:sz w:val="18"/>
                <w:szCs w:val="18"/>
              </w:rPr>
              <w:t>（2）检查支架弯曲变形、柱顶偏移情况，是否符合 GB/T 29320—2024 的规定；</w:t>
            </w:r>
            <w:r>
              <w:rPr>
                <w:rFonts w:hint="eastAsia" w:ascii="宋体" w:hAnsi="宋体" w:cs="宋体"/>
                <w:sz w:val="18"/>
                <w:szCs w:val="18"/>
              </w:rPr>
              <w:br w:type="textWrapping"/>
            </w:r>
            <w:r>
              <w:rPr>
                <w:rFonts w:hint="eastAsia" w:ascii="宋体" w:hAnsi="宋体" w:cs="宋体"/>
                <w:sz w:val="18"/>
                <w:szCs w:val="18"/>
              </w:rPr>
              <w:t>（3）检查支架稳定性，是否符合 GB/T 29320—2024 的规定；</w:t>
            </w:r>
            <w:r>
              <w:rPr>
                <w:rFonts w:hint="eastAsia" w:ascii="宋体" w:hAnsi="宋体" w:cs="宋体"/>
                <w:sz w:val="18"/>
                <w:szCs w:val="18"/>
              </w:rPr>
              <w:br w:type="textWrapping"/>
            </w:r>
            <w:r>
              <w:rPr>
                <w:rFonts w:hint="eastAsia" w:ascii="宋体" w:hAnsi="宋体" w:cs="宋体"/>
                <w:sz w:val="18"/>
                <w:szCs w:val="18"/>
              </w:rPr>
              <w:t>（4）检查跟踪支架需润滑部位是否缺少润滑油；</w:t>
            </w:r>
            <w:r>
              <w:rPr>
                <w:rFonts w:hint="eastAsia" w:ascii="宋体" w:hAnsi="宋体" w:cs="宋体"/>
                <w:sz w:val="18"/>
                <w:szCs w:val="18"/>
              </w:rPr>
              <w:br w:type="textWrapping"/>
            </w:r>
            <w:r>
              <w:rPr>
                <w:rFonts w:hint="eastAsia" w:ascii="宋体" w:hAnsi="宋体" w:cs="宋体"/>
                <w:sz w:val="18"/>
                <w:szCs w:val="18"/>
              </w:rPr>
              <w:t>（5）检查组件支架旁线缆PVC管是否完好，是否缺少防火封堵泥；</w:t>
            </w:r>
            <w:r>
              <w:rPr>
                <w:rFonts w:hint="eastAsia" w:ascii="宋体" w:hAnsi="宋体" w:cs="宋体"/>
                <w:sz w:val="18"/>
                <w:szCs w:val="18"/>
              </w:rPr>
              <w:br w:type="textWrapping"/>
            </w:r>
            <w:r>
              <w:rPr>
                <w:rFonts w:hint="eastAsia" w:ascii="宋体" w:hAnsi="宋体" w:cs="宋体"/>
                <w:sz w:val="18"/>
                <w:szCs w:val="18"/>
              </w:rPr>
              <w:t>（6）检查跟踪支架所属各种线缆布线是否清晰，无缠绕断裂；</w:t>
            </w:r>
            <w:r>
              <w:rPr>
                <w:rFonts w:hint="eastAsia" w:ascii="宋体" w:hAnsi="宋体" w:cs="宋体"/>
                <w:sz w:val="18"/>
                <w:szCs w:val="18"/>
              </w:rPr>
              <w:br w:type="textWrapping"/>
            </w:r>
            <w:r>
              <w:rPr>
                <w:rFonts w:hint="eastAsia" w:ascii="宋体" w:hAnsi="宋体" w:cs="宋体"/>
                <w:sz w:val="18"/>
                <w:szCs w:val="18"/>
              </w:rPr>
              <w:t>（7）检查跟踪支架的跟踪精度，是否存在丢时现象；</w:t>
            </w:r>
            <w:r>
              <w:rPr>
                <w:rFonts w:hint="eastAsia" w:ascii="宋体" w:hAnsi="宋体" w:cs="宋体"/>
                <w:sz w:val="18"/>
                <w:szCs w:val="18"/>
              </w:rPr>
              <w:br w:type="textWrapping"/>
            </w:r>
            <w:r>
              <w:rPr>
                <w:rFonts w:hint="eastAsia" w:ascii="宋体" w:hAnsi="宋体" w:cs="宋体"/>
                <w:sz w:val="18"/>
                <w:szCs w:val="18"/>
              </w:rPr>
              <w:t>（8）检查驱动装置密封件是否存在漏油、渗油迹象；</w:t>
            </w:r>
            <w:r>
              <w:rPr>
                <w:rFonts w:hint="eastAsia" w:ascii="宋体" w:hAnsi="宋体" w:cs="宋体"/>
                <w:sz w:val="18"/>
                <w:szCs w:val="18"/>
              </w:rPr>
              <w:br w:type="textWrapping"/>
            </w:r>
            <w:r>
              <w:rPr>
                <w:rFonts w:hint="eastAsia" w:ascii="宋体" w:hAnsi="宋体" w:cs="宋体"/>
                <w:sz w:val="18"/>
                <w:szCs w:val="18"/>
              </w:rPr>
              <w:t>（9）检查跟踪支架回转装置是否卡涩,动作是否平稳、灵活，无异常；</w:t>
            </w:r>
            <w:r>
              <w:rPr>
                <w:rFonts w:hint="eastAsia" w:ascii="宋体" w:hAnsi="宋体" w:cs="宋体"/>
                <w:sz w:val="18"/>
                <w:szCs w:val="18"/>
              </w:rPr>
              <w:br w:type="textWrapping"/>
            </w:r>
            <w:r>
              <w:rPr>
                <w:rFonts w:hint="eastAsia" w:ascii="宋体" w:hAnsi="宋体" w:cs="宋体"/>
                <w:sz w:val="18"/>
                <w:szCs w:val="18"/>
              </w:rPr>
              <w:t>（10）检查电气控制箱密封是否完好,是否有积灰以及积水现象，箱体表面是否掉漆；</w:t>
            </w:r>
            <w:r>
              <w:rPr>
                <w:rFonts w:hint="eastAsia" w:ascii="宋体" w:hAnsi="宋体" w:cs="宋体"/>
                <w:sz w:val="18"/>
                <w:szCs w:val="18"/>
              </w:rPr>
              <w:br w:type="textWrapping"/>
            </w:r>
            <w:r>
              <w:rPr>
                <w:rFonts w:hint="eastAsia" w:ascii="宋体" w:hAnsi="宋体" w:cs="宋体"/>
                <w:sz w:val="18"/>
                <w:szCs w:val="18"/>
              </w:rPr>
              <w:t>（11）检查箱体防雷和保护接地是否完好、连接是否可靠；</w:t>
            </w:r>
            <w:r>
              <w:rPr>
                <w:rFonts w:hint="eastAsia" w:ascii="宋体" w:hAnsi="宋体" w:cs="宋体"/>
                <w:sz w:val="18"/>
                <w:szCs w:val="18"/>
              </w:rPr>
              <w:br w:type="textWrapping"/>
            </w:r>
            <w:r>
              <w:rPr>
                <w:rFonts w:hint="eastAsia" w:ascii="宋体" w:hAnsi="宋体" w:cs="宋体"/>
                <w:sz w:val="18"/>
                <w:szCs w:val="18"/>
              </w:rPr>
              <w:t>（12）检查支架是否有锈蚀痕迹，及时用防锈漆处理；</w:t>
            </w:r>
            <w:r>
              <w:rPr>
                <w:rFonts w:hint="eastAsia" w:ascii="宋体" w:hAnsi="宋体" w:cs="宋体"/>
                <w:sz w:val="18"/>
                <w:szCs w:val="18"/>
              </w:rPr>
              <w:br w:type="textWrapping"/>
            </w:r>
            <w:r>
              <w:rPr>
                <w:rFonts w:hint="eastAsia" w:ascii="宋体" w:hAnsi="宋体" w:cs="宋体"/>
                <w:sz w:val="18"/>
                <w:szCs w:val="18"/>
              </w:rPr>
              <w:t>（13）检查自适应斜单轴两侧光敏电阻传感器输出电压是否在5-10V;</w:t>
            </w:r>
            <w:r>
              <w:rPr>
                <w:rFonts w:hint="eastAsia" w:ascii="宋体" w:hAnsi="宋体" w:cs="宋体"/>
                <w:sz w:val="18"/>
                <w:szCs w:val="18"/>
              </w:rPr>
              <w:br w:type="textWrapping"/>
            </w:r>
            <w:r>
              <w:rPr>
                <w:rFonts w:hint="eastAsia" w:ascii="宋体" w:hAnsi="宋体" w:cs="宋体"/>
                <w:sz w:val="18"/>
                <w:szCs w:val="18"/>
              </w:rPr>
              <w:t>（14）检查高倍聚光跟踪支架对应逆变器工作是否正常。</w:t>
            </w:r>
          </w:p>
        </w:tc>
        <w:tc>
          <w:tcPr>
            <w:tcW w:w="1180" w:type="dxa"/>
            <w:vAlign w:val="center"/>
          </w:tcPr>
          <w:p w14:paraId="6775118A">
            <w:pPr>
              <w:jc w:val="center"/>
              <w:rPr>
                <w:rFonts w:hint="eastAsia" w:ascii="宋体" w:hAnsi="宋体" w:cs="宋体"/>
                <w:sz w:val="18"/>
                <w:szCs w:val="18"/>
              </w:rPr>
            </w:pPr>
            <w:bookmarkStart w:id="119" w:name="_Toc148520804"/>
            <w:bookmarkStart w:id="120" w:name="_Toc25844"/>
            <w:bookmarkStart w:id="121" w:name="_Toc27005"/>
            <w:r>
              <w:rPr>
                <w:rFonts w:hint="eastAsia" w:ascii="宋体" w:hAnsi="宋体" w:cs="宋体"/>
                <w:sz w:val="18"/>
                <w:szCs w:val="18"/>
              </w:rPr>
              <w:t>12个月</w:t>
            </w:r>
            <w:bookmarkEnd w:id="119"/>
            <w:bookmarkEnd w:id="120"/>
            <w:bookmarkEnd w:id="121"/>
          </w:p>
        </w:tc>
      </w:tr>
      <w:tr w14:paraId="4BA9B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16" w:type="dxa"/>
            <w:vAlign w:val="center"/>
          </w:tcPr>
          <w:p w14:paraId="4DB28323">
            <w:pPr>
              <w:jc w:val="center"/>
              <w:rPr>
                <w:rFonts w:hint="eastAsia" w:ascii="宋体" w:hAnsi="宋体" w:cs="宋体"/>
                <w:sz w:val="18"/>
                <w:szCs w:val="18"/>
              </w:rPr>
            </w:pPr>
            <w:r>
              <w:rPr>
                <w:rFonts w:hint="eastAsia" w:ascii="宋体" w:hAnsi="宋体" w:cs="宋体"/>
                <w:sz w:val="18"/>
                <w:szCs w:val="18"/>
              </w:rPr>
              <w:t>3</w:t>
            </w:r>
          </w:p>
        </w:tc>
        <w:tc>
          <w:tcPr>
            <w:tcW w:w="1134" w:type="dxa"/>
            <w:vAlign w:val="center"/>
          </w:tcPr>
          <w:p w14:paraId="545DBCBE">
            <w:pPr>
              <w:jc w:val="center"/>
              <w:rPr>
                <w:rFonts w:hint="eastAsia" w:ascii="宋体" w:hAnsi="宋体" w:cs="宋体"/>
                <w:sz w:val="18"/>
                <w:szCs w:val="18"/>
              </w:rPr>
            </w:pPr>
            <w:bookmarkStart w:id="122" w:name="_Toc148520805"/>
            <w:r>
              <w:rPr>
                <w:rFonts w:hint="eastAsia" w:ascii="宋体" w:hAnsi="宋体" w:cs="宋体"/>
                <w:sz w:val="18"/>
                <w:szCs w:val="18"/>
              </w:rPr>
              <w:t>汇流箱</w:t>
            </w:r>
            <w:bookmarkEnd w:id="122"/>
          </w:p>
        </w:tc>
        <w:tc>
          <w:tcPr>
            <w:tcW w:w="6412" w:type="dxa"/>
            <w:vAlign w:val="center"/>
          </w:tcPr>
          <w:p w14:paraId="2B1E957F">
            <w:pPr>
              <w:rPr>
                <w:rFonts w:hint="eastAsia" w:ascii="宋体" w:hAnsi="宋体" w:cs="宋体"/>
                <w:sz w:val="18"/>
                <w:szCs w:val="18"/>
              </w:rPr>
            </w:pPr>
            <w:r>
              <w:rPr>
                <w:rFonts w:hint="eastAsia" w:ascii="宋体" w:hAnsi="宋体" w:cs="宋体"/>
                <w:sz w:val="18"/>
                <w:szCs w:val="18"/>
              </w:rPr>
              <w:t>（1）箱体表面是否平整，是否有脱落、锈蚀及裂痕等现象；</w:t>
            </w:r>
            <w:r>
              <w:rPr>
                <w:rFonts w:hint="eastAsia" w:ascii="宋体" w:hAnsi="宋体" w:cs="宋体"/>
                <w:sz w:val="18"/>
                <w:szCs w:val="18"/>
              </w:rPr>
              <w:br w:type="textWrapping"/>
            </w:r>
            <w:r>
              <w:rPr>
                <w:rFonts w:hint="eastAsia" w:ascii="宋体" w:hAnsi="宋体" w:cs="宋体"/>
                <w:sz w:val="18"/>
                <w:szCs w:val="18"/>
              </w:rPr>
              <w:t>（2）机架面板是否平整；</w:t>
            </w:r>
            <w:r>
              <w:rPr>
                <w:rFonts w:hint="eastAsia" w:ascii="宋体" w:hAnsi="宋体" w:cs="宋体"/>
                <w:sz w:val="18"/>
                <w:szCs w:val="18"/>
              </w:rPr>
              <w:br w:type="textWrapping"/>
            </w:r>
            <w:r>
              <w:rPr>
                <w:rFonts w:hint="eastAsia" w:ascii="宋体" w:hAnsi="宋体" w:cs="宋体"/>
                <w:sz w:val="18"/>
                <w:szCs w:val="18"/>
              </w:rPr>
              <w:t>（3）标牌、标志和标记是否完整清晰；</w:t>
            </w:r>
            <w:r>
              <w:rPr>
                <w:rFonts w:hint="eastAsia" w:ascii="宋体" w:hAnsi="宋体" w:cs="宋体"/>
                <w:sz w:val="18"/>
                <w:szCs w:val="18"/>
              </w:rPr>
              <w:br w:type="textWrapping"/>
            </w:r>
            <w:r>
              <w:rPr>
                <w:rFonts w:hint="eastAsia" w:ascii="宋体" w:hAnsi="宋体" w:cs="宋体"/>
                <w:sz w:val="18"/>
                <w:szCs w:val="18"/>
              </w:rPr>
              <w:t>（4）连接线是否存在松动、锈蚀情况；</w:t>
            </w:r>
            <w:r>
              <w:rPr>
                <w:rFonts w:hint="eastAsia" w:ascii="宋体" w:hAnsi="宋体" w:cs="宋体"/>
                <w:sz w:val="18"/>
                <w:szCs w:val="18"/>
              </w:rPr>
              <w:br w:type="textWrapping"/>
            </w:r>
            <w:r>
              <w:rPr>
                <w:rFonts w:hint="eastAsia" w:ascii="宋体" w:hAnsi="宋体" w:cs="宋体"/>
                <w:sz w:val="18"/>
                <w:szCs w:val="18"/>
              </w:rPr>
              <w:t>（5）主断路器动作是否灵活、性能是否稳定可靠；</w:t>
            </w:r>
            <w:r>
              <w:rPr>
                <w:rFonts w:hint="eastAsia" w:ascii="宋体" w:hAnsi="宋体" w:cs="宋体"/>
                <w:sz w:val="18"/>
                <w:szCs w:val="18"/>
              </w:rPr>
              <w:br w:type="textWrapping"/>
            </w:r>
            <w:r>
              <w:rPr>
                <w:rFonts w:hint="eastAsia" w:ascii="宋体" w:hAnsi="宋体" w:cs="宋体"/>
                <w:sz w:val="18"/>
                <w:szCs w:val="18"/>
              </w:rPr>
              <w:t>（6）固定螺栓是否存在锈蚀现象；</w:t>
            </w:r>
            <w:r>
              <w:rPr>
                <w:rFonts w:hint="eastAsia" w:ascii="宋体" w:hAnsi="宋体" w:cs="宋体"/>
                <w:sz w:val="18"/>
                <w:szCs w:val="18"/>
              </w:rPr>
              <w:br w:type="textWrapping"/>
            </w:r>
            <w:r>
              <w:rPr>
                <w:rFonts w:hint="eastAsia" w:ascii="宋体" w:hAnsi="宋体" w:cs="宋体"/>
                <w:sz w:val="18"/>
                <w:szCs w:val="18"/>
              </w:rPr>
              <w:t>（7）检查汇流箱通讯功能是否正常；</w:t>
            </w:r>
            <w:r>
              <w:rPr>
                <w:rFonts w:hint="eastAsia" w:ascii="宋体" w:hAnsi="宋体" w:cs="宋体"/>
                <w:sz w:val="18"/>
                <w:szCs w:val="18"/>
              </w:rPr>
              <w:br w:type="textWrapping"/>
            </w:r>
            <w:r>
              <w:rPr>
                <w:rFonts w:hint="eastAsia" w:ascii="宋体" w:hAnsi="宋体" w:cs="宋体"/>
                <w:sz w:val="18"/>
                <w:szCs w:val="18"/>
              </w:rPr>
              <w:t>（8）检查汇流箱内的防雷保护器是否工作正常；</w:t>
            </w:r>
            <w:r>
              <w:rPr>
                <w:rFonts w:hint="eastAsia" w:ascii="宋体" w:hAnsi="宋体" w:cs="宋体"/>
                <w:sz w:val="18"/>
                <w:szCs w:val="18"/>
              </w:rPr>
              <w:br w:type="textWrapping"/>
            </w:r>
            <w:r>
              <w:rPr>
                <w:rFonts w:hint="eastAsia" w:ascii="宋体" w:hAnsi="宋体" w:cs="宋体"/>
                <w:sz w:val="18"/>
                <w:szCs w:val="18"/>
              </w:rPr>
              <w:t>（9）增加封堵检查汇流箱进出线通道防火泥封堵是否完好；</w:t>
            </w:r>
            <w:r>
              <w:rPr>
                <w:rFonts w:hint="eastAsia" w:ascii="宋体" w:hAnsi="宋体" w:cs="宋体"/>
                <w:sz w:val="18"/>
                <w:szCs w:val="18"/>
              </w:rPr>
              <w:br w:type="textWrapping"/>
            </w:r>
            <w:r>
              <w:rPr>
                <w:rFonts w:hint="eastAsia" w:ascii="宋体" w:hAnsi="宋体" w:cs="宋体"/>
                <w:sz w:val="18"/>
                <w:szCs w:val="18"/>
              </w:rPr>
              <w:t>（10）检查熔断器及熔断器底座是否完好；</w:t>
            </w:r>
            <w:r>
              <w:rPr>
                <w:rFonts w:hint="eastAsia" w:ascii="宋体" w:hAnsi="宋体" w:cs="宋体"/>
                <w:sz w:val="18"/>
                <w:szCs w:val="18"/>
              </w:rPr>
              <w:br w:type="textWrapping"/>
            </w:r>
            <w:r>
              <w:rPr>
                <w:rFonts w:hint="eastAsia" w:ascii="宋体" w:hAnsi="宋体" w:cs="宋体"/>
                <w:sz w:val="18"/>
                <w:szCs w:val="18"/>
              </w:rPr>
              <w:t>（11）检查汇流排是否存在虚接打火现象；</w:t>
            </w:r>
            <w:r>
              <w:rPr>
                <w:rFonts w:hint="eastAsia" w:ascii="宋体" w:hAnsi="宋体" w:cs="宋体"/>
                <w:sz w:val="18"/>
                <w:szCs w:val="18"/>
              </w:rPr>
              <w:br w:type="textWrapping"/>
            </w:r>
            <w:r>
              <w:rPr>
                <w:rFonts w:hint="eastAsia" w:ascii="宋体" w:hAnsi="宋体" w:cs="宋体"/>
                <w:sz w:val="18"/>
                <w:szCs w:val="18"/>
              </w:rPr>
              <w:t>（12）检查正、负极汇流母排端子是否损坏；</w:t>
            </w:r>
            <w:r>
              <w:rPr>
                <w:rFonts w:hint="eastAsia" w:ascii="宋体" w:hAnsi="宋体" w:cs="宋体"/>
                <w:sz w:val="18"/>
                <w:szCs w:val="18"/>
              </w:rPr>
              <w:br w:type="textWrapping"/>
            </w:r>
            <w:r>
              <w:rPr>
                <w:rFonts w:hint="eastAsia" w:ascii="宋体" w:hAnsi="宋体" w:cs="宋体"/>
                <w:sz w:val="18"/>
                <w:szCs w:val="18"/>
              </w:rPr>
              <w:t>（13）断路器表面应清洁,无污渍、变形；灭弧室绝缘外壳应无损伤、划痕；操作手柄应无损伤、放电痕迹,表面应光洁、无污渍。</w:t>
            </w:r>
          </w:p>
        </w:tc>
        <w:tc>
          <w:tcPr>
            <w:tcW w:w="1180" w:type="dxa"/>
            <w:vAlign w:val="center"/>
          </w:tcPr>
          <w:p w14:paraId="4F5A061F">
            <w:pPr>
              <w:jc w:val="center"/>
              <w:rPr>
                <w:rFonts w:hint="eastAsia" w:ascii="宋体" w:hAnsi="宋体" w:cs="宋体"/>
                <w:sz w:val="18"/>
                <w:szCs w:val="18"/>
              </w:rPr>
            </w:pPr>
            <w:bookmarkStart w:id="123" w:name="_Toc148520806"/>
            <w:bookmarkStart w:id="124" w:name="_Toc15994"/>
            <w:bookmarkStart w:id="125" w:name="_Toc32371"/>
            <w:r>
              <w:rPr>
                <w:rFonts w:hint="eastAsia" w:ascii="宋体" w:hAnsi="宋体" w:cs="宋体"/>
                <w:sz w:val="18"/>
                <w:szCs w:val="18"/>
              </w:rPr>
              <w:t>6个月</w:t>
            </w:r>
            <w:bookmarkEnd w:id="123"/>
            <w:bookmarkEnd w:id="124"/>
            <w:bookmarkEnd w:id="125"/>
          </w:p>
        </w:tc>
      </w:tr>
      <w:tr w14:paraId="516C4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1" w:hRule="atLeast"/>
          <w:jc w:val="center"/>
        </w:trPr>
        <w:tc>
          <w:tcPr>
            <w:tcW w:w="616" w:type="dxa"/>
            <w:vAlign w:val="center"/>
          </w:tcPr>
          <w:p w14:paraId="49C6D492">
            <w:pPr>
              <w:jc w:val="center"/>
              <w:rPr>
                <w:rFonts w:hint="eastAsia" w:ascii="宋体" w:hAnsi="宋体" w:cs="宋体"/>
                <w:sz w:val="18"/>
                <w:szCs w:val="18"/>
              </w:rPr>
            </w:pPr>
            <w:r>
              <w:rPr>
                <w:rFonts w:hint="eastAsia" w:ascii="宋体" w:hAnsi="宋体" w:cs="宋体"/>
                <w:sz w:val="18"/>
                <w:szCs w:val="18"/>
              </w:rPr>
              <w:t>4</w:t>
            </w:r>
          </w:p>
        </w:tc>
        <w:tc>
          <w:tcPr>
            <w:tcW w:w="1134" w:type="dxa"/>
            <w:vAlign w:val="center"/>
          </w:tcPr>
          <w:p w14:paraId="6BD5C2FF">
            <w:pPr>
              <w:jc w:val="center"/>
              <w:rPr>
                <w:rFonts w:hint="eastAsia" w:ascii="宋体" w:hAnsi="宋体" w:cs="宋体"/>
                <w:sz w:val="18"/>
                <w:szCs w:val="18"/>
              </w:rPr>
            </w:pPr>
            <w:bookmarkStart w:id="126" w:name="_Toc148520807"/>
            <w:r>
              <w:rPr>
                <w:rFonts w:hint="eastAsia" w:ascii="宋体" w:hAnsi="宋体" w:cs="宋体"/>
                <w:sz w:val="18"/>
                <w:szCs w:val="18"/>
              </w:rPr>
              <w:t>直流配电柜</w:t>
            </w:r>
            <w:bookmarkEnd w:id="126"/>
          </w:p>
        </w:tc>
        <w:tc>
          <w:tcPr>
            <w:tcW w:w="6412" w:type="dxa"/>
            <w:vAlign w:val="center"/>
          </w:tcPr>
          <w:p w14:paraId="02A6A84D">
            <w:pPr>
              <w:rPr>
                <w:rFonts w:hint="eastAsia" w:ascii="宋体" w:hAnsi="宋体" w:cs="宋体"/>
                <w:sz w:val="18"/>
                <w:szCs w:val="18"/>
              </w:rPr>
            </w:pPr>
            <w:r>
              <w:rPr>
                <w:rFonts w:hint="eastAsia" w:ascii="宋体" w:hAnsi="宋体" w:cs="宋体"/>
                <w:sz w:val="18"/>
                <w:szCs w:val="18"/>
              </w:rPr>
              <w:t>（1）检查直流配电柜有无影响使用的变形、锈蚀、漏水、积灰，箱体外表面的安全警示标示是否完整无破损；</w:t>
            </w:r>
          </w:p>
          <w:p w14:paraId="4E934898">
            <w:pPr>
              <w:rPr>
                <w:rFonts w:hint="eastAsia" w:ascii="宋体" w:hAnsi="宋体" w:cs="宋体"/>
                <w:sz w:val="18"/>
                <w:szCs w:val="18"/>
              </w:rPr>
            </w:pPr>
            <w:r>
              <w:rPr>
                <w:rFonts w:hint="eastAsia" w:ascii="宋体" w:hAnsi="宋体" w:cs="宋体"/>
                <w:sz w:val="18"/>
                <w:szCs w:val="18"/>
              </w:rPr>
              <w:t>（2）检查直流配电柜各个接线端子是否存在松动、锈蚀，端子盖是否缺失；</w:t>
            </w:r>
          </w:p>
          <w:p w14:paraId="0354D906">
            <w:pPr>
              <w:rPr>
                <w:rFonts w:hint="eastAsia" w:ascii="宋体" w:hAnsi="宋体" w:cs="宋体"/>
                <w:sz w:val="18"/>
                <w:szCs w:val="18"/>
              </w:rPr>
            </w:pPr>
            <w:r>
              <w:rPr>
                <w:rFonts w:hint="eastAsia" w:ascii="宋体" w:hAnsi="宋体" w:cs="宋体"/>
                <w:sz w:val="18"/>
                <w:szCs w:val="18"/>
              </w:rPr>
              <w:t>（3）直流断路器动作是否灵活，性能是否稳定可靠；</w:t>
            </w:r>
          </w:p>
          <w:p w14:paraId="69167193">
            <w:pPr>
              <w:rPr>
                <w:rFonts w:hint="eastAsia" w:ascii="宋体" w:hAnsi="宋体" w:cs="宋体"/>
                <w:sz w:val="18"/>
                <w:szCs w:val="18"/>
              </w:rPr>
            </w:pPr>
            <w:r>
              <w:rPr>
                <w:rFonts w:hint="eastAsia" w:ascii="宋体" w:hAnsi="宋体" w:cs="宋体"/>
                <w:sz w:val="18"/>
                <w:szCs w:val="18"/>
              </w:rPr>
              <w:t>（4）表计、数显等直流配电柜智能仪表是否正常工作，测量数值是否准确；</w:t>
            </w:r>
          </w:p>
          <w:p w14:paraId="1D100FAA">
            <w:pPr>
              <w:rPr>
                <w:rFonts w:hint="eastAsia" w:ascii="宋体" w:hAnsi="宋体" w:cs="宋体"/>
                <w:sz w:val="18"/>
                <w:szCs w:val="18"/>
              </w:rPr>
            </w:pPr>
            <w:r>
              <w:rPr>
                <w:rFonts w:hint="eastAsia" w:ascii="宋体" w:hAnsi="宋体" w:cs="宋体"/>
                <w:sz w:val="18"/>
                <w:szCs w:val="18"/>
              </w:rPr>
              <w:t>（5）检查低压电气发热物体散热是否良好；</w:t>
            </w:r>
          </w:p>
          <w:p w14:paraId="0C35AF86">
            <w:pPr>
              <w:rPr>
                <w:rFonts w:hint="eastAsia" w:ascii="宋体" w:hAnsi="宋体" w:cs="宋体"/>
                <w:sz w:val="18"/>
                <w:szCs w:val="18"/>
              </w:rPr>
            </w:pPr>
            <w:r>
              <w:rPr>
                <w:rFonts w:hint="eastAsia" w:ascii="宋体" w:hAnsi="宋体" w:cs="宋体"/>
                <w:sz w:val="18"/>
                <w:szCs w:val="18"/>
              </w:rPr>
              <w:t>（6）检查配电柜接地线连接是否牢靠,检查是否存在断裂、脱落、松动现象；</w:t>
            </w:r>
          </w:p>
          <w:p w14:paraId="029B5517">
            <w:pPr>
              <w:rPr>
                <w:rFonts w:hint="eastAsia" w:ascii="宋体" w:hAnsi="宋体" w:cs="宋体"/>
                <w:sz w:val="18"/>
                <w:szCs w:val="18"/>
              </w:rPr>
            </w:pPr>
            <w:r>
              <w:rPr>
                <w:rFonts w:hint="eastAsia" w:ascii="宋体" w:hAnsi="宋体" w:cs="宋体"/>
                <w:sz w:val="18"/>
                <w:szCs w:val="18"/>
              </w:rPr>
              <w:t>（7）用红外测温仪检测各个接线端子是否存在虚接高温现象；</w:t>
            </w:r>
          </w:p>
          <w:p w14:paraId="1C1C09AE">
            <w:pPr>
              <w:rPr>
                <w:rFonts w:hint="eastAsia" w:ascii="宋体" w:hAnsi="宋体" w:cs="宋体"/>
                <w:sz w:val="18"/>
                <w:szCs w:val="18"/>
              </w:rPr>
            </w:pPr>
            <w:r>
              <w:rPr>
                <w:rFonts w:hint="eastAsia" w:ascii="宋体" w:hAnsi="宋体" w:cs="宋体"/>
                <w:sz w:val="18"/>
                <w:szCs w:val="18"/>
              </w:rPr>
              <w:t>（8）断路器表面应清洁,无污渍、变形；灭弧室绝缘外壳应无损伤、划痕；操作手柄应无损伤、放电痕迹,表面应光洁、无污渍；</w:t>
            </w:r>
          </w:p>
          <w:p w14:paraId="7AAC2623">
            <w:pPr>
              <w:rPr>
                <w:rFonts w:hint="eastAsia" w:ascii="宋体" w:hAnsi="宋体" w:cs="宋体"/>
                <w:sz w:val="18"/>
                <w:szCs w:val="18"/>
              </w:rPr>
            </w:pPr>
            <w:r>
              <w:rPr>
                <w:rFonts w:hint="eastAsia" w:ascii="宋体" w:hAnsi="宋体" w:cs="宋体"/>
                <w:sz w:val="18"/>
                <w:szCs w:val="18"/>
              </w:rPr>
              <w:t>（9）检查内部其他元器件是否正常工作；</w:t>
            </w:r>
          </w:p>
          <w:p w14:paraId="393FF9F6">
            <w:pPr>
              <w:rPr>
                <w:rFonts w:hint="eastAsia" w:ascii="宋体" w:hAnsi="宋体" w:cs="宋体"/>
                <w:sz w:val="18"/>
                <w:szCs w:val="18"/>
              </w:rPr>
            </w:pPr>
            <w:r>
              <w:rPr>
                <w:rFonts w:hint="eastAsia" w:ascii="宋体" w:hAnsi="宋体" w:cs="宋体"/>
                <w:sz w:val="18"/>
                <w:szCs w:val="18"/>
              </w:rPr>
              <w:t>（10）检查直流配电柜进线直流电缆外绝缘是否良好，是否存在绝缘老化、破损现象。</w:t>
            </w:r>
          </w:p>
        </w:tc>
        <w:tc>
          <w:tcPr>
            <w:tcW w:w="1180" w:type="dxa"/>
            <w:vAlign w:val="center"/>
          </w:tcPr>
          <w:p w14:paraId="666525E9">
            <w:pPr>
              <w:jc w:val="center"/>
              <w:rPr>
                <w:rFonts w:hint="eastAsia" w:ascii="宋体" w:hAnsi="宋体" w:cs="宋体"/>
                <w:sz w:val="18"/>
                <w:szCs w:val="18"/>
              </w:rPr>
            </w:pPr>
            <w:bookmarkStart w:id="127" w:name="_Toc99"/>
            <w:bookmarkStart w:id="128" w:name="_Toc2717"/>
            <w:bookmarkStart w:id="129" w:name="_Toc148520808"/>
            <w:r>
              <w:rPr>
                <w:rFonts w:hint="eastAsia" w:ascii="宋体" w:hAnsi="宋体" w:cs="宋体"/>
                <w:sz w:val="18"/>
                <w:szCs w:val="18"/>
              </w:rPr>
              <w:t>12个月</w:t>
            </w:r>
            <w:bookmarkEnd w:id="127"/>
            <w:bookmarkEnd w:id="128"/>
            <w:bookmarkEnd w:id="129"/>
          </w:p>
        </w:tc>
      </w:tr>
      <w:tr w14:paraId="39D2C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3" w:hRule="atLeast"/>
          <w:jc w:val="center"/>
        </w:trPr>
        <w:tc>
          <w:tcPr>
            <w:tcW w:w="616" w:type="dxa"/>
            <w:vAlign w:val="center"/>
          </w:tcPr>
          <w:p w14:paraId="4257A4AC">
            <w:pPr>
              <w:jc w:val="center"/>
              <w:rPr>
                <w:rFonts w:hint="eastAsia" w:ascii="宋体" w:hAnsi="宋体" w:cs="宋体"/>
                <w:sz w:val="18"/>
                <w:szCs w:val="18"/>
              </w:rPr>
            </w:pPr>
            <w:r>
              <w:rPr>
                <w:rFonts w:hint="eastAsia" w:ascii="宋体" w:hAnsi="宋体" w:cs="宋体"/>
                <w:sz w:val="18"/>
                <w:szCs w:val="18"/>
              </w:rPr>
              <w:t>5</w:t>
            </w:r>
          </w:p>
        </w:tc>
        <w:tc>
          <w:tcPr>
            <w:tcW w:w="1134" w:type="dxa"/>
            <w:vAlign w:val="center"/>
          </w:tcPr>
          <w:p w14:paraId="37552F9B">
            <w:pPr>
              <w:jc w:val="center"/>
              <w:rPr>
                <w:rFonts w:hint="eastAsia" w:ascii="宋体" w:hAnsi="宋体" w:cs="宋体"/>
                <w:sz w:val="18"/>
                <w:szCs w:val="18"/>
              </w:rPr>
            </w:pPr>
            <w:bookmarkStart w:id="130" w:name="_Toc148520809"/>
            <w:r>
              <w:rPr>
                <w:rFonts w:hint="eastAsia" w:ascii="宋体" w:hAnsi="宋体" w:cs="宋体"/>
                <w:sz w:val="18"/>
                <w:szCs w:val="18"/>
              </w:rPr>
              <w:t>交流配电柜</w:t>
            </w:r>
            <w:bookmarkEnd w:id="130"/>
          </w:p>
        </w:tc>
        <w:tc>
          <w:tcPr>
            <w:tcW w:w="6412" w:type="dxa"/>
            <w:vAlign w:val="center"/>
          </w:tcPr>
          <w:p w14:paraId="5A100DF8">
            <w:pPr>
              <w:rPr>
                <w:rFonts w:hint="eastAsia" w:ascii="宋体" w:hAnsi="宋体" w:cs="宋体"/>
                <w:sz w:val="18"/>
                <w:szCs w:val="18"/>
              </w:rPr>
            </w:pPr>
            <w:r>
              <w:rPr>
                <w:rFonts w:hint="eastAsia" w:ascii="宋体" w:hAnsi="宋体" w:cs="宋体"/>
                <w:sz w:val="18"/>
                <w:szCs w:val="18"/>
              </w:rPr>
              <w:t>（1）检查交流配电柜有无影响使用的变形、锈蚀、漏水、积灰，箱体外表面的安全警示标示是否完整无破损；</w:t>
            </w:r>
          </w:p>
          <w:p w14:paraId="34F4D9EE">
            <w:pPr>
              <w:rPr>
                <w:rFonts w:hint="eastAsia" w:ascii="宋体" w:hAnsi="宋体" w:cs="宋体"/>
                <w:sz w:val="18"/>
                <w:szCs w:val="18"/>
              </w:rPr>
            </w:pPr>
            <w:r>
              <w:rPr>
                <w:rFonts w:hint="eastAsia" w:ascii="宋体" w:hAnsi="宋体" w:cs="宋体"/>
                <w:sz w:val="18"/>
                <w:szCs w:val="18"/>
              </w:rPr>
              <w:t>（2）交流断路器动作是否灵活，性能是否稳定可靠；</w:t>
            </w:r>
          </w:p>
          <w:p w14:paraId="30595C73">
            <w:pPr>
              <w:rPr>
                <w:rFonts w:hint="eastAsia" w:ascii="宋体" w:hAnsi="宋体" w:cs="宋体"/>
                <w:sz w:val="18"/>
                <w:szCs w:val="18"/>
              </w:rPr>
            </w:pPr>
            <w:r>
              <w:rPr>
                <w:rFonts w:hint="eastAsia" w:ascii="宋体" w:hAnsi="宋体" w:cs="宋体"/>
                <w:sz w:val="18"/>
                <w:szCs w:val="18"/>
              </w:rPr>
              <w:t>（3）检查低压电器发热物件散热是否良好；</w:t>
            </w:r>
          </w:p>
          <w:p w14:paraId="6F3C6B36">
            <w:pPr>
              <w:rPr>
                <w:rFonts w:hint="eastAsia" w:ascii="宋体" w:hAnsi="宋体" w:cs="宋体"/>
                <w:sz w:val="18"/>
                <w:szCs w:val="18"/>
              </w:rPr>
            </w:pPr>
            <w:r>
              <w:rPr>
                <w:rFonts w:hint="eastAsia" w:ascii="宋体" w:hAnsi="宋体" w:cs="宋体"/>
                <w:sz w:val="18"/>
                <w:szCs w:val="18"/>
              </w:rPr>
              <w:t>（4）检查配电柜各个接线端子是否存在松动、锈蚀；</w:t>
            </w:r>
          </w:p>
          <w:p w14:paraId="7BE9E2BC">
            <w:pPr>
              <w:rPr>
                <w:rFonts w:hint="eastAsia" w:ascii="宋体" w:hAnsi="宋体" w:cs="宋体"/>
                <w:sz w:val="18"/>
                <w:szCs w:val="18"/>
              </w:rPr>
            </w:pPr>
            <w:r>
              <w:rPr>
                <w:rFonts w:hint="eastAsia" w:ascii="宋体" w:hAnsi="宋体" w:cs="宋体"/>
                <w:sz w:val="18"/>
                <w:szCs w:val="18"/>
              </w:rPr>
              <w:t>（5）检查配电柜接地线连接是否牢靠,检查是否存在断裂、脱落、松动现象；</w:t>
            </w:r>
          </w:p>
          <w:p w14:paraId="56AC4AB2">
            <w:pPr>
              <w:rPr>
                <w:rFonts w:hint="eastAsia" w:ascii="宋体" w:hAnsi="宋体" w:cs="宋体"/>
                <w:sz w:val="18"/>
                <w:szCs w:val="18"/>
              </w:rPr>
            </w:pPr>
            <w:r>
              <w:rPr>
                <w:rFonts w:hint="eastAsia" w:ascii="宋体" w:hAnsi="宋体" w:cs="宋体"/>
                <w:sz w:val="18"/>
                <w:szCs w:val="18"/>
              </w:rPr>
              <w:t>（6）用红外测温仪检测各个接线端子是否存在虚接高温现象；</w:t>
            </w:r>
          </w:p>
          <w:p w14:paraId="2ABA6702">
            <w:pPr>
              <w:rPr>
                <w:rFonts w:hint="eastAsia" w:ascii="宋体" w:hAnsi="宋体" w:cs="宋体"/>
                <w:sz w:val="18"/>
                <w:szCs w:val="18"/>
              </w:rPr>
            </w:pPr>
            <w:r>
              <w:rPr>
                <w:rFonts w:hint="eastAsia" w:ascii="宋体" w:hAnsi="宋体" w:cs="宋体"/>
                <w:sz w:val="18"/>
                <w:szCs w:val="18"/>
              </w:rPr>
              <w:t>（7）断路器表面应清洁,无污渍、变形；灭弧室绝缘外壳应无损伤、划痕；操作手柄应无损伤、放电痕迹,表面应光洁、无污渍；</w:t>
            </w:r>
          </w:p>
          <w:p w14:paraId="4C0E711F">
            <w:pPr>
              <w:rPr>
                <w:rFonts w:hint="eastAsia" w:ascii="宋体" w:hAnsi="宋体" w:cs="宋体"/>
                <w:sz w:val="18"/>
                <w:szCs w:val="18"/>
              </w:rPr>
            </w:pPr>
            <w:r>
              <w:rPr>
                <w:rFonts w:hint="eastAsia" w:ascii="宋体" w:hAnsi="宋体" w:cs="宋体"/>
                <w:sz w:val="18"/>
                <w:szCs w:val="18"/>
              </w:rPr>
              <w:t>（8）检查内部其他元器件是否正常工作。</w:t>
            </w:r>
          </w:p>
        </w:tc>
        <w:tc>
          <w:tcPr>
            <w:tcW w:w="1180" w:type="dxa"/>
            <w:vAlign w:val="center"/>
          </w:tcPr>
          <w:p w14:paraId="61169158">
            <w:pPr>
              <w:jc w:val="center"/>
              <w:rPr>
                <w:rFonts w:hint="eastAsia" w:ascii="宋体" w:hAnsi="宋体" w:cs="宋体"/>
                <w:sz w:val="18"/>
                <w:szCs w:val="18"/>
              </w:rPr>
            </w:pPr>
            <w:bookmarkStart w:id="131" w:name="_Toc11403"/>
            <w:bookmarkStart w:id="132" w:name="_Toc19010"/>
            <w:bookmarkStart w:id="133" w:name="_Toc148520810"/>
            <w:r>
              <w:rPr>
                <w:rFonts w:hint="eastAsia" w:ascii="宋体" w:hAnsi="宋体" w:cs="宋体"/>
                <w:sz w:val="18"/>
                <w:szCs w:val="18"/>
              </w:rPr>
              <w:t>12个月</w:t>
            </w:r>
            <w:bookmarkEnd w:id="131"/>
            <w:bookmarkEnd w:id="132"/>
            <w:bookmarkEnd w:id="133"/>
          </w:p>
        </w:tc>
      </w:tr>
      <w:tr w14:paraId="220D4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616" w:type="dxa"/>
            <w:vAlign w:val="center"/>
          </w:tcPr>
          <w:p w14:paraId="669EB3A2">
            <w:pPr>
              <w:jc w:val="center"/>
              <w:rPr>
                <w:rFonts w:hint="eastAsia" w:ascii="宋体" w:hAnsi="宋体" w:cs="宋体"/>
                <w:sz w:val="18"/>
                <w:szCs w:val="18"/>
              </w:rPr>
            </w:pPr>
            <w:r>
              <w:rPr>
                <w:rFonts w:hint="eastAsia" w:ascii="宋体" w:hAnsi="宋体" w:cs="宋体"/>
                <w:sz w:val="18"/>
                <w:szCs w:val="18"/>
              </w:rPr>
              <w:t>6</w:t>
            </w:r>
          </w:p>
        </w:tc>
        <w:tc>
          <w:tcPr>
            <w:tcW w:w="1134" w:type="dxa"/>
            <w:vAlign w:val="center"/>
          </w:tcPr>
          <w:p w14:paraId="715E364D">
            <w:pPr>
              <w:jc w:val="center"/>
              <w:rPr>
                <w:rFonts w:hint="eastAsia" w:ascii="宋体" w:hAnsi="宋体" w:cs="宋体"/>
                <w:sz w:val="18"/>
                <w:szCs w:val="18"/>
              </w:rPr>
            </w:pPr>
            <w:bookmarkStart w:id="134" w:name="_Toc148520811"/>
            <w:r>
              <w:rPr>
                <w:rFonts w:hint="eastAsia" w:ascii="宋体" w:hAnsi="宋体" w:cs="宋体"/>
                <w:sz w:val="18"/>
                <w:szCs w:val="18"/>
              </w:rPr>
              <w:t>逆变器</w:t>
            </w:r>
            <w:bookmarkEnd w:id="134"/>
          </w:p>
        </w:tc>
        <w:tc>
          <w:tcPr>
            <w:tcW w:w="6412" w:type="dxa"/>
            <w:vAlign w:val="center"/>
          </w:tcPr>
          <w:p w14:paraId="465609C1">
            <w:pPr>
              <w:rPr>
                <w:rFonts w:hint="eastAsia" w:ascii="宋体" w:hAnsi="宋体" w:cs="宋体"/>
                <w:sz w:val="18"/>
                <w:szCs w:val="18"/>
              </w:rPr>
            </w:pPr>
            <w:r>
              <w:rPr>
                <w:rFonts w:hint="eastAsia" w:ascii="宋体" w:hAnsi="宋体" w:cs="宋体"/>
                <w:sz w:val="18"/>
                <w:szCs w:val="18"/>
              </w:rPr>
              <w:t>（1）风冷系统的散热风扇声音是否正常，柜内是否有污迹，滤网是否清洁；</w:t>
            </w:r>
            <w:r>
              <w:rPr>
                <w:rFonts w:hint="eastAsia" w:ascii="宋体" w:hAnsi="宋体" w:cs="宋体"/>
                <w:sz w:val="18"/>
                <w:szCs w:val="18"/>
              </w:rPr>
              <w:br w:type="textWrapping"/>
            </w:r>
            <w:r>
              <w:rPr>
                <w:rFonts w:hint="eastAsia" w:ascii="宋体" w:hAnsi="宋体" w:cs="宋体"/>
                <w:sz w:val="18"/>
                <w:szCs w:val="18"/>
              </w:rPr>
              <w:t>（2）柜体固定是否牢靠，是否存在油漆剥落、锈蚀及裂痕等现象；</w:t>
            </w:r>
            <w:r>
              <w:rPr>
                <w:rFonts w:hint="eastAsia" w:ascii="宋体" w:hAnsi="宋体" w:cs="宋体"/>
                <w:sz w:val="18"/>
                <w:szCs w:val="18"/>
              </w:rPr>
              <w:br w:type="textWrapping"/>
            </w:r>
            <w:r>
              <w:rPr>
                <w:rFonts w:hint="eastAsia" w:ascii="宋体" w:hAnsi="宋体" w:cs="宋体"/>
                <w:sz w:val="18"/>
                <w:szCs w:val="18"/>
              </w:rPr>
              <w:t>（3）逆变器线缆及连接处是否发热异常,有无烧伤痕迹,有无断股、破损、变色等情况；</w:t>
            </w:r>
            <w:r>
              <w:rPr>
                <w:rFonts w:hint="eastAsia" w:ascii="宋体" w:hAnsi="宋体" w:cs="宋体"/>
                <w:sz w:val="18"/>
                <w:szCs w:val="18"/>
              </w:rPr>
              <w:br w:type="textWrapping"/>
            </w:r>
            <w:r>
              <w:rPr>
                <w:rFonts w:hint="eastAsia" w:ascii="宋体" w:hAnsi="宋体" w:cs="宋体"/>
                <w:sz w:val="18"/>
                <w:szCs w:val="18"/>
              </w:rPr>
              <w:t>（4）螺栓是否松动，连接件损坏、裂纹现象；</w:t>
            </w:r>
            <w:r>
              <w:rPr>
                <w:rFonts w:hint="eastAsia" w:ascii="宋体" w:hAnsi="宋体" w:cs="宋体"/>
                <w:sz w:val="18"/>
                <w:szCs w:val="18"/>
              </w:rPr>
              <w:br w:type="textWrapping"/>
            </w:r>
            <w:r>
              <w:rPr>
                <w:rFonts w:hint="eastAsia" w:ascii="宋体" w:hAnsi="宋体" w:cs="宋体"/>
                <w:sz w:val="18"/>
                <w:szCs w:val="18"/>
              </w:rPr>
              <w:t>（5）机柜面板是否平整，文字、符号、标牌标志是否清晰、正确；</w:t>
            </w:r>
            <w:r>
              <w:rPr>
                <w:rFonts w:hint="eastAsia" w:ascii="宋体" w:hAnsi="宋体" w:cs="宋体"/>
                <w:sz w:val="18"/>
                <w:szCs w:val="18"/>
              </w:rPr>
              <w:br w:type="textWrapping"/>
            </w:r>
            <w:r>
              <w:rPr>
                <w:rFonts w:hint="eastAsia" w:ascii="宋体" w:hAnsi="宋体" w:cs="宋体"/>
                <w:sz w:val="18"/>
                <w:szCs w:val="18"/>
              </w:rPr>
              <w:t>（6）传感器固定是否牢固；</w:t>
            </w:r>
            <w:r>
              <w:rPr>
                <w:rFonts w:hint="eastAsia" w:ascii="宋体" w:hAnsi="宋体" w:cs="宋体"/>
                <w:sz w:val="18"/>
                <w:szCs w:val="18"/>
              </w:rPr>
              <w:br w:type="textWrapping"/>
            </w:r>
            <w:r>
              <w:rPr>
                <w:rFonts w:hint="eastAsia" w:ascii="宋体" w:hAnsi="宋体" w:cs="宋体"/>
                <w:sz w:val="18"/>
                <w:szCs w:val="18"/>
              </w:rPr>
              <w:t>（7）逆变器发热物件散热是否良好，控制面板、信号回路的信号灯、按钮等动作和信号是否准确；</w:t>
            </w:r>
            <w:r>
              <w:rPr>
                <w:rFonts w:hint="eastAsia" w:ascii="宋体" w:hAnsi="宋体" w:cs="宋体"/>
                <w:sz w:val="18"/>
                <w:szCs w:val="18"/>
              </w:rPr>
              <w:br w:type="textWrapping"/>
            </w:r>
            <w:r>
              <w:rPr>
                <w:rFonts w:hint="eastAsia" w:ascii="宋体" w:hAnsi="宋体" w:cs="宋体"/>
                <w:sz w:val="18"/>
                <w:szCs w:val="18"/>
              </w:rPr>
              <w:t>（8）逆变器运行过程中是否存在异常振动，或异常的声音及气味；</w:t>
            </w:r>
            <w:r>
              <w:rPr>
                <w:rFonts w:hint="eastAsia" w:ascii="宋体" w:hAnsi="宋体" w:cs="宋体"/>
                <w:sz w:val="18"/>
                <w:szCs w:val="18"/>
              </w:rPr>
              <w:br w:type="textWrapping"/>
            </w:r>
            <w:r>
              <w:rPr>
                <w:rFonts w:hint="eastAsia" w:ascii="宋体" w:hAnsi="宋体" w:cs="宋体"/>
                <w:sz w:val="18"/>
                <w:szCs w:val="18"/>
              </w:rPr>
              <w:t>（9）逆变器状态指示灯是否正常,显示屏功能是否正常；</w:t>
            </w:r>
            <w:r>
              <w:rPr>
                <w:rFonts w:hint="eastAsia" w:ascii="宋体" w:hAnsi="宋体" w:cs="宋体"/>
                <w:sz w:val="18"/>
                <w:szCs w:val="18"/>
              </w:rPr>
              <w:br w:type="textWrapping"/>
            </w:r>
            <w:r>
              <w:rPr>
                <w:rFonts w:hint="eastAsia" w:ascii="宋体" w:hAnsi="宋体" w:cs="宋体"/>
                <w:sz w:val="18"/>
                <w:szCs w:val="18"/>
              </w:rPr>
              <w:t>（10）逆变器保护接地线、接地装置是否完好,标识是否完整、清晰；</w:t>
            </w:r>
            <w:r>
              <w:rPr>
                <w:rFonts w:hint="eastAsia" w:ascii="宋体" w:hAnsi="宋体" w:cs="宋体"/>
                <w:sz w:val="18"/>
                <w:szCs w:val="18"/>
              </w:rPr>
              <w:br w:type="textWrapping"/>
            </w:r>
            <w:r>
              <w:rPr>
                <w:rFonts w:hint="eastAsia" w:ascii="宋体" w:hAnsi="宋体" w:cs="宋体"/>
                <w:sz w:val="18"/>
                <w:szCs w:val="18"/>
              </w:rPr>
              <w:t>（11）逆变器工作状态是否正常,实时运行数据是否正确；</w:t>
            </w:r>
            <w:r>
              <w:rPr>
                <w:rFonts w:hint="eastAsia" w:ascii="宋体" w:hAnsi="宋体" w:cs="宋体"/>
                <w:sz w:val="18"/>
                <w:szCs w:val="18"/>
              </w:rPr>
              <w:br w:type="textWrapping"/>
            </w:r>
            <w:r>
              <w:rPr>
                <w:rFonts w:hint="eastAsia" w:ascii="宋体" w:hAnsi="宋体" w:cs="宋体"/>
                <w:sz w:val="18"/>
                <w:szCs w:val="18"/>
              </w:rPr>
              <w:t>（12）检查电路板以及元器件的清洁，检查灰尘情况，及时清理。</w:t>
            </w:r>
          </w:p>
        </w:tc>
        <w:tc>
          <w:tcPr>
            <w:tcW w:w="1180" w:type="dxa"/>
            <w:vAlign w:val="center"/>
          </w:tcPr>
          <w:p w14:paraId="6DC10C99">
            <w:pPr>
              <w:jc w:val="center"/>
              <w:rPr>
                <w:rFonts w:hint="eastAsia" w:ascii="宋体" w:hAnsi="宋体" w:cs="宋体"/>
                <w:sz w:val="18"/>
                <w:szCs w:val="18"/>
              </w:rPr>
            </w:pPr>
            <w:r>
              <w:rPr>
                <w:rFonts w:hint="eastAsia" w:ascii="宋体" w:hAnsi="宋体" w:cs="宋体"/>
                <w:sz w:val="18"/>
                <w:szCs w:val="18"/>
              </w:rPr>
              <w:t>6个月</w:t>
            </w:r>
          </w:p>
        </w:tc>
      </w:tr>
      <w:tr w14:paraId="4DACB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16" w:type="dxa"/>
            <w:vAlign w:val="center"/>
          </w:tcPr>
          <w:p w14:paraId="7195640B">
            <w:pPr>
              <w:jc w:val="center"/>
              <w:rPr>
                <w:rFonts w:hint="eastAsia" w:ascii="宋体" w:hAnsi="宋体" w:cs="宋体"/>
                <w:sz w:val="18"/>
                <w:szCs w:val="18"/>
              </w:rPr>
            </w:pPr>
            <w:r>
              <w:rPr>
                <w:rFonts w:hint="eastAsia" w:ascii="宋体" w:hAnsi="宋体" w:cs="宋体"/>
                <w:sz w:val="18"/>
                <w:szCs w:val="18"/>
              </w:rPr>
              <w:t>7</w:t>
            </w:r>
          </w:p>
        </w:tc>
        <w:tc>
          <w:tcPr>
            <w:tcW w:w="1134" w:type="dxa"/>
            <w:vAlign w:val="center"/>
          </w:tcPr>
          <w:p w14:paraId="0B2BF6D5">
            <w:pPr>
              <w:jc w:val="center"/>
              <w:rPr>
                <w:rFonts w:hint="eastAsia" w:ascii="宋体" w:hAnsi="宋体" w:cs="宋体"/>
                <w:sz w:val="18"/>
                <w:szCs w:val="18"/>
              </w:rPr>
            </w:pPr>
            <w:bookmarkStart w:id="135" w:name="_Toc148520812"/>
            <w:r>
              <w:rPr>
                <w:rFonts w:hint="eastAsia" w:ascii="宋体" w:hAnsi="宋体" w:cs="宋体"/>
                <w:sz w:val="18"/>
                <w:szCs w:val="18"/>
              </w:rPr>
              <w:t>逆变器小室</w:t>
            </w:r>
            <w:bookmarkEnd w:id="135"/>
          </w:p>
        </w:tc>
        <w:tc>
          <w:tcPr>
            <w:tcW w:w="6412" w:type="dxa"/>
            <w:vAlign w:val="center"/>
          </w:tcPr>
          <w:p w14:paraId="30A8EE2C">
            <w:pPr>
              <w:rPr>
                <w:rFonts w:hint="eastAsia" w:ascii="宋体" w:hAnsi="宋体" w:cs="宋体"/>
                <w:sz w:val="18"/>
                <w:szCs w:val="18"/>
              </w:rPr>
            </w:pPr>
            <w:r>
              <w:rPr>
                <w:rFonts w:hint="eastAsia" w:ascii="宋体" w:hAnsi="宋体" w:cs="宋体"/>
                <w:sz w:val="18"/>
                <w:szCs w:val="18"/>
              </w:rPr>
              <w:t>打扫逆变器小室内卫生，开展室内除尘。</w:t>
            </w:r>
          </w:p>
        </w:tc>
        <w:tc>
          <w:tcPr>
            <w:tcW w:w="1180" w:type="dxa"/>
            <w:vAlign w:val="center"/>
          </w:tcPr>
          <w:p w14:paraId="5BC5C894">
            <w:pPr>
              <w:jc w:val="center"/>
              <w:rPr>
                <w:rFonts w:hint="eastAsia" w:ascii="宋体" w:hAnsi="宋体" w:cs="宋体"/>
                <w:sz w:val="18"/>
                <w:szCs w:val="18"/>
              </w:rPr>
            </w:pPr>
            <w:r>
              <w:rPr>
                <w:rFonts w:hint="eastAsia" w:ascii="宋体" w:hAnsi="宋体" w:cs="宋体"/>
                <w:sz w:val="18"/>
                <w:szCs w:val="18"/>
              </w:rPr>
              <w:t>2个月</w:t>
            </w:r>
          </w:p>
        </w:tc>
      </w:tr>
    </w:tbl>
    <w:p w14:paraId="7518DC22">
      <w:pPr>
        <w:rPr>
          <w:rFonts w:ascii="宋体"/>
          <w:szCs w:val="20"/>
          <w:lang w:bidi="en-US"/>
        </w:rPr>
      </w:pPr>
      <w:r>
        <w:rPr>
          <w:rFonts w:hint="eastAsia" w:ascii="宋体"/>
          <w:szCs w:val="20"/>
          <w:lang w:bidi="en-US"/>
        </w:rPr>
        <w:br w:type="page"/>
      </w:r>
    </w:p>
    <w:p w14:paraId="55C1F62B">
      <w:pPr>
        <w:pStyle w:val="88"/>
        <w:numPr>
          <w:ilvl w:val="0"/>
          <w:numId w:val="0"/>
        </w:numPr>
        <w:spacing w:before="312" w:after="312"/>
        <w:outlineLvl w:val="0"/>
      </w:pPr>
      <w:bookmarkStart w:id="136" w:name="_Toc23827"/>
      <w:bookmarkStart w:id="137" w:name="_Toc148531848"/>
      <w:r>
        <w:rPr>
          <w:rFonts w:hint="eastAsia"/>
        </w:rPr>
        <w:t>附录B（</w:t>
      </w:r>
      <w:r>
        <w:rPr>
          <w:rFonts w:hint="eastAsia"/>
          <w:lang w:val="en-US" w:eastAsia="zh-CN"/>
        </w:rPr>
        <w:t>资料</w:t>
      </w:r>
      <w:r>
        <w:rPr>
          <w:rFonts w:hint="eastAsia"/>
        </w:rPr>
        <w:t>性） 光伏发电单元故障检修项目及要求</w:t>
      </w:r>
      <w:bookmarkEnd w:id="136"/>
      <w:bookmarkEnd w:id="137"/>
    </w:p>
    <w:p w14:paraId="0D0DA62B">
      <w:pPr>
        <w:pStyle w:val="25"/>
        <w:spacing w:before="156" w:beforeLines="50" w:after="156" w:afterLines="50"/>
        <w:jc w:val="center"/>
        <w:rPr>
          <w:rFonts w:hint="eastAsia" w:hAnsi="宋体"/>
        </w:rPr>
      </w:pPr>
      <w:r>
        <w:rPr>
          <w:rFonts w:hint="eastAsia" w:ascii="黑体" w:hAnsi="黑体" w:eastAsia="黑体" w:cs="黑体"/>
        </w:rPr>
        <w:t>表B 光伏发电单元故障检修项目及要求</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4"/>
        <w:gridCol w:w="63"/>
        <w:gridCol w:w="497"/>
        <w:gridCol w:w="1630"/>
        <w:gridCol w:w="2070"/>
        <w:gridCol w:w="4348"/>
      </w:tblGrid>
      <w:tr w14:paraId="749A8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362" w:type="dxa"/>
            <w:gridSpan w:val="6"/>
            <w:vAlign w:val="center"/>
          </w:tcPr>
          <w:p w14:paraId="5FAC6B3A">
            <w:pPr>
              <w:jc w:val="center"/>
              <w:rPr>
                <w:rFonts w:hint="eastAsia" w:ascii="宋体" w:hAnsi="宋体" w:cs="宋体"/>
                <w:sz w:val="18"/>
                <w:szCs w:val="18"/>
              </w:rPr>
            </w:pPr>
            <w:r>
              <w:rPr>
                <w:rFonts w:hint="eastAsia" w:ascii="宋体" w:hAnsi="宋体" w:cs="宋体"/>
                <w:sz w:val="18"/>
                <w:szCs w:val="18"/>
              </w:rPr>
              <w:t>光伏组件</w:t>
            </w:r>
          </w:p>
        </w:tc>
      </w:tr>
      <w:tr w14:paraId="5DA8C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54" w:type="dxa"/>
            <w:vAlign w:val="center"/>
          </w:tcPr>
          <w:p w14:paraId="66F9F1FB">
            <w:pPr>
              <w:jc w:val="center"/>
              <w:rPr>
                <w:rFonts w:hint="eastAsia" w:ascii="宋体" w:hAnsi="宋体" w:cs="宋体"/>
                <w:sz w:val="18"/>
                <w:szCs w:val="18"/>
              </w:rPr>
            </w:pPr>
            <w:bookmarkStart w:id="138" w:name="_Toc148520814"/>
            <w:r>
              <w:rPr>
                <w:rFonts w:hint="eastAsia" w:ascii="宋体" w:hAnsi="宋体" w:cs="宋体"/>
                <w:sz w:val="18"/>
                <w:szCs w:val="18"/>
              </w:rPr>
              <w:t>序号</w:t>
            </w:r>
            <w:bookmarkEnd w:id="138"/>
          </w:p>
        </w:tc>
        <w:tc>
          <w:tcPr>
            <w:tcW w:w="2190" w:type="dxa"/>
            <w:gridSpan w:val="3"/>
            <w:vAlign w:val="center"/>
          </w:tcPr>
          <w:p w14:paraId="1DC51DCD">
            <w:pPr>
              <w:jc w:val="center"/>
              <w:rPr>
                <w:rFonts w:hint="eastAsia" w:ascii="宋体" w:hAnsi="宋体" w:cs="宋体"/>
                <w:sz w:val="18"/>
                <w:szCs w:val="18"/>
              </w:rPr>
            </w:pPr>
            <w:bookmarkStart w:id="139" w:name="_Toc148520815"/>
            <w:r>
              <w:rPr>
                <w:rFonts w:hint="eastAsia" w:ascii="宋体" w:hAnsi="宋体" w:cs="宋体"/>
                <w:sz w:val="18"/>
                <w:szCs w:val="18"/>
              </w:rPr>
              <w:t>项目</w:t>
            </w:r>
            <w:bookmarkEnd w:id="139"/>
          </w:p>
        </w:tc>
        <w:tc>
          <w:tcPr>
            <w:tcW w:w="2070" w:type="dxa"/>
            <w:vAlign w:val="center"/>
          </w:tcPr>
          <w:p w14:paraId="2E14FF5D">
            <w:pPr>
              <w:jc w:val="center"/>
              <w:rPr>
                <w:rFonts w:hint="eastAsia" w:ascii="宋体" w:hAnsi="宋体" w:cs="宋体"/>
                <w:sz w:val="18"/>
                <w:szCs w:val="18"/>
              </w:rPr>
            </w:pPr>
            <w:bookmarkStart w:id="140" w:name="_Toc148520816"/>
            <w:r>
              <w:rPr>
                <w:rFonts w:hint="eastAsia" w:ascii="宋体" w:hAnsi="宋体" w:cs="宋体"/>
                <w:sz w:val="18"/>
                <w:szCs w:val="18"/>
              </w:rPr>
              <w:t>故障现象</w:t>
            </w:r>
            <w:bookmarkEnd w:id="140"/>
          </w:p>
        </w:tc>
        <w:tc>
          <w:tcPr>
            <w:tcW w:w="4348" w:type="dxa"/>
            <w:vAlign w:val="center"/>
          </w:tcPr>
          <w:p w14:paraId="76956DF8">
            <w:pPr>
              <w:jc w:val="center"/>
              <w:rPr>
                <w:rFonts w:hint="eastAsia" w:ascii="宋体" w:hAnsi="宋体" w:cs="宋体"/>
                <w:sz w:val="18"/>
                <w:szCs w:val="18"/>
              </w:rPr>
            </w:pPr>
            <w:bookmarkStart w:id="141" w:name="_Toc148520817"/>
            <w:r>
              <w:rPr>
                <w:rFonts w:hint="eastAsia" w:ascii="宋体" w:hAnsi="宋体" w:cs="宋体"/>
                <w:sz w:val="18"/>
                <w:szCs w:val="18"/>
              </w:rPr>
              <w:t>故障处理办法</w:t>
            </w:r>
            <w:bookmarkEnd w:id="141"/>
          </w:p>
        </w:tc>
      </w:tr>
      <w:tr w14:paraId="3F422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54" w:type="dxa"/>
            <w:vAlign w:val="center"/>
          </w:tcPr>
          <w:p w14:paraId="2EAC6888">
            <w:pPr>
              <w:jc w:val="center"/>
              <w:rPr>
                <w:rFonts w:hint="eastAsia" w:ascii="宋体" w:hAnsi="宋体" w:cs="宋体"/>
                <w:sz w:val="18"/>
                <w:szCs w:val="18"/>
              </w:rPr>
            </w:pPr>
            <w:bookmarkStart w:id="142" w:name="_Toc148520818"/>
            <w:r>
              <w:rPr>
                <w:rFonts w:hint="eastAsia" w:ascii="宋体" w:hAnsi="宋体" w:cs="宋体"/>
                <w:sz w:val="18"/>
                <w:szCs w:val="18"/>
              </w:rPr>
              <w:t>1</w:t>
            </w:r>
            <w:bookmarkEnd w:id="142"/>
          </w:p>
        </w:tc>
        <w:tc>
          <w:tcPr>
            <w:tcW w:w="2190" w:type="dxa"/>
            <w:gridSpan w:val="3"/>
            <w:vAlign w:val="center"/>
          </w:tcPr>
          <w:p w14:paraId="2732FE60">
            <w:pPr>
              <w:jc w:val="center"/>
              <w:rPr>
                <w:rFonts w:hint="eastAsia" w:ascii="宋体" w:hAnsi="宋体" w:cs="宋体"/>
                <w:sz w:val="18"/>
                <w:szCs w:val="18"/>
              </w:rPr>
            </w:pPr>
            <w:bookmarkStart w:id="143" w:name="_Toc148520819"/>
            <w:r>
              <w:rPr>
                <w:rFonts w:hint="eastAsia" w:ascii="宋体" w:hAnsi="宋体" w:cs="宋体"/>
                <w:sz w:val="18"/>
                <w:szCs w:val="18"/>
              </w:rPr>
              <w:t>漏电故障</w:t>
            </w:r>
            <w:bookmarkEnd w:id="143"/>
          </w:p>
        </w:tc>
        <w:tc>
          <w:tcPr>
            <w:tcW w:w="2070" w:type="dxa"/>
            <w:vAlign w:val="center"/>
          </w:tcPr>
          <w:p w14:paraId="6A5581F6">
            <w:pPr>
              <w:jc w:val="center"/>
              <w:rPr>
                <w:rFonts w:hint="eastAsia" w:ascii="宋体" w:hAnsi="宋体" w:cs="宋体"/>
                <w:sz w:val="18"/>
                <w:szCs w:val="18"/>
              </w:rPr>
            </w:pPr>
            <w:bookmarkStart w:id="144" w:name="_Toc148520820"/>
            <w:r>
              <w:rPr>
                <w:rFonts w:hint="eastAsia" w:ascii="宋体" w:hAnsi="宋体" w:cs="宋体"/>
                <w:sz w:val="18"/>
                <w:szCs w:val="18"/>
              </w:rPr>
              <w:t>光伏组件接地异常</w:t>
            </w:r>
            <w:bookmarkEnd w:id="144"/>
          </w:p>
        </w:tc>
        <w:tc>
          <w:tcPr>
            <w:tcW w:w="4348" w:type="dxa"/>
            <w:vAlign w:val="center"/>
          </w:tcPr>
          <w:p w14:paraId="6D67B971">
            <w:pPr>
              <w:rPr>
                <w:rFonts w:hint="eastAsia" w:ascii="宋体" w:hAnsi="宋体" w:cs="宋体"/>
                <w:sz w:val="18"/>
                <w:szCs w:val="18"/>
              </w:rPr>
            </w:pPr>
            <w:bookmarkStart w:id="145" w:name="_Toc148520821"/>
            <w:r>
              <w:rPr>
                <w:rFonts w:hint="eastAsia" w:ascii="宋体" w:hAnsi="宋体" w:cs="宋体"/>
                <w:sz w:val="18"/>
                <w:szCs w:val="18"/>
              </w:rPr>
              <w:t>依次检查接地线是否松脱、光伏组件或光伏组件连接线是否存在破损。松脱时紧固接地线,有破损应更换光伏组件连接线或光伏组件</w:t>
            </w:r>
            <w:bookmarkEnd w:id="145"/>
          </w:p>
        </w:tc>
      </w:tr>
      <w:tr w14:paraId="38D15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54" w:type="dxa"/>
            <w:vAlign w:val="center"/>
          </w:tcPr>
          <w:p w14:paraId="67D19F38">
            <w:pPr>
              <w:jc w:val="center"/>
              <w:rPr>
                <w:rFonts w:hint="eastAsia" w:ascii="宋体" w:hAnsi="宋体" w:cs="宋体"/>
                <w:sz w:val="18"/>
                <w:szCs w:val="18"/>
              </w:rPr>
            </w:pPr>
            <w:bookmarkStart w:id="146" w:name="_Toc148520822"/>
            <w:r>
              <w:rPr>
                <w:rFonts w:hint="eastAsia" w:ascii="宋体" w:hAnsi="宋体" w:cs="宋体"/>
                <w:sz w:val="18"/>
                <w:szCs w:val="18"/>
              </w:rPr>
              <w:t>2</w:t>
            </w:r>
            <w:bookmarkEnd w:id="146"/>
          </w:p>
        </w:tc>
        <w:tc>
          <w:tcPr>
            <w:tcW w:w="2190" w:type="dxa"/>
            <w:gridSpan w:val="3"/>
            <w:vAlign w:val="center"/>
          </w:tcPr>
          <w:p w14:paraId="6FD61D47">
            <w:pPr>
              <w:jc w:val="center"/>
              <w:rPr>
                <w:rFonts w:hint="eastAsia" w:ascii="宋体" w:hAnsi="宋体" w:cs="宋体"/>
                <w:sz w:val="18"/>
                <w:szCs w:val="18"/>
              </w:rPr>
            </w:pPr>
            <w:bookmarkStart w:id="147" w:name="_Toc148520823"/>
            <w:r>
              <w:rPr>
                <w:rFonts w:hint="eastAsia" w:ascii="宋体" w:hAnsi="宋体" w:cs="宋体"/>
                <w:sz w:val="18"/>
                <w:szCs w:val="18"/>
              </w:rPr>
              <w:t>接线盒故障</w:t>
            </w:r>
            <w:bookmarkEnd w:id="147"/>
          </w:p>
        </w:tc>
        <w:tc>
          <w:tcPr>
            <w:tcW w:w="2070" w:type="dxa"/>
            <w:vAlign w:val="center"/>
          </w:tcPr>
          <w:p w14:paraId="042E2941">
            <w:pPr>
              <w:jc w:val="center"/>
              <w:rPr>
                <w:rFonts w:hint="eastAsia" w:ascii="宋体" w:hAnsi="宋体" w:cs="宋体"/>
                <w:sz w:val="18"/>
                <w:szCs w:val="18"/>
              </w:rPr>
            </w:pPr>
            <w:bookmarkStart w:id="148" w:name="_Toc148520824"/>
            <w:r>
              <w:rPr>
                <w:rFonts w:hint="eastAsia" w:ascii="宋体" w:hAnsi="宋体" w:cs="宋体"/>
                <w:sz w:val="18"/>
                <w:szCs w:val="18"/>
              </w:rPr>
              <w:t>光伏组件输出无电流</w:t>
            </w:r>
            <w:bookmarkEnd w:id="148"/>
          </w:p>
        </w:tc>
        <w:tc>
          <w:tcPr>
            <w:tcW w:w="4348" w:type="dxa"/>
            <w:vAlign w:val="center"/>
          </w:tcPr>
          <w:p w14:paraId="79F14AD9">
            <w:pPr>
              <w:rPr>
                <w:rFonts w:hint="eastAsia" w:ascii="宋体" w:hAnsi="宋体" w:cs="宋体"/>
                <w:sz w:val="18"/>
                <w:szCs w:val="18"/>
              </w:rPr>
            </w:pPr>
            <w:bookmarkStart w:id="149" w:name="_Toc148520825"/>
            <w:r>
              <w:rPr>
                <w:rFonts w:hint="eastAsia" w:ascii="宋体" w:hAnsi="宋体" w:cs="宋体"/>
                <w:sz w:val="18"/>
                <w:szCs w:val="18"/>
              </w:rPr>
              <w:t>检查接线盒是否有烧毁、变形、开裂等外观缺陷及电气故障。对接线盒进行修复;不能修复时要求更换光伏组件</w:t>
            </w:r>
            <w:bookmarkEnd w:id="149"/>
          </w:p>
        </w:tc>
      </w:tr>
      <w:tr w14:paraId="1A218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54" w:type="dxa"/>
            <w:vAlign w:val="center"/>
          </w:tcPr>
          <w:p w14:paraId="51C71455">
            <w:pPr>
              <w:jc w:val="center"/>
              <w:rPr>
                <w:rFonts w:hint="eastAsia" w:ascii="宋体" w:hAnsi="宋体" w:cs="宋体"/>
                <w:sz w:val="18"/>
                <w:szCs w:val="18"/>
              </w:rPr>
            </w:pPr>
            <w:bookmarkStart w:id="150" w:name="_Toc148520826"/>
            <w:r>
              <w:rPr>
                <w:rFonts w:hint="eastAsia" w:ascii="宋体" w:hAnsi="宋体" w:cs="宋体"/>
                <w:sz w:val="18"/>
                <w:szCs w:val="18"/>
              </w:rPr>
              <w:t>3</w:t>
            </w:r>
            <w:bookmarkEnd w:id="150"/>
          </w:p>
        </w:tc>
        <w:tc>
          <w:tcPr>
            <w:tcW w:w="2190" w:type="dxa"/>
            <w:gridSpan w:val="3"/>
            <w:vAlign w:val="center"/>
          </w:tcPr>
          <w:p w14:paraId="5D63E3A2">
            <w:pPr>
              <w:jc w:val="center"/>
              <w:rPr>
                <w:rFonts w:hint="eastAsia" w:ascii="宋体" w:hAnsi="宋体" w:cs="宋体"/>
                <w:sz w:val="18"/>
                <w:szCs w:val="18"/>
              </w:rPr>
            </w:pPr>
            <w:bookmarkStart w:id="151" w:name="_Toc148520827"/>
            <w:r>
              <w:rPr>
                <w:rFonts w:hint="eastAsia" w:ascii="宋体" w:hAnsi="宋体" w:cs="宋体"/>
                <w:sz w:val="18"/>
                <w:szCs w:val="18"/>
              </w:rPr>
              <w:t>断线故障</w:t>
            </w:r>
            <w:bookmarkEnd w:id="151"/>
          </w:p>
        </w:tc>
        <w:tc>
          <w:tcPr>
            <w:tcW w:w="2070" w:type="dxa"/>
            <w:vAlign w:val="center"/>
          </w:tcPr>
          <w:p w14:paraId="5C20A720">
            <w:pPr>
              <w:jc w:val="center"/>
              <w:rPr>
                <w:rFonts w:hint="eastAsia" w:ascii="宋体" w:hAnsi="宋体" w:cs="宋体"/>
                <w:sz w:val="18"/>
                <w:szCs w:val="18"/>
              </w:rPr>
            </w:pPr>
            <w:bookmarkStart w:id="152" w:name="_Toc148520828"/>
            <w:r>
              <w:rPr>
                <w:rFonts w:hint="eastAsia" w:ascii="宋体" w:hAnsi="宋体" w:cs="宋体"/>
                <w:sz w:val="18"/>
                <w:szCs w:val="18"/>
              </w:rPr>
              <w:t>光伏组件输出无电流、电压</w:t>
            </w:r>
            <w:bookmarkEnd w:id="152"/>
          </w:p>
        </w:tc>
        <w:tc>
          <w:tcPr>
            <w:tcW w:w="4348" w:type="dxa"/>
            <w:vAlign w:val="center"/>
          </w:tcPr>
          <w:p w14:paraId="6BB85854">
            <w:pPr>
              <w:rPr>
                <w:rFonts w:hint="eastAsia" w:ascii="宋体" w:hAnsi="宋体" w:cs="宋体"/>
                <w:sz w:val="18"/>
                <w:szCs w:val="18"/>
              </w:rPr>
            </w:pPr>
            <w:bookmarkStart w:id="153" w:name="_Toc148520829"/>
            <w:r>
              <w:rPr>
                <w:rFonts w:hint="eastAsia" w:ascii="宋体" w:hAnsi="宋体" w:cs="宋体"/>
                <w:sz w:val="18"/>
                <w:szCs w:val="18"/>
              </w:rPr>
              <w:t>检查组串所有光伏组件引线及插接头,光伏组件引线断开,宜用一组插接头连接断线处,恢复连接;插接头故障,应更换</w:t>
            </w:r>
            <w:bookmarkEnd w:id="153"/>
          </w:p>
        </w:tc>
      </w:tr>
      <w:tr w14:paraId="6D37A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54" w:type="dxa"/>
            <w:vAlign w:val="center"/>
          </w:tcPr>
          <w:p w14:paraId="139E03E8">
            <w:pPr>
              <w:jc w:val="center"/>
              <w:rPr>
                <w:rFonts w:hint="eastAsia" w:ascii="宋体" w:hAnsi="宋体" w:cs="宋体"/>
                <w:sz w:val="18"/>
                <w:szCs w:val="18"/>
              </w:rPr>
            </w:pPr>
            <w:bookmarkStart w:id="154" w:name="_Toc148520830"/>
            <w:r>
              <w:rPr>
                <w:rFonts w:hint="eastAsia" w:ascii="宋体" w:hAnsi="宋体" w:cs="宋体"/>
                <w:sz w:val="18"/>
                <w:szCs w:val="18"/>
              </w:rPr>
              <w:t>4</w:t>
            </w:r>
            <w:bookmarkEnd w:id="154"/>
          </w:p>
        </w:tc>
        <w:tc>
          <w:tcPr>
            <w:tcW w:w="2190" w:type="dxa"/>
            <w:gridSpan w:val="3"/>
            <w:vAlign w:val="center"/>
          </w:tcPr>
          <w:p w14:paraId="30088B16">
            <w:pPr>
              <w:jc w:val="center"/>
              <w:rPr>
                <w:rFonts w:hint="eastAsia" w:ascii="宋体" w:hAnsi="宋体" w:cs="宋体"/>
                <w:sz w:val="18"/>
                <w:szCs w:val="18"/>
              </w:rPr>
            </w:pPr>
            <w:bookmarkStart w:id="155" w:name="_Toc148520831"/>
            <w:r>
              <w:rPr>
                <w:rFonts w:hint="eastAsia" w:ascii="宋体" w:hAnsi="宋体" w:cs="宋体"/>
                <w:sz w:val="18"/>
                <w:szCs w:val="18"/>
              </w:rPr>
              <w:t>变形、破损故障</w:t>
            </w:r>
            <w:bookmarkEnd w:id="155"/>
          </w:p>
        </w:tc>
        <w:tc>
          <w:tcPr>
            <w:tcW w:w="2070" w:type="dxa"/>
            <w:vAlign w:val="center"/>
          </w:tcPr>
          <w:p w14:paraId="52CCA07C">
            <w:pPr>
              <w:jc w:val="center"/>
              <w:rPr>
                <w:rFonts w:hint="eastAsia" w:ascii="宋体" w:hAnsi="宋体" w:cs="宋体"/>
                <w:sz w:val="18"/>
                <w:szCs w:val="18"/>
              </w:rPr>
            </w:pPr>
            <w:bookmarkStart w:id="156" w:name="_Toc148520832"/>
            <w:r>
              <w:rPr>
                <w:rFonts w:hint="eastAsia" w:ascii="宋体" w:hAnsi="宋体" w:cs="宋体"/>
                <w:sz w:val="18"/>
                <w:szCs w:val="18"/>
              </w:rPr>
              <w:t>光伏组件有变形、碎</w:t>
            </w:r>
            <w:bookmarkEnd w:id="156"/>
          </w:p>
          <w:p w14:paraId="0F35988E">
            <w:pPr>
              <w:jc w:val="center"/>
              <w:rPr>
                <w:rFonts w:hint="eastAsia" w:ascii="宋体" w:hAnsi="宋体" w:cs="宋体"/>
                <w:sz w:val="18"/>
                <w:szCs w:val="18"/>
              </w:rPr>
            </w:pPr>
            <w:bookmarkStart w:id="157" w:name="_Toc148520833"/>
            <w:r>
              <w:rPr>
                <w:rFonts w:hint="eastAsia" w:ascii="宋体" w:hAnsi="宋体" w:cs="宋体"/>
                <w:sz w:val="18"/>
                <w:szCs w:val="18"/>
              </w:rPr>
              <w:t>片、开裂等</w:t>
            </w:r>
            <w:bookmarkEnd w:id="157"/>
          </w:p>
        </w:tc>
        <w:tc>
          <w:tcPr>
            <w:tcW w:w="4348" w:type="dxa"/>
            <w:vAlign w:val="center"/>
          </w:tcPr>
          <w:p w14:paraId="162A3B75">
            <w:pPr>
              <w:rPr>
                <w:rFonts w:hint="eastAsia" w:ascii="宋体" w:hAnsi="宋体" w:cs="宋体"/>
                <w:sz w:val="18"/>
                <w:szCs w:val="18"/>
              </w:rPr>
            </w:pPr>
            <w:r>
              <w:rPr>
                <w:rFonts w:hint="eastAsia" w:ascii="宋体" w:hAnsi="宋体" w:cs="宋体"/>
                <w:sz w:val="18"/>
                <w:szCs w:val="18"/>
              </w:rPr>
              <w:t>检查光伏组件有无变形、破损。变形、破损时应拍照记录并按照 GB/T 18210 测试光伏组件电气性能;影响发电量或安全性,应更换光伏组件</w:t>
            </w:r>
          </w:p>
        </w:tc>
      </w:tr>
      <w:tr w14:paraId="26A4C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jc w:val="center"/>
        </w:trPr>
        <w:tc>
          <w:tcPr>
            <w:tcW w:w="754" w:type="dxa"/>
            <w:vMerge w:val="restart"/>
            <w:vAlign w:val="center"/>
          </w:tcPr>
          <w:p w14:paraId="0C67C832">
            <w:pPr>
              <w:jc w:val="center"/>
              <w:rPr>
                <w:rFonts w:hint="eastAsia" w:ascii="宋体" w:hAnsi="宋体" w:cs="宋体"/>
                <w:sz w:val="18"/>
                <w:szCs w:val="18"/>
              </w:rPr>
            </w:pPr>
            <w:bookmarkStart w:id="158" w:name="_Toc148520835"/>
            <w:r>
              <w:rPr>
                <w:rFonts w:hint="eastAsia" w:ascii="宋体" w:hAnsi="宋体" w:cs="宋体"/>
                <w:sz w:val="18"/>
                <w:szCs w:val="18"/>
              </w:rPr>
              <w:t>5</w:t>
            </w:r>
            <w:bookmarkEnd w:id="158"/>
          </w:p>
        </w:tc>
        <w:tc>
          <w:tcPr>
            <w:tcW w:w="560" w:type="dxa"/>
            <w:gridSpan w:val="2"/>
            <w:vMerge w:val="restart"/>
            <w:vAlign w:val="center"/>
          </w:tcPr>
          <w:p w14:paraId="0477D1B4">
            <w:pPr>
              <w:jc w:val="center"/>
              <w:rPr>
                <w:rFonts w:hint="eastAsia" w:ascii="宋体" w:hAnsi="宋体" w:cs="宋体"/>
                <w:sz w:val="18"/>
                <w:szCs w:val="18"/>
              </w:rPr>
            </w:pPr>
            <w:bookmarkStart w:id="159" w:name="_Toc148520836"/>
            <w:r>
              <w:rPr>
                <w:rFonts w:hint="eastAsia" w:ascii="宋体" w:hAnsi="宋体" w:cs="宋体"/>
                <w:sz w:val="18"/>
                <w:szCs w:val="18"/>
              </w:rPr>
              <w:t>发热故障</w:t>
            </w:r>
            <w:bookmarkEnd w:id="159"/>
          </w:p>
        </w:tc>
        <w:tc>
          <w:tcPr>
            <w:tcW w:w="1630" w:type="dxa"/>
            <w:vAlign w:val="center"/>
          </w:tcPr>
          <w:p w14:paraId="03B487F6">
            <w:pPr>
              <w:jc w:val="center"/>
              <w:rPr>
                <w:rFonts w:hint="eastAsia" w:ascii="宋体" w:hAnsi="宋体" w:cs="宋体"/>
                <w:sz w:val="18"/>
                <w:szCs w:val="18"/>
              </w:rPr>
            </w:pPr>
            <w:bookmarkStart w:id="160" w:name="_Toc148520837"/>
            <w:r>
              <w:rPr>
                <w:rFonts w:hint="eastAsia" w:ascii="宋体" w:hAnsi="宋体" w:cs="宋体"/>
                <w:sz w:val="18"/>
                <w:szCs w:val="18"/>
              </w:rPr>
              <w:t>组件热斑</w:t>
            </w:r>
            <w:bookmarkEnd w:id="160"/>
          </w:p>
        </w:tc>
        <w:tc>
          <w:tcPr>
            <w:tcW w:w="2070" w:type="dxa"/>
            <w:vAlign w:val="center"/>
          </w:tcPr>
          <w:p w14:paraId="3FD0AA3B">
            <w:pPr>
              <w:jc w:val="center"/>
              <w:rPr>
                <w:rFonts w:hint="eastAsia" w:ascii="宋体" w:hAnsi="宋体" w:cs="宋体"/>
                <w:sz w:val="18"/>
                <w:szCs w:val="18"/>
              </w:rPr>
            </w:pPr>
            <w:bookmarkStart w:id="161" w:name="_Toc148520838"/>
            <w:r>
              <w:rPr>
                <w:rFonts w:hint="eastAsia" w:ascii="宋体" w:hAnsi="宋体" w:cs="宋体"/>
                <w:sz w:val="18"/>
                <w:szCs w:val="18"/>
              </w:rPr>
              <w:t>颜色发黑或褪色的区域</w:t>
            </w:r>
            <w:bookmarkEnd w:id="161"/>
          </w:p>
        </w:tc>
        <w:tc>
          <w:tcPr>
            <w:tcW w:w="4348" w:type="dxa"/>
            <w:vAlign w:val="center"/>
          </w:tcPr>
          <w:p w14:paraId="431F664F">
            <w:pPr>
              <w:rPr>
                <w:rFonts w:hint="eastAsia" w:ascii="宋体" w:hAnsi="宋体" w:cs="宋体"/>
                <w:sz w:val="18"/>
                <w:szCs w:val="18"/>
              </w:rPr>
            </w:pPr>
            <w:bookmarkStart w:id="162" w:name="_Toc148520839"/>
            <w:r>
              <w:rPr>
                <w:rFonts w:hint="eastAsia" w:ascii="宋体" w:hAnsi="宋体" w:cs="宋体"/>
                <w:sz w:val="18"/>
                <w:szCs w:val="18"/>
              </w:rPr>
              <w:t>检查是否有局部遮挡、光伏组件是否损坏,相应清除遮挡物。核实光伏组件损坏,影响发电量。宜采取更换或拍照并记录位置,加密日常检查</w:t>
            </w:r>
            <w:bookmarkEnd w:id="162"/>
          </w:p>
        </w:tc>
      </w:tr>
      <w:tr w14:paraId="2F7F6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54" w:type="dxa"/>
            <w:vMerge w:val="continue"/>
            <w:vAlign w:val="center"/>
          </w:tcPr>
          <w:p w14:paraId="1B452DC1">
            <w:pPr>
              <w:jc w:val="center"/>
              <w:rPr>
                <w:rFonts w:hint="eastAsia" w:ascii="宋体" w:hAnsi="宋体" w:cs="宋体"/>
                <w:sz w:val="18"/>
                <w:szCs w:val="18"/>
              </w:rPr>
            </w:pPr>
          </w:p>
        </w:tc>
        <w:tc>
          <w:tcPr>
            <w:tcW w:w="560" w:type="dxa"/>
            <w:gridSpan w:val="2"/>
            <w:vMerge w:val="continue"/>
            <w:vAlign w:val="center"/>
          </w:tcPr>
          <w:p w14:paraId="47F8F8E3">
            <w:pPr>
              <w:jc w:val="center"/>
              <w:rPr>
                <w:rFonts w:hint="eastAsia" w:ascii="宋体" w:hAnsi="宋体" w:cs="宋体"/>
                <w:sz w:val="18"/>
                <w:szCs w:val="18"/>
              </w:rPr>
            </w:pPr>
          </w:p>
        </w:tc>
        <w:tc>
          <w:tcPr>
            <w:tcW w:w="1630" w:type="dxa"/>
            <w:vAlign w:val="center"/>
          </w:tcPr>
          <w:p w14:paraId="35710A03">
            <w:pPr>
              <w:jc w:val="center"/>
              <w:rPr>
                <w:rFonts w:hint="eastAsia" w:ascii="宋体" w:hAnsi="宋体" w:cs="宋体"/>
                <w:sz w:val="18"/>
                <w:szCs w:val="18"/>
              </w:rPr>
            </w:pPr>
            <w:bookmarkStart w:id="163" w:name="_Toc148520840"/>
            <w:r>
              <w:rPr>
                <w:rFonts w:hint="eastAsia" w:ascii="宋体" w:hAnsi="宋体" w:cs="宋体"/>
                <w:sz w:val="18"/>
                <w:szCs w:val="18"/>
              </w:rPr>
              <w:t>旁路二极管发热</w:t>
            </w:r>
            <w:bookmarkEnd w:id="163"/>
          </w:p>
        </w:tc>
        <w:tc>
          <w:tcPr>
            <w:tcW w:w="2070" w:type="dxa"/>
            <w:vAlign w:val="center"/>
          </w:tcPr>
          <w:p w14:paraId="4C99DDFF">
            <w:pPr>
              <w:jc w:val="center"/>
              <w:rPr>
                <w:rFonts w:hint="eastAsia" w:ascii="宋体" w:hAnsi="宋体" w:cs="宋体"/>
                <w:sz w:val="18"/>
                <w:szCs w:val="18"/>
              </w:rPr>
            </w:pPr>
            <w:bookmarkStart w:id="164" w:name="_Toc148520841"/>
            <w:r>
              <w:rPr>
                <w:rFonts w:hint="eastAsia" w:ascii="宋体" w:hAnsi="宋体" w:cs="宋体"/>
                <w:sz w:val="18"/>
                <w:szCs w:val="18"/>
              </w:rPr>
              <w:t>接线盒温度异常过高</w:t>
            </w:r>
            <w:bookmarkEnd w:id="164"/>
          </w:p>
        </w:tc>
        <w:tc>
          <w:tcPr>
            <w:tcW w:w="4348" w:type="dxa"/>
            <w:vAlign w:val="center"/>
          </w:tcPr>
          <w:p w14:paraId="45E64F5C">
            <w:pPr>
              <w:rPr>
                <w:rFonts w:hint="eastAsia" w:ascii="宋体" w:hAnsi="宋体" w:cs="宋体"/>
                <w:sz w:val="18"/>
                <w:szCs w:val="18"/>
              </w:rPr>
            </w:pPr>
            <w:bookmarkStart w:id="165" w:name="_Toc148520842"/>
            <w:r>
              <w:rPr>
                <w:rFonts w:hint="eastAsia" w:ascii="宋体" w:hAnsi="宋体" w:cs="宋体"/>
                <w:sz w:val="18"/>
                <w:szCs w:val="18"/>
              </w:rPr>
              <w:t>依次检查光伏组件是否被遮挡、二极管是否失效、光伏组件是否损坏。相应清除遮挡物、更换二极管、更换光伏组件</w:t>
            </w:r>
            <w:bookmarkEnd w:id="165"/>
          </w:p>
        </w:tc>
      </w:tr>
      <w:tr w14:paraId="5D2DF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54" w:type="dxa"/>
            <w:vMerge w:val="continue"/>
            <w:vAlign w:val="center"/>
          </w:tcPr>
          <w:p w14:paraId="44A4086C">
            <w:pPr>
              <w:jc w:val="center"/>
              <w:rPr>
                <w:rFonts w:hint="eastAsia" w:ascii="宋体" w:hAnsi="宋体" w:cs="宋体"/>
                <w:sz w:val="18"/>
                <w:szCs w:val="18"/>
              </w:rPr>
            </w:pPr>
          </w:p>
        </w:tc>
        <w:tc>
          <w:tcPr>
            <w:tcW w:w="560" w:type="dxa"/>
            <w:gridSpan w:val="2"/>
            <w:vMerge w:val="continue"/>
            <w:vAlign w:val="center"/>
          </w:tcPr>
          <w:p w14:paraId="63E3FF9C">
            <w:pPr>
              <w:jc w:val="center"/>
              <w:rPr>
                <w:rFonts w:hint="eastAsia" w:ascii="宋体" w:hAnsi="宋体" w:cs="宋体"/>
                <w:sz w:val="18"/>
                <w:szCs w:val="18"/>
              </w:rPr>
            </w:pPr>
          </w:p>
        </w:tc>
        <w:tc>
          <w:tcPr>
            <w:tcW w:w="1630" w:type="dxa"/>
            <w:vAlign w:val="center"/>
          </w:tcPr>
          <w:p w14:paraId="3CD1DE7C">
            <w:pPr>
              <w:jc w:val="center"/>
              <w:rPr>
                <w:rFonts w:hint="eastAsia" w:ascii="宋体" w:hAnsi="宋体" w:cs="宋体"/>
                <w:sz w:val="18"/>
                <w:szCs w:val="18"/>
              </w:rPr>
            </w:pPr>
            <w:bookmarkStart w:id="166" w:name="_Toc148520843"/>
            <w:r>
              <w:rPr>
                <w:rFonts w:hint="eastAsia" w:ascii="宋体" w:hAnsi="宋体" w:cs="宋体"/>
                <w:sz w:val="18"/>
                <w:szCs w:val="18"/>
              </w:rPr>
              <w:t>组件插接头发热</w:t>
            </w:r>
            <w:bookmarkEnd w:id="166"/>
          </w:p>
        </w:tc>
        <w:tc>
          <w:tcPr>
            <w:tcW w:w="2070" w:type="dxa"/>
            <w:vAlign w:val="center"/>
          </w:tcPr>
          <w:p w14:paraId="5A511A94">
            <w:pPr>
              <w:jc w:val="center"/>
              <w:rPr>
                <w:rFonts w:hint="eastAsia" w:ascii="宋体" w:hAnsi="宋体" w:cs="宋体"/>
                <w:sz w:val="18"/>
                <w:szCs w:val="18"/>
              </w:rPr>
            </w:pPr>
            <w:bookmarkStart w:id="167" w:name="_Toc148520844"/>
            <w:r>
              <w:rPr>
                <w:rFonts w:hint="eastAsia" w:ascii="宋体" w:hAnsi="宋体" w:cs="宋体"/>
                <w:sz w:val="18"/>
                <w:szCs w:val="18"/>
              </w:rPr>
              <w:t>光伏组件之间的电线连接处温度高于电缆本身</w:t>
            </w:r>
            <w:bookmarkEnd w:id="167"/>
          </w:p>
        </w:tc>
        <w:tc>
          <w:tcPr>
            <w:tcW w:w="4348" w:type="dxa"/>
            <w:vAlign w:val="center"/>
          </w:tcPr>
          <w:p w14:paraId="7475904E">
            <w:pPr>
              <w:rPr>
                <w:rFonts w:hint="eastAsia" w:ascii="宋体" w:hAnsi="宋体" w:cs="宋体"/>
                <w:sz w:val="18"/>
                <w:szCs w:val="18"/>
              </w:rPr>
            </w:pPr>
            <w:bookmarkStart w:id="168" w:name="_Toc148520845"/>
            <w:r>
              <w:rPr>
                <w:rFonts w:hint="eastAsia" w:ascii="宋体" w:hAnsi="宋体" w:cs="宋体"/>
                <w:sz w:val="18"/>
                <w:szCs w:val="18"/>
              </w:rPr>
              <w:t>检查接头是否松脱或腐蚀。发生松脱,应恢复良好连接;发生腐蚀,宜更换光伏组件插接头</w:t>
            </w:r>
            <w:bookmarkEnd w:id="168"/>
          </w:p>
        </w:tc>
      </w:tr>
      <w:tr w14:paraId="49908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362" w:type="dxa"/>
            <w:gridSpan w:val="6"/>
            <w:vAlign w:val="center"/>
          </w:tcPr>
          <w:p w14:paraId="47D4CB85">
            <w:pPr>
              <w:rPr>
                <w:rFonts w:hint="eastAsia" w:ascii="宋体" w:hAnsi="宋体" w:cs="宋体"/>
                <w:sz w:val="18"/>
                <w:szCs w:val="18"/>
              </w:rPr>
            </w:pPr>
            <w:r>
              <w:rPr>
                <w:rFonts w:hint="eastAsia" w:ascii="宋体" w:hAnsi="宋体" w:cs="宋体"/>
                <w:sz w:val="18"/>
                <w:szCs w:val="18"/>
              </w:rPr>
              <w:t>发热故障检查注意事项:</w:t>
            </w:r>
            <w:r>
              <w:rPr>
                <w:rFonts w:hint="eastAsia" w:ascii="宋体" w:hAnsi="宋体" w:cs="宋体"/>
                <w:sz w:val="18"/>
                <w:szCs w:val="18"/>
              </w:rPr>
              <w:br w:type="textWrapping"/>
            </w:r>
            <w:r>
              <w:rPr>
                <w:rFonts w:hint="eastAsia" w:ascii="宋体" w:hAnsi="宋体" w:cs="宋体"/>
                <w:sz w:val="18"/>
                <w:szCs w:val="18"/>
              </w:rPr>
              <w:t>a ) 温度直接测量或红外照相探测时,被探测光伏组件处于正常工作模式(峰值功率跟踪)。其表面的辐照度应超过 400 W/m² ,且气象条件稳定。</w:t>
            </w:r>
            <w:r>
              <w:rPr>
                <w:rFonts w:hint="eastAsia" w:ascii="宋体" w:hAnsi="宋体" w:cs="宋体"/>
                <w:sz w:val="18"/>
                <w:szCs w:val="18"/>
              </w:rPr>
              <w:br w:type="textWrapping"/>
            </w:r>
            <w:r>
              <w:rPr>
                <w:rFonts w:hint="eastAsia" w:ascii="宋体" w:hAnsi="宋体" w:cs="宋体"/>
                <w:sz w:val="18"/>
                <w:szCs w:val="18"/>
              </w:rPr>
              <w:t>b ) 检测薄膜光伏组件宜采用短波红外方式。</w:t>
            </w:r>
            <w:r>
              <w:rPr>
                <w:rFonts w:hint="eastAsia" w:ascii="宋体" w:hAnsi="宋体" w:cs="宋体"/>
                <w:sz w:val="18"/>
                <w:szCs w:val="18"/>
              </w:rPr>
              <w:br w:type="textWrapping"/>
            </w:r>
            <w:r>
              <w:rPr>
                <w:rFonts w:hint="eastAsia" w:ascii="宋体" w:hAnsi="宋体" w:cs="宋体"/>
                <w:sz w:val="18"/>
                <w:szCs w:val="18"/>
              </w:rPr>
              <w:t>c ) 对组件正面扫描时,成像设备和操作者不应在被测阵列表面区域造成阴影。</w:t>
            </w:r>
          </w:p>
        </w:tc>
      </w:tr>
      <w:tr w14:paraId="2A1AD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62" w:type="dxa"/>
            <w:gridSpan w:val="6"/>
            <w:vAlign w:val="center"/>
          </w:tcPr>
          <w:p w14:paraId="47AF45F0">
            <w:pPr>
              <w:jc w:val="center"/>
              <w:rPr>
                <w:rFonts w:hint="eastAsia" w:ascii="宋体" w:hAnsi="宋体" w:cs="宋体"/>
                <w:sz w:val="18"/>
                <w:szCs w:val="18"/>
              </w:rPr>
            </w:pPr>
            <w:bookmarkStart w:id="169" w:name="_Toc148520850"/>
            <w:r>
              <w:rPr>
                <w:rFonts w:hint="eastAsia" w:ascii="宋体" w:hAnsi="宋体" w:cs="宋体"/>
                <w:sz w:val="18"/>
                <w:szCs w:val="18"/>
              </w:rPr>
              <w:t>支架及跟踪系统</w:t>
            </w:r>
            <w:bookmarkEnd w:id="169"/>
          </w:p>
        </w:tc>
      </w:tr>
      <w:tr w14:paraId="226B8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4" w:type="dxa"/>
            <w:vAlign w:val="center"/>
          </w:tcPr>
          <w:p w14:paraId="63D11E8D">
            <w:pPr>
              <w:jc w:val="center"/>
              <w:rPr>
                <w:rFonts w:hint="eastAsia" w:ascii="宋体" w:hAnsi="宋体" w:cs="宋体"/>
                <w:sz w:val="18"/>
                <w:szCs w:val="18"/>
              </w:rPr>
            </w:pPr>
            <w:bookmarkStart w:id="170" w:name="_Toc148520851"/>
            <w:r>
              <w:rPr>
                <w:rFonts w:hint="eastAsia" w:ascii="宋体" w:hAnsi="宋体" w:cs="宋体"/>
                <w:sz w:val="18"/>
                <w:szCs w:val="18"/>
              </w:rPr>
              <w:t>序号</w:t>
            </w:r>
            <w:bookmarkEnd w:id="170"/>
          </w:p>
        </w:tc>
        <w:tc>
          <w:tcPr>
            <w:tcW w:w="2190" w:type="dxa"/>
            <w:gridSpan w:val="3"/>
            <w:vAlign w:val="center"/>
          </w:tcPr>
          <w:p w14:paraId="688DEABA">
            <w:pPr>
              <w:jc w:val="center"/>
              <w:rPr>
                <w:rFonts w:hint="eastAsia" w:ascii="宋体" w:hAnsi="宋体" w:cs="宋体"/>
                <w:sz w:val="18"/>
                <w:szCs w:val="18"/>
              </w:rPr>
            </w:pPr>
            <w:bookmarkStart w:id="171" w:name="_Toc148520852"/>
            <w:r>
              <w:rPr>
                <w:rFonts w:hint="eastAsia" w:ascii="宋体" w:hAnsi="宋体" w:cs="宋体"/>
                <w:sz w:val="18"/>
                <w:szCs w:val="18"/>
              </w:rPr>
              <w:t>部件名称</w:t>
            </w:r>
            <w:bookmarkEnd w:id="171"/>
          </w:p>
        </w:tc>
        <w:tc>
          <w:tcPr>
            <w:tcW w:w="2070" w:type="dxa"/>
            <w:vAlign w:val="center"/>
          </w:tcPr>
          <w:p w14:paraId="2772C3CE">
            <w:pPr>
              <w:jc w:val="center"/>
              <w:rPr>
                <w:rFonts w:hint="eastAsia" w:ascii="宋体" w:hAnsi="宋体" w:cs="宋体"/>
                <w:sz w:val="18"/>
                <w:szCs w:val="18"/>
              </w:rPr>
            </w:pPr>
            <w:bookmarkStart w:id="172" w:name="_Toc148520853"/>
            <w:r>
              <w:rPr>
                <w:rFonts w:hint="eastAsia" w:ascii="宋体" w:hAnsi="宋体" w:cs="宋体"/>
                <w:sz w:val="18"/>
                <w:szCs w:val="18"/>
              </w:rPr>
              <w:t>故障现象</w:t>
            </w:r>
            <w:bookmarkEnd w:id="172"/>
          </w:p>
        </w:tc>
        <w:tc>
          <w:tcPr>
            <w:tcW w:w="4348" w:type="dxa"/>
            <w:vAlign w:val="center"/>
          </w:tcPr>
          <w:p w14:paraId="78CE6E54">
            <w:pPr>
              <w:jc w:val="center"/>
              <w:rPr>
                <w:rFonts w:hint="eastAsia" w:ascii="宋体" w:hAnsi="宋体" w:cs="宋体"/>
                <w:sz w:val="18"/>
                <w:szCs w:val="18"/>
              </w:rPr>
            </w:pPr>
            <w:bookmarkStart w:id="173" w:name="_Toc148520854"/>
            <w:r>
              <w:rPr>
                <w:rFonts w:hint="eastAsia" w:ascii="宋体" w:hAnsi="宋体" w:cs="宋体"/>
                <w:sz w:val="18"/>
                <w:szCs w:val="18"/>
              </w:rPr>
              <w:t>故障处理办法</w:t>
            </w:r>
            <w:bookmarkEnd w:id="173"/>
          </w:p>
        </w:tc>
      </w:tr>
      <w:tr w14:paraId="612B7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4" w:type="dxa"/>
            <w:vAlign w:val="center"/>
          </w:tcPr>
          <w:p w14:paraId="12C30370">
            <w:pPr>
              <w:jc w:val="center"/>
              <w:rPr>
                <w:rFonts w:hint="eastAsia" w:ascii="宋体" w:hAnsi="宋体" w:cs="宋体"/>
                <w:sz w:val="18"/>
                <w:szCs w:val="18"/>
              </w:rPr>
            </w:pPr>
            <w:bookmarkStart w:id="174" w:name="_Toc148520855"/>
            <w:r>
              <w:rPr>
                <w:rFonts w:hint="eastAsia" w:ascii="宋体" w:hAnsi="宋体" w:cs="宋体"/>
                <w:sz w:val="18"/>
                <w:szCs w:val="18"/>
              </w:rPr>
              <w:t>1</w:t>
            </w:r>
            <w:bookmarkEnd w:id="174"/>
          </w:p>
        </w:tc>
        <w:tc>
          <w:tcPr>
            <w:tcW w:w="2190" w:type="dxa"/>
            <w:gridSpan w:val="3"/>
            <w:vAlign w:val="center"/>
          </w:tcPr>
          <w:p w14:paraId="5E67A79E">
            <w:pPr>
              <w:jc w:val="center"/>
              <w:rPr>
                <w:rFonts w:hint="eastAsia" w:ascii="宋体" w:hAnsi="宋体" w:cs="宋体"/>
                <w:sz w:val="18"/>
                <w:szCs w:val="18"/>
              </w:rPr>
            </w:pPr>
            <w:bookmarkStart w:id="175" w:name="_Toc148520856"/>
            <w:r>
              <w:rPr>
                <w:rFonts w:hint="eastAsia" w:ascii="宋体" w:hAnsi="宋体" w:cs="宋体"/>
                <w:sz w:val="18"/>
                <w:szCs w:val="18"/>
              </w:rPr>
              <w:t>支架地基</w:t>
            </w:r>
            <w:bookmarkEnd w:id="175"/>
          </w:p>
        </w:tc>
        <w:tc>
          <w:tcPr>
            <w:tcW w:w="2070" w:type="dxa"/>
            <w:vAlign w:val="center"/>
          </w:tcPr>
          <w:p w14:paraId="499640A0">
            <w:pPr>
              <w:jc w:val="center"/>
              <w:rPr>
                <w:rFonts w:hint="eastAsia" w:ascii="宋体" w:hAnsi="宋体" w:cs="宋体"/>
                <w:sz w:val="18"/>
                <w:szCs w:val="18"/>
              </w:rPr>
            </w:pPr>
            <w:bookmarkStart w:id="176" w:name="_Toc148520857"/>
            <w:r>
              <w:rPr>
                <w:rFonts w:hint="eastAsia" w:ascii="宋体" w:hAnsi="宋体" w:cs="宋体"/>
                <w:sz w:val="18"/>
                <w:szCs w:val="18"/>
              </w:rPr>
              <w:t>地基下陷</w:t>
            </w:r>
            <w:bookmarkEnd w:id="176"/>
          </w:p>
        </w:tc>
        <w:tc>
          <w:tcPr>
            <w:tcW w:w="4348" w:type="dxa"/>
            <w:vAlign w:val="center"/>
          </w:tcPr>
          <w:p w14:paraId="243A0701">
            <w:pPr>
              <w:rPr>
                <w:rFonts w:hint="eastAsia" w:ascii="宋体" w:hAnsi="宋体" w:cs="宋体"/>
                <w:sz w:val="18"/>
                <w:szCs w:val="18"/>
              </w:rPr>
            </w:pPr>
            <w:bookmarkStart w:id="177" w:name="_Toc148520858"/>
            <w:r>
              <w:rPr>
                <w:rFonts w:hint="eastAsia" w:ascii="宋体" w:hAnsi="宋体" w:cs="宋体"/>
                <w:sz w:val="18"/>
                <w:szCs w:val="18"/>
              </w:rPr>
              <w:t>拆除光伏组件以及支架，对支架基础重新制作。</w:t>
            </w:r>
            <w:bookmarkEnd w:id="177"/>
          </w:p>
        </w:tc>
      </w:tr>
      <w:tr w14:paraId="6C04D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4" w:type="dxa"/>
            <w:vAlign w:val="center"/>
          </w:tcPr>
          <w:p w14:paraId="5ADF05B9">
            <w:pPr>
              <w:jc w:val="center"/>
              <w:rPr>
                <w:rFonts w:hint="eastAsia" w:ascii="宋体" w:hAnsi="宋体" w:cs="宋体"/>
                <w:sz w:val="18"/>
                <w:szCs w:val="18"/>
              </w:rPr>
            </w:pPr>
            <w:bookmarkStart w:id="178" w:name="_Toc148520859"/>
            <w:r>
              <w:rPr>
                <w:rFonts w:hint="eastAsia" w:ascii="宋体" w:hAnsi="宋体" w:cs="宋体"/>
                <w:sz w:val="18"/>
                <w:szCs w:val="18"/>
              </w:rPr>
              <w:t>2</w:t>
            </w:r>
            <w:bookmarkEnd w:id="178"/>
          </w:p>
        </w:tc>
        <w:tc>
          <w:tcPr>
            <w:tcW w:w="2190" w:type="dxa"/>
            <w:gridSpan w:val="3"/>
            <w:vAlign w:val="center"/>
          </w:tcPr>
          <w:p w14:paraId="38EB6459">
            <w:pPr>
              <w:jc w:val="center"/>
              <w:rPr>
                <w:rFonts w:hint="eastAsia" w:ascii="宋体" w:hAnsi="宋体" w:cs="宋体"/>
                <w:sz w:val="18"/>
                <w:szCs w:val="18"/>
              </w:rPr>
            </w:pPr>
            <w:bookmarkStart w:id="179" w:name="_Toc148520860"/>
            <w:r>
              <w:rPr>
                <w:rFonts w:hint="eastAsia" w:ascii="宋体" w:hAnsi="宋体" w:cs="宋体"/>
                <w:sz w:val="18"/>
                <w:szCs w:val="18"/>
              </w:rPr>
              <w:t>跟踪支架</w:t>
            </w:r>
            <w:bookmarkEnd w:id="179"/>
          </w:p>
        </w:tc>
        <w:tc>
          <w:tcPr>
            <w:tcW w:w="2070" w:type="dxa"/>
            <w:vAlign w:val="center"/>
          </w:tcPr>
          <w:p w14:paraId="39757184">
            <w:pPr>
              <w:jc w:val="center"/>
              <w:rPr>
                <w:rFonts w:hint="eastAsia" w:ascii="宋体" w:hAnsi="宋体" w:cs="宋体"/>
                <w:sz w:val="18"/>
                <w:szCs w:val="18"/>
              </w:rPr>
            </w:pPr>
            <w:bookmarkStart w:id="180" w:name="_Toc148520861"/>
            <w:r>
              <w:rPr>
                <w:rFonts w:hint="eastAsia" w:ascii="宋体" w:hAnsi="宋体" w:cs="宋体"/>
                <w:sz w:val="18"/>
                <w:szCs w:val="18"/>
              </w:rPr>
              <w:t>跟踪支架不跟踪</w:t>
            </w:r>
            <w:bookmarkEnd w:id="180"/>
          </w:p>
        </w:tc>
        <w:tc>
          <w:tcPr>
            <w:tcW w:w="4348" w:type="dxa"/>
            <w:vAlign w:val="center"/>
          </w:tcPr>
          <w:p w14:paraId="69909DDB">
            <w:pPr>
              <w:rPr>
                <w:rFonts w:hint="eastAsia" w:ascii="宋体" w:hAnsi="宋体" w:cs="宋体"/>
                <w:sz w:val="18"/>
                <w:szCs w:val="18"/>
              </w:rPr>
            </w:pPr>
            <w:r>
              <w:rPr>
                <w:rFonts w:hint="eastAsia" w:ascii="宋体" w:hAnsi="宋体" w:cs="宋体"/>
                <w:sz w:val="18"/>
                <w:szCs w:val="18"/>
              </w:rPr>
              <w:t>时钟控制型跟踪支架（斜单轴、平单轴、双轴）：</w:t>
            </w:r>
            <w:r>
              <w:rPr>
                <w:rFonts w:hint="eastAsia" w:ascii="宋体" w:hAnsi="宋体" w:cs="宋体"/>
                <w:sz w:val="18"/>
                <w:szCs w:val="18"/>
              </w:rPr>
              <w:br w:type="textWrapping"/>
            </w:r>
            <w:r>
              <w:rPr>
                <w:rFonts w:hint="eastAsia" w:ascii="宋体" w:hAnsi="宋体" w:cs="宋体"/>
                <w:sz w:val="18"/>
                <w:szCs w:val="18"/>
              </w:rPr>
              <w:t>连接电脑检查是否存在丢时现象，必要时进行校时；</w:t>
            </w:r>
            <w:r>
              <w:rPr>
                <w:rFonts w:hint="eastAsia" w:ascii="宋体" w:hAnsi="宋体" w:cs="宋体"/>
                <w:sz w:val="18"/>
                <w:szCs w:val="18"/>
              </w:rPr>
              <w:br w:type="textWrapping"/>
            </w:r>
            <w:r>
              <w:rPr>
                <w:rFonts w:hint="eastAsia" w:ascii="宋体" w:hAnsi="宋体" w:cs="宋体"/>
                <w:sz w:val="18"/>
                <w:szCs w:val="18"/>
              </w:rPr>
              <w:t>检查控制箱内部元器件是否存在故障，依次检查微型断路器、熔断器、前置电源板、笼式电源、控制主板、倾角传感器是否异常；</w:t>
            </w:r>
            <w:r>
              <w:rPr>
                <w:rFonts w:hint="eastAsia" w:ascii="宋体" w:hAnsi="宋体" w:cs="宋体"/>
                <w:sz w:val="18"/>
                <w:szCs w:val="18"/>
              </w:rPr>
              <w:br w:type="textWrapping"/>
            </w:r>
            <w:r>
              <w:rPr>
                <w:rFonts w:hint="eastAsia" w:ascii="宋体" w:hAnsi="宋体" w:cs="宋体"/>
                <w:sz w:val="18"/>
                <w:szCs w:val="18"/>
              </w:rPr>
              <w:t>检查回转装置以及电机转动是否正常，必要时开展解体维修；</w:t>
            </w:r>
            <w:r>
              <w:rPr>
                <w:rFonts w:hint="eastAsia" w:ascii="宋体" w:hAnsi="宋体" w:cs="宋体"/>
                <w:sz w:val="18"/>
                <w:szCs w:val="18"/>
              </w:rPr>
              <w:br w:type="textWrapping"/>
            </w:r>
            <w:r>
              <w:rPr>
                <w:rFonts w:hint="eastAsia" w:ascii="宋体" w:hAnsi="宋体" w:cs="宋体"/>
                <w:sz w:val="18"/>
                <w:szCs w:val="18"/>
              </w:rPr>
              <w:t>检查连接回转装置与支架的固定螺栓是否存在松动或者断裂；</w:t>
            </w:r>
            <w:r>
              <w:rPr>
                <w:rFonts w:hint="eastAsia" w:ascii="宋体" w:hAnsi="宋体" w:cs="宋体"/>
                <w:sz w:val="18"/>
                <w:szCs w:val="18"/>
              </w:rPr>
              <w:br w:type="textWrapping"/>
            </w:r>
            <w:r>
              <w:rPr>
                <w:rFonts w:hint="eastAsia" w:ascii="宋体" w:hAnsi="宋体" w:cs="宋体"/>
                <w:sz w:val="18"/>
                <w:szCs w:val="18"/>
              </w:rPr>
              <w:t>检查控制箱外连接线缆是否断裂、腐蚀；</w:t>
            </w:r>
            <w:r>
              <w:rPr>
                <w:rFonts w:hint="eastAsia" w:ascii="宋体" w:hAnsi="宋体" w:cs="宋体"/>
                <w:sz w:val="18"/>
                <w:szCs w:val="18"/>
              </w:rPr>
              <w:br w:type="textWrapping"/>
            </w:r>
            <w:r>
              <w:rPr>
                <w:rFonts w:hint="eastAsia" w:ascii="宋体" w:hAnsi="宋体" w:cs="宋体"/>
                <w:sz w:val="18"/>
                <w:szCs w:val="18"/>
              </w:rPr>
              <w:t>检查支架转动部分是否锈蚀卡涩，必要时加注润滑油。</w:t>
            </w:r>
            <w:r>
              <w:rPr>
                <w:rFonts w:hint="eastAsia" w:ascii="宋体" w:hAnsi="宋体" w:cs="宋体"/>
                <w:sz w:val="18"/>
                <w:szCs w:val="18"/>
              </w:rPr>
              <w:br w:type="textWrapping"/>
            </w:r>
            <w:r>
              <w:rPr>
                <w:rFonts w:hint="eastAsia" w:ascii="宋体" w:hAnsi="宋体" w:cs="宋体"/>
                <w:sz w:val="18"/>
                <w:szCs w:val="18"/>
              </w:rPr>
              <w:t>自适应型跟踪支架：</w:t>
            </w:r>
            <w:r>
              <w:rPr>
                <w:rFonts w:hint="eastAsia" w:ascii="宋体" w:hAnsi="宋体" w:cs="宋体"/>
                <w:sz w:val="18"/>
                <w:szCs w:val="18"/>
              </w:rPr>
              <w:br w:type="textWrapping"/>
            </w:r>
            <w:r>
              <w:rPr>
                <w:rFonts w:hint="eastAsia" w:ascii="宋体" w:hAnsi="宋体" w:cs="宋体"/>
                <w:sz w:val="18"/>
                <w:szCs w:val="18"/>
              </w:rPr>
              <w:t>检查回转装置是否卡涩，内部螺纹杆是否断裂，无法维修后考虑整体更换；</w:t>
            </w:r>
            <w:r>
              <w:rPr>
                <w:rFonts w:hint="eastAsia" w:ascii="宋体" w:hAnsi="宋体" w:cs="宋体"/>
                <w:sz w:val="18"/>
                <w:szCs w:val="18"/>
              </w:rPr>
              <w:br w:type="textWrapping"/>
            </w:r>
            <w:r>
              <w:rPr>
                <w:rFonts w:hint="eastAsia" w:ascii="宋体" w:hAnsi="宋体" w:cs="宋体"/>
                <w:sz w:val="18"/>
                <w:szCs w:val="18"/>
              </w:rPr>
              <w:t>检查驱动电机是否正常工作，输入电压是否在5 V～10 V范围内，无法维修后考虑整体更换；</w:t>
            </w:r>
            <w:r>
              <w:rPr>
                <w:rFonts w:hint="eastAsia" w:ascii="宋体" w:hAnsi="宋体" w:cs="宋体"/>
                <w:sz w:val="18"/>
                <w:szCs w:val="18"/>
              </w:rPr>
              <w:br w:type="textWrapping"/>
            </w:r>
            <w:r>
              <w:rPr>
                <w:rFonts w:hint="eastAsia" w:ascii="宋体" w:hAnsi="宋体" w:cs="宋体"/>
                <w:sz w:val="18"/>
                <w:szCs w:val="18"/>
              </w:rPr>
              <w:t>检查光敏电阻传感器输出电压是否在5 V～10 V范围内，检查连接线是否存在虚接或者断开现象。</w:t>
            </w:r>
            <w:r>
              <w:rPr>
                <w:rFonts w:hint="eastAsia" w:ascii="宋体" w:hAnsi="宋体" w:cs="宋体"/>
                <w:sz w:val="18"/>
                <w:szCs w:val="18"/>
              </w:rPr>
              <w:br w:type="textWrapping"/>
            </w:r>
            <w:r>
              <w:rPr>
                <w:rFonts w:hint="eastAsia" w:ascii="宋体" w:hAnsi="宋体" w:cs="宋体"/>
                <w:sz w:val="18"/>
                <w:szCs w:val="18"/>
              </w:rPr>
              <w:t>高倍聚光双轴跟踪支架：</w:t>
            </w:r>
            <w:r>
              <w:rPr>
                <w:rFonts w:hint="eastAsia" w:ascii="宋体" w:hAnsi="宋体" w:cs="宋体"/>
                <w:sz w:val="18"/>
                <w:szCs w:val="18"/>
              </w:rPr>
              <w:br w:type="textWrapping"/>
            </w:r>
            <w:r>
              <w:rPr>
                <w:rFonts w:hint="eastAsia" w:ascii="宋体" w:hAnsi="宋体" w:cs="宋体"/>
                <w:sz w:val="18"/>
                <w:szCs w:val="18"/>
              </w:rPr>
              <w:t>检查控制箱内电源是否异常，熔断器是否有效，中间继电器是否正常工作；</w:t>
            </w:r>
            <w:r>
              <w:rPr>
                <w:rFonts w:hint="eastAsia" w:ascii="宋体" w:hAnsi="宋体" w:cs="宋体"/>
                <w:sz w:val="18"/>
                <w:szCs w:val="18"/>
              </w:rPr>
              <w:br w:type="textWrapping"/>
            </w:r>
            <w:r>
              <w:rPr>
                <w:rFonts w:hint="eastAsia" w:ascii="宋体" w:hAnsi="宋体" w:cs="宋体"/>
                <w:sz w:val="18"/>
                <w:szCs w:val="18"/>
              </w:rPr>
              <w:t>将跟踪系统打到手动模式，试验东西南北四个方向系统是否可以正常工作；</w:t>
            </w:r>
            <w:r>
              <w:rPr>
                <w:rFonts w:hint="eastAsia" w:ascii="宋体" w:hAnsi="宋体" w:cs="宋体"/>
                <w:sz w:val="18"/>
                <w:szCs w:val="18"/>
              </w:rPr>
              <w:br w:type="textWrapping"/>
            </w:r>
            <w:r>
              <w:rPr>
                <w:rFonts w:hint="eastAsia" w:ascii="宋体" w:hAnsi="宋体" w:cs="宋体"/>
                <w:sz w:val="18"/>
                <w:szCs w:val="18"/>
              </w:rPr>
              <w:t>检查左右旋转电机以及回转装置是否损坏，拆卸后进行解体检查及维修，无法维修后作整体更换。</w:t>
            </w:r>
            <w:r>
              <w:rPr>
                <w:rFonts w:hint="eastAsia" w:ascii="宋体" w:hAnsi="宋体" w:cs="宋体"/>
                <w:sz w:val="18"/>
                <w:szCs w:val="18"/>
              </w:rPr>
              <w:br w:type="textWrapping"/>
            </w:r>
            <w:r>
              <w:rPr>
                <w:rFonts w:hint="eastAsia" w:ascii="宋体" w:hAnsi="宋体" w:cs="宋体"/>
                <w:sz w:val="18"/>
                <w:szCs w:val="18"/>
              </w:rPr>
              <w:t>级联式斜单轴跟踪支架：</w:t>
            </w:r>
            <w:r>
              <w:rPr>
                <w:rFonts w:hint="eastAsia" w:ascii="宋体" w:hAnsi="宋体" w:cs="宋体"/>
                <w:sz w:val="18"/>
                <w:szCs w:val="18"/>
              </w:rPr>
              <w:br w:type="textWrapping"/>
            </w:r>
            <w:r>
              <w:rPr>
                <w:rFonts w:hint="eastAsia" w:ascii="宋体" w:hAnsi="宋体" w:cs="宋体"/>
                <w:sz w:val="18"/>
                <w:szCs w:val="18"/>
              </w:rPr>
              <w:t>三相交流电机是否可以正常工作，检查交流线缆是否折断；</w:t>
            </w:r>
            <w:r>
              <w:rPr>
                <w:rFonts w:hint="eastAsia" w:ascii="宋体" w:hAnsi="宋体" w:cs="宋体"/>
                <w:sz w:val="18"/>
                <w:szCs w:val="18"/>
              </w:rPr>
              <w:br w:type="textWrapping"/>
            </w:r>
            <w:r>
              <w:rPr>
                <w:rFonts w:hint="eastAsia" w:ascii="宋体" w:hAnsi="宋体" w:cs="宋体"/>
                <w:sz w:val="18"/>
                <w:szCs w:val="18"/>
              </w:rPr>
              <w:t xml:space="preserve">检查各种螺栓及开口铁销是否锈蚀、卡涩，润滑油是否缺失。 </w:t>
            </w:r>
          </w:p>
        </w:tc>
      </w:tr>
      <w:tr w14:paraId="1A816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362" w:type="dxa"/>
            <w:gridSpan w:val="6"/>
            <w:vAlign w:val="center"/>
          </w:tcPr>
          <w:p w14:paraId="0FC52DF9">
            <w:pPr>
              <w:jc w:val="center"/>
              <w:rPr>
                <w:rFonts w:hint="eastAsia" w:ascii="宋体" w:hAnsi="宋体" w:cs="宋体"/>
                <w:sz w:val="18"/>
                <w:szCs w:val="18"/>
              </w:rPr>
            </w:pPr>
            <w:r>
              <w:rPr>
                <w:rFonts w:hint="eastAsia" w:ascii="宋体" w:hAnsi="宋体" w:cs="宋体"/>
                <w:sz w:val="18"/>
                <w:szCs w:val="18"/>
              </w:rPr>
              <w:t>汇流箱及直流线缆</w:t>
            </w:r>
          </w:p>
        </w:tc>
      </w:tr>
      <w:tr w14:paraId="73C0C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54" w:type="dxa"/>
            <w:vAlign w:val="center"/>
          </w:tcPr>
          <w:p w14:paraId="72AB6DE7">
            <w:pPr>
              <w:jc w:val="center"/>
              <w:rPr>
                <w:rFonts w:hint="eastAsia" w:ascii="宋体" w:hAnsi="宋体" w:cs="宋体"/>
                <w:sz w:val="18"/>
                <w:szCs w:val="18"/>
              </w:rPr>
            </w:pPr>
            <w:bookmarkStart w:id="181" w:name="_Toc148520866"/>
            <w:r>
              <w:rPr>
                <w:rFonts w:hint="eastAsia" w:ascii="宋体" w:hAnsi="宋体" w:cs="宋体"/>
                <w:sz w:val="18"/>
                <w:szCs w:val="18"/>
              </w:rPr>
              <w:t>1</w:t>
            </w:r>
            <w:bookmarkEnd w:id="181"/>
          </w:p>
        </w:tc>
        <w:tc>
          <w:tcPr>
            <w:tcW w:w="2190" w:type="dxa"/>
            <w:gridSpan w:val="3"/>
            <w:vAlign w:val="center"/>
          </w:tcPr>
          <w:p w14:paraId="35A433F9">
            <w:pPr>
              <w:jc w:val="center"/>
              <w:rPr>
                <w:rFonts w:hint="eastAsia" w:ascii="宋体" w:hAnsi="宋体" w:cs="宋体"/>
                <w:sz w:val="18"/>
                <w:szCs w:val="18"/>
              </w:rPr>
            </w:pPr>
            <w:bookmarkStart w:id="182" w:name="_Toc148520867"/>
            <w:r>
              <w:rPr>
                <w:rFonts w:hint="eastAsia" w:ascii="宋体" w:hAnsi="宋体" w:cs="宋体"/>
                <w:sz w:val="18"/>
                <w:szCs w:val="18"/>
              </w:rPr>
              <w:t>熔断器</w:t>
            </w:r>
            <w:bookmarkEnd w:id="182"/>
          </w:p>
        </w:tc>
        <w:tc>
          <w:tcPr>
            <w:tcW w:w="2070" w:type="dxa"/>
            <w:vAlign w:val="center"/>
          </w:tcPr>
          <w:p w14:paraId="776AB770">
            <w:pPr>
              <w:jc w:val="center"/>
              <w:rPr>
                <w:rFonts w:hint="eastAsia" w:ascii="宋体" w:hAnsi="宋体" w:cs="宋体"/>
                <w:sz w:val="18"/>
                <w:szCs w:val="18"/>
              </w:rPr>
            </w:pPr>
            <w:bookmarkStart w:id="183" w:name="_Toc148520868"/>
            <w:r>
              <w:rPr>
                <w:rFonts w:hint="eastAsia" w:ascii="宋体" w:hAnsi="宋体" w:cs="宋体"/>
                <w:sz w:val="18"/>
                <w:szCs w:val="18"/>
              </w:rPr>
              <w:t>熔断器失效</w:t>
            </w:r>
            <w:bookmarkEnd w:id="183"/>
          </w:p>
        </w:tc>
        <w:tc>
          <w:tcPr>
            <w:tcW w:w="4348" w:type="dxa"/>
            <w:vAlign w:val="center"/>
          </w:tcPr>
          <w:p w14:paraId="540C37AD">
            <w:pPr>
              <w:rPr>
                <w:rFonts w:hint="eastAsia" w:ascii="宋体" w:hAnsi="宋体" w:cs="宋体"/>
                <w:sz w:val="18"/>
                <w:szCs w:val="18"/>
              </w:rPr>
            </w:pPr>
            <w:r>
              <w:rPr>
                <w:rFonts w:hint="eastAsia" w:ascii="宋体" w:hAnsi="宋体" w:cs="宋体"/>
                <w:sz w:val="18"/>
                <w:szCs w:val="18"/>
              </w:rPr>
              <w:t>用万用表测量熔断器是否导通，失效后进行更换处理。</w:t>
            </w:r>
          </w:p>
        </w:tc>
      </w:tr>
      <w:tr w14:paraId="76053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54" w:type="dxa"/>
            <w:vAlign w:val="center"/>
          </w:tcPr>
          <w:p w14:paraId="45DBC2B6">
            <w:pPr>
              <w:jc w:val="center"/>
              <w:rPr>
                <w:rFonts w:hint="eastAsia" w:ascii="宋体" w:hAnsi="宋体" w:cs="宋体"/>
                <w:sz w:val="18"/>
                <w:szCs w:val="18"/>
              </w:rPr>
            </w:pPr>
            <w:bookmarkStart w:id="184" w:name="_Toc148520869"/>
            <w:r>
              <w:rPr>
                <w:rFonts w:hint="eastAsia" w:ascii="宋体" w:hAnsi="宋体" w:cs="宋体"/>
                <w:sz w:val="18"/>
                <w:szCs w:val="18"/>
              </w:rPr>
              <w:t>2</w:t>
            </w:r>
            <w:bookmarkEnd w:id="184"/>
          </w:p>
        </w:tc>
        <w:tc>
          <w:tcPr>
            <w:tcW w:w="2190" w:type="dxa"/>
            <w:gridSpan w:val="3"/>
            <w:vAlign w:val="center"/>
          </w:tcPr>
          <w:p w14:paraId="1AC99E28">
            <w:pPr>
              <w:jc w:val="center"/>
              <w:rPr>
                <w:rFonts w:hint="eastAsia" w:ascii="宋体" w:hAnsi="宋体" w:cs="宋体"/>
                <w:sz w:val="18"/>
                <w:szCs w:val="18"/>
              </w:rPr>
            </w:pPr>
            <w:bookmarkStart w:id="185" w:name="_Toc148520870"/>
            <w:r>
              <w:rPr>
                <w:rFonts w:hint="eastAsia" w:ascii="宋体" w:hAnsi="宋体" w:cs="宋体"/>
                <w:sz w:val="18"/>
                <w:szCs w:val="18"/>
              </w:rPr>
              <w:t>正、负极汇流板</w:t>
            </w:r>
            <w:bookmarkEnd w:id="185"/>
          </w:p>
        </w:tc>
        <w:tc>
          <w:tcPr>
            <w:tcW w:w="2070" w:type="dxa"/>
            <w:vAlign w:val="center"/>
          </w:tcPr>
          <w:p w14:paraId="43C5166F">
            <w:pPr>
              <w:jc w:val="center"/>
              <w:rPr>
                <w:rFonts w:hint="eastAsia" w:ascii="宋体" w:hAnsi="宋体" w:cs="宋体"/>
                <w:sz w:val="18"/>
                <w:szCs w:val="18"/>
              </w:rPr>
            </w:pPr>
            <w:bookmarkStart w:id="186" w:name="_Toc148520871"/>
            <w:r>
              <w:rPr>
                <w:rFonts w:hint="eastAsia" w:ascii="宋体" w:hAnsi="宋体" w:cs="宋体"/>
                <w:sz w:val="18"/>
                <w:szCs w:val="18"/>
              </w:rPr>
              <w:t>汇流板局部烧损</w:t>
            </w:r>
            <w:bookmarkEnd w:id="186"/>
          </w:p>
        </w:tc>
        <w:tc>
          <w:tcPr>
            <w:tcW w:w="4348" w:type="dxa"/>
            <w:vAlign w:val="center"/>
          </w:tcPr>
          <w:p w14:paraId="7AFA791C">
            <w:pPr>
              <w:rPr>
                <w:rFonts w:hint="eastAsia" w:ascii="宋体" w:hAnsi="宋体" w:cs="宋体"/>
                <w:sz w:val="18"/>
                <w:szCs w:val="18"/>
              </w:rPr>
            </w:pPr>
            <w:r>
              <w:rPr>
                <w:rFonts w:hint="eastAsia" w:ascii="宋体" w:hAnsi="宋体" w:cs="宋体"/>
                <w:sz w:val="18"/>
                <w:szCs w:val="18"/>
              </w:rPr>
              <w:t>观察汇流板是否存在局部打火痕迹、熔断器连接处是否烧损，如有该类现象进行整体更换。</w:t>
            </w:r>
          </w:p>
        </w:tc>
      </w:tr>
      <w:tr w14:paraId="6986E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54" w:type="dxa"/>
            <w:vAlign w:val="center"/>
          </w:tcPr>
          <w:p w14:paraId="402BAF62">
            <w:pPr>
              <w:jc w:val="center"/>
              <w:rPr>
                <w:rFonts w:hint="eastAsia" w:ascii="宋体" w:hAnsi="宋体" w:cs="宋体"/>
                <w:sz w:val="18"/>
                <w:szCs w:val="18"/>
              </w:rPr>
            </w:pPr>
            <w:bookmarkStart w:id="187" w:name="_Toc148520872"/>
            <w:r>
              <w:rPr>
                <w:rFonts w:hint="eastAsia" w:ascii="宋体" w:hAnsi="宋体" w:cs="宋体"/>
                <w:sz w:val="18"/>
                <w:szCs w:val="18"/>
              </w:rPr>
              <w:t>3</w:t>
            </w:r>
            <w:bookmarkEnd w:id="187"/>
          </w:p>
        </w:tc>
        <w:tc>
          <w:tcPr>
            <w:tcW w:w="2190" w:type="dxa"/>
            <w:gridSpan w:val="3"/>
            <w:vAlign w:val="center"/>
          </w:tcPr>
          <w:p w14:paraId="66F40BA8">
            <w:pPr>
              <w:jc w:val="center"/>
              <w:rPr>
                <w:rFonts w:hint="eastAsia" w:ascii="宋体" w:hAnsi="宋体" w:cs="宋体"/>
                <w:sz w:val="18"/>
                <w:szCs w:val="18"/>
              </w:rPr>
            </w:pPr>
            <w:bookmarkStart w:id="188" w:name="_Toc148520873"/>
            <w:r>
              <w:rPr>
                <w:rFonts w:hint="eastAsia" w:ascii="宋体" w:hAnsi="宋体" w:cs="宋体"/>
                <w:sz w:val="18"/>
                <w:szCs w:val="18"/>
              </w:rPr>
              <w:t>防雷器</w:t>
            </w:r>
            <w:bookmarkEnd w:id="188"/>
          </w:p>
        </w:tc>
        <w:tc>
          <w:tcPr>
            <w:tcW w:w="2070" w:type="dxa"/>
            <w:vAlign w:val="center"/>
          </w:tcPr>
          <w:p w14:paraId="3B7009B1">
            <w:pPr>
              <w:jc w:val="center"/>
              <w:rPr>
                <w:rFonts w:hint="eastAsia" w:ascii="宋体" w:hAnsi="宋体" w:cs="宋体"/>
                <w:sz w:val="18"/>
                <w:szCs w:val="18"/>
              </w:rPr>
            </w:pPr>
            <w:bookmarkStart w:id="189" w:name="_Toc148520874"/>
            <w:r>
              <w:rPr>
                <w:rFonts w:hint="eastAsia" w:ascii="宋体" w:hAnsi="宋体" w:cs="宋体"/>
                <w:sz w:val="18"/>
                <w:szCs w:val="18"/>
              </w:rPr>
              <w:t>防雷器失效</w:t>
            </w:r>
            <w:bookmarkEnd w:id="189"/>
          </w:p>
        </w:tc>
        <w:tc>
          <w:tcPr>
            <w:tcW w:w="4348" w:type="dxa"/>
            <w:vAlign w:val="center"/>
          </w:tcPr>
          <w:p w14:paraId="5430A716">
            <w:pPr>
              <w:rPr>
                <w:rFonts w:hint="eastAsia" w:ascii="宋体" w:hAnsi="宋体" w:cs="宋体"/>
                <w:sz w:val="18"/>
                <w:szCs w:val="18"/>
              </w:rPr>
            </w:pPr>
            <w:r>
              <w:rPr>
                <w:rFonts w:hint="eastAsia" w:ascii="宋体" w:hAnsi="宋体" w:cs="宋体"/>
                <w:sz w:val="18"/>
                <w:szCs w:val="18"/>
              </w:rPr>
              <w:t>防雷器标识颜色变为红色后进行更换，同时检查各支路熔断器是否因为雷击感应电压而失效。</w:t>
            </w:r>
          </w:p>
        </w:tc>
      </w:tr>
      <w:tr w14:paraId="431CC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54" w:type="dxa"/>
            <w:vAlign w:val="center"/>
          </w:tcPr>
          <w:p w14:paraId="76F48B4B">
            <w:pPr>
              <w:jc w:val="center"/>
              <w:rPr>
                <w:rFonts w:hint="eastAsia" w:ascii="宋体" w:hAnsi="宋体" w:cs="宋体"/>
                <w:sz w:val="18"/>
                <w:szCs w:val="18"/>
              </w:rPr>
            </w:pPr>
            <w:bookmarkStart w:id="190" w:name="_Toc148520875"/>
            <w:r>
              <w:rPr>
                <w:rFonts w:hint="eastAsia" w:ascii="宋体" w:hAnsi="宋体" w:cs="宋体"/>
                <w:sz w:val="18"/>
                <w:szCs w:val="18"/>
              </w:rPr>
              <w:t>4</w:t>
            </w:r>
            <w:bookmarkEnd w:id="190"/>
          </w:p>
        </w:tc>
        <w:tc>
          <w:tcPr>
            <w:tcW w:w="2190" w:type="dxa"/>
            <w:gridSpan w:val="3"/>
            <w:vAlign w:val="center"/>
          </w:tcPr>
          <w:p w14:paraId="1E90BA94">
            <w:pPr>
              <w:jc w:val="center"/>
              <w:rPr>
                <w:rFonts w:hint="eastAsia" w:ascii="宋体" w:hAnsi="宋体" w:cs="宋体"/>
                <w:sz w:val="18"/>
                <w:szCs w:val="18"/>
              </w:rPr>
            </w:pPr>
            <w:bookmarkStart w:id="191" w:name="_Toc148520876"/>
            <w:r>
              <w:rPr>
                <w:rFonts w:hint="eastAsia" w:ascii="宋体" w:hAnsi="宋体" w:cs="宋体"/>
                <w:sz w:val="18"/>
                <w:szCs w:val="18"/>
              </w:rPr>
              <w:t>断路器</w:t>
            </w:r>
            <w:bookmarkEnd w:id="191"/>
          </w:p>
        </w:tc>
        <w:tc>
          <w:tcPr>
            <w:tcW w:w="2070" w:type="dxa"/>
            <w:vAlign w:val="center"/>
          </w:tcPr>
          <w:p w14:paraId="31527CD5">
            <w:pPr>
              <w:jc w:val="center"/>
              <w:rPr>
                <w:rFonts w:hint="eastAsia" w:ascii="宋体" w:hAnsi="宋体" w:cs="宋体"/>
                <w:sz w:val="18"/>
                <w:szCs w:val="18"/>
              </w:rPr>
            </w:pPr>
            <w:bookmarkStart w:id="192" w:name="_Toc148520877"/>
            <w:r>
              <w:rPr>
                <w:rFonts w:hint="eastAsia" w:ascii="宋体" w:hAnsi="宋体" w:cs="宋体"/>
                <w:sz w:val="18"/>
                <w:szCs w:val="18"/>
              </w:rPr>
              <w:t>断路器失效</w:t>
            </w:r>
            <w:bookmarkEnd w:id="192"/>
          </w:p>
        </w:tc>
        <w:tc>
          <w:tcPr>
            <w:tcW w:w="4348" w:type="dxa"/>
            <w:vAlign w:val="center"/>
          </w:tcPr>
          <w:p w14:paraId="448BD2A4">
            <w:pPr>
              <w:rPr>
                <w:rFonts w:hint="eastAsia" w:ascii="宋体" w:hAnsi="宋体" w:cs="宋体"/>
                <w:sz w:val="18"/>
                <w:szCs w:val="18"/>
              </w:rPr>
            </w:pPr>
            <w:r>
              <w:rPr>
                <w:rFonts w:hint="eastAsia" w:ascii="宋体" w:hAnsi="宋体" w:cs="宋体"/>
                <w:sz w:val="18"/>
                <w:szCs w:val="18"/>
              </w:rPr>
              <w:t>断路器无法正常开合，整体更换处理。</w:t>
            </w:r>
          </w:p>
        </w:tc>
      </w:tr>
      <w:tr w14:paraId="6C1A3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54" w:type="dxa"/>
            <w:vAlign w:val="center"/>
          </w:tcPr>
          <w:p w14:paraId="411405C4">
            <w:pPr>
              <w:jc w:val="center"/>
              <w:rPr>
                <w:rFonts w:hint="eastAsia" w:ascii="宋体" w:hAnsi="宋体" w:cs="宋体"/>
                <w:sz w:val="18"/>
                <w:szCs w:val="18"/>
              </w:rPr>
            </w:pPr>
            <w:bookmarkStart w:id="193" w:name="_Toc148520878"/>
            <w:r>
              <w:rPr>
                <w:rFonts w:hint="eastAsia" w:ascii="宋体" w:hAnsi="宋体" w:cs="宋体"/>
                <w:sz w:val="18"/>
                <w:szCs w:val="18"/>
              </w:rPr>
              <w:t>5</w:t>
            </w:r>
            <w:bookmarkEnd w:id="193"/>
          </w:p>
        </w:tc>
        <w:tc>
          <w:tcPr>
            <w:tcW w:w="2190" w:type="dxa"/>
            <w:gridSpan w:val="3"/>
            <w:vAlign w:val="center"/>
          </w:tcPr>
          <w:p w14:paraId="382E058C">
            <w:pPr>
              <w:jc w:val="center"/>
              <w:rPr>
                <w:rFonts w:hint="eastAsia" w:ascii="宋体" w:hAnsi="宋体" w:cs="宋体"/>
                <w:sz w:val="18"/>
                <w:szCs w:val="18"/>
              </w:rPr>
            </w:pPr>
            <w:bookmarkStart w:id="194" w:name="_Toc148520879"/>
            <w:r>
              <w:rPr>
                <w:rFonts w:hint="eastAsia" w:ascii="宋体" w:hAnsi="宋体" w:cs="宋体"/>
                <w:sz w:val="18"/>
                <w:szCs w:val="18"/>
              </w:rPr>
              <w:t>智能监测装置</w:t>
            </w:r>
            <w:bookmarkEnd w:id="194"/>
          </w:p>
        </w:tc>
        <w:tc>
          <w:tcPr>
            <w:tcW w:w="2070" w:type="dxa"/>
            <w:vAlign w:val="center"/>
          </w:tcPr>
          <w:p w14:paraId="5897A16D">
            <w:pPr>
              <w:jc w:val="center"/>
              <w:rPr>
                <w:rFonts w:hint="eastAsia" w:ascii="宋体" w:hAnsi="宋体" w:cs="宋体"/>
                <w:sz w:val="18"/>
                <w:szCs w:val="18"/>
              </w:rPr>
            </w:pPr>
            <w:bookmarkStart w:id="195" w:name="_Toc148520880"/>
            <w:r>
              <w:rPr>
                <w:rFonts w:hint="eastAsia" w:ascii="宋体" w:hAnsi="宋体" w:cs="宋体"/>
                <w:sz w:val="18"/>
                <w:szCs w:val="18"/>
              </w:rPr>
              <w:t>汇流箱遥控检测仪无法获取实时数据</w:t>
            </w:r>
            <w:bookmarkEnd w:id="195"/>
          </w:p>
        </w:tc>
        <w:tc>
          <w:tcPr>
            <w:tcW w:w="4348" w:type="dxa"/>
            <w:vAlign w:val="center"/>
          </w:tcPr>
          <w:p w14:paraId="4C18BD12">
            <w:pPr>
              <w:rPr>
                <w:rFonts w:hint="eastAsia" w:ascii="宋体" w:hAnsi="宋体" w:cs="宋体"/>
                <w:sz w:val="18"/>
                <w:szCs w:val="18"/>
              </w:rPr>
            </w:pPr>
            <w:r>
              <w:rPr>
                <w:rFonts w:hint="eastAsia" w:ascii="宋体" w:hAnsi="宋体" w:cs="宋体"/>
                <w:sz w:val="18"/>
                <w:szCs w:val="18"/>
              </w:rPr>
              <w:t>检查汇流箱智能监测装置是否可以正常工作。</w:t>
            </w:r>
          </w:p>
        </w:tc>
      </w:tr>
      <w:tr w14:paraId="3BD1D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54" w:type="dxa"/>
            <w:vAlign w:val="center"/>
          </w:tcPr>
          <w:p w14:paraId="4522748A">
            <w:pPr>
              <w:jc w:val="center"/>
              <w:rPr>
                <w:rFonts w:hint="eastAsia" w:ascii="宋体" w:hAnsi="宋体" w:cs="宋体"/>
                <w:sz w:val="18"/>
                <w:szCs w:val="18"/>
              </w:rPr>
            </w:pPr>
            <w:bookmarkStart w:id="196" w:name="_Toc148520881"/>
            <w:r>
              <w:rPr>
                <w:rFonts w:hint="eastAsia" w:ascii="宋体" w:hAnsi="宋体" w:cs="宋体"/>
                <w:sz w:val="18"/>
                <w:szCs w:val="18"/>
              </w:rPr>
              <w:t>6</w:t>
            </w:r>
            <w:bookmarkEnd w:id="196"/>
          </w:p>
        </w:tc>
        <w:tc>
          <w:tcPr>
            <w:tcW w:w="2190" w:type="dxa"/>
            <w:gridSpan w:val="3"/>
            <w:vAlign w:val="center"/>
          </w:tcPr>
          <w:p w14:paraId="55DDA6E0">
            <w:pPr>
              <w:jc w:val="center"/>
              <w:rPr>
                <w:rFonts w:hint="eastAsia" w:ascii="宋体" w:hAnsi="宋体" w:cs="宋体"/>
                <w:sz w:val="18"/>
                <w:szCs w:val="18"/>
              </w:rPr>
            </w:pPr>
            <w:bookmarkStart w:id="197" w:name="_Toc148520882"/>
            <w:r>
              <w:rPr>
                <w:rFonts w:hint="eastAsia" w:ascii="宋体" w:hAnsi="宋体" w:cs="宋体"/>
                <w:sz w:val="18"/>
                <w:szCs w:val="18"/>
              </w:rPr>
              <w:t>直流线缆（70mm²、4mm²）</w:t>
            </w:r>
            <w:bookmarkEnd w:id="197"/>
          </w:p>
        </w:tc>
        <w:tc>
          <w:tcPr>
            <w:tcW w:w="2070" w:type="dxa"/>
            <w:vAlign w:val="center"/>
          </w:tcPr>
          <w:p w14:paraId="3357C9ED">
            <w:pPr>
              <w:jc w:val="center"/>
              <w:rPr>
                <w:rFonts w:hint="eastAsia" w:ascii="宋体" w:hAnsi="宋体" w:cs="宋体"/>
                <w:sz w:val="18"/>
                <w:szCs w:val="18"/>
              </w:rPr>
            </w:pPr>
            <w:bookmarkStart w:id="198" w:name="_Toc148520883"/>
            <w:r>
              <w:rPr>
                <w:rFonts w:hint="eastAsia" w:ascii="宋体" w:hAnsi="宋体" w:cs="宋体"/>
                <w:sz w:val="18"/>
                <w:szCs w:val="18"/>
              </w:rPr>
              <w:t>直流接地</w:t>
            </w:r>
            <w:bookmarkEnd w:id="198"/>
          </w:p>
        </w:tc>
        <w:tc>
          <w:tcPr>
            <w:tcW w:w="4348" w:type="dxa"/>
            <w:vAlign w:val="center"/>
          </w:tcPr>
          <w:p w14:paraId="49EA47D0">
            <w:pPr>
              <w:rPr>
                <w:rFonts w:hint="eastAsia" w:ascii="宋体" w:hAnsi="宋体" w:cs="宋体"/>
                <w:sz w:val="18"/>
                <w:szCs w:val="18"/>
              </w:rPr>
            </w:pPr>
            <w:r>
              <w:rPr>
                <w:rFonts w:hint="eastAsia" w:ascii="宋体" w:hAnsi="宋体" w:cs="宋体"/>
                <w:sz w:val="18"/>
                <w:szCs w:val="18"/>
              </w:rPr>
              <w:t>用万用表测量汇流箱主线以及各支路线缆是否存在接地现象。对可以找到的接地部分作绝缘处理，无法确定接地点的作整线更换处理。</w:t>
            </w:r>
          </w:p>
        </w:tc>
      </w:tr>
      <w:tr w14:paraId="06F34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362" w:type="dxa"/>
            <w:gridSpan w:val="6"/>
            <w:vAlign w:val="center"/>
          </w:tcPr>
          <w:p w14:paraId="7B65AEE3">
            <w:pPr>
              <w:jc w:val="center"/>
              <w:rPr>
                <w:rFonts w:hint="eastAsia" w:ascii="宋体" w:hAnsi="宋体" w:cs="宋体"/>
                <w:sz w:val="18"/>
                <w:szCs w:val="18"/>
              </w:rPr>
            </w:pPr>
            <w:r>
              <w:rPr>
                <w:rFonts w:hint="eastAsia" w:ascii="宋体" w:hAnsi="宋体" w:cs="宋体"/>
                <w:sz w:val="18"/>
                <w:szCs w:val="18"/>
              </w:rPr>
              <w:t>逆变器</w:t>
            </w:r>
          </w:p>
        </w:tc>
      </w:tr>
      <w:tr w14:paraId="3D423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817" w:type="dxa"/>
            <w:gridSpan w:val="2"/>
            <w:vAlign w:val="center"/>
          </w:tcPr>
          <w:p w14:paraId="3D0D1936">
            <w:pPr>
              <w:jc w:val="center"/>
              <w:rPr>
                <w:rFonts w:hint="eastAsia" w:ascii="宋体" w:hAnsi="宋体" w:cs="宋体"/>
                <w:sz w:val="18"/>
                <w:szCs w:val="18"/>
              </w:rPr>
            </w:pPr>
            <w:bookmarkStart w:id="199" w:name="_Toc148520884"/>
            <w:r>
              <w:rPr>
                <w:rFonts w:hint="eastAsia" w:ascii="宋体" w:hAnsi="宋体" w:cs="宋体"/>
                <w:sz w:val="18"/>
                <w:szCs w:val="18"/>
              </w:rPr>
              <w:t>1</w:t>
            </w:r>
            <w:bookmarkEnd w:id="199"/>
          </w:p>
        </w:tc>
        <w:tc>
          <w:tcPr>
            <w:tcW w:w="2127" w:type="dxa"/>
            <w:gridSpan w:val="2"/>
            <w:vAlign w:val="center"/>
          </w:tcPr>
          <w:p w14:paraId="3A8CF0CD">
            <w:pPr>
              <w:jc w:val="center"/>
              <w:rPr>
                <w:rFonts w:hint="eastAsia" w:ascii="宋体" w:hAnsi="宋体" w:cs="宋体"/>
                <w:sz w:val="18"/>
                <w:szCs w:val="18"/>
              </w:rPr>
            </w:pPr>
            <w:bookmarkStart w:id="200" w:name="_Toc148520885"/>
            <w:r>
              <w:rPr>
                <w:rFonts w:hint="eastAsia" w:ascii="宋体" w:hAnsi="宋体" w:cs="宋体"/>
                <w:sz w:val="18"/>
                <w:szCs w:val="18"/>
              </w:rPr>
              <w:t>部件名称</w:t>
            </w:r>
            <w:bookmarkEnd w:id="200"/>
          </w:p>
        </w:tc>
        <w:tc>
          <w:tcPr>
            <w:tcW w:w="2070" w:type="dxa"/>
            <w:vAlign w:val="center"/>
          </w:tcPr>
          <w:p w14:paraId="4BFECD8D">
            <w:pPr>
              <w:jc w:val="center"/>
              <w:rPr>
                <w:rFonts w:hint="eastAsia" w:ascii="宋体" w:hAnsi="宋体" w:cs="宋体"/>
                <w:sz w:val="18"/>
                <w:szCs w:val="18"/>
              </w:rPr>
            </w:pPr>
            <w:bookmarkStart w:id="201" w:name="_Toc148520886"/>
            <w:r>
              <w:rPr>
                <w:rFonts w:hint="eastAsia" w:ascii="宋体" w:hAnsi="宋体" w:cs="宋体"/>
                <w:sz w:val="18"/>
                <w:szCs w:val="18"/>
              </w:rPr>
              <w:t>故障名称</w:t>
            </w:r>
            <w:bookmarkEnd w:id="201"/>
          </w:p>
        </w:tc>
        <w:tc>
          <w:tcPr>
            <w:tcW w:w="4348" w:type="dxa"/>
            <w:vAlign w:val="center"/>
          </w:tcPr>
          <w:p w14:paraId="09207557">
            <w:pPr>
              <w:jc w:val="center"/>
              <w:rPr>
                <w:rFonts w:hint="eastAsia" w:ascii="宋体" w:hAnsi="宋体" w:cs="宋体"/>
                <w:sz w:val="18"/>
                <w:szCs w:val="18"/>
              </w:rPr>
            </w:pPr>
            <w:r>
              <w:rPr>
                <w:rFonts w:hint="eastAsia" w:ascii="宋体" w:hAnsi="宋体" w:cs="宋体"/>
                <w:sz w:val="18"/>
                <w:szCs w:val="18"/>
              </w:rPr>
              <w:t>故障处理方法</w:t>
            </w:r>
          </w:p>
        </w:tc>
      </w:tr>
      <w:tr w14:paraId="31751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17" w:type="dxa"/>
            <w:gridSpan w:val="2"/>
            <w:vAlign w:val="center"/>
          </w:tcPr>
          <w:p w14:paraId="309C8594">
            <w:pPr>
              <w:jc w:val="center"/>
              <w:rPr>
                <w:rFonts w:hint="eastAsia" w:ascii="宋体" w:hAnsi="宋体" w:cs="宋体"/>
                <w:sz w:val="18"/>
                <w:szCs w:val="18"/>
              </w:rPr>
            </w:pPr>
            <w:bookmarkStart w:id="202" w:name="_Toc148520887"/>
            <w:r>
              <w:rPr>
                <w:rFonts w:hint="eastAsia" w:ascii="宋体" w:hAnsi="宋体" w:cs="宋体"/>
                <w:sz w:val="18"/>
                <w:szCs w:val="18"/>
              </w:rPr>
              <w:t>2</w:t>
            </w:r>
            <w:bookmarkEnd w:id="202"/>
          </w:p>
        </w:tc>
        <w:tc>
          <w:tcPr>
            <w:tcW w:w="2127" w:type="dxa"/>
            <w:gridSpan w:val="2"/>
            <w:vAlign w:val="center"/>
          </w:tcPr>
          <w:p w14:paraId="7FBD535B">
            <w:pPr>
              <w:jc w:val="center"/>
              <w:rPr>
                <w:rFonts w:hint="eastAsia" w:ascii="宋体" w:hAnsi="宋体" w:cs="宋体"/>
                <w:sz w:val="18"/>
                <w:szCs w:val="18"/>
              </w:rPr>
            </w:pPr>
            <w:bookmarkStart w:id="203" w:name="_Toc148520888"/>
            <w:r>
              <w:rPr>
                <w:rFonts w:hint="eastAsia" w:ascii="宋体" w:hAnsi="宋体" w:cs="宋体"/>
                <w:sz w:val="18"/>
                <w:szCs w:val="18"/>
              </w:rPr>
              <w:t>功率模块</w:t>
            </w:r>
            <w:bookmarkEnd w:id="203"/>
          </w:p>
        </w:tc>
        <w:tc>
          <w:tcPr>
            <w:tcW w:w="2070" w:type="dxa"/>
            <w:vAlign w:val="center"/>
          </w:tcPr>
          <w:p w14:paraId="1D33CD09">
            <w:pPr>
              <w:jc w:val="center"/>
              <w:rPr>
                <w:rFonts w:hint="eastAsia" w:ascii="宋体" w:hAnsi="宋体" w:cs="宋体"/>
                <w:sz w:val="18"/>
                <w:szCs w:val="18"/>
              </w:rPr>
            </w:pPr>
            <w:bookmarkStart w:id="204" w:name="_Toc148520889"/>
            <w:r>
              <w:rPr>
                <w:rFonts w:hint="eastAsia" w:ascii="宋体" w:hAnsi="宋体" w:cs="宋体"/>
                <w:sz w:val="18"/>
                <w:szCs w:val="18"/>
              </w:rPr>
              <w:t>模块过温故障</w:t>
            </w:r>
            <w:bookmarkEnd w:id="204"/>
          </w:p>
        </w:tc>
        <w:tc>
          <w:tcPr>
            <w:tcW w:w="4348" w:type="dxa"/>
            <w:vAlign w:val="center"/>
          </w:tcPr>
          <w:p w14:paraId="674D9939">
            <w:pPr>
              <w:rPr>
                <w:rFonts w:hint="eastAsia" w:ascii="宋体" w:hAnsi="宋体" w:cs="宋体"/>
                <w:sz w:val="18"/>
                <w:szCs w:val="18"/>
              </w:rPr>
            </w:pPr>
            <w:r>
              <w:rPr>
                <w:rFonts w:hint="eastAsia" w:ascii="宋体" w:hAnsi="宋体" w:cs="宋体"/>
                <w:sz w:val="18"/>
                <w:szCs w:val="18"/>
              </w:rPr>
              <w:t>检查模块过温项对应散热风机是否可以正常工作，如果转动卡涩应更换风机；</w:t>
            </w:r>
          </w:p>
          <w:p w14:paraId="26FC2070">
            <w:pPr>
              <w:rPr>
                <w:rFonts w:hint="eastAsia" w:ascii="宋体" w:hAnsi="宋体" w:cs="宋体"/>
                <w:sz w:val="18"/>
                <w:szCs w:val="18"/>
              </w:rPr>
            </w:pPr>
            <w:r>
              <w:rPr>
                <w:rFonts w:hint="eastAsia" w:ascii="宋体" w:hAnsi="宋体" w:cs="宋体"/>
                <w:sz w:val="18"/>
                <w:szCs w:val="18"/>
              </w:rPr>
              <w:t>检查逆变器小室墙壁散热风机是否正常工作，对应开关是否跳闸。</w:t>
            </w:r>
          </w:p>
        </w:tc>
      </w:tr>
      <w:tr w14:paraId="60442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17" w:type="dxa"/>
            <w:gridSpan w:val="2"/>
            <w:vAlign w:val="center"/>
          </w:tcPr>
          <w:p w14:paraId="751C850C">
            <w:pPr>
              <w:jc w:val="center"/>
              <w:rPr>
                <w:rFonts w:hint="eastAsia" w:ascii="宋体" w:hAnsi="宋体" w:cs="宋体"/>
                <w:sz w:val="18"/>
                <w:szCs w:val="18"/>
              </w:rPr>
            </w:pPr>
            <w:bookmarkStart w:id="205" w:name="_Toc148520890"/>
            <w:r>
              <w:rPr>
                <w:rFonts w:hint="eastAsia" w:ascii="宋体" w:hAnsi="宋体" w:cs="宋体"/>
                <w:sz w:val="18"/>
                <w:szCs w:val="18"/>
              </w:rPr>
              <w:t>3</w:t>
            </w:r>
            <w:bookmarkEnd w:id="205"/>
          </w:p>
        </w:tc>
        <w:tc>
          <w:tcPr>
            <w:tcW w:w="2127" w:type="dxa"/>
            <w:gridSpan w:val="2"/>
            <w:vAlign w:val="center"/>
          </w:tcPr>
          <w:p w14:paraId="62291492">
            <w:pPr>
              <w:jc w:val="center"/>
              <w:rPr>
                <w:rFonts w:hint="eastAsia" w:ascii="宋体" w:hAnsi="宋体" w:cs="宋体"/>
                <w:sz w:val="18"/>
                <w:szCs w:val="18"/>
              </w:rPr>
            </w:pPr>
            <w:bookmarkStart w:id="206" w:name="_Toc148520891"/>
            <w:r>
              <w:rPr>
                <w:rFonts w:hint="eastAsia" w:ascii="宋体" w:hAnsi="宋体" w:cs="宋体"/>
                <w:sz w:val="18"/>
                <w:szCs w:val="18"/>
              </w:rPr>
              <w:t>功率模块</w:t>
            </w:r>
            <w:bookmarkEnd w:id="206"/>
          </w:p>
        </w:tc>
        <w:tc>
          <w:tcPr>
            <w:tcW w:w="2070" w:type="dxa"/>
            <w:vAlign w:val="center"/>
          </w:tcPr>
          <w:p w14:paraId="5D06FE94">
            <w:pPr>
              <w:jc w:val="center"/>
              <w:rPr>
                <w:rFonts w:hint="eastAsia" w:ascii="宋体" w:hAnsi="宋体" w:cs="宋体"/>
                <w:sz w:val="18"/>
                <w:szCs w:val="18"/>
              </w:rPr>
            </w:pPr>
            <w:bookmarkStart w:id="207" w:name="_Toc148520892"/>
            <w:r>
              <w:rPr>
                <w:rFonts w:hint="eastAsia" w:ascii="宋体" w:hAnsi="宋体" w:cs="宋体"/>
                <w:sz w:val="18"/>
                <w:szCs w:val="18"/>
              </w:rPr>
              <w:t>功率模块故障</w:t>
            </w:r>
            <w:bookmarkEnd w:id="207"/>
          </w:p>
        </w:tc>
        <w:tc>
          <w:tcPr>
            <w:tcW w:w="4348" w:type="dxa"/>
            <w:vAlign w:val="center"/>
          </w:tcPr>
          <w:p w14:paraId="70614FED">
            <w:pPr>
              <w:rPr>
                <w:rFonts w:hint="eastAsia" w:ascii="宋体" w:hAnsi="宋体" w:cs="宋体"/>
                <w:sz w:val="18"/>
                <w:szCs w:val="18"/>
              </w:rPr>
            </w:pPr>
            <w:r>
              <w:rPr>
                <w:rFonts w:hint="eastAsia" w:ascii="宋体" w:hAnsi="宋体" w:cs="宋体"/>
                <w:sz w:val="18"/>
                <w:szCs w:val="18"/>
              </w:rPr>
              <w:t>检查功率模块IGBT、金属膜电容、热继电器、驱动板是否异常；可采用调换法观察故障是否发生转移，确定故障点。</w:t>
            </w:r>
          </w:p>
        </w:tc>
      </w:tr>
      <w:tr w14:paraId="780CA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17" w:type="dxa"/>
            <w:gridSpan w:val="2"/>
            <w:vAlign w:val="center"/>
          </w:tcPr>
          <w:p w14:paraId="30B1BD43">
            <w:pPr>
              <w:jc w:val="center"/>
              <w:rPr>
                <w:rFonts w:hint="eastAsia" w:ascii="宋体" w:hAnsi="宋体" w:cs="宋体"/>
                <w:sz w:val="18"/>
                <w:szCs w:val="18"/>
              </w:rPr>
            </w:pPr>
            <w:bookmarkStart w:id="208" w:name="_Toc148520893"/>
            <w:r>
              <w:rPr>
                <w:rFonts w:hint="eastAsia" w:ascii="宋体" w:hAnsi="宋体" w:cs="宋体"/>
                <w:sz w:val="18"/>
                <w:szCs w:val="18"/>
              </w:rPr>
              <w:t>4</w:t>
            </w:r>
            <w:bookmarkEnd w:id="208"/>
          </w:p>
        </w:tc>
        <w:tc>
          <w:tcPr>
            <w:tcW w:w="2127" w:type="dxa"/>
            <w:gridSpan w:val="2"/>
            <w:vAlign w:val="center"/>
          </w:tcPr>
          <w:p w14:paraId="2DB66DC9">
            <w:pPr>
              <w:jc w:val="center"/>
              <w:rPr>
                <w:rFonts w:hint="eastAsia" w:ascii="宋体" w:hAnsi="宋体" w:cs="宋体"/>
                <w:sz w:val="18"/>
                <w:szCs w:val="18"/>
              </w:rPr>
            </w:pPr>
            <w:bookmarkStart w:id="209" w:name="_Toc148520894"/>
            <w:r>
              <w:rPr>
                <w:rFonts w:hint="eastAsia" w:ascii="宋体" w:hAnsi="宋体" w:cs="宋体"/>
                <w:sz w:val="18"/>
                <w:szCs w:val="18"/>
              </w:rPr>
              <w:t>线缆</w:t>
            </w:r>
            <w:bookmarkEnd w:id="209"/>
          </w:p>
        </w:tc>
        <w:tc>
          <w:tcPr>
            <w:tcW w:w="2070" w:type="dxa"/>
            <w:vAlign w:val="center"/>
          </w:tcPr>
          <w:p w14:paraId="4A9E8592">
            <w:pPr>
              <w:jc w:val="center"/>
              <w:rPr>
                <w:rFonts w:hint="eastAsia" w:ascii="宋体" w:hAnsi="宋体" w:cs="宋体"/>
                <w:sz w:val="18"/>
                <w:szCs w:val="18"/>
              </w:rPr>
            </w:pPr>
            <w:bookmarkStart w:id="210" w:name="_Toc148520895"/>
            <w:r>
              <w:rPr>
                <w:rFonts w:hint="eastAsia" w:ascii="宋体" w:hAnsi="宋体" w:cs="宋体"/>
                <w:sz w:val="18"/>
                <w:szCs w:val="18"/>
              </w:rPr>
              <w:t>直流接地故障</w:t>
            </w:r>
            <w:bookmarkEnd w:id="210"/>
          </w:p>
        </w:tc>
        <w:tc>
          <w:tcPr>
            <w:tcW w:w="4348" w:type="dxa"/>
            <w:vAlign w:val="center"/>
          </w:tcPr>
          <w:p w14:paraId="3E770BCE">
            <w:pPr>
              <w:rPr>
                <w:rFonts w:hint="eastAsia" w:ascii="宋体" w:hAnsi="宋体" w:cs="宋体"/>
                <w:sz w:val="18"/>
                <w:szCs w:val="18"/>
              </w:rPr>
            </w:pPr>
            <w:r>
              <w:rPr>
                <w:rFonts w:hint="eastAsia" w:ascii="宋体" w:hAnsi="宋体" w:cs="宋体"/>
                <w:sz w:val="18"/>
                <w:szCs w:val="18"/>
              </w:rPr>
              <w:t>使用万用表测量直流侧各支路电压是否正常，对接地支路按照汇流主线、支路线的顺序依次排查，对找到的线缆接地点作绝缘处理。</w:t>
            </w:r>
          </w:p>
        </w:tc>
      </w:tr>
      <w:tr w14:paraId="7BEA4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17" w:type="dxa"/>
            <w:gridSpan w:val="2"/>
            <w:vAlign w:val="center"/>
          </w:tcPr>
          <w:p w14:paraId="18AA93A5">
            <w:pPr>
              <w:jc w:val="center"/>
              <w:rPr>
                <w:rFonts w:hint="eastAsia" w:ascii="宋体" w:hAnsi="宋体" w:cs="宋体"/>
                <w:sz w:val="18"/>
                <w:szCs w:val="18"/>
              </w:rPr>
            </w:pPr>
            <w:bookmarkStart w:id="211" w:name="_Toc148520896"/>
            <w:r>
              <w:rPr>
                <w:rFonts w:hint="eastAsia" w:ascii="宋体" w:hAnsi="宋体" w:cs="宋体"/>
                <w:sz w:val="18"/>
                <w:szCs w:val="18"/>
              </w:rPr>
              <w:t>5</w:t>
            </w:r>
            <w:bookmarkEnd w:id="211"/>
          </w:p>
        </w:tc>
        <w:tc>
          <w:tcPr>
            <w:tcW w:w="2127" w:type="dxa"/>
            <w:gridSpan w:val="2"/>
            <w:vAlign w:val="center"/>
          </w:tcPr>
          <w:p w14:paraId="62EEEECA">
            <w:pPr>
              <w:jc w:val="center"/>
              <w:rPr>
                <w:rFonts w:hint="eastAsia" w:ascii="宋体" w:hAnsi="宋体" w:cs="宋体"/>
                <w:sz w:val="18"/>
                <w:szCs w:val="18"/>
              </w:rPr>
            </w:pPr>
            <w:bookmarkStart w:id="212" w:name="_Toc148520897"/>
            <w:r>
              <w:rPr>
                <w:rFonts w:hint="eastAsia" w:ascii="宋体" w:hAnsi="宋体" w:cs="宋体"/>
                <w:sz w:val="18"/>
                <w:szCs w:val="18"/>
              </w:rPr>
              <w:t>电流霍尔传感器</w:t>
            </w:r>
            <w:bookmarkEnd w:id="212"/>
          </w:p>
        </w:tc>
        <w:tc>
          <w:tcPr>
            <w:tcW w:w="2070" w:type="dxa"/>
            <w:vAlign w:val="center"/>
          </w:tcPr>
          <w:p w14:paraId="034BB106">
            <w:pPr>
              <w:jc w:val="center"/>
              <w:rPr>
                <w:rFonts w:hint="eastAsia" w:ascii="宋体" w:hAnsi="宋体" w:cs="宋体"/>
                <w:sz w:val="18"/>
                <w:szCs w:val="18"/>
              </w:rPr>
            </w:pPr>
            <w:bookmarkStart w:id="213" w:name="_Toc148520898"/>
            <w:r>
              <w:rPr>
                <w:rFonts w:hint="eastAsia" w:ascii="宋体" w:hAnsi="宋体" w:cs="宋体"/>
                <w:sz w:val="18"/>
                <w:szCs w:val="18"/>
              </w:rPr>
              <w:t>电流不平衡故障</w:t>
            </w:r>
            <w:bookmarkEnd w:id="213"/>
          </w:p>
        </w:tc>
        <w:tc>
          <w:tcPr>
            <w:tcW w:w="4348" w:type="dxa"/>
            <w:vAlign w:val="center"/>
          </w:tcPr>
          <w:p w14:paraId="09D2ED67">
            <w:pPr>
              <w:rPr>
                <w:rFonts w:hint="eastAsia" w:ascii="宋体" w:hAnsi="宋体" w:cs="宋体"/>
                <w:sz w:val="18"/>
                <w:szCs w:val="18"/>
              </w:rPr>
            </w:pPr>
            <w:r>
              <w:rPr>
                <w:rFonts w:hint="eastAsia" w:ascii="宋体" w:hAnsi="宋体" w:cs="宋体"/>
                <w:sz w:val="18"/>
                <w:szCs w:val="18"/>
              </w:rPr>
              <w:t>重启逆变器观察A、B、C三相电流情况，找出电流异常项对应电流霍尔传感器。检查霍尔传感器本身、连接线路是否异常，紧固线缆或更换处理。</w:t>
            </w:r>
          </w:p>
        </w:tc>
      </w:tr>
      <w:tr w14:paraId="1ED78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17" w:type="dxa"/>
            <w:gridSpan w:val="2"/>
            <w:vAlign w:val="center"/>
          </w:tcPr>
          <w:p w14:paraId="64CEFFEE">
            <w:pPr>
              <w:jc w:val="center"/>
              <w:rPr>
                <w:rFonts w:hint="eastAsia" w:ascii="宋体" w:hAnsi="宋体" w:cs="宋体"/>
                <w:sz w:val="18"/>
                <w:szCs w:val="18"/>
              </w:rPr>
            </w:pPr>
            <w:bookmarkStart w:id="214" w:name="_Toc148520899"/>
            <w:r>
              <w:rPr>
                <w:rFonts w:hint="eastAsia" w:ascii="宋体" w:hAnsi="宋体" w:cs="宋体"/>
                <w:sz w:val="18"/>
                <w:szCs w:val="18"/>
              </w:rPr>
              <w:t>6</w:t>
            </w:r>
            <w:bookmarkEnd w:id="214"/>
          </w:p>
        </w:tc>
        <w:tc>
          <w:tcPr>
            <w:tcW w:w="2127" w:type="dxa"/>
            <w:gridSpan w:val="2"/>
            <w:vAlign w:val="center"/>
          </w:tcPr>
          <w:p w14:paraId="743D4B90">
            <w:pPr>
              <w:jc w:val="center"/>
              <w:rPr>
                <w:rFonts w:hint="eastAsia" w:ascii="宋体" w:hAnsi="宋体" w:cs="宋体"/>
                <w:sz w:val="18"/>
                <w:szCs w:val="18"/>
              </w:rPr>
            </w:pPr>
            <w:bookmarkStart w:id="215" w:name="_Toc148520900"/>
            <w:r>
              <w:rPr>
                <w:rFonts w:hint="eastAsia" w:ascii="宋体" w:hAnsi="宋体" w:cs="宋体"/>
                <w:sz w:val="18"/>
                <w:szCs w:val="18"/>
              </w:rPr>
              <w:t>驱动桥</w:t>
            </w:r>
            <w:bookmarkEnd w:id="215"/>
          </w:p>
        </w:tc>
        <w:tc>
          <w:tcPr>
            <w:tcW w:w="2070" w:type="dxa"/>
            <w:vAlign w:val="center"/>
          </w:tcPr>
          <w:p w14:paraId="6E88C80C">
            <w:pPr>
              <w:jc w:val="center"/>
              <w:rPr>
                <w:rFonts w:hint="eastAsia" w:ascii="宋体" w:hAnsi="宋体" w:cs="宋体"/>
                <w:sz w:val="18"/>
                <w:szCs w:val="18"/>
              </w:rPr>
            </w:pPr>
            <w:bookmarkStart w:id="216" w:name="_Toc148520901"/>
            <w:r>
              <w:rPr>
                <w:rFonts w:hint="eastAsia" w:ascii="宋体" w:hAnsi="宋体" w:cs="宋体"/>
                <w:sz w:val="18"/>
                <w:szCs w:val="18"/>
              </w:rPr>
              <w:t>桥驱动故障</w:t>
            </w:r>
            <w:bookmarkEnd w:id="216"/>
          </w:p>
        </w:tc>
        <w:tc>
          <w:tcPr>
            <w:tcW w:w="4348" w:type="dxa"/>
            <w:vAlign w:val="center"/>
          </w:tcPr>
          <w:p w14:paraId="106F7491">
            <w:pPr>
              <w:rPr>
                <w:rFonts w:hint="eastAsia" w:ascii="宋体" w:hAnsi="宋体" w:cs="宋体"/>
                <w:sz w:val="18"/>
                <w:szCs w:val="18"/>
              </w:rPr>
            </w:pPr>
            <w:r>
              <w:rPr>
                <w:rFonts w:hint="eastAsia" w:ascii="宋体" w:hAnsi="宋体" w:cs="宋体"/>
                <w:sz w:val="18"/>
                <w:szCs w:val="18"/>
              </w:rPr>
              <w:t>检查桥驱动供电电源是否欠压，欠压调节至15V。检查功率模块驱动板是否损坏，可以用调换法来确定故障原因。</w:t>
            </w:r>
          </w:p>
        </w:tc>
      </w:tr>
      <w:tr w14:paraId="6CA0A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17" w:type="dxa"/>
            <w:gridSpan w:val="2"/>
            <w:vAlign w:val="center"/>
          </w:tcPr>
          <w:p w14:paraId="4DD841CE">
            <w:pPr>
              <w:jc w:val="center"/>
              <w:rPr>
                <w:rFonts w:hint="eastAsia" w:ascii="宋体" w:hAnsi="宋体" w:cs="宋体"/>
                <w:sz w:val="18"/>
                <w:szCs w:val="18"/>
              </w:rPr>
            </w:pPr>
            <w:bookmarkStart w:id="217" w:name="_Toc148520902"/>
            <w:r>
              <w:rPr>
                <w:rFonts w:hint="eastAsia" w:ascii="宋体" w:hAnsi="宋体" w:cs="宋体"/>
                <w:sz w:val="18"/>
                <w:szCs w:val="18"/>
              </w:rPr>
              <w:t>7</w:t>
            </w:r>
            <w:bookmarkEnd w:id="217"/>
          </w:p>
        </w:tc>
        <w:tc>
          <w:tcPr>
            <w:tcW w:w="2127" w:type="dxa"/>
            <w:gridSpan w:val="2"/>
            <w:vAlign w:val="center"/>
          </w:tcPr>
          <w:p w14:paraId="7C616C4D">
            <w:pPr>
              <w:jc w:val="center"/>
              <w:rPr>
                <w:rFonts w:hint="eastAsia" w:ascii="宋体" w:hAnsi="宋体" w:cs="宋体"/>
                <w:sz w:val="18"/>
                <w:szCs w:val="18"/>
              </w:rPr>
            </w:pPr>
            <w:bookmarkStart w:id="218" w:name="_Toc148520903"/>
            <w:r>
              <w:rPr>
                <w:rFonts w:hint="eastAsia" w:ascii="宋体" w:hAnsi="宋体" w:cs="宋体"/>
                <w:sz w:val="18"/>
                <w:szCs w:val="18"/>
              </w:rPr>
              <w:t>接触器</w:t>
            </w:r>
            <w:bookmarkEnd w:id="218"/>
          </w:p>
        </w:tc>
        <w:tc>
          <w:tcPr>
            <w:tcW w:w="2070" w:type="dxa"/>
            <w:vAlign w:val="center"/>
          </w:tcPr>
          <w:p w14:paraId="4084B877">
            <w:pPr>
              <w:jc w:val="center"/>
              <w:rPr>
                <w:rFonts w:hint="eastAsia" w:ascii="宋体" w:hAnsi="宋体" w:cs="宋体"/>
                <w:sz w:val="18"/>
                <w:szCs w:val="18"/>
              </w:rPr>
            </w:pPr>
            <w:bookmarkStart w:id="219" w:name="_Toc148520904"/>
            <w:r>
              <w:rPr>
                <w:rFonts w:hint="eastAsia" w:ascii="宋体" w:hAnsi="宋体" w:cs="宋体"/>
                <w:sz w:val="18"/>
                <w:szCs w:val="18"/>
              </w:rPr>
              <w:t>风扇接触器异常</w:t>
            </w:r>
            <w:bookmarkEnd w:id="219"/>
          </w:p>
        </w:tc>
        <w:tc>
          <w:tcPr>
            <w:tcW w:w="4348" w:type="dxa"/>
            <w:vAlign w:val="center"/>
          </w:tcPr>
          <w:p w14:paraId="3EA575B0">
            <w:pPr>
              <w:rPr>
                <w:rFonts w:hint="eastAsia" w:ascii="宋体" w:hAnsi="宋体" w:cs="宋体"/>
                <w:sz w:val="18"/>
                <w:szCs w:val="18"/>
              </w:rPr>
            </w:pPr>
            <w:r>
              <w:rPr>
                <w:rFonts w:hint="eastAsia" w:ascii="宋体" w:hAnsi="宋体" w:cs="宋体"/>
                <w:sz w:val="18"/>
                <w:szCs w:val="18"/>
              </w:rPr>
              <w:t>检查逆变器内控制风扇转动继电器对应的浪涌保护器是否可以正常工作，如有缺陷作更换处理。</w:t>
            </w:r>
          </w:p>
        </w:tc>
      </w:tr>
      <w:tr w14:paraId="32DA6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17" w:type="dxa"/>
            <w:gridSpan w:val="2"/>
            <w:vAlign w:val="center"/>
          </w:tcPr>
          <w:p w14:paraId="6B21ED5F">
            <w:pPr>
              <w:jc w:val="center"/>
              <w:rPr>
                <w:rFonts w:hint="eastAsia" w:ascii="宋体" w:hAnsi="宋体" w:cs="宋体"/>
                <w:sz w:val="18"/>
                <w:szCs w:val="18"/>
              </w:rPr>
            </w:pPr>
            <w:bookmarkStart w:id="220" w:name="_Toc148520905"/>
            <w:r>
              <w:rPr>
                <w:rFonts w:hint="eastAsia" w:ascii="宋体" w:hAnsi="宋体" w:cs="宋体"/>
                <w:sz w:val="18"/>
                <w:szCs w:val="18"/>
              </w:rPr>
              <w:t>8</w:t>
            </w:r>
            <w:bookmarkEnd w:id="220"/>
          </w:p>
        </w:tc>
        <w:tc>
          <w:tcPr>
            <w:tcW w:w="2127" w:type="dxa"/>
            <w:gridSpan w:val="2"/>
            <w:vAlign w:val="center"/>
          </w:tcPr>
          <w:p w14:paraId="0F9C3FFD">
            <w:pPr>
              <w:jc w:val="center"/>
              <w:rPr>
                <w:rFonts w:hint="eastAsia" w:ascii="宋体" w:hAnsi="宋体" w:cs="宋体"/>
                <w:sz w:val="18"/>
                <w:szCs w:val="18"/>
              </w:rPr>
            </w:pPr>
            <w:bookmarkStart w:id="221" w:name="_Toc148520906"/>
            <w:r>
              <w:rPr>
                <w:rFonts w:hint="eastAsia" w:ascii="宋体" w:hAnsi="宋体" w:cs="宋体"/>
                <w:sz w:val="18"/>
                <w:szCs w:val="18"/>
              </w:rPr>
              <w:t>交流接触器</w:t>
            </w:r>
            <w:bookmarkEnd w:id="221"/>
          </w:p>
        </w:tc>
        <w:tc>
          <w:tcPr>
            <w:tcW w:w="2070" w:type="dxa"/>
            <w:vAlign w:val="center"/>
          </w:tcPr>
          <w:p w14:paraId="784F84BB">
            <w:pPr>
              <w:jc w:val="center"/>
              <w:rPr>
                <w:rFonts w:hint="eastAsia" w:ascii="宋体" w:hAnsi="宋体" w:cs="宋体"/>
                <w:sz w:val="18"/>
                <w:szCs w:val="18"/>
              </w:rPr>
            </w:pPr>
            <w:bookmarkStart w:id="222" w:name="_Toc148520907"/>
            <w:r>
              <w:rPr>
                <w:rFonts w:hint="eastAsia" w:ascii="宋体" w:hAnsi="宋体" w:cs="宋体"/>
                <w:sz w:val="18"/>
                <w:szCs w:val="18"/>
              </w:rPr>
              <w:t>交流接触器异常</w:t>
            </w:r>
            <w:bookmarkEnd w:id="222"/>
          </w:p>
        </w:tc>
        <w:tc>
          <w:tcPr>
            <w:tcW w:w="4348" w:type="dxa"/>
            <w:vAlign w:val="center"/>
          </w:tcPr>
          <w:p w14:paraId="1DA3E023">
            <w:pPr>
              <w:rPr>
                <w:rFonts w:hint="eastAsia" w:ascii="宋体" w:hAnsi="宋体" w:cs="宋体"/>
                <w:sz w:val="18"/>
                <w:szCs w:val="18"/>
              </w:rPr>
            </w:pPr>
            <w:r>
              <w:rPr>
                <w:rFonts w:hint="eastAsia" w:ascii="宋体" w:hAnsi="宋体" w:cs="宋体"/>
                <w:sz w:val="18"/>
                <w:szCs w:val="18"/>
              </w:rPr>
              <w:t>检查逆变器液晶显示屏故障告警信息，如果存在频繁启停机的现象，判断交流接触器触点接触不良。将交流接触器进行解体维修，观察触点是否存在虚接现象，如有缺陷更换触点，并对接触器外壳进行加固，保证触点在正确的退出位置。</w:t>
            </w:r>
          </w:p>
        </w:tc>
      </w:tr>
    </w:tbl>
    <w:p w14:paraId="00EB414C">
      <w:pPr>
        <w:rPr>
          <w:rFonts w:ascii="宋体"/>
          <w:szCs w:val="20"/>
          <w:lang w:bidi="en-US"/>
        </w:rPr>
      </w:pPr>
      <w:r>
        <w:rPr>
          <w:rFonts w:hint="eastAsia" w:ascii="宋体"/>
          <w:szCs w:val="20"/>
          <w:lang w:bidi="en-US"/>
        </w:rPr>
        <w:br w:type="page"/>
      </w:r>
    </w:p>
    <w:p w14:paraId="5C34BFEC">
      <w:pPr>
        <w:pStyle w:val="88"/>
        <w:numPr>
          <w:ilvl w:val="0"/>
          <w:numId w:val="0"/>
        </w:numPr>
        <w:spacing w:before="312" w:after="312"/>
        <w:outlineLvl w:val="0"/>
      </w:pPr>
      <w:bookmarkStart w:id="223" w:name="_Toc148520908"/>
      <w:bookmarkStart w:id="224" w:name="_Toc148531849"/>
      <w:bookmarkStart w:id="225" w:name="_Toc29757"/>
      <w:r>
        <w:rPr>
          <w:rFonts w:hint="eastAsia"/>
        </w:rPr>
        <w:t>附录C（</w:t>
      </w:r>
      <w:r>
        <w:rPr>
          <w:rFonts w:hint="eastAsia"/>
          <w:lang w:val="en-US" w:eastAsia="zh-CN"/>
        </w:rPr>
        <w:t>资料</w:t>
      </w:r>
      <w:r>
        <w:rPr>
          <w:rFonts w:hint="eastAsia"/>
        </w:rPr>
        <w:t>性） 光伏电站故障记录表</w:t>
      </w:r>
      <w:bookmarkEnd w:id="223"/>
      <w:bookmarkEnd w:id="224"/>
      <w:bookmarkEnd w:id="225"/>
    </w:p>
    <w:p w14:paraId="6EB3AD3B">
      <w:pPr>
        <w:pStyle w:val="25"/>
        <w:spacing w:before="156" w:beforeLines="50" w:after="156" w:afterLines="50"/>
        <w:jc w:val="center"/>
        <w:rPr>
          <w:rFonts w:hint="eastAsia" w:hAnsi="宋体"/>
        </w:rPr>
      </w:pPr>
      <w:r>
        <w:rPr>
          <w:rFonts w:hint="eastAsia" w:ascii="黑体" w:hAnsi="黑体" w:eastAsia="黑体" w:cs="黑体"/>
        </w:rPr>
        <w:t>表C 光伏电站故障记录表</w:t>
      </w:r>
    </w:p>
    <w:tbl>
      <w:tblPr>
        <w:tblStyle w:val="35"/>
        <w:tblW w:w="9316" w:type="dxa"/>
        <w:tblInd w:w="13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962"/>
        <w:gridCol w:w="1136"/>
        <w:gridCol w:w="119"/>
        <w:gridCol w:w="1501"/>
        <w:gridCol w:w="1780"/>
        <w:gridCol w:w="1459"/>
        <w:gridCol w:w="1359"/>
      </w:tblGrid>
      <w:tr w14:paraId="482619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962" w:type="dxa"/>
            <w:vAlign w:val="center"/>
          </w:tcPr>
          <w:p w14:paraId="7E099655">
            <w:pPr>
              <w:jc w:val="center"/>
              <w:rPr>
                <w:rFonts w:hint="eastAsia" w:ascii="宋体" w:hAnsi="宋体" w:cs="宋体"/>
                <w:sz w:val="18"/>
                <w:szCs w:val="18"/>
              </w:rPr>
            </w:pPr>
            <w:r>
              <w:rPr>
                <w:rFonts w:hint="eastAsia" w:ascii="宋体" w:hAnsi="宋体" w:cs="宋体"/>
                <w:sz w:val="18"/>
                <w:szCs w:val="18"/>
              </w:rPr>
              <w:t>编号</w:t>
            </w:r>
          </w:p>
        </w:tc>
        <w:tc>
          <w:tcPr>
            <w:tcW w:w="1136" w:type="dxa"/>
            <w:vAlign w:val="center"/>
          </w:tcPr>
          <w:p w14:paraId="50D93C48">
            <w:pPr>
              <w:jc w:val="center"/>
              <w:rPr>
                <w:rFonts w:hint="eastAsia" w:ascii="宋体" w:hAnsi="宋体" w:cs="宋体"/>
                <w:sz w:val="18"/>
                <w:szCs w:val="18"/>
              </w:rPr>
            </w:pPr>
          </w:p>
        </w:tc>
        <w:tc>
          <w:tcPr>
            <w:tcW w:w="1620" w:type="dxa"/>
            <w:gridSpan w:val="2"/>
            <w:vAlign w:val="center"/>
          </w:tcPr>
          <w:p w14:paraId="38EA644F">
            <w:pPr>
              <w:jc w:val="center"/>
              <w:rPr>
                <w:rFonts w:hint="eastAsia" w:ascii="宋体" w:hAnsi="宋体" w:cs="宋体"/>
                <w:sz w:val="18"/>
                <w:szCs w:val="18"/>
              </w:rPr>
            </w:pPr>
            <w:r>
              <w:rPr>
                <w:rFonts w:hint="eastAsia" w:ascii="宋体" w:hAnsi="宋体" w:cs="宋体"/>
                <w:sz w:val="18"/>
                <w:szCs w:val="18"/>
              </w:rPr>
              <w:t>日期</w:t>
            </w:r>
          </w:p>
        </w:tc>
        <w:tc>
          <w:tcPr>
            <w:tcW w:w="1780" w:type="dxa"/>
            <w:vAlign w:val="center"/>
          </w:tcPr>
          <w:p w14:paraId="1316EF7D">
            <w:pPr>
              <w:jc w:val="center"/>
              <w:rPr>
                <w:rFonts w:hint="eastAsia" w:ascii="宋体" w:hAnsi="宋体" w:cs="宋体"/>
                <w:sz w:val="18"/>
                <w:szCs w:val="18"/>
              </w:rPr>
            </w:pPr>
          </w:p>
        </w:tc>
        <w:tc>
          <w:tcPr>
            <w:tcW w:w="1459" w:type="dxa"/>
            <w:vAlign w:val="center"/>
          </w:tcPr>
          <w:p w14:paraId="71EE3824">
            <w:pPr>
              <w:jc w:val="center"/>
              <w:rPr>
                <w:rFonts w:hint="eastAsia" w:ascii="宋体" w:hAnsi="宋体" w:cs="宋体"/>
                <w:sz w:val="18"/>
                <w:szCs w:val="18"/>
              </w:rPr>
            </w:pPr>
            <w:r>
              <w:rPr>
                <w:rFonts w:hint="eastAsia" w:ascii="宋体" w:hAnsi="宋体" w:cs="宋体"/>
                <w:sz w:val="18"/>
                <w:szCs w:val="18"/>
              </w:rPr>
              <w:t>天气情况</w:t>
            </w:r>
          </w:p>
        </w:tc>
        <w:tc>
          <w:tcPr>
            <w:tcW w:w="1359" w:type="dxa"/>
            <w:vAlign w:val="center"/>
          </w:tcPr>
          <w:p w14:paraId="5AECC3F3">
            <w:pPr>
              <w:jc w:val="center"/>
              <w:rPr>
                <w:rFonts w:hint="eastAsia" w:ascii="宋体" w:hAnsi="宋体" w:cs="宋体"/>
                <w:sz w:val="18"/>
                <w:szCs w:val="18"/>
              </w:rPr>
            </w:pPr>
          </w:p>
        </w:tc>
      </w:tr>
      <w:tr w14:paraId="76ADAE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962" w:type="dxa"/>
            <w:vAlign w:val="center"/>
          </w:tcPr>
          <w:p w14:paraId="78A622AC">
            <w:pPr>
              <w:jc w:val="center"/>
              <w:rPr>
                <w:rFonts w:hint="eastAsia" w:ascii="宋体" w:hAnsi="宋体" w:cs="宋体"/>
                <w:sz w:val="18"/>
                <w:szCs w:val="18"/>
              </w:rPr>
            </w:pPr>
            <w:r>
              <w:rPr>
                <w:rFonts w:hint="eastAsia" w:ascii="宋体" w:hAnsi="宋体" w:cs="宋体"/>
                <w:sz w:val="18"/>
                <w:szCs w:val="18"/>
              </w:rPr>
              <w:t>故障地点</w:t>
            </w:r>
          </w:p>
        </w:tc>
        <w:tc>
          <w:tcPr>
            <w:tcW w:w="7354" w:type="dxa"/>
            <w:gridSpan w:val="6"/>
            <w:vAlign w:val="center"/>
          </w:tcPr>
          <w:p w14:paraId="188D100E">
            <w:pPr>
              <w:rPr>
                <w:rFonts w:hint="eastAsia" w:ascii="宋体" w:hAnsi="宋体" w:cs="宋体"/>
                <w:sz w:val="18"/>
                <w:szCs w:val="18"/>
              </w:rPr>
            </w:pPr>
            <w:r>
              <w:rPr>
                <w:rFonts w:hint="eastAsia" w:ascii="宋体" w:hAnsi="宋体" w:cs="宋体"/>
                <w:sz w:val="18"/>
                <w:szCs w:val="18"/>
              </w:rPr>
              <w:t>（具体到开关、光伏线、发电单元、汇流箱编号、支路编号......）</w:t>
            </w:r>
          </w:p>
        </w:tc>
      </w:tr>
      <w:tr w14:paraId="060D02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962" w:type="dxa"/>
            <w:vAlign w:val="center"/>
          </w:tcPr>
          <w:p w14:paraId="00083336">
            <w:pPr>
              <w:jc w:val="center"/>
              <w:rPr>
                <w:rFonts w:hint="eastAsia" w:ascii="宋体" w:hAnsi="宋体" w:cs="宋体"/>
                <w:sz w:val="18"/>
                <w:szCs w:val="18"/>
              </w:rPr>
            </w:pPr>
            <w:r>
              <w:rPr>
                <w:rFonts w:hint="eastAsia" w:ascii="宋体" w:hAnsi="宋体" w:cs="宋体"/>
                <w:sz w:val="18"/>
                <w:szCs w:val="18"/>
              </w:rPr>
              <w:t>故障发现时间</w:t>
            </w:r>
          </w:p>
        </w:tc>
        <w:tc>
          <w:tcPr>
            <w:tcW w:w="2756" w:type="dxa"/>
            <w:gridSpan w:val="3"/>
            <w:vAlign w:val="center"/>
          </w:tcPr>
          <w:p w14:paraId="55A13BEA">
            <w:pPr>
              <w:jc w:val="center"/>
              <w:rPr>
                <w:rFonts w:hint="eastAsia" w:ascii="宋体" w:hAnsi="宋体" w:cs="宋体"/>
                <w:sz w:val="18"/>
                <w:szCs w:val="18"/>
              </w:rPr>
            </w:pPr>
          </w:p>
        </w:tc>
        <w:tc>
          <w:tcPr>
            <w:tcW w:w="1780" w:type="dxa"/>
            <w:vAlign w:val="center"/>
          </w:tcPr>
          <w:p w14:paraId="25845AAD">
            <w:pPr>
              <w:jc w:val="center"/>
              <w:rPr>
                <w:rFonts w:hint="eastAsia" w:ascii="宋体" w:hAnsi="宋体" w:cs="宋体"/>
                <w:sz w:val="18"/>
                <w:szCs w:val="18"/>
              </w:rPr>
            </w:pPr>
            <w:r>
              <w:rPr>
                <w:rFonts w:hint="eastAsia" w:ascii="宋体" w:hAnsi="宋体" w:cs="宋体"/>
                <w:sz w:val="18"/>
                <w:szCs w:val="18"/>
              </w:rPr>
              <w:t>故障发现人</w:t>
            </w:r>
          </w:p>
        </w:tc>
        <w:tc>
          <w:tcPr>
            <w:tcW w:w="2818" w:type="dxa"/>
            <w:gridSpan w:val="2"/>
            <w:vAlign w:val="center"/>
          </w:tcPr>
          <w:p w14:paraId="619757B7">
            <w:pPr>
              <w:jc w:val="center"/>
              <w:rPr>
                <w:rFonts w:hint="eastAsia" w:ascii="宋体" w:hAnsi="宋体" w:cs="宋体"/>
                <w:sz w:val="18"/>
                <w:szCs w:val="18"/>
              </w:rPr>
            </w:pPr>
          </w:p>
        </w:tc>
      </w:tr>
      <w:tr w14:paraId="2D728D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962" w:type="dxa"/>
            <w:vAlign w:val="center"/>
          </w:tcPr>
          <w:p w14:paraId="3C263F2C">
            <w:pPr>
              <w:jc w:val="center"/>
              <w:rPr>
                <w:rFonts w:hint="eastAsia" w:ascii="宋体" w:hAnsi="宋体" w:cs="宋体"/>
                <w:sz w:val="18"/>
                <w:szCs w:val="18"/>
              </w:rPr>
            </w:pPr>
            <w:r>
              <w:rPr>
                <w:rFonts w:hint="eastAsia" w:ascii="宋体" w:hAnsi="宋体" w:cs="宋体"/>
                <w:sz w:val="18"/>
                <w:szCs w:val="18"/>
              </w:rPr>
              <w:t>故障处理开始时间</w:t>
            </w:r>
          </w:p>
        </w:tc>
        <w:tc>
          <w:tcPr>
            <w:tcW w:w="2756" w:type="dxa"/>
            <w:gridSpan w:val="3"/>
            <w:vAlign w:val="center"/>
          </w:tcPr>
          <w:p w14:paraId="22523DD3">
            <w:pPr>
              <w:jc w:val="center"/>
              <w:rPr>
                <w:rFonts w:hint="eastAsia" w:ascii="宋体" w:hAnsi="宋体" w:cs="宋体"/>
                <w:sz w:val="18"/>
                <w:szCs w:val="18"/>
              </w:rPr>
            </w:pPr>
          </w:p>
        </w:tc>
        <w:tc>
          <w:tcPr>
            <w:tcW w:w="1780" w:type="dxa"/>
            <w:vAlign w:val="center"/>
          </w:tcPr>
          <w:p w14:paraId="481A7C07">
            <w:pPr>
              <w:jc w:val="center"/>
              <w:rPr>
                <w:rFonts w:hint="eastAsia" w:ascii="宋体" w:hAnsi="宋体" w:cs="宋体"/>
                <w:sz w:val="18"/>
                <w:szCs w:val="18"/>
              </w:rPr>
            </w:pPr>
            <w:r>
              <w:rPr>
                <w:rFonts w:hint="eastAsia" w:ascii="宋体" w:hAnsi="宋体" w:cs="宋体"/>
                <w:sz w:val="18"/>
                <w:szCs w:val="18"/>
              </w:rPr>
              <w:t>记录人</w:t>
            </w:r>
          </w:p>
        </w:tc>
        <w:tc>
          <w:tcPr>
            <w:tcW w:w="2818" w:type="dxa"/>
            <w:gridSpan w:val="2"/>
            <w:vAlign w:val="center"/>
          </w:tcPr>
          <w:p w14:paraId="3B14F11C">
            <w:pPr>
              <w:jc w:val="center"/>
              <w:rPr>
                <w:rFonts w:hint="eastAsia" w:ascii="宋体" w:hAnsi="宋体" w:cs="宋体"/>
                <w:sz w:val="18"/>
                <w:szCs w:val="18"/>
              </w:rPr>
            </w:pPr>
          </w:p>
        </w:tc>
      </w:tr>
      <w:tr w14:paraId="4E579C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962" w:type="dxa"/>
            <w:vAlign w:val="center"/>
          </w:tcPr>
          <w:p w14:paraId="1EAA2DAE">
            <w:pPr>
              <w:jc w:val="center"/>
              <w:rPr>
                <w:rFonts w:hint="eastAsia" w:ascii="宋体" w:hAnsi="宋体" w:cs="宋体"/>
                <w:sz w:val="18"/>
                <w:szCs w:val="18"/>
              </w:rPr>
            </w:pPr>
            <w:r>
              <w:rPr>
                <w:rFonts w:hint="eastAsia" w:ascii="宋体" w:hAnsi="宋体" w:cs="宋体"/>
                <w:sz w:val="18"/>
                <w:szCs w:val="18"/>
              </w:rPr>
              <w:t>故障处理结束时间</w:t>
            </w:r>
          </w:p>
        </w:tc>
        <w:tc>
          <w:tcPr>
            <w:tcW w:w="2756" w:type="dxa"/>
            <w:gridSpan w:val="3"/>
            <w:vAlign w:val="center"/>
          </w:tcPr>
          <w:p w14:paraId="01A73412">
            <w:pPr>
              <w:jc w:val="center"/>
              <w:rPr>
                <w:rFonts w:hint="eastAsia" w:ascii="宋体" w:hAnsi="宋体" w:cs="宋体"/>
                <w:sz w:val="18"/>
                <w:szCs w:val="18"/>
              </w:rPr>
            </w:pPr>
          </w:p>
        </w:tc>
        <w:tc>
          <w:tcPr>
            <w:tcW w:w="1780" w:type="dxa"/>
            <w:vAlign w:val="center"/>
          </w:tcPr>
          <w:p w14:paraId="06855170">
            <w:pPr>
              <w:jc w:val="center"/>
              <w:rPr>
                <w:rFonts w:hint="eastAsia" w:ascii="宋体" w:hAnsi="宋体" w:cs="宋体"/>
                <w:sz w:val="18"/>
                <w:szCs w:val="18"/>
              </w:rPr>
            </w:pPr>
            <w:r>
              <w:rPr>
                <w:rFonts w:hint="eastAsia" w:ascii="宋体" w:hAnsi="宋体" w:cs="宋体"/>
                <w:sz w:val="18"/>
                <w:szCs w:val="18"/>
              </w:rPr>
              <w:t>记录人</w:t>
            </w:r>
          </w:p>
        </w:tc>
        <w:tc>
          <w:tcPr>
            <w:tcW w:w="2818" w:type="dxa"/>
            <w:gridSpan w:val="2"/>
            <w:vAlign w:val="center"/>
          </w:tcPr>
          <w:p w14:paraId="4391E053">
            <w:pPr>
              <w:jc w:val="center"/>
              <w:rPr>
                <w:rFonts w:hint="eastAsia" w:ascii="宋体" w:hAnsi="宋体" w:cs="宋体"/>
                <w:sz w:val="18"/>
                <w:szCs w:val="18"/>
              </w:rPr>
            </w:pPr>
          </w:p>
        </w:tc>
      </w:tr>
      <w:tr w14:paraId="0FE39D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962" w:type="dxa"/>
            <w:vAlign w:val="center"/>
          </w:tcPr>
          <w:p w14:paraId="1222DFEF">
            <w:pPr>
              <w:jc w:val="center"/>
              <w:rPr>
                <w:rFonts w:hint="eastAsia" w:ascii="宋体" w:hAnsi="宋体" w:cs="宋体"/>
                <w:sz w:val="18"/>
                <w:szCs w:val="18"/>
              </w:rPr>
            </w:pPr>
            <w:r>
              <w:rPr>
                <w:rFonts w:hint="eastAsia" w:ascii="宋体" w:hAnsi="宋体" w:cs="宋体"/>
                <w:sz w:val="18"/>
                <w:szCs w:val="18"/>
              </w:rPr>
              <w:t>故障处理持续时间</w:t>
            </w:r>
          </w:p>
        </w:tc>
        <w:tc>
          <w:tcPr>
            <w:tcW w:w="7354" w:type="dxa"/>
            <w:gridSpan w:val="6"/>
            <w:vAlign w:val="center"/>
          </w:tcPr>
          <w:p w14:paraId="5EF59F0D">
            <w:pPr>
              <w:jc w:val="center"/>
              <w:rPr>
                <w:rFonts w:hint="eastAsia" w:ascii="宋体" w:hAnsi="宋体" w:cs="宋体"/>
                <w:sz w:val="18"/>
                <w:szCs w:val="18"/>
              </w:rPr>
            </w:pPr>
          </w:p>
        </w:tc>
      </w:tr>
      <w:tr w14:paraId="6D826F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962" w:type="dxa"/>
            <w:vAlign w:val="center"/>
          </w:tcPr>
          <w:p w14:paraId="2A23C0AC">
            <w:pPr>
              <w:jc w:val="center"/>
              <w:rPr>
                <w:rFonts w:hint="eastAsia" w:ascii="宋体" w:hAnsi="宋体" w:cs="宋体"/>
                <w:sz w:val="18"/>
                <w:szCs w:val="18"/>
              </w:rPr>
            </w:pPr>
            <w:r>
              <w:rPr>
                <w:rFonts w:hint="eastAsia" w:ascii="宋体" w:hAnsi="宋体" w:cs="宋体"/>
                <w:sz w:val="18"/>
                <w:szCs w:val="18"/>
              </w:rPr>
              <w:t>故障描述</w:t>
            </w:r>
          </w:p>
        </w:tc>
        <w:tc>
          <w:tcPr>
            <w:tcW w:w="7354" w:type="dxa"/>
            <w:gridSpan w:val="6"/>
            <w:vAlign w:val="center"/>
          </w:tcPr>
          <w:p w14:paraId="38A35862">
            <w:pPr>
              <w:jc w:val="center"/>
              <w:rPr>
                <w:rFonts w:hint="eastAsia" w:ascii="宋体" w:hAnsi="宋体" w:cs="宋体"/>
                <w:sz w:val="18"/>
                <w:szCs w:val="18"/>
              </w:rPr>
            </w:pPr>
          </w:p>
        </w:tc>
      </w:tr>
      <w:tr w14:paraId="633A69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962" w:type="dxa"/>
            <w:vAlign w:val="center"/>
          </w:tcPr>
          <w:p w14:paraId="3FFD9CA2">
            <w:pPr>
              <w:jc w:val="center"/>
              <w:rPr>
                <w:rFonts w:hint="eastAsia" w:ascii="宋体" w:hAnsi="宋体" w:cs="宋体"/>
                <w:sz w:val="18"/>
                <w:szCs w:val="18"/>
              </w:rPr>
            </w:pPr>
            <w:r>
              <w:rPr>
                <w:rFonts w:hint="eastAsia" w:ascii="宋体" w:hAnsi="宋体" w:cs="宋体"/>
                <w:sz w:val="18"/>
                <w:szCs w:val="18"/>
              </w:rPr>
              <w:t>故障处理前照片</w:t>
            </w:r>
          </w:p>
        </w:tc>
        <w:tc>
          <w:tcPr>
            <w:tcW w:w="7354" w:type="dxa"/>
            <w:gridSpan w:val="6"/>
            <w:vAlign w:val="center"/>
          </w:tcPr>
          <w:p w14:paraId="7F6EBFCD">
            <w:pPr>
              <w:jc w:val="center"/>
              <w:rPr>
                <w:rFonts w:hint="eastAsia" w:ascii="宋体" w:hAnsi="宋体" w:cs="宋体"/>
                <w:sz w:val="18"/>
                <w:szCs w:val="18"/>
              </w:rPr>
            </w:pPr>
          </w:p>
          <w:p w14:paraId="56C10A37">
            <w:pPr>
              <w:jc w:val="center"/>
              <w:rPr>
                <w:rFonts w:hint="eastAsia" w:ascii="宋体" w:hAnsi="宋体" w:cs="宋体"/>
                <w:sz w:val="18"/>
                <w:szCs w:val="18"/>
              </w:rPr>
            </w:pPr>
          </w:p>
          <w:p w14:paraId="46B1CBCD">
            <w:pPr>
              <w:jc w:val="center"/>
              <w:rPr>
                <w:rFonts w:hint="eastAsia" w:ascii="宋体" w:hAnsi="宋体" w:cs="宋体"/>
                <w:sz w:val="18"/>
                <w:szCs w:val="18"/>
              </w:rPr>
            </w:pPr>
          </w:p>
          <w:p w14:paraId="2DE45FED">
            <w:pPr>
              <w:jc w:val="center"/>
              <w:rPr>
                <w:rFonts w:hint="eastAsia" w:ascii="宋体" w:hAnsi="宋体" w:cs="宋体"/>
                <w:sz w:val="18"/>
                <w:szCs w:val="18"/>
              </w:rPr>
            </w:pPr>
          </w:p>
          <w:p w14:paraId="2D40C284">
            <w:pPr>
              <w:jc w:val="center"/>
              <w:rPr>
                <w:rFonts w:hint="eastAsia" w:ascii="宋体" w:hAnsi="宋体" w:cs="宋体"/>
                <w:sz w:val="18"/>
                <w:szCs w:val="18"/>
              </w:rPr>
            </w:pPr>
          </w:p>
          <w:p w14:paraId="28731D5E">
            <w:pPr>
              <w:jc w:val="center"/>
              <w:rPr>
                <w:rFonts w:hint="eastAsia" w:ascii="宋体" w:hAnsi="宋体" w:cs="宋体"/>
                <w:sz w:val="18"/>
                <w:szCs w:val="18"/>
              </w:rPr>
            </w:pPr>
          </w:p>
        </w:tc>
      </w:tr>
      <w:tr w14:paraId="688E57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962" w:type="dxa"/>
            <w:vAlign w:val="center"/>
          </w:tcPr>
          <w:p w14:paraId="52F5EDF7">
            <w:pPr>
              <w:jc w:val="center"/>
              <w:rPr>
                <w:rFonts w:hint="eastAsia" w:ascii="宋体" w:hAnsi="宋体" w:cs="宋体"/>
                <w:sz w:val="18"/>
                <w:szCs w:val="18"/>
              </w:rPr>
            </w:pPr>
            <w:r>
              <w:rPr>
                <w:rFonts w:hint="eastAsia" w:ascii="宋体" w:hAnsi="宋体" w:cs="宋体"/>
                <w:sz w:val="18"/>
                <w:szCs w:val="18"/>
              </w:rPr>
              <w:t>故障原因</w:t>
            </w:r>
          </w:p>
        </w:tc>
        <w:tc>
          <w:tcPr>
            <w:tcW w:w="7354" w:type="dxa"/>
            <w:gridSpan w:val="6"/>
            <w:vAlign w:val="center"/>
          </w:tcPr>
          <w:p w14:paraId="3FB6F2D3">
            <w:pPr>
              <w:jc w:val="center"/>
              <w:rPr>
                <w:rFonts w:hint="eastAsia" w:ascii="宋体" w:hAnsi="宋体" w:cs="宋体"/>
                <w:sz w:val="18"/>
                <w:szCs w:val="18"/>
              </w:rPr>
            </w:pPr>
          </w:p>
        </w:tc>
      </w:tr>
      <w:tr w14:paraId="41BE49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962" w:type="dxa"/>
            <w:vAlign w:val="center"/>
          </w:tcPr>
          <w:p w14:paraId="37B340F9">
            <w:pPr>
              <w:jc w:val="center"/>
              <w:rPr>
                <w:rFonts w:hint="eastAsia" w:ascii="宋体" w:hAnsi="宋体" w:cs="宋体"/>
                <w:sz w:val="18"/>
                <w:szCs w:val="18"/>
              </w:rPr>
            </w:pPr>
            <w:r>
              <w:rPr>
                <w:rFonts w:hint="eastAsia" w:ascii="宋体" w:hAnsi="宋体" w:cs="宋体"/>
                <w:sz w:val="18"/>
                <w:szCs w:val="18"/>
              </w:rPr>
              <w:t>故障处理简述</w:t>
            </w:r>
          </w:p>
        </w:tc>
        <w:tc>
          <w:tcPr>
            <w:tcW w:w="7354" w:type="dxa"/>
            <w:gridSpan w:val="6"/>
            <w:vAlign w:val="center"/>
          </w:tcPr>
          <w:p w14:paraId="72D07250">
            <w:pPr>
              <w:jc w:val="center"/>
              <w:rPr>
                <w:rFonts w:hint="eastAsia" w:ascii="宋体" w:hAnsi="宋体" w:cs="宋体"/>
                <w:sz w:val="18"/>
                <w:szCs w:val="18"/>
              </w:rPr>
            </w:pPr>
          </w:p>
        </w:tc>
      </w:tr>
      <w:tr w14:paraId="0A8BDF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962" w:type="dxa"/>
            <w:vAlign w:val="center"/>
          </w:tcPr>
          <w:p w14:paraId="3C1460EC">
            <w:pPr>
              <w:jc w:val="center"/>
              <w:rPr>
                <w:rFonts w:hint="eastAsia" w:ascii="宋体" w:hAnsi="宋体" w:cs="宋体"/>
                <w:sz w:val="18"/>
                <w:szCs w:val="18"/>
              </w:rPr>
            </w:pPr>
            <w:r>
              <w:rPr>
                <w:rFonts w:hint="eastAsia" w:ascii="宋体" w:hAnsi="宋体" w:cs="宋体"/>
                <w:sz w:val="18"/>
                <w:szCs w:val="18"/>
              </w:rPr>
              <w:t>故障处理后照片</w:t>
            </w:r>
          </w:p>
        </w:tc>
        <w:tc>
          <w:tcPr>
            <w:tcW w:w="7354" w:type="dxa"/>
            <w:gridSpan w:val="6"/>
            <w:vAlign w:val="center"/>
          </w:tcPr>
          <w:p w14:paraId="74D714A6">
            <w:pPr>
              <w:jc w:val="center"/>
              <w:rPr>
                <w:rFonts w:hint="eastAsia" w:ascii="宋体" w:hAnsi="宋体" w:cs="宋体"/>
                <w:sz w:val="18"/>
                <w:szCs w:val="18"/>
              </w:rPr>
            </w:pPr>
          </w:p>
          <w:p w14:paraId="7A40191D">
            <w:pPr>
              <w:jc w:val="center"/>
              <w:rPr>
                <w:rFonts w:hint="eastAsia" w:ascii="宋体" w:hAnsi="宋体" w:cs="宋体"/>
                <w:sz w:val="18"/>
                <w:szCs w:val="18"/>
              </w:rPr>
            </w:pPr>
          </w:p>
          <w:p w14:paraId="081074A2">
            <w:pPr>
              <w:jc w:val="center"/>
              <w:rPr>
                <w:rFonts w:hint="eastAsia" w:ascii="宋体" w:hAnsi="宋体" w:cs="宋体"/>
                <w:sz w:val="18"/>
                <w:szCs w:val="18"/>
              </w:rPr>
            </w:pPr>
          </w:p>
          <w:p w14:paraId="7A573181">
            <w:pPr>
              <w:jc w:val="center"/>
              <w:rPr>
                <w:rFonts w:hint="eastAsia" w:ascii="宋体" w:hAnsi="宋体" w:cs="宋体"/>
                <w:sz w:val="18"/>
                <w:szCs w:val="18"/>
              </w:rPr>
            </w:pPr>
          </w:p>
          <w:p w14:paraId="7E132D14">
            <w:pPr>
              <w:jc w:val="center"/>
              <w:rPr>
                <w:rFonts w:hint="eastAsia" w:ascii="宋体" w:hAnsi="宋体" w:cs="宋体"/>
                <w:sz w:val="18"/>
                <w:szCs w:val="18"/>
              </w:rPr>
            </w:pPr>
          </w:p>
          <w:p w14:paraId="40B544FD">
            <w:pPr>
              <w:jc w:val="center"/>
              <w:rPr>
                <w:rFonts w:hint="eastAsia" w:ascii="宋体" w:hAnsi="宋体" w:cs="宋体"/>
                <w:sz w:val="18"/>
                <w:szCs w:val="18"/>
              </w:rPr>
            </w:pPr>
          </w:p>
          <w:p w14:paraId="052466F8">
            <w:pPr>
              <w:jc w:val="center"/>
              <w:rPr>
                <w:rFonts w:hint="eastAsia" w:ascii="宋体" w:hAnsi="宋体" w:cs="宋体"/>
                <w:sz w:val="18"/>
                <w:szCs w:val="18"/>
              </w:rPr>
            </w:pPr>
          </w:p>
          <w:p w14:paraId="608EEF64">
            <w:pPr>
              <w:jc w:val="center"/>
              <w:rPr>
                <w:rFonts w:hint="eastAsia" w:ascii="宋体" w:hAnsi="宋体" w:cs="宋体"/>
                <w:sz w:val="18"/>
                <w:szCs w:val="18"/>
              </w:rPr>
            </w:pPr>
          </w:p>
          <w:p w14:paraId="6682AB1D">
            <w:pPr>
              <w:jc w:val="center"/>
              <w:rPr>
                <w:rFonts w:hint="eastAsia" w:ascii="宋体" w:hAnsi="宋体" w:cs="宋体"/>
                <w:sz w:val="18"/>
                <w:szCs w:val="18"/>
              </w:rPr>
            </w:pPr>
          </w:p>
          <w:p w14:paraId="3DEB64EE">
            <w:pPr>
              <w:jc w:val="center"/>
              <w:rPr>
                <w:rFonts w:hint="eastAsia" w:ascii="宋体" w:hAnsi="宋体" w:cs="宋体"/>
                <w:sz w:val="18"/>
                <w:szCs w:val="18"/>
              </w:rPr>
            </w:pPr>
          </w:p>
        </w:tc>
      </w:tr>
      <w:tr w14:paraId="2CF3E3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962" w:type="dxa"/>
            <w:vAlign w:val="center"/>
          </w:tcPr>
          <w:p w14:paraId="331546B7">
            <w:pPr>
              <w:jc w:val="center"/>
              <w:rPr>
                <w:rFonts w:hint="eastAsia" w:ascii="宋体" w:hAnsi="宋体" w:cs="宋体"/>
                <w:sz w:val="18"/>
                <w:szCs w:val="18"/>
              </w:rPr>
            </w:pPr>
            <w:r>
              <w:rPr>
                <w:rFonts w:hint="eastAsia" w:ascii="宋体" w:hAnsi="宋体" w:cs="宋体"/>
                <w:sz w:val="18"/>
                <w:szCs w:val="18"/>
              </w:rPr>
              <w:t>需要的工器具</w:t>
            </w:r>
          </w:p>
        </w:tc>
        <w:tc>
          <w:tcPr>
            <w:tcW w:w="2756" w:type="dxa"/>
            <w:gridSpan w:val="3"/>
            <w:vAlign w:val="center"/>
          </w:tcPr>
          <w:p w14:paraId="52469765">
            <w:pPr>
              <w:jc w:val="center"/>
              <w:rPr>
                <w:rFonts w:hint="eastAsia" w:ascii="宋体" w:hAnsi="宋体" w:cs="宋体"/>
                <w:sz w:val="18"/>
                <w:szCs w:val="18"/>
              </w:rPr>
            </w:pPr>
          </w:p>
        </w:tc>
        <w:tc>
          <w:tcPr>
            <w:tcW w:w="1780" w:type="dxa"/>
            <w:vAlign w:val="center"/>
          </w:tcPr>
          <w:p w14:paraId="792AF161">
            <w:pPr>
              <w:jc w:val="center"/>
              <w:rPr>
                <w:rFonts w:hint="eastAsia" w:ascii="宋体" w:hAnsi="宋体" w:cs="宋体"/>
                <w:sz w:val="18"/>
                <w:szCs w:val="18"/>
              </w:rPr>
            </w:pPr>
            <w:r>
              <w:rPr>
                <w:rFonts w:hint="eastAsia" w:ascii="宋体" w:hAnsi="宋体" w:cs="宋体"/>
                <w:sz w:val="18"/>
                <w:szCs w:val="18"/>
              </w:rPr>
              <w:t>需要的备品备件</w:t>
            </w:r>
          </w:p>
        </w:tc>
        <w:tc>
          <w:tcPr>
            <w:tcW w:w="2818" w:type="dxa"/>
            <w:gridSpan w:val="2"/>
            <w:vAlign w:val="center"/>
          </w:tcPr>
          <w:p w14:paraId="7F7B0175">
            <w:pPr>
              <w:jc w:val="center"/>
              <w:rPr>
                <w:rFonts w:hint="eastAsia" w:ascii="宋体" w:hAnsi="宋体" w:cs="宋体"/>
                <w:sz w:val="18"/>
                <w:szCs w:val="18"/>
              </w:rPr>
            </w:pPr>
          </w:p>
        </w:tc>
      </w:tr>
      <w:tr w14:paraId="12354F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962" w:type="dxa"/>
            <w:vAlign w:val="center"/>
          </w:tcPr>
          <w:p w14:paraId="2358A729">
            <w:pPr>
              <w:jc w:val="center"/>
              <w:rPr>
                <w:rFonts w:hint="eastAsia" w:ascii="宋体" w:hAnsi="宋体" w:cs="宋体"/>
                <w:sz w:val="18"/>
                <w:szCs w:val="18"/>
              </w:rPr>
            </w:pPr>
            <w:r>
              <w:rPr>
                <w:rFonts w:hint="eastAsia" w:ascii="宋体" w:hAnsi="宋体" w:cs="宋体"/>
                <w:sz w:val="18"/>
                <w:szCs w:val="18"/>
              </w:rPr>
              <w:t>故障负责人</w:t>
            </w:r>
          </w:p>
        </w:tc>
        <w:tc>
          <w:tcPr>
            <w:tcW w:w="1255" w:type="dxa"/>
            <w:gridSpan w:val="2"/>
            <w:vAlign w:val="center"/>
          </w:tcPr>
          <w:p w14:paraId="1B1184CC">
            <w:pPr>
              <w:jc w:val="center"/>
              <w:rPr>
                <w:rFonts w:hint="eastAsia" w:ascii="宋体" w:hAnsi="宋体" w:cs="宋体"/>
                <w:sz w:val="18"/>
                <w:szCs w:val="18"/>
              </w:rPr>
            </w:pPr>
          </w:p>
        </w:tc>
        <w:tc>
          <w:tcPr>
            <w:tcW w:w="1501" w:type="dxa"/>
            <w:vAlign w:val="center"/>
          </w:tcPr>
          <w:p w14:paraId="0A2042BB">
            <w:pPr>
              <w:jc w:val="center"/>
              <w:rPr>
                <w:rFonts w:hint="eastAsia" w:ascii="宋体" w:hAnsi="宋体" w:cs="宋体"/>
                <w:sz w:val="18"/>
                <w:szCs w:val="18"/>
              </w:rPr>
            </w:pPr>
            <w:r>
              <w:rPr>
                <w:rFonts w:hint="eastAsia" w:ascii="宋体" w:hAnsi="宋体" w:cs="宋体"/>
                <w:sz w:val="18"/>
                <w:szCs w:val="18"/>
              </w:rPr>
              <w:t>故障处理人</w:t>
            </w:r>
          </w:p>
        </w:tc>
        <w:tc>
          <w:tcPr>
            <w:tcW w:w="1780" w:type="dxa"/>
            <w:vAlign w:val="center"/>
          </w:tcPr>
          <w:p w14:paraId="12ACB164">
            <w:pPr>
              <w:jc w:val="center"/>
              <w:rPr>
                <w:rFonts w:hint="eastAsia" w:ascii="宋体" w:hAnsi="宋体" w:cs="宋体"/>
                <w:sz w:val="18"/>
                <w:szCs w:val="18"/>
              </w:rPr>
            </w:pPr>
          </w:p>
        </w:tc>
        <w:tc>
          <w:tcPr>
            <w:tcW w:w="1459" w:type="dxa"/>
            <w:vAlign w:val="center"/>
          </w:tcPr>
          <w:p w14:paraId="061DF850">
            <w:pPr>
              <w:jc w:val="center"/>
              <w:rPr>
                <w:rFonts w:hint="eastAsia" w:ascii="宋体" w:hAnsi="宋体" w:cs="宋体"/>
                <w:sz w:val="18"/>
                <w:szCs w:val="18"/>
              </w:rPr>
            </w:pPr>
            <w:r>
              <w:rPr>
                <w:rFonts w:hint="eastAsia" w:ascii="宋体" w:hAnsi="宋体" w:cs="宋体"/>
                <w:sz w:val="18"/>
                <w:szCs w:val="18"/>
              </w:rPr>
              <w:t>故障验收人</w:t>
            </w:r>
          </w:p>
        </w:tc>
        <w:tc>
          <w:tcPr>
            <w:tcW w:w="1359" w:type="dxa"/>
            <w:vAlign w:val="center"/>
          </w:tcPr>
          <w:p w14:paraId="46CBC444">
            <w:pPr>
              <w:jc w:val="center"/>
              <w:rPr>
                <w:rFonts w:hint="eastAsia" w:ascii="宋体" w:hAnsi="宋体" w:cs="宋体"/>
                <w:sz w:val="18"/>
                <w:szCs w:val="18"/>
              </w:rPr>
            </w:pPr>
          </w:p>
        </w:tc>
      </w:tr>
      <w:tr w14:paraId="36D299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962" w:type="dxa"/>
            <w:vAlign w:val="center"/>
          </w:tcPr>
          <w:p w14:paraId="222B4F76">
            <w:pPr>
              <w:jc w:val="center"/>
              <w:rPr>
                <w:rFonts w:hint="eastAsia" w:ascii="宋体" w:hAnsi="宋体" w:cs="宋体"/>
                <w:sz w:val="18"/>
                <w:szCs w:val="18"/>
              </w:rPr>
            </w:pPr>
            <w:r>
              <w:rPr>
                <w:rFonts w:hint="eastAsia" w:ascii="宋体" w:hAnsi="宋体" w:cs="宋体"/>
                <w:sz w:val="18"/>
                <w:szCs w:val="18"/>
              </w:rPr>
              <w:t>后期建议</w:t>
            </w:r>
          </w:p>
        </w:tc>
        <w:tc>
          <w:tcPr>
            <w:tcW w:w="7354" w:type="dxa"/>
            <w:gridSpan w:val="6"/>
            <w:vAlign w:val="center"/>
          </w:tcPr>
          <w:p w14:paraId="72941ABC">
            <w:pPr>
              <w:jc w:val="center"/>
              <w:rPr>
                <w:rFonts w:hint="eastAsia" w:ascii="宋体" w:hAnsi="宋体" w:cs="宋体"/>
                <w:sz w:val="18"/>
                <w:szCs w:val="18"/>
              </w:rPr>
            </w:pPr>
          </w:p>
        </w:tc>
      </w:tr>
    </w:tbl>
    <w:p w14:paraId="48510F3F">
      <w:pPr>
        <w:rPr>
          <w:rFonts w:hint="eastAsia" w:ascii="宋体" w:hAnsi="宋体" w:cs="宋体"/>
        </w:rPr>
      </w:pPr>
      <w:r>
        <w:rPr>
          <w:rFonts w:hint="eastAsia" w:ascii="宋体" w:hAnsi="宋体" w:cs="宋体"/>
        </w:rPr>
        <w:br w:type="page"/>
      </w:r>
    </w:p>
    <w:p w14:paraId="68C2B4A8">
      <w:pPr>
        <w:pStyle w:val="88"/>
        <w:numPr>
          <w:ilvl w:val="0"/>
          <w:numId w:val="0"/>
        </w:numPr>
        <w:spacing w:before="312" w:after="312"/>
        <w:outlineLvl w:val="0"/>
      </w:pPr>
      <w:bookmarkStart w:id="226" w:name="_Toc148531850"/>
      <w:bookmarkStart w:id="227" w:name="_Toc148520909"/>
      <w:bookmarkStart w:id="228" w:name="_Toc24578"/>
      <w:r>
        <w:rPr>
          <w:rFonts w:hint="eastAsia"/>
        </w:rPr>
        <w:t>附录D（</w:t>
      </w:r>
      <w:r>
        <w:rPr>
          <w:rFonts w:hint="eastAsia"/>
          <w:lang w:val="en-US" w:eastAsia="zh-CN"/>
        </w:rPr>
        <w:t>资料</w:t>
      </w:r>
      <w:r>
        <w:rPr>
          <w:rFonts w:hint="eastAsia"/>
        </w:rPr>
        <w:t>性） 光伏发电单元状态检修及试验</w:t>
      </w:r>
      <w:bookmarkEnd w:id="226"/>
      <w:bookmarkEnd w:id="227"/>
      <w:bookmarkEnd w:id="228"/>
    </w:p>
    <w:p w14:paraId="109989E5">
      <w:pPr>
        <w:pStyle w:val="25"/>
        <w:spacing w:before="156" w:beforeLines="50" w:after="156" w:afterLines="50"/>
        <w:jc w:val="center"/>
        <w:rPr>
          <w:rFonts w:hint="eastAsia" w:hAnsi="宋体"/>
        </w:rPr>
      </w:pPr>
      <w:r>
        <w:rPr>
          <w:rFonts w:hint="eastAsia" w:ascii="黑体" w:hAnsi="黑体" w:eastAsia="黑体" w:cs="黑体"/>
        </w:rPr>
        <w:t>表D 光伏发电单元状态检修及试验</w:t>
      </w:r>
    </w:p>
    <w:tbl>
      <w:tblPr>
        <w:tblStyle w:val="35"/>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8"/>
        <w:gridCol w:w="803"/>
        <w:gridCol w:w="1656"/>
        <w:gridCol w:w="2806"/>
        <w:gridCol w:w="758"/>
        <w:gridCol w:w="696"/>
        <w:gridCol w:w="693"/>
        <w:gridCol w:w="1320"/>
      </w:tblGrid>
      <w:tr w14:paraId="1EFB4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7" w:hRule="atLeast"/>
          <w:tblHeader/>
          <w:jc w:val="center"/>
        </w:trPr>
        <w:tc>
          <w:tcPr>
            <w:tcW w:w="628" w:type="dxa"/>
            <w:vAlign w:val="center"/>
          </w:tcPr>
          <w:p w14:paraId="6D4BC924">
            <w:pPr>
              <w:snapToGrid w:val="0"/>
              <w:jc w:val="center"/>
              <w:rPr>
                <w:rFonts w:hint="eastAsia" w:ascii="宋体" w:hAnsi="宋体"/>
                <w:sz w:val="18"/>
                <w:szCs w:val="18"/>
              </w:rPr>
            </w:pPr>
            <w:r>
              <w:rPr>
                <w:rFonts w:hint="eastAsia" w:ascii="宋体" w:hAnsi="宋体"/>
                <w:sz w:val="18"/>
                <w:szCs w:val="18"/>
              </w:rPr>
              <w:t>序号</w:t>
            </w:r>
          </w:p>
        </w:tc>
        <w:tc>
          <w:tcPr>
            <w:tcW w:w="803" w:type="dxa"/>
            <w:vAlign w:val="center"/>
          </w:tcPr>
          <w:p w14:paraId="0F7057B4">
            <w:pPr>
              <w:snapToGrid w:val="0"/>
              <w:jc w:val="center"/>
              <w:rPr>
                <w:rFonts w:hint="eastAsia" w:ascii="宋体" w:hAnsi="宋体"/>
                <w:sz w:val="18"/>
                <w:szCs w:val="18"/>
              </w:rPr>
            </w:pPr>
            <w:r>
              <w:rPr>
                <w:rFonts w:hint="eastAsia" w:ascii="宋体" w:hAnsi="宋体"/>
                <w:sz w:val="18"/>
                <w:szCs w:val="18"/>
              </w:rPr>
              <w:t>名称</w:t>
            </w:r>
          </w:p>
        </w:tc>
        <w:tc>
          <w:tcPr>
            <w:tcW w:w="1656" w:type="dxa"/>
            <w:vAlign w:val="center"/>
          </w:tcPr>
          <w:p w14:paraId="63E13DF9">
            <w:pPr>
              <w:snapToGrid w:val="0"/>
              <w:jc w:val="center"/>
              <w:rPr>
                <w:rFonts w:hint="eastAsia" w:ascii="宋体" w:hAnsi="宋体"/>
                <w:sz w:val="18"/>
                <w:szCs w:val="18"/>
              </w:rPr>
            </w:pPr>
            <w:r>
              <w:rPr>
                <w:rFonts w:hint="eastAsia" w:ascii="宋体" w:hAnsi="宋体"/>
                <w:sz w:val="18"/>
                <w:szCs w:val="18"/>
              </w:rPr>
              <w:t>检测条件</w:t>
            </w:r>
          </w:p>
        </w:tc>
        <w:tc>
          <w:tcPr>
            <w:tcW w:w="2806" w:type="dxa"/>
            <w:vAlign w:val="center"/>
          </w:tcPr>
          <w:p w14:paraId="53137264">
            <w:pPr>
              <w:snapToGrid w:val="0"/>
              <w:jc w:val="center"/>
              <w:rPr>
                <w:rFonts w:hint="eastAsia" w:ascii="宋体" w:hAnsi="宋体"/>
                <w:sz w:val="18"/>
                <w:szCs w:val="18"/>
              </w:rPr>
            </w:pPr>
            <w:r>
              <w:rPr>
                <w:rFonts w:hint="eastAsia" w:ascii="宋体" w:hAnsi="宋体"/>
                <w:sz w:val="18"/>
                <w:szCs w:val="18"/>
              </w:rPr>
              <w:t>检测内容</w:t>
            </w:r>
          </w:p>
        </w:tc>
        <w:tc>
          <w:tcPr>
            <w:tcW w:w="2147" w:type="dxa"/>
            <w:gridSpan w:val="3"/>
            <w:vAlign w:val="center"/>
          </w:tcPr>
          <w:p w14:paraId="2C18469D">
            <w:pPr>
              <w:snapToGrid w:val="0"/>
              <w:jc w:val="center"/>
              <w:rPr>
                <w:rFonts w:hint="eastAsia" w:ascii="宋体" w:hAnsi="宋体"/>
                <w:sz w:val="18"/>
                <w:szCs w:val="18"/>
              </w:rPr>
            </w:pPr>
            <w:r>
              <w:rPr>
                <w:rFonts w:hint="eastAsia" w:ascii="宋体" w:hAnsi="宋体"/>
                <w:sz w:val="18"/>
                <w:szCs w:val="18"/>
              </w:rPr>
              <w:t>判断标准</w:t>
            </w:r>
          </w:p>
        </w:tc>
        <w:tc>
          <w:tcPr>
            <w:tcW w:w="1320" w:type="dxa"/>
            <w:vAlign w:val="center"/>
          </w:tcPr>
          <w:p w14:paraId="3A59B82C">
            <w:pPr>
              <w:snapToGrid w:val="0"/>
              <w:jc w:val="center"/>
              <w:rPr>
                <w:rFonts w:hint="eastAsia" w:ascii="宋体" w:hAnsi="宋体"/>
                <w:sz w:val="18"/>
                <w:szCs w:val="18"/>
              </w:rPr>
            </w:pPr>
            <w:r>
              <w:rPr>
                <w:rFonts w:hint="eastAsia" w:ascii="宋体" w:hAnsi="宋体"/>
                <w:sz w:val="18"/>
                <w:szCs w:val="18"/>
              </w:rPr>
              <w:t>检修时间</w:t>
            </w:r>
          </w:p>
        </w:tc>
      </w:tr>
      <w:tr w14:paraId="59836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628" w:type="dxa"/>
            <w:vAlign w:val="center"/>
          </w:tcPr>
          <w:p w14:paraId="27DC05E1">
            <w:pPr>
              <w:snapToGrid w:val="0"/>
              <w:jc w:val="center"/>
              <w:rPr>
                <w:rFonts w:hint="eastAsia" w:ascii="宋体" w:hAnsi="宋体"/>
                <w:sz w:val="18"/>
                <w:szCs w:val="18"/>
              </w:rPr>
            </w:pPr>
            <w:r>
              <w:rPr>
                <w:rFonts w:hint="eastAsia" w:ascii="宋体" w:hAnsi="宋体"/>
                <w:sz w:val="18"/>
                <w:szCs w:val="18"/>
              </w:rPr>
              <w:t>1</w:t>
            </w:r>
          </w:p>
        </w:tc>
        <w:tc>
          <w:tcPr>
            <w:tcW w:w="8732" w:type="dxa"/>
            <w:gridSpan w:val="7"/>
            <w:vAlign w:val="center"/>
          </w:tcPr>
          <w:p w14:paraId="3EDA588A">
            <w:pPr>
              <w:snapToGrid w:val="0"/>
              <w:jc w:val="center"/>
              <w:rPr>
                <w:rFonts w:hint="eastAsia" w:ascii="宋体" w:hAnsi="宋体"/>
                <w:sz w:val="18"/>
                <w:szCs w:val="18"/>
              </w:rPr>
            </w:pPr>
            <w:r>
              <w:rPr>
                <w:rFonts w:hint="eastAsia" w:ascii="宋体" w:hAnsi="宋体"/>
                <w:sz w:val="18"/>
                <w:szCs w:val="18"/>
              </w:rPr>
              <w:t>整体试验</w:t>
            </w:r>
          </w:p>
        </w:tc>
      </w:tr>
      <w:tr w14:paraId="29635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628" w:type="dxa"/>
            <w:vAlign w:val="center"/>
          </w:tcPr>
          <w:p w14:paraId="21A3C9BB">
            <w:pPr>
              <w:snapToGrid w:val="0"/>
              <w:jc w:val="center"/>
              <w:rPr>
                <w:rFonts w:hint="eastAsia" w:ascii="宋体" w:hAnsi="宋体"/>
                <w:sz w:val="18"/>
                <w:szCs w:val="18"/>
              </w:rPr>
            </w:pPr>
            <w:r>
              <w:rPr>
                <w:rFonts w:hint="eastAsia" w:ascii="宋体" w:hAnsi="宋体"/>
                <w:sz w:val="18"/>
                <w:szCs w:val="18"/>
              </w:rPr>
              <w:t>1.1</w:t>
            </w:r>
          </w:p>
        </w:tc>
        <w:tc>
          <w:tcPr>
            <w:tcW w:w="803" w:type="dxa"/>
            <w:vAlign w:val="center"/>
          </w:tcPr>
          <w:p w14:paraId="237ECD52">
            <w:pPr>
              <w:snapToGrid w:val="0"/>
              <w:rPr>
                <w:rFonts w:hint="eastAsia" w:ascii="宋体" w:hAnsi="宋体"/>
                <w:sz w:val="18"/>
                <w:szCs w:val="18"/>
              </w:rPr>
            </w:pPr>
            <w:r>
              <w:rPr>
                <w:rFonts w:hint="eastAsia" w:ascii="宋体" w:hAnsi="宋体"/>
                <w:sz w:val="18"/>
                <w:szCs w:val="18"/>
              </w:rPr>
              <w:t>能效比（PR）特性曲线</w:t>
            </w:r>
          </w:p>
        </w:tc>
        <w:tc>
          <w:tcPr>
            <w:tcW w:w="1656" w:type="dxa"/>
            <w:vAlign w:val="center"/>
          </w:tcPr>
          <w:p w14:paraId="52979A14">
            <w:pPr>
              <w:snapToGrid w:val="0"/>
              <w:rPr>
                <w:rFonts w:hint="eastAsia" w:ascii="宋体" w:hAnsi="宋体"/>
                <w:sz w:val="18"/>
                <w:szCs w:val="18"/>
              </w:rPr>
            </w:pPr>
            <w:r>
              <w:rPr>
                <w:rFonts w:hint="eastAsia" w:ascii="宋体" w:hAnsi="宋体"/>
                <w:sz w:val="18"/>
                <w:szCs w:val="18"/>
              </w:rPr>
              <w:t>晴天少云，光伏发电站输出功率波动较小，光伏单元设备处于运行状态。</w:t>
            </w:r>
          </w:p>
        </w:tc>
        <w:tc>
          <w:tcPr>
            <w:tcW w:w="2806" w:type="dxa"/>
            <w:vAlign w:val="center"/>
          </w:tcPr>
          <w:p w14:paraId="1CFEE28F">
            <w:pPr>
              <w:snapToGrid w:val="0"/>
              <w:rPr>
                <w:rFonts w:hint="eastAsia" w:ascii="宋体" w:hAnsi="宋体"/>
                <w:sz w:val="18"/>
                <w:szCs w:val="18"/>
              </w:rPr>
            </w:pPr>
            <w:r>
              <w:rPr>
                <w:rFonts w:hint="eastAsia" w:ascii="宋体" w:hAnsi="宋体"/>
                <w:sz w:val="18"/>
                <w:szCs w:val="18"/>
              </w:rPr>
              <w:t>按10%比例随机抽检单元进行试验，同步测量一天内完整辐照度周期，光伏单元输出功率、发电量、倾斜面辐照度和具备典型性的组件结温，测试数据的时间分辨率不宜高于1分钟。PR指标的标准化计算方法应参照GB/T 20513执行。</w:t>
            </w:r>
          </w:p>
        </w:tc>
        <w:tc>
          <w:tcPr>
            <w:tcW w:w="2147" w:type="dxa"/>
            <w:gridSpan w:val="3"/>
            <w:vAlign w:val="center"/>
          </w:tcPr>
          <w:p w14:paraId="79465400">
            <w:pPr>
              <w:snapToGrid w:val="0"/>
              <w:rPr>
                <w:rFonts w:hint="eastAsia" w:ascii="宋体" w:hAnsi="宋体"/>
                <w:sz w:val="18"/>
                <w:szCs w:val="18"/>
              </w:rPr>
            </w:pPr>
            <w:r>
              <w:rPr>
                <w:rFonts w:hint="eastAsia" w:ascii="宋体" w:hAnsi="宋体"/>
                <w:sz w:val="18"/>
                <w:szCs w:val="18"/>
              </w:rPr>
              <w:t>一个完整测试周期的PR平均值应不低于0.8，低于0.8应开展检修。</w:t>
            </w:r>
          </w:p>
        </w:tc>
        <w:tc>
          <w:tcPr>
            <w:tcW w:w="1320" w:type="dxa"/>
            <w:vAlign w:val="center"/>
          </w:tcPr>
          <w:p w14:paraId="1A116BDA">
            <w:pPr>
              <w:snapToGrid w:val="0"/>
              <w:rPr>
                <w:rFonts w:hint="eastAsia" w:ascii="宋体" w:hAnsi="宋体"/>
                <w:sz w:val="18"/>
                <w:szCs w:val="18"/>
              </w:rPr>
            </w:pPr>
            <w:r>
              <w:rPr>
                <w:rFonts w:hint="eastAsia" w:ascii="宋体" w:hAnsi="宋体"/>
                <w:sz w:val="18"/>
                <w:szCs w:val="18"/>
              </w:rPr>
              <w:t>（1）交接时；</w:t>
            </w:r>
            <w:r>
              <w:rPr>
                <w:rFonts w:hint="eastAsia" w:ascii="宋体" w:hAnsi="宋体"/>
                <w:sz w:val="18"/>
                <w:szCs w:val="18"/>
              </w:rPr>
              <w:br w:type="textWrapping"/>
            </w:r>
            <w:r>
              <w:rPr>
                <w:rFonts w:hint="eastAsia" w:ascii="宋体" w:hAnsi="宋体"/>
                <w:sz w:val="18"/>
                <w:szCs w:val="18"/>
              </w:rPr>
              <w:t>（2）必要时；</w:t>
            </w:r>
            <w:r>
              <w:rPr>
                <w:rFonts w:hint="eastAsia" w:ascii="宋体" w:hAnsi="宋体"/>
                <w:sz w:val="18"/>
                <w:szCs w:val="18"/>
              </w:rPr>
              <w:br w:type="textWrapping"/>
            </w:r>
            <w:r>
              <w:rPr>
                <w:rFonts w:hint="eastAsia" w:ascii="宋体" w:hAnsi="宋体"/>
                <w:sz w:val="18"/>
                <w:szCs w:val="18"/>
              </w:rPr>
              <w:t>（3）更换关键部件后；</w:t>
            </w:r>
            <w:r>
              <w:rPr>
                <w:rFonts w:hint="eastAsia" w:ascii="宋体" w:hAnsi="宋体"/>
                <w:sz w:val="18"/>
                <w:szCs w:val="18"/>
              </w:rPr>
              <w:br w:type="textWrapping"/>
            </w:r>
            <w:r>
              <w:rPr>
                <w:rFonts w:hint="eastAsia" w:ascii="宋体" w:hAnsi="宋体"/>
                <w:sz w:val="18"/>
                <w:szCs w:val="18"/>
              </w:rPr>
              <w:t>（4）出质保后结合状态评价时。</w:t>
            </w:r>
          </w:p>
        </w:tc>
      </w:tr>
      <w:tr w14:paraId="04DE6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628" w:type="dxa"/>
            <w:vAlign w:val="center"/>
          </w:tcPr>
          <w:p w14:paraId="639D0EFA">
            <w:pPr>
              <w:snapToGrid w:val="0"/>
              <w:jc w:val="center"/>
              <w:rPr>
                <w:rFonts w:hint="eastAsia" w:ascii="宋体" w:hAnsi="宋体"/>
                <w:sz w:val="18"/>
                <w:szCs w:val="18"/>
                <w:u w:val="single"/>
              </w:rPr>
            </w:pPr>
            <w:r>
              <w:rPr>
                <w:rFonts w:hint="eastAsia" w:ascii="宋体" w:hAnsi="宋体"/>
                <w:sz w:val="18"/>
                <w:szCs w:val="18"/>
                <w:u w:val="single"/>
              </w:rPr>
              <w:t>1.2</w:t>
            </w:r>
          </w:p>
        </w:tc>
        <w:tc>
          <w:tcPr>
            <w:tcW w:w="803" w:type="dxa"/>
            <w:vAlign w:val="center"/>
          </w:tcPr>
          <w:p w14:paraId="1B547280">
            <w:pPr>
              <w:snapToGrid w:val="0"/>
              <w:rPr>
                <w:rFonts w:hint="eastAsia" w:ascii="宋体" w:hAnsi="宋体"/>
                <w:sz w:val="18"/>
                <w:szCs w:val="18"/>
                <w:u w:val="single"/>
              </w:rPr>
            </w:pPr>
            <w:r>
              <w:rPr>
                <w:rFonts w:hint="eastAsia" w:ascii="宋体" w:hAnsi="宋体"/>
                <w:sz w:val="18"/>
                <w:szCs w:val="18"/>
                <w:u w:val="single"/>
              </w:rPr>
              <w:t>电能质量测试</w:t>
            </w:r>
          </w:p>
        </w:tc>
        <w:tc>
          <w:tcPr>
            <w:tcW w:w="1656" w:type="dxa"/>
            <w:vAlign w:val="center"/>
          </w:tcPr>
          <w:p w14:paraId="11B95EA3">
            <w:pPr>
              <w:snapToGrid w:val="0"/>
              <w:rPr>
                <w:rFonts w:hint="eastAsia" w:ascii="宋体" w:hAnsi="宋体"/>
                <w:sz w:val="18"/>
                <w:szCs w:val="18"/>
                <w:u w:val="single"/>
              </w:rPr>
            </w:pPr>
            <w:r>
              <w:rPr>
                <w:rFonts w:hint="eastAsia" w:ascii="宋体" w:hAnsi="宋体"/>
                <w:sz w:val="18"/>
                <w:szCs w:val="18"/>
                <w:u w:val="single"/>
              </w:rPr>
              <w:t>与逆变器连接的电网的电能质量应满足GB/T 14549、GB/T 15945、GB/T 12325和GB/T 15543的规定。</w:t>
            </w:r>
          </w:p>
        </w:tc>
        <w:tc>
          <w:tcPr>
            <w:tcW w:w="2806" w:type="dxa"/>
            <w:vAlign w:val="center"/>
          </w:tcPr>
          <w:p w14:paraId="0F70474B">
            <w:pPr>
              <w:snapToGrid w:val="0"/>
              <w:rPr>
                <w:rFonts w:hint="eastAsia" w:ascii="宋体" w:hAnsi="宋体"/>
                <w:sz w:val="18"/>
                <w:szCs w:val="18"/>
              </w:rPr>
            </w:pPr>
            <w:r>
              <w:rPr>
                <w:rFonts w:hint="eastAsia" w:ascii="宋体" w:hAnsi="宋体"/>
                <w:sz w:val="18"/>
                <w:szCs w:val="18"/>
                <w:u w:val="single"/>
              </w:rPr>
              <w:t>每种逆变器型号抽检一台光伏逆变器，</w:t>
            </w:r>
            <w:r>
              <w:rPr>
                <w:rFonts w:hint="eastAsia" w:ascii="宋体" w:hAnsi="宋体"/>
                <w:sz w:val="18"/>
                <w:szCs w:val="18"/>
              </w:rPr>
              <w:t>测试光伏逆变器的电能质量，测试项目包括：</w:t>
            </w:r>
            <w:r>
              <w:rPr>
                <w:rFonts w:hint="eastAsia" w:ascii="宋体" w:hAnsi="宋体"/>
                <w:sz w:val="18"/>
                <w:szCs w:val="18"/>
              </w:rPr>
              <w:br w:type="textWrapping"/>
            </w:r>
            <w:r>
              <w:rPr>
                <w:rFonts w:hint="eastAsia" w:ascii="宋体" w:hAnsi="宋体"/>
                <w:sz w:val="18"/>
                <w:szCs w:val="18"/>
              </w:rPr>
              <w:t>（1）三相电流不平衡度；</w:t>
            </w:r>
            <w:r>
              <w:rPr>
                <w:rFonts w:hint="eastAsia" w:ascii="宋体" w:hAnsi="宋体"/>
                <w:sz w:val="18"/>
                <w:szCs w:val="18"/>
              </w:rPr>
              <w:br w:type="textWrapping"/>
            </w:r>
            <w:r>
              <w:rPr>
                <w:rFonts w:hint="eastAsia" w:ascii="宋体" w:hAnsi="宋体"/>
                <w:sz w:val="18"/>
                <w:szCs w:val="18"/>
              </w:rPr>
              <w:t>（2）闪变；</w:t>
            </w:r>
            <w:r>
              <w:rPr>
                <w:rFonts w:hint="eastAsia" w:ascii="宋体" w:hAnsi="宋体"/>
                <w:sz w:val="18"/>
                <w:szCs w:val="18"/>
              </w:rPr>
              <w:br w:type="textWrapping"/>
            </w:r>
            <w:r>
              <w:rPr>
                <w:rFonts w:hint="eastAsia" w:ascii="宋体" w:hAnsi="宋体"/>
                <w:sz w:val="18"/>
                <w:szCs w:val="18"/>
              </w:rPr>
              <w:t>（3）电流谐波、电流间谐波、电流高频分量和直流分量。</w:t>
            </w:r>
          </w:p>
        </w:tc>
        <w:tc>
          <w:tcPr>
            <w:tcW w:w="2147" w:type="dxa"/>
            <w:gridSpan w:val="3"/>
            <w:vAlign w:val="center"/>
          </w:tcPr>
          <w:p w14:paraId="616BC4F0">
            <w:pPr>
              <w:snapToGrid w:val="0"/>
              <w:rPr>
                <w:rFonts w:hint="eastAsia" w:ascii="宋体" w:hAnsi="宋体"/>
                <w:sz w:val="18"/>
                <w:szCs w:val="18"/>
              </w:rPr>
            </w:pPr>
            <w:r>
              <w:rPr>
                <w:rFonts w:hint="eastAsia" w:ascii="宋体" w:hAnsi="宋体"/>
                <w:sz w:val="18"/>
                <w:szCs w:val="18"/>
              </w:rPr>
              <w:t>光伏逆变器的电能质量判断标准如下：</w:t>
            </w:r>
            <w:r>
              <w:rPr>
                <w:rFonts w:hint="eastAsia" w:ascii="宋体" w:hAnsi="宋体"/>
                <w:sz w:val="18"/>
                <w:szCs w:val="18"/>
              </w:rPr>
              <w:br w:type="textWrapping"/>
            </w:r>
            <w:r>
              <w:rPr>
                <w:rFonts w:hint="eastAsia" w:ascii="宋体" w:hAnsi="宋体"/>
                <w:sz w:val="18"/>
                <w:szCs w:val="18"/>
              </w:rPr>
              <w:t>（1）电流负序不平衡度测量值的10min方均根值的95%概率大值应不大于2%，所有测量值中的最大值不大于4%；</w:t>
            </w:r>
            <w:r>
              <w:rPr>
                <w:rFonts w:hint="eastAsia" w:ascii="宋体" w:hAnsi="宋体"/>
                <w:sz w:val="18"/>
                <w:szCs w:val="18"/>
              </w:rPr>
              <w:br w:type="textWrapping"/>
            </w:r>
            <w:r>
              <w:rPr>
                <w:rFonts w:hint="eastAsia" w:ascii="宋体" w:hAnsi="宋体"/>
                <w:sz w:val="18"/>
                <w:szCs w:val="18"/>
              </w:rPr>
              <w:t>（2）短时闪变的测试结果应满足GB/T 12326的要求；</w:t>
            </w:r>
            <w:r>
              <w:rPr>
                <w:rFonts w:hint="eastAsia" w:ascii="宋体" w:hAnsi="宋体"/>
                <w:sz w:val="18"/>
                <w:szCs w:val="18"/>
              </w:rPr>
              <w:br w:type="textWrapping"/>
            </w:r>
            <w:r>
              <w:rPr>
                <w:rFonts w:hint="eastAsia" w:ascii="宋体" w:hAnsi="宋体"/>
                <w:sz w:val="18"/>
                <w:szCs w:val="18"/>
              </w:rPr>
              <w:t>（3）电流谐波的测试结果应满足GB/T 14549的要求，间谐波、电流高频分量应满足GB/T 24337的要求；直流分量应不超过其输出电流额定值的0.5%或5mA，应取两者中较大值。</w:t>
            </w:r>
          </w:p>
        </w:tc>
        <w:tc>
          <w:tcPr>
            <w:tcW w:w="1320" w:type="dxa"/>
            <w:vAlign w:val="center"/>
          </w:tcPr>
          <w:p w14:paraId="7E6F09F8">
            <w:pPr>
              <w:snapToGrid w:val="0"/>
              <w:rPr>
                <w:rFonts w:hint="eastAsia" w:ascii="宋体" w:hAnsi="宋体"/>
                <w:sz w:val="18"/>
                <w:szCs w:val="18"/>
              </w:rPr>
            </w:pPr>
            <w:r>
              <w:rPr>
                <w:rFonts w:hint="eastAsia" w:ascii="宋体" w:hAnsi="宋体"/>
                <w:sz w:val="18"/>
                <w:szCs w:val="18"/>
              </w:rPr>
              <w:t>必要时。</w:t>
            </w:r>
          </w:p>
        </w:tc>
      </w:tr>
      <w:tr w14:paraId="05D4C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628" w:type="dxa"/>
            <w:vAlign w:val="center"/>
          </w:tcPr>
          <w:p w14:paraId="6315F727">
            <w:pPr>
              <w:snapToGrid w:val="0"/>
              <w:jc w:val="center"/>
              <w:rPr>
                <w:rFonts w:hint="eastAsia" w:ascii="宋体" w:hAnsi="宋体"/>
                <w:sz w:val="18"/>
                <w:szCs w:val="18"/>
              </w:rPr>
            </w:pPr>
            <w:r>
              <w:rPr>
                <w:rFonts w:hint="eastAsia" w:ascii="宋体" w:hAnsi="宋体"/>
                <w:sz w:val="18"/>
                <w:szCs w:val="18"/>
              </w:rPr>
              <w:t>2</w:t>
            </w:r>
          </w:p>
        </w:tc>
        <w:tc>
          <w:tcPr>
            <w:tcW w:w="8732" w:type="dxa"/>
            <w:gridSpan w:val="7"/>
            <w:vAlign w:val="center"/>
          </w:tcPr>
          <w:p w14:paraId="5CB77A1E">
            <w:pPr>
              <w:snapToGrid w:val="0"/>
              <w:jc w:val="center"/>
              <w:rPr>
                <w:rFonts w:hint="eastAsia" w:ascii="宋体" w:hAnsi="宋体"/>
                <w:sz w:val="18"/>
                <w:szCs w:val="18"/>
              </w:rPr>
            </w:pPr>
            <w:r>
              <w:rPr>
                <w:rFonts w:hint="eastAsia" w:ascii="宋体" w:hAnsi="宋体"/>
                <w:sz w:val="18"/>
                <w:szCs w:val="18"/>
              </w:rPr>
              <w:t>光伏组件</w:t>
            </w:r>
          </w:p>
        </w:tc>
      </w:tr>
      <w:tr w14:paraId="3ADC6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628" w:type="dxa"/>
            <w:vAlign w:val="center"/>
          </w:tcPr>
          <w:p w14:paraId="4DF4004F">
            <w:pPr>
              <w:snapToGrid w:val="0"/>
              <w:jc w:val="center"/>
              <w:rPr>
                <w:rFonts w:hint="eastAsia" w:ascii="宋体" w:hAnsi="宋体"/>
                <w:sz w:val="18"/>
                <w:szCs w:val="18"/>
              </w:rPr>
            </w:pPr>
            <w:r>
              <w:rPr>
                <w:rFonts w:hint="eastAsia" w:ascii="宋体" w:hAnsi="宋体"/>
                <w:sz w:val="18"/>
                <w:szCs w:val="18"/>
              </w:rPr>
              <w:t>2.1</w:t>
            </w:r>
          </w:p>
        </w:tc>
        <w:tc>
          <w:tcPr>
            <w:tcW w:w="803" w:type="dxa"/>
            <w:vAlign w:val="center"/>
          </w:tcPr>
          <w:p w14:paraId="24BCC020">
            <w:pPr>
              <w:snapToGrid w:val="0"/>
              <w:rPr>
                <w:rFonts w:hint="eastAsia" w:ascii="宋体" w:hAnsi="宋体"/>
                <w:sz w:val="18"/>
                <w:szCs w:val="18"/>
              </w:rPr>
            </w:pPr>
            <w:r>
              <w:rPr>
                <w:rFonts w:hint="eastAsia" w:ascii="宋体" w:hAnsi="宋体"/>
                <w:sz w:val="18"/>
                <w:szCs w:val="18"/>
              </w:rPr>
              <w:t>红外热成像（IR）测试</w:t>
            </w:r>
          </w:p>
        </w:tc>
        <w:tc>
          <w:tcPr>
            <w:tcW w:w="1656" w:type="dxa"/>
            <w:vAlign w:val="center"/>
          </w:tcPr>
          <w:p w14:paraId="782354E7">
            <w:pPr>
              <w:snapToGrid w:val="0"/>
              <w:rPr>
                <w:rFonts w:hint="eastAsia" w:ascii="宋体" w:hAnsi="宋体"/>
                <w:sz w:val="18"/>
                <w:szCs w:val="18"/>
              </w:rPr>
            </w:pPr>
            <w:r>
              <w:rPr>
                <w:rFonts w:hint="eastAsia" w:ascii="宋体" w:hAnsi="宋体"/>
                <w:sz w:val="18"/>
                <w:szCs w:val="18"/>
              </w:rPr>
              <w:t>光伏单元应处于正常工作状态，倾斜面辐照度应高于600W/m²。</w:t>
            </w:r>
          </w:p>
        </w:tc>
        <w:tc>
          <w:tcPr>
            <w:tcW w:w="2806" w:type="dxa"/>
            <w:vAlign w:val="center"/>
          </w:tcPr>
          <w:p w14:paraId="7E7D147B">
            <w:pPr>
              <w:snapToGrid w:val="0"/>
              <w:rPr>
                <w:rFonts w:hint="eastAsia" w:ascii="宋体" w:hAnsi="宋体"/>
                <w:sz w:val="18"/>
                <w:szCs w:val="18"/>
              </w:rPr>
            </w:pPr>
            <w:r>
              <w:rPr>
                <w:rFonts w:hint="eastAsia" w:ascii="宋体" w:hAnsi="宋体"/>
                <w:sz w:val="18"/>
                <w:szCs w:val="18"/>
              </w:rPr>
              <w:t>对光伏单元的全部组件（包括组件正表面、旁路二极管、接线盒、焊带、连接器）进行红外热成像测试。</w:t>
            </w:r>
          </w:p>
        </w:tc>
        <w:tc>
          <w:tcPr>
            <w:tcW w:w="2147" w:type="dxa"/>
            <w:gridSpan w:val="3"/>
            <w:vAlign w:val="center"/>
          </w:tcPr>
          <w:p w14:paraId="1F87A88C">
            <w:pPr>
              <w:snapToGrid w:val="0"/>
              <w:rPr>
                <w:rFonts w:hint="eastAsia" w:ascii="宋体" w:hAnsi="宋体"/>
                <w:sz w:val="18"/>
                <w:szCs w:val="18"/>
              </w:rPr>
            </w:pPr>
            <w:r>
              <w:rPr>
                <w:rFonts w:hint="eastAsia" w:ascii="宋体" w:hAnsi="宋体"/>
                <w:sz w:val="18"/>
                <w:szCs w:val="18"/>
              </w:rPr>
              <w:t>同一光伏组件外表面，在无阴影遮挡的情况下，光伏电池正上方的温度差异明显，视为发生热斑。</w:t>
            </w:r>
            <w:r>
              <w:rPr>
                <w:rFonts w:hint="eastAsia" w:ascii="宋体" w:hAnsi="宋体"/>
                <w:sz w:val="18"/>
                <w:szCs w:val="18"/>
              </w:rPr>
              <w:br w:type="textWrapping"/>
            </w:r>
          </w:p>
        </w:tc>
        <w:tc>
          <w:tcPr>
            <w:tcW w:w="1320" w:type="dxa"/>
            <w:vAlign w:val="center"/>
          </w:tcPr>
          <w:p w14:paraId="3259D20F">
            <w:pPr>
              <w:snapToGrid w:val="0"/>
              <w:rPr>
                <w:rFonts w:hint="eastAsia" w:ascii="宋体" w:hAnsi="宋体"/>
                <w:sz w:val="18"/>
                <w:szCs w:val="18"/>
              </w:rPr>
            </w:pPr>
            <w:r>
              <w:rPr>
                <w:rFonts w:hint="eastAsia" w:ascii="宋体" w:hAnsi="宋体"/>
                <w:sz w:val="18"/>
                <w:szCs w:val="18"/>
              </w:rPr>
              <w:t>（1）更换时；</w:t>
            </w:r>
            <w:r>
              <w:rPr>
                <w:rFonts w:hint="eastAsia" w:ascii="宋体" w:hAnsi="宋体"/>
                <w:sz w:val="18"/>
                <w:szCs w:val="18"/>
              </w:rPr>
              <w:br w:type="textWrapping"/>
            </w:r>
            <w:r>
              <w:rPr>
                <w:rFonts w:hint="eastAsia" w:ascii="宋体" w:hAnsi="宋体"/>
                <w:sz w:val="18"/>
                <w:szCs w:val="18"/>
              </w:rPr>
              <w:t>（2）必要时；</w:t>
            </w:r>
            <w:r>
              <w:rPr>
                <w:rFonts w:hint="eastAsia" w:ascii="宋体" w:hAnsi="宋体"/>
                <w:sz w:val="18"/>
                <w:szCs w:val="18"/>
              </w:rPr>
              <w:br w:type="textWrapping"/>
            </w:r>
            <w:r>
              <w:rPr>
                <w:rFonts w:hint="eastAsia" w:ascii="宋体" w:hAnsi="宋体"/>
                <w:sz w:val="18"/>
                <w:szCs w:val="18"/>
              </w:rPr>
              <w:t>（3）出质保后结合状态评价时。</w:t>
            </w:r>
          </w:p>
        </w:tc>
      </w:tr>
      <w:tr w14:paraId="400BD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628" w:type="dxa"/>
            <w:vAlign w:val="center"/>
          </w:tcPr>
          <w:p w14:paraId="33D13FF2">
            <w:pPr>
              <w:snapToGrid w:val="0"/>
              <w:jc w:val="center"/>
              <w:rPr>
                <w:rFonts w:hint="eastAsia" w:ascii="宋体" w:hAnsi="宋体"/>
                <w:sz w:val="18"/>
                <w:szCs w:val="18"/>
              </w:rPr>
            </w:pPr>
            <w:r>
              <w:rPr>
                <w:rFonts w:hint="eastAsia" w:ascii="宋体" w:hAnsi="宋体"/>
                <w:sz w:val="18"/>
                <w:szCs w:val="18"/>
              </w:rPr>
              <w:t>2.2</w:t>
            </w:r>
          </w:p>
        </w:tc>
        <w:tc>
          <w:tcPr>
            <w:tcW w:w="803" w:type="dxa"/>
            <w:vAlign w:val="center"/>
          </w:tcPr>
          <w:p w14:paraId="7D8EE64D">
            <w:pPr>
              <w:snapToGrid w:val="0"/>
              <w:rPr>
                <w:rFonts w:hint="eastAsia" w:ascii="宋体" w:hAnsi="宋体"/>
                <w:sz w:val="18"/>
                <w:szCs w:val="18"/>
              </w:rPr>
            </w:pPr>
            <w:r>
              <w:rPr>
                <w:rFonts w:hint="eastAsia" w:ascii="宋体" w:hAnsi="宋体"/>
                <w:sz w:val="18"/>
                <w:szCs w:val="18"/>
              </w:rPr>
              <w:t>功率衰减测试</w:t>
            </w:r>
          </w:p>
        </w:tc>
        <w:tc>
          <w:tcPr>
            <w:tcW w:w="1656" w:type="dxa"/>
            <w:vAlign w:val="center"/>
          </w:tcPr>
          <w:p w14:paraId="6E260B6F">
            <w:pPr>
              <w:snapToGrid w:val="0"/>
              <w:rPr>
                <w:rFonts w:hint="eastAsia" w:ascii="宋体" w:hAnsi="宋体"/>
                <w:sz w:val="18"/>
                <w:szCs w:val="18"/>
              </w:rPr>
            </w:pPr>
            <w:r>
              <w:rPr>
                <w:rFonts w:hint="eastAsia" w:ascii="宋体" w:hAnsi="宋体"/>
                <w:sz w:val="18"/>
                <w:szCs w:val="18"/>
              </w:rPr>
              <w:t>测试现场倾斜面辐照度超过700W/m²，组件表面清洁。</w:t>
            </w:r>
          </w:p>
        </w:tc>
        <w:tc>
          <w:tcPr>
            <w:tcW w:w="2806" w:type="dxa"/>
            <w:vAlign w:val="center"/>
          </w:tcPr>
          <w:p w14:paraId="44919E14">
            <w:pPr>
              <w:snapToGrid w:val="0"/>
              <w:rPr>
                <w:rFonts w:hint="eastAsia" w:ascii="宋体" w:hAnsi="宋体"/>
                <w:sz w:val="18"/>
                <w:szCs w:val="18"/>
              </w:rPr>
            </w:pPr>
            <w:r>
              <w:rPr>
                <w:rFonts w:hint="eastAsia" w:ascii="宋体" w:hAnsi="宋体"/>
                <w:sz w:val="18"/>
                <w:szCs w:val="18"/>
              </w:rPr>
              <w:t>抽取光伏组件进行I-V特性测试，并修正至标准测试条件，同步测量倾斜面辐照度和电池结温。</w:t>
            </w:r>
          </w:p>
        </w:tc>
        <w:tc>
          <w:tcPr>
            <w:tcW w:w="2147" w:type="dxa"/>
            <w:gridSpan w:val="3"/>
            <w:vAlign w:val="center"/>
          </w:tcPr>
          <w:p w14:paraId="216A4FBE">
            <w:pPr>
              <w:snapToGrid w:val="0"/>
              <w:rPr>
                <w:rFonts w:hint="eastAsia" w:ascii="宋体" w:hAnsi="宋体"/>
                <w:sz w:val="18"/>
                <w:szCs w:val="18"/>
              </w:rPr>
            </w:pPr>
            <w:r>
              <w:rPr>
                <w:rFonts w:hint="eastAsia" w:ascii="宋体" w:hAnsi="宋体"/>
                <w:sz w:val="18"/>
                <w:szCs w:val="18"/>
              </w:rPr>
              <w:t>多晶硅、单晶硅和薄膜组件投运第一年功率衰减应满足国能综新能【2015】51号文件的规定，分别不高于2.5%、3%和5%。</w:t>
            </w:r>
          </w:p>
        </w:tc>
        <w:tc>
          <w:tcPr>
            <w:tcW w:w="1320" w:type="dxa"/>
            <w:vAlign w:val="center"/>
          </w:tcPr>
          <w:p w14:paraId="0681E3C6">
            <w:pPr>
              <w:snapToGrid w:val="0"/>
              <w:rPr>
                <w:rFonts w:hint="eastAsia" w:ascii="宋体" w:hAnsi="宋体"/>
                <w:sz w:val="18"/>
                <w:szCs w:val="18"/>
              </w:rPr>
            </w:pPr>
            <w:r>
              <w:rPr>
                <w:rFonts w:hint="eastAsia" w:ascii="宋体" w:hAnsi="宋体"/>
                <w:sz w:val="18"/>
                <w:szCs w:val="18"/>
              </w:rPr>
              <w:t>（1）12个月；</w:t>
            </w:r>
            <w:r>
              <w:rPr>
                <w:rFonts w:hint="eastAsia" w:ascii="宋体" w:hAnsi="宋体"/>
                <w:sz w:val="18"/>
                <w:szCs w:val="18"/>
              </w:rPr>
              <w:br w:type="textWrapping"/>
            </w:r>
            <w:r>
              <w:rPr>
                <w:rFonts w:hint="eastAsia" w:ascii="宋体" w:hAnsi="宋体"/>
                <w:sz w:val="18"/>
                <w:szCs w:val="18"/>
              </w:rPr>
              <w:t>（2）更换时；</w:t>
            </w:r>
            <w:r>
              <w:rPr>
                <w:rFonts w:hint="eastAsia" w:ascii="宋体" w:hAnsi="宋体"/>
                <w:sz w:val="18"/>
                <w:szCs w:val="18"/>
              </w:rPr>
              <w:br w:type="textWrapping"/>
            </w:r>
            <w:r>
              <w:rPr>
                <w:rFonts w:hint="eastAsia" w:ascii="宋体" w:hAnsi="宋体"/>
                <w:sz w:val="18"/>
                <w:szCs w:val="18"/>
              </w:rPr>
              <w:t>（3）必要时；</w:t>
            </w:r>
            <w:r>
              <w:rPr>
                <w:rFonts w:hint="eastAsia" w:ascii="宋体" w:hAnsi="宋体"/>
                <w:sz w:val="18"/>
                <w:szCs w:val="18"/>
              </w:rPr>
              <w:br w:type="textWrapping"/>
            </w:r>
            <w:r>
              <w:rPr>
                <w:rFonts w:hint="eastAsia" w:ascii="宋体" w:hAnsi="宋体"/>
                <w:sz w:val="18"/>
                <w:szCs w:val="18"/>
              </w:rPr>
              <w:t>（4）出质保后结合状态评价时。</w:t>
            </w:r>
          </w:p>
        </w:tc>
      </w:tr>
      <w:tr w14:paraId="3A7B7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628" w:type="dxa"/>
            <w:vAlign w:val="center"/>
          </w:tcPr>
          <w:p w14:paraId="21FC1C25">
            <w:pPr>
              <w:snapToGrid w:val="0"/>
              <w:jc w:val="center"/>
              <w:rPr>
                <w:rFonts w:hint="eastAsia" w:ascii="宋体" w:hAnsi="宋体"/>
                <w:sz w:val="18"/>
                <w:szCs w:val="18"/>
              </w:rPr>
            </w:pPr>
            <w:r>
              <w:rPr>
                <w:rFonts w:hint="eastAsia" w:ascii="宋体" w:hAnsi="宋体"/>
                <w:sz w:val="18"/>
                <w:szCs w:val="18"/>
              </w:rPr>
              <w:t>2.3</w:t>
            </w:r>
          </w:p>
        </w:tc>
        <w:tc>
          <w:tcPr>
            <w:tcW w:w="803" w:type="dxa"/>
            <w:vAlign w:val="center"/>
          </w:tcPr>
          <w:p w14:paraId="5FD074A8">
            <w:pPr>
              <w:snapToGrid w:val="0"/>
              <w:rPr>
                <w:rFonts w:hint="eastAsia" w:ascii="宋体" w:hAnsi="宋体"/>
                <w:sz w:val="18"/>
                <w:szCs w:val="18"/>
              </w:rPr>
            </w:pPr>
            <w:r>
              <w:rPr>
                <w:rFonts w:hint="eastAsia" w:ascii="宋体" w:hAnsi="宋体"/>
                <w:sz w:val="18"/>
                <w:szCs w:val="18"/>
              </w:rPr>
              <w:t>污渍和灰尘遮挡损失</w:t>
            </w:r>
          </w:p>
        </w:tc>
        <w:tc>
          <w:tcPr>
            <w:tcW w:w="1656" w:type="dxa"/>
            <w:vAlign w:val="center"/>
          </w:tcPr>
          <w:p w14:paraId="5B183A3B">
            <w:pPr>
              <w:snapToGrid w:val="0"/>
              <w:rPr>
                <w:rFonts w:hint="eastAsia" w:ascii="宋体" w:hAnsi="宋体"/>
                <w:sz w:val="18"/>
                <w:szCs w:val="18"/>
              </w:rPr>
            </w:pPr>
            <w:r>
              <w:rPr>
                <w:rFonts w:hint="eastAsia" w:ascii="宋体" w:hAnsi="宋体"/>
                <w:sz w:val="18"/>
                <w:szCs w:val="18"/>
              </w:rPr>
              <w:t>测试现场倾斜面辐照度超过700W/m²。</w:t>
            </w:r>
          </w:p>
        </w:tc>
        <w:tc>
          <w:tcPr>
            <w:tcW w:w="2806" w:type="dxa"/>
            <w:vAlign w:val="center"/>
          </w:tcPr>
          <w:p w14:paraId="4B7EC42C">
            <w:pPr>
              <w:snapToGrid w:val="0"/>
              <w:rPr>
                <w:rFonts w:hint="eastAsia" w:ascii="宋体" w:hAnsi="宋体"/>
                <w:sz w:val="18"/>
                <w:szCs w:val="18"/>
              </w:rPr>
            </w:pPr>
            <w:r>
              <w:rPr>
                <w:rFonts w:hint="eastAsia" w:ascii="宋体" w:hAnsi="宋体"/>
                <w:sz w:val="18"/>
                <w:szCs w:val="18"/>
              </w:rPr>
              <w:t>清洗前对光伏组件进行I-V特性测试；清洗后，再次测试光伏组件的I-V曲线，测试过程同步测量倾斜面辐照度与电池结温。</w:t>
            </w:r>
          </w:p>
        </w:tc>
        <w:tc>
          <w:tcPr>
            <w:tcW w:w="2147" w:type="dxa"/>
            <w:gridSpan w:val="3"/>
            <w:vAlign w:val="center"/>
          </w:tcPr>
          <w:p w14:paraId="5938A48C">
            <w:pPr>
              <w:snapToGrid w:val="0"/>
              <w:rPr>
                <w:rFonts w:hint="eastAsia" w:ascii="宋体" w:hAnsi="宋体"/>
                <w:sz w:val="18"/>
                <w:szCs w:val="18"/>
              </w:rPr>
            </w:pPr>
            <w:r>
              <w:rPr>
                <w:rFonts w:hint="eastAsia" w:ascii="宋体" w:hAnsi="宋体"/>
                <w:sz w:val="18"/>
                <w:szCs w:val="18"/>
              </w:rPr>
              <w:t>污渍和灰尘遮挡损失应不超过5%。</w:t>
            </w:r>
          </w:p>
        </w:tc>
        <w:tc>
          <w:tcPr>
            <w:tcW w:w="1320" w:type="dxa"/>
            <w:vAlign w:val="center"/>
          </w:tcPr>
          <w:p w14:paraId="6D0D8385">
            <w:pPr>
              <w:snapToGrid w:val="0"/>
              <w:rPr>
                <w:rFonts w:hint="eastAsia" w:ascii="宋体" w:hAnsi="宋体"/>
                <w:sz w:val="18"/>
                <w:szCs w:val="18"/>
              </w:rPr>
            </w:pPr>
            <w:r>
              <w:rPr>
                <w:rFonts w:hint="eastAsia" w:ascii="宋体" w:hAnsi="宋体"/>
                <w:sz w:val="18"/>
                <w:szCs w:val="18"/>
              </w:rPr>
              <w:t>必要时。</w:t>
            </w:r>
          </w:p>
        </w:tc>
      </w:tr>
      <w:tr w14:paraId="78F50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628" w:type="dxa"/>
            <w:vAlign w:val="center"/>
          </w:tcPr>
          <w:p w14:paraId="2EACFD47">
            <w:pPr>
              <w:snapToGrid w:val="0"/>
              <w:jc w:val="center"/>
              <w:rPr>
                <w:rFonts w:hint="eastAsia" w:ascii="宋体" w:hAnsi="宋体"/>
                <w:sz w:val="18"/>
                <w:szCs w:val="18"/>
              </w:rPr>
            </w:pPr>
            <w:r>
              <w:rPr>
                <w:rFonts w:hint="eastAsia" w:ascii="宋体" w:hAnsi="宋体"/>
                <w:sz w:val="18"/>
                <w:szCs w:val="18"/>
              </w:rPr>
              <w:t>2.4</w:t>
            </w:r>
          </w:p>
        </w:tc>
        <w:tc>
          <w:tcPr>
            <w:tcW w:w="803" w:type="dxa"/>
            <w:vAlign w:val="center"/>
          </w:tcPr>
          <w:p w14:paraId="3D7D47B0">
            <w:pPr>
              <w:snapToGrid w:val="0"/>
              <w:rPr>
                <w:rFonts w:hint="eastAsia" w:ascii="宋体" w:hAnsi="宋体"/>
                <w:sz w:val="18"/>
                <w:szCs w:val="18"/>
              </w:rPr>
            </w:pPr>
            <w:r>
              <w:rPr>
                <w:rFonts w:hint="eastAsia" w:ascii="宋体" w:hAnsi="宋体"/>
                <w:sz w:val="18"/>
                <w:szCs w:val="18"/>
              </w:rPr>
              <w:t>组件串联失配测试</w:t>
            </w:r>
          </w:p>
        </w:tc>
        <w:tc>
          <w:tcPr>
            <w:tcW w:w="1656" w:type="dxa"/>
            <w:vAlign w:val="center"/>
          </w:tcPr>
          <w:p w14:paraId="0A33FBF0">
            <w:pPr>
              <w:snapToGrid w:val="0"/>
              <w:rPr>
                <w:rFonts w:hint="eastAsia" w:ascii="宋体" w:hAnsi="宋体"/>
                <w:sz w:val="18"/>
                <w:szCs w:val="18"/>
              </w:rPr>
            </w:pPr>
            <w:r>
              <w:rPr>
                <w:rFonts w:hint="eastAsia" w:ascii="宋体" w:hAnsi="宋体"/>
                <w:sz w:val="18"/>
                <w:szCs w:val="18"/>
              </w:rPr>
              <w:t>测试现场倾斜面辐照度超过700W/m²。</w:t>
            </w:r>
          </w:p>
        </w:tc>
        <w:tc>
          <w:tcPr>
            <w:tcW w:w="2806" w:type="dxa"/>
            <w:vAlign w:val="center"/>
          </w:tcPr>
          <w:p w14:paraId="0754E73B">
            <w:pPr>
              <w:snapToGrid w:val="0"/>
              <w:rPr>
                <w:rFonts w:hint="eastAsia" w:ascii="宋体" w:hAnsi="宋体"/>
                <w:sz w:val="18"/>
                <w:szCs w:val="18"/>
              </w:rPr>
            </w:pPr>
            <w:r>
              <w:rPr>
                <w:rFonts w:hint="eastAsia" w:ascii="宋体" w:hAnsi="宋体"/>
                <w:sz w:val="18"/>
                <w:szCs w:val="18"/>
              </w:rPr>
              <w:t>抽取组串内所有光伏组件的I-V特性曲线；测试该光伏组串的实际运行电压和电流。测试过程中同步测量倾斜面辐照度与电池结温。</w:t>
            </w:r>
          </w:p>
        </w:tc>
        <w:tc>
          <w:tcPr>
            <w:tcW w:w="2147" w:type="dxa"/>
            <w:gridSpan w:val="3"/>
            <w:vAlign w:val="center"/>
          </w:tcPr>
          <w:p w14:paraId="5F376905">
            <w:pPr>
              <w:snapToGrid w:val="0"/>
              <w:rPr>
                <w:rFonts w:hint="eastAsia" w:ascii="宋体" w:hAnsi="宋体"/>
                <w:sz w:val="18"/>
                <w:szCs w:val="18"/>
              </w:rPr>
            </w:pPr>
            <w:r>
              <w:rPr>
                <w:rFonts w:hint="eastAsia" w:ascii="宋体" w:hAnsi="宋体"/>
                <w:sz w:val="18"/>
                <w:szCs w:val="18"/>
              </w:rPr>
              <w:t>组件串联失配损失不超过2%。</w:t>
            </w:r>
          </w:p>
        </w:tc>
        <w:tc>
          <w:tcPr>
            <w:tcW w:w="1320" w:type="dxa"/>
            <w:vAlign w:val="center"/>
          </w:tcPr>
          <w:p w14:paraId="6BC4D38F">
            <w:pPr>
              <w:snapToGrid w:val="0"/>
              <w:rPr>
                <w:rFonts w:hint="eastAsia" w:ascii="宋体" w:hAnsi="宋体"/>
                <w:sz w:val="18"/>
                <w:szCs w:val="18"/>
              </w:rPr>
            </w:pPr>
            <w:r>
              <w:rPr>
                <w:rFonts w:hint="eastAsia" w:ascii="宋体" w:hAnsi="宋体"/>
                <w:sz w:val="18"/>
                <w:szCs w:val="18"/>
              </w:rPr>
              <w:t>（1）更换时；</w:t>
            </w:r>
            <w:r>
              <w:rPr>
                <w:rFonts w:hint="eastAsia" w:ascii="宋体" w:hAnsi="宋体"/>
                <w:sz w:val="18"/>
                <w:szCs w:val="18"/>
              </w:rPr>
              <w:br w:type="textWrapping"/>
            </w:r>
            <w:r>
              <w:rPr>
                <w:rFonts w:hint="eastAsia" w:ascii="宋体" w:hAnsi="宋体"/>
                <w:sz w:val="18"/>
                <w:szCs w:val="18"/>
              </w:rPr>
              <w:t>（2）必要时。</w:t>
            </w:r>
          </w:p>
        </w:tc>
      </w:tr>
      <w:tr w14:paraId="26C5E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628" w:type="dxa"/>
            <w:vAlign w:val="center"/>
          </w:tcPr>
          <w:p w14:paraId="6A25AE59">
            <w:pPr>
              <w:snapToGrid w:val="0"/>
              <w:jc w:val="center"/>
              <w:rPr>
                <w:rFonts w:hint="eastAsia" w:ascii="宋体" w:hAnsi="宋体"/>
                <w:sz w:val="18"/>
                <w:szCs w:val="18"/>
              </w:rPr>
            </w:pPr>
            <w:r>
              <w:rPr>
                <w:rFonts w:hint="eastAsia" w:ascii="宋体" w:hAnsi="宋体"/>
                <w:sz w:val="18"/>
                <w:szCs w:val="18"/>
              </w:rPr>
              <w:t>2.5</w:t>
            </w:r>
          </w:p>
        </w:tc>
        <w:tc>
          <w:tcPr>
            <w:tcW w:w="803" w:type="dxa"/>
            <w:vAlign w:val="center"/>
          </w:tcPr>
          <w:p w14:paraId="429E7D66">
            <w:pPr>
              <w:snapToGrid w:val="0"/>
              <w:rPr>
                <w:rFonts w:hint="eastAsia" w:ascii="宋体" w:hAnsi="宋体"/>
                <w:sz w:val="18"/>
                <w:szCs w:val="18"/>
              </w:rPr>
            </w:pPr>
            <w:r>
              <w:rPr>
                <w:rFonts w:hint="eastAsia" w:ascii="宋体" w:hAnsi="宋体"/>
                <w:sz w:val="18"/>
                <w:szCs w:val="18"/>
              </w:rPr>
              <w:t>电致发光（EL）测试</w:t>
            </w:r>
          </w:p>
        </w:tc>
        <w:tc>
          <w:tcPr>
            <w:tcW w:w="1656" w:type="dxa"/>
            <w:vAlign w:val="center"/>
          </w:tcPr>
          <w:p w14:paraId="553D8F90">
            <w:pPr>
              <w:snapToGrid w:val="0"/>
              <w:rPr>
                <w:rFonts w:hint="eastAsia" w:ascii="宋体" w:hAnsi="宋体"/>
                <w:sz w:val="18"/>
                <w:szCs w:val="18"/>
              </w:rPr>
            </w:pPr>
            <w:r>
              <w:rPr>
                <w:rFonts w:hint="eastAsia" w:ascii="宋体" w:hAnsi="宋体"/>
                <w:sz w:val="18"/>
                <w:szCs w:val="18"/>
              </w:rPr>
              <w:t>无光源透入的密闭空间。</w:t>
            </w:r>
          </w:p>
        </w:tc>
        <w:tc>
          <w:tcPr>
            <w:tcW w:w="2806" w:type="dxa"/>
            <w:vAlign w:val="center"/>
          </w:tcPr>
          <w:p w14:paraId="35B97B87">
            <w:pPr>
              <w:snapToGrid w:val="0"/>
              <w:rPr>
                <w:rFonts w:hint="eastAsia" w:ascii="宋体" w:hAnsi="宋体"/>
                <w:sz w:val="18"/>
                <w:szCs w:val="18"/>
              </w:rPr>
            </w:pPr>
            <w:r>
              <w:rPr>
                <w:rFonts w:hint="eastAsia" w:ascii="宋体" w:hAnsi="宋体"/>
                <w:sz w:val="18"/>
                <w:szCs w:val="18"/>
              </w:rPr>
              <w:t>重点针对功率衰减或缺陷严重光伏组件，利用直流电源激发光伏组件产生特定波长的光，在密闭空间内通过CCD相机拍摄和处理得到光伏组件EL图像。</w:t>
            </w:r>
          </w:p>
        </w:tc>
        <w:tc>
          <w:tcPr>
            <w:tcW w:w="2147" w:type="dxa"/>
            <w:gridSpan w:val="3"/>
            <w:vAlign w:val="center"/>
          </w:tcPr>
          <w:p w14:paraId="27C4B952">
            <w:pPr>
              <w:snapToGrid w:val="0"/>
              <w:rPr>
                <w:rFonts w:hint="eastAsia" w:ascii="宋体" w:hAnsi="宋体"/>
                <w:sz w:val="18"/>
                <w:szCs w:val="18"/>
              </w:rPr>
            </w:pPr>
            <w:r>
              <w:rPr>
                <w:rFonts w:hint="eastAsia" w:ascii="宋体" w:hAnsi="宋体"/>
                <w:sz w:val="18"/>
                <w:szCs w:val="18"/>
              </w:rPr>
              <w:t>重点检查光伏组件存在的内部缺陷（隐裂、黑片、断栅和虚焊等）。</w:t>
            </w:r>
          </w:p>
        </w:tc>
        <w:tc>
          <w:tcPr>
            <w:tcW w:w="1320" w:type="dxa"/>
            <w:vAlign w:val="center"/>
          </w:tcPr>
          <w:p w14:paraId="41063902">
            <w:pPr>
              <w:snapToGrid w:val="0"/>
              <w:rPr>
                <w:rFonts w:hint="eastAsia" w:ascii="宋体" w:hAnsi="宋体"/>
                <w:sz w:val="18"/>
                <w:szCs w:val="18"/>
              </w:rPr>
            </w:pPr>
            <w:r>
              <w:rPr>
                <w:rFonts w:hint="eastAsia" w:ascii="宋体" w:hAnsi="宋体"/>
                <w:sz w:val="18"/>
                <w:szCs w:val="18"/>
              </w:rPr>
              <w:t>（1）更换时；</w:t>
            </w:r>
            <w:r>
              <w:rPr>
                <w:rFonts w:hint="eastAsia" w:ascii="宋体" w:hAnsi="宋体"/>
                <w:sz w:val="18"/>
                <w:szCs w:val="18"/>
              </w:rPr>
              <w:br w:type="textWrapping"/>
            </w:r>
            <w:r>
              <w:rPr>
                <w:rFonts w:hint="eastAsia" w:ascii="宋体" w:hAnsi="宋体"/>
                <w:sz w:val="18"/>
                <w:szCs w:val="18"/>
              </w:rPr>
              <w:t>（2）必要时；</w:t>
            </w:r>
            <w:r>
              <w:rPr>
                <w:rFonts w:hint="eastAsia" w:ascii="宋体" w:hAnsi="宋体"/>
                <w:sz w:val="18"/>
                <w:szCs w:val="18"/>
              </w:rPr>
              <w:br w:type="textWrapping"/>
            </w:r>
            <w:r>
              <w:rPr>
                <w:rFonts w:hint="eastAsia" w:ascii="宋体" w:hAnsi="宋体"/>
                <w:sz w:val="18"/>
                <w:szCs w:val="18"/>
              </w:rPr>
              <w:t>（3）出质保后结合状态评价时。</w:t>
            </w:r>
          </w:p>
        </w:tc>
      </w:tr>
      <w:tr w14:paraId="53A96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628" w:type="dxa"/>
            <w:vAlign w:val="center"/>
          </w:tcPr>
          <w:p w14:paraId="104B726D">
            <w:pPr>
              <w:snapToGrid w:val="0"/>
              <w:jc w:val="center"/>
              <w:rPr>
                <w:rFonts w:hint="eastAsia" w:ascii="宋体" w:hAnsi="宋体"/>
                <w:sz w:val="18"/>
                <w:szCs w:val="18"/>
              </w:rPr>
            </w:pPr>
            <w:r>
              <w:rPr>
                <w:rFonts w:hint="eastAsia" w:ascii="宋体" w:hAnsi="宋体"/>
                <w:sz w:val="18"/>
                <w:szCs w:val="18"/>
              </w:rPr>
              <w:t>2.6</w:t>
            </w:r>
          </w:p>
        </w:tc>
        <w:tc>
          <w:tcPr>
            <w:tcW w:w="803" w:type="dxa"/>
            <w:vAlign w:val="center"/>
          </w:tcPr>
          <w:p w14:paraId="3971892E">
            <w:pPr>
              <w:snapToGrid w:val="0"/>
              <w:rPr>
                <w:rFonts w:hint="eastAsia" w:ascii="宋体" w:hAnsi="宋体"/>
                <w:sz w:val="18"/>
                <w:szCs w:val="18"/>
              </w:rPr>
            </w:pPr>
            <w:r>
              <w:rPr>
                <w:rFonts w:hint="eastAsia" w:ascii="宋体" w:hAnsi="宋体"/>
                <w:sz w:val="18"/>
                <w:szCs w:val="18"/>
              </w:rPr>
              <w:t>接地连续性测试</w:t>
            </w:r>
          </w:p>
        </w:tc>
        <w:tc>
          <w:tcPr>
            <w:tcW w:w="1656" w:type="dxa"/>
            <w:vAlign w:val="center"/>
          </w:tcPr>
          <w:p w14:paraId="53A86B6C">
            <w:pPr>
              <w:snapToGrid w:val="0"/>
              <w:rPr>
                <w:rFonts w:hint="eastAsia" w:ascii="宋体" w:hAnsi="宋体"/>
                <w:sz w:val="18"/>
                <w:szCs w:val="18"/>
              </w:rPr>
            </w:pPr>
            <w:r>
              <w:rPr>
                <w:rFonts w:hint="eastAsia" w:ascii="宋体" w:hAnsi="宋体"/>
                <w:sz w:val="18"/>
                <w:szCs w:val="18"/>
              </w:rPr>
              <w:t>宜在晴好天气进行。</w:t>
            </w:r>
          </w:p>
        </w:tc>
        <w:tc>
          <w:tcPr>
            <w:tcW w:w="2806" w:type="dxa"/>
            <w:vAlign w:val="center"/>
          </w:tcPr>
          <w:p w14:paraId="7F2DF389">
            <w:pPr>
              <w:snapToGrid w:val="0"/>
              <w:rPr>
                <w:rFonts w:hint="eastAsia" w:ascii="宋体" w:hAnsi="宋体"/>
                <w:sz w:val="18"/>
                <w:szCs w:val="18"/>
              </w:rPr>
            </w:pPr>
            <w:r>
              <w:rPr>
                <w:rFonts w:hint="eastAsia" w:ascii="宋体" w:hAnsi="宋体"/>
                <w:sz w:val="18"/>
                <w:szCs w:val="18"/>
              </w:rPr>
              <w:t>通过“四导线测试法”或“双钳测试法”，测试组件边框对地电阻。</w:t>
            </w:r>
          </w:p>
        </w:tc>
        <w:tc>
          <w:tcPr>
            <w:tcW w:w="2147" w:type="dxa"/>
            <w:gridSpan w:val="3"/>
            <w:vAlign w:val="center"/>
          </w:tcPr>
          <w:p w14:paraId="20E4BECA">
            <w:pPr>
              <w:snapToGrid w:val="0"/>
              <w:rPr>
                <w:rFonts w:hint="eastAsia" w:ascii="宋体" w:hAnsi="宋体"/>
                <w:sz w:val="18"/>
                <w:szCs w:val="18"/>
              </w:rPr>
            </w:pPr>
            <w:r>
              <w:rPr>
                <w:rFonts w:hint="eastAsia" w:ascii="宋体" w:hAnsi="宋体"/>
                <w:sz w:val="18"/>
                <w:szCs w:val="18"/>
              </w:rPr>
              <w:t>接地电阻应不大于4Ω。</w:t>
            </w:r>
          </w:p>
        </w:tc>
        <w:tc>
          <w:tcPr>
            <w:tcW w:w="1320" w:type="dxa"/>
            <w:vAlign w:val="center"/>
          </w:tcPr>
          <w:p w14:paraId="02781424">
            <w:pPr>
              <w:snapToGrid w:val="0"/>
              <w:rPr>
                <w:rFonts w:hint="eastAsia" w:ascii="宋体" w:hAnsi="宋体"/>
                <w:sz w:val="18"/>
                <w:szCs w:val="18"/>
              </w:rPr>
            </w:pPr>
            <w:r>
              <w:rPr>
                <w:rFonts w:hint="eastAsia" w:ascii="宋体" w:hAnsi="宋体"/>
                <w:sz w:val="18"/>
                <w:szCs w:val="18"/>
              </w:rPr>
              <w:t>（1）12个月；</w:t>
            </w:r>
            <w:r>
              <w:rPr>
                <w:rFonts w:hint="eastAsia" w:ascii="宋体" w:hAnsi="宋体"/>
                <w:sz w:val="18"/>
                <w:szCs w:val="18"/>
              </w:rPr>
              <w:br w:type="textWrapping"/>
            </w:r>
            <w:r>
              <w:rPr>
                <w:rFonts w:hint="eastAsia" w:ascii="宋体" w:hAnsi="宋体"/>
                <w:sz w:val="18"/>
                <w:szCs w:val="18"/>
              </w:rPr>
              <w:t>（2）交接时；</w:t>
            </w:r>
            <w:r>
              <w:rPr>
                <w:rFonts w:hint="eastAsia" w:ascii="宋体" w:hAnsi="宋体"/>
                <w:sz w:val="18"/>
                <w:szCs w:val="18"/>
              </w:rPr>
              <w:br w:type="textWrapping"/>
            </w:r>
            <w:r>
              <w:rPr>
                <w:rFonts w:hint="eastAsia" w:ascii="宋体" w:hAnsi="宋体"/>
                <w:sz w:val="18"/>
                <w:szCs w:val="18"/>
              </w:rPr>
              <w:t>（3）必要时；</w:t>
            </w:r>
            <w:r>
              <w:rPr>
                <w:rFonts w:hint="eastAsia" w:ascii="宋体" w:hAnsi="宋体"/>
                <w:sz w:val="18"/>
                <w:szCs w:val="18"/>
              </w:rPr>
              <w:br w:type="textWrapping"/>
            </w:r>
            <w:r>
              <w:rPr>
                <w:rFonts w:hint="eastAsia" w:ascii="宋体" w:hAnsi="宋体"/>
                <w:sz w:val="18"/>
                <w:szCs w:val="18"/>
              </w:rPr>
              <w:t>（4）光伏组件更换验收时。</w:t>
            </w:r>
          </w:p>
        </w:tc>
      </w:tr>
      <w:tr w14:paraId="33374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628" w:type="dxa"/>
            <w:vAlign w:val="center"/>
          </w:tcPr>
          <w:p w14:paraId="25758C90">
            <w:pPr>
              <w:snapToGrid w:val="0"/>
              <w:jc w:val="center"/>
              <w:rPr>
                <w:rFonts w:hint="eastAsia" w:ascii="宋体" w:hAnsi="宋体"/>
                <w:sz w:val="18"/>
                <w:szCs w:val="18"/>
              </w:rPr>
            </w:pPr>
            <w:r>
              <w:rPr>
                <w:rFonts w:hint="eastAsia" w:ascii="宋体" w:hAnsi="宋体"/>
                <w:sz w:val="18"/>
                <w:szCs w:val="18"/>
              </w:rPr>
              <w:t>3</w:t>
            </w:r>
          </w:p>
        </w:tc>
        <w:tc>
          <w:tcPr>
            <w:tcW w:w="8732" w:type="dxa"/>
            <w:gridSpan w:val="7"/>
            <w:vAlign w:val="center"/>
          </w:tcPr>
          <w:p w14:paraId="299E267D">
            <w:pPr>
              <w:snapToGrid w:val="0"/>
              <w:jc w:val="center"/>
              <w:rPr>
                <w:rFonts w:hint="eastAsia" w:ascii="宋体" w:hAnsi="宋体"/>
                <w:sz w:val="18"/>
                <w:szCs w:val="18"/>
              </w:rPr>
            </w:pPr>
            <w:r>
              <w:rPr>
                <w:rFonts w:hint="eastAsia" w:ascii="宋体" w:hAnsi="宋体"/>
                <w:sz w:val="18"/>
                <w:szCs w:val="18"/>
              </w:rPr>
              <w:t>光伏组串</w:t>
            </w:r>
          </w:p>
        </w:tc>
      </w:tr>
      <w:tr w14:paraId="3988D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628" w:type="dxa"/>
            <w:vAlign w:val="center"/>
          </w:tcPr>
          <w:p w14:paraId="6B07AC89">
            <w:pPr>
              <w:snapToGrid w:val="0"/>
              <w:jc w:val="center"/>
              <w:rPr>
                <w:rFonts w:hint="eastAsia" w:ascii="宋体" w:hAnsi="宋体"/>
                <w:sz w:val="18"/>
                <w:szCs w:val="18"/>
              </w:rPr>
            </w:pPr>
            <w:r>
              <w:rPr>
                <w:rFonts w:hint="eastAsia" w:ascii="宋体" w:hAnsi="宋体"/>
                <w:sz w:val="18"/>
                <w:szCs w:val="18"/>
              </w:rPr>
              <w:t>3.1</w:t>
            </w:r>
          </w:p>
        </w:tc>
        <w:tc>
          <w:tcPr>
            <w:tcW w:w="803" w:type="dxa"/>
            <w:vAlign w:val="center"/>
          </w:tcPr>
          <w:p w14:paraId="207305D9">
            <w:pPr>
              <w:snapToGrid w:val="0"/>
              <w:rPr>
                <w:rFonts w:hint="eastAsia" w:ascii="宋体" w:hAnsi="宋体"/>
                <w:sz w:val="18"/>
                <w:szCs w:val="18"/>
              </w:rPr>
            </w:pPr>
            <w:r>
              <w:rPr>
                <w:rFonts w:hint="eastAsia" w:ascii="宋体" w:hAnsi="宋体"/>
                <w:sz w:val="18"/>
                <w:szCs w:val="18"/>
              </w:rPr>
              <w:t>一致性测试</w:t>
            </w:r>
          </w:p>
        </w:tc>
        <w:tc>
          <w:tcPr>
            <w:tcW w:w="1656" w:type="dxa"/>
            <w:vAlign w:val="center"/>
          </w:tcPr>
          <w:p w14:paraId="77B415E5">
            <w:pPr>
              <w:snapToGrid w:val="0"/>
              <w:rPr>
                <w:rFonts w:hint="eastAsia" w:ascii="宋体" w:hAnsi="宋体"/>
                <w:sz w:val="18"/>
                <w:szCs w:val="18"/>
              </w:rPr>
            </w:pPr>
            <w:r>
              <w:rPr>
                <w:rFonts w:hint="eastAsia" w:ascii="宋体" w:hAnsi="宋体"/>
                <w:sz w:val="18"/>
                <w:szCs w:val="18"/>
              </w:rPr>
              <w:t>光伏单元倾斜面辐照度宜超过700W/m²。</w:t>
            </w:r>
          </w:p>
        </w:tc>
        <w:tc>
          <w:tcPr>
            <w:tcW w:w="2806" w:type="dxa"/>
            <w:vAlign w:val="center"/>
          </w:tcPr>
          <w:p w14:paraId="52B8D7A5">
            <w:pPr>
              <w:snapToGrid w:val="0"/>
              <w:rPr>
                <w:rFonts w:hint="eastAsia" w:ascii="宋体" w:hAnsi="宋体"/>
                <w:sz w:val="18"/>
                <w:szCs w:val="18"/>
              </w:rPr>
            </w:pPr>
            <w:r>
              <w:rPr>
                <w:rFonts w:hint="eastAsia" w:ascii="宋体" w:hAnsi="宋体"/>
                <w:sz w:val="18"/>
                <w:szCs w:val="18"/>
              </w:rPr>
              <w:t>检查光伏组串的极性，在稳定辐照度条件下，抽测汇流箱内各光伏组串的开路电压和运行电流。</w:t>
            </w:r>
          </w:p>
        </w:tc>
        <w:tc>
          <w:tcPr>
            <w:tcW w:w="2147" w:type="dxa"/>
            <w:gridSpan w:val="3"/>
            <w:vAlign w:val="center"/>
          </w:tcPr>
          <w:p w14:paraId="1835ACAF">
            <w:pPr>
              <w:snapToGrid w:val="0"/>
              <w:rPr>
                <w:rFonts w:hint="eastAsia" w:ascii="宋体" w:hAnsi="宋体"/>
                <w:sz w:val="18"/>
                <w:szCs w:val="18"/>
              </w:rPr>
            </w:pPr>
            <w:r>
              <w:rPr>
                <w:rFonts w:hint="eastAsia" w:ascii="宋体" w:hAnsi="宋体"/>
                <w:sz w:val="18"/>
                <w:szCs w:val="18"/>
              </w:rPr>
              <w:t>（1）光伏组串的极性应正确；</w:t>
            </w:r>
            <w:r>
              <w:rPr>
                <w:rFonts w:hint="eastAsia" w:ascii="宋体" w:hAnsi="宋体"/>
                <w:sz w:val="18"/>
                <w:szCs w:val="18"/>
              </w:rPr>
              <w:br w:type="textWrapping"/>
            </w:r>
            <w:r>
              <w:rPr>
                <w:rFonts w:hint="eastAsia" w:ascii="宋体" w:hAnsi="宋体"/>
                <w:sz w:val="18"/>
                <w:szCs w:val="18"/>
              </w:rPr>
              <w:t>（2）光伏组串之间的开路电压偏差不应大于2%，最大偏差不应超过5V；</w:t>
            </w:r>
            <w:r>
              <w:rPr>
                <w:rFonts w:hint="eastAsia" w:ascii="宋体" w:hAnsi="宋体"/>
                <w:sz w:val="18"/>
                <w:szCs w:val="18"/>
              </w:rPr>
              <w:br w:type="textWrapping"/>
            </w:r>
            <w:r>
              <w:rPr>
                <w:rFonts w:hint="eastAsia" w:ascii="宋体" w:hAnsi="宋体"/>
                <w:sz w:val="18"/>
                <w:szCs w:val="18"/>
              </w:rPr>
              <w:t>（3）光伏组串之间的运行电流偏差不应大于5%。</w:t>
            </w:r>
          </w:p>
        </w:tc>
        <w:tc>
          <w:tcPr>
            <w:tcW w:w="1320" w:type="dxa"/>
            <w:vAlign w:val="center"/>
          </w:tcPr>
          <w:p w14:paraId="5E2E83F3">
            <w:pPr>
              <w:snapToGrid w:val="0"/>
              <w:rPr>
                <w:rFonts w:hint="eastAsia" w:ascii="宋体" w:hAnsi="宋体"/>
                <w:sz w:val="18"/>
                <w:szCs w:val="18"/>
              </w:rPr>
            </w:pPr>
            <w:r>
              <w:rPr>
                <w:rFonts w:hint="eastAsia" w:ascii="宋体" w:hAnsi="宋体"/>
                <w:sz w:val="18"/>
                <w:szCs w:val="18"/>
              </w:rPr>
              <w:t>（1）交接时；</w:t>
            </w:r>
            <w:r>
              <w:rPr>
                <w:rFonts w:hint="eastAsia" w:ascii="宋体" w:hAnsi="宋体"/>
                <w:sz w:val="18"/>
                <w:szCs w:val="18"/>
              </w:rPr>
              <w:br w:type="textWrapping"/>
            </w:r>
            <w:r>
              <w:rPr>
                <w:rFonts w:hint="eastAsia" w:ascii="宋体" w:hAnsi="宋体"/>
                <w:sz w:val="18"/>
                <w:szCs w:val="18"/>
              </w:rPr>
              <w:t>（2）光伏组件更换验收时；</w:t>
            </w:r>
            <w:r>
              <w:rPr>
                <w:rFonts w:hint="eastAsia" w:ascii="宋体" w:hAnsi="宋体"/>
                <w:sz w:val="18"/>
                <w:szCs w:val="18"/>
              </w:rPr>
              <w:br w:type="textWrapping"/>
            </w:r>
            <w:r>
              <w:rPr>
                <w:rFonts w:hint="eastAsia" w:ascii="宋体" w:hAnsi="宋体"/>
                <w:sz w:val="18"/>
                <w:szCs w:val="18"/>
              </w:rPr>
              <w:t>（3）必要时。</w:t>
            </w:r>
          </w:p>
        </w:tc>
      </w:tr>
      <w:tr w14:paraId="14A90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628" w:type="dxa"/>
            <w:vAlign w:val="center"/>
          </w:tcPr>
          <w:p w14:paraId="52451FD4">
            <w:pPr>
              <w:snapToGrid w:val="0"/>
              <w:jc w:val="center"/>
              <w:rPr>
                <w:rFonts w:hint="eastAsia" w:ascii="宋体" w:hAnsi="宋体"/>
                <w:sz w:val="18"/>
                <w:szCs w:val="18"/>
              </w:rPr>
            </w:pPr>
            <w:r>
              <w:rPr>
                <w:rFonts w:hint="eastAsia" w:ascii="宋体" w:hAnsi="宋体"/>
                <w:sz w:val="18"/>
                <w:szCs w:val="18"/>
              </w:rPr>
              <w:t>3.2</w:t>
            </w:r>
          </w:p>
        </w:tc>
        <w:tc>
          <w:tcPr>
            <w:tcW w:w="803" w:type="dxa"/>
            <w:vAlign w:val="center"/>
          </w:tcPr>
          <w:p w14:paraId="40E2E9A6">
            <w:pPr>
              <w:snapToGrid w:val="0"/>
              <w:rPr>
                <w:rFonts w:hint="eastAsia" w:ascii="宋体" w:hAnsi="宋体"/>
                <w:sz w:val="18"/>
                <w:szCs w:val="18"/>
              </w:rPr>
            </w:pPr>
            <w:r>
              <w:rPr>
                <w:rFonts w:hint="eastAsia" w:ascii="宋体" w:hAnsi="宋体"/>
                <w:sz w:val="18"/>
                <w:szCs w:val="18"/>
              </w:rPr>
              <w:t>组串并联失配测试</w:t>
            </w:r>
          </w:p>
        </w:tc>
        <w:tc>
          <w:tcPr>
            <w:tcW w:w="1656" w:type="dxa"/>
            <w:vAlign w:val="center"/>
          </w:tcPr>
          <w:p w14:paraId="5C2A52C7">
            <w:pPr>
              <w:snapToGrid w:val="0"/>
              <w:rPr>
                <w:rFonts w:hint="eastAsia" w:ascii="宋体" w:hAnsi="宋体"/>
                <w:sz w:val="18"/>
                <w:szCs w:val="18"/>
              </w:rPr>
            </w:pPr>
            <w:r>
              <w:rPr>
                <w:rFonts w:hint="eastAsia" w:ascii="宋体" w:hAnsi="宋体"/>
                <w:sz w:val="18"/>
                <w:szCs w:val="18"/>
              </w:rPr>
              <w:t>测试现场倾斜面辐照度超过700W/m²。</w:t>
            </w:r>
          </w:p>
        </w:tc>
        <w:tc>
          <w:tcPr>
            <w:tcW w:w="2806" w:type="dxa"/>
            <w:vAlign w:val="center"/>
          </w:tcPr>
          <w:p w14:paraId="5EB69573">
            <w:pPr>
              <w:snapToGrid w:val="0"/>
              <w:rPr>
                <w:rFonts w:hint="eastAsia" w:ascii="宋体" w:hAnsi="宋体"/>
                <w:sz w:val="18"/>
                <w:szCs w:val="18"/>
              </w:rPr>
            </w:pPr>
            <w:r>
              <w:rPr>
                <w:rFonts w:hint="eastAsia" w:ascii="宋体" w:hAnsi="宋体"/>
                <w:sz w:val="18"/>
                <w:szCs w:val="18"/>
              </w:rPr>
              <w:t>测试汇流箱内所有光伏组串的I-V特性曲线；测试该光伏汇流箱输出的实际运行电压和电流。测试过程同步测量倾斜面辐照度与电池结温。</w:t>
            </w:r>
          </w:p>
        </w:tc>
        <w:tc>
          <w:tcPr>
            <w:tcW w:w="2147" w:type="dxa"/>
            <w:gridSpan w:val="3"/>
            <w:vAlign w:val="center"/>
          </w:tcPr>
          <w:p w14:paraId="1D9051F8">
            <w:pPr>
              <w:snapToGrid w:val="0"/>
              <w:rPr>
                <w:rFonts w:hint="eastAsia" w:ascii="宋体" w:hAnsi="宋体"/>
                <w:sz w:val="18"/>
                <w:szCs w:val="18"/>
              </w:rPr>
            </w:pPr>
            <w:r>
              <w:rPr>
                <w:rFonts w:hint="eastAsia" w:ascii="宋体" w:hAnsi="宋体"/>
                <w:sz w:val="18"/>
                <w:szCs w:val="18"/>
              </w:rPr>
              <w:t>组串并联失配损失不超过2%。</w:t>
            </w:r>
          </w:p>
        </w:tc>
        <w:tc>
          <w:tcPr>
            <w:tcW w:w="1320" w:type="dxa"/>
            <w:vAlign w:val="center"/>
          </w:tcPr>
          <w:p w14:paraId="44A54DDE">
            <w:pPr>
              <w:snapToGrid w:val="0"/>
              <w:rPr>
                <w:rFonts w:hint="eastAsia" w:ascii="宋体" w:hAnsi="宋体"/>
                <w:sz w:val="18"/>
                <w:szCs w:val="18"/>
              </w:rPr>
            </w:pPr>
            <w:r>
              <w:rPr>
                <w:rFonts w:hint="eastAsia" w:ascii="宋体" w:hAnsi="宋体"/>
                <w:sz w:val="18"/>
                <w:szCs w:val="18"/>
              </w:rPr>
              <w:t>必要时。</w:t>
            </w:r>
          </w:p>
        </w:tc>
      </w:tr>
      <w:tr w14:paraId="4F071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jc w:val="center"/>
        </w:trPr>
        <w:tc>
          <w:tcPr>
            <w:tcW w:w="628" w:type="dxa"/>
            <w:vMerge w:val="restart"/>
            <w:vAlign w:val="center"/>
          </w:tcPr>
          <w:p w14:paraId="34B216B2">
            <w:pPr>
              <w:snapToGrid w:val="0"/>
              <w:jc w:val="center"/>
              <w:rPr>
                <w:rFonts w:hint="eastAsia" w:ascii="宋体" w:hAnsi="宋体"/>
                <w:sz w:val="18"/>
                <w:szCs w:val="18"/>
              </w:rPr>
            </w:pPr>
            <w:r>
              <w:rPr>
                <w:rFonts w:hint="eastAsia" w:ascii="宋体" w:hAnsi="宋体"/>
                <w:sz w:val="18"/>
                <w:szCs w:val="18"/>
              </w:rPr>
              <w:t>3.3</w:t>
            </w:r>
          </w:p>
        </w:tc>
        <w:tc>
          <w:tcPr>
            <w:tcW w:w="803" w:type="dxa"/>
            <w:vMerge w:val="restart"/>
            <w:vAlign w:val="center"/>
          </w:tcPr>
          <w:p w14:paraId="2F1D8960">
            <w:pPr>
              <w:snapToGrid w:val="0"/>
              <w:rPr>
                <w:rFonts w:hint="eastAsia" w:ascii="宋体" w:hAnsi="宋体"/>
                <w:sz w:val="18"/>
                <w:szCs w:val="18"/>
              </w:rPr>
            </w:pPr>
            <w:r>
              <w:rPr>
                <w:rFonts w:hint="eastAsia" w:ascii="宋体" w:hAnsi="宋体"/>
                <w:sz w:val="18"/>
                <w:szCs w:val="18"/>
              </w:rPr>
              <w:t>绝缘电阻测试</w:t>
            </w:r>
          </w:p>
        </w:tc>
        <w:tc>
          <w:tcPr>
            <w:tcW w:w="1656" w:type="dxa"/>
            <w:vMerge w:val="restart"/>
            <w:vAlign w:val="center"/>
          </w:tcPr>
          <w:p w14:paraId="1B2BF222">
            <w:pPr>
              <w:snapToGrid w:val="0"/>
              <w:rPr>
                <w:rFonts w:hint="eastAsia" w:ascii="宋体" w:hAnsi="宋体"/>
                <w:sz w:val="18"/>
                <w:szCs w:val="18"/>
              </w:rPr>
            </w:pPr>
            <w:r>
              <w:rPr>
                <w:rFonts w:hint="eastAsia" w:ascii="宋体" w:hAnsi="宋体"/>
                <w:sz w:val="18"/>
                <w:szCs w:val="18"/>
              </w:rPr>
              <w:t>逆变器到光伏方阵的电气连接已断开。</w:t>
            </w:r>
          </w:p>
        </w:tc>
        <w:tc>
          <w:tcPr>
            <w:tcW w:w="2806" w:type="dxa"/>
            <w:vMerge w:val="restart"/>
            <w:vAlign w:val="center"/>
          </w:tcPr>
          <w:p w14:paraId="7FF4B60C">
            <w:pPr>
              <w:snapToGrid w:val="0"/>
              <w:rPr>
                <w:rFonts w:hint="eastAsia" w:ascii="宋体" w:hAnsi="宋体"/>
                <w:sz w:val="18"/>
                <w:szCs w:val="18"/>
              </w:rPr>
            </w:pPr>
            <w:r>
              <w:rPr>
                <w:rFonts w:hint="eastAsia" w:ascii="宋体" w:hAnsi="宋体"/>
                <w:sz w:val="18"/>
                <w:szCs w:val="18"/>
              </w:rPr>
              <w:t>分别测试光伏组串正极对地、负极对地和正负极短接的绝缘电阻。</w:t>
            </w:r>
          </w:p>
        </w:tc>
        <w:tc>
          <w:tcPr>
            <w:tcW w:w="758" w:type="dxa"/>
            <w:vAlign w:val="center"/>
          </w:tcPr>
          <w:p w14:paraId="69F8F74C">
            <w:pPr>
              <w:snapToGrid w:val="0"/>
              <w:rPr>
                <w:rFonts w:hint="eastAsia" w:ascii="宋体" w:hAnsi="宋体"/>
                <w:sz w:val="18"/>
                <w:szCs w:val="18"/>
              </w:rPr>
            </w:pPr>
            <w:r>
              <w:rPr>
                <w:rFonts w:hint="eastAsia" w:ascii="宋体" w:hAnsi="宋体"/>
                <w:sz w:val="18"/>
                <w:szCs w:val="18"/>
              </w:rPr>
              <w:t>系统电压（V）</w:t>
            </w:r>
          </w:p>
        </w:tc>
        <w:tc>
          <w:tcPr>
            <w:tcW w:w="696" w:type="dxa"/>
            <w:vAlign w:val="center"/>
          </w:tcPr>
          <w:p w14:paraId="0F341214">
            <w:pPr>
              <w:snapToGrid w:val="0"/>
              <w:rPr>
                <w:rFonts w:hint="eastAsia" w:ascii="宋体" w:hAnsi="宋体"/>
                <w:sz w:val="18"/>
                <w:szCs w:val="18"/>
              </w:rPr>
            </w:pPr>
            <w:r>
              <w:rPr>
                <w:rFonts w:hint="eastAsia" w:ascii="宋体" w:hAnsi="宋体"/>
                <w:sz w:val="18"/>
                <w:szCs w:val="18"/>
              </w:rPr>
              <w:t>测试电压（V）</w:t>
            </w:r>
          </w:p>
        </w:tc>
        <w:tc>
          <w:tcPr>
            <w:tcW w:w="693" w:type="dxa"/>
            <w:vAlign w:val="center"/>
          </w:tcPr>
          <w:p w14:paraId="5BA63938">
            <w:pPr>
              <w:snapToGrid w:val="0"/>
              <w:rPr>
                <w:rFonts w:hint="eastAsia" w:ascii="宋体" w:hAnsi="宋体"/>
                <w:sz w:val="18"/>
                <w:szCs w:val="18"/>
              </w:rPr>
            </w:pPr>
            <w:r>
              <w:rPr>
                <w:rFonts w:hint="eastAsia" w:ascii="宋体" w:hAnsi="宋体"/>
                <w:sz w:val="18"/>
                <w:szCs w:val="18"/>
              </w:rPr>
              <w:t>限值（MΩ）</w:t>
            </w:r>
          </w:p>
        </w:tc>
        <w:tc>
          <w:tcPr>
            <w:tcW w:w="1320" w:type="dxa"/>
            <w:vMerge w:val="restart"/>
            <w:vAlign w:val="center"/>
          </w:tcPr>
          <w:p w14:paraId="12EDFCC7">
            <w:pPr>
              <w:snapToGrid w:val="0"/>
              <w:rPr>
                <w:rFonts w:hint="eastAsia" w:ascii="宋体" w:hAnsi="宋体"/>
                <w:sz w:val="18"/>
                <w:szCs w:val="18"/>
              </w:rPr>
            </w:pPr>
            <w:r>
              <w:rPr>
                <w:rFonts w:hint="eastAsia" w:ascii="宋体" w:hAnsi="宋体"/>
                <w:sz w:val="18"/>
                <w:szCs w:val="18"/>
              </w:rPr>
              <w:t>（1）1~2年；</w:t>
            </w:r>
            <w:r>
              <w:rPr>
                <w:rFonts w:hint="eastAsia" w:ascii="宋体" w:hAnsi="宋体"/>
                <w:sz w:val="18"/>
                <w:szCs w:val="18"/>
              </w:rPr>
              <w:br w:type="textWrapping"/>
            </w:r>
            <w:r>
              <w:rPr>
                <w:rFonts w:hint="eastAsia" w:ascii="宋体" w:hAnsi="宋体"/>
                <w:sz w:val="18"/>
                <w:szCs w:val="18"/>
              </w:rPr>
              <w:t>（2）交接时；</w:t>
            </w:r>
            <w:r>
              <w:rPr>
                <w:rFonts w:hint="eastAsia" w:ascii="宋体" w:hAnsi="宋体"/>
                <w:sz w:val="18"/>
                <w:szCs w:val="18"/>
              </w:rPr>
              <w:br w:type="textWrapping"/>
            </w:r>
            <w:r>
              <w:rPr>
                <w:rFonts w:hint="eastAsia" w:ascii="宋体" w:hAnsi="宋体"/>
                <w:sz w:val="18"/>
                <w:szCs w:val="18"/>
              </w:rPr>
              <w:t>（3）关键设备更换验收时；</w:t>
            </w:r>
            <w:r>
              <w:rPr>
                <w:rFonts w:hint="eastAsia" w:ascii="宋体" w:hAnsi="宋体"/>
                <w:sz w:val="18"/>
                <w:szCs w:val="18"/>
              </w:rPr>
              <w:br w:type="textWrapping"/>
            </w:r>
            <w:r>
              <w:rPr>
                <w:rFonts w:hint="eastAsia" w:ascii="宋体" w:hAnsi="宋体"/>
                <w:sz w:val="18"/>
                <w:szCs w:val="18"/>
              </w:rPr>
              <w:t>（4）必要时。</w:t>
            </w:r>
          </w:p>
        </w:tc>
      </w:tr>
      <w:tr w14:paraId="14A90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628" w:type="dxa"/>
            <w:vMerge w:val="continue"/>
            <w:vAlign w:val="center"/>
          </w:tcPr>
          <w:p w14:paraId="5D7821C8">
            <w:pPr>
              <w:snapToGrid w:val="0"/>
              <w:jc w:val="center"/>
              <w:rPr>
                <w:rFonts w:hint="eastAsia" w:ascii="宋体" w:hAnsi="宋体"/>
                <w:sz w:val="18"/>
                <w:szCs w:val="18"/>
              </w:rPr>
            </w:pPr>
          </w:p>
        </w:tc>
        <w:tc>
          <w:tcPr>
            <w:tcW w:w="803" w:type="dxa"/>
            <w:vMerge w:val="continue"/>
            <w:vAlign w:val="center"/>
          </w:tcPr>
          <w:p w14:paraId="64B4CD78">
            <w:pPr>
              <w:snapToGrid w:val="0"/>
              <w:jc w:val="center"/>
              <w:rPr>
                <w:rFonts w:hint="eastAsia" w:ascii="宋体" w:hAnsi="宋体"/>
                <w:sz w:val="18"/>
                <w:szCs w:val="18"/>
              </w:rPr>
            </w:pPr>
          </w:p>
        </w:tc>
        <w:tc>
          <w:tcPr>
            <w:tcW w:w="1656" w:type="dxa"/>
            <w:vMerge w:val="continue"/>
            <w:vAlign w:val="center"/>
          </w:tcPr>
          <w:p w14:paraId="073B704E">
            <w:pPr>
              <w:snapToGrid w:val="0"/>
              <w:jc w:val="left"/>
              <w:rPr>
                <w:rFonts w:hint="eastAsia" w:ascii="宋体" w:hAnsi="宋体"/>
                <w:sz w:val="18"/>
                <w:szCs w:val="18"/>
              </w:rPr>
            </w:pPr>
          </w:p>
        </w:tc>
        <w:tc>
          <w:tcPr>
            <w:tcW w:w="2806" w:type="dxa"/>
            <w:vMerge w:val="continue"/>
            <w:vAlign w:val="center"/>
          </w:tcPr>
          <w:p w14:paraId="0E500F8B">
            <w:pPr>
              <w:snapToGrid w:val="0"/>
              <w:jc w:val="left"/>
              <w:rPr>
                <w:rFonts w:hint="eastAsia" w:ascii="宋体" w:hAnsi="宋体"/>
                <w:sz w:val="18"/>
                <w:szCs w:val="18"/>
              </w:rPr>
            </w:pPr>
          </w:p>
        </w:tc>
        <w:tc>
          <w:tcPr>
            <w:tcW w:w="758" w:type="dxa"/>
            <w:vAlign w:val="center"/>
          </w:tcPr>
          <w:p w14:paraId="30710B9B">
            <w:pPr>
              <w:snapToGrid w:val="0"/>
              <w:jc w:val="left"/>
              <w:rPr>
                <w:rFonts w:hint="eastAsia" w:ascii="宋体" w:hAnsi="宋体"/>
                <w:sz w:val="18"/>
                <w:szCs w:val="18"/>
              </w:rPr>
            </w:pPr>
            <w:r>
              <w:rPr>
                <w:rFonts w:hint="eastAsia" w:ascii="宋体" w:hAnsi="宋体"/>
                <w:sz w:val="18"/>
                <w:szCs w:val="18"/>
              </w:rPr>
              <w:t>＜120</w:t>
            </w:r>
          </w:p>
        </w:tc>
        <w:tc>
          <w:tcPr>
            <w:tcW w:w="696" w:type="dxa"/>
            <w:vAlign w:val="center"/>
          </w:tcPr>
          <w:p w14:paraId="7BD7176A">
            <w:pPr>
              <w:snapToGrid w:val="0"/>
              <w:jc w:val="left"/>
              <w:rPr>
                <w:rFonts w:hint="eastAsia" w:ascii="宋体" w:hAnsi="宋体"/>
                <w:sz w:val="18"/>
                <w:szCs w:val="18"/>
              </w:rPr>
            </w:pPr>
            <w:r>
              <w:rPr>
                <w:rFonts w:hint="eastAsia" w:ascii="宋体" w:hAnsi="宋体"/>
                <w:sz w:val="18"/>
                <w:szCs w:val="18"/>
              </w:rPr>
              <w:t>250</w:t>
            </w:r>
          </w:p>
        </w:tc>
        <w:tc>
          <w:tcPr>
            <w:tcW w:w="693" w:type="dxa"/>
            <w:vAlign w:val="center"/>
          </w:tcPr>
          <w:p w14:paraId="05AA431C">
            <w:pPr>
              <w:snapToGrid w:val="0"/>
              <w:jc w:val="center"/>
              <w:rPr>
                <w:rFonts w:hint="eastAsia" w:ascii="宋体" w:hAnsi="宋体"/>
                <w:sz w:val="18"/>
                <w:szCs w:val="18"/>
              </w:rPr>
            </w:pPr>
            <w:r>
              <w:rPr>
                <w:rFonts w:hint="eastAsia" w:ascii="宋体" w:hAnsi="宋体"/>
                <w:sz w:val="18"/>
                <w:szCs w:val="18"/>
              </w:rPr>
              <w:t>0.5</w:t>
            </w:r>
          </w:p>
        </w:tc>
        <w:tc>
          <w:tcPr>
            <w:tcW w:w="1320" w:type="dxa"/>
            <w:vMerge w:val="continue"/>
            <w:vAlign w:val="center"/>
          </w:tcPr>
          <w:p w14:paraId="6FDD378D">
            <w:pPr>
              <w:numPr>
                <w:ilvl w:val="0"/>
                <w:numId w:val="18"/>
              </w:numPr>
              <w:snapToGrid w:val="0"/>
              <w:ind w:left="0" w:firstLine="0"/>
              <w:jc w:val="center"/>
              <w:rPr>
                <w:rFonts w:hint="eastAsia" w:ascii="宋体" w:hAnsi="宋体"/>
                <w:sz w:val="18"/>
                <w:szCs w:val="18"/>
              </w:rPr>
            </w:pPr>
          </w:p>
        </w:tc>
      </w:tr>
      <w:tr w14:paraId="0F25B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628" w:type="dxa"/>
            <w:vMerge w:val="continue"/>
            <w:vAlign w:val="center"/>
          </w:tcPr>
          <w:p w14:paraId="337598CC">
            <w:pPr>
              <w:snapToGrid w:val="0"/>
              <w:jc w:val="center"/>
              <w:rPr>
                <w:rFonts w:hint="eastAsia" w:ascii="宋体" w:hAnsi="宋体"/>
                <w:sz w:val="18"/>
                <w:szCs w:val="18"/>
              </w:rPr>
            </w:pPr>
          </w:p>
        </w:tc>
        <w:tc>
          <w:tcPr>
            <w:tcW w:w="803" w:type="dxa"/>
            <w:vMerge w:val="continue"/>
            <w:vAlign w:val="center"/>
          </w:tcPr>
          <w:p w14:paraId="41738CCC">
            <w:pPr>
              <w:snapToGrid w:val="0"/>
              <w:jc w:val="center"/>
              <w:rPr>
                <w:rFonts w:hint="eastAsia" w:ascii="宋体" w:hAnsi="宋体"/>
                <w:sz w:val="18"/>
                <w:szCs w:val="18"/>
              </w:rPr>
            </w:pPr>
          </w:p>
        </w:tc>
        <w:tc>
          <w:tcPr>
            <w:tcW w:w="1656" w:type="dxa"/>
            <w:vMerge w:val="continue"/>
            <w:vAlign w:val="center"/>
          </w:tcPr>
          <w:p w14:paraId="08ED3AEA">
            <w:pPr>
              <w:snapToGrid w:val="0"/>
              <w:jc w:val="left"/>
              <w:rPr>
                <w:rFonts w:hint="eastAsia" w:ascii="宋体" w:hAnsi="宋体"/>
                <w:sz w:val="18"/>
                <w:szCs w:val="18"/>
              </w:rPr>
            </w:pPr>
          </w:p>
        </w:tc>
        <w:tc>
          <w:tcPr>
            <w:tcW w:w="2806" w:type="dxa"/>
            <w:vMerge w:val="continue"/>
            <w:vAlign w:val="center"/>
          </w:tcPr>
          <w:p w14:paraId="0FF9DD75">
            <w:pPr>
              <w:snapToGrid w:val="0"/>
              <w:jc w:val="left"/>
              <w:rPr>
                <w:rFonts w:hint="eastAsia" w:ascii="宋体" w:hAnsi="宋体"/>
                <w:sz w:val="18"/>
                <w:szCs w:val="18"/>
              </w:rPr>
            </w:pPr>
          </w:p>
        </w:tc>
        <w:tc>
          <w:tcPr>
            <w:tcW w:w="758" w:type="dxa"/>
            <w:vAlign w:val="center"/>
          </w:tcPr>
          <w:p w14:paraId="7FB178B0">
            <w:pPr>
              <w:snapToGrid w:val="0"/>
              <w:jc w:val="left"/>
              <w:rPr>
                <w:rFonts w:hint="eastAsia" w:ascii="宋体" w:hAnsi="宋体"/>
                <w:sz w:val="18"/>
                <w:szCs w:val="18"/>
              </w:rPr>
            </w:pPr>
            <w:r>
              <w:rPr>
                <w:rFonts w:hint="eastAsia" w:ascii="宋体" w:hAnsi="宋体"/>
                <w:sz w:val="18"/>
                <w:szCs w:val="18"/>
              </w:rPr>
              <w:t>120~500</w:t>
            </w:r>
          </w:p>
        </w:tc>
        <w:tc>
          <w:tcPr>
            <w:tcW w:w="696" w:type="dxa"/>
            <w:vAlign w:val="center"/>
          </w:tcPr>
          <w:p w14:paraId="566FF810">
            <w:pPr>
              <w:snapToGrid w:val="0"/>
              <w:jc w:val="left"/>
              <w:rPr>
                <w:rFonts w:hint="eastAsia" w:ascii="宋体" w:hAnsi="宋体"/>
                <w:sz w:val="18"/>
                <w:szCs w:val="18"/>
              </w:rPr>
            </w:pPr>
            <w:r>
              <w:rPr>
                <w:rFonts w:hint="eastAsia" w:ascii="宋体" w:hAnsi="宋体"/>
                <w:sz w:val="18"/>
                <w:szCs w:val="18"/>
              </w:rPr>
              <w:t>500</w:t>
            </w:r>
          </w:p>
        </w:tc>
        <w:tc>
          <w:tcPr>
            <w:tcW w:w="693" w:type="dxa"/>
            <w:vAlign w:val="center"/>
          </w:tcPr>
          <w:p w14:paraId="208C6F08">
            <w:pPr>
              <w:snapToGrid w:val="0"/>
              <w:jc w:val="center"/>
              <w:rPr>
                <w:rFonts w:hint="eastAsia" w:ascii="宋体" w:hAnsi="宋体"/>
                <w:sz w:val="18"/>
                <w:szCs w:val="18"/>
              </w:rPr>
            </w:pPr>
            <w:r>
              <w:rPr>
                <w:rFonts w:hint="eastAsia" w:ascii="宋体" w:hAnsi="宋体"/>
                <w:sz w:val="18"/>
                <w:szCs w:val="18"/>
              </w:rPr>
              <w:t>1.0</w:t>
            </w:r>
          </w:p>
        </w:tc>
        <w:tc>
          <w:tcPr>
            <w:tcW w:w="1320" w:type="dxa"/>
            <w:vMerge w:val="continue"/>
            <w:vAlign w:val="center"/>
          </w:tcPr>
          <w:p w14:paraId="468C4AFD">
            <w:pPr>
              <w:numPr>
                <w:ilvl w:val="0"/>
                <w:numId w:val="18"/>
              </w:numPr>
              <w:snapToGrid w:val="0"/>
              <w:ind w:left="0" w:firstLine="0"/>
              <w:jc w:val="center"/>
              <w:rPr>
                <w:rFonts w:hint="eastAsia" w:ascii="宋体" w:hAnsi="宋体"/>
                <w:sz w:val="18"/>
                <w:szCs w:val="18"/>
              </w:rPr>
            </w:pPr>
          </w:p>
        </w:tc>
      </w:tr>
      <w:tr w14:paraId="02F18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628" w:type="dxa"/>
            <w:vMerge w:val="continue"/>
            <w:vAlign w:val="center"/>
          </w:tcPr>
          <w:p w14:paraId="350C2920">
            <w:pPr>
              <w:snapToGrid w:val="0"/>
              <w:jc w:val="center"/>
              <w:rPr>
                <w:rFonts w:hint="eastAsia" w:ascii="宋体" w:hAnsi="宋体"/>
                <w:sz w:val="18"/>
                <w:szCs w:val="18"/>
              </w:rPr>
            </w:pPr>
          </w:p>
        </w:tc>
        <w:tc>
          <w:tcPr>
            <w:tcW w:w="803" w:type="dxa"/>
            <w:vMerge w:val="continue"/>
            <w:vAlign w:val="center"/>
          </w:tcPr>
          <w:p w14:paraId="2E928A2A">
            <w:pPr>
              <w:snapToGrid w:val="0"/>
              <w:jc w:val="center"/>
              <w:rPr>
                <w:rFonts w:hint="eastAsia" w:ascii="宋体" w:hAnsi="宋体"/>
                <w:sz w:val="18"/>
                <w:szCs w:val="18"/>
              </w:rPr>
            </w:pPr>
          </w:p>
        </w:tc>
        <w:tc>
          <w:tcPr>
            <w:tcW w:w="1656" w:type="dxa"/>
            <w:vMerge w:val="continue"/>
            <w:vAlign w:val="center"/>
          </w:tcPr>
          <w:p w14:paraId="46CB496B">
            <w:pPr>
              <w:snapToGrid w:val="0"/>
              <w:jc w:val="left"/>
              <w:rPr>
                <w:rFonts w:hint="eastAsia" w:ascii="宋体" w:hAnsi="宋体"/>
                <w:sz w:val="18"/>
                <w:szCs w:val="18"/>
              </w:rPr>
            </w:pPr>
          </w:p>
        </w:tc>
        <w:tc>
          <w:tcPr>
            <w:tcW w:w="2806" w:type="dxa"/>
            <w:vMerge w:val="continue"/>
            <w:vAlign w:val="center"/>
          </w:tcPr>
          <w:p w14:paraId="7FCC77BE">
            <w:pPr>
              <w:snapToGrid w:val="0"/>
              <w:jc w:val="left"/>
              <w:rPr>
                <w:rFonts w:hint="eastAsia" w:ascii="宋体" w:hAnsi="宋体"/>
                <w:sz w:val="18"/>
                <w:szCs w:val="18"/>
              </w:rPr>
            </w:pPr>
          </w:p>
        </w:tc>
        <w:tc>
          <w:tcPr>
            <w:tcW w:w="758" w:type="dxa"/>
            <w:vAlign w:val="center"/>
          </w:tcPr>
          <w:p w14:paraId="621AA71D">
            <w:pPr>
              <w:snapToGrid w:val="0"/>
              <w:jc w:val="left"/>
              <w:rPr>
                <w:rFonts w:hint="eastAsia" w:ascii="宋体" w:hAnsi="宋体"/>
                <w:sz w:val="18"/>
                <w:szCs w:val="18"/>
              </w:rPr>
            </w:pPr>
            <w:r>
              <w:rPr>
                <w:rFonts w:hint="eastAsia" w:ascii="宋体" w:hAnsi="宋体"/>
                <w:sz w:val="18"/>
                <w:szCs w:val="18"/>
              </w:rPr>
              <w:t>＞500</w:t>
            </w:r>
          </w:p>
        </w:tc>
        <w:tc>
          <w:tcPr>
            <w:tcW w:w="696" w:type="dxa"/>
            <w:vAlign w:val="center"/>
          </w:tcPr>
          <w:p w14:paraId="3389DD60">
            <w:pPr>
              <w:snapToGrid w:val="0"/>
              <w:jc w:val="left"/>
              <w:rPr>
                <w:rFonts w:hint="eastAsia" w:ascii="宋体" w:hAnsi="宋体"/>
                <w:sz w:val="18"/>
                <w:szCs w:val="18"/>
              </w:rPr>
            </w:pPr>
            <w:r>
              <w:rPr>
                <w:rFonts w:hint="eastAsia" w:ascii="宋体" w:hAnsi="宋体"/>
                <w:sz w:val="18"/>
                <w:szCs w:val="18"/>
              </w:rPr>
              <w:t>1000</w:t>
            </w:r>
          </w:p>
        </w:tc>
        <w:tc>
          <w:tcPr>
            <w:tcW w:w="693" w:type="dxa"/>
            <w:vAlign w:val="center"/>
          </w:tcPr>
          <w:p w14:paraId="4AFE7D8C">
            <w:pPr>
              <w:snapToGrid w:val="0"/>
              <w:jc w:val="center"/>
              <w:rPr>
                <w:rFonts w:hint="eastAsia" w:ascii="宋体" w:hAnsi="宋体"/>
                <w:sz w:val="18"/>
                <w:szCs w:val="18"/>
              </w:rPr>
            </w:pPr>
            <w:r>
              <w:rPr>
                <w:rFonts w:hint="eastAsia" w:ascii="宋体" w:hAnsi="宋体"/>
                <w:sz w:val="18"/>
                <w:szCs w:val="18"/>
              </w:rPr>
              <w:t>1.0</w:t>
            </w:r>
          </w:p>
        </w:tc>
        <w:tc>
          <w:tcPr>
            <w:tcW w:w="1320" w:type="dxa"/>
            <w:vMerge w:val="continue"/>
            <w:vAlign w:val="center"/>
          </w:tcPr>
          <w:p w14:paraId="20233D40">
            <w:pPr>
              <w:numPr>
                <w:ilvl w:val="0"/>
                <w:numId w:val="18"/>
              </w:numPr>
              <w:snapToGrid w:val="0"/>
              <w:ind w:left="0" w:firstLine="0"/>
              <w:jc w:val="center"/>
              <w:rPr>
                <w:rFonts w:hint="eastAsia" w:ascii="宋体" w:hAnsi="宋体"/>
                <w:sz w:val="18"/>
                <w:szCs w:val="18"/>
              </w:rPr>
            </w:pPr>
          </w:p>
        </w:tc>
      </w:tr>
      <w:tr w14:paraId="3B07B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628" w:type="dxa"/>
            <w:vAlign w:val="center"/>
          </w:tcPr>
          <w:p w14:paraId="07F3AA14">
            <w:pPr>
              <w:snapToGrid w:val="0"/>
              <w:jc w:val="center"/>
              <w:rPr>
                <w:rFonts w:hint="eastAsia" w:ascii="宋体" w:hAnsi="宋体"/>
                <w:sz w:val="18"/>
                <w:szCs w:val="18"/>
              </w:rPr>
            </w:pPr>
            <w:r>
              <w:rPr>
                <w:rFonts w:hint="eastAsia" w:ascii="宋体" w:hAnsi="宋体"/>
                <w:sz w:val="18"/>
                <w:szCs w:val="18"/>
              </w:rPr>
              <w:t>4</w:t>
            </w:r>
          </w:p>
        </w:tc>
        <w:tc>
          <w:tcPr>
            <w:tcW w:w="8732" w:type="dxa"/>
            <w:gridSpan w:val="7"/>
            <w:vAlign w:val="center"/>
          </w:tcPr>
          <w:p w14:paraId="29D066E2">
            <w:pPr>
              <w:snapToGrid w:val="0"/>
              <w:jc w:val="center"/>
              <w:rPr>
                <w:rFonts w:hint="eastAsia" w:ascii="宋体" w:hAnsi="宋体"/>
                <w:sz w:val="18"/>
                <w:szCs w:val="18"/>
              </w:rPr>
            </w:pPr>
            <w:r>
              <w:rPr>
                <w:rFonts w:hint="eastAsia" w:ascii="宋体" w:hAnsi="宋体"/>
                <w:sz w:val="18"/>
                <w:szCs w:val="18"/>
              </w:rPr>
              <w:t>光伏方阵</w:t>
            </w:r>
          </w:p>
        </w:tc>
      </w:tr>
      <w:tr w14:paraId="52769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628" w:type="dxa"/>
            <w:vAlign w:val="center"/>
          </w:tcPr>
          <w:p w14:paraId="3302129B">
            <w:pPr>
              <w:snapToGrid w:val="0"/>
              <w:jc w:val="center"/>
              <w:rPr>
                <w:rFonts w:hint="eastAsia" w:ascii="宋体" w:hAnsi="宋体"/>
                <w:sz w:val="18"/>
                <w:szCs w:val="18"/>
              </w:rPr>
            </w:pPr>
            <w:r>
              <w:rPr>
                <w:rFonts w:hint="eastAsia" w:ascii="宋体" w:hAnsi="宋体"/>
                <w:sz w:val="18"/>
                <w:szCs w:val="18"/>
              </w:rPr>
              <w:t>4.1</w:t>
            </w:r>
          </w:p>
        </w:tc>
        <w:tc>
          <w:tcPr>
            <w:tcW w:w="803" w:type="dxa"/>
            <w:vAlign w:val="center"/>
          </w:tcPr>
          <w:p w14:paraId="719088F1">
            <w:pPr>
              <w:snapToGrid w:val="0"/>
              <w:rPr>
                <w:rFonts w:hint="eastAsia" w:ascii="宋体" w:hAnsi="宋体"/>
                <w:sz w:val="18"/>
                <w:szCs w:val="18"/>
              </w:rPr>
            </w:pPr>
            <w:r>
              <w:rPr>
                <w:rFonts w:hint="eastAsia" w:ascii="宋体" w:hAnsi="宋体"/>
                <w:sz w:val="18"/>
                <w:szCs w:val="18"/>
              </w:rPr>
              <w:t>光伏方阵并联失配测试</w:t>
            </w:r>
          </w:p>
        </w:tc>
        <w:tc>
          <w:tcPr>
            <w:tcW w:w="1656" w:type="dxa"/>
            <w:vAlign w:val="center"/>
          </w:tcPr>
          <w:p w14:paraId="50E26E13">
            <w:pPr>
              <w:snapToGrid w:val="0"/>
              <w:rPr>
                <w:rFonts w:hint="eastAsia" w:ascii="宋体" w:hAnsi="宋体"/>
                <w:sz w:val="18"/>
                <w:szCs w:val="18"/>
              </w:rPr>
            </w:pPr>
            <w:r>
              <w:rPr>
                <w:rFonts w:hint="eastAsia" w:ascii="宋体" w:hAnsi="宋体"/>
                <w:sz w:val="18"/>
                <w:szCs w:val="18"/>
              </w:rPr>
              <w:t>测试现场倾斜面辐照度超过700W/m²。</w:t>
            </w:r>
          </w:p>
        </w:tc>
        <w:tc>
          <w:tcPr>
            <w:tcW w:w="2806" w:type="dxa"/>
            <w:vAlign w:val="center"/>
          </w:tcPr>
          <w:p w14:paraId="19A5B7BB">
            <w:pPr>
              <w:snapToGrid w:val="0"/>
              <w:rPr>
                <w:rFonts w:hint="eastAsia" w:ascii="宋体" w:hAnsi="宋体"/>
                <w:sz w:val="18"/>
                <w:szCs w:val="18"/>
              </w:rPr>
            </w:pPr>
            <w:r>
              <w:rPr>
                <w:rFonts w:hint="eastAsia" w:ascii="宋体" w:hAnsi="宋体"/>
                <w:sz w:val="18"/>
                <w:szCs w:val="18"/>
              </w:rPr>
              <w:t>测试逆变器连接的所有光伏方阵的I-V特性曲线；测试该逆变器直流输入的实际运行电压和电流。测试过程同步测量倾斜面辐照度与电池结温。</w:t>
            </w:r>
          </w:p>
        </w:tc>
        <w:tc>
          <w:tcPr>
            <w:tcW w:w="2147" w:type="dxa"/>
            <w:gridSpan w:val="3"/>
            <w:vAlign w:val="center"/>
          </w:tcPr>
          <w:p w14:paraId="058638D6">
            <w:pPr>
              <w:snapToGrid w:val="0"/>
              <w:rPr>
                <w:rFonts w:hint="eastAsia" w:ascii="宋体" w:hAnsi="宋体"/>
                <w:sz w:val="18"/>
                <w:szCs w:val="18"/>
              </w:rPr>
            </w:pPr>
            <w:r>
              <w:rPr>
                <w:rFonts w:hint="eastAsia" w:ascii="宋体" w:hAnsi="宋体"/>
                <w:sz w:val="18"/>
                <w:szCs w:val="18"/>
              </w:rPr>
              <w:t>光伏方阵并联失配损失不超过2%。</w:t>
            </w:r>
          </w:p>
        </w:tc>
        <w:tc>
          <w:tcPr>
            <w:tcW w:w="1320" w:type="dxa"/>
            <w:vAlign w:val="center"/>
          </w:tcPr>
          <w:p w14:paraId="093F0A31">
            <w:pPr>
              <w:snapToGrid w:val="0"/>
              <w:rPr>
                <w:rFonts w:hint="eastAsia" w:ascii="宋体" w:hAnsi="宋体"/>
                <w:sz w:val="18"/>
                <w:szCs w:val="18"/>
              </w:rPr>
            </w:pPr>
            <w:r>
              <w:rPr>
                <w:rFonts w:hint="eastAsia" w:ascii="宋体" w:hAnsi="宋体"/>
                <w:sz w:val="18"/>
                <w:szCs w:val="18"/>
              </w:rPr>
              <w:t>（1）关键部件更换验收时；</w:t>
            </w:r>
            <w:r>
              <w:rPr>
                <w:rFonts w:hint="eastAsia" w:ascii="宋体" w:hAnsi="宋体"/>
                <w:sz w:val="18"/>
                <w:szCs w:val="18"/>
              </w:rPr>
              <w:br w:type="textWrapping"/>
            </w:r>
            <w:r>
              <w:rPr>
                <w:rFonts w:hint="eastAsia" w:ascii="宋体" w:hAnsi="宋体"/>
                <w:sz w:val="18"/>
                <w:szCs w:val="18"/>
              </w:rPr>
              <w:t>（2）必要时。</w:t>
            </w:r>
          </w:p>
        </w:tc>
      </w:tr>
      <w:tr w14:paraId="45687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628" w:type="dxa"/>
            <w:vAlign w:val="center"/>
          </w:tcPr>
          <w:p w14:paraId="2BDFC59E">
            <w:pPr>
              <w:snapToGrid w:val="0"/>
              <w:jc w:val="center"/>
              <w:rPr>
                <w:rFonts w:hint="eastAsia" w:ascii="宋体" w:hAnsi="宋体"/>
                <w:sz w:val="18"/>
                <w:szCs w:val="18"/>
              </w:rPr>
            </w:pPr>
            <w:r>
              <w:rPr>
                <w:rFonts w:hint="eastAsia" w:ascii="宋体" w:hAnsi="宋体"/>
                <w:sz w:val="18"/>
                <w:szCs w:val="18"/>
              </w:rPr>
              <w:t>4.2</w:t>
            </w:r>
          </w:p>
        </w:tc>
        <w:tc>
          <w:tcPr>
            <w:tcW w:w="803" w:type="dxa"/>
            <w:vAlign w:val="center"/>
          </w:tcPr>
          <w:p w14:paraId="42ACFA31">
            <w:pPr>
              <w:snapToGrid w:val="0"/>
              <w:rPr>
                <w:rFonts w:hint="eastAsia" w:ascii="宋体" w:hAnsi="宋体"/>
                <w:sz w:val="18"/>
                <w:szCs w:val="18"/>
              </w:rPr>
            </w:pPr>
            <w:r>
              <w:rPr>
                <w:rFonts w:hint="eastAsia" w:ascii="宋体" w:hAnsi="宋体"/>
                <w:sz w:val="18"/>
                <w:szCs w:val="18"/>
              </w:rPr>
              <w:t>直流损耗测试</w:t>
            </w:r>
          </w:p>
        </w:tc>
        <w:tc>
          <w:tcPr>
            <w:tcW w:w="1656" w:type="dxa"/>
            <w:vAlign w:val="center"/>
          </w:tcPr>
          <w:p w14:paraId="010701B2">
            <w:pPr>
              <w:snapToGrid w:val="0"/>
              <w:rPr>
                <w:rFonts w:hint="eastAsia" w:ascii="宋体" w:hAnsi="宋体"/>
                <w:sz w:val="18"/>
                <w:szCs w:val="18"/>
              </w:rPr>
            </w:pPr>
            <w:r>
              <w:rPr>
                <w:rFonts w:hint="eastAsia" w:ascii="宋体" w:hAnsi="宋体"/>
                <w:sz w:val="18"/>
                <w:szCs w:val="18"/>
              </w:rPr>
              <w:t>光伏单元处于正常运行状态。</w:t>
            </w:r>
          </w:p>
        </w:tc>
        <w:tc>
          <w:tcPr>
            <w:tcW w:w="2806" w:type="dxa"/>
            <w:vAlign w:val="center"/>
          </w:tcPr>
          <w:p w14:paraId="04D8BF9E">
            <w:pPr>
              <w:snapToGrid w:val="0"/>
              <w:rPr>
                <w:rFonts w:hint="eastAsia" w:ascii="宋体" w:hAnsi="宋体"/>
                <w:sz w:val="18"/>
                <w:szCs w:val="18"/>
              </w:rPr>
            </w:pPr>
            <w:r>
              <w:rPr>
                <w:rFonts w:hint="eastAsia" w:ascii="宋体" w:hAnsi="宋体"/>
                <w:sz w:val="18"/>
                <w:szCs w:val="18"/>
              </w:rPr>
              <w:t>抽测具有代表性的近、中、远三个光伏组串至汇流箱，以及相应的汇流箱和逆变器之间的直流损耗。</w:t>
            </w:r>
          </w:p>
        </w:tc>
        <w:tc>
          <w:tcPr>
            <w:tcW w:w="2147" w:type="dxa"/>
            <w:gridSpan w:val="3"/>
            <w:vAlign w:val="center"/>
          </w:tcPr>
          <w:p w14:paraId="0A3BBB7D">
            <w:pPr>
              <w:snapToGrid w:val="0"/>
              <w:rPr>
                <w:rFonts w:hint="eastAsia" w:ascii="宋体" w:hAnsi="宋体"/>
                <w:sz w:val="18"/>
                <w:szCs w:val="18"/>
              </w:rPr>
            </w:pPr>
            <w:r>
              <w:rPr>
                <w:rFonts w:hint="eastAsia" w:ascii="宋体" w:hAnsi="宋体"/>
                <w:sz w:val="18"/>
                <w:szCs w:val="18"/>
              </w:rPr>
              <w:t>光伏组串至汇流箱平均直流损耗不超过2%；汇流箱至逆变器平均直流损耗不超过2%。</w:t>
            </w:r>
          </w:p>
        </w:tc>
        <w:tc>
          <w:tcPr>
            <w:tcW w:w="1320" w:type="dxa"/>
            <w:vAlign w:val="center"/>
          </w:tcPr>
          <w:p w14:paraId="30945408">
            <w:pPr>
              <w:snapToGrid w:val="0"/>
              <w:rPr>
                <w:rFonts w:hint="eastAsia" w:ascii="宋体" w:hAnsi="宋体"/>
                <w:sz w:val="18"/>
                <w:szCs w:val="18"/>
              </w:rPr>
            </w:pPr>
            <w:r>
              <w:rPr>
                <w:rFonts w:hint="eastAsia" w:ascii="宋体" w:hAnsi="宋体"/>
                <w:sz w:val="18"/>
                <w:szCs w:val="18"/>
              </w:rPr>
              <w:t>（1）交接时；</w:t>
            </w:r>
            <w:r>
              <w:rPr>
                <w:rFonts w:hint="eastAsia" w:ascii="宋体" w:hAnsi="宋体"/>
                <w:sz w:val="18"/>
                <w:szCs w:val="18"/>
              </w:rPr>
              <w:br w:type="textWrapping"/>
            </w:r>
            <w:r>
              <w:rPr>
                <w:rFonts w:hint="eastAsia" w:ascii="宋体" w:hAnsi="宋体"/>
                <w:sz w:val="18"/>
                <w:szCs w:val="18"/>
              </w:rPr>
              <w:t>（2）关键部件更换验收时；</w:t>
            </w:r>
            <w:r>
              <w:rPr>
                <w:rFonts w:hint="eastAsia" w:ascii="宋体" w:hAnsi="宋体"/>
                <w:sz w:val="18"/>
                <w:szCs w:val="18"/>
              </w:rPr>
              <w:br w:type="textWrapping"/>
            </w:r>
            <w:r>
              <w:rPr>
                <w:rFonts w:hint="eastAsia" w:ascii="宋体" w:hAnsi="宋体"/>
                <w:sz w:val="18"/>
                <w:szCs w:val="18"/>
              </w:rPr>
              <w:t>（3）必要时。</w:t>
            </w:r>
          </w:p>
        </w:tc>
      </w:tr>
      <w:tr w14:paraId="2D65C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628" w:type="dxa"/>
            <w:vMerge w:val="restart"/>
            <w:vAlign w:val="center"/>
          </w:tcPr>
          <w:p w14:paraId="52F03DE0">
            <w:pPr>
              <w:snapToGrid w:val="0"/>
              <w:jc w:val="center"/>
              <w:rPr>
                <w:rFonts w:hint="eastAsia" w:ascii="宋体" w:hAnsi="宋体"/>
                <w:sz w:val="18"/>
                <w:szCs w:val="18"/>
              </w:rPr>
            </w:pPr>
            <w:r>
              <w:rPr>
                <w:rFonts w:hint="eastAsia" w:ascii="宋体" w:hAnsi="宋体"/>
                <w:sz w:val="18"/>
                <w:szCs w:val="18"/>
              </w:rPr>
              <w:t>4.3</w:t>
            </w:r>
          </w:p>
        </w:tc>
        <w:tc>
          <w:tcPr>
            <w:tcW w:w="803" w:type="dxa"/>
            <w:vMerge w:val="restart"/>
            <w:vAlign w:val="center"/>
          </w:tcPr>
          <w:p w14:paraId="65828FF1">
            <w:pPr>
              <w:snapToGrid w:val="0"/>
              <w:rPr>
                <w:rFonts w:hint="eastAsia" w:ascii="宋体" w:hAnsi="宋体"/>
                <w:sz w:val="18"/>
                <w:szCs w:val="18"/>
              </w:rPr>
            </w:pPr>
            <w:r>
              <w:rPr>
                <w:rFonts w:hint="eastAsia" w:ascii="宋体" w:hAnsi="宋体"/>
                <w:sz w:val="18"/>
                <w:szCs w:val="18"/>
              </w:rPr>
              <w:t>绝缘电阻测试</w:t>
            </w:r>
          </w:p>
        </w:tc>
        <w:tc>
          <w:tcPr>
            <w:tcW w:w="1656" w:type="dxa"/>
            <w:vMerge w:val="restart"/>
            <w:vAlign w:val="center"/>
          </w:tcPr>
          <w:p w14:paraId="5CD8FB06">
            <w:pPr>
              <w:snapToGrid w:val="0"/>
              <w:rPr>
                <w:rFonts w:hint="eastAsia" w:ascii="宋体" w:hAnsi="宋体"/>
                <w:sz w:val="18"/>
                <w:szCs w:val="18"/>
              </w:rPr>
            </w:pPr>
            <w:r>
              <w:rPr>
                <w:rFonts w:hint="eastAsia" w:ascii="宋体" w:hAnsi="宋体"/>
                <w:sz w:val="18"/>
                <w:szCs w:val="18"/>
              </w:rPr>
              <w:t>逆变器到光伏方阵的电气连接已断开。</w:t>
            </w:r>
          </w:p>
        </w:tc>
        <w:tc>
          <w:tcPr>
            <w:tcW w:w="2806" w:type="dxa"/>
            <w:vMerge w:val="restart"/>
            <w:vAlign w:val="center"/>
          </w:tcPr>
          <w:p w14:paraId="0B22F34B">
            <w:pPr>
              <w:snapToGrid w:val="0"/>
              <w:rPr>
                <w:rFonts w:hint="eastAsia" w:ascii="宋体" w:hAnsi="宋体"/>
                <w:sz w:val="18"/>
                <w:szCs w:val="18"/>
              </w:rPr>
            </w:pPr>
            <w:r>
              <w:rPr>
                <w:rFonts w:hint="eastAsia" w:ascii="宋体" w:hAnsi="宋体"/>
                <w:sz w:val="18"/>
                <w:szCs w:val="18"/>
              </w:rPr>
              <w:t>分别测试光伏方阵正极对地、负极和正负极短接时对地的绝缘电阻。</w:t>
            </w:r>
          </w:p>
        </w:tc>
        <w:tc>
          <w:tcPr>
            <w:tcW w:w="758" w:type="dxa"/>
            <w:vAlign w:val="center"/>
          </w:tcPr>
          <w:p w14:paraId="56DC3D1E">
            <w:pPr>
              <w:snapToGrid w:val="0"/>
              <w:rPr>
                <w:rFonts w:hint="eastAsia" w:ascii="宋体" w:hAnsi="宋体"/>
                <w:sz w:val="18"/>
                <w:szCs w:val="18"/>
              </w:rPr>
            </w:pPr>
            <w:r>
              <w:rPr>
                <w:rFonts w:hint="eastAsia" w:ascii="宋体" w:hAnsi="宋体"/>
                <w:sz w:val="18"/>
                <w:szCs w:val="18"/>
              </w:rPr>
              <w:t>系统电压（V）</w:t>
            </w:r>
          </w:p>
        </w:tc>
        <w:tc>
          <w:tcPr>
            <w:tcW w:w="696" w:type="dxa"/>
            <w:vAlign w:val="center"/>
          </w:tcPr>
          <w:p w14:paraId="5A217C91">
            <w:pPr>
              <w:snapToGrid w:val="0"/>
              <w:rPr>
                <w:rFonts w:hint="eastAsia" w:ascii="宋体" w:hAnsi="宋体"/>
                <w:sz w:val="18"/>
                <w:szCs w:val="18"/>
              </w:rPr>
            </w:pPr>
            <w:r>
              <w:rPr>
                <w:rFonts w:hint="eastAsia" w:ascii="宋体" w:hAnsi="宋体"/>
                <w:sz w:val="18"/>
                <w:szCs w:val="18"/>
              </w:rPr>
              <w:t>测试电压（V）</w:t>
            </w:r>
          </w:p>
        </w:tc>
        <w:tc>
          <w:tcPr>
            <w:tcW w:w="693" w:type="dxa"/>
            <w:vAlign w:val="center"/>
          </w:tcPr>
          <w:p w14:paraId="51B4AA41">
            <w:pPr>
              <w:snapToGrid w:val="0"/>
              <w:rPr>
                <w:rFonts w:hint="eastAsia" w:ascii="宋体" w:hAnsi="宋体"/>
                <w:sz w:val="18"/>
                <w:szCs w:val="18"/>
              </w:rPr>
            </w:pPr>
            <w:r>
              <w:rPr>
                <w:rFonts w:hint="eastAsia" w:ascii="宋体" w:hAnsi="宋体"/>
                <w:sz w:val="18"/>
                <w:szCs w:val="18"/>
              </w:rPr>
              <w:t>限值（MΩ）</w:t>
            </w:r>
          </w:p>
        </w:tc>
        <w:tc>
          <w:tcPr>
            <w:tcW w:w="1320" w:type="dxa"/>
            <w:vMerge w:val="restart"/>
            <w:vAlign w:val="center"/>
          </w:tcPr>
          <w:p w14:paraId="1AF468D1">
            <w:pPr>
              <w:snapToGrid w:val="0"/>
              <w:rPr>
                <w:rFonts w:hint="eastAsia" w:ascii="宋体" w:hAnsi="宋体"/>
                <w:sz w:val="18"/>
                <w:szCs w:val="18"/>
              </w:rPr>
            </w:pPr>
            <w:r>
              <w:rPr>
                <w:rFonts w:hint="eastAsia" w:ascii="宋体" w:hAnsi="宋体"/>
                <w:sz w:val="18"/>
                <w:szCs w:val="18"/>
              </w:rPr>
              <w:t>（1）1~2年；</w:t>
            </w:r>
            <w:r>
              <w:rPr>
                <w:rFonts w:hint="eastAsia" w:ascii="宋体" w:hAnsi="宋体"/>
                <w:sz w:val="18"/>
                <w:szCs w:val="18"/>
              </w:rPr>
              <w:br w:type="textWrapping"/>
            </w:r>
            <w:r>
              <w:rPr>
                <w:rFonts w:hint="eastAsia" w:ascii="宋体" w:hAnsi="宋体"/>
                <w:sz w:val="18"/>
                <w:szCs w:val="18"/>
              </w:rPr>
              <w:t>（2）交接时；</w:t>
            </w:r>
            <w:r>
              <w:rPr>
                <w:rFonts w:hint="eastAsia" w:ascii="宋体" w:hAnsi="宋体"/>
                <w:sz w:val="18"/>
                <w:szCs w:val="18"/>
              </w:rPr>
              <w:br w:type="textWrapping"/>
            </w:r>
            <w:r>
              <w:rPr>
                <w:rFonts w:hint="eastAsia" w:ascii="宋体" w:hAnsi="宋体"/>
                <w:sz w:val="18"/>
                <w:szCs w:val="18"/>
              </w:rPr>
              <w:t>（3）关键设备更换验收时；</w:t>
            </w:r>
            <w:r>
              <w:rPr>
                <w:rFonts w:hint="eastAsia" w:ascii="宋体" w:hAnsi="宋体"/>
                <w:sz w:val="18"/>
                <w:szCs w:val="18"/>
              </w:rPr>
              <w:br w:type="textWrapping"/>
            </w:r>
            <w:r>
              <w:rPr>
                <w:rFonts w:hint="eastAsia" w:ascii="宋体" w:hAnsi="宋体"/>
                <w:sz w:val="18"/>
                <w:szCs w:val="18"/>
              </w:rPr>
              <w:t>（4）必要时。</w:t>
            </w:r>
          </w:p>
        </w:tc>
      </w:tr>
      <w:tr w14:paraId="4F5BF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628" w:type="dxa"/>
            <w:vMerge w:val="continue"/>
            <w:vAlign w:val="center"/>
          </w:tcPr>
          <w:p w14:paraId="35A8388A">
            <w:pPr>
              <w:snapToGrid w:val="0"/>
              <w:jc w:val="center"/>
              <w:rPr>
                <w:rFonts w:hint="eastAsia" w:ascii="宋体" w:hAnsi="宋体"/>
                <w:sz w:val="18"/>
                <w:szCs w:val="18"/>
              </w:rPr>
            </w:pPr>
          </w:p>
        </w:tc>
        <w:tc>
          <w:tcPr>
            <w:tcW w:w="803" w:type="dxa"/>
            <w:vMerge w:val="continue"/>
            <w:vAlign w:val="center"/>
          </w:tcPr>
          <w:p w14:paraId="118DD470">
            <w:pPr>
              <w:snapToGrid w:val="0"/>
              <w:jc w:val="center"/>
              <w:rPr>
                <w:rFonts w:hint="eastAsia" w:ascii="宋体" w:hAnsi="宋体"/>
                <w:sz w:val="18"/>
                <w:szCs w:val="18"/>
              </w:rPr>
            </w:pPr>
          </w:p>
        </w:tc>
        <w:tc>
          <w:tcPr>
            <w:tcW w:w="1656" w:type="dxa"/>
            <w:vMerge w:val="continue"/>
            <w:vAlign w:val="center"/>
          </w:tcPr>
          <w:p w14:paraId="091B790C">
            <w:pPr>
              <w:snapToGrid w:val="0"/>
              <w:jc w:val="left"/>
              <w:rPr>
                <w:rFonts w:hint="eastAsia" w:ascii="宋体" w:hAnsi="宋体"/>
                <w:sz w:val="18"/>
                <w:szCs w:val="18"/>
              </w:rPr>
            </w:pPr>
          </w:p>
        </w:tc>
        <w:tc>
          <w:tcPr>
            <w:tcW w:w="2806" w:type="dxa"/>
            <w:vMerge w:val="continue"/>
            <w:vAlign w:val="center"/>
          </w:tcPr>
          <w:p w14:paraId="7DFF8936">
            <w:pPr>
              <w:snapToGrid w:val="0"/>
              <w:jc w:val="left"/>
              <w:rPr>
                <w:rFonts w:hint="eastAsia" w:ascii="宋体" w:hAnsi="宋体"/>
                <w:sz w:val="18"/>
                <w:szCs w:val="18"/>
              </w:rPr>
            </w:pPr>
          </w:p>
        </w:tc>
        <w:tc>
          <w:tcPr>
            <w:tcW w:w="758" w:type="dxa"/>
            <w:vAlign w:val="center"/>
          </w:tcPr>
          <w:p w14:paraId="4F3FE43D">
            <w:pPr>
              <w:snapToGrid w:val="0"/>
              <w:jc w:val="left"/>
              <w:rPr>
                <w:rFonts w:hint="eastAsia" w:ascii="宋体" w:hAnsi="宋体"/>
                <w:sz w:val="18"/>
                <w:szCs w:val="18"/>
              </w:rPr>
            </w:pPr>
            <w:r>
              <w:rPr>
                <w:rFonts w:hint="eastAsia" w:ascii="宋体" w:hAnsi="宋体"/>
                <w:sz w:val="18"/>
                <w:szCs w:val="18"/>
              </w:rPr>
              <w:t>＜120</w:t>
            </w:r>
          </w:p>
        </w:tc>
        <w:tc>
          <w:tcPr>
            <w:tcW w:w="696" w:type="dxa"/>
            <w:vAlign w:val="center"/>
          </w:tcPr>
          <w:p w14:paraId="6123C94E">
            <w:pPr>
              <w:snapToGrid w:val="0"/>
              <w:jc w:val="left"/>
              <w:rPr>
                <w:rFonts w:hint="eastAsia" w:ascii="宋体" w:hAnsi="宋体"/>
                <w:sz w:val="18"/>
                <w:szCs w:val="18"/>
              </w:rPr>
            </w:pPr>
            <w:r>
              <w:rPr>
                <w:rFonts w:hint="eastAsia" w:ascii="宋体" w:hAnsi="宋体"/>
                <w:sz w:val="18"/>
                <w:szCs w:val="18"/>
              </w:rPr>
              <w:t>250</w:t>
            </w:r>
          </w:p>
        </w:tc>
        <w:tc>
          <w:tcPr>
            <w:tcW w:w="693" w:type="dxa"/>
            <w:vAlign w:val="center"/>
          </w:tcPr>
          <w:p w14:paraId="34EEAAAD">
            <w:pPr>
              <w:snapToGrid w:val="0"/>
              <w:jc w:val="center"/>
              <w:rPr>
                <w:rFonts w:hint="eastAsia" w:ascii="宋体" w:hAnsi="宋体"/>
                <w:sz w:val="18"/>
                <w:szCs w:val="18"/>
              </w:rPr>
            </w:pPr>
            <w:r>
              <w:rPr>
                <w:rFonts w:hint="eastAsia" w:ascii="宋体" w:hAnsi="宋体"/>
                <w:sz w:val="18"/>
                <w:szCs w:val="18"/>
              </w:rPr>
              <w:t>0.5</w:t>
            </w:r>
          </w:p>
        </w:tc>
        <w:tc>
          <w:tcPr>
            <w:tcW w:w="1320" w:type="dxa"/>
            <w:vMerge w:val="continue"/>
            <w:vAlign w:val="center"/>
          </w:tcPr>
          <w:p w14:paraId="4316738F">
            <w:pPr>
              <w:numPr>
                <w:ilvl w:val="0"/>
                <w:numId w:val="19"/>
              </w:numPr>
              <w:snapToGrid w:val="0"/>
              <w:ind w:left="0" w:firstLine="0"/>
              <w:jc w:val="center"/>
              <w:rPr>
                <w:rFonts w:hint="eastAsia" w:ascii="宋体" w:hAnsi="宋体"/>
                <w:sz w:val="18"/>
                <w:szCs w:val="18"/>
              </w:rPr>
            </w:pPr>
          </w:p>
        </w:tc>
      </w:tr>
      <w:tr w14:paraId="0E905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628" w:type="dxa"/>
            <w:vMerge w:val="continue"/>
            <w:vAlign w:val="center"/>
          </w:tcPr>
          <w:p w14:paraId="172F29E6">
            <w:pPr>
              <w:snapToGrid w:val="0"/>
              <w:jc w:val="center"/>
              <w:rPr>
                <w:rFonts w:hint="eastAsia" w:ascii="宋体" w:hAnsi="宋体"/>
                <w:sz w:val="18"/>
                <w:szCs w:val="18"/>
              </w:rPr>
            </w:pPr>
          </w:p>
        </w:tc>
        <w:tc>
          <w:tcPr>
            <w:tcW w:w="803" w:type="dxa"/>
            <w:vMerge w:val="continue"/>
            <w:vAlign w:val="center"/>
          </w:tcPr>
          <w:p w14:paraId="07670DDC">
            <w:pPr>
              <w:snapToGrid w:val="0"/>
              <w:jc w:val="center"/>
              <w:rPr>
                <w:rFonts w:hint="eastAsia" w:ascii="宋体" w:hAnsi="宋体"/>
                <w:sz w:val="18"/>
                <w:szCs w:val="18"/>
              </w:rPr>
            </w:pPr>
          </w:p>
        </w:tc>
        <w:tc>
          <w:tcPr>
            <w:tcW w:w="1656" w:type="dxa"/>
            <w:vMerge w:val="continue"/>
            <w:vAlign w:val="center"/>
          </w:tcPr>
          <w:p w14:paraId="178B7855">
            <w:pPr>
              <w:snapToGrid w:val="0"/>
              <w:jc w:val="left"/>
              <w:rPr>
                <w:rFonts w:hint="eastAsia" w:ascii="宋体" w:hAnsi="宋体"/>
                <w:sz w:val="18"/>
                <w:szCs w:val="18"/>
              </w:rPr>
            </w:pPr>
          </w:p>
        </w:tc>
        <w:tc>
          <w:tcPr>
            <w:tcW w:w="2806" w:type="dxa"/>
            <w:vMerge w:val="continue"/>
            <w:vAlign w:val="center"/>
          </w:tcPr>
          <w:p w14:paraId="5C940C53">
            <w:pPr>
              <w:snapToGrid w:val="0"/>
              <w:jc w:val="left"/>
              <w:rPr>
                <w:rFonts w:hint="eastAsia" w:ascii="宋体" w:hAnsi="宋体"/>
                <w:sz w:val="18"/>
                <w:szCs w:val="18"/>
              </w:rPr>
            </w:pPr>
          </w:p>
        </w:tc>
        <w:tc>
          <w:tcPr>
            <w:tcW w:w="758" w:type="dxa"/>
            <w:vAlign w:val="center"/>
          </w:tcPr>
          <w:p w14:paraId="36A9B5E1">
            <w:pPr>
              <w:snapToGrid w:val="0"/>
              <w:jc w:val="left"/>
              <w:rPr>
                <w:rFonts w:hint="eastAsia" w:ascii="宋体" w:hAnsi="宋体"/>
                <w:sz w:val="18"/>
                <w:szCs w:val="18"/>
              </w:rPr>
            </w:pPr>
            <w:r>
              <w:rPr>
                <w:rFonts w:hint="eastAsia" w:ascii="宋体" w:hAnsi="宋体"/>
                <w:sz w:val="18"/>
                <w:szCs w:val="18"/>
              </w:rPr>
              <w:t>120~500</w:t>
            </w:r>
          </w:p>
        </w:tc>
        <w:tc>
          <w:tcPr>
            <w:tcW w:w="696" w:type="dxa"/>
            <w:vAlign w:val="center"/>
          </w:tcPr>
          <w:p w14:paraId="27B33788">
            <w:pPr>
              <w:snapToGrid w:val="0"/>
              <w:jc w:val="left"/>
              <w:rPr>
                <w:rFonts w:hint="eastAsia" w:ascii="宋体" w:hAnsi="宋体"/>
                <w:sz w:val="18"/>
                <w:szCs w:val="18"/>
              </w:rPr>
            </w:pPr>
            <w:r>
              <w:rPr>
                <w:rFonts w:hint="eastAsia" w:ascii="宋体" w:hAnsi="宋体"/>
                <w:sz w:val="18"/>
                <w:szCs w:val="18"/>
              </w:rPr>
              <w:t>500</w:t>
            </w:r>
          </w:p>
        </w:tc>
        <w:tc>
          <w:tcPr>
            <w:tcW w:w="693" w:type="dxa"/>
            <w:vAlign w:val="center"/>
          </w:tcPr>
          <w:p w14:paraId="21661820">
            <w:pPr>
              <w:snapToGrid w:val="0"/>
              <w:jc w:val="center"/>
              <w:rPr>
                <w:rFonts w:hint="eastAsia" w:ascii="宋体" w:hAnsi="宋体"/>
                <w:sz w:val="18"/>
                <w:szCs w:val="18"/>
              </w:rPr>
            </w:pPr>
            <w:r>
              <w:rPr>
                <w:rFonts w:hint="eastAsia" w:ascii="宋体" w:hAnsi="宋体"/>
                <w:sz w:val="18"/>
                <w:szCs w:val="18"/>
              </w:rPr>
              <w:t>1.0</w:t>
            </w:r>
          </w:p>
        </w:tc>
        <w:tc>
          <w:tcPr>
            <w:tcW w:w="1320" w:type="dxa"/>
            <w:vMerge w:val="continue"/>
            <w:vAlign w:val="center"/>
          </w:tcPr>
          <w:p w14:paraId="64B8548C">
            <w:pPr>
              <w:numPr>
                <w:ilvl w:val="0"/>
                <w:numId w:val="19"/>
              </w:numPr>
              <w:snapToGrid w:val="0"/>
              <w:ind w:left="0" w:firstLine="0"/>
              <w:jc w:val="center"/>
              <w:rPr>
                <w:rFonts w:hint="eastAsia" w:ascii="宋体" w:hAnsi="宋体"/>
                <w:sz w:val="18"/>
                <w:szCs w:val="18"/>
              </w:rPr>
            </w:pPr>
          </w:p>
        </w:tc>
      </w:tr>
      <w:tr w14:paraId="72099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628" w:type="dxa"/>
            <w:vMerge w:val="continue"/>
            <w:vAlign w:val="center"/>
          </w:tcPr>
          <w:p w14:paraId="53A49151">
            <w:pPr>
              <w:snapToGrid w:val="0"/>
              <w:jc w:val="center"/>
              <w:rPr>
                <w:rFonts w:hint="eastAsia" w:ascii="宋体" w:hAnsi="宋体"/>
                <w:sz w:val="18"/>
                <w:szCs w:val="18"/>
              </w:rPr>
            </w:pPr>
          </w:p>
        </w:tc>
        <w:tc>
          <w:tcPr>
            <w:tcW w:w="803" w:type="dxa"/>
            <w:vMerge w:val="continue"/>
            <w:vAlign w:val="center"/>
          </w:tcPr>
          <w:p w14:paraId="6B67BECB">
            <w:pPr>
              <w:snapToGrid w:val="0"/>
              <w:jc w:val="center"/>
              <w:rPr>
                <w:rFonts w:hint="eastAsia" w:ascii="宋体" w:hAnsi="宋体"/>
                <w:sz w:val="18"/>
                <w:szCs w:val="18"/>
              </w:rPr>
            </w:pPr>
          </w:p>
        </w:tc>
        <w:tc>
          <w:tcPr>
            <w:tcW w:w="1656" w:type="dxa"/>
            <w:vMerge w:val="continue"/>
            <w:vAlign w:val="center"/>
          </w:tcPr>
          <w:p w14:paraId="060F60F2">
            <w:pPr>
              <w:snapToGrid w:val="0"/>
              <w:jc w:val="left"/>
              <w:rPr>
                <w:rFonts w:hint="eastAsia" w:ascii="宋体" w:hAnsi="宋体"/>
                <w:sz w:val="18"/>
                <w:szCs w:val="18"/>
              </w:rPr>
            </w:pPr>
          </w:p>
        </w:tc>
        <w:tc>
          <w:tcPr>
            <w:tcW w:w="2806" w:type="dxa"/>
            <w:vMerge w:val="continue"/>
            <w:vAlign w:val="center"/>
          </w:tcPr>
          <w:p w14:paraId="1706C64F">
            <w:pPr>
              <w:snapToGrid w:val="0"/>
              <w:jc w:val="left"/>
              <w:rPr>
                <w:rFonts w:hint="eastAsia" w:ascii="宋体" w:hAnsi="宋体"/>
                <w:sz w:val="18"/>
                <w:szCs w:val="18"/>
              </w:rPr>
            </w:pPr>
          </w:p>
        </w:tc>
        <w:tc>
          <w:tcPr>
            <w:tcW w:w="758" w:type="dxa"/>
            <w:vAlign w:val="center"/>
          </w:tcPr>
          <w:p w14:paraId="79F2867C">
            <w:pPr>
              <w:snapToGrid w:val="0"/>
              <w:jc w:val="left"/>
              <w:rPr>
                <w:rFonts w:hint="eastAsia" w:ascii="宋体" w:hAnsi="宋体"/>
                <w:sz w:val="18"/>
                <w:szCs w:val="18"/>
              </w:rPr>
            </w:pPr>
            <w:r>
              <w:rPr>
                <w:rFonts w:hint="eastAsia" w:ascii="宋体" w:hAnsi="宋体"/>
                <w:sz w:val="18"/>
                <w:szCs w:val="18"/>
              </w:rPr>
              <w:t>＞500</w:t>
            </w:r>
          </w:p>
        </w:tc>
        <w:tc>
          <w:tcPr>
            <w:tcW w:w="696" w:type="dxa"/>
            <w:vAlign w:val="center"/>
          </w:tcPr>
          <w:p w14:paraId="681E2F51">
            <w:pPr>
              <w:snapToGrid w:val="0"/>
              <w:jc w:val="left"/>
              <w:rPr>
                <w:rFonts w:hint="eastAsia" w:ascii="宋体" w:hAnsi="宋体"/>
                <w:sz w:val="18"/>
                <w:szCs w:val="18"/>
              </w:rPr>
            </w:pPr>
            <w:r>
              <w:rPr>
                <w:rFonts w:hint="eastAsia" w:ascii="宋体" w:hAnsi="宋体"/>
                <w:sz w:val="18"/>
                <w:szCs w:val="18"/>
              </w:rPr>
              <w:t>1000</w:t>
            </w:r>
          </w:p>
        </w:tc>
        <w:tc>
          <w:tcPr>
            <w:tcW w:w="693" w:type="dxa"/>
            <w:vAlign w:val="center"/>
          </w:tcPr>
          <w:p w14:paraId="690A2265">
            <w:pPr>
              <w:snapToGrid w:val="0"/>
              <w:jc w:val="center"/>
              <w:rPr>
                <w:rFonts w:hint="eastAsia" w:ascii="宋体" w:hAnsi="宋体"/>
                <w:sz w:val="18"/>
                <w:szCs w:val="18"/>
              </w:rPr>
            </w:pPr>
            <w:r>
              <w:rPr>
                <w:rFonts w:hint="eastAsia" w:ascii="宋体" w:hAnsi="宋体"/>
                <w:sz w:val="18"/>
                <w:szCs w:val="18"/>
              </w:rPr>
              <w:t>1.0</w:t>
            </w:r>
          </w:p>
        </w:tc>
        <w:tc>
          <w:tcPr>
            <w:tcW w:w="1320" w:type="dxa"/>
            <w:vMerge w:val="continue"/>
            <w:vAlign w:val="center"/>
          </w:tcPr>
          <w:p w14:paraId="44D67314">
            <w:pPr>
              <w:numPr>
                <w:ilvl w:val="0"/>
                <w:numId w:val="19"/>
              </w:numPr>
              <w:snapToGrid w:val="0"/>
              <w:ind w:left="0" w:firstLine="0"/>
              <w:jc w:val="center"/>
              <w:rPr>
                <w:rFonts w:hint="eastAsia" w:ascii="宋体" w:hAnsi="宋体"/>
                <w:sz w:val="18"/>
                <w:szCs w:val="18"/>
              </w:rPr>
            </w:pPr>
          </w:p>
        </w:tc>
      </w:tr>
      <w:tr w14:paraId="4287F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628" w:type="dxa"/>
            <w:vAlign w:val="center"/>
          </w:tcPr>
          <w:p w14:paraId="76447DFF">
            <w:pPr>
              <w:snapToGrid w:val="0"/>
              <w:jc w:val="center"/>
              <w:rPr>
                <w:rFonts w:hint="eastAsia" w:ascii="宋体" w:hAnsi="宋体"/>
                <w:sz w:val="18"/>
                <w:szCs w:val="18"/>
              </w:rPr>
            </w:pPr>
            <w:r>
              <w:rPr>
                <w:rFonts w:hint="eastAsia" w:ascii="宋体" w:hAnsi="宋体"/>
                <w:sz w:val="18"/>
                <w:szCs w:val="18"/>
              </w:rPr>
              <w:t>5</w:t>
            </w:r>
          </w:p>
        </w:tc>
        <w:tc>
          <w:tcPr>
            <w:tcW w:w="8732" w:type="dxa"/>
            <w:gridSpan w:val="7"/>
            <w:vAlign w:val="center"/>
          </w:tcPr>
          <w:p w14:paraId="3CA289A9">
            <w:pPr>
              <w:snapToGrid w:val="0"/>
              <w:jc w:val="center"/>
              <w:rPr>
                <w:rFonts w:hint="eastAsia" w:ascii="宋体" w:hAnsi="宋体"/>
                <w:sz w:val="18"/>
                <w:szCs w:val="18"/>
              </w:rPr>
            </w:pPr>
            <w:r>
              <w:rPr>
                <w:rFonts w:hint="eastAsia" w:ascii="宋体" w:hAnsi="宋体"/>
                <w:sz w:val="18"/>
                <w:szCs w:val="18"/>
              </w:rPr>
              <w:t>支架</w:t>
            </w:r>
          </w:p>
        </w:tc>
      </w:tr>
      <w:tr w14:paraId="34EEC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628" w:type="dxa"/>
            <w:vAlign w:val="center"/>
          </w:tcPr>
          <w:p w14:paraId="748737EA">
            <w:pPr>
              <w:snapToGrid w:val="0"/>
              <w:jc w:val="center"/>
              <w:rPr>
                <w:rFonts w:hint="eastAsia" w:ascii="宋体" w:hAnsi="宋体"/>
                <w:sz w:val="18"/>
                <w:szCs w:val="18"/>
              </w:rPr>
            </w:pPr>
            <w:r>
              <w:rPr>
                <w:rFonts w:hint="eastAsia" w:ascii="宋体" w:hAnsi="宋体"/>
                <w:sz w:val="18"/>
                <w:szCs w:val="18"/>
              </w:rPr>
              <w:t>5.1</w:t>
            </w:r>
          </w:p>
        </w:tc>
        <w:tc>
          <w:tcPr>
            <w:tcW w:w="803" w:type="dxa"/>
            <w:vAlign w:val="center"/>
          </w:tcPr>
          <w:p w14:paraId="027900AD">
            <w:pPr>
              <w:snapToGrid w:val="0"/>
              <w:rPr>
                <w:rFonts w:hint="eastAsia" w:ascii="宋体" w:hAnsi="宋体"/>
                <w:sz w:val="18"/>
                <w:szCs w:val="18"/>
              </w:rPr>
            </w:pPr>
            <w:r>
              <w:rPr>
                <w:rFonts w:hint="eastAsia" w:ascii="宋体" w:hAnsi="宋体"/>
                <w:sz w:val="18"/>
                <w:szCs w:val="18"/>
              </w:rPr>
              <w:t>支架角度测试</w:t>
            </w:r>
          </w:p>
        </w:tc>
        <w:tc>
          <w:tcPr>
            <w:tcW w:w="1656" w:type="dxa"/>
            <w:vAlign w:val="center"/>
          </w:tcPr>
          <w:p w14:paraId="771B9947">
            <w:pPr>
              <w:snapToGrid w:val="0"/>
              <w:rPr>
                <w:rFonts w:hint="eastAsia" w:ascii="宋体" w:hAnsi="宋体"/>
                <w:sz w:val="18"/>
                <w:szCs w:val="18"/>
              </w:rPr>
            </w:pPr>
            <w:r>
              <w:rPr>
                <w:rFonts w:hint="eastAsia" w:ascii="宋体" w:hAnsi="宋体"/>
                <w:sz w:val="18"/>
                <w:szCs w:val="18"/>
              </w:rPr>
              <w:t>倾斜式支架与组件已安装施工完毕。</w:t>
            </w:r>
          </w:p>
        </w:tc>
        <w:tc>
          <w:tcPr>
            <w:tcW w:w="2806" w:type="dxa"/>
            <w:vAlign w:val="center"/>
          </w:tcPr>
          <w:p w14:paraId="78D42DFB">
            <w:pPr>
              <w:snapToGrid w:val="0"/>
              <w:rPr>
                <w:rFonts w:hint="eastAsia" w:ascii="宋体" w:hAnsi="宋体"/>
                <w:sz w:val="18"/>
                <w:szCs w:val="18"/>
              </w:rPr>
            </w:pPr>
            <w:r>
              <w:rPr>
                <w:rFonts w:hint="eastAsia" w:ascii="宋体" w:hAnsi="宋体"/>
                <w:sz w:val="18"/>
                <w:szCs w:val="18"/>
              </w:rPr>
              <w:t>测试支架倾斜角度与组件设计报告的偏差。</w:t>
            </w:r>
          </w:p>
        </w:tc>
        <w:tc>
          <w:tcPr>
            <w:tcW w:w="2147" w:type="dxa"/>
            <w:gridSpan w:val="3"/>
            <w:vAlign w:val="center"/>
          </w:tcPr>
          <w:p w14:paraId="7EF4EA65">
            <w:pPr>
              <w:snapToGrid w:val="0"/>
              <w:rPr>
                <w:rFonts w:hint="eastAsia" w:ascii="宋体" w:hAnsi="宋体"/>
                <w:sz w:val="18"/>
                <w:szCs w:val="18"/>
              </w:rPr>
            </w:pPr>
            <w:r>
              <w:rPr>
                <w:rFonts w:hint="eastAsia" w:ascii="宋体" w:hAnsi="宋体"/>
                <w:sz w:val="18"/>
                <w:szCs w:val="18"/>
              </w:rPr>
              <w:t>支架倾斜角度偏差度不应大于±1°。</w:t>
            </w:r>
          </w:p>
        </w:tc>
        <w:tc>
          <w:tcPr>
            <w:tcW w:w="1320" w:type="dxa"/>
            <w:vAlign w:val="center"/>
          </w:tcPr>
          <w:p w14:paraId="14D11A68">
            <w:pPr>
              <w:snapToGrid w:val="0"/>
              <w:rPr>
                <w:rFonts w:hint="eastAsia" w:ascii="宋体" w:hAnsi="宋体"/>
                <w:sz w:val="18"/>
                <w:szCs w:val="18"/>
              </w:rPr>
            </w:pPr>
            <w:r>
              <w:rPr>
                <w:rFonts w:hint="eastAsia" w:ascii="宋体" w:hAnsi="宋体"/>
                <w:sz w:val="18"/>
                <w:szCs w:val="18"/>
              </w:rPr>
              <w:t>（1）交接时；</w:t>
            </w:r>
            <w:r>
              <w:rPr>
                <w:rFonts w:hint="eastAsia" w:ascii="宋体" w:hAnsi="宋体"/>
                <w:sz w:val="18"/>
                <w:szCs w:val="18"/>
              </w:rPr>
              <w:br w:type="textWrapping"/>
            </w:r>
            <w:r>
              <w:rPr>
                <w:rFonts w:hint="eastAsia" w:ascii="宋体" w:hAnsi="宋体"/>
                <w:sz w:val="18"/>
                <w:szCs w:val="18"/>
              </w:rPr>
              <w:t>（2）光伏支架更换验收时。</w:t>
            </w:r>
          </w:p>
        </w:tc>
      </w:tr>
      <w:tr w14:paraId="03933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628" w:type="dxa"/>
            <w:vAlign w:val="center"/>
          </w:tcPr>
          <w:p w14:paraId="47A38CDA">
            <w:pPr>
              <w:snapToGrid w:val="0"/>
              <w:jc w:val="center"/>
              <w:rPr>
                <w:rFonts w:hint="eastAsia" w:ascii="宋体" w:hAnsi="宋体"/>
                <w:sz w:val="18"/>
                <w:szCs w:val="18"/>
              </w:rPr>
            </w:pPr>
            <w:r>
              <w:rPr>
                <w:rFonts w:hint="eastAsia" w:ascii="宋体" w:hAnsi="宋体"/>
                <w:sz w:val="18"/>
                <w:szCs w:val="18"/>
              </w:rPr>
              <w:t>5.2</w:t>
            </w:r>
          </w:p>
        </w:tc>
        <w:tc>
          <w:tcPr>
            <w:tcW w:w="803" w:type="dxa"/>
            <w:vAlign w:val="center"/>
          </w:tcPr>
          <w:p w14:paraId="685F6993">
            <w:pPr>
              <w:snapToGrid w:val="0"/>
              <w:rPr>
                <w:rFonts w:hint="eastAsia" w:ascii="宋体" w:hAnsi="宋体"/>
                <w:sz w:val="18"/>
                <w:szCs w:val="18"/>
              </w:rPr>
            </w:pPr>
            <w:r>
              <w:rPr>
                <w:rFonts w:hint="eastAsia" w:ascii="宋体" w:hAnsi="宋体"/>
                <w:sz w:val="18"/>
                <w:szCs w:val="18"/>
              </w:rPr>
              <w:t>接地连续性测试</w:t>
            </w:r>
          </w:p>
        </w:tc>
        <w:tc>
          <w:tcPr>
            <w:tcW w:w="1656" w:type="dxa"/>
            <w:vAlign w:val="center"/>
          </w:tcPr>
          <w:p w14:paraId="2F621933">
            <w:pPr>
              <w:snapToGrid w:val="0"/>
              <w:rPr>
                <w:rFonts w:hint="eastAsia" w:ascii="宋体" w:hAnsi="宋体"/>
                <w:sz w:val="18"/>
                <w:szCs w:val="18"/>
              </w:rPr>
            </w:pPr>
            <w:r>
              <w:rPr>
                <w:rFonts w:hint="eastAsia" w:ascii="宋体" w:hAnsi="宋体"/>
                <w:sz w:val="18"/>
                <w:szCs w:val="18"/>
              </w:rPr>
              <w:t>宜在晴好天气进行。</w:t>
            </w:r>
          </w:p>
        </w:tc>
        <w:tc>
          <w:tcPr>
            <w:tcW w:w="2806" w:type="dxa"/>
            <w:vAlign w:val="center"/>
          </w:tcPr>
          <w:p w14:paraId="616D8979">
            <w:pPr>
              <w:snapToGrid w:val="0"/>
              <w:rPr>
                <w:rFonts w:hint="eastAsia" w:ascii="宋体" w:hAnsi="宋体"/>
                <w:sz w:val="18"/>
                <w:szCs w:val="18"/>
              </w:rPr>
            </w:pPr>
            <w:r>
              <w:rPr>
                <w:rFonts w:hint="eastAsia" w:ascii="宋体" w:hAnsi="宋体"/>
                <w:sz w:val="18"/>
                <w:szCs w:val="18"/>
              </w:rPr>
              <w:t>测试支架不同测点对地电阻。</w:t>
            </w:r>
          </w:p>
        </w:tc>
        <w:tc>
          <w:tcPr>
            <w:tcW w:w="2147" w:type="dxa"/>
            <w:gridSpan w:val="3"/>
            <w:vAlign w:val="center"/>
          </w:tcPr>
          <w:p w14:paraId="423FDFE4">
            <w:pPr>
              <w:snapToGrid w:val="0"/>
              <w:rPr>
                <w:rFonts w:hint="eastAsia" w:ascii="宋体" w:hAnsi="宋体"/>
                <w:sz w:val="18"/>
                <w:szCs w:val="18"/>
              </w:rPr>
            </w:pPr>
            <w:r>
              <w:rPr>
                <w:rFonts w:hint="eastAsia" w:ascii="宋体" w:hAnsi="宋体"/>
                <w:sz w:val="18"/>
                <w:szCs w:val="18"/>
              </w:rPr>
              <w:t>接地电阻应不大于4Ω。</w:t>
            </w:r>
          </w:p>
        </w:tc>
        <w:tc>
          <w:tcPr>
            <w:tcW w:w="1320" w:type="dxa"/>
            <w:vAlign w:val="center"/>
          </w:tcPr>
          <w:p w14:paraId="277D0E1D">
            <w:pPr>
              <w:snapToGrid w:val="0"/>
              <w:rPr>
                <w:rFonts w:hint="eastAsia" w:ascii="宋体" w:hAnsi="宋体"/>
                <w:sz w:val="18"/>
                <w:szCs w:val="18"/>
              </w:rPr>
            </w:pPr>
            <w:r>
              <w:rPr>
                <w:rFonts w:hint="eastAsia" w:ascii="宋体" w:hAnsi="宋体"/>
                <w:sz w:val="18"/>
                <w:szCs w:val="18"/>
              </w:rPr>
              <w:t>（1）交接时；</w:t>
            </w:r>
            <w:r>
              <w:rPr>
                <w:rFonts w:hint="eastAsia" w:ascii="宋体" w:hAnsi="宋体"/>
                <w:sz w:val="18"/>
                <w:szCs w:val="18"/>
              </w:rPr>
              <w:br w:type="textWrapping"/>
            </w:r>
            <w:r>
              <w:rPr>
                <w:rFonts w:hint="eastAsia" w:ascii="宋体" w:hAnsi="宋体"/>
                <w:sz w:val="18"/>
                <w:szCs w:val="18"/>
              </w:rPr>
              <w:t>（2）光伏支架更换验收时；</w:t>
            </w:r>
            <w:r>
              <w:rPr>
                <w:rFonts w:hint="eastAsia" w:ascii="宋体" w:hAnsi="宋体"/>
                <w:sz w:val="18"/>
                <w:szCs w:val="18"/>
              </w:rPr>
              <w:br w:type="textWrapping"/>
            </w:r>
            <w:r>
              <w:rPr>
                <w:rFonts w:hint="eastAsia" w:ascii="宋体" w:hAnsi="宋体"/>
                <w:sz w:val="18"/>
                <w:szCs w:val="18"/>
              </w:rPr>
              <w:t>（3）必要时。</w:t>
            </w:r>
          </w:p>
        </w:tc>
      </w:tr>
      <w:tr w14:paraId="3865B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628" w:type="dxa"/>
            <w:vAlign w:val="center"/>
          </w:tcPr>
          <w:p w14:paraId="40E563BC">
            <w:pPr>
              <w:snapToGrid w:val="0"/>
              <w:jc w:val="center"/>
              <w:rPr>
                <w:rFonts w:hint="eastAsia" w:ascii="宋体" w:hAnsi="宋体"/>
                <w:sz w:val="18"/>
                <w:szCs w:val="18"/>
              </w:rPr>
            </w:pPr>
            <w:r>
              <w:rPr>
                <w:rFonts w:hint="eastAsia" w:ascii="宋体" w:hAnsi="宋体"/>
                <w:sz w:val="18"/>
                <w:szCs w:val="18"/>
              </w:rPr>
              <w:t>6</w:t>
            </w:r>
          </w:p>
        </w:tc>
        <w:tc>
          <w:tcPr>
            <w:tcW w:w="8732" w:type="dxa"/>
            <w:gridSpan w:val="7"/>
            <w:vAlign w:val="center"/>
          </w:tcPr>
          <w:p w14:paraId="3B2FEB61">
            <w:pPr>
              <w:snapToGrid w:val="0"/>
              <w:jc w:val="center"/>
              <w:rPr>
                <w:rFonts w:hint="eastAsia" w:ascii="宋体" w:hAnsi="宋体"/>
                <w:sz w:val="18"/>
                <w:szCs w:val="18"/>
              </w:rPr>
            </w:pPr>
            <w:r>
              <w:rPr>
                <w:rFonts w:hint="eastAsia" w:ascii="宋体" w:hAnsi="宋体"/>
                <w:sz w:val="18"/>
                <w:szCs w:val="18"/>
              </w:rPr>
              <w:t>太阳跟踪系统</w:t>
            </w:r>
          </w:p>
        </w:tc>
      </w:tr>
      <w:tr w14:paraId="54F8C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628" w:type="dxa"/>
            <w:vAlign w:val="center"/>
          </w:tcPr>
          <w:p w14:paraId="31521C45">
            <w:pPr>
              <w:snapToGrid w:val="0"/>
              <w:jc w:val="center"/>
              <w:rPr>
                <w:rFonts w:hint="eastAsia" w:ascii="宋体" w:hAnsi="宋体"/>
                <w:sz w:val="18"/>
                <w:szCs w:val="18"/>
              </w:rPr>
            </w:pPr>
            <w:r>
              <w:rPr>
                <w:rFonts w:hint="eastAsia" w:ascii="宋体" w:hAnsi="宋体"/>
                <w:sz w:val="18"/>
                <w:szCs w:val="18"/>
              </w:rPr>
              <w:t>6.1</w:t>
            </w:r>
          </w:p>
        </w:tc>
        <w:tc>
          <w:tcPr>
            <w:tcW w:w="803" w:type="dxa"/>
            <w:vAlign w:val="center"/>
          </w:tcPr>
          <w:p w14:paraId="3613453B">
            <w:pPr>
              <w:snapToGrid w:val="0"/>
              <w:rPr>
                <w:rFonts w:hint="eastAsia" w:ascii="宋体" w:hAnsi="宋体"/>
                <w:sz w:val="18"/>
                <w:szCs w:val="18"/>
              </w:rPr>
            </w:pPr>
            <w:r>
              <w:rPr>
                <w:rFonts w:hint="eastAsia" w:ascii="宋体" w:hAnsi="宋体"/>
                <w:sz w:val="18"/>
                <w:szCs w:val="18"/>
              </w:rPr>
              <w:t>跟踪精度测试</w:t>
            </w:r>
          </w:p>
        </w:tc>
        <w:tc>
          <w:tcPr>
            <w:tcW w:w="1656" w:type="dxa"/>
            <w:vAlign w:val="center"/>
          </w:tcPr>
          <w:p w14:paraId="1C53AAD3">
            <w:pPr>
              <w:snapToGrid w:val="0"/>
              <w:rPr>
                <w:rFonts w:hint="eastAsia" w:ascii="宋体" w:hAnsi="宋体"/>
                <w:sz w:val="18"/>
                <w:szCs w:val="18"/>
              </w:rPr>
            </w:pPr>
            <w:r>
              <w:rPr>
                <w:rFonts w:hint="eastAsia" w:ascii="宋体" w:hAnsi="宋体"/>
                <w:sz w:val="18"/>
                <w:szCs w:val="18"/>
              </w:rPr>
              <w:t>太阳跟踪系统处于正常运行状态。</w:t>
            </w:r>
          </w:p>
        </w:tc>
        <w:tc>
          <w:tcPr>
            <w:tcW w:w="2806" w:type="dxa"/>
            <w:vAlign w:val="center"/>
          </w:tcPr>
          <w:p w14:paraId="50CD1194">
            <w:pPr>
              <w:snapToGrid w:val="0"/>
              <w:rPr>
                <w:rFonts w:hint="eastAsia" w:ascii="宋体" w:hAnsi="宋体"/>
                <w:sz w:val="18"/>
                <w:szCs w:val="18"/>
              </w:rPr>
            </w:pPr>
            <w:r>
              <w:rPr>
                <w:rFonts w:hint="eastAsia" w:ascii="宋体" w:hAnsi="宋体"/>
                <w:sz w:val="18"/>
                <w:szCs w:val="18"/>
              </w:rPr>
              <w:t>通过开有针孔的，且平行固定于组件平面上方的不透明轻薄平面，测试跟踪系统的跟踪精度。</w:t>
            </w:r>
          </w:p>
        </w:tc>
        <w:tc>
          <w:tcPr>
            <w:tcW w:w="2147" w:type="dxa"/>
            <w:gridSpan w:val="3"/>
            <w:vAlign w:val="center"/>
          </w:tcPr>
          <w:p w14:paraId="66284C0E">
            <w:pPr>
              <w:snapToGrid w:val="0"/>
              <w:rPr>
                <w:rFonts w:hint="eastAsia" w:ascii="宋体" w:hAnsi="宋体"/>
                <w:sz w:val="18"/>
                <w:szCs w:val="18"/>
              </w:rPr>
            </w:pPr>
            <w:r>
              <w:rPr>
                <w:rFonts w:hint="eastAsia" w:ascii="宋体" w:hAnsi="宋体"/>
                <w:sz w:val="18"/>
                <w:szCs w:val="18"/>
              </w:rPr>
              <w:t>（1）平板单轴跟踪系统跟踪精度为±5°；</w:t>
            </w:r>
            <w:r>
              <w:rPr>
                <w:rFonts w:hint="eastAsia" w:ascii="宋体" w:hAnsi="宋体"/>
                <w:sz w:val="18"/>
                <w:szCs w:val="18"/>
              </w:rPr>
              <w:br w:type="textWrapping"/>
            </w:r>
            <w:r>
              <w:rPr>
                <w:rFonts w:hint="eastAsia" w:ascii="宋体" w:hAnsi="宋体"/>
                <w:sz w:val="18"/>
                <w:szCs w:val="18"/>
              </w:rPr>
              <w:t>（2）线聚焦跟踪系统跟踪精度为±1°；</w:t>
            </w:r>
            <w:r>
              <w:rPr>
                <w:rFonts w:hint="eastAsia" w:ascii="宋体" w:hAnsi="宋体"/>
                <w:sz w:val="18"/>
                <w:szCs w:val="18"/>
              </w:rPr>
              <w:br w:type="textWrapping"/>
            </w:r>
            <w:r>
              <w:rPr>
                <w:rFonts w:hint="eastAsia" w:ascii="宋体" w:hAnsi="宋体"/>
                <w:sz w:val="18"/>
                <w:szCs w:val="18"/>
              </w:rPr>
              <w:t>（3）平板双轴跟踪系统跟踪精度为±2°；</w:t>
            </w:r>
            <w:r>
              <w:rPr>
                <w:rFonts w:hint="eastAsia" w:ascii="宋体" w:hAnsi="宋体"/>
                <w:sz w:val="18"/>
                <w:szCs w:val="18"/>
              </w:rPr>
              <w:br w:type="textWrapping"/>
            </w:r>
            <w:r>
              <w:rPr>
                <w:rFonts w:hint="eastAsia" w:ascii="宋体" w:hAnsi="宋体"/>
                <w:sz w:val="18"/>
                <w:szCs w:val="18"/>
              </w:rPr>
              <w:t>（4）点聚焦跟踪系统跟踪精度为±0.5°。</w:t>
            </w:r>
          </w:p>
        </w:tc>
        <w:tc>
          <w:tcPr>
            <w:tcW w:w="1320" w:type="dxa"/>
            <w:vAlign w:val="center"/>
          </w:tcPr>
          <w:p w14:paraId="32FAA781">
            <w:pPr>
              <w:snapToGrid w:val="0"/>
              <w:rPr>
                <w:rFonts w:hint="eastAsia" w:ascii="宋体" w:hAnsi="宋体"/>
                <w:sz w:val="18"/>
                <w:szCs w:val="18"/>
              </w:rPr>
            </w:pPr>
            <w:r>
              <w:rPr>
                <w:rFonts w:hint="eastAsia" w:ascii="宋体" w:hAnsi="宋体"/>
                <w:sz w:val="18"/>
                <w:szCs w:val="18"/>
              </w:rPr>
              <w:t>（1）交接时；</w:t>
            </w:r>
            <w:r>
              <w:rPr>
                <w:rFonts w:hint="eastAsia" w:ascii="宋体" w:hAnsi="宋体"/>
                <w:sz w:val="18"/>
                <w:szCs w:val="18"/>
              </w:rPr>
              <w:br w:type="textWrapping"/>
            </w:r>
            <w:r>
              <w:rPr>
                <w:rFonts w:hint="eastAsia" w:ascii="宋体" w:hAnsi="宋体"/>
                <w:sz w:val="18"/>
                <w:szCs w:val="18"/>
              </w:rPr>
              <w:t>（2）跟踪系统更换验收时；</w:t>
            </w:r>
            <w:r>
              <w:rPr>
                <w:rFonts w:hint="eastAsia" w:ascii="宋体" w:hAnsi="宋体"/>
                <w:sz w:val="18"/>
                <w:szCs w:val="18"/>
              </w:rPr>
              <w:br w:type="textWrapping"/>
            </w:r>
            <w:r>
              <w:rPr>
                <w:rFonts w:hint="eastAsia" w:ascii="宋体" w:hAnsi="宋体"/>
                <w:sz w:val="18"/>
                <w:szCs w:val="18"/>
              </w:rPr>
              <w:t>（3）必要时；</w:t>
            </w:r>
            <w:r>
              <w:rPr>
                <w:rFonts w:hint="eastAsia" w:ascii="宋体" w:hAnsi="宋体"/>
                <w:sz w:val="18"/>
                <w:szCs w:val="18"/>
              </w:rPr>
              <w:br w:type="textWrapping"/>
            </w:r>
            <w:r>
              <w:rPr>
                <w:rFonts w:hint="eastAsia" w:ascii="宋体" w:hAnsi="宋体"/>
                <w:sz w:val="18"/>
                <w:szCs w:val="18"/>
              </w:rPr>
              <w:t>（4）出质保后结合状态评价时。</w:t>
            </w:r>
          </w:p>
        </w:tc>
      </w:tr>
      <w:tr w14:paraId="00A20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628" w:type="dxa"/>
            <w:vAlign w:val="center"/>
          </w:tcPr>
          <w:p w14:paraId="661E6A17">
            <w:pPr>
              <w:snapToGrid w:val="0"/>
              <w:jc w:val="center"/>
              <w:rPr>
                <w:rFonts w:hint="eastAsia" w:ascii="宋体" w:hAnsi="宋体"/>
                <w:sz w:val="18"/>
                <w:szCs w:val="18"/>
              </w:rPr>
            </w:pPr>
            <w:r>
              <w:rPr>
                <w:rFonts w:hint="eastAsia" w:ascii="宋体" w:hAnsi="宋体"/>
                <w:sz w:val="18"/>
                <w:szCs w:val="18"/>
              </w:rPr>
              <w:t>6.2</w:t>
            </w:r>
          </w:p>
        </w:tc>
        <w:tc>
          <w:tcPr>
            <w:tcW w:w="803" w:type="dxa"/>
            <w:vAlign w:val="center"/>
          </w:tcPr>
          <w:p w14:paraId="37D8F0BD">
            <w:pPr>
              <w:snapToGrid w:val="0"/>
              <w:rPr>
                <w:rFonts w:hint="eastAsia" w:ascii="宋体" w:hAnsi="宋体"/>
                <w:sz w:val="18"/>
                <w:szCs w:val="18"/>
              </w:rPr>
            </w:pPr>
            <w:r>
              <w:rPr>
                <w:rFonts w:hint="eastAsia" w:ascii="宋体" w:hAnsi="宋体"/>
                <w:sz w:val="18"/>
                <w:szCs w:val="18"/>
              </w:rPr>
              <w:t>跟踪范围测试</w:t>
            </w:r>
          </w:p>
        </w:tc>
        <w:tc>
          <w:tcPr>
            <w:tcW w:w="1656" w:type="dxa"/>
            <w:vAlign w:val="center"/>
          </w:tcPr>
          <w:p w14:paraId="18984A38">
            <w:pPr>
              <w:snapToGrid w:val="0"/>
              <w:rPr>
                <w:rFonts w:hint="eastAsia" w:ascii="宋体" w:hAnsi="宋体"/>
                <w:sz w:val="18"/>
                <w:szCs w:val="18"/>
              </w:rPr>
            </w:pPr>
            <w:r>
              <w:rPr>
                <w:rFonts w:hint="eastAsia" w:ascii="宋体" w:hAnsi="宋体"/>
                <w:sz w:val="18"/>
                <w:szCs w:val="18"/>
              </w:rPr>
              <w:t>转动部分应处于所能转动的最大角度。</w:t>
            </w:r>
          </w:p>
        </w:tc>
        <w:tc>
          <w:tcPr>
            <w:tcW w:w="2806" w:type="dxa"/>
            <w:vAlign w:val="center"/>
          </w:tcPr>
          <w:p w14:paraId="25640BBB">
            <w:pPr>
              <w:snapToGrid w:val="0"/>
              <w:rPr>
                <w:rFonts w:hint="eastAsia" w:ascii="宋体" w:hAnsi="宋体"/>
                <w:sz w:val="18"/>
                <w:szCs w:val="18"/>
              </w:rPr>
            </w:pPr>
            <w:r>
              <w:rPr>
                <w:rFonts w:hint="eastAsia" w:ascii="宋体" w:hAnsi="宋体"/>
                <w:sz w:val="18"/>
                <w:szCs w:val="18"/>
              </w:rPr>
              <w:t>通过垂直于转动轴的角度尺或水平角度计，测试跟踪系统的方位角或高度角等的跟踪范围。</w:t>
            </w:r>
          </w:p>
        </w:tc>
        <w:tc>
          <w:tcPr>
            <w:tcW w:w="2147" w:type="dxa"/>
            <w:gridSpan w:val="3"/>
            <w:vAlign w:val="center"/>
          </w:tcPr>
          <w:p w14:paraId="0A22C00E">
            <w:pPr>
              <w:snapToGrid w:val="0"/>
              <w:rPr>
                <w:rFonts w:hint="eastAsia" w:ascii="宋体" w:hAnsi="宋体"/>
                <w:sz w:val="18"/>
                <w:szCs w:val="18"/>
              </w:rPr>
            </w:pPr>
            <w:r>
              <w:rPr>
                <w:rFonts w:hint="eastAsia" w:ascii="宋体" w:hAnsi="宋体"/>
                <w:sz w:val="18"/>
                <w:szCs w:val="18"/>
              </w:rPr>
              <w:t>（1）水平单轴跟踪范围应不小于±45°；</w:t>
            </w:r>
            <w:r>
              <w:rPr>
                <w:rFonts w:hint="eastAsia" w:ascii="宋体" w:hAnsi="宋体"/>
                <w:sz w:val="18"/>
                <w:szCs w:val="18"/>
              </w:rPr>
              <w:br w:type="textWrapping"/>
            </w:r>
            <w:r>
              <w:rPr>
                <w:rFonts w:hint="eastAsia" w:ascii="宋体" w:hAnsi="宋体"/>
                <w:sz w:val="18"/>
                <w:szCs w:val="18"/>
              </w:rPr>
              <w:t>（2）垂直单轴跟踪范围应不小于±100°；</w:t>
            </w:r>
            <w:r>
              <w:rPr>
                <w:rFonts w:hint="eastAsia" w:ascii="宋体" w:hAnsi="宋体"/>
                <w:sz w:val="18"/>
                <w:szCs w:val="18"/>
              </w:rPr>
              <w:br w:type="textWrapping"/>
            </w:r>
            <w:r>
              <w:rPr>
                <w:rFonts w:hint="eastAsia" w:ascii="宋体" w:hAnsi="宋体"/>
                <w:sz w:val="18"/>
                <w:szCs w:val="18"/>
              </w:rPr>
              <w:t>（3）倾斜单轴跟踪范围应不小于±45°；</w:t>
            </w:r>
            <w:r>
              <w:rPr>
                <w:rFonts w:hint="eastAsia" w:ascii="宋体" w:hAnsi="宋体"/>
                <w:sz w:val="18"/>
                <w:szCs w:val="18"/>
              </w:rPr>
              <w:br w:type="textWrapping"/>
            </w:r>
            <w:r>
              <w:rPr>
                <w:rFonts w:hint="eastAsia" w:ascii="宋体" w:hAnsi="宋体"/>
                <w:sz w:val="18"/>
                <w:szCs w:val="18"/>
              </w:rPr>
              <w:t>（4）双轴跟踪范围方位角为±100°；高度角为10°~90°；赤纬角为±23.45°；时角为±100°。</w:t>
            </w:r>
          </w:p>
        </w:tc>
        <w:tc>
          <w:tcPr>
            <w:tcW w:w="1320" w:type="dxa"/>
            <w:vAlign w:val="center"/>
          </w:tcPr>
          <w:p w14:paraId="722E989F">
            <w:pPr>
              <w:snapToGrid w:val="0"/>
              <w:rPr>
                <w:rFonts w:hint="eastAsia" w:ascii="宋体" w:hAnsi="宋体"/>
                <w:sz w:val="18"/>
                <w:szCs w:val="18"/>
              </w:rPr>
            </w:pPr>
            <w:r>
              <w:rPr>
                <w:rFonts w:hint="eastAsia" w:ascii="宋体" w:hAnsi="宋体"/>
                <w:sz w:val="18"/>
                <w:szCs w:val="18"/>
              </w:rPr>
              <w:t>（1）交接时；</w:t>
            </w:r>
            <w:r>
              <w:rPr>
                <w:rFonts w:hint="eastAsia" w:ascii="宋体" w:hAnsi="宋体"/>
                <w:sz w:val="18"/>
                <w:szCs w:val="18"/>
              </w:rPr>
              <w:br w:type="textWrapping"/>
            </w:r>
            <w:r>
              <w:rPr>
                <w:rFonts w:hint="eastAsia" w:ascii="宋体" w:hAnsi="宋体"/>
                <w:sz w:val="18"/>
                <w:szCs w:val="18"/>
              </w:rPr>
              <w:t>（2）跟踪系统更换验收时；</w:t>
            </w:r>
            <w:r>
              <w:rPr>
                <w:rFonts w:hint="eastAsia" w:ascii="宋体" w:hAnsi="宋体"/>
                <w:sz w:val="18"/>
                <w:szCs w:val="18"/>
              </w:rPr>
              <w:br w:type="textWrapping"/>
            </w:r>
            <w:r>
              <w:rPr>
                <w:rFonts w:hint="eastAsia" w:ascii="宋体" w:hAnsi="宋体"/>
                <w:sz w:val="18"/>
                <w:szCs w:val="18"/>
              </w:rPr>
              <w:t>（3）必要时；</w:t>
            </w:r>
            <w:r>
              <w:rPr>
                <w:rFonts w:hint="eastAsia" w:ascii="宋体" w:hAnsi="宋体"/>
                <w:sz w:val="18"/>
                <w:szCs w:val="18"/>
              </w:rPr>
              <w:br w:type="textWrapping"/>
            </w:r>
            <w:r>
              <w:rPr>
                <w:rFonts w:hint="eastAsia" w:ascii="宋体" w:hAnsi="宋体"/>
                <w:sz w:val="18"/>
                <w:szCs w:val="18"/>
              </w:rPr>
              <w:t>（4）出质保后结合状态评价时。</w:t>
            </w:r>
          </w:p>
        </w:tc>
      </w:tr>
      <w:tr w14:paraId="159CA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628" w:type="dxa"/>
            <w:vAlign w:val="center"/>
          </w:tcPr>
          <w:p w14:paraId="63DFD268">
            <w:pPr>
              <w:snapToGrid w:val="0"/>
              <w:jc w:val="center"/>
              <w:rPr>
                <w:rFonts w:hint="eastAsia" w:ascii="宋体" w:hAnsi="宋体"/>
                <w:sz w:val="18"/>
                <w:szCs w:val="18"/>
              </w:rPr>
            </w:pPr>
            <w:r>
              <w:rPr>
                <w:rFonts w:hint="eastAsia" w:ascii="宋体" w:hAnsi="宋体"/>
                <w:sz w:val="18"/>
                <w:szCs w:val="18"/>
              </w:rPr>
              <w:t>6.3</w:t>
            </w:r>
          </w:p>
        </w:tc>
        <w:tc>
          <w:tcPr>
            <w:tcW w:w="803" w:type="dxa"/>
            <w:vAlign w:val="center"/>
          </w:tcPr>
          <w:p w14:paraId="1C97CAEF">
            <w:pPr>
              <w:snapToGrid w:val="0"/>
              <w:rPr>
                <w:rFonts w:hint="eastAsia" w:ascii="宋体" w:hAnsi="宋体"/>
                <w:sz w:val="18"/>
                <w:szCs w:val="18"/>
              </w:rPr>
            </w:pPr>
            <w:r>
              <w:rPr>
                <w:rFonts w:hint="eastAsia" w:ascii="宋体" w:hAnsi="宋体"/>
                <w:sz w:val="18"/>
                <w:szCs w:val="18"/>
              </w:rPr>
              <w:t>驱动装置性能检查</w:t>
            </w:r>
          </w:p>
        </w:tc>
        <w:tc>
          <w:tcPr>
            <w:tcW w:w="1656" w:type="dxa"/>
            <w:vAlign w:val="center"/>
          </w:tcPr>
          <w:p w14:paraId="0650E807">
            <w:pPr>
              <w:snapToGrid w:val="0"/>
              <w:rPr>
                <w:rFonts w:hint="eastAsia" w:ascii="宋体" w:hAnsi="宋体"/>
                <w:sz w:val="18"/>
                <w:szCs w:val="18"/>
              </w:rPr>
            </w:pPr>
            <w:r>
              <w:rPr>
                <w:rFonts w:hint="eastAsia" w:ascii="宋体" w:hAnsi="宋体"/>
                <w:sz w:val="18"/>
                <w:szCs w:val="18"/>
              </w:rPr>
              <w:t>测试应分别在空载和额定载荷下进行。</w:t>
            </w:r>
          </w:p>
        </w:tc>
        <w:tc>
          <w:tcPr>
            <w:tcW w:w="2806" w:type="dxa"/>
            <w:vAlign w:val="center"/>
          </w:tcPr>
          <w:p w14:paraId="68E206AB">
            <w:pPr>
              <w:snapToGrid w:val="0"/>
              <w:rPr>
                <w:rFonts w:hint="eastAsia" w:ascii="宋体" w:hAnsi="宋体"/>
                <w:sz w:val="18"/>
                <w:szCs w:val="18"/>
              </w:rPr>
            </w:pPr>
            <w:r>
              <w:rPr>
                <w:rFonts w:hint="eastAsia" w:ascii="宋体" w:hAnsi="宋体"/>
                <w:sz w:val="18"/>
                <w:szCs w:val="18"/>
              </w:rPr>
              <w:t>测试驱动装置（动力装置、传动装置）的性能。</w:t>
            </w:r>
          </w:p>
        </w:tc>
        <w:tc>
          <w:tcPr>
            <w:tcW w:w="2147" w:type="dxa"/>
            <w:gridSpan w:val="3"/>
            <w:vAlign w:val="center"/>
          </w:tcPr>
          <w:p w14:paraId="4226BBD1">
            <w:pPr>
              <w:snapToGrid w:val="0"/>
              <w:rPr>
                <w:rFonts w:hint="eastAsia" w:ascii="宋体" w:hAnsi="宋体"/>
                <w:sz w:val="18"/>
                <w:szCs w:val="18"/>
              </w:rPr>
            </w:pPr>
            <w:r>
              <w:rPr>
                <w:rFonts w:hint="eastAsia" w:ascii="宋体" w:hAnsi="宋体"/>
                <w:sz w:val="18"/>
                <w:szCs w:val="18"/>
              </w:rPr>
              <w:t>（1）具备自闭锁功能；</w:t>
            </w:r>
            <w:r>
              <w:rPr>
                <w:rFonts w:hint="eastAsia" w:ascii="宋体" w:hAnsi="宋体"/>
                <w:sz w:val="18"/>
                <w:szCs w:val="18"/>
              </w:rPr>
              <w:br w:type="textWrapping"/>
            </w:r>
            <w:r>
              <w:rPr>
                <w:rFonts w:hint="eastAsia" w:ascii="宋体" w:hAnsi="宋体"/>
                <w:sz w:val="18"/>
                <w:szCs w:val="18"/>
              </w:rPr>
              <w:t>（2）跟踪系统运行状态满足设计要求。</w:t>
            </w:r>
          </w:p>
        </w:tc>
        <w:tc>
          <w:tcPr>
            <w:tcW w:w="1320" w:type="dxa"/>
            <w:vAlign w:val="center"/>
          </w:tcPr>
          <w:p w14:paraId="630017C4">
            <w:pPr>
              <w:snapToGrid w:val="0"/>
              <w:rPr>
                <w:rFonts w:hint="eastAsia" w:ascii="宋体" w:hAnsi="宋体"/>
                <w:sz w:val="18"/>
                <w:szCs w:val="18"/>
              </w:rPr>
            </w:pPr>
            <w:r>
              <w:rPr>
                <w:rFonts w:hint="eastAsia" w:ascii="宋体" w:hAnsi="宋体"/>
                <w:sz w:val="18"/>
                <w:szCs w:val="18"/>
              </w:rPr>
              <w:t>（1）交接时；</w:t>
            </w:r>
            <w:r>
              <w:rPr>
                <w:rFonts w:hint="eastAsia" w:ascii="宋体" w:hAnsi="宋体"/>
                <w:sz w:val="18"/>
                <w:szCs w:val="18"/>
              </w:rPr>
              <w:br w:type="textWrapping"/>
            </w:r>
            <w:r>
              <w:rPr>
                <w:rFonts w:hint="eastAsia" w:ascii="宋体" w:hAnsi="宋体"/>
                <w:sz w:val="18"/>
                <w:szCs w:val="18"/>
              </w:rPr>
              <w:t>（2）跟踪系统更换验收时；</w:t>
            </w:r>
          </w:p>
        </w:tc>
      </w:tr>
      <w:tr w14:paraId="03511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628" w:type="dxa"/>
            <w:vAlign w:val="center"/>
          </w:tcPr>
          <w:p w14:paraId="35E7B924">
            <w:pPr>
              <w:snapToGrid w:val="0"/>
              <w:jc w:val="center"/>
              <w:rPr>
                <w:rFonts w:hint="eastAsia" w:ascii="宋体" w:hAnsi="宋体"/>
                <w:sz w:val="18"/>
                <w:szCs w:val="18"/>
              </w:rPr>
            </w:pPr>
            <w:r>
              <w:rPr>
                <w:rFonts w:hint="eastAsia" w:ascii="宋体" w:hAnsi="宋体"/>
                <w:sz w:val="18"/>
                <w:szCs w:val="18"/>
              </w:rPr>
              <w:t>6.4</w:t>
            </w:r>
          </w:p>
        </w:tc>
        <w:tc>
          <w:tcPr>
            <w:tcW w:w="803" w:type="dxa"/>
            <w:vAlign w:val="center"/>
          </w:tcPr>
          <w:p w14:paraId="15B65952">
            <w:pPr>
              <w:snapToGrid w:val="0"/>
              <w:rPr>
                <w:rFonts w:hint="eastAsia" w:ascii="宋体" w:hAnsi="宋体"/>
                <w:sz w:val="18"/>
                <w:szCs w:val="18"/>
              </w:rPr>
            </w:pPr>
            <w:r>
              <w:rPr>
                <w:rFonts w:hint="eastAsia" w:ascii="宋体" w:hAnsi="宋体"/>
                <w:sz w:val="18"/>
                <w:szCs w:val="18"/>
              </w:rPr>
              <w:t>保护功能测试</w:t>
            </w:r>
          </w:p>
        </w:tc>
        <w:tc>
          <w:tcPr>
            <w:tcW w:w="1656" w:type="dxa"/>
            <w:vAlign w:val="center"/>
          </w:tcPr>
          <w:p w14:paraId="0F8D5DF5">
            <w:pPr>
              <w:snapToGrid w:val="0"/>
              <w:rPr>
                <w:rFonts w:hint="eastAsia" w:ascii="宋体" w:hAnsi="宋体"/>
                <w:sz w:val="18"/>
                <w:szCs w:val="18"/>
              </w:rPr>
            </w:pPr>
            <w:r>
              <w:rPr>
                <w:rFonts w:hint="eastAsia" w:ascii="宋体" w:hAnsi="宋体"/>
                <w:sz w:val="18"/>
                <w:szCs w:val="18"/>
              </w:rPr>
              <w:t>进行限位和手动保护功能测试时，跟踪系统应处于正常运行状态。</w:t>
            </w:r>
          </w:p>
        </w:tc>
        <w:tc>
          <w:tcPr>
            <w:tcW w:w="2806" w:type="dxa"/>
            <w:vAlign w:val="center"/>
          </w:tcPr>
          <w:p w14:paraId="3D5A3833">
            <w:pPr>
              <w:snapToGrid w:val="0"/>
              <w:rPr>
                <w:rFonts w:hint="eastAsia" w:ascii="宋体" w:hAnsi="宋体"/>
                <w:sz w:val="18"/>
                <w:szCs w:val="18"/>
              </w:rPr>
            </w:pPr>
            <w:r>
              <w:rPr>
                <w:rFonts w:hint="eastAsia" w:ascii="宋体" w:hAnsi="宋体"/>
                <w:sz w:val="18"/>
                <w:szCs w:val="18"/>
              </w:rPr>
              <w:t>测试跟踪装置控制系统保护功能。</w:t>
            </w:r>
          </w:p>
        </w:tc>
        <w:tc>
          <w:tcPr>
            <w:tcW w:w="2147" w:type="dxa"/>
            <w:gridSpan w:val="3"/>
            <w:vAlign w:val="center"/>
          </w:tcPr>
          <w:p w14:paraId="492ADF35">
            <w:pPr>
              <w:snapToGrid w:val="0"/>
              <w:rPr>
                <w:rFonts w:hint="eastAsia" w:ascii="宋体" w:hAnsi="宋体"/>
                <w:sz w:val="18"/>
                <w:szCs w:val="18"/>
              </w:rPr>
            </w:pPr>
            <w:r>
              <w:rPr>
                <w:rFonts w:hint="eastAsia" w:ascii="宋体" w:hAnsi="宋体"/>
                <w:sz w:val="18"/>
                <w:szCs w:val="18"/>
              </w:rPr>
              <w:t>（1）具备电机过流保护功能；</w:t>
            </w:r>
            <w:r>
              <w:rPr>
                <w:rFonts w:hint="eastAsia" w:ascii="宋体" w:hAnsi="宋体"/>
                <w:sz w:val="18"/>
                <w:szCs w:val="18"/>
              </w:rPr>
              <w:br w:type="textWrapping"/>
            </w:r>
            <w:r>
              <w:rPr>
                <w:rFonts w:hint="eastAsia" w:ascii="宋体" w:hAnsi="宋体"/>
                <w:sz w:val="18"/>
                <w:szCs w:val="18"/>
              </w:rPr>
              <w:t>（2）具备限位功能；</w:t>
            </w:r>
            <w:r>
              <w:rPr>
                <w:rFonts w:hint="eastAsia" w:ascii="宋体" w:hAnsi="宋体"/>
                <w:sz w:val="18"/>
                <w:szCs w:val="18"/>
              </w:rPr>
              <w:br w:type="textWrapping"/>
            </w:r>
            <w:r>
              <w:rPr>
                <w:rFonts w:hint="eastAsia" w:ascii="宋体" w:hAnsi="宋体"/>
                <w:sz w:val="18"/>
                <w:szCs w:val="18"/>
              </w:rPr>
              <w:t>（3）具备手动功能。</w:t>
            </w:r>
          </w:p>
        </w:tc>
        <w:tc>
          <w:tcPr>
            <w:tcW w:w="1320" w:type="dxa"/>
            <w:vAlign w:val="center"/>
          </w:tcPr>
          <w:p w14:paraId="0CC1D690">
            <w:pPr>
              <w:snapToGrid w:val="0"/>
              <w:rPr>
                <w:rFonts w:hint="eastAsia" w:ascii="宋体" w:hAnsi="宋体"/>
                <w:sz w:val="18"/>
                <w:szCs w:val="18"/>
              </w:rPr>
            </w:pPr>
            <w:r>
              <w:rPr>
                <w:rFonts w:hint="eastAsia" w:ascii="宋体" w:hAnsi="宋体"/>
                <w:sz w:val="18"/>
                <w:szCs w:val="18"/>
              </w:rPr>
              <w:t>（1）交接时；</w:t>
            </w:r>
            <w:r>
              <w:rPr>
                <w:rFonts w:hint="eastAsia" w:ascii="宋体" w:hAnsi="宋体"/>
                <w:sz w:val="18"/>
                <w:szCs w:val="18"/>
              </w:rPr>
              <w:br w:type="textWrapping"/>
            </w:r>
            <w:r>
              <w:rPr>
                <w:rFonts w:hint="eastAsia" w:ascii="宋体" w:hAnsi="宋体"/>
                <w:sz w:val="18"/>
                <w:szCs w:val="18"/>
              </w:rPr>
              <w:t>（2）跟踪系统更换验收时；</w:t>
            </w:r>
          </w:p>
        </w:tc>
      </w:tr>
      <w:tr w14:paraId="4112E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628" w:type="dxa"/>
            <w:vAlign w:val="center"/>
          </w:tcPr>
          <w:p w14:paraId="5823D35D">
            <w:pPr>
              <w:snapToGrid w:val="0"/>
              <w:jc w:val="center"/>
              <w:rPr>
                <w:rFonts w:hint="eastAsia" w:ascii="宋体" w:hAnsi="宋体"/>
                <w:sz w:val="18"/>
                <w:szCs w:val="18"/>
              </w:rPr>
            </w:pPr>
            <w:r>
              <w:rPr>
                <w:rFonts w:hint="eastAsia" w:ascii="宋体" w:hAnsi="宋体"/>
                <w:sz w:val="18"/>
                <w:szCs w:val="18"/>
              </w:rPr>
              <w:t>6.5</w:t>
            </w:r>
          </w:p>
        </w:tc>
        <w:tc>
          <w:tcPr>
            <w:tcW w:w="803" w:type="dxa"/>
            <w:vAlign w:val="center"/>
          </w:tcPr>
          <w:p w14:paraId="717068FB">
            <w:pPr>
              <w:snapToGrid w:val="0"/>
              <w:rPr>
                <w:rFonts w:hint="eastAsia" w:ascii="宋体" w:hAnsi="宋体"/>
                <w:sz w:val="18"/>
                <w:szCs w:val="18"/>
              </w:rPr>
            </w:pPr>
            <w:r>
              <w:rPr>
                <w:rFonts w:hint="eastAsia" w:ascii="宋体" w:hAnsi="宋体"/>
                <w:sz w:val="18"/>
                <w:szCs w:val="18"/>
              </w:rPr>
              <w:t>复位功能测试</w:t>
            </w:r>
          </w:p>
        </w:tc>
        <w:tc>
          <w:tcPr>
            <w:tcW w:w="1656" w:type="dxa"/>
            <w:vAlign w:val="center"/>
          </w:tcPr>
          <w:p w14:paraId="00785FFF">
            <w:pPr>
              <w:snapToGrid w:val="0"/>
              <w:rPr>
                <w:rFonts w:hint="eastAsia" w:ascii="宋体" w:hAnsi="宋体"/>
                <w:sz w:val="18"/>
                <w:szCs w:val="18"/>
              </w:rPr>
            </w:pPr>
            <w:r>
              <w:rPr>
                <w:rFonts w:hint="eastAsia" w:ascii="宋体" w:hAnsi="宋体"/>
                <w:sz w:val="18"/>
                <w:szCs w:val="18"/>
              </w:rPr>
              <w:t>失电时间至少为2h。</w:t>
            </w:r>
          </w:p>
        </w:tc>
        <w:tc>
          <w:tcPr>
            <w:tcW w:w="2806" w:type="dxa"/>
            <w:vAlign w:val="center"/>
          </w:tcPr>
          <w:p w14:paraId="25076206">
            <w:pPr>
              <w:snapToGrid w:val="0"/>
              <w:rPr>
                <w:rFonts w:hint="eastAsia" w:ascii="宋体" w:hAnsi="宋体"/>
                <w:sz w:val="18"/>
                <w:szCs w:val="18"/>
              </w:rPr>
            </w:pPr>
            <w:r>
              <w:rPr>
                <w:rFonts w:hint="eastAsia" w:ascii="宋体" w:hAnsi="宋体"/>
                <w:sz w:val="18"/>
                <w:szCs w:val="18"/>
              </w:rPr>
              <w:t>测试跟踪装置控制系统在失/复电，以及设定时刻的自动复位功能。</w:t>
            </w:r>
          </w:p>
        </w:tc>
        <w:tc>
          <w:tcPr>
            <w:tcW w:w="2147" w:type="dxa"/>
            <w:gridSpan w:val="3"/>
            <w:vAlign w:val="center"/>
          </w:tcPr>
          <w:p w14:paraId="2748565A">
            <w:pPr>
              <w:snapToGrid w:val="0"/>
              <w:rPr>
                <w:rFonts w:hint="eastAsia" w:ascii="宋体" w:hAnsi="宋体"/>
                <w:sz w:val="18"/>
                <w:szCs w:val="18"/>
              </w:rPr>
            </w:pPr>
            <w:r>
              <w:rPr>
                <w:rFonts w:hint="eastAsia" w:ascii="宋体" w:hAnsi="宋体"/>
                <w:sz w:val="18"/>
                <w:szCs w:val="18"/>
              </w:rPr>
              <w:t>（1）失/复电后，自动进行工作状态；</w:t>
            </w:r>
            <w:r>
              <w:rPr>
                <w:rFonts w:hint="eastAsia" w:ascii="宋体" w:hAnsi="宋体"/>
                <w:sz w:val="18"/>
                <w:szCs w:val="18"/>
              </w:rPr>
              <w:br w:type="textWrapping"/>
            </w:r>
            <w:r>
              <w:rPr>
                <w:rFonts w:hint="eastAsia" w:ascii="宋体" w:hAnsi="宋体"/>
                <w:sz w:val="18"/>
                <w:szCs w:val="18"/>
              </w:rPr>
              <w:t>（2）具备自动复位功能。</w:t>
            </w:r>
          </w:p>
        </w:tc>
        <w:tc>
          <w:tcPr>
            <w:tcW w:w="1320" w:type="dxa"/>
            <w:vAlign w:val="center"/>
          </w:tcPr>
          <w:p w14:paraId="1D257554">
            <w:pPr>
              <w:snapToGrid w:val="0"/>
              <w:rPr>
                <w:rFonts w:hint="eastAsia" w:ascii="宋体" w:hAnsi="宋体"/>
                <w:sz w:val="18"/>
                <w:szCs w:val="18"/>
              </w:rPr>
            </w:pPr>
            <w:r>
              <w:rPr>
                <w:rFonts w:hint="eastAsia" w:ascii="宋体" w:hAnsi="宋体"/>
                <w:sz w:val="18"/>
                <w:szCs w:val="18"/>
              </w:rPr>
              <w:t>（1）交接时；</w:t>
            </w:r>
            <w:r>
              <w:rPr>
                <w:rFonts w:hint="eastAsia" w:ascii="宋体" w:hAnsi="宋体"/>
                <w:sz w:val="18"/>
                <w:szCs w:val="18"/>
              </w:rPr>
              <w:br w:type="textWrapping"/>
            </w:r>
            <w:r>
              <w:rPr>
                <w:rFonts w:hint="eastAsia" w:ascii="宋体" w:hAnsi="宋体"/>
                <w:sz w:val="18"/>
                <w:szCs w:val="18"/>
              </w:rPr>
              <w:t>（2）跟踪系统更换验收时；</w:t>
            </w:r>
          </w:p>
        </w:tc>
      </w:tr>
      <w:tr w14:paraId="2543C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628" w:type="dxa"/>
            <w:vAlign w:val="center"/>
          </w:tcPr>
          <w:p w14:paraId="0CA709FC">
            <w:pPr>
              <w:snapToGrid w:val="0"/>
              <w:jc w:val="center"/>
              <w:rPr>
                <w:rFonts w:hint="eastAsia" w:ascii="宋体" w:hAnsi="宋体"/>
                <w:sz w:val="18"/>
                <w:szCs w:val="18"/>
              </w:rPr>
            </w:pPr>
            <w:r>
              <w:rPr>
                <w:rFonts w:hint="eastAsia" w:ascii="宋体" w:hAnsi="宋体"/>
                <w:sz w:val="18"/>
                <w:szCs w:val="18"/>
              </w:rPr>
              <w:t>6.6</w:t>
            </w:r>
          </w:p>
        </w:tc>
        <w:tc>
          <w:tcPr>
            <w:tcW w:w="803" w:type="dxa"/>
            <w:vAlign w:val="center"/>
          </w:tcPr>
          <w:p w14:paraId="7F36ADDC">
            <w:pPr>
              <w:snapToGrid w:val="0"/>
              <w:rPr>
                <w:rFonts w:hint="eastAsia" w:ascii="宋体" w:hAnsi="宋体"/>
                <w:sz w:val="18"/>
                <w:szCs w:val="18"/>
              </w:rPr>
            </w:pPr>
            <w:r>
              <w:rPr>
                <w:rFonts w:hint="eastAsia" w:ascii="宋体" w:hAnsi="宋体"/>
                <w:sz w:val="18"/>
                <w:szCs w:val="18"/>
              </w:rPr>
              <w:t>接地电阻测试</w:t>
            </w:r>
          </w:p>
        </w:tc>
        <w:tc>
          <w:tcPr>
            <w:tcW w:w="1656" w:type="dxa"/>
            <w:vAlign w:val="center"/>
          </w:tcPr>
          <w:p w14:paraId="6FB8BC4B">
            <w:pPr>
              <w:snapToGrid w:val="0"/>
              <w:rPr>
                <w:rFonts w:hint="eastAsia" w:ascii="宋体" w:hAnsi="宋体"/>
                <w:sz w:val="18"/>
                <w:szCs w:val="18"/>
              </w:rPr>
            </w:pPr>
            <w:r>
              <w:rPr>
                <w:rFonts w:hint="eastAsia" w:ascii="宋体" w:hAnsi="宋体"/>
                <w:sz w:val="18"/>
                <w:szCs w:val="18"/>
              </w:rPr>
              <w:t>宜在晴好天气进行。</w:t>
            </w:r>
          </w:p>
        </w:tc>
        <w:tc>
          <w:tcPr>
            <w:tcW w:w="2806" w:type="dxa"/>
            <w:vAlign w:val="center"/>
          </w:tcPr>
          <w:p w14:paraId="1D1C6E54">
            <w:pPr>
              <w:snapToGrid w:val="0"/>
              <w:rPr>
                <w:rFonts w:hint="eastAsia" w:ascii="宋体" w:hAnsi="宋体"/>
                <w:sz w:val="18"/>
                <w:szCs w:val="18"/>
              </w:rPr>
            </w:pPr>
            <w:r>
              <w:rPr>
                <w:rFonts w:hint="eastAsia" w:ascii="宋体" w:hAnsi="宋体"/>
                <w:sz w:val="18"/>
                <w:szCs w:val="18"/>
              </w:rPr>
              <w:t>测试跟踪系统不同测点对地电阻。</w:t>
            </w:r>
          </w:p>
        </w:tc>
        <w:tc>
          <w:tcPr>
            <w:tcW w:w="2147" w:type="dxa"/>
            <w:gridSpan w:val="3"/>
            <w:vAlign w:val="center"/>
          </w:tcPr>
          <w:p w14:paraId="66C14157">
            <w:pPr>
              <w:snapToGrid w:val="0"/>
              <w:rPr>
                <w:rFonts w:hint="eastAsia" w:ascii="宋体" w:hAnsi="宋体"/>
                <w:sz w:val="18"/>
                <w:szCs w:val="18"/>
              </w:rPr>
            </w:pPr>
            <w:r>
              <w:rPr>
                <w:rFonts w:hint="eastAsia" w:ascii="宋体" w:hAnsi="宋体"/>
                <w:sz w:val="18"/>
                <w:szCs w:val="18"/>
              </w:rPr>
              <w:t>接地电阻应不大于4Ω。</w:t>
            </w:r>
          </w:p>
        </w:tc>
        <w:tc>
          <w:tcPr>
            <w:tcW w:w="1320" w:type="dxa"/>
            <w:vAlign w:val="center"/>
          </w:tcPr>
          <w:p w14:paraId="1EF4829F">
            <w:pPr>
              <w:snapToGrid w:val="0"/>
              <w:rPr>
                <w:rFonts w:hint="eastAsia" w:ascii="宋体" w:hAnsi="宋体"/>
                <w:sz w:val="18"/>
                <w:szCs w:val="18"/>
              </w:rPr>
            </w:pPr>
            <w:r>
              <w:rPr>
                <w:rFonts w:hint="eastAsia" w:ascii="宋体" w:hAnsi="宋体"/>
                <w:sz w:val="18"/>
                <w:szCs w:val="18"/>
              </w:rPr>
              <w:t>（1）交接时；</w:t>
            </w:r>
            <w:r>
              <w:rPr>
                <w:rFonts w:hint="eastAsia" w:ascii="宋体" w:hAnsi="宋体"/>
                <w:sz w:val="18"/>
                <w:szCs w:val="18"/>
              </w:rPr>
              <w:br w:type="textWrapping"/>
            </w:r>
            <w:r>
              <w:rPr>
                <w:rFonts w:hint="eastAsia" w:ascii="宋体" w:hAnsi="宋体"/>
                <w:sz w:val="18"/>
                <w:szCs w:val="18"/>
              </w:rPr>
              <w:t>（2）跟踪系统更换验收时；</w:t>
            </w:r>
            <w:r>
              <w:rPr>
                <w:rFonts w:hint="eastAsia" w:ascii="宋体" w:hAnsi="宋体"/>
                <w:sz w:val="18"/>
                <w:szCs w:val="18"/>
              </w:rPr>
              <w:br w:type="textWrapping"/>
            </w:r>
            <w:r>
              <w:rPr>
                <w:rFonts w:hint="eastAsia" w:ascii="宋体" w:hAnsi="宋体"/>
                <w:sz w:val="18"/>
                <w:szCs w:val="18"/>
              </w:rPr>
              <w:t>（3）必要时；</w:t>
            </w:r>
          </w:p>
        </w:tc>
      </w:tr>
      <w:tr w14:paraId="7D176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628" w:type="dxa"/>
            <w:vAlign w:val="center"/>
          </w:tcPr>
          <w:p w14:paraId="33A98F36">
            <w:pPr>
              <w:snapToGrid w:val="0"/>
              <w:jc w:val="center"/>
              <w:rPr>
                <w:rFonts w:hint="eastAsia" w:ascii="宋体" w:hAnsi="宋体"/>
                <w:sz w:val="18"/>
                <w:szCs w:val="18"/>
              </w:rPr>
            </w:pPr>
            <w:r>
              <w:rPr>
                <w:rFonts w:hint="eastAsia" w:ascii="宋体" w:hAnsi="宋体"/>
                <w:sz w:val="18"/>
                <w:szCs w:val="18"/>
              </w:rPr>
              <w:t>7</w:t>
            </w:r>
          </w:p>
        </w:tc>
        <w:tc>
          <w:tcPr>
            <w:tcW w:w="8732" w:type="dxa"/>
            <w:gridSpan w:val="7"/>
            <w:vAlign w:val="center"/>
          </w:tcPr>
          <w:p w14:paraId="0AE7E3B6">
            <w:pPr>
              <w:snapToGrid w:val="0"/>
              <w:jc w:val="center"/>
              <w:rPr>
                <w:rFonts w:hint="eastAsia" w:ascii="宋体" w:hAnsi="宋体"/>
                <w:sz w:val="18"/>
                <w:szCs w:val="18"/>
              </w:rPr>
            </w:pPr>
            <w:r>
              <w:rPr>
                <w:rFonts w:hint="eastAsia" w:ascii="宋体" w:hAnsi="宋体"/>
                <w:sz w:val="18"/>
                <w:szCs w:val="18"/>
              </w:rPr>
              <w:t>汇流箱</w:t>
            </w:r>
          </w:p>
        </w:tc>
      </w:tr>
      <w:tr w14:paraId="7F214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628" w:type="dxa"/>
            <w:vMerge w:val="restart"/>
            <w:vAlign w:val="center"/>
          </w:tcPr>
          <w:p w14:paraId="071C2AD6">
            <w:pPr>
              <w:snapToGrid w:val="0"/>
              <w:jc w:val="center"/>
              <w:rPr>
                <w:rFonts w:hint="eastAsia" w:ascii="宋体" w:hAnsi="宋体"/>
                <w:sz w:val="18"/>
                <w:szCs w:val="18"/>
              </w:rPr>
            </w:pPr>
            <w:r>
              <w:rPr>
                <w:rFonts w:hint="eastAsia" w:ascii="宋体" w:hAnsi="宋体"/>
                <w:sz w:val="18"/>
                <w:szCs w:val="18"/>
              </w:rPr>
              <w:t>7.1</w:t>
            </w:r>
          </w:p>
        </w:tc>
        <w:tc>
          <w:tcPr>
            <w:tcW w:w="803" w:type="dxa"/>
            <w:vMerge w:val="restart"/>
            <w:vAlign w:val="center"/>
          </w:tcPr>
          <w:p w14:paraId="5EA3F7EE">
            <w:pPr>
              <w:snapToGrid w:val="0"/>
              <w:rPr>
                <w:rFonts w:hint="eastAsia" w:ascii="宋体" w:hAnsi="宋体"/>
                <w:sz w:val="18"/>
                <w:szCs w:val="18"/>
              </w:rPr>
            </w:pPr>
            <w:r>
              <w:rPr>
                <w:rFonts w:hint="eastAsia" w:ascii="宋体" w:hAnsi="宋体"/>
                <w:sz w:val="18"/>
                <w:szCs w:val="18"/>
              </w:rPr>
              <w:t>电气间隙和爬电距离</w:t>
            </w:r>
          </w:p>
        </w:tc>
        <w:tc>
          <w:tcPr>
            <w:tcW w:w="1656" w:type="dxa"/>
            <w:vMerge w:val="restart"/>
            <w:vAlign w:val="center"/>
          </w:tcPr>
          <w:p w14:paraId="536B5B66">
            <w:pPr>
              <w:snapToGrid w:val="0"/>
              <w:rPr>
                <w:rFonts w:hint="eastAsia" w:ascii="宋体" w:hAnsi="宋体"/>
                <w:sz w:val="18"/>
                <w:szCs w:val="18"/>
              </w:rPr>
            </w:pPr>
            <w:r>
              <w:rPr>
                <w:rFonts w:hint="eastAsia" w:ascii="宋体" w:hAnsi="宋体"/>
                <w:sz w:val="18"/>
                <w:szCs w:val="18"/>
              </w:rPr>
              <w:t>逆变器和光伏组串到汇流箱的电气连接已断开。</w:t>
            </w:r>
          </w:p>
        </w:tc>
        <w:tc>
          <w:tcPr>
            <w:tcW w:w="2806" w:type="dxa"/>
            <w:vMerge w:val="restart"/>
            <w:vAlign w:val="center"/>
          </w:tcPr>
          <w:p w14:paraId="589E2E25">
            <w:pPr>
              <w:snapToGrid w:val="0"/>
              <w:rPr>
                <w:rFonts w:hint="eastAsia" w:ascii="宋体" w:hAnsi="宋体"/>
                <w:sz w:val="18"/>
                <w:szCs w:val="18"/>
              </w:rPr>
            </w:pPr>
            <w:r>
              <w:rPr>
                <w:rFonts w:hint="eastAsia" w:ascii="宋体" w:hAnsi="宋体"/>
                <w:sz w:val="18"/>
                <w:szCs w:val="18"/>
              </w:rPr>
              <w:t>测试汇流箱内部的电气间隙和爬电距离。</w:t>
            </w:r>
          </w:p>
        </w:tc>
        <w:tc>
          <w:tcPr>
            <w:tcW w:w="758" w:type="dxa"/>
            <w:vAlign w:val="center"/>
          </w:tcPr>
          <w:p w14:paraId="475D3654">
            <w:pPr>
              <w:snapToGrid w:val="0"/>
              <w:rPr>
                <w:rFonts w:hint="eastAsia" w:ascii="宋体" w:hAnsi="宋体"/>
                <w:sz w:val="18"/>
                <w:szCs w:val="18"/>
              </w:rPr>
            </w:pPr>
            <w:r>
              <w:rPr>
                <w:rFonts w:hint="eastAsia" w:ascii="宋体" w:hAnsi="宋体"/>
                <w:sz w:val="18"/>
                <w:szCs w:val="18"/>
              </w:rPr>
              <w:t>汇流箱额定电压Un(V)</w:t>
            </w:r>
          </w:p>
        </w:tc>
        <w:tc>
          <w:tcPr>
            <w:tcW w:w="696" w:type="dxa"/>
            <w:vAlign w:val="center"/>
          </w:tcPr>
          <w:p w14:paraId="5DFA1C24">
            <w:pPr>
              <w:snapToGrid w:val="0"/>
              <w:rPr>
                <w:rFonts w:hint="eastAsia" w:ascii="宋体" w:hAnsi="宋体"/>
                <w:sz w:val="18"/>
                <w:szCs w:val="18"/>
              </w:rPr>
            </w:pPr>
            <w:r>
              <w:rPr>
                <w:rFonts w:hint="eastAsia" w:ascii="宋体" w:hAnsi="宋体"/>
                <w:sz w:val="18"/>
                <w:szCs w:val="18"/>
              </w:rPr>
              <w:t>最小电气间隙（mm）</w:t>
            </w:r>
          </w:p>
        </w:tc>
        <w:tc>
          <w:tcPr>
            <w:tcW w:w="693" w:type="dxa"/>
            <w:vAlign w:val="center"/>
          </w:tcPr>
          <w:p w14:paraId="5F1672EF">
            <w:pPr>
              <w:snapToGrid w:val="0"/>
              <w:rPr>
                <w:rFonts w:hint="eastAsia" w:ascii="宋体" w:hAnsi="宋体"/>
                <w:sz w:val="18"/>
                <w:szCs w:val="18"/>
              </w:rPr>
            </w:pPr>
            <w:r>
              <w:rPr>
                <w:rFonts w:hint="eastAsia" w:ascii="宋体" w:hAnsi="宋体"/>
                <w:sz w:val="18"/>
                <w:szCs w:val="18"/>
              </w:rPr>
              <w:t>最小爬电距离（mm）</w:t>
            </w:r>
          </w:p>
        </w:tc>
        <w:tc>
          <w:tcPr>
            <w:tcW w:w="1320" w:type="dxa"/>
            <w:vMerge w:val="restart"/>
            <w:vAlign w:val="center"/>
          </w:tcPr>
          <w:p w14:paraId="7B441D34">
            <w:pPr>
              <w:snapToGrid w:val="0"/>
              <w:rPr>
                <w:rFonts w:hint="eastAsia" w:ascii="宋体" w:hAnsi="宋体"/>
                <w:sz w:val="18"/>
                <w:szCs w:val="18"/>
              </w:rPr>
            </w:pPr>
            <w:r>
              <w:rPr>
                <w:rFonts w:hint="eastAsia" w:ascii="宋体" w:hAnsi="宋体"/>
                <w:sz w:val="18"/>
                <w:szCs w:val="18"/>
              </w:rPr>
              <w:t>（1）12个月；</w:t>
            </w:r>
            <w:r>
              <w:rPr>
                <w:rFonts w:hint="eastAsia" w:ascii="宋体" w:hAnsi="宋体"/>
                <w:sz w:val="18"/>
                <w:szCs w:val="18"/>
              </w:rPr>
              <w:br w:type="textWrapping"/>
            </w:r>
            <w:r>
              <w:rPr>
                <w:rFonts w:hint="eastAsia" w:ascii="宋体" w:hAnsi="宋体"/>
                <w:sz w:val="18"/>
                <w:szCs w:val="18"/>
              </w:rPr>
              <w:t>（2）交接时；</w:t>
            </w:r>
            <w:r>
              <w:rPr>
                <w:rFonts w:hint="eastAsia" w:ascii="宋体" w:hAnsi="宋体"/>
                <w:sz w:val="18"/>
                <w:szCs w:val="18"/>
              </w:rPr>
              <w:br w:type="textWrapping"/>
            </w:r>
            <w:r>
              <w:rPr>
                <w:rFonts w:hint="eastAsia" w:ascii="宋体" w:hAnsi="宋体"/>
                <w:sz w:val="18"/>
                <w:szCs w:val="18"/>
              </w:rPr>
              <w:t>（3）汇流箱更换验收时。</w:t>
            </w:r>
          </w:p>
        </w:tc>
      </w:tr>
      <w:tr w14:paraId="1CAE2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628" w:type="dxa"/>
            <w:vMerge w:val="continue"/>
            <w:vAlign w:val="center"/>
          </w:tcPr>
          <w:p w14:paraId="39BB6FE3">
            <w:pPr>
              <w:snapToGrid w:val="0"/>
              <w:jc w:val="center"/>
              <w:rPr>
                <w:rFonts w:hint="eastAsia" w:ascii="宋体" w:hAnsi="宋体"/>
                <w:sz w:val="18"/>
                <w:szCs w:val="18"/>
              </w:rPr>
            </w:pPr>
          </w:p>
        </w:tc>
        <w:tc>
          <w:tcPr>
            <w:tcW w:w="803" w:type="dxa"/>
            <w:vMerge w:val="continue"/>
            <w:vAlign w:val="center"/>
          </w:tcPr>
          <w:p w14:paraId="66C02A1C">
            <w:pPr>
              <w:snapToGrid w:val="0"/>
              <w:rPr>
                <w:rFonts w:hint="eastAsia" w:ascii="宋体" w:hAnsi="宋体"/>
                <w:sz w:val="18"/>
                <w:szCs w:val="18"/>
              </w:rPr>
            </w:pPr>
          </w:p>
        </w:tc>
        <w:tc>
          <w:tcPr>
            <w:tcW w:w="1656" w:type="dxa"/>
            <w:vMerge w:val="continue"/>
            <w:vAlign w:val="center"/>
          </w:tcPr>
          <w:p w14:paraId="751C5B6C">
            <w:pPr>
              <w:snapToGrid w:val="0"/>
              <w:rPr>
                <w:rFonts w:hint="eastAsia" w:ascii="宋体" w:hAnsi="宋体"/>
                <w:sz w:val="18"/>
                <w:szCs w:val="18"/>
              </w:rPr>
            </w:pPr>
          </w:p>
        </w:tc>
        <w:tc>
          <w:tcPr>
            <w:tcW w:w="2806" w:type="dxa"/>
            <w:vMerge w:val="continue"/>
            <w:vAlign w:val="center"/>
          </w:tcPr>
          <w:p w14:paraId="5BEC239C">
            <w:pPr>
              <w:snapToGrid w:val="0"/>
              <w:rPr>
                <w:rFonts w:hint="eastAsia" w:ascii="宋体" w:hAnsi="宋体"/>
                <w:sz w:val="18"/>
                <w:szCs w:val="18"/>
              </w:rPr>
            </w:pPr>
          </w:p>
        </w:tc>
        <w:tc>
          <w:tcPr>
            <w:tcW w:w="758" w:type="dxa"/>
            <w:vAlign w:val="center"/>
          </w:tcPr>
          <w:p w14:paraId="0D1F0EBD">
            <w:pPr>
              <w:snapToGrid w:val="0"/>
              <w:rPr>
                <w:rFonts w:hint="eastAsia" w:ascii="宋体" w:hAnsi="宋体"/>
                <w:sz w:val="18"/>
                <w:szCs w:val="18"/>
              </w:rPr>
            </w:pPr>
            <w:r>
              <w:rPr>
                <w:rFonts w:hint="eastAsia" w:ascii="宋体" w:hAnsi="宋体"/>
                <w:sz w:val="18"/>
                <w:szCs w:val="18"/>
              </w:rPr>
              <w:t>Un≤m爬电</w:t>
            </w:r>
          </w:p>
        </w:tc>
        <w:tc>
          <w:tcPr>
            <w:tcW w:w="696" w:type="dxa"/>
            <w:vAlign w:val="center"/>
          </w:tcPr>
          <w:p w14:paraId="7B850DD2">
            <w:pPr>
              <w:snapToGrid w:val="0"/>
              <w:rPr>
                <w:rFonts w:hint="eastAsia" w:ascii="宋体" w:hAnsi="宋体"/>
                <w:sz w:val="18"/>
                <w:szCs w:val="18"/>
              </w:rPr>
            </w:pPr>
            <w:r>
              <w:rPr>
                <w:rFonts w:hint="eastAsia" w:ascii="宋体" w:hAnsi="宋体"/>
                <w:sz w:val="18"/>
                <w:szCs w:val="18"/>
              </w:rPr>
              <w:t>6</w:t>
            </w:r>
          </w:p>
        </w:tc>
        <w:tc>
          <w:tcPr>
            <w:tcW w:w="693" w:type="dxa"/>
            <w:vAlign w:val="center"/>
          </w:tcPr>
          <w:p w14:paraId="3A703517">
            <w:pPr>
              <w:snapToGrid w:val="0"/>
              <w:rPr>
                <w:rFonts w:hint="eastAsia" w:ascii="宋体" w:hAnsi="宋体"/>
                <w:sz w:val="18"/>
                <w:szCs w:val="18"/>
              </w:rPr>
            </w:pPr>
            <w:r>
              <w:rPr>
                <w:rFonts w:hint="eastAsia" w:ascii="宋体" w:hAnsi="宋体"/>
                <w:sz w:val="18"/>
                <w:szCs w:val="18"/>
              </w:rPr>
              <w:t>10</w:t>
            </w:r>
          </w:p>
        </w:tc>
        <w:tc>
          <w:tcPr>
            <w:tcW w:w="1320" w:type="dxa"/>
            <w:vMerge w:val="continue"/>
            <w:vAlign w:val="center"/>
          </w:tcPr>
          <w:p w14:paraId="7DB17A4F">
            <w:pPr>
              <w:snapToGrid w:val="0"/>
              <w:rPr>
                <w:rFonts w:hint="eastAsia" w:ascii="宋体" w:hAnsi="宋体"/>
                <w:sz w:val="18"/>
                <w:szCs w:val="18"/>
              </w:rPr>
            </w:pPr>
          </w:p>
        </w:tc>
      </w:tr>
      <w:tr w14:paraId="7061F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628" w:type="dxa"/>
            <w:vMerge w:val="continue"/>
            <w:vAlign w:val="center"/>
          </w:tcPr>
          <w:p w14:paraId="607816D5">
            <w:pPr>
              <w:snapToGrid w:val="0"/>
              <w:jc w:val="center"/>
              <w:rPr>
                <w:rFonts w:hint="eastAsia" w:ascii="宋体" w:hAnsi="宋体"/>
                <w:sz w:val="18"/>
                <w:szCs w:val="18"/>
              </w:rPr>
            </w:pPr>
          </w:p>
        </w:tc>
        <w:tc>
          <w:tcPr>
            <w:tcW w:w="803" w:type="dxa"/>
            <w:vMerge w:val="continue"/>
            <w:vAlign w:val="center"/>
          </w:tcPr>
          <w:p w14:paraId="7A10DA38">
            <w:pPr>
              <w:snapToGrid w:val="0"/>
              <w:rPr>
                <w:rFonts w:hint="eastAsia" w:ascii="宋体" w:hAnsi="宋体"/>
                <w:sz w:val="18"/>
                <w:szCs w:val="18"/>
              </w:rPr>
            </w:pPr>
          </w:p>
        </w:tc>
        <w:tc>
          <w:tcPr>
            <w:tcW w:w="1656" w:type="dxa"/>
            <w:vMerge w:val="continue"/>
            <w:vAlign w:val="center"/>
          </w:tcPr>
          <w:p w14:paraId="7390854F">
            <w:pPr>
              <w:snapToGrid w:val="0"/>
              <w:rPr>
                <w:rFonts w:hint="eastAsia" w:ascii="宋体" w:hAnsi="宋体"/>
                <w:sz w:val="18"/>
                <w:szCs w:val="18"/>
              </w:rPr>
            </w:pPr>
          </w:p>
        </w:tc>
        <w:tc>
          <w:tcPr>
            <w:tcW w:w="2806" w:type="dxa"/>
            <w:vMerge w:val="continue"/>
            <w:vAlign w:val="center"/>
          </w:tcPr>
          <w:p w14:paraId="0A57285B">
            <w:pPr>
              <w:snapToGrid w:val="0"/>
              <w:rPr>
                <w:rFonts w:hint="eastAsia" w:ascii="宋体" w:hAnsi="宋体"/>
                <w:sz w:val="18"/>
                <w:szCs w:val="18"/>
              </w:rPr>
            </w:pPr>
          </w:p>
        </w:tc>
        <w:tc>
          <w:tcPr>
            <w:tcW w:w="758" w:type="dxa"/>
            <w:vAlign w:val="center"/>
          </w:tcPr>
          <w:p w14:paraId="4CB3D9E3">
            <w:pPr>
              <w:snapToGrid w:val="0"/>
              <w:rPr>
                <w:rFonts w:hint="eastAsia" w:ascii="宋体" w:hAnsi="宋体"/>
                <w:sz w:val="18"/>
                <w:szCs w:val="18"/>
              </w:rPr>
            </w:pPr>
            <w:r>
              <w:rPr>
                <w:rFonts w:hint="eastAsia" w:ascii="宋体" w:hAnsi="宋体"/>
                <w:sz w:val="18"/>
                <w:szCs w:val="18"/>
              </w:rPr>
              <w:t>250＜Un≤690</w:t>
            </w:r>
          </w:p>
        </w:tc>
        <w:tc>
          <w:tcPr>
            <w:tcW w:w="696" w:type="dxa"/>
            <w:vAlign w:val="center"/>
          </w:tcPr>
          <w:p w14:paraId="2ABAC776">
            <w:pPr>
              <w:snapToGrid w:val="0"/>
              <w:rPr>
                <w:rFonts w:hint="eastAsia" w:ascii="宋体" w:hAnsi="宋体"/>
                <w:sz w:val="18"/>
                <w:szCs w:val="18"/>
              </w:rPr>
            </w:pPr>
            <w:r>
              <w:rPr>
                <w:rFonts w:hint="eastAsia" w:ascii="宋体" w:hAnsi="宋体"/>
                <w:sz w:val="18"/>
                <w:szCs w:val="18"/>
              </w:rPr>
              <w:t>8</w:t>
            </w:r>
          </w:p>
        </w:tc>
        <w:tc>
          <w:tcPr>
            <w:tcW w:w="693" w:type="dxa"/>
            <w:vAlign w:val="center"/>
          </w:tcPr>
          <w:p w14:paraId="5A82C638">
            <w:pPr>
              <w:snapToGrid w:val="0"/>
              <w:rPr>
                <w:rFonts w:hint="eastAsia" w:ascii="宋体" w:hAnsi="宋体"/>
                <w:sz w:val="18"/>
                <w:szCs w:val="18"/>
              </w:rPr>
            </w:pPr>
            <w:r>
              <w:rPr>
                <w:rFonts w:hint="eastAsia" w:ascii="宋体" w:hAnsi="宋体"/>
                <w:sz w:val="18"/>
                <w:szCs w:val="18"/>
              </w:rPr>
              <w:t>16</w:t>
            </w:r>
          </w:p>
        </w:tc>
        <w:tc>
          <w:tcPr>
            <w:tcW w:w="1320" w:type="dxa"/>
            <w:vMerge w:val="continue"/>
            <w:vAlign w:val="center"/>
          </w:tcPr>
          <w:p w14:paraId="65FB2FB4">
            <w:pPr>
              <w:snapToGrid w:val="0"/>
              <w:rPr>
                <w:rFonts w:hint="eastAsia" w:ascii="宋体" w:hAnsi="宋体"/>
                <w:sz w:val="18"/>
                <w:szCs w:val="18"/>
              </w:rPr>
            </w:pPr>
          </w:p>
        </w:tc>
      </w:tr>
      <w:tr w14:paraId="214F6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628" w:type="dxa"/>
            <w:vMerge w:val="continue"/>
            <w:vAlign w:val="center"/>
          </w:tcPr>
          <w:p w14:paraId="78A761A2">
            <w:pPr>
              <w:snapToGrid w:val="0"/>
              <w:jc w:val="center"/>
              <w:rPr>
                <w:rFonts w:hint="eastAsia" w:ascii="宋体" w:hAnsi="宋体"/>
                <w:sz w:val="18"/>
                <w:szCs w:val="18"/>
              </w:rPr>
            </w:pPr>
          </w:p>
        </w:tc>
        <w:tc>
          <w:tcPr>
            <w:tcW w:w="803" w:type="dxa"/>
            <w:vMerge w:val="continue"/>
            <w:vAlign w:val="center"/>
          </w:tcPr>
          <w:p w14:paraId="48598A0C">
            <w:pPr>
              <w:snapToGrid w:val="0"/>
              <w:rPr>
                <w:rFonts w:hint="eastAsia" w:ascii="宋体" w:hAnsi="宋体"/>
                <w:sz w:val="18"/>
                <w:szCs w:val="18"/>
              </w:rPr>
            </w:pPr>
          </w:p>
        </w:tc>
        <w:tc>
          <w:tcPr>
            <w:tcW w:w="1656" w:type="dxa"/>
            <w:vMerge w:val="continue"/>
            <w:vAlign w:val="center"/>
          </w:tcPr>
          <w:p w14:paraId="2E11D47D">
            <w:pPr>
              <w:snapToGrid w:val="0"/>
              <w:rPr>
                <w:rFonts w:hint="eastAsia" w:ascii="宋体" w:hAnsi="宋体"/>
                <w:sz w:val="18"/>
                <w:szCs w:val="18"/>
              </w:rPr>
            </w:pPr>
          </w:p>
        </w:tc>
        <w:tc>
          <w:tcPr>
            <w:tcW w:w="2806" w:type="dxa"/>
            <w:vMerge w:val="continue"/>
            <w:vAlign w:val="center"/>
          </w:tcPr>
          <w:p w14:paraId="7D1188FD">
            <w:pPr>
              <w:snapToGrid w:val="0"/>
              <w:rPr>
                <w:rFonts w:hint="eastAsia" w:ascii="宋体" w:hAnsi="宋体"/>
                <w:sz w:val="18"/>
                <w:szCs w:val="18"/>
              </w:rPr>
            </w:pPr>
          </w:p>
        </w:tc>
        <w:tc>
          <w:tcPr>
            <w:tcW w:w="758" w:type="dxa"/>
            <w:vAlign w:val="center"/>
          </w:tcPr>
          <w:p w14:paraId="24C139FD">
            <w:pPr>
              <w:snapToGrid w:val="0"/>
              <w:rPr>
                <w:rFonts w:hint="eastAsia" w:ascii="宋体" w:hAnsi="宋体"/>
                <w:sz w:val="18"/>
                <w:szCs w:val="18"/>
              </w:rPr>
            </w:pPr>
            <w:r>
              <w:rPr>
                <w:rFonts w:hint="eastAsia" w:ascii="宋体" w:hAnsi="宋体"/>
                <w:sz w:val="18"/>
                <w:szCs w:val="18"/>
              </w:rPr>
              <w:t>690＜Un≤1000</w:t>
            </w:r>
          </w:p>
        </w:tc>
        <w:tc>
          <w:tcPr>
            <w:tcW w:w="696" w:type="dxa"/>
            <w:vAlign w:val="center"/>
          </w:tcPr>
          <w:p w14:paraId="23DA5DED">
            <w:pPr>
              <w:snapToGrid w:val="0"/>
              <w:rPr>
                <w:rFonts w:hint="eastAsia" w:ascii="宋体" w:hAnsi="宋体"/>
                <w:sz w:val="18"/>
                <w:szCs w:val="18"/>
              </w:rPr>
            </w:pPr>
            <w:r>
              <w:rPr>
                <w:rFonts w:hint="eastAsia" w:ascii="宋体" w:hAnsi="宋体"/>
                <w:sz w:val="18"/>
                <w:szCs w:val="18"/>
              </w:rPr>
              <w:t>14</w:t>
            </w:r>
          </w:p>
        </w:tc>
        <w:tc>
          <w:tcPr>
            <w:tcW w:w="693" w:type="dxa"/>
            <w:vAlign w:val="center"/>
          </w:tcPr>
          <w:p w14:paraId="0B521DB9">
            <w:pPr>
              <w:snapToGrid w:val="0"/>
              <w:rPr>
                <w:rFonts w:hint="eastAsia" w:ascii="宋体" w:hAnsi="宋体"/>
                <w:sz w:val="18"/>
                <w:szCs w:val="18"/>
              </w:rPr>
            </w:pPr>
            <w:r>
              <w:rPr>
                <w:rFonts w:hint="eastAsia" w:ascii="宋体" w:hAnsi="宋体"/>
                <w:sz w:val="18"/>
                <w:szCs w:val="18"/>
              </w:rPr>
              <w:t>25</w:t>
            </w:r>
          </w:p>
        </w:tc>
        <w:tc>
          <w:tcPr>
            <w:tcW w:w="1320" w:type="dxa"/>
            <w:vMerge w:val="continue"/>
            <w:vAlign w:val="center"/>
          </w:tcPr>
          <w:p w14:paraId="684B06C4">
            <w:pPr>
              <w:snapToGrid w:val="0"/>
              <w:rPr>
                <w:rFonts w:hint="eastAsia" w:ascii="宋体" w:hAnsi="宋体"/>
                <w:sz w:val="18"/>
                <w:szCs w:val="18"/>
              </w:rPr>
            </w:pPr>
          </w:p>
        </w:tc>
      </w:tr>
      <w:tr w14:paraId="2D3A7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628" w:type="dxa"/>
            <w:vMerge w:val="continue"/>
            <w:vAlign w:val="center"/>
          </w:tcPr>
          <w:p w14:paraId="7F58F558">
            <w:pPr>
              <w:snapToGrid w:val="0"/>
              <w:jc w:val="center"/>
              <w:rPr>
                <w:rFonts w:hint="eastAsia" w:ascii="宋体" w:hAnsi="宋体"/>
                <w:sz w:val="18"/>
                <w:szCs w:val="18"/>
              </w:rPr>
            </w:pPr>
          </w:p>
        </w:tc>
        <w:tc>
          <w:tcPr>
            <w:tcW w:w="803" w:type="dxa"/>
            <w:vMerge w:val="continue"/>
            <w:vAlign w:val="center"/>
          </w:tcPr>
          <w:p w14:paraId="12C92E40">
            <w:pPr>
              <w:snapToGrid w:val="0"/>
              <w:rPr>
                <w:rFonts w:hint="eastAsia" w:ascii="宋体" w:hAnsi="宋体"/>
                <w:sz w:val="18"/>
                <w:szCs w:val="18"/>
              </w:rPr>
            </w:pPr>
          </w:p>
        </w:tc>
        <w:tc>
          <w:tcPr>
            <w:tcW w:w="1656" w:type="dxa"/>
            <w:vMerge w:val="continue"/>
            <w:vAlign w:val="center"/>
          </w:tcPr>
          <w:p w14:paraId="4B001BB3">
            <w:pPr>
              <w:snapToGrid w:val="0"/>
              <w:rPr>
                <w:rFonts w:hint="eastAsia" w:ascii="宋体" w:hAnsi="宋体"/>
                <w:sz w:val="18"/>
                <w:szCs w:val="18"/>
              </w:rPr>
            </w:pPr>
          </w:p>
        </w:tc>
        <w:tc>
          <w:tcPr>
            <w:tcW w:w="2806" w:type="dxa"/>
            <w:vMerge w:val="continue"/>
            <w:vAlign w:val="center"/>
          </w:tcPr>
          <w:p w14:paraId="5E3382AF">
            <w:pPr>
              <w:snapToGrid w:val="0"/>
              <w:rPr>
                <w:rFonts w:hint="eastAsia" w:ascii="宋体" w:hAnsi="宋体"/>
                <w:sz w:val="18"/>
                <w:szCs w:val="18"/>
              </w:rPr>
            </w:pPr>
          </w:p>
        </w:tc>
        <w:tc>
          <w:tcPr>
            <w:tcW w:w="758" w:type="dxa"/>
            <w:vAlign w:val="center"/>
          </w:tcPr>
          <w:p w14:paraId="7929598C">
            <w:pPr>
              <w:snapToGrid w:val="0"/>
              <w:rPr>
                <w:rFonts w:hint="eastAsia" w:ascii="宋体" w:hAnsi="宋体"/>
                <w:sz w:val="18"/>
                <w:szCs w:val="18"/>
              </w:rPr>
            </w:pPr>
            <w:r>
              <w:rPr>
                <w:rFonts w:hint="eastAsia" w:ascii="宋体" w:hAnsi="宋体"/>
                <w:sz w:val="18"/>
                <w:szCs w:val="18"/>
              </w:rPr>
              <w:t>1000＜Un≤1500</w:t>
            </w:r>
          </w:p>
        </w:tc>
        <w:tc>
          <w:tcPr>
            <w:tcW w:w="696" w:type="dxa"/>
            <w:vAlign w:val="center"/>
          </w:tcPr>
          <w:p w14:paraId="425D583B">
            <w:pPr>
              <w:snapToGrid w:val="0"/>
              <w:rPr>
                <w:rFonts w:hint="eastAsia" w:ascii="宋体" w:hAnsi="宋体"/>
                <w:sz w:val="18"/>
                <w:szCs w:val="18"/>
              </w:rPr>
            </w:pPr>
            <w:r>
              <w:rPr>
                <w:rFonts w:hint="eastAsia" w:ascii="宋体" w:hAnsi="宋体"/>
                <w:sz w:val="18"/>
                <w:szCs w:val="18"/>
              </w:rPr>
              <w:t>18</w:t>
            </w:r>
          </w:p>
        </w:tc>
        <w:tc>
          <w:tcPr>
            <w:tcW w:w="693" w:type="dxa"/>
            <w:vAlign w:val="center"/>
          </w:tcPr>
          <w:p w14:paraId="120E9964">
            <w:pPr>
              <w:snapToGrid w:val="0"/>
              <w:rPr>
                <w:rFonts w:hint="eastAsia" w:ascii="宋体" w:hAnsi="宋体"/>
                <w:sz w:val="18"/>
                <w:szCs w:val="18"/>
              </w:rPr>
            </w:pPr>
            <w:r>
              <w:rPr>
                <w:rFonts w:hint="eastAsia" w:ascii="宋体" w:hAnsi="宋体"/>
                <w:sz w:val="18"/>
                <w:szCs w:val="18"/>
              </w:rPr>
              <w:t>31</w:t>
            </w:r>
          </w:p>
        </w:tc>
        <w:tc>
          <w:tcPr>
            <w:tcW w:w="1320" w:type="dxa"/>
            <w:vMerge w:val="continue"/>
            <w:vAlign w:val="center"/>
          </w:tcPr>
          <w:p w14:paraId="551F4F85">
            <w:pPr>
              <w:snapToGrid w:val="0"/>
              <w:rPr>
                <w:rFonts w:hint="eastAsia" w:ascii="宋体" w:hAnsi="宋体"/>
                <w:sz w:val="18"/>
                <w:szCs w:val="18"/>
              </w:rPr>
            </w:pPr>
          </w:p>
        </w:tc>
      </w:tr>
      <w:tr w14:paraId="52453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628" w:type="dxa"/>
            <w:vAlign w:val="center"/>
          </w:tcPr>
          <w:p w14:paraId="3634CEFB">
            <w:pPr>
              <w:snapToGrid w:val="0"/>
              <w:jc w:val="center"/>
              <w:rPr>
                <w:rFonts w:hint="eastAsia" w:ascii="宋体" w:hAnsi="宋体"/>
                <w:sz w:val="18"/>
                <w:szCs w:val="18"/>
              </w:rPr>
            </w:pPr>
            <w:r>
              <w:rPr>
                <w:rFonts w:hint="eastAsia" w:ascii="宋体" w:hAnsi="宋体"/>
                <w:sz w:val="18"/>
                <w:szCs w:val="18"/>
              </w:rPr>
              <w:t>7.2</w:t>
            </w:r>
          </w:p>
        </w:tc>
        <w:tc>
          <w:tcPr>
            <w:tcW w:w="803" w:type="dxa"/>
            <w:vAlign w:val="center"/>
          </w:tcPr>
          <w:p w14:paraId="22F5509F">
            <w:pPr>
              <w:snapToGrid w:val="0"/>
              <w:rPr>
                <w:rFonts w:hint="eastAsia" w:ascii="宋体" w:hAnsi="宋体"/>
                <w:sz w:val="18"/>
                <w:szCs w:val="18"/>
              </w:rPr>
            </w:pPr>
            <w:r>
              <w:rPr>
                <w:rFonts w:hint="eastAsia" w:ascii="宋体" w:hAnsi="宋体"/>
                <w:sz w:val="18"/>
                <w:szCs w:val="18"/>
              </w:rPr>
              <w:t>接地/接触电阻测试</w:t>
            </w:r>
          </w:p>
        </w:tc>
        <w:tc>
          <w:tcPr>
            <w:tcW w:w="1656" w:type="dxa"/>
            <w:vAlign w:val="center"/>
          </w:tcPr>
          <w:p w14:paraId="3822AAA5">
            <w:pPr>
              <w:snapToGrid w:val="0"/>
              <w:rPr>
                <w:rFonts w:hint="eastAsia" w:ascii="宋体" w:hAnsi="宋体"/>
                <w:sz w:val="18"/>
                <w:szCs w:val="18"/>
              </w:rPr>
            </w:pPr>
            <w:r>
              <w:rPr>
                <w:rFonts w:hint="eastAsia" w:ascii="宋体" w:hAnsi="宋体"/>
                <w:sz w:val="18"/>
                <w:szCs w:val="18"/>
              </w:rPr>
              <w:t>汇流箱和光伏单元接地网安装施工完毕。</w:t>
            </w:r>
          </w:p>
        </w:tc>
        <w:tc>
          <w:tcPr>
            <w:tcW w:w="2806" w:type="dxa"/>
            <w:vAlign w:val="center"/>
          </w:tcPr>
          <w:p w14:paraId="24F94F57">
            <w:pPr>
              <w:snapToGrid w:val="0"/>
              <w:rPr>
                <w:rFonts w:hint="eastAsia" w:ascii="宋体" w:hAnsi="宋体"/>
                <w:sz w:val="18"/>
                <w:szCs w:val="18"/>
              </w:rPr>
            </w:pPr>
            <w:r>
              <w:rPr>
                <w:rFonts w:hint="eastAsia" w:ascii="宋体" w:hAnsi="宋体"/>
                <w:sz w:val="18"/>
                <w:szCs w:val="18"/>
              </w:rPr>
              <w:t>测试光伏单元汇流箱的接地/接触电阻。</w:t>
            </w:r>
          </w:p>
        </w:tc>
        <w:tc>
          <w:tcPr>
            <w:tcW w:w="2147" w:type="dxa"/>
            <w:gridSpan w:val="3"/>
            <w:vAlign w:val="center"/>
          </w:tcPr>
          <w:p w14:paraId="0B657674">
            <w:pPr>
              <w:snapToGrid w:val="0"/>
              <w:rPr>
                <w:rFonts w:hint="eastAsia" w:ascii="宋体" w:hAnsi="宋体"/>
                <w:sz w:val="18"/>
                <w:szCs w:val="18"/>
              </w:rPr>
            </w:pPr>
            <w:r>
              <w:rPr>
                <w:rFonts w:hint="eastAsia" w:ascii="宋体" w:hAnsi="宋体"/>
                <w:sz w:val="18"/>
                <w:szCs w:val="18"/>
              </w:rPr>
              <w:t>（1）光伏汇流箱中所有可接触的裸露导电部件连接的电路电阻不应超过0.1Ω；</w:t>
            </w:r>
            <w:r>
              <w:rPr>
                <w:rFonts w:hint="eastAsia" w:ascii="宋体" w:hAnsi="宋体"/>
                <w:sz w:val="18"/>
                <w:szCs w:val="18"/>
              </w:rPr>
              <w:br w:type="textWrapping"/>
            </w:r>
            <w:r>
              <w:rPr>
                <w:rFonts w:hint="eastAsia" w:ascii="宋体" w:hAnsi="宋体"/>
                <w:sz w:val="18"/>
                <w:szCs w:val="18"/>
              </w:rPr>
              <w:t>（2）光伏汇流箱的接地电阻应不大于4欧。</w:t>
            </w:r>
          </w:p>
        </w:tc>
        <w:tc>
          <w:tcPr>
            <w:tcW w:w="1320" w:type="dxa"/>
            <w:vAlign w:val="center"/>
          </w:tcPr>
          <w:p w14:paraId="4E7DFC4F">
            <w:pPr>
              <w:snapToGrid w:val="0"/>
              <w:rPr>
                <w:rFonts w:hint="eastAsia" w:ascii="宋体" w:hAnsi="宋体"/>
                <w:sz w:val="18"/>
                <w:szCs w:val="18"/>
              </w:rPr>
            </w:pPr>
            <w:r>
              <w:rPr>
                <w:rFonts w:hint="eastAsia" w:ascii="宋体" w:hAnsi="宋体"/>
                <w:sz w:val="18"/>
                <w:szCs w:val="18"/>
              </w:rPr>
              <w:t>（1）12个月；</w:t>
            </w:r>
            <w:r>
              <w:rPr>
                <w:rFonts w:hint="eastAsia" w:ascii="宋体" w:hAnsi="宋体"/>
                <w:sz w:val="18"/>
                <w:szCs w:val="18"/>
              </w:rPr>
              <w:br w:type="textWrapping"/>
            </w:r>
            <w:r>
              <w:rPr>
                <w:rFonts w:hint="eastAsia" w:ascii="宋体" w:hAnsi="宋体"/>
                <w:sz w:val="18"/>
                <w:szCs w:val="18"/>
              </w:rPr>
              <w:t>（2）交接时；</w:t>
            </w:r>
            <w:r>
              <w:rPr>
                <w:rFonts w:hint="eastAsia" w:ascii="宋体" w:hAnsi="宋体"/>
                <w:sz w:val="18"/>
                <w:szCs w:val="18"/>
              </w:rPr>
              <w:br w:type="textWrapping"/>
            </w:r>
            <w:r>
              <w:rPr>
                <w:rFonts w:hint="eastAsia" w:ascii="宋体" w:hAnsi="宋体"/>
                <w:sz w:val="18"/>
                <w:szCs w:val="18"/>
              </w:rPr>
              <w:t>（3）汇流箱更换验收时；</w:t>
            </w:r>
            <w:r>
              <w:rPr>
                <w:rFonts w:hint="eastAsia" w:ascii="宋体" w:hAnsi="宋体"/>
                <w:sz w:val="18"/>
                <w:szCs w:val="18"/>
              </w:rPr>
              <w:br w:type="textWrapping"/>
            </w:r>
            <w:r>
              <w:rPr>
                <w:rFonts w:hint="eastAsia" w:ascii="宋体" w:hAnsi="宋体"/>
                <w:sz w:val="18"/>
                <w:szCs w:val="18"/>
              </w:rPr>
              <w:t>（4）必要时。</w:t>
            </w:r>
          </w:p>
        </w:tc>
      </w:tr>
      <w:tr w14:paraId="60672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6" w:hRule="atLeast"/>
          <w:jc w:val="center"/>
        </w:trPr>
        <w:tc>
          <w:tcPr>
            <w:tcW w:w="628" w:type="dxa"/>
            <w:vAlign w:val="center"/>
          </w:tcPr>
          <w:p w14:paraId="445E753F">
            <w:pPr>
              <w:snapToGrid w:val="0"/>
              <w:jc w:val="center"/>
              <w:rPr>
                <w:rFonts w:hint="eastAsia" w:ascii="宋体" w:hAnsi="宋体"/>
                <w:sz w:val="18"/>
                <w:szCs w:val="18"/>
              </w:rPr>
            </w:pPr>
            <w:r>
              <w:rPr>
                <w:rFonts w:hint="eastAsia" w:ascii="宋体" w:hAnsi="宋体"/>
                <w:sz w:val="18"/>
                <w:szCs w:val="18"/>
              </w:rPr>
              <w:t>7.3</w:t>
            </w:r>
          </w:p>
        </w:tc>
        <w:tc>
          <w:tcPr>
            <w:tcW w:w="803" w:type="dxa"/>
            <w:vAlign w:val="center"/>
          </w:tcPr>
          <w:p w14:paraId="76C4C534">
            <w:pPr>
              <w:snapToGrid w:val="0"/>
              <w:rPr>
                <w:rFonts w:hint="eastAsia" w:ascii="宋体" w:hAnsi="宋体"/>
                <w:sz w:val="18"/>
                <w:szCs w:val="18"/>
              </w:rPr>
            </w:pPr>
            <w:r>
              <w:rPr>
                <w:rFonts w:hint="eastAsia" w:ascii="宋体" w:hAnsi="宋体"/>
                <w:sz w:val="18"/>
                <w:szCs w:val="18"/>
              </w:rPr>
              <w:t>红外热成像测试</w:t>
            </w:r>
          </w:p>
        </w:tc>
        <w:tc>
          <w:tcPr>
            <w:tcW w:w="1656" w:type="dxa"/>
            <w:vAlign w:val="center"/>
          </w:tcPr>
          <w:p w14:paraId="75CE5B7E">
            <w:pPr>
              <w:snapToGrid w:val="0"/>
              <w:rPr>
                <w:rFonts w:hint="eastAsia" w:ascii="宋体" w:hAnsi="宋体"/>
                <w:sz w:val="18"/>
                <w:szCs w:val="18"/>
              </w:rPr>
            </w:pPr>
            <w:r>
              <w:rPr>
                <w:rFonts w:hint="eastAsia" w:ascii="宋体" w:hAnsi="宋体"/>
                <w:sz w:val="18"/>
                <w:szCs w:val="18"/>
              </w:rPr>
              <w:t>光伏单元处于正常运行状态。</w:t>
            </w:r>
          </w:p>
        </w:tc>
        <w:tc>
          <w:tcPr>
            <w:tcW w:w="2806" w:type="dxa"/>
            <w:vAlign w:val="center"/>
          </w:tcPr>
          <w:p w14:paraId="0898D781">
            <w:pPr>
              <w:snapToGrid w:val="0"/>
              <w:rPr>
                <w:rFonts w:hint="eastAsia" w:ascii="宋体" w:hAnsi="宋体"/>
                <w:sz w:val="18"/>
                <w:szCs w:val="18"/>
              </w:rPr>
            </w:pPr>
            <w:r>
              <w:rPr>
                <w:rFonts w:hint="eastAsia" w:ascii="宋体" w:hAnsi="宋体"/>
                <w:sz w:val="18"/>
                <w:szCs w:val="18"/>
              </w:rPr>
              <w:t>在光伏单元出力超过90%额定功率时，测试光伏单元汇流箱内连接端子温度分布。</w:t>
            </w:r>
          </w:p>
        </w:tc>
        <w:tc>
          <w:tcPr>
            <w:tcW w:w="2147" w:type="dxa"/>
            <w:gridSpan w:val="3"/>
            <w:vAlign w:val="center"/>
          </w:tcPr>
          <w:p w14:paraId="6A902489">
            <w:pPr>
              <w:snapToGrid w:val="0"/>
              <w:rPr>
                <w:rFonts w:hint="eastAsia" w:ascii="宋体" w:hAnsi="宋体"/>
                <w:sz w:val="18"/>
                <w:szCs w:val="18"/>
              </w:rPr>
            </w:pPr>
            <w:r>
              <w:rPr>
                <w:rFonts w:hint="eastAsia" w:ascii="宋体" w:hAnsi="宋体"/>
                <w:sz w:val="18"/>
                <w:szCs w:val="18"/>
              </w:rPr>
              <w:t>（1）一般缺陷，温差不超过15℃；</w:t>
            </w:r>
            <w:r>
              <w:rPr>
                <w:rFonts w:hint="eastAsia" w:ascii="宋体" w:hAnsi="宋体"/>
                <w:sz w:val="18"/>
                <w:szCs w:val="18"/>
              </w:rPr>
              <w:br w:type="textWrapping"/>
            </w:r>
            <w:r>
              <w:rPr>
                <w:rFonts w:hint="eastAsia" w:ascii="宋体" w:hAnsi="宋体"/>
                <w:sz w:val="18"/>
                <w:szCs w:val="18"/>
              </w:rPr>
              <w:t>（2）严重缺陷，热点温度超过50℃或相对温差不小于80%；</w:t>
            </w:r>
            <w:r>
              <w:rPr>
                <w:rFonts w:hint="eastAsia" w:ascii="宋体" w:hAnsi="宋体"/>
                <w:sz w:val="18"/>
                <w:szCs w:val="18"/>
              </w:rPr>
              <w:br w:type="textWrapping"/>
            </w:r>
            <w:r>
              <w:rPr>
                <w:rFonts w:hint="eastAsia" w:ascii="宋体" w:hAnsi="宋体"/>
                <w:sz w:val="18"/>
                <w:szCs w:val="18"/>
              </w:rPr>
              <w:t>（3）危急缺陷，热点温度超过80℃或相对温差不小于95%。</w:t>
            </w:r>
          </w:p>
        </w:tc>
        <w:tc>
          <w:tcPr>
            <w:tcW w:w="1320" w:type="dxa"/>
            <w:vAlign w:val="center"/>
          </w:tcPr>
          <w:p w14:paraId="36D69035">
            <w:pPr>
              <w:snapToGrid w:val="0"/>
              <w:rPr>
                <w:rFonts w:hint="eastAsia" w:ascii="宋体" w:hAnsi="宋体"/>
                <w:sz w:val="18"/>
                <w:szCs w:val="18"/>
              </w:rPr>
            </w:pPr>
            <w:r>
              <w:rPr>
                <w:rFonts w:hint="eastAsia" w:ascii="宋体" w:hAnsi="宋体"/>
                <w:sz w:val="18"/>
                <w:szCs w:val="18"/>
              </w:rPr>
              <w:t>（1）6个月；</w:t>
            </w:r>
            <w:r>
              <w:rPr>
                <w:rFonts w:hint="eastAsia" w:ascii="宋体" w:hAnsi="宋体"/>
                <w:sz w:val="18"/>
                <w:szCs w:val="18"/>
              </w:rPr>
              <w:br w:type="textWrapping"/>
            </w:r>
            <w:r>
              <w:rPr>
                <w:rFonts w:hint="eastAsia" w:ascii="宋体" w:hAnsi="宋体"/>
                <w:sz w:val="18"/>
                <w:szCs w:val="18"/>
              </w:rPr>
              <w:t>（2）交接时；</w:t>
            </w:r>
            <w:r>
              <w:rPr>
                <w:rFonts w:hint="eastAsia" w:ascii="宋体" w:hAnsi="宋体"/>
                <w:sz w:val="18"/>
                <w:szCs w:val="18"/>
              </w:rPr>
              <w:br w:type="textWrapping"/>
            </w:r>
            <w:r>
              <w:rPr>
                <w:rFonts w:hint="eastAsia" w:ascii="宋体" w:hAnsi="宋体"/>
                <w:sz w:val="18"/>
                <w:szCs w:val="18"/>
              </w:rPr>
              <w:t>（3）更换时；</w:t>
            </w:r>
            <w:r>
              <w:rPr>
                <w:rFonts w:hint="eastAsia" w:ascii="宋体" w:hAnsi="宋体"/>
                <w:sz w:val="18"/>
                <w:szCs w:val="18"/>
              </w:rPr>
              <w:br w:type="textWrapping"/>
            </w:r>
            <w:r>
              <w:rPr>
                <w:rFonts w:hint="eastAsia" w:ascii="宋体" w:hAnsi="宋体"/>
                <w:sz w:val="18"/>
                <w:szCs w:val="18"/>
              </w:rPr>
              <w:t>（4）检修前；</w:t>
            </w:r>
            <w:r>
              <w:rPr>
                <w:rFonts w:hint="eastAsia" w:ascii="宋体" w:hAnsi="宋体"/>
                <w:sz w:val="18"/>
                <w:szCs w:val="18"/>
              </w:rPr>
              <w:br w:type="textWrapping"/>
            </w:r>
            <w:r>
              <w:rPr>
                <w:rFonts w:hint="eastAsia" w:ascii="宋体" w:hAnsi="宋体"/>
                <w:sz w:val="18"/>
                <w:szCs w:val="18"/>
              </w:rPr>
              <w:t>（5）必要时；</w:t>
            </w:r>
            <w:r>
              <w:rPr>
                <w:rFonts w:hint="eastAsia" w:ascii="宋体" w:hAnsi="宋体"/>
                <w:sz w:val="18"/>
                <w:szCs w:val="18"/>
              </w:rPr>
              <w:br w:type="textWrapping"/>
            </w:r>
            <w:r>
              <w:rPr>
                <w:rFonts w:hint="eastAsia" w:ascii="宋体" w:hAnsi="宋体"/>
                <w:sz w:val="18"/>
                <w:szCs w:val="18"/>
              </w:rPr>
              <w:t>（6）出质保后结合状态评价时</w:t>
            </w:r>
          </w:p>
        </w:tc>
      </w:tr>
      <w:tr w14:paraId="0146B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628" w:type="dxa"/>
            <w:vAlign w:val="center"/>
          </w:tcPr>
          <w:p w14:paraId="7013E78A">
            <w:pPr>
              <w:snapToGrid w:val="0"/>
              <w:jc w:val="center"/>
              <w:rPr>
                <w:rFonts w:hint="eastAsia" w:ascii="宋体" w:hAnsi="宋体"/>
                <w:sz w:val="18"/>
                <w:szCs w:val="18"/>
              </w:rPr>
            </w:pPr>
            <w:r>
              <w:rPr>
                <w:rFonts w:hint="eastAsia" w:ascii="宋体" w:hAnsi="宋体"/>
                <w:sz w:val="18"/>
                <w:szCs w:val="18"/>
              </w:rPr>
              <w:t>8</w:t>
            </w:r>
          </w:p>
        </w:tc>
        <w:tc>
          <w:tcPr>
            <w:tcW w:w="8732" w:type="dxa"/>
            <w:gridSpan w:val="7"/>
            <w:vAlign w:val="center"/>
          </w:tcPr>
          <w:p w14:paraId="46A69FA1">
            <w:pPr>
              <w:snapToGrid w:val="0"/>
              <w:jc w:val="center"/>
              <w:rPr>
                <w:rFonts w:hint="eastAsia" w:ascii="宋体" w:hAnsi="宋体"/>
                <w:sz w:val="18"/>
                <w:szCs w:val="18"/>
              </w:rPr>
            </w:pPr>
            <w:r>
              <w:rPr>
                <w:rFonts w:hint="eastAsia" w:ascii="宋体" w:hAnsi="宋体"/>
                <w:sz w:val="18"/>
                <w:szCs w:val="18"/>
              </w:rPr>
              <w:t>交直流配电柜</w:t>
            </w:r>
          </w:p>
        </w:tc>
      </w:tr>
      <w:tr w14:paraId="04FD8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628" w:type="dxa"/>
            <w:vAlign w:val="center"/>
          </w:tcPr>
          <w:p w14:paraId="121F0E16">
            <w:pPr>
              <w:snapToGrid w:val="0"/>
              <w:jc w:val="center"/>
              <w:rPr>
                <w:rFonts w:hint="eastAsia" w:ascii="宋体" w:hAnsi="宋体"/>
                <w:sz w:val="18"/>
                <w:szCs w:val="18"/>
              </w:rPr>
            </w:pPr>
            <w:r>
              <w:rPr>
                <w:rFonts w:hint="eastAsia" w:ascii="宋体" w:hAnsi="宋体"/>
                <w:sz w:val="18"/>
                <w:szCs w:val="18"/>
              </w:rPr>
              <w:t>8.1</w:t>
            </w:r>
          </w:p>
        </w:tc>
        <w:tc>
          <w:tcPr>
            <w:tcW w:w="803" w:type="dxa"/>
            <w:vAlign w:val="center"/>
          </w:tcPr>
          <w:p w14:paraId="4C6C2534">
            <w:pPr>
              <w:snapToGrid w:val="0"/>
              <w:rPr>
                <w:rFonts w:hint="eastAsia" w:ascii="宋体" w:hAnsi="宋体"/>
                <w:sz w:val="18"/>
                <w:szCs w:val="18"/>
              </w:rPr>
            </w:pPr>
            <w:r>
              <w:rPr>
                <w:rFonts w:hint="eastAsia" w:ascii="宋体" w:hAnsi="宋体"/>
                <w:sz w:val="18"/>
                <w:szCs w:val="18"/>
              </w:rPr>
              <w:t>接地电阻测试</w:t>
            </w:r>
          </w:p>
        </w:tc>
        <w:tc>
          <w:tcPr>
            <w:tcW w:w="1656" w:type="dxa"/>
            <w:vAlign w:val="center"/>
          </w:tcPr>
          <w:p w14:paraId="6BDC1E9B">
            <w:pPr>
              <w:snapToGrid w:val="0"/>
              <w:rPr>
                <w:rFonts w:hint="eastAsia" w:ascii="宋体" w:hAnsi="宋体"/>
                <w:sz w:val="18"/>
                <w:szCs w:val="18"/>
              </w:rPr>
            </w:pPr>
            <w:r>
              <w:rPr>
                <w:rFonts w:hint="eastAsia" w:ascii="宋体" w:hAnsi="宋体"/>
                <w:sz w:val="18"/>
                <w:szCs w:val="18"/>
              </w:rPr>
              <w:t>宜在晴好天气进行。</w:t>
            </w:r>
          </w:p>
        </w:tc>
        <w:tc>
          <w:tcPr>
            <w:tcW w:w="2806" w:type="dxa"/>
            <w:tcBorders>
              <w:bottom w:val="single" w:color="auto" w:sz="4" w:space="0"/>
            </w:tcBorders>
            <w:vAlign w:val="center"/>
          </w:tcPr>
          <w:p w14:paraId="768F193D">
            <w:pPr>
              <w:snapToGrid w:val="0"/>
              <w:rPr>
                <w:rFonts w:hint="eastAsia" w:ascii="宋体" w:hAnsi="宋体"/>
                <w:sz w:val="18"/>
                <w:szCs w:val="18"/>
              </w:rPr>
            </w:pPr>
            <w:r>
              <w:rPr>
                <w:rFonts w:hint="eastAsia" w:ascii="宋体" w:hAnsi="宋体"/>
                <w:sz w:val="18"/>
                <w:szCs w:val="18"/>
              </w:rPr>
              <w:t>测试交直流配电柜不同测点对地电阻。</w:t>
            </w:r>
          </w:p>
        </w:tc>
        <w:tc>
          <w:tcPr>
            <w:tcW w:w="2147" w:type="dxa"/>
            <w:gridSpan w:val="3"/>
            <w:tcBorders>
              <w:bottom w:val="single" w:color="auto" w:sz="4" w:space="0"/>
            </w:tcBorders>
            <w:vAlign w:val="center"/>
          </w:tcPr>
          <w:p w14:paraId="6AC83FF4">
            <w:pPr>
              <w:snapToGrid w:val="0"/>
              <w:rPr>
                <w:rFonts w:hint="eastAsia" w:ascii="宋体" w:hAnsi="宋体"/>
                <w:sz w:val="18"/>
                <w:szCs w:val="18"/>
              </w:rPr>
            </w:pPr>
            <w:r>
              <w:rPr>
                <w:rFonts w:hint="eastAsia" w:ascii="宋体" w:hAnsi="宋体"/>
                <w:sz w:val="18"/>
                <w:szCs w:val="18"/>
              </w:rPr>
              <w:t>接地电阻应不大于4Ω。</w:t>
            </w:r>
          </w:p>
        </w:tc>
        <w:tc>
          <w:tcPr>
            <w:tcW w:w="1320" w:type="dxa"/>
            <w:tcBorders>
              <w:bottom w:val="single" w:color="auto" w:sz="4" w:space="0"/>
            </w:tcBorders>
            <w:vAlign w:val="center"/>
          </w:tcPr>
          <w:p w14:paraId="1F4A6B27">
            <w:pPr>
              <w:snapToGrid w:val="0"/>
              <w:rPr>
                <w:rFonts w:hint="eastAsia" w:ascii="宋体" w:hAnsi="宋体"/>
                <w:sz w:val="18"/>
                <w:szCs w:val="18"/>
              </w:rPr>
            </w:pPr>
            <w:r>
              <w:rPr>
                <w:rFonts w:hint="eastAsia" w:ascii="宋体" w:hAnsi="宋体"/>
                <w:sz w:val="18"/>
                <w:szCs w:val="18"/>
              </w:rPr>
              <w:t>（1）12个月；</w:t>
            </w:r>
            <w:r>
              <w:rPr>
                <w:rFonts w:hint="eastAsia" w:ascii="宋体" w:hAnsi="宋体"/>
                <w:sz w:val="18"/>
                <w:szCs w:val="18"/>
              </w:rPr>
              <w:br w:type="textWrapping"/>
            </w:r>
            <w:r>
              <w:rPr>
                <w:rFonts w:hint="eastAsia" w:ascii="宋体" w:hAnsi="宋体"/>
                <w:sz w:val="18"/>
                <w:szCs w:val="18"/>
              </w:rPr>
              <w:t>（2）交接时；</w:t>
            </w:r>
            <w:r>
              <w:rPr>
                <w:rFonts w:hint="eastAsia" w:ascii="宋体" w:hAnsi="宋体"/>
                <w:sz w:val="18"/>
                <w:szCs w:val="18"/>
              </w:rPr>
              <w:br w:type="textWrapping"/>
            </w:r>
            <w:r>
              <w:rPr>
                <w:rFonts w:hint="eastAsia" w:ascii="宋体" w:hAnsi="宋体"/>
                <w:sz w:val="18"/>
                <w:szCs w:val="18"/>
              </w:rPr>
              <w:t>（3）配电柜更换验收时；</w:t>
            </w:r>
            <w:r>
              <w:rPr>
                <w:rFonts w:hint="eastAsia" w:ascii="宋体" w:hAnsi="宋体"/>
                <w:sz w:val="18"/>
                <w:szCs w:val="18"/>
              </w:rPr>
              <w:br w:type="textWrapping"/>
            </w:r>
            <w:r>
              <w:rPr>
                <w:rFonts w:hint="eastAsia" w:ascii="宋体" w:hAnsi="宋体"/>
                <w:sz w:val="18"/>
                <w:szCs w:val="18"/>
              </w:rPr>
              <w:t>（4）必要时。</w:t>
            </w:r>
          </w:p>
        </w:tc>
      </w:tr>
      <w:tr w14:paraId="1CAB6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628" w:type="dxa"/>
            <w:vAlign w:val="center"/>
          </w:tcPr>
          <w:p w14:paraId="0D12DE06">
            <w:pPr>
              <w:snapToGrid w:val="0"/>
              <w:jc w:val="center"/>
              <w:rPr>
                <w:rFonts w:hint="eastAsia" w:ascii="宋体" w:hAnsi="宋体"/>
                <w:sz w:val="18"/>
                <w:szCs w:val="18"/>
              </w:rPr>
            </w:pPr>
            <w:r>
              <w:rPr>
                <w:rFonts w:hint="eastAsia" w:ascii="宋体" w:hAnsi="宋体"/>
                <w:sz w:val="18"/>
                <w:szCs w:val="18"/>
              </w:rPr>
              <w:t>8.2</w:t>
            </w:r>
          </w:p>
        </w:tc>
        <w:tc>
          <w:tcPr>
            <w:tcW w:w="803" w:type="dxa"/>
            <w:vAlign w:val="center"/>
          </w:tcPr>
          <w:p w14:paraId="27DC5131">
            <w:pPr>
              <w:snapToGrid w:val="0"/>
              <w:rPr>
                <w:rFonts w:hint="eastAsia" w:ascii="宋体" w:hAnsi="宋体"/>
                <w:sz w:val="18"/>
                <w:szCs w:val="18"/>
              </w:rPr>
            </w:pPr>
            <w:r>
              <w:rPr>
                <w:rFonts w:hint="eastAsia" w:ascii="宋体" w:hAnsi="宋体"/>
                <w:sz w:val="18"/>
                <w:szCs w:val="18"/>
              </w:rPr>
              <w:t>红外热成像测试</w:t>
            </w:r>
          </w:p>
        </w:tc>
        <w:tc>
          <w:tcPr>
            <w:tcW w:w="1656" w:type="dxa"/>
            <w:vAlign w:val="center"/>
          </w:tcPr>
          <w:p w14:paraId="4A238371">
            <w:pPr>
              <w:snapToGrid w:val="0"/>
              <w:rPr>
                <w:rFonts w:hint="eastAsia" w:ascii="宋体" w:hAnsi="宋体"/>
                <w:sz w:val="18"/>
                <w:szCs w:val="18"/>
              </w:rPr>
            </w:pPr>
            <w:r>
              <w:rPr>
                <w:rFonts w:hint="eastAsia" w:ascii="宋体" w:hAnsi="宋体"/>
                <w:sz w:val="18"/>
                <w:szCs w:val="18"/>
              </w:rPr>
              <w:t>光伏单元处于正常运行状态。</w:t>
            </w:r>
          </w:p>
        </w:tc>
        <w:tc>
          <w:tcPr>
            <w:tcW w:w="2806" w:type="dxa"/>
            <w:tcBorders>
              <w:top w:val="single" w:color="auto" w:sz="4" w:space="0"/>
            </w:tcBorders>
            <w:vAlign w:val="center"/>
          </w:tcPr>
          <w:p w14:paraId="4F765A32">
            <w:pPr>
              <w:snapToGrid w:val="0"/>
              <w:rPr>
                <w:rFonts w:hint="eastAsia" w:ascii="宋体" w:hAnsi="宋体"/>
                <w:sz w:val="18"/>
                <w:szCs w:val="18"/>
              </w:rPr>
            </w:pPr>
            <w:r>
              <w:rPr>
                <w:rFonts w:hint="eastAsia" w:ascii="宋体" w:hAnsi="宋体"/>
                <w:sz w:val="18"/>
                <w:szCs w:val="18"/>
              </w:rPr>
              <w:t>在光伏单元出力超过90%额定功率时，测试光伏单元交直流配电柜的连接端子温度分布。</w:t>
            </w:r>
          </w:p>
        </w:tc>
        <w:tc>
          <w:tcPr>
            <w:tcW w:w="2147" w:type="dxa"/>
            <w:gridSpan w:val="3"/>
            <w:tcBorders>
              <w:top w:val="single" w:color="auto" w:sz="4" w:space="0"/>
              <w:bottom w:val="single" w:color="auto" w:sz="4" w:space="0"/>
            </w:tcBorders>
            <w:vAlign w:val="center"/>
          </w:tcPr>
          <w:p w14:paraId="0A6F0955">
            <w:pPr>
              <w:snapToGrid w:val="0"/>
              <w:rPr>
                <w:rFonts w:hint="eastAsia" w:ascii="宋体" w:hAnsi="宋体"/>
                <w:sz w:val="18"/>
                <w:szCs w:val="18"/>
              </w:rPr>
            </w:pPr>
            <w:r>
              <w:rPr>
                <w:rFonts w:hint="eastAsia" w:ascii="宋体" w:hAnsi="宋体"/>
                <w:sz w:val="18"/>
                <w:szCs w:val="18"/>
              </w:rPr>
              <w:t>（1）一般缺陷，温差不超过15℃；</w:t>
            </w:r>
            <w:r>
              <w:rPr>
                <w:rFonts w:hint="eastAsia" w:ascii="宋体" w:hAnsi="宋体"/>
                <w:sz w:val="18"/>
                <w:szCs w:val="18"/>
              </w:rPr>
              <w:br w:type="textWrapping"/>
            </w:r>
            <w:r>
              <w:rPr>
                <w:rFonts w:hint="eastAsia" w:ascii="宋体" w:hAnsi="宋体"/>
                <w:sz w:val="18"/>
                <w:szCs w:val="18"/>
              </w:rPr>
              <w:t>（2）严重缺陷，热点温度超过50℃或相对温差不小于80%；</w:t>
            </w:r>
            <w:r>
              <w:rPr>
                <w:rFonts w:hint="eastAsia" w:ascii="宋体" w:hAnsi="宋体"/>
                <w:sz w:val="18"/>
                <w:szCs w:val="18"/>
              </w:rPr>
              <w:br w:type="textWrapping"/>
            </w:r>
            <w:r>
              <w:rPr>
                <w:rFonts w:hint="eastAsia" w:ascii="宋体" w:hAnsi="宋体"/>
                <w:sz w:val="18"/>
                <w:szCs w:val="18"/>
              </w:rPr>
              <w:t>（3）危急缺陷，热点温度超过80℃或相对温差不小于95%。</w:t>
            </w:r>
          </w:p>
        </w:tc>
        <w:tc>
          <w:tcPr>
            <w:tcW w:w="1320" w:type="dxa"/>
            <w:tcBorders>
              <w:top w:val="single" w:color="auto" w:sz="4" w:space="0"/>
            </w:tcBorders>
            <w:vAlign w:val="center"/>
          </w:tcPr>
          <w:p w14:paraId="60C5BB33">
            <w:pPr>
              <w:snapToGrid w:val="0"/>
              <w:rPr>
                <w:rFonts w:hint="eastAsia" w:ascii="宋体" w:hAnsi="宋体"/>
                <w:sz w:val="18"/>
                <w:szCs w:val="18"/>
              </w:rPr>
            </w:pPr>
            <w:r>
              <w:rPr>
                <w:rFonts w:hint="eastAsia" w:ascii="宋体" w:hAnsi="宋体"/>
                <w:sz w:val="18"/>
                <w:szCs w:val="18"/>
              </w:rPr>
              <w:t>（1）6个月；</w:t>
            </w:r>
            <w:r>
              <w:rPr>
                <w:rFonts w:hint="eastAsia" w:ascii="宋体" w:hAnsi="宋体"/>
                <w:sz w:val="18"/>
                <w:szCs w:val="18"/>
              </w:rPr>
              <w:br w:type="textWrapping"/>
            </w:r>
            <w:r>
              <w:rPr>
                <w:rFonts w:hint="eastAsia" w:ascii="宋体" w:hAnsi="宋体"/>
                <w:sz w:val="18"/>
                <w:szCs w:val="18"/>
              </w:rPr>
              <w:t>（2）交接时；</w:t>
            </w:r>
            <w:r>
              <w:rPr>
                <w:rFonts w:hint="eastAsia" w:ascii="宋体" w:hAnsi="宋体"/>
                <w:sz w:val="18"/>
                <w:szCs w:val="18"/>
              </w:rPr>
              <w:br w:type="textWrapping"/>
            </w:r>
            <w:r>
              <w:rPr>
                <w:rFonts w:hint="eastAsia" w:ascii="宋体" w:hAnsi="宋体"/>
                <w:sz w:val="18"/>
                <w:szCs w:val="18"/>
              </w:rPr>
              <w:t>（3）交直流配电柜更换验收时；</w:t>
            </w:r>
            <w:r>
              <w:rPr>
                <w:rFonts w:hint="eastAsia" w:ascii="宋体" w:hAnsi="宋体"/>
                <w:sz w:val="18"/>
                <w:szCs w:val="18"/>
              </w:rPr>
              <w:br w:type="textWrapping"/>
            </w:r>
            <w:r>
              <w:rPr>
                <w:rFonts w:hint="eastAsia" w:ascii="宋体" w:hAnsi="宋体"/>
                <w:sz w:val="18"/>
                <w:szCs w:val="18"/>
              </w:rPr>
              <w:t>（4）检修前；</w:t>
            </w:r>
            <w:r>
              <w:rPr>
                <w:rFonts w:hint="eastAsia" w:ascii="宋体" w:hAnsi="宋体"/>
                <w:sz w:val="18"/>
                <w:szCs w:val="18"/>
              </w:rPr>
              <w:br w:type="textWrapping"/>
            </w:r>
            <w:r>
              <w:rPr>
                <w:rFonts w:hint="eastAsia" w:ascii="宋体" w:hAnsi="宋体"/>
                <w:sz w:val="18"/>
                <w:szCs w:val="18"/>
              </w:rPr>
              <w:t>（5）必要时；</w:t>
            </w:r>
            <w:r>
              <w:rPr>
                <w:rFonts w:hint="eastAsia" w:ascii="宋体" w:hAnsi="宋体"/>
                <w:sz w:val="18"/>
                <w:szCs w:val="18"/>
              </w:rPr>
              <w:br w:type="textWrapping"/>
            </w:r>
            <w:r>
              <w:rPr>
                <w:rFonts w:hint="eastAsia" w:ascii="宋体" w:hAnsi="宋体"/>
                <w:sz w:val="18"/>
                <w:szCs w:val="18"/>
              </w:rPr>
              <w:t>（6）出质保后结合状态评价时。</w:t>
            </w:r>
          </w:p>
        </w:tc>
      </w:tr>
    </w:tbl>
    <w:p w14:paraId="7184F4A2">
      <w:pPr>
        <w:pStyle w:val="25"/>
        <w:ind w:firstLine="422"/>
        <w:jc w:val="center"/>
        <w:rPr>
          <w:b/>
          <w:bCs/>
        </w:rPr>
      </w:pPr>
      <w:r>
        <w:rPr>
          <w:b/>
          <w:bCs/>
        </w:rPr>
        <w:t>______________________</w:t>
      </w:r>
    </w:p>
    <w:sectPr>
      <w:pgSz w:w="11906" w:h="16838"/>
      <w:pgMar w:top="567" w:right="1304" w:bottom="1134" w:left="1304" w:header="1418" w:footer="1134" w:gutter="0"/>
      <w:pgNumType w:start="1"/>
      <w:cols w:space="720" w:num="1"/>
      <w:formProt w:val="0"/>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336B78">
    <w:pPr>
      <w:pStyle w:val="116"/>
    </w:pPr>
    <w:r>
      <w:fldChar w:fldCharType="begin"/>
    </w:r>
    <w:r>
      <w:instrText xml:space="preserve"> PAGE  \* MERGEFORMAT </w:instrText>
    </w:r>
    <w:r>
      <w:fldChar w:fldCharType="separate"/>
    </w:r>
    <w:r>
      <w:t>I</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5F6555">
    <w:pPr>
      <w:pStyle w:val="20"/>
      <w:jc w:val="right"/>
      <w:rPr>
        <w:rFonts w:hint="eastAsia" w:ascii="黑体" w:hAnsi="黑体" w:eastAsia="黑体"/>
        <w:sz w:val="21"/>
        <w:szCs w:val="21"/>
      </w:rPr>
    </w:pPr>
    <w:bookmarkStart w:id="229" w:name="_Hlk216430250"/>
    <w:r>
      <w:rPr>
        <w:rFonts w:ascii="黑体" w:hAnsi="黑体" w:eastAsia="黑体"/>
        <w:sz w:val="21"/>
        <w:szCs w:val="21"/>
      </w:rPr>
      <w:t>T/CERS0</w:t>
    </w:r>
    <w:r>
      <w:rPr>
        <w:rFonts w:hint="eastAsia" w:ascii="黑体" w:hAnsi="黑体" w:eastAsia="黑体"/>
        <w:sz w:val="21"/>
        <w:szCs w:val="21"/>
      </w:rPr>
      <w:t>XXX</w:t>
    </w:r>
    <w:r>
      <w:rPr>
        <w:rFonts w:ascii="黑体" w:hAnsi="黑体" w:eastAsia="黑体"/>
        <w:sz w:val="21"/>
        <w:szCs w:val="21"/>
      </w:rPr>
      <w:t>-202</w:t>
    </w:r>
    <w:bookmarkEnd w:id="229"/>
    <w:r>
      <w:rPr>
        <w:rFonts w:hint="eastAsia" w:ascii="黑体" w:hAnsi="黑体" w:eastAsia="黑体"/>
        <w:sz w:val="21"/>
        <w:szCs w:val="21"/>
      </w:rPr>
      <w:t>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30"/>
    <w:multiLevelType w:val="multilevel"/>
    <w:tmpl w:val="00000030"/>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0000052"/>
    <w:multiLevelType w:val="multilevel"/>
    <w:tmpl w:val="00000052"/>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A952887"/>
    <w:multiLevelType w:val="multilevel"/>
    <w:tmpl w:val="0A952887"/>
    <w:lvl w:ilvl="0" w:tentative="0">
      <w:start w:val="1"/>
      <w:numFmt w:val="decimal"/>
      <w:pStyle w:val="136"/>
      <w:suff w:val="nothing"/>
      <w:lvlText w:val="注%1："/>
      <w:lvlJc w:val="left"/>
      <w:pPr>
        <w:ind w:left="0" w:firstLine="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
    <w:nsid w:val="0F805D97"/>
    <w:multiLevelType w:val="multilevel"/>
    <w:tmpl w:val="0F805D97"/>
    <w:lvl w:ilvl="0" w:tentative="0">
      <w:start w:val="1"/>
      <w:numFmt w:val="none"/>
      <w:pStyle w:val="98"/>
      <w:suff w:val="nothing"/>
      <w:lvlText w:val="注%1："/>
      <w:lvlJc w:val="left"/>
      <w:pPr>
        <w:ind w:left="0" w:firstLine="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4">
    <w:nsid w:val="1FC91163"/>
    <w:multiLevelType w:val="multilevel"/>
    <w:tmpl w:val="1FC91163"/>
    <w:lvl w:ilvl="0" w:tentative="0">
      <w:start w:val="1"/>
      <w:numFmt w:val="decimal"/>
      <w:pStyle w:val="88"/>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76"/>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pStyle w:val="75"/>
      <w:suff w:val="nothing"/>
      <w:lvlText w:val="%1.%2.%3　"/>
      <w:lvlJc w:val="left"/>
      <w:pPr>
        <w:ind w:left="426" w:firstLine="0"/>
      </w:pPr>
      <w:rPr>
        <w:rFonts w:hint="eastAsia" w:ascii="黑体" w:hAnsi="Times New Roman" w:eastAsia="黑体"/>
        <w:b w:val="0"/>
        <w:i w:val="0"/>
        <w:sz w:val="21"/>
      </w:rPr>
    </w:lvl>
    <w:lvl w:ilvl="3" w:tentative="0">
      <w:start w:val="1"/>
      <w:numFmt w:val="decimal"/>
      <w:pStyle w:val="74"/>
      <w:suff w:val="nothing"/>
      <w:lvlText w:val="%1.%2.%3.%4　"/>
      <w:lvlJc w:val="left"/>
      <w:pPr>
        <w:ind w:left="0" w:firstLine="0"/>
      </w:pPr>
      <w:rPr>
        <w:rFonts w:hint="eastAsia" w:ascii="黑体" w:hAnsi="Times New Roman" w:eastAsia="黑体"/>
        <w:b w:val="0"/>
        <w:i w:val="0"/>
        <w:sz w:val="21"/>
      </w:rPr>
    </w:lvl>
    <w:lvl w:ilvl="4" w:tentative="0">
      <w:start w:val="1"/>
      <w:numFmt w:val="decimal"/>
      <w:pStyle w:val="73"/>
      <w:suff w:val="nothing"/>
      <w:lvlText w:val="%1.%2.%3.%4.%5　"/>
      <w:lvlJc w:val="left"/>
      <w:pPr>
        <w:ind w:left="0" w:firstLine="0"/>
      </w:pPr>
      <w:rPr>
        <w:rFonts w:hint="eastAsia" w:ascii="黑体" w:hAnsi="Times New Roman" w:eastAsia="黑体"/>
        <w:b w:val="0"/>
        <w:i w:val="0"/>
        <w:sz w:val="21"/>
      </w:rPr>
    </w:lvl>
    <w:lvl w:ilvl="5" w:tentative="0">
      <w:start w:val="1"/>
      <w:numFmt w:val="decimal"/>
      <w:pStyle w:val="83"/>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5">
    <w:nsid w:val="24B435DB"/>
    <w:multiLevelType w:val="multilevel"/>
    <w:tmpl w:val="24B435DB"/>
    <w:lvl w:ilvl="0" w:tentative="0">
      <w:start w:val="1"/>
      <w:numFmt w:val="lowerLetter"/>
      <w:pStyle w:val="152"/>
      <w:suff w:val="nothing"/>
      <w:lvlText w:val="%1   "/>
      <w:lvlJc w:val="left"/>
      <w:pPr>
        <w:ind w:left="544" w:hanging="181"/>
      </w:pPr>
      <w:rPr>
        <w:rFonts w:hint="eastAsia" w:ascii="宋体" w:eastAsia="宋体"/>
        <w:b w:val="0"/>
        <w:i w:val="0"/>
        <w:sz w:val="18"/>
        <w:vertAlign w:val="superscript"/>
      </w:rPr>
    </w:lvl>
    <w:lvl w:ilvl="1" w:tentative="0">
      <w:start w:val="1"/>
      <w:numFmt w:val="lowerLetter"/>
      <w:lvlText w:val="%2"/>
      <w:lvlJc w:val="left"/>
      <w:pPr>
        <w:tabs>
          <w:tab w:val="left" w:pos="57"/>
        </w:tabs>
        <w:ind w:left="363" w:hanging="363"/>
      </w:pPr>
      <w:rPr>
        <w:rFonts w:hint="eastAsia"/>
      </w:rPr>
    </w:lvl>
    <w:lvl w:ilvl="2" w:tentative="0">
      <w:start w:val="1"/>
      <w:numFmt w:val="lowerRoman"/>
      <w:lvlText w:val="%3."/>
      <w:lvlJc w:val="right"/>
      <w:pPr>
        <w:tabs>
          <w:tab w:val="left" w:pos="57"/>
        </w:tabs>
        <w:ind w:left="363" w:hanging="363"/>
      </w:pPr>
      <w:rPr>
        <w:rFonts w:hint="eastAsia"/>
      </w:rPr>
    </w:lvl>
    <w:lvl w:ilvl="3" w:tentative="0">
      <w:start w:val="1"/>
      <w:numFmt w:val="decimal"/>
      <w:lvlText w:val="%4."/>
      <w:lvlJc w:val="left"/>
      <w:pPr>
        <w:tabs>
          <w:tab w:val="left" w:pos="57"/>
        </w:tabs>
        <w:ind w:left="363" w:hanging="363"/>
      </w:pPr>
      <w:rPr>
        <w:rFonts w:hint="eastAsia"/>
      </w:rPr>
    </w:lvl>
    <w:lvl w:ilvl="4" w:tentative="0">
      <w:start w:val="1"/>
      <w:numFmt w:val="lowerLetter"/>
      <w:lvlText w:val="%5)"/>
      <w:lvlJc w:val="left"/>
      <w:pPr>
        <w:tabs>
          <w:tab w:val="left" w:pos="57"/>
        </w:tabs>
        <w:ind w:left="363" w:hanging="363"/>
      </w:pPr>
      <w:rPr>
        <w:rFonts w:hint="eastAsia"/>
      </w:rPr>
    </w:lvl>
    <w:lvl w:ilvl="5" w:tentative="0">
      <w:start w:val="1"/>
      <w:numFmt w:val="lowerRoman"/>
      <w:lvlText w:val="%6."/>
      <w:lvlJc w:val="right"/>
      <w:pPr>
        <w:tabs>
          <w:tab w:val="left" w:pos="57"/>
        </w:tabs>
        <w:ind w:left="363" w:hanging="363"/>
      </w:pPr>
      <w:rPr>
        <w:rFonts w:hint="eastAsia"/>
      </w:rPr>
    </w:lvl>
    <w:lvl w:ilvl="6" w:tentative="0">
      <w:start w:val="1"/>
      <w:numFmt w:val="decimal"/>
      <w:lvlText w:val="%7."/>
      <w:lvlJc w:val="left"/>
      <w:pPr>
        <w:tabs>
          <w:tab w:val="left" w:pos="57"/>
        </w:tabs>
        <w:ind w:left="363" w:hanging="363"/>
      </w:pPr>
      <w:rPr>
        <w:rFonts w:hint="eastAsia"/>
      </w:rPr>
    </w:lvl>
    <w:lvl w:ilvl="7" w:tentative="0">
      <w:start w:val="1"/>
      <w:numFmt w:val="lowerLetter"/>
      <w:lvlText w:val="%8)"/>
      <w:lvlJc w:val="left"/>
      <w:pPr>
        <w:tabs>
          <w:tab w:val="left" w:pos="57"/>
        </w:tabs>
        <w:ind w:left="363" w:hanging="363"/>
      </w:pPr>
      <w:rPr>
        <w:rFonts w:hint="eastAsia"/>
      </w:rPr>
    </w:lvl>
    <w:lvl w:ilvl="8" w:tentative="0">
      <w:start w:val="1"/>
      <w:numFmt w:val="lowerRoman"/>
      <w:lvlText w:val="%9."/>
      <w:lvlJc w:val="right"/>
      <w:pPr>
        <w:tabs>
          <w:tab w:val="left" w:pos="57"/>
        </w:tabs>
        <w:ind w:left="363" w:hanging="363"/>
      </w:pPr>
      <w:rPr>
        <w:rFonts w:hint="eastAsia"/>
      </w:rPr>
    </w:lvl>
  </w:abstractNum>
  <w:abstractNum w:abstractNumId="6">
    <w:nsid w:val="29707437"/>
    <w:multiLevelType w:val="multilevel"/>
    <w:tmpl w:val="29707437"/>
    <w:lvl w:ilvl="0" w:tentative="0">
      <w:start w:val="1"/>
      <w:numFmt w:val="none"/>
      <w:pStyle w:val="148"/>
      <w:suff w:val="nothing"/>
      <w:lvlText w:val="%1注："/>
      <w:lvlJc w:val="left"/>
      <w:pPr>
        <w:ind w:left="0" w:firstLine="363"/>
      </w:pPr>
      <w:rPr>
        <w:rFonts w:hint="eastAsia" w:ascii="黑体" w:eastAsia="黑体"/>
        <w:b w:val="0"/>
        <w:i w:val="0"/>
        <w:sz w:val="18"/>
        <w:szCs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7">
    <w:nsid w:val="2A8F7113"/>
    <w:multiLevelType w:val="multilevel"/>
    <w:tmpl w:val="2A8F7113"/>
    <w:lvl w:ilvl="0" w:tentative="0">
      <w:start w:val="1"/>
      <w:numFmt w:val="upperLetter"/>
      <w:pStyle w:val="112"/>
      <w:suff w:val="space"/>
      <w:lvlText w:val="%1"/>
      <w:lvlJc w:val="left"/>
      <w:pPr>
        <w:ind w:left="623" w:hanging="425"/>
      </w:pPr>
      <w:rPr>
        <w:rFonts w:hint="eastAsia"/>
      </w:rPr>
    </w:lvl>
    <w:lvl w:ilvl="1" w:tentative="0">
      <w:start w:val="1"/>
      <w:numFmt w:val="decimal"/>
      <w:pStyle w:val="92"/>
      <w:suff w:val="nothing"/>
      <w:lvlText w:val="图%1.%2　"/>
      <w:lvlJc w:val="left"/>
      <w:pPr>
        <w:ind w:left="1190" w:hanging="567"/>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8">
    <w:nsid w:val="2C5917C3"/>
    <w:multiLevelType w:val="multilevel"/>
    <w:tmpl w:val="2C5917C3"/>
    <w:lvl w:ilvl="0" w:tentative="0">
      <w:start w:val="1"/>
      <w:numFmt w:val="none"/>
      <w:pStyle w:val="95"/>
      <w:suff w:val="nothing"/>
      <w:lvlText w:val="%1——"/>
      <w:lvlJc w:val="left"/>
      <w:pPr>
        <w:ind w:left="833" w:hanging="408"/>
      </w:pPr>
      <w:rPr>
        <w:rFonts w:hint="eastAsia"/>
      </w:rPr>
    </w:lvl>
    <w:lvl w:ilvl="1" w:tentative="0">
      <w:start w:val="1"/>
      <w:numFmt w:val="bullet"/>
      <w:pStyle w:val="87"/>
      <w:lvlText w:val=""/>
      <w:lvlJc w:val="left"/>
      <w:pPr>
        <w:tabs>
          <w:tab w:val="left" w:pos="760"/>
        </w:tabs>
        <w:ind w:left="1264" w:hanging="413"/>
      </w:pPr>
      <w:rPr>
        <w:rFonts w:hint="default" w:ascii="Symbol" w:hAnsi="Symbol"/>
        <w:color w:val="auto"/>
      </w:rPr>
    </w:lvl>
    <w:lvl w:ilvl="2" w:tentative="0">
      <w:start w:val="1"/>
      <w:numFmt w:val="bullet"/>
      <w:pStyle w:val="66"/>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9">
    <w:nsid w:val="3D733618"/>
    <w:multiLevelType w:val="multilevel"/>
    <w:tmpl w:val="3D733618"/>
    <w:lvl w:ilvl="0" w:tentative="0">
      <w:start w:val="1"/>
      <w:numFmt w:val="decimal"/>
      <w:pStyle w:val="26"/>
      <w:lvlText w:val="%1)"/>
      <w:lvlJc w:val="left"/>
      <w:pPr>
        <w:tabs>
          <w:tab w:val="left" w:pos="0"/>
        </w:tabs>
        <w:ind w:left="720" w:hanging="357"/>
      </w:pPr>
      <w:rPr>
        <w:rFonts w:hint="eastAsia"/>
      </w:rPr>
    </w:lvl>
    <w:lvl w:ilvl="1" w:tentative="0">
      <w:start w:val="1"/>
      <w:numFmt w:val="lowerLetter"/>
      <w:lvlText w:val="%2)"/>
      <w:lvlJc w:val="left"/>
      <w:pPr>
        <w:tabs>
          <w:tab w:val="left" w:pos="504"/>
        </w:tabs>
        <w:ind w:left="544" w:hanging="544"/>
      </w:pPr>
      <w:rPr>
        <w:rFonts w:hint="eastAsia"/>
      </w:rPr>
    </w:lvl>
    <w:lvl w:ilvl="2" w:tentative="0">
      <w:start w:val="1"/>
      <w:numFmt w:val="lowerRoman"/>
      <w:lvlText w:val="%3."/>
      <w:lvlJc w:val="right"/>
      <w:pPr>
        <w:tabs>
          <w:tab w:val="left" w:pos="532"/>
        </w:tabs>
        <w:ind w:left="544" w:hanging="544"/>
      </w:pPr>
      <w:rPr>
        <w:rFonts w:hint="eastAsia"/>
      </w:rPr>
    </w:lvl>
    <w:lvl w:ilvl="3" w:tentative="0">
      <w:start w:val="1"/>
      <w:numFmt w:val="decimal"/>
      <w:lvlText w:val="%4."/>
      <w:lvlJc w:val="left"/>
      <w:pPr>
        <w:tabs>
          <w:tab w:val="left" w:pos="560"/>
        </w:tabs>
        <w:ind w:left="544" w:hanging="544"/>
      </w:pPr>
      <w:rPr>
        <w:rFonts w:hint="eastAsia"/>
      </w:rPr>
    </w:lvl>
    <w:lvl w:ilvl="4" w:tentative="0">
      <w:start w:val="1"/>
      <w:numFmt w:val="lowerLetter"/>
      <w:lvlText w:val="%5)"/>
      <w:lvlJc w:val="left"/>
      <w:pPr>
        <w:tabs>
          <w:tab w:val="left" w:pos="588"/>
        </w:tabs>
        <w:ind w:left="544" w:hanging="544"/>
      </w:pPr>
      <w:rPr>
        <w:rFonts w:hint="eastAsia"/>
      </w:rPr>
    </w:lvl>
    <w:lvl w:ilvl="5" w:tentative="0">
      <w:start w:val="1"/>
      <w:numFmt w:val="lowerRoman"/>
      <w:lvlText w:val="%6."/>
      <w:lvlJc w:val="right"/>
      <w:pPr>
        <w:tabs>
          <w:tab w:val="left" w:pos="616"/>
        </w:tabs>
        <w:ind w:left="544" w:hanging="544"/>
      </w:pPr>
      <w:rPr>
        <w:rFonts w:hint="eastAsia"/>
      </w:rPr>
    </w:lvl>
    <w:lvl w:ilvl="6" w:tentative="0">
      <w:start w:val="1"/>
      <w:numFmt w:val="decimal"/>
      <w:lvlText w:val="%7."/>
      <w:lvlJc w:val="left"/>
      <w:pPr>
        <w:tabs>
          <w:tab w:val="left" w:pos="644"/>
        </w:tabs>
        <w:ind w:left="544" w:hanging="544"/>
      </w:pPr>
      <w:rPr>
        <w:rFonts w:hint="eastAsia"/>
      </w:rPr>
    </w:lvl>
    <w:lvl w:ilvl="7" w:tentative="0">
      <w:start w:val="1"/>
      <w:numFmt w:val="lowerLetter"/>
      <w:lvlText w:val="%8)"/>
      <w:lvlJc w:val="left"/>
      <w:pPr>
        <w:tabs>
          <w:tab w:val="left" w:pos="672"/>
        </w:tabs>
        <w:ind w:left="544" w:hanging="544"/>
      </w:pPr>
      <w:rPr>
        <w:rFonts w:hint="eastAsia"/>
      </w:rPr>
    </w:lvl>
    <w:lvl w:ilvl="8" w:tentative="0">
      <w:start w:val="1"/>
      <w:numFmt w:val="lowerRoman"/>
      <w:lvlText w:val="%9."/>
      <w:lvlJc w:val="right"/>
      <w:pPr>
        <w:tabs>
          <w:tab w:val="left" w:pos="700"/>
        </w:tabs>
        <w:ind w:left="544" w:hanging="544"/>
      </w:pPr>
      <w:rPr>
        <w:rFonts w:hint="eastAsia"/>
      </w:rPr>
    </w:lvl>
  </w:abstractNum>
  <w:abstractNum w:abstractNumId="10">
    <w:nsid w:val="44C50F90"/>
    <w:multiLevelType w:val="multilevel"/>
    <w:tmpl w:val="44C50F90"/>
    <w:lvl w:ilvl="0" w:tentative="0">
      <w:start w:val="1"/>
      <w:numFmt w:val="lowerLetter"/>
      <w:pStyle w:val="85"/>
      <w:lvlText w:val="%1)"/>
      <w:lvlJc w:val="left"/>
      <w:pPr>
        <w:tabs>
          <w:tab w:val="left" w:pos="840"/>
        </w:tabs>
        <w:ind w:left="839" w:hanging="419"/>
      </w:pPr>
      <w:rPr>
        <w:rFonts w:hint="eastAsia" w:ascii="宋体" w:eastAsia="宋体"/>
        <w:b w:val="0"/>
        <w:i w:val="0"/>
        <w:sz w:val="21"/>
        <w:szCs w:val="21"/>
      </w:rPr>
    </w:lvl>
    <w:lvl w:ilvl="1" w:tentative="0">
      <w:start w:val="1"/>
      <w:numFmt w:val="decimal"/>
      <w:pStyle w:val="65"/>
      <w:lvlText w:val="%2)"/>
      <w:lvlJc w:val="left"/>
      <w:pPr>
        <w:tabs>
          <w:tab w:val="left" w:pos="1260"/>
        </w:tabs>
        <w:ind w:left="1259" w:hanging="419"/>
      </w:pPr>
      <w:rPr>
        <w:rFonts w:hint="eastAsia"/>
      </w:rPr>
    </w:lvl>
    <w:lvl w:ilvl="2" w:tentative="0">
      <w:start w:val="1"/>
      <w:numFmt w:val="decimal"/>
      <w:pStyle w:val="96"/>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1">
    <w:nsid w:val="520F62E9"/>
    <w:multiLevelType w:val="multilevel"/>
    <w:tmpl w:val="520F62E9"/>
    <w:lvl w:ilvl="0" w:tentative="0">
      <w:start w:val="1"/>
      <w:numFmt w:val="decimal"/>
      <w:pStyle w:val="139"/>
      <w:suff w:val="nothing"/>
      <w:lvlText w:val="图%1　"/>
      <w:lvlJc w:val="left"/>
      <w:pPr>
        <w:ind w:left="0" w:firstLine="0"/>
      </w:pPr>
      <w:rPr>
        <w:rFonts w:hint="eastAsia"/>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2">
    <w:nsid w:val="5E63562F"/>
    <w:multiLevelType w:val="multilevel"/>
    <w:tmpl w:val="5E63562F"/>
    <w:lvl w:ilvl="0" w:tentative="0">
      <w:start w:val="1"/>
      <w:numFmt w:val="decimal"/>
      <w:pStyle w:val="71"/>
      <w:suff w:val="nothing"/>
      <w:lvlText w:val="注%1："/>
      <w:lvlJc w:val="left"/>
      <w:pPr>
        <w:ind w:left="0" w:firstLine="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13">
    <w:nsid w:val="60B55DC2"/>
    <w:multiLevelType w:val="multilevel"/>
    <w:tmpl w:val="60B55DC2"/>
    <w:lvl w:ilvl="0" w:tentative="0">
      <w:start w:val="1"/>
      <w:numFmt w:val="upperLetter"/>
      <w:pStyle w:val="63"/>
      <w:lvlText w:val="%1"/>
      <w:lvlJc w:val="left"/>
      <w:pPr>
        <w:tabs>
          <w:tab w:val="left" w:pos="0"/>
        </w:tabs>
        <w:ind w:left="0" w:hanging="425"/>
      </w:pPr>
      <w:rPr>
        <w:rFonts w:hint="eastAsia"/>
      </w:rPr>
    </w:lvl>
    <w:lvl w:ilvl="1" w:tentative="0">
      <w:start w:val="1"/>
      <w:numFmt w:val="decimal"/>
      <w:pStyle w:val="84"/>
      <w:suff w:val="nothing"/>
      <w:lvlText w:val="表%1.%2　"/>
      <w:lvlJc w:val="left"/>
      <w:pPr>
        <w:ind w:left="4962" w:hanging="567"/>
      </w:pPr>
      <w:rPr>
        <w:rFonts w:hint="eastAsia"/>
        <w:sz w:val="21"/>
        <w:szCs w:val="21"/>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14">
    <w:nsid w:val="63404DBE"/>
    <w:multiLevelType w:val="multilevel"/>
    <w:tmpl w:val="63404DBE"/>
    <w:lvl w:ilvl="0" w:tentative="0">
      <w:start w:val="1"/>
      <w:numFmt w:val="none"/>
      <w:pStyle w:val="77"/>
      <w:suff w:val="nothing"/>
      <w:lvlText w:val="%1示例："/>
      <w:lvlJc w:val="left"/>
      <w:pPr>
        <w:ind w:left="0" w:firstLine="363"/>
      </w:pPr>
      <w:rPr>
        <w:rFonts w:hint="eastAsia" w:ascii="黑体" w:eastAsia="黑体"/>
        <w:b w:val="0"/>
        <w:i w:val="0"/>
        <w:sz w:val="18"/>
        <w:szCs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15">
    <w:nsid w:val="63AF7EBF"/>
    <w:multiLevelType w:val="multilevel"/>
    <w:tmpl w:val="63AF7EBF"/>
    <w:lvl w:ilvl="0" w:tentative="0">
      <w:start w:val="1"/>
      <w:numFmt w:val="decimal"/>
      <w:pStyle w:val="79"/>
      <w:suff w:val="nothing"/>
      <w:lvlText w:val="表%1　"/>
      <w:lvlJc w:val="left"/>
      <w:pPr>
        <w:ind w:left="0" w:firstLine="0"/>
      </w:pPr>
      <w:rPr>
        <w:rFonts w:hint="eastAsia"/>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6">
    <w:nsid w:val="657D3FBC"/>
    <w:multiLevelType w:val="multilevel"/>
    <w:tmpl w:val="657D3FBC"/>
    <w:lvl w:ilvl="0" w:tentative="0">
      <w:start w:val="1"/>
      <w:numFmt w:val="upperLetter"/>
      <w:pStyle w:val="137"/>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108"/>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107"/>
      <w:suff w:val="nothing"/>
      <w:lvlText w:val="%1.%2.%3　"/>
      <w:lvlJc w:val="left"/>
      <w:pPr>
        <w:ind w:left="0" w:firstLine="0"/>
      </w:pPr>
      <w:rPr>
        <w:rFonts w:hint="eastAsia" w:ascii="黑体" w:hAnsi="Times New Roman" w:eastAsia="黑体"/>
        <w:b w:val="0"/>
        <w:i w:val="0"/>
        <w:sz w:val="21"/>
      </w:rPr>
    </w:lvl>
    <w:lvl w:ilvl="3" w:tentative="0">
      <w:start w:val="1"/>
      <w:numFmt w:val="decimal"/>
      <w:pStyle w:val="81"/>
      <w:suff w:val="nothing"/>
      <w:lvlText w:val="%1.%2.%3.%4　"/>
      <w:lvlJc w:val="left"/>
      <w:pPr>
        <w:ind w:left="0" w:firstLine="0"/>
      </w:pPr>
      <w:rPr>
        <w:rFonts w:hint="eastAsia" w:ascii="黑体" w:hAnsi="Times New Roman" w:eastAsia="黑体"/>
        <w:b w:val="0"/>
        <w:i w:val="0"/>
        <w:sz w:val="21"/>
      </w:rPr>
    </w:lvl>
    <w:lvl w:ilvl="4" w:tentative="0">
      <w:start w:val="1"/>
      <w:numFmt w:val="decimal"/>
      <w:pStyle w:val="80"/>
      <w:suff w:val="nothing"/>
      <w:lvlText w:val="%1.%2.%3.%4.%5　"/>
      <w:lvlJc w:val="left"/>
      <w:pPr>
        <w:ind w:left="0" w:firstLine="0"/>
      </w:pPr>
      <w:rPr>
        <w:rFonts w:hint="eastAsia" w:ascii="黑体" w:hAnsi="Times New Roman" w:eastAsia="黑体"/>
        <w:b w:val="0"/>
        <w:i w:val="0"/>
        <w:sz w:val="21"/>
      </w:rPr>
    </w:lvl>
    <w:lvl w:ilvl="5" w:tentative="0">
      <w:start w:val="1"/>
      <w:numFmt w:val="decimal"/>
      <w:pStyle w:val="114"/>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7">
    <w:nsid w:val="6AB870ED"/>
    <w:multiLevelType w:val="multilevel"/>
    <w:tmpl w:val="6AB870ED"/>
    <w:lvl w:ilvl="0" w:tentative="0">
      <w:start w:val="1"/>
      <w:numFmt w:val="decimal"/>
      <w:pStyle w:val="89"/>
      <w:suff w:val="nothing"/>
      <w:lvlText w:val="示例%1："/>
      <w:lvlJc w:val="left"/>
      <w:pPr>
        <w:ind w:left="0" w:firstLine="363"/>
      </w:pPr>
      <w:rPr>
        <w:rFonts w:hint="eastAsia" w:ascii="黑体" w:eastAsia="黑体"/>
        <w:b w:val="0"/>
        <w:i w:val="0"/>
        <w:sz w:val="18"/>
        <w:szCs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18">
    <w:nsid w:val="6D6C07CD"/>
    <w:multiLevelType w:val="multilevel"/>
    <w:tmpl w:val="6D6C07CD"/>
    <w:lvl w:ilvl="0" w:tentative="0">
      <w:start w:val="1"/>
      <w:numFmt w:val="lowerLetter"/>
      <w:pStyle w:val="104"/>
      <w:lvlText w:val="%1)"/>
      <w:lvlJc w:val="left"/>
      <w:pPr>
        <w:tabs>
          <w:tab w:val="left" w:pos="839"/>
        </w:tabs>
        <w:ind w:left="839" w:hanging="419"/>
      </w:pPr>
      <w:rPr>
        <w:rFonts w:hint="eastAsia" w:ascii="宋体" w:eastAsia="宋体"/>
        <w:b w:val="0"/>
        <w:i w:val="0"/>
        <w:sz w:val="21"/>
      </w:rPr>
    </w:lvl>
    <w:lvl w:ilvl="1" w:tentative="0">
      <w:start w:val="1"/>
      <w:numFmt w:val="decimal"/>
      <w:pStyle w:val="121"/>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num w:numId="1">
    <w:abstractNumId w:val="9"/>
  </w:num>
  <w:num w:numId="2">
    <w:abstractNumId w:val="13"/>
  </w:num>
  <w:num w:numId="3">
    <w:abstractNumId w:val="10"/>
  </w:num>
  <w:num w:numId="4">
    <w:abstractNumId w:val="8"/>
  </w:num>
  <w:num w:numId="5">
    <w:abstractNumId w:val="12"/>
  </w:num>
  <w:num w:numId="6">
    <w:abstractNumId w:val="4"/>
  </w:num>
  <w:num w:numId="7">
    <w:abstractNumId w:val="14"/>
  </w:num>
  <w:num w:numId="8">
    <w:abstractNumId w:val="15"/>
  </w:num>
  <w:num w:numId="9">
    <w:abstractNumId w:val="16"/>
  </w:num>
  <w:num w:numId="10">
    <w:abstractNumId w:val="17"/>
  </w:num>
  <w:num w:numId="11">
    <w:abstractNumId w:val="7"/>
  </w:num>
  <w:num w:numId="12">
    <w:abstractNumId w:val="3"/>
  </w:num>
  <w:num w:numId="13">
    <w:abstractNumId w:val="18"/>
  </w:num>
  <w:num w:numId="14">
    <w:abstractNumId w:val="2"/>
  </w:num>
  <w:num w:numId="15">
    <w:abstractNumId w:val="11"/>
  </w:num>
  <w:num w:numId="16">
    <w:abstractNumId w:val="6"/>
  </w:num>
  <w:num w:numId="17">
    <w:abstractNumId w:val="5"/>
  </w:num>
  <w:num w:numId="18">
    <w:abstractNumId w:val="1"/>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925"/>
    <w:rsid w:val="00000244"/>
    <w:rsid w:val="00000BB3"/>
    <w:rsid w:val="0000185F"/>
    <w:rsid w:val="00004B91"/>
    <w:rsid w:val="00004E32"/>
    <w:rsid w:val="0000586F"/>
    <w:rsid w:val="00007DD4"/>
    <w:rsid w:val="00012A52"/>
    <w:rsid w:val="00013D86"/>
    <w:rsid w:val="00013E02"/>
    <w:rsid w:val="0002143C"/>
    <w:rsid w:val="00022D22"/>
    <w:rsid w:val="00025A65"/>
    <w:rsid w:val="00026C31"/>
    <w:rsid w:val="00027280"/>
    <w:rsid w:val="000320A7"/>
    <w:rsid w:val="000325EA"/>
    <w:rsid w:val="00035925"/>
    <w:rsid w:val="00036C2C"/>
    <w:rsid w:val="000441FE"/>
    <w:rsid w:val="00044CEF"/>
    <w:rsid w:val="00045A7C"/>
    <w:rsid w:val="00055371"/>
    <w:rsid w:val="00056A24"/>
    <w:rsid w:val="00057CE5"/>
    <w:rsid w:val="000607A3"/>
    <w:rsid w:val="000657F7"/>
    <w:rsid w:val="00067CDF"/>
    <w:rsid w:val="00074809"/>
    <w:rsid w:val="00074FBE"/>
    <w:rsid w:val="0007762A"/>
    <w:rsid w:val="0008150F"/>
    <w:rsid w:val="00081615"/>
    <w:rsid w:val="00081F6E"/>
    <w:rsid w:val="00083A09"/>
    <w:rsid w:val="000847D3"/>
    <w:rsid w:val="00084A2F"/>
    <w:rsid w:val="0009005E"/>
    <w:rsid w:val="000918A9"/>
    <w:rsid w:val="00092001"/>
    <w:rsid w:val="00092618"/>
    <w:rsid w:val="00092857"/>
    <w:rsid w:val="00092BD8"/>
    <w:rsid w:val="000964C7"/>
    <w:rsid w:val="000979D9"/>
    <w:rsid w:val="000A20A9"/>
    <w:rsid w:val="000A48B1"/>
    <w:rsid w:val="000B10D7"/>
    <w:rsid w:val="000B2DB4"/>
    <w:rsid w:val="000B2F0E"/>
    <w:rsid w:val="000B3143"/>
    <w:rsid w:val="000B405D"/>
    <w:rsid w:val="000B6017"/>
    <w:rsid w:val="000B78E9"/>
    <w:rsid w:val="000B7C39"/>
    <w:rsid w:val="000C2BE6"/>
    <w:rsid w:val="000C6523"/>
    <w:rsid w:val="000C6B05"/>
    <w:rsid w:val="000C6DD6"/>
    <w:rsid w:val="000C7117"/>
    <w:rsid w:val="000C73D4"/>
    <w:rsid w:val="000D317E"/>
    <w:rsid w:val="000D3D4C"/>
    <w:rsid w:val="000D4243"/>
    <w:rsid w:val="000D4F51"/>
    <w:rsid w:val="000D718B"/>
    <w:rsid w:val="000E0C46"/>
    <w:rsid w:val="000E136F"/>
    <w:rsid w:val="000E15EE"/>
    <w:rsid w:val="000E2963"/>
    <w:rsid w:val="000E2EE9"/>
    <w:rsid w:val="000E3147"/>
    <w:rsid w:val="000E7B1E"/>
    <w:rsid w:val="000F030C"/>
    <w:rsid w:val="000F129C"/>
    <w:rsid w:val="000F174F"/>
    <w:rsid w:val="00102615"/>
    <w:rsid w:val="00104E29"/>
    <w:rsid w:val="001056DE"/>
    <w:rsid w:val="00110BBE"/>
    <w:rsid w:val="001124C0"/>
    <w:rsid w:val="001141AB"/>
    <w:rsid w:val="00114CE0"/>
    <w:rsid w:val="00115123"/>
    <w:rsid w:val="00117A25"/>
    <w:rsid w:val="00120BDD"/>
    <w:rsid w:val="00121293"/>
    <w:rsid w:val="00123B29"/>
    <w:rsid w:val="0012650E"/>
    <w:rsid w:val="0013175F"/>
    <w:rsid w:val="0013364D"/>
    <w:rsid w:val="001343BB"/>
    <w:rsid w:val="0013788E"/>
    <w:rsid w:val="00142063"/>
    <w:rsid w:val="00147A6A"/>
    <w:rsid w:val="001512B4"/>
    <w:rsid w:val="001529DC"/>
    <w:rsid w:val="00153A26"/>
    <w:rsid w:val="001620A5"/>
    <w:rsid w:val="00164E53"/>
    <w:rsid w:val="00165D35"/>
    <w:rsid w:val="0016699D"/>
    <w:rsid w:val="001670D9"/>
    <w:rsid w:val="001707FA"/>
    <w:rsid w:val="00175159"/>
    <w:rsid w:val="00175AD7"/>
    <w:rsid w:val="00176208"/>
    <w:rsid w:val="0017780C"/>
    <w:rsid w:val="001813B2"/>
    <w:rsid w:val="0018211B"/>
    <w:rsid w:val="00183FE1"/>
    <w:rsid w:val="001840D3"/>
    <w:rsid w:val="00184782"/>
    <w:rsid w:val="00185229"/>
    <w:rsid w:val="00187A8A"/>
    <w:rsid w:val="001900F8"/>
    <w:rsid w:val="00190E17"/>
    <w:rsid w:val="00191258"/>
    <w:rsid w:val="001921E4"/>
    <w:rsid w:val="00192680"/>
    <w:rsid w:val="00192C37"/>
    <w:rsid w:val="00193037"/>
    <w:rsid w:val="00193375"/>
    <w:rsid w:val="00193A2C"/>
    <w:rsid w:val="001A0B37"/>
    <w:rsid w:val="001A288E"/>
    <w:rsid w:val="001A5D3E"/>
    <w:rsid w:val="001B351C"/>
    <w:rsid w:val="001B36ED"/>
    <w:rsid w:val="001B6DC2"/>
    <w:rsid w:val="001B754B"/>
    <w:rsid w:val="001C149C"/>
    <w:rsid w:val="001C21AC"/>
    <w:rsid w:val="001C3689"/>
    <w:rsid w:val="001C47BA"/>
    <w:rsid w:val="001C59EA"/>
    <w:rsid w:val="001C5BC4"/>
    <w:rsid w:val="001D11E5"/>
    <w:rsid w:val="001D3556"/>
    <w:rsid w:val="001D406C"/>
    <w:rsid w:val="001D41EE"/>
    <w:rsid w:val="001D4A3F"/>
    <w:rsid w:val="001D4BEB"/>
    <w:rsid w:val="001D4CC6"/>
    <w:rsid w:val="001D5362"/>
    <w:rsid w:val="001D68A4"/>
    <w:rsid w:val="001D71E6"/>
    <w:rsid w:val="001E0380"/>
    <w:rsid w:val="001E0B1B"/>
    <w:rsid w:val="001E13B1"/>
    <w:rsid w:val="001E2153"/>
    <w:rsid w:val="001E50D4"/>
    <w:rsid w:val="001E75EF"/>
    <w:rsid w:val="001F1B4B"/>
    <w:rsid w:val="001F3A19"/>
    <w:rsid w:val="001F7D3A"/>
    <w:rsid w:val="002009E4"/>
    <w:rsid w:val="00201053"/>
    <w:rsid w:val="0020251B"/>
    <w:rsid w:val="00202FDC"/>
    <w:rsid w:val="002073D3"/>
    <w:rsid w:val="00210B72"/>
    <w:rsid w:val="00215D48"/>
    <w:rsid w:val="0021624B"/>
    <w:rsid w:val="0022185E"/>
    <w:rsid w:val="00223BC3"/>
    <w:rsid w:val="002267B9"/>
    <w:rsid w:val="00227FED"/>
    <w:rsid w:val="0023030A"/>
    <w:rsid w:val="00230E0D"/>
    <w:rsid w:val="00230F08"/>
    <w:rsid w:val="002321CC"/>
    <w:rsid w:val="00234467"/>
    <w:rsid w:val="00235BE6"/>
    <w:rsid w:val="00237D8D"/>
    <w:rsid w:val="00241DA2"/>
    <w:rsid w:val="00247FEE"/>
    <w:rsid w:val="00250E7D"/>
    <w:rsid w:val="002523DB"/>
    <w:rsid w:val="0025247F"/>
    <w:rsid w:val="002527DD"/>
    <w:rsid w:val="00252DAA"/>
    <w:rsid w:val="00255F2C"/>
    <w:rsid w:val="002565D5"/>
    <w:rsid w:val="00260B27"/>
    <w:rsid w:val="002622C0"/>
    <w:rsid w:val="0027299F"/>
    <w:rsid w:val="002778AE"/>
    <w:rsid w:val="0028269A"/>
    <w:rsid w:val="00283590"/>
    <w:rsid w:val="002860C3"/>
    <w:rsid w:val="00286973"/>
    <w:rsid w:val="00287674"/>
    <w:rsid w:val="00291EC8"/>
    <w:rsid w:val="002938A4"/>
    <w:rsid w:val="00294E70"/>
    <w:rsid w:val="002954B8"/>
    <w:rsid w:val="002967B2"/>
    <w:rsid w:val="002A1924"/>
    <w:rsid w:val="002A2FEC"/>
    <w:rsid w:val="002A7420"/>
    <w:rsid w:val="002A7A7E"/>
    <w:rsid w:val="002B0F12"/>
    <w:rsid w:val="002B1308"/>
    <w:rsid w:val="002B4554"/>
    <w:rsid w:val="002B707C"/>
    <w:rsid w:val="002C265E"/>
    <w:rsid w:val="002C72D8"/>
    <w:rsid w:val="002D11FA"/>
    <w:rsid w:val="002D17BC"/>
    <w:rsid w:val="002D19A4"/>
    <w:rsid w:val="002D6352"/>
    <w:rsid w:val="002E0241"/>
    <w:rsid w:val="002E0DDF"/>
    <w:rsid w:val="002E2906"/>
    <w:rsid w:val="002E5635"/>
    <w:rsid w:val="002E64C3"/>
    <w:rsid w:val="002E697C"/>
    <w:rsid w:val="002E6A2C"/>
    <w:rsid w:val="002F035E"/>
    <w:rsid w:val="002F0FE8"/>
    <w:rsid w:val="002F1D8C"/>
    <w:rsid w:val="002F21DA"/>
    <w:rsid w:val="002F34B8"/>
    <w:rsid w:val="002F4EC7"/>
    <w:rsid w:val="002F62B3"/>
    <w:rsid w:val="002F7170"/>
    <w:rsid w:val="00301F39"/>
    <w:rsid w:val="00303D27"/>
    <w:rsid w:val="00305BEE"/>
    <w:rsid w:val="00306B1A"/>
    <w:rsid w:val="003071D8"/>
    <w:rsid w:val="00313962"/>
    <w:rsid w:val="00314219"/>
    <w:rsid w:val="003147E7"/>
    <w:rsid w:val="00315958"/>
    <w:rsid w:val="003234E0"/>
    <w:rsid w:val="00325926"/>
    <w:rsid w:val="00326881"/>
    <w:rsid w:val="00327929"/>
    <w:rsid w:val="00327A8A"/>
    <w:rsid w:val="00327B91"/>
    <w:rsid w:val="00330BD1"/>
    <w:rsid w:val="003339A3"/>
    <w:rsid w:val="00336610"/>
    <w:rsid w:val="00341F5C"/>
    <w:rsid w:val="00343D23"/>
    <w:rsid w:val="00343F73"/>
    <w:rsid w:val="00345060"/>
    <w:rsid w:val="003451FB"/>
    <w:rsid w:val="0034605A"/>
    <w:rsid w:val="00346F9E"/>
    <w:rsid w:val="003475E6"/>
    <w:rsid w:val="00347677"/>
    <w:rsid w:val="003477B7"/>
    <w:rsid w:val="00352629"/>
    <w:rsid w:val="0035323B"/>
    <w:rsid w:val="00353D19"/>
    <w:rsid w:val="003553BA"/>
    <w:rsid w:val="0035619D"/>
    <w:rsid w:val="0035785A"/>
    <w:rsid w:val="003609D2"/>
    <w:rsid w:val="00363F22"/>
    <w:rsid w:val="00364940"/>
    <w:rsid w:val="003653B9"/>
    <w:rsid w:val="003751C2"/>
    <w:rsid w:val="00375564"/>
    <w:rsid w:val="00376489"/>
    <w:rsid w:val="00383191"/>
    <w:rsid w:val="003857EA"/>
    <w:rsid w:val="003859F1"/>
    <w:rsid w:val="00386DED"/>
    <w:rsid w:val="003912E7"/>
    <w:rsid w:val="00393947"/>
    <w:rsid w:val="00395141"/>
    <w:rsid w:val="003A0E27"/>
    <w:rsid w:val="003A2275"/>
    <w:rsid w:val="003A6A4F"/>
    <w:rsid w:val="003A7088"/>
    <w:rsid w:val="003A70F0"/>
    <w:rsid w:val="003A7F88"/>
    <w:rsid w:val="003B00DF"/>
    <w:rsid w:val="003B1275"/>
    <w:rsid w:val="003B1778"/>
    <w:rsid w:val="003C11CB"/>
    <w:rsid w:val="003C3017"/>
    <w:rsid w:val="003C45D6"/>
    <w:rsid w:val="003C6A77"/>
    <w:rsid w:val="003C75F3"/>
    <w:rsid w:val="003C78A3"/>
    <w:rsid w:val="003D36AB"/>
    <w:rsid w:val="003D4FBE"/>
    <w:rsid w:val="003E1333"/>
    <w:rsid w:val="003E1867"/>
    <w:rsid w:val="003E5729"/>
    <w:rsid w:val="003E724E"/>
    <w:rsid w:val="003E7F4C"/>
    <w:rsid w:val="003F1D40"/>
    <w:rsid w:val="003F22BB"/>
    <w:rsid w:val="003F2A5B"/>
    <w:rsid w:val="003F339C"/>
    <w:rsid w:val="003F4EE0"/>
    <w:rsid w:val="003F5559"/>
    <w:rsid w:val="00400473"/>
    <w:rsid w:val="00402153"/>
    <w:rsid w:val="00402E26"/>
    <w:rsid w:val="00402FC1"/>
    <w:rsid w:val="00406BFE"/>
    <w:rsid w:val="004072F7"/>
    <w:rsid w:val="00410EBF"/>
    <w:rsid w:val="0041248F"/>
    <w:rsid w:val="004168E2"/>
    <w:rsid w:val="004200D9"/>
    <w:rsid w:val="00425082"/>
    <w:rsid w:val="004276ED"/>
    <w:rsid w:val="00431DEB"/>
    <w:rsid w:val="00433203"/>
    <w:rsid w:val="004339BC"/>
    <w:rsid w:val="00434C93"/>
    <w:rsid w:val="00437BCE"/>
    <w:rsid w:val="0044259D"/>
    <w:rsid w:val="004439D9"/>
    <w:rsid w:val="0044638E"/>
    <w:rsid w:val="00446B29"/>
    <w:rsid w:val="004524BE"/>
    <w:rsid w:val="00453F9A"/>
    <w:rsid w:val="00453F9E"/>
    <w:rsid w:val="00454CC3"/>
    <w:rsid w:val="00456890"/>
    <w:rsid w:val="00460E43"/>
    <w:rsid w:val="0046438F"/>
    <w:rsid w:val="00464903"/>
    <w:rsid w:val="00471E91"/>
    <w:rsid w:val="00474079"/>
    <w:rsid w:val="00474675"/>
    <w:rsid w:val="0047470C"/>
    <w:rsid w:val="00481736"/>
    <w:rsid w:val="00483C82"/>
    <w:rsid w:val="00484C88"/>
    <w:rsid w:val="00484FD0"/>
    <w:rsid w:val="0048619D"/>
    <w:rsid w:val="004952F0"/>
    <w:rsid w:val="00497587"/>
    <w:rsid w:val="004A203E"/>
    <w:rsid w:val="004A35F9"/>
    <w:rsid w:val="004A4662"/>
    <w:rsid w:val="004A620C"/>
    <w:rsid w:val="004A7E02"/>
    <w:rsid w:val="004B157A"/>
    <w:rsid w:val="004B24C1"/>
    <w:rsid w:val="004B2F94"/>
    <w:rsid w:val="004B3092"/>
    <w:rsid w:val="004B49B1"/>
    <w:rsid w:val="004B557C"/>
    <w:rsid w:val="004B6599"/>
    <w:rsid w:val="004C292F"/>
    <w:rsid w:val="004C2C9A"/>
    <w:rsid w:val="004C657F"/>
    <w:rsid w:val="004D306F"/>
    <w:rsid w:val="004D4B02"/>
    <w:rsid w:val="004D4F76"/>
    <w:rsid w:val="004E1715"/>
    <w:rsid w:val="004E4B13"/>
    <w:rsid w:val="004E4B8C"/>
    <w:rsid w:val="004E5A47"/>
    <w:rsid w:val="00502893"/>
    <w:rsid w:val="005036E2"/>
    <w:rsid w:val="00510280"/>
    <w:rsid w:val="00510415"/>
    <w:rsid w:val="00511179"/>
    <w:rsid w:val="00511A68"/>
    <w:rsid w:val="005126AD"/>
    <w:rsid w:val="00513D73"/>
    <w:rsid w:val="005148B3"/>
    <w:rsid w:val="00514A43"/>
    <w:rsid w:val="00514DAD"/>
    <w:rsid w:val="00515E9C"/>
    <w:rsid w:val="005174E5"/>
    <w:rsid w:val="00520898"/>
    <w:rsid w:val="00520DDA"/>
    <w:rsid w:val="00522393"/>
    <w:rsid w:val="00522620"/>
    <w:rsid w:val="00525656"/>
    <w:rsid w:val="00525BF3"/>
    <w:rsid w:val="00531A72"/>
    <w:rsid w:val="00534C02"/>
    <w:rsid w:val="00535037"/>
    <w:rsid w:val="0053652B"/>
    <w:rsid w:val="0054044C"/>
    <w:rsid w:val="0054264B"/>
    <w:rsid w:val="00543786"/>
    <w:rsid w:val="00545A49"/>
    <w:rsid w:val="005463CC"/>
    <w:rsid w:val="00546D0D"/>
    <w:rsid w:val="0055153A"/>
    <w:rsid w:val="00552228"/>
    <w:rsid w:val="005522F8"/>
    <w:rsid w:val="005533D7"/>
    <w:rsid w:val="00554B63"/>
    <w:rsid w:val="005565C7"/>
    <w:rsid w:val="00562549"/>
    <w:rsid w:val="00562CF6"/>
    <w:rsid w:val="005635C6"/>
    <w:rsid w:val="0056544B"/>
    <w:rsid w:val="00567177"/>
    <w:rsid w:val="005676C7"/>
    <w:rsid w:val="005703DE"/>
    <w:rsid w:val="005710BC"/>
    <w:rsid w:val="005755F1"/>
    <w:rsid w:val="00582BBE"/>
    <w:rsid w:val="0058464E"/>
    <w:rsid w:val="0058650E"/>
    <w:rsid w:val="00591439"/>
    <w:rsid w:val="005A01CB"/>
    <w:rsid w:val="005A19A9"/>
    <w:rsid w:val="005A58FF"/>
    <w:rsid w:val="005A5EAF"/>
    <w:rsid w:val="005A6491"/>
    <w:rsid w:val="005A64C0"/>
    <w:rsid w:val="005A6DB2"/>
    <w:rsid w:val="005B1985"/>
    <w:rsid w:val="005B3C11"/>
    <w:rsid w:val="005C1C28"/>
    <w:rsid w:val="005C43D0"/>
    <w:rsid w:val="005C525C"/>
    <w:rsid w:val="005C6DB5"/>
    <w:rsid w:val="005D184A"/>
    <w:rsid w:val="005D3842"/>
    <w:rsid w:val="005D480A"/>
    <w:rsid w:val="005E14CD"/>
    <w:rsid w:val="005E19E7"/>
    <w:rsid w:val="005E2392"/>
    <w:rsid w:val="005E2FA3"/>
    <w:rsid w:val="005E4E1B"/>
    <w:rsid w:val="005E78A1"/>
    <w:rsid w:val="005E79D5"/>
    <w:rsid w:val="00600867"/>
    <w:rsid w:val="00601343"/>
    <w:rsid w:val="00601622"/>
    <w:rsid w:val="0060789B"/>
    <w:rsid w:val="0061037E"/>
    <w:rsid w:val="00610764"/>
    <w:rsid w:val="00613F8D"/>
    <w:rsid w:val="00613FAA"/>
    <w:rsid w:val="00616C36"/>
    <w:rsid w:val="006170C2"/>
    <w:rsid w:val="0061716C"/>
    <w:rsid w:val="006171AF"/>
    <w:rsid w:val="00617868"/>
    <w:rsid w:val="0062417C"/>
    <w:rsid w:val="006243A1"/>
    <w:rsid w:val="00626005"/>
    <w:rsid w:val="00632E56"/>
    <w:rsid w:val="00633420"/>
    <w:rsid w:val="00635CBA"/>
    <w:rsid w:val="0063603D"/>
    <w:rsid w:val="0063635B"/>
    <w:rsid w:val="00636EFC"/>
    <w:rsid w:val="00636F16"/>
    <w:rsid w:val="00637F96"/>
    <w:rsid w:val="00642DFC"/>
    <w:rsid w:val="0064338B"/>
    <w:rsid w:val="00643F77"/>
    <w:rsid w:val="00646542"/>
    <w:rsid w:val="006478AC"/>
    <w:rsid w:val="006504F4"/>
    <w:rsid w:val="0065366F"/>
    <w:rsid w:val="00654BC9"/>
    <w:rsid w:val="00654CCB"/>
    <w:rsid w:val="006552FD"/>
    <w:rsid w:val="00656F0B"/>
    <w:rsid w:val="00660000"/>
    <w:rsid w:val="00660E0B"/>
    <w:rsid w:val="00663733"/>
    <w:rsid w:val="00663AF3"/>
    <w:rsid w:val="0066406E"/>
    <w:rsid w:val="00666B6C"/>
    <w:rsid w:val="00677B54"/>
    <w:rsid w:val="00682682"/>
    <w:rsid w:val="00682702"/>
    <w:rsid w:val="006854A6"/>
    <w:rsid w:val="00692368"/>
    <w:rsid w:val="00695192"/>
    <w:rsid w:val="006A2EBC"/>
    <w:rsid w:val="006A5EA0"/>
    <w:rsid w:val="006A75D0"/>
    <w:rsid w:val="006A783B"/>
    <w:rsid w:val="006A7B33"/>
    <w:rsid w:val="006B497F"/>
    <w:rsid w:val="006B4E13"/>
    <w:rsid w:val="006B54F0"/>
    <w:rsid w:val="006B75DD"/>
    <w:rsid w:val="006B7D56"/>
    <w:rsid w:val="006C047C"/>
    <w:rsid w:val="006C3D8B"/>
    <w:rsid w:val="006C48F8"/>
    <w:rsid w:val="006C6756"/>
    <w:rsid w:val="006C67E0"/>
    <w:rsid w:val="006C7ABA"/>
    <w:rsid w:val="006D0A13"/>
    <w:rsid w:val="006D0D60"/>
    <w:rsid w:val="006D1122"/>
    <w:rsid w:val="006D1F1F"/>
    <w:rsid w:val="006D2333"/>
    <w:rsid w:val="006D317E"/>
    <w:rsid w:val="006D3B1E"/>
    <w:rsid w:val="006D3C00"/>
    <w:rsid w:val="006E06AD"/>
    <w:rsid w:val="006E12BC"/>
    <w:rsid w:val="006E1C26"/>
    <w:rsid w:val="006E3675"/>
    <w:rsid w:val="006E4A7F"/>
    <w:rsid w:val="006F0967"/>
    <w:rsid w:val="006F2274"/>
    <w:rsid w:val="006F412F"/>
    <w:rsid w:val="006F5E13"/>
    <w:rsid w:val="006F64A0"/>
    <w:rsid w:val="0070038F"/>
    <w:rsid w:val="007027B1"/>
    <w:rsid w:val="0070286C"/>
    <w:rsid w:val="00704DF6"/>
    <w:rsid w:val="0070641D"/>
    <w:rsid w:val="0070651C"/>
    <w:rsid w:val="007132A3"/>
    <w:rsid w:val="00716421"/>
    <w:rsid w:val="0071673B"/>
    <w:rsid w:val="00721104"/>
    <w:rsid w:val="00721419"/>
    <w:rsid w:val="0072205E"/>
    <w:rsid w:val="00724EFB"/>
    <w:rsid w:val="00725108"/>
    <w:rsid w:val="00726575"/>
    <w:rsid w:val="00730310"/>
    <w:rsid w:val="00736336"/>
    <w:rsid w:val="00740A49"/>
    <w:rsid w:val="007419C3"/>
    <w:rsid w:val="00746559"/>
    <w:rsid w:val="007467A7"/>
    <w:rsid w:val="007469DD"/>
    <w:rsid w:val="0074741B"/>
    <w:rsid w:val="0074759E"/>
    <w:rsid w:val="007478EA"/>
    <w:rsid w:val="0075415C"/>
    <w:rsid w:val="00754912"/>
    <w:rsid w:val="00757097"/>
    <w:rsid w:val="007606CB"/>
    <w:rsid w:val="007612E3"/>
    <w:rsid w:val="00761E8B"/>
    <w:rsid w:val="00763502"/>
    <w:rsid w:val="007748B4"/>
    <w:rsid w:val="00774973"/>
    <w:rsid w:val="007807AA"/>
    <w:rsid w:val="00780DE2"/>
    <w:rsid w:val="007839B3"/>
    <w:rsid w:val="007913AB"/>
    <w:rsid w:val="007914F7"/>
    <w:rsid w:val="00792404"/>
    <w:rsid w:val="00792FED"/>
    <w:rsid w:val="00795C73"/>
    <w:rsid w:val="007A1A1E"/>
    <w:rsid w:val="007A4809"/>
    <w:rsid w:val="007A4BAF"/>
    <w:rsid w:val="007A736A"/>
    <w:rsid w:val="007B1625"/>
    <w:rsid w:val="007B47DF"/>
    <w:rsid w:val="007B706E"/>
    <w:rsid w:val="007B71EB"/>
    <w:rsid w:val="007C0748"/>
    <w:rsid w:val="007C0DB5"/>
    <w:rsid w:val="007C6205"/>
    <w:rsid w:val="007C686A"/>
    <w:rsid w:val="007C728E"/>
    <w:rsid w:val="007D0BE0"/>
    <w:rsid w:val="007D204F"/>
    <w:rsid w:val="007D2C53"/>
    <w:rsid w:val="007D3D60"/>
    <w:rsid w:val="007E1638"/>
    <w:rsid w:val="007E1980"/>
    <w:rsid w:val="007E3CBA"/>
    <w:rsid w:val="007E433E"/>
    <w:rsid w:val="007E4A1B"/>
    <w:rsid w:val="007E4B76"/>
    <w:rsid w:val="007E5043"/>
    <w:rsid w:val="007E5EA8"/>
    <w:rsid w:val="007E7E6F"/>
    <w:rsid w:val="007F0CF1"/>
    <w:rsid w:val="007F12A5"/>
    <w:rsid w:val="007F2D74"/>
    <w:rsid w:val="007F3FB7"/>
    <w:rsid w:val="007F4CF1"/>
    <w:rsid w:val="007F758D"/>
    <w:rsid w:val="007F7D52"/>
    <w:rsid w:val="0080484A"/>
    <w:rsid w:val="00805589"/>
    <w:rsid w:val="008057A5"/>
    <w:rsid w:val="00805E2F"/>
    <w:rsid w:val="0080654C"/>
    <w:rsid w:val="008071C6"/>
    <w:rsid w:val="00807605"/>
    <w:rsid w:val="00807AFE"/>
    <w:rsid w:val="00817A00"/>
    <w:rsid w:val="00820B95"/>
    <w:rsid w:val="008230DE"/>
    <w:rsid w:val="00825891"/>
    <w:rsid w:val="00831631"/>
    <w:rsid w:val="0083228D"/>
    <w:rsid w:val="00833223"/>
    <w:rsid w:val="00833D07"/>
    <w:rsid w:val="00835DB3"/>
    <w:rsid w:val="0083617B"/>
    <w:rsid w:val="00836342"/>
    <w:rsid w:val="00836A2D"/>
    <w:rsid w:val="008371BD"/>
    <w:rsid w:val="00840EBF"/>
    <w:rsid w:val="00841349"/>
    <w:rsid w:val="008504A8"/>
    <w:rsid w:val="00851B58"/>
    <w:rsid w:val="0085282E"/>
    <w:rsid w:val="00865BC9"/>
    <w:rsid w:val="0087198C"/>
    <w:rsid w:val="00872C1F"/>
    <w:rsid w:val="00873B42"/>
    <w:rsid w:val="00877CB0"/>
    <w:rsid w:val="008805AC"/>
    <w:rsid w:val="00880D1A"/>
    <w:rsid w:val="008835DF"/>
    <w:rsid w:val="00884468"/>
    <w:rsid w:val="008856D8"/>
    <w:rsid w:val="00890EAC"/>
    <w:rsid w:val="00892BB2"/>
    <w:rsid w:val="00892E82"/>
    <w:rsid w:val="00893277"/>
    <w:rsid w:val="00893530"/>
    <w:rsid w:val="00894C3D"/>
    <w:rsid w:val="00895FA9"/>
    <w:rsid w:val="008A1035"/>
    <w:rsid w:val="008A143C"/>
    <w:rsid w:val="008A5408"/>
    <w:rsid w:val="008A58BC"/>
    <w:rsid w:val="008A6E08"/>
    <w:rsid w:val="008A70F4"/>
    <w:rsid w:val="008A78FA"/>
    <w:rsid w:val="008A7DBE"/>
    <w:rsid w:val="008C0BE9"/>
    <w:rsid w:val="008C1B58"/>
    <w:rsid w:val="008C39AE"/>
    <w:rsid w:val="008C40DF"/>
    <w:rsid w:val="008C590D"/>
    <w:rsid w:val="008C70A9"/>
    <w:rsid w:val="008D0B5E"/>
    <w:rsid w:val="008D447E"/>
    <w:rsid w:val="008D7566"/>
    <w:rsid w:val="008E031B"/>
    <w:rsid w:val="008E0560"/>
    <w:rsid w:val="008E2D8C"/>
    <w:rsid w:val="008E7029"/>
    <w:rsid w:val="008E7EF6"/>
    <w:rsid w:val="008F1F98"/>
    <w:rsid w:val="008F2340"/>
    <w:rsid w:val="008F2790"/>
    <w:rsid w:val="008F2BB6"/>
    <w:rsid w:val="008F41E5"/>
    <w:rsid w:val="008F54A5"/>
    <w:rsid w:val="008F6758"/>
    <w:rsid w:val="00901D76"/>
    <w:rsid w:val="009040DD"/>
    <w:rsid w:val="00905B47"/>
    <w:rsid w:val="0090690F"/>
    <w:rsid w:val="0091002D"/>
    <w:rsid w:val="00911391"/>
    <w:rsid w:val="0091331C"/>
    <w:rsid w:val="009137BD"/>
    <w:rsid w:val="0091503D"/>
    <w:rsid w:val="0091673A"/>
    <w:rsid w:val="0092491A"/>
    <w:rsid w:val="00925823"/>
    <w:rsid w:val="009279DE"/>
    <w:rsid w:val="00927AB9"/>
    <w:rsid w:val="00927B37"/>
    <w:rsid w:val="00930116"/>
    <w:rsid w:val="00930625"/>
    <w:rsid w:val="00941082"/>
    <w:rsid w:val="0094212C"/>
    <w:rsid w:val="00944853"/>
    <w:rsid w:val="00944EFF"/>
    <w:rsid w:val="00945036"/>
    <w:rsid w:val="0094609D"/>
    <w:rsid w:val="009471F5"/>
    <w:rsid w:val="00950BB5"/>
    <w:rsid w:val="0095378C"/>
    <w:rsid w:val="00954689"/>
    <w:rsid w:val="0095472A"/>
    <w:rsid w:val="0096085A"/>
    <w:rsid w:val="009611B1"/>
    <w:rsid w:val="009617C9"/>
    <w:rsid w:val="00961C93"/>
    <w:rsid w:val="00962B4E"/>
    <w:rsid w:val="00965324"/>
    <w:rsid w:val="0097091E"/>
    <w:rsid w:val="009760D3"/>
    <w:rsid w:val="00977132"/>
    <w:rsid w:val="00981A4B"/>
    <w:rsid w:val="00982250"/>
    <w:rsid w:val="00982501"/>
    <w:rsid w:val="00983D33"/>
    <w:rsid w:val="00984358"/>
    <w:rsid w:val="00985DCA"/>
    <w:rsid w:val="009877D3"/>
    <w:rsid w:val="00990B87"/>
    <w:rsid w:val="00994E8F"/>
    <w:rsid w:val="009951DC"/>
    <w:rsid w:val="009959BB"/>
    <w:rsid w:val="00997158"/>
    <w:rsid w:val="009A0827"/>
    <w:rsid w:val="009A3A7C"/>
    <w:rsid w:val="009A5983"/>
    <w:rsid w:val="009A5D33"/>
    <w:rsid w:val="009A7D84"/>
    <w:rsid w:val="009A7ED8"/>
    <w:rsid w:val="009B2323"/>
    <w:rsid w:val="009B2ADB"/>
    <w:rsid w:val="009B3740"/>
    <w:rsid w:val="009B603A"/>
    <w:rsid w:val="009B78A0"/>
    <w:rsid w:val="009C0B6F"/>
    <w:rsid w:val="009C1D72"/>
    <w:rsid w:val="009C1ED2"/>
    <w:rsid w:val="009C2D0E"/>
    <w:rsid w:val="009C3DAC"/>
    <w:rsid w:val="009C42E0"/>
    <w:rsid w:val="009D3230"/>
    <w:rsid w:val="009D5362"/>
    <w:rsid w:val="009E1415"/>
    <w:rsid w:val="009E143A"/>
    <w:rsid w:val="009E6116"/>
    <w:rsid w:val="009E7E25"/>
    <w:rsid w:val="009F0C66"/>
    <w:rsid w:val="009F6B88"/>
    <w:rsid w:val="00A02E43"/>
    <w:rsid w:val="00A05368"/>
    <w:rsid w:val="00A06418"/>
    <w:rsid w:val="00A065F9"/>
    <w:rsid w:val="00A07011"/>
    <w:rsid w:val="00A070BF"/>
    <w:rsid w:val="00A07F34"/>
    <w:rsid w:val="00A12465"/>
    <w:rsid w:val="00A13C86"/>
    <w:rsid w:val="00A15F89"/>
    <w:rsid w:val="00A22154"/>
    <w:rsid w:val="00A24058"/>
    <w:rsid w:val="00A25C38"/>
    <w:rsid w:val="00A26735"/>
    <w:rsid w:val="00A310BC"/>
    <w:rsid w:val="00A35824"/>
    <w:rsid w:val="00A36929"/>
    <w:rsid w:val="00A36BBE"/>
    <w:rsid w:val="00A37C20"/>
    <w:rsid w:val="00A40D9E"/>
    <w:rsid w:val="00A41DF7"/>
    <w:rsid w:val="00A420B1"/>
    <w:rsid w:val="00A42571"/>
    <w:rsid w:val="00A42ECA"/>
    <w:rsid w:val="00A4307A"/>
    <w:rsid w:val="00A44ACC"/>
    <w:rsid w:val="00A44EBB"/>
    <w:rsid w:val="00A46DEF"/>
    <w:rsid w:val="00A47EBB"/>
    <w:rsid w:val="00A51CDD"/>
    <w:rsid w:val="00A5598E"/>
    <w:rsid w:val="00A563F8"/>
    <w:rsid w:val="00A5666A"/>
    <w:rsid w:val="00A56BBA"/>
    <w:rsid w:val="00A60766"/>
    <w:rsid w:val="00A6730D"/>
    <w:rsid w:val="00A71625"/>
    <w:rsid w:val="00A71B9B"/>
    <w:rsid w:val="00A7347E"/>
    <w:rsid w:val="00A751C7"/>
    <w:rsid w:val="00A77942"/>
    <w:rsid w:val="00A80008"/>
    <w:rsid w:val="00A83DFC"/>
    <w:rsid w:val="00A84CE5"/>
    <w:rsid w:val="00A86B33"/>
    <w:rsid w:val="00A87844"/>
    <w:rsid w:val="00A9227B"/>
    <w:rsid w:val="00A97A55"/>
    <w:rsid w:val="00AA038C"/>
    <w:rsid w:val="00AA0D50"/>
    <w:rsid w:val="00AA3FD1"/>
    <w:rsid w:val="00AA415B"/>
    <w:rsid w:val="00AA7A09"/>
    <w:rsid w:val="00AB3B50"/>
    <w:rsid w:val="00AC05B1"/>
    <w:rsid w:val="00AC1309"/>
    <w:rsid w:val="00AC450C"/>
    <w:rsid w:val="00AD0A52"/>
    <w:rsid w:val="00AD0ED0"/>
    <w:rsid w:val="00AD1943"/>
    <w:rsid w:val="00AD340B"/>
    <w:rsid w:val="00AD356C"/>
    <w:rsid w:val="00AD552B"/>
    <w:rsid w:val="00AD5AD2"/>
    <w:rsid w:val="00AD603C"/>
    <w:rsid w:val="00AD75B7"/>
    <w:rsid w:val="00AE2914"/>
    <w:rsid w:val="00AE6D15"/>
    <w:rsid w:val="00AE7023"/>
    <w:rsid w:val="00AE78AA"/>
    <w:rsid w:val="00AF0EF3"/>
    <w:rsid w:val="00AF137B"/>
    <w:rsid w:val="00AF1986"/>
    <w:rsid w:val="00AF1F49"/>
    <w:rsid w:val="00AF2D81"/>
    <w:rsid w:val="00B00440"/>
    <w:rsid w:val="00B04182"/>
    <w:rsid w:val="00B057D9"/>
    <w:rsid w:val="00B05ECF"/>
    <w:rsid w:val="00B07AE3"/>
    <w:rsid w:val="00B1061C"/>
    <w:rsid w:val="00B11430"/>
    <w:rsid w:val="00B12A5D"/>
    <w:rsid w:val="00B14764"/>
    <w:rsid w:val="00B16DCD"/>
    <w:rsid w:val="00B242F4"/>
    <w:rsid w:val="00B2458F"/>
    <w:rsid w:val="00B2477A"/>
    <w:rsid w:val="00B24D1C"/>
    <w:rsid w:val="00B2605D"/>
    <w:rsid w:val="00B30072"/>
    <w:rsid w:val="00B30481"/>
    <w:rsid w:val="00B32165"/>
    <w:rsid w:val="00B3312F"/>
    <w:rsid w:val="00B353EB"/>
    <w:rsid w:val="00B36A50"/>
    <w:rsid w:val="00B4016F"/>
    <w:rsid w:val="00B407AC"/>
    <w:rsid w:val="00B41056"/>
    <w:rsid w:val="00B439C4"/>
    <w:rsid w:val="00B4535E"/>
    <w:rsid w:val="00B52A8C"/>
    <w:rsid w:val="00B54707"/>
    <w:rsid w:val="00B56155"/>
    <w:rsid w:val="00B62F11"/>
    <w:rsid w:val="00B63042"/>
    <w:rsid w:val="00B636A8"/>
    <w:rsid w:val="00B642E8"/>
    <w:rsid w:val="00B665C6"/>
    <w:rsid w:val="00B72AD8"/>
    <w:rsid w:val="00B74441"/>
    <w:rsid w:val="00B7490C"/>
    <w:rsid w:val="00B758A5"/>
    <w:rsid w:val="00B805AF"/>
    <w:rsid w:val="00B8261F"/>
    <w:rsid w:val="00B82BD5"/>
    <w:rsid w:val="00B842C2"/>
    <w:rsid w:val="00B869EC"/>
    <w:rsid w:val="00B92383"/>
    <w:rsid w:val="00B9397A"/>
    <w:rsid w:val="00B9633D"/>
    <w:rsid w:val="00B967D5"/>
    <w:rsid w:val="00BA2EBE"/>
    <w:rsid w:val="00BB0F28"/>
    <w:rsid w:val="00BB458A"/>
    <w:rsid w:val="00BB693F"/>
    <w:rsid w:val="00BB6C11"/>
    <w:rsid w:val="00BC0A3B"/>
    <w:rsid w:val="00BC5953"/>
    <w:rsid w:val="00BD00D3"/>
    <w:rsid w:val="00BD0AA0"/>
    <w:rsid w:val="00BD1659"/>
    <w:rsid w:val="00BD3AA9"/>
    <w:rsid w:val="00BD4A18"/>
    <w:rsid w:val="00BD553B"/>
    <w:rsid w:val="00BD6894"/>
    <w:rsid w:val="00BD6DB2"/>
    <w:rsid w:val="00BD73A1"/>
    <w:rsid w:val="00BE11CF"/>
    <w:rsid w:val="00BE21AB"/>
    <w:rsid w:val="00BE4015"/>
    <w:rsid w:val="00BE4121"/>
    <w:rsid w:val="00BE55CB"/>
    <w:rsid w:val="00BE7067"/>
    <w:rsid w:val="00BF1A37"/>
    <w:rsid w:val="00BF3BB2"/>
    <w:rsid w:val="00BF617A"/>
    <w:rsid w:val="00BF7475"/>
    <w:rsid w:val="00C0379D"/>
    <w:rsid w:val="00C03931"/>
    <w:rsid w:val="00C05FE3"/>
    <w:rsid w:val="00C07110"/>
    <w:rsid w:val="00C07441"/>
    <w:rsid w:val="00C11DA9"/>
    <w:rsid w:val="00C17A1F"/>
    <w:rsid w:val="00C2136D"/>
    <w:rsid w:val="00C214EE"/>
    <w:rsid w:val="00C2314B"/>
    <w:rsid w:val="00C244A0"/>
    <w:rsid w:val="00C24971"/>
    <w:rsid w:val="00C25355"/>
    <w:rsid w:val="00C2615A"/>
    <w:rsid w:val="00C26BE5"/>
    <w:rsid w:val="00C26E4D"/>
    <w:rsid w:val="00C27909"/>
    <w:rsid w:val="00C27B03"/>
    <w:rsid w:val="00C3143E"/>
    <w:rsid w:val="00C314E1"/>
    <w:rsid w:val="00C31538"/>
    <w:rsid w:val="00C34397"/>
    <w:rsid w:val="00C3441C"/>
    <w:rsid w:val="00C34947"/>
    <w:rsid w:val="00C40503"/>
    <w:rsid w:val="00C4095D"/>
    <w:rsid w:val="00C515BA"/>
    <w:rsid w:val="00C56E00"/>
    <w:rsid w:val="00C57A9C"/>
    <w:rsid w:val="00C601D2"/>
    <w:rsid w:val="00C62450"/>
    <w:rsid w:val="00C62520"/>
    <w:rsid w:val="00C65BCC"/>
    <w:rsid w:val="00C66970"/>
    <w:rsid w:val="00C71F4D"/>
    <w:rsid w:val="00C73C78"/>
    <w:rsid w:val="00C8691C"/>
    <w:rsid w:val="00C86CB4"/>
    <w:rsid w:val="00C9218E"/>
    <w:rsid w:val="00C952BC"/>
    <w:rsid w:val="00C96295"/>
    <w:rsid w:val="00C96364"/>
    <w:rsid w:val="00CA03DF"/>
    <w:rsid w:val="00CA168A"/>
    <w:rsid w:val="00CA2016"/>
    <w:rsid w:val="00CA2097"/>
    <w:rsid w:val="00CA357E"/>
    <w:rsid w:val="00CA402A"/>
    <w:rsid w:val="00CA44F9"/>
    <w:rsid w:val="00CA4A69"/>
    <w:rsid w:val="00CB54CC"/>
    <w:rsid w:val="00CB722E"/>
    <w:rsid w:val="00CB7FF9"/>
    <w:rsid w:val="00CC2634"/>
    <w:rsid w:val="00CC3E0C"/>
    <w:rsid w:val="00CC44A7"/>
    <w:rsid w:val="00CC58D3"/>
    <w:rsid w:val="00CC784D"/>
    <w:rsid w:val="00CD4375"/>
    <w:rsid w:val="00CD43DB"/>
    <w:rsid w:val="00CD7BA5"/>
    <w:rsid w:val="00CE41EB"/>
    <w:rsid w:val="00CE52C7"/>
    <w:rsid w:val="00CE617C"/>
    <w:rsid w:val="00CF1E15"/>
    <w:rsid w:val="00D00A8D"/>
    <w:rsid w:val="00D01DCF"/>
    <w:rsid w:val="00D03268"/>
    <w:rsid w:val="00D0337B"/>
    <w:rsid w:val="00D03D65"/>
    <w:rsid w:val="00D060AF"/>
    <w:rsid w:val="00D06184"/>
    <w:rsid w:val="00D07777"/>
    <w:rsid w:val="00D079B2"/>
    <w:rsid w:val="00D10BC6"/>
    <w:rsid w:val="00D114E9"/>
    <w:rsid w:val="00D13537"/>
    <w:rsid w:val="00D16F84"/>
    <w:rsid w:val="00D17CD8"/>
    <w:rsid w:val="00D24E87"/>
    <w:rsid w:val="00D2527C"/>
    <w:rsid w:val="00D313B3"/>
    <w:rsid w:val="00D33E63"/>
    <w:rsid w:val="00D34C1D"/>
    <w:rsid w:val="00D35B8E"/>
    <w:rsid w:val="00D40F07"/>
    <w:rsid w:val="00D4132E"/>
    <w:rsid w:val="00D41F71"/>
    <w:rsid w:val="00D429C6"/>
    <w:rsid w:val="00D47748"/>
    <w:rsid w:val="00D47C0F"/>
    <w:rsid w:val="00D510E2"/>
    <w:rsid w:val="00D5178F"/>
    <w:rsid w:val="00D518DF"/>
    <w:rsid w:val="00D52E56"/>
    <w:rsid w:val="00D52E8E"/>
    <w:rsid w:val="00D54CC3"/>
    <w:rsid w:val="00D6041A"/>
    <w:rsid w:val="00D61258"/>
    <w:rsid w:val="00D61808"/>
    <w:rsid w:val="00D633EB"/>
    <w:rsid w:val="00D646AB"/>
    <w:rsid w:val="00D71CA9"/>
    <w:rsid w:val="00D71F38"/>
    <w:rsid w:val="00D736AC"/>
    <w:rsid w:val="00D747AA"/>
    <w:rsid w:val="00D75A7E"/>
    <w:rsid w:val="00D77E13"/>
    <w:rsid w:val="00D82FF7"/>
    <w:rsid w:val="00D83646"/>
    <w:rsid w:val="00D84271"/>
    <w:rsid w:val="00D847FE"/>
    <w:rsid w:val="00D86B9C"/>
    <w:rsid w:val="00D900CD"/>
    <w:rsid w:val="00D90A39"/>
    <w:rsid w:val="00D9308E"/>
    <w:rsid w:val="00D946F5"/>
    <w:rsid w:val="00D964EA"/>
    <w:rsid w:val="00D966D0"/>
    <w:rsid w:val="00DA0359"/>
    <w:rsid w:val="00DA0C59"/>
    <w:rsid w:val="00DA176C"/>
    <w:rsid w:val="00DA3991"/>
    <w:rsid w:val="00DA72A1"/>
    <w:rsid w:val="00DA7F95"/>
    <w:rsid w:val="00DB01F1"/>
    <w:rsid w:val="00DB3222"/>
    <w:rsid w:val="00DB4BB6"/>
    <w:rsid w:val="00DB7E6C"/>
    <w:rsid w:val="00DC4F68"/>
    <w:rsid w:val="00DC64B0"/>
    <w:rsid w:val="00DC6B1E"/>
    <w:rsid w:val="00DD252A"/>
    <w:rsid w:val="00DD2BCA"/>
    <w:rsid w:val="00DD5949"/>
    <w:rsid w:val="00DD5A29"/>
    <w:rsid w:val="00DD5D9D"/>
    <w:rsid w:val="00DE00E5"/>
    <w:rsid w:val="00DE35CB"/>
    <w:rsid w:val="00DF0EF0"/>
    <w:rsid w:val="00DF21E9"/>
    <w:rsid w:val="00DF22C7"/>
    <w:rsid w:val="00DF5588"/>
    <w:rsid w:val="00DF5CC9"/>
    <w:rsid w:val="00E005D3"/>
    <w:rsid w:val="00E00F14"/>
    <w:rsid w:val="00E011F3"/>
    <w:rsid w:val="00E01CB8"/>
    <w:rsid w:val="00E06386"/>
    <w:rsid w:val="00E075C5"/>
    <w:rsid w:val="00E1051A"/>
    <w:rsid w:val="00E111F3"/>
    <w:rsid w:val="00E11668"/>
    <w:rsid w:val="00E118E7"/>
    <w:rsid w:val="00E122B7"/>
    <w:rsid w:val="00E21B55"/>
    <w:rsid w:val="00E221D3"/>
    <w:rsid w:val="00E24EB4"/>
    <w:rsid w:val="00E30635"/>
    <w:rsid w:val="00E320ED"/>
    <w:rsid w:val="00E33AFB"/>
    <w:rsid w:val="00E34218"/>
    <w:rsid w:val="00E40FC3"/>
    <w:rsid w:val="00E42AFB"/>
    <w:rsid w:val="00E446B5"/>
    <w:rsid w:val="00E4535C"/>
    <w:rsid w:val="00E4555B"/>
    <w:rsid w:val="00E46282"/>
    <w:rsid w:val="00E5216E"/>
    <w:rsid w:val="00E5529C"/>
    <w:rsid w:val="00E5682C"/>
    <w:rsid w:val="00E64365"/>
    <w:rsid w:val="00E657C6"/>
    <w:rsid w:val="00E6716B"/>
    <w:rsid w:val="00E709B9"/>
    <w:rsid w:val="00E74300"/>
    <w:rsid w:val="00E74A07"/>
    <w:rsid w:val="00E75D40"/>
    <w:rsid w:val="00E81965"/>
    <w:rsid w:val="00E81A88"/>
    <w:rsid w:val="00E82344"/>
    <w:rsid w:val="00E84C82"/>
    <w:rsid w:val="00E84D64"/>
    <w:rsid w:val="00E87408"/>
    <w:rsid w:val="00E914C4"/>
    <w:rsid w:val="00E934F5"/>
    <w:rsid w:val="00E96961"/>
    <w:rsid w:val="00EA0ADE"/>
    <w:rsid w:val="00EA2323"/>
    <w:rsid w:val="00EA4A49"/>
    <w:rsid w:val="00EA52DA"/>
    <w:rsid w:val="00EA72EC"/>
    <w:rsid w:val="00EB11CB"/>
    <w:rsid w:val="00EB1C71"/>
    <w:rsid w:val="00EB275A"/>
    <w:rsid w:val="00EB57CA"/>
    <w:rsid w:val="00EB786A"/>
    <w:rsid w:val="00EC1578"/>
    <w:rsid w:val="00EC1BFC"/>
    <w:rsid w:val="00EC1C72"/>
    <w:rsid w:val="00EC26CC"/>
    <w:rsid w:val="00EC3356"/>
    <w:rsid w:val="00EC3CC9"/>
    <w:rsid w:val="00EC5D85"/>
    <w:rsid w:val="00EC680A"/>
    <w:rsid w:val="00ED511C"/>
    <w:rsid w:val="00ED7229"/>
    <w:rsid w:val="00EE25CB"/>
    <w:rsid w:val="00EE2BED"/>
    <w:rsid w:val="00EE374B"/>
    <w:rsid w:val="00EE4A87"/>
    <w:rsid w:val="00EE7B84"/>
    <w:rsid w:val="00EF2869"/>
    <w:rsid w:val="00EF49F5"/>
    <w:rsid w:val="00F00179"/>
    <w:rsid w:val="00F00DC5"/>
    <w:rsid w:val="00F05D60"/>
    <w:rsid w:val="00F07224"/>
    <w:rsid w:val="00F07FD3"/>
    <w:rsid w:val="00F11BB5"/>
    <w:rsid w:val="00F1296C"/>
    <w:rsid w:val="00F1417B"/>
    <w:rsid w:val="00F1712D"/>
    <w:rsid w:val="00F17A17"/>
    <w:rsid w:val="00F208A0"/>
    <w:rsid w:val="00F2115E"/>
    <w:rsid w:val="00F21DE0"/>
    <w:rsid w:val="00F27B3D"/>
    <w:rsid w:val="00F30ABD"/>
    <w:rsid w:val="00F319FD"/>
    <w:rsid w:val="00F34B99"/>
    <w:rsid w:val="00F40B02"/>
    <w:rsid w:val="00F41E81"/>
    <w:rsid w:val="00F509CA"/>
    <w:rsid w:val="00F51720"/>
    <w:rsid w:val="00F51CF2"/>
    <w:rsid w:val="00F52DAB"/>
    <w:rsid w:val="00F543F0"/>
    <w:rsid w:val="00F55549"/>
    <w:rsid w:val="00F55E3E"/>
    <w:rsid w:val="00F5605B"/>
    <w:rsid w:val="00F564F0"/>
    <w:rsid w:val="00F57076"/>
    <w:rsid w:val="00F57601"/>
    <w:rsid w:val="00F57CC7"/>
    <w:rsid w:val="00F60B1F"/>
    <w:rsid w:val="00F668BC"/>
    <w:rsid w:val="00F6748B"/>
    <w:rsid w:val="00F73F99"/>
    <w:rsid w:val="00F75F80"/>
    <w:rsid w:val="00F77862"/>
    <w:rsid w:val="00F81D29"/>
    <w:rsid w:val="00F85A35"/>
    <w:rsid w:val="00F90BE5"/>
    <w:rsid w:val="00F90C22"/>
    <w:rsid w:val="00F91C4D"/>
    <w:rsid w:val="00F92FD9"/>
    <w:rsid w:val="00F94482"/>
    <w:rsid w:val="00F973F2"/>
    <w:rsid w:val="00FA37B1"/>
    <w:rsid w:val="00FA3E0B"/>
    <w:rsid w:val="00FA5EF7"/>
    <w:rsid w:val="00FA6684"/>
    <w:rsid w:val="00FA731E"/>
    <w:rsid w:val="00FA7BD0"/>
    <w:rsid w:val="00FB0A7B"/>
    <w:rsid w:val="00FB1DCF"/>
    <w:rsid w:val="00FB2B38"/>
    <w:rsid w:val="00FB61CE"/>
    <w:rsid w:val="00FB7A07"/>
    <w:rsid w:val="00FC04CC"/>
    <w:rsid w:val="00FC2066"/>
    <w:rsid w:val="00FC6358"/>
    <w:rsid w:val="00FD1381"/>
    <w:rsid w:val="00FD320D"/>
    <w:rsid w:val="00FD3D7A"/>
    <w:rsid w:val="00FE1B98"/>
    <w:rsid w:val="00FE23DE"/>
    <w:rsid w:val="00FE7E9C"/>
    <w:rsid w:val="00FF1801"/>
    <w:rsid w:val="00FF6842"/>
    <w:rsid w:val="083133C3"/>
    <w:rsid w:val="15BA716E"/>
    <w:rsid w:val="16C11714"/>
    <w:rsid w:val="20C83604"/>
    <w:rsid w:val="227B501B"/>
    <w:rsid w:val="2EBC2F48"/>
    <w:rsid w:val="320B2387"/>
    <w:rsid w:val="355D3221"/>
    <w:rsid w:val="40383522"/>
    <w:rsid w:val="42301066"/>
    <w:rsid w:val="5170679C"/>
    <w:rsid w:val="559D32A3"/>
    <w:rsid w:val="57BD68AC"/>
    <w:rsid w:val="5B2F752E"/>
    <w:rsid w:val="626A2B12"/>
    <w:rsid w:val="62951F19"/>
    <w:rsid w:val="6AB81F45"/>
    <w:rsid w:val="6AE5722B"/>
    <w:rsid w:val="6F8C0B8C"/>
    <w:rsid w:val="72DC1610"/>
    <w:rsid w:val="72FC3333"/>
    <w:rsid w:val="74203EE1"/>
    <w:rsid w:val="7C5461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uiPriority="0" w:name="Normal Indent"/>
    <w:lsdException w:qFormat="1" w:unhideWhenUsed="0" w:uiPriority="0" w:semiHidden="0" w:name="footnote text"/>
    <w:lsdException w:qFormat="1"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iPriority="0" w:name="table of figures"/>
    <w:lsdException w:uiPriority="0" w:name="envelope address"/>
    <w:lsdException w:uiPriority="0" w:name="envelope return"/>
    <w:lsdException w:qFormat="1" w:unhideWhenUsed="0" w:uiPriority="0" w:name="footnote reference"/>
    <w:lsdException w:qFormat="1" w:uiPriority="0" w:semiHidden="0" w:name="annotation reference"/>
    <w:lsdException w:uiPriority="0" w:name="line number"/>
    <w:lsdException w:qFormat="1" w:unhideWhenUsed="0" w:uiPriority="0" w:semiHidden="0" w:name="page number"/>
    <w:lsdException w:qFormat="1" w:unhideWhenUsed="0" w:uiPriority="0" w:name="endnote reference"/>
    <w:lsdException w:qFormat="1" w:unhideWhenUsed="0"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49"/>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61"/>
    <w:qFormat/>
    <w:uiPriority w:val="0"/>
    <w:pPr>
      <w:keepNext/>
      <w:keepLines/>
      <w:spacing w:before="260" w:after="260" w:line="416" w:lineRule="auto"/>
      <w:outlineLvl w:val="1"/>
    </w:pPr>
    <w:rPr>
      <w:rFonts w:ascii="等线 Light" w:hAnsi="等线 Light" w:eastAsia="等线 Light"/>
      <w:b/>
      <w:bCs/>
      <w:sz w:val="32"/>
      <w:szCs w:val="32"/>
    </w:rPr>
  </w:style>
  <w:style w:type="paragraph" w:styleId="4">
    <w:name w:val="heading 4"/>
    <w:basedOn w:val="1"/>
    <w:next w:val="1"/>
    <w:link w:val="50"/>
    <w:qFormat/>
    <w:uiPriority w:val="0"/>
    <w:pPr>
      <w:keepNext/>
      <w:keepLines/>
      <w:spacing w:before="280" w:after="290" w:line="376" w:lineRule="auto"/>
      <w:outlineLvl w:val="3"/>
    </w:pPr>
    <w:rPr>
      <w:rFonts w:ascii="等线 Light" w:hAnsi="等线 Light" w:eastAsia="等线 Light"/>
      <w:b/>
      <w:bCs/>
      <w:sz w:val="28"/>
      <w:szCs w:val="28"/>
    </w:rPr>
  </w:style>
  <w:style w:type="character" w:default="1" w:styleId="37">
    <w:name w:val="Default Paragraph Font"/>
    <w:semiHidden/>
    <w:unhideWhenUsed/>
    <w:uiPriority w:val="1"/>
  </w:style>
  <w:style w:type="table" w:default="1" w:styleId="35">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semiHidden/>
    <w:qFormat/>
    <w:uiPriority w:val="0"/>
    <w:pPr>
      <w:tabs>
        <w:tab w:val="right" w:leader="dot" w:pos="9241"/>
      </w:tabs>
      <w:ind w:firstLine="505" w:firstLineChars="500"/>
      <w:jc w:val="left"/>
    </w:pPr>
    <w:rPr>
      <w:rFonts w:ascii="宋体"/>
      <w:szCs w:val="21"/>
    </w:rPr>
  </w:style>
  <w:style w:type="paragraph" w:styleId="6">
    <w:name w:val="index 8"/>
    <w:basedOn w:val="1"/>
    <w:next w:val="1"/>
    <w:qFormat/>
    <w:uiPriority w:val="0"/>
    <w:pPr>
      <w:ind w:left="1680" w:hanging="210"/>
      <w:jc w:val="left"/>
    </w:pPr>
    <w:rPr>
      <w:sz w:val="20"/>
      <w:szCs w:val="20"/>
    </w:rPr>
  </w:style>
  <w:style w:type="paragraph" w:styleId="7">
    <w:name w:val="caption"/>
    <w:basedOn w:val="1"/>
    <w:next w:val="1"/>
    <w:qFormat/>
    <w:uiPriority w:val="0"/>
    <w:pPr>
      <w:spacing w:before="152" w:after="160"/>
    </w:pPr>
    <w:rPr>
      <w:rFonts w:ascii="Arial" w:hAnsi="Arial" w:eastAsia="黑体" w:cs="Arial"/>
      <w:sz w:val="20"/>
      <w:szCs w:val="20"/>
    </w:rPr>
  </w:style>
  <w:style w:type="paragraph" w:styleId="8">
    <w:name w:val="index 5"/>
    <w:basedOn w:val="1"/>
    <w:next w:val="1"/>
    <w:qFormat/>
    <w:uiPriority w:val="0"/>
    <w:pPr>
      <w:ind w:left="1050" w:hanging="210"/>
      <w:jc w:val="left"/>
    </w:pPr>
    <w:rPr>
      <w:sz w:val="20"/>
      <w:szCs w:val="20"/>
    </w:rPr>
  </w:style>
  <w:style w:type="paragraph" w:styleId="9">
    <w:name w:val="Document Map"/>
    <w:basedOn w:val="1"/>
    <w:semiHidden/>
    <w:qFormat/>
    <w:uiPriority w:val="0"/>
    <w:pPr>
      <w:shd w:val="clear" w:color="auto" w:fill="000080"/>
    </w:pPr>
  </w:style>
  <w:style w:type="paragraph" w:styleId="10">
    <w:name w:val="annotation text"/>
    <w:basedOn w:val="1"/>
    <w:link w:val="51"/>
    <w:unhideWhenUsed/>
    <w:qFormat/>
    <w:uiPriority w:val="0"/>
    <w:pPr>
      <w:jc w:val="left"/>
    </w:pPr>
  </w:style>
  <w:style w:type="paragraph" w:styleId="11">
    <w:name w:val="index 6"/>
    <w:basedOn w:val="1"/>
    <w:next w:val="1"/>
    <w:qFormat/>
    <w:uiPriority w:val="0"/>
    <w:pPr>
      <w:ind w:left="1260" w:hanging="210"/>
      <w:jc w:val="left"/>
    </w:pPr>
    <w:rPr>
      <w:sz w:val="20"/>
      <w:szCs w:val="20"/>
    </w:rPr>
  </w:style>
  <w:style w:type="paragraph" w:styleId="12">
    <w:name w:val="index 4"/>
    <w:basedOn w:val="1"/>
    <w:next w:val="1"/>
    <w:qFormat/>
    <w:uiPriority w:val="0"/>
    <w:pPr>
      <w:ind w:left="840" w:hanging="210"/>
      <w:jc w:val="left"/>
    </w:pPr>
    <w:rPr>
      <w:sz w:val="20"/>
      <w:szCs w:val="20"/>
    </w:rPr>
  </w:style>
  <w:style w:type="paragraph" w:styleId="13">
    <w:name w:val="toc 5"/>
    <w:basedOn w:val="1"/>
    <w:next w:val="1"/>
    <w:semiHidden/>
    <w:qFormat/>
    <w:uiPriority w:val="0"/>
    <w:pPr>
      <w:tabs>
        <w:tab w:val="right" w:leader="dot" w:pos="9241"/>
      </w:tabs>
      <w:ind w:firstLine="300" w:firstLineChars="300"/>
      <w:jc w:val="left"/>
    </w:pPr>
    <w:rPr>
      <w:rFonts w:ascii="宋体"/>
      <w:szCs w:val="21"/>
    </w:rPr>
  </w:style>
  <w:style w:type="paragraph" w:styleId="14">
    <w:name w:val="toc 3"/>
    <w:basedOn w:val="1"/>
    <w:next w:val="1"/>
    <w:qFormat/>
    <w:uiPriority w:val="39"/>
    <w:pPr>
      <w:tabs>
        <w:tab w:val="right" w:leader="dot" w:pos="9241"/>
      </w:tabs>
      <w:ind w:firstLine="102" w:firstLineChars="100"/>
      <w:jc w:val="left"/>
    </w:pPr>
    <w:rPr>
      <w:rFonts w:ascii="宋体"/>
      <w:szCs w:val="21"/>
    </w:rPr>
  </w:style>
  <w:style w:type="paragraph" w:styleId="15">
    <w:name w:val="toc 8"/>
    <w:basedOn w:val="1"/>
    <w:next w:val="1"/>
    <w:semiHidden/>
    <w:qFormat/>
    <w:uiPriority w:val="0"/>
    <w:pPr>
      <w:tabs>
        <w:tab w:val="right" w:leader="dot" w:pos="9241"/>
      </w:tabs>
      <w:ind w:firstLine="607" w:firstLineChars="600"/>
      <w:jc w:val="left"/>
    </w:pPr>
    <w:rPr>
      <w:rFonts w:ascii="宋体"/>
      <w:szCs w:val="21"/>
    </w:rPr>
  </w:style>
  <w:style w:type="paragraph" w:styleId="16">
    <w:name w:val="index 3"/>
    <w:basedOn w:val="1"/>
    <w:next w:val="1"/>
    <w:qFormat/>
    <w:uiPriority w:val="0"/>
    <w:pPr>
      <w:ind w:left="630" w:hanging="210"/>
      <w:jc w:val="left"/>
    </w:pPr>
    <w:rPr>
      <w:sz w:val="20"/>
      <w:szCs w:val="20"/>
    </w:rPr>
  </w:style>
  <w:style w:type="paragraph" w:styleId="17">
    <w:name w:val="endnote text"/>
    <w:basedOn w:val="1"/>
    <w:semiHidden/>
    <w:qFormat/>
    <w:uiPriority w:val="0"/>
    <w:pPr>
      <w:snapToGrid w:val="0"/>
      <w:jc w:val="left"/>
    </w:pPr>
  </w:style>
  <w:style w:type="paragraph" w:styleId="18">
    <w:name w:val="Balloon Text"/>
    <w:basedOn w:val="1"/>
    <w:link w:val="52"/>
    <w:qFormat/>
    <w:uiPriority w:val="0"/>
    <w:rPr>
      <w:sz w:val="18"/>
      <w:szCs w:val="18"/>
    </w:rPr>
  </w:style>
  <w:style w:type="paragraph" w:styleId="19">
    <w:name w:val="footer"/>
    <w:basedOn w:val="1"/>
    <w:qFormat/>
    <w:uiPriority w:val="0"/>
    <w:pPr>
      <w:snapToGrid w:val="0"/>
      <w:ind w:right="210" w:rightChars="100"/>
      <w:jc w:val="right"/>
    </w:pPr>
    <w:rPr>
      <w:sz w:val="18"/>
      <w:szCs w:val="18"/>
    </w:rPr>
  </w:style>
  <w:style w:type="paragraph" w:styleId="20">
    <w:name w:val="header"/>
    <w:basedOn w:val="1"/>
    <w:qFormat/>
    <w:uiPriority w:val="0"/>
    <w:pPr>
      <w:snapToGrid w:val="0"/>
      <w:jc w:val="left"/>
    </w:pPr>
    <w:rPr>
      <w:sz w:val="18"/>
      <w:szCs w:val="18"/>
    </w:rPr>
  </w:style>
  <w:style w:type="paragraph" w:styleId="21">
    <w:name w:val="toc 1"/>
    <w:basedOn w:val="1"/>
    <w:next w:val="1"/>
    <w:qFormat/>
    <w:uiPriority w:val="39"/>
    <w:pPr>
      <w:tabs>
        <w:tab w:val="right" w:leader="dot" w:pos="9241"/>
      </w:tabs>
      <w:spacing w:line="360" w:lineRule="exact"/>
      <w:jc w:val="left"/>
    </w:pPr>
    <w:rPr>
      <w:rFonts w:ascii="宋体"/>
      <w:szCs w:val="21"/>
    </w:rPr>
  </w:style>
  <w:style w:type="paragraph" w:styleId="22">
    <w:name w:val="toc 4"/>
    <w:basedOn w:val="1"/>
    <w:next w:val="1"/>
    <w:semiHidden/>
    <w:qFormat/>
    <w:uiPriority w:val="0"/>
    <w:pPr>
      <w:tabs>
        <w:tab w:val="right" w:leader="dot" w:pos="9241"/>
      </w:tabs>
      <w:ind w:firstLine="198" w:firstLineChars="200"/>
      <w:jc w:val="left"/>
    </w:pPr>
    <w:rPr>
      <w:rFonts w:ascii="宋体"/>
      <w:szCs w:val="21"/>
    </w:rPr>
  </w:style>
  <w:style w:type="paragraph" w:styleId="23">
    <w:name w:val="index heading"/>
    <w:basedOn w:val="1"/>
    <w:next w:val="24"/>
    <w:qFormat/>
    <w:uiPriority w:val="0"/>
    <w:pPr>
      <w:spacing w:before="120" w:after="120"/>
      <w:jc w:val="center"/>
    </w:pPr>
    <w:rPr>
      <w:b/>
      <w:bCs/>
      <w:iCs/>
      <w:szCs w:val="20"/>
    </w:rPr>
  </w:style>
  <w:style w:type="paragraph" w:styleId="24">
    <w:name w:val="index 1"/>
    <w:basedOn w:val="1"/>
    <w:next w:val="25"/>
    <w:qFormat/>
    <w:uiPriority w:val="0"/>
    <w:pPr>
      <w:tabs>
        <w:tab w:val="right" w:leader="dot" w:pos="9299"/>
      </w:tabs>
      <w:jc w:val="left"/>
    </w:pPr>
    <w:rPr>
      <w:rFonts w:ascii="宋体"/>
      <w:szCs w:val="21"/>
    </w:rPr>
  </w:style>
  <w:style w:type="paragraph" w:customStyle="1" w:styleId="25">
    <w:name w:val="段"/>
    <w:link w:val="53"/>
    <w:qFormat/>
    <w:uiPriority w:val="0"/>
    <w:pPr>
      <w:tabs>
        <w:tab w:val="center" w:pos="4201"/>
        <w:tab w:val="right" w:leader="dot" w:pos="9298"/>
      </w:tabs>
      <w:autoSpaceDE w:val="0"/>
      <w:autoSpaceDN w:val="0"/>
      <w:ind w:firstLine="420" w:firstLineChars="200"/>
      <w:jc w:val="both"/>
    </w:pPr>
    <w:rPr>
      <w:rFonts w:ascii="宋体" w:hAnsi="Calibri" w:eastAsia="宋体" w:cs="Times New Roman"/>
      <w:sz w:val="21"/>
      <w:lang w:val="en-US" w:eastAsia="zh-CN" w:bidi="ar-SA"/>
    </w:rPr>
  </w:style>
  <w:style w:type="paragraph" w:styleId="26">
    <w:name w:val="footnote text"/>
    <w:basedOn w:val="1"/>
    <w:qFormat/>
    <w:uiPriority w:val="0"/>
    <w:pPr>
      <w:numPr>
        <w:ilvl w:val="0"/>
        <w:numId w:val="1"/>
      </w:numPr>
      <w:snapToGrid w:val="0"/>
      <w:jc w:val="left"/>
    </w:pPr>
    <w:rPr>
      <w:rFonts w:ascii="宋体"/>
      <w:sz w:val="18"/>
      <w:szCs w:val="18"/>
    </w:rPr>
  </w:style>
  <w:style w:type="paragraph" w:styleId="27">
    <w:name w:val="toc 6"/>
    <w:basedOn w:val="1"/>
    <w:next w:val="1"/>
    <w:semiHidden/>
    <w:qFormat/>
    <w:uiPriority w:val="0"/>
    <w:pPr>
      <w:tabs>
        <w:tab w:val="right" w:leader="dot" w:pos="9241"/>
      </w:tabs>
      <w:ind w:firstLine="403" w:firstLineChars="400"/>
      <w:jc w:val="left"/>
    </w:pPr>
    <w:rPr>
      <w:rFonts w:ascii="宋体"/>
      <w:szCs w:val="21"/>
    </w:rPr>
  </w:style>
  <w:style w:type="paragraph" w:styleId="28">
    <w:name w:val="index 7"/>
    <w:basedOn w:val="1"/>
    <w:next w:val="1"/>
    <w:qFormat/>
    <w:uiPriority w:val="0"/>
    <w:pPr>
      <w:ind w:left="1470" w:hanging="210"/>
      <w:jc w:val="left"/>
    </w:pPr>
    <w:rPr>
      <w:sz w:val="20"/>
      <w:szCs w:val="20"/>
    </w:rPr>
  </w:style>
  <w:style w:type="paragraph" w:styleId="29">
    <w:name w:val="index 9"/>
    <w:basedOn w:val="1"/>
    <w:next w:val="1"/>
    <w:qFormat/>
    <w:uiPriority w:val="0"/>
    <w:pPr>
      <w:ind w:left="1890" w:hanging="210"/>
      <w:jc w:val="left"/>
    </w:pPr>
    <w:rPr>
      <w:sz w:val="20"/>
      <w:szCs w:val="20"/>
    </w:rPr>
  </w:style>
  <w:style w:type="paragraph" w:styleId="30">
    <w:name w:val="toc 2"/>
    <w:basedOn w:val="1"/>
    <w:next w:val="1"/>
    <w:qFormat/>
    <w:uiPriority w:val="39"/>
    <w:pPr>
      <w:tabs>
        <w:tab w:val="right" w:leader="dot" w:pos="9241"/>
      </w:tabs>
    </w:pPr>
    <w:rPr>
      <w:rFonts w:ascii="宋体"/>
      <w:szCs w:val="21"/>
    </w:rPr>
  </w:style>
  <w:style w:type="paragraph" w:styleId="31">
    <w:name w:val="toc 9"/>
    <w:basedOn w:val="1"/>
    <w:next w:val="1"/>
    <w:semiHidden/>
    <w:qFormat/>
    <w:uiPriority w:val="0"/>
    <w:pPr>
      <w:ind w:left="1470"/>
      <w:jc w:val="left"/>
    </w:pPr>
    <w:rPr>
      <w:sz w:val="20"/>
      <w:szCs w:val="20"/>
    </w:rPr>
  </w:style>
  <w:style w:type="paragraph" w:styleId="32">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33">
    <w:name w:val="index 2"/>
    <w:basedOn w:val="1"/>
    <w:next w:val="1"/>
    <w:qFormat/>
    <w:uiPriority w:val="0"/>
    <w:pPr>
      <w:ind w:left="420" w:hanging="210"/>
      <w:jc w:val="left"/>
    </w:pPr>
    <w:rPr>
      <w:sz w:val="20"/>
      <w:szCs w:val="20"/>
    </w:rPr>
  </w:style>
  <w:style w:type="paragraph" w:styleId="34">
    <w:name w:val="annotation subject"/>
    <w:basedOn w:val="10"/>
    <w:next w:val="10"/>
    <w:link w:val="54"/>
    <w:unhideWhenUsed/>
    <w:qFormat/>
    <w:uiPriority w:val="0"/>
    <w:rPr>
      <w:b/>
      <w:bCs/>
    </w:rPr>
  </w:style>
  <w:style w:type="table" w:styleId="36">
    <w:name w:val="Table Grid"/>
    <w:basedOn w:val="35"/>
    <w:qFormat/>
    <w:uiPriority w:val="0"/>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8">
    <w:name w:val="Strong"/>
    <w:qFormat/>
    <w:uiPriority w:val="22"/>
    <w:rPr>
      <w:b/>
      <w:bCs/>
    </w:rPr>
  </w:style>
  <w:style w:type="character" w:styleId="39">
    <w:name w:val="endnote reference"/>
    <w:semiHidden/>
    <w:qFormat/>
    <w:uiPriority w:val="0"/>
    <w:rPr>
      <w:vertAlign w:val="superscript"/>
    </w:rPr>
  </w:style>
  <w:style w:type="character" w:styleId="40">
    <w:name w:val="page number"/>
    <w:qFormat/>
    <w:uiPriority w:val="0"/>
    <w:rPr>
      <w:rFonts w:ascii="Times New Roman" w:hAnsi="Times New Roman" w:eastAsia="宋体"/>
      <w:sz w:val="18"/>
    </w:rPr>
  </w:style>
  <w:style w:type="character" w:styleId="41">
    <w:name w:val="FollowedHyperlink"/>
    <w:qFormat/>
    <w:uiPriority w:val="0"/>
    <w:rPr>
      <w:color w:val="800080"/>
      <w:u w:val="single"/>
    </w:rPr>
  </w:style>
  <w:style w:type="character" w:styleId="42">
    <w:name w:val="Hyperlink"/>
    <w:qFormat/>
    <w:uiPriority w:val="99"/>
    <w:rPr>
      <w:color w:val="0000FF"/>
      <w:spacing w:val="0"/>
      <w:w w:val="100"/>
      <w:szCs w:val="21"/>
      <w:u w:val="single"/>
      <w:lang w:val="en-US" w:eastAsia="zh-CN"/>
    </w:rPr>
  </w:style>
  <w:style w:type="character" w:styleId="43">
    <w:name w:val="annotation reference"/>
    <w:unhideWhenUsed/>
    <w:qFormat/>
    <w:uiPriority w:val="0"/>
    <w:rPr>
      <w:sz w:val="21"/>
      <w:szCs w:val="21"/>
    </w:rPr>
  </w:style>
  <w:style w:type="character" w:styleId="44">
    <w:name w:val="footnote reference"/>
    <w:semiHidden/>
    <w:qFormat/>
    <w:uiPriority w:val="0"/>
    <w:rPr>
      <w:vertAlign w:val="superscript"/>
    </w:rPr>
  </w:style>
  <w:style w:type="character" w:styleId="45">
    <w:name w:val="Placeholder Text"/>
    <w:semiHidden/>
    <w:qFormat/>
    <w:uiPriority w:val="99"/>
    <w:rPr>
      <w:color w:val="808080"/>
    </w:rPr>
  </w:style>
  <w:style w:type="character" w:customStyle="1" w:styleId="46">
    <w:name w:val="目次、标准名称标题 Char"/>
    <w:link w:val="47"/>
    <w:qFormat/>
    <w:uiPriority w:val="0"/>
    <w:rPr>
      <w:rFonts w:ascii="黑体" w:eastAsia="黑体"/>
      <w:sz w:val="32"/>
      <w:shd w:val="clear" w:color="FFFFFF" w:fill="FFFFFF"/>
    </w:rPr>
  </w:style>
  <w:style w:type="paragraph" w:customStyle="1" w:styleId="47">
    <w:name w:val="目次、标准名称标题"/>
    <w:basedOn w:val="1"/>
    <w:next w:val="25"/>
    <w:link w:val="46"/>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character" w:customStyle="1" w:styleId="48">
    <w:name w:val="发布"/>
    <w:qFormat/>
    <w:uiPriority w:val="0"/>
    <w:rPr>
      <w:rFonts w:ascii="黑体" w:eastAsia="黑体"/>
      <w:spacing w:val="85"/>
      <w:w w:val="100"/>
      <w:position w:val="3"/>
      <w:sz w:val="28"/>
      <w:szCs w:val="28"/>
    </w:rPr>
  </w:style>
  <w:style w:type="character" w:customStyle="1" w:styleId="49">
    <w:name w:val="标题 1 字符"/>
    <w:link w:val="2"/>
    <w:qFormat/>
    <w:uiPriority w:val="0"/>
    <w:rPr>
      <w:b/>
      <w:bCs/>
      <w:kern w:val="44"/>
      <w:sz w:val="44"/>
      <w:szCs w:val="44"/>
    </w:rPr>
  </w:style>
  <w:style w:type="character" w:customStyle="1" w:styleId="50">
    <w:name w:val="标题 4 字符"/>
    <w:link w:val="4"/>
    <w:semiHidden/>
    <w:qFormat/>
    <w:uiPriority w:val="0"/>
    <w:rPr>
      <w:rFonts w:ascii="等线 Light" w:hAnsi="等线 Light" w:eastAsia="等线 Light" w:cs="Times New Roman"/>
      <w:b/>
      <w:bCs/>
      <w:kern w:val="2"/>
      <w:sz w:val="28"/>
      <w:szCs w:val="28"/>
    </w:rPr>
  </w:style>
  <w:style w:type="character" w:customStyle="1" w:styleId="51">
    <w:name w:val="批注文字 字符"/>
    <w:link w:val="10"/>
    <w:qFormat/>
    <w:uiPriority w:val="0"/>
    <w:rPr>
      <w:kern w:val="2"/>
      <w:sz w:val="21"/>
      <w:szCs w:val="24"/>
    </w:rPr>
  </w:style>
  <w:style w:type="character" w:customStyle="1" w:styleId="52">
    <w:name w:val="批注框文本 字符"/>
    <w:link w:val="18"/>
    <w:qFormat/>
    <w:uiPriority w:val="0"/>
    <w:rPr>
      <w:kern w:val="2"/>
      <w:sz w:val="18"/>
      <w:szCs w:val="18"/>
    </w:rPr>
  </w:style>
  <w:style w:type="character" w:customStyle="1" w:styleId="53">
    <w:name w:val="段 Char"/>
    <w:link w:val="25"/>
    <w:qFormat/>
    <w:uiPriority w:val="0"/>
    <w:rPr>
      <w:rFonts w:ascii="宋体"/>
      <w:sz w:val="21"/>
      <w:lang w:val="en-US" w:eastAsia="zh-CN" w:bidi="ar-SA"/>
    </w:rPr>
  </w:style>
  <w:style w:type="character" w:customStyle="1" w:styleId="54">
    <w:name w:val="批注主题 字符"/>
    <w:link w:val="34"/>
    <w:semiHidden/>
    <w:qFormat/>
    <w:uiPriority w:val="0"/>
    <w:rPr>
      <w:b/>
      <w:bCs/>
      <w:kern w:val="2"/>
      <w:sz w:val="21"/>
      <w:szCs w:val="24"/>
    </w:rPr>
  </w:style>
  <w:style w:type="character" w:customStyle="1" w:styleId="55">
    <w:name w:val="首示例 Char"/>
    <w:link w:val="56"/>
    <w:qFormat/>
    <w:uiPriority w:val="0"/>
    <w:rPr>
      <w:rFonts w:ascii="宋体" w:hAnsi="宋体"/>
      <w:kern w:val="2"/>
      <w:sz w:val="18"/>
      <w:szCs w:val="18"/>
      <w:lang w:bidi="ar-SA"/>
    </w:rPr>
  </w:style>
  <w:style w:type="paragraph" w:customStyle="1" w:styleId="56">
    <w:name w:val="首示例"/>
    <w:next w:val="25"/>
    <w:link w:val="55"/>
    <w:qFormat/>
    <w:uiPriority w:val="0"/>
    <w:pPr>
      <w:tabs>
        <w:tab w:val="left" w:pos="360"/>
      </w:tabs>
    </w:pPr>
    <w:rPr>
      <w:rFonts w:ascii="宋体" w:hAnsi="宋体" w:eastAsia="宋体" w:cs="Times New Roman"/>
      <w:kern w:val="2"/>
      <w:sz w:val="18"/>
      <w:szCs w:val="18"/>
      <w:lang w:val="en-US" w:eastAsia="zh-CN" w:bidi="ar-SA"/>
    </w:rPr>
  </w:style>
  <w:style w:type="character" w:customStyle="1" w:styleId="57">
    <w:name w:val="附录公式 Char"/>
    <w:link w:val="58"/>
    <w:qFormat/>
    <w:uiPriority w:val="0"/>
    <w:rPr>
      <w:rFonts w:ascii="宋体"/>
      <w:sz w:val="21"/>
      <w:lang w:val="en-US" w:eastAsia="zh-CN" w:bidi="ar-SA"/>
    </w:rPr>
  </w:style>
  <w:style w:type="paragraph" w:customStyle="1" w:styleId="58">
    <w:name w:val="附录公式"/>
    <w:basedOn w:val="25"/>
    <w:next w:val="25"/>
    <w:link w:val="57"/>
    <w:qFormat/>
    <w:uiPriority w:val="0"/>
  </w:style>
  <w:style w:type="character" w:customStyle="1" w:styleId="59">
    <w:name w:val="标准名称 Char"/>
    <w:link w:val="60"/>
    <w:qFormat/>
    <w:uiPriority w:val="0"/>
    <w:rPr>
      <w:rFonts w:ascii="黑体" w:eastAsia="黑体"/>
      <w:sz w:val="32"/>
      <w:shd w:val="clear" w:color="FFFFFF" w:fill="FFFFFF"/>
    </w:rPr>
  </w:style>
  <w:style w:type="paragraph" w:customStyle="1" w:styleId="60">
    <w:name w:val="标准名称"/>
    <w:basedOn w:val="47"/>
    <w:link w:val="59"/>
    <w:qFormat/>
    <w:uiPriority w:val="0"/>
  </w:style>
  <w:style w:type="character" w:customStyle="1" w:styleId="61">
    <w:name w:val="标题 2 字符"/>
    <w:link w:val="3"/>
    <w:semiHidden/>
    <w:qFormat/>
    <w:uiPriority w:val="0"/>
    <w:rPr>
      <w:rFonts w:ascii="等线 Light" w:hAnsi="等线 Light" w:eastAsia="等线 Light" w:cs="Times New Roman"/>
      <w:b/>
      <w:bCs/>
      <w:kern w:val="2"/>
      <w:sz w:val="32"/>
      <w:szCs w:val="32"/>
    </w:rPr>
  </w:style>
  <w:style w:type="paragraph" w:customStyle="1" w:styleId="62">
    <w:name w:val="标准称谓"/>
    <w:next w:val="1"/>
    <w:qFormat/>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Calibri" w:eastAsia="宋体" w:cs="Times New Roman"/>
      <w:b/>
      <w:bCs/>
      <w:spacing w:val="20"/>
      <w:w w:val="148"/>
      <w:sz w:val="48"/>
      <w:lang w:val="en-US" w:eastAsia="zh-CN" w:bidi="ar-SA"/>
    </w:rPr>
  </w:style>
  <w:style w:type="paragraph" w:customStyle="1" w:styleId="63">
    <w:name w:val="附录表标号"/>
    <w:basedOn w:val="1"/>
    <w:next w:val="25"/>
    <w:qFormat/>
    <w:uiPriority w:val="0"/>
    <w:pPr>
      <w:numPr>
        <w:ilvl w:val="0"/>
        <w:numId w:val="2"/>
      </w:numPr>
      <w:spacing w:line="14" w:lineRule="exact"/>
      <w:ind w:left="811" w:hanging="448"/>
      <w:jc w:val="center"/>
      <w:outlineLvl w:val="0"/>
    </w:pPr>
    <w:rPr>
      <w:color w:val="FFFFFF"/>
    </w:rPr>
  </w:style>
  <w:style w:type="paragraph" w:customStyle="1" w:styleId="64">
    <w:name w:val="TOC 标题1"/>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65">
    <w:name w:val="数字编号列项（二级）"/>
    <w:qFormat/>
    <w:uiPriority w:val="0"/>
    <w:pPr>
      <w:numPr>
        <w:ilvl w:val="1"/>
        <w:numId w:val="3"/>
      </w:numPr>
      <w:jc w:val="both"/>
    </w:pPr>
    <w:rPr>
      <w:rFonts w:ascii="宋体" w:hAnsi="Calibri" w:eastAsia="宋体" w:cs="Times New Roman"/>
      <w:sz w:val="21"/>
      <w:lang w:val="en-US" w:eastAsia="zh-CN" w:bidi="ar-SA"/>
    </w:rPr>
  </w:style>
  <w:style w:type="paragraph" w:customStyle="1" w:styleId="66">
    <w:name w:val="列项◆（三级）"/>
    <w:basedOn w:val="1"/>
    <w:qFormat/>
    <w:uiPriority w:val="0"/>
    <w:pPr>
      <w:numPr>
        <w:ilvl w:val="2"/>
        <w:numId w:val="4"/>
      </w:numPr>
    </w:pPr>
    <w:rPr>
      <w:rFonts w:ascii="宋体"/>
      <w:szCs w:val="21"/>
    </w:rPr>
  </w:style>
  <w:style w:type="paragraph" w:customStyle="1" w:styleId="67">
    <w:name w:val="参考文献"/>
    <w:basedOn w:val="1"/>
    <w:next w:val="25"/>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68">
    <w:name w:val="实施日期"/>
    <w:qFormat/>
    <w:uiPriority w:val="0"/>
    <w:pPr>
      <w:framePr w:w="3997" w:h="471" w:hRule="exact" w:vSpace="181" w:wrap="around" w:vAnchor="page" w:hAnchor="page" w:x="7089" w:y="14097"/>
      <w:jc w:val="right"/>
    </w:pPr>
    <w:rPr>
      <w:rFonts w:ascii="Calibri" w:hAnsi="Calibri" w:eastAsia="黑体" w:cs="Times New Roman"/>
      <w:sz w:val="28"/>
      <w:lang w:val="en-US" w:eastAsia="zh-CN" w:bidi="ar-SA"/>
    </w:rPr>
  </w:style>
  <w:style w:type="paragraph" w:customStyle="1" w:styleId="69">
    <w:name w:val="封面标准英文名称"/>
    <w:basedOn w:val="70"/>
    <w:qFormat/>
    <w:uiPriority w:val="0"/>
    <w:pPr>
      <w:framePr w:wrap="around"/>
      <w:spacing w:before="370" w:line="400" w:lineRule="exact"/>
    </w:pPr>
    <w:rPr>
      <w:rFonts w:ascii="Times New Roman"/>
      <w:sz w:val="28"/>
      <w:szCs w:val="28"/>
    </w:rPr>
  </w:style>
  <w:style w:type="paragraph" w:customStyle="1" w:styleId="70">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Calibri" w:eastAsia="黑体" w:cs="Times New Roman"/>
      <w:sz w:val="52"/>
      <w:lang w:val="en-US" w:eastAsia="zh-CN" w:bidi="ar-SA"/>
    </w:rPr>
  </w:style>
  <w:style w:type="paragraph" w:customStyle="1" w:styleId="71">
    <w:name w:val="注×："/>
    <w:qFormat/>
    <w:uiPriority w:val="0"/>
    <w:pPr>
      <w:widowControl w:val="0"/>
      <w:numPr>
        <w:ilvl w:val="0"/>
        <w:numId w:val="5"/>
      </w:numPr>
      <w:autoSpaceDE w:val="0"/>
      <w:autoSpaceDN w:val="0"/>
      <w:ind w:left="811" w:hanging="448"/>
      <w:jc w:val="both"/>
    </w:pPr>
    <w:rPr>
      <w:rFonts w:ascii="宋体" w:hAnsi="Calibri" w:eastAsia="宋体" w:cs="Times New Roman"/>
      <w:sz w:val="18"/>
      <w:szCs w:val="18"/>
      <w:lang w:val="en-US" w:eastAsia="zh-CN" w:bidi="ar-SA"/>
    </w:rPr>
  </w:style>
  <w:style w:type="paragraph" w:customStyle="1" w:styleId="72">
    <w:name w:val="封面一致性程度标识"/>
    <w:basedOn w:val="69"/>
    <w:qFormat/>
    <w:uiPriority w:val="0"/>
    <w:pPr>
      <w:framePr w:wrap="around"/>
      <w:spacing w:before="440"/>
    </w:pPr>
    <w:rPr>
      <w:rFonts w:ascii="宋体" w:eastAsia="宋体"/>
    </w:rPr>
  </w:style>
  <w:style w:type="paragraph" w:customStyle="1" w:styleId="73">
    <w:name w:val="四级条标题"/>
    <w:basedOn w:val="74"/>
    <w:next w:val="25"/>
    <w:qFormat/>
    <w:uiPriority w:val="0"/>
    <w:pPr>
      <w:numPr>
        <w:ilvl w:val="4"/>
      </w:numPr>
      <w:outlineLvl w:val="5"/>
    </w:pPr>
  </w:style>
  <w:style w:type="paragraph" w:customStyle="1" w:styleId="74">
    <w:name w:val="三级条标题"/>
    <w:basedOn w:val="75"/>
    <w:next w:val="25"/>
    <w:qFormat/>
    <w:uiPriority w:val="0"/>
    <w:pPr>
      <w:numPr>
        <w:ilvl w:val="3"/>
      </w:numPr>
      <w:outlineLvl w:val="4"/>
    </w:pPr>
  </w:style>
  <w:style w:type="paragraph" w:customStyle="1" w:styleId="75">
    <w:name w:val="二级条标题"/>
    <w:basedOn w:val="76"/>
    <w:next w:val="25"/>
    <w:qFormat/>
    <w:uiPriority w:val="0"/>
    <w:pPr>
      <w:numPr>
        <w:ilvl w:val="2"/>
      </w:numPr>
      <w:spacing w:before="50" w:after="50"/>
      <w:outlineLvl w:val="3"/>
    </w:pPr>
  </w:style>
  <w:style w:type="paragraph" w:customStyle="1" w:styleId="76">
    <w:name w:val="一级条标题"/>
    <w:next w:val="25"/>
    <w:link w:val="153"/>
    <w:qFormat/>
    <w:uiPriority w:val="0"/>
    <w:pPr>
      <w:numPr>
        <w:ilvl w:val="1"/>
        <w:numId w:val="6"/>
      </w:numPr>
      <w:spacing w:beforeLines="50" w:afterLines="50"/>
      <w:outlineLvl w:val="2"/>
    </w:pPr>
    <w:rPr>
      <w:rFonts w:ascii="黑体" w:hAnsi="Calibri" w:eastAsia="黑体" w:cs="Times New Roman"/>
      <w:sz w:val="21"/>
      <w:szCs w:val="21"/>
      <w:lang w:val="en-US" w:eastAsia="zh-CN" w:bidi="ar-SA"/>
    </w:rPr>
  </w:style>
  <w:style w:type="paragraph" w:customStyle="1" w:styleId="77">
    <w:name w:val="示例"/>
    <w:next w:val="78"/>
    <w:qFormat/>
    <w:uiPriority w:val="0"/>
    <w:pPr>
      <w:widowControl w:val="0"/>
      <w:numPr>
        <w:ilvl w:val="0"/>
        <w:numId w:val="7"/>
      </w:numPr>
      <w:jc w:val="both"/>
    </w:pPr>
    <w:rPr>
      <w:rFonts w:ascii="宋体" w:hAnsi="Calibri" w:eastAsia="宋体" w:cs="Times New Roman"/>
      <w:sz w:val="18"/>
      <w:szCs w:val="18"/>
      <w:lang w:val="en-US" w:eastAsia="zh-CN" w:bidi="ar-SA"/>
    </w:rPr>
  </w:style>
  <w:style w:type="paragraph" w:customStyle="1" w:styleId="78">
    <w:name w:val="示例内容"/>
    <w:qFormat/>
    <w:uiPriority w:val="0"/>
    <w:pPr>
      <w:ind w:firstLine="200" w:firstLineChars="200"/>
    </w:pPr>
    <w:rPr>
      <w:rFonts w:ascii="宋体" w:hAnsi="Calibri" w:eastAsia="宋体" w:cs="Times New Roman"/>
      <w:sz w:val="18"/>
      <w:szCs w:val="18"/>
      <w:lang w:val="en-US" w:eastAsia="zh-CN" w:bidi="ar-SA"/>
    </w:rPr>
  </w:style>
  <w:style w:type="paragraph" w:customStyle="1" w:styleId="79">
    <w:name w:val="正文表标题"/>
    <w:next w:val="25"/>
    <w:qFormat/>
    <w:uiPriority w:val="0"/>
    <w:pPr>
      <w:numPr>
        <w:ilvl w:val="0"/>
        <w:numId w:val="8"/>
      </w:numPr>
      <w:spacing w:beforeLines="50" w:afterLines="50"/>
      <w:jc w:val="center"/>
    </w:pPr>
    <w:rPr>
      <w:rFonts w:ascii="黑体" w:hAnsi="Calibri" w:eastAsia="黑体" w:cs="Times New Roman"/>
      <w:sz w:val="21"/>
      <w:lang w:val="en-US" w:eastAsia="zh-CN" w:bidi="ar-SA"/>
    </w:rPr>
  </w:style>
  <w:style w:type="paragraph" w:customStyle="1" w:styleId="80">
    <w:name w:val="附录三级条标题"/>
    <w:basedOn w:val="81"/>
    <w:next w:val="25"/>
    <w:qFormat/>
    <w:uiPriority w:val="0"/>
    <w:pPr>
      <w:numPr>
        <w:ilvl w:val="4"/>
      </w:numPr>
      <w:tabs>
        <w:tab w:val="left" w:pos="360"/>
      </w:tabs>
      <w:outlineLvl w:val="4"/>
    </w:pPr>
  </w:style>
  <w:style w:type="paragraph" w:customStyle="1" w:styleId="81">
    <w:name w:val="附录二级条标题"/>
    <w:basedOn w:val="1"/>
    <w:next w:val="25"/>
    <w:qFormat/>
    <w:uiPriority w:val="0"/>
    <w:pPr>
      <w:widowControl/>
      <w:numPr>
        <w:ilvl w:val="3"/>
        <w:numId w:val="9"/>
      </w:numPr>
      <w:tabs>
        <w:tab w:val="left" w:pos="360"/>
      </w:tabs>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82">
    <w:name w:val="封面标准英文名称2"/>
    <w:basedOn w:val="69"/>
    <w:qFormat/>
    <w:uiPriority w:val="0"/>
    <w:pPr>
      <w:framePr w:wrap="around" w:y="4469"/>
    </w:pPr>
  </w:style>
  <w:style w:type="paragraph" w:customStyle="1" w:styleId="83">
    <w:name w:val="五级条标题"/>
    <w:basedOn w:val="73"/>
    <w:next w:val="25"/>
    <w:qFormat/>
    <w:uiPriority w:val="0"/>
    <w:pPr>
      <w:numPr>
        <w:ilvl w:val="5"/>
      </w:numPr>
      <w:outlineLvl w:val="6"/>
    </w:pPr>
  </w:style>
  <w:style w:type="paragraph" w:customStyle="1" w:styleId="84">
    <w:name w:val="附录表标题"/>
    <w:basedOn w:val="1"/>
    <w:next w:val="25"/>
    <w:qFormat/>
    <w:uiPriority w:val="0"/>
    <w:pPr>
      <w:numPr>
        <w:ilvl w:val="1"/>
        <w:numId w:val="2"/>
      </w:numPr>
      <w:tabs>
        <w:tab w:val="left" w:pos="180"/>
      </w:tabs>
      <w:spacing w:beforeLines="50" w:afterLines="50"/>
      <w:ind w:left="0" w:firstLine="0"/>
      <w:jc w:val="center"/>
    </w:pPr>
    <w:rPr>
      <w:rFonts w:ascii="黑体" w:eastAsia="黑体"/>
      <w:szCs w:val="21"/>
    </w:rPr>
  </w:style>
  <w:style w:type="paragraph" w:customStyle="1" w:styleId="85">
    <w:name w:val="字母编号列项（一级）"/>
    <w:qFormat/>
    <w:uiPriority w:val="0"/>
    <w:pPr>
      <w:numPr>
        <w:ilvl w:val="0"/>
        <w:numId w:val="3"/>
      </w:numPr>
      <w:jc w:val="both"/>
    </w:pPr>
    <w:rPr>
      <w:rFonts w:ascii="宋体" w:hAnsi="Calibri" w:eastAsia="宋体" w:cs="Times New Roman"/>
      <w:sz w:val="21"/>
      <w:lang w:val="en-US" w:eastAsia="zh-CN" w:bidi="ar-SA"/>
    </w:rPr>
  </w:style>
  <w:style w:type="paragraph" w:customStyle="1" w:styleId="86">
    <w:name w:val="三级无"/>
    <w:basedOn w:val="74"/>
    <w:qFormat/>
    <w:uiPriority w:val="0"/>
    <w:pPr>
      <w:spacing w:beforeLines="0" w:afterLines="0"/>
    </w:pPr>
    <w:rPr>
      <w:rFonts w:ascii="宋体" w:eastAsia="宋体"/>
    </w:rPr>
  </w:style>
  <w:style w:type="paragraph" w:customStyle="1" w:styleId="87">
    <w:name w:val="列项●（二级）"/>
    <w:qFormat/>
    <w:uiPriority w:val="0"/>
    <w:pPr>
      <w:numPr>
        <w:ilvl w:val="1"/>
        <w:numId w:val="4"/>
      </w:numPr>
      <w:tabs>
        <w:tab w:val="left" w:pos="840"/>
      </w:tabs>
      <w:jc w:val="both"/>
    </w:pPr>
    <w:rPr>
      <w:rFonts w:ascii="宋体" w:hAnsi="Calibri" w:eastAsia="宋体" w:cs="Times New Roman"/>
      <w:sz w:val="21"/>
      <w:lang w:val="en-US" w:eastAsia="zh-CN" w:bidi="ar-SA"/>
    </w:rPr>
  </w:style>
  <w:style w:type="paragraph" w:customStyle="1" w:styleId="88">
    <w:name w:val="章标题"/>
    <w:next w:val="25"/>
    <w:qFormat/>
    <w:uiPriority w:val="0"/>
    <w:pPr>
      <w:numPr>
        <w:ilvl w:val="0"/>
        <w:numId w:val="6"/>
      </w:numPr>
      <w:spacing w:beforeLines="100" w:afterLines="100"/>
      <w:jc w:val="both"/>
      <w:outlineLvl w:val="1"/>
    </w:pPr>
    <w:rPr>
      <w:rFonts w:ascii="黑体" w:hAnsi="Calibri" w:eastAsia="黑体" w:cs="Times New Roman"/>
      <w:sz w:val="21"/>
      <w:lang w:val="en-US" w:eastAsia="zh-CN" w:bidi="ar-SA"/>
    </w:rPr>
  </w:style>
  <w:style w:type="paragraph" w:customStyle="1" w:styleId="89">
    <w:name w:val="示例×："/>
    <w:basedOn w:val="88"/>
    <w:qFormat/>
    <w:uiPriority w:val="0"/>
    <w:pPr>
      <w:numPr>
        <w:numId w:val="10"/>
      </w:numPr>
      <w:spacing w:beforeLines="0" w:afterLines="0"/>
      <w:outlineLvl w:val="9"/>
    </w:pPr>
    <w:rPr>
      <w:rFonts w:ascii="宋体" w:eastAsia="宋体"/>
      <w:sz w:val="18"/>
      <w:szCs w:val="18"/>
    </w:rPr>
  </w:style>
  <w:style w:type="paragraph" w:customStyle="1" w:styleId="90">
    <w:name w:val="一级无"/>
    <w:basedOn w:val="76"/>
    <w:qFormat/>
    <w:uiPriority w:val="0"/>
    <w:pPr>
      <w:spacing w:beforeLines="0" w:afterLines="0"/>
    </w:pPr>
    <w:rPr>
      <w:rFonts w:ascii="宋体" w:eastAsia="宋体"/>
    </w:rPr>
  </w:style>
  <w:style w:type="paragraph" w:customStyle="1" w:styleId="91">
    <w:name w:val="封面标准文稿类别"/>
    <w:basedOn w:val="72"/>
    <w:qFormat/>
    <w:uiPriority w:val="0"/>
    <w:pPr>
      <w:framePr w:wrap="around"/>
      <w:spacing w:after="160" w:line="240" w:lineRule="auto"/>
    </w:pPr>
    <w:rPr>
      <w:sz w:val="24"/>
    </w:rPr>
  </w:style>
  <w:style w:type="paragraph" w:customStyle="1" w:styleId="92">
    <w:name w:val="附录图标题"/>
    <w:basedOn w:val="1"/>
    <w:next w:val="25"/>
    <w:qFormat/>
    <w:uiPriority w:val="0"/>
    <w:pPr>
      <w:numPr>
        <w:ilvl w:val="1"/>
        <w:numId w:val="11"/>
      </w:numPr>
      <w:tabs>
        <w:tab w:val="left" w:pos="363"/>
      </w:tabs>
      <w:spacing w:beforeLines="50" w:afterLines="50"/>
      <w:ind w:left="0" w:firstLine="0"/>
      <w:jc w:val="center"/>
    </w:pPr>
    <w:rPr>
      <w:rFonts w:ascii="黑体" w:eastAsia="黑体"/>
      <w:szCs w:val="21"/>
    </w:rPr>
  </w:style>
  <w:style w:type="paragraph" w:customStyle="1" w:styleId="93">
    <w:name w:val="封面标准文稿编辑信息"/>
    <w:basedOn w:val="91"/>
    <w:qFormat/>
    <w:uiPriority w:val="0"/>
    <w:pPr>
      <w:framePr w:wrap="around"/>
      <w:spacing w:before="180" w:line="180" w:lineRule="exact"/>
    </w:pPr>
    <w:rPr>
      <w:sz w:val="21"/>
    </w:rPr>
  </w:style>
  <w:style w:type="paragraph" w:customStyle="1" w:styleId="94">
    <w:name w:val="前言、引言标题"/>
    <w:next w:val="25"/>
    <w:qFormat/>
    <w:uiPriority w:val="0"/>
    <w:pPr>
      <w:keepNext/>
      <w:pageBreakBefore/>
      <w:shd w:val="clear" w:color="FFFFFF" w:fill="FFFFFF"/>
      <w:spacing w:before="640" w:after="560"/>
      <w:jc w:val="center"/>
      <w:outlineLvl w:val="0"/>
    </w:pPr>
    <w:rPr>
      <w:rFonts w:ascii="黑体" w:hAnsi="Calibri" w:eastAsia="黑体" w:cs="Times New Roman"/>
      <w:sz w:val="32"/>
      <w:lang w:val="en-US" w:eastAsia="zh-CN" w:bidi="ar-SA"/>
    </w:rPr>
  </w:style>
  <w:style w:type="paragraph" w:customStyle="1" w:styleId="95">
    <w:name w:val="列项——（一级）"/>
    <w:qFormat/>
    <w:uiPriority w:val="0"/>
    <w:pPr>
      <w:widowControl w:val="0"/>
      <w:numPr>
        <w:ilvl w:val="0"/>
        <w:numId w:val="4"/>
      </w:numPr>
      <w:jc w:val="both"/>
    </w:pPr>
    <w:rPr>
      <w:rFonts w:ascii="宋体" w:hAnsi="Calibri" w:eastAsia="宋体" w:cs="Times New Roman"/>
      <w:sz w:val="21"/>
      <w:lang w:val="en-US" w:eastAsia="zh-CN" w:bidi="ar-SA"/>
    </w:rPr>
  </w:style>
  <w:style w:type="paragraph" w:customStyle="1" w:styleId="96">
    <w:name w:val="编号列项（三级）"/>
    <w:qFormat/>
    <w:uiPriority w:val="0"/>
    <w:pPr>
      <w:numPr>
        <w:ilvl w:val="2"/>
        <w:numId w:val="3"/>
      </w:numPr>
    </w:pPr>
    <w:rPr>
      <w:rFonts w:ascii="宋体" w:hAnsi="Calibri" w:eastAsia="宋体" w:cs="Times New Roman"/>
      <w:sz w:val="21"/>
      <w:lang w:val="en-US" w:eastAsia="zh-CN" w:bidi="ar-SA"/>
    </w:rPr>
  </w:style>
  <w:style w:type="paragraph" w:customStyle="1" w:styleId="97">
    <w:name w:val="五级无"/>
    <w:basedOn w:val="83"/>
    <w:qFormat/>
    <w:uiPriority w:val="0"/>
    <w:pPr>
      <w:spacing w:beforeLines="0" w:afterLines="0"/>
    </w:pPr>
    <w:rPr>
      <w:rFonts w:ascii="宋体" w:eastAsia="宋体"/>
    </w:rPr>
  </w:style>
  <w:style w:type="paragraph" w:customStyle="1" w:styleId="98">
    <w:name w:val="注："/>
    <w:next w:val="25"/>
    <w:qFormat/>
    <w:uiPriority w:val="0"/>
    <w:pPr>
      <w:widowControl w:val="0"/>
      <w:numPr>
        <w:ilvl w:val="0"/>
        <w:numId w:val="12"/>
      </w:numPr>
      <w:autoSpaceDE w:val="0"/>
      <w:autoSpaceDN w:val="0"/>
      <w:ind w:left="726" w:hanging="363"/>
      <w:jc w:val="both"/>
    </w:pPr>
    <w:rPr>
      <w:rFonts w:ascii="宋体" w:hAnsi="Calibri" w:eastAsia="宋体" w:cs="Times New Roman"/>
      <w:sz w:val="18"/>
      <w:szCs w:val="18"/>
      <w:lang w:val="en-US" w:eastAsia="zh-CN" w:bidi="ar-SA"/>
    </w:rPr>
  </w:style>
  <w:style w:type="paragraph" w:customStyle="1" w:styleId="99">
    <w:name w:val="二级无"/>
    <w:basedOn w:val="75"/>
    <w:qFormat/>
    <w:uiPriority w:val="0"/>
    <w:pPr>
      <w:spacing w:beforeLines="0" w:afterLines="0"/>
    </w:pPr>
    <w:rPr>
      <w:rFonts w:ascii="宋体" w:eastAsia="宋体"/>
    </w:rPr>
  </w:style>
  <w:style w:type="paragraph" w:customStyle="1" w:styleId="100">
    <w:name w:val="标准书脚_偶数页"/>
    <w:qFormat/>
    <w:uiPriority w:val="0"/>
    <w:pPr>
      <w:spacing w:before="120"/>
      <w:ind w:left="221"/>
    </w:pPr>
    <w:rPr>
      <w:rFonts w:ascii="宋体" w:hAnsi="Calibri" w:eastAsia="宋体" w:cs="Times New Roman"/>
      <w:sz w:val="18"/>
      <w:szCs w:val="18"/>
      <w:lang w:val="en-US" w:eastAsia="zh-CN" w:bidi="ar-SA"/>
    </w:rPr>
  </w:style>
  <w:style w:type="paragraph" w:customStyle="1" w:styleId="101">
    <w:name w:val="标准书眉_奇数页"/>
    <w:next w:val="1"/>
    <w:qFormat/>
    <w:uiPriority w:val="0"/>
    <w:pPr>
      <w:tabs>
        <w:tab w:val="center" w:pos="4154"/>
        <w:tab w:val="right" w:pos="8306"/>
      </w:tabs>
      <w:spacing w:after="220"/>
      <w:jc w:val="right"/>
    </w:pPr>
    <w:rPr>
      <w:rFonts w:ascii="黑体" w:hAnsi="Calibri" w:eastAsia="黑体" w:cs="Times New Roman"/>
      <w:sz w:val="21"/>
      <w:szCs w:val="21"/>
      <w:lang w:val="en-US" w:eastAsia="zh-CN" w:bidi="ar-SA"/>
    </w:rPr>
  </w:style>
  <w:style w:type="paragraph" w:customStyle="1" w:styleId="102">
    <w:name w:val="附录三级无"/>
    <w:basedOn w:val="80"/>
    <w:qFormat/>
    <w:uiPriority w:val="0"/>
    <w:pPr>
      <w:tabs>
        <w:tab w:val="clear" w:pos="360"/>
      </w:tabs>
      <w:spacing w:beforeLines="0" w:afterLines="0"/>
    </w:pPr>
    <w:rPr>
      <w:rFonts w:ascii="宋体" w:eastAsia="宋体"/>
      <w:szCs w:val="21"/>
    </w:rPr>
  </w:style>
  <w:style w:type="paragraph" w:customStyle="1" w:styleId="103">
    <w:name w:val="图的脚注"/>
    <w:next w:val="25"/>
    <w:qFormat/>
    <w:uiPriority w:val="0"/>
    <w:pPr>
      <w:widowControl w:val="0"/>
      <w:ind w:left="840" w:leftChars="200" w:hanging="420" w:hangingChars="200"/>
      <w:jc w:val="both"/>
    </w:pPr>
    <w:rPr>
      <w:rFonts w:ascii="宋体" w:hAnsi="Calibri" w:eastAsia="宋体" w:cs="Times New Roman"/>
      <w:sz w:val="18"/>
      <w:lang w:val="en-US" w:eastAsia="zh-CN" w:bidi="ar-SA"/>
    </w:rPr>
  </w:style>
  <w:style w:type="paragraph" w:customStyle="1" w:styleId="104">
    <w:name w:val="附录字母编号列项（一级）"/>
    <w:qFormat/>
    <w:uiPriority w:val="0"/>
    <w:pPr>
      <w:numPr>
        <w:ilvl w:val="0"/>
        <w:numId w:val="13"/>
      </w:numPr>
    </w:pPr>
    <w:rPr>
      <w:rFonts w:ascii="宋体" w:hAnsi="Calibri" w:eastAsia="宋体" w:cs="Times New Roman"/>
      <w:sz w:val="21"/>
      <w:lang w:val="en-US" w:eastAsia="zh-CN" w:bidi="ar-SA"/>
    </w:rPr>
  </w:style>
  <w:style w:type="paragraph" w:customStyle="1" w:styleId="105">
    <w:name w:val="条文脚注"/>
    <w:basedOn w:val="26"/>
    <w:qFormat/>
    <w:uiPriority w:val="0"/>
    <w:pPr>
      <w:numPr>
        <w:numId w:val="0"/>
      </w:numPr>
      <w:jc w:val="both"/>
    </w:pPr>
  </w:style>
  <w:style w:type="paragraph" w:customStyle="1" w:styleId="106">
    <w:name w:val="其他实施日期"/>
    <w:basedOn w:val="68"/>
    <w:qFormat/>
    <w:uiPriority w:val="0"/>
    <w:pPr>
      <w:framePr w:wrap="around"/>
    </w:pPr>
  </w:style>
  <w:style w:type="paragraph" w:customStyle="1" w:styleId="107">
    <w:name w:val="附录一级条标题"/>
    <w:basedOn w:val="108"/>
    <w:next w:val="25"/>
    <w:qFormat/>
    <w:uiPriority w:val="0"/>
    <w:pPr>
      <w:numPr>
        <w:ilvl w:val="2"/>
      </w:numPr>
      <w:tabs>
        <w:tab w:val="left" w:pos="360"/>
      </w:tabs>
      <w:autoSpaceDN w:val="0"/>
      <w:spacing w:beforeLines="50" w:afterLines="50"/>
      <w:outlineLvl w:val="2"/>
    </w:pPr>
  </w:style>
  <w:style w:type="paragraph" w:customStyle="1" w:styleId="108">
    <w:name w:val="附录章标题"/>
    <w:next w:val="25"/>
    <w:qFormat/>
    <w:uiPriority w:val="0"/>
    <w:pPr>
      <w:numPr>
        <w:ilvl w:val="1"/>
        <w:numId w:val="9"/>
      </w:numPr>
      <w:tabs>
        <w:tab w:val="left" w:pos="360"/>
      </w:tabs>
      <w:wordWrap w:val="0"/>
      <w:overflowPunct w:val="0"/>
      <w:autoSpaceDE w:val="0"/>
      <w:spacing w:beforeLines="100" w:afterLines="100"/>
      <w:jc w:val="both"/>
      <w:textAlignment w:val="baseline"/>
      <w:outlineLvl w:val="1"/>
    </w:pPr>
    <w:rPr>
      <w:rFonts w:ascii="黑体" w:hAnsi="Calibri" w:eastAsia="黑体" w:cs="Times New Roman"/>
      <w:kern w:val="21"/>
      <w:sz w:val="21"/>
      <w:lang w:val="en-US" w:eastAsia="zh-CN" w:bidi="ar-SA"/>
    </w:rPr>
  </w:style>
  <w:style w:type="paragraph" w:customStyle="1" w:styleId="109">
    <w:name w:val="标准书眉一"/>
    <w:qFormat/>
    <w:uiPriority w:val="0"/>
    <w:pPr>
      <w:jc w:val="both"/>
    </w:pPr>
    <w:rPr>
      <w:rFonts w:ascii="Calibri" w:hAnsi="Calibri" w:eastAsia="宋体" w:cs="Times New Roman"/>
      <w:lang w:val="en-US" w:eastAsia="zh-CN" w:bidi="ar-SA"/>
    </w:rPr>
  </w:style>
  <w:style w:type="paragraph" w:customStyle="1" w:styleId="110">
    <w:name w:val="列项说明数字编号"/>
    <w:qFormat/>
    <w:uiPriority w:val="0"/>
    <w:pPr>
      <w:ind w:left="600" w:leftChars="400" w:hanging="200" w:hangingChars="200"/>
    </w:pPr>
    <w:rPr>
      <w:rFonts w:ascii="宋体" w:hAnsi="Calibri" w:eastAsia="宋体" w:cs="Times New Roman"/>
      <w:sz w:val="21"/>
      <w:lang w:val="en-US" w:eastAsia="zh-CN" w:bidi="ar-SA"/>
    </w:rPr>
  </w:style>
  <w:style w:type="paragraph" w:customStyle="1" w:styleId="111">
    <w:name w:val="其他发布日期"/>
    <w:qFormat/>
    <w:uiPriority w:val="0"/>
    <w:pPr>
      <w:framePr w:w="3997" w:h="471" w:hRule="exact" w:vSpace="181" w:wrap="around" w:vAnchor="page" w:hAnchor="page" w:x="1419" w:y="14097" w:anchorLock="1"/>
    </w:pPr>
    <w:rPr>
      <w:rFonts w:ascii="Calibri" w:hAnsi="Calibri" w:eastAsia="黑体" w:cs="Times New Roman"/>
      <w:sz w:val="28"/>
      <w:lang w:val="en-US" w:eastAsia="zh-CN" w:bidi="ar-SA"/>
    </w:rPr>
  </w:style>
  <w:style w:type="paragraph" w:customStyle="1" w:styleId="112">
    <w:name w:val="附录图标号"/>
    <w:basedOn w:val="1"/>
    <w:qFormat/>
    <w:uiPriority w:val="0"/>
    <w:pPr>
      <w:keepNext/>
      <w:pageBreakBefore/>
      <w:widowControl/>
      <w:numPr>
        <w:ilvl w:val="0"/>
        <w:numId w:val="11"/>
      </w:numPr>
      <w:spacing w:line="14" w:lineRule="exact"/>
      <w:ind w:left="0" w:firstLine="363"/>
      <w:jc w:val="center"/>
      <w:outlineLvl w:val="0"/>
    </w:pPr>
    <w:rPr>
      <w:color w:val="FFFFFF"/>
    </w:rPr>
  </w:style>
  <w:style w:type="paragraph" w:customStyle="1" w:styleId="113">
    <w:name w:val="封面标准文稿类别2"/>
    <w:basedOn w:val="91"/>
    <w:qFormat/>
    <w:uiPriority w:val="0"/>
    <w:pPr>
      <w:framePr w:wrap="around" w:y="4469"/>
    </w:pPr>
  </w:style>
  <w:style w:type="paragraph" w:customStyle="1" w:styleId="114">
    <w:name w:val="附录四级条标题"/>
    <w:basedOn w:val="80"/>
    <w:next w:val="25"/>
    <w:qFormat/>
    <w:uiPriority w:val="0"/>
    <w:pPr>
      <w:numPr>
        <w:ilvl w:val="5"/>
      </w:numPr>
      <w:outlineLvl w:val="5"/>
    </w:pPr>
  </w:style>
  <w:style w:type="paragraph" w:customStyle="1" w:styleId="115">
    <w:name w:val="示例后文字"/>
    <w:basedOn w:val="25"/>
    <w:next w:val="25"/>
    <w:qFormat/>
    <w:uiPriority w:val="0"/>
    <w:pPr>
      <w:ind w:firstLine="360"/>
    </w:pPr>
    <w:rPr>
      <w:sz w:val="18"/>
    </w:rPr>
  </w:style>
  <w:style w:type="paragraph" w:customStyle="1" w:styleId="116">
    <w:name w:val="标准书脚_奇数页"/>
    <w:qFormat/>
    <w:uiPriority w:val="0"/>
    <w:pPr>
      <w:spacing w:before="120"/>
      <w:ind w:right="198"/>
      <w:jc w:val="right"/>
    </w:pPr>
    <w:rPr>
      <w:rFonts w:ascii="宋体" w:hAnsi="Calibri" w:eastAsia="宋体" w:cs="Times New Roman"/>
      <w:sz w:val="18"/>
      <w:szCs w:val="18"/>
      <w:lang w:val="en-US" w:eastAsia="zh-CN" w:bidi="ar-SA"/>
    </w:rPr>
  </w:style>
  <w:style w:type="paragraph" w:customStyle="1" w:styleId="117">
    <w:name w:val="图标脚注说明"/>
    <w:basedOn w:val="25"/>
    <w:qFormat/>
    <w:uiPriority w:val="0"/>
    <w:pPr>
      <w:ind w:left="840" w:hanging="420" w:firstLineChars="0"/>
    </w:pPr>
    <w:rPr>
      <w:sz w:val="18"/>
      <w:szCs w:val="18"/>
    </w:rPr>
  </w:style>
  <w:style w:type="paragraph" w:customStyle="1" w:styleId="118">
    <w:name w:val="封面标准号1"/>
    <w:qFormat/>
    <w:uiPriority w:val="0"/>
    <w:pPr>
      <w:widowControl w:val="0"/>
      <w:kinsoku w:val="0"/>
      <w:overflowPunct w:val="0"/>
      <w:autoSpaceDE w:val="0"/>
      <w:autoSpaceDN w:val="0"/>
      <w:spacing w:before="308"/>
      <w:jc w:val="right"/>
      <w:textAlignment w:val="center"/>
    </w:pPr>
    <w:rPr>
      <w:rFonts w:ascii="Calibri" w:hAnsi="Calibri" w:eastAsia="宋体" w:cs="Times New Roman"/>
      <w:sz w:val="28"/>
      <w:lang w:val="en-US" w:eastAsia="zh-CN" w:bidi="ar-SA"/>
    </w:rPr>
  </w:style>
  <w:style w:type="paragraph" w:customStyle="1" w:styleId="119">
    <w:name w:val="封面标准号2"/>
    <w:uiPriority w:val="0"/>
    <w:pPr>
      <w:framePr w:w="9140" w:h="1242" w:hRule="exact" w:hSpace="284" w:wrap="around" w:vAnchor="page" w:hAnchor="page" w:x="1645" w:y="2910" w:anchorLock="1"/>
      <w:spacing w:before="357" w:line="280" w:lineRule="exact"/>
      <w:jc w:val="right"/>
    </w:pPr>
    <w:rPr>
      <w:rFonts w:ascii="黑体" w:hAnsi="Calibri" w:eastAsia="黑体" w:cs="Times New Roman"/>
      <w:sz w:val="28"/>
      <w:szCs w:val="28"/>
      <w:lang w:val="en-US" w:eastAsia="zh-CN" w:bidi="ar-SA"/>
    </w:rPr>
  </w:style>
  <w:style w:type="paragraph" w:customStyle="1" w:styleId="120">
    <w:name w:val="标准标志"/>
    <w:next w:val="1"/>
    <w:uiPriority w:val="0"/>
    <w:pPr>
      <w:framePr w:w="2546" w:h="1389" w:hRule="exact" w:hSpace="181" w:vSpace="181" w:wrap="around" w:vAnchor="margin" w:hAnchor="margin" w:x="6522" w:y="398" w:anchorLock="1"/>
      <w:shd w:val="solid" w:color="FFFFFF" w:fill="FFFFFF"/>
      <w:spacing w:line="0" w:lineRule="atLeast"/>
      <w:jc w:val="right"/>
    </w:pPr>
    <w:rPr>
      <w:rFonts w:ascii="Calibri" w:hAnsi="Calibri" w:eastAsia="宋体" w:cs="Times New Roman"/>
      <w:b/>
      <w:w w:val="170"/>
      <w:sz w:val="96"/>
      <w:szCs w:val="96"/>
      <w:lang w:val="en-US" w:eastAsia="zh-CN" w:bidi="ar-SA"/>
    </w:rPr>
  </w:style>
  <w:style w:type="paragraph" w:customStyle="1" w:styleId="121">
    <w:name w:val="附录数字编号列项（二级）"/>
    <w:qFormat/>
    <w:uiPriority w:val="0"/>
    <w:pPr>
      <w:numPr>
        <w:ilvl w:val="1"/>
        <w:numId w:val="13"/>
      </w:numPr>
    </w:pPr>
    <w:rPr>
      <w:rFonts w:ascii="宋体" w:hAnsi="Calibri" w:eastAsia="宋体" w:cs="Times New Roman"/>
      <w:sz w:val="21"/>
      <w:lang w:val="en-US" w:eastAsia="zh-CN" w:bidi="ar-SA"/>
    </w:rPr>
  </w:style>
  <w:style w:type="paragraph" w:customStyle="1" w:styleId="122">
    <w:name w:val="封面标准名称2"/>
    <w:basedOn w:val="70"/>
    <w:qFormat/>
    <w:uiPriority w:val="0"/>
    <w:pPr>
      <w:framePr w:wrap="around" w:y="4469"/>
      <w:spacing w:beforeLines="630"/>
    </w:pPr>
  </w:style>
  <w:style w:type="paragraph" w:customStyle="1" w:styleId="123">
    <w:name w:val="发布日期"/>
    <w:uiPriority w:val="0"/>
    <w:pPr>
      <w:framePr w:w="3997" w:h="471" w:hRule="exact" w:vSpace="181" w:wrap="around" w:vAnchor="margin" w:hAnchor="page" w:x="7089" w:y="14097" w:anchorLock="1"/>
    </w:pPr>
    <w:rPr>
      <w:rFonts w:ascii="Calibri" w:hAnsi="Calibri" w:eastAsia="黑体" w:cs="Times New Roman"/>
      <w:sz w:val="28"/>
      <w:lang w:val="en-US" w:eastAsia="zh-CN" w:bidi="ar-SA"/>
    </w:rPr>
  </w:style>
  <w:style w:type="paragraph" w:customStyle="1" w:styleId="124">
    <w:name w:val="其他标准标志"/>
    <w:basedOn w:val="120"/>
    <w:qFormat/>
    <w:uiPriority w:val="0"/>
    <w:pPr>
      <w:framePr w:w="6101" w:wrap="around" w:vAnchor="page" w:hAnchor="page" w:x="4673" w:y="942"/>
    </w:pPr>
    <w:rPr>
      <w:w w:val="130"/>
    </w:rPr>
  </w:style>
  <w:style w:type="paragraph" w:customStyle="1" w:styleId="125">
    <w:name w:val="封面一致性程度标识2"/>
    <w:basedOn w:val="72"/>
    <w:uiPriority w:val="0"/>
    <w:pPr>
      <w:framePr w:wrap="around" w:y="4469"/>
    </w:pPr>
  </w:style>
  <w:style w:type="paragraph" w:customStyle="1" w:styleId="126">
    <w:name w:val="附录标题"/>
    <w:basedOn w:val="25"/>
    <w:next w:val="25"/>
    <w:uiPriority w:val="0"/>
    <w:pPr>
      <w:ind w:firstLine="0" w:firstLineChars="0"/>
      <w:jc w:val="center"/>
    </w:pPr>
    <w:rPr>
      <w:rFonts w:ascii="黑体" w:eastAsia="黑体"/>
    </w:rPr>
  </w:style>
  <w:style w:type="paragraph" w:customStyle="1" w:styleId="127">
    <w:name w:val="标准书眉_偶数页"/>
    <w:basedOn w:val="101"/>
    <w:next w:val="1"/>
    <w:qFormat/>
    <w:uiPriority w:val="0"/>
    <w:pPr>
      <w:jc w:val="left"/>
    </w:pPr>
  </w:style>
  <w:style w:type="paragraph" w:customStyle="1" w:styleId="128">
    <w:name w:val="终结线"/>
    <w:basedOn w:val="1"/>
    <w:qFormat/>
    <w:uiPriority w:val="0"/>
    <w:pPr>
      <w:framePr w:hSpace="181" w:vSpace="181" w:wrap="around" w:vAnchor="text" w:hAnchor="margin" w:xAlign="center" w:y="285"/>
    </w:pPr>
  </w:style>
  <w:style w:type="paragraph" w:customStyle="1" w:styleId="129">
    <w:name w:val="文献分类号"/>
    <w:qFormat/>
    <w:uiPriority w:val="0"/>
    <w:pPr>
      <w:framePr w:hSpace="180" w:vSpace="180" w:wrap="around" w:vAnchor="margin" w:hAnchor="margin" w:y="1" w:anchorLock="1"/>
      <w:widowControl w:val="0"/>
      <w:textAlignment w:val="center"/>
    </w:pPr>
    <w:rPr>
      <w:rFonts w:ascii="黑体" w:hAnsi="Calibri" w:eastAsia="黑体" w:cs="Times New Roman"/>
      <w:sz w:val="21"/>
      <w:szCs w:val="21"/>
      <w:lang w:val="en-US" w:eastAsia="zh-CN" w:bidi="ar-SA"/>
    </w:rPr>
  </w:style>
  <w:style w:type="paragraph" w:customStyle="1" w:styleId="130">
    <w:name w:val="其他发布部门"/>
    <w:basedOn w:val="131"/>
    <w:qFormat/>
    <w:uiPriority w:val="0"/>
    <w:pPr>
      <w:framePr w:wrap="around" w:y="15310"/>
      <w:spacing w:line="0" w:lineRule="atLeast"/>
    </w:pPr>
    <w:rPr>
      <w:rFonts w:ascii="黑体" w:eastAsia="黑体"/>
      <w:b w:val="0"/>
    </w:rPr>
  </w:style>
  <w:style w:type="paragraph" w:customStyle="1" w:styleId="131">
    <w:name w:val="发布部门"/>
    <w:next w:val="25"/>
    <w:uiPriority w:val="0"/>
    <w:pPr>
      <w:framePr w:w="7938" w:h="1134" w:hRule="exact" w:hSpace="125" w:vSpace="181" w:wrap="around" w:vAnchor="page" w:hAnchor="page" w:x="2150" w:y="14630" w:anchorLock="1"/>
      <w:jc w:val="center"/>
    </w:pPr>
    <w:rPr>
      <w:rFonts w:ascii="宋体" w:hAnsi="Calibri" w:eastAsia="宋体" w:cs="Times New Roman"/>
      <w:b/>
      <w:spacing w:val="20"/>
      <w:w w:val="135"/>
      <w:sz w:val="28"/>
      <w:lang w:val="en-US" w:eastAsia="zh-CN" w:bidi="ar-SA"/>
    </w:rPr>
  </w:style>
  <w:style w:type="paragraph" w:customStyle="1" w:styleId="132">
    <w:name w:val="目次、索引正文"/>
    <w:qFormat/>
    <w:uiPriority w:val="0"/>
    <w:pPr>
      <w:spacing w:line="320" w:lineRule="exact"/>
      <w:jc w:val="both"/>
    </w:pPr>
    <w:rPr>
      <w:rFonts w:ascii="宋体" w:hAnsi="Calibri" w:eastAsia="宋体" w:cs="Times New Roman"/>
      <w:sz w:val="21"/>
      <w:lang w:val="en-US" w:eastAsia="zh-CN" w:bidi="ar-SA"/>
    </w:rPr>
  </w:style>
  <w:style w:type="paragraph" w:customStyle="1" w:styleId="133">
    <w:name w:val="附录五级无"/>
    <w:basedOn w:val="134"/>
    <w:qFormat/>
    <w:uiPriority w:val="0"/>
    <w:pPr>
      <w:tabs>
        <w:tab w:val="left" w:pos="360"/>
      </w:tabs>
      <w:spacing w:beforeLines="0" w:afterLines="0"/>
    </w:pPr>
    <w:rPr>
      <w:rFonts w:ascii="宋体" w:eastAsia="宋体"/>
      <w:szCs w:val="21"/>
    </w:rPr>
  </w:style>
  <w:style w:type="paragraph" w:customStyle="1" w:styleId="134">
    <w:name w:val="附录五级条标题"/>
    <w:basedOn w:val="114"/>
    <w:next w:val="25"/>
    <w:qFormat/>
    <w:uiPriority w:val="0"/>
    <w:pPr>
      <w:numPr>
        <w:ilvl w:val="0"/>
        <w:numId w:val="0"/>
      </w:numPr>
      <w:outlineLvl w:val="6"/>
    </w:pPr>
  </w:style>
  <w:style w:type="paragraph" w:customStyle="1" w:styleId="135">
    <w:name w:val="封面正文"/>
    <w:uiPriority w:val="0"/>
    <w:pPr>
      <w:jc w:val="both"/>
    </w:pPr>
    <w:rPr>
      <w:rFonts w:ascii="Calibri" w:hAnsi="Calibri" w:eastAsia="宋体" w:cs="Times New Roman"/>
      <w:lang w:val="en-US" w:eastAsia="zh-CN" w:bidi="ar-SA"/>
    </w:rPr>
  </w:style>
  <w:style w:type="paragraph" w:customStyle="1" w:styleId="136">
    <w:name w:val="注×：（正文）"/>
    <w:qFormat/>
    <w:uiPriority w:val="0"/>
    <w:pPr>
      <w:numPr>
        <w:ilvl w:val="0"/>
        <w:numId w:val="14"/>
      </w:numPr>
      <w:ind w:left="811" w:hanging="448"/>
      <w:jc w:val="both"/>
    </w:pPr>
    <w:rPr>
      <w:rFonts w:ascii="宋体" w:hAnsi="Calibri" w:eastAsia="宋体" w:cs="Times New Roman"/>
      <w:sz w:val="18"/>
      <w:szCs w:val="18"/>
      <w:lang w:val="en-US" w:eastAsia="zh-CN" w:bidi="ar-SA"/>
    </w:rPr>
  </w:style>
  <w:style w:type="paragraph" w:customStyle="1" w:styleId="137">
    <w:name w:val="附录标识"/>
    <w:basedOn w:val="1"/>
    <w:next w:val="25"/>
    <w:uiPriority w:val="0"/>
    <w:pPr>
      <w:keepNext/>
      <w:widowControl/>
      <w:numPr>
        <w:ilvl w:val="0"/>
        <w:numId w:val="9"/>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138">
    <w:name w:val="附录一级无"/>
    <w:basedOn w:val="107"/>
    <w:qFormat/>
    <w:uiPriority w:val="0"/>
    <w:pPr>
      <w:tabs>
        <w:tab w:val="clear" w:pos="360"/>
      </w:tabs>
      <w:spacing w:beforeLines="0" w:afterLines="0"/>
    </w:pPr>
    <w:rPr>
      <w:rFonts w:ascii="宋体" w:eastAsia="宋体"/>
      <w:szCs w:val="21"/>
    </w:rPr>
  </w:style>
  <w:style w:type="paragraph" w:customStyle="1" w:styleId="139">
    <w:name w:val="正文图标题"/>
    <w:next w:val="25"/>
    <w:qFormat/>
    <w:uiPriority w:val="0"/>
    <w:pPr>
      <w:numPr>
        <w:ilvl w:val="0"/>
        <w:numId w:val="15"/>
      </w:numPr>
      <w:spacing w:beforeLines="50" w:afterLines="50"/>
      <w:jc w:val="center"/>
    </w:pPr>
    <w:rPr>
      <w:rFonts w:ascii="黑体" w:hAnsi="Calibri" w:eastAsia="黑体" w:cs="Times New Roman"/>
      <w:sz w:val="21"/>
      <w:lang w:val="en-US" w:eastAsia="zh-CN" w:bidi="ar-SA"/>
    </w:rPr>
  </w:style>
  <w:style w:type="paragraph" w:customStyle="1" w:styleId="140">
    <w:name w:val="正文公式编号制表符"/>
    <w:basedOn w:val="25"/>
    <w:next w:val="25"/>
    <w:qFormat/>
    <w:uiPriority w:val="0"/>
    <w:pPr>
      <w:ind w:firstLine="0" w:firstLineChars="0"/>
    </w:pPr>
  </w:style>
  <w:style w:type="paragraph" w:customStyle="1" w:styleId="141">
    <w:name w:val="封面标准代替信息"/>
    <w:qFormat/>
    <w:uiPriority w:val="0"/>
    <w:pPr>
      <w:framePr w:w="9140" w:h="1242" w:hRule="exact" w:hSpace="284" w:wrap="around" w:vAnchor="page" w:hAnchor="page" w:x="1645" w:y="2910" w:anchorLock="1"/>
      <w:spacing w:before="57" w:line="280" w:lineRule="exact"/>
      <w:jc w:val="right"/>
    </w:pPr>
    <w:rPr>
      <w:rFonts w:ascii="宋体" w:hAnsi="Calibri" w:eastAsia="宋体" w:cs="Times New Roman"/>
      <w:sz w:val="21"/>
      <w:szCs w:val="21"/>
      <w:lang w:val="en-US" w:eastAsia="zh-CN" w:bidi="ar-SA"/>
    </w:rPr>
  </w:style>
  <w:style w:type="paragraph" w:customStyle="1" w:styleId="142">
    <w:name w:val="附录二级无"/>
    <w:basedOn w:val="81"/>
    <w:qFormat/>
    <w:uiPriority w:val="0"/>
    <w:pPr>
      <w:tabs>
        <w:tab w:val="clear" w:pos="360"/>
      </w:tabs>
      <w:spacing w:beforeLines="0" w:afterLines="0"/>
    </w:pPr>
    <w:rPr>
      <w:rFonts w:ascii="宋体" w:eastAsia="宋体"/>
      <w:szCs w:val="21"/>
    </w:rPr>
  </w:style>
  <w:style w:type="paragraph" w:customStyle="1" w:styleId="143">
    <w:name w:val="附录公式编号制表符"/>
    <w:basedOn w:val="1"/>
    <w:next w:val="25"/>
    <w:qFormat/>
    <w:uiPriority w:val="0"/>
    <w:pPr>
      <w:widowControl/>
      <w:tabs>
        <w:tab w:val="center" w:pos="4201"/>
        <w:tab w:val="right" w:leader="dot" w:pos="9298"/>
      </w:tabs>
      <w:autoSpaceDE w:val="0"/>
      <w:autoSpaceDN w:val="0"/>
    </w:pPr>
    <w:rPr>
      <w:rFonts w:ascii="宋体"/>
      <w:kern w:val="0"/>
      <w:szCs w:val="20"/>
    </w:rPr>
  </w:style>
  <w:style w:type="paragraph" w:customStyle="1" w:styleId="144">
    <w:name w:val="参考文献、索引标题"/>
    <w:basedOn w:val="1"/>
    <w:next w:val="25"/>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145">
    <w:name w:val="修订1"/>
    <w:semiHidden/>
    <w:qFormat/>
    <w:uiPriority w:val="99"/>
    <w:rPr>
      <w:rFonts w:ascii="Calibri" w:hAnsi="Calibri" w:eastAsia="宋体" w:cs="Times New Roman"/>
      <w:kern w:val="2"/>
      <w:sz w:val="21"/>
      <w:szCs w:val="24"/>
      <w:lang w:val="en-US" w:eastAsia="zh-CN" w:bidi="ar-SA"/>
    </w:rPr>
  </w:style>
  <w:style w:type="paragraph" w:customStyle="1" w:styleId="146">
    <w:name w:val="附录四级无"/>
    <w:basedOn w:val="114"/>
    <w:uiPriority w:val="0"/>
    <w:pPr>
      <w:tabs>
        <w:tab w:val="clear" w:pos="360"/>
      </w:tabs>
      <w:spacing w:beforeLines="0" w:afterLines="0"/>
    </w:pPr>
    <w:rPr>
      <w:rFonts w:ascii="宋体" w:eastAsia="宋体"/>
      <w:szCs w:val="21"/>
    </w:rPr>
  </w:style>
  <w:style w:type="paragraph" w:customStyle="1" w:styleId="147">
    <w:name w:val="其他标准称谓"/>
    <w:next w:val="1"/>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148">
    <w:name w:val="注：（正文）"/>
    <w:basedOn w:val="98"/>
    <w:next w:val="25"/>
    <w:qFormat/>
    <w:uiPriority w:val="0"/>
    <w:pPr>
      <w:numPr>
        <w:numId w:val="16"/>
      </w:numPr>
      <w:ind w:left="726" w:hanging="363"/>
    </w:pPr>
  </w:style>
  <w:style w:type="paragraph" w:customStyle="1" w:styleId="149">
    <w:name w:val="列项说明"/>
    <w:basedOn w:val="1"/>
    <w:qFormat/>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150">
    <w:name w:val="封面标准文稿编辑信息2"/>
    <w:basedOn w:val="93"/>
    <w:qFormat/>
    <w:uiPriority w:val="0"/>
    <w:pPr>
      <w:framePr w:wrap="around" w:y="4469"/>
    </w:pPr>
  </w:style>
  <w:style w:type="paragraph" w:customStyle="1" w:styleId="151">
    <w:name w:val="四级无"/>
    <w:basedOn w:val="73"/>
    <w:qFormat/>
    <w:uiPriority w:val="0"/>
    <w:pPr>
      <w:spacing w:beforeLines="0" w:afterLines="0"/>
    </w:pPr>
    <w:rPr>
      <w:rFonts w:ascii="宋体" w:eastAsia="宋体"/>
    </w:rPr>
  </w:style>
  <w:style w:type="paragraph" w:customStyle="1" w:styleId="152">
    <w:name w:val="图表脚注说明"/>
    <w:basedOn w:val="1"/>
    <w:qFormat/>
    <w:uiPriority w:val="0"/>
    <w:pPr>
      <w:numPr>
        <w:ilvl w:val="0"/>
        <w:numId w:val="17"/>
      </w:numPr>
    </w:pPr>
    <w:rPr>
      <w:rFonts w:ascii="宋体"/>
      <w:sz w:val="18"/>
      <w:szCs w:val="18"/>
    </w:rPr>
  </w:style>
  <w:style w:type="character" w:customStyle="1" w:styleId="153">
    <w:name w:val="一级条标题 Char"/>
    <w:link w:val="76"/>
    <w:qFormat/>
    <w:locked/>
    <w:uiPriority w:val="0"/>
    <w:rPr>
      <w:rFonts w:ascii="黑体" w:eastAsia="黑体"/>
      <w:sz w:val="21"/>
      <w:szCs w:val="21"/>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microsoft.com/office/2006/relationships/keyMapCustomizations" Target="customizations.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85C3E3C-A9BA-CF47-8945-B903D08EE35E}">
  <ds:schemaRefs/>
</ds:datastoreItem>
</file>

<file path=docProps/app.xml><?xml version="1.0" encoding="utf-8"?>
<Properties xmlns="http://schemas.openxmlformats.org/officeDocument/2006/extended-properties" xmlns:vt="http://schemas.openxmlformats.org/officeDocument/2006/docPropsVTypes">
  <Template>Normal.dotm</Template>
  <Company>zle</Company>
  <Pages>20</Pages>
  <Words>13115</Words>
  <Characters>13921</Characters>
  <Lines>181</Lines>
  <Paragraphs>200</Paragraphs>
  <TotalTime>0</TotalTime>
  <ScaleCrop>false</ScaleCrop>
  <LinksUpToDate>false</LinksUpToDate>
  <CharactersWithSpaces>14091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2026-05-23T02:30:00Z</dcterms:created>
  <dc:creator>CNIS</dc:creator>
  <cp:lastModifiedBy>企业用户_528621947</cp:lastModifiedBy>
  <cp:lastPrinted>2026-05-12T16:23:00Z</cp:lastPrinted>
  <dcterms:modified xsi:type="dcterms:W3CDTF">2026-06-24T03:31:11Z</dcterms:modified>
  <dc:title>标准名称</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eyJoZGlkIjoiNDhiMmE5OTMxOTBmOWNhMTg3Mzg0OGNmZGM2ZTA3ZTgiLCJ1c2VySWQiOiIxNzUxNjM5MTExIn0=</vt:lpwstr>
  </property>
  <property fmtid="{D5CDD505-2E9C-101B-9397-08002B2CF9AE}" pid="4" name="ICV">
    <vt:lpwstr>10B274594F6A4DCD8BE9322A55D0795A_13</vt:lpwstr>
  </property>
</Properties>
</file>