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072"/>
        </w:tabs>
        <w:ind w:right="112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   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关于举办第七期《早产儿家庭养 </w:t>
      </w:r>
      <w:r>
        <w:rPr>
          <w:rFonts w:asciiTheme="majorEastAsia" w:hAnsiTheme="majorEastAsia" w:eastAsiaTheme="majorEastAsia"/>
          <w:b/>
          <w:sz w:val="44"/>
          <w:szCs w:val="44"/>
        </w:rPr>
        <w:t xml:space="preserve"> 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育顾问》培训班的通知</w:t>
      </w:r>
    </w:p>
    <w:p>
      <w:pPr>
        <w:tabs>
          <w:tab w:val="right" w:pos="9072"/>
        </w:tabs>
        <w:ind w:right="1120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tabs>
          <w:tab w:val="right" w:pos="9072"/>
        </w:tabs>
        <w:spacing w:line="460" w:lineRule="exact"/>
        <w:ind w:right="112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各医疗机构、相关单位及个人：</w:t>
      </w:r>
    </w:p>
    <w:p>
      <w:pPr>
        <w:tabs>
          <w:tab w:val="right" w:pos="9072"/>
        </w:tabs>
        <w:spacing w:line="460" w:lineRule="exact"/>
        <w:ind w:right="10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国家卫建委《早产儿保健工作规范》披露，我国早产儿发生率在7.0%左右，并已成为我国婴儿死亡的首因。此外，早产儿出生后，如果未及时采取有效的综合干预，其生长发育和营养状况等都将明显落后于正常足月儿。</w:t>
      </w:r>
    </w:p>
    <w:p>
      <w:pPr>
        <w:tabs>
          <w:tab w:val="right" w:pos="9072"/>
        </w:tabs>
        <w:spacing w:line="460" w:lineRule="exact"/>
        <w:ind w:right="10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前，我国早产儿家庭面临着养育知识和技能缺乏的困境，在孩子出院前，很难找到系统学习养育技能的正确渠道；而在养育的过程中出现了问题，也很难找到在早产儿养育方面擅长的专业人士进行及时有效的咨询，不仅影响了早产儿孩子出院后的生长发育，也使不恰当的养育成为早产儿出院后再次入院的一大因素。为此，中国优生优育协会定于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日-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日，举办《早产儿家庭养育顾问》培训班。</w:t>
      </w:r>
    </w:p>
    <w:p>
      <w:pPr>
        <w:tabs>
          <w:tab w:val="right" w:pos="9072"/>
        </w:tabs>
        <w:spacing w:line="460" w:lineRule="exact"/>
        <w:ind w:right="10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b/>
          <w:bCs/>
          <w:sz w:val="32"/>
          <w:szCs w:val="32"/>
        </w:rPr>
        <w:t>组织架构</w:t>
      </w:r>
    </w:p>
    <w:p>
      <w:pPr>
        <w:spacing w:line="4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主办单位：中国优生优育协会</w:t>
      </w:r>
    </w:p>
    <w:p>
      <w:pPr>
        <w:spacing w:line="460" w:lineRule="exact"/>
        <w:ind w:firstLine="739" w:firstLineChars="231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承办单位：婴幼儿发育专业委员会</w:t>
      </w:r>
    </w:p>
    <w:p>
      <w:pPr>
        <w:spacing w:line="4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协办单位：上海懿英健康管理有限公司</w:t>
      </w:r>
    </w:p>
    <w:p>
      <w:pPr>
        <w:spacing w:line="460" w:lineRule="exact"/>
        <w:ind w:firstLine="739" w:firstLineChars="231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b/>
          <w:bCs/>
          <w:sz w:val="32"/>
          <w:szCs w:val="32"/>
        </w:rPr>
        <w:t>课程形式及内容</w:t>
      </w:r>
    </w:p>
    <w:p>
      <w:pPr>
        <w:pStyle w:val="10"/>
        <w:spacing w:line="460" w:lineRule="exact"/>
        <w:ind w:firstLine="64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《早产儿家庭养育顾问》课程将分为线上学习和线下学习两部分。</w:t>
      </w:r>
    </w:p>
    <w:p>
      <w:pPr>
        <w:pStyle w:val="10"/>
        <w:spacing w:line="460" w:lineRule="exact"/>
        <w:ind w:firstLine="64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（一）理论基础（线上学习，报名即可开始观看），涵盖6个模块，共24个主题的线上录播课，学习时长约为14小时。</w:t>
      </w:r>
    </w:p>
    <w:p>
      <w:pPr>
        <w:pStyle w:val="10"/>
        <w:spacing w:line="460" w:lineRule="exact"/>
        <w:ind w:firstLine="1600" w:firstLineChars="5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1、早产儿基础知识</w:t>
      </w:r>
    </w:p>
    <w:p>
      <w:pPr>
        <w:pStyle w:val="10"/>
        <w:spacing w:line="460" w:lineRule="exact"/>
        <w:ind w:firstLine="1600" w:firstLineChars="5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2、早产儿喂养基础</w:t>
      </w:r>
    </w:p>
    <w:p>
      <w:pPr>
        <w:pStyle w:val="10"/>
        <w:spacing w:line="460" w:lineRule="exact"/>
        <w:ind w:firstLine="1600" w:firstLineChars="5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3、早产儿日常护理</w:t>
      </w:r>
    </w:p>
    <w:p>
      <w:pPr>
        <w:pStyle w:val="10"/>
        <w:spacing w:line="460" w:lineRule="exact"/>
        <w:ind w:firstLine="1600" w:firstLineChars="5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4、早产儿发育常识</w:t>
      </w:r>
    </w:p>
    <w:p>
      <w:pPr>
        <w:pStyle w:val="10"/>
        <w:spacing w:line="460" w:lineRule="exact"/>
        <w:ind w:firstLine="1600" w:firstLineChars="5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5、早产儿干预护理</w:t>
      </w:r>
    </w:p>
    <w:p>
      <w:pPr>
        <w:pStyle w:val="10"/>
        <w:spacing w:line="460" w:lineRule="exact"/>
        <w:ind w:firstLine="1600" w:firstLineChars="5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6、早产儿家庭心理支持</w:t>
      </w:r>
    </w:p>
    <w:p>
      <w:pPr>
        <w:pStyle w:val="10"/>
        <w:spacing w:line="460" w:lineRule="exact"/>
        <w:ind w:firstLine="64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（二）落地实操（线下学习）</w:t>
      </w:r>
    </w:p>
    <w:p>
      <w:pPr>
        <w:pStyle w:val="10"/>
        <w:spacing w:line="460" w:lineRule="exact"/>
        <w:ind w:firstLine="64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在4天面授课里进行基础知识的深入学习，以及典型案例的分析研究，主要包括：</w:t>
      </w:r>
    </w:p>
    <w:p>
      <w:pPr>
        <w:tabs>
          <w:tab w:val="right" w:pos="9072"/>
        </w:tabs>
        <w:spacing w:line="460" w:lineRule="exact"/>
        <w:ind w:right="10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1、十份真实出院小结，学习预判个性化养育方案；</w:t>
      </w:r>
    </w:p>
    <w:p>
      <w:pPr>
        <w:tabs>
          <w:tab w:val="right" w:pos="9072"/>
        </w:tabs>
        <w:spacing w:line="460" w:lineRule="exact"/>
        <w:ind w:right="10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2、十大家长高频提问，掌握如何正确回应；</w:t>
      </w:r>
    </w:p>
    <w:p>
      <w:pPr>
        <w:tabs>
          <w:tab w:val="right" w:pos="9072"/>
        </w:tabs>
        <w:spacing w:line="460" w:lineRule="exact"/>
        <w:ind w:right="10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3、十大咨询综合场景，训练综合服务能力；</w:t>
      </w:r>
    </w:p>
    <w:p>
      <w:pPr>
        <w:tabs>
          <w:tab w:val="right" w:pos="9072"/>
        </w:tabs>
        <w:spacing w:line="460" w:lineRule="exact"/>
        <w:ind w:right="10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4、熟练操作正确的安抚、抚触、被动操、被单操及干预摆位枕的使用。</w:t>
      </w:r>
    </w:p>
    <w:p>
      <w:pPr>
        <w:tabs>
          <w:tab w:val="right" w:pos="9072"/>
        </w:tabs>
        <w:spacing w:line="460" w:lineRule="exact"/>
        <w:ind w:right="10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完成线上和线下课程，并通过相关的考核项目，可申请中国优生优育协会《早产儿家庭养育顾问》职业技能的培训认证。</w:t>
      </w:r>
    </w:p>
    <w:p>
      <w:pPr>
        <w:pStyle w:val="10"/>
        <w:spacing w:line="460" w:lineRule="exact"/>
        <w:ind w:left="1197" w:firstLine="0" w:firstLineChars="0"/>
        <w:outlineLvl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none"/>
          <w:shd w:val="clear"/>
        </w:rPr>
        <w:t>三、</w:t>
      </w:r>
      <w:r>
        <w:rPr>
          <w:rFonts w:hint="eastAsia" w:ascii="黑体" w:hAnsi="黑体" w:eastAsia="黑体"/>
          <w:b/>
          <w:bCs/>
          <w:sz w:val="32"/>
          <w:szCs w:val="32"/>
        </w:rPr>
        <w:t>课程师资：</w:t>
      </w:r>
    </w:p>
    <w:tbl>
      <w:tblPr>
        <w:tblStyle w:val="6"/>
        <w:tblpPr w:leftFromText="180" w:rightFromText="180" w:vertAnchor="text" w:horzAnchor="page" w:tblpX="2665" w:tblpY="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6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8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刘维民</w:t>
            </w:r>
          </w:p>
        </w:tc>
        <w:tc>
          <w:tcPr>
            <w:tcW w:w="640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博士、北京协和医院儿科专家-鲍秀兰医生团队首席医疗专家</w:t>
            </w:r>
          </w:p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获得美国哈佛大学布雷寿顿研究所新生儿行为观察（NBO）认证</w:t>
            </w:r>
          </w:p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中国医师协会儿童早期综合健康发展专业委员会委员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8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冯建英</w:t>
            </w:r>
          </w:p>
        </w:tc>
        <w:tc>
          <w:tcPr>
            <w:tcW w:w="640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杭州美中宜和妇儿医院儿童保健科医生</w:t>
            </w:r>
          </w:p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曾在浙江省康复医疗中心兼做言语治疗工作</w:t>
            </w:r>
          </w:p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近2</w:t>
            </w:r>
            <w:r>
              <w:rPr>
                <w:rFonts w:ascii="仿宋" w:hAnsi="仿宋" w:eastAsia="仿宋"/>
                <w:spacing w:val="-11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年临床工作经验</w:t>
            </w:r>
          </w:p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著有《母乳喂养 亲密育儿》一书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8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倪一瀛</w:t>
            </w:r>
          </w:p>
        </w:tc>
        <w:tc>
          <w:tcPr>
            <w:tcW w:w="640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曾任北京爱育华妇儿医院新生儿科护士长</w:t>
            </w:r>
          </w:p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曾就职于北京协和医院儿科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28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羊芸</w:t>
            </w:r>
          </w:p>
        </w:tc>
        <w:tc>
          <w:tcPr>
            <w:tcW w:w="6400" w:type="dxa"/>
          </w:tcPr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上海三甲产院新生儿重症监护室护士长</w:t>
            </w:r>
          </w:p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超过1</w:t>
            </w:r>
            <w:r>
              <w:rPr>
                <w:rFonts w:ascii="仿宋" w:hAnsi="仿宋" w:eastAsia="仿宋"/>
                <w:spacing w:val="-11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年新生儿护理经验</w:t>
            </w:r>
          </w:p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获得实用专利2项、发表论文若干篇、参与妇产科实用学书籍的审稿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28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倪明辉</w:t>
            </w:r>
          </w:p>
        </w:tc>
        <w:tc>
          <w:tcPr>
            <w:tcW w:w="640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早产儿科普作家、早产儿公益推行者、中早网创始人、早产儿出院后家庭养育学员创办人</w:t>
            </w:r>
          </w:p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撰写早产儿科普超过2</w:t>
            </w:r>
            <w:r>
              <w:rPr>
                <w:rFonts w:ascii="仿宋" w:hAnsi="仿宋" w:eastAsia="仿宋"/>
                <w:spacing w:val="-11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万字，为6万个以上早产儿家庭提供养育指导</w:t>
            </w:r>
          </w:p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《早来的天使》作者、《婴幼儿养育和早期干预实用手册（高危儿卷）》合著者、《早产儿家庭养育指导手册》主编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8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朱奕玲</w:t>
            </w:r>
          </w:p>
        </w:tc>
        <w:tc>
          <w:tcPr>
            <w:tcW w:w="640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早产儿家庭养育顾问课程联合研发、哺乳指导、获得中社联“生育心理健康干预”专项技能</w:t>
            </w:r>
          </w:p>
          <w:p>
            <w:pPr>
              <w:pStyle w:val="10"/>
              <w:numPr>
                <w:ilvl w:val="0"/>
                <w:numId w:val="1"/>
              </w:numPr>
              <w:ind w:left="181" w:hanging="181" w:firstLineChars="0"/>
              <w:jc w:val="left"/>
              <w:rPr>
                <w:rFonts w:ascii="仿宋" w:hAnsi="仿宋" w:eastAsia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</w:rPr>
              <w:t>《不仅仅是情绪波动——了解和治疗孕期及产后抑郁症、焦虑症及相关情绪障碍》、《泌乳顾问执业指南》等书籍主要译者</w:t>
            </w:r>
          </w:p>
        </w:tc>
      </w:tr>
    </w:tbl>
    <w:p>
      <w:pPr>
        <w:pStyle w:val="10"/>
        <w:spacing w:line="460" w:lineRule="exact"/>
        <w:ind w:left="545"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left="519" w:leftChars="247" w:firstLine="45" w:firstLineChars="15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left="519" w:leftChars="247" w:firstLine="45" w:firstLineChars="15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left="519" w:leftChars="247" w:firstLine="45" w:firstLineChars="15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left="519" w:leftChars="247" w:firstLine="45" w:firstLineChars="15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left="519" w:leftChars="247" w:firstLine="45" w:firstLineChars="15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left="519" w:leftChars="247" w:firstLine="45" w:firstLineChars="15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left="519" w:leftChars="247" w:firstLine="45" w:firstLineChars="15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left="0" w:leftChars="0" w:firstLine="0" w:firstLineChars="0"/>
        <w:jc w:val="left"/>
        <w:outlineLvl w:val="0"/>
        <w:rPr>
          <w:rFonts w:ascii="仿宋" w:hAnsi="仿宋" w:eastAsia="仿宋"/>
          <w:b/>
          <w:bCs/>
          <w:spacing w:val="-11"/>
          <w:sz w:val="32"/>
          <w:szCs w:val="32"/>
        </w:rPr>
      </w:pPr>
    </w:p>
    <w:p>
      <w:pPr>
        <w:pStyle w:val="10"/>
        <w:spacing w:line="460" w:lineRule="exact"/>
        <w:ind w:left="519" w:leftChars="247" w:firstLine="48" w:firstLineChars="15"/>
        <w:outlineLvl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四、课程时间、地点：</w:t>
      </w:r>
    </w:p>
    <w:p>
      <w:pPr>
        <w:pStyle w:val="10"/>
        <w:spacing w:line="440" w:lineRule="exact"/>
        <w:ind w:left="64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（一）培训时间：2021年10月</w:t>
      </w:r>
      <w:r>
        <w:rPr>
          <w:rFonts w:ascii="仿宋" w:hAnsi="仿宋" w:eastAsia="仿宋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日-1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月2日</w:t>
      </w:r>
    </w:p>
    <w:p>
      <w:pPr>
        <w:pStyle w:val="10"/>
        <w:spacing w:line="44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1、必修课：早上9:00-下午5:30（最后一天下午4：00下课）；</w:t>
      </w:r>
    </w:p>
    <w:p>
      <w:pPr>
        <w:pStyle w:val="10"/>
        <w:spacing w:line="44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2、选修课：第二天和第三天晚6:30-8:00（自愿报名，</w:t>
      </w:r>
      <w:r>
        <w:rPr>
          <w:rFonts w:hint="eastAsia" w:ascii="楷体" w:hAnsi="楷体" w:eastAsia="楷体"/>
          <w:sz w:val="32"/>
          <w:szCs w:val="32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-1164590</wp:posOffset>
            </wp:positionH>
            <wp:positionV relativeFrom="paragraph">
              <wp:posOffset>-909320</wp:posOffset>
            </wp:positionV>
            <wp:extent cx="7635240" cy="10828655"/>
            <wp:effectExtent l="0" t="0" r="0" b="6985"/>
            <wp:wrapNone/>
            <wp:docPr id="2" name="图片 2" descr="早产儿家庭养育顾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早产儿家庭养育顾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5240" cy="1082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实战咨询演练督导）。</w:t>
      </w:r>
    </w:p>
    <w:p>
      <w:pPr>
        <w:pStyle w:val="10"/>
        <w:spacing w:line="440" w:lineRule="exact"/>
        <w:ind w:left="4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（二）培训地点：上海浦东新区龙东大道1288号信源张江广场1号楼306室 懿英教育</w:t>
      </w:r>
    </w:p>
    <w:p>
      <w:pPr>
        <w:pStyle w:val="10"/>
        <w:spacing w:line="460" w:lineRule="exact"/>
        <w:ind w:firstLine="643"/>
        <w:outlineLvl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五、培训对象：</w:t>
      </w:r>
    </w:p>
    <w:p>
      <w:pPr>
        <w:tabs>
          <w:tab w:val="right" w:pos="9072"/>
        </w:tabs>
        <w:spacing w:line="460" w:lineRule="exact"/>
        <w:ind w:right="10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从事新生儿、儿科、儿童保健工作的医生、护士；IBCLC国际认证泌乳顾问，或拥有50小时以上个案经验的泌乳顾问/哺乳指导泌乳；以及大专及以上学历，且拥有母婴行业一线服务经验超过2年的专业人员。</w:t>
      </w:r>
    </w:p>
    <w:p>
      <w:pPr>
        <w:pStyle w:val="10"/>
        <w:spacing w:line="460" w:lineRule="exact"/>
        <w:ind w:firstLine="643"/>
        <w:outlineLvl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六、其他事项</w:t>
      </w:r>
    </w:p>
    <w:p>
      <w:pPr>
        <w:tabs>
          <w:tab w:val="right" w:pos="9072"/>
        </w:tabs>
        <w:spacing w:line="460" w:lineRule="exact"/>
        <w:ind w:right="106" w:firstLine="691" w:firstLineChars="2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（一）培训费：8600元/人（含讲义及配套材料、茶歇及认证申请费用），两人同行，可享受学费减免800元/人，培训期间食宿费用自理；</w:t>
      </w:r>
    </w:p>
    <w:p>
      <w:pPr>
        <w:tabs>
          <w:tab w:val="right" w:pos="9072"/>
        </w:tabs>
        <w:spacing w:line="460" w:lineRule="exact"/>
        <w:ind w:right="10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（二）参加课程人员请提前15日报名并缴费，确保在参加线下学习之前，有充足的时间完成线上学习；</w:t>
      </w:r>
    </w:p>
    <w:p>
      <w:pPr>
        <w:tabs>
          <w:tab w:val="right" w:pos="9072"/>
        </w:tabs>
        <w:spacing w:line="460" w:lineRule="exact"/>
        <w:ind w:right="10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）课务老师信息及联系电话：</w:t>
      </w:r>
    </w:p>
    <w:p>
      <w:pPr>
        <w:tabs>
          <w:tab w:val="right" w:pos="9072"/>
        </w:tabs>
        <w:spacing w:line="460" w:lineRule="exact"/>
        <w:ind w:right="106"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小才 13167238331（微信电话同号）</w:t>
      </w:r>
      <w:bookmarkStart w:id="0" w:name="_GoBack"/>
      <w:bookmarkEnd w:id="0"/>
    </w:p>
    <w:p>
      <w:pPr>
        <w:pStyle w:val="10"/>
        <w:spacing w:line="460" w:lineRule="exact"/>
        <w:ind w:firstLine="643"/>
        <w:outlineLvl w:val="0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报名方式</w:t>
      </w:r>
    </w:p>
    <w:p>
      <w:pPr>
        <w:tabs>
          <w:tab w:val="right" w:pos="9072"/>
        </w:tabs>
        <w:spacing w:line="460" w:lineRule="exact"/>
        <w:ind w:right="106"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236855</wp:posOffset>
            </wp:positionV>
            <wp:extent cx="1532255" cy="1532255"/>
            <wp:effectExtent l="0" t="0" r="6985" b="6985"/>
            <wp:wrapNone/>
            <wp:docPr id="1" name="图片 1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spacing w:line="460" w:lineRule="exact"/>
        <w:ind w:left="3573" w:leftChars="1695" w:right="106" w:rightChars="0" w:hanging="14" w:hangingChars="5"/>
        <w:outlineLvl w:val="0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http://peixun.ysyy.org.cn/mobile/#/pages/meet/detail?id=akd460755ac00cab67b2c1a779f30868c6al</w:t>
      </w:r>
    </w:p>
    <w:p>
      <w:pPr>
        <w:pStyle w:val="10"/>
        <w:spacing w:line="460" w:lineRule="exact"/>
        <w:ind w:left="3578" w:leftChars="1704" w:right="106" w:rightChars="0" w:firstLine="640" w:firstLineChars="200"/>
        <w:outlineLvl w:val="0"/>
        <w:rPr>
          <w:rFonts w:hint="eastAsia" w:ascii="楷体" w:hAnsi="楷体" w:eastAsia="楷体"/>
          <w:sz w:val="32"/>
          <w:szCs w:val="32"/>
        </w:rPr>
      </w:pPr>
    </w:p>
    <w:p>
      <w:pPr>
        <w:pStyle w:val="10"/>
        <w:spacing w:line="460" w:lineRule="exact"/>
        <w:ind w:right="106" w:rightChars="0" w:firstLine="2240" w:firstLineChars="700"/>
        <w:outlineLvl w:val="0"/>
        <w:rPr>
          <w:rFonts w:hint="eastAsia" w:ascii="楷体" w:hAnsi="楷体" w:eastAsia="楷体"/>
          <w:sz w:val="32"/>
          <w:szCs w:val="32"/>
        </w:rPr>
      </w:pPr>
    </w:p>
    <w:p>
      <w:pPr>
        <w:pStyle w:val="10"/>
        <w:spacing w:line="460" w:lineRule="exact"/>
        <w:ind w:right="106" w:rightChars="0" w:firstLine="2240" w:firstLineChars="700"/>
        <w:outlineLvl w:val="0"/>
        <w:rPr>
          <w:rFonts w:hint="eastAsia" w:ascii="楷体" w:hAnsi="楷体" w:eastAsia="楷体"/>
          <w:sz w:val="32"/>
          <w:szCs w:val="32"/>
        </w:rPr>
      </w:pPr>
    </w:p>
    <w:p>
      <w:pPr>
        <w:pStyle w:val="10"/>
        <w:spacing w:line="460" w:lineRule="exact"/>
        <w:ind w:left="0" w:leftChars="0" w:right="106" w:rightChars="0" w:firstLine="0" w:firstLineChars="0"/>
        <w:outlineLvl w:val="0"/>
        <w:rPr>
          <w:rFonts w:hint="eastAsia" w:ascii="楷体" w:hAnsi="楷体" w:eastAsia="楷体"/>
          <w:sz w:val="32"/>
          <w:szCs w:val="32"/>
        </w:rPr>
      </w:pPr>
    </w:p>
    <w:p>
      <w:pPr>
        <w:pStyle w:val="10"/>
        <w:spacing w:line="460" w:lineRule="exact"/>
        <w:ind w:right="106" w:rightChars="0" w:firstLine="2240" w:firstLineChars="700"/>
        <w:outlineLvl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中国优生优育协会婴幼儿发育专业委员会</w:t>
      </w:r>
    </w:p>
    <w:p>
      <w:pPr>
        <w:pStyle w:val="10"/>
        <w:spacing w:line="460" w:lineRule="exact"/>
        <w:ind w:right="1280" w:firstLine="3840" w:firstLineChars="1200"/>
        <w:outlineLvl w:val="0"/>
        <w:rPr>
          <w:rFonts w:hint="eastAsia" w:ascii="楷体" w:hAnsi="楷体" w:eastAsia="楷体"/>
          <w:sz w:val="32"/>
          <w:szCs w:val="32"/>
        </w:rPr>
      </w:pPr>
    </w:p>
    <w:p>
      <w:pPr>
        <w:pStyle w:val="10"/>
        <w:spacing w:line="240" w:lineRule="auto"/>
        <w:ind w:right="1280" w:firstLine="3840" w:firstLineChars="1200"/>
        <w:outlineLvl w:val="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2021年</w:t>
      </w:r>
      <w:r>
        <w:rPr>
          <w:rFonts w:ascii="楷体" w:hAnsi="楷体" w:eastAsia="楷体"/>
          <w:sz w:val="32"/>
          <w:szCs w:val="32"/>
        </w:rPr>
        <w:t>9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ascii="楷体" w:hAnsi="楷体" w:eastAsia="楷体"/>
          <w:sz w:val="32"/>
          <w:szCs w:val="32"/>
        </w:rPr>
        <w:t>16</w:t>
      </w:r>
      <w:r>
        <w:rPr>
          <w:rFonts w:hint="eastAsia" w:ascii="楷体" w:hAnsi="楷体" w:eastAsia="楷体"/>
          <w:sz w:val="32"/>
          <w:szCs w:val="32"/>
        </w:rPr>
        <w:t>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D4D4B"/>
    <w:multiLevelType w:val="multilevel"/>
    <w:tmpl w:val="025D4D4B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EF"/>
    <w:rsid w:val="00004BA3"/>
    <w:rsid w:val="00005A72"/>
    <w:rsid w:val="00013253"/>
    <w:rsid w:val="00020745"/>
    <w:rsid w:val="00042CDB"/>
    <w:rsid w:val="0005004A"/>
    <w:rsid w:val="000854D9"/>
    <w:rsid w:val="000C3E32"/>
    <w:rsid w:val="000F17A4"/>
    <w:rsid w:val="001771BD"/>
    <w:rsid w:val="001967BE"/>
    <w:rsid w:val="001A03BA"/>
    <w:rsid w:val="001F5F2F"/>
    <w:rsid w:val="00244962"/>
    <w:rsid w:val="00265167"/>
    <w:rsid w:val="002850F8"/>
    <w:rsid w:val="002A565E"/>
    <w:rsid w:val="002D339D"/>
    <w:rsid w:val="00357B0C"/>
    <w:rsid w:val="00372168"/>
    <w:rsid w:val="003B18FD"/>
    <w:rsid w:val="003B1A78"/>
    <w:rsid w:val="00423CC7"/>
    <w:rsid w:val="00430AB5"/>
    <w:rsid w:val="00470638"/>
    <w:rsid w:val="004D20F8"/>
    <w:rsid w:val="004E31C6"/>
    <w:rsid w:val="0050635E"/>
    <w:rsid w:val="00510CF5"/>
    <w:rsid w:val="00566883"/>
    <w:rsid w:val="00575101"/>
    <w:rsid w:val="0058691D"/>
    <w:rsid w:val="005A76F5"/>
    <w:rsid w:val="005D51F1"/>
    <w:rsid w:val="005E29B3"/>
    <w:rsid w:val="0064387F"/>
    <w:rsid w:val="006D4999"/>
    <w:rsid w:val="006E03E6"/>
    <w:rsid w:val="006E3C6E"/>
    <w:rsid w:val="006F1767"/>
    <w:rsid w:val="006F2C49"/>
    <w:rsid w:val="006F6315"/>
    <w:rsid w:val="007026EF"/>
    <w:rsid w:val="00711621"/>
    <w:rsid w:val="00715256"/>
    <w:rsid w:val="007202D4"/>
    <w:rsid w:val="0072723B"/>
    <w:rsid w:val="007500EB"/>
    <w:rsid w:val="007816AE"/>
    <w:rsid w:val="00783647"/>
    <w:rsid w:val="00791C7C"/>
    <w:rsid w:val="00796B5B"/>
    <w:rsid w:val="007E2202"/>
    <w:rsid w:val="007F1301"/>
    <w:rsid w:val="00800BB8"/>
    <w:rsid w:val="00830E04"/>
    <w:rsid w:val="008525F0"/>
    <w:rsid w:val="00856FDF"/>
    <w:rsid w:val="00862461"/>
    <w:rsid w:val="008C35D2"/>
    <w:rsid w:val="0090011D"/>
    <w:rsid w:val="009140DB"/>
    <w:rsid w:val="0094533B"/>
    <w:rsid w:val="00950AE5"/>
    <w:rsid w:val="0098035E"/>
    <w:rsid w:val="009A589B"/>
    <w:rsid w:val="009B29FF"/>
    <w:rsid w:val="009B4052"/>
    <w:rsid w:val="009C6C68"/>
    <w:rsid w:val="009D08C4"/>
    <w:rsid w:val="009F4104"/>
    <w:rsid w:val="009F62A6"/>
    <w:rsid w:val="009F6739"/>
    <w:rsid w:val="009F7216"/>
    <w:rsid w:val="00A354C2"/>
    <w:rsid w:val="00A37DDE"/>
    <w:rsid w:val="00A4119B"/>
    <w:rsid w:val="00A61734"/>
    <w:rsid w:val="00A73FCA"/>
    <w:rsid w:val="00A807D3"/>
    <w:rsid w:val="00A85CA0"/>
    <w:rsid w:val="00A91A08"/>
    <w:rsid w:val="00AC3C72"/>
    <w:rsid w:val="00AD5EF6"/>
    <w:rsid w:val="00AF436E"/>
    <w:rsid w:val="00AF450E"/>
    <w:rsid w:val="00AF7D17"/>
    <w:rsid w:val="00B74421"/>
    <w:rsid w:val="00BC16AD"/>
    <w:rsid w:val="00BD731C"/>
    <w:rsid w:val="00C05075"/>
    <w:rsid w:val="00C051E9"/>
    <w:rsid w:val="00C14070"/>
    <w:rsid w:val="00C31029"/>
    <w:rsid w:val="00C443B9"/>
    <w:rsid w:val="00C766AB"/>
    <w:rsid w:val="00CB5872"/>
    <w:rsid w:val="00CE5591"/>
    <w:rsid w:val="00CE6097"/>
    <w:rsid w:val="00CE6D85"/>
    <w:rsid w:val="00D10773"/>
    <w:rsid w:val="00D21E5A"/>
    <w:rsid w:val="00D479D6"/>
    <w:rsid w:val="00D565AA"/>
    <w:rsid w:val="00D769A7"/>
    <w:rsid w:val="00D973EA"/>
    <w:rsid w:val="00DB3382"/>
    <w:rsid w:val="00DD30BE"/>
    <w:rsid w:val="00DE66ED"/>
    <w:rsid w:val="00E30B4E"/>
    <w:rsid w:val="00E34484"/>
    <w:rsid w:val="00E42EFD"/>
    <w:rsid w:val="00E55EA3"/>
    <w:rsid w:val="00E81BE8"/>
    <w:rsid w:val="00EB240D"/>
    <w:rsid w:val="00ED35A0"/>
    <w:rsid w:val="00F17CE0"/>
    <w:rsid w:val="00F42B20"/>
    <w:rsid w:val="00F66C90"/>
    <w:rsid w:val="00F74C53"/>
    <w:rsid w:val="00FB1B7D"/>
    <w:rsid w:val="00FB7EA8"/>
    <w:rsid w:val="00FC4573"/>
    <w:rsid w:val="00FD3B35"/>
    <w:rsid w:val="00FD6703"/>
    <w:rsid w:val="00FD6D78"/>
    <w:rsid w:val="00FE52BD"/>
    <w:rsid w:val="00FF0B82"/>
    <w:rsid w:val="032C0EA7"/>
    <w:rsid w:val="093B6DBC"/>
    <w:rsid w:val="09606F31"/>
    <w:rsid w:val="0A15231E"/>
    <w:rsid w:val="0D4F078E"/>
    <w:rsid w:val="0EF8409F"/>
    <w:rsid w:val="11442FF2"/>
    <w:rsid w:val="14192DCF"/>
    <w:rsid w:val="14602A57"/>
    <w:rsid w:val="1D36387E"/>
    <w:rsid w:val="20F72B62"/>
    <w:rsid w:val="21C0494F"/>
    <w:rsid w:val="24C475E4"/>
    <w:rsid w:val="261B24A4"/>
    <w:rsid w:val="29591B77"/>
    <w:rsid w:val="2FFC2EC4"/>
    <w:rsid w:val="390B4B25"/>
    <w:rsid w:val="3C216B31"/>
    <w:rsid w:val="3D6C3EB1"/>
    <w:rsid w:val="3DC1202F"/>
    <w:rsid w:val="458B6DAE"/>
    <w:rsid w:val="50A85898"/>
    <w:rsid w:val="55657C62"/>
    <w:rsid w:val="58C60761"/>
    <w:rsid w:val="58DF3F60"/>
    <w:rsid w:val="5C7720DD"/>
    <w:rsid w:val="5DA179DE"/>
    <w:rsid w:val="605809CE"/>
    <w:rsid w:val="6F2D25C7"/>
    <w:rsid w:val="6F515E9E"/>
    <w:rsid w:val="7BAA1C17"/>
    <w:rsid w:val="7B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1559</Words>
  <Characters>1724</Characters>
  <Lines>13</Lines>
  <Paragraphs>3</Paragraphs>
  <TotalTime>25</TotalTime>
  <ScaleCrop>false</ScaleCrop>
  <LinksUpToDate>false</LinksUpToDate>
  <CharactersWithSpaces>1736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2021-09-07T04:03:00Z</dcterms:created>
  <dc:creator>office</dc:creator>
  <cp:lastModifiedBy>诺一妈</cp:lastModifiedBy>
  <cp:lastPrinted>2021-09-28T07:51:00Z</cp:lastPrinted>
  <dcterms:modified xsi:type="dcterms:W3CDTF">2021-10-08T07:19:15Z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1ACEF6AEAECC4D6A932AD43B17ECA7F2</vt:lpwstr>
  </property>
</Properties>
</file>