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7492B">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5</w:t>
      </w:r>
      <w:r>
        <w:rPr>
          <w:rFonts w:hint="eastAsia" w:ascii="方正小标宋简体" w:hAnsi="黑体" w:eastAsia="方正小标宋简体"/>
          <w:sz w:val="44"/>
          <w:szCs w:val="44"/>
        </w:rPr>
        <w:t>年度全国展览会数据统计</w:t>
      </w:r>
    </w:p>
    <w:p w14:paraId="22A9AF43">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填报手册</w:t>
      </w:r>
    </w:p>
    <w:p w14:paraId="62B57228">
      <w:pPr>
        <w:jc w:val="left"/>
        <w:rPr>
          <w:rFonts w:hint="eastAsia" w:ascii="华文仿宋" w:hAnsi="华文仿宋" w:eastAsia="仿宋" w:cs="华文仿宋"/>
          <w:b/>
          <w:sz w:val="32"/>
          <w:szCs w:val="32"/>
        </w:rPr>
      </w:pPr>
      <w:r>
        <w:rPr>
          <w:rFonts w:hint="eastAsia" w:ascii="华文仿宋" w:hAnsi="华文仿宋" w:eastAsia="仿宋" w:cs="华文仿宋"/>
          <w:b/>
          <w:sz w:val="32"/>
          <w:szCs w:val="32"/>
        </w:rPr>
        <w:t>一、时间及流程</w:t>
      </w:r>
    </w:p>
    <w:p w14:paraId="65E95A0C">
      <w:pPr>
        <w:pStyle w:val="2"/>
        <w:spacing w:line="360" w:lineRule="auto"/>
        <w:ind w:firstLine="570"/>
        <w:rPr>
          <w:rFonts w:hint="eastAsia" w:ascii="华文仿宋" w:hAnsi="华文仿宋" w:eastAsia="仿宋"/>
          <w:color w:val="000000"/>
          <w:sz w:val="28"/>
          <w:szCs w:val="28"/>
        </w:rPr>
      </w:pPr>
      <w:r>
        <w:rPr>
          <w:rFonts w:hint="eastAsia" w:ascii="华文仿宋" w:hAnsi="华文仿宋" w:eastAsia="仿宋"/>
          <w:color w:val="000000"/>
          <w:sz w:val="28"/>
          <w:szCs w:val="28"/>
        </w:rPr>
        <w:t>1、202</w:t>
      </w:r>
      <w:r>
        <w:rPr>
          <w:rFonts w:hint="eastAsia" w:ascii="华文仿宋" w:hAnsi="华文仿宋" w:eastAsia="仿宋"/>
          <w:color w:val="000000"/>
          <w:sz w:val="28"/>
          <w:szCs w:val="28"/>
          <w:lang w:val="en-US" w:eastAsia="zh-CN"/>
        </w:rPr>
        <w:t>5</w:t>
      </w:r>
      <w:r>
        <w:rPr>
          <w:rFonts w:hint="eastAsia" w:ascii="华文仿宋" w:hAnsi="华文仿宋" w:eastAsia="仿宋"/>
          <w:color w:val="000000"/>
          <w:sz w:val="28"/>
          <w:szCs w:val="28"/>
        </w:rPr>
        <w:t>年度全国展览会综合数据统计工作将于202</w:t>
      </w:r>
      <w:r>
        <w:rPr>
          <w:rFonts w:hint="eastAsia" w:ascii="华文仿宋" w:hAnsi="华文仿宋" w:eastAsia="仿宋"/>
          <w:color w:val="000000"/>
          <w:sz w:val="28"/>
          <w:szCs w:val="28"/>
          <w:lang w:val="en-US" w:eastAsia="zh-CN"/>
        </w:rPr>
        <w:t>5</w:t>
      </w:r>
      <w:r>
        <w:rPr>
          <w:rFonts w:hint="eastAsia" w:ascii="华文仿宋" w:hAnsi="华文仿宋" w:eastAsia="仿宋"/>
          <w:color w:val="000000"/>
          <w:sz w:val="28"/>
          <w:szCs w:val="28"/>
        </w:rPr>
        <w:t>年12月18日启动</w:t>
      </w:r>
      <w:r>
        <w:rPr>
          <w:rFonts w:hint="eastAsia" w:ascii="华文仿宋" w:hAnsi="华文仿宋" w:eastAsia="仿宋"/>
          <w:sz w:val="28"/>
          <w:szCs w:val="28"/>
        </w:rPr>
        <w:t>，</w:t>
      </w:r>
      <w:r>
        <w:rPr>
          <w:rFonts w:hint="eastAsia" w:ascii="华文仿宋" w:hAnsi="华文仿宋" w:eastAsia="仿宋"/>
          <w:color w:val="000000"/>
          <w:sz w:val="28"/>
          <w:szCs w:val="28"/>
        </w:rPr>
        <w:t>有关通知将在中国展览馆协会网站上公布，同时发送email给各单位指定的协会联系人，请各单位联系人及时关注中国展览馆协会网站和微信公众号发布的通知及公告，并核收邮件。同时为提高数据统计工作的效率，秘书处已建立数据统计工作微信群，相关工作和通知也将在群里发布。</w:t>
      </w:r>
    </w:p>
    <w:p w14:paraId="44305F51">
      <w:pPr>
        <w:pStyle w:val="2"/>
        <w:spacing w:line="360" w:lineRule="auto"/>
        <w:ind w:firstLine="570"/>
        <w:rPr>
          <w:rFonts w:hint="eastAsia" w:ascii="华文仿宋" w:hAnsi="华文仿宋" w:eastAsia="仿宋"/>
          <w:sz w:val="28"/>
          <w:szCs w:val="28"/>
        </w:rPr>
      </w:pPr>
      <w:r>
        <w:rPr>
          <w:rFonts w:hint="eastAsia" w:ascii="华文仿宋" w:hAnsi="华文仿宋" w:eastAsia="仿宋"/>
          <w:color w:val="000000"/>
          <w:sz w:val="28"/>
          <w:szCs w:val="28"/>
        </w:rPr>
        <w:t>2、各场馆单位于2025年</w:t>
      </w:r>
      <w:r>
        <w:rPr>
          <w:rFonts w:hint="eastAsia" w:ascii="华文仿宋" w:hAnsi="华文仿宋" w:eastAsia="仿宋"/>
          <w:color w:val="000000"/>
          <w:sz w:val="28"/>
          <w:szCs w:val="28"/>
          <w:lang w:val="en-US" w:eastAsia="zh-CN"/>
        </w:rPr>
        <w:t>3</w:t>
      </w:r>
      <w:r>
        <w:rPr>
          <w:rFonts w:hint="eastAsia" w:ascii="华文仿宋" w:hAnsi="华文仿宋" w:eastAsia="仿宋"/>
          <w:color w:val="000000"/>
          <w:sz w:val="28"/>
          <w:szCs w:val="28"/>
        </w:rPr>
        <w:t>月14日之前上报202</w:t>
      </w:r>
      <w:r>
        <w:rPr>
          <w:rFonts w:hint="eastAsia" w:ascii="华文仿宋" w:hAnsi="华文仿宋" w:eastAsia="仿宋"/>
          <w:color w:val="000000"/>
          <w:sz w:val="28"/>
          <w:szCs w:val="28"/>
          <w:lang w:val="en-US" w:eastAsia="zh-CN"/>
        </w:rPr>
        <w:t>5</w:t>
      </w:r>
      <w:r>
        <w:rPr>
          <w:rFonts w:hint="eastAsia" w:ascii="华文仿宋" w:hAnsi="华文仿宋" w:eastAsia="仿宋"/>
          <w:color w:val="000000"/>
          <w:sz w:val="28"/>
          <w:szCs w:val="28"/>
        </w:rPr>
        <w:t>年度展览会综合数据统计表，须确保数据完整、真实、有效（上报邮箱</w:t>
      </w:r>
      <w:r>
        <w:rPr>
          <w:rFonts w:hint="eastAsia" w:ascii="华文仿宋" w:hAnsi="华文仿宋" w:eastAsia="仿宋"/>
          <w:color w:val="000000"/>
          <w:sz w:val="28"/>
          <w:szCs w:val="28"/>
          <w:lang w:eastAsia="zh-CN"/>
        </w:rPr>
        <w:t>：</w:t>
      </w:r>
      <w:r>
        <w:rPr>
          <w:rFonts w:hint="eastAsia" w:ascii="华文仿宋" w:hAnsi="华文仿宋" w:eastAsia="仿宋"/>
          <w:color w:val="000000"/>
          <w:sz w:val="28"/>
          <w:szCs w:val="28"/>
        </w:rPr>
        <w:t>caec</w:t>
      </w:r>
      <w:r>
        <w:rPr>
          <w:rFonts w:ascii="华文仿宋" w:hAnsi="华文仿宋" w:eastAsia="仿宋"/>
          <w:color w:val="000000"/>
          <w:sz w:val="28"/>
          <w:szCs w:val="28"/>
        </w:rPr>
        <w:t>2011@126.com</w:t>
      </w:r>
      <w:r>
        <w:rPr>
          <w:rFonts w:hint="eastAsia" w:ascii="华文仿宋" w:hAnsi="华文仿宋" w:eastAsia="仿宋"/>
          <w:color w:val="000000"/>
          <w:sz w:val="28"/>
          <w:szCs w:val="28"/>
        </w:rPr>
        <w:t>）。</w:t>
      </w:r>
    </w:p>
    <w:p w14:paraId="0EC581EB">
      <w:pPr>
        <w:pStyle w:val="2"/>
        <w:spacing w:line="360" w:lineRule="auto"/>
        <w:ind w:firstLine="570"/>
        <w:rPr>
          <w:rFonts w:hint="eastAsia" w:ascii="华文仿宋" w:hAnsi="华文仿宋" w:eastAsia="仿宋"/>
          <w:color w:val="000000"/>
          <w:sz w:val="28"/>
          <w:szCs w:val="28"/>
        </w:rPr>
      </w:pPr>
      <w:r>
        <w:rPr>
          <w:rFonts w:hint="eastAsia" w:ascii="华文仿宋" w:hAnsi="华文仿宋" w:eastAsia="仿宋"/>
          <w:color w:val="000000"/>
          <w:sz w:val="28"/>
          <w:szCs w:val="28"/>
        </w:rPr>
        <w:t>3、中国展览馆协会综合</w:t>
      </w:r>
      <w:bookmarkStart w:id="1" w:name="_GoBack"/>
      <w:bookmarkEnd w:id="1"/>
      <w:r>
        <w:rPr>
          <w:rFonts w:hint="eastAsia" w:ascii="华文仿宋" w:hAnsi="华文仿宋" w:eastAsia="仿宋"/>
          <w:color w:val="000000"/>
          <w:sz w:val="28"/>
          <w:szCs w:val="28"/>
        </w:rPr>
        <w:t>数据统计工作原则上为每年一次，如因特殊情况需要调整统计频率，将另行发布通知。</w:t>
      </w:r>
    </w:p>
    <w:p w14:paraId="4A15BF88">
      <w:pPr>
        <w:pStyle w:val="2"/>
        <w:spacing w:line="360" w:lineRule="auto"/>
        <w:ind w:firstLine="570"/>
        <w:rPr>
          <w:rFonts w:hint="eastAsia" w:ascii="华文仿宋" w:hAnsi="华文仿宋" w:eastAsia="仿宋"/>
          <w:color w:val="000000"/>
          <w:sz w:val="28"/>
          <w:szCs w:val="28"/>
        </w:rPr>
      </w:pPr>
      <w:r>
        <w:rPr>
          <w:rFonts w:hint="eastAsia" w:ascii="华文仿宋" w:hAnsi="华文仿宋" w:eastAsia="仿宋"/>
          <w:color w:val="000000"/>
          <w:sz w:val="28"/>
          <w:szCs w:val="28"/>
        </w:rPr>
        <w:t>4、秘书处负责组织业内专家，汇总各场馆单位所提交的数据表，分析、研究并撰写数据统计报告并印制成册，完成后邮寄给各场馆单位，并发送电子版。</w:t>
      </w:r>
    </w:p>
    <w:p w14:paraId="3F618FDC">
      <w:pPr>
        <w:jc w:val="left"/>
        <w:rPr>
          <w:rFonts w:hint="eastAsia" w:ascii="华文仿宋" w:hAnsi="华文仿宋" w:eastAsia="仿宋" w:cs="华文仿宋"/>
          <w:b/>
          <w:sz w:val="32"/>
          <w:szCs w:val="32"/>
        </w:rPr>
      </w:pPr>
      <w:r>
        <w:rPr>
          <w:rFonts w:hint="eastAsia" w:ascii="华文仿宋" w:hAnsi="华文仿宋" w:eastAsia="仿宋" w:cs="华文仿宋"/>
          <w:b/>
          <w:sz w:val="32"/>
          <w:szCs w:val="32"/>
        </w:rPr>
        <w:t>二、202</w:t>
      </w:r>
      <w:r>
        <w:rPr>
          <w:rFonts w:hint="eastAsia" w:ascii="华文仿宋" w:hAnsi="华文仿宋" w:eastAsia="仿宋" w:cs="华文仿宋"/>
          <w:b/>
          <w:sz w:val="32"/>
          <w:szCs w:val="32"/>
          <w:lang w:val="en-US" w:eastAsia="zh-CN"/>
        </w:rPr>
        <w:t>5</w:t>
      </w:r>
      <w:r>
        <w:rPr>
          <w:rFonts w:hint="eastAsia" w:ascii="华文仿宋" w:hAnsi="华文仿宋" w:eastAsia="仿宋" w:cs="华文仿宋"/>
          <w:b/>
          <w:sz w:val="32"/>
          <w:szCs w:val="32"/>
        </w:rPr>
        <w:t>年度数据统计表内容填报要求</w:t>
      </w:r>
    </w:p>
    <w:p w14:paraId="2A12B60E">
      <w:pPr>
        <w:ind w:firstLine="560" w:firstLineChars="200"/>
        <w:rPr>
          <w:rFonts w:hint="eastAsia"/>
          <w:sz w:val="24"/>
          <w:szCs w:val="24"/>
        </w:rPr>
      </w:pPr>
      <w:r>
        <w:rPr>
          <w:rFonts w:hint="eastAsia" w:ascii="华文仿宋" w:hAnsi="华文仿宋" w:eastAsia="仿宋" w:cs="华文仿宋"/>
          <w:sz w:val="28"/>
          <w:szCs w:val="28"/>
        </w:rPr>
        <w:t>1</w:t>
      </w:r>
      <w:bookmarkStart w:id="0" w:name="_Hlk88464877"/>
      <w:r>
        <w:rPr>
          <w:rFonts w:hint="eastAsia" w:ascii="华文仿宋" w:hAnsi="华文仿宋" w:eastAsia="仿宋" w:cs="华文仿宋"/>
          <w:sz w:val="28"/>
          <w:szCs w:val="28"/>
        </w:rPr>
        <w:t>、</w:t>
      </w:r>
      <w:bookmarkEnd w:id="0"/>
      <w:r>
        <w:rPr>
          <w:rFonts w:hint="eastAsia" w:ascii="华文仿宋" w:hAnsi="华文仿宋" w:eastAsia="仿宋" w:cs="Times New Roman"/>
          <w:color w:val="000000"/>
          <w:sz w:val="28"/>
          <w:szCs w:val="28"/>
        </w:rPr>
        <w:t>依据各展馆经营发展状况及展出类型，为适配不同展馆数据统计需求、提高数据真实准确性，数据统计表分为三类，分别是</w:t>
      </w:r>
      <w:r>
        <w:rPr>
          <w:rFonts w:hint="eastAsia" w:ascii="华文仿宋" w:hAnsi="华文仿宋" w:eastAsia="仿宋" w:cs="Times New Roman"/>
          <w:b/>
          <w:bCs/>
          <w:color w:val="000000"/>
          <w:sz w:val="28"/>
          <w:szCs w:val="28"/>
        </w:rPr>
        <w:t>《2025 年度展览会综合数据统计表（展览展示类）》《2025 年度展览会综合数据统计表（展示陈列类）》《2025 年度展览会综合数据统计表（纯会议类）》</w:t>
      </w:r>
      <w:r>
        <w:rPr>
          <w:rFonts w:hint="eastAsia" w:ascii="华文仿宋" w:hAnsi="华文仿宋" w:eastAsia="仿宋" w:cs="Times New Roman"/>
          <w:color w:val="000000"/>
          <w:sz w:val="28"/>
          <w:szCs w:val="28"/>
        </w:rPr>
        <w:t>。展览展示类展馆填写展览展示类数据表，展示陈列类展馆填写展示陈列类数据表，仅举办纯会议活动的场馆填写纯会议类数据表。若某展馆同时涉及多种业态，按展览展示类表填写。。</w:t>
      </w:r>
    </w:p>
    <w:p w14:paraId="2ADF0FF4">
      <w:pPr>
        <w:jc w:val="center"/>
        <w:rPr>
          <w:rFonts w:hint="eastAsia"/>
          <w:sz w:val="28"/>
          <w:szCs w:val="28"/>
        </w:rPr>
      </w:pPr>
      <w:r>
        <w:rPr>
          <w:rFonts w:hint="eastAsia"/>
          <w:sz w:val="28"/>
          <w:szCs w:val="28"/>
        </w:rPr>
        <w:t>图例1：展览展示类</w:t>
      </w:r>
    </w:p>
    <w:p w14:paraId="4A73D2F4">
      <w:pPr>
        <w:jc w:val="center"/>
        <w:rPr>
          <w:rFonts w:hint="eastAsia"/>
          <w:sz w:val="28"/>
          <w:szCs w:val="28"/>
        </w:rPr>
      </w:pPr>
      <w:r>
        <w:drawing>
          <wp:inline distT="0" distB="0" distL="0" distR="0">
            <wp:extent cx="5575300" cy="1400175"/>
            <wp:effectExtent l="19050" t="19050" r="6350" b="9525"/>
            <wp:docPr id="5017438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43802" name="图片 1"/>
                    <pic:cNvPicPr>
                      <a:picLocks noChangeAspect="1"/>
                    </pic:cNvPicPr>
                  </pic:nvPicPr>
                  <pic:blipFill>
                    <a:blip r:embed="rId4"/>
                    <a:stretch>
                      <a:fillRect/>
                    </a:stretch>
                  </pic:blipFill>
                  <pic:spPr>
                    <a:xfrm>
                      <a:off x="0" y="0"/>
                      <a:ext cx="5579186" cy="1401178"/>
                    </a:xfrm>
                    <a:prstGeom prst="rect">
                      <a:avLst/>
                    </a:prstGeom>
                    <a:ln>
                      <a:solidFill>
                        <a:schemeClr val="accent1">
                          <a:lumMod val="60000"/>
                          <a:lumOff val="40000"/>
                        </a:schemeClr>
                      </a:solidFill>
                    </a:ln>
                  </pic:spPr>
                </pic:pic>
              </a:graphicData>
            </a:graphic>
          </wp:inline>
        </w:drawing>
      </w:r>
    </w:p>
    <w:p w14:paraId="2E161B2C">
      <w:pPr>
        <w:jc w:val="center"/>
        <w:rPr>
          <w:rFonts w:hint="eastAsia"/>
          <w:sz w:val="28"/>
          <w:szCs w:val="28"/>
        </w:rPr>
      </w:pPr>
      <w:r>
        <w:rPr>
          <w:rFonts w:hint="eastAsia"/>
          <w:sz w:val="28"/>
          <w:szCs w:val="28"/>
        </w:rPr>
        <w:t>图例2：展示陈列类</w:t>
      </w:r>
    </w:p>
    <w:p w14:paraId="75290B1C">
      <w:r>
        <w:drawing>
          <wp:inline distT="0" distB="0" distL="0" distR="0">
            <wp:extent cx="5577840" cy="1337945"/>
            <wp:effectExtent l="19050" t="19050" r="3810" b="0"/>
            <wp:docPr id="11883030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03032" name="图片 1"/>
                    <pic:cNvPicPr>
                      <a:picLocks noChangeAspect="1"/>
                    </pic:cNvPicPr>
                  </pic:nvPicPr>
                  <pic:blipFill>
                    <a:blip r:embed="rId5"/>
                    <a:stretch>
                      <a:fillRect/>
                    </a:stretch>
                  </pic:blipFill>
                  <pic:spPr>
                    <a:xfrm>
                      <a:off x="0" y="0"/>
                      <a:ext cx="5599983" cy="1343698"/>
                    </a:xfrm>
                    <a:prstGeom prst="rect">
                      <a:avLst/>
                    </a:prstGeom>
                    <a:ln>
                      <a:solidFill>
                        <a:schemeClr val="accent1">
                          <a:lumMod val="40000"/>
                          <a:lumOff val="60000"/>
                        </a:schemeClr>
                      </a:solidFill>
                    </a:ln>
                  </pic:spPr>
                </pic:pic>
              </a:graphicData>
            </a:graphic>
          </wp:inline>
        </w:drawing>
      </w:r>
    </w:p>
    <w:p w14:paraId="43778C45"/>
    <w:p w14:paraId="342ECF4E">
      <w:pPr>
        <w:jc w:val="center"/>
        <w:rPr>
          <w:rFonts w:hint="eastAsia"/>
          <w:sz w:val="28"/>
          <w:szCs w:val="28"/>
          <w:lang w:val="en-US" w:eastAsia="zh-CN"/>
        </w:rPr>
      </w:pPr>
      <w:r>
        <w:rPr>
          <w:rFonts w:hint="eastAsia"/>
          <w:sz w:val="28"/>
          <w:szCs w:val="28"/>
        </w:rPr>
        <w:t>图例</w:t>
      </w:r>
      <w:r>
        <w:rPr>
          <w:rFonts w:hint="eastAsia"/>
          <w:sz w:val="28"/>
          <w:szCs w:val="28"/>
          <w:lang w:val="en-US" w:eastAsia="zh-CN"/>
        </w:rPr>
        <w:t>3</w:t>
      </w:r>
      <w:r>
        <w:rPr>
          <w:rFonts w:hint="eastAsia"/>
          <w:sz w:val="28"/>
          <w:szCs w:val="28"/>
        </w:rPr>
        <w:t>：</w:t>
      </w:r>
      <w:r>
        <w:rPr>
          <w:rFonts w:hint="eastAsia"/>
          <w:sz w:val="28"/>
          <w:szCs w:val="28"/>
          <w:lang w:val="en-US" w:eastAsia="zh-CN"/>
        </w:rPr>
        <w:t>纯会议类</w:t>
      </w:r>
    </w:p>
    <w:p w14:paraId="42301BA6">
      <w:pPr>
        <w:jc w:val="center"/>
        <w:rPr>
          <w:rFonts w:hint="default"/>
          <w:sz w:val="28"/>
          <w:szCs w:val="28"/>
          <w:lang w:val="en-US" w:eastAsia="zh-CN"/>
        </w:rPr>
      </w:pPr>
      <w:r>
        <w:rPr>
          <w:rFonts w:hint="default"/>
          <w:sz w:val="28"/>
          <w:szCs w:val="28"/>
          <w:lang w:val="en-US" w:eastAsia="zh-CN"/>
        </w:rPr>
        <w:drawing>
          <wp:inline distT="0" distB="0" distL="114300" distR="114300">
            <wp:extent cx="5271770" cy="860425"/>
            <wp:effectExtent l="0" t="0" r="5080" b="15875"/>
            <wp:docPr id="1" name="图片 1" descr="ScreenShot_2025-12-15_155403_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12-15_155403_614"/>
                    <pic:cNvPicPr>
                      <a:picLocks noChangeAspect="1"/>
                    </pic:cNvPicPr>
                  </pic:nvPicPr>
                  <pic:blipFill>
                    <a:blip r:embed="rId6"/>
                    <a:stretch>
                      <a:fillRect/>
                    </a:stretch>
                  </pic:blipFill>
                  <pic:spPr>
                    <a:xfrm>
                      <a:off x="0" y="0"/>
                      <a:ext cx="5271770" cy="860425"/>
                    </a:xfrm>
                    <a:prstGeom prst="rect">
                      <a:avLst/>
                    </a:prstGeom>
                  </pic:spPr>
                </pic:pic>
              </a:graphicData>
            </a:graphic>
          </wp:inline>
        </w:drawing>
      </w:r>
    </w:p>
    <w:p w14:paraId="66842D93">
      <w:pPr>
        <w:rPr>
          <w:rFonts w:hint="eastAsia" w:ascii="华文仿宋" w:hAnsi="华文仿宋" w:eastAsia="仿宋" w:cs="华文仿宋"/>
          <w:b/>
          <w:bCs/>
          <w:sz w:val="28"/>
          <w:szCs w:val="28"/>
        </w:rPr>
      </w:pPr>
    </w:p>
    <w:p w14:paraId="1CD8C164">
      <w:pPr>
        <w:rPr>
          <w:rFonts w:hint="eastAsia" w:ascii="华文仿宋" w:hAnsi="华文仿宋" w:eastAsia="仿宋" w:cs="华文仿宋"/>
          <w:b/>
          <w:bCs/>
          <w:sz w:val="28"/>
          <w:szCs w:val="28"/>
        </w:rPr>
      </w:pPr>
      <w:r>
        <w:rPr>
          <w:rFonts w:ascii="华文仿宋" w:hAnsi="华文仿宋" w:eastAsia="仿宋" w:cs="华文仿宋"/>
          <w:b/>
          <w:bCs/>
          <w:sz w:val="28"/>
          <w:szCs w:val="28"/>
        </w:rPr>
        <w:t>2</w:t>
      </w:r>
      <w:r>
        <w:rPr>
          <w:rFonts w:hint="eastAsia" w:ascii="华文仿宋" w:hAnsi="华文仿宋" w:eastAsia="仿宋" w:cs="华文仿宋"/>
          <w:b/>
          <w:bCs/>
          <w:sz w:val="28"/>
          <w:szCs w:val="28"/>
        </w:rPr>
        <w:t>、调查表/文件命名：场馆/公司完整的名称+填报的年份+数据</w:t>
      </w:r>
    </w:p>
    <w:p w14:paraId="427FE455">
      <w:pPr>
        <w:ind w:firstLine="840" w:firstLineChars="300"/>
        <w:rPr>
          <w:rFonts w:hint="eastAsia" w:ascii="华文仿宋" w:hAnsi="华文仿宋" w:eastAsia="仿宋" w:cs="华文仿宋"/>
          <w:sz w:val="28"/>
          <w:szCs w:val="28"/>
        </w:rPr>
      </w:pPr>
      <w:r>
        <w:rPr>
          <w:rFonts w:hint="eastAsia" w:ascii="华文仿宋" w:hAnsi="华文仿宋" w:eastAsia="仿宋" w:cs="华文仿宋"/>
          <w:sz w:val="28"/>
          <w:szCs w:val="28"/>
        </w:rPr>
        <w:t>例：中国国际展览中心（新馆）集团公司20</w:t>
      </w:r>
      <w:r>
        <w:rPr>
          <w:rFonts w:ascii="华文仿宋" w:hAnsi="华文仿宋" w:eastAsia="仿宋" w:cs="华文仿宋"/>
          <w:sz w:val="28"/>
          <w:szCs w:val="28"/>
        </w:rPr>
        <w:t>2</w:t>
      </w:r>
      <w:r>
        <w:rPr>
          <w:rFonts w:hint="eastAsia" w:ascii="华文仿宋" w:hAnsi="华文仿宋" w:eastAsia="仿宋" w:cs="华文仿宋"/>
          <w:sz w:val="28"/>
          <w:szCs w:val="28"/>
        </w:rPr>
        <w:t>3-2025数据</w:t>
      </w:r>
    </w:p>
    <w:p w14:paraId="3F6763E6">
      <w:pPr>
        <w:jc w:val="center"/>
        <w:rPr>
          <w:rFonts w:hint="eastAsia" w:eastAsia="仿宋"/>
        </w:rPr>
      </w:pPr>
      <w:r>
        <w:rPr>
          <w:rFonts w:eastAsia="仿宋"/>
        </w:rPr>
        <w:drawing>
          <wp:inline distT="0" distB="0" distL="0" distR="0">
            <wp:extent cx="4857750" cy="1285875"/>
            <wp:effectExtent l="19050" t="1905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4857750" cy="1285875"/>
                    </a:xfrm>
                    <a:prstGeom prst="rect">
                      <a:avLst/>
                    </a:prstGeom>
                    <a:ln>
                      <a:solidFill>
                        <a:schemeClr val="bg1">
                          <a:lumMod val="50000"/>
                        </a:schemeClr>
                      </a:solidFill>
                    </a:ln>
                  </pic:spPr>
                </pic:pic>
              </a:graphicData>
            </a:graphic>
          </wp:inline>
        </w:drawing>
      </w:r>
    </w:p>
    <w:p w14:paraId="7C705248">
      <w:pPr>
        <w:pStyle w:val="14"/>
        <w:ind w:firstLine="630" w:firstLineChars="300"/>
        <w:rPr>
          <w:rFonts w:hint="eastAsia" w:eastAsia="仿宋"/>
        </w:rPr>
      </w:pPr>
    </w:p>
    <w:p w14:paraId="63BECC83">
      <w:pPr>
        <w:rPr>
          <w:rFonts w:hint="eastAsia" w:ascii="华文仿宋" w:hAnsi="华文仿宋" w:eastAsia="仿宋" w:cs="华文仿宋"/>
          <w:sz w:val="28"/>
          <w:szCs w:val="28"/>
        </w:rPr>
      </w:pPr>
      <w:r>
        <w:rPr>
          <w:rFonts w:ascii="华文仿宋" w:hAnsi="华文仿宋" w:eastAsia="仿宋" w:cs="华文仿宋"/>
          <w:sz w:val="28"/>
          <w:szCs w:val="28"/>
        </w:rPr>
        <w:t>3</w:t>
      </w:r>
      <w:r>
        <w:rPr>
          <w:rFonts w:hint="eastAsia" w:ascii="华文仿宋" w:hAnsi="华文仿宋" w:eastAsia="仿宋" w:cs="华文仿宋"/>
          <w:sz w:val="28"/>
          <w:szCs w:val="28"/>
        </w:rPr>
        <w:t>、展会各年份分表放置于同一Execl表内，</w:t>
      </w:r>
      <w:r>
        <w:rPr>
          <w:rFonts w:hint="eastAsia" w:ascii="华文仿宋" w:hAnsi="华文仿宋" w:eastAsia="仿宋" w:cs="华文仿宋"/>
          <w:b/>
          <w:bCs/>
          <w:sz w:val="28"/>
          <w:szCs w:val="28"/>
        </w:rPr>
        <w:t>每次统计为近三年的数据，即本次为20</w:t>
      </w:r>
      <w:r>
        <w:rPr>
          <w:rFonts w:ascii="华文仿宋" w:hAnsi="华文仿宋" w:eastAsia="仿宋" w:cs="华文仿宋"/>
          <w:b/>
          <w:bCs/>
          <w:sz w:val="28"/>
          <w:szCs w:val="28"/>
        </w:rPr>
        <w:t>2</w:t>
      </w:r>
      <w:r>
        <w:rPr>
          <w:rFonts w:hint="eastAsia" w:ascii="华文仿宋" w:hAnsi="华文仿宋" w:eastAsia="仿宋" w:cs="华文仿宋"/>
          <w:b/>
          <w:bCs/>
          <w:sz w:val="28"/>
          <w:szCs w:val="28"/>
          <w:lang w:val="en-US" w:eastAsia="zh-CN"/>
        </w:rPr>
        <w:t>4</w:t>
      </w:r>
      <w:r>
        <w:rPr>
          <w:rFonts w:hint="eastAsia" w:ascii="华文仿宋" w:hAnsi="华文仿宋" w:eastAsia="仿宋" w:cs="华文仿宋"/>
          <w:b/>
          <w:bCs/>
          <w:sz w:val="28"/>
          <w:szCs w:val="28"/>
        </w:rPr>
        <w:t>、202</w:t>
      </w:r>
      <w:r>
        <w:rPr>
          <w:rFonts w:hint="eastAsia" w:ascii="华文仿宋" w:hAnsi="华文仿宋" w:eastAsia="仿宋" w:cs="华文仿宋"/>
          <w:b/>
          <w:bCs/>
          <w:sz w:val="28"/>
          <w:szCs w:val="28"/>
          <w:lang w:val="en-US" w:eastAsia="zh-CN"/>
        </w:rPr>
        <w:t>5</w:t>
      </w:r>
      <w:r>
        <w:rPr>
          <w:rFonts w:hint="eastAsia" w:ascii="华文仿宋" w:hAnsi="华文仿宋" w:eastAsia="仿宋" w:cs="华文仿宋"/>
          <w:b/>
          <w:bCs/>
          <w:sz w:val="28"/>
          <w:szCs w:val="28"/>
        </w:rPr>
        <w:t>、202</w:t>
      </w:r>
      <w:r>
        <w:rPr>
          <w:rFonts w:hint="eastAsia" w:ascii="华文仿宋" w:hAnsi="华文仿宋" w:eastAsia="仿宋" w:cs="华文仿宋"/>
          <w:b/>
          <w:bCs/>
          <w:sz w:val="28"/>
          <w:szCs w:val="28"/>
          <w:lang w:val="en-US" w:eastAsia="zh-CN"/>
        </w:rPr>
        <w:t>6</w:t>
      </w:r>
      <w:r>
        <w:rPr>
          <w:rFonts w:hint="eastAsia" w:ascii="华文仿宋" w:hAnsi="华文仿宋" w:eastAsia="仿宋" w:cs="华文仿宋"/>
          <w:b/>
          <w:bCs/>
          <w:sz w:val="28"/>
          <w:szCs w:val="28"/>
        </w:rPr>
        <w:t>年的数据</w:t>
      </w:r>
      <w:r>
        <w:rPr>
          <w:rFonts w:hint="eastAsia" w:ascii="华文仿宋" w:hAnsi="华文仿宋" w:eastAsia="仿宋" w:cs="华文仿宋"/>
          <w:sz w:val="28"/>
          <w:szCs w:val="28"/>
        </w:rPr>
        <w:t>。一个年份建立一个新的sheet表格，命名为相应年份，如图：</w:t>
      </w:r>
    </w:p>
    <w:p w14:paraId="3689913B">
      <w:pPr>
        <w:ind w:firstLine="1680" w:firstLineChars="600"/>
        <w:rPr>
          <w:rFonts w:hint="eastAsia" w:ascii="华文仿宋" w:hAnsi="华文仿宋" w:eastAsia="仿宋" w:cs="华文仿宋"/>
          <w:sz w:val="28"/>
          <w:szCs w:val="28"/>
          <w:lang w:eastAsia="zh-CN"/>
        </w:rPr>
      </w:pPr>
      <w:r>
        <w:rPr>
          <w:rFonts w:hint="eastAsia" w:ascii="华文仿宋" w:hAnsi="华文仿宋" w:eastAsia="仿宋" w:cs="华文仿宋"/>
          <w:sz w:val="28"/>
          <w:szCs w:val="28"/>
          <w:lang w:eastAsia="zh-CN"/>
        </w:rPr>
        <w:drawing>
          <wp:inline distT="0" distB="0" distL="114300" distR="114300">
            <wp:extent cx="2733040" cy="1289050"/>
            <wp:effectExtent l="0" t="0" r="10160" b="6350"/>
            <wp:docPr id="2" name="图片 2" descr="ScreenShot_2025-12-15_165005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5-12-15_165005_792"/>
                    <pic:cNvPicPr>
                      <a:picLocks noChangeAspect="1"/>
                    </pic:cNvPicPr>
                  </pic:nvPicPr>
                  <pic:blipFill>
                    <a:blip r:embed="rId8"/>
                    <a:stretch>
                      <a:fillRect/>
                    </a:stretch>
                  </pic:blipFill>
                  <pic:spPr>
                    <a:xfrm>
                      <a:off x="0" y="0"/>
                      <a:ext cx="2733040" cy="1289050"/>
                    </a:xfrm>
                    <a:prstGeom prst="rect">
                      <a:avLst/>
                    </a:prstGeom>
                  </pic:spPr>
                </pic:pic>
              </a:graphicData>
            </a:graphic>
          </wp:inline>
        </w:drawing>
      </w:r>
    </w:p>
    <w:p w14:paraId="4B4193AD">
      <w:pPr>
        <w:ind w:firstLine="1680" w:firstLineChars="600"/>
        <w:rPr>
          <w:rFonts w:hint="eastAsia" w:ascii="华文仿宋" w:hAnsi="华文仿宋" w:eastAsia="仿宋" w:cs="华文仿宋"/>
          <w:sz w:val="28"/>
          <w:szCs w:val="28"/>
        </w:rPr>
      </w:pPr>
    </w:p>
    <w:p w14:paraId="29B8B075">
      <w:pPr>
        <w:rPr>
          <w:rFonts w:hint="eastAsia" w:ascii="华文仿宋" w:hAnsi="华文仿宋" w:eastAsia="仿宋" w:cs="华文仿宋"/>
          <w:b/>
          <w:bCs/>
          <w:sz w:val="28"/>
          <w:szCs w:val="28"/>
        </w:rPr>
      </w:pPr>
      <w:r>
        <w:rPr>
          <w:rFonts w:ascii="华文仿宋" w:hAnsi="华文仿宋" w:eastAsia="仿宋" w:cs="华文仿宋"/>
          <w:b/>
          <w:bCs/>
          <w:sz w:val="28"/>
          <w:szCs w:val="28"/>
        </w:rPr>
        <w:t>4</w:t>
      </w:r>
      <w:r>
        <w:rPr>
          <w:rFonts w:hint="eastAsia" w:ascii="华文仿宋" w:hAnsi="华文仿宋" w:eastAsia="仿宋" w:cs="华文仿宋"/>
          <w:b/>
          <w:bCs/>
          <w:sz w:val="28"/>
          <w:szCs w:val="28"/>
        </w:rPr>
        <w:t>、调查表表头填写标准</w:t>
      </w:r>
    </w:p>
    <w:p w14:paraId="2D563D70">
      <w:pPr>
        <w:pStyle w:val="14"/>
        <w:numPr>
          <w:ilvl w:val="0"/>
          <w:numId w:val="1"/>
        </w:numPr>
        <w:spacing w:line="360" w:lineRule="auto"/>
        <w:ind w:left="300" w:leftChars="143" w:firstLineChars="0"/>
        <w:rPr>
          <w:rFonts w:hint="eastAsia"/>
          <w:sz w:val="24"/>
          <w:szCs w:val="24"/>
        </w:rPr>
      </w:pPr>
      <w:r>
        <w:rPr>
          <w:rFonts w:hint="eastAsia"/>
          <w:sz w:val="24"/>
          <w:szCs w:val="24"/>
        </w:rPr>
        <w:t>名称：中国展览馆协会展览会数据调查表+年份</w:t>
      </w:r>
    </w:p>
    <w:p w14:paraId="607FCFB9">
      <w:pPr>
        <w:pStyle w:val="14"/>
        <w:numPr>
          <w:ilvl w:val="0"/>
          <w:numId w:val="1"/>
        </w:numPr>
        <w:spacing w:line="360" w:lineRule="auto"/>
        <w:ind w:left="300" w:leftChars="143" w:firstLineChars="0"/>
        <w:rPr>
          <w:rFonts w:hint="eastAsia"/>
          <w:sz w:val="24"/>
          <w:szCs w:val="24"/>
        </w:rPr>
      </w:pPr>
      <w:r>
        <w:rPr>
          <w:rFonts w:hint="eastAsia"/>
          <w:sz w:val="24"/>
          <w:szCs w:val="24"/>
        </w:rPr>
        <w:t>展览场馆：写展馆/公司的全称</w:t>
      </w:r>
    </w:p>
    <w:p w14:paraId="2250C47A">
      <w:pPr>
        <w:pStyle w:val="14"/>
        <w:numPr>
          <w:ilvl w:val="0"/>
          <w:numId w:val="1"/>
        </w:numPr>
        <w:spacing w:line="360" w:lineRule="auto"/>
        <w:ind w:left="300" w:leftChars="143" w:firstLineChars="0"/>
        <w:rPr>
          <w:rFonts w:hint="eastAsia"/>
          <w:sz w:val="24"/>
          <w:szCs w:val="24"/>
        </w:rPr>
      </w:pPr>
      <w:r>
        <w:rPr>
          <w:rFonts w:hint="eastAsia"/>
          <w:sz w:val="24"/>
          <w:szCs w:val="24"/>
        </w:rPr>
        <w:t>展馆总面积㎡（毛）：填写室内总面积</w:t>
      </w:r>
    </w:p>
    <w:p w14:paraId="09686BE1">
      <w:pPr>
        <w:pStyle w:val="14"/>
        <w:numPr>
          <w:ilvl w:val="0"/>
          <w:numId w:val="1"/>
        </w:numPr>
        <w:spacing w:line="360" w:lineRule="auto"/>
        <w:ind w:left="300" w:leftChars="143" w:firstLineChars="0"/>
        <w:rPr>
          <w:rFonts w:hint="eastAsia"/>
          <w:sz w:val="24"/>
          <w:szCs w:val="24"/>
        </w:rPr>
      </w:pPr>
      <w:r>
        <w:rPr>
          <w:rFonts w:hint="eastAsia"/>
          <w:sz w:val="24"/>
          <w:szCs w:val="24"/>
        </w:rPr>
        <w:t>租馆率=（A</w:t>
      </w:r>
      <w:r>
        <w:rPr>
          <w:sz w:val="24"/>
          <w:szCs w:val="24"/>
        </w:rPr>
        <w:t xml:space="preserve">展会展馆租期*A展出面积+B展会展馆租期*B展出面积+...+N展会展馆租期*N展出面积）/（展馆室内面积*365）*100%  </w:t>
      </w:r>
    </w:p>
    <w:p w14:paraId="2FEB5957">
      <w:pPr>
        <w:pStyle w:val="14"/>
        <w:numPr>
          <w:ilvl w:val="0"/>
          <w:numId w:val="2"/>
        </w:numPr>
        <w:spacing w:line="360" w:lineRule="auto"/>
        <w:ind w:left="720" w:leftChars="343" w:firstLineChars="0"/>
        <w:rPr>
          <w:rFonts w:hint="eastAsia"/>
          <w:sz w:val="24"/>
          <w:szCs w:val="24"/>
        </w:rPr>
      </w:pPr>
      <w:r>
        <w:rPr>
          <w:rFonts w:hint="eastAsia"/>
          <w:b/>
          <w:bCs/>
          <w:sz w:val="24"/>
          <w:szCs w:val="24"/>
        </w:rPr>
        <w:t>非展/其他类列</w:t>
      </w:r>
      <w:r>
        <w:rPr>
          <w:rFonts w:hint="eastAsia"/>
          <w:sz w:val="24"/>
          <w:szCs w:val="24"/>
        </w:rPr>
        <w:t>的也可算进去，计算时分子以实际展出面积为准（如有室外展出则加上室外的面积），分母不变（展馆室内面积），为统统一及方便租馆率的计算，以后租馆率君采用此方法。</w:t>
      </w:r>
    </w:p>
    <w:p w14:paraId="0F8E2EC0">
      <w:pPr>
        <w:pStyle w:val="14"/>
        <w:numPr>
          <w:ilvl w:val="0"/>
          <w:numId w:val="2"/>
        </w:numPr>
        <w:spacing w:line="360" w:lineRule="auto"/>
        <w:ind w:left="720" w:leftChars="343" w:firstLineChars="0"/>
        <w:rPr>
          <w:rFonts w:hint="eastAsia"/>
          <w:sz w:val="24"/>
          <w:szCs w:val="24"/>
        </w:rPr>
      </w:pPr>
      <w:r>
        <w:rPr>
          <w:b/>
          <w:bCs/>
          <w:sz w:val="24"/>
          <w:szCs w:val="24"/>
        </w:rPr>
        <w:t>保留小数点后两位</w:t>
      </w:r>
    </w:p>
    <w:p w14:paraId="5CA43897">
      <w:pPr>
        <w:pStyle w:val="14"/>
        <w:numPr>
          <w:ilvl w:val="0"/>
          <w:numId w:val="1"/>
        </w:numPr>
        <w:spacing w:line="360" w:lineRule="auto"/>
        <w:ind w:left="300" w:leftChars="143" w:firstLineChars="0"/>
        <w:rPr>
          <w:rFonts w:hint="eastAsia"/>
          <w:sz w:val="24"/>
          <w:szCs w:val="24"/>
        </w:rPr>
      </w:pPr>
      <w:r>
        <w:rPr>
          <w:rFonts w:hint="eastAsia"/>
          <w:sz w:val="24"/>
          <w:szCs w:val="24"/>
        </w:rPr>
        <w:t>展馆类型：分为展览展示类和展示陈列类，根据展馆实际情况填写</w:t>
      </w:r>
    </w:p>
    <w:p w14:paraId="28F9B988">
      <w:pPr>
        <w:pStyle w:val="14"/>
        <w:numPr>
          <w:ilvl w:val="0"/>
          <w:numId w:val="1"/>
        </w:numPr>
        <w:spacing w:line="360" w:lineRule="auto"/>
        <w:ind w:left="300" w:leftChars="143" w:firstLineChars="0"/>
        <w:rPr>
          <w:rFonts w:hint="eastAsia"/>
          <w:color w:val="FF0000"/>
          <w:sz w:val="24"/>
          <w:szCs w:val="24"/>
        </w:rPr>
      </w:pPr>
      <w:r>
        <w:rPr>
          <w:rFonts w:hint="eastAsia"/>
          <w:color w:val="FF0000"/>
          <w:sz w:val="24"/>
          <w:szCs w:val="24"/>
        </w:rPr>
        <w:t>营业额：填写展馆自然年度的营收额（可公开的）</w:t>
      </w:r>
    </w:p>
    <w:p w14:paraId="2C644803">
      <w:pPr>
        <w:pStyle w:val="14"/>
        <w:numPr>
          <w:ilvl w:val="0"/>
          <w:numId w:val="1"/>
        </w:numPr>
        <w:spacing w:line="360" w:lineRule="auto"/>
        <w:ind w:left="300" w:leftChars="143" w:firstLineChars="0"/>
        <w:rPr>
          <w:rFonts w:hint="eastAsia"/>
          <w:color w:val="FF0000"/>
          <w:sz w:val="24"/>
          <w:szCs w:val="24"/>
        </w:rPr>
      </w:pPr>
      <w:r>
        <w:rPr>
          <w:rFonts w:hint="eastAsia"/>
          <w:color w:val="FF0000"/>
          <w:sz w:val="24"/>
          <w:szCs w:val="24"/>
        </w:rPr>
        <w:t>职工人员：填写在展馆工作的所有人员，可包含外派人员</w:t>
      </w:r>
    </w:p>
    <w:p w14:paraId="60A546F2">
      <w:pPr>
        <w:pStyle w:val="14"/>
        <w:numPr>
          <w:ilvl w:val="0"/>
          <w:numId w:val="1"/>
        </w:numPr>
        <w:spacing w:line="360" w:lineRule="auto"/>
        <w:ind w:left="300" w:leftChars="143" w:firstLineChars="0"/>
        <w:rPr>
          <w:rFonts w:hint="eastAsia"/>
          <w:color w:val="FF0000"/>
          <w:sz w:val="24"/>
          <w:szCs w:val="24"/>
        </w:rPr>
      </w:pPr>
      <w:r>
        <w:rPr>
          <w:rFonts w:hint="eastAsia"/>
          <w:color w:val="FF0000"/>
          <w:sz w:val="24"/>
          <w:szCs w:val="24"/>
        </w:rPr>
        <w:t>单位性质：在给定（国有、事业、民营企业、合资、独资、外资、其他）的这几种单位性质中，选填一种即可。</w:t>
      </w:r>
    </w:p>
    <w:p w14:paraId="231BE594">
      <w:pPr>
        <w:pStyle w:val="14"/>
        <w:numPr>
          <w:ilvl w:val="0"/>
          <w:numId w:val="1"/>
        </w:numPr>
        <w:spacing w:line="360" w:lineRule="auto"/>
        <w:ind w:left="300" w:leftChars="143" w:firstLineChars="0"/>
        <w:rPr>
          <w:rFonts w:hint="eastAsia"/>
          <w:sz w:val="24"/>
          <w:szCs w:val="24"/>
        </w:rPr>
      </w:pPr>
      <w:r>
        <w:rPr>
          <w:rFonts w:hint="eastAsia"/>
          <w:sz w:val="24"/>
          <w:szCs w:val="24"/>
        </w:rPr>
        <w:t>填表人：数据填报人员</w:t>
      </w:r>
    </w:p>
    <w:p w14:paraId="004327C0">
      <w:pPr>
        <w:pStyle w:val="14"/>
        <w:numPr>
          <w:ilvl w:val="0"/>
          <w:numId w:val="1"/>
        </w:numPr>
        <w:spacing w:line="360" w:lineRule="auto"/>
        <w:ind w:left="300" w:leftChars="143" w:firstLineChars="0"/>
        <w:rPr>
          <w:rFonts w:hint="eastAsia"/>
          <w:sz w:val="24"/>
          <w:szCs w:val="24"/>
        </w:rPr>
      </w:pPr>
      <w:r>
        <w:rPr>
          <w:rFonts w:hint="eastAsia"/>
          <w:sz w:val="24"/>
          <w:szCs w:val="24"/>
        </w:rPr>
        <w:t>联系方式：必填</w:t>
      </w:r>
    </w:p>
    <w:p w14:paraId="67FF0402">
      <w:pPr>
        <w:pStyle w:val="14"/>
        <w:numPr>
          <w:ilvl w:val="0"/>
          <w:numId w:val="1"/>
        </w:numPr>
        <w:spacing w:line="360" w:lineRule="auto"/>
        <w:ind w:left="300" w:leftChars="143" w:firstLineChars="0"/>
        <w:rPr>
          <w:rFonts w:hint="eastAsia"/>
          <w:sz w:val="24"/>
          <w:szCs w:val="24"/>
        </w:rPr>
      </w:pPr>
      <w:r>
        <w:rPr>
          <w:rFonts w:hint="eastAsia"/>
          <w:sz w:val="24"/>
          <w:szCs w:val="24"/>
        </w:rPr>
        <w:t>是否同意印刷成册：是/否（印刷时会删去组展商的联系方式、填表人及其联系方式、营业额等信息）</w:t>
      </w:r>
    </w:p>
    <w:p w14:paraId="7AA67F63">
      <w:pPr>
        <w:pStyle w:val="14"/>
        <w:numPr>
          <w:ilvl w:val="0"/>
          <w:numId w:val="1"/>
        </w:numPr>
        <w:spacing w:line="360" w:lineRule="auto"/>
        <w:ind w:left="300" w:leftChars="143" w:firstLineChars="0"/>
        <w:rPr>
          <w:rFonts w:hint="eastAsia"/>
          <w:sz w:val="24"/>
          <w:szCs w:val="24"/>
        </w:rPr>
      </w:pPr>
      <w:r>
        <w:rPr>
          <w:sz w:val="24"/>
          <w:szCs w:val="24"/>
        </w:rPr>
        <w:drawing>
          <wp:anchor distT="0" distB="0" distL="114300" distR="114300" simplePos="0" relativeHeight="251659264" behindDoc="0" locked="0" layoutInCell="1" allowOverlap="1">
            <wp:simplePos x="0" y="0"/>
            <wp:positionH relativeFrom="column">
              <wp:posOffset>-526415</wp:posOffset>
            </wp:positionH>
            <wp:positionV relativeFrom="paragraph">
              <wp:posOffset>614680</wp:posOffset>
            </wp:positionV>
            <wp:extent cx="6719570" cy="714375"/>
            <wp:effectExtent l="19050" t="19050" r="5080" b="9525"/>
            <wp:wrapTopAndBottom/>
            <wp:docPr id="9762886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88642"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719570" cy="714375"/>
                    </a:xfrm>
                    <a:prstGeom prst="rect">
                      <a:avLst/>
                    </a:prstGeom>
                    <a:ln>
                      <a:solidFill>
                        <a:schemeClr val="accent1">
                          <a:lumMod val="40000"/>
                          <a:lumOff val="60000"/>
                        </a:schemeClr>
                      </a:solidFill>
                    </a:ln>
                  </pic:spPr>
                </pic:pic>
              </a:graphicData>
            </a:graphic>
          </wp:anchor>
        </w:drawing>
      </w:r>
      <w:r>
        <w:rPr>
          <w:rFonts w:hint="eastAsia"/>
          <w:sz w:val="24"/>
          <w:szCs w:val="24"/>
        </w:rPr>
        <w:t>填报时间：例20</w:t>
      </w:r>
      <w:r>
        <w:rPr>
          <w:sz w:val="24"/>
          <w:szCs w:val="24"/>
        </w:rPr>
        <w:t>23</w:t>
      </w:r>
      <w:r>
        <w:rPr>
          <w:rFonts w:hint="eastAsia"/>
          <w:sz w:val="24"/>
          <w:szCs w:val="24"/>
        </w:rPr>
        <w:t>.1.</w:t>
      </w:r>
      <w:r>
        <w:rPr>
          <w:sz w:val="24"/>
          <w:szCs w:val="24"/>
        </w:rPr>
        <w:t>2</w:t>
      </w:r>
    </w:p>
    <w:p w14:paraId="0D9938F5">
      <w:pPr>
        <w:rPr>
          <w:rFonts w:hint="eastAsia" w:ascii="华文仿宋" w:hAnsi="华文仿宋" w:eastAsia="仿宋" w:cs="华文仿宋"/>
          <w:b/>
          <w:bCs/>
          <w:sz w:val="28"/>
          <w:szCs w:val="28"/>
        </w:rPr>
      </w:pPr>
    </w:p>
    <w:p w14:paraId="6071E48F">
      <w:pPr>
        <w:rPr>
          <w:rFonts w:hint="eastAsia" w:ascii="华文仿宋" w:hAnsi="华文仿宋" w:eastAsia="仿宋" w:cs="华文仿宋"/>
          <w:b/>
          <w:bCs/>
          <w:sz w:val="28"/>
          <w:szCs w:val="28"/>
        </w:rPr>
      </w:pPr>
      <w:r>
        <w:rPr>
          <w:rFonts w:hint="eastAsia" w:ascii="华文仿宋" w:hAnsi="华文仿宋" w:eastAsia="仿宋" w:cs="华文仿宋"/>
          <w:b/>
          <w:bCs/>
          <w:sz w:val="28"/>
          <w:szCs w:val="28"/>
        </w:rPr>
        <w:t>5、展览会名称、非展/其他类、举办频率、展馆租期、租期（天）</w:t>
      </w:r>
    </w:p>
    <w:p w14:paraId="0C5A3BDC">
      <w:pPr>
        <w:pStyle w:val="14"/>
        <w:numPr>
          <w:ilvl w:val="0"/>
          <w:numId w:val="3"/>
        </w:numPr>
        <w:spacing w:line="360" w:lineRule="auto"/>
        <w:ind w:left="300" w:leftChars="143" w:firstLineChars="0"/>
        <w:rPr>
          <w:rFonts w:hint="eastAsia"/>
          <w:sz w:val="24"/>
          <w:szCs w:val="28"/>
        </w:rPr>
      </w:pPr>
      <w:r>
        <w:rPr>
          <w:rFonts w:hint="eastAsia"/>
          <w:b/>
          <w:bCs/>
          <w:sz w:val="24"/>
          <w:szCs w:val="28"/>
        </w:rPr>
        <w:t>展览会名称</w:t>
      </w:r>
      <w:r>
        <w:rPr>
          <w:rFonts w:hint="eastAsia"/>
          <w:sz w:val="24"/>
          <w:szCs w:val="28"/>
        </w:rPr>
        <w:t>：</w:t>
      </w:r>
      <w:r>
        <w:rPr>
          <w:rFonts w:hint="eastAsia"/>
          <w:b/>
          <w:bCs/>
          <w:sz w:val="24"/>
          <w:szCs w:val="28"/>
        </w:rPr>
        <w:t>填写完整展览会名称，</w:t>
      </w:r>
      <w:r>
        <w:rPr>
          <w:rFonts w:hint="eastAsia"/>
          <w:b/>
          <w:bCs/>
          <w:color w:val="FF0000"/>
          <w:sz w:val="24"/>
          <w:szCs w:val="28"/>
        </w:rPr>
        <w:t>禁使用简称</w:t>
      </w:r>
    </w:p>
    <w:p w14:paraId="1A8789AF">
      <w:pPr>
        <w:pStyle w:val="14"/>
        <w:numPr>
          <w:ilvl w:val="0"/>
          <w:numId w:val="4"/>
        </w:numPr>
        <w:spacing w:line="360" w:lineRule="auto"/>
        <w:ind w:left="840" w:leftChars="400" w:firstLineChars="0"/>
        <w:rPr>
          <w:rFonts w:hint="eastAsia"/>
          <w:sz w:val="24"/>
          <w:szCs w:val="28"/>
        </w:rPr>
      </w:pPr>
      <w:r>
        <w:rPr>
          <w:rFonts w:hint="eastAsia"/>
          <w:sz w:val="24"/>
          <w:szCs w:val="28"/>
        </w:rPr>
        <w:t>XXX展览会、XXX博览会、订货节、展销会</w:t>
      </w:r>
    </w:p>
    <w:p w14:paraId="5CB9AD67">
      <w:pPr>
        <w:pStyle w:val="14"/>
        <w:numPr>
          <w:ilvl w:val="0"/>
          <w:numId w:val="4"/>
        </w:numPr>
        <w:spacing w:line="360" w:lineRule="auto"/>
        <w:ind w:left="840" w:leftChars="400" w:firstLineChars="0"/>
        <w:rPr>
          <w:rFonts w:hint="eastAsia"/>
          <w:sz w:val="24"/>
          <w:szCs w:val="28"/>
        </w:rPr>
      </w:pPr>
      <w:r>
        <w:rPr>
          <w:rFonts w:hint="eastAsia"/>
          <w:sz w:val="24"/>
          <w:szCs w:val="28"/>
        </w:rPr>
        <w:t>长期陈列展（长期合作展示的、转型为艺术、政府性质的展览），如果带有交易商业性质即可填写</w:t>
      </w:r>
    </w:p>
    <w:p w14:paraId="5A3E3669">
      <w:pPr>
        <w:pStyle w:val="14"/>
        <w:numPr>
          <w:ilvl w:val="0"/>
          <w:numId w:val="4"/>
        </w:numPr>
        <w:spacing w:line="360" w:lineRule="auto"/>
        <w:ind w:left="840" w:leftChars="400" w:firstLineChars="0"/>
        <w:rPr>
          <w:rFonts w:hint="eastAsia"/>
          <w:sz w:val="24"/>
          <w:szCs w:val="28"/>
        </w:rPr>
      </w:pPr>
      <w:r>
        <w:rPr>
          <w:rFonts w:hint="eastAsia"/>
          <w:sz w:val="24"/>
          <w:szCs w:val="28"/>
        </w:rPr>
        <w:t>人才交流会、招聘会，隶属于服务类 ，也可报在展览会列</w:t>
      </w:r>
    </w:p>
    <w:p w14:paraId="763C4232">
      <w:pPr>
        <w:pStyle w:val="14"/>
        <w:numPr>
          <w:ilvl w:val="0"/>
          <w:numId w:val="4"/>
        </w:numPr>
        <w:spacing w:line="360" w:lineRule="auto"/>
        <w:ind w:left="840" w:leftChars="400" w:firstLineChars="0"/>
        <w:rPr>
          <w:rFonts w:hint="eastAsia"/>
          <w:b/>
          <w:bCs/>
          <w:color w:val="FF0000"/>
          <w:sz w:val="24"/>
          <w:szCs w:val="28"/>
        </w:rPr>
      </w:pPr>
      <w:r>
        <w:rPr>
          <w:rFonts w:hint="eastAsia"/>
          <w:b/>
          <w:bCs/>
          <w:color w:val="FF0000"/>
          <w:sz w:val="24"/>
          <w:szCs w:val="28"/>
        </w:rPr>
        <w:t>为突出各展馆及地区的地方特色和经济发展，请在本展馆的常设展或具有地方特色的展览会，将相应一行的单元格标“</w:t>
      </w:r>
      <w:r>
        <w:rPr>
          <w:rFonts w:hint="eastAsia"/>
          <w:b/>
          <w:bCs/>
          <w:color w:val="538135" w:themeColor="accent6" w:themeShade="BF"/>
          <w:sz w:val="24"/>
          <w:szCs w:val="28"/>
        </w:rPr>
        <w:t>绿</w:t>
      </w:r>
      <w:r>
        <w:rPr>
          <w:rFonts w:hint="eastAsia"/>
          <w:b/>
          <w:bCs/>
          <w:color w:val="FF0000"/>
          <w:sz w:val="24"/>
          <w:szCs w:val="28"/>
        </w:rPr>
        <w:t>”以作区分，例如东盟博览会常设在南宁国际博览中心，那么填写好表格将此行展览会信息标绿。</w:t>
      </w:r>
    </w:p>
    <w:p w14:paraId="4162671A">
      <w:pPr>
        <w:spacing w:line="360" w:lineRule="auto"/>
        <w:rPr>
          <w:rFonts w:hint="eastAsia"/>
          <w:b/>
          <w:bCs/>
          <w:color w:val="FF0000"/>
          <w:sz w:val="24"/>
          <w:szCs w:val="28"/>
        </w:rPr>
      </w:pPr>
      <w:r>
        <w:drawing>
          <wp:inline distT="0" distB="0" distL="0" distR="0">
            <wp:extent cx="5761355" cy="1171575"/>
            <wp:effectExtent l="19050" t="19050" r="0" b="0"/>
            <wp:docPr id="1772691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1516" name="图片 1"/>
                    <pic:cNvPicPr>
                      <a:picLocks noChangeAspect="1"/>
                    </pic:cNvPicPr>
                  </pic:nvPicPr>
                  <pic:blipFill>
                    <a:blip r:embed="rId10"/>
                    <a:stretch>
                      <a:fillRect/>
                    </a:stretch>
                  </pic:blipFill>
                  <pic:spPr>
                    <a:xfrm>
                      <a:off x="0" y="0"/>
                      <a:ext cx="5780832" cy="1175514"/>
                    </a:xfrm>
                    <a:prstGeom prst="rect">
                      <a:avLst/>
                    </a:prstGeom>
                    <a:ln>
                      <a:solidFill>
                        <a:schemeClr val="accent5">
                          <a:lumMod val="60000"/>
                          <a:lumOff val="40000"/>
                        </a:schemeClr>
                      </a:solidFill>
                    </a:ln>
                  </pic:spPr>
                </pic:pic>
              </a:graphicData>
            </a:graphic>
          </wp:inline>
        </w:drawing>
      </w:r>
    </w:p>
    <w:p w14:paraId="1FBA4CDD">
      <w:pPr>
        <w:pStyle w:val="14"/>
        <w:numPr>
          <w:ilvl w:val="0"/>
          <w:numId w:val="3"/>
        </w:numPr>
        <w:spacing w:line="360" w:lineRule="auto"/>
        <w:ind w:left="300" w:leftChars="143" w:firstLineChars="0"/>
        <w:rPr>
          <w:rFonts w:hint="eastAsia"/>
          <w:b/>
          <w:bCs/>
          <w:sz w:val="24"/>
          <w:szCs w:val="28"/>
        </w:rPr>
      </w:pPr>
      <w:r>
        <w:rPr>
          <w:rFonts w:hint="eastAsia"/>
          <w:b/>
          <w:bCs/>
          <w:sz w:val="24"/>
          <w:szCs w:val="28"/>
        </w:rPr>
        <w:t>非展/其他类：对应行业分类列的非展/其他类</w:t>
      </w:r>
    </w:p>
    <w:p w14:paraId="49237148">
      <w:pPr>
        <w:pStyle w:val="14"/>
        <w:numPr>
          <w:ilvl w:val="0"/>
          <w:numId w:val="4"/>
        </w:numPr>
        <w:spacing w:line="360" w:lineRule="auto"/>
        <w:ind w:left="840" w:leftChars="400" w:firstLineChars="0"/>
        <w:rPr>
          <w:rFonts w:hint="eastAsia"/>
          <w:sz w:val="24"/>
          <w:szCs w:val="28"/>
        </w:rPr>
      </w:pPr>
      <w:r>
        <w:rPr>
          <w:rFonts w:hint="eastAsia"/>
          <w:sz w:val="24"/>
          <w:szCs w:val="28"/>
        </w:rPr>
        <w:t>除展会之外的其他活动，填在“非展</w:t>
      </w:r>
      <w:r>
        <w:rPr>
          <w:sz w:val="24"/>
          <w:szCs w:val="28"/>
        </w:rPr>
        <w:t>/</w:t>
      </w:r>
      <w:r>
        <w:rPr>
          <w:rFonts w:hint="eastAsia"/>
          <w:sz w:val="24"/>
          <w:szCs w:val="28"/>
        </w:rPr>
        <w:t>其他类”列，如：会议、公司年会/大会、嘉年华、活动、培训会、发布会、竞赛、</w:t>
      </w:r>
      <w:r>
        <w:rPr>
          <w:rFonts w:hint="eastAsia"/>
          <w:sz w:val="24"/>
          <w:szCs w:val="28"/>
          <w:lang w:val="en-US" w:eastAsia="zh-CN"/>
        </w:rPr>
        <w:t>演出</w:t>
      </w:r>
      <w:r>
        <w:rPr>
          <w:rFonts w:hint="eastAsia"/>
          <w:sz w:val="24"/>
          <w:szCs w:val="28"/>
        </w:rPr>
        <w:t>等</w:t>
      </w:r>
    </w:p>
    <w:p w14:paraId="6CE95DE1">
      <w:pPr>
        <w:pStyle w:val="14"/>
        <w:numPr>
          <w:ilvl w:val="0"/>
          <w:numId w:val="3"/>
        </w:numPr>
        <w:spacing w:line="360" w:lineRule="auto"/>
        <w:ind w:left="300" w:leftChars="143" w:firstLineChars="0"/>
        <w:rPr>
          <w:rFonts w:hint="eastAsia"/>
          <w:sz w:val="24"/>
          <w:szCs w:val="28"/>
        </w:rPr>
      </w:pPr>
      <w:r>
        <w:rPr>
          <w:rFonts w:hint="eastAsia"/>
          <w:sz w:val="24"/>
          <w:szCs w:val="28"/>
        </w:rPr>
        <w:t>以会带展、以活动带展的会议、活动等填写在“非展/其他类”列</w:t>
      </w:r>
      <w:r>
        <w:rPr>
          <w:rFonts w:hint="eastAsia"/>
          <w:sz w:val="24"/>
          <w:szCs w:val="28"/>
          <w:lang w:eastAsia="zh-CN"/>
        </w:rPr>
        <w:t>，</w:t>
      </w:r>
      <w:r>
        <w:rPr>
          <w:rFonts w:hint="eastAsia"/>
          <w:sz w:val="24"/>
          <w:szCs w:val="28"/>
        </w:rPr>
        <w:t>并补充配套会议类列的信息</w:t>
      </w:r>
      <w:r>
        <w:rPr>
          <w:rFonts w:hint="eastAsia"/>
          <w:sz w:val="24"/>
          <w:szCs w:val="28"/>
          <w:lang w:eastAsia="zh-CN"/>
        </w:rPr>
        <w:t>。</w:t>
      </w:r>
    </w:p>
    <w:p w14:paraId="5D1922D7">
      <w:pPr>
        <w:pStyle w:val="14"/>
        <w:numPr>
          <w:ilvl w:val="0"/>
          <w:numId w:val="3"/>
        </w:numPr>
        <w:spacing w:line="360" w:lineRule="auto"/>
        <w:ind w:left="300" w:leftChars="143" w:firstLineChars="0"/>
        <w:rPr>
          <w:rFonts w:hint="eastAsia"/>
          <w:sz w:val="24"/>
          <w:szCs w:val="28"/>
        </w:rPr>
      </w:pPr>
      <w:r>
        <w:rPr>
          <w:rFonts w:hint="eastAsia"/>
          <w:sz w:val="24"/>
          <w:szCs w:val="28"/>
        </w:rPr>
        <w:t>举办频率：一年多届、一年一届 、二年一届、以此类推·········</w:t>
      </w:r>
      <w:r>
        <w:rPr>
          <w:sz w:val="24"/>
          <w:szCs w:val="28"/>
        </w:rPr>
        <w:t>……</w:t>
      </w:r>
      <w:r>
        <w:rPr>
          <w:rFonts w:hint="eastAsia"/>
          <w:sz w:val="24"/>
          <w:szCs w:val="28"/>
        </w:rPr>
        <w:t>(首次展出的填写首届；一年多次的展览按表格格式一行行填写即可，不需合并)</w:t>
      </w:r>
    </w:p>
    <w:p w14:paraId="285A71F1">
      <w:pPr>
        <w:pStyle w:val="14"/>
        <w:numPr>
          <w:ilvl w:val="0"/>
          <w:numId w:val="3"/>
        </w:numPr>
        <w:spacing w:line="360" w:lineRule="auto"/>
        <w:ind w:left="300" w:leftChars="143" w:firstLineChars="0"/>
        <w:rPr>
          <w:rFonts w:hint="eastAsia"/>
          <w:sz w:val="24"/>
          <w:szCs w:val="28"/>
        </w:rPr>
      </w:pPr>
      <w:r>
        <w:rPr>
          <w:rFonts w:hint="eastAsia"/>
          <w:sz w:val="24"/>
          <w:szCs w:val="28"/>
        </w:rPr>
        <w:t>展馆租期：即从布展到撤展的</w:t>
      </w:r>
      <w:r>
        <w:rPr>
          <w:rFonts w:hint="eastAsia"/>
          <w:b/>
          <w:bCs/>
          <w:sz w:val="24"/>
          <w:szCs w:val="28"/>
        </w:rPr>
        <w:t>日期</w:t>
      </w:r>
      <w:r>
        <w:rPr>
          <w:rFonts w:hint="eastAsia"/>
          <w:sz w:val="24"/>
          <w:szCs w:val="28"/>
        </w:rPr>
        <w:t>，例20</w:t>
      </w:r>
      <w:r>
        <w:rPr>
          <w:sz w:val="24"/>
          <w:szCs w:val="28"/>
        </w:rPr>
        <w:t>23</w:t>
      </w:r>
      <w:r>
        <w:rPr>
          <w:rFonts w:hint="eastAsia"/>
          <w:sz w:val="24"/>
          <w:szCs w:val="28"/>
        </w:rPr>
        <w:t>.1.3-20</w:t>
      </w:r>
      <w:r>
        <w:rPr>
          <w:sz w:val="24"/>
          <w:szCs w:val="28"/>
        </w:rPr>
        <w:t>23</w:t>
      </w:r>
      <w:r>
        <w:rPr>
          <w:rFonts w:hint="eastAsia"/>
          <w:sz w:val="24"/>
          <w:szCs w:val="28"/>
        </w:rPr>
        <w:t>.1.5，请按此格式统一填写，展期为3天。</w:t>
      </w:r>
    </w:p>
    <w:p w14:paraId="30D1EA3E">
      <w:pPr>
        <w:pStyle w:val="14"/>
        <w:numPr>
          <w:ilvl w:val="0"/>
          <w:numId w:val="3"/>
        </w:numPr>
        <w:spacing w:line="360" w:lineRule="auto"/>
        <w:ind w:left="300" w:leftChars="143" w:firstLineChars="0"/>
        <w:rPr>
          <w:rFonts w:hint="eastAsia"/>
          <w:color w:val="000000" w:themeColor="text1"/>
          <w:sz w:val="24"/>
          <w:szCs w:val="28"/>
        </w:rPr>
      </w:pPr>
      <w:r>
        <w:rPr>
          <w:rFonts w:hint="eastAsia"/>
          <w:color w:val="000000" w:themeColor="text1"/>
          <w:sz w:val="24"/>
          <w:szCs w:val="28"/>
        </w:rPr>
        <w:t>租期（天）：</w:t>
      </w:r>
      <w:r>
        <w:rPr>
          <w:rFonts w:hint="eastAsia"/>
          <w:sz w:val="24"/>
          <w:szCs w:val="28"/>
        </w:rPr>
        <w:t>即从布展到撤展的</w:t>
      </w:r>
      <w:r>
        <w:rPr>
          <w:rFonts w:hint="eastAsia"/>
          <w:b/>
          <w:bCs/>
          <w:sz w:val="24"/>
          <w:szCs w:val="28"/>
        </w:rPr>
        <w:t>天数</w:t>
      </w:r>
      <w:r>
        <w:rPr>
          <w:rFonts w:hint="eastAsia"/>
          <w:sz w:val="24"/>
          <w:szCs w:val="28"/>
        </w:rPr>
        <w:t>，包含展览的天数，</w:t>
      </w:r>
      <w:r>
        <w:rPr>
          <w:rFonts w:hint="eastAsia"/>
          <w:b/>
          <w:bCs/>
          <w:sz w:val="24"/>
          <w:szCs w:val="28"/>
        </w:rPr>
        <w:t>与展馆租期对应</w:t>
      </w:r>
      <w:r>
        <w:rPr>
          <w:rFonts w:hint="eastAsia"/>
          <w:sz w:val="24"/>
          <w:szCs w:val="28"/>
        </w:rPr>
        <w:t>，最小单位以0.5天计，</w:t>
      </w:r>
      <w:r>
        <w:rPr>
          <w:rFonts w:hint="eastAsia"/>
          <w:color w:val="000000" w:themeColor="text1"/>
          <w:sz w:val="24"/>
          <w:szCs w:val="28"/>
        </w:rPr>
        <w:t>不需后缀单位，便于计算</w:t>
      </w:r>
    </w:p>
    <w:p w14:paraId="419EED93">
      <w:pPr>
        <w:pStyle w:val="14"/>
        <w:ind w:left="1560" w:firstLine="0" w:firstLineChars="0"/>
        <w:rPr>
          <w:rFonts w:hint="eastAsia"/>
          <w:color w:val="000000" w:themeColor="text1"/>
          <w:sz w:val="22"/>
          <w:szCs w:val="24"/>
        </w:rPr>
      </w:pPr>
    </w:p>
    <w:p w14:paraId="00140F24">
      <w:pPr>
        <w:rPr>
          <w:rFonts w:hint="eastAsia"/>
        </w:rPr>
      </w:pPr>
      <w:r>
        <w:drawing>
          <wp:inline distT="0" distB="0" distL="0" distR="0">
            <wp:extent cx="5274310" cy="1155700"/>
            <wp:effectExtent l="19050" t="19050" r="254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274310" cy="1155700"/>
                    </a:xfrm>
                    <a:prstGeom prst="rect">
                      <a:avLst/>
                    </a:prstGeom>
                    <a:ln>
                      <a:solidFill>
                        <a:schemeClr val="accent1">
                          <a:lumMod val="40000"/>
                          <a:lumOff val="60000"/>
                        </a:schemeClr>
                      </a:solidFill>
                    </a:ln>
                  </pic:spPr>
                </pic:pic>
              </a:graphicData>
            </a:graphic>
          </wp:inline>
        </w:drawing>
      </w:r>
    </w:p>
    <w:p w14:paraId="1C95778D">
      <w:pPr>
        <w:ind w:left="780"/>
        <w:rPr>
          <w:rFonts w:hint="eastAsia"/>
        </w:rPr>
      </w:pPr>
    </w:p>
    <w:p w14:paraId="2D181ACA">
      <w:pPr>
        <w:rPr>
          <w:rFonts w:hint="eastAsia" w:ascii="华文仿宋" w:hAnsi="华文仿宋" w:eastAsia="仿宋" w:cs="华文仿宋"/>
          <w:b/>
          <w:bCs/>
          <w:sz w:val="28"/>
          <w:szCs w:val="28"/>
        </w:rPr>
      </w:pPr>
      <w:r>
        <w:rPr>
          <w:rFonts w:hint="eastAsia" w:ascii="华文仿宋" w:hAnsi="华文仿宋" w:eastAsia="仿宋" w:cs="华文仿宋"/>
          <w:b/>
          <w:bCs/>
          <w:sz w:val="28"/>
          <w:szCs w:val="28"/>
        </w:rPr>
        <w:t>6、展出面积㎡、展出面积（展线长度）分类</w:t>
      </w:r>
    </w:p>
    <w:p w14:paraId="10C89233">
      <w:pPr>
        <w:pStyle w:val="14"/>
        <w:numPr>
          <w:ilvl w:val="0"/>
          <w:numId w:val="5"/>
        </w:numPr>
        <w:spacing w:line="360" w:lineRule="auto"/>
        <w:ind w:firstLineChars="0"/>
        <w:rPr>
          <w:rFonts w:hint="eastAsia"/>
          <w:sz w:val="24"/>
          <w:szCs w:val="28"/>
        </w:rPr>
      </w:pPr>
      <w:r>
        <w:rPr>
          <w:rFonts w:hint="eastAsia"/>
          <w:sz w:val="24"/>
          <w:szCs w:val="28"/>
        </w:rPr>
        <w:t>展出面积㎡：只需填写数字（表头已给出单位㎡）。以实际展出面积为准，如有室外展出，加上室外的面积；如实际占用面积与签约的不一样，以实际为准</w:t>
      </w:r>
    </w:p>
    <w:p w14:paraId="799D67B2">
      <w:pPr>
        <w:pStyle w:val="14"/>
        <w:numPr>
          <w:ilvl w:val="0"/>
          <w:numId w:val="5"/>
        </w:numPr>
        <w:spacing w:line="360" w:lineRule="auto"/>
        <w:ind w:firstLineChars="0"/>
        <w:rPr>
          <w:rFonts w:hint="eastAsia"/>
          <w:sz w:val="22"/>
          <w:szCs w:val="24"/>
        </w:rPr>
      </w:pPr>
      <w:r>
        <w:rPr>
          <w:rFonts w:hint="eastAsia"/>
          <w:sz w:val="24"/>
          <w:szCs w:val="28"/>
        </w:rPr>
        <w:t>展出面积分类：1万平方米以下、1-5万平方米、5-10万平方米、10万平方米以上</w:t>
      </w:r>
      <w:r>
        <w:rPr>
          <w:rFonts w:hint="eastAsia"/>
          <w:sz w:val="28"/>
          <w:szCs w:val="32"/>
        </w:rPr>
        <w:t>，</w:t>
      </w:r>
      <w:r>
        <w:rPr>
          <w:rFonts w:hint="eastAsia"/>
          <w:sz w:val="24"/>
          <w:szCs w:val="28"/>
        </w:rPr>
        <w:t>展示陈列类展馆可按实际展线长度填写</w:t>
      </w:r>
    </w:p>
    <w:p w14:paraId="4FBE2728">
      <w:pPr>
        <w:pStyle w:val="14"/>
        <w:ind w:left="1560" w:firstLine="0" w:firstLineChars="0"/>
        <w:rPr>
          <w:rFonts w:hint="eastAsia"/>
          <w:sz w:val="22"/>
          <w:szCs w:val="24"/>
        </w:rPr>
      </w:pPr>
    </w:p>
    <w:p w14:paraId="26A00835">
      <w:pPr>
        <w:rPr>
          <w:rFonts w:hint="eastAsia"/>
        </w:rPr>
      </w:pPr>
      <w:r>
        <w:drawing>
          <wp:inline distT="0" distB="0" distL="0" distR="0">
            <wp:extent cx="5274310" cy="153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274310" cy="1536700"/>
                    </a:xfrm>
                    <a:prstGeom prst="rect">
                      <a:avLst/>
                    </a:prstGeom>
                  </pic:spPr>
                </pic:pic>
              </a:graphicData>
            </a:graphic>
          </wp:inline>
        </w:drawing>
      </w:r>
    </w:p>
    <w:p w14:paraId="6467AC7F">
      <w:pPr>
        <w:rPr>
          <w:rFonts w:hint="eastAsia"/>
        </w:rPr>
      </w:pPr>
    </w:p>
    <w:p w14:paraId="78517CC5">
      <w:pPr>
        <w:rPr>
          <w:rFonts w:hint="eastAsia" w:ascii="华文仿宋" w:hAnsi="华文仿宋" w:eastAsia="仿宋" w:cs="华文仿宋"/>
          <w:b/>
          <w:bCs/>
          <w:sz w:val="28"/>
          <w:szCs w:val="28"/>
        </w:rPr>
      </w:pPr>
      <w:r>
        <w:rPr>
          <w:rFonts w:hint="eastAsia" w:ascii="华文仿宋" w:hAnsi="华文仿宋" w:eastAsia="仿宋" w:cs="华文仿宋"/>
          <w:b/>
          <w:bCs/>
          <w:sz w:val="28"/>
          <w:szCs w:val="28"/>
        </w:rPr>
        <w:t>7、展出内容、会展行业分类</w:t>
      </w:r>
    </w:p>
    <w:p w14:paraId="692C7C56">
      <w:pPr>
        <w:pStyle w:val="14"/>
        <w:numPr>
          <w:ilvl w:val="0"/>
          <w:numId w:val="6"/>
        </w:numPr>
        <w:ind w:left="300" w:leftChars="143" w:firstLineChars="0"/>
        <w:rPr>
          <w:rFonts w:hint="eastAsia"/>
          <w:sz w:val="24"/>
          <w:szCs w:val="28"/>
        </w:rPr>
      </w:pPr>
      <w:r>
        <w:rPr>
          <w:rFonts w:hint="eastAsia"/>
          <w:sz w:val="24"/>
          <w:szCs w:val="28"/>
        </w:rPr>
        <w:t>展出内容：按实际相关内容简写即可</w:t>
      </w:r>
    </w:p>
    <w:p w14:paraId="6AAAE94C">
      <w:pPr>
        <w:pStyle w:val="14"/>
        <w:numPr>
          <w:ilvl w:val="0"/>
          <w:numId w:val="7"/>
        </w:numPr>
        <w:spacing w:line="360" w:lineRule="auto"/>
        <w:ind w:left="300" w:leftChars="143" w:firstLineChars="0"/>
        <w:jc w:val="left"/>
        <w:rPr>
          <w:rFonts w:hint="eastAsia"/>
          <w:sz w:val="24"/>
          <w:szCs w:val="28"/>
        </w:rPr>
      </w:pPr>
      <w:r>
        <w:rPr>
          <w:rFonts w:hint="eastAsia"/>
          <w:sz w:val="24"/>
          <w:szCs w:val="28"/>
        </w:rPr>
        <w:t>行业类别：</w:t>
      </w:r>
      <w:r>
        <w:rPr>
          <w:sz w:val="24"/>
          <w:szCs w:val="28"/>
        </w:rPr>
        <w:t xml:space="preserve"> </w:t>
      </w:r>
    </w:p>
    <w:p w14:paraId="2C997327">
      <w:pPr>
        <w:spacing w:line="360" w:lineRule="auto"/>
        <w:ind w:left="300" w:leftChars="143"/>
        <w:rPr>
          <w:rFonts w:hint="eastAsia"/>
          <w:sz w:val="24"/>
          <w:szCs w:val="28"/>
        </w:rPr>
      </w:pPr>
      <w:r>
        <w:rPr>
          <w:rFonts w:hint="eastAsia"/>
          <w:sz w:val="24"/>
          <w:szCs w:val="28"/>
        </w:rPr>
        <w:t xml:space="preserve">中华人民共和国国家标准国民经济行业分类（GBT4754—2017）有以下20门类，详情见本文件中“国民经济行业分类2017”sheet表，根据展览业情况增加了21其他类： </w:t>
      </w:r>
    </w:p>
    <w:p w14:paraId="2CF06C19">
      <w:pPr>
        <w:spacing w:line="360" w:lineRule="auto"/>
        <w:ind w:left="300" w:leftChars="143"/>
        <w:rPr>
          <w:rFonts w:hint="eastAsia"/>
          <w:sz w:val="24"/>
          <w:szCs w:val="28"/>
        </w:rPr>
      </w:pPr>
      <w:r>
        <w:rPr>
          <w:rFonts w:hint="eastAsia"/>
          <w:sz w:val="24"/>
          <w:szCs w:val="28"/>
        </w:rPr>
        <w:t>1. 农、林、牧、渔业</w:t>
      </w:r>
    </w:p>
    <w:p w14:paraId="522BCCB2">
      <w:pPr>
        <w:spacing w:line="360" w:lineRule="auto"/>
        <w:ind w:left="300" w:leftChars="143"/>
        <w:rPr>
          <w:rFonts w:hint="eastAsia"/>
          <w:sz w:val="24"/>
          <w:szCs w:val="28"/>
        </w:rPr>
      </w:pPr>
      <w:r>
        <w:rPr>
          <w:rFonts w:hint="eastAsia"/>
          <w:sz w:val="24"/>
          <w:szCs w:val="28"/>
        </w:rPr>
        <w:t>2. 采矿业</w:t>
      </w:r>
    </w:p>
    <w:p w14:paraId="259ADDBD">
      <w:pPr>
        <w:spacing w:line="360" w:lineRule="auto"/>
        <w:ind w:left="300" w:leftChars="143"/>
        <w:rPr>
          <w:rFonts w:hint="eastAsia"/>
          <w:sz w:val="24"/>
          <w:szCs w:val="28"/>
        </w:rPr>
      </w:pPr>
      <w:r>
        <w:rPr>
          <w:rFonts w:hint="eastAsia"/>
          <w:sz w:val="24"/>
          <w:szCs w:val="28"/>
        </w:rPr>
        <w:t>3. 制造业</w:t>
      </w:r>
    </w:p>
    <w:p w14:paraId="7B113835">
      <w:pPr>
        <w:spacing w:line="360" w:lineRule="auto"/>
        <w:ind w:left="300" w:leftChars="143"/>
        <w:rPr>
          <w:rFonts w:hint="eastAsia"/>
          <w:sz w:val="24"/>
          <w:szCs w:val="28"/>
        </w:rPr>
      </w:pPr>
      <w:r>
        <w:rPr>
          <w:rFonts w:hint="eastAsia"/>
          <w:sz w:val="24"/>
          <w:szCs w:val="28"/>
        </w:rPr>
        <w:t>4. 电力、热力、燃气及水生产和供应业</w:t>
      </w:r>
    </w:p>
    <w:p w14:paraId="2A3B1542">
      <w:pPr>
        <w:spacing w:line="360" w:lineRule="auto"/>
        <w:ind w:left="300" w:leftChars="143"/>
        <w:rPr>
          <w:rFonts w:hint="eastAsia"/>
          <w:sz w:val="24"/>
          <w:szCs w:val="28"/>
        </w:rPr>
      </w:pPr>
      <w:r>
        <w:rPr>
          <w:rFonts w:hint="eastAsia"/>
          <w:sz w:val="24"/>
          <w:szCs w:val="28"/>
        </w:rPr>
        <w:t>5. 建筑业</w:t>
      </w:r>
    </w:p>
    <w:p w14:paraId="105A3A54">
      <w:pPr>
        <w:spacing w:line="360" w:lineRule="auto"/>
        <w:ind w:left="300" w:leftChars="143"/>
        <w:rPr>
          <w:rFonts w:hint="eastAsia"/>
          <w:sz w:val="24"/>
          <w:szCs w:val="28"/>
        </w:rPr>
      </w:pPr>
      <w:r>
        <w:rPr>
          <w:rFonts w:hint="eastAsia"/>
          <w:sz w:val="24"/>
          <w:szCs w:val="28"/>
        </w:rPr>
        <w:t>6. 批发和零售业</w:t>
      </w:r>
    </w:p>
    <w:p w14:paraId="263690A1">
      <w:pPr>
        <w:spacing w:line="360" w:lineRule="auto"/>
        <w:ind w:left="300" w:leftChars="143"/>
        <w:rPr>
          <w:rFonts w:hint="eastAsia"/>
          <w:sz w:val="24"/>
          <w:szCs w:val="28"/>
        </w:rPr>
      </w:pPr>
      <w:r>
        <w:rPr>
          <w:rFonts w:hint="eastAsia"/>
          <w:sz w:val="24"/>
          <w:szCs w:val="28"/>
        </w:rPr>
        <w:t>7. 交通运输、仓储和邮政业</w:t>
      </w:r>
    </w:p>
    <w:p w14:paraId="357C367C">
      <w:pPr>
        <w:spacing w:line="360" w:lineRule="auto"/>
        <w:ind w:left="300" w:leftChars="143"/>
        <w:rPr>
          <w:rFonts w:hint="eastAsia"/>
          <w:sz w:val="24"/>
          <w:szCs w:val="28"/>
        </w:rPr>
      </w:pPr>
      <w:r>
        <w:rPr>
          <w:rFonts w:hint="eastAsia"/>
          <w:sz w:val="24"/>
          <w:szCs w:val="28"/>
        </w:rPr>
        <w:t>8. 住宿和餐饮业</w:t>
      </w:r>
    </w:p>
    <w:p w14:paraId="5955C2F5">
      <w:pPr>
        <w:spacing w:line="360" w:lineRule="auto"/>
        <w:ind w:left="300" w:leftChars="143"/>
        <w:rPr>
          <w:rFonts w:hint="eastAsia"/>
          <w:sz w:val="24"/>
          <w:szCs w:val="28"/>
        </w:rPr>
      </w:pPr>
      <w:r>
        <w:rPr>
          <w:rFonts w:hint="eastAsia"/>
          <w:sz w:val="24"/>
          <w:szCs w:val="28"/>
        </w:rPr>
        <w:t>9. 信息传输、软件和信息技术服务业</w:t>
      </w:r>
    </w:p>
    <w:p w14:paraId="3368DF56">
      <w:pPr>
        <w:spacing w:line="360" w:lineRule="auto"/>
        <w:ind w:left="300" w:leftChars="143"/>
        <w:rPr>
          <w:rFonts w:hint="eastAsia"/>
          <w:sz w:val="24"/>
          <w:szCs w:val="28"/>
        </w:rPr>
      </w:pPr>
      <w:r>
        <w:rPr>
          <w:rFonts w:hint="eastAsia"/>
          <w:sz w:val="24"/>
          <w:szCs w:val="28"/>
        </w:rPr>
        <w:t>10. 金融业</w:t>
      </w:r>
    </w:p>
    <w:p w14:paraId="10C67DD5">
      <w:pPr>
        <w:spacing w:line="360" w:lineRule="auto"/>
        <w:ind w:left="300" w:leftChars="143"/>
        <w:rPr>
          <w:rFonts w:hint="eastAsia"/>
          <w:sz w:val="24"/>
          <w:szCs w:val="28"/>
        </w:rPr>
      </w:pPr>
      <w:r>
        <w:rPr>
          <w:rFonts w:hint="eastAsia"/>
          <w:sz w:val="24"/>
          <w:szCs w:val="28"/>
        </w:rPr>
        <w:t>11. 房地产业</w:t>
      </w:r>
    </w:p>
    <w:p w14:paraId="2D75A4D9">
      <w:pPr>
        <w:spacing w:line="360" w:lineRule="auto"/>
        <w:ind w:left="300" w:leftChars="143"/>
        <w:rPr>
          <w:rFonts w:hint="eastAsia"/>
          <w:sz w:val="24"/>
          <w:szCs w:val="28"/>
        </w:rPr>
      </w:pPr>
      <w:r>
        <w:rPr>
          <w:rFonts w:hint="eastAsia"/>
          <w:sz w:val="24"/>
          <w:szCs w:val="28"/>
        </w:rPr>
        <w:t>12. 租赁和商务服务业</w:t>
      </w:r>
    </w:p>
    <w:p w14:paraId="4B88AE2E">
      <w:pPr>
        <w:spacing w:line="360" w:lineRule="auto"/>
        <w:ind w:left="300" w:leftChars="143"/>
        <w:rPr>
          <w:rFonts w:hint="eastAsia"/>
          <w:sz w:val="24"/>
          <w:szCs w:val="28"/>
        </w:rPr>
      </w:pPr>
      <w:r>
        <w:rPr>
          <w:rFonts w:hint="eastAsia"/>
          <w:sz w:val="24"/>
          <w:szCs w:val="28"/>
        </w:rPr>
        <w:t>13. 科学研究和技术服务业</w:t>
      </w:r>
    </w:p>
    <w:p w14:paraId="412BAD6E">
      <w:pPr>
        <w:spacing w:line="360" w:lineRule="auto"/>
        <w:ind w:left="300" w:leftChars="143"/>
        <w:rPr>
          <w:rFonts w:hint="eastAsia"/>
          <w:sz w:val="24"/>
          <w:szCs w:val="28"/>
        </w:rPr>
      </w:pPr>
      <w:r>
        <w:rPr>
          <w:rFonts w:hint="eastAsia"/>
          <w:sz w:val="24"/>
          <w:szCs w:val="28"/>
        </w:rPr>
        <w:t>14. 水利、环境和公共设施管理业</w:t>
      </w:r>
    </w:p>
    <w:p w14:paraId="7CD2A0B3">
      <w:pPr>
        <w:spacing w:line="360" w:lineRule="auto"/>
        <w:ind w:left="300" w:leftChars="143"/>
        <w:rPr>
          <w:rFonts w:hint="eastAsia"/>
          <w:sz w:val="24"/>
          <w:szCs w:val="28"/>
        </w:rPr>
      </w:pPr>
      <w:r>
        <w:rPr>
          <w:rFonts w:hint="eastAsia"/>
          <w:sz w:val="24"/>
          <w:szCs w:val="28"/>
        </w:rPr>
        <w:t>15. 居民服务、修理和其他服务业</w:t>
      </w:r>
    </w:p>
    <w:p w14:paraId="1CDE5D59">
      <w:pPr>
        <w:spacing w:line="360" w:lineRule="auto"/>
        <w:ind w:left="300" w:leftChars="143"/>
        <w:rPr>
          <w:rFonts w:hint="eastAsia"/>
          <w:sz w:val="24"/>
          <w:szCs w:val="28"/>
        </w:rPr>
      </w:pPr>
      <w:r>
        <w:rPr>
          <w:rFonts w:hint="eastAsia"/>
          <w:sz w:val="24"/>
          <w:szCs w:val="28"/>
        </w:rPr>
        <w:t>16. 教育</w:t>
      </w:r>
    </w:p>
    <w:p w14:paraId="1C2660F0">
      <w:pPr>
        <w:spacing w:line="360" w:lineRule="auto"/>
        <w:ind w:left="300" w:leftChars="143"/>
        <w:rPr>
          <w:rFonts w:hint="eastAsia"/>
          <w:sz w:val="24"/>
          <w:szCs w:val="28"/>
        </w:rPr>
      </w:pPr>
      <w:r>
        <w:rPr>
          <w:rFonts w:hint="eastAsia"/>
          <w:sz w:val="24"/>
          <w:szCs w:val="28"/>
        </w:rPr>
        <w:t>17. 卫生和社会工作</w:t>
      </w:r>
    </w:p>
    <w:p w14:paraId="08623D8C">
      <w:pPr>
        <w:spacing w:line="360" w:lineRule="auto"/>
        <w:ind w:left="300" w:leftChars="143"/>
        <w:rPr>
          <w:rFonts w:hint="eastAsia"/>
          <w:sz w:val="24"/>
          <w:szCs w:val="28"/>
        </w:rPr>
      </w:pPr>
      <w:r>
        <w:rPr>
          <w:rFonts w:hint="eastAsia"/>
          <w:sz w:val="24"/>
          <w:szCs w:val="28"/>
        </w:rPr>
        <w:t>18. 文化、体育和娱乐业</w:t>
      </w:r>
    </w:p>
    <w:p w14:paraId="22876DFB">
      <w:pPr>
        <w:spacing w:line="360" w:lineRule="auto"/>
        <w:ind w:left="300" w:leftChars="143"/>
        <w:rPr>
          <w:rFonts w:hint="eastAsia"/>
          <w:sz w:val="24"/>
          <w:szCs w:val="28"/>
        </w:rPr>
      </w:pPr>
      <w:r>
        <w:rPr>
          <w:rFonts w:hint="eastAsia"/>
          <w:sz w:val="24"/>
          <w:szCs w:val="28"/>
        </w:rPr>
        <w:t>19. 公共管理、社会保障和社会组织</w:t>
      </w:r>
    </w:p>
    <w:p w14:paraId="66F8421C">
      <w:pPr>
        <w:spacing w:line="360" w:lineRule="auto"/>
        <w:ind w:left="300" w:leftChars="143"/>
        <w:rPr>
          <w:rFonts w:hint="eastAsia"/>
          <w:sz w:val="24"/>
          <w:szCs w:val="28"/>
        </w:rPr>
      </w:pPr>
      <w:r>
        <w:rPr>
          <w:rFonts w:hint="eastAsia"/>
          <w:sz w:val="24"/>
          <w:szCs w:val="28"/>
        </w:rPr>
        <w:t>20. 国际组织</w:t>
      </w:r>
    </w:p>
    <w:p w14:paraId="7DAA2EF9">
      <w:pPr>
        <w:spacing w:line="360" w:lineRule="auto"/>
        <w:ind w:left="300" w:leftChars="143"/>
        <w:rPr>
          <w:rFonts w:hint="eastAsia"/>
          <w:sz w:val="24"/>
          <w:szCs w:val="28"/>
        </w:rPr>
      </w:pPr>
      <w:r>
        <w:rPr>
          <w:rFonts w:hint="eastAsia"/>
          <w:sz w:val="24"/>
          <w:szCs w:val="28"/>
        </w:rPr>
        <w:t>21.其他类：</w:t>
      </w:r>
    </w:p>
    <w:p w14:paraId="33D7429B">
      <w:pPr>
        <w:spacing w:line="360" w:lineRule="auto"/>
        <w:ind w:left="300" w:leftChars="143"/>
        <w:rPr>
          <w:rFonts w:hint="default" w:eastAsiaTheme="minorEastAsia"/>
          <w:b/>
          <w:bCs/>
          <w:sz w:val="24"/>
          <w:szCs w:val="28"/>
          <w:lang w:val="en-US" w:eastAsia="zh-CN"/>
        </w:rPr>
      </w:pPr>
      <w:r>
        <w:rPr>
          <w:rFonts w:hint="eastAsia"/>
          <w:sz w:val="24"/>
          <w:szCs w:val="28"/>
        </w:rPr>
        <w:t>除展会之外的其他活动，如：公司年会/大会、嘉年华、活动、培训会、发布会、竞赛、演出等。</w:t>
      </w:r>
      <w:r>
        <w:rPr>
          <w:rFonts w:hint="eastAsia"/>
          <w:b/>
          <w:bCs/>
          <w:color w:val="FF0000"/>
          <w:sz w:val="30"/>
          <w:szCs w:val="30"/>
          <w:lang w:val="en-US" w:eastAsia="zh-CN"/>
        </w:rPr>
        <w:t>填写在非展/其他列 。</w:t>
      </w:r>
    </w:p>
    <w:p w14:paraId="06BF705C">
      <w:pPr>
        <w:rPr>
          <w:rFonts w:hint="eastAsia" w:eastAsiaTheme="minorEastAsia"/>
          <w:lang w:eastAsia="zh-CN"/>
        </w:rPr>
      </w:pPr>
      <w:r>
        <w:rPr>
          <w:rFonts w:hint="eastAsia" w:eastAsiaTheme="minorEastAsia"/>
          <w:lang w:eastAsia="zh-CN"/>
        </w:rPr>
        <w:drawing>
          <wp:inline distT="0" distB="0" distL="114300" distR="114300">
            <wp:extent cx="5271135" cy="2435225"/>
            <wp:effectExtent l="0" t="0" r="5715" b="3175"/>
            <wp:docPr id="4" name="图片 4" descr="ScreenShot_2025-12-16_091039_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creenShot_2025-12-16_091039_985"/>
                    <pic:cNvPicPr>
                      <a:picLocks noChangeAspect="1"/>
                    </pic:cNvPicPr>
                  </pic:nvPicPr>
                  <pic:blipFill>
                    <a:blip r:embed="rId13"/>
                    <a:stretch>
                      <a:fillRect/>
                    </a:stretch>
                  </pic:blipFill>
                  <pic:spPr>
                    <a:xfrm>
                      <a:off x="0" y="0"/>
                      <a:ext cx="5271135" cy="2435225"/>
                    </a:xfrm>
                    <a:prstGeom prst="rect">
                      <a:avLst/>
                    </a:prstGeom>
                  </pic:spPr>
                </pic:pic>
              </a:graphicData>
            </a:graphic>
          </wp:inline>
        </w:drawing>
      </w:r>
    </w:p>
    <w:p w14:paraId="79463416">
      <w:pPr>
        <w:rPr>
          <w:rFonts w:hint="eastAsia"/>
          <w:color w:val="00B050"/>
        </w:rPr>
      </w:pPr>
    </w:p>
    <w:p w14:paraId="154938D0">
      <w:pPr>
        <w:rPr>
          <w:rFonts w:hint="eastAsia" w:ascii="华文仿宋" w:hAnsi="华文仿宋" w:eastAsia="仿宋" w:cs="华文仿宋"/>
          <w:b/>
          <w:bCs/>
          <w:sz w:val="28"/>
          <w:szCs w:val="28"/>
        </w:rPr>
      </w:pPr>
      <w:r>
        <w:rPr>
          <w:rFonts w:hint="eastAsia" w:ascii="华文仿宋" w:hAnsi="华文仿宋" w:eastAsia="仿宋" w:cs="华文仿宋"/>
          <w:b/>
          <w:bCs/>
          <w:sz w:val="28"/>
          <w:szCs w:val="28"/>
        </w:rPr>
        <w:t>8、观众人数、参展公司数（展品数量）、组展商、联系方式</w:t>
      </w:r>
    </w:p>
    <w:p w14:paraId="3515511D">
      <w:pPr>
        <w:pStyle w:val="14"/>
        <w:numPr>
          <w:ilvl w:val="0"/>
          <w:numId w:val="8"/>
        </w:numPr>
        <w:spacing w:line="360" w:lineRule="auto"/>
        <w:ind w:firstLineChars="0"/>
        <w:rPr>
          <w:rFonts w:hint="eastAsia"/>
          <w:sz w:val="24"/>
          <w:szCs w:val="28"/>
        </w:rPr>
      </w:pPr>
      <w:r>
        <w:rPr>
          <w:rFonts w:hint="eastAsia"/>
          <w:sz w:val="24"/>
          <w:szCs w:val="28"/>
        </w:rPr>
        <w:t>观众人数（人次）：填写具体数字，如同时举办多个展类，可将人数平均或根据实际估计，不能重复；如果人数不是很准确，可据实估算</w:t>
      </w:r>
    </w:p>
    <w:p w14:paraId="0DD59F4D">
      <w:pPr>
        <w:pStyle w:val="14"/>
        <w:numPr>
          <w:ilvl w:val="0"/>
          <w:numId w:val="8"/>
        </w:numPr>
        <w:spacing w:line="360" w:lineRule="auto"/>
        <w:ind w:firstLineChars="0"/>
        <w:rPr>
          <w:rFonts w:hint="eastAsia"/>
          <w:b/>
          <w:bCs/>
          <w:sz w:val="24"/>
          <w:szCs w:val="28"/>
        </w:rPr>
      </w:pPr>
      <w:r>
        <w:rPr>
          <w:rFonts w:hint="eastAsia"/>
          <w:sz w:val="24"/>
          <w:szCs w:val="28"/>
        </w:rPr>
        <w:t>参展公司数（展品数量）：以实际数量为准，</w:t>
      </w:r>
      <w:r>
        <w:rPr>
          <w:rFonts w:hint="eastAsia"/>
          <w:b/>
          <w:bCs/>
          <w:sz w:val="24"/>
          <w:szCs w:val="28"/>
        </w:rPr>
        <w:t>展示陈列类展馆只需填写实际展品数量即可</w:t>
      </w:r>
    </w:p>
    <w:p w14:paraId="574D17AD">
      <w:pPr>
        <w:pStyle w:val="14"/>
        <w:numPr>
          <w:ilvl w:val="0"/>
          <w:numId w:val="8"/>
        </w:numPr>
        <w:spacing w:line="360" w:lineRule="auto"/>
        <w:ind w:firstLineChars="0"/>
        <w:rPr>
          <w:rFonts w:hint="eastAsia"/>
          <w:sz w:val="24"/>
          <w:szCs w:val="28"/>
        </w:rPr>
      </w:pPr>
      <w:r>
        <w:rPr>
          <w:rFonts w:hint="eastAsia"/>
          <w:sz w:val="24"/>
          <w:szCs w:val="28"/>
        </w:rPr>
        <w:t>组展商：XXX公司，填报时尊重组展商意见，同意即填写，不同意即空着</w:t>
      </w:r>
    </w:p>
    <w:p w14:paraId="4392255C">
      <w:pPr>
        <w:pStyle w:val="14"/>
        <w:numPr>
          <w:ilvl w:val="0"/>
          <w:numId w:val="8"/>
        </w:numPr>
        <w:spacing w:line="360" w:lineRule="auto"/>
        <w:ind w:firstLineChars="0"/>
        <w:rPr>
          <w:rFonts w:hint="eastAsia"/>
          <w:sz w:val="24"/>
          <w:szCs w:val="28"/>
        </w:rPr>
      </w:pPr>
      <w:r>
        <w:rPr>
          <w:rFonts w:hint="eastAsia"/>
          <w:sz w:val="24"/>
          <w:szCs w:val="28"/>
        </w:rPr>
        <w:t>联系方式：如有且组展商同意即填写</w:t>
      </w:r>
    </w:p>
    <w:p w14:paraId="1AB1364B">
      <w:pPr>
        <w:pStyle w:val="14"/>
        <w:ind w:left="1560" w:firstLine="0" w:firstLineChars="0"/>
        <w:rPr>
          <w:rFonts w:hint="eastAsia"/>
          <w:sz w:val="22"/>
          <w:szCs w:val="24"/>
        </w:rPr>
      </w:pPr>
    </w:p>
    <w:p w14:paraId="58B00845">
      <w:pPr>
        <w:rPr>
          <w:rFonts w:hint="eastAsia"/>
        </w:rPr>
      </w:pPr>
      <w:r>
        <w:drawing>
          <wp:inline distT="0" distB="0" distL="0" distR="0">
            <wp:extent cx="5274310" cy="1141730"/>
            <wp:effectExtent l="19050" t="19050" r="254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74310" cy="1141730"/>
                    </a:xfrm>
                    <a:prstGeom prst="rect">
                      <a:avLst/>
                    </a:prstGeom>
                    <a:ln>
                      <a:solidFill>
                        <a:schemeClr val="bg1">
                          <a:lumMod val="50000"/>
                        </a:schemeClr>
                      </a:solidFill>
                    </a:ln>
                  </pic:spPr>
                </pic:pic>
              </a:graphicData>
            </a:graphic>
          </wp:inline>
        </w:drawing>
      </w:r>
    </w:p>
    <w:p w14:paraId="6056A8C7">
      <w:pPr>
        <w:rPr>
          <w:rFonts w:hint="eastAsia"/>
          <w:b/>
          <w:bCs/>
        </w:rPr>
      </w:pPr>
    </w:p>
    <w:p w14:paraId="743A34B3">
      <w:pPr>
        <w:spacing w:line="360" w:lineRule="auto"/>
        <w:rPr>
          <w:rFonts w:hint="eastAsia" w:ascii="宋体" w:hAnsi="宋体" w:eastAsia="宋体" w:cs="华文仿宋"/>
          <w:b/>
          <w:bCs/>
          <w:sz w:val="40"/>
          <w:szCs w:val="40"/>
        </w:rPr>
      </w:pPr>
      <w:r>
        <w:rPr>
          <w:rFonts w:hint="eastAsia" w:ascii="宋体" w:hAnsi="宋体" w:eastAsia="宋体" w:cs="华文仿宋"/>
          <w:b/>
          <w:bCs/>
          <w:sz w:val="40"/>
          <w:szCs w:val="40"/>
        </w:rPr>
        <w:t>特别注意:</w:t>
      </w:r>
    </w:p>
    <w:p w14:paraId="7804BDF8">
      <w:pPr>
        <w:pStyle w:val="14"/>
        <w:numPr>
          <w:ilvl w:val="0"/>
          <w:numId w:val="9"/>
        </w:numPr>
        <w:spacing w:line="360" w:lineRule="auto"/>
        <w:ind w:firstLineChars="0"/>
        <w:rPr>
          <w:rFonts w:hint="eastAsia" w:ascii="黑体" w:hAnsi="黑体" w:eastAsia="黑体"/>
          <w:sz w:val="28"/>
          <w:szCs w:val="32"/>
        </w:rPr>
      </w:pPr>
      <w:r>
        <w:rPr>
          <w:rFonts w:hint="eastAsia" w:ascii="黑体" w:hAnsi="黑体" w:eastAsia="黑体"/>
          <w:sz w:val="28"/>
          <w:szCs w:val="32"/>
        </w:rPr>
        <w:t>在截止日期前及时回复，如工作繁忙需延期请提前告知</w:t>
      </w:r>
    </w:p>
    <w:p w14:paraId="68F8D88A">
      <w:pPr>
        <w:pStyle w:val="14"/>
        <w:numPr>
          <w:ilvl w:val="0"/>
          <w:numId w:val="9"/>
        </w:numPr>
        <w:spacing w:line="360" w:lineRule="auto"/>
        <w:ind w:firstLineChars="0"/>
        <w:rPr>
          <w:rFonts w:hint="eastAsia" w:ascii="黑体" w:hAnsi="黑体" w:eastAsia="黑体"/>
          <w:sz w:val="28"/>
          <w:szCs w:val="32"/>
        </w:rPr>
      </w:pPr>
      <w:r>
        <w:rPr>
          <w:rFonts w:hint="eastAsia" w:ascii="黑体" w:hAnsi="黑体" w:eastAsia="黑体"/>
          <w:sz w:val="28"/>
          <w:szCs w:val="32"/>
        </w:rPr>
        <w:t>按以上要求填写数据、保证统一性，提高工作效率</w:t>
      </w:r>
    </w:p>
    <w:p w14:paraId="2D98134E">
      <w:pPr>
        <w:pStyle w:val="14"/>
        <w:numPr>
          <w:ilvl w:val="0"/>
          <w:numId w:val="9"/>
        </w:numPr>
        <w:spacing w:line="360" w:lineRule="auto"/>
        <w:ind w:firstLineChars="0"/>
        <w:rPr>
          <w:rFonts w:hint="eastAsia" w:ascii="黑体" w:hAnsi="黑体" w:eastAsia="黑体"/>
          <w:sz w:val="28"/>
          <w:szCs w:val="32"/>
        </w:rPr>
      </w:pPr>
      <w:r>
        <w:rPr>
          <w:rFonts w:hint="eastAsia" w:ascii="黑体" w:hAnsi="黑体" w:eastAsia="黑体"/>
          <w:sz w:val="28"/>
          <w:szCs w:val="32"/>
        </w:rPr>
        <w:t>表格中每项填写要求都做有批注可参考，表格内容全为必填项，其中组展商及联系方式可根据实际同意情况填写</w:t>
      </w:r>
    </w:p>
    <w:p w14:paraId="3E2963C3">
      <w:pPr>
        <w:rPr>
          <w:rFonts w:hint="eastAsia"/>
        </w:rPr>
      </w:pPr>
    </w:p>
    <w:p w14:paraId="54E5142B">
      <w:pPr>
        <w:rPr>
          <w:rFonts w:hint="eastAsia"/>
          <w:b/>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2B45BC7"/>
    <w:multiLevelType w:val="multilevel"/>
    <w:tmpl w:val="02B45BC7"/>
    <w:lvl w:ilvl="0" w:tentative="0">
      <w:start w:val="1"/>
      <w:numFmt w:val="bullet"/>
      <w:lvlText w:val=""/>
      <w:lvlJc w:val="left"/>
      <w:pPr>
        <w:ind w:left="1560" w:hanging="420"/>
      </w:pPr>
      <w:rPr>
        <w:rFonts w:hint="default" w:ascii="Wingdings" w:hAnsi="Wingdings"/>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
    <w:nsid w:val="07A20C7E"/>
    <w:multiLevelType w:val="multilevel"/>
    <w:tmpl w:val="07A20C7E"/>
    <w:lvl w:ilvl="0" w:tentative="0">
      <w:start w:val="1"/>
      <w:numFmt w:val="bullet"/>
      <w:lvlText w:val=""/>
      <w:lvlJc w:val="left"/>
      <w:pPr>
        <w:ind w:left="1560" w:hanging="420"/>
      </w:pPr>
      <w:rPr>
        <w:rFonts w:hint="default" w:ascii="Wingdings" w:hAnsi="Wingdings"/>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
    <w:nsid w:val="10F9650F"/>
    <w:multiLevelType w:val="multilevel"/>
    <w:tmpl w:val="10F965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1E701FD"/>
    <w:multiLevelType w:val="multilevel"/>
    <w:tmpl w:val="11E701FD"/>
    <w:lvl w:ilvl="0" w:tentative="0">
      <w:start w:val="1"/>
      <w:numFmt w:val="bullet"/>
      <w:lvlText w:val=""/>
      <w:lvlJc w:val="left"/>
      <w:pPr>
        <w:ind w:left="210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4">
    <w:nsid w:val="353D21F7"/>
    <w:multiLevelType w:val="multilevel"/>
    <w:tmpl w:val="353D21F7"/>
    <w:lvl w:ilvl="0" w:tentative="0">
      <w:start w:val="1"/>
      <w:numFmt w:val="bullet"/>
      <w:lvlText w:val=""/>
      <w:lvlJc w:val="left"/>
      <w:pPr>
        <w:ind w:left="1980" w:hanging="420"/>
      </w:pPr>
      <w:rPr>
        <w:rFonts w:hint="default" w:ascii="Wingdings" w:hAnsi="Wingdings"/>
      </w:rPr>
    </w:lvl>
    <w:lvl w:ilvl="1" w:tentative="0">
      <w:start w:val="1"/>
      <w:numFmt w:val="bullet"/>
      <w:lvlText w:val=""/>
      <w:lvlJc w:val="left"/>
      <w:pPr>
        <w:ind w:left="2400" w:hanging="420"/>
      </w:pPr>
      <w:rPr>
        <w:rFonts w:hint="default" w:ascii="Wingdings" w:hAnsi="Wingdings"/>
      </w:rPr>
    </w:lvl>
    <w:lvl w:ilvl="2" w:tentative="0">
      <w:start w:val="1"/>
      <w:numFmt w:val="bullet"/>
      <w:lvlText w:val=""/>
      <w:lvlJc w:val="left"/>
      <w:pPr>
        <w:ind w:left="2820" w:hanging="420"/>
      </w:pPr>
      <w:rPr>
        <w:rFonts w:hint="default" w:ascii="Wingdings" w:hAnsi="Wingdings"/>
      </w:rPr>
    </w:lvl>
    <w:lvl w:ilvl="3" w:tentative="0">
      <w:start w:val="1"/>
      <w:numFmt w:val="bullet"/>
      <w:lvlText w:val=""/>
      <w:lvlJc w:val="left"/>
      <w:pPr>
        <w:ind w:left="3240" w:hanging="420"/>
      </w:pPr>
      <w:rPr>
        <w:rFonts w:hint="default" w:ascii="Wingdings" w:hAnsi="Wingdings"/>
      </w:rPr>
    </w:lvl>
    <w:lvl w:ilvl="4" w:tentative="0">
      <w:start w:val="1"/>
      <w:numFmt w:val="bullet"/>
      <w:lvlText w:val=""/>
      <w:lvlJc w:val="left"/>
      <w:pPr>
        <w:ind w:left="3660" w:hanging="420"/>
      </w:pPr>
      <w:rPr>
        <w:rFonts w:hint="default" w:ascii="Wingdings" w:hAnsi="Wingdings"/>
      </w:rPr>
    </w:lvl>
    <w:lvl w:ilvl="5" w:tentative="0">
      <w:start w:val="1"/>
      <w:numFmt w:val="bullet"/>
      <w:lvlText w:val=""/>
      <w:lvlJc w:val="left"/>
      <w:pPr>
        <w:ind w:left="4080" w:hanging="420"/>
      </w:pPr>
      <w:rPr>
        <w:rFonts w:hint="default" w:ascii="Wingdings" w:hAnsi="Wingdings"/>
      </w:rPr>
    </w:lvl>
    <w:lvl w:ilvl="6" w:tentative="0">
      <w:start w:val="1"/>
      <w:numFmt w:val="bullet"/>
      <w:lvlText w:val=""/>
      <w:lvlJc w:val="left"/>
      <w:pPr>
        <w:ind w:left="4500" w:hanging="420"/>
      </w:pPr>
      <w:rPr>
        <w:rFonts w:hint="default" w:ascii="Wingdings" w:hAnsi="Wingdings"/>
      </w:rPr>
    </w:lvl>
    <w:lvl w:ilvl="7" w:tentative="0">
      <w:start w:val="1"/>
      <w:numFmt w:val="bullet"/>
      <w:lvlText w:val=""/>
      <w:lvlJc w:val="left"/>
      <w:pPr>
        <w:ind w:left="4920" w:hanging="420"/>
      </w:pPr>
      <w:rPr>
        <w:rFonts w:hint="default" w:ascii="Wingdings" w:hAnsi="Wingdings"/>
      </w:rPr>
    </w:lvl>
    <w:lvl w:ilvl="8" w:tentative="0">
      <w:start w:val="1"/>
      <w:numFmt w:val="bullet"/>
      <w:lvlText w:val=""/>
      <w:lvlJc w:val="left"/>
      <w:pPr>
        <w:ind w:left="5340" w:hanging="420"/>
      </w:pPr>
      <w:rPr>
        <w:rFonts w:hint="default" w:ascii="Wingdings" w:hAnsi="Wingdings"/>
      </w:rPr>
    </w:lvl>
  </w:abstractNum>
  <w:abstractNum w:abstractNumId="5">
    <w:nsid w:val="586E3456"/>
    <w:multiLevelType w:val="multilevel"/>
    <w:tmpl w:val="586E345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D702DB8"/>
    <w:multiLevelType w:val="multilevel"/>
    <w:tmpl w:val="6D702DB8"/>
    <w:lvl w:ilvl="0" w:tentative="0">
      <w:start w:val="1"/>
      <w:numFmt w:val="bullet"/>
      <w:lvlText w:val=""/>
      <w:lvlJc w:val="left"/>
      <w:pPr>
        <w:ind w:left="1560" w:hanging="420"/>
      </w:pPr>
      <w:rPr>
        <w:rFonts w:hint="default" w:ascii="Wingdings" w:hAnsi="Wingdings"/>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7">
    <w:nsid w:val="75336CB1"/>
    <w:multiLevelType w:val="multilevel"/>
    <w:tmpl w:val="75336CB1"/>
    <w:lvl w:ilvl="0" w:tentative="0">
      <w:start w:val="1"/>
      <w:numFmt w:val="bullet"/>
      <w:lvlText w:val=""/>
      <w:lvlPicBulletId w:val="0"/>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BBE0B4E"/>
    <w:multiLevelType w:val="multilevel"/>
    <w:tmpl w:val="7BBE0B4E"/>
    <w:lvl w:ilvl="0" w:tentative="0">
      <w:start w:val="1"/>
      <w:numFmt w:val="bullet"/>
      <w:lvlText w:val=""/>
      <w:lvlJc w:val="left"/>
      <w:pPr>
        <w:ind w:left="1560" w:hanging="420"/>
      </w:pPr>
      <w:rPr>
        <w:rFonts w:hint="default" w:ascii="Wingdings" w:hAnsi="Wingdings"/>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70E0"/>
    <w:rsid w:val="00017D30"/>
    <w:rsid w:val="00026810"/>
    <w:rsid w:val="0002716E"/>
    <w:rsid w:val="000278D9"/>
    <w:rsid w:val="0004002E"/>
    <w:rsid w:val="00042E19"/>
    <w:rsid w:val="00053B29"/>
    <w:rsid w:val="00060861"/>
    <w:rsid w:val="00062F6F"/>
    <w:rsid w:val="0007342A"/>
    <w:rsid w:val="00077FA9"/>
    <w:rsid w:val="00096BE8"/>
    <w:rsid w:val="000B4F8B"/>
    <w:rsid w:val="000B61FD"/>
    <w:rsid w:val="000B6507"/>
    <w:rsid w:val="000C6C10"/>
    <w:rsid w:val="000D5158"/>
    <w:rsid w:val="000D6D33"/>
    <w:rsid w:val="0010290E"/>
    <w:rsid w:val="0010549C"/>
    <w:rsid w:val="001239AD"/>
    <w:rsid w:val="00125981"/>
    <w:rsid w:val="001278ED"/>
    <w:rsid w:val="001539E4"/>
    <w:rsid w:val="0017671D"/>
    <w:rsid w:val="00180352"/>
    <w:rsid w:val="00180A89"/>
    <w:rsid w:val="001965BC"/>
    <w:rsid w:val="00197A25"/>
    <w:rsid w:val="001A0503"/>
    <w:rsid w:val="001A56C5"/>
    <w:rsid w:val="001D4509"/>
    <w:rsid w:val="001D7530"/>
    <w:rsid w:val="001E358A"/>
    <w:rsid w:val="002107DC"/>
    <w:rsid w:val="002135CC"/>
    <w:rsid w:val="0022265C"/>
    <w:rsid w:val="00236FDF"/>
    <w:rsid w:val="00241C79"/>
    <w:rsid w:val="0024490C"/>
    <w:rsid w:val="00245ABE"/>
    <w:rsid w:val="00251B40"/>
    <w:rsid w:val="00261312"/>
    <w:rsid w:val="0026537B"/>
    <w:rsid w:val="002676D6"/>
    <w:rsid w:val="0027017B"/>
    <w:rsid w:val="002B2E96"/>
    <w:rsid w:val="002C1078"/>
    <w:rsid w:val="002D04E2"/>
    <w:rsid w:val="002D5634"/>
    <w:rsid w:val="002D6F7C"/>
    <w:rsid w:val="002E015B"/>
    <w:rsid w:val="002E12BB"/>
    <w:rsid w:val="002E5642"/>
    <w:rsid w:val="002E6F5E"/>
    <w:rsid w:val="002F095F"/>
    <w:rsid w:val="002F182A"/>
    <w:rsid w:val="002F2673"/>
    <w:rsid w:val="002F7E9E"/>
    <w:rsid w:val="00300CCA"/>
    <w:rsid w:val="0035483F"/>
    <w:rsid w:val="00372192"/>
    <w:rsid w:val="00391A22"/>
    <w:rsid w:val="003C3A95"/>
    <w:rsid w:val="003C3EB2"/>
    <w:rsid w:val="003F3979"/>
    <w:rsid w:val="003F49A9"/>
    <w:rsid w:val="003F7E56"/>
    <w:rsid w:val="00432BD2"/>
    <w:rsid w:val="0043681B"/>
    <w:rsid w:val="00444218"/>
    <w:rsid w:val="00450A38"/>
    <w:rsid w:val="004611F3"/>
    <w:rsid w:val="00462F49"/>
    <w:rsid w:val="0047202D"/>
    <w:rsid w:val="00482734"/>
    <w:rsid w:val="00486622"/>
    <w:rsid w:val="004A059B"/>
    <w:rsid w:val="004A2972"/>
    <w:rsid w:val="004A42DB"/>
    <w:rsid w:val="004C5BA6"/>
    <w:rsid w:val="004D49B3"/>
    <w:rsid w:val="004E3C39"/>
    <w:rsid w:val="004E4625"/>
    <w:rsid w:val="004E6027"/>
    <w:rsid w:val="004E70E0"/>
    <w:rsid w:val="004F674E"/>
    <w:rsid w:val="004F798F"/>
    <w:rsid w:val="005027EC"/>
    <w:rsid w:val="0050362F"/>
    <w:rsid w:val="00505493"/>
    <w:rsid w:val="005317C9"/>
    <w:rsid w:val="00534D33"/>
    <w:rsid w:val="00540610"/>
    <w:rsid w:val="0055478E"/>
    <w:rsid w:val="005573A8"/>
    <w:rsid w:val="00557D87"/>
    <w:rsid w:val="005619F9"/>
    <w:rsid w:val="005646F6"/>
    <w:rsid w:val="00596DE3"/>
    <w:rsid w:val="005A1B91"/>
    <w:rsid w:val="005B3410"/>
    <w:rsid w:val="005C1DAD"/>
    <w:rsid w:val="005C423A"/>
    <w:rsid w:val="005C4422"/>
    <w:rsid w:val="005D01C1"/>
    <w:rsid w:val="00601ECA"/>
    <w:rsid w:val="00602FA5"/>
    <w:rsid w:val="00610C2B"/>
    <w:rsid w:val="006164E6"/>
    <w:rsid w:val="006201E7"/>
    <w:rsid w:val="00626987"/>
    <w:rsid w:val="00635B6E"/>
    <w:rsid w:val="00643382"/>
    <w:rsid w:val="0065130A"/>
    <w:rsid w:val="006549BA"/>
    <w:rsid w:val="00655C35"/>
    <w:rsid w:val="0065775F"/>
    <w:rsid w:val="0066413E"/>
    <w:rsid w:val="00665A20"/>
    <w:rsid w:val="006826EE"/>
    <w:rsid w:val="00687953"/>
    <w:rsid w:val="006A59FB"/>
    <w:rsid w:val="006B16CF"/>
    <w:rsid w:val="006B2E88"/>
    <w:rsid w:val="006B3046"/>
    <w:rsid w:val="006B6C8F"/>
    <w:rsid w:val="006B7028"/>
    <w:rsid w:val="006C2416"/>
    <w:rsid w:val="006D6359"/>
    <w:rsid w:val="00722BB9"/>
    <w:rsid w:val="00730E30"/>
    <w:rsid w:val="007334B6"/>
    <w:rsid w:val="007370A7"/>
    <w:rsid w:val="007552A9"/>
    <w:rsid w:val="00763609"/>
    <w:rsid w:val="0076753B"/>
    <w:rsid w:val="0077220F"/>
    <w:rsid w:val="0077481C"/>
    <w:rsid w:val="00780FD6"/>
    <w:rsid w:val="00792367"/>
    <w:rsid w:val="00795534"/>
    <w:rsid w:val="007A7934"/>
    <w:rsid w:val="007B3FE6"/>
    <w:rsid w:val="007B7BE5"/>
    <w:rsid w:val="007C7D39"/>
    <w:rsid w:val="007F39A5"/>
    <w:rsid w:val="0080514B"/>
    <w:rsid w:val="00816139"/>
    <w:rsid w:val="0082248E"/>
    <w:rsid w:val="008345A3"/>
    <w:rsid w:val="008430C9"/>
    <w:rsid w:val="00843897"/>
    <w:rsid w:val="00851342"/>
    <w:rsid w:val="00851E4F"/>
    <w:rsid w:val="00853006"/>
    <w:rsid w:val="00861878"/>
    <w:rsid w:val="00861AB6"/>
    <w:rsid w:val="00874A86"/>
    <w:rsid w:val="0088157B"/>
    <w:rsid w:val="00886668"/>
    <w:rsid w:val="00893D95"/>
    <w:rsid w:val="008A39EA"/>
    <w:rsid w:val="008A45F0"/>
    <w:rsid w:val="008B2F2F"/>
    <w:rsid w:val="008B3154"/>
    <w:rsid w:val="008D1120"/>
    <w:rsid w:val="008F0795"/>
    <w:rsid w:val="008F3004"/>
    <w:rsid w:val="00904F60"/>
    <w:rsid w:val="0091005D"/>
    <w:rsid w:val="009206F3"/>
    <w:rsid w:val="00921148"/>
    <w:rsid w:val="0093004D"/>
    <w:rsid w:val="00932316"/>
    <w:rsid w:val="00947C63"/>
    <w:rsid w:val="00960212"/>
    <w:rsid w:val="0097293A"/>
    <w:rsid w:val="00975B03"/>
    <w:rsid w:val="00997DF9"/>
    <w:rsid w:val="009A4BBC"/>
    <w:rsid w:val="009B0248"/>
    <w:rsid w:val="009C7994"/>
    <w:rsid w:val="009D0B0F"/>
    <w:rsid w:val="009E25B3"/>
    <w:rsid w:val="00A034AC"/>
    <w:rsid w:val="00A13317"/>
    <w:rsid w:val="00A32363"/>
    <w:rsid w:val="00A6667F"/>
    <w:rsid w:val="00A77248"/>
    <w:rsid w:val="00A800A6"/>
    <w:rsid w:val="00A81A94"/>
    <w:rsid w:val="00A82715"/>
    <w:rsid w:val="00A87644"/>
    <w:rsid w:val="00A9189D"/>
    <w:rsid w:val="00A919C8"/>
    <w:rsid w:val="00AB2792"/>
    <w:rsid w:val="00AB419C"/>
    <w:rsid w:val="00AC6CA3"/>
    <w:rsid w:val="00AD3CD7"/>
    <w:rsid w:val="00AE4164"/>
    <w:rsid w:val="00B041CC"/>
    <w:rsid w:val="00B05E15"/>
    <w:rsid w:val="00B2541E"/>
    <w:rsid w:val="00B502DF"/>
    <w:rsid w:val="00B52E35"/>
    <w:rsid w:val="00B74005"/>
    <w:rsid w:val="00B74BED"/>
    <w:rsid w:val="00B76C28"/>
    <w:rsid w:val="00B831FA"/>
    <w:rsid w:val="00B8764F"/>
    <w:rsid w:val="00B97797"/>
    <w:rsid w:val="00B97E05"/>
    <w:rsid w:val="00BA10C1"/>
    <w:rsid w:val="00BA1F5E"/>
    <w:rsid w:val="00BA3070"/>
    <w:rsid w:val="00BB0784"/>
    <w:rsid w:val="00BD3C4B"/>
    <w:rsid w:val="00BD5257"/>
    <w:rsid w:val="00BE3B57"/>
    <w:rsid w:val="00C00AA4"/>
    <w:rsid w:val="00C03462"/>
    <w:rsid w:val="00C04945"/>
    <w:rsid w:val="00C22779"/>
    <w:rsid w:val="00C37A6F"/>
    <w:rsid w:val="00C40821"/>
    <w:rsid w:val="00C42626"/>
    <w:rsid w:val="00C42C5C"/>
    <w:rsid w:val="00C47F4A"/>
    <w:rsid w:val="00C75CB7"/>
    <w:rsid w:val="00C83463"/>
    <w:rsid w:val="00C85059"/>
    <w:rsid w:val="00C850CA"/>
    <w:rsid w:val="00C94FD9"/>
    <w:rsid w:val="00CD60BF"/>
    <w:rsid w:val="00CE25E0"/>
    <w:rsid w:val="00CE472F"/>
    <w:rsid w:val="00CF4924"/>
    <w:rsid w:val="00D221A2"/>
    <w:rsid w:val="00D24D4E"/>
    <w:rsid w:val="00D256F4"/>
    <w:rsid w:val="00D2783A"/>
    <w:rsid w:val="00D610CF"/>
    <w:rsid w:val="00D8716C"/>
    <w:rsid w:val="00D90BD0"/>
    <w:rsid w:val="00D90E13"/>
    <w:rsid w:val="00DA470A"/>
    <w:rsid w:val="00DD6F4C"/>
    <w:rsid w:val="00DF56CE"/>
    <w:rsid w:val="00DF6892"/>
    <w:rsid w:val="00E01389"/>
    <w:rsid w:val="00E016EA"/>
    <w:rsid w:val="00E14605"/>
    <w:rsid w:val="00E16967"/>
    <w:rsid w:val="00E203E9"/>
    <w:rsid w:val="00E36AD3"/>
    <w:rsid w:val="00E51755"/>
    <w:rsid w:val="00E60A30"/>
    <w:rsid w:val="00E817DB"/>
    <w:rsid w:val="00E942B8"/>
    <w:rsid w:val="00E9657E"/>
    <w:rsid w:val="00E96F72"/>
    <w:rsid w:val="00EA00E9"/>
    <w:rsid w:val="00EB5740"/>
    <w:rsid w:val="00EC5303"/>
    <w:rsid w:val="00ED0720"/>
    <w:rsid w:val="00ED6163"/>
    <w:rsid w:val="00ED6F4E"/>
    <w:rsid w:val="00EE485E"/>
    <w:rsid w:val="00EE6612"/>
    <w:rsid w:val="00EE710B"/>
    <w:rsid w:val="00EF396D"/>
    <w:rsid w:val="00EF78EE"/>
    <w:rsid w:val="00F0389E"/>
    <w:rsid w:val="00F144CB"/>
    <w:rsid w:val="00F156D6"/>
    <w:rsid w:val="00F23305"/>
    <w:rsid w:val="00F30EED"/>
    <w:rsid w:val="00F359AE"/>
    <w:rsid w:val="00F36283"/>
    <w:rsid w:val="00F36E43"/>
    <w:rsid w:val="00F451F0"/>
    <w:rsid w:val="00F46FE0"/>
    <w:rsid w:val="00F47270"/>
    <w:rsid w:val="00F540AC"/>
    <w:rsid w:val="00F60976"/>
    <w:rsid w:val="00F75F3D"/>
    <w:rsid w:val="00F911A3"/>
    <w:rsid w:val="00F94078"/>
    <w:rsid w:val="00FA28A7"/>
    <w:rsid w:val="00FB4CA8"/>
    <w:rsid w:val="00FE0660"/>
    <w:rsid w:val="00FE6785"/>
    <w:rsid w:val="00FF0357"/>
    <w:rsid w:val="04644D78"/>
    <w:rsid w:val="10563904"/>
    <w:rsid w:val="232F4809"/>
    <w:rsid w:val="2843246C"/>
    <w:rsid w:val="2DC12A83"/>
    <w:rsid w:val="3B7C659D"/>
    <w:rsid w:val="43D11A5A"/>
    <w:rsid w:val="4E127938"/>
    <w:rsid w:val="57F95DE3"/>
    <w:rsid w:val="5C2E0552"/>
    <w:rsid w:val="5DD55762"/>
    <w:rsid w:val="614B1D2B"/>
    <w:rsid w:val="67AB5469"/>
    <w:rsid w:val="784C121E"/>
    <w:rsid w:val="7D502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rPr>
      <w:rFonts w:ascii="Times New Roman" w:hAnsi="Times New Roman" w:eastAsia="宋体" w:cs="Times New Roman"/>
      <w:szCs w:val="21"/>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qFormat/>
    <w:uiPriority w:val="99"/>
    <w:rPr>
      <w:rFonts w:asciiTheme="minorHAnsi" w:hAnsiTheme="minorHAnsi" w:eastAsiaTheme="minorEastAsia" w:cstheme="minorBidi"/>
      <w:b/>
      <w:bCs/>
      <w:szCs w:val="2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character" w:customStyle="1" w:styleId="17">
    <w:name w:val="批注框文本 字符"/>
    <w:basedOn w:val="10"/>
    <w:link w:val="3"/>
    <w:semiHidden/>
    <w:qFormat/>
    <w:uiPriority w:val="99"/>
    <w:rPr>
      <w:sz w:val="18"/>
      <w:szCs w:val="18"/>
    </w:rPr>
  </w:style>
  <w:style w:type="character" w:customStyle="1" w:styleId="18">
    <w:name w:val="批注文字 字符"/>
    <w:basedOn w:val="10"/>
    <w:link w:val="2"/>
    <w:qFormat/>
    <w:uiPriority w:val="99"/>
    <w:rPr>
      <w:kern w:val="2"/>
      <w:sz w:val="21"/>
      <w:szCs w:val="21"/>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 w:type="character" w:customStyle="1" w:styleId="20">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2376</Words>
  <Characters>2554</Characters>
  <Lines>18</Lines>
  <Paragraphs>5</Paragraphs>
  <TotalTime>174</TotalTime>
  <ScaleCrop>false</ScaleCrop>
  <LinksUpToDate>false</LinksUpToDate>
  <CharactersWithSpaces>2584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2019-11-20T08:53:00Z</dcterms:created>
  <dc:creator>Microsoft</dc:creator>
  <cp:lastModifiedBy>WPS_1571229680</cp:lastModifiedBy>
  <cp:lastPrinted>2024-12-18T01:23:00Z</cp:lastPrinted>
  <dcterms:modified xsi:type="dcterms:W3CDTF">2025-12-16T02:19:27Z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eyJoZGlkIjoiN2U1YTc5ODgwNmU2NjU3MWE5ZWIwYWIwMjM3ZjU5NTIiLCJ1c2VySWQiOiI2OTI2MTIyODUifQ==</vt:lpwstr>
  </property>
  <property fmtid="{D5CDD505-2E9C-101B-9397-08002B2CF9AE}" pid="4" name="ICV">
    <vt:lpwstr>DD4EF6465BA04915AE27808BEBAF1B72_12</vt:lpwstr>
  </property>
</Properties>
</file>