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52"/>
          <w:szCs w:val="52"/>
        </w:rPr>
      </w:pPr>
      <w:r>
        <w:rPr>
          <w:rFonts w:hint="eastAsia" w:eastAsia="黑体"/>
          <w:sz w:val="52"/>
          <w:szCs w:val="52"/>
        </w:rPr>
        <w:t>团体标准《富硒鸽肉》（征求意见稿）简要编制说明</w:t>
      </w:r>
    </w:p>
    <w:p>
      <w:pPr>
        <w:pStyle w:val="11"/>
        <w:numPr>
          <w:ilvl w:val="0"/>
          <w:numId w:val="1"/>
        </w:numPr>
        <w:spacing w:line="360" w:lineRule="auto"/>
        <w:ind w:firstLineChars="0"/>
        <w:jc w:val="left"/>
        <w:rPr>
          <w:rFonts w:eastAsia="黑体" w:cs="Arial"/>
          <w:sz w:val="24"/>
          <w:szCs w:val="24"/>
        </w:rPr>
      </w:pPr>
      <w:r>
        <w:rPr>
          <w:rFonts w:eastAsia="黑体" w:cs="Arial"/>
          <w:sz w:val="24"/>
          <w:szCs w:val="24"/>
        </w:rPr>
        <w:t>标准起草的目的意义</w:t>
      </w:r>
    </w:p>
    <w:p>
      <w:pPr>
        <w:spacing w:line="360" w:lineRule="auto"/>
        <w:ind w:firstLine="480" w:firstLineChars="200"/>
        <w:jc w:val="left"/>
        <w:rPr>
          <w:rFonts w:cs="Arial"/>
          <w:sz w:val="24"/>
          <w:szCs w:val="24"/>
        </w:rPr>
      </w:pPr>
      <w:r>
        <w:rPr>
          <w:rFonts w:hint="eastAsia" w:cs="Arial"/>
          <w:sz w:val="24"/>
          <w:szCs w:val="24"/>
        </w:rPr>
        <w:t>肉鸽是禽类的重要组成，中国历来有养殖和消费鸽肉的习惯。自20世纪80年代开始逐步兴起，肉鸽由零星养殖逐渐发展到一定规模，养殖规模不断扩大。2020年我国乳鸽出栏量8亿只, 生产总量已占到世界总量的80%以上，已成为肉鸽生产和消费大国。经过40年的发展，肉鸽已成为继鸡、鸭、鹅后的第四大肉禽，是我国特色畜牧业新经济增长点。鸽肉营养价值高，鸽肉蛋白质含量约为20%，其必需氨基酸含量占总氨基酸含量的比例较高，是优质蛋白质食物；另外鸽肉中脂肪酸种类丰富且不饱和脂肪酸比例相对较高，更符合人体对脂肪酸的需要；再者鸽肉中所含的钙、铁等矿物质以及维生素A、维生素B、维生素E 等维生素比大多数畜禽产品都要高，并具有药用价值，民间则有“一鸽胜九鸡”之说。</w:t>
      </w:r>
    </w:p>
    <w:p>
      <w:pPr>
        <w:spacing w:line="360" w:lineRule="auto"/>
        <w:ind w:firstLine="480" w:firstLineChars="200"/>
        <w:jc w:val="left"/>
        <w:rPr>
          <w:rFonts w:hint="eastAsia" w:cs="Arial"/>
          <w:sz w:val="24"/>
          <w:szCs w:val="24"/>
        </w:rPr>
      </w:pPr>
      <w:r>
        <w:rPr>
          <w:rFonts w:hint="eastAsia" w:cs="Arial"/>
          <w:sz w:val="24"/>
          <w:szCs w:val="24"/>
        </w:rPr>
        <w:t>硒能提高人体免疫，促进淋巴细胞的增殖及抗体和免疫球蛋白的合成，对结肠癌、皮肤癌、肝癌等多种癌症具有明显的抑制和防护的作用。硒还能与维生素E、大蒜素、亚油酸、锗、锌等营养素具有协同抗氧化的功效，增加抗氧化活性，发挥多种健康功效。硒在自然界中比较稀少而且分散，中国近70%地区缺硒，解决缺硒问题迫在眉睫。通过在食品中强化硒元素是解决缺硒问题的有效措施。近些年，一些缺硒国家如英国、新西兰等已经采取合理提高肉蛋奶类产品中硒含量来解决因硒缺乏带来的健康问题。肉鸽能够实现无抗养殖的目标，是承担富硒功能的良好选择。研究证实，在饲粮中添加0.1～0.5 mg/kg 酵母硒或纳米硒均能显著提高乳鸽胸肌中硒的含量，且存在剂量效应。因而通过在饲料中添加硒元素増加鸽肉的硒含量，进而改善人类硒的营养状况是切实可行的。由此可见，富硒鸽肉具有多种健康调节功效，是一类较大潜力改善人体营养和健康状态的功能性食品。目前学术界已有多项生产富硒鸽肉的研究成果，相关肉鸽企业在也积极开发该类产品，但缺乏相关的产品标准。本标准的制定意在产品上市前先行指定标准以规范企业的生产行为，提高产品质量水平，推动行业技术更新，对促进富硒鸽肉的生产和市场发展，满足消费者对高品质畜禽产品的需求起到积极作用。</w:t>
      </w:r>
    </w:p>
    <w:p>
      <w:pPr>
        <w:spacing w:line="360" w:lineRule="auto"/>
        <w:ind w:firstLine="480" w:firstLineChars="200"/>
        <w:jc w:val="left"/>
        <w:rPr>
          <w:rFonts w:hint="eastAsia" w:cs="Arial"/>
          <w:sz w:val="24"/>
          <w:szCs w:val="24"/>
        </w:rPr>
      </w:pPr>
      <w:r>
        <w:rPr>
          <w:rFonts w:hint="eastAsia" w:cs="Arial"/>
          <w:sz w:val="24"/>
          <w:szCs w:val="24"/>
        </w:rPr>
        <w:t>目前，富硒鸽肉市场已初具规模，但因为富硒鸽肉行业标准的缺失，导致肉鸽产业发展受限与质量监管不严。制定富硒鸽肉行业标准，给鸽肉新的赋能，有利于规范和推动肉鸽产业健康发展。同时，《富硒鸽肉》标准制定可有效衔接肉鸽产业中“生产—消费—健康”各环节，推动“营养指导消费、消费引导生产”理念的实现，推动农产品品牌战略赋能发展，推动优质农产品分等分级与优质优价，引导肉鸽产业高质量发展，显著提升特色畜肉食品营养和健康保障能力，并具有服务健康中国战略和乡村振兴战略的重要意义。</w:t>
      </w:r>
    </w:p>
    <w:p>
      <w:pPr>
        <w:pStyle w:val="11"/>
        <w:numPr>
          <w:ilvl w:val="0"/>
          <w:numId w:val="1"/>
        </w:numPr>
        <w:spacing w:line="360" w:lineRule="auto"/>
        <w:ind w:firstLineChars="0"/>
        <w:jc w:val="left"/>
        <w:rPr>
          <w:rFonts w:eastAsia="黑体" w:cs="Arial"/>
          <w:sz w:val="24"/>
          <w:szCs w:val="24"/>
        </w:rPr>
      </w:pPr>
      <w:r>
        <w:rPr>
          <w:rFonts w:hint="eastAsia" w:eastAsia="黑体" w:cs="Arial"/>
          <w:sz w:val="24"/>
          <w:szCs w:val="24"/>
        </w:rPr>
        <w:t>标准起草的基本情况</w:t>
      </w:r>
    </w:p>
    <w:p>
      <w:pPr>
        <w:spacing w:line="360" w:lineRule="auto"/>
        <w:ind w:firstLine="480" w:firstLineChars="200"/>
        <w:rPr>
          <w:rFonts w:cs="Arial"/>
          <w:sz w:val="24"/>
          <w:szCs w:val="24"/>
        </w:rPr>
      </w:pPr>
      <w:r>
        <w:rPr>
          <w:rFonts w:hint="eastAsia" w:cs="Arial"/>
          <w:sz w:val="24"/>
          <w:szCs w:val="24"/>
        </w:rPr>
        <w:t>本标准于</w:t>
      </w:r>
      <w:r>
        <w:rPr>
          <w:rFonts w:cs="Arial"/>
          <w:sz w:val="24"/>
          <w:szCs w:val="24"/>
        </w:rPr>
        <w:t>2022</w:t>
      </w:r>
      <w:r>
        <w:rPr>
          <w:rFonts w:hint="eastAsia" w:cs="Arial"/>
          <w:sz w:val="24"/>
          <w:szCs w:val="24"/>
        </w:rPr>
        <w:t>年</w:t>
      </w:r>
      <w:r>
        <w:rPr>
          <w:rFonts w:hint="eastAsia" w:cs="Arial"/>
          <w:sz w:val="24"/>
          <w:szCs w:val="24"/>
          <w:lang w:eastAsia="zh-CN"/>
        </w:rPr>
        <w:t>底</w:t>
      </w:r>
      <w:r>
        <w:rPr>
          <w:rFonts w:hint="eastAsia" w:cs="Arial"/>
          <w:sz w:val="24"/>
          <w:szCs w:val="24"/>
        </w:rPr>
        <w:t>立项。2</w:t>
      </w:r>
      <w:r>
        <w:rPr>
          <w:rFonts w:cs="Arial"/>
          <w:sz w:val="24"/>
          <w:szCs w:val="24"/>
        </w:rPr>
        <w:t>022</w:t>
      </w:r>
      <w:r>
        <w:rPr>
          <w:rFonts w:hint="eastAsia" w:cs="Arial"/>
          <w:sz w:val="24"/>
          <w:szCs w:val="24"/>
        </w:rPr>
        <w:t>年</w:t>
      </w:r>
      <w:r>
        <w:rPr>
          <w:rFonts w:cs="Arial"/>
          <w:sz w:val="24"/>
          <w:szCs w:val="24"/>
        </w:rPr>
        <w:t>12</w:t>
      </w:r>
      <w:r>
        <w:rPr>
          <w:rFonts w:hint="eastAsia" w:cs="Arial"/>
          <w:sz w:val="24"/>
          <w:szCs w:val="24"/>
        </w:rPr>
        <w:t>月</w:t>
      </w:r>
      <w:r>
        <w:rPr>
          <w:rFonts w:cs="Arial"/>
          <w:sz w:val="24"/>
          <w:szCs w:val="24"/>
        </w:rPr>
        <w:t>1</w:t>
      </w:r>
      <w:r>
        <w:rPr>
          <w:rFonts w:hint="eastAsia" w:cs="Arial"/>
          <w:sz w:val="24"/>
          <w:szCs w:val="24"/>
        </w:rPr>
        <w:t>日正式启动，2</w:t>
      </w:r>
      <w:r>
        <w:rPr>
          <w:rFonts w:cs="Arial"/>
          <w:sz w:val="24"/>
          <w:szCs w:val="24"/>
        </w:rPr>
        <w:t>022</w:t>
      </w:r>
      <w:r>
        <w:rPr>
          <w:rFonts w:hint="eastAsia" w:cs="Arial"/>
          <w:sz w:val="24"/>
          <w:szCs w:val="24"/>
        </w:rPr>
        <w:t>年</w:t>
      </w:r>
      <w:r>
        <w:rPr>
          <w:rFonts w:cs="Arial"/>
          <w:sz w:val="24"/>
          <w:szCs w:val="24"/>
        </w:rPr>
        <w:t>12</w:t>
      </w:r>
      <w:r>
        <w:rPr>
          <w:rFonts w:hint="eastAsia" w:cs="Arial"/>
          <w:sz w:val="24"/>
          <w:szCs w:val="24"/>
        </w:rPr>
        <w:t>月</w:t>
      </w:r>
      <w:r>
        <w:rPr>
          <w:rFonts w:cs="Arial"/>
          <w:sz w:val="24"/>
          <w:szCs w:val="24"/>
        </w:rPr>
        <w:t>2</w:t>
      </w:r>
      <w:r>
        <w:rPr>
          <w:rFonts w:hint="eastAsia" w:cs="Arial"/>
          <w:sz w:val="24"/>
          <w:szCs w:val="24"/>
        </w:rPr>
        <w:t>日召开起草组标准启动会，2</w:t>
      </w:r>
      <w:r>
        <w:rPr>
          <w:rFonts w:cs="Arial"/>
          <w:sz w:val="24"/>
          <w:szCs w:val="24"/>
        </w:rPr>
        <w:t>023</w:t>
      </w:r>
      <w:r>
        <w:rPr>
          <w:rFonts w:hint="eastAsia" w:cs="Arial"/>
          <w:sz w:val="24"/>
          <w:szCs w:val="24"/>
        </w:rPr>
        <w:t>年</w:t>
      </w:r>
      <w:r>
        <w:rPr>
          <w:rFonts w:cs="Arial"/>
          <w:sz w:val="24"/>
          <w:szCs w:val="24"/>
        </w:rPr>
        <w:t>1</w:t>
      </w:r>
      <w:r>
        <w:rPr>
          <w:rFonts w:hint="eastAsia" w:cs="Arial"/>
          <w:sz w:val="24"/>
          <w:szCs w:val="24"/>
        </w:rPr>
        <w:t>月</w:t>
      </w:r>
      <w:r>
        <w:rPr>
          <w:rFonts w:cs="Arial"/>
          <w:sz w:val="24"/>
          <w:szCs w:val="24"/>
        </w:rPr>
        <w:t>9</w:t>
      </w:r>
      <w:r>
        <w:rPr>
          <w:rFonts w:hint="eastAsia" w:cs="Arial"/>
          <w:sz w:val="24"/>
          <w:szCs w:val="24"/>
        </w:rPr>
        <w:t>日至</w:t>
      </w:r>
      <w:r>
        <w:rPr>
          <w:rFonts w:cs="Arial"/>
          <w:sz w:val="24"/>
          <w:szCs w:val="24"/>
        </w:rPr>
        <w:t>2</w:t>
      </w:r>
      <w:r>
        <w:rPr>
          <w:rFonts w:hint="eastAsia" w:cs="Arial"/>
          <w:sz w:val="24"/>
          <w:szCs w:val="24"/>
        </w:rPr>
        <w:t>月</w:t>
      </w:r>
      <w:r>
        <w:rPr>
          <w:rFonts w:cs="Arial"/>
          <w:sz w:val="24"/>
          <w:szCs w:val="24"/>
        </w:rPr>
        <w:t>24</w:t>
      </w:r>
      <w:r>
        <w:rPr>
          <w:rFonts w:hint="eastAsia" w:cs="Arial"/>
          <w:sz w:val="24"/>
          <w:szCs w:val="24"/>
        </w:rPr>
        <w:t>日开展验证实验，2</w:t>
      </w:r>
      <w:r>
        <w:rPr>
          <w:rFonts w:cs="Arial"/>
          <w:sz w:val="24"/>
          <w:szCs w:val="24"/>
        </w:rPr>
        <w:t>023</w:t>
      </w:r>
      <w:r>
        <w:rPr>
          <w:rFonts w:hint="eastAsia" w:cs="Arial"/>
          <w:sz w:val="24"/>
          <w:szCs w:val="24"/>
        </w:rPr>
        <w:t>年4月</w:t>
      </w:r>
      <w:r>
        <w:rPr>
          <w:rFonts w:cs="Arial"/>
          <w:sz w:val="24"/>
          <w:szCs w:val="24"/>
        </w:rPr>
        <w:t>7</w:t>
      </w:r>
      <w:r>
        <w:rPr>
          <w:rFonts w:hint="eastAsia" w:cs="Arial"/>
          <w:sz w:val="24"/>
          <w:szCs w:val="24"/>
        </w:rPr>
        <w:t>日形成草案，2</w:t>
      </w:r>
      <w:r>
        <w:rPr>
          <w:rFonts w:cs="Arial"/>
          <w:sz w:val="24"/>
          <w:szCs w:val="24"/>
        </w:rPr>
        <w:t>023</w:t>
      </w:r>
      <w:r>
        <w:rPr>
          <w:rFonts w:hint="eastAsia" w:cs="Arial"/>
          <w:sz w:val="24"/>
          <w:szCs w:val="24"/>
        </w:rPr>
        <w:t>年</w:t>
      </w:r>
      <w:r>
        <w:rPr>
          <w:rFonts w:cs="Arial"/>
          <w:sz w:val="24"/>
          <w:szCs w:val="24"/>
        </w:rPr>
        <w:t>4</w:t>
      </w:r>
      <w:r>
        <w:rPr>
          <w:rFonts w:hint="eastAsia" w:cs="Arial"/>
          <w:sz w:val="24"/>
          <w:szCs w:val="24"/>
        </w:rPr>
        <w:t>月1</w:t>
      </w:r>
      <w:r>
        <w:rPr>
          <w:rFonts w:cs="Arial"/>
          <w:sz w:val="24"/>
          <w:szCs w:val="24"/>
        </w:rPr>
        <w:t>0</w:t>
      </w:r>
      <w:r>
        <w:rPr>
          <w:rFonts w:hint="eastAsia" w:cs="Arial"/>
          <w:sz w:val="24"/>
          <w:szCs w:val="24"/>
        </w:rPr>
        <w:t>日至</w:t>
      </w:r>
      <w:r>
        <w:rPr>
          <w:rFonts w:cs="Arial"/>
          <w:sz w:val="24"/>
          <w:szCs w:val="24"/>
        </w:rPr>
        <w:t>5</w:t>
      </w:r>
      <w:r>
        <w:rPr>
          <w:rFonts w:hint="eastAsia" w:cs="Arial"/>
          <w:sz w:val="24"/>
          <w:szCs w:val="24"/>
        </w:rPr>
        <w:t>月</w:t>
      </w:r>
      <w:r>
        <w:rPr>
          <w:rFonts w:cs="Arial"/>
          <w:sz w:val="24"/>
          <w:szCs w:val="24"/>
        </w:rPr>
        <w:t>26</w:t>
      </w:r>
      <w:r>
        <w:rPr>
          <w:rFonts w:hint="eastAsia" w:cs="Arial"/>
          <w:sz w:val="24"/>
          <w:szCs w:val="24"/>
        </w:rPr>
        <w:t>日进行行业内</w:t>
      </w:r>
      <w:r>
        <w:rPr>
          <w:rFonts w:hint="eastAsia" w:cs="Arial"/>
          <w:sz w:val="24"/>
          <w:szCs w:val="24"/>
          <w:lang w:eastAsia="zh-CN"/>
        </w:rPr>
        <w:t>调研和文本编制工作，</w:t>
      </w:r>
      <w:r>
        <w:rPr>
          <w:rFonts w:hint="eastAsia" w:cs="Arial"/>
          <w:sz w:val="24"/>
          <w:szCs w:val="24"/>
        </w:rPr>
        <w:t>2</w:t>
      </w:r>
      <w:r>
        <w:rPr>
          <w:rFonts w:cs="Arial"/>
          <w:sz w:val="24"/>
          <w:szCs w:val="24"/>
        </w:rPr>
        <w:t>023</w:t>
      </w:r>
      <w:r>
        <w:rPr>
          <w:rFonts w:hint="eastAsia" w:cs="Arial"/>
          <w:sz w:val="24"/>
          <w:szCs w:val="24"/>
        </w:rPr>
        <w:t>年</w:t>
      </w:r>
      <w:r>
        <w:rPr>
          <w:rFonts w:hint="eastAsia" w:cs="Arial"/>
          <w:sz w:val="24"/>
          <w:szCs w:val="24"/>
          <w:lang w:val="en-US" w:eastAsia="zh-CN"/>
        </w:rPr>
        <w:t>6</w:t>
      </w:r>
      <w:r>
        <w:rPr>
          <w:rFonts w:hint="eastAsia" w:cs="Arial"/>
          <w:sz w:val="24"/>
          <w:szCs w:val="24"/>
        </w:rPr>
        <w:t>月</w:t>
      </w:r>
      <w:bookmarkStart w:id="0" w:name="_GoBack"/>
      <w:bookmarkEnd w:id="0"/>
      <w:r>
        <w:rPr>
          <w:rFonts w:hint="eastAsia" w:cs="Arial"/>
          <w:sz w:val="24"/>
          <w:szCs w:val="24"/>
        </w:rPr>
        <w:t>形成《富硒鸽肉》征求意见稿。</w:t>
      </w:r>
    </w:p>
    <w:p>
      <w:pPr>
        <w:pStyle w:val="11"/>
        <w:numPr>
          <w:ilvl w:val="0"/>
          <w:numId w:val="1"/>
        </w:numPr>
        <w:spacing w:line="360" w:lineRule="auto"/>
        <w:ind w:firstLineChars="0"/>
        <w:jc w:val="left"/>
        <w:rPr>
          <w:rFonts w:hint="eastAsia" w:eastAsia="黑体" w:cs="Arial"/>
          <w:sz w:val="24"/>
          <w:szCs w:val="24"/>
        </w:rPr>
      </w:pPr>
      <w:r>
        <w:rPr>
          <w:rFonts w:hint="eastAsia" w:eastAsia="黑体" w:cs="Arial"/>
          <w:sz w:val="24"/>
          <w:szCs w:val="24"/>
        </w:rPr>
        <w:t>标准编制原则和确定标准主要内容的依据</w:t>
      </w:r>
    </w:p>
    <w:p>
      <w:pPr>
        <w:pStyle w:val="3"/>
        <w:keepNext w:val="0"/>
        <w:keepLines w:val="0"/>
        <w:spacing w:line="460" w:lineRule="exact"/>
        <w:ind w:firstLine="482"/>
        <w:rPr>
          <w:rFonts w:hint="eastAsia" w:ascii="宋体" w:hAnsi="宋体" w:eastAsia="宋体"/>
          <w:color w:val="000000"/>
          <w:sz w:val="24"/>
          <w:szCs w:val="24"/>
        </w:rPr>
      </w:pPr>
      <w:r>
        <w:rPr>
          <w:rFonts w:hint="eastAsia" w:ascii="宋体" w:hAnsi="宋体" w:eastAsia="宋体"/>
          <w:color w:val="000000"/>
          <w:sz w:val="24"/>
          <w:szCs w:val="24"/>
        </w:rPr>
        <w:t>（一）编制原则</w:t>
      </w:r>
    </w:p>
    <w:p>
      <w:pPr>
        <w:spacing w:line="4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本文件的制定遵循以下三个原则：</w:t>
      </w:r>
    </w:p>
    <w:p>
      <w:pPr>
        <w:spacing w:line="46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1、科学性原则</w:t>
      </w:r>
    </w:p>
    <w:p>
      <w:pPr>
        <w:spacing w:line="460" w:lineRule="exact"/>
        <w:ind w:firstLine="480" w:firstLineChars="200"/>
        <w:rPr>
          <w:rFonts w:hint="eastAsia" w:ascii="宋体" w:hAnsi="宋体" w:cs="宋体"/>
          <w:color w:val="000000"/>
          <w:sz w:val="24"/>
          <w:szCs w:val="24"/>
        </w:rPr>
      </w:pPr>
      <w:r>
        <w:rPr>
          <w:rFonts w:hint="eastAsia" w:ascii="宋体" w:hAnsi="宋体" w:cs="宋体"/>
          <w:color w:val="000000"/>
          <w:sz w:val="24"/>
          <w:szCs w:val="24"/>
        </w:rPr>
        <w:t>参考国内法规、标准和有关文献资料，结合调研情况，科学地确定标准体系框架，并对其进行详细的说明。</w:t>
      </w:r>
    </w:p>
    <w:p>
      <w:pPr>
        <w:spacing w:line="46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2、与行业接轨的原则</w:t>
      </w:r>
    </w:p>
    <w:p>
      <w:pPr>
        <w:spacing w:line="460" w:lineRule="exact"/>
        <w:ind w:firstLine="480" w:firstLineChars="200"/>
        <w:rPr>
          <w:rFonts w:ascii="宋体" w:hAnsi="宋体" w:cs="宋体"/>
          <w:color w:val="000000"/>
          <w:sz w:val="24"/>
          <w:szCs w:val="24"/>
        </w:rPr>
      </w:pPr>
      <w:r>
        <w:rPr>
          <w:rFonts w:hint="eastAsia" w:ascii="宋体" w:hAnsi="宋体" w:cs="宋体"/>
          <w:color w:val="000000"/>
          <w:sz w:val="24"/>
          <w:szCs w:val="24"/>
        </w:rPr>
        <w:t>参考或借鉴等相关标准或经验，内容符合我国有关法律法规和标准的规定。</w:t>
      </w:r>
    </w:p>
    <w:p>
      <w:pPr>
        <w:spacing w:line="500" w:lineRule="exact"/>
        <w:ind w:firstLine="482" w:firstLineChars="200"/>
        <w:rPr>
          <w:rFonts w:hint="eastAsia" w:ascii="宋体" w:hAnsi="宋体" w:cs="宋体"/>
          <w:b/>
          <w:color w:val="000000"/>
          <w:sz w:val="24"/>
          <w:szCs w:val="24"/>
        </w:rPr>
      </w:pPr>
      <w:r>
        <w:rPr>
          <w:rFonts w:hint="eastAsia" w:ascii="宋体" w:hAnsi="宋体" w:cs="宋体"/>
          <w:b/>
          <w:color w:val="000000"/>
          <w:sz w:val="24"/>
          <w:szCs w:val="24"/>
        </w:rPr>
        <w:t>3、适用性原则</w:t>
      </w:r>
    </w:p>
    <w:p>
      <w:pPr>
        <w:spacing w:line="500" w:lineRule="exact"/>
        <w:ind w:firstLine="480" w:firstLineChars="200"/>
        <w:rPr>
          <w:rFonts w:hint="eastAsia" w:ascii="宋体" w:hAnsi="宋体" w:cs="宋体"/>
          <w:color w:val="000000"/>
          <w:sz w:val="24"/>
          <w:szCs w:val="24"/>
        </w:rPr>
      </w:pPr>
      <w:r>
        <w:rPr>
          <w:rFonts w:hint="eastAsia" w:ascii="宋体" w:hAnsi="宋体" w:cs="仿宋"/>
          <w:color w:val="000000"/>
          <w:sz w:val="24"/>
          <w:szCs w:val="24"/>
        </w:rPr>
        <w:t>本文件</w:t>
      </w:r>
      <w:r>
        <w:rPr>
          <w:rFonts w:hint="eastAsia" w:ascii="宋体" w:hAnsi="宋体" w:cs="宋体"/>
          <w:color w:val="000000"/>
          <w:sz w:val="24"/>
          <w:szCs w:val="24"/>
        </w:rPr>
        <w:t>与我国现行食品法律、法规协调一致的原则。</w:t>
      </w:r>
    </w:p>
    <w:p>
      <w:pPr>
        <w:pStyle w:val="3"/>
        <w:keepNext w:val="0"/>
        <w:keepLines w:val="0"/>
        <w:spacing w:line="5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（二）主要条款的说明</w:t>
      </w:r>
    </w:p>
    <w:p>
      <w:pPr>
        <w:spacing w:line="360" w:lineRule="auto"/>
        <w:ind w:leftChars="300"/>
        <w:rPr>
          <w:rFonts w:eastAsia="黑体" w:cs="Arial"/>
          <w:sz w:val="24"/>
          <w:szCs w:val="24"/>
        </w:rPr>
      </w:pPr>
      <w:r>
        <w:rPr>
          <w:rFonts w:hint="eastAsia" w:eastAsia="黑体" w:cs="Arial"/>
          <w:sz w:val="24"/>
          <w:szCs w:val="24"/>
        </w:rPr>
        <w:t>1、范围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hint="eastAsia" w:ascii="Times New Roman" w:hAnsi="Times New Roman" w:eastAsia="宋体" w:cs="Arial"/>
          <w:sz w:val="24"/>
          <w:szCs w:val="24"/>
        </w:rPr>
      </w:pPr>
      <w:r>
        <w:rPr>
          <w:rFonts w:hint="eastAsia" w:ascii="Times New Roman" w:hAnsi="Times New Roman" w:eastAsia="宋体" w:cs="Arial"/>
          <w:sz w:val="24"/>
          <w:szCs w:val="24"/>
        </w:rPr>
        <w:t>本文件规定了富硒鸽肉的技术要求、试验方法、包装、标识、运输和储存。</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hint="eastAsia" w:ascii="Times New Roman" w:hAnsi="Times New Roman" w:eastAsia="宋体" w:cs="Arial"/>
          <w:sz w:val="24"/>
          <w:szCs w:val="24"/>
        </w:rPr>
      </w:pPr>
      <w:r>
        <w:rPr>
          <w:rFonts w:hint="eastAsia" w:ascii="Times New Roman" w:hAnsi="Times New Roman" w:eastAsia="宋体" w:cs="Arial"/>
          <w:sz w:val="24"/>
          <w:szCs w:val="24"/>
        </w:rPr>
        <w:t>本文件适用于富硒鸽肉。</w:t>
      </w:r>
    </w:p>
    <w:p>
      <w:pPr>
        <w:adjustRightInd/>
        <w:spacing w:line="360" w:lineRule="auto"/>
        <w:ind w:leftChars="300"/>
        <w:rPr>
          <w:rFonts w:eastAsia="黑体" w:cs="Arial"/>
          <w:sz w:val="24"/>
          <w:szCs w:val="24"/>
        </w:rPr>
      </w:pPr>
      <w:r>
        <w:rPr>
          <w:rFonts w:hint="eastAsia" w:eastAsia="黑体" w:cs="Arial"/>
          <w:sz w:val="24"/>
          <w:szCs w:val="24"/>
        </w:rPr>
        <w:t>2、术语和定义</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cs="Arial"/>
          <w:sz w:val="24"/>
          <w:szCs w:val="24"/>
        </w:rPr>
      </w:pPr>
      <w:r>
        <w:rPr>
          <w:rFonts w:hint="eastAsia" w:cs="Arial"/>
          <w:sz w:val="24"/>
          <w:szCs w:val="24"/>
        </w:rPr>
        <w:t>对富硒鸽肉标准而言，主要的技术内容是术语和定义、硒元素富集的量以及检验方法。</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hint="eastAsia" w:cs="Arial"/>
          <w:sz w:val="24"/>
          <w:szCs w:val="24"/>
        </w:rPr>
      </w:pPr>
      <w:r>
        <w:rPr>
          <w:rFonts w:hint="eastAsia" w:cs="Arial"/>
          <w:sz w:val="24"/>
          <w:szCs w:val="24"/>
        </w:rPr>
        <w:t>国内外对食品中直接添加营养素的相关标准较多，对生物转化强化的产品的标准基本没有，《农产品营养强化术语及定义》中规定目标值低限应显著超出同类产品。GB/T 22499-2008 《富硒稻谷》规定了富硒稻谷的相关术语和定义、质量要求、检验方法、检验规则、标签标识以及包装、储存和运输要求。标准规定富硒稻谷为：通过生长过程自然富集而非收获后添加硒、加工成符合GB 1354规定的三级大米中硒含量在0.04mg/kg～0.30mg/kg之间的稻谷。上述标准可为《富硒鸽肉》标准的制定提供技术参考。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80" w:firstLineChars="200"/>
        <w:textAlignment w:val="baseline"/>
        <w:rPr>
          <w:rFonts w:eastAsia="黑体" w:cs="Arial"/>
          <w:sz w:val="24"/>
          <w:szCs w:val="24"/>
        </w:rPr>
      </w:pPr>
      <w:r>
        <w:rPr>
          <w:rFonts w:hint="eastAsia" w:eastAsia="黑体" w:cs="Arial"/>
          <w:sz w:val="24"/>
          <w:szCs w:val="24"/>
        </w:rPr>
        <w:t>技术要求</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cs="Arial"/>
          <w:sz w:val="24"/>
          <w:szCs w:val="24"/>
        </w:rPr>
      </w:pPr>
      <w:r>
        <w:rPr>
          <w:rFonts w:hint="eastAsia" w:cs="Arial"/>
          <w:sz w:val="24"/>
          <w:szCs w:val="24"/>
        </w:rPr>
        <w:t>国内外对食品中直接添加营养素的相关标准较多，对生物转化强化的产品的标准基本没有，《农产品营养强化术语及定义》中规定目标值低限应显著超出同类产品。经查《中国食物成分表（第6版）》普通鲜鸡蛋中硒含量委1</w:t>
      </w:r>
      <w:r>
        <w:rPr>
          <w:rFonts w:cs="Arial"/>
          <w:sz w:val="24"/>
          <w:szCs w:val="24"/>
        </w:rPr>
        <w:t>3.96</w:t>
      </w:r>
      <w:r>
        <w:rPr>
          <w:rFonts w:hint="eastAsia" w:cs="Arial"/>
          <w:sz w:val="24"/>
          <w:szCs w:val="24"/>
        </w:rPr>
        <w:t>ug/100g。在中国，专家认为通过生物转化强化营养素的农产品应比普通的产品高30%左右，由此可计算富硒鸡蛋的含量约为</w:t>
      </w:r>
      <w:r>
        <w:rPr>
          <w:rFonts w:cs="Arial"/>
          <w:sz w:val="24"/>
          <w:szCs w:val="24"/>
        </w:rPr>
        <w:t>18.15</w:t>
      </w:r>
      <w:r>
        <w:rPr>
          <w:rFonts w:hint="eastAsia" w:cs="Arial"/>
          <w:sz w:val="24"/>
          <w:szCs w:val="24"/>
        </w:rPr>
        <w:t>ug/100g。</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cs="Arial"/>
          <w:sz w:val="24"/>
          <w:szCs w:val="24"/>
        </w:rPr>
      </w:pPr>
      <w:r>
        <w:rPr>
          <w:rFonts w:hint="eastAsia" w:cs="Arial"/>
          <w:sz w:val="24"/>
          <w:szCs w:val="24"/>
        </w:rPr>
        <w:t>另一个关键技术是硒强化目标值高限的设定。硒元素强化目标值高限应考虑到人群的营养和健康状况，以及国家相关标准和行政法规的要求。对于过量后存在安全风险的营养素或其他营养成分，需设置安全限值；对于不存在过量安全风险的营养素或其他营养成分，暂不设置安全限值。本标准在内容确定过程中，从居民对营养健康的需求出发（见表1），以规范市场为导向，充分调查符合饲料使用规范的硒沉积动物实验研究，确定硒强化目标值高限。</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baseline"/>
        <w:rPr>
          <w:rFonts w:hint="eastAsia" w:cs="Arial"/>
          <w:sz w:val="24"/>
          <w:szCs w:val="24"/>
        </w:rPr>
      </w:pPr>
      <w:r>
        <w:rPr>
          <w:rFonts w:hint="eastAsia" w:cs="Arial"/>
          <w:sz w:val="24"/>
          <w:szCs w:val="24"/>
        </w:rPr>
        <w:t>本标准在内容确定过程中，从居民对营养健康的需求出发，以规范市场为导向，充分调查符合蛋鸡饲料使用规范的硒元素沉积动物实验研究，同时展开动物实验，并多次对比分光光度法和液相法检测的差异，最终制定了本标准的主要技术内容。</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center"/>
        <w:textAlignment w:val="baseline"/>
        <w:rPr>
          <w:sz w:val="24"/>
          <w:szCs w:val="24"/>
        </w:rPr>
      </w:pPr>
      <w:r>
        <w:rPr>
          <w:sz w:val="24"/>
          <w:szCs w:val="24"/>
        </w:rPr>
        <w:t>表1 不同人群营养素摄入风险阈值</w:t>
      </w:r>
    </w:p>
    <w:tbl>
      <w:tblPr>
        <w:tblStyle w:val="6"/>
        <w:tblW w:w="5348"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27"/>
        <w:gridCol w:w="992"/>
        <w:gridCol w:w="908"/>
        <w:gridCol w:w="2291"/>
        <w:gridCol w:w="1158"/>
        <w:gridCol w:w="680"/>
        <w:gridCol w:w="980"/>
        <w:gridCol w:w="9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618"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营养素</w:t>
            </w:r>
          </w:p>
        </w:tc>
        <w:tc>
          <w:tcPr>
            <w:tcW w:w="544"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单位</w:t>
            </w:r>
          </w:p>
        </w:tc>
        <w:tc>
          <w:tcPr>
            <w:tcW w:w="498"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年龄组</w:t>
            </w:r>
          </w:p>
        </w:tc>
        <w:tc>
          <w:tcPr>
            <w:tcW w:w="1256"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能量摄入P</w:t>
            </w:r>
            <w:r>
              <w:rPr>
                <w:bCs/>
                <w:color w:val="000000"/>
                <w:szCs w:val="21"/>
                <w:vertAlign w:val="subscript"/>
              </w:rPr>
              <w:t>95</w:t>
            </w:r>
            <w:r>
              <w:rPr>
                <w:bCs/>
                <w:color w:val="000000"/>
                <w:szCs w:val="21"/>
              </w:rPr>
              <w:t>（kcal）</w:t>
            </w:r>
          </w:p>
        </w:tc>
        <w:tc>
          <w:tcPr>
            <w:tcW w:w="635"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NRV/RNI</w:t>
            </w:r>
          </w:p>
        </w:tc>
        <w:tc>
          <w:tcPr>
            <w:tcW w:w="373" w:type="pct"/>
            <w:vMerge w:val="restart"/>
            <w:tcBorders>
              <w:top w:val="single" w:color="auto" w:sz="12" w:space="0"/>
              <w:bottom w:val="nil"/>
            </w:tcBorders>
            <w:shd w:val="clear" w:color="auto" w:fill="auto"/>
            <w:vAlign w:val="center"/>
          </w:tcPr>
          <w:p>
            <w:pPr>
              <w:jc w:val="center"/>
              <w:rPr>
                <w:bCs/>
                <w:color w:val="000000"/>
                <w:szCs w:val="21"/>
              </w:rPr>
            </w:pPr>
            <w:r>
              <w:rPr>
                <w:bCs/>
                <w:color w:val="000000"/>
                <w:szCs w:val="21"/>
              </w:rPr>
              <w:t>UL</w:t>
            </w:r>
          </w:p>
        </w:tc>
        <w:tc>
          <w:tcPr>
            <w:tcW w:w="1073" w:type="pct"/>
            <w:gridSpan w:val="2"/>
            <w:tcBorders>
              <w:top w:val="single" w:color="auto" w:sz="12" w:space="0"/>
              <w:bottom w:val="nil"/>
            </w:tcBorders>
            <w:shd w:val="clear" w:color="auto" w:fill="auto"/>
            <w:vAlign w:val="center"/>
          </w:tcPr>
          <w:p>
            <w:pPr>
              <w:rPr>
                <w:bCs/>
                <w:color w:val="000000"/>
                <w:szCs w:val="21"/>
              </w:rPr>
            </w:pPr>
            <w:r>
              <w:rPr>
                <w:bCs/>
                <w:color w:val="000000"/>
                <w:szCs w:val="21"/>
              </w:rPr>
              <w:t>营养素量/100 kcal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18" w:type="pct"/>
            <w:vMerge w:val="continue"/>
            <w:tcBorders>
              <w:top w:val="nil"/>
              <w:bottom w:val="single" w:color="auto" w:sz="12" w:space="0"/>
            </w:tcBorders>
            <w:shd w:val="clear" w:color="auto" w:fill="auto"/>
            <w:vAlign w:val="center"/>
          </w:tcPr>
          <w:p>
            <w:pPr>
              <w:jc w:val="center"/>
              <w:rPr>
                <w:bCs/>
                <w:color w:val="000000"/>
                <w:szCs w:val="21"/>
              </w:rPr>
            </w:pPr>
          </w:p>
        </w:tc>
        <w:tc>
          <w:tcPr>
            <w:tcW w:w="544" w:type="pct"/>
            <w:vMerge w:val="continue"/>
            <w:tcBorders>
              <w:top w:val="nil"/>
              <w:bottom w:val="single" w:color="auto" w:sz="12" w:space="0"/>
            </w:tcBorders>
            <w:shd w:val="clear" w:color="auto" w:fill="auto"/>
            <w:vAlign w:val="center"/>
          </w:tcPr>
          <w:p>
            <w:pPr>
              <w:jc w:val="center"/>
              <w:rPr>
                <w:bCs/>
                <w:color w:val="000000"/>
                <w:szCs w:val="21"/>
              </w:rPr>
            </w:pPr>
          </w:p>
        </w:tc>
        <w:tc>
          <w:tcPr>
            <w:tcW w:w="498" w:type="pct"/>
            <w:vMerge w:val="continue"/>
            <w:tcBorders>
              <w:top w:val="nil"/>
              <w:bottom w:val="single" w:color="auto" w:sz="12" w:space="0"/>
            </w:tcBorders>
            <w:shd w:val="clear" w:color="auto" w:fill="auto"/>
            <w:vAlign w:val="center"/>
          </w:tcPr>
          <w:p>
            <w:pPr>
              <w:jc w:val="center"/>
              <w:rPr>
                <w:bCs/>
                <w:color w:val="000000"/>
                <w:szCs w:val="21"/>
              </w:rPr>
            </w:pPr>
          </w:p>
        </w:tc>
        <w:tc>
          <w:tcPr>
            <w:tcW w:w="1256" w:type="pct"/>
            <w:vMerge w:val="continue"/>
            <w:tcBorders>
              <w:top w:val="nil"/>
              <w:bottom w:val="single" w:color="auto" w:sz="12" w:space="0"/>
            </w:tcBorders>
            <w:shd w:val="clear" w:color="auto" w:fill="auto"/>
          </w:tcPr>
          <w:p>
            <w:pPr>
              <w:jc w:val="center"/>
              <w:rPr>
                <w:bCs/>
                <w:color w:val="000000"/>
                <w:szCs w:val="21"/>
              </w:rPr>
            </w:pPr>
          </w:p>
        </w:tc>
        <w:tc>
          <w:tcPr>
            <w:tcW w:w="635" w:type="pct"/>
            <w:vMerge w:val="continue"/>
            <w:tcBorders>
              <w:top w:val="nil"/>
              <w:bottom w:val="single" w:color="auto" w:sz="12" w:space="0"/>
            </w:tcBorders>
            <w:shd w:val="clear" w:color="auto" w:fill="auto"/>
          </w:tcPr>
          <w:p>
            <w:pPr>
              <w:jc w:val="center"/>
              <w:rPr>
                <w:bCs/>
                <w:color w:val="000000"/>
                <w:szCs w:val="21"/>
              </w:rPr>
            </w:pPr>
          </w:p>
        </w:tc>
        <w:tc>
          <w:tcPr>
            <w:tcW w:w="373" w:type="pct"/>
            <w:vMerge w:val="continue"/>
            <w:tcBorders>
              <w:top w:val="nil"/>
              <w:bottom w:val="single" w:color="auto" w:sz="12" w:space="0"/>
            </w:tcBorders>
            <w:shd w:val="clear" w:color="auto" w:fill="auto"/>
          </w:tcPr>
          <w:p>
            <w:pPr>
              <w:jc w:val="center"/>
              <w:rPr>
                <w:bCs/>
                <w:color w:val="000000"/>
                <w:szCs w:val="21"/>
              </w:rPr>
            </w:pPr>
          </w:p>
        </w:tc>
        <w:tc>
          <w:tcPr>
            <w:tcW w:w="537" w:type="pct"/>
            <w:tcBorders>
              <w:top w:val="nil"/>
              <w:bottom w:val="single" w:color="auto" w:sz="12" w:space="0"/>
            </w:tcBorders>
            <w:shd w:val="clear" w:color="auto" w:fill="auto"/>
            <w:vAlign w:val="center"/>
          </w:tcPr>
          <w:p>
            <w:pPr>
              <w:jc w:val="center"/>
              <w:rPr>
                <w:bCs/>
                <w:color w:val="000000"/>
                <w:szCs w:val="21"/>
              </w:rPr>
            </w:pPr>
            <w:r>
              <w:rPr>
                <w:bCs/>
                <w:color w:val="000000"/>
                <w:szCs w:val="21"/>
              </w:rPr>
              <w:t>下限</w:t>
            </w:r>
          </w:p>
        </w:tc>
        <w:tc>
          <w:tcPr>
            <w:tcW w:w="536" w:type="pct"/>
            <w:tcBorders>
              <w:top w:val="nil"/>
              <w:bottom w:val="single" w:color="auto" w:sz="12" w:space="0"/>
            </w:tcBorders>
            <w:shd w:val="clear" w:color="auto" w:fill="auto"/>
            <w:vAlign w:val="center"/>
          </w:tcPr>
          <w:p>
            <w:pPr>
              <w:jc w:val="center"/>
              <w:rPr>
                <w:bCs/>
                <w:color w:val="000000"/>
                <w:szCs w:val="21"/>
              </w:rPr>
            </w:pPr>
            <w:r>
              <w:rPr>
                <w:bCs/>
                <w:color w:val="000000"/>
                <w:szCs w:val="21"/>
              </w:rPr>
              <w:t>上限</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jc w:val="center"/>
        </w:trPr>
        <w:tc>
          <w:tcPr>
            <w:tcW w:w="618" w:type="pct"/>
            <w:vMerge w:val="restart"/>
            <w:shd w:val="clear" w:color="auto" w:fill="auto"/>
            <w:vAlign w:val="center"/>
          </w:tcPr>
          <w:p>
            <w:pPr>
              <w:jc w:val="center"/>
              <w:rPr>
                <w:bCs/>
                <w:color w:val="000000"/>
                <w:szCs w:val="21"/>
              </w:rPr>
            </w:pPr>
            <w:r>
              <w:rPr>
                <w:bCs/>
                <w:color w:val="000000"/>
                <w:szCs w:val="21"/>
              </w:rPr>
              <w:t>硒</w:t>
            </w:r>
          </w:p>
        </w:tc>
        <w:tc>
          <w:tcPr>
            <w:tcW w:w="544" w:type="pct"/>
            <w:vMerge w:val="restart"/>
            <w:shd w:val="clear" w:color="auto" w:fill="auto"/>
            <w:vAlign w:val="center"/>
          </w:tcPr>
          <w:p>
            <w:pPr>
              <w:jc w:val="center"/>
              <w:rPr>
                <w:bCs/>
                <w:color w:val="000000"/>
                <w:szCs w:val="21"/>
              </w:rPr>
            </w:pPr>
            <w:r>
              <w:rPr>
                <w:bCs/>
                <w:color w:val="000000"/>
                <w:szCs w:val="21"/>
              </w:rPr>
              <w:t>μg</w:t>
            </w:r>
          </w:p>
        </w:tc>
        <w:tc>
          <w:tcPr>
            <w:tcW w:w="498" w:type="pct"/>
            <w:shd w:val="clear" w:color="auto" w:fill="auto"/>
            <w:vAlign w:val="center"/>
          </w:tcPr>
          <w:p>
            <w:pPr>
              <w:jc w:val="center"/>
              <w:rPr>
                <w:bCs/>
                <w:color w:val="000000"/>
                <w:szCs w:val="21"/>
              </w:rPr>
            </w:pPr>
            <w:r>
              <w:rPr>
                <w:bCs/>
                <w:color w:val="000000"/>
                <w:szCs w:val="21"/>
              </w:rPr>
              <w:t>2-5y</w:t>
            </w:r>
          </w:p>
        </w:tc>
        <w:tc>
          <w:tcPr>
            <w:tcW w:w="1256" w:type="pct"/>
            <w:shd w:val="clear" w:color="auto" w:fill="auto"/>
          </w:tcPr>
          <w:p>
            <w:pPr>
              <w:jc w:val="center"/>
              <w:rPr>
                <w:color w:val="000000"/>
                <w:szCs w:val="21"/>
              </w:rPr>
            </w:pPr>
            <w:r>
              <w:rPr>
                <w:color w:val="000000"/>
                <w:szCs w:val="21"/>
              </w:rPr>
              <w:t>2040</w:t>
            </w:r>
          </w:p>
        </w:tc>
        <w:tc>
          <w:tcPr>
            <w:tcW w:w="635" w:type="pct"/>
            <w:vMerge w:val="restart"/>
            <w:shd w:val="clear" w:color="auto" w:fill="auto"/>
            <w:vAlign w:val="center"/>
          </w:tcPr>
          <w:p>
            <w:pPr>
              <w:jc w:val="center"/>
              <w:rPr>
                <w:szCs w:val="21"/>
              </w:rPr>
            </w:pPr>
            <w:r>
              <w:rPr>
                <w:szCs w:val="21"/>
              </w:rPr>
              <w:t>50</w:t>
            </w:r>
          </w:p>
        </w:tc>
        <w:tc>
          <w:tcPr>
            <w:tcW w:w="373" w:type="pct"/>
            <w:shd w:val="clear" w:color="auto" w:fill="auto"/>
            <w:vAlign w:val="center"/>
          </w:tcPr>
          <w:p>
            <w:pPr>
              <w:jc w:val="center"/>
              <w:rPr>
                <w:color w:val="000000"/>
                <w:szCs w:val="21"/>
              </w:rPr>
            </w:pPr>
            <w:r>
              <w:rPr>
                <w:color w:val="000000"/>
                <w:szCs w:val="21"/>
              </w:rPr>
              <w:t>150</w:t>
            </w:r>
          </w:p>
        </w:tc>
        <w:tc>
          <w:tcPr>
            <w:tcW w:w="537" w:type="pct"/>
            <w:vMerge w:val="restart"/>
            <w:shd w:val="clear" w:color="auto" w:fill="auto"/>
            <w:vAlign w:val="center"/>
          </w:tcPr>
          <w:p>
            <w:pPr>
              <w:jc w:val="center"/>
              <w:rPr>
                <w:szCs w:val="21"/>
              </w:rPr>
            </w:pPr>
            <w:r>
              <w:rPr>
                <w:szCs w:val="21"/>
              </w:rPr>
              <w:t xml:space="preserve">2.5  </w:t>
            </w:r>
          </w:p>
        </w:tc>
        <w:tc>
          <w:tcPr>
            <w:tcW w:w="536" w:type="pct"/>
            <w:shd w:val="clear" w:color="auto" w:fill="auto"/>
            <w:vAlign w:val="center"/>
          </w:tcPr>
          <w:p>
            <w:pPr>
              <w:jc w:val="center"/>
              <w:rPr>
                <w:color w:val="000000"/>
                <w:szCs w:val="21"/>
              </w:rPr>
            </w:pPr>
            <w:r>
              <w:rPr>
                <w:color w:val="000000"/>
                <w:szCs w:val="21"/>
              </w:rPr>
              <w:t xml:space="preserve">7.4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18" w:type="pct"/>
            <w:vMerge w:val="continue"/>
            <w:shd w:val="clear" w:color="auto" w:fill="auto"/>
            <w:vAlign w:val="center"/>
          </w:tcPr>
          <w:p>
            <w:pPr>
              <w:jc w:val="center"/>
              <w:rPr>
                <w:bCs/>
                <w:color w:val="000000"/>
                <w:szCs w:val="21"/>
              </w:rPr>
            </w:pPr>
          </w:p>
        </w:tc>
        <w:tc>
          <w:tcPr>
            <w:tcW w:w="544" w:type="pct"/>
            <w:vMerge w:val="continue"/>
            <w:shd w:val="clear" w:color="auto" w:fill="auto"/>
            <w:vAlign w:val="center"/>
          </w:tcPr>
          <w:p>
            <w:pPr>
              <w:jc w:val="center"/>
              <w:rPr>
                <w:bCs/>
                <w:color w:val="000000"/>
                <w:szCs w:val="21"/>
              </w:rPr>
            </w:pPr>
          </w:p>
        </w:tc>
        <w:tc>
          <w:tcPr>
            <w:tcW w:w="498" w:type="pct"/>
            <w:shd w:val="clear" w:color="auto" w:fill="auto"/>
            <w:vAlign w:val="center"/>
          </w:tcPr>
          <w:p>
            <w:pPr>
              <w:jc w:val="center"/>
              <w:rPr>
                <w:bCs/>
                <w:color w:val="000000"/>
                <w:szCs w:val="21"/>
              </w:rPr>
            </w:pPr>
            <w:r>
              <w:rPr>
                <w:bCs/>
                <w:color w:val="000000"/>
                <w:szCs w:val="21"/>
              </w:rPr>
              <w:t>6-11y</w:t>
            </w:r>
          </w:p>
        </w:tc>
        <w:tc>
          <w:tcPr>
            <w:tcW w:w="1256" w:type="pct"/>
            <w:shd w:val="clear" w:color="auto" w:fill="auto"/>
          </w:tcPr>
          <w:p>
            <w:pPr>
              <w:jc w:val="center"/>
              <w:rPr>
                <w:color w:val="000000"/>
                <w:szCs w:val="21"/>
              </w:rPr>
            </w:pPr>
            <w:r>
              <w:rPr>
                <w:color w:val="000000"/>
                <w:szCs w:val="21"/>
              </w:rPr>
              <w:t>2735</w:t>
            </w:r>
          </w:p>
        </w:tc>
        <w:tc>
          <w:tcPr>
            <w:tcW w:w="635" w:type="pct"/>
            <w:vMerge w:val="continue"/>
            <w:shd w:val="clear" w:color="auto" w:fill="auto"/>
          </w:tcPr>
          <w:p>
            <w:pPr>
              <w:jc w:val="center"/>
              <w:rPr>
                <w:color w:val="FF0000"/>
                <w:szCs w:val="21"/>
              </w:rPr>
            </w:pPr>
          </w:p>
        </w:tc>
        <w:tc>
          <w:tcPr>
            <w:tcW w:w="373" w:type="pct"/>
            <w:shd w:val="clear" w:color="auto" w:fill="auto"/>
            <w:vAlign w:val="center"/>
          </w:tcPr>
          <w:p>
            <w:pPr>
              <w:jc w:val="center"/>
              <w:rPr>
                <w:color w:val="000000"/>
                <w:szCs w:val="21"/>
              </w:rPr>
            </w:pPr>
            <w:r>
              <w:rPr>
                <w:color w:val="000000"/>
                <w:szCs w:val="21"/>
              </w:rPr>
              <w:t>200</w:t>
            </w:r>
          </w:p>
        </w:tc>
        <w:tc>
          <w:tcPr>
            <w:tcW w:w="537" w:type="pct"/>
            <w:vMerge w:val="continue"/>
            <w:shd w:val="clear" w:color="auto" w:fill="auto"/>
            <w:vAlign w:val="center"/>
          </w:tcPr>
          <w:p>
            <w:pPr>
              <w:jc w:val="center"/>
              <w:rPr>
                <w:color w:val="FF0000"/>
                <w:szCs w:val="21"/>
              </w:rPr>
            </w:pPr>
          </w:p>
        </w:tc>
        <w:tc>
          <w:tcPr>
            <w:tcW w:w="536" w:type="pct"/>
            <w:shd w:val="clear" w:color="auto" w:fill="auto"/>
            <w:vAlign w:val="center"/>
          </w:tcPr>
          <w:p>
            <w:pPr>
              <w:jc w:val="center"/>
              <w:rPr>
                <w:color w:val="000000"/>
                <w:szCs w:val="21"/>
              </w:rPr>
            </w:pPr>
            <w:r>
              <w:rPr>
                <w:color w:val="000000"/>
                <w:szCs w:val="21"/>
              </w:rPr>
              <w:t xml:space="preserve">7.3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18" w:type="pct"/>
            <w:vMerge w:val="continue"/>
            <w:shd w:val="clear" w:color="auto" w:fill="auto"/>
            <w:vAlign w:val="center"/>
          </w:tcPr>
          <w:p>
            <w:pPr>
              <w:jc w:val="center"/>
              <w:rPr>
                <w:bCs/>
                <w:color w:val="000000"/>
                <w:szCs w:val="21"/>
              </w:rPr>
            </w:pPr>
          </w:p>
        </w:tc>
        <w:tc>
          <w:tcPr>
            <w:tcW w:w="544" w:type="pct"/>
            <w:vMerge w:val="continue"/>
            <w:shd w:val="clear" w:color="auto" w:fill="auto"/>
            <w:vAlign w:val="center"/>
          </w:tcPr>
          <w:p>
            <w:pPr>
              <w:jc w:val="center"/>
              <w:rPr>
                <w:bCs/>
                <w:color w:val="000000"/>
                <w:szCs w:val="21"/>
              </w:rPr>
            </w:pPr>
          </w:p>
        </w:tc>
        <w:tc>
          <w:tcPr>
            <w:tcW w:w="498" w:type="pct"/>
            <w:shd w:val="clear" w:color="auto" w:fill="auto"/>
            <w:vAlign w:val="center"/>
          </w:tcPr>
          <w:p>
            <w:pPr>
              <w:jc w:val="center"/>
              <w:rPr>
                <w:bCs/>
                <w:color w:val="000000"/>
                <w:szCs w:val="21"/>
              </w:rPr>
            </w:pPr>
            <w:r>
              <w:rPr>
                <w:bCs/>
                <w:color w:val="000000"/>
                <w:szCs w:val="21"/>
              </w:rPr>
              <w:t>12-17y</w:t>
            </w:r>
          </w:p>
        </w:tc>
        <w:tc>
          <w:tcPr>
            <w:tcW w:w="1256" w:type="pct"/>
            <w:shd w:val="clear" w:color="auto" w:fill="auto"/>
          </w:tcPr>
          <w:p>
            <w:pPr>
              <w:jc w:val="center"/>
              <w:rPr>
                <w:color w:val="000000"/>
                <w:szCs w:val="21"/>
              </w:rPr>
            </w:pPr>
            <w:r>
              <w:rPr>
                <w:color w:val="000000"/>
                <w:szCs w:val="21"/>
              </w:rPr>
              <w:t>3495</w:t>
            </w:r>
          </w:p>
        </w:tc>
        <w:tc>
          <w:tcPr>
            <w:tcW w:w="635" w:type="pct"/>
            <w:vMerge w:val="continue"/>
            <w:shd w:val="clear" w:color="auto" w:fill="auto"/>
          </w:tcPr>
          <w:p>
            <w:pPr>
              <w:jc w:val="center"/>
              <w:rPr>
                <w:color w:val="FF0000"/>
                <w:szCs w:val="21"/>
              </w:rPr>
            </w:pPr>
          </w:p>
        </w:tc>
        <w:tc>
          <w:tcPr>
            <w:tcW w:w="373" w:type="pct"/>
            <w:shd w:val="clear" w:color="auto" w:fill="auto"/>
            <w:vAlign w:val="center"/>
          </w:tcPr>
          <w:p>
            <w:pPr>
              <w:jc w:val="center"/>
              <w:rPr>
                <w:color w:val="000000"/>
                <w:szCs w:val="21"/>
              </w:rPr>
            </w:pPr>
            <w:r>
              <w:rPr>
                <w:color w:val="000000"/>
                <w:szCs w:val="21"/>
              </w:rPr>
              <w:t>300</w:t>
            </w:r>
          </w:p>
        </w:tc>
        <w:tc>
          <w:tcPr>
            <w:tcW w:w="537" w:type="pct"/>
            <w:vMerge w:val="continue"/>
            <w:shd w:val="clear" w:color="auto" w:fill="auto"/>
            <w:vAlign w:val="center"/>
          </w:tcPr>
          <w:p>
            <w:pPr>
              <w:jc w:val="center"/>
              <w:rPr>
                <w:color w:val="FF0000"/>
                <w:szCs w:val="21"/>
              </w:rPr>
            </w:pPr>
          </w:p>
        </w:tc>
        <w:tc>
          <w:tcPr>
            <w:tcW w:w="536" w:type="pct"/>
            <w:shd w:val="clear" w:color="auto" w:fill="auto"/>
            <w:vAlign w:val="center"/>
          </w:tcPr>
          <w:p>
            <w:pPr>
              <w:jc w:val="center"/>
              <w:rPr>
                <w:color w:val="000000"/>
                <w:szCs w:val="21"/>
              </w:rPr>
            </w:pPr>
            <w:r>
              <w:rPr>
                <w:color w:val="000000"/>
                <w:szCs w:val="21"/>
              </w:rPr>
              <w:t xml:space="preserve">8.6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618" w:type="pct"/>
            <w:vMerge w:val="continue"/>
            <w:tcBorders>
              <w:bottom w:val="single" w:color="auto" w:sz="4" w:space="0"/>
            </w:tcBorders>
            <w:shd w:val="clear" w:color="auto" w:fill="auto"/>
            <w:vAlign w:val="center"/>
          </w:tcPr>
          <w:p>
            <w:pPr>
              <w:jc w:val="center"/>
              <w:rPr>
                <w:bCs/>
                <w:color w:val="000000"/>
                <w:szCs w:val="21"/>
              </w:rPr>
            </w:pPr>
          </w:p>
        </w:tc>
        <w:tc>
          <w:tcPr>
            <w:tcW w:w="544" w:type="pct"/>
            <w:vMerge w:val="continue"/>
            <w:tcBorders>
              <w:bottom w:val="single" w:color="auto" w:sz="4" w:space="0"/>
            </w:tcBorders>
            <w:shd w:val="clear" w:color="auto" w:fill="auto"/>
            <w:vAlign w:val="center"/>
          </w:tcPr>
          <w:p>
            <w:pPr>
              <w:jc w:val="center"/>
              <w:rPr>
                <w:bCs/>
                <w:color w:val="000000"/>
                <w:szCs w:val="21"/>
              </w:rPr>
            </w:pPr>
          </w:p>
        </w:tc>
        <w:tc>
          <w:tcPr>
            <w:tcW w:w="498" w:type="pct"/>
            <w:tcBorders>
              <w:bottom w:val="nil"/>
            </w:tcBorders>
            <w:shd w:val="clear" w:color="auto" w:fill="auto"/>
            <w:vAlign w:val="center"/>
          </w:tcPr>
          <w:p>
            <w:pPr>
              <w:jc w:val="center"/>
              <w:rPr>
                <w:bCs/>
                <w:color w:val="000000"/>
                <w:szCs w:val="21"/>
              </w:rPr>
            </w:pPr>
            <w:r>
              <w:rPr>
                <w:bCs/>
                <w:color w:val="000000"/>
                <w:szCs w:val="21"/>
              </w:rPr>
              <w:t>18-44y</w:t>
            </w:r>
          </w:p>
        </w:tc>
        <w:tc>
          <w:tcPr>
            <w:tcW w:w="1256" w:type="pct"/>
            <w:tcBorders>
              <w:bottom w:val="nil"/>
            </w:tcBorders>
            <w:shd w:val="clear" w:color="auto" w:fill="auto"/>
          </w:tcPr>
          <w:p>
            <w:pPr>
              <w:jc w:val="center"/>
              <w:rPr>
                <w:color w:val="000000"/>
                <w:szCs w:val="21"/>
              </w:rPr>
            </w:pPr>
            <w:r>
              <w:rPr>
                <w:color w:val="000000"/>
                <w:szCs w:val="21"/>
              </w:rPr>
              <w:t>3644</w:t>
            </w:r>
          </w:p>
        </w:tc>
        <w:tc>
          <w:tcPr>
            <w:tcW w:w="635" w:type="pct"/>
            <w:vMerge w:val="continue"/>
            <w:tcBorders>
              <w:bottom w:val="nil"/>
            </w:tcBorders>
            <w:shd w:val="clear" w:color="auto" w:fill="auto"/>
          </w:tcPr>
          <w:p>
            <w:pPr>
              <w:jc w:val="center"/>
              <w:rPr>
                <w:color w:val="FF0000"/>
                <w:szCs w:val="21"/>
              </w:rPr>
            </w:pPr>
          </w:p>
        </w:tc>
        <w:tc>
          <w:tcPr>
            <w:tcW w:w="373" w:type="pct"/>
            <w:tcBorders>
              <w:bottom w:val="nil"/>
            </w:tcBorders>
            <w:shd w:val="clear" w:color="auto" w:fill="auto"/>
            <w:vAlign w:val="center"/>
          </w:tcPr>
          <w:p>
            <w:pPr>
              <w:jc w:val="center"/>
              <w:rPr>
                <w:color w:val="000000"/>
                <w:szCs w:val="21"/>
              </w:rPr>
            </w:pPr>
            <w:r>
              <w:rPr>
                <w:color w:val="000000"/>
                <w:szCs w:val="21"/>
              </w:rPr>
              <w:t>400</w:t>
            </w:r>
          </w:p>
        </w:tc>
        <w:tc>
          <w:tcPr>
            <w:tcW w:w="537" w:type="pct"/>
            <w:vMerge w:val="continue"/>
            <w:tcBorders>
              <w:bottom w:val="nil"/>
            </w:tcBorders>
            <w:shd w:val="clear" w:color="auto" w:fill="auto"/>
            <w:vAlign w:val="center"/>
          </w:tcPr>
          <w:p>
            <w:pPr>
              <w:jc w:val="center"/>
              <w:rPr>
                <w:color w:val="FF0000"/>
                <w:szCs w:val="21"/>
              </w:rPr>
            </w:pPr>
          </w:p>
        </w:tc>
        <w:tc>
          <w:tcPr>
            <w:tcW w:w="536" w:type="pct"/>
            <w:tcBorders>
              <w:bottom w:val="nil"/>
            </w:tcBorders>
            <w:shd w:val="clear" w:color="auto" w:fill="auto"/>
            <w:vAlign w:val="center"/>
          </w:tcPr>
          <w:p>
            <w:pPr>
              <w:jc w:val="center"/>
              <w:rPr>
                <w:color w:val="000000"/>
                <w:szCs w:val="21"/>
              </w:rPr>
            </w:pPr>
            <w:r>
              <w:rPr>
                <w:color w:val="000000"/>
                <w:szCs w:val="21"/>
              </w:rPr>
              <w:t xml:space="preserve">11.0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618" w:type="pct"/>
            <w:vMerge w:val="continue"/>
            <w:tcBorders>
              <w:top w:val="single" w:color="auto" w:sz="4" w:space="0"/>
            </w:tcBorders>
            <w:shd w:val="clear" w:color="auto" w:fill="auto"/>
            <w:vAlign w:val="center"/>
          </w:tcPr>
          <w:p>
            <w:pPr>
              <w:jc w:val="center"/>
              <w:rPr>
                <w:bCs/>
                <w:color w:val="000000"/>
                <w:szCs w:val="21"/>
              </w:rPr>
            </w:pPr>
          </w:p>
        </w:tc>
        <w:tc>
          <w:tcPr>
            <w:tcW w:w="544" w:type="pct"/>
            <w:vMerge w:val="continue"/>
            <w:tcBorders>
              <w:top w:val="single" w:color="auto" w:sz="4" w:space="0"/>
            </w:tcBorders>
            <w:shd w:val="clear" w:color="auto" w:fill="auto"/>
            <w:vAlign w:val="center"/>
          </w:tcPr>
          <w:p>
            <w:pPr>
              <w:jc w:val="center"/>
              <w:rPr>
                <w:bCs/>
                <w:color w:val="000000"/>
                <w:szCs w:val="21"/>
              </w:rPr>
            </w:pPr>
          </w:p>
        </w:tc>
        <w:tc>
          <w:tcPr>
            <w:tcW w:w="498" w:type="pct"/>
            <w:tcBorders>
              <w:top w:val="nil"/>
              <w:bottom w:val="single" w:color="auto" w:sz="4" w:space="0"/>
            </w:tcBorders>
            <w:shd w:val="clear" w:color="auto" w:fill="auto"/>
            <w:vAlign w:val="center"/>
          </w:tcPr>
          <w:p>
            <w:pPr>
              <w:jc w:val="center"/>
              <w:rPr>
                <w:bCs/>
                <w:color w:val="000000"/>
                <w:szCs w:val="21"/>
              </w:rPr>
            </w:pPr>
            <w:r>
              <w:rPr>
                <w:bCs/>
                <w:color w:val="000000"/>
                <w:szCs w:val="21"/>
              </w:rPr>
              <w:t>45-59y</w:t>
            </w:r>
          </w:p>
        </w:tc>
        <w:tc>
          <w:tcPr>
            <w:tcW w:w="1256" w:type="pct"/>
            <w:tcBorders>
              <w:top w:val="nil"/>
              <w:bottom w:val="single" w:color="auto" w:sz="4" w:space="0"/>
            </w:tcBorders>
            <w:shd w:val="clear" w:color="auto" w:fill="auto"/>
          </w:tcPr>
          <w:p>
            <w:pPr>
              <w:jc w:val="center"/>
              <w:rPr>
                <w:color w:val="000000"/>
                <w:szCs w:val="21"/>
              </w:rPr>
            </w:pPr>
            <w:r>
              <w:rPr>
                <w:color w:val="000000"/>
                <w:szCs w:val="21"/>
              </w:rPr>
              <w:t>3516</w:t>
            </w:r>
          </w:p>
        </w:tc>
        <w:tc>
          <w:tcPr>
            <w:tcW w:w="635" w:type="pct"/>
            <w:vMerge w:val="continue"/>
            <w:tcBorders>
              <w:top w:val="nil"/>
              <w:bottom w:val="single" w:color="auto" w:sz="4" w:space="0"/>
            </w:tcBorders>
            <w:shd w:val="clear" w:color="auto" w:fill="auto"/>
          </w:tcPr>
          <w:p>
            <w:pPr>
              <w:jc w:val="center"/>
              <w:rPr>
                <w:color w:val="FF0000"/>
                <w:szCs w:val="21"/>
              </w:rPr>
            </w:pPr>
          </w:p>
        </w:tc>
        <w:tc>
          <w:tcPr>
            <w:tcW w:w="373" w:type="pct"/>
            <w:tcBorders>
              <w:top w:val="nil"/>
              <w:bottom w:val="single" w:color="auto" w:sz="4" w:space="0"/>
            </w:tcBorders>
            <w:shd w:val="clear" w:color="auto" w:fill="auto"/>
            <w:vAlign w:val="center"/>
          </w:tcPr>
          <w:p>
            <w:pPr>
              <w:jc w:val="center"/>
              <w:rPr>
                <w:color w:val="000000"/>
                <w:szCs w:val="21"/>
              </w:rPr>
            </w:pPr>
            <w:r>
              <w:rPr>
                <w:color w:val="000000"/>
                <w:szCs w:val="21"/>
              </w:rPr>
              <w:t>400</w:t>
            </w:r>
          </w:p>
        </w:tc>
        <w:tc>
          <w:tcPr>
            <w:tcW w:w="537" w:type="pct"/>
            <w:vMerge w:val="continue"/>
            <w:tcBorders>
              <w:top w:val="nil"/>
              <w:bottom w:val="single" w:color="auto" w:sz="4" w:space="0"/>
            </w:tcBorders>
            <w:shd w:val="clear" w:color="auto" w:fill="auto"/>
            <w:vAlign w:val="center"/>
          </w:tcPr>
          <w:p>
            <w:pPr>
              <w:jc w:val="center"/>
              <w:rPr>
                <w:color w:val="FF0000"/>
                <w:szCs w:val="21"/>
              </w:rPr>
            </w:pPr>
          </w:p>
        </w:tc>
        <w:tc>
          <w:tcPr>
            <w:tcW w:w="536" w:type="pct"/>
            <w:tcBorders>
              <w:top w:val="nil"/>
              <w:bottom w:val="single" w:color="auto" w:sz="4" w:space="0"/>
            </w:tcBorders>
            <w:shd w:val="clear" w:color="auto" w:fill="auto"/>
            <w:vAlign w:val="center"/>
          </w:tcPr>
          <w:p>
            <w:pPr>
              <w:jc w:val="center"/>
              <w:rPr>
                <w:color w:val="000000"/>
                <w:szCs w:val="21"/>
              </w:rPr>
            </w:pPr>
            <w:r>
              <w:rPr>
                <w:color w:val="000000"/>
                <w:szCs w:val="21"/>
              </w:rPr>
              <w:t xml:space="preserve">11.4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 w:hRule="atLeast"/>
          <w:jc w:val="center"/>
        </w:trPr>
        <w:tc>
          <w:tcPr>
            <w:tcW w:w="618" w:type="pct"/>
            <w:vMerge w:val="continue"/>
            <w:tcBorders>
              <w:bottom w:val="single" w:color="auto" w:sz="12" w:space="0"/>
            </w:tcBorders>
            <w:shd w:val="clear" w:color="auto" w:fill="auto"/>
            <w:vAlign w:val="center"/>
          </w:tcPr>
          <w:p>
            <w:pPr>
              <w:jc w:val="center"/>
              <w:rPr>
                <w:bCs/>
                <w:color w:val="000000"/>
                <w:szCs w:val="21"/>
              </w:rPr>
            </w:pPr>
          </w:p>
        </w:tc>
        <w:tc>
          <w:tcPr>
            <w:tcW w:w="544" w:type="pct"/>
            <w:vMerge w:val="continue"/>
            <w:tcBorders>
              <w:bottom w:val="single" w:color="auto" w:sz="12" w:space="0"/>
            </w:tcBorders>
            <w:shd w:val="clear" w:color="auto" w:fill="auto"/>
            <w:vAlign w:val="center"/>
          </w:tcPr>
          <w:p>
            <w:pPr>
              <w:jc w:val="center"/>
              <w:rPr>
                <w:bCs/>
                <w:color w:val="000000"/>
                <w:szCs w:val="21"/>
              </w:rPr>
            </w:pPr>
          </w:p>
        </w:tc>
        <w:tc>
          <w:tcPr>
            <w:tcW w:w="498" w:type="pct"/>
            <w:tcBorders>
              <w:top w:val="single" w:color="auto" w:sz="4" w:space="0"/>
              <w:bottom w:val="single" w:color="auto" w:sz="12" w:space="0"/>
            </w:tcBorders>
            <w:shd w:val="clear" w:color="auto" w:fill="auto"/>
            <w:vAlign w:val="center"/>
          </w:tcPr>
          <w:p>
            <w:pPr>
              <w:jc w:val="center"/>
              <w:rPr>
                <w:bCs/>
                <w:color w:val="000000"/>
                <w:szCs w:val="21"/>
              </w:rPr>
            </w:pPr>
            <w:r>
              <w:rPr>
                <w:bCs/>
                <w:color w:val="000000"/>
                <w:szCs w:val="21"/>
              </w:rPr>
              <w:t>60y-</w:t>
            </w:r>
          </w:p>
        </w:tc>
        <w:tc>
          <w:tcPr>
            <w:tcW w:w="1256" w:type="pct"/>
            <w:tcBorders>
              <w:top w:val="single" w:color="auto" w:sz="4" w:space="0"/>
              <w:bottom w:val="single" w:color="auto" w:sz="12" w:space="0"/>
            </w:tcBorders>
            <w:shd w:val="clear" w:color="auto" w:fill="auto"/>
          </w:tcPr>
          <w:p>
            <w:pPr>
              <w:jc w:val="center"/>
              <w:rPr>
                <w:color w:val="000000"/>
                <w:szCs w:val="21"/>
              </w:rPr>
            </w:pPr>
            <w:r>
              <w:rPr>
                <w:color w:val="000000"/>
                <w:szCs w:val="21"/>
              </w:rPr>
              <w:t>3054</w:t>
            </w:r>
          </w:p>
        </w:tc>
        <w:tc>
          <w:tcPr>
            <w:tcW w:w="635" w:type="pct"/>
            <w:vMerge w:val="continue"/>
            <w:tcBorders>
              <w:top w:val="single" w:color="auto" w:sz="4" w:space="0"/>
              <w:bottom w:val="single" w:color="auto" w:sz="12" w:space="0"/>
            </w:tcBorders>
            <w:shd w:val="clear" w:color="auto" w:fill="auto"/>
          </w:tcPr>
          <w:p>
            <w:pPr>
              <w:jc w:val="center"/>
              <w:rPr>
                <w:color w:val="FF0000"/>
                <w:szCs w:val="21"/>
              </w:rPr>
            </w:pPr>
          </w:p>
        </w:tc>
        <w:tc>
          <w:tcPr>
            <w:tcW w:w="373" w:type="pct"/>
            <w:tcBorders>
              <w:top w:val="single" w:color="auto" w:sz="4" w:space="0"/>
              <w:bottom w:val="single" w:color="auto" w:sz="12" w:space="0"/>
            </w:tcBorders>
            <w:shd w:val="clear" w:color="auto" w:fill="auto"/>
            <w:vAlign w:val="center"/>
          </w:tcPr>
          <w:p>
            <w:pPr>
              <w:jc w:val="center"/>
              <w:rPr>
                <w:color w:val="000000"/>
                <w:szCs w:val="21"/>
              </w:rPr>
            </w:pPr>
            <w:r>
              <w:rPr>
                <w:color w:val="000000"/>
                <w:szCs w:val="21"/>
              </w:rPr>
              <w:t>400</w:t>
            </w:r>
          </w:p>
        </w:tc>
        <w:tc>
          <w:tcPr>
            <w:tcW w:w="537" w:type="pct"/>
            <w:vMerge w:val="continue"/>
            <w:tcBorders>
              <w:top w:val="single" w:color="auto" w:sz="4" w:space="0"/>
              <w:bottom w:val="single" w:color="auto" w:sz="12" w:space="0"/>
            </w:tcBorders>
            <w:shd w:val="clear" w:color="auto" w:fill="auto"/>
            <w:vAlign w:val="center"/>
          </w:tcPr>
          <w:p>
            <w:pPr>
              <w:jc w:val="center"/>
              <w:rPr>
                <w:color w:val="FF0000"/>
                <w:szCs w:val="21"/>
              </w:rPr>
            </w:pPr>
          </w:p>
        </w:tc>
        <w:tc>
          <w:tcPr>
            <w:tcW w:w="536" w:type="pct"/>
            <w:tcBorders>
              <w:top w:val="single" w:color="auto" w:sz="4" w:space="0"/>
              <w:bottom w:val="single" w:color="auto" w:sz="12" w:space="0"/>
            </w:tcBorders>
            <w:shd w:val="clear" w:color="auto" w:fill="auto"/>
            <w:vAlign w:val="center"/>
          </w:tcPr>
          <w:p>
            <w:pPr>
              <w:jc w:val="center"/>
              <w:rPr>
                <w:color w:val="000000"/>
                <w:szCs w:val="21"/>
              </w:rPr>
            </w:pPr>
            <w:r>
              <w:rPr>
                <w:color w:val="000000"/>
                <w:szCs w:val="21"/>
              </w:rPr>
              <w:t xml:space="preserve">13.1 </w:t>
            </w:r>
          </w:p>
        </w:tc>
      </w:tr>
    </w:tbl>
    <w:p>
      <w:pPr>
        <w:pStyle w:val="11"/>
        <w:numPr>
          <w:ilvl w:val="0"/>
          <w:numId w:val="1"/>
        </w:numPr>
        <w:spacing w:line="360" w:lineRule="auto"/>
        <w:ind w:firstLineChars="0"/>
        <w:rPr>
          <w:rFonts w:eastAsia="黑体" w:cs="Arial"/>
          <w:sz w:val="24"/>
          <w:szCs w:val="24"/>
        </w:rPr>
      </w:pPr>
      <w:r>
        <w:rPr>
          <w:rFonts w:hint="eastAsia" w:eastAsia="黑体" w:cs="Arial"/>
          <w:sz w:val="24"/>
          <w:szCs w:val="24"/>
        </w:rPr>
        <w:t>国内外相关法规标准情况</w:t>
      </w:r>
    </w:p>
    <w:p>
      <w:pPr>
        <w:adjustRightInd/>
        <w:spacing w:line="360" w:lineRule="auto"/>
        <w:ind w:firstLine="480" w:firstLineChars="200"/>
        <w:rPr>
          <w:rFonts w:hint="eastAsia" w:cs="Arial"/>
          <w:sz w:val="24"/>
          <w:szCs w:val="24"/>
        </w:rPr>
      </w:pPr>
      <w:r>
        <w:rPr>
          <w:rFonts w:hint="eastAsia" w:cs="Arial"/>
          <w:sz w:val="24"/>
          <w:szCs w:val="24"/>
        </w:rPr>
        <w:t>GB 14880-2012《食品安全国家标准 食品营养强化剂使用标准》，该标准规定了维生素、矿物质、脂肪酸、氨基酸（肽、蛋白质）等 43 种营养素在不同食品载体中的强化量。我国《农产品营养强化术语及定义》的农业行业标准，其内容并未对每一种营养素的量进行规定。我国近两年陆续发布富硒鸡蛋、富硒茶等地方或团体标准，根据“全国标准信息公共服务平台”的查询情况，目前没有关于富硒鸽肉的标准项目，属于行业内空白。</w:t>
      </w:r>
    </w:p>
    <w:p>
      <w:pPr>
        <w:pStyle w:val="11"/>
        <w:numPr>
          <w:ilvl w:val="0"/>
          <w:numId w:val="1"/>
        </w:numPr>
        <w:spacing w:line="360" w:lineRule="auto"/>
        <w:ind w:firstLineChars="0"/>
        <w:rPr>
          <w:rFonts w:eastAsia="黑体" w:cs="Arial"/>
          <w:sz w:val="24"/>
          <w:szCs w:val="24"/>
        </w:rPr>
      </w:pPr>
      <w:r>
        <w:rPr>
          <w:rFonts w:hint="eastAsia" w:eastAsia="黑体" w:cs="Arial"/>
          <w:sz w:val="24"/>
          <w:szCs w:val="24"/>
        </w:rPr>
        <w:t>国内外相关法规标准情况</w:t>
      </w:r>
    </w:p>
    <w:p>
      <w:pPr>
        <w:adjustRightInd/>
        <w:spacing w:line="360" w:lineRule="auto"/>
        <w:ind w:firstLine="480" w:firstLineChars="200"/>
        <w:rPr>
          <w:rFonts w:cs="Arial"/>
          <w:sz w:val="24"/>
          <w:szCs w:val="24"/>
        </w:rPr>
      </w:pPr>
      <w:r>
        <w:rPr>
          <w:rFonts w:hint="eastAsia" w:cs="Arial"/>
          <w:sz w:val="24"/>
          <w:szCs w:val="24"/>
        </w:rPr>
        <w:t>起草组查阅了加拿大、马来西亚、澳大利亚新西兰等对食品声称或营养富集的相关标准。加拿大要求食品标签能声称“富硒”至少能提供日常需要量的25%，马来西亚对食品“富硒”强化声称要求，每100g添加不低于每日需要量的30%。虽然国外很多国家制定了食品中富硒的要求，但富硒鸽肉标准尚未见发布。</w:t>
      </w:r>
    </w:p>
    <w:p>
      <w:pPr>
        <w:pStyle w:val="11"/>
        <w:numPr>
          <w:ilvl w:val="0"/>
          <w:numId w:val="1"/>
        </w:numPr>
        <w:spacing w:line="360" w:lineRule="auto"/>
        <w:ind w:firstLineChars="0"/>
        <w:rPr>
          <w:rFonts w:hint="eastAsia" w:eastAsia="黑体" w:cs="Arial"/>
          <w:sz w:val="24"/>
          <w:szCs w:val="24"/>
        </w:rPr>
      </w:pPr>
      <w:r>
        <w:rPr>
          <w:rFonts w:hint="eastAsia" w:eastAsia="黑体" w:cs="Arial"/>
          <w:sz w:val="24"/>
          <w:szCs w:val="24"/>
        </w:rPr>
        <w:t>与我国有关法律法规和其他标准的关系</w:t>
      </w:r>
    </w:p>
    <w:p>
      <w:pPr>
        <w:pStyle w:val="3"/>
        <w:keepNext w:val="0"/>
        <w:keepLines w:val="0"/>
        <w:spacing w:line="480" w:lineRule="exact"/>
        <w:ind w:left="0" w:leftChars="0" w:firstLine="482"/>
        <w:rPr>
          <w:rFonts w:hint="eastAsia" w:ascii="宋体" w:hAnsi="宋体" w:eastAsia="宋体"/>
          <w:color w:val="000000"/>
          <w:sz w:val="24"/>
          <w:szCs w:val="24"/>
        </w:rPr>
      </w:pPr>
      <w:r>
        <w:rPr>
          <w:rFonts w:hint="eastAsia" w:ascii="宋体" w:hAnsi="宋体" w:eastAsia="宋体"/>
          <w:color w:val="000000"/>
          <w:sz w:val="24"/>
          <w:szCs w:val="24"/>
        </w:rPr>
        <w:t>（一）与我国有关法律法规的关系</w:t>
      </w:r>
    </w:p>
    <w:p>
      <w:pPr>
        <w:spacing w:line="480" w:lineRule="exact"/>
        <w:ind w:left="0" w:leftChars="0" w:firstLine="480" w:firstLineChars="200"/>
        <w:rPr>
          <w:rFonts w:hint="eastAsia" w:ascii="宋体" w:hAnsi="宋体" w:cs="宋体"/>
          <w:color w:val="000000"/>
          <w:sz w:val="24"/>
          <w:szCs w:val="24"/>
        </w:rPr>
      </w:pPr>
      <w:r>
        <w:rPr>
          <w:rFonts w:hint="eastAsia" w:ascii="宋体" w:hAnsi="宋体" w:cs="宋体"/>
          <w:color w:val="000000"/>
          <w:sz w:val="24"/>
          <w:szCs w:val="24"/>
        </w:rPr>
        <w:t>本文件的制定严格遵循《中华人民共和国食品安全法》及其实施条例、《中华人民共和国标准化法》及其实施条例、《团体标准管理规定》（国标委联【2019】1号）等我国有关法律法规、部门规章和文件的规定和要求。</w:t>
      </w:r>
    </w:p>
    <w:p>
      <w:pPr>
        <w:pStyle w:val="3"/>
        <w:keepNext w:val="0"/>
        <w:keepLines w:val="0"/>
        <w:spacing w:line="480" w:lineRule="exact"/>
        <w:ind w:left="0" w:leftChars="0" w:firstLine="482"/>
        <w:rPr>
          <w:rFonts w:hint="eastAsia" w:ascii="宋体" w:hAnsi="宋体" w:eastAsia="宋体"/>
          <w:color w:val="000000"/>
          <w:sz w:val="24"/>
          <w:szCs w:val="24"/>
        </w:rPr>
      </w:pPr>
      <w:r>
        <w:rPr>
          <w:rFonts w:hint="eastAsia" w:ascii="宋体" w:hAnsi="宋体" w:eastAsia="宋体"/>
          <w:color w:val="000000"/>
          <w:sz w:val="24"/>
          <w:szCs w:val="24"/>
        </w:rPr>
        <w:t xml:space="preserve">（二）与其他标准的关系 </w:t>
      </w:r>
    </w:p>
    <w:p>
      <w:pPr>
        <w:spacing w:line="480" w:lineRule="exact"/>
        <w:ind w:left="0" w:leftChars="0"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本文件制定过程中参考的相关产品标准主要包括GB 2707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鲜（冻）畜、禽产品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GB 2762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食品中污染物限量</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GB 2763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食品中农药最大残留限量</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GB 4806.7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食品接触用塑料材料及制品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GB 4806.8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食品接触用纸和纸板材料及制品</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GB</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5009.93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食品中硒的测定方法</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 xml:space="preserve">GB 5009.228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食品安全国家标准 食品中挥发性盐基氮的测定</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等相关标准规定。</w:t>
      </w:r>
    </w:p>
    <w:p>
      <w:pPr>
        <w:pStyle w:val="11"/>
        <w:numPr>
          <w:ilvl w:val="0"/>
          <w:numId w:val="1"/>
        </w:numPr>
        <w:spacing w:line="360" w:lineRule="auto"/>
        <w:ind w:firstLineChars="0"/>
        <w:rPr>
          <w:rFonts w:hint="eastAsia" w:eastAsia="黑体" w:cs="Arial"/>
          <w:sz w:val="24"/>
          <w:szCs w:val="24"/>
        </w:rPr>
      </w:pPr>
      <w:r>
        <w:rPr>
          <w:rFonts w:hint="eastAsia" w:eastAsia="黑体" w:cs="Arial"/>
          <w:sz w:val="24"/>
          <w:szCs w:val="24"/>
        </w:rPr>
        <w:t>重大分歧意见的处理经过和依据</w:t>
      </w:r>
    </w:p>
    <w:p>
      <w:pPr>
        <w:widowControl/>
        <w:spacing w:line="480" w:lineRule="exact"/>
        <w:ind w:left="0" w:leftChars="0" w:firstLine="480" w:firstLineChars="200"/>
        <w:rPr>
          <w:rFonts w:hint="eastAsia" w:ascii="宋体" w:hAnsi="宋体" w:cs="宋体"/>
          <w:color w:val="000000"/>
          <w:sz w:val="24"/>
          <w:szCs w:val="24"/>
        </w:rPr>
      </w:pPr>
      <w:r>
        <w:rPr>
          <w:rFonts w:hint="eastAsia" w:ascii="宋体" w:hAnsi="宋体" w:cs="宋体"/>
          <w:color w:val="000000"/>
          <w:sz w:val="24"/>
          <w:szCs w:val="24"/>
        </w:rPr>
        <w:t>无。</w:t>
      </w:r>
    </w:p>
    <w:p>
      <w:pPr>
        <w:pStyle w:val="11"/>
        <w:numPr>
          <w:ilvl w:val="0"/>
          <w:numId w:val="1"/>
        </w:numPr>
        <w:spacing w:line="360" w:lineRule="auto"/>
        <w:ind w:firstLineChars="0"/>
        <w:rPr>
          <w:rFonts w:hint="eastAsia" w:eastAsia="黑体" w:cs="Arial"/>
          <w:sz w:val="24"/>
          <w:szCs w:val="24"/>
        </w:rPr>
      </w:pPr>
      <w:r>
        <w:rPr>
          <w:rFonts w:hint="eastAsia" w:eastAsia="黑体" w:cs="Arial"/>
          <w:sz w:val="24"/>
          <w:szCs w:val="24"/>
        </w:rPr>
        <w:t>标准作为强制性或推荐性标准的建议</w:t>
      </w:r>
    </w:p>
    <w:p>
      <w:pPr>
        <w:widowControl/>
        <w:spacing w:line="480" w:lineRule="exact"/>
        <w:ind w:left="0" w:leftChars="0" w:firstLine="480" w:firstLineChars="200"/>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无。</w:t>
      </w:r>
    </w:p>
    <w:p>
      <w:pPr>
        <w:pStyle w:val="11"/>
        <w:numPr>
          <w:ilvl w:val="0"/>
          <w:numId w:val="1"/>
        </w:numPr>
        <w:spacing w:line="360" w:lineRule="auto"/>
        <w:ind w:firstLineChars="0"/>
        <w:rPr>
          <w:rFonts w:eastAsia="黑体" w:cs="Arial"/>
          <w:sz w:val="24"/>
          <w:szCs w:val="24"/>
        </w:rPr>
      </w:pPr>
      <w:r>
        <w:rPr>
          <w:rFonts w:hint="eastAsia" w:eastAsia="黑体" w:cs="Arial"/>
          <w:sz w:val="24"/>
          <w:szCs w:val="24"/>
        </w:rPr>
        <w:t>国内外相关法规标准情况</w:t>
      </w:r>
    </w:p>
    <w:p>
      <w:pPr>
        <w:spacing w:line="480" w:lineRule="exact"/>
        <w:ind w:left="560" w:leftChars="0" w:firstLine="420" w:firstLineChars="0"/>
        <w:rPr>
          <w:rFonts w:hint="eastAsia" w:ascii="宋体" w:hAnsi="宋体" w:cs="宋体"/>
          <w:color w:val="000000"/>
          <w:sz w:val="24"/>
          <w:szCs w:val="24"/>
        </w:rPr>
      </w:pPr>
      <w:r>
        <w:rPr>
          <w:rFonts w:hint="eastAsia" w:ascii="宋体" w:hAnsi="宋体" w:cs="宋体"/>
          <w:color w:val="000000"/>
          <w:sz w:val="24"/>
          <w:szCs w:val="24"/>
        </w:rPr>
        <w:t>无。</w:t>
      </w:r>
    </w:p>
    <w:p>
      <w:pPr>
        <w:spacing w:line="500" w:lineRule="exact"/>
        <w:rPr>
          <w:rFonts w:hint="eastAsia" w:ascii="宋体" w:hAnsi="宋体" w:cs="宋体"/>
          <w:color w:val="000000"/>
          <w:sz w:val="24"/>
          <w:szCs w:val="24"/>
        </w:rPr>
      </w:pPr>
    </w:p>
    <w:p>
      <w:pPr>
        <w:spacing w:line="500" w:lineRule="exact"/>
        <w:rPr>
          <w:rFonts w:hint="eastAsia" w:ascii="宋体" w:hAnsi="宋体" w:cs="宋体"/>
          <w:bCs/>
          <w:color w:val="000000"/>
          <w:sz w:val="24"/>
          <w:szCs w:val="24"/>
        </w:rPr>
      </w:pPr>
      <w:r>
        <w:rPr>
          <w:rFonts w:hint="eastAsia" w:ascii="宋体" w:hAnsi="宋体" w:cs="宋体"/>
          <w:b/>
          <w:bCs/>
          <w:color w:val="000000"/>
          <w:sz w:val="24"/>
          <w:szCs w:val="24"/>
        </w:rPr>
        <w:t xml:space="preserve">                                              </w:t>
      </w:r>
      <w:r>
        <w:rPr>
          <w:rFonts w:ascii="宋体" w:hAnsi="宋体" w:cs="宋体"/>
          <w:b/>
          <w:bCs/>
          <w:color w:val="000000"/>
          <w:sz w:val="24"/>
          <w:szCs w:val="24"/>
        </w:rPr>
        <w:t xml:space="preserve">    </w:t>
      </w:r>
      <w:r>
        <w:rPr>
          <w:rFonts w:hint="eastAsia" w:ascii="宋体" w:hAnsi="宋体" w:cs="宋体"/>
          <w:b/>
          <w:bCs/>
          <w:color w:val="000000"/>
          <w:sz w:val="24"/>
          <w:szCs w:val="24"/>
        </w:rPr>
        <w:t xml:space="preserve">  </w:t>
      </w:r>
      <w:r>
        <w:rPr>
          <w:rFonts w:ascii="宋体" w:hAnsi="宋体" w:cs="宋体"/>
          <w:b/>
          <w:bCs/>
          <w:color w:val="000000"/>
          <w:sz w:val="24"/>
          <w:szCs w:val="24"/>
        </w:rPr>
        <w:t xml:space="preserve"> </w:t>
      </w:r>
      <w:r>
        <w:rPr>
          <w:rFonts w:hint="eastAsia" w:ascii="宋体" w:hAnsi="宋体" w:cs="宋体"/>
          <w:bCs/>
          <w:color w:val="000000"/>
          <w:sz w:val="24"/>
          <w:szCs w:val="24"/>
        </w:rPr>
        <w:t>标准编制组</w:t>
      </w:r>
    </w:p>
    <w:p>
      <w:pPr>
        <w:spacing w:line="500" w:lineRule="exact"/>
        <w:rPr>
          <w:rFonts w:hint="eastAsia" w:ascii="宋体" w:hAnsi="宋体"/>
          <w:color w:val="000000"/>
          <w:sz w:val="24"/>
          <w:szCs w:val="24"/>
        </w:rPr>
      </w:pPr>
      <w:r>
        <w:rPr>
          <w:rFonts w:hint="eastAsia" w:ascii="宋体" w:hAnsi="宋体" w:cs="宋体"/>
          <w:bCs/>
          <w:color w:val="000000"/>
          <w:sz w:val="24"/>
          <w:szCs w:val="24"/>
        </w:rPr>
        <w:t xml:space="preserve">                                                     2023年</w:t>
      </w:r>
      <w:r>
        <w:rPr>
          <w:rFonts w:hint="eastAsia" w:ascii="宋体" w:hAnsi="宋体" w:cs="宋体"/>
          <w:bCs/>
          <w:color w:val="000000"/>
          <w:sz w:val="24"/>
          <w:szCs w:val="24"/>
          <w:lang w:val="en-US" w:eastAsia="zh-CN"/>
        </w:rPr>
        <w:t>6</w:t>
      </w:r>
      <w:r>
        <w:rPr>
          <w:rFonts w:hint="eastAsia" w:ascii="宋体" w:hAnsi="宋体" w:cs="宋体"/>
          <w:bCs/>
          <w:color w:val="000000"/>
          <w:sz w:val="24"/>
          <w:szCs w:val="24"/>
        </w:rPr>
        <w:t>月</w:t>
      </w:r>
    </w:p>
    <w:p>
      <w:pPr>
        <w:spacing w:line="360" w:lineRule="auto"/>
        <w:rPr>
          <w:sz w:val="24"/>
          <w:szCs w:val="22"/>
        </w:rPr>
      </w:pPr>
    </w:p>
    <w:p>
      <w:pPr>
        <w:spacing w:line="360" w:lineRule="auto"/>
        <w:rPr>
          <w:sz w:val="24"/>
          <w:szCs w:val="2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B7E92"/>
    <w:multiLevelType w:val="multilevel"/>
    <w:tmpl w:val="0D1B7E92"/>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FCB97D"/>
    <w:multiLevelType w:val="singleLevel"/>
    <w:tmpl w:val="75FCB97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xZjljMWE5N2JmMTcwZWNjODEyMTg1YjgxNDkxY2QifQ=="/>
  </w:docVars>
  <w:rsids>
    <w:rsidRoot w:val="00760A6C"/>
    <w:rsid w:val="00006DDB"/>
    <w:rsid w:val="00024FA1"/>
    <w:rsid w:val="000328F8"/>
    <w:rsid w:val="00034EE3"/>
    <w:rsid w:val="00044EF2"/>
    <w:rsid w:val="00050F1C"/>
    <w:rsid w:val="0006113C"/>
    <w:rsid w:val="00074261"/>
    <w:rsid w:val="00075B10"/>
    <w:rsid w:val="0008561E"/>
    <w:rsid w:val="000B2DFB"/>
    <w:rsid w:val="000B5B1F"/>
    <w:rsid w:val="000C2797"/>
    <w:rsid w:val="000D1FD9"/>
    <w:rsid w:val="000E6824"/>
    <w:rsid w:val="000F11FD"/>
    <w:rsid w:val="00111556"/>
    <w:rsid w:val="00113B23"/>
    <w:rsid w:val="00143E6D"/>
    <w:rsid w:val="00147682"/>
    <w:rsid w:val="00152D93"/>
    <w:rsid w:val="00170522"/>
    <w:rsid w:val="001813FA"/>
    <w:rsid w:val="001A1003"/>
    <w:rsid w:val="001A1FCB"/>
    <w:rsid w:val="001C60A8"/>
    <w:rsid w:val="001D3E75"/>
    <w:rsid w:val="001F0697"/>
    <w:rsid w:val="002123AE"/>
    <w:rsid w:val="002215E3"/>
    <w:rsid w:val="002237ED"/>
    <w:rsid w:val="00230967"/>
    <w:rsid w:val="0023201F"/>
    <w:rsid w:val="00242FEA"/>
    <w:rsid w:val="00295AB8"/>
    <w:rsid w:val="002C5F55"/>
    <w:rsid w:val="00324971"/>
    <w:rsid w:val="00325231"/>
    <w:rsid w:val="00334F54"/>
    <w:rsid w:val="00356A93"/>
    <w:rsid w:val="00357FE3"/>
    <w:rsid w:val="0036627B"/>
    <w:rsid w:val="00393FDE"/>
    <w:rsid w:val="003A4E87"/>
    <w:rsid w:val="003A6FA6"/>
    <w:rsid w:val="003B30C9"/>
    <w:rsid w:val="003D7C97"/>
    <w:rsid w:val="003E1D00"/>
    <w:rsid w:val="003E2826"/>
    <w:rsid w:val="003E2CCE"/>
    <w:rsid w:val="003E34EF"/>
    <w:rsid w:val="003E355D"/>
    <w:rsid w:val="003F076A"/>
    <w:rsid w:val="00455B1B"/>
    <w:rsid w:val="0046277A"/>
    <w:rsid w:val="00463C47"/>
    <w:rsid w:val="00470A54"/>
    <w:rsid w:val="00471F8E"/>
    <w:rsid w:val="004A57B5"/>
    <w:rsid w:val="004A5D3D"/>
    <w:rsid w:val="004D67C4"/>
    <w:rsid w:val="004D710B"/>
    <w:rsid w:val="00534C40"/>
    <w:rsid w:val="0054359C"/>
    <w:rsid w:val="0059142E"/>
    <w:rsid w:val="005C2E00"/>
    <w:rsid w:val="005D5B8F"/>
    <w:rsid w:val="005E1873"/>
    <w:rsid w:val="00600906"/>
    <w:rsid w:val="00604D02"/>
    <w:rsid w:val="00615053"/>
    <w:rsid w:val="006215E2"/>
    <w:rsid w:val="00641793"/>
    <w:rsid w:val="006430C4"/>
    <w:rsid w:val="0066416D"/>
    <w:rsid w:val="00694EBC"/>
    <w:rsid w:val="00696EB4"/>
    <w:rsid w:val="006A2B40"/>
    <w:rsid w:val="006C2F33"/>
    <w:rsid w:val="006C67DB"/>
    <w:rsid w:val="006E358E"/>
    <w:rsid w:val="006E3D02"/>
    <w:rsid w:val="006F676D"/>
    <w:rsid w:val="00714DE6"/>
    <w:rsid w:val="00735F88"/>
    <w:rsid w:val="00750068"/>
    <w:rsid w:val="00760A6C"/>
    <w:rsid w:val="00765564"/>
    <w:rsid w:val="007717D9"/>
    <w:rsid w:val="00776755"/>
    <w:rsid w:val="00781DF3"/>
    <w:rsid w:val="007A3705"/>
    <w:rsid w:val="007A5477"/>
    <w:rsid w:val="007B2BE7"/>
    <w:rsid w:val="007D2B31"/>
    <w:rsid w:val="007D52C5"/>
    <w:rsid w:val="007D5874"/>
    <w:rsid w:val="007D58DE"/>
    <w:rsid w:val="007E244B"/>
    <w:rsid w:val="00812972"/>
    <w:rsid w:val="00816299"/>
    <w:rsid w:val="008262E3"/>
    <w:rsid w:val="0084100A"/>
    <w:rsid w:val="00845E39"/>
    <w:rsid w:val="0085279B"/>
    <w:rsid w:val="008564EF"/>
    <w:rsid w:val="008706FB"/>
    <w:rsid w:val="008A4016"/>
    <w:rsid w:val="008A40D5"/>
    <w:rsid w:val="008C1C01"/>
    <w:rsid w:val="008E48E7"/>
    <w:rsid w:val="008E7333"/>
    <w:rsid w:val="008F189A"/>
    <w:rsid w:val="008F79E0"/>
    <w:rsid w:val="0091026D"/>
    <w:rsid w:val="00926974"/>
    <w:rsid w:val="00932CB3"/>
    <w:rsid w:val="00941605"/>
    <w:rsid w:val="00942B7D"/>
    <w:rsid w:val="009570BA"/>
    <w:rsid w:val="00965CF3"/>
    <w:rsid w:val="00966A29"/>
    <w:rsid w:val="009762AE"/>
    <w:rsid w:val="009A5AB3"/>
    <w:rsid w:val="009B1ADA"/>
    <w:rsid w:val="009B52B9"/>
    <w:rsid w:val="009C3CED"/>
    <w:rsid w:val="009D0634"/>
    <w:rsid w:val="009D3FF9"/>
    <w:rsid w:val="009E54F5"/>
    <w:rsid w:val="009F1F8D"/>
    <w:rsid w:val="00A054C0"/>
    <w:rsid w:val="00A17F7B"/>
    <w:rsid w:val="00A22C18"/>
    <w:rsid w:val="00A2514C"/>
    <w:rsid w:val="00A3384A"/>
    <w:rsid w:val="00A34A5C"/>
    <w:rsid w:val="00A54A2B"/>
    <w:rsid w:val="00A824A3"/>
    <w:rsid w:val="00AA5C2E"/>
    <w:rsid w:val="00AD1BAA"/>
    <w:rsid w:val="00AD1C3F"/>
    <w:rsid w:val="00AE776E"/>
    <w:rsid w:val="00AF0EC0"/>
    <w:rsid w:val="00AF5716"/>
    <w:rsid w:val="00B21C84"/>
    <w:rsid w:val="00B518E3"/>
    <w:rsid w:val="00B85B42"/>
    <w:rsid w:val="00B9781D"/>
    <w:rsid w:val="00BA731F"/>
    <w:rsid w:val="00BC2F94"/>
    <w:rsid w:val="00BD7812"/>
    <w:rsid w:val="00BF580D"/>
    <w:rsid w:val="00C0437D"/>
    <w:rsid w:val="00C3534A"/>
    <w:rsid w:val="00C40E53"/>
    <w:rsid w:val="00C45525"/>
    <w:rsid w:val="00C46AA0"/>
    <w:rsid w:val="00C64C1D"/>
    <w:rsid w:val="00C81FC2"/>
    <w:rsid w:val="00C94CAB"/>
    <w:rsid w:val="00CA0525"/>
    <w:rsid w:val="00CB771C"/>
    <w:rsid w:val="00CC3DB1"/>
    <w:rsid w:val="00CC4A52"/>
    <w:rsid w:val="00CC5F6E"/>
    <w:rsid w:val="00CC73B3"/>
    <w:rsid w:val="00CD0389"/>
    <w:rsid w:val="00CE27F9"/>
    <w:rsid w:val="00CE3DD7"/>
    <w:rsid w:val="00D15D5C"/>
    <w:rsid w:val="00D3793C"/>
    <w:rsid w:val="00D43CD2"/>
    <w:rsid w:val="00D57B70"/>
    <w:rsid w:val="00D63D09"/>
    <w:rsid w:val="00D67508"/>
    <w:rsid w:val="00DA2F06"/>
    <w:rsid w:val="00DA787C"/>
    <w:rsid w:val="00DD025C"/>
    <w:rsid w:val="00DF17DB"/>
    <w:rsid w:val="00DF6982"/>
    <w:rsid w:val="00E02071"/>
    <w:rsid w:val="00E0230F"/>
    <w:rsid w:val="00E11652"/>
    <w:rsid w:val="00E117AB"/>
    <w:rsid w:val="00E133E6"/>
    <w:rsid w:val="00E20C3B"/>
    <w:rsid w:val="00E302B9"/>
    <w:rsid w:val="00E831EF"/>
    <w:rsid w:val="00EA56B2"/>
    <w:rsid w:val="00EB4487"/>
    <w:rsid w:val="00EE03C5"/>
    <w:rsid w:val="00EE6A6A"/>
    <w:rsid w:val="00EF6B72"/>
    <w:rsid w:val="00F024EA"/>
    <w:rsid w:val="00F2278F"/>
    <w:rsid w:val="00F472A8"/>
    <w:rsid w:val="00F53968"/>
    <w:rsid w:val="00F64F20"/>
    <w:rsid w:val="00F7204F"/>
    <w:rsid w:val="00F73B45"/>
    <w:rsid w:val="00F819E5"/>
    <w:rsid w:val="00FE0B17"/>
    <w:rsid w:val="01791910"/>
    <w:rsid w:val="03D80B70"/>
    <w:rsid w:val="03EF68DB"/>
    <w:rsid w:val="0E6C0832"/>
    <w:rsid w:val="13581385"/>
    <w:rsid w:val="17D172BB"/>
    <w:rsid w:val="19D13C3F"/>
    <w:rsid w:val="1BEF4851"/>
    <w:rsid w:val="207D242B"/>
    <w:rsid w:val="26DF0C5C"/>
    <w:rsid w:val="278422F1"/>
    <w:rsid w:val="2D236108"/>
    <w:rsid w:val="33127A3B"/>
    <w:rsid w:val="331A7FAD"/>
    <w:rsid w:val="346257C6"/>
    <w:rsid w:val="36B64491"/>
    <w:rsid w:val="43E47415"/>
    <w:rsid w:val="45B85B30"/>
    <w:rsid w:val="4AFD3FE5"/>
    <w:rsid w:val="4B8C5D00"/>
    <w:rsid w:val="54D97871"/>
    <w:rsid w:val="58205155"/>
    <w:rsid w:val="597A4A53"/>
    <w:rsid w:val="5D015BB7"/>
    <w:rsid w:val="6DBB2CAB"/>
    <w:rsid w:val="77980A6E"/>
    <w:rsid w:val="786C7F30"/>
    <w:rsid w:val="7BD1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uto"/>
      <w:jc w:val="both"/>
      <w:textAlignment w:val="baseline"/>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line="360" w:lineRule="auto"/>
      <w:ind w:firstLine="442" w:firstLineChars="200"/>
      <w:outlineLvl w:val="1"/>
    </w:pPr>
    <w:rPr>
      <w:rFonts w:ascii="Cambria" w:hAnsi="Cambria" w:eastAsia="楷体"/>
      <w:b/>
      <w:bCs/>
      <w:sz w:val="2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2953</Words>
  <Characters>3211</Characters>
  <Lines>19</Lines>
  <Paragraphs>5</Paragraphs>
  <TotalTime>2</TotalTime>
  <ScaleCrop>false</ScaleCrop>
  <LinksUpToDate>false</LinksUpToDate>
  <CharactersWithSpaces>3360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2021-06-29T08:31:00Z</dcterms:created>
  <dc:creator>PC-025149</dc:creator>
  <cp:lastModifiedBy>Liulihua</cp:lastModifiedBy>
  <dcterms:modified xsi:type="dcterms:W3CDTF">2023-06-12T03:07:25Z</dcterms:modified>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1ECE4FE4C4EB4752B07BBA3A795E1FAE</vt:lpwstr>
  </property>
</Properties>
</file>