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0C3ED">
      <w:pPr>
        <w:widowControl w:val="0"/>
        <w:adjustRightInd/>
        <w:snapToGrid/>
        <w:ind w:firstLine="0" w:firstLineChars="0"/>
        <w:contextualSpacing/>
        <w:jc w:val="center"/>
        <w:rPr>
          <w:rFonts w:ascii="宋体" w:hAnsi="Courier New" w:eastAsia="黑体" w:cs="Times New Roman"/>
          <w:b/>
          <w:kern w:val="2"/>
          <w:sz w:val="32"/>
          <w:szCs w:val="32"/>
          <w:lang w:bidi="ar-SA"/>
        </w:rPr>
      </w:pPr>
      <w:bookmarkStart w:id="0" w:name="OLE_LINK7"/>
      <w:bookmarkStart w:id="1" w:name="_Toc34064675"/>
      <w:bookmarkStart w:id="2" w:name="_Toc34064617"/>
      <w:r>
        <w:rPr>
          <w:rFonts w:hint="eastAsia" w:ascii="宋体" w:hAnsi="Courier New" w:eastAsia="黑体" w:cs="Times New Roman"/>
          <w:b/>
          <w:kern w:val="2"/>
          <w:sz w:val="32"/>
          <w:szCs w:val="32"/>
          <w:lang w:bidi="ar-SA"/>
        </w:rPr>
        <w:t>中国肉类协会团体标准《通辽牛肉酱卤制品》(征求</w:t>
      </w:r>
      <w:r>
        <w:rPr>
          <w:rFonts w:ascii="宋体" w:hAnsi="Courier New" w:eastAsia="黑体" w:cs="Times New Roman"/>
          <w:b/>
          <w:kern w:val="2"/>
          <w:sz w:val="32"/>
          <w:szCs w:val="32"/>
          <w:lang w:bidi="ar-SA"/>
        </w:rPr>
        <w:t>意见</w:t>
      </w:r>
      <w:r>
        <w:rPr>
          <w:rFonts w:hint="eastAsia" w:ascii="宋体" w:hAnsi="Courier New" w:eastAsia="黑体" w:cs="Times New Roman"/>
          <w:b/>
          <w:kern w:val="2"/>
          <w:sz w:val="32"/>
          <w:szCs w:val="32"/>
          <w:lang w:bidi="ar-SA"/>
        </w:rPr>
        <w:t>稿)</w:t>
      </w:r>
    </w:p>
    <w:p w14:paraId="773E6980">
      <w:pPr>
        <w:widowControl w:val="0"/>
        <w:adjustRightInd/>
        <w:snapToGrid/>
        <w:ind w:firstLine="0" w:firstLineChars="0"/>
        <w:contextualSpacing/>
        <w:jc w:val="center"/>
        <w:rPr>
          <w:rFonts w:ascii="宋体" w:hAnsi="Courier New" w:eastAsia="黑体" w:cs="Times New Roman"/>
          <w:b/>
          <w:kern w:val="2"/>
          <w:sz w:val="32"/>
          <w:szCs w:val="32"/>
          <w:lang w:bidi="ar-SA"/>
        </w:rPr>
      </w:pPr>
      <w:r>
        <w:rPr>
          <w:rFonts w:hint="eastAsia" w:ascii="宋体" w:hAnsi="Courier New" w:eastAsia="黑体" w:cs="Times New Roman"/>
          <w:b/>
          <w:kern w:val="2"/>
          <w:sz w:val="32"/>
          <w:szCs w:val="32"/>
          <w:lang w:bidi="ar-SA"/>
        </w:rPr>
        <w:t>编制说明</w:t>
      </w:r>
    </w:p>
    <w:bookmarkEnd w:id="0"/>
    <w:p w14:paraId="67FC3ABE">
      <w:pPr>
        <w:pStyle w:val="2"/>
        <w:keepNext w:val="0"/>
        <w:keepLines w:val="0"/>
        <w:widowControl w:val="0"/>
        <w:adjustRightInd/>
        <w:snapToGrid/>
        <w:ind w:firstLine="560"/>
        <w:contextualSpacing/>
        <w:rPr>
          <w:rFonts w:ascii="Times New Roman" w:hAnsi="Times New Roman" w:cs="Times New Roman"/>
          <w:b w:val="0"/>
          <w:bCs/>
          <w:szCs w:val="44"/>
          <w:lang w:bidi="ar-SA"/>
        </w:rPr>
      </w:pPr>
      <w:r>
        <w:rPr>
          <w:rFonts w:hint="eastAsia" w:ascii="Times New Roman" w:hAnsi="Times New Roman" w:cs="Times New Roman"/>
          <w:b w:val="0"/>
          <w:bCs/>
          <w:szCs w:val="44"/>
          <w:lang w:bidi="ar-SA"/>
        </w:rPr>
        <w:t>一、工作简况</w:t>
      </w:r>
      <w:bookmarkStart w:id="3" w:name="OLE_LINK9"/>
    </w:p>
    <w:bookmarkEnd w:id="3"/>
    <w:p w14:paraId="164FCFA5">
      <w:pPr>
        <w:pStyle w:val="3"/>
        <w:keepNext w:val="0"/>
        <w:keepLines w:val="0"/>
        <w:widowControl w:val="0"/>
        <w:adjustRightInd/>
        <w:snapToGrid/>
        <w:ind w:firstLine="562"/>
        <w:contextualSpacing/>
        <w:rPr>
          <w:rFonts w:ascii="Times New Roman" w:hAnsi="Times New Roman" w:eastAsia="楷体" w:cs="Times New Roman"/>
          <w:kern w:val="2"/>
          <w:sz w:val="28"/>
          <w:lang w:bidi="ar-SA"/>
        </w:rPr>
      </w:pPr>
      <w:bookmarkStart w:id="4" w:name="OLE_LINK13"/>
      <w:r>
        <w:rPr>
          <w:rFonts w:hint="eastAsia" w:ascii="Times New Roman" w:hAnsi="Times New Roman" w:eastAsia="楷体" w:cs="Times New Roman"/>
          <w:kern w:val="2"/>
          <w:sz w:val="28"/>
          <w:lang w:bidi="ar-SA"/>
        </w:rPr>
        <w:t>（一）任务来源</w:t>
      </w:r>
    </w:p>
    <w:bookmarkEnd w:id="4"/>
    <w:p w14:paraId="60A006F3">
      <w:pPr>
        <w:snapToGrid/>
        <w:ind w:firstLine="480"/>
        <w:contextualSpacing/>
        <w:rPr>
          <w:rFonts w:ascii="Times New Roman" w:hAnsi="Times New Roman" w:cs="Times New Roman"/>
          <w:snapToGrid w:val="0"/>
          <w:sz w:val="24"/>
          <w:szCs w:val="24"/>
        </w:rPr>
      </w:pPr>
      <w:r>
        <w:rPr>
          <w:snapToGrid w:val="0"/>
          <w:sz w:val="24"/>
          <w:szCs w:val="24"/>
        </w:rPr>
        <w:t>本</w:t>
      </w:r>
      <w:r>
        <w:rPr>
          <w:rFonts w:hint="eastAsia"/>
          <w:snapToGrid w:val="0"/>
          <w:sz w:val="24"/>
          <w:szCs w:val="24"/>
        </w:rPr>
        <w:t>任务来自中国肉类</w:t>
      </w:r>
      <w:r>
        <w:rPr>
          <w:rFonts w:ascii="Times New Roman" w:hAnsi="Times New Roman" w:cs="Times New Roman"/>
          <w:snapToGrid w:val="0"/>
          <w:sz w:val="24"/>
          <w:szCs w:val="24"/>
        </w:rPr>
        <w:t>协会2025年标准</w:t>
      </w:r>
      <w:r>
        <w:rPr>
          <w:rFonts w:hint="eastAsia" w:ascii="Times New Roman" w:hAnsi="Times New Roman" w:cs="Times New Roman"/>
          <w:snapToGrid w:val="0"/>
          <w:sz w:val="24"/>
          <w:szCs w:val="24"/>
        </w:rPr>
        <w:t>制</w:t>
      </w:r>
      <w:r>
        <w:rPr>
          <w:rFonts w:ascii="Times New Roman" w:hAnsi="Times New Roman" w:cs="Times New Roman"/>
          <w:snapToGrid w:val="0"/>
          <w:sz w:val="24"/>
          <w:szCs w:val="24"/>
        </w:rPr>
        <w:t>订项目。</w:t>
      </w:r>
    </w:p>
    <w:p w14:paraId="5BB066FE">
      <w:pPr>
        <w:pStyle w:val="3"/>
        <w:keepNext w:val="0"/>
        <w:keepLines w:val="0"/>
        <w:snapToGrid/>
        <w:ind w:firstLine="562"/>
        <w:contextualSpacing/>
        <w:rPr>
          <w:rFonts w:ascii="Times New Roman" w:hAnsi="Times New Roman"/>
          <w:sz w:val="28"/>
        </w:rPr>
      </w:pPr>
      <w:r>
        <w:rPr>
          <w:rFonts w:ascii="Times New Roman" w:hAnsi="Times New Roman"/>
          <w:sz w:val="28"/>
        </w:rPr>
        <w:t>（二）起草单位</w:t>
      </w:r>
      <w:r>
        <w:rPr>
          <w:rFonts w:hint="eastAsia" w:ascii="Times New Roman" w:hAnsi="Times New Roman"/>
          <w:sz w:val="28"/>
        </w:rPr>
        <w:t>、起草人</w:t>
      </w:r>
    </w:p>
    <w:p w14:paraId="542E6A87">
      <w:pPr>
        <w:snapToGrid/>
        <w:ind w:firstLine="480"/>
        <w:contextualSpacing/>
        <w:rPr>
          <w:rFonts w:ascii="Times New Roman" w:hAnsi="Times New Roman" w:cs="Times New Roman"/>
          <w:snapToGrid w:val="0"/>
          <w:sz w:val="24"/>
          <w:szCs w:val="24"/>
        </w:rPr>
      </w:pPr>
      <w:r>
        <w:rPr>
          <w:rFonts w:hint="eastAsia" w:ascii="Times New Roman" w:hAnsi="Times New Roman" w:cs="Times New Roman"/>
          <w:snapToGrid w:val="0"/>
          <w:sz w:val="24"/>
          <w:szCs w:val="24"/>
        </w:rPr>
        <w:t>略。</w:t>
      </w:r>
    </w:p>
    <w:p w14:paraId="216BCF90">
      <w:pPr>
        <w:pStyle w:val="3"/>
        <w:keepNext w:val="0"/>
        <w:keepLines w:val="0"/>
        <w:widowControl w:val="0"/>
        <w:adjustRightInd/>
        <w:snapToGrid/>
        <w:ind w:firstLine="562"/>
        <w:contextualSpacing/>
        <w:rPr>
          <w:rFonts w:ascii="Times New Roman" w:hAnsi="Times New Roman" w:eastAsia="楷体" w:cs="Times New Roman"/>
          <w:kern w:val="2"/>
          <w:sz w:val="28"/>
          <w:lang w:bidi="ar-SA"/>
        </w:rPr>
      </w:pPr>
      <w:bookmarkStart w:id="5" w:name="OLE_LINK18"/>
      <w:r>
        <w:rPr>
          <w:rFonts w:hint="eastAsia" w:ascii="Times New Roman" w:hAnsi="Times New Roman" w:eastAsia="楷体" w:cs="Times New Roman"/>
          <w:kern w:val="2"/>
          <w:sz w:val="28"/>
          <w:lang w:bidi="ar-SA"/>
        </w:rPr>
        <w:t>（三）主要工作过程</w:t>
      </w:r>
    </w:p>
    <w:bookmarkEnd w:id="5"/>
    <w:p w14:paraId="09A9C688">
      <w:pPr>
        <w:snapToGrid/>
        <w:ind w:firstLine="482"/>
        <w:contextualSpacing/>
        <w:rPr>
          <w:b/>
          <w:bCs/>
          <w:snapToGrid w:val="0"/>
          <w:sz w:val="24"/>
          <w:szCs w:val="24"/>
        </w:rPr>
      </w:pPr>
      <w:bookmarkStart w:id="6" w:name="OLE_LINK28"/>
      <w:r>
        <w:rPr>
          <w:b/>
          <w:bCs/>
          <w:snapToGrid w:val="0"/>
          <w:sz w:val="24"/>
          <w:szCs w:val="24"/>
        </w:rPr>
        <w:t>1.起草阶段</w:t>
      </w:r>
    </w:p>
    <w:bookmarkEnd w:id="6"/>
    <w:p w14:paraId="2C55D5F8">
      <w:pPr>
        <w:snapToGrid/>
        <w:ind w:firstLine="480"/>
        <w:contextualSpacing/>
        <w:rPr>
          <w:rFonts w:ascii="Times New Roman" w:hAnsi="Times New Roman" w:cs="Times New Roman"/>
          <w:snapToGrid w:val="0"/>
          <w:sz w:val="24"/>
          <w:szCs w:val="24"/>
        </w:rPr>
      </w:pPr>
      <w:r>
        <w:rPr>
          <w:rFonts w:hint="eastAsia" w:ascii="Times New Roman" w:hAnsi="Times New Roman" w:cs="Times New Roman"/>
          <w:snapToGrid w:val="0"/>
          <w:sz w:val="24"/>
          <w:szCs w:val="24"/>
        </w:rPr>
        <w:t>标准立项后，中国肉类协会组织</w:t>
      </w:r>
      <w:r>
        <w:rPr>
          <w:rFonts w:ascii="Times New Roman" w:hAnsi="Times New Roman" w:cs="Times New Roman"/>
          <w:snapToGrid w:val="0"/>
          <w:sz w:val="24"/>
          <w:szCs w:val="24"/>
        </w:rPr>
        <w:t>通辽市农畜产品质量安全中心</w:t>
      </w:r>
      <w:r>
        <w:rPr>
          <w:rFonts w:hint="eastAsia" w:ascii="Times New Roman" w:hAnsi="Times New Roman" w:cs="Times New Roman"/>
          <w:snapToGrid w:val="0"/>
          <w:sz w:val="24"/>
          <w:szCs w:val="24"/>
        </w:rPr>
        <w:t>、中国肉类食品综合研究中心等相关参编单位成立标准起草组。标准起草组对国内外同类或类似标准、研究文献、研究成果等进行收集整理，并广泛开展行业调查，在此基础上拟定具体技术参数和内容，形成标准征求意见稿。</w:t>
      </w:r>
    </w:p>
    <w:p w14:paraId="1F9B4750">
      <w:pPr>
        <w:snapToGrid/>
        <w:ind w:firstLine="480"/>
        <w:contextualSpacing/>
        <w:rPr>
          <w:rFonts w:ascii="Times New Roman" w:hAnsi="Times New Roman" w:cs="Times New Roman"/>
          <w:snapToGrid w:val="0"/>
          <w:sz w:val="24"/>
          <w:szCs w:val="24"/>
        </w:rPr>
      </w:pPr>
      <w:r>
        <w:rPr>
          <w:rFonts w:ascii="Times New Roman" w:hAnsi="Times New Roman" w:cs="Times New Roman"/>
          <w:snapToGrid w:val="0"/>
          <w:sz w:val="24"/>
          <w:szCs w:val="24"/>
        </w:rPr>
        <w:t>2025年1月，以通辽市农畜产品质量安全中心为牵头单位，协同中国肉类食品综合研究中心等相关参编单位成立标准起草组，确定其组成、责任与分工。</w:t>
      </w:r>
    </w:p>
    <w:p w14:paraId="476BA21E">
      <w:pPr>
        <w:snapToGrid/>
        <w:ind w:firstLine="480"/>
        <w:contextualSpacing/>
        <w:rPr>
          <w:rFonts w:ascii="Times New Roman" w:hAnsi="Times New Roman" w:cs="Times New Roman"/>
          <w:snapToGrid w:val="0"/>
          <w:sz w:val="24"/>
          <w:szCs w:val="24"/>
        </w:rPr>
      </w:pPr>
      <w:r>
        <w:rPr>
          <w:rFonts w:ascii="Times New Roman" w:hAnsi="Times New Roman" w:cs="Times New Roman"/>
          <w:snapToGrid w:val="0"/>
          <w:sz w:val="24"/>
          <w:szCs w:val="24"/>
        </w:rPr>
        <w:t>2025年2月</w:t>
      </w:r>
      <w:r>
        <w:rPr>
          <w:rFonts w:hint="eastAsia" w:ascii="Times New Roman" w:hAnsi="Times New Roman" w:cs="Times New Roman"/>
          <w:snapToGrid w:val="0"/>
          <w:sz w:val="24"/>
          <w:szCs w:val="24"/>
        </w:rPr>
        <w:t>，</w:t>
      </w:r>
      <w:r>
        <w:rPr>
          <w:rFonts w:ascii="Times New Roman" w:hAnsi="Times New Roman" w:cs="Times New Roman"/>
          <w:snapToGrid w:val="0"/>
          <w:sz w:val="24"/>
          <w:szCs w:val="24"/>
        </w:rPr>
        <w:t>标准起草组对国内外同类或类似标准、研究文献、研究成果等进行收集整理。</w:t>
      </w:r>
    </w:p>
    <w:p w14:paraId="0FA830F7">
      <w:pPr>
        <w:snapToGrid/>
        <w:ind w:firstLine="480"/>
        <w:contextualSpacing/>
        <w:rPr>
          <w:rFonts w:ascii="Times New Roman" w:hAnsi="Times New Roman" w:cs="Times New Roman"/>
          <w:snapToGrid w:val="0"/>
          <w:sz w:val="24"/>
          <w:szCs w:val="24"/>
        </w:rPr>
      </w:pPr>
      <w:r>
        <w:rPr>
          <w:rFonts w:ascii="Times New Roman" w:hAnsi="Times New Roman" w:cs="Times New Roman"/>
          <w:snapToGrid w:val="0"/>
          <w:sz w:val="24"/>
          <w:szCs w:val="24"/>
        </w:rPr>
        <w:t>2025年3月，收集与起草标准需求相关的国家标准、政策法规、技术资料等信息，对资料进行整理，为标准起草工作提供依据。</w:t>
      </w:r>
    </w:p>
    <w:p w14:paraId="306238DF">
      <w:pPr>
        <w:snapToGrid/>
        <w:ind w:firstLine="480"/>
        <w:contextualSpacing/>
        <w:rPr>
          <w:rFonts w:ascii="Times New Roman" w:hAnsi="Times New Roman" w:cs="Times New Roman"/>
          <w:snapToGrid w:val="0"/>
          <w:sz w:val="24"/>
          <w:szCs w:val="24"/>
        </w:rPr>
      </w:pPr>
      <w:r>
        <w:rPr>
          <w:rFonts w:ascii="Times New Roman" w:hAnsi="Times New Roman" w:cs="Times New Roman"/>
          <w:snapToGrid w:val="0"/>
          <w:sz w:val="24"/>
          <w:szCs w:val="24"/>
        </w:rPr>
        <w:t>2025年4月，起草工作组考察了通辽市调理牛肉产品加工企业，确定标准制定计划，形成标准草案，并在通辽市召开了系列团体标准起草工作组会议。</w:t>
      </w:r>
    </w:p>
    <w:p w14:paraId="2C93B1B6">
      <w:pPr>
        <w:snapToGrid/>
        <w:ind w:firstLine="480"/>
        <w:contextualSpacing/>
        <w:rPr>
          <w:rFonts w:ascii="Times New Roman" w:hAnsi="Times New Roman" w:cs="Times New Roman"/>
          <w:snapToGrid w:val="0"/>
          <w:sz w:val="24"/>
          <w:szCs w:val="24"/>
        </w:rPr>
      </w:pPr>
      <w:r>
        <w:rPr>
          <w:rFonts w:ascii="Times New Roman" w:hAnsi="Times New Roman" w:cs="Times New Roman"/>
          <w:snapToGrid w:val="0"/>
          <w:sz w:val="24"/>
          <w:szCs w:val="24"/>
        </w:rPr>
        <w:t>2025年5月，标准起草工作组完成了《通辽牛肉</w:t>
      </w:r>
      <w:r>
        <w:rPr>
          <w:rFonts w:hint="eastAsia" w:ascii="Times New Roman" w:hAnsi="Times New Roman" w:cs="Times New Roman"/>
          <w:snapToGrid w:val="0"/>
          <w:sz w:val="24"/>
          <w:szCs w:val="24"/>
        </w:rPr>
        <w:t>酱卤</w:t>
      </w:r>
      <w:r>
        <w:rPr>
          <w:rFonts w:ascii="Times New Roman" w:hAnsi="Times New Roman" w:cs="Times New Roman"/>
          <w:snapToGrid w:val="0"/>
          <w:sz w:val="24"/>
          <w:szCs w:val="24"/>
        </w:rPr>
        <w:t>制品加工技术规范》工作组讨论稿。结合通辽牛肉的特征，对起草标准讨论稿进行调整、修改、补充内容。</w:t>
      </w:r>
    </w:p>
    <w:p w14:paraId="6D156B21">
      <w:pPr>
        <w:snapToGrid/>
        <w:ind w:firstLine="482"/>
        <w:contextualSpacing/>
        <w:rPr>
          <w:b/>
          <w:bCs/>
          <w:snapToGrid w:val="0"/>
          <w:sz w:val="24"/>
          <w:szCs w:val="24"/>
        </w:rPr>
      </w:pPr>
      <w:r>
        <w:rPr>
          <w:rFonts w:hint="eastAsia"/>
          <w:b/>
          <w:bCs/>
          <w:snapToGrid w:val="0"/>
          <w:sz w:val="24"/>
          <w:szCs w:val="24"/>
        </w:rPr>
        <w:t>2</w:t>
      </w:r>
      <w:r>
        <w:rPr>
          <w:b/>
          <w:bCs/>
          <w:snapToGrid w:val="0"/>
          <w:sz w:val="24"/>
          <w:szCs w:val="24"/>
        </w:rPr>
        <w:t>.</w:t>
      </w:r>
      <w:r>
        <w:rPr>
          <w:rFonts w:hint="eastAsia"/>
          <w:b/>
          <w:bCs/>
          <w:snapToGrid w:val="0"/>
          <w:sz w:val="24"/>
          <w:szCs w:val="24"/>
        </w:rPr>
        <w:t>征求意见阶段</w:t>
      </w:r>
    </w:p>
    <w:p w14:paraId="0E1E0F5E">
      <w:pPr>
        <w:snapToGrid/>
        <w:ind w:firstLine="480"/>
        <w:contextualSpacing/>
        <w:rPr>
          <w:bCs/>
          <w:snapToGrid w:val="0"/>
          <w:sz w:val="24"/>
          <w:szCs w:val="24"/>
        </w:rPr>
      </w:pPr>
      <w:r>
        <w:rPr>
          <w:rFonts w:hint="eastAsia"/>
          <w:bCs/>
          <w:snapToGrid w:val="0"/>
          <w:sz w:val="24"/>
          <w:szCs w:val="24"/>
        </w:rPr>
        <w:t>略</w:t>
      </w:r>
    </w:p>
    <w:p w14:paraId="577D0D39">
      <w:pPr>
        <w:snapToGrid/>
        <w:ind w:firstLine="482"/>
        <w:contextualSpacing/>
        <w:rPr>
          <w:b/>
          <w:bCs/>
          <w:snapToGrid w:val="0"/>
          <w:sz w:val="24"/>
          <w:szCs w:val="24"/>
        </w:rPr>
      </w:pPr>
      <w:r>
        <w:rPr>
          <w:rFonts w:hint="eastAsia"/>
          <w:b/>
          <w:bCs/>
          <w:snapToGrid w:val="0"/>
          <w:sz w:val="24"/>
          <w:szCs w:val="24"/>
        </w:rPr>
        <w:t>3.审查阶段</w:t>
      </w:r>
      <w:bookmarkStart w:id="7" w:name="OLE_LINK129"/>
    </w:p>
    <w:p w14:paraId="135C0FD4">
      <w:pPr>
        <w:snapToGrid/>
        <w:ind w:firstLine="480"/>
        <w:contextualSpacing/>
        <w:rPr>
          <w:rFonts w:ascii="Times New Roman" w:hAnsi="Times New Roman" w:cs="Times New Roman"/>
          <w:snapToGrid w:val="0"/>
          <w:sz w:val="24"/>
          <w:szCs w:val="24"/>
        </w:rPr>
      </w:pPr>
      <w:r>
        <w:rPr>
          <w:rFonts w:hint="eastAsia" w:ascii="Times New Roman" w:hAnsi="Times New Roman" w:cs="Times New Roman"/>
          <w:snapToGrid w:val="0"/>
          <w:sz w:val="24"/>
          <w:szCs w:val="24"/>
        </w:rPr>
        <w:t>略</w:t>
      </w:r>
    </w:p>
    <w:p w14:paraId="1C3A86F4">
      <w:pPr>
        <w:pStyle w:val="2"/>
        <w:keepNext w:val="0"/>
        <w:keepLines w:val="0"/>
        <w:widowControl w:val="0"/>
        <w:adjustRightInd/>
        <w:snapToGrid/>
        <w:ind w:firstLine="560"/>
        <w:contextualSpacing/>
        <w:rPr>
          <w:rFonts w:ascii="Times New Roman" w:hAnsi="Times New Roman" w:cs="Times New Roman"/>
          <w:b w:val="0"/>
          <w:bCs/>
          <w:szCs w:val="44"/>
          <w:lang w:bidi="ar-SA"/>
        </w:rPr>
      </w:pPr>
      <w:bookmarkStart w:id="8" w:name="OLE_LINK19"/>
      <w:bookmarkStart w:id="9" w:name="OLE_LINK20"/>
      <w:r>
        <w:rPr>
          <w:rFonts w:hint="eastAsia" w:ascii="Times New Roman" w:hAnsi="Times New Roman" w:cs="Times New Roman"/>
          <w:b w:val="0"/>
          <w:bCs/>
          <w:szCs w:val="44"/>
          <w:lang w:bidi="ar-SA"/>
        </w:rPr>
        <w:t>二、标准编制原则和确定标准主要内容的依据</w:t>
      </w:r>
    </w:p>
    <w:bookmarkEnd w:id="7"/>
    <w:bookmarkEnd w:id="8"/>
    <w:bookmarkEnd w:id="9"/>
    <w:p w14:paraId="08E2FE5C">
      <w:pPr>
        <w:pStyle w:val="3"/>
        <w:keepNext w:val="0"/>
        <w:keepLines w:val="0"/>
        <w:widowControl w:val="0"/>
        <w:adjustRightInd/>
        <w:snapToGrid/>
        <w:ind w:firstLine="562"/>
        <w:contextualSpacing/>
        <w:rPr>
          <w:rFonts w:ascii="Times New Roman" w:hAnsi="Times New Roman" w:eastAsia="楷体" w:cs="Times New Roman"/>
          <w:kern w:val="2"/>
          <w:sz w:val="28"/>
          <w:lang w:bidi="ar-SA"/>
        </w:rPr>
      </w:pPr>
      <w:bookmarkStart w:id="10" w:name="OLE_LINK21"/>
      <w:r>
        <w:rPr>
          <w:rFonts w:hint="eastAsia" w:ascii="Times New Roman" w:hAnsi="Times New Roman" w:eastAsia="楷体" w:cs="Times New Roman"/>
          <w:kern w:val="2"/>
          <w:sz w:val="28"/>
          <w:lang w:bidi="ar-SA"/>
        </w:rPr>
        <w:t>（一）标准的修订原则</w:t>
      </w:r>
    </w:p>
    <w:bookmarkEnd w:id="10"/>
    <w:p w14:paraId="4D1AB37B">
      <w:pPr>
        <w:snapToGrid/>
        <w:ind w:firstLine="480"/>
        <w:contextualSpacing/>
        <w:rPr>
          <w:rFonts w:ascii="Times New Roman" w:hAnsi="Times New Roman" w:cs="Times New Roman"/>
          <w:snapToGrid w:val="0"/>
          <w:sz w:val="24"/>
          <w:szCs w:val="24"/>
        </w:rPr>
      </w:pPr>
      <w:r>
        <w:rPr>
          <w:rFonts w:ascii="Times New Roman" w:hAnsi="Times New Roman" w:cs="Times New Roman"/>
          <w:snapToGrid w:val="0"/>
          <w:sz w:val="24"/>
          <w:szCs w:val="24"/>
        </w:rPr>
        <w:t>按照GB/T 1.1</w:t>
      </w:r>
      <w:r>
        <w:rPr>
          <w:rFonts w:hint="eastAsia" w:ascii="Times New Roman" w:hAnsi="Times New Roman" w:cs="Times New Roman"/>
          <w:snapToGrid w:val="0"/>
          <w:sz w:val="24"/>
          <w:szCs w:val="24"/>
        </w:rPr>
        <w:t>-</w:t>
      </w:r>
      <w:r>
        <w:rPr>
          <w:rFonts w:ascii="Times New Roman" w:hAnsi="Times New Roman" w:cs="Times New Roman"/>
          <w:snapToGrid w:val="0"/>
          <w:sz w:val="24"/>
          <w:szCs w:val="24"/>
        </w:rPr>
        <w:t>2020《标准化工作导则 第1部分：标准化文件的结构和起草规则》、GB/T 1.2</w:t>
      </w:r>
      <w:r>
        <w:rPr>
          <w:rFonts w:hint="eastAsia" w:ascii="Times New Roman" w:hAnsi="Times New Roman" w:cs="Times New Roman"/>
          <w:snapToGrid w:val="0"/>
          <w:sz w:val="24"/>
          <w:szCs w:val="24"/>
        </w:rPr>
        <w:t>-</w:t>
      </w:r>
      <w:r>
        <w:rPr>
          <w:rFonts w:ascii="Times New Roman" w:hAnsi="Times New Roman" w:cs="Times New Roman"/>
          <w:snapToGrid w:val="0"/>
          <w:sz w:val="24"/>
          <w:szCs w:val="24"/>
        </w:rPr>
        <w:t>2020《标准化工作导则 第2部分：以ISO/IEC标准化文件为基础的标准化文件起草规则》、GB/T 20001.4</w:t>
      </w:r>
      <w:r>
        <w:rPr>
          <w:rFonts w:hint="eastAsia" w:ascii="Times New Roman" w:hAnsi="Times New Roman" w:cs="Times New Roman"/>
          <w:snapToGrid w:val="0"/>
          <w:sz w:val="24"/>
          <w:szCs w:val="24"/>
        </w:rPr>
        <w:t>-</w:t>
      </w:r>
      <w:r>
        <w:rPr>
          <w:rFonts w:ascii="Times New Roman" w:hAnsi="Times New Roman" w:cs="Times New Roman"/>
          <w:snapToGrid w:val="0"/>
          <w:sz w:val="24"/>
          <w:szCs w:val="24"/>
        </w:rPr>
        <w:t>2015《标准编制规则 第4部分：试验方法标准》的规定和要求</w:t>
      </w:r>
      <w:r>
        <w:rPr>
          <w:rFonts w:hint="eastAsia" w:ascii="Times New Roman" w:hAnsi="Times New Roman" w:cs="Times New Roman"/>
          <w:snapToGrid w:val="0"/>
          <w:sz w:val="24"/>
          <w:szCs w:val="24"/>
        </w:rPr>
        <w:t>对标准进行修订编写</w:t>
      </w:r>
      <w:r>
        <w:rPr>
          <w:rFonts w:ascii="Times New Roman" w:hAnsi="Times New Roman" w:cs="Times New Roman"/>
          <w:snapToGrid w:val="0"/>
          <w:sz w:val="24"/>
          <w:szCs w:val="24"/>
        </w:rPr>
        <w:t>。</w:t>
      </w:r>
      <w:r>
        <w:rPr>
          <w:rFonts w:hint="eastAsia" w:ascii="Times New Roman" w:hAnsi="Times New Roman" w:cs="Times New Roman"/>
          <w:snapToGrid w:val="0"/>
          <w:sz w:val="24"/>
          <w:szCs w:val="24"/>
        </w:rPr>
        <w:t>本标准的修订遵循以下原则：</w:t>
      </w:r>
    </w:p>
    <w:p w14:paraId="5A1D04A1">
      <w:pPr>
        <w:snapToGrid/>
        <w:ind w:firstLine="480"/>
        <w:contextualSpacing/>
        <w:rPr>
          <w:rFonts w:ascii="Times New Roman" w:hAnsi="Times New Roman" w:cs="Times New Roman"/>
          <w:snapToGrid w:val="0"/>
          <w:sz w:val="24"/>
          <w:szCs w:val="24"/>
        </w:rPr>
      </w:pPr>
      <w:r>
        <w:rPr>
          <w:rFonts w:ascii="Times New Roman" w:hAnsi="Times New Roman" w:cs="Times New Roman"/>
          <w:snapToGrid w:val="0"/>
          <w:sz w:val="24"/>
          <w:szCs w:val="24"/>
        </w:rPr>
        <w:t>一是科学性原则。参考国内外法规、标准和有关文献资料，结合行业和产品特点，密切联系企业生产实践，科学地确定标准体系框架，并对其进行详细说明。</w:t>
      </w:r>
    </w:p>
    <w:p w14:paraId="11C55AC9">
      <w:pPr>
        <w:snapToGrid/>
        <w:ind w:firstLine="480"/>
        <w:contextualSpacing/>
        <w:rPr>
          <w:rFonts w:ascii="Times New Roman" w:hAnsi="Times New Roman" w:cs="Times New Roman"/>
          <w:snapToGrid w:val="0"/>
          <w:sz w:val="24"/>
          <w:szCs w:val="24"/>
        </w:rPr>
      </w:pPr>
      <w:r>
        <w:rPr>
          <w:rFonts w:ascii="Times New Roman" w:hAnsi="Times New Roman" w:cs="Times New Roman"/>
          <w:snapToGrid w:val="0"/>
          <w:sz w:val="24"/>
          <w:szCs w:val="24"/>
        </w:rPr>
        <w:t>二是适用性原则。与我国现行食品</w:t>
      </w:r>
      <w:r>
        <w:rPr>
          <w:rFonts w:hint="eastAsia" w:ascii="Times New Roman" w:hAnsi="Times New Roman" w:cs="Times New Roman"/>
          <w:snapToGrid w:val="0"/>
          <w:sz w:val="24"/>
          <w:szCs w:val="24"/>
        </w:rPr>
        <w:t>法律法规</w:t>
      </w:r>
      <w:r>
        <w:rPr>
          <w:rFonts w:ascii="Times New Roman" w:hAnsi="Times New Roman" w:cs="Times New Roman"/>
          <w:snapToGrid w:val="0"/>
          <w:sz w:val="24"/>
          <w:szCs w:val="24"/>
        </w:rPr>
        <w:t>协调一致</w:t>
      </w:r>
      <w:r>
        <w:rPr>
          <w:rFonts w:hint="eastAsia" w:ascii="Times New Roman" w:hAnsi="Times New Roman" w:cs="Times New Roman"/>
          <w:snapToGrid w:val="0"/>
          <w:sz w:val="24"/>
          <w:szCs w:val="24"/>
        </w:rPr>
        <w:t>。</w:t>
      </w:r>
      <w:r>
        <w:rPr>
          <w:rFonts w:ascii="Times New Roman" w:hAnsi="Times New Roman" w:cs="Times New Roman"/>
          <w:snapToGrid w:val="0"/>
          <w:sz w:val="24"/>
          <w:szCs w:val="24"/>
        </w:rPr>
        <w:t>标准内容便于实施，易于被其他标准或文件所引用，确保标准的适用性。</w:t>
      </w:r>
    </w:p>
    <w:p w14:paraId="4DF57402">
      <w:pPr>
        <w:pStyle w:val="3"/>
        <w:keepNext w:val="0"/>
        <w:keepLines w:val="0"/>
        <w:widowControl w:val="0"/>
        <w:adjustRightInd/>
        <w:snapToGrid/>
        <w:ind w:firstLine="562"/>
        <w:contextualSpacing/>
        <w:rPr>
          <w:rFonts w:ascii="Times New Roman" w:hAnsi="Times New Roman" w:eastAsia="楷体" w:cs="Times New Roman"/>
          <w:kern w:val="2"/>
          <w:sz w:val="28"/>
          <w:lang w:bidi="ar-SA"/>
        </w:rPr>
      </w:pPr>
      <w:r>
        <w:rPr>
          <w:rFonts w:hint="eastAsia" w:ascii="Times New Roman" w:hAnsi="Times New Roman" w:eastAsia="楷体" w:cs="Times New Roman"/>
          <w:kern w:val="2"/>
          <w:sz w:val="28"/>
          <w:lang w:bidi="ar-SA"/>
        </w:rPr>
        <w:t>（二）主要内容的依据</w:t>
      </w:r>
    </w:p>
    <w:p w14:paraId="75C117A3">
      <w:pPr>
        <w:pStyle w:val="34"/>
        <w:ind w:firstLine="482"/>
        <w:rPr>
          <w:snapToGrid/>
        </w:rPr>
      </w:pPr>
      <w:bookmarkStart w:id="11" w:name="OLE_LINK22"/>
      <w:r>
        <w:rPr>
          <w:snapToGrid/>
        </w:rPr>
        <w:t>1 范围</w:t>
      </w:r>
      <w:bookmarkEnd w:id="1"/>
      <w:bookmarkEnd w:id="2"/>
    </w:p>
    <w:bookmarkEnd w:id="11"/>
    <w:p w14:paraId="106A67BA">
      <w:pPr>
        <w:pStyle w:val="10"/>
        <w:ind w:firstLine="482"/>
        <w:rPr>
          <w:rFonts w:hint="default"/>
          <w:snapToGrid w:val="0"/>
        </w:rPr>
      </w:pPr>
      <w:r>
        <w:rPr>
          <w:snapToGrid w:val="0"/>
        </w:rPr>
        <w:t>标准文本：</w:t>
      </w:r>
    </w:p>
    <w:p w14:paraId="4E538082">
      <w:pPr>
        <w:snapToGrid/>
        <w:ind w:firstLine="480"/>
        <w:contextualSpacing/>
        <w:rPr>
          <w:rFonts w:ascii="宋体" w:hAnsi="Times New Roman" w:eastAsia="宋体" w:cs="Times New Roman"/>
          <w:snapToGrid w:val="0"/>
          <w:sz w:val="24"/>
          <w:szCs w:val="24"/>
          <w:lang w:bidi="ar-SA"/>
        </w:rPr>
      </w:pPr>
      <w:bookmarkStart w:id="12" w:name="OLE_LINK31"/>
      <w:r>
        <w:rPr>
          <w:rFonts w:hint="eastAsia" w:ascii="宋体" w:hAnsi="Times New Roman" w:eastAsia="宋体" w:cs="Times New Roman"/>
          <w:snapToGrid w:val="0"/>
          <w:sz w:val="24"/>
          <w:szCs w:val="24"/>
          <w:lang w:bidi="ar-SA"/>
        </w:rPr>
        <w:t>本标准规定了通辽牛肉酱卤制品的产品分类、技术要求、生产加工管理、试验方法、检验规则、标签、标志、包装、贮存及运输的要求。</w:t>
      </w:r>
    </w:p>
    <w:p w14:paraId="6DF3FF58">
      <w:pPr>
        <w:snapToGrid/>
        <w:ind w:firstLine="480"/>
        <w:contextualSpacing/>
        <w:rPr>
          <w:rFonts w:ascii="宋体" w:hAnsi="Times New Roman" w:eastAsia="宋体" w:cs="Times New Roman"/>
          <w:snapToGrid w:val="0"/>
          <w:sz w:val="24"/>
          <w:szCs w:val="24"/>
          <w:lang w:bidi="ar-SA"/>
        </w:rPr>
      </w:pPr>
      <w:r>
        <w:rPr>
          <w:rFonts w:hint="eastAsia" w:ascii="宋体" w:hAnsi="Times New Roman" w:eastAsia="宋体" w:cs="Times New Roman"/>
          <w:snapToGrid w:val="0"/>
          <w:sz w:val="24"/>
          <w:szCs w:val="24"/>
          <w:lang w:bidi="ar-SA"/>
        </w:rPr>
        <w:t>本文件适用于通辽牛肉酱卤制品的生产、检验和销售。</w:t>
      </w:r>
    </w:p>
    <w:p w14:paraId="228D5FDF">
      <w:pPr>
        <w:snapToGrid/>
        <w:ind w:firstLine="482"/>
        <w:contextualSpacing/>
        <w:rPr>
          <w:b/>
          <w:sz w:val="24"/>
        </w:rPr>
      </w:pPr>
      <w:r>
        <w:rPr>
          <w:rFonts w:hint="eastAsia"/>
          <w:b/>
          <w:sz w:val="24"/>
        </w:rPr>
        <w:t>制定依据：</w:t>
      </w:r>
      <w:bookmarkEnd w:id="12"/>
    </w:p>
    <w:p w14:paraId="04E43730">
      <w:pPr>
        <w:snapToGrid/>
        <w:ind w:firstLine="480"/>
        <w:contextualSpacing/>
        <w:rPr>
          <w:b/>
          <w:sz w:val="24"/>
        </w:rPr>
      </w:pPr>
      <w:r>
        <w:rPr>
          <w:rFonts w:hint="eastAsia"/>
          <w:snapToGrid w:val="0"/>
          <w:sz w:val="24"/>
          <w:szCs w:val="24"/>
        </w:rPr>
        <w:t>本部分列出了标准正文的</w:t>
      </w:r>
      <w:r>
        <w:rPr>
          <w:snapToGrid w:val="0"/>
          <w:sz w:val="24"/>
          <w:szCs w:val="24"/>
        </w:rPr>
        <w:t>主要内容和适用范围。</w:t>
      </w:r>
    </w:p>
    <w:p w14:paraId="4642C0A7">
      <w:pPr>
        <w:pStyle w:val="34"/>
        <w:ind w:firstLine="482"/>
      </w:pPr>
      <w:bookmarkStart w:id="13" w:name="_Toc34064676"/>
      <w:bookmarkStart w:id="14" w:name="_Toc34064618"/>
      <w:bookmarkStart w:id="15" w:name="OLE_LINK34"/>
      <w:r>
        <w:t>2 规范性引用文件</w:t>
      </w:r>
      <w:bookmarkEnd w:id="13"/>
      <w:bookmarkEnd w:id="14"/>
    </w:p>
    <w:bookmarkEnd w:id="15"/>
    <w:p w14:paraId="3F8672C0">
      <w:pPr>
        <w:pStyle w:val="10"/>
        <w:ind w:firstLine="482"/>
        <w:rPr>
          <w:rFonts w:hint="default"/>
          <w:snapToGrid w:val="0"/>
        </w:rPr>
      </w:pPr>
      <w:r>
        <w:rPr>
          <w:snapToGrid w:val="0"/>
        </w:rPr>
        <w:t>标准文本：</w:t>
      </w:r>
    </w:p>
    <w:p w14:paraId="2FF95B1A">
      <w:pPr>
        <w:pStyle w:val="30"/>
      </w:pPr>
      <w:r>
        <w:rPr>
          <w:rFonts w:hint="eastAsia"/>
        </w:rPr>
        <w:t>下列文件对于本文件的应用是必不可少的。凡是注日期的引用文件，仅所注日期的版本适用于 本文件。凡是不注日期的引用文件，其最新版本（包括所有的修改单）适用于本文件。</w:t>
      </w:r>
    </w:p>
    <w:p w14:paraId="1FD41766">
      <w:pPr>
        <w:pStyle w:val="30"/>
      </w:pPr>
      <w:bookmarkStart w:id="16" w:name="OLE_LINK38"/>
      <w:bookmarkStart w:id="17" w:name="_Toc28158537"/>
      <w:bookmarkStart w:id="18" w:name="_Toc28096568"/>
      <w:bookmarkStart w:id="19" w:name="_Toc34064677"/>
      <w:bookmarkStart w:id="20" w:name="_Toc28093197"/>
      <w:bookmarkStart w:id="21" w:name="_Toc34064619"/>
      <w:r>
        <w:t>GB/T 191 包装储运图示标志</w:t>
      </w:r>
    </w:p>
    <w:p w14:paraId="407BDBEA">
      <w:pPr>
        <w:pStyle w:val="30"/>
      </w:pPr>
      <w:r>
        <w:t>GB 2726  食品安全国家标准  熟肉制品</w:t>
      </w:r>
    </w:p>
    <w:p w14:paraId="5C88A233">
      <w:pPr>
        <w:pStyle w:val="30"/>
      </w:pPr>
      <w:r>
        <w:t>GB 2760  食品安全国家标准  食品添加剂使用标准</w:t>
      </w:r>
    </w:p>
    <w:p w14:paraId="76EE81EC">
      <w:pPr>
        <w:pStyle w:val="30"/>
      </w:pPr>
      <w:r>
        <w:t xml:space="preserve">GB 2762  食品安全国家标准  食品中污染物限量 </w:t>
      </w:r>
    </w:p>
    <w:p w14:paraId="76E3F577">
      <w:pPr>
        <w:pStyle w:val="30"/>
      </w:pPr>
      <w:r>
        <w:t>GB 4789.17 食品安全国家标准 食品微生物学检验 肉与肉制品采样和检样处理</w:t>
      </w:r>
    </w:p>
    <w:p w14:paraId="743FB288">
      <w:pPr>
        <w:pStyle w:val="30"/>
      </w:pPr>
      <w:r>
        <w:t>GB 5009.3  食品安全国家标准  食品中水分的测定</w:t>
      </w:r>
    </w:p>
    <w:p w14:paraId="480B7658">
      <w:pPr>
        <w:pStyle w:val="30"/>
      </w:pPr>
      <w:r>
        <w:t xml:space="preserve">GB 5009.5  食品安全国家标准  食品中蛋白质的测定 </w:t>
      </w:r>
    </w:p>
    <w:p w14:paraId="33A7B23F">
      <w:pPr>
        <w:pStyle w:val="30"/>
      </w:pPr>
      <w:r>
        <w:t>GB 5009.44  食品安全国家标准  食品中氯化物的测定</w:t>
      </w:r>
    </w:p>
    <w:p w14:paraId="2B52EC5C">
      <w:pPr>
        <w:pStyle w:val="30"/>
      </w:pPr>
      <w:r>
        <w:t>GB 7718  食品安全国家标准  预包装食品标签通则</w:t>
      </w:r>
    </w:p>
    <w:p w14:paraId="4DFBC121">
      <w:pPr>
        <w:pStyle w:val="30"/>
      </w:pPr>
      <w:r>
        <w:t>GB/T 9695.19  肉与肉制品  取样方法</w:t>
      </w:r>
    </w:p>
    <w:p w14:paraId="3DE09186">
      <w:pPr>
        <w:pStyle w:val="30"/>
      </w:pPr>
      <w:r>
        <w:t>GB 28050  食品安全国家标准  预包装食品营养标签通则</w:t>
      </w:r>
    </w:p>
    <w:p w14:paraId="66382F96">
      <w:pPr>
        <w:pStyle w:val="30"/>
      </w:pPr>
      <w:r>
        <w:t>JJF 1070  定量包装商品净含量计量检验规则</w:t>
      </w:r>
    </w:p>
    <w:p w14:paraId="712AC4CB">
      <w:pPr>
        <w:pStyle w:val="30"/>
      </w:pPr>
      <w:r>
        <w:t>T/CMATB 3012  通辽牛肉</w:t>
      </w:r>
    </w:p>
    <w:p w14:paraId="0435A12E">
      <w:pPr>
        <w:pStyle w:val="10"/>
        <w:ind w:firstLine="482"/>
        <w:rPr>
          <w:rFonts w:hint="default"/>
          <w:bCs/>
          <w:snapToGrid w:val="0"/>
        </w:rPr>
      </w:pPr>
      <w:r>
        <w:t>制定依据：</w:t>
      </w:r>
      <w:bookmarkEnd w:id="16"/>
    </w:p>
    <w:p w14:paraId="6BB01519">
      <w:pPr>
        <w:snapToGrid/>
        <w:ind w:firstLine="480"/>
        <w:contextualSpacing/>
        <w:jc w:val="left"/>
      </w:pPr>
      <w:r>
        <w:rPr>
          <w:rFonts w:hint="eastAsia"/>
          <w:snapToGrid w:val="0"/>
          <w:sz w:val="24"/>
          <w:szCs w:val="24"/>
        </w:rPr>
        <w:t>本部分列出了标准正文中引用的相关标准和文件。主要包括国家、行业的通用标准和一些基础性标准。</w:t>
      </w:r>
      <w:r>
        <w:rPr>
          <w:rFonts w:hint="eastAsia" w:ascii="宋体" w:hAnsi="宋体" w:eastAsia="宋体"/>
          <w:color w:val="000000"/>
          <w:sz w:val="24"/>
          <w:szCs w:val="24"/>
          <w:lang w:bidi="ar"/>
        </w:rPr>
        <w:t>这些引用文件对于本文件是不可或缺的，在相关内容中都有引用。</w:t>
      </w:r>
    </w:p>
    <w:p w14:paraId="07C55291">
      <w:pPr>
        <w:pStyle w:val="34"/>
        <w:ind w:firstLine="482"/>
      </w:pPr>
      <w:r>
        <w:rPr>
          <w:rFonts w:hint="eastAsia"/>
        </w:rPr>
        <w:t>3 术语和定义</w:t>
      </w:r>
    </w:p>
    <w:p w14:paraId="0B13CD0A">
      <w:pPr>
        <w:pStyle w:val="10"/>
        <w:ind w:firstLine="482"/>
        <w:rPr>
          <w:rFonts w:hint="default"/>
          <w:snapToGrid w:val="0"/>
        </w:rPr>
      </w:pPr>
      <w:r>
        <w:rPr>
          <w:snapToGrid w:val="0"/>
        </w:rPr>
        <w:t>标准文本：</w:t>
      </w:r>
    </w:p>
    <w:p w14:paraId="1D2AC84B">
      <w:pPr>
        <w:pStyle w:val="30"/>
      </w:pPr>
      <w:r>
        <w:rPr>
          <w:rFonts w:hint="eastAsia"/>
        </w:rPr>
        <w:t>下列术语和定义适用于本文件。</w:t>
      </w:r>
    </w:p>
    <w:p w14:paraId="7BBBC165">
      <w:pPr>
        <w:pStyle w:val="30"/>
      </w:pPr>
      <w:r>
        <w:t>3.1</w:t>
      </w:r>
    </w:p>
    <w:p w14:paraId="637A23EA">
      <w:pPr>
        <w:pStyle w:val="30"/>
      </w:pPr>
      <w:r>
        <w:rPr>
          <w:rFonts w:hint="eastAsia"/>
        </w:rPr>
        <w:t>通辽牛肉酱卤制品</w:t>
      </w:r>
      <w:r>
        <w:t xml:space="preserve"> Tongliao beef soy sauce and pot-roast products</w:t>
      </w:r>
    </w:p>
    <w:bookmarkEnd w:id="17"/>
    <w:bookmarkEnd w:id="18"/>
    <w:bookmarkEnd w:id="19"/>
    <w:bookmarkEnd w:id="20"/>
    <w:bookmarkEnd w:id="21"/>
    <w:p w14:paraId="05FBBBE3">
      <w:pPr>
        <w:pStyle w:val="10"/>
        <w:ind w:firstLine="480"/>
        <w:rPr>
          <w:rFonts w:hint="default" w:hAnsi="Times New Roman" w:eastAsia="宋体" w:cs="Times New Roman"/>
          <w:b w:val="0"/>
          <w:snapToGrid w:val="0"/>
          <w:lang w:bidi="ar-SA"/>
        </w:rPr>
      </w:pPr>
      <w:bookmarkStart w:id="22" w:name="OLE_LINK97"/>
      <w:r>
        <w:rPr>
          <w:rFonts w:hAnsi="Times New Roman" w:eastAsia="宋体" w:cs="Times New Roman"/>
          <w:b w:val="0"/>
          <w:snapToGrid w:val="0"/>
          <w:lang w:bidi="ar-SA"/>
        </w:rPr>
        <w:t>在通辽地区生产的，以鲜(冻)通辽牛肉或通辽肉牛的可食副产物为原料，经预处理后，配以食品辅料，经腌制(或不腌制)、预煮（或不预煮）、酱制或卤制、包装、杀菌、冷却等工艺加工而成的熟肉制品。</w:t>
      </w:r>
    </w:p>
    <w:p w14:paraId="28D96F41">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0758E661">
      <w:pPr>
        <w:pStyle w:val="30"/>
      </w:pPr>
      <w:r>
        <w:rPr>
          <w:rFonts w:hint="eastAsia"/>
        </w:rPr>
        <w:t>本条定义了通辽牛肉酱卤制品的概念。</w:t>
      </w:r>
    </w:p>
    <w:p w14:paraId="13CA619F">
      <w:pPr>
        <w:pStyle w:val="30"/>
      </w:pPr>
      <w:r>
        <w:rPr>
          <w:rFonts w:hint="eastAsia"/>
        </w:rPr>
        <w:t>通辽牛肉酱卤制品的定义未制定在标准文件中，但酱卤肉制品定义在多个文件中出现，如</w:t>
      </w:r>
      <w:r>
        <w:t>GB/T 23586-2022《酱卤肉制品质量通则》中酱卤肉制品的定义“以鲜（冻）畜禽肉或可食副产品为主要原料，经预处理后,配以食品辅料,经腌制(或不腌制)、酱制或卤制、包装(或不包装)、杀菌(或不杀菌)、冷却等工艺加工而成的熟肉制品”；GB/T 19480-2009《肉与肉制品》定义“酱卤肉制品”为以鲜(冻)畜禽肉和可食副产品放在加有食盐、酱油(或不加)、香辛料的水中，经预煮、浸泡、烧煮、酱制(卤制)等工艺加工而成的酱卤系列肉制</w:t>
      </w:r>
      <w:r>
        <w:rPr>
          <w:rFonts w:hint="eastAsia"/>
        </w:rPr>
        <w:t>品。</w:t>
      </w:r>
    </w:p>
    <w:p w14:paraId="7092BF59">
      <w:pPr>
        <w:pStyle w:val="30"/>
      </w:pPr>
      <w:r>
        <w:rPr>
          <w:rFonts w:hint="eastAsia"/>
        </w:rPr>
        <w:t>本文件依据“酱卤肉制品”的定义，结合通辽牛肉酱卤制品的生产工艺特点，进一步完善了“通辽牛肉酱卤制品”的定义。</w:t>
      </w:r>
    </w:p>
    <w:p w14:paraId="393800BD">
      <w:pPr>
        <w:pStyle w:val="34"/>
        <w:ind w:firstLine="482"/>
      </w:pPr>
      <w:r>
        <w:t xml:space="preserve">4  </w:t>
      </w:r>
      <w:r>
        <w:rPr>
          <w:rFonts w:hint="eastAsia"/>
        </w:rPr>
        <w:t>产品</w:t>
      </w:r>
      <w:r>
        <w:t>分类</w:t>
      </w:r>
    </w:p>
    <w:p w14:paraId="6B182AE2">
      <w:pPr>
        <w:pStyle w:val="10"/>
        <w:ind w:firstLine="482"/>
        <w:rPr>
          <w:rFonts w:hint="default"/>
          <w:snapToGrid w:val="0"/>
        </w:rPr>
      </w:pPr>
      <w:r>
        <w:rPr>
          <w:snapToGrid w:val="0"/>
        </w:rPr>
        <w:t>标准文本：</w:t>
      </w:r>
    </w:p>
    <w:p w14:paraId="4491BD66">
      <w:pPr>
        <w:pStyle w:val="30"/>
      </w:pPr>
      <w:r>
        <w:t>4.1　酱卤牛肉类</w:t>
      </w:r>
    </w:p>
    <w:p w14:paraId="42C96357">
      <w:pPr>
        <w:pStyle w:val="30"/>
      </w:pPr>
      <w:r>
        <w:rPr>
          <w:rFonts w:hint="eastAsia"/>
        </w:rPr>
        <w:t>以通辽牛肉为主要原料加工而成的酱卤肉制品。其中，酱卤牛肉类根据是否添加外源蛋白（非肉类蛋白质）分为：</w:t>
      </w:r>
    </w:p>
    <w:p w14:paraId="755A362D">
      <w:pPr>
        <w:pStyle w:val="30"/>
      </w:pPr>
      <w:r>
        <w:rPr>
          <w:rFonts w:hint="eastAsia"/>
        </w:rPr>
        <w:t>优级产品：不应添加任何外源蛋白（非肉类蛋白质）类物质和多糖</w:t>
      </w:r>
      <w:r>
        <w:t>类物质</w:t>
      </w:r>
      <w:r>
        <w:rPr>
          <w:rFonts w:hint="eastAsia"/>
        </w:rPr>
        <w:t>（如</w:t>
      </w:r>
      <w:r>
        <w:t>膳食纤维</w:t>
      </w:r>
      <w:r>
        <w:rPr>
          <w:rFonts w:hint="eastAsia"/>
        </w:rPr>
        <w:t>、</w:t>
      </w:r>
      <w:r>
        <w:t>淀粉、卡拉胶等</w:t>
      </w:r>
      <w:r>
        <w:rPr>
          <w:rFonts w:hint="eastAsia"/>
        </w:rPr>
        <w:t>）。</w:t>
      </w:r>
    </w:p>
    <w:p w14:paraId="7F5DF77E">
      <w:pPr>
        <w:pStyle w:val="30"/>
      </w:pPr>
      <w:r>
        <w:rPr>
          <w:rFonts w:hint="eastAsia"/>
        </w:rPr>
        <w:t>普通级产品：可适当添加外源蛋白（非肉类蛋白质）类物质，外源蛋白（非肉类蛋白质）添加量不应大于</w:t>
      </w:r>
      <w:r>
        <w:t>1.5%</w:t>
      </w:r>
      <w:r>
        <w:rPr>
          <w:rFonts w:hint="eastAsia"/>
        </w:rPr>
        <w:t>。</w:t>
      </w:r>
    </w:p>
    <w:p w14:paraId="65137C6C">
      <w:pPr>
        <w:pStyle w:val="30"/>
      </w:pPr>
      <w:r>
        <w:t>4.2　酱卤牛蹄筋</w:t>
      </w:r>
    </w:p>
    <w:p w14:paraId="7DE7421B">
      <w:pPr>
        <w:pStyle w:val="30"/>
      </w:pPr>
      <w:r>
        <w:rPr>
          <w:rFonts w:hint="eastAsia"/>
        </w:rPr>
        <w:t>以通辽肉牛的牛蹄筋为主要原料加工而成的酱卤制品。</w:t>
      </w:r>
    </w:p>
    <w:p w14:paraId="43C27CFE">
      <w:pPr>
        <w:pStyle w:val="30"/>
      </w:pPr>
      <w:r>
        <w:t>4.3　酱卤其他类</w:t>
      </w:r>
    </w:p>
    <w:p w14:paraId="7976B807">
      <w:pPr>
        <w:pStyle w:val="30"/>
      </w:pPr>
      <w:r>
        <w:rPr>
          <w:rFonts w:hint="eastAsia"/>
        </w:rPr>
        <w:t>以通辽肉牛的可食副产品（包括头、蹄、尾、皮、骨、内脏等部位）为主要原料加工而成的酱卤肉制品。</w:t>
      </w:r>
    </w:p>
    <w:p w14:paraId="7F64C961">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0A2B64C9">
      <w:pPr>
        <w:pStyle w:val="30"/>
      </w:pPr>
      <w:r>
        <w:rPr>
          <w:rFonts w:hint="eastAsia"/>
        </w:rPr>
        <w:t>参考</w:t>
      </w:r>
      <w:r>
        <w:t>GB/T 23586</w:t>
      </w:r>
      <w:r>
        <w:rPr>
          <w:rFonts w:hint="eastAsia"/>
        </w:rPr>
        <w:t>，</w:t>
      </w:r>
      <w:r>
        <w:t>结合</w:t>
      </w:r>
      <w:r>
        <w:rPr>
          <w:rFonts w:hint="eastAsia"/>
        </w:rPr>
        <w:t>对</w:t>
      </w:r>
      <w:r>
        <w:t>通辽牛肉酱卤制品产品调研和产品特点确定。</w:t>
      </w:r>
      <w:r>
        <w:rPr>
          <w:rFonts w:hint="eastAsia"/>
        </w:rPr>
        <w:t>经过</w:t>
      </w:r>
      <w:r>
        <w:t>对通辽地区牛肉酱卤</w:t>
      </w:r>
      <w:r>
        <w:rPr>
          <w:rFonts w:hint="eastAsia"/>
        </w:rPr>
        <w:t>制品</w:t>
      </w:r>
      <w:r>
        <w:t>进行市场</w:t>
      </w:r>
      <w:r>
        <w:rPr>
          <w:rFonts w:hint="eastAsia"/>
        </w:rPr>
        <w:t>调研发现</w:t>
      </w:r>
      <w:r>
        <w:t>，</w:t>
      </w:r>
      <w:r>
        <w:rPr>
          <w:rFonts w:hint="eastAsia"/>
        </w:rPr>
        <w:t>牛蹄筋</w:t>
      </w:r>
      <w:r>
        <w:t>类产品</w:t>
      </w:r>
      <w:r>
        <w:rPr>
          <w:rFonts w:hint="eastAsia"/>
        </w:rPr>
        <w:t>是</w:t>
      </w:r>
      <w:r>
        <w:t>当地</w:t>
      </w:r>
      <w:r>
        <w:rPr>
          <w:rFonts w:hint="eastAsia"/>
        </w:rPr>
        <w:t>特色</w:t>
      </w:r>
      <w:r>
        <w:t>产品，</w:t>
      </w:r>
      <w:r>
        <w:rPr>
          <w:rFonts w:hint="eastAsia"/>
        </w:rPr>
        <w:t>因</w:t>
      </w:r>
      <w:r>
        <w:t>其</w:t>
      </w:r>
      <w:r>
        <w:rPr>
          <w:rFonts w:hint="eastAsia"/>
        </w:rPr>
        <w:t>较高</w:t>
      </w:r>
      <w:r>
        <w:t>的营养价值和</w:t>
      </w:r>
      <w:r>
        <w:rPr>
          <w:rFonts w:hint="eastAsia"/>
        </w:rPr>
        <w:t>劲道</w:t>
      </w:r>
      <w:r>
        <w:t>的食用口感广受</w:t>
      </w:r>
      <w:r>
        <w:rPr>
          <w:rFonts w:hint="eastAsia"/>
        </w:rPr>
        <w:t>消费者</w:t>
      </w:r>
      <w:r>
        <w:t>喜爱，</w:t>
      </w:r>
      <w:r>
        <w:rPr>
          <w:rFonts w:hint="eastAsia"/>
        </w:rPr>
        <w:t>产量</w:t>
      </w:r>
      <w:r>
        <w:t>和销量较大，因此</w:t>
      </w:r>
      <w:r>
        <w:rPr>
          <w:rFonts w:hint="eastAsia"/>
        </w:rPr>
        <w:t>单独</w:t>
      </w:r>
      <w:r>
        <w:t>进行产品分类</w:t>
      </w:r>
      <w:r>
        <w:rPr>
          <w:rFonts w:hint="eastAsia"/>
        </w:rPr>
        <w:t>。</w:t>
      </w:r>
      <w:r>
        <w:t>酱卤牛肉类</w:t>
      </w:r>
      <w:r>
        <w:rPr>
          <w:rFonts w:hint="eastAsia"/>
        </w:rPr>
        <w:t>产品</w:t>
      </w:r>
      <w:r>
        <w:t>腌制</w:t>
      </w:r>
      <w:r>
        <w:rPr>
          <w:rFonts w:hint="eastAsia"/>
        </w:rPr>
        <w:t>等</w:t>
      </w:r>
      <w:r>
        <w:t>加工</w:t>
      </w:r>
      <w:r>
        <w:rPr>
          <w:rFonts w:hint="eastAsia"/>
        </w:rPr>
        <w:t>过程可</w:t>
      </w:r>
      <w:r>
        <w:t>采取加入</w:t>
      </w:r>
      <w:r>
        <w:rPr>
          <w:rFonts w:hint="eastAsia"/>
        </w:rPr>
        <w:t>大豆分离</w:t>
      </w:r>
      <w:r>
        <w:t>蛋白等</w:t>
      </w:r>
      <w:r>
        <w:rPr>
          <w:rFonts w:hint="eastAsia"/>
        </w:rPr>
        <w:t>外源</w:t>
      </w:r>
      <w:r>
        <w:t>蛋白</w:t>
      </w:r>
      <w:r>
        <w:rPr>
          <w:rFonts w:hint="eastAsia"/>
        </w:rPr>
        <w:t>物料</w:t>
      </w:r>
      <w:r>
        <w:t>以增加产品出品率和蛋白质含量，为保</w:t>
      </w:r>
      <w:r>
        <w:rPr>
          <w:rFonts w:hint="eastAsia"/>
        </w:rPr>
        <w:t>证</w:t>
      </w:r>
      <w:r>
        <w:t>传统无添加</w:t>
      </w:r>
      <w:r>
        <w:rPr>
          <w:rFonts w:hint="eastAsia"/>
        </w:rPr>
        <w:t>产品</w:t>
      </w:r>
      <w:r>
        <w:t>的优质优价</w:t>
      </w:r>
      <w:r>
        <w:rPr>
          <w:rFonts w:hint="eastAsia"/>
        </w:rPr>
        <w:t>，</w:t>
      </w:r>
      <w:r>
        <w:t>防止</w:t>
      </w:r>
      <w:r>
        <w:rPr>
          <w:rFonts w:hint="eastAsia"/>
        </w:rPr>
        <w:t>劣币驱良币</w:t>
      </w:r>
      <w:r>
        <w:t>现象，对酱卤牛肉类</w:t>
      </w:r>
      <w:r>
        <w:rPr>
          <w:rFonts w:hint="eastAsia"/>
        </w:rPr>
        <w:t>产品</w:t>
      </w:r>
      <w:r>
        <w:t>根据是否添加外源蛋白进行分类，分为优级和普通级。</w:t>
      </w:r>
      <w:r>
        <w:rPr>
          <w:rFonts w:hint="eastAsia"/>
        </w:rPr>
        <w:t>外源蛋白（非肉类蛋白质）添加量不应大于</w:t>
      </w:r>
      <w:r>
        <w:t>1.5%</w:t>
      </w:r>
      <w:r>
        <w:rPr>
          <w:rFonts w:hint="eastAsia"/>
        </w:rPr>
        <w:t>根据生产</w:t>
      </w:r>
      <w:r>
        <w:t>中加工经验</w:t>
      </w:r>
      <w:r>
        <w:rPr>
          <w:rFonts w:hint="eastAsia"/>
        </w:rPr>
        <w:t>和</w:t>
      </w:r>
      <w:r>
        <w:t>加工适宜性确定。</w:t>
      </w:r>
    </w:p>
    <w:p w14:paraId="2BE5B5B3">
      <w:pPr>
        <w:pStyle w:val="34"/>
        <w:ind w:firstLine="482"/>
      </w:pPr>
      <w:r>
        <w:t xml:space="preserve">5  </w:t>
      </w:r>
      <w:r>
        <w:rPr>
          <w:rFonts w:hint="eastAsia"/>
        </w:rPr>
        <w:t>技术要求</w:t>
      </w:r>
    </w:p>
    <w:p w14:paraId="53FC1783">
      <w:pPr>
        <w:pStyle w:val="10"/>
        <w:ind w:firstLine="482"/>
        <w:rPr>
          <w:rFonts w:hint="default"/>
          <w:snapToGrid w:val="0"/>
        </w:rPr>
      </w:pPr>
      <w:r>
        <w:rPr>
          <w:snapToGrid w:val="0"/>
        </w:rPr>
        <w:t>标准文本：</w:t>
      </w:r>
    </w:p>
    <w:p w14:paraId="04F68E05">
      <w:pPr>
        <w:pStyle w:val="10"/>
        <w:ind w:firstLine="480"/>
        <w:rPr>
          <w:rFonts w:hint="default" w:hAnsi="Times New Roman" w:eastAsia="宋体" w:cs="Times New Roman"/>
          <w:b w:val="0"/>
          <w:lang w:bidi="ar-SA"/>
        </w:rPr>
      </w:pPr>
      <w:r>
        <w:rPr>
          <w:rFonts w:hAnsi="Times New Roman" w:eastAsia="宋体" w:cs="Times New Roman"/>
          <w:b w:val="0"/>
          <w:lang w:bidi="ar-SA"/>
        </w:rPr>
        <w:t>5.1　原辅料要求</w:t>
      </w:r>
    </w:p>
    <w:p w14:paraId="0B682557">
      <w:pPr>
        <w:pStyle w:val="10"/>
        <w:ind w:firstLine="480"/>
        <w:rPr>
          <w:rFonts w:hint="default" w:hAnsi="Times New Roman" w:eastAsia="宋体" w:cs="Times New Roman"/>
          <w:b w:val="0"/>
          <w:lang w:bidi="ar-SA"/>
        </w:rPr>
      </w:pPr>
      <w:r>
        <w:rPr>
          <w:rFonts w:hAnsi="Times New Roman" w:eastAsia="宋体" w:cs="Times New Roman"/>
          <w:b w:val="0"/>
          <w:lang w:bidi="ar-SA"/>
        </w:rPr>
        <w:t>5.1.1　原料应符合T/CMATB 3012的相关规定。</w:t>
      </w:r>
    </w:p>
    <w:p w14:paraId="7269BFAA">
      <w:pPr>
        <w:pStyle w:val="10"/>
        <w:ind w:firstLine="480"/>
        <w:rPr>
          <w:rFonts w:hint="default" w:hAnsi="Times New Roman" w:eastAsia="宋体" w:cs="Times New Roman"/>
          <w:b w:val="0"/>
          <w:lang w:bidi="ar-SA"/>
        </w:rPr>
      </w:pPr>
      <w:r>
        <w:rPr>
          <w:rFonts w:hAnsi="Times New Roman" w:eastAsia="宋体" w:cs="Times New Roman"/>
          <w:b w:val="0"/>
          <w:lang w:bidi="ar-SA"/>
        </w:rPr>
        <w:t>5.1.2　辅料应符合相关产品标准和有关规定。</w:t>
      </w:r>
    </w:p>
    <w:p w14:paraId="0ED9EDAF">
      <w:pPr>
        <w:pStyle w:val="10"/>
        <w:ind w:firstLine="480"/>
        <w:rPr>
          <w:rFonts w:hint="default" w:hAnsi="Times New Roman" w:eastAsia="宋体" w:cs="Times New Roman"/>
          <w:b w:val="0"/>
          <w:lang w:bidi="ar-SA"/>
        </w:rPr>
      </w:pPr>
      <w:r>
        <w:rPr>
          <w:rFonts w:hAnsi="Times New Roman" w:eastAsia="宋体" w:cs="Times New Roman"/>
          <w:b w:val="0"/>
          <w:lang w:bidi="ar-SA"/>
        </w:rPr>
        <w:t>5.1.3　食品添加剂及使用应符合GB 2760的相关规定。</w:t>
      </w:r>
    </w:p>
    <w:p w14:paraId="63CBBD4A">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1604FAAE">
      <w:pPr>
        <w:pStyle w:val="30"/>
      </w:pPr>
      <w:r>
        <w:rPr>
          <w:rFonts w:hint="eastAsia"/>
        </w:rPr>
        <w:t>本条对产品所使用的原料、辅料和食品添加剂的使用标准进行了规定。尤其是对通辽牛肉调理制品原料进行了特定要求。</w:t>
      </w:r>
      <w:r>
        <w:t>GB 2760是国家强制性标准，需按规定使用。</w:t>
      </w:r>
    </w:p>
    <w:p w14:paraId="5E1ABAC8">
      <w:pPr>
        <w:pStyle w:val="10"/>
        <w:ind w:firstLine="482"/>
        <w:rPr>
          <w:rFonts w:hint="default"/>
          <w:snapToGrid w:val="0"/>
        </w:rPr>
      </w:pPr>
      <w:r>
        <w:rPr>
          <w:snapToGrid w:val="0"/>
        </w:rPr>
        <w:t>标准文本：</w:t>
      </w:r>
    </w:p>
    <w:p w14:paraId="772B3158">
      <w:pPr>
        <w:pStyle w:val="30"/>
      </w:pPr>
      <w:r>
        <w:t>5.2</w:t>
      </w:r>
      <w:r>
        <w:rPr>
          <w:rFonts w:hint="eastAsia"/>
        </w:rPr>
        <w:t>　投料</w:t>
      </w:r>
      <w:r>
        <w:t>要求</w:t>
      </w:r>
    </w:p>
    <w:p w14:paraId="54FA1D7C">
      <w:pPr>
        <w:pStyle w:val="30"/>
        <w:rPr>
          <w:rFonts w:ascii="Times New Roman"/>
        </w:rPr>
      </w:pPr>
      <w:r>
        <w:rPr>
          <w:rFonts w:hint="eastAsia"/>
        </w:rPr>
        <w:t>特级产品在生产过程中不应添加外源蛋白和多糖</w:t>
      </w:r>
      <w:r>
        <w:t>类物质</w:t>
      </w:r>
      <w:r>
        <w:rPr>
          <w:rFonts w:hint="eastAsia"/>
        </w:rPr>
        <w:t>。</w:t>
      </w:r>
    </w:p>
    <w:p w14:paraId="461935B4">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46317BBE">
      <w:pPr>
        <w:pStyle w:val="30"/>
      </w:pPr>
      <w:r>
        <w:rPr>
          <w:rFonts w:hint="eastAsia"/>
        </w:rPr>
        <w:t>为优化</w:t>
      </w:r>
      <w:r>
        <w:t>和规范</w:t>
      </w:r>
      <w:r>
        <w:rPr>
          <w:rFonts w:hint="eastAsia"/>
        </w:rPr>
        <w:t>通辽牛肉酱卤制品生产，实现</w:t>
      </w:r>
      <w:r>
        <w:t>优质优价，</w:t>
      </w:r>
      <w:r>
        <w:rPr>
          <w:rFonts w:hint="eastAsia"/>
        </w:rPr>
        <w:t>对优级通辽牛肉酱卤制品投料要求进行外源蛋白</w:t>
      </w:r>
      <w:r>
        <w:t>和多糖类等保水性物质的</w:t>
      </w:r>
      <w:r>
        <w:rPr>
          <w:rFonts w:hint="eastAsia"/>
        </w:rPr>
        <w:t>进一步限定。</w:t>
      </w:r>
    </w:p>
    <w:p w14:paraId="158A79F1">
      <w:pPr>
        <w:pStyle w:val="10"/>
        <w:ind w:firstLine="482"/>
        <w:rPr>
          <w:rFonts w:hint="default"/>
          <w:snapToGrid w:val="0"/>
        </w:rPr>
      </w:pPr>
      <w:r>
        <w:rPr>
          <w:snapToGrid w:val="0"/>
        </w:rPr>
        <w:t>标准文本：</w:t>
      </w:r>
    </w:p>
    <w:p w14:paraId="06673F20">
      <w:pPr>
        <w:pStyle w:val="30"/>
      </w:pPr>
      <w:r>
        <w:t>5.3</w:t>
      </w:r>
      <w:r>
        <w:rPr>
          <w:rFonts w:hint="eastAsia"/>
        </w:rPr>
        <w:t>　感官</w:t>
      </w:r>
      <w:r>
        <w:t>要求</w:t>
      </w:r>
    </w:p>
    <w:p w14:paraId="1F29AAEE">
      <w:pPr>
        <w:pStyle w:val="30"/>
      </w:pPr>
      <w:r>
        <w:rPr>
          <w:rFonts w:hint="eastAsia"/>
        </w:rPr>
        <w:t>感官应符合表1的要求。</w:t>
      </w:r>
    </w:p>
    <w:p w14:paraId="4C2A4410">
      <w:pPr>
        <w:pStyle w:val="38"/>
        <w:numPr>
          <w:ilvl w:val="0"/>
          <w:numId w:val="7"/>
        </w:numPr>
        <w:ind w:firstLine="420"/>
        <w:rPr>
          <w:rFonts w:ascii="黑体" w:hAnsi="Times New Roman" w:eastAsia="黑体"/>
          <w:sz w:val="21"/>
        </w:rPr>
      </w:pPr>
      <w:r>
        <w:rPr>
          <w:rFonts w:hint="eastAsia"/>
        </w:rPr>
        <w:t>感官要求</w:t>
      </w:r>
    </w:p>
    <w:tbl>
      <w:tblPr>
        <w:tblStyle w:val="11"/>
        <w:tblW w:w="83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1"/>
        <w:gridCol w:w="6663"/>
      </w:tblGrid>
      <w:tr w14:paraId="2330E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691" w:type="dxa"/>
            <w:tcBorders>
              <w:top w:val="single" w:color="auto" w:sz="8" w:space="0"/>
              <w:left w:val="single" w:color="auto" w:sz="8" w:space="0"/>
              <w:bottom w:val="single" w:color="auto" w:sz="8" w:space="0"/>
            </w:tcBorders>
            <w:vAlign w:val="center"/>
          </w:tcPr>
          <w:p w14:paraId="0E51BD80">
            <w:pPr>
              <w:pStyle w:val="64"/>
            </w:pPr>
            <w:r>
              <w:t>项目</w:t>
            </w:r>
          </w:p>
        </w:tc>
        <w:tc>
          <w:tcPr>
            <w:tcW w:w="6663" w:type="dxa"/>
            <w:tcBorders>
              <w:top w:val="single" w:color="auto" w:sz="8" w:space="0"/>
              <w:bottom w:val="single" w:color="auto" w:sz="8" w:space="0"/>
            </w:tcBorders>
            <w:vAlign w:val="center"/>
          </w:tcPr>
          <w:p w14:paraId="3FFDB2BD">
            <w:pPr>
              <w:pStyle w:val="64"/>
            </w:pPr>
            <w:r>
              <w:t>要求</w:t>
            </w:r>
          </w:p>
        </w:tc>
      </w:tr>
      <w:tr w14:paraId="0DE22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691" w:type="dxa"/>
            <w:tcBorders>
              <w:left w:val="single" w:color="auto" w:sz="8" w:space="0"/>
            </w:tcBorders>
            <w:vAlign w:val="center"/>
          </w:tcPr>
          <w:p w14:paraId="73E96CB0">
            <w:pPr>
              <w:pStyle w:val="64"/>
            </w:pPr>
            <w:r>
              <w:rPr>
                <w:rFonts w:hint="eastAsia"/>
              </w:rPr>
              <w:t>外观</w:t>
            </w:r>
            <w:r>
              <w:t>、色泽</w:t>
            </w:r>
          </w:p>
        </w:tc>
        <w:tc>
          <w:tcPr>
            <w:tcW w:w="6663" w:type="dxa"/>
            <w:vAlign w:val="center"/>
          </w:tcPr>
          <w:p w14:paraId="1FF6A596">
            <w:pPr>
              <w:pStyle w:val="64"/>
            </w:pPr>
            <w:r>
              <w:rPr>
                <w:rFonts w:hint="eastAsia"/>
              </w:rPr>
              <w:t>具有该产品应有的外观</w:t>
            </w:r>
            <w:r>
              <w:t>和</w:t>
            </w:r>
            <w:r>
              <w:rPr>
                <w:rFonts w:hint="eastAsia"/>
              </w:rPr>
              <w:t>色泽，表面</w:t>
            </w:r>
            <w:r>
              <w:t>色泽基本一致</w:t>
            </w:r>
          </w:p>
        </w:tc>
      </w:tr>
      <w:tr w14:paraId="5F953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691" w:type="dxa"/>
            <w:tcBorders>
              <w:left w:val="single" w:color="auto" w:sz="8" w:space="0"/>
            </w:tcBorders>
            <w:vAlign w:val="center"/>
          </w:tcPr>
          <w:p w14:paraId="5CBC06C6">
            <w:pPr>
              <w:pStyle w:val="64"/>
            </w:pPr>
            <w:r>
              <w:t>组织状态</w:t>
            </w:r>
          </w:p>
        </w:tc>
        <w:tc>
          <w:tcPr>
            <w:tcW w:w="6663" w:type="dxa"/>
            <w:vAlign w:val="center"/>
          </w:tcPr>
          <w:p w14:paraId="00807F30">
            <w:pPr>
              <w:pStyle w:val="64"/>
            </w:pPr>
            <w:r>
              <w:rPr>
                <w:rFonts w:hint="eastAsia"/>
              </w:rPr>
              <w:t>具有产品应有的组织形态</w:t>
            </w:r>
          </w:p>
        </w:tc>
      </w:tr>
      <w:tr w14:paraId="4ECBA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691" w:type="dxa"/>
            <w:tcBorders>
              <w:left w:val="single" w:color="auto" w:sz="8" w:space="0"/>
            </w:tcBorders>
            <w:vAlign w:val="center"/>
          </w:tcPr>
          <w:p w14:paraId="7E5144F2">
            <w:pPr>
              <w:pStyle w:val="64"/>
            </w:pPr>
            <w:r>
              <w:rPr>
                <w:rFonts w:hint="eastAsia"/>
              </w:rPr>
              <w:t>风</w:t>
            </w:r>
            <w:r>
              <w:t>味</w:t>
            </w:r>
          </w:p>
        </w:tc>
        <w:tc>
          <w:tcPr>
            <w:tcW w:w="6663" w:type="dxa"/>
            <w:vAlign w:val="center"/>
          </w:tcPr>
          <w:p w14:paraId="1F836119">
            <w:pPr>
              <w:pStyle w:val="64"/>
            </w:pPr>
            <w:r>
              <w:rPr>
                <w:rFonts w:hint="eastAsia"/>
              </w:rPr>
              <w:t>具有产品应有的滋味和气味，无异味</w:t>
            </w:r>
          </w:p>
        </w:tc>
      </w:tr>
      <w:tr w14:paraId="48755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691" w:type="dxa"/>
            <w:tcBorders>
              <w:left w:val="single" w:color="auto" w:sz="8" w:space="0"/>
              <w:bottom w:val="single" w:color="auto" w:sz="8" w:space="0"/>
            </w:tcBorders>
            <w:vAlign w:val="center"/>
          </w:tcPr>
          <w:p w14:paraId="02456104">
            <w:pPr>
              <w:pStyle w:val="64"/>
            </w:pPr>
            <w:r>
              <w:rPr>
                <w:rFonts w:hint="eastAsia"/>
              </w:rPr>
              <w:t>杂质</w:t>
            </w:r>
          </w:p>
        </w:tc>
        <w:tc>
          <w:tcPr>
            <w:tcW w:w="6663" w:type="dxa"/>
            <w:tcBorders>
              <w:bottom w:val="single" w:color="auto" w:sz="8" w:space="0"/>
            </w:tcBorders>
            <w:vAlign w:val="center"/>
          </w:tcPr>
          <w:p w14:paraId="47F55F2B">
            <w:pPr>
              <w:pStyle w:val="64"/>
            </w:pPr>
            <w:r>
              <w:rPr>
                <w:rFonts w:hint="eastAsia"/>
              </w:rPr>
              <w:t>无正常视力可见的</w:t>
            </w:r>
            <w:r>
              <w:t>外来</w:t>
            </w:r>
            <w:r>
              <w:rPr>
                <w:rFonts w:hint="eastAsia"/>
              </w:rPr>
              <w:t>杂质</w:t>
            </w:r>
          </w:p>
        </w:tc>
      </w:tr>
    </w:tbl>
    <w:p w14:paraId="503E15EC">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039E21F5">
      <w:pPr>
        <w:pStyle w:val="30"/>
      </w:pPr>
      <w:r>
        <w:rPr>
          <w:rFonts w:hint="eastAsia"/>
        </w:rPr>
        <w:t>感官指标的描述根据</w:t>
      </w:r>
      <w:r>
        <w:t>通辽牛肉酱卤制品产品特点，</w:t>
      </w:r>
      <w:r>
        <w:rPr>
          <w:rFonts w:hint="eastAsia"/>
        </w:rPr>
        <w:t>结合对所采集样品的感官检验和</w:t>
      </w:r>
      <w:r>
        <w:t>GB/T 23586-2022《酱卤肉制品质量通则》</w:t>
      </w:r>
      <w:r>
        <w:rPr>
          <w:rFonts w:hint="eastAsia"/>
        </w:rPr>
        <w:t>中对</w:t>
      </w:r>
      <w:r>
        <w:t>感官检验的描述确定，并给出检验方法。</w:t>
      </w:r>
    </w:p>
    <w:p w14:paraId="59DB070A">
      <w:pPr>
        <w:pStyle w:val="10"/>
        <w:ind w:firstLine="482"/>
        <w:rPr>
          <w:rFonts w:hint="default"/>
          <w:snapToGrid w:val="0"/>
        </w:rPr>
      </w:pPr>
      <w:r>
        <w:rPr>
          <w:snapToGrid w:val="0"/>
        </w:rPr>
        <w:t>标准文本：</w:t>
      </w:r>
    </w:p>
    <w:p w14:paraId="3F814FD1">
      <w:pPr>
        <w:pStyle w:val="30"/>
      </w:pPr>
      <w:r>
        <w:t>5.4　理化指标</w:t>
      </w:r>
    </w:p>
    <w:p w14:paraId="2095FE5E">
      <w:pPr>
        <w:pStyle w:val="30"/>
      </w:pPr>
      <w:r>
        <w:rPr>
          <w:rFonts w:hint="eastAsia"/>
        </w:rPr>
        <w:t>理化指标应符合表</w:t>
      </w:r>
      <w:r>
        <w:t>2的规定。</w:t>
      </w:r>
    </w:p>
    <w:p w14:paraId="76A43232">
      <w:pPr>
        <w:pStyle w:val="38"/>
        <w:numPr>
          <w:ilvl w:val="0"/>
          <w:numId w:val="7"/>
        </w:numPr>
        <w:ind w:firstLine="420"/>
        <w:rPr>
          <w:rFonts w:ascii="黑体" w:eastAsia="黑体"/>
          <w:sz w:val="21"/>
        </w:rPr>
      </w:pPr>
      <w:r>
        <w:rPr>
          <w:rFonts w:hint="eastAsia"/>
        </w:rPr>
        <w:t>理化指标</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77"/>
        <w:gridCol w:w="1561"/>
        <w:gridCol w:w="1563"/>
        <w:gridCol w:w="1561"/>
        <w:gridCol w:w="1560"/>
      </w:tblGrid>
      <w:tr w14:paraId="6430E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36" w:type="pct"/>
            <w:vMerge w:val="restart"/>
            <w:tcBorders>
              <w:top w:val="single" w:color="auto" w:sz="8" w:space="0"/>
              <w:left w:val="single" w:color="auto" w:sz="8" w:space="0"/>
              <w:bottom w:val="single" w:color="000000" w:sz="4" w:space="0"/>
              <w:right w:val="single" w:color="000000" w:sz="4" w:space="0"/>
            </w:tcBorders>
            <w:vAlign w:val="center"/>
          </w:tcPr>
          <w:p w14:paraId="08F5BEBE">
            <w:pPr>
              <w:pStyle w:val="64"/>
              <w:rPr>
                <w:rFonts w:ascii="Times New Roman" w:hAnsi="Times New Roman" w:eastAsia="宋体" w:cs="Times New Roman"/>
                <w:sz w:val="18"/>
                <w:szCs w:val="18"/>
                <w:lang w:bidi="ar-SA"/>
              </w:rPr>
            </w:pPr>
            <w:r>
              <w:rPr>
                <w:rFonts w:hint="eastAsia"/>
                <w:sz w:val="18"/>
                <w:szCs w:val="18"/>
              </w:rPr>
              <w:t>项目</w:t>
            </w:r>
          </w:p>
        </w:tc>
        <w:tc>
          <w:tcPr>
            <w:tcW w:w="3664" w:type="pct"/>
            <w:gridSpan w:val="4"/>
            <w:tcBorders>
              <w:top w:val="single" w:color="auto" w:sz="8" w:space="0"/>
              <w:left w:val="single" w:color="000000" w:sz="4" w:space="0"/>
              <w:bottom w:val="single" w:color="000000" w:sz="4" w:space="0"/>
              <w:right w:val="single" w:color="000000" w:sz="4" w:space="0"/>
            </w:tcBorders>
          </w:tcPr>
          <w:p w14:paraId="36CB6B93">
            <w:pPr>
              <w:pStyle w:val="64"/>
              <w:rPr>
                <w:sz w:val="18"/>
                <w:szCs w:val="18"/>
              </w:rPr>
            </w:pPr>
            <w:r>
              <w:rPr>
                <w:rFonts w:hint="eastAsia"/>
                <w:sz w:val="18"/>
                <w:szCs w:val="18"/>
              </w:rPr>
              <w:t>指标</w:t>
            </w:r>
          </w:p>
        </w:tc>
      </w:tr>
      <w:tr w14:paraId="588E9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vMerge w:val="continue"/>
            <w:tcBorders>
              <w:top w:val="single" w:color="auto" w:sz="8" w:space="0"/>
              <w:left w:val="single" w:color="auto" w:sz="8" w:space="0"/>
              <w:bottom w:val="single" w:color="000000" w:sz="4" w:space="0"/>
              <w:right w:val="single" w:color="000000" w:sz="4" w:space="0"/>
            </w:tcBorders>
            <w:vAlign w:val="center"/>
          </w:tcPr>
          <w:p w14:paraId="0C025D81">
            <w:pPr>
              <w:pStyle w:val="64"/>
              <w:rPr>
                <w:sz w:val="18"/>
                <w:szCs w:val="18"/>
              </w:rPr>
            </w:pPr>
          </w:p>
        </w:tc>
        <w:tc>
          <w:tcPr>
            <w:tcW w:w="1833" w:type="pct"/>
            <w:gridSpan w:val="2"/>
            <w:tcBorders>
              <w:top w:val="single" w:color="auto" w:sz="8" w:space="0"/>
              <w:left w:val="single" w:color="000000" w:sz="4" w:space="0"/>
              <w:bottom w:val="single" w:color="auto" w:sz="4" w:space="0"/>
              <w:right w:val="single" w:color="000000" w:sz="4" w:space="0"/>
            </w:tcBorders>
            <w:vAlign w:val="center"/>
          </w:tcPr>
          <w:p w14:paraId="74BC681E">
            <w:pPr>
              <w:pStyle w:val="64"/>
              <w:rPr>
                <w:kern w:val="2"/>
                <w:sz w:val="18"/>
                <w:szCs w:val="18"/>
              </w:rPr>
            </w:pPr>
            <w:r>
              <w:rPr>
                <w:rFonts w:hint="eastAsia"/>
                <w:sz w:val="18"/>
                <w:szCs w:val="18"/>
              </w:rPr>
              <w:t>酱卤牛肉类</w:t>
            </w:r>
          </w:p>
        </w:tc>
        <w:tc>
          <w:tcPr>
            <w:tcW w:w="916" w:type="pct"/>
            <w:vMerge w:val="restart"/>
            <w:tcBorders>
              <w:top w:val="single" w:color="auto" w:sz="8" w:space="0"/>
              <w:left w:val="single" w:color="000000" w:sz="4" w:space="0"/>
              <w:bottom w:val="single" w:color="000000" w:sz="4" w:space="0"/>
              <w:right w:val="single" w:color="000000" w:sz="4" w:space="0"/>
            </w:tcBorders>
            <w:vAlign w:val="center"/>
          </w:tcPr>
          <w:p w14:paraId="601C4CF3">
            <w:pPr>
              <w:pStyle w:val="64"/>
              <w:rPr>
                <w:sz w:val="18"/>
                <w:szCs w:val="18"/>
              </w:rPr>
            </w:pPr>
            <w:r>
              <w:rPr>
                <w:rFonts w:hint="eastAsia"/>
                <w:sz w:val="18"/>
                <w:szCs w:val="18"/>
              </w:rPr>
              <w:t>酱卤牛蹄筋</w:t>
            </w:r>
          </w:p>
        </w:tc>
        <w:tc>
          <w:tcPr>
            <w:tcW w:w="915" w:type="pct"/>
            <w:vMerge w:val="restart"/>
            <w:tcBorders>
              <w:top w:val="single" w:color="auto" w:sz="8" w:space="0"/>
              <w:left w:val="single" w:color="000000" w:sz="4" w:space="0"/>
              <w:bottom w:val="single" w:color="000000" w:sz="4" w:space="0"/>
              <w:right w:val="single" w:color="000000" w:sz="4" w:space="0"/>
            </w:tcBorders>
            <w:vAlign w:val="center"/>
          </w:tcPr>
          <w:p w14:paraId="3AA71745">
            <w:pPr>
              <w:pStyle w:val="64"/>
              <w:rPr>
                <w:sz w:val="18"/>
                <w:szCs w:val="18"/>
              </w:rPr>
            </w:pPr>
            <w:r>
              <w:rPr>
                <w:rFonts w:hint="eastAsia"/>
                <w:sz w:val="18"/>
                <w:szCs w:val="18"/>
              </w:rPr>
              <w:t>酱卤其他类</w:t>
            </w:r>
          </w:p>
        </w:tc>
      </w:tr>
      <w:tr w14:paraId="7C63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0" w:type="auto"/>
            <w:vMerge w:val="continue"/>
            <w:tcBorders>
              <w:top w:val="single" w:color="auto" w:sz="8" w:space="0"/>
              <w:left w:val="single" w:color="auto" w:sz="8" w:space="0"/>
              <w:bottom w:val="single" w:color="000000" w:sz="4" w:space="0"/>
              <w:right w:val="single" w:color="000000" w:sz="4" w:space="0"/>
            </w:tcBorders>
            <w:vAlign w:val="center"/>
          </w:tcPr>
          <w:p w14:paraId="044CFDE6">
            <w:pPr>
              <w:pStyle w:val="64"/>
              <w:rPr>
                <w:sz w:val="18"/>
                <w:szCs w:val="18"/>
              </w:rPr>
            </w:pPr>
          </w:p>
        </w:tc>
        <w:tc>
          <w:tcPr>
            <w:tcW w:w="916" w:type="pct"/>
            <w:tcBorders>
              <w:top w:val="single" w:color="auto" w:sz="4" w:space="0"/>
              <w:left w:val="single" w:color="000000" w:sz="4" w:space="0"/>
              <w:bottom w:val="single" w:color="000000" w:sz="4" w:space="0"/>
              <w:right w:val="single" w:color="auto" w:sz="4" w:space="0"/>
            </w:tcBorders>
            <w:vAlign w:val="center"/>
          </w:tcPr>
          <w:p w14:paraId="475DB367">
            <w:pPr>
              <w:pStyle w:val="64"/>
              <w:rPr>
                <w:sz w:val="18"/>
                <w:szCs w:val="18"/>
              </w:rPr>
            </w:pPr>
            <w:r>
              <w:rPr>
                <w:rFonts w:hint="eastAsia"/>
                <w:sz w:val="18"/>
                <w:szCs w:val="18"/>
              </w:rPr>
              <w:t>优级</w:t>
            </w:r>
          </w:p>
        </w:tc>
        <w:tc>
          <w:tcPr>
            <w:tcW w:w="917" w:type="pct"/>
            <w:tcBorders>
              <w:top w:val="single" w:color="auto" w:sz="4" w:space="0"/>
              <w:left w:val="single" w:color="auto" w:sz="4" w:space="0"/>
              <w:bottom w:val="single" w:color="000000" w:sz="4" w:space="0"/>
              <w:right w:val="single" w:color="000000" w:sz="4" w:space="0"/>
            </w:tcBorders>
            <w:vAlign w:val="center"/>
          </w:tcPr>
          <w:p w14:paraId="785FF960">
            <w:pPr>
              <w:pStyle w:val="64"/>
              <w:rPr>
                <w:sz w:val="18"/>
                <w:szCs w:val="18"/>
              </w:rPr>
            </w:pPr>
            <w:r>
              <w:rPr>
                <w:rFonts w:hint="eastAsia"/>
                <w:sz w:val="18"/>
                <w:szCs w:val="18"/>
              </w:rPr>
              <w:t>普通级</w:t>
            </w:r>
          </w:p>
        </w:tc>
        <w:tc>
          <w:tcPr>
            <w:tcW w:w="0" w:type="auto"/>
            <w:vMerge w:val="continue"/>
            <w:tcBorders>
              <w:top w:val="single" w:color="auto" w:sz="8" w:space="0"/>
              <w:left w:val="single" w:color="000000" w:sz="4" w:space="0"/>
              <w:bottom w:val="single" w:color="000000" w:sz="4" w:space="0"/>
              <w:right w:val="single" w:color="000000" w:sz="4" w:space="0"/>
            </w:tcBorders>
            <w:vAlign w:val="center"/>
          </w:tcPr>
          <w:p w14:paraId="6CF7BE58">
            <w:pPr>
              <w:pStyle w:val="64"/>
              <w:rPr>
                <w:kern w:val="2"/>
                <w:sz w:val="18"/>
                <w:szCs w:val="18"/>
              </w:rPr>
            </w:pPr>
          </w:p>
        </w:tc>
        <w:tc>
          <w:tcPr>
            <w:tcW w:w="0" w:type="auto"/>
            <w:vMerge w:val="continue"/>
            <w:tcBorders>
              <w:top w:val="single" w:color="auto" w:sz="8" w:space="0"/>
              <w:left w:val="single" w:color="000000" w:sz="4" w:space="0"/>
              <w:bottom w:val="single" w:color="000000" w:sz="4" w:space="0"/>
              <w:right w:val="single" w:color="000000" w:sz="4" w:space="0"/>
            </w:tcBorders>
            <w:vAlign w:val="center"/>
          </w:tcPr>
          <w:p w14:paraId="66476EDE">
            <w:pPr>
              <w:pStyle w:val="64"/>
              <w:rPr>
                <w:kern w:val="2"/>
                <w:sz w:val="18"/>
                <w:szCs w:val="18"/>
              </w:rPr>
            </w:pPr>
          </w:p>
        </w:tc>
      </w:tr>
      <w:tr w14:paraId="66FBC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36" w:type="pct"/>
            <w:tcBorders>
              <w:top w:val="single" w:color="auto" w:sz="8" w:space="0"/>
              <w:left w:val="single" w:color="auto" w:sz="8" w:space="0"/>
              <w:bottom w:val="single" w:color="auto" w:sz="8" w:space="0"/>
              <w:right w:val="single" w:color="000000" w:sz="4" w:space="0"/>
            </w:tcBorders>
            <w:vAlign w:val="center"/>
          </w:tcPr>
          <w:p w14:paraId="712CE0CB">
            <w:pPr>
              <w:pStyle w:val="64"/>
              <w:rPr>
                <w:sz w:val="18"/>
                <w:szCs w:val="18"/>
              </w:rPr>
            </w:pPr>
            <w:r>
              <w:rPr>
                <w:rFonts w:hint="eastAsia"/>
                <w:sz w:val="18"/>
                <w:szCs w:val="18"/>
              </w:rPr>
              <w:t>蛋白质（</w:t>
            </w:r>
            <w:r>
              <w:rPr>
                <w:sz w:val="18"/>
                <w:szCs w:val="18"/>
              </w:rPr>
              <w:t>g/100g)</w:t>
            </w:r>
          </w:p>
        </w:tc>
        <w:tc>
          <w:tcPr>
            <w:tcW w:w="916" w:type="pct"/>
            <w:tcBorders>
              <w:top w:val="single" w:color="auto" w:sz="8" w:space="0"/>
              <w:left w:val="single" w:color="000000" w:sz="4" w:space="0"/>
              <w:bottom w:val="single" w:color="auto" w:sz="8" w:space="0"/>
              <w:right w:val="single" w:color="auto" w:sz="4" w:space="0"/>
            </w:tcBorders>
            <w:vAlign w:val="center"/>
          </w:tcPr>
          <w:p w14:paraId="5C76E436">
            <w:pPr>
              <w:pStyle w:val="64"/>
              <w:rPr>
                <w:kern w:val="2"/>
                <w:sz w:val="18"/>
                <w:szCs w:val="18"/>
              </w:rPr>
            </w:pPr>
            <w:r>
              <w:rPr>
                <w:rFonts w:hint="eastAsia"/>
                <w:color w:val="000000"/>
                <w:sz w:val="18"/>
                <w:szCs w:val="18"/>
              </w:rPr>
              <w:t>≥</w:t>
            </w:r>
            <w:r>
              <w:t>30</w:t>
            </w:r>
            <w:r>
              <w:rPr>
                <w:sz w:val="18"/>
                <w:szCs w:val="18"/>
              </w:rPr>
              <w:t>.0</w:t>
            </w:r>
          </w:p>
        </w:tc>
        <w:tc>
          <w:tcPr>
            <w:tcW w:w="917" w:type="pct"/>
            <w:tcBorders>
              <w:top w:val="single" w:color="auto" w:sz="8" w:space="0"/>
              <w:left w:val="single" w:color="auto" w:sz="4" w:space="0"/>
              <w:bottom w:val="single" w:color="auto" w:sz="8" w:space="0"/>
              <w:right w:val="single" w:color="000000" w:sz="4" w:space="0"/>
            </w:tcBorders>
            <w:vAlign w:val="center"/>
          </w:tcPr>
          <w:p w14:paraId="6EF69141">
            <w:pPr>
              <w:pStyle w:val="64"/>
              <w:rPr>
                <w:sz w:val="18"/>
                <w:szCs w:val="18"/>
              </w:rPr>
            </w:pPr>
            <w:r>
              <w:rPr>
                <w:rFonts w:hint="eastAsia"/>
                <w:color w:val="000000"/>
                <w:sz w:val="18"/>
                <w:szCs w:val="18"/>
              </w:rPr>
              <w:t>≥</w:t>
            </w:r>
            <w:r>
              <w:rPr>
                <w:sz w:val="18"/>
                <w:szCs w:val="18"/>
              </w:rPr>
              <w:t>20.0</w:t>
            </w:r>
          </w:p>
        </w:tc>
        <w:tc>
          <w:tcPr>
            <w:tcW w:w="916" w:type="pct"/>
            <w:tcBorders>
              <w:top w:val="single" w:color="auto" w:sz="8" w:space="0"/>
              <w:left w:val="single" w:color="000000" w:sz="4" w:space="0"/>
              <w:bottom w:val="single" w:color="auto" w:sz="8" w:space="0"/>
              <w:right w:val="single" w:color="000000" w:sz="4" w:space="0"/>
            </w:tcBorders>
          </w:tcPr>
          <w:p w14:paraId="754B725E">
            <w:pPr>
              <w:pStyle w:val="64"/>
              <w:rPr>
                <w:rFonts w:ascii="宋体" w:hAnsi="宋体"/>
                <w:color w:val="000000"/>
                <w:sz w:val="18"/>
                <w:szCs w:val="18"/>
              </w:rPr>
            </w:pPr>
            <w:r>
              <w:rPr>
                <w:rFonts w:hint="eastAsia"/>
                <w:color w:val="000000"/>
                <w:sz w:val="18"/>
                <w:szCs w:val="18"/>
              </w:rPr>
              <w:t>≥</w:t>
            </w:r>
            <w:r>
              <w:rPr>
                <w:sz w:val="18"/>
                <w:szCs w:val="18"/>
              </w:rPr>
              <w:t>30.0</w:t>
            </w:r>
          </w:p>
        </w:tc>
        <w:tc>
          <w:tcPr>
            <w:tcW w:w="915" w:type="pct"/>
            <w:tcBorders>
              <w:top w:val="single" w:color="auto" w:sz="8" w:space="0"/>
              <w:left w:val="single" w:color="000000" w:sz="4" w:space="0"/>
              <w:bottom w:val="single" w:color="auto" w:sz="8" w:space="0"/>
              <w:right w:val="single" w:color="000000" w:sz="4" w:space="0"/>
            </w:tcBorders>
          </w:tcPr>
          <w:p w14:paraId="6B352722">
            <w:pPr>
              <w:pStyle w:val="64"/>
              <w:rPr>
                <w:rFonts w:ascii="Times New Roman" w:hAnsi="Times New Roman" w:cs="Times New Roman"/>
                <w:sz w:val="18"/>
                <w:szCs w:val="18"/>
              </w:rPr>
            </w:pPr>
            <w:r>
              <w:rPr>
                <w:rFonts w:hint="eastAsia"/>
                <w:color w:val="000000"/>
                <w:sz w:val="18"/>
                <w:szCs w:val="18"/>
              </w:rPr>
              <w:t>≥</w:t>
            </w:r>
            <w:r>
              <w:t>10</w:t>
            </w:r>
            <w:r>
              <w:rPr>
                <w:sz w:val="18"/>
                <w:szCs w:val="18"/>
              </w:rPr>
              <w:t>.0</w:t>
            </w:r>
          </w:p>
        </w:tc>
      </w:tr>
      <w:tr w14:paraId="2E51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36" w:type="pct"/>
            <w:tcBorders>
              <w:top w:val="single" w:color="auto" w:sz="8" w:space="0"/>
              <w:left w:val="single" w:color="auto" w:sz="8" w:space="0"/>
              <w:bottom w:val="single" w:color="auto" w:sz="8" w:space="0"/>
              <w:right w:val="single" w:color="000000" w:sz="4" w:space="0"/>
            </w:tcBorders>
            <w:vAlign w:val="center"/>
          </w:tcPr>
          <w:p w14:paraId="0E7FC4BF">
            <w:pPr>
              <w:pStyle w:val="64"/>
              <w:rPr>
                <w:sz w:val="18"/>
                <w:szCs w:val="18"/>
              </w:rPr>
            </w:pPr>
            <w:r>
              <w:rPr>
                <w:rFonts w:hint="eastAsia"/>
                <w:sz w:val="18"/>
                <w:szCs w:val="18"/>
              </w:rPr>
              <w:t>水分（</w:t>
            </w:r>
            <w:r>
              <w:rPr>
                <w:sz w:val="18"/>
                <w:szCs w:val="18"/>
              </w:rPr>
              <w:t>g/100g</w:t>
            </w:r>
            <w:r>
              <w:rPr>
                <w:rFonts w:hint="eastAsia"/>
                <w:sz w:val="18"/>
                <w:szCs w:val="18"/>
              </w:rPr>
              <w:t>）</w:t>
            </w:r>
          </w:p>
        </w:tc>
        <w:tc>
          <w:tcPr>
            <w:tcW w:w="916" w:type="pct"/>
            <w:tcBorders>
              <w:top w:val="single" w:color="auto" w:sz="8" w:space="0"/>
              <w:left w:val="single" w:color="000000" w:sz="4" w:space="0"/>
              <w:bottom w:val="single" w:color="auto" w:sz="8" w:space="0"/>
              <w:right w:val="single" w:color="auto" w:sz="4" w:space="0"/>
            </w:tcBorders>
            <w:vAlign w:val="center"/>
          </w:tcPr>
          <w:p w14:paraId="2B80D6B2">
            <w:pPr>
              <w:pStyle w:val="64"/>
              <w:rPr>
                <w:sz w:val="18"/>
                <w:szCs w:val="18"/>
              </w:rPr>
            </w:pPr>
            <w:r>
              <w:rPr>
                <w:rFonts w:hint="eastAsia"/>
                <w:sz w:val="18"/>
                <w:szCs w:val="18"/>
              </w:rPr>
              <w:t>≤</w:t>
            </w:r>
            <w:r>
              <w:rPr>
                <w:sz w:val="18"/>
                <w:szCs w:val="18"/>
              </w:rPr>
              <w:t>60.0</w:t>
            </w:r>
          </w:p>
        </w:tc>
        <w:tc>
          <w:tcPr>
            <w:tcW w:w="917" w:type="pct"/>
            <w:tcBorders>
              <w:top w:val="single" w:color="auto" w:sz="8" w:space="0"/>
              <w:left w:val="single" w:color="auto" w:sz="4" w:space="0"/>
              <w:bottom w:val="single" w:color="auto" w:sz="8" w:space="0"/>
              <w:right w:val="single" w:color="000000" w:sz="4" w:space="0"/>
            </w:tcBorders>
            <w:vAlign w:val="center"/>
          </w:tcPr>
          <w:p w14:paraId="6C0E9720">
            <w:pPr>
              <w:pStyle w:val="64"/>
              <w:rPr>
                <w:sz w:val="18"/>
                <w:szCs w:val="18"/>
              </w:rPr>
            </w:pPr>
            <w:r>
              <w:rPr>
                <w:rFonts w:hint="eastAsia"/>
                <w:sz w:val="18"/>
                <w:szCs w:val="18"/>
              </w:rPr>
              <w:t>≤</w:t>
            </w:r>
            <w:r>
              <w:rPr>
                <w:sz w:val="18"/>
                <w:szCs w:val="18"/>
              </w:rPr>
              <w:t>70.0</w:t>
            </w:r>
          </w:p>
        </w:tc>
        <w:tc>
          <w:tcPr>
            <w:tcW w:w="916" w:type="pct"/>
            <w:tcBorders>
              <w:top w:val="single" w:color="auto" w:sz="8" w:space="0"/>
              <w:left w:val="single" w:color="000000" w:sz="4" w:space="0"/>
              <w:bottom w:val="single" w:color="auto" w:sz="8" w:space="0"/>
              <w:right w:val="single" w:color="000000" w:sz="4" w:space="0"/>
            </w:tcBorders>
          </w:tcPr>
          <w:p w14:paraId="6707868E">
            <w:pPr>
              <w:pStyle w:val="64"/>
              <w:rPr>
                <w:kern w:val="2"/>
                <w:sz w:val="18"/>
                <w:szCs w:val="18"/>
              </w:rPr>
            </w:pPr>
            <w:r>
              <w:rPr>
                <w:rFonts w:hint="eastAsia"/>
                <w:sz w:val="18"/>
                <w:szCs w:val="18"/>
              </w:rPr>
              <w:t>≤</w:t>
            </w:r>
            <w:r>
              <w:rPr>
                <w:sz w:val="18"/>
                <w:szCs w:val="18"/>
              </w:rPr>
              <w:t>55.0</w:t>
            </w:r>
          </w:p>
        </w:tc>
        <w:tc>
          <w:tcPr>
            <w:tcW w:w="915" w:type="pct"/>
            <w:tcBorders>
              <w:top w:val="single" w:color="auto" w:sz="8" w:space="0"/>
              <w:left w:val="single" w:color="000000" w:sz="4" w:space="0"/>
              <w:bottom w:val="single" w:color="auto" w:sz="8" w:space="0"/>
              <w:right w:val="single" w:color="000000" w:sz="4" w:space="0"/>
            </w:tcBorders>
          </w:tcPr>
          <w:p w14:paraId="16F99D62">
            <w:pPr>
              <w:pStyle w:val="64"/>
              <w:rPr>
                <w:sz w:val="18"/>
                <w:szCs w:val="18"/>
              </w:rPr>
            </w:pPr>
            <w:r>
              <w:rPr>
                <w:rFonts w:hint="eastAsia"/>
                <w:sz w:val="18"/>
                <w:szCs w:val="18"/>
              </w:rPr>
              <w:t>≤</w:t>
            </w:r>
            <w:r>
              <w:rPr>
                <w:sz w:val="18"/>
                <w:szCs w:val="18"/>
              </w:rPr>
              <w:t>80.0</w:t>
            </w:r>
          </w:p>
        </w:tc>
      </w:tr>
      <w:tr w14:paraId="55940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336" w:type="pct"/>
            <w:tcBorders>
              <w:top w:val="single" w:color="auto" w:sz="8" w:space="0"/>
              <w:left w:val="single" w:color="auto" w:sz="8" w:space="0"/>
              <w:bottom w:val="single" w:color="auto" w:sz="8" w:space="0"/>
              <w:right w:val="single" w:color="000000" w:sz="4" w:space="0"/>
            </w:tcBorders>
            <w:vAlign w:val="center"/>
          </w:tcPr>
          <w:p w14:paraId="2FB6A25A">
            <w:pPr>
              <w:pStyle w:val="64"/>
              <w:rPr>
                <w:sz w:val="18"/>
                <w:szCs w:val="18"/>
              </w:rPr>
            </w:pPr>
            <w:r>
              <w:rPr>
                <w:rFonts w:hint="eastAsia"/>
                <w:sz w:val="18"/>
                <w:szCs w:val="18"/>
              </w:rPr>
              <w:t>氯化物（以</w:t>
            </w:r>
            <w:r>
              <w:rPr>
                <w:sz w:val="18"/>
                <w:szCs w:val="18"/>
              </w:rPr>
              <w:t>NaCl</w:t>
            </w:r>
            <w:r>
              <w:rPr>
                <w:rFonts w:hint="eastAsia"/>
                <w:sz w:val="18"/>
                <w:szCs w:val="18"/>
              </w:rPr>
              <w:t>计）（</w:t>
            </w:r>
            <w:r>
              <w:rPr>
                <w:sz w:val="18"/>
                <w:szCs w:val="18"/>
              </w:rPr>
              <w:t>g/100g</w:t>
            </w:r>
            <w:r>
              <w:rPr>
                <w:rFonts w:hint="eastAsia"/>
                <w:sz w:val="18"/>
                <w:szCs w:val="18"/>
              </w:rPr>
              <w:t>）</w:t>
            </w:r>
          </w:p>
        </w:tc>
        <w:tc>
          <w:tcPr>
            <w:tcW w:w="3664" w:type="pct"/>
            <w:gridSpan w:val="4"/>
            <w:tcBorders>
              <w:top w:val="single" w:color="auto" w:sz="8" w:space="0"/>
              <w:left w:val="single" w:color="000000" w:sz="4" w:space="0"/>
              <w:bottom w:val="single" w:color="auto" w:sz="8" w:space="0"/>
              <w:right w:val="single" w:color="000000" w:sz="4" w:space="0"/>
            </w:tcBorders>
            <w:vAlign w:val="center"/>
          </w:tcPr>
          <w:p w14:paraId="23950041">
            <w:pPr>
              <w:pStyle w:val="64"/>
              <w:rPr>
                <w:sz w:val="18"/>
                <w:szCs w:val="18"/>
              </w:rPr>
            </w:pPr>
            <w:r>
              <w:rPr>
                <w:rFonts w:hint="eastAsia"/>
                <w:sz w:val="18"/>
                <w:szCs w:val="18"/>
              </w:rPr>
              <w:t>≤</w:t>
            </w:r>
            <w:r>
              <w:rPr>
                <w:sz w:val="18"/>
                <w:szCs w:val="18"/>
              </w:rPr>
              <w:t>2.</w:t>
            </w:r>
            <w:r>
              <w:t>5</w:t>
            </w:r>
          </w:p>
        </w:tc>
      </w:tr>
      <w:tr w14:paraId="5EE8D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000" w:type="pct"/>
            <w:gridSpan w:val="5"/>
            <w:tcBorders>
              <w:top w:val="single" w:color="auto" w:sz="8" w:space="0"/>
              <w:left w:val="single" w:color="auto" w:sz="8" w:space="0"/>
              <w:bottom w:val="single" w:color="000000" w:sz="4" w:space="0"/>
              <w:right w:val="single" w:color="auto" w:sz="4" w:space="0"/>
            </w:tcBorders>
          </w:tcPr>
          <w:p w14:paraId="18E7316E">
            <w:pPr>
              <w:pStyle w:val="64"/>
              <w:jc w:val="left"/>
              <w:rPr>
                <w:sz w:val="18"/>
                <w:szCs w:val="18"/>
              </w:rPr>
            </w:pPr>
            <w:r>
              <w:rPr>
                <w:rFonts w:hint="eastAsia"/>
                <w:sz w:val="18"/>
                <w:szCs w:val="18"/>
              </w:rPr>
              <w:t>注</w:t>
            </w:r>
            <w:r>
              <w:rPr>
                <w:sz w:val="18"/>
                <w:szCs w:val="18"/>
              </w:rPr>
              <w:t>1</w:t>
            </w:r>
            <w:r>
              <w:rPr>
                <w:rFonts w:hint="eastAsia"/>
                <w:sz w:val="18"/>
                <w:szCs w:val="18"/>
              </w:rPr>
              <w:t>：蛋白质、水分指可食部分。</w:t>
            </w:r>
          </w:p>
          <w:p w14:paraId="25D33DFC">
            <w:pPr>
              <w:pStyle w:val="64"/>
              <w:jc w:val="left"/>
              <w:rPr>
                <w:sz w:val="18"/>
                <w:szCs w:val="18"/>
              </w:rPr>
            </w:pPr>
            <w:r>
              <w:rPr>
                <w:rFonts w:hint="eastAsia"/>
                <w:sz w:val="18"/>
                <w:szCs w:val="18"/>
              </w:rPr>
              <w:t>注</w:t>
            </w:r>
            <w:r>
              <w:rPr>
                <w:sz w:val="18"/>
                <w:szCs w:val="18"/>
              </w:rPr>
              <w:t>2</w:t>
            </w:r>
            <w:r>
              <w:rPr>
                <w:rFonts w:hint="eastAsia"/>
                <w:sz w:val="18"/>
                <w:szCs w:val="18"/>
              </w:rPr>
              <w:t>：用肥瘦相间的通辽牛肉为原料的酱卤肉制品蛋白质含量参照其他类产品执行（例如带皮带脂的酱汁牛肉、卤汁牛肉、酱卤牛腩等）。</w:t>
            </w:r>
          </w:p>
        </w:tc>
      </w:tr>
    </w:tbl>
    <w:p w14:paraId="00ABD63A">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1F05A38F">
      <w:pPr>
        <w:pStyle w:val="30"/>
      </w:pPr>
      <w:r>
        <w:rPr>
          <w:rFonts w:hint="eastAsia"/>
        </w:rPr>
        <w:t>针对公众关注的食品工业制品高盐、高油等问题，着力贯彻落实并认真践行《中国食品工业减盐指南》、《“健康中国</w:t>
      </w:r>
      <w:r>
        <w:t>2030”规划纲要》、《健康中国行动（2019-2030年）》、《国民营养计划（2017-2030年）》，引领</w:t>
      </w:r>
      <w:r>
        <w:rPr>
          <w:rFonts w:hint="eastAsia"/>
        </w:rPr>
        <w:t>通辽酱卤</w:t>
      </w:r>
      <w:r>
        <w:t>牛肉</w:t>
      </w:r>
      <w:r>
        <w:rPr>
          <w:rFonts w:hint="eastAsia"/>
        </w:rPr>
        <w:t>制品</w:t>
      </w:r>
      <w:r>
        <w:t>向营养健康方向发展，规定了蛋白质、水分、氯化物（以NaCl计）的技术要求</w:t>
      </w:r>
      <w:r>
        <w:rPr>
          <w:rFonts w:hint="eastAsia"/>
        </w:rPr>
        <w:t>。同时，本标准在制定过程中还考虑了是否设定淀粉等指标，经过调研及分析，水分含量的限定在一定程度上已经限制了淀粉的加入，且淀粉的过量添加不利于产品品质的保持同时难以做到类似酱卤肉制品的形态、滋气味和组织状态，因此没有单独设定淀粉指标进行限定。</w:t>
      </w:r>
    </w:p>
    <w:p w14:paraId="4763AC74">
      <w:pPr>
        <w:pStyle w:val="30"/>
      </w:pPr>
      <w:r>
        <w:rPr>
          <w:rFonts w:hint="eastAsia"/>
        </w:rPr>
        <w:t>注释内容参考国标</w:t>
      </w:r>
      <w:r>
        <w:t>GBT/T 23586</w:t>
      </w:r>
      <w:r>
        <w:rPr>
          <w:rFonts w:hint="eastAsia"/>
        </w:rPr>
        <w:t>结合通辽</w:t>
      </w:r>
      <w:r>
        <w:t>牛肉酱卤制品产品情况</w:t>
      </w:r>
      <w:r>
        <w:rPr>
          <w:rFonts w:hint="eastAsia"/>
        </w:rPr>
        <w:t>规定</w:t>
      </w:r>
      <w:r>
        <w:t>。可食部分主要考虑其他类里有带骨的产品，测定时候仅测定去骨后可以直接食用的部位；肥瘦相间的产品比如牛腩肥肉和瘦肉混合，很难全部分离，假如采用牛腩制作蛋白质含量会偏低，</w:t>
      </w:r>
      <w:r>
        <w:rPr>
          <w:rFonts w:hint="eastAsia"/>
        </w:rPr>
        <w:t>类型</w:t>
      </w:r>
      <w:r>
        <w:t>这种原料制备的产品归为其他类。</w:t>
      </w:r>
    </w:p>
    <w:p w14:paraId="5CB7E8C2">
      <w:pPr>
        <w:pStyle w:val="30"/>
      </w:pPr>
      <w:r>
        <w:rPr>
          <w:rFonts w:hint="eastAsia"/>
        </w:rPr>
        <w:t>与GB/T 23586相较</w:t>
      </w:r>
      <w:r>
        <w:t>，</w:t>
      </w:r>
      <w:r>
        <w:rPr>
          <w:rFonts w:hint="eastAsia"/>
        </w:rPr>
        <w:t>本</w:t>
      </w:r>
      <w:r>
        <w:t>标准</w:t>
      </w:r>
      <w:r>
        <w:rPr>
          <w:rFonts w:hint="eastAsia"/>
        </w:rPr>
        <w:t>增加</w:t>
      </w:r>
      <w:r>
        <w:t>对</w:t>
      </w:r>
      <w:r>
        <w:rPr>
          <w:rFonts w:hint="eastAsia"/>
        </w:rPr>
        <w:t>氯化物</w:t>
      </w:r>
      <w:r>
        <w:t>含量</w:t>
      </w:r>
      <w:r>
        <w:rPr>
          <w:rFonts w:hint="eastAsia"/>
        </w:rPr>
        <w:t>的</w:t>
      </w:r>
      <w:r>
        <w:t>规定</w:t>
      </w:r>
      <w:r>
        <w:rPr>
          <w:rFonts w:hint="eastAsia"/>
        </w:rPr>
        <w:t>。</w:t>
      </w:r>
      <w:r>
        <w:t>为</w:t>
      </w:r>
      <w:r>
        <w:rPr>
          <w:rFonts w:hint="eastAsia"/>
        </w:rPr>
        <w:t>保护</w:t>
      </w:r>
      <w:r>
        <w:t>企业</w:t>
      </w:r>
      <w:r>
        <w:rPr>
          <w:rFonts w:hint="eastAsia"/>
        </w:rPr>
        <w:t>利益，</w:t>
      </w:r>
      <w:r>
        <w:t>促进不同质量等级产品</w:t>
      </w:r>
      <w:r>
        <w:rPr>
          <w:rFonts w:hint="eastAsia"/>
        </w:rPr>
        <w:t>划分</w:t>
      </w:r>
      <w:r>
        <w:t>有据可依</w:t>
      </w:r>
      <w:r>
        <w:rPr>
          <w:rFonts w:hint="eastAsia"/>
        </w:rPr>
        <w:t>，</w:t>
      </w:r>
      <w:r>
        <w:t>本</w:t>
      </w:r>
      <w:r>
        <w:rPr>
          <w:rFonts w:hint="eastAsia"/>
        </w:rPr>
        <w:t>文件还</w:t>
      </w:r>
      <w:r>
        <w:t>进行</w:t>
      </w:r>
      <w:r>
        <w:rPr>
          <w:rFonts w:hint="eastAsia"/>
        </w:rPr>
        <w:t>了酱卤</w:t>
      </w:r>
      <w:r>
        <w:t>牛肉类产品的</w:t>
      </w:r>
      <w:r>
        <w:rPr>
          <w:rFonts w:hint="eastAsia"/>
        </w:rPr>
        <w:t>等级</w:t>
      </w:r>
      <w:r>
        <w:t>分级</w:t>
      </w:r>
      <w:r>
        <w:rPr>
          <w:rFonts w:hint="eastAsia"/>
        </w:rPr>
        <w:t>，体现了标准的先进性。通过对</w:t>
      </w:r>
      <w:r>
        <w:t>通辽</w:t>
      </w:r>
      <w:r>
        <w:rPr>
          <w:rFonts w:hint="eastAsia"/>
        </w:rPr>
        <w:t>地区</w:t>
      </w:r>
      <w:r>
        <w:t>通辽牛肉</w:t>
      </w:r>
      <w:r>
        <w:rPr>
          <w:rFonts w:hint="eastAsia"/>
        </w:rPr>
        <w:t>酱卤类</w:t>
      </w:r>
      <w:r>
        <w:t>产品进行调研，发现</w:t>
      </w:r>
      <w:r>
        <w:rPr>
          <w:rFonts w:hint="eastAsia"/>
        </w:rPr>
        <w:t>酱卤</w:t>
      </w:r>
      <w:r>
        <w:t>牛蹄筋</w:t>
      </w:r>
      <w:r>
        <w:rPr>
          <w:rFonts w:hint="eastAsia"/>
        </w:rPr>
        <w:t>是</w:t>
      </w:r>
      <w:r>
        <w:t>当地产销量较高</w:t>
      </w:r>
      <w:r>
        <w:rPr>
          <w:rFonts w:hint="eastAsia"/>
        </w:rPr>
        <w:t>的</w:t>
      </w:r>
      <w:r>
        <w:t>特色</w:t>
      </w:r>
      <w:r>
        <w:rPr>
          <w:rFonts w:hint="eastAsia"/>
        </w:rPr>
        <w:t>牛肉</w:t>
      </w:r>
      <w:r>
        <w:t>产品，</w:t>
      </w:r>
      <w:r>
        <w:rPr>
          <w:rFonts w:hint="eastAsia"/>
        </w:rPr>
        <w:t>牛蹄筋含有</w:t>
      </w:r>
      <w:r>
        <w:t>丰富的</w:t>
      </w:r>
      <w:r>
        <w:rPr>
          <w:rFonts w:hint="eastAsia"/>
        </w:rPr>
        <w:t>蛋白质和</w:t>
      </w:r>
      <w:r>
        <w:t>特殊</w:t>
      </w:r>
      <w:r>
        <w:rPr>
          <w:rFonts w:hint="eastAsia"/>
        </w:rPr>
        <w:t>的食用</w:t>
      </w:r>
      <w:r>
        <w:t>口感</w:t>
      </w:r>
      <w:r>
        <w:rPr>
          <w:rFonts w:hint="eastAsia"/>
        </w:rPr>
        <w:t>，</w:t>
      </w:r>
      <w:r>
        <w:t>广受消费者喜爱</w:t>
      </w:r>
      <w:r>
        <w:rPr>
          <w:rFonts w:hint="eastAsia"/>
        </w:rPr>
        <w:t>。为保证</w:t>
      </w:r>
      <w:r>
        <w:t>牛蹄筋产品</w:t>
      </w:r>
      <w:r>
        <w:rPr>
          <w:rFonts w:hint="eastAsia"/>
        </w:rPr>
        <w:t>的</w:t>
      </w:r>
      <w:r>
        <w:t>高</w:t>
      </w:r>
      <w:r>
        <w:rPr>
          <w:rFonts w:hint="eastAsia"/>
        </w:rPr>
        <w:t>质量发展</w:t>
      </w:r>
      <w:r>
        <w:t>，</w:t>
      </w:r>
      <w:r>
        <w:rPr>
          <w:rFonts w:hint="eastAsia"/>
        </w:rPr>
        <w:t>本标准</w:t>
      </w:r>
      <w:r>
        <w:t>特对牛蹄筋产品进行</w:t>
      </w:r>
      <w:r>
        <w:rPr>
          <w:rFonts w:hint="eastAsia"/>
        </w:rPr>
        <w:t>单独</w:t>
      </w:r>
      <w:r>
        <w:t>分类</w:t>
      </w:r>
      <w:r>
        <w:rPr>
          <w:rFonts w:hint="eastAsia"/>
        </w:rPr>
        <w:t>并</w:t>
      </w:r>
      <w:r>
        <w:t>限定要求。各项指标的具体限量值根据</w:t>
      </w:r>
      <w:r>
        <w:rPr>
          <w:rFonts w:hint="eastAsia"/>
        </w:rPr>
        <w:t>市售</w:t>
      </w:r>
      <w:r>
        <w:t>样品营养标签调研和在</w:t>
      </w:r>
      <w:r>
        <w:rPr>
          <w:rFonts w:hint="eastAsia"/>
        </w:rPr>
        <w:t>通辽</w:t>
      </w:r>
      <w:r>
        <w:t>地区实际</w:t>
      </w:r>
      <w:r>
        <w:rPr>
          <w:rFonts w:hint="eastAsia"/>
        </w:rPr>
        <w:t>采集样</w:t>
      </w:r>
      <w:r>
        <w:t>品</w:t>
      </w:r>
      <w:r>
        <w:rPr>
          <w:rFonts w:hint="eastAsia"/>
        </w:rPr>
        <w:t>的</w:t>
      </w:r>
      <w:r>
        <w:t>检测结果确定。</w:t>
      </w:r>
      <w:r>
        <w:rPr>
          <w:rFonts w:hint="eastAsia"/>
        </w:rPr>
        <w:t>采集样品</w:t>
      </w:r>
      <w:r>
        <w:t>的</w:t>
      </w:r>
      <w:r>
        <w:rPr>
          <w:rFonts w:hint="eastAsia"/>
        </w:rPr>
        <w:t>具体测定</w:t>
      </w:r>
      <w:r>
        <w:t>结果见表</w:t>
      </w:r>
      <w:r>
        <w:rPr>
          <w:rFonts w:hint="eastAsia"/>
        </w:rPr>
        <w:t>3。</w:t>
      </w:r>
    </w:p>
    <w:p w14:paraId="025EF883">
      <w:pPr>
        <w:ind w:firstLine="480"/>
        <w:rPr>
          <w:rFonts w:ascii="宋体" w:hAnsi="宋体" w:eastAsia="宋体"/>
          <w:sz w:val="24"/>
          <w:szCs w:val="28"/>
        </w:rPr>
      </w:pPr>
      <w:r>
        <w:rPr>
          <w:rFonts w:hint="eastAsia" w:ascii="宋体" w:hAnsi="宋体" w:eastAsia="宋体"/>
          <w:sz w:val="24"/>
          <w:szCs w:val="28"/>
        </w:rPr>
        <w:t>（1）蛋白质</w:t>
      </w:r>
    </w:p>
    <w:p w14:paraId="2C9262B8">
      <w:pPr>
        <w:ind w:firstLine="480"/>
        <w:jc w:val="left"/>
        <w:rPr>
          <w:rFonts w:ascii="宋体" w:hAnsi="宋体" w:eastAsia="宋体"/>
          <w:sz w:val="24"/>
          <w:szCs w:val="24"/>
        </w:rPr>
      </w:pPr>
      <w:r>
        <w:rPr>
          <w:rFonts w:hint="eastAsia" w:ascii="宋体" w:hAnsi="宋体" w:eastAsia="宋体"/>
          <w:sz w:val="24"/>
          <w:szCs w:val="28"/>
        </w:rPr>
        <w:t>蛋白质含量是牛肉酱卤产品品质的重要指标。该部分的蛋白质指的是可食用</w:t>
      </w:r>
      <w:r>
        <w:rPr>
          <w:rFonts w:ascii="宋体" w:hAnsi="宋体" w:eastAsia="宋体"/>
          <w:sz w:val="24"/>
          <w:szCs w:val="28"/>
        </w:rPr>
        <w:t>部分</w:t>
      </w:r>
      <w:r>
        <w:rPr>
          <w:rFonts w:hint="eastAsia" w:ascii="宋体" w:hAnsi="宋体" w:eastAsia="宋体"/>
          <w:sz w:val="24"/>
          <w:szCs w:val="28"/>
        </w:rPr>
        <w:t>蛋白质的总量。根据样品检测的结果，共收集</w:t>
      </w:r>
      <w:r>
        <w:rPr>
          <w:rFonts w:ascii="宋体" w:hAnsi="宋体" w:eastAsia="宋体"/>
          <w:sz w:val="24"/>
          <w:szCs w:val="28"/>
        </w:rPr>
        <w:t>5</w:t>
      </w:r>
      <w:r>
        <w:rPr>
          <w:rFonts w:hint="eastAsia" w:ascii="宋体" w:hAnsi="宋体" w:eastAsia="宋体"/>
          <w:sz w:val="24"/>
          <w:szCs w:val="28"/>
        </w:rPr>
        <w:t>种产品</w:t>
      </w:r>
      <w:r>
        <w:rPr>
          <w:rFonts w:ascii="宋体" w:hAnsi="宋体" w:eastAsia="宋体"/>
          <w:sz w:val="24"/>
          <w:szCs w:val="28"/>
        </w:rPr>
        <w:t>检测结果，产品中蛋白质含量范围在19.5-33.4 g/100g之间，平均值为29.46 g/100g，中位值为32.6g/100g。同时本标准对</w:t>
      </w:r>
      <w:r>
        <w:rPr>
          <w:rFonts w:hint="eastAsia" w:ascii="宋体" w:hAnsi="宋体" w:eastAsia="宋体"/>
          <w:sz w:val="24"/>
          <w:szCs w:val="28"/>
        </w:rPr>
        <w:t>通辽牛肉</w:t>
      </w:r>
      <w:r>
        <w:rPr>
          <w:rFonts w:ascii="宋体" w:hAnsi="宋体" w:eastAsia="宋体"/>
          <w:sz w:val="24"/>
          <w:szCs w:val="28"/>
        </w:rPr>
        <w:t>酱卤制品</w:t>
      </w:r>
      <w:r>
        <w:rPr>
          <w:rFonts w:hint="eastAsia" w:ascii="宋体" w:hAnsi="宋体" w:eastAsia="宋体"/>
          <w:sz w:val="24"/>
          <w:szCs w:val="28"/>
        </w:rPr>
        <w:t>的</w:t>
      </w:r>
      <w:r>
        <w:rPr>
          <w:rFonts w:ascii="宋体" w:hAnsi="宋体" w:eastAsia="宋体"/>
          <w:sz w:val="24"/>
          <w:szCs w:val="28"/>
        </w:rPr>
        <w:t>酱卤牛肉类按照蛋白质含量进行了分级，使消费者选择商品时更加明确，保证优质优价，防止以次充</w:t>
      </w:r>
      <w:r>
        <w:rPr>
          <w:rFonts w:hint="eastAsia" w:ascii="宋体" w:hAnsi="宋体" w:eastAsia="宋体"/>
          <w:sz w:val="24"/>
          <w:szCs w:val="28"/>
        </w:rPr>
        <w:t>好等现象的发生。根据</w:t>
      </w:r>
      <w:r>
        <w:rPr>
          <w:rFonts w:ascii="宋体" w:hAnsi="宋体" w:eastAsia="宋体"/>
          <w:sz w:val="24"/>
          <w:szCs w:val="28"/>
        </w:rPr>
        <w:t>市场调研和采集样品测定结果</w:t>
      </w:r>
      <w:r>
        <w:rPr>
          <w:rFonts w:hint="eastAsia" w:ascii="宋体" w:hAnsi="宋体" w:eastAsia="宋体"/>
          <w:sz w:val="24"/>
          <w:szCs w:val="28"/>
        </w:rPr>
        <w:t>设定</w:t>
      </w:r>
      <w:r>
        <w:rPr>
          <w:rFonts w:ascii="宋体" w:hAnsi="宋体" w:eastAsia="宋体"/>
          <w:sz w:val="24"/>
          <w:szCs w:val="28"/>
        </w:rPr>
        <w:t>蛋白质含量</w:t>
      </w:r>
      <w:r>
        <w:rPr>
          <w:rFonts w:hint="eastAsia" w:ascii="宋体" w:hAnsi="宋体" w:eastAsia="宋体"/>
          <w:sz w:val="24"/>
          <w:szCs w:val="28"/>
        </w:rPr>
        <w:t>≥</w:t>
      </w:r>
      <w:r>
        <w:rPr>
          <w:rFonts w:ascii="宋体" w:hAnsi="宋体" w:eastAsia="宋体"/>
          <w:sz w:val="24"/>
          <w:szCs w:val="28"/>
        </w:rPr>
        <w:t>30 g/100g为</w:t>
      </w:r>
      <w:r>
        <w:rPr>
          <w:rFonts w:hint="eastAsia" w:ascii="宋体" w:hAnsi="宋体" w:eastAsia="宋体"/>
          <w:sz w:val="24"/>
          <w:szCs w:val="28"/>
        </w:rPr>
        <w:t>优</w:t>
      </w:r>
      <w:r>
        <w:rPr>
          <w:rFonts w:ascii="宋体" w:hAnsi="宋体" w:eastAsia="宋体"/>
          <w:sz w:val="24"/>
          <w:szCs w:val="28"/>
        </w:rPr>
        <w:t>级</w:t>
      </w:r>
      <w:r>
        <w:rPr>
          <w:rFonts w:hint="eastAsia" w:ascii="宋体" w:hAnsi="宋体" w:eastAsia="宋体"/>
          <w:sz w:val="24"/>
          <w:szCs w:val="28"/>
        </w:rPr>
        <w:t>，参照</w:t>
      </w:r>
      <w:r>
        <w:rPr>
          <w:rFonts w:hint="eastAsia"/>
          <w:sz w:val="24"/>
          <w:szCs w:val="24"/>
        </w:rPr>
        <w:t>GB/T 23586，</w:t>
      </w:r>
      <w:r>
        <w:rPr>
          <w:rFonts w:hint="eastAsia" w:ascii="宋体" w:hAnsi="宋体" w:eastAsia="宋体"/>
          <w:sz w:val="24"/>
          <w:szCs w:val="28"/>
        </w:rPr>
        <w:t>蛋白质含量≥</w:t>
      </w:r>
      <w:r>
        <w:rPr>
          <w:rFonts w:ascii="宋体" w:hAnsi="宋体" w:eastAsia="宋体"/>
          <w:sz w:val="24"/>
          <w:szCs w:val="28"/>
        </w:rPr>
        <w:t>20 g/100g</w:t>
      </w:r>
      <w:r>
        <w:rPr>
          <w:rFonts w:hint="eastAsia" w:ascii="宋体" w:hAnsi="宋体" w:eastAsia="宋体"/>
          <w:sz w:val="24"/>
          <w:szCs w:val="28"/>
        </w:rPr>
        <w:t>设定</w:t>
      </w:r>
      <w:r>
        <w:rPr>
          <w:rFonts w:ascii="宋体" w:hAnsi="宋体" w:eastAsia="宋体"/>
          <w:sz w:val="24"/>
          <w:szCs w:val="28"/>
        </w:rPr>
        <w:t>为</w:t>
      </w:r>
      <w:r>
        <w:rPr>
          <w:rFonts w:hint="eastAsia" w:ascii="宋体" w:hAnsi="宋体" w:eastAsia="宋体"/>
          <w:sz w:val="24"/>
          <w:szCs w:val="28"/>
        </w:rPr>
        <w:t>普通</w:t>
      </w:r>
      <w:r>
        <w:rPr>
          <w:rFonts w:ascii="宋体" w:hAnsi="宋体" w:eastAsia="宋体"/>
          <w:sz w:val="24"/>
          <w:szCs w:val="28"/>
        </w:rPr>
        <w:t>级。</w:t>
      </w:r>
      <w:r>
        <w:rPr>
          <w:rFonts w:hint="eastAsia" w:ascii="宋体" w:hAnsi="宋体" w:eastAsia="宋体"/>
          <w:sz w:val="24"/>
          <w:szCs w:val="28"/>
        </w:rPr>
        <w:t>酱卤</w:t>
      </w:r>
      <w:r>
        <w:rPr>
          <w:rFonts w:ascii="宋体" w:hAnsi="宋体" w:eastAsia="宋体"/>
          <w:sz w:val="24"/>
          <w:szCs w:val="28"/>
        </w:rPr>
        <w:t>牛蹄类产品蛋白质含量根据</w:t>
      </w:r>
      <w:r>
        <w:rPr>
          <w:rFonts w:hint="eastAsia" w:ascii="宋体" w:hAnsi="宋体" w:eastAsia="宋体"/>
          <w:sz w:val="24"/>
          <w:szCs w:val="28"/>
        </w:rPr>
        <w:t>市场</w:t>
      </w:r>
      <w:r>
        <w:rPr>
          <w:rFonts w:ascii="宋体" w:hAnsi="宋体" w:eastAsia="宋体"/>
          <w:sz w:val="24"/>
          <w:szCs w:val="28"/>
        </w:rPr>
        <w:t>产品营养标签结果调研和采集样品测定</w:t>
      </w:r>
      <w:r>
        <w:rPr>
          <w:rFonts w:hint="eastAsia" w:ascii="宋体" w:hAnsi="宋体" w:eastAsia="宋体"/>
          <w:sz w:val="24"/>
          <w:szCs w:val="28"/>
        </w:rPr>
        <w:t>结果</w:t>
      </w:r>
      <w:r>
        <w:rPr>
          <w:rFonts w:ascii="宋体" w:hAnsi="宋体" w:eastAsia="宋体"/>
          <w:sz w:val="24"/>
          <w:szCs w:val="28"/>
        </w:rPr>
        <w:t>，规定酱卤牛蹄筋蛋白质含量</w:t>
      </w:r>
      <w:r>
        <w:rPr>
          <w:rFonts w:hint="eastAsia" w:ascii="宋体" w:hAnsi="宋体" w:eastAsia="宋体"/>
          <w:sz w:val="24"/>
          <w:szCs w:val="28"/>
        </w:rPr>
        <w:t>≥</w:t>
      </w:r>
      <w:r>
        <w:rPr>
          <w:rFonts w:ascii="宋体" w:hAnsi="宋体" w:eastAsia="宋体"/>
          <w:sz w:val="24"/>
          <w:szCs w:val="28"/>
        </w:rPr>
        <w:t>30 g/100g</w:t>
      </w:r>
      <w:r>
        <w:rPr>
          <w:rFonts w:hint="eastAsia" w:ascii="宋体" w:hAnsi="宋体" w:eastAsia="宋体"/>
          <w:sz w:val="24"/>
          <w:szCs w:val="28"/>
        </w:rPr>
        <w:t>。考虑</w:t>
      </w:r>
      <w:r>
        <w:rPr>
          <w:rFonts w:ascii="宋体" w:hAnsi="宋体" w:eastAsia="宋体"/>
          <w:sz w:val="24"/>
          <w:szCs w:val="28"/>
        </w:rPr>
        <w:t>到</w:t>
      </w:r>
      <w:r>
        <w:rPr>
          <w:rFonts w:hint="eastAsia" w:ascii="宋体" w:hAnsi="宋体" w:eastAsia="宋体"/>
          <w:sz w:val="24"/>
          <w:szCs w:val="28"/>
        </w:rPr>
        <w:t>产品</w:t>
      </w:r>
      <w:r>
        <w:rPr>
          <w:rFonts w:ascii="宋体" w:hAnsi="宋体" w:eastAsia="宋体"/>
          <w:sz w:val="24"/>
          <w:szCs w:val="28"/>
        </w:rPr>
        <w:t>可能</w:t>
      </w:r>
      <w:r>
        <w:rPr>
          <w:rFonts w:hint="eastAsia" w:ascii="宋体" w:hAnsi="宋体" w:eastAsia="宋体"/>
          <w:sz w:val="24"/>
          <w:szCs w:val="28"/>
        </w:rPr>
        <w:t>选用</w:t>
      </w:r>
      <w:r>
        <w:rPr>
          <w:rFonts w:ascii="宋体" w:hAnsi="宋体" w:eastAsia="宋体"/>
          <w:sz w:val="24"/>
          <w:szCs w:val="28"/>
        </w:rPr>
        <w:t>带皮、带脂肪等部位肉</w:t>
      </w:r>
      <w:r>
        <w:rPr>
          <w:rFonts w:hint="eastAsia" w:ascii="宋体" w:hAnsi="宋体" w:eastAsia="宋体"/>
          <w:sz w:val="24"/>
          <w:szCs w:val="28"/>
        </w:rPr>
        <w:t>为</w:t>
      </w:r>
      <w:r>
        <w:rPr>
          <w:rFonts w:ascii="宋体" w:hAnsi="宋体" w:eastAsia="宋体"/>
          <w:sz w:val="24"/>
          <w:szCs w:val="28"/>
        </w:rPr>
        <w:t>原料，蛋白质含量偏低，</w:t>
      </w:r>
      <w:r>
        <w:rPr>
          <w:rFonts w:hint="eastAsia" w:ascii="宋体" w:hAnsi="宋体" w:eastAsia="宋体"/>
          <w:sz w:val="24"/>
          <w:szCs w:val="28"/>
        </w:rPr>
        <w:t>因此</w:t>
      </w:r>
      <w:r>
        <w:rPr>
          <w:rFonts w:ascii="宋体" w:hAnsi="宋体" w:eastAsia="宋体"/>
          <w:sz w:val="24"/>
          <w:szCs w:val="28"/>
        </w:rPr>
        <w:t>参考</w:t>
      </w:r>
      <w:r>
        <w:rPr>
          <w:rFonts w:hint="eastAsia"/>
          <w:sz w:val="24"/>
          <w:szCs w:val="24"/>
        </w:rPr>
        <w:t>GB/T 23586将</w:t>
      </w:r>
      <w:r>
        <w:rPr>
          <w:sz w:val="24"/>
          <w:szCs w:val="24"/>
        </w:rPr>
        <w:t>此类产品</w:t>
      </w:r>
      <w:r>
        <w:rPr>
          <w:rFonts w:hint="eastAsia"/>
          <w:sz w:val="24"/>
          <w:szCs w:val="24"/>
        </w:rPr>
        <w:t>归为</w:t>
      </w:r>
      <w:r>
        <w:rPr>
          <w:rFonts w:hint="eastAsia" w:ascii="宋体" w:hAnsi="宋体" w:eastAsia="宋体"/>
          <w:sz w:val="24"/>
          <w:szCs w:val="28"/>
        </w:rPr>
        <w:t>酱卤其他类</w:t>
      </w:r>
      <w:r>
        <w:rPr>
          <w:rFonts w:hint="eastAsia"/>
          <w:sz w:val="24"/>
          <w:szCs w:val="24"/>
        </w:rPr>
        <w:t>，结合通辽</w:t>
      </w:r>
      <w:r>
        <w:rPr>
          <w:sz w:val="24"/>
          <w:szCs w:val="24"/>
        </w:rPr>
        <w:t>地区酱卤</w:t>
      </w:r>
      <w:r>
        <w:rPr>
          <w:rFonts w:hint="eastAsia"/>
          <w:sz w:val="24"/>
          <w:szCs w:val="24"/>
        </w:rPr>
        <w:t>肉制品</w:t>
      </w:r>
      <w:r>
        <w:rPr>
          <w:sz w:val="24"/>
          <w:szCs w:val="24"/>
        </w:rPr>
        <w:t>加工企业</w:t>
      </w:r>
      <w:r>
        <w:rPr>
          <w:rFonts w:hint="eastAsia"/>
          <w:sz w:val="24"/>
          <w:szCs w:val="24"/>
        </w:rPr>
        <w:t>调研</w:t>
      </w:r>
      <w:r>
        <w:rPr>
          <w:sz w:val="24"/>
          <w:szCs w:val="24"/>
        </w:rPr>
        <w:t>结果</w:t>
      </w:r>
      <w:r>
        <w:rPr>
          <w:rFonts w:hint="eastAsia"/>
          <w:sz w:val="24"/>
          <w:szCs w:val="24"/>
        </w:rPr>
        <w:t>并</w:t>
      </w:r>
      <w:r>
        <w:rPr>
          <w:sz w:val="24"/>
          <w:szCs w:val="24"/>
        </w:rPr>
        <w:t>适当进行提高要求，规定</w:t>
      </w:r>
      <w:r>
        <w:rPr>
          <w:rFonts w:hint="eastAsia" w:ascii="宋体" w:hAnsi="宋体" w:eastAsia="宋体"/>
          <w:sz w:val="24"/>
          <w:szCs w:val="28"/>
        </w:rPr>
        <w:t>蛋白质含量≥</w:t>
      </w:r>
      <w:r>
        <w:rPr>
          <w:rFonts w:ascii="宋体" w:hAnsi="宋体" w:eastAsia="宋体"/>
          <w:sz w:val="24"/>
          <w:szCs w:val="28"/>
        </w:rPr>
        <w:t>10 g/100g</w:t>
      </w:r>
      <w:r>
        <w:rPr>
          <w:rFonts w:hint="eastAsia" w:ascii="宋体" w:hAnsi="宋体" w:eastAsia="宋体"/>
          <w:sz w:val="24"/>
          <w:szCs w:val="28"/>
        </w:rPr>
        <w:t>。</w:t>
      </w:r>
    </w:p>
    <w:p w14:paraId="3F444486">
      <w:pPr>
        <w:ind w:firstLine="480"/>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）水分</w:t>
      </w:r>
    </w:p>
    <w:p w14:paraId="6588FFC6">
      <w:pPr>
        <w:ind w:left="0" w:leftChars="0" w:firstLine="480"/>
        <w:jc w:val="left"/>
        <w:rPr>
          <w:rFonts w:ascii="宋体" w:hAnsi="宋体" w:eastAsia="宋体"/>
          <w:b/>
          <w:sz w:val="24"/>
          <w:szCs w:val="24"/>
        </w:rPr>
      </w:pPr>
      <w:r>
        <w:rPr>
          <w:rFonts w:ascii="宋体" w:hAnsi="宋体" w:eastAsia="宋体"/>
          <w:sz w:val="24"/>
          <w:szCs w:val="28"/>
        </w:rPr>
        <w:t>水分含量可以从不同程度上反映产品的品质</w:t>
      </w:r>
      <w:r>
        <w:rPr>
          <w:rFonts w:hint="eastAsia" w:ascii="宋体" w:hAnsi="宋体" w:eastAsia="宋体"/>
          <w:sz w:val="24"/>
          <w:szCs w:val="28"/>
        </w:rPr>
        <w:t>，</w:t>
      </w:r>
      <w:r>
        <w:rPr>
          <w:rFonts w:ascii="宋体" w:hAnsi="宋体" w:eastAsia="宋体"/>
          <w:sz w:val="24"/>
          <w:szCs w:val="28"/>
        </w:rPr>
        <w:t>水分含量与大豆蛋白、淀粉和卡拉胶等的使用具有重要的相关性，</w:t>
      </w:r>
      <w:r>
        <w:rPr>
          <w:rFonts w:hint="eastAsia" w:ascii="宋体" w:hAnsi="宋体" w:eastAsia="宋体"/>
          <w:sz w:val="24"/>
          <w:szCs w:val="28"/>
        </w:rPr>
        <w:t>添加外源性成分将增加产品中的水分含量，</w:t>
      </w:r>
      <w:r>
        <w:rPr>
          <w:rFonts w:ascii="宋体" w:hAnsi="宋体" w:eastAsia="宋体"/>
          <w:sz w:val="24"/>
          <w:szCs w:val="28"/>
        </w:rPr>
        <w:t>为了</w:t>
      </w:r>
      <w:r>
        <w:rPr>
          <w:rFonts w:hint="eastAsia" w:ascii="宋体" w:hAnsi="宋体" w:eastAsia="宋体"/>
          <w:sz w:val="24"/>
          <w:szCs w:val="28"/>
        </w:rPr>
        <w:t>防止外源性成分的过量添加，</w:t>
      </w:r>
      <w:r>
        <w:rPr>
          <w:rFonts w:ascii="宋体" w:hAnsi="宋体" w:eastAsia="宋体"/>
          <w:sz w:val="24"/>
          <w:szCs w:val="28"/>
        </w:rPr>
        <w:t>保证</w:t>
      </w:r>
      <w:r>
        <w:rPr>
          <w:rFonts w:hint="eastAsia" w:ascii="宋体" w:hAnsi="宋体" w:eastAsia="宋体"/>
          <w:sz w:val="24"/>
          <w:szCs w:val="28"/>
        </w:rPr>
        <w:t>通辽牛肉</w:t>
      </w:r>
      <w:r>
        <w:rPr>
          <w:rFonts w:ascii="宋体" w:hAnsi="宋体" w:eastAsia="宋体"/>
          <w:sz w:val="24"/>
          <w:szCs w:val="28"/>
        </w:rPr>
        <w:t>酱卤制品的品质，</w:t>
      </w:r>
      <w:r>
        <w:rPr>
          <w:rFonts w:hint="eastAsia" w:ascii="宋体" w:hAnsi="宋体" w:eastAsia="宋体"/>
          <w:sz w:val="24"/>
          <w:szCs w:val="28"/>
        </w:rPr>
        <w:t>标准</w:t>
      </w:r>
      <w:r>
        <w:rPr>
          <w:rFonts w:ascii="宋体" w:hAnsi="宋体" w:eastAsia="宋体"/>
          <w:sz w:val="24"/>
          <w:szCs w:val="28"/>
        </w:rPr>
        <w:t>限定</w:t>
      </w:r>
      <w:r>
        <w:rPr>
          <w:rFonts w:hint="eastAsia" w:ascii="宋体" w:hAnsi="宋体" w:eastAsia="宋体"/>
          <w:sz w:val="24"/>
          <w:szCs w:val="28"/>
        </w:rPr>
        <w:t>产品</w:t>
      </w:r>
      <w:r>
        <w:rPr>
          <w:rFonts w:ascii="宋体" w:hAnsi="宋体" w:eastAsia="宋体"/>
          <w:sz w:val="24"/>
          <w:szCs w:val="28"/>
        </w:rPr>
        <w:t>水分含量具有良好的</w:t>
      </w:r>
      <w:r>
        <w:rPr>
          <w:rFonts w:hint="eastAsia" w:ascii="宋体" w:hAnsi="宋体" w:eastAsia="宋体"/>
          <w:sz w:val="24"/>
          <w:szCs w:val="28"/>
        </w:rPr>
        <w:t>实用性</w:t>
      </w:r>
      <w:r>
        <w:rPr>
          <w:rFonts w:ascii="宋体" w:hAnsi="宋体" w:eastAsia="宋体"/>
          <w:sz w:val="24"/>
          <w:szCs w:val="28"/>
        </w:rPr>
        <w:t>。</w:t>
      </w:r>
      <w:r>
        <w:rPr>
          <w:rFonts w:hint="eastAsia" w:ascii="宋体" w:hAnsi="宋体" w:eastAsia="宋体"/>
          <w:sz w:val="24"/>
          <w:szCs w:val="28"/>
        </w:rPr>
        <w:t>标准起草组收集</w:t>
      </w:r>
      <w:r>
        <w:rPr>
          <w:rFonts w:ascii="宋体" w:hAnsi="宋体" w:eastAsia="宋体"/>
          <w:sz w:val="24"/>
          <w:szCs w:val="28"/>
        </w:rPr>
        <w:t>5</w:t>
      </w:r>
      <w:r>
        <w:rPr>
          <w:rFonts w:hint="eastAsia" w:ascii="宋体" w:hAnsi="宋体" w:eastAsia="宋体"/>
          <w:sz w:val="24"/>
          <w:szCs w:val="28"/>
        </w:rPr>
        <w:t>项不同通辽牛肉</w:t>
      </w:r>
      <w:r>
        <w:rPr>
          <w:rFonts w:ascii="宋体" w:hAnsi="宋体" w:eastAsia="宋体"/>
          <w:sz w:val="24"/>
          <w:szCs w:val="28"/>
        </w:rPr>
        <w:t>酱卤产品</w:t>
      </w:r>
      <w:r>
        <w:rPr>
          <w:rFonts w:hint="eastAsia" w:ascii="宋体" w:hAnsi="宋体" w:eastAsia="宋体"/>
          <w:sz w:val="24"/>
          <w:szCs w:val="28"/>
        </w:rPr>
        <w:t>信息，水分</w:t>
      </w:r>
      <w:r>
        <w:rPr>
          <w:rFonts w:ascii="宋体" w:hAnsi="宋体" w:eastAsia="宋体"/>
          <w:sz w:val="24"/>
          <w:szCs w:val="28"/>
        </w:rPr>
        <w:t>含量</w:t>
      </w:r>
      <w:r>
        <w:rPr>
          <w:rFonts w:hint="eastAsia" w:ascii="宋体" w:hAnsi="宋体" w:eastAsia="宋体"/>
          <w:sz w:val="24"/>
          <w:szCs w:val="28"/>
        </w:rPr>
        <w:t>范围</w:t>
      </w:r>
      <w:r>
        <w:rPr>
          <w:rFonts w:ascii="宋体" w:hAnsi="宋体" w:eastAsia="宋体"/>
          <w:sz w:val="24"/>
          <w:szCs w:val="28"/>
        </w:rPr>
        <w:t>在49.5-70.4</w:t>
      </w:r>
      <w:r>
        <w:t xml:space="preserve"> </w:t>
      </w:r>
      <w:r>
        <w:rPr>
          <w:rFonts w:ascii="宋体" w:hAnsi="宋体" w:eastAsia="宋体"/>
          <w:sz w:val="24"/>
          <w:szCs w:val="28"/>
        </w:rPr>
        <w:t>g/100g之间，平均值为56.6 g/100g</w:t>
      </w:r>
      <w:r>
        <w:rPr>
          <w:rFonts w:hint="eastAsia" w:ascii="宋体" w:hAnsi="宋体" w:eastAsia="宋体"/>
          <w:sz w:val="24"/>
          <w:szCs w:val="28"/>
        </w:rPr>
        <w:t>,中位值为</w:t>
      </w:r>
      <w:r>
        <w:rPr>
          <w:rFonts w:ascii="宋体" w:hAnsi="宋体" w:eastAsia="宋体"/>
          <w:sz w:val="24"/>
          <w:szCs w:val="28"/>
        </w:rPr>
        <w:t>52.4 g/100g。</w:t>
      </w:r>
      <w:r>
        <w:rPr>
          <w:rFonts w:hint="eastAsia" w:ascii="宋体" w:hAnsi="宋体" w:eastAsia="宋体"/>
          <w:sz w:val="24"/>
          <w:szCs w:val="28"/>
        </w:rPr>
        <w:t>根据样品的检测结果和市售产品调研结果，结合</w:t>
      </w:r>
      <w:r>
        <w:rPr>
          <w:rFonts w:hint="eastAsia"/>
          <w:sz w:val="24"/>
          <w:szCs w:val="24"/>
        </w:rPr>
        <w:t>GB/T 23586，</w:t>
      </w:r>
      <w:r>
        <w:rPr>
          <w:rFonts w:hint="eastAsia" w:ascii="宋体" w:hAnsi="宋体" w:eastAsia="宋体"/>
          <w:sz w:val="24"/>
          <w:szCs w:val="28"/>
        </w:rPr>
        <w:t>同时考虑到不同企业的生产水平和储存包装运输条件的不同和变化，本标准将酱卤</w:t>
      </w:r>
      <w:r>
        <w:rPr>
          <w:rFonts w:ascii="宋体" w:hAnsi="宋体" w:eastAsia="宋体"/>
          <w:sz w:val="24"/>
          <w:szCs w:val="28"/>
        </w:rPr>
        <w:t>牛肉类</w:t>
      </w:r>
      <w:r>
        <w:rPr>
          <w:rFonts w:hint="eastAsia" w:ascii="宋体" w:hAnsi="宋体" w:eastAsia="宋体"/>
          <w:sz w:val="24"/>
          <w:szCs w:val="28"/>
        </w:rPr>
        <w:t>优级水分含量设定为≤</w:t>
      </w:r>
      <w:r>
        <w:rPr>
          <w:rFonts w:ascii="宋体" w:hAnsi="宋体" w:eastAsia="宋体"/>
          <w:sz w:val="24"/>
          <w:szCs w:val="28"/>
        </w:rPr>
        <w:t>6</w:t>
      </w:r>
      <w:r>
        <w:rPr>
          <w:rFonts w:hint="eastAsia" w:ascii="宋体" w:hAnsi="宋体" w:eastAsia="宋体"/>
          <w:sz w:val="24"/>
          <w:szCs w:val="28"/>
        </w:rPr>
        <w:t xml:space="preserve">0 </w:t>
      </w:r>
      <w:r>
        <w:rPr>
          <w:rFonts w:ascii="宋体" w:hAnsi="宋体" w:eastAsia="宋体"/>
          <w:sz w:val="24"/>
          <w:szCs w:val="28"/>
        </w:rPr>
        <w:t>g/100g</w:t>
      </w:r>
      <w:r>
        <w:rPr>
          <w:rFonts w:hint="eastAsia" w:ascii="宋体" w:hAnsi="宋体" w:eastAsia="宋体"/>
          <w:sz w:val="24"/>
          <w:szCs w:val="28"/>
        </w:rPr>
        <w:t>，普通级水分含量设定为≤</w:t>
      </w:r>
      <w:r>
        <w:rPr>
          <w:rFonts w:ascii="宋体" w:hAnsi="宋体" w:eastAsia="宋体"/>
          <w:sz w:val="24"/>
          <w:szCs w:val="28"/>
        </w:rPr>
        <w:t>7</w:t>
      </w:r>
      <w:r>
        <w:rPr>
          <w:rFonts w:hint="eastAsia" w:ascii="宋体" w:hAnsi="宋体" w:eastAsia="宋体"/>
          <w:sz w:val="24"/>
          <w:szCs w:val="28"/>
        </w:rPr>
        <w:t xml:space="preserve">0 </w:t>
      </w:r>
      <w:r>
        <w:rPr>
          <w:rFonts w:ascii="宋体" w:hAnsi="宋体" w:eastAsia="宋体"/>
          <w:sz w:val="24"/>
          <w:szCs w:val="28"/>
        </w:rPr>
        <w:t>g/100g</w:t>
      </w:r>
      <w:r>
        <w:rPr>
          <w:rFonts w:hint="eastAsia" w:ascii="宋体" w:hAnsi="宋体" w:eastAsia="宋体"/>
          <w:sz w:val="24"/>
          <w:szCs w:val="28"/>
        </w:rPr>
        <w:t>；酱卤</w:t>
      </w:r>
      <w:r>
        <w:rPr>
          <w:rFonts w:ascii="宋体" w:hAnsi="宋体" w:eastAsia="宋体"/>
          <w:sz w:val="24"/>
          <w:szCs w:val="28"/>
        </w:rPr>
        <w:t>牛蹄筋水分含量设定为</w:t>
      </w:r>
      <w:r>
        <w:rPr>
          <w:rFonts w:hint="eastAsia" w:ascii="宋体" w:hAnsi="宋体" w:eastAsia="宋体"/>
          <w:sz w:val="24"/>
          <w:szCs w:val="28"/>
        </w:rPr>
        <w:t>≤</w:t>
      </w:r>
      <w:r>
        <w:rPr>
          <w:rFonts w:ascii="宋体" w:hAnsi="宋体" w:eastAsia="宋体"/>
          <w:sz w:val="24"/>
          <w:szCs w:val="28"/>
        </w:rPr>
        <w:t>55</w:t>
      </w:r>
      <w:r>
        <w:rPr>
          <w:rFonts w:hint="eastAsia" w:ascii="宋体" w:hAnsi="宋体" w:eastAsia="宋体"/>
          <w:sz w:val="24"/>
          <w:szCs w:val="28"/>
        </w:rPr>
        <w:t xml:space="preserve"> </w:t>
      </w:r>
      <w:r>
        <w:rPr>
          <w:rFonts w:ascii="宋体" w:hAnsi="宋体" w:eastAsia="宋体"/>
          <w:sz w:val="24"/>
          <w:szCs w:val="28"/>
        </w:rPr>
        <w:t>g/100g</w:t>
      </w:r>
      <w:r>
        <w:rPr>
          <w:rFonts w:hint="eastAsia" w:ascii="宋体" w:hAnsi="宋体" w:eastAsia="宋体"/>
          <w:sz w:val="24"/>
          <w:szCs w:val="28"/>
        </w:rPr>
        <w:t>，酱卤</w:t>
      </w:r>
      <w:r>
        <w:rPr>
          <w:rFonts w:ascii="宋体" w:hAnsi="宋体" w:eastAsia="宋体"/>
          <w:sz w:val="24"/>
          <w:szCs w:val="28"/>
        </w:rPr>
        <w:t>其他类</w:t>
      </w:r>
      <w:r>
        <w:rPr>
          <w:rFonts w:hint="eastAsia" w:ascii="宋体" w:hAnsi="宋体" w:eastAsia="宋体"/>
          <w:sz w:val="24"/>
          <w:szCs w:val="28"/>
        </w:rPr>
        <w:t>设定</w:t>
      </w:r>
      <w:r>
        <w:rPr>
          <w:rFonts w:ascii="宋体" w:hAnsi="宋体" w:eastAsia="宋体"/>
          <w:sz w:val="24"/>
          <w:szCs w:val="28"/>
        </w:rPr>
        <w:t>为</w:t>
      </w:r>
      <w:r>
        <w:rPr>
          <w:rFonts w:hint="eastAsia" w:ascii="宋体" w:hAnsi="宋体" w:eastAsia="宋体"/>
          <w:sz w:val="24"/>
          <w:szCs w:val="28"/>
        </w:rPr>
        <w:t>≤</w:t>
      </w:r>
      <w:r>
        <w:rPr>
          <w:rFonts w:ascii="宋体" w:hAnsi="宋体" w:eastAsia="宋体"/>
          <w:sz w:val="24"/>
          <w:szCs w:val="28"/>
        </w:rPr>
        <w:t>8</w:t>
      </w:r>
      <w:r>
        <w:rPr>
          <w:rFonts w:hint="eastAsia" w:ascii="宋体" w:hAnsi="宋体" w:eastAsia="宋体"/>
          <w:sz w:val="24"/>
          <w:szCs w:val="28"/>
        </w:rPr>
        <w:t xml:space="preserve">0 </w:t>
      </w:r>
      <w:r>
        <w:rPr>
          <w:rFonts w:ascii="宋体" w:hAnsi="宋体" w:eastAsia="宋体"/>
          <w:sz w:val="24"/>
          <w:szCs w:val="28"/>
        </w:rPr>
        <w:t>g/100g</w:t>
      </w:r>
      <w:r>
        <w:rPr>
          <w:rFonts w:hint="eastAsia" w:ascii="宋体" w:hAnsi="宋体" w:eastAsia="宋体"/>
          <w:sz w:val="24"/>
          <w:szCs w:val="28"/>
        </w:rPr>
        <w:t>。</w:t>
      </w:r>
    </w:p>
    <w:p w14:paraId="40E9B623">
      <w:pPr>
        <w:ind w:firstLine="480"/>
        <w:rPr>
          <w:rFonts w:ascii="宋体" w:hAnsi="宋体" w:eastAsia="宋体"/>
          <w:sz w:val="24"/>
          <w:szCs w:val="28"/>
        </w:rPr>
      </w:pPr>
      <w:r>
        <w:rPr>
          <w:rFonts w:hint="eastAsia" w:ascii="宋体" w:hAnsi="宋体" w:eastAsia="宋体"/>
          <w:sz w:val="24"/>
          <w:szCs w:val="28"/>
        </w:rPr>
        <w:t>（</w:t>
      </w:r>
      <w:r>
        <w:rPr>
          <w:rFonts w:ascii="宋体" w:hAnsi="宋体" w:eastAsia="宋体"/>
          <w:sz w:val="24"/>
          <w:szCs w:val="28"/>
        </w:rPr>
        <w:t>3</w:t>
      </w:r>
      <w:r>
        <w:rPr>
          <w:rFonts w:hint="eastAsia" w:ascii="宋体" w:hAnsi="宋体" w:eastAsia="宋体"/>
          <w:sz w:val="24"/>
          <w:szCs w:val="28"/>
        </w:rPr>
        <w:t>）氯化物</w:t>
      </w:r>
    </w:p>
    <w:p w14:paraId="75D3AFD5">
      <w:pPr>
        <w:ind w:firstLine="480"/>
        <w:rPr>
          <w:rFonts w:ascii="宋体" w:hAnsi="宋体" w:eastAsia="宋体"/>
          <w:sz w:val="24"/>
          <w:szCs w:val="28"/>
        </w:rPr>
      </w:pPr>
      <w:r>
        <w:rPr>
          <w:rFonts w:hint="eastAsia" w:ascii="宋体" w:hAnsi="宋体" w:eastAsia="宋体"/>
          <w:sz w:val="24"/>
          <w:szCs w:val="28"/>
        </w:rPr>
        <w:t>产品中氯化物含量对人体健康有重要影响，通过对</w:t>
      </w:r>
      <w:r>
        <w:rPr>
          <w:rFonts w:ascii="宋体" w:hAnsi="宋体" w:eastAsia="宋体"/>
          <w:sz w:val="24"/>
          <w:szCs w:val="28"/>
        </w:rPr>
        <w:t>5</w:t>
      </w:r>
      <w:r>
        <w:rPr>
          <w:rFonts w:hint="eastAsia" w:ascii="宋体" w:hAnsi="宋体" w:eastAsia="宋体"/>
          <w:sz w:val="24"/>
          <w:szCs w:val="28"/>
        </w:rPr>
        <w:t>种产品NaCl</w:t>
      </w:r>
      <w:r>
        <w:rPr>
          <w:rFonts w:ascii="宋体" w:hAnsi="宋体" w:eastAsia="宋体"/>
          <w:sz w:val="24"/>
          <w:szCs w:val="28"/>
        </w:rPr>
        <w:t>含量</w:t>
      </w:r>
      <w:r>
        <w:rPr>
          <w:rFonts w:hint="eastAsia" w:ascii="宋体" w:hAnsi="宋体" w:eastAsia="宋体"/>
          <w:sz w:val="24"/>
          <w:szCs w:val="28"/>
        </w:rPr>
        <w:t>分析，NaCl</w:t>
      </w:r>
      <w:r>
        <w:rPr>
          <w:rFonts w:ascii="宋体" w:hAnsi="宋体" w:eastAsia="宋体"/>
          <w:sz w:val="24"/>
          <w:szCs w:val="28"/>
        </w:rPr>
        <w:t>含量在</w:t>
      </w:r>
      <w:r>
        <w:rPr>
          <w:rFonts w:hint="eastAsia" w:ascii="宋体" w:hAnsi="宋体" w:eastAsia="宋体"/>
          <w:sz w:val="24"/>
          <w:szCs w:val="28"/>
        </w:rPr>
        <w:t>0.</w:t>
      </w:r>
      <w:r>
        <w:rPr>
          <w:rFonts w:ascii="宋体" w:hAnsi="宋体" w:eastAsia="宋体"/>
          <w:sz w:val="24"/>
          <w:szCs w:val="28"/>
        </w:rPr>
        <w:t>94-2.5</w:t>
      </w:r>
      <w:r>
        <w:rPr>
          <w:rFonts w:hint="eastAsia" w:ascii="宋体" w:hAnsi="宋体" w:eastAsia="宋体"/>
          <w:sz w:val="24"/>
          <w:szCs w:val="28"/>
        </w:rPr>
        <w:t xml:space="preserve">4 </w:t>
      </w:r>
      <w:r>
        <w:rPr>
          <w:rFonts w:ascii="宋体" w:hAnsi="宋体" w:eastAsia="宋体"/>
          <w:sz w:val="24"/>
          <w:szCs w:val="28"/>
        </w:rPr>
        <w:t>g/100g之间，平均值为</w:t>
      </w:r>
      <w:r>
        <w:rPr>
          <w:rFonts w:hint="eastAsia" w:ascii="宋体" w:hAnsi="宋体" w:eastAsia="宋体"/>
          <w:sz w:val="24"/>
          <w:szCs w:val="28"/>
        </w:rPr>
        <w:t>1.</w:t>
      </w:r>
      <w:r>
        <w:rPr>
          <w:rFonts w:ascii="宋体" w:hAnsi="宋体" w:eastAsia="宋体"/>
          <w:sz w:val="24"/>
          <w:szCs w:val="28"/>
        </w:rPr>
        <w:t>82 g/100g</w:t>
      </w:r>
      <w:r>
        <w:rPr>
          <w:rFonts w:hint="eastAsia" w:ascii="宋体" w:hAnsi="宋体" w:eastAsia="宋体"/>
          <w:sz w:val="24"/>
          <w:szCs w:val="28"/>
        </w:rPr>
        <w:t>,中位值为</w:t>
      </w:r>
      <w:r>
        <w:rPr>
          <w:rFonts w:ascii="宋体" w:hAnsi="宋体" w:eastAsia="宋体"/>
          <w:sz w:val="24"/>
          <w:szCs w:val="28"/>
        </w:rPr>
        <w:t>2.05 g/100g。</w:t>
      </w:r>
      <w:r>
        <w:rPr>
          <w:rFonts w:hint="eastAsia" w:ascii="宋体" w:hAnsi="宋体" w:eastAsia="宋体"/>
          <w:sz w:val="24"/>
          <w:szCs w:val="28"/>
        </w:rPr>
        <w:t>结合企业的生产实际情况和酱卤</w:t>
      </w:r>
      <w:r>
        <w:rPr>
          <w:rFonts w:ascii="宋体" w:hAnsi="宋体" w:eastAsia="宋体"/>
          <w:sz w:val="24"/>
          <w:szCs w:val="28"/>
        </w:rPr>
        <w:t>制品</w:t>
      </w:r>
      <w:r>
        <w:rPr>
          <w:rFonts w:hint="eastAsia" w:ascii="宋体" w:hAnsi="宋体" w:eastAsia="宋体"/>
          <w:sz w:val="24"/>
          <w:szCs w:val="28"/>
        </w:rPr>
        <w:t>的质量提升要求，本标准中规定通辽牛肉</w:t>
      </w:r>
      <w:r>
        <w:rPr>
          <w:rFonts w:ascii="宋体" w:hAnsi="宋体" w:eastAsia="宋体"/>
          <w:sz w:val="24"/>
          <w:szCs w:val="28"/>
        </w:rPr>
        <w:t>酱卤制品</w:t>
      </w:r>
      <w:r>
        <w:rPr>
          <w:rFonts w:hint="eastAsia" w:ascii="宋体" w:hAnsi="宋体" w:eastAsia="宋体"/>
          <w:sz w:val="24"/>
          <w:szCs w:val="28"/>
        </w:rPr>
        <w:t>中</w:t>
      </w:r>
      <w:r>
        <w:rPr>
          <w:rFonts w:ascii="宋体" w:hAnsi="宋体" w:eastAsia="宋体"/>
          <w:sz w:val="24"/>
          <w:szCs w:val="28"/>
        </w:rPr>
        <w:t>酱卤牛肉类产品氯化物</w:t>
      </w:r>
      <w:r>
        <w:rPr>
          <w:rFonts w:hint="eastAsia" w:ascii="宋体" w:hAnsi="宋体" w:eastAsia="宋体"/>
          <w:sz w:val="24"/>
          <w:szCs w:val="28"/>
        </w:rPr>
        <w:t xml:space="preserve">含量≤2.5 </w:t>
      </w:r>
      <w:r>
        <w:rPr>
          <w:rFonts w:ascii="宋体" w:hAnsi="宋体" w:eastAsia="宋体"/>
          <w:sz w:val="24"/>
          <w:szCs w:val="28"/>
        </w:rPr>
        <w:t>g/100g</w:t>
      </w:r>
      <w:r>
        <w:rPr>
          <w:rFonts w:hint="eastAsia" w:ascii="宋体" w:hAnsi="宋体" w:eastAsia="宋体"/>
          <w:sz w:val="24"/>
          <w:szCs w:val="28"/>
        </w:rPr>
        <w:t>，</w:t>
      </w:r>
      <w:r>
        <w:rPr>
          <w:rFonts w:hint="eastAsia" w:ascii="Times New Roman" w:hAnsi="Times New Roman" w:eastAsia="宋体"/>
          <w:sz w:val="24"/>
          <w:shd w:val="clear" w:color="auto" w:fill="FFFFFF"/>
        </w:rPr>
        <w:t>不满足的该标准的产品经过提升可较容易满足</w:t>
      </w:r>
      <w:r>
        <w:rPr>
          <w:rFonts w:hint="eastAsia" w:ascii="宋体" w:hAnsi="宋体" w:eastAsia="宋体"/>
          <w:sz w:val="24"/>
          <w:szCs w:val="28"/>
        </w:rPr>
        <w:t>。</w:t>
      </w:r>
    </w:p>
    <w:p w14:paraId="2F6F4F07">
      <w:pPr>
        <w:pStyle w:val="38"/>
      </w:pPr>
      <w:r>
        <w:tab/>
      </w:r>
      <w:r>
        <w:rPr>
          <w:rFonts w:hint="eastAsia"/>
        </w:rPr>
        <w:t>采集样品理化指标检测</w:t>
      </w:r>
      <w:r>
        <w:t>结果</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2127"/>
        <w:gridCol w:w="1984"/>
        <w:gridCol w:w="2489"/>
      </w:tblGrid>
      <w:tr w14:paraId="2824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vAlign w:val="center"/>
          </w:tcPr>
          <w:p w14:paraId="58659856">
            <w:pPr>
              <w:pStyle w:val="30"/>
              <w:ind w:firstLine="0" w:firstLineChars="0"/>
              <w:jc w:val="center"/>
              <w:rPr>
                <w:szCs w:val="18"/>
              </w:rPr>
            </w:pPr>
            <w:r>
              <w:rPr>
                <w:rFonts w:hint="eastAsia"/>
                <w:szCs w:val="18"/>
              </w:rPr>
              <w:t>样品</w:t>
            </w:r>
            <w:r>
              <w:rPr>
                <w:szCs w:val="18"/>
              </w:rPr>
              <w:t>编号</w:t>
            </w:r>
          </w:p>
        </w:tc>
        <w:tc>
          <w:tcPr>
            <w:tcW w:w="2127" w:type="dxa"/>
            <w:vAlign w:val="center"/>
          </w:tcPr>
          <w:p w14:paraId="6A0003CF">
            <w:pPr>
              <w:pStyle w:val="30"/>
              <w:ind w:firstLine="0" w:firstLineChars="0"/>
              <w:jc w:val="center"/>
              <w:rPr>
                <w:szCs w:val="18"/>
              </w:rPr>
            </w:pPr>
            <w:r>
              <w:rPr>
                <w:rFonts w:hint="eastAsia"/>
                <w:szCs w:val="18"/>
              </w:rPr>
              <w:t>蛋白质（</w:t>
            </w:r>
            <w:r>
              <w:rPr>
                <w:szCs w:val="18"/>
              </w:rPr>
              <w:t>g/100g</w:t>
            </w:r>
            <w:r>
              <w:rPr>
                <w:rFonts w:hint="eastAsia"/>
                <w:szCs w:val="18"/>
              </w:rPr>
              <w:t>）</w:t>
            </w:r>
          </w:p>
        </w:tc>
        <w:tc>
          <w:tcPr>
            <w:tcW w:w="1984" w:type="dxa"/>
            <w:vAlign w:val="center"/>
          </w:tcPr>
          <w:p w14:paraId="7F402065">
            <w:pPr>
              <w:pStyle w:val="30"/>
              <w:ind w:firstLine="0" w:firstLineChars="0"/>
              <w:jc w:val="center"/>
              <w:rPr>
                <w:szCs w:val="18"/>
              </w:rPr>
            </w:pPr>
            <w:r>
              <w:rPr>
                <w:rFonts w:hint="eastAsia"/>
                <w:szCs w:val="18"/>
              </w:rPr>
              <w:t>水分</w:t>
            </w:r>
          </w:p>
          <w:p w14:paraId="3ABAC6D3">
            <w:pPr>
              <w:pStyle w:val="30"/>
              <w:ind w:firstLine="0" w:firstLineChars="0"/>
              <w:jc w:val="center"/>
              <w:rPr>
                <w:szCs w:val="18"/>
              </w:rPr>
            </w:pPr>
            <w:r>
              <w:rPr>
                <w:szCs w:val="18"/>
              </w:rPr>
              <w:t>(g/100g)</w:t>
            </w:r>
          </w:p>
        </w:tc>
        <w:tc>
          <w:tcPr>
            <w:tcW w:w="2489" w:type="dxa"/>
            <w:vAlign w:val="center"/>
          </w:tcPr>
          <w:p w14:paraId="6FB76701">
            <w:pPr>
              <w:pStyle w:val="30"/>
              <w:ind w:firstLine="0" w:firstLineChars="0"/>
              <w:jc w:val="center"/>
              <w:rPr>
                <w:szCs w:val="18"/>
              </w:rPr>
            </w:pPr>
            <w:r>
              <w:rPr>
                <w:rFonts w:hint="eastAsia"/>
                <w:szCs w:val="18"/>
              </w:rPr>
              <w:t>氯化物</w:t>
            </w:r>
            <w:r>
              <w:rPr>
                <w:szCs w:val="18"/>
              </w:rPr>
              <w:t>(以NaCl)</w:t>
            </w:r>
            <w:r>
              <w:rPr>
                <w:rFonts w:hint="eastAsia"/>
                <w:szCs w:val="18"/>
              </w:rPr>
              <w:t>（</w:t>
            </w:r>
            <w:r>
              <w:rPr>
                <w:szCs w:val="18"/>
              </w:rPr>
              <w:t>g/100g）</w:t>
            </w:r>
          </w:p>
        </w:tc>
      </w:tr>
      <w:tr w14:paraId="3CD7E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vAlign w:val="center"/>
          </w:tcPr>
          <w:p w14:paraId="700E3E3F">
            <w:pPr>
              <w:pStyle w:val="30"/>
              <w:ind w:firstLine="0" w:firstLineChars="0"/>
              <w:jc w:val="center"/>
              <w:rPr>
                <w:szCs w:val="18"/>
              </w:rPr>
            </w:pPr>
            <w:r>
              <w:rPr>
                <w:rFonts w:hint="eastAsia"/>
                <w:szCs w:val="18"/>
              </w:rPr>
              <w:t>1</w:t>
            </w:r>
          </w:p>
        </w:tc>
        <w:tc>
          <w:tcPr>
            <w:tcW w:w="2127" w:type="dxa"/>
            <w:vAlign w:val="center"/>
          </w:tcPr>
          <w:p w14:paraId="398CCBEB">
            <w:pPr>
              <w:pStyle w:val="64"/>
            </w:pPr>
            <w:r>
              <w:rPr>
                <w:rFonts w:hint="eastAsia"/>
              </w:rPr>
              <w:t>28.6</w:t>
            </w:r>
          </w:p>
        </w:tc>
        <w:tc>
          <w:tcPr>
            <w:tcW w:w="1984" w:type="dxa"/>
            <w:vAlign w:val="center"/>
          </w:tcPr>
          <w:p w14:paraId="211D590F">
            <w:pPr>
              <w:pStyle w:val="64"/>
            </w:pPr>
            <w:r>
              <w:rPr>
                <w:rFonts w:hint="eastAsia"/>
              </w:rPr>
              <w:t>7</w:t>
            </w:r>
            <w:r>
              <w:t>0</w:t>
            </w:r>
            <w:r>
              <w:rPr>
                <w:rFonts w:hint="eastAsia"/>
              </w:rPr>
              <w:t>.424</w:t>
            </w:r>
          </w:p>
        </w:tc>
        <w:tc>
          <w:tcPr>
            <w:tcW w:w="2489" w:type="dxa"/>
            <w:vAlign w:val="center"/>
          </w:tcPr>
          <w:p w14:paraId="097F2DAB">
            <w:pPr>
              <w:pStyle w:val="64"/>
            </w:pPr>
            <w:r>
              <w:rPr>
                <w:rFonts w:hint="eastAsia"/>
              </w:rPr>
              <w:t>0.94</w:t>
            </w:r>
          </w:p>
        </w:tc>
      </w:tr>
      <w:tr w14:paraId="72AFD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vAlign w:val="center"/>
          </w:tcPr>
          <w:p w14:paraId="7B2A3195">
            <w:pPr>
              <w:pStyle w:val="30"/>
              <w:ind w:firstLine="0" w:firstLineChars="0"/>
              <w:jc w:val="center"/>
              <w:rPr>
                <w:szCs w:val="18"/>
              </w:rPr>
            </w:pPr>
            <w:r>
              <w:rPr>
                <w:rFonts w:hint="eastAsia"/>
                <w:szCs w:val="18"/>
              </w:rPr>
              <w:t>2</w:t>
            </w:r>
          </w:p>
        </w:tc>
        <w:tc>
          <w:tcPr>
            <w:tcW w:w="2127" w:type="dxa"/>
            <w:vAlign w:val="center"/>
          </w:tcPr>
          <w:p w14:paraId="0C8A8DA3">
            <w:pPr>
              <w:pStyle w:val="64"/>
            </w:pPr>
            <w:r>
              <w:rPr>
                <w:rFonts w:hint="eastAsia"/>
              </w:rPr>
              <w:t>19.5</w:t>
            </w:r>
          </w:p>
        </w:tc>
        <w:tc>
          <w:tcPr>
            <w:tcW w:w="1984" w:type="dxa"/>
            <w:vAlign w:val="center"/>
          </w:tcPr>
          <w:p w14:paraId="43329A0C">
            <w:pPr>
              <w:pStyle w:val="64"/>
            </w:pPr>
            <w:r>
              <w:rPr>
                <w:rFonts w:hint="eastAsia"/>
              </w:rPr>
              <w:t>59.89</w:t>
            </w:r>
          </w:p>
        </w:tc>
        <w:tc>
          <w:tcPr>
            <w:tcW w:w="2489" w:type="dxa"/>
            <w:vAlign w:val="center"/>
          </w:tcPr>
          <w:p w14:paraId="3BC56E4C">
            <w:pPr>
              <w:pStyle w:val="64"/>
            </w:pPr>
            <w:r>
              <w:rPr>
                <w:rFonts w:hint="eastAsia"/>
              </w:rPr>
              <w:t>1.03</w:t>
            </w:r>
          </w:p>
        </w:tc>
      </w:tr>
      <w:tr w14:paraId="65D89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vAlign w:val="center"/>
          </w:tcPr>
          <w:p w14:paraId="5EC07B06">
            <w:pPr>
              <w:pStyle w:val="30"/>
              <w:ind w:firstLine="0" w:firstLineChars="0"/>
              <w:jc w:val="center"/>
              <w:rPr>
                <w:szCs w:val="18"/>
              </w:rPr>
            </w:pPr>
            <w:r>
              <w:rPr>
                <w:rFonts w:hint="eastAsia"/>
                <w:szCs w:val="18"/>
              </w:rPr>
              <w:t>3</w:t>
            </w:r>
          </w:p>
        </w:tc>
        <w:tc>
          <w:tcPr>
            <w:tcW w:w="2127" w:type="dxa"/>
            <w:vAlign w:val="center"/>
          </w:tcPr>
          <w:p w14:paraId="4760493C">
            <w:pPr>
              <w:pStyle w:val="64"/>
            </w:pPr>
            <w:r>
              <w:rPr>
                <w:rFonts w:hint="eastAsia"/>
              </w:rPr>
              <w:t>33.2</w:t>
            </w:r>
          </w:p>
        </w:tc>
        <w:tc>
          <w:tcPr>
            <w:tcW w:w="1984" w:type="dxa"/>
            <w:vAlign w:val="center"/>
          </w:tcPr>
          <w:p w14:paraId="3966759D">
            <w:pPr>
              <w:pStyle w:val="64"/>
            </w:pPr>
            <w:r>
              <w:rPr>
                <w:rFonts w:hint="eastAsia"/>
              </w:rPr>
              <w:t>50.656</w:t>
            </w:r>
          </w:p>
        </w:tc>
        <w:tc>
          <w:tcPr>
            <w:tcW w:w="2489" w:type="dxa"/>
            <w:vAlign w:val="center"/>
          </w:tcPr>
          <w:p w14:paraId="2387222C">
            <w:pPr>
              <w:pStyle w:val="64"/>
            </w:pPr>
            <w:r>
              <w:rPr>
                <w:rFonts w:hint="eastAsia"/>
              </w:rPr>
              <w:t>2.05</w:t>
            </w:r>
          </w:p>
        </w:tc>
      </w:tr>
      <w:tr w14:paraId="5B532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vAlign w:val="center"/>
          </w:tcPr>
          <w:p w14:paraId="5CC10DCE">
            <w:pPr>
              <w:pStyle w:val="30"/>
              <w:ind w:firstLine="0" w:firstLineChars="0"/>
              <w:jc w:val="center"/>
              <w:rPr>
                <w:szCs w:val="18"/>
              </w:rPr>
            </w:pPr>
            <w:r>
              <w:rPr>
                <w:szCs w:val="18"/>
              </w:rPr>
              <w:t>4</w:t>
            </w:r>
          </w:p>
        </w:tc>
        <w:tc>
          <w:tcPr>
            <w:tcW w:w="2127" w:type="dxa"/>
            <w:vAlign w:val="center"/>
          </w:tcPr>
          <w:p w14:paraId="0A52C28F">
            <w:pPr>
              <w:pStyle w:val="64"/>
            </w:pPr>
            <w:r>
              <w:rPr>
                <w:rFonts w:hint="eastAsia"/>
              </w:rPr>
              <w:t>33.4</w:t>
            </w:r>
          </w:p>
        </w:tc>
        <w:tc>
          <w:tcPr>
            <w:tcW w:w="1984" w:type="dxa"/>
            <w:vAlign w:val="center"/>
          </w:tcPr>
          <w:p w14:paraId="2D4CC3B9">
            <w:pPr>
              <w:pStyle w:val="64"/>
            </w:pPr>
            <w:r>
              <w:rPr>
                <w:rFonts w:hint="eastAsia"/>
              </w:rPr>
              <w:t>52.428</w:t>
            </w:r>
          </w:p>
        </w:tc>
        <w:tc>
          <w:tcPr>
            <w:tcW w:w="2489" w:type="dxa"/>
            <w:vAlign w:val="center"/>
          </w:tcPr>
          <w:p w14:paraId="21AC43CA">
            <w:pPr>
              <w:pStyle w:val="64"/>
            </w:pPr>
            <w:r>
              <w:rPr>
                <w:rFonts w:hint="eastAsia"/>
              </w:rPr>
              <w:t>2.52</w:t>
            </w:r>
          </w:p>
        </w:tc>
      </w:tr>
      <w:tr w14:paraId="5D014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vAlign w:val="center"/>
          </w:tcPr>
          <w:p w14:paraId="4D6A4976">
            <w:pPr>
              <w:pStyle w:val="30"/>
              <w:ind w:firstLine="0" w:firstLineChars="0"/>
              <w:jc w:val="center"/>
              <w:rPr>
                <w:szCs w:val="18"/>
              </w:rPr>
            </w:pPr>
            <w:r>
              <w:rPr>
                <w:rFonts w:hint="eastAsia"/>
                <w:szCs w:val="18"/>
              </w:rPr>
              <w:t>5</w:t>
            </w:r>
          </w:p>
        </w:tc>
        <w:tc>
          <w:tcPr>
            <w:tcW w:w="2127" w:type="dxa"/>
            <w:vAlign w:val="center"/>
          </w:tcPr>
          <w:p w14:paraId="5AC58D7A">
            <w:pPr>
              <w:pStyle w:val="64"/>
            </w:pPr>
            <w:r>
              <w:rPr>
                <w:rFonts w:hint="eastAsia"/>
              </w:rPr>
              <w:t>32.6</w:t>
            </w:r>
          </w:p>
        </w:tc>
        <w:tc>
          <w:tcPr>
            <w:tcW w:w="1984" w:type="dxa"/>
            <w:vAlign w:val="center"/>
          </w:tcPr>
          <w:p w14:paraId="18AF1740">
            <w:pPr>
              <w:pStyle w:val="64"/>
            </w:pPr>
            <w:r>
              <w:rPr>
                <w:rFonts w:hint="eastAsia"/>
              </w:rPr>
              <w:t>49.471</w:t>
            </w:r>
          </w:p>
        </w:tc>
        <w:tc>
          <w:tcPr>
            <w:tcW w:w="2489" w:type="dxa"/>
            <w:vAlign w:val="center"/>
          </w:tcPr>
          <w:p w14:paraId="596BF0DE">
            <w:pPr>
              <w:pStyle w:val="64"/>
            </w:pPr>
            <w:r>
              <w:rPr>
                <w:rFonts w:hint="eastAsia"/>
              </w:rPr>
              <w:t>2.54</w:t>
            </w:r>
          </w:p>
        </w:tc>
      </w:tr>
    </w:tbl>
    <w:p w14:paraId="4F8ADB6B">
      <w:pPr>
        <w:pStyle w:val="10"/>
        <w:ind w:firstLine="482"/>
        <w:rPr>
          <w:rFonts w:hint="default"/>
          <w:snapToGrid w:val="0"/>
        </w:rPr>
      </w:pPr>
      <w:r>
        <w:rPr>
          <w:snapToGrid w:val="0"/>
        </w:rPr>
        <w:t>标准文本：</w:t>
      </w:r>
    </w:p>
    <w:p w14:paraId="512A2EC0">
      <w:pPr>
        <w:pStyle w:val="30"/>
      </w:pPr>
      <w:r>
        <w:t>5.5　</w:t>
      </w:r>
      <w:r>
        <w:rPr>
          <w:rFonts w:hint="eastAsia"/>
        </w:rPr>
        <w:t>食品</w:t>
      </w:r>
      <w:r>
        <w:t>安全指标</w:t>
      </w:r>
    </w:p>
    <w:p w14:paraId="6084AC50">
      <w:pPr>
        <w:pStyle w:val="30"/>
      </w:pPr>
      <w:r>
        <w:rPr>
          <w:rFonts w:hint="eastAsia"/>
        </w:rPr>
        <w:t>5.5.1</w:t>
      </w:r>
      <w:r>
        <w:t>污染物限量</w:t>
      </w:r>
    </w:p>
    <w:p w14:paraId="510BA6B1">
      <w:pPr>
        <w:pStyle w:val="30"/>
      </w:pPr>
      <w:r>
        <w:rPr>
          <w:rFonts w:hint="eastAsia"/>
        </w:rPr>
        <w:t>应符合</w:t>
      </w:r>
      <w:r>
        <w:t>GB 2762的规定。</w:t>
      </w:r>
    </w:p>
    <w:p w14:paraId="4D4836CE">
      <w:pPr>
        <w:pStyle w:val="30"/>
      </w:pPr>
      <w:r>
        <w:t>5.5.2　微生物指标</w:t>
      </w:r>
    </w:p>
    <w:p w14:paraId="6AB37DEF">
      <w:pPr>
        <w:pStyle w:val="30"/>
      </w:pPr>
      <w:r>
        <w:rPr>
          <w:rFonts w:hint="eastAsia"/>
        </w:rPr>
        <w:t>预包装产品应符合</w:t>
      </w:r>
      <w:r>
        <w:t>GB 2726的规定。</w:t>
      </w:r>
    </w:p>
    <w:p w14:paraId="044F6F6E">
      <w:pPr>
        <w:pStyle w:val="30"/>
      </w:pPr>
      <w:r>
        <w:t>5.6　净含量</w:t>
      </w:r>
    </w:p>
    <w:p w14:paraId="52669130">
      <w:pPr>
        <w:pStyle w:val="30"/>
      </w:pPr>
      <w:r>
        <w:rPr>
          <w:rFonts w:hint="eastAsia"/>
        </w:rPr>
        <w:t>预包装产品净含量应符合《定量包装商品计量监督管理办法》的规定</w:t>
      </w:r>
      <w:r>
        <w:t>。</w:t>
      </w:r>
    </w:p>
    <w:p w14:paraId="144CC19D">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30039EB6">
      <w:pPr>
        <w:pStyle w:val="30"/>
      </w:pPr>
      <w:r>
        <w:rPr>
          <w:rFonts w:hint="eastAsia"/>
        </w:rPr>
        <w:t>经过查阅相关资料和行业调研发现，酱卤肉制品的食品安全水平整体良好。我国强制性国家标准对污染物限量、致病菌限量和</w:t>
      </w:r>
      <w:r>
        <w:t>净含量</w:t>
      </w:r>
      <w:r>
        <w:rPr>
          <w:rFonts w:hint="eastAsia"/>
        </w:rPr>
        <w:t>等有明确规定，结合通辽</w:t>
      </w:r>
      <w:r>
        <w:t>牛肉酱卤制品</w:t>
      </w:r>
      <w:r>
        <w:rPr>
          <w:rFonts w:hint="eastAsia"/>
        </w:rPr>
        <w:t>的特点，本标准执行相关国家食品安全标准的要求可以满足食品安全的需要。因此</w:t>
      </w:r>
      <w:r>
        <w:t>，</w:t>
      </w:r>
      <w:r>
        <w:rPr>
          <w:rFonts w:hint="eastAsia"/>
        </w:rPr>
        <w:t>依据成熟</w:t>
      </w:r>
      <w:r>
        <w:t>国家标准</w:t>
      </w:r>
      <w:r>
        <w:rPr>
          <w:rFonts w:hint="eastAsia"/>
        </w:rPr>
        <w:t>和</w:t>
      </w:r>
      <w:r>
        <w:t>规定进行要求。</w:t>
      </w:r>
    </w:p>
    <w:p w14:paraId="47C0C117">
      <w:pPr>
        <w:pStyle w:val="34"/>
        <w:ind w:firstLine="482"/>
      </w:pPr>
      <w:r>
        <w:t>6　生产加工管理</w:t>
      </w:r>
    </w:p>
    <w:p w14:paraId="231CD19D">
      <w:pPr>
        <w:pStyle w:val="10"/>
        <w:ind w:firstLine="482"/>
        <w:rPr>
          <w:rFonts w:hint="default"/>
          <w:snapToGrid w:val="0"/>
        </w:rPr>
      </w:pPr>
      <w:r>
        <w:rPr>
          <w:snapToGrid w:val="0"/>
        </w:rPr>
        <w:t>标准文本：</w:t>
      </w:r>
    </w:p>
    <w:p w14:paraId="15016AEB">
      <w:pPr>
        <w:pStyle w:val="30"/>
      </w:pPr>
      <w:r>
        <w:rPr>
          <w:rFonts w:hint="eastAsia"/>
        </w:rPr>
        <w:t>应符合相应的国家标准或行业标准的有关规定。</w:t>
      </w:r>
    </w:p>
    <w:p w14:paraId="64178925">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0EB220B2">
      <w:pPr>
        <w:pStyle w:val="30"/>
      </w:pPr>
      <w:r>
        <w:rPr>
          <w:rFonts w:hint="eastAsia"/>
        </w:rPr>
        <w:t>为了保障和提升调理素肉的质量安全水平，规定生产加工</w:t>
      </w:r>
      <w:r>
        <w:t>管理</w:t>
      </w:r>
      <w:r>
        <w:rPr>
          <w:rFonts w:hint="eastAsia"/>
        </w:rPr>
        <w:t>应符合相应的国家标准或行业标准的有关规定。依据国家标准对产品生产加工管理规定进行了要求，国家标准</w:t>
      </w:r>
      <w:r>
        <w:t>GB 14881-2013 《食品安全国家标准 食品生产通用卫生规范》、GB/T 20940-2007 《肉类制品企业良好操作规范》和GB/T 23586-2022《酱卤肉制品质量通则》等均对酱卤肉制品需遵循的生产加工管理要求进行了规定，文本中提出应符合相关标准的规定，不逐一列出具体标准。</w:t>
      </w:r>
    </w:p>
    <w:p w14:paraId="6E6313F4">
      <w:pPr>
        <w:pStyle w:val="30"/>
        <w:ind w:firstLine="482"/>
        <w:rPr>
          <w:b/>
        </w:rPr>
      </w:pPr>
      <w:r>
        <w:rPr>
          <w:b/>
        </w:rPr>
        <w:t xml:space="preserve">7  </w:t>
      </w:r>
      <w:r>
        <w:rPr>
          <w:rFonts w:hint="eastAsia"/>
          <w:b/>
        </w:rPr>
        <w:t>试</w:t>
      </w:r>
      <w:r>
        <w:rPr>
          <w:rFonts w:hint="eastAsia"/>
          <w:b/>
        </w:rPr>
        <w:t>验方法</w:t>
      </w:r>
    </w:p>
    <w:p w14:paraId="0FF75AD9">
      <w:pPr>
        <w:pStyle w:val="10"/>
        <w:ind w:firstLine="482"/>
        <w:rPr>
          <w:rFonts w:hint="default"/>
          <w:snapToGrid w:val="0"/>
        </w:rPr>
      </w:pPr>
      <w:r>
        <w:rPr>
          <w:snapToGrid w:val="0"/>
        </w:rPr>
        <w:t>标准文本：</w:t>
      </w:r>
    </w:p>
    <w:p w14:paraId="3E701F2C">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7</w:t>
      </w:r>
      <w:r>
        <w:rPr>
          <w:rFonts w:hAnsi="Times New Roman" w:eastAsia="宋体" w:cs="Times New Roman"/>
          <w:b w:val="0"/>
          <w:snapToGrid w:val="0"/>
          <w:lang w:bidi="ar-SA"/>
        </w:rPr>
        <w:t>.1 感官指标测定</w:t>
      </w:r>
    </w:p>
    <w:p w14:paraId="2887F678">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取适量试样（冻品应预先解冻）置于白色器皿内，在自然光照下观察其外观、色泽、组织状态和杂质，嗅其气味，尝其滋味，手触感觉组织状态。</w:t>
      </w:r>
    </w:p>
    <w:p w14:paraId="156EE818">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7.2 理化指标测定</w:t>
      </w:r>
    </w:p>
    <w:p w14:paraId="24450612">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7.2.1 水分</w:t>
      </w:r>
    </w:p>
    <w:p w14:paraId="4F76D571">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按GB 5009.3规定的方法测定。</w:t>
      </w:r>
    </w:p>
    <w:p w14:paraId="4927D925">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7.2.2 蛋白质</w:t>
      </w:r>
    </w:p>
    <w:p w14:paraId="73E70CE7">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按GB 5009.5规定的方法测定。</w:t>
      </w:r>
    </w:p>
    <w:p w14:paraId="5F1F6B4F">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7.2.3 氯化物</w:t>
      </w:r>
    </w:p>
    <w:p w14:paraId="531D0BFC">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按GB 5009.5规定的方法测定。</w:t>
      </w:r>
    </w:p>
    <w:p w14:paraId="6115AFBF">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7.3 食品安全指标</w:t>
      </w:r>
    </w:p>
    <w:p w14:paraId="2C42562B">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7.3.1 污染物</w:t>
      </w:r>
    </w:p>
    <w:p w14:paraId="297C82B8">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按GB 2762规定的方法测定。</w:t>
      </w:r>
    </w:p>
    <w:p w14:paraId="6B997E46">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7.3.2 微生物指标测定</w:t>
      </w:r>
    </w:p>
    <w:p w14:paraId="2BFEE488">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按GB 2726规定的方法测定。</w:t>
      </w:r>
    </w:p>
    <w:p w14:paraId="53CDBD5D">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7.4 净含量</w:t>
      </w:r>
    </w:p>
    <w:p w14:paraId="3BF88D37">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按JJF 1070的规定的方法检验。</w:t>
      </w:r>
    </w:p>
    <w:p w14:paraId="7B23D6D7">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78D2435B">
      <w:pPr>
        <w:pStyle w:val="30"/>
      </w:pPr>
      <w:r>
        <w:rPr>
          <w:rFonts w:hint="eastAsia"/>
        </w:rPr>
        <w:t>感官评价结合现有标准和科学评价方法，国家标准对食品中蛋白质、水分、氯化物、污染物、微生物含量的检测有明确的方法描述，本标准直接引用。</w:t>
      </w:r>
    </w:p>
    <w:p w14:paraId="0A8B1770">
      <w:pPr>
        <w:pStyle w:val="10"/>
        <w:ind w:firstLine="482"/>
        <w:rPr>
          <w:rFonts w:hint="default"/>
          <w:snapToGrid w:val="0"/>
        </w:rPr>
      </w:pPr>
      <w:r>
        <w:rPr>
          <w:snapToGrid w:val="0"/>
        </w:rPr>
        <w:t>标准文本：</w:t>
      </w:r>
    </w:p>
    <w:p w14:paraId="7A95F5E9">
      <w:pPr>
        <w:pStyle w:val="34"/>
        <w:ind w:firstLine="482"/>
      </w:pPr>
      <w:r>
        <w:t>8　检验规则</w:t>
      </w:r>
    </w:p>
    <w:p w14:paraId="0C43AF07">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8</w:t>
      </w:r>
      <w:r>
        <w:rPr>
          <w:rFonts w:hAnsi="Times New Roman" w:eastAsia="宋体" w:cs="Times New Roman"/>
          <w:b w:val="0"/>
          <w:snapToGrid w:val="0"/>
          <w:lang w:bidi="ar-SA"/>
        </w:rPr>
        <w:t>.1　组批</w:t>
      </w:r>
    </w:p>
    <w:p w14:paraId="1B82A7C7">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同一生产日期、同一品种的产品为一批。</w:t>
      </w:r>
    </w:p>
    <w:p w14:paraId="5C58035C">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8</w:t>
      </w:r>
      <w:r>
        <w:rPr>
          <w:rFonts w:hAnsi="Times New Roman" w:eastAsia="宋体" w:cs="Times New Roman"/>
          <w:b w:val="0"/>
          <w:snapToGrid w:val="0"/>
          <w:lang w:bidi="ar-SA"/>
        </w:rPr>
        <w:t>.2　抽样</w:t>
      </w:r>
    </w:p>
    <w:p w14:paraId="109A685C">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按照GB/T 9695.19、GB 4789.17中规定的方法取样,保证抽样数量满足检验和留样的需求。</w:t>
      </w:r>
    </w:p>
    <w:p w14:paraId="11CA4A4C">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8</w:t>
      </w:r>
      <w:r>
        <w:rPr>
          <w:rFonts w:hAnsi="Times New Roman" w:eastAsia="宋体" w:cs="Times New Roman"/>
          <w:b w:val="0"/>
          <w:snapToGrid w:val="0"/>
          <w:lang w:bidi="ar-SA"/>
        </w:rPr>
        <w:t>.3　出厂检验</w:t>
      </w:r>
    </w:p>
    <w:p w14:paraId="259BB9BA">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8</w:t>
      </w:r>
      <w:r>
        <w:rPr>
          <w:rFonts w:hAnsi="Times New Roman" w:eastAsia="宋体" w:cs="Times New Roman"/>
          <w:b w:val="0"/>
          <w:snapToGrid w:val="0"/>
          <w:lang w:bidi="ar-SA"/>
        </w:rPr>
        <w:t>.3.1　每批产品应经生产厂检验部门按本文件的规定进行检验，产品合格后方可出厂。</w:t>
      </w:r>
    </w:p>
    <w:p w14:paraId="0CCB2D7A">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8.3.2　出厂检验的项目包括感官要求、净含量。</w:t>
      </w:r>
    </w:p>
    <w:p w14:paraId="7D6EAAC0">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8</w:t>
      </w:r>
      <w:r>
        <w:rPr>
          <w:rFonts w:hAnsi="Times New Roman" w:eastAsia="宋体" w:cs="Times New Roman"/>
          <w:b w:val="0"/>
          <w:snapToGrid w:val="0"/>
          <w:lang w:bidi="ar-SA"/>
        </w:rPr>
        <w:t>.4　型式检验</w:t>
      </w:r>
    </w:p>
    <w:p w14:paraId="7BC34858">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8</w:t>
      </w:r>
      <w:r>
        <w:rPr>
          <w:rFonts w:hAnsi="Times New Roman" w:eastAsia="宋体" w:cs="Times New Roman"/>
          <w:b w:val="0"/>
          <w:snapToGrid w:val="0"/>
          <w:lang w:bidi="ar-SA"/>
        </w:rPr>
        <w:t>.4.1　每半年进行一次型式检验，发生下列情况之一时也应进行型式检验：</w:t>
      </w:r>
    </w:p>
    <w:p w14:paraId="4E5F604B">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-------新产品试制鉴定及正式投产时；</w:t>
      </w:r>
    </w:p>
    <w:p w14:paraId="7C1A00E3">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-------正式生产后，如原料、工艺有较大变化，可能影响产品质量时；</w:t>
      </w:r>
    </w:p>
    <w:p w14:paraId="08D045E8">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-------停产半年及以上恢复生产时；</w:t>
      </w:r>
    </w:p>
    <w:p w14:paraId="5319C71C">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-------出厂检验结果与上次型式检验有较大差异时；</w:t>
      </w:r>
    </w:p>
    <w:p w14:paraId="264197D3">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-------国家有关监管机构提出进行型式检验的要求时。</w:t>
      </w:r>
    </w:p>
    <w:p w14:paraId="70A1CE76">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8</w:t>
      </w:r>
      <w:r>
        <w:rPr>
          <w:rFonts w:hAnsi="Times New Roman" w:eastAsia="宋体" w:cs="Times New Roman"/>
          <w:b w:val="0"/>
          <w:snapToGrid w:val="0"/>
          <w:lang w:bidi="ar-SA"/>
        </w:rPr>
        <w:t>.4.2　型式检验项目应包含5.3</w:t>
      </w:r>
      <w:r>
        <w:rPr>
          <w:rFonts w:eastAsia="宋体" w:cs="Times New Roman"/>
          <w:b w:val="0"/>
          <w:snapToGrid w:val="0"/>
          <w:lang w:bidi="ar-SA"/>
        </w:rPr>
        <w:t>～</w:t>
      </w:r>
      <w:r>
        <w:rPr>
          <w:rFonts w:hint="default" w:hAnsi="Times New Roman" w:eastAsia="宋体" w:cs="Times New Roman"/>
          <w:b w:val="0"/>
          <w:snapToGrid w:val="0"/>
          <w:lang w:bidi="ar-SA"/>
        </w:rPr>
        <w:t>5.6</w:t>
      </w:r>
      <w:r>
        <w:rPr>
          <w:rFonts w:hAnsi="Times New Roman" w:eastAsia="宋体" w:cs="Times New Roman"/>
          <w:b w:val="0"/>
          <w:snapToGrid w:val="0"/>
          <w:lang w:bidi="ar-SA"/>
        </w:rPr>
        <w:t>规定的全部项目。</w:t>
      </w:r>
    </w:p>
    <w:p w14:paraId="70016CA0">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5</w:t>
      </w:r>
      <w:r>
        <w:rPr>
          <w:rFonts w:hAnsi="Times New Roman" w:eastAsia="宋体" w:cs="Times New Roman"/>
          <w:b w:val="0"/>
          <w:snapToGrid w:val="0"/>
          <w:lang w:bidi="ar-SA"/>
        </w:rPr>
        <w:t>.5 判定规则</w:t>
      </w:r>
    </w:p>
    <w:p w14:paraId="5C100EE2">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5</w:t>
      </w:r>
      <w:r>
        <w:rPr>
          <w:rFonts w:hAnsi="Times New Roman" w:eastAsia="宋体" w:cs="Times New Roman"/>
          <w:b w:val="0"/>
          <w:snapToGrid w:val="0"/>
          <w:lang w:bidi="ar-SA"/>
        </w:rPr>
        <w:t>.5.1　出厂检验判定规则</w:t>
      </w:r>
    </w:p>
    <w:p w14:paraId="65C8FB69">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出厂检验项目全部符合本文件，判定该批产品符合本文件要求。出厂检验项目如有不合格，应在原批次产品中双倍抽样复检，复检后仍不合格的，判定该批产品不符合本文件要求。</w:t>
      </w:r>
    </w:p>
    <w:p w14:paraId="7106A4DA">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5</w:t>
      </w:r>
      <w:r>
        <w:rPr>
          <w:rFonts w:hAnsi="Times New Roman" w:eastAsia="宋体" w:cs="Times New Roman"/>
          <w:b w:val="0"/>
          <w:snapToGrid w:val="0"/>
          <w:lang w:bidi="ar-SA"/>
        </w:rPr>
        <w:t>.5.2　型式检验判定规则</w:t>
      </w:r>
    </w:p>
    <w:p w14:paraId="4206162C">
      <w:pPr>
        <w:pStyle w:val="10"/>
        <w:ind w:firstLine="480"/>
        <w:rPr>
          <w:rFonts w:hint="default" w:hAnsi="Times New Roman" w:eastAsia="宋体" w:cs="Times New Roman"/>
          <w:b w:val="0"/>
          <w:snapToGrid w:val="0"/>
          <w:lang w:bidi="ar-SA"/>
        </w:rPr>
      </w:pPr>
      <w:r>
        <w:rPr>
          <w:rFonts w:hAnsi="Times New Roman" w:eastAsia="宋体" w:cs="Times New Roman"/>
          <w:b w:val="0"/>
          <w:snapToGrid w:val="0"/>
          <w:lang w:bidi="ar-SA"/>
        </w:rPr>
        <w:t>检验项目全部符合本文件要求时，判定产品为合格；除微生物限量外，所检项目中若有1项指标不符合本文件规定时，可加倍抽样将此项指标复验一次，按复验结果判定本批产品是否合格。其它指标检验结果中若有2项或2项以上指标不符合文件规定时，则判该批产品不合格；微生物指标有1项或1项以上检验结果不合格，则判该产品为不合格，不应复检。</w:t>
      </w:r>
    </w:p>
    <w:p w14:paraId="0BDAB977">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2C805B9E">
      <w:pPr>
        <w:pStyle w:val="30"/>
      </w:pPr>
      <w:r>
        <w:rPr>
          <w:rFonts w:hint="eastAsia"/>
        </w:rPr>
        <w:t>以上内容的确定根据行业的例行情况结合产品高端特征确定。</w:t>
      </w:r>
    </w:p>
    <w:p w14:paraId="0899D8A1">
      <w:pPr>
        <w:pStyle w:val="30"/>
      </w:pPr>
      <w:r>
        <w:rPr>
          <w:rFonts w:hint="eastAsia"/>
        </w:rPr>
        <w:t>标准文本：</w:t>
      </w:r>
    </w:p>
    <w:p w14:paraId="752ACBA6">
      <w:pPr>
        <w:pStyle w:val="34"/>
        <w:ind w:firstLine="482"/>
      </w:pPr>
      <w:r>
        <w:t>9　标签、标志、包装、贮存</w:t>
      </w:r>
      <w:r>
        <w:rPr>
          <w:rFonts w:hint="eastAsia"/>
        </w:rPr>
        <w:t>及</w:t>
      </w:r>
      <w:r>
        <w:t>运输</w:t>
      </w:r>
    </w:p>
    <w:p w14:paraId="67A133FE">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.1　标签与标志</w:t>
      </w:r>
    </w:p>
    <w:p w14:paraId="681F035E">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.1.1　产品标签应符合GB 7718和GB 28050的规定，并注明等级。</w:t>
      </w:r>
    </w:p>
    <w:p w14:paraId="64611E3E">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.1.2　包装储运图示标志应符合GB/T 191的规定。获准使用地理标志产品专用标志的生产者，应按《地理标志专用标志使用管理办法（试行）》的规定在其产品上使用防伪专用标志。</w:t>
      </w:r>
    </w:p>
    <w:p w14:paraId="481BA579">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.2　包装</w:t>
      </w:r>
    </w:p>
    <w:p w14:paraId="68E116FC">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.2.1　包装容器与材料应符合相关国家标准或行业标准的规定。</w:t>
      </w:r>
    </w:p>
    <w:p w14:paraId="1ABC4134">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.2.2　包装完整，无损坏，无污染。</w:t>
      </w:r>
    </w:p>
    <w:p w14:paraId="44E3B48C">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.3　贮存</w:t>
      </w:r>
    </w:p>
    <w:p w14:paraId="13B6715F">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.3.1　产品应贮存在卫生、阴凉、通风、干燥处或0～</w:t>
      </w:r>
      <w:r>
        <w:rPr>
          <w:rFonts w:hint="eastAsia" w:hAnsi="Times New Roman" w:eastAsia="宋体" w:cs="Times New Roman"/>
          <w:b w:val="0"/>
          <w:snapToGrid w:val="0"/>
          <w:lang w:val="en-US" w:eastAsia="zh-CN" w:bidi="ar-SA"/>
        </w:rPr>
        <w:t>4</w:t>
      </w:r>
      <w:r>
        <w:rPr>
          <w:rFonts w:hAnsi="Times New Roman" w:eastAsia="宋体" w:cs="Times New Roman"/>
          <w:b w:val="0"/>
          <w:snapToGrid w:val="0"/>
          <w:lang w:bidi="ar-SA"/>
        </w:rPr>
        <w:t>℃，每个包装上只能标注一种类型的贮存条件。</w:t>
      </w:r>
    </w:p>
    <w:p w14:paraId="5515B0DB">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.3.2　贮存时应包装完整、不破不漏，避免有毒物质污染。不应与有害、有异味、有腐蚀性的物质混放。</w:t>
      </w:r>
    </w:p>
    <w:p w14:paraId="7CC16ACF">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.4　运输</w:t>
      </w:r>
    </w:p>
    <w:p w14:paraId="104CD3C3">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.4.1　运输和装卸食品的容器、工器具和设备应当安全、无害，保持清洁，降低食品污染的风险。</w:t>
      </w:r>
    </w:p>
    <w:p w14:paraId="216CA366">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.4.2　运输过程中应避免日光直射、雨淋、显著的温度变化和剧烈碰撞等，防止食品受到不良影响。</w:t>
      </w:r>
    </w:p>
    <w:p w14:paraId="02291568">
      <w:pPr>
        <w:pStyle w:val="10"/>
        <w:ind w:firstLine="480"/>
        <w:rPr>
          <w:rFonts w:hint="default" w:hAnsi="Times New Roman" w:eastAsia="宋体" w:cs="Times New Roman"/>
          <w:b w:val="0"/>
          <w:snapToGrid w:val="0"/>
          <w:lang w:bidi="ar-SA"/>
        </w:rPr>
      </w:pPr>
      <w:r>
        <w:rPr>
          <w:rFonts w:hint="default" w:hAnsi="Times New Roman" w:eastAsia="宋体" w:cs="Times New Roman"/>
          <w:b w:val="0"/>
          <w:snapToGrid w:val="0"/>
          <w:lang w:bidi="ar-SA"/>
        </w:rPr>
        <w:t>9</w:t>
      </w:r>
      <w:r>
        <w:rPr>
          <w:rFonts w:hAnsi="Times New Roman" w:eastAsia="宋体" w:cs="Times New Roman"/>
          <w:b w:val="0"/>
          <w:snapToGrid w:val="0"/>
          <w:lang w:bidi="ar-SA"/>
        </w:rPr>
        <w:t>.4.3　有低温贮存要求的产品，应配有符合相应温度要求的运输条件。</w:t>
      </w:r>
    </w:p>
    <w:p w14:paraId="3C057A91">
      <w:pPr>
        <w:pStyle w:val="10"/>
        <w:ind w:firstLine="482"/>
        <w:rPr>
          <w:rFonts w:hint="default" w:ascii="Times New Roman" w:hAnsi="Times New Roman" w:eastAsia="宋体" w:cs="Times New Roman"/>
          <w:b w:val="0"/>
          <w:bCs/>
          <w:snapToGrid w:val="0"/>
          <w:szCs w:val="24"/>
          <w:lang w:bidi="ar"/>
        </w:rPr>
      </w:pPr>
      <w:r>
        <w:rPr>
          <w:rFonts w:ascii="Times New Roman" w:hAnsi="Times New Roman" w:eastAsia="宋体" w:cs="Times New Roman"/>
          <w:bCs/>
          <w:snapToGrid w:val="0"/>
          <w:szCs w:val="24"/>
          <w:lang w:bidi="ar"/>
        </w:rPr>
        <w:t>制定依据：</w:t>
      </w:r>
    </w:p>
    <w:p w14:paraId="1D7344AF">
      <w:pPr>
        <w:pStyle w:val="30"/>
      </w:pPr>
      <w:r>
        <w:rPr>
          <w:rFonts w:hint="eastAsia"/>
        </w:rPr>
        <w:t>以上文本参数的确定均参考相关的国家标准、农业标准等文件确定，重点突出了获准使用地理标志产品可使用专用防伪标志，可以明白的展示给消费者，产品的属性。</w:t>
      </w:r>
    </w:p>
    <w:bookmarkEnd w:id="22"/>
    <w:p w14:paraId="0605AFB2">
      <w:pPr>
        <w:pStyle w:val="2"/>
        <w:keepNext w:val="0"/>
        <w:keepLines w:val="0"/>
        <w:widowControl w:val="0"/>
        <w:adjustRightInd/>
        <w:snapToGrid/>
        <w:ind w:firstLine="560"/>
        <w:contextualSpacing/>
        <w:rPr>
          <w:rFonts w:ascii="Times New Roman" w:hAnsi="Times New Roman" w:cs="Times New Roman"/>
          <w:b w:val="0"/>
          <w:bCs/>
          <w:szCs w:val="44"/>
          <w:lang w:bidi="ar-SA"/>
        </w:rPr>
      </w:pPr>
      <w:r>
        <w:rPr>
          <w:rFonts w:hint="eastAsia" w:ascii="Times New Roman" w:hAnsi="Times New Roman" w:cs="Times New Roman"/>
          <w:b w:val="0"/>
          <w:bCs/>
          <w:szCs w:val="44"/>
          <w:lang w:bidi="ar-SA"/>
        </w:rPr>
        <w:t>三、主要试验（或验证）的分析、综述报告，技术经济论证，预期的经济效果</w:t>
      </w:r>
    </w:p>
    <w:p w14:paraId="19A88F87">
      <w:pPr>
        <w:snapToGrid/>
        <w:ind w:firstLine="480"/>
        <w:contextualSpacing/>
        <w:rPr>
          <w:sz w:val="24"/>
          <w:szCs w:val="24"/>
        </w:rPr>
      </w:pPr>
      <w:r>
        <w:rPr>
          <w:rFonts w:hint="eastAsia"/>
          <w:sz w:val="24"/>
          <w:szCs w:val="24"/>
        </w:rPr>
        <w:t>在本标准制定过程中，中国肉类食品综合研究中心通过企业生产调研、产品特性分析、标准和参考文献研究等多途径进行科学求证。</w:t>
      </w:r>
    </w:p>
    <w:p w14:paraId="118F6395">
      <w:pPr>
        <w:pStyle w:val="2"/>
        <w:keepNext w:val="0"/>
        <w:keepLines w:val="0"/>
        <w:widowControl w:val="0"/>
        <w:adjustRightInd/>
        <w:snapToGrid/>
        <w:ind w:firstLine="560"/>
        <w:contextualSpacing/>
        <w:rPr>
          <w:rFonts w:ascii="Times New Roman" w:hAnsi="Times New Roman" w:cs="Times New Roman"/>
          <w:b w:val="0"/>
          <w:bCs/>
          <w:szCs w:val="44"/>
          <w:lang w:bidi="ar-SA"/>
        </w:rPr>
      </w:pPr>
      <w:r>
        <w:rPr>
          <w:rFonts w:hint="eastAsia" w:ascii="Times New Roman" w:hAnsi="Times New Roman" w:cs="Times New Roman"/>
          <w:b w:val="0"/>
          <w:bCs/>
          <w:szCs w:val="44"/>
          <w:lang w:bidi="ar-SA"/>
        </w:rPr>
        <w:t>四、采用国际标准和国外先进标准的程度</w:t>
      </w:r>
    </w:p>
    <w:p w14:paraId="20F5C869">
      <w:pPr>
        <w:snapToGrid/>
        <w:ind w:firstLine="480"/>
        <w:contextualSpacing/>
        <w:rPr>
          <w:sz w:val="24"/>
          <w:szCs w:val="24"/>
        </w:rPr>
      </w:pPr>
      <w:r>
        <w:rPr>
          <w:rFonts w:hint="eastAsia"/>
          <w:sz w:val="24"/>
          <w:szCs w:val="24"/>
        </w:rPr>
        <w:t>本文件未采用国际标准。</w:t>
      </w:r>
    </w:p>
    <w:p w14:paraId="696939FA">
      <w:pPr>
        <w:pStyle w:val="2"/>
        <w:keepNext w:val="0"/>
        <w:keepLines w:val="0"/>
        <w:widowControl w:val="0"/>
        <w:adjustRightInd/>
        <w:snapToGrid/>
        <w:ind w:firstLine="560"/>
        <w:contextualSpacing/>
        <w:rPr>
          <w:rFonts w:ascii="Times New Roman" w:hAnsi="Times New Roman" w:cs="Times New Roman"/>
          <w:b w:val="0"/>
          <w:bCs/>
          <w:szCs w:val="44"/>
          <w:lang w:bidi="ar-SA"/>
        </w:rPr>
      </w:pPr>
      <w:bookmarkStart w:id="23" w:name="OLE_LINK130"/>
      <w:r>
        <w:rPr>
          <w:rFonts w:hint="eastAsia" w:ascii="Times New Roman" w:hAnsi="Times New Roman" w:cs="Times New Roman"/>
          <w:b w:val="0"/>
          <w:bCs/>
          <w:szCs w:val="44"/>
          <w:lang w:bidi="ar-SA"/>
        </w:rPr>
        <w:t>五、与现行的法律法规和强制性国家标准的关系</w:t>
      </w:r>
    </w:p>
    <w:bookmarkEnd w:id="23"/>
    <w:p w14:paraId="7F4E22FC">
      <w:pPr>
        <w:pStyle w:val="30"/>
      </w:pPr>
      <w:r>
        <w:rPr>
          <w:rFonts w:hint="eastAsia"/>
        </w:rPr>
        <w:t>本文件在现行法律法规的框架内起草，引用或参照相关法律法规的有关规定，与现行法律法规和强制性国家标准保持协调一致，没有矛盾或冲突，并按照</w:t>
      </w:r>
      <w:r>
        <w:t>GB/T 1.1-2020《标准化工作导则 第一部分：标准的结构和编写》制定。</w:t>
      </w:r>
    </w:p>
    <w:p w14:paraId="2207CDA5">
      <w:pPr>
        <w:pStyle w:val="2"/>
        <w:keepNext w:val="0"/>
        <w:keepLines w:val="0"/>
        <w:widowControl w:val="0"/>
        <w:adjustRightInd/>
        <w:snapToGrid/>
        <w:ind w:firstLine="560"/>
        <w:contextualSpacing/>
        <w:rPr>
          <w:rFonts w:ascii="Times New Roman" w:hAnsi="Times New Roman" w:cs="Times New Roman"/>
          <w:b w:val="0"/>
          <w:bCs/>
          <w:szCs w:val="44"/>
          <w:lang w:bidi="ar-SA"/>
        </w:rPr>
      </w:pPr>
      <w:bookmarkStart w:id="24" w:name="OLE_LINK132"/>
      <w:r>
        <w:rPr>
          <w:rFonts w:hint="eastAsia" w:ascii="Times New Roman" w:hAnsi="Times New Roman" w:cs="Times New Roman"/>
          <w:b w:val="0"/>
          <w:bCs/>
          <w:szCs w:val="44"/>
          <w:lang w:bidi="ar-SA"/>
        </w:rPr>
        <w:t>六、重大分歧意见的处理经过和依据</w:t>
      </w:r>
    </w:p>
    <w:bookmarkEnd w:id="24"/>
    <w:p w14:paraId="5D4F971F">
      <w:pPr>
        <w:snapToGrid/>
        <w:ind w:firstLine="480"/>
        <w:contextualSpacing/>
        <w:rPr>
          <w:sz w:val="24"/>
          <w:szCs w:val="24"/>
        </w:rPr>
      </w:pPr>
      <w:r>
        <w:rPr>
          <w:sz w:val="24"/>
          <w:szCs w:val="24"/>
        </w:rPr>
        <w:t>无。</w:t>
      </w:r>
    </w:p>
    <w:p w14:paraId="767DC130">
      <w:pPr>
        <w:pStyle w:val="2"/>
        <w:keepNext w:val="0"/>
        <w:keepLines w:val="0"/>
        <w:widowControl w:val="0"/>
        <w:adjustRightInd/>
        <w:snapToGrid/>
        <w:ind w:firstLine="560"/>
        <w:contextualSpacing/>
        <w:rPr>
          <w:rFonts w:ascii="Times New Roman" w:hAnsi="Times New Roman" w:cs="Times New Roman"/>
          <w:b w:val="0"/>
          <w:bCs/>
          <w:szCs w:val="44"/>
          <w:lang w:bidi="ar-SA"/>
        </w:rPr>
      </w:pPr>
      <w:r>
        <w:rPr>
          <w:rFonts w:hint="eastAsia" w:ascii="Times New Roman" w:hAnsi="Times New Roman" w:cs="Times New Roman"/>
          <w:b w:val="0"/>
          <w:bCs/>
          <w:szCs w:val="44"/>
          <w:lang w:bidi="ar-SA"/>
        </w:rPr>
        <w:t>七、标准作为强制性或推荐性标准的建议</w:t>
      </w:r>
    </w:p>
    <w:p w14:paraId="45F487C7">
      <w:pPr>
        <w:snapToGrid/>
        <w:ind w:firstLine="480"/>
        <w:contextualSpacing/>
        <w:rPr>
          <w:sz w:val="24"/>
          <w:szCs w:val="24"/>
        </w:rPr>
      </w:pPr>
      <w:r>
        <w:rPr>
          <w:rFonts w:hint="eastAsia"/>
          <w:sz w:val="24"/>
          <w:szCs w:val="24"/>
        </w:rPr>
        <w:t>建议本标准作为团体标准发布实施。</w:t>
      </w:r>
    </w:p>
    <w:p w14:paraId="04038ACF">
      <w:pPr>
        <w:pStyle w:val="2"/>
        <w:keepNext w:val="0"/>
        <w:keepLines w:val="0"/>
        <w:widowControl w:val="0"/>
        <w:adjustRightInd/>
        <w:snapToGrid/>
        <w:ind w:firstLine="560"/>
        <w:contextualSpacing/>
        <w:rPr>
          <w:rFonts w:ascii="Times New Roman" w:hAnsi="Times New Roman" w:cs="Times New Roman"/>
          <w:b w:val="0"/>
          <w:bCs/>
          <w:szCs w:val="44"/>
          <w:lang w:bidi="ar-SA"/>
        </w:rPr>
      </w:pPr>
      <w:bookmarkStart w:id="25" w:name="OLE_LINK131"/>
      <w:r>
        <w:rPr>
          <w:rFonts w:hint="eastAsia" w:ascii="Times New Roman" w:hAnsi="Times New Roman" w:cs="Times New Roman"/>
          <w:b w:val="0"/>
          <w:bCs/>
          <w:szCs w:val="44"/>
          <w:lang w:bidi="ar-SA"/>
        </w:rPr>
        <w:t>八、贯彻标准的要求和措施建议（包括组织实施、技术措施、过渡办法等）</w:t>
      </w:r>
      <w:bookmarkStart w:id="26" w:name="OLE_LINK127"/>
    </w:p>
    <w:p w14:paraId="19FC903E">
      <w:pPr>
        <w:snapToGrid/>
        <w:ind w:firstLine="480"/>
        <w:contextualSpacing/>
        <w:textAlignment w:val="baseline"/>
        <w:rPr>
          <w:sz w:val="24"/>
        </w:rPr>
      </w:pPr>
      <w:r>
        <w:rPr>
          <w:rFonts w:hint="eastAsia"/>
          <w:sz w:val="24"/>
        </w:rPr>
        <w:t>系统化组织培训，到企业现场讲解，按照相关标准要求进行推广。整理各级别的典型企业先进性技术，在行业和企业中宣传。</w:t>
      </w:r>
    </w:p>
    <w:bookmarkEnd w:id="25"/>
    <w:p w14:paraId="6DD2175D">
      <w:pPr>
        <w:snapToGrid/>
        <w:ind w:firstLine="560"/>
        <w:contextualSpacing/>
        <w:textAlignment w:val="baseline"/>
        <w:outlineLvl w:val="0"/>
        <w:rPr>
          <w:rFonts w:eastAsia="黑体"/>
          <w:bCs/>
          <w:kern w:val="44"/>
          <w:sz w:val="28"/>
          <w:szCs w:val="44"/>
        </w:rPr>
      </w:pPr>
      <w:r>
        <w:rPr>
          <w:rFonts w:eastAsia="黑体"/>
          <w:bCs/>
          <w:kern w:val="44"/>
          <w:sz w:val="28"/>
          <w:szCs w:val="44"/>
        </w:rPr>
        <w:t>九、废止现行有关标准的建议</w:t>
      </w:r>
    </w:p>
    <w:p w14:paraId="3CB89204">
      <w:pPr>
        <w:snapToGrid/>
        <w:ind w:firstLine="480"/>
        <w:contextualSpacing/>
        <w:textAlignment w:val="baseline"/>
        <w:rPr>
          <w:sz w:val="24"/>
        </w:rPr>
      </w:pPr>
      <w:r>
        <w:rPr>
          <w:rFonts w:hint="eastAsia"/>
          <w:sz w:val="24"/>
        </w:rPr>
        <w:t>无。</w:t>
      </w:r>
    </w:p>
    <w:bookmarkEnd w:id="26"/>
    <w:p w14:paraId="65D2B3B6">
      <w:pPr>
        <w:snapToGrid/>
        <w:ind w:firstLine="560"/>
        <w:contextualSpacing/>
        <w:textAlignment w:val="baseline"/>
        <w:outlineLvl w:val="0"/>
        <w:rPr>
          <w:rFonts w:eastAsia="黑体"/>
          <w:bCs/>
          <w:kern w:val="44"/>
          <w:sz w:val="28"/>
          <w:szCs w:val="44"/>
        </w:rPr>
      </w:pPr>
      <w:r>
        <w:rPr>
          <w:rFonts w:eastAsia="黑体"/>
          <w:bCs/>
          <w:kern w:val="44"/>
          <w:sz w:val="28"/>
          <w:szCs w:val="44"/>
        </w:rPr>
        <w:t>十、其他应予说明的事项</w:t>
      </w:r>
    </w:p>
    <w:p w14:paraId="46FBCEAA">
      <w:pPr>
        <w:snapToGrid/>
        <w:ind w:firstLine="480"/>
        <w:contextualSpacing/>
        <w:textAlignment w:val="baseline"/>
        <w:rPr>
          <w:sz w:val="24"/>
        </w:rPr>
      </w:pPr>
      <w:r>
        <w:rPr>
          <w:sz w:val="24"/>
        </w:rPr>
        <w:t>无。</w:t>
      </w:r>
    </w:p>
    <w:p w14:paraId="5129D8B4">
      <w:pPr>
        <w:snapToGrid/>
        <w:ind w:firstLine="482"/>
        <w:contextualSpacing/>
        <w:rPr>
          <w:bCs/>
          <w:sz w:val="24"/>
          <w:szCs w:val="24"/>
        </w:rPr>
      </w:pPr>
      <w:r>
        <w:rPr>
          <w:b/>
          <w:bCs/>
          <w:sz w:val="24"/>
          <w:szCs w:val="24"/>
        </w:rPr>
        <w:t xml:space="preserve">                                                      </w:t>
      </w:r>
      <w:r>
        <w:rPr>
          <w:bCs/>
          <w:sz w:val="24"/>
          <w:szCs w:val="24"/>
        </w:rPr>
        <w:t>标准编制组</w:t>
      </w:r>
    </w:p>
    <w:p w14:paraId="700BEFE5">
      <w:pPr>
        <w:snapToGrid/>
        <w:ind w:firstLine="480"/>
        <w:contextualSpacing/>
        <w:rPr>
          <w:rFonts w:ascii="Times New Roman" w:hAnsi="Times New Roman" w:cs="Times New Roman"/>
          <w:bCs/>
          <w:sz w:val="24"/>
          <w:szCs w:val="24"/>
        </w:rPr>
      </w:pPr>
      <w:r>
        <w:rPr>
          <w:bCs/>
          <w:sz w:val="24"/>
          <w:szCs w:val="24"/>
        </w:rPr>
        <w:t xml:space="preserve">                                                      </w:t>
      </w:r>
      <w:r>
        <w:rPr>
          <w:rFonts w:ascii="Times New Roman" w:hAnsi="Times New Roman" w:cs="Times New Roman"/>
          <w:bCs/>
          <w:sz w:val="24"/>
          <w:szCs w:val="24"/>
        </w:rPr>
        <w:t>202</w:t>
      </w:r>
      <w:r>
        <w:rPr>
          <w:rFonts w:hint="eastAsia" w:ascii="Times New Roman" w:hAnsi="Times New Roman" w:cs="Times New Roman"/>
          <w:bCs/>
          <w:sz w:val="24"/>
          <w:szCs w:val="24"/>
        </w:rPr>
        <w:t>5</w:t>
      </w:r>
      <w:r>
        <w:rPr>
          <w:rFonts w:ascii="Times New Roman" w:hAnsi="Times New Roman" w:cs="Times New Roman"/>
          <w:bCs/>
          <w:sz w:val="24"/>
          <w:szCs w:val="24"/>
        </w:rPr>
        <w:t>年6月</w:t>
      </w:r>
    </w:p>
    <w:p w14:paraId="58FD79E9">
      <w:pPr>
        <w:pStyle w:val="37"/>
        <w:ind w:firstLine="420"/>
        <w:contextualSpacing/>
        <w:rPr>
          <w:snapToGrid w:val="0"/>
        </w:rPr>
      </w:pPr>
      <w:bookmarkStart w:id="31" w:name="_GoBack"/>
      <w:bookmarkEnd w:id="31"/>
      <w:bookmarkStart w:id="27" w:name="OLE_LINK134"/>
      <w:bookmarkEnd w:id="27"/>
      <w:bookmarkStart w:id="28" w:name="OLE_LINK126"/>
      <w:bookmarkEnd w:id="28"/>
      <w:bookmarkStart w:id="29" w:name="OLE_LINK125"/>
      <w:bookmarkEnd w:id="29"/>
      <w:bookmarkStart w:id="30" w:name="OLE_LINK135"/>
      <w:bookmarkEnd w:id="3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417" w:footer="1134" w:gutter="0"/>
      <w:paperSrc/>
      <w:cols w:space="0" w:num="1"/>
      <w:rtlGutter w:val="0"/>
      <w:docGrid w:type="lines" w:linePitch="2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91E5">
    <w:pPr>
      <w:pStyle w:val="45"/>
      <w:jc w:val="center"/>
    </w:pPr>
    <w:r>
      <mc:AlternateContent>
        <mc:Choice Requires="wps">
          <w:drawing>
            <wp:anchor distT="0" distB="0" distL="114300" distR="114300" simplePos="0" relativeHeight="251659264" behindDoc="0" locked="0" layoutInCell="1" allowOverlap="1">
              <wp:simplePos x="0" y="0"/>
              <wp:positionH relativeFrom="margin">
                <wp:posOffset>2433955</wp:posOffset>
              </wp:positionH>
              <wp:positionV relativeFrom="paragraph">
                <wp:posOffset>19050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FF1E8">
                          <w:pPr>
                            <w:pStyle w:val="8"/>
                            <w:ind w:firstLine="360"/>
                          </w:pPr>
                          <w:r>
                            <w:fldChar w:fldCharType="begin"/>
                          </w:r>
                          <w:r>
                            <w:instrText xml:space="preserve"> PAGE  \* MERGEFORMAT </w:instrText>
                          </w:r>
                          <w:r>
                            <w:fldChar w:fldCharType="separate"/>
                          </w:r>
                          <w:r>
                            <w:t>1</w:t>
                          </w:r>
                          <w:r>
                            <w:fldChar w:fldCharType="end"/>
                          </w:r>
                        </w:p>
                        <w:p w14:paraId="078E5433"/>
                        <w:p w14:paraId="349B1E32">
                          <w:pPr>
                            <w:ind w:firstLine="0" w:firstLineChars="0"/>
                          </w:pPr>
                        </w:p>
                        <w:p w14:paraId="4B0776F8">
                          <w:pPr>
                            <w:pStyle w:val="8"/>
                            <w:ind w:firstLine="360"/>
                          </w:pPr>
                        </w:p>
                        <w:p w14:paraId="662AD896"/>
                        <w:p w14:paraId="1690D24F">
                          <w:pPr>
                            <w:pStyle w:val="8"/>
                            <w:ind w:firstLine="360"/>
                          </w:pPr>
                          <w:r>
                            <w:fldChar w:fldCharType="begin"/>
                          </w:r>
                          <w:r>
                            <w:instrText xml:space="preserve"> PAGE  \* MERGEFORMAT </w:instrText>
                          </w:r>
                          <w:r>
                            <w:fldChar w:fldCharType="separate"/>
                          </w:r>
                          <w:r>
                            <w:t>1</w:t>
                          </w:r>
                          <w:r>
                            <w:fldChar w:fldCharType="end"/>
                          </w:r>
                        </w:p>
                        <w:p w14:paraId="651C884E"/>
                        <w:p w14:paraId="7A55980B">
                          <w:pPr>
                            <w:pStyle w:val="8"/>
                            <w:ind w:firstLine="360"/>
                          </w:pPr>
                          <w:r>
                            <w:fldChar w:fldCharType="begin"/>
                          </w:r>
                          <w:r>
                            <w:instrText xml:space="preserve"> PAGE  \* MERGEFORMAT </w:instrText>
                          </w:r>
                          <w:r>
                            <w:fldChar w:fldCharType="separate"/>
                          </w:r>
                          <w:r>
                            <w:t>1</w:t>
                          </w:r>
                          <w:r>
                            <w:fldChar w:fldCharType="end"/>
                          </w:r>
                        </w:p>
                        <w:p w14:paraId="48A58A14"/>
                        <w:p w14:paraId="28EAD77E">
                          <w:pPr>
                            <w:pStyle w:val="8"/>
                            <w:ind w:firstLine="360"/>
                          </w:pPr>
                          <w:r>
                            <w:fldChar w:fldCharType="begin"/>
                          </w:r>
                          <w:r>
                            <w:instrText xml:space="preserve"> PAGE  \* MERGEFORMAT </w:instrText>
                          </w:r>
                          <w:r>
                            <w:fldChar w:fldCharType="separate"/>
                          </w:r>
                          <w:r>
                            <w:t>1</w:t>
                          </w:r>
                          <w:r>
                            <w:fldChar w:fldCharType="end"/>
                          </w:r>
                        </w:p>
                        <w:p w14:paraId="02A23B80"/>
                        <w:p w14:paraId="6C09879E">
                          <w:pPr>
                            <w:pStyle w:val="8"/>
                            <w:ind w:firstLine="360"/>
                          </w:pPr>
                          <w:r>
                            <w:fldChar w:fldCharType="begin"/>
                          </w:r>
                          <w:r>
                            <w:instrText xml:space="preserve"> PAGE  \* MERGEFORMAT </w:instrText>
                          </w:r>
                          <w:r>
                            <w:fldChar w:fldCharType="separate"/>
                          </w:r>
                          <w:r>
                            <w:t>1</w:t>
                          </w:r>
                          <w:r>
                            <w:fldChar w:fldCharType="end"/>
                          </w:r>
                        </w:p>
                        <w:p w14:paraId="555002C2"/>
                        <w:p w14:paraId="33DD9594">
                          <w:pPr>
                            <w:ind w:firstLine="420" w:firstLineChars="200"/>
                          </w:pPr>
                        </w:p>
                        <w:p w14:paraId="58194D5D">
                          <w:pPr>
                            <w:pStyle w:val="8"/>
                            <w:ind w:firstLine="360"/>
                          </w:pPr>
                        </w:p>
                        <w:p w14:paraId="1025F19F"/>
                        <w:p w14:paraId="663A5151">
                          <w:pPr>
                            <w:pStyle w:val="8"/>
                            <w:ind w:firstLine="360"/>
                          </w:pPr>
                          <w:r>
                            <w:fldChar w:fldCharType="begin"/>
                          </w:r>
                          <w:r>
                            <w:instrText xml:space="preserve"> PAGE  \* MERGEFORMAT </w:instrText>
                          </w:r>
                          <w:r>
                            <w:fldChar w:fldCharType="separate"/>
                          </w:r>
                          <w:r>
                            <w:t>1</w:t>
                          </w:r>
                          <w:r>
                            <w:fldChar w:fldCharType="end"/>
                          </w:r>
                        </w:p>
                        <w:p w14:paraId="2DB03AD0"/>
                        <w:p w14:paraId="4F686C7C">
                          <w:pPr>
                            <w:pStyle w:val="8"/>
                            <w:ind w:firstLine="360"/>
                          </w:pPr>
                          <w:r>
                            <w:fldChar w:fldCharType="begin"/>
                          </w:r>
                          <w:r>
                            <w:instrText xml:space="preserve"> PAGE  \* MERGEFORMAT </w:instrText>
                          </w:r>
                          <w:r>
                            <w:fldChar w:fldCharType="separate"/>
                          </w:r>
                          <w:r>
                            <w:t>1</w:t>
                          </w:r>
                          <w:r>
                            <w:fldChar w:fldCharType="end"/>
                          </w:r>
                        </w:p>
                        <w:p w14:paraId="1FDFE108"/>
                        <w:p w14:paraId="7B3EE36D">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1.65pt;margin-top:1.5pt;height:144pt;width:144pt;mso-position-horizontal-relative:margin;mso-wrap-style:none;z-index:251659264;mso-width-relative:page;mso-height-relative:page;" filled="f" stroked="f" coordsize="21600,21600" o:gfxdata="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2q3GTVAAAACQ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230FF1E8">
                    <w:pPr>
                      <w:pStyle w:val="8"/>
                      <w:ind w:firstLine="360"/>
                    </w:pPr>
                    <w:r>
                      <w:fldChar w:fldCharType="begin"/>
                    </w:r>
                    <w:r>
                      <w:instrText xml:space="preserve"> PAGE  \* MERGEFORMAT </w:instrText>
                    </w:r>
                    <w:r>
                      <w:fldChar w:fldCharType="separate"/>
                    </w:r>
                    <w:r>
                      <w:t>1</w:t>
                    </w:r>
                    <w:r>
                      <w:fldChar w:fldCharType="end"/>
                    </w:r>
                  </w:p>
                  <w:p w14:paraId="078E5433"/>
                  <w:p w14:paraId="349B1E32">
                    <w:pPr>
                      <w:ind w:firstLine="0" w:firstLineChars="0"/>
                    </w:pPr>
                  </w:p>
                  <w:p w14:paraId="4B0776F8">
                    <w:pPr>
                      <w:pStyle w:val="8"/>
                      <w:ind w:firstLine="360"/>
                    </w:pPr>
                  </w:p>
                  <w:p w14:paraId="662AD896"/>
                  <w:p w14:paraId="1690D24F">
                    <w:pPr>
                      <w:pStyle w:val="8"/>
                      <w:ind w:firstLine="360"/>
                    </w:pPr>
                    <w:r>
                      <w:fldChar w:fldCharType="begin"/>
                    </w:r>
                    <w:r>
                      <w:instrText xml:space="preserve"> PAGE  \* MERGEFORMAT </w:instrText>
                    </w:r>
                    <w:r>
                      <w:fldChar w:fldCharType="separate"/>
                    </w:r>
                    <w:r>
                      <w:t>1</w:t>
                    </w:r>
                    <w:r>
                      <w:fldChar w:fldCharType="end"/>
                    </w:r>
                  </w:p>
                  <w:p w14:paraId="651C884E"/>
                  <w:p w14:paraId="7A55980B">
                    <w:pPr>
                      <w:pStyle w:val="8"/>
                      <w:ind w:firstLine="360"/>
                    </w:pPr>
                    <w:r>
                      <w:fldChar w:fldCharType="begin"/>
                    </w:r>
                    <w:r>
                      <w:instrText xml:space="preserve"> PAGE  \* MERGEFORMAT </w:instrText>
                    </w:r>
                    <w:r>
                      <w:fldChar w:fldCharType="separate"/>
                    </w:r>
                    <w:r>
                      <w:t>1</w:t>
                    </w:r>
                    <w:r>
                      <w:fldChar w:fldCharType="end"/>
                    </w:r>
                  </w:p>
                  <w:p w14:paraId="48A58A14"/>
                  <w:p w14:paraId="28EAD77E">
                    <w:pPr>
                      <w:pStyle w:val="8"/>
                      <w:ind w:firstLine="360"/>
                    </w:pPr>
                    <w:r>
                      <w:fldChar w:fldCharType="begin"/>
                    </w:r>
                    <w:r>
                      <w:instrText xml:space="preserve"> PAGE  \* MERGEFORMAT </w:instrText>
                    </w:r>
                    <w:r>
                      <w:fldChar w:fldCharType="separate"/>
                    </w:r>
                    <w:r>
                      <w:t>1</w:t>
                    </w:r>
                    <w:r>
                      <w:fldChar w:fldCharType="end"/>
                    </w:r>
                  </w:p>
                  <w:p w14:paraId="02A23B80"/>
                  <w:p w14:paraId="6C09879E">
                    <w:pPr>
                      <w:pStyle w:val="8"/>
                      <w:ind w:firstLine="360"/>
                    </w:pPr>
                    <w:r>
                      <w:fldChar w:fldCharType="begin"/>
                    </w:r>
                    <w:r>
                      <w:instrText xml:space="preserve"> PAGE  \* MERGEFORMAT </w:instrText>
                    </w:r>
                    <w:r>
                      <w:fldChar w:fldCharType="separate"/>
                    </w:r>
                    <w:r>
                      <w:t>1</w:t>
                    </w:r>
                    <w:r>
                      <w:fldChar w:fldCharType="end"/>
                    </w:r>
                  </w:p>
                  <w:p w14:paraId="555002C2"/>
                  <w:p w14:paraId="33DD9594">
                    <w:pPr>
                      <w:ind w:firstLine="420" w:firstLineChars="200"/>
                    </w:pPr>
                  </w:p>
                  <w:p w14:paraId="58194D5D">
                    <w:pPr>
                      <w:pStyle w:val="8"/>
                      <w:ind w:firstLine="360"/>
                    </w:pPr>
                  </w:p>
                  <w:p w14:paraId="1025F19F"/>
                  <w:p w14:paraId="663A5151">
                    <w:pPr>
                      <w:pStyle w:val="8"/>
                      <w:ind w:firstLine="360"/>
                    </w:pPr>
                    <w:r>
                      <w:fldChar w:fldCharType="begin"/>
                    </w:r>
                    <w:r>
                      <w:instrText xml:space="preserve"> PAGE  \* MERGEFORMAT </w:instrText>
                    </w:r>
                    <w:r>
                      <w:fldChar w:fldCharType="separate"/>
                    </w:r>
                    <w:r>
                      <w:t>1</w:t>
                    </w:r>
                    <w:r>
                      <w:fldChar w:fldCharType="end"/>
                    </w:r>
                  </w:p>
                  <w:p w14:paraId="2DB03AD0"/>
                  <w:p w14:paraId="4F686C7C">
                    <w:pPr>
                      <w:pStyle w:val="8"/>
                      <w:ind w:firstLine="360"/>
                    </w:pPr>
                    <w:r>
                      <w:fldChar w:fldCharType="begin"/>
                    </w:r>
                    <w:r>
                      <w:instrText xml:space="preserve"> PAGE  \* MERGEFORMAT </w:instrText>
                    </w:r>
                    <w:r>
                      <w:fldChar w:fldCharType="separate"/>
                    </w:r>
                    <w:r>
                      <w:t>1</w:t>
                    </w:r>
                    <w:r>
                      <w:fldChar w:fldCharType="end"/>
                    </w:r>
                  </w:p>
                  <w:p w14:paraId="1FDFE108"/>
                  <w:p w14:paraId="7B3EE36D">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EE910">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3537">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EF8F4">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FCA3">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D0A21">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35"/>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4C50F90"/>
    <w:multiLevelType w:val="multilevel"/>
    <w:tmpl w:val="44C50F90"/>
    <w:lvl w:ilvl="0" w:tentative="0">
      <w:start w:val="1"/>
      <w:numFmt w:val="lowerLetter"/>
      <w:pStyle w:val="4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1961AC5"/>
    <w:multiLevelType w:val="multilevel"/>
    <w:tmpl w:val="61961AC5"/>
    <w:lvl w:ilvl="0" w:tentative="0">
      <w:start w:val="1"/>
      <w:numFmt w:val="chineseCountingThousand"/>
      <w:suff w:val="nothing"/>
      <w:lvlText w:val="第%1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46260FA"/>
    <w:multiLevelType w:val="multilevel"/>
    <w:tmpl w:val="646260FA"/>
    <w:lvl w:ilvl="0" w:tentative="0">
      <w:start w:val="1"/>
      <w:numFmt w:val="decimal"/>
      <w:pStyle w:val="38"/>
      <w:suff w:val="nothing"/>
      <w:lvlText w:val="表%1　"/>
      <w:lvlJc w:val="left"/>
      <w:pPr>
        <w:ind w:left="0" w:firstLine="0"/>
      </w:pPr>
      <w:rPr>
        <w:rFonts w:hint="eastAsia" w:ascii="宋体" w:hAnsi="宋体" w:eastAsia="宋体"/>
        <w:b w:val="0"/>
        <w:i w:val="0"/>
        <w:sz w:val="24"/>
        <w:szCs w:val="24"/>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3"/>
      <w:suff w:val="nothing"/>
      <w:lvlText w:val="%1%2　"/>
      <w:lvlJc w:val="left"/>
      <w:pPr>
        <w:ind w:left="0" w:firstLine="0"/>
      </w:pPr>
      <w:rPr>
        <w:rFonts w:hint="eastAsia" w:ascii="黑体" w:eastAsia="黑体"/>
        <w:b w:val="0"/>
        <w:i w:val="0"/>
        <w:sz w:val="21"/>
      </w:rPr>
    </w:lvl>
    <w:lvl w:ilvl="2" w:tentative="0">
      <w:start w:val="1"/>
      <w:numFmt w:val="decimal"/>
      <w:pStyle w:val="5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1418"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3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45"/>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NiMmFiOWI4ODczM2I1MTRmYWYyMWE0NzVhNzQifQ=="/>
  </w:docVars>
  <w:rsids>
    <w:rsidRoot w:val="00A241FB"/>
    <w:rsid w:val="00013E9A"/>
    <w:rsid w:val="00053493"/>
    <w:rsid w:val="00055771"/>
    <w:rsid w:val="00056124"/>
    <w:rsid w:val="000574ED"/>
    <w:rsid w:val="00076973"/>
    <w:rsid w:val="00077BE2"/>
    <w:rsid w:val="00081CE3"/>
    <w:rsid w:val="000B115B"/>
    <w:rsid w:val="000B68BE"/>
    <w:rsid w:val="000D00D0"/>
    <w:rsid w:val="000D430E"/>
    <w:rsid w:val="00105208"/>
    <w:rsid w:val="00151155"/>
    <w:rsid w:val="001549B2"/>
    <w:rsid w:val="001559B8"/>
    <w:rsid w:val="00157045"/>
    <w:rsid w:val="00173025"/>
    <w:rsid w:val="00190292"/>
    <w:rsid w:val="001B0A75"/>
    <w:rsid w:val="001C5B8E"/>
    <w:rsid w:val="001D78E4"/>
    <w:rsid w:val="001E1983"/>
    <w:rsid w:val="00203CA7"/>
    <w:rsid w:val="00221A99"/>
    <w:rsid w:val="00244363"/>
    <w:rsid w:val="00250268"/>
    <w:rsid w:val="002A1B70"/>
    <w:rsid w:val="002B0B5F"/>
    <w:rsid w:val="002B0CD9"/>
    <w:rsid w:val="002B6185"/>
    <w:rsid w:val="002D213C"/>
    <w:rsid w:val="0030502B"/>
    <w:rsid w:val="00322B6B"/>
    <w:rsid w:val="0035140A"/>
    <w:rsid w:val="003526B4"/>
    <w:rsid w:val="00355578"/>
    <w:rsid w:val="00366739"/>
    <w:rsid w:val="0036785B"/>
    <w:rsid w:val="003752AB"/>
    <w:rsid w:val="00381A9D"/>
    <w:rsid w:val="003835CA"/>
    <w:rsid w:val="003B1FCA"/>
    <w:rsid w:val="003C6C16"/>
    <w:rsid w:val="003C6F3B"/>
    <w:rsid w:val="003D66B4"/>
    <w:rsid w:val="003E5F26"/>
    <w:rsid w:val="004279F7"/>
    <w:rsid w:val="00431B68"/>
    <w:rsid w:val="00433588"/>
    <w:rsid w:val="00462E11"/>
    <w:rsid w:val="00463B90"/>
    <w:rsid w:val="004959C2"/>
    <w:rsid w:val="0049681D"/>
    <w:rsid w:val="004A0B80"/>
    <w:rsid w:val="004B69C7"/>
    <w:rsid w:val="004C1FA8"/>
    <w:rsid w:val="004E6B1B"/>
    <w:rsid w:val="004F037F"/>
    <w:rsid w:val="00500532"/>
    <w:rsid w:val="0050596D"/>
    <w:rsid w:val="0051085F"/>
    <w:rsid w:val="00554AAE"/>
    <w:rsid w:val="005629CB"/>
    <w:rsid w:val="00577718"/>
    <w:rsid w:val="00590948"/>
    <w:rsid w:val="005A7001"/>
    <w:rsid w:val="005B63D0"/>
    <w:rsid w:val="005C6ADC"/>
    <w:rsid w:val="005C6FAA"/>
    <w:rsid w:val="005F067C"/>
    <w:rsid w:val="005F23A1"/>
    <w:rsid w:val="005F5612"/>
    <w:rsid w:val="00622E60"/>
    <w:rsid w:val="00636624"/>
    <w:rsid w:val="0065794D"/>
    <w:rsid w:val="00666B4E"/>
    <w:rsid w:val="00667A19"/>
    <w:rsid w:val="006A7FCC"/>
    <w:rsid w:val="006E6DE6"/>
    <w:rsid w:val="00731B99"/>
    <w:rsid w:val="0075417F"/>
    <w:rsid w:val="007558C3"/>
    <w:rsid w:val="007565B8"/>
    <w:rsid w:val="00793B8F"/>
    <w:rsid w:val="007A2962"/>
    <w:rsid w:val="007A57E5"/>
    <w:rsid w:val="007B14B4"/>
    <w:rsid w:val="007D7DA9"/>
    <w:rsid w:val="0081030A"/>
    <w:rsid w:val="008234C0"/>
    <w:rsid w:val="00856DA8"/>
    <w:rsid w:val="0086527C"/>
    <w:rsid w:val="00881BCF"/>
    <w:rsid w:val="008A07C4"/>
    <w:rsid w:val="008A1BD3"/>
    <w:rsid w:val="008D4B60"/>
    <w:rsid w:val="008F356A"/>
    <w:rsid w:val="00916A7B"/>
    <w:rsid w:val="00920750"/>
    <w:rsid w:val="00932449"/>
    <w:rsid w:val="00965EE4"/>
    <w:rsid w:val="00987ED2"/>
    <w:rsid w:val="009B36D3"/>
    <w:rsid w:val="009B5B08"/>
    <w:rsid w:val="009C4D58"/>
    <w:rsid w:val="009D65B6"/>
    <w:rsid w:val="009E0EEB"/>
    <w:rsid w:val="009E22F6"/>
    <w:rsid w:val="009E405C"/>
    <w:rsid w:val="009E4416"/>
    <w:rsid w:val="009E5327"/>
    <w:rsid w:val="009E5BB5"/>
    <w:rsid w:val="00A12741"/>
    <w:rsid w:val="00A140AC"/>
    <w:rsid w:val="00A14541"/>
    <w:rsid w:val="00A2159E"/>
    <w:rsid w:val="00A241FB"/>
    <w:rsid w:val="00A3748F"/>
    <w:rsid w:val="00A40018"/>
    <w:rsid w:val="00A40FCF"/>
    <w:rsid w:val="00A53A38"/>
    <w:rsid w:val="00A6252D"/>
    <w:rsid w:val="00A71EF8"/>
    <w:rsid w:val="00AB12C4"/>
    <w:rsid w:val="00AD1339"/>
    <w:rsid w:val="00AD675A"/>
    <w:rsid w:val="00B00B7C"/>
    <w:rsid w:val="00B268B1"/>
    <w:rsid w:val="00B62BC1"/>
    <w:rsid w:val="00B76348"/>
    <w:rsid w:val="00B9316C"/>
    <w:rsid w:val="00BB00FB"/>
    <w:rsid w:val="00BC240D"/>
    <w:rsid w:val="00BD77D5"/>
    <w:rsid w:val="00BE6FBD"/>
    <w:rsid w:val="00BF08A7"/>
    <w:rsid w:val="00BF26A0"/>
    <w:rsid w:val="00BF7BF1"/>
    <w:rsid w:val="00C43D7B"/>
    <w:rsid w:val="00C4675F"/>
    <w:rsid w:val="00C60D45"/>
    <w:rsid w:val="00C814ED"/>
    <w:rsid w:val="00C97C3D"/>
    <w:rsid w:val="00CA7F57"/>
    <w:rsid w:val="00CD5588"/>
    <w:rsid w:val="00D161F5"/>
    <w:rsid w:val="00D23AF4"/>
    <w:rsid w:val="00D258BF"/>
    <w:rsid w:val="00D335D1"/>
    <w:rsid w:val="00D526BD"/>
    <w:rsid w:val="00D53D8D"/>
    <w:rsid w:val="00D56D84"/>
    <w:rsid w:val="00D63B82"/>
    <w:rsid w:val="00D67FBE"/>
    <w:rsid w:val="00D72B01"/>
    <w:rsid w:val="00D74638"/>
    <w:rsid w:val="00D7568F"/>
    <w:rsid w:val="00DA2F1D"/>
    <w:rsid w:val="00DA3731"/>
    <w:rsid w:val="00DA5C53"/>
    <w:rsid w:val="00DE723C"/>
    <w:rsid w:val="00DF0F79"/>
    <w:rsid w:val="00DF38D6"/>
    <w:rsid w:val="00E23FFF"/>
    <w:rsid w:val="00E44020"/>
    <w:rsid w:val="00E508A4"/>
    <w:rsid w:val="00E70BE1"/>
    <w:rsid w:val="00E722DA"/>
    <w:rsid w:val="00E817BD"/>
    <w:rsid w:val="00E90020"/>
    <w:rsid w:val="00E954BD"/>
    <w:rsid w:val="00EB3A9E"/>
    <w:rsid w:val="00EF0913"/>
    <w:rsid w:val="00F35478"/>
    <w:rsid w:val="00F42024"/>
    <w:rsid w:val="00F53F3A"/>
    <w:rsid w:val="00F632CD"/>
    <w:rsid w:val="00F64E40"/>
    <w:rsid w:val="00F81211"/>
    <w:rsid w:val="00F84813"/>
    <w:rsid w:val="00FB69F7"/>
    <w:rsid w:val="00FD399E"/>
    <w:rsid w:val="00FF4AD0"/>
    <w:rsid w:val="010A6538"/>
    <w:rsid w:val="012320E7"/>
    <w:rsid w:val="01344802"/>
    <w:rsid w:val="013F1C5A"/>
    <w:rsid w:val="016C0FA1"/>
    <w:rsid w:val="0176597C"/>
    <w:rsid w:val="019D3EAB"/>
    <w:rsid w:val="01A83C46"/>
    <w:rsid w:val="01B446F6"/>
    <w:rsid w:val="01BD35AB"/>
    <w:rsid w:val="01E30DAF"/>
    <w:rsid w:val="02034E2E"/>
    <w:rsid w:val="020E2058"/>
    <w:rsid w:val="020E3E06"/>
    <w:rsid w:val="023525D8"/>
    <w:rsid w:val="02702D13"/>
    <w:rsid w:val="02B13C3C"/>
    <w:rsid w:val="02D1511D"/>
    <w:rsid w:val="02E42DB9"/>
    <w:rsid w:val="02FE7F5E"/>
    <w:rsid w:val="03424BB5"/>
    <w:rsid w:val="035219A2"/>
    <w:rsid w:val="03923BB3"/>
    <w:rsid w:val="03BB7FBE"/>
    <w:rsid w:val="03CC5D27"/>
    <w:rsid w:val="03D8291E"/>
    <w:rsid w:val="040A4AA1"/>
    <w:rsid w:val="04762137"/>
    <w:rsid w:val="049C7DEF"/>
    <w:rsid w:val="04B8274F"/>
    <w:rsid w:val="0500133C"/>
    <w:rsid w:val="051E333A"/>
    <w:rsid w:val="052F2D69"/>
    <w:rsid w:val="05597A8E"/>
    <w:rsid w:val="057E74F5"/>
    <w:rsid w:val="05BE00F4"/>
    <w:rsid w:val="05D62E8D"/>
    <w:rsid w:val="06514C09"/>
    <w:rsid w:val="0667442D"/>
    <w:rsid w:val="06695EB2"/>
    <w:rsid w:val="069B5E85"/>
    <w:rsid w:val="06C21663"/>
    <w:rsid w:val="07B92A66"/>
    <w:rsid w:val="07C9722F"/>
    <w:rsid w:val="080F6A30"/>
    <w:rsid w:val="081E1587"/>
    <w:rsid w:val="082731AE"/>
    <w:rsid w:val="08AE00F1"/>
    <w:rsid w:val="08D311B1"/>
    <w:rsid w:val="08F72A0F"/>
    <w:rsid w:val="08FE74AC"/>
    <w:rsid w:val="08FF6B9F"/>
    <w:rsid w:val="093C74AB"/>
    <w:rsid w:val="095742E5"/>
    <w:rsid w:val="097A7FD3"/>
    <w:rsid w:val="09BE4364"/>
    <w:rsid w:val="09F047D6"/>
    <w:rsid w:val="0A0425B4"/>
    <w:rsid w:val="0A1E4E03"/>
    <w:rsid w:val="0AD025A1"/>
    <w:rsid w:val="0AD57BB7"/>
    <w:rsid w:val="0AD936FE"/>
    <w:rsid w:val="0AE93662"/>
    <w:rsid w:val="0B257326"/>
    <w:rsid w:val="0B3C19E4"/>
    <w:rsid w:val="0B566A96"/>
    <w:rsid w:val="0B616A0C"/>
    <w:rsid w:val="0B633415"/>
    <w:rsid w:val="0B8909A2"/>
    <w:rsid w:val="0B8D2240"/>
    <w:rsid w:val="0B8E420A"/>
    <w:rsid w:val="0BBE064B"/>
    <w:rsid w:val="0C0A1AE2"/>
    <w:rsid w:val="0C580AA0"/>
    <w:rsid w:val="0C6E02C3"/>
    <w:rsid w:val="0C743400"/>
    <w:rsid w:val="0CA85443"/>
    <w:rsid w:val="0CAD39BE"/>
    <w:rsid w:val="0CDB7809"/>
    <w:rsid w:val="0D2941EA"/>
    <w:rsid w:val="0D4100A2"/>
    <w:rsid w:val="0D4C1C87"/>
    <w:rsid w:val="0D4D216F"/>
    <w:rsid w:val="0D781858"/>
    <w:rsid w:val="0D833756"/>
    <w:rsid w:val="0D8E6B48"/>
    <w:rsid w:val="0D9E5A0B"/>
    <w:rsid w:val="0DDB285F"/>
    <w:rsid w:val="0DE85E53"/>
    <w:rsid w:val="0E0B0C2A"/>
    <w:rsid w:val="0E1E1875"/>
    <w:rsid w:val="0E5B15B9"/>
    <w:rsid w:val="0E9168D0"/>
    <w:rsid w:val="0EF01E71"/>
    <w:rsid w:val="0F046CBD"/>
    <w:rsid w:val="0F3C52CF"/>
    <w:rsid w:val="0F3D323C"/>
    <w:rsid w:val="0F5D36FF"/>
    <w:rsid w:val="0F6A73DB"/>
    <w:rsid w:val="0F9F0794"/>
    <w:rsid w:val="0FA12B66"/>
    <w:rsid w:val="0FA61B22"/>
    <w:rsid w:val="0FAB0EE6"/>
    <w:rsid w:val="0FB029A1"/>
    <w:rsid w:val="0FBA737B"/>
    <w:rsid w:val="0FBE46E2"/>
    <w:rsid w:val="100827DD"/>
    <w:rsid w:val="104F66DC"/>
    <w:rsid w:val="10791E78"/>
    <w:rsid w:val="10D12BCF"/>
    <w:rsid w:val="10FD1C16"/>
    <w:rsid w:val="10FE156B"/>
    <w:rsid w:val="11375E28"/>
    <w:rsid w:val="115832F0"/>
    <w:rsid w:val="117149C7"/>
    <w:rsid w:val="11991213"/>
    <w:rsid w:val="119968E4"/>
    <w:rsid w:val="119B31DD"/>
    <w:rsid w:val="11B21219"/>
    <w:rsid w:val="12105979"/>
    <w:rsid w:val="12211934"/>
    <w:rsid w:val="12346D4B"/>
    <w:rsid w:val="124D44D7"/>
    <w:rsid w:val="124E2555"/>
    <w:rsid w:val="12817EF0"/>
    <w:rsid w:val="12BE7183"/>
    <w:rsid w:val="12D60970"/>
    <w:rsid w:val="12DD1229"/>
    <w:rsid w:val="12EF4AAB"/>
    <w:rsid w:val="12EF777D"/>
    <w:rsid w:val="13095F47"/>
    <w:rsid w:val="13223BB5"/>
    <w:rsid w:val="133C534F"/>
    <w:rsid w:val="139323BD"/>
    <w:rsid w:val="13954387"/>
    <w:rsid w:val="13967780"/>
    <w:rsid w:val="13C04BA1"/>
    <w:rsid w:val="13FB7F63"/>
    <w:rsid w:val="13FE2D40"/>
    <w:rsid w:val="144B28BE"/>
    <w:rsid w:val="147862D3"/>
    <w:rsid w:val="149363ED"/>
    <w:rsid w:val="14C87450"/>
    <w:rsid w:val="14D62EA9"/>
    <w:rsid w:val="14E8498B"/>
    <w:rsid w:val="15451DDD"/>
    <w:rsid w:val="157C27DC"/>
    <w:rsid w:val="159E5049"/>
    <w:rsid w:val="15B94470"/>
    <w:rsid w:val="162D0E9D"/>
    <w:rsid w:val="167651EB"/>
    <w:rsid w:val="16887096"/>
    <w:rsid w:val="16B97E07"/>
    <w:rsid w:val="16CB6312"/>
    <w:rsid w:val="16E64352"/>
    <w:rsid w:val="16FE2244"/>
    <w:rsid w:val="17012CAE"/>
    <w:rsid w:val="170B2B2D"/>
    <w:rsid w:val="1728748F"/>
    <w:rsid w:val="175B1444"/>
    <w:rsid w:val="17722603"/>
    <w:rsid w:val="177E3384"/>
    <w:rsid w:val="18100480"/>
    <w:rsid w:val="1840063A"/>
    <w:rsid w:val="185C36C6"/>
    <w:rsid w:val="18601C67"/>
    <w:rsid w:val="186407CC"/>
    <w:rsid w:val="187447AF"/>
    <w:rsid w:val="18925339"/>
    <w:rsid w:val="18B07EB6"/>
    <w:rsid w:val="18B3705E"/>
    <w:rsid w:val="18E15979"/>
    <w:rsid w:val="19033B41"/>
    <w:rsid w:val="190F698A"/>
    <w:rsid w:val="196071E6"/>
    <w:rsid w:val="19633645"/>
    <w:rsid w:val="19703790"/>
    <w:rsid w:val="19826EF3"/>
    <w:rsid w:val="1991251E"/>
    <w:rsid w:val="19923117"/>
    <w:rsid w:val="199D06AA"/>
    <w:rsid w:val="1A0D279E"/>
    <w:rsid w:val="1A126139"/>
    <w:rsid w:val="1A136006"/>
    <w:rsid w:val="1A153EDB"/>
    <w:rsid w:val="1A187AC0"/>
    <w:rsid w:val="1A402B73"/>
    <w:rsid w:val="1A6A4C5B"/>
    <w:rsid w:val="1A6B5E42"/>
    <w:rsid w:val="1A6E456A"/>
    <w:rsid w:val="1ADC289C"/>
    <w:rsid w:val="1AFE6CB6"/>
    <w:rsid w:val="1B0E67CD"/>
    <w:rsid w:val="1B1D4D64"/>
    <w:rsid w:val="1B441CAA"/>
    <w:rsid w:val="1B487F31"/>
    <w:rsid w:val="1B60171F"/>
    <w:rsid w:val="1BA84E74"/>
    <w:rsid w:val="1BB05AD7"/>
    <w:rsid w:val="1BB83309"/>
    <w:rsid w:val="1BEE6D2B"/>
    <w:rsid w:val="1C3109C5"/>
    <w:rsid w:val="1C345105"/>
    <w:rsid w:val="1C735482"/>
    <w:rsid w:val="1C747BBE"/>
    <w:rsid w:val="1C9613CB"/>
    <w:rsid w:val="1CCD7F95"/>
    <w:rsid w:val="1CD1312D"/>
    <w:rsid w:val="1CDE642B"/>
    <w:rsid w:val="1D0C42FA"/>
    <w:rsid w:val="1D4E55A7"/>
    <w:rsid w:val="1D6F763B"/>
    <w:rsid w:val="1DA91785"/>
    <w:rsid w:val="1DC13FCB"/>
    <w:rsid w:val="1DD57E18"/>
    <w:rsid w:val="1E2118ED"/>
    <w:rsid w:val="1E2C7696"/>
    <w:rsid w:val="1E472722"/>
    <w:rsid w:val="1E5D45F1"/>
    <w:rsid w:val="1E7B23D8"/>
    <w:rsid w:val="1E9516DF"/>
    <w:rsid w:val="1EA25BAA"/>
    <w:rsid w:val="1EDD4E34"/>
    <w:rsid w:val="1EDF0F68"/>
    <w:rsid w:val="1EF67D27"/>
    <w:rsid w:val="1F182311"/>
    <w:rsid w:val="1F2A540C"/>
    <w:rsid w:val="1F4B5CA4"/>
    <w:rsid w:val="1F5C21FD"/>
    <w:rsid w:val="1F807DBA"/>
    <w:rsid w:val="1FC104F2"/>
    <w:rsid w:val="1FEA5A5B"/>
    <w:rsid w:val="20112DD2"/>
    <w:rsid w:val="20200092"/>
    <w:rsid w:val="20462DB3"/>
    <w:rsid w:val="20490C29"/>
    <w:rsid w:val="20512A4D"/>
    <w:rsid w:val="20581CF6"/>
    <w:rsid w:val="20801F1B"/>
    <w:rsid w:val="20AC0F62"/>
    <w:rsid w:val="20C1701D"/>
    <w:rsid w:val="20DA2F51"/>
    <w:rsid w:val="211508B6"/>
    <w:rsid w:val="21410F43"/>
    <w:rsid w:val="215F1CC9"/>
    <w:rsid w:val="21986467"/>
    <w:rsid w:val="21E169EA"/>
    <w:rsid w:val="222D0C82"/>
    <w:rsid w:val="222F3BF9"/>
    <w:rsid w:val="2245341D"/>
    <w:rsid w:val="226A7D01"/>
    <w:rsid w:val="2277734E"/>
    <w:rsid w:val="22794E74"/>
    <w:rsid w:val="22801DBF"/>
    <w:rsid w:val="2294222A"/>
    <w:rsid w:val="2295268E"/>
    <w:rsid w:val="22AC524A"/>
    <w:rsid w:val="22DF561F"/>
    <w:rsid w:val="23285432"/>
    <w:rsid w:val="233E16B8"/>
    <w:rsid w:val="23531B69"/>
    <w:rsid w:val="236D7858"/>
    <w:rsid w:val="23810EF1"/>
    <w:rsid w:val="238241FC"/>
    <w:rsid w:val="238D507B"/>
    <w:rsid w:val="239D2DE4"/>
    <w:rsid w:val="23A46F6A"/>
    <w:rsid w:val="23AB5501"/>
    <w:rsid w:val="23D26466"/>
    <w:rsid w:val="23D762F6"/>
    <w:rsid w:val="23E46C65"/>
    <w:rsid w:val="23EE53EE"/>
    <w:rsid w:val="24134BC0"/>
    <w:rsid w:val="241C01AD"/>
    <w:rsid w:val="24D740D4"/>
    <w:rsid w:val="251F15AE"/>
    <w:rsid w:val="253D487F"/>
    <w:rsid w:val="256B2AA0"/>
    <w:rsid w:val="25964932"/>
    <w:rsid w:val="25A20B86"/>
    <w:rsid w:val="26372ABE"/>
    <w:rsid w:val="263E440B"/>
    <w:rsid w:val="264E03C6"/>
    <w:rsid w:val="2670658E"/>
    <w:rsid w:val="2674712B"/>
    <w:rsid w:val="26BB1EFF"/>
    <w:rsid w:val="26CB0767"/>
    <w:rsid w:val="27160EE4"/>
    <w:rsid w:val="27165388"/>
    <w:rsid w:val="272A2BE1"/>
    <w:rsid w:val="273E668C"/>
    <w:rsid w:val="275D3041"/>
    <w:rsid w:val="27884E28"/>
    <w:rsid w:val="27AA5AD0"/>
    <w:rsid w:val="27CB43C4"/>
    <w:rsid w:val="27CE17BE"/>
    <w:rsid w:val="27DA3CB4"/>
    <w:rsid w:val="27EC0729"/>
    <w:rsid w:val="27F1133F"/>
    <w:rsid w:val="281573ED"/>
    <w:rsid w:val="28B46C06"/>
    <w:rsid w:val="28E868B0"/>
    <w:rsid w:val="29407343"/>
    <w:rsid w:val="294C2196"/>
    <w:rsid w:val="295977AD"/>
    <w:rsid w:val="29712D49"/>
    <w:rsid w:val="29746395"/>
    <w:rsid w:val="29FE796B"/>
    <w:rsid w:val="2A0C43EF"/>
    <w:rsid w:val="2A3F341C"/>
    <w:rsid w:val="2A587A65"/>
    <w:rsid w:val="2A922F77"/>
    <w:rsid w:val="2A924D25"/>
    <w:rsid w:val="2A9A1CDE"/>
    <w:rsid w:val="2AC62BBC"/>
    <w:rsid w:val="2B0C0F7B"/>
    <w:rsid w:val="2B430715"/>
    <w:rsid w:val="2BBF5FEE"/>
    <w:rsid w:val="2BEB6DE3"/>
    <w:rsid w:val="2BF23774"/>
    <w:rsid w:val="2C6E531E"/>
    <w:rsid w:val="2C950A1B"/>
    <w:rsid w:val="2C9B18A0"/>
    <w:rsid w:val="2CAD5E46"/>
    <w:rsid w:val="2CB901B1"/>
    <w:rsid w:val="2CCB5015"/>
    <w:rsid w:val="2D200D0E"/>
    <w:rsid w:val="2DCA1287"/>
    <w:rsid w:val="2E246E71"/>
    <w:rsid w:val="2E2760CC"/>
    <w:rsid w:val="2E3E7710"/>
    <w:rsid w:val="2E951288"/>
    <w:rsid w:val="2EC929D3"/>
    <w:rsid w:val="2F1D4A35"/>
    <w:rsid w:val="2F2B399A"/>
    <w:rsid w:val="2F2F5238"/>
    <w:rsid w:val="2F4A3E20"/>
    <w:rsid w:val="2F631386"/>
    <w:rsid w:val="2F754B98"/>
    <w:rsid w:val="2F764809"/>
    <w:rsid w:val="2FA653B8"/>
    <w:rsid w:val="2FA84FEB"/>
    <w:rsid w:val="2FCD270C"/>
    <w:rsid w:val="2FE80059"/>
    <w:rsid w:val="2FEE36BA"/>
    <w:rsid w:val="2FF72667"/>
    <w:rsid w:val="30093CDB"/>
    <w:rsid w:val="302419BD"/>
    <w:rsid w:val="30920C54"/>
    <w:rsid w:val="30CA500E"/>
    <w:rsid w:val="3106021B"/>
    <w:rsid w:val="31250826"/>
    <w:rsid w:val="31656344"/>
    <w:rsid w:val="31692558"/>
    <w:rsid w:val="316B4522"/>
    <w:rsid w:val="31701B06"/>
    <w:rsid w:val="31846277"/>
    <w:rsid w:val="31C15A70"/>
    <w:rsid w:val="31D73965"/>
    <w:rsid w:val="31E63BA8"/>
    <w:rsid w:val="31F41E38"/>
    <w:rsid w:val="320846B6"/>
    <w:rsid w:val="320C360F"/>
    <w:rsid w:val="321150C9"/>
    <w:rsid w:val="321B5F48"/>
    <w:rsid w:val="325A6A70"/>
    <w:rsid w:val="325D20BC"/>
    <w:rsid w:val="32601BAD"/>
    <w:rsid w:val="32875985"/>
    <w:rsid w:val="32C0264B"/>
    <w:rsid w:val="32C20171"/>
    <w:rsid w:val="32D20837"/>
    <w:rsid w:val="33354DE7"/>
    <w:rsid w:val="33CA3782"/>
    <w:rsid w:val="33D62126"/>
    <w:rsid w:val="34541E69"/>
    <w:rsid w:val="34594B05"/>
    <w:rsid w:val="346C4839"/>
    <w:rsid w:val="34983FA8"/>
    <w:rsid w:val="34A166B5"/>
    <w:rsid w:val="34D32B0A"/>
    <w:rsid w:val="35447564"/>
    <w:rsid w:val="35496BD8"/>
    <w:rsid w:val="35585FE3"/>
    <w:rsid w:val="35675000"/>
    <w:rsid w:val="358E6A31"/>
    <w:rsid w:val="35B50461"/>
    <w:rsid w:val="35D24B6F"/>
    <w:rsid w:val="35D271EC"/>
    <w:rsid w:val="35E7778A"/>
    <w:rsid w:val="35F165B8"/>
    <w:rsid w:val="360928D9"/>
    <w:rsid w:val="36653C36"/>
    <w:rsid w:val="367479D5"/>
    <w:rsid w:val="367C0D08"/>
    <w:rsid w:val="36877D33"/>
    <w:rsid w:val="368C2F70"/>
    <w:rsid w:val="36AA5AEC"/>
    <w:rsid w:val="36B9188B"/>
    <w:rsid w:val="36C00E6C"/>
    <w:rsid w:val="36D14E27"/>
    <w:rsid w:val="36FA437E"/>
    <w:rsid w:val="36FA5E94"/>
    <w:rsid w:val="36FF1994"/>
    <w:rsid w:val="3700359C"/>
    <w:rsid w:val="372E2279"/>
    <w:rsid w:val="372F1B4E"/>
    <w:rsid w:val="373F3FD8"/>
    <w:rsid w:val="37557806"/>
    <w:rsid w:val="37607F59"/>
    <w:rsid w:val="37621F23"/>
    <w:rsid w:val="378620B5"/>
    <w:rsid w:val="37A83DDA"/>
    <w:rsid w:val="37B54749"/>
    <w:rsid w:val="37C00DF6"/>
    <w:rsid w:val="37C16C4A"/>
    <w:rsid w:val="37EF43CD"/>
    <w:rsid w:val="385176F1"/>
    <w:rsid w:val="38657F1D"/>
    <w:rsid w:val="386D5023"/>
    <w:rsid w:val="38753903"/>
    <w:rsid w:val="38961E84"/>
    <w:rsid w:val="38A81BB8"/>
    <w:rsid w:val="38E73F8A"/>
    <w:rsid w:val="38FA397D"/>
    <w:rsid w:val="3951224F"/>
    <w:rsid w:val="395A5062"/>
    <w:rsid w:val="396B1563"/>
    <w:rsid w:val="39801C8D"/>
    <w:rsid w:val="399700F3"/>
    <w:rsid w:val="39AB5E03"/>
    <w:rsid w:val="3A0472C2"/>
    <w:rsid w:val="3A86752C"/>
    <w:rsid w:val="3A8D1D3B"/>
    <w:rsid w:val="3A9248CD"/>
    <w:rsid w:val="3A963B7B"/>
    <w:rsid w:val="3AC76C6D"/>
    <w:rsid w:val="3ADE7B13"/>
    <w:rsid w:val="3AFB06C4"/>
    <w:rsid w:val="3B270540"/>
    <w:rsid w:val="3B464036"/>
    <w:rsid w:val="3B806E1C"/>
    <w:rsid w:val="3BAC151A"/>
    <w:rsid w:val="3BEA2ACC"/>
    <w:rsid w:val="3C1063F2"/>
    <w:rsid w:val="3C7B7D0F"/>
    <w:rsid w:val="3C850B8E"/>
    <w:rsid w:val="3C8C04B4"/>
    <w:rsid w:val="3C990195"/>
    <w:rsid w:val="3CE641EC"/>
    <w:rsid w:val="3CF4186F"/>
    <w:rsid w:val="3D0D5511"/>
    <w:rsid w:val="3D1617E6"/>
    <w:rsid w:val="3D730EA3"/>
    <w:rsid w:val="3DA44BB4"/>
    <w:rsid w:val="3DD07BE6"/>
    <w:rsid w:val="3DD213FB"/>
    <w:rsid w:val="3DFB6D49"/>
    <w:rsid w:val="3E095FF4"/>
    <w:rsid w:val="3E260CC7"/>
    <w:rsid w:val="3E4D7489"/>
    <w:rsid w:val="3E50084E"/>
    <w:rsid w:val="3E7A33B3"/>
    <w:rsid w:val="3E8155E1"/>
    <w:rsid w:val="3E864749"/>
    <w:rsid w:val="3EB94B1E"/>
    <w:rsid w:val="3F1104B7"/>
    <w:rsid w:val="3F1461F9"/>
    <w:rsid w:val="3F1E7077"/>
    <w:rsid w:val="3F214472"/>
    <w:rsid w:val="3F261A88"/>
    <w:rsid w:val="3F2A5A1C"/>
    <w:rsid w:val="3F3A21A7"/>
    <w:rsid w:val="3F4A203A"/>
    <w:rsid w:val="3F5D08B0"/>
    <w:rsid w:val="3F692745"/>
    <w:rsid w:val="3FEE4BA1"/>
    <w:rsid w:val="3FF102E8"/>
    <w:rsid w:val="3FF616FF"/>
    <w:rsid w:val="40034B77"/>
    <w:rsid w:val="4024246B"/>
    <w:rsid w:val="40295CD4"/>
    <w:rsid w:val="40395CDB"/>
    <w:rsid w:val="405C39B3"/>
    <w:rsid w:val="40610FCA"/>
    <w:rsid w:val="40645D6B"/>
    <w:rsid w:val="40C65469"/>
    <w:rsid w:val="40DD2DB6"/>
    <w:rsid w:val="40F5742A"/>
    <w:rsid w:val="41032081"/>
    <w:rsid w:val="41734331"/>
    <w:rsid w:val="41961147"/>
    <w:rsid w:val="419838E2"/>
    <w:rsid w:val="41DD0007"/>
    <w:rsid w:val="420C765B"/>
    <w:rsid w:val="423B584A"/>
    <w:rsid w:val="425863FC"/>
    <w:rsid w:val="425D1C65"/>
    <w:rsid w:val="427E2E38"/>
    <w:rsid w:val="42A67168"/>
    <w:rsid w:val="42EA174A"/>
    <w:rsid w:val="434713C3"/>
    <w:rsid w:val="437159C8"/>
    <w:rsid w:val="438A0837"/>
    <w:rsid w:val="438D657A"/>
    <w:rsid w:val="43A15B81"/>
    <w:rsid w:val="43C83525"/>
    <w:rsid w:val="43C875B2"/>
    <w:rsid w:val="44261675"/>
    <w:rsid w:val="44496945"/>
    <w:rsid w:val="448C11DC"/>
    <w:rsid w:val="4493196E"/>
    <w:rsid w:val="449F4A1B"/>
    <w:rsid w:val="44AE67A8"/>
    <w:rsid w:val="44E65F41"/>
    <w:rsid w:val="45154A79"/>
    <w:rsid w:val="4517434D"/>
    <w:rsid w:val="45336CAD"/>
    <w:rsid w:val="45471BCD"/>
    <w:rsid w:val="45537EC0"/>
    <w:rsid w:val="45537FBF"/>
    <w:rsid w:val="46011AD1"/>
    <w:rsid w:val="460D5750"/>
    <w:rsid w:val="465E7D59"/>
    <w:rsid w:val="46784F17"/>
    <w:rsid w:val="46AE0CE1"/>
    <w:rsid w:val="46BB4F28"/>
    <w:rsid w:val="46BF2EEE"/>
    <w:rsid w:val="46CE3ABD"/>
    <w:rsid w:val="46D85CF7"/>
    <w:rsid w:val="46ED1809"/>
    <w:rsid w:val="46F5421F"/>
    <w:rsid w:val="471072A6"/>
    <w:rsid w:val="47154BCB"/>
    <w:rsid w:val="472F6C18"/>
    <w:rsid w:val="473F5F86"/>
    <w:rsid w:val="475353E4"/>
    <w:rsid w:val="47865059"/>
    <w:rsid w:val="47AE1288"/>
    <w:rsid w:val="47D00B20"/>
    <w:rsid w:val="480A48AE"/>
    <w:rsid w:val="48180B08"/>
    <w:rsid w:val="48533EA6"/>
    <w:rsid w:val="4882735A"/>
    <w:rsid w:val="48A513F4"/>
    <w:rsid w:val="490443C2"/>
    <w:rsid w:val="492928A1"/>
    <w:rsid w:val="4944592C"/>
    <w:rsid w:val="495A6EFE"/>
    <w:rsid w:val="496D4E83"/>
    <w:rsid w:val="49A308A5"/>
    <w:rsid w:val="49B74350"/>
    <w:rsid w:val="49C83E68"/>
    <w:rsid w:val="49D57D20"/>
    <w:rsid w:val="49DE63B9"/>
    <w:rsid w:val="49F01F40"/>
    <w:rsid w:val="4A05330E"/>
    <w:rsid w:val="4A0A0924"/>
    <w:rsid w:val="4A11580F"/>
    <w:rsid w:val="4A127A55"/>
    <w:rsid w:val="4A161077"/>
    <w:rsid w:val="4A1B0AA1"/>
    <w:rsid w:val="4A301A0D"/>
    <w:rsid w:val="4A4831FA"/>
    <w:rsid w:val="4A656F68"/>
    <w:rsid w:val="4AB21733"/>
    <w:rsid w:val="4ABE526B"/>
    <w:rsid w:val="4ACC50B4"/>
    <w:rsid w:val="4B103D18"/>
    <w:rsid w:val="4B157AF6"/>
    <w:rsid w:val="4B166E55"/>
    <w:rsid w:val="4B1F5173"/>
    <w:rsid w:val="4B2114D0"/>
    <w:rsid w:val="4B46773A"/>
    <w:rsid w:val="4B756271"/>
    <w:rsid w:val="4B904E59"/>
    <w:rsid w:val="4BAE52DF"/>
    <w:rsid w:val="4BB26B7D"/>
    <w:rsid w:val="4BBD4578"/>
    <w:rsid w:val="4BC0573E"/>
    <w:rsid w:val="4BE331DB"/>
    <w:rsid w:val="4C17284F"/>
    <w:rsid w:val="4C2A532E"/>
    <w:rsid w:val="4C4A325A"/>
    <w:rsid w:val="4C60482B"/>
    <w:rsid w:val="4CE03BBE"/>
    <w:rsid w:val="4CEC4311"/>
    <w:rsid w:val="4CFF18E3"/>
    <w:rsid w:val="4D0F7FFF"/>
    <w:rsid w:val="4D1B653C"/>
    <w:rsid w:val="4D233589"/>
    <w:rsid w:val="4D291ACF"/>
    <w:rsid w:val="4D7C38E7"/>
    <w:rsid w:val="4D9B26AF"/>
    <w:rsid w:val="4DA54E06"/>
    <w:rsid w:val="4DA625B9"/>
    <w:rsid w:val="4DC808DA"/>
    <w:rsid w:val="4E102E72"/>
    <w:rsid w:val="4E2C378D"/>
    <w:rsid w:val="4E5A52AA"/>
    <w:rsid w:val="4EC67F4A"/>
    <w:rsid w:val="4F196F13"/>
    <w:rsid w:val="4F5A029F"/>
    <w:rsid w:val="4F6603AB"/>
    <w:rsid w:val="4F732AC8"/>
    <w:rsid w:val="4F960564"/>
    <w:rsid w:val="4FD93BBD"/>
    <w:rsid w:val="501A2F43"/>
    <w:rsid w:val="50501520"/>
    <w:rsid w:val="50505E54"/>
    <w:rsid w:val="50552B58"/>
    <w:rsid w:val="506C497D"/>
    <w:rsid w:val="506F403E"/>
    <w:rsid w:val="50952E17"/>
    <w:rsid w:val="509E5922"/>
    <w:rsid w:val="50BC4CE1"/>
    <w:rsid w:val="50C31580"/>
    <w:rsid w:val="50CC366C"/>
    <w:rsid w:val="50DF2645"/>
    <w:rsid w:val="50F11EF6"/>
    <w:rsid w:val="51165E00"/>
    <w:rsid w:val="512632A1"/>
    <w:rsid w:val="51314464"/>
    <w:rsid w:val="51583D23"/>
    <w:rsid w:val="517939E1"/>
    <w:rsid w:val="51895DA1"/>
    <w:rsid w:val="51975F78"/>
    <w:rsid w:val="51C55131"/>
    <w:rsid w:val="51CE5135"/>
    <w:rsid w:val="51DF4444"/>
    <w:rsid w:val="52021EE1"/>
    <w:rsid w:val="52173BDE"/>
    <w:rsid w:val="522E2CD6"/>
    <w:rsid w:val="523B25CC"/>
    <w:rsid w:val="524B3C28"/>
    <w:rsid w:val="528154FB"/>
    <w:rsid w:val="528D20F2"/>
    <w:rsid w:val="52974D1F"/>
    <w:rsid w:val="529D006B"/>
    <w:rsid w:val="52A63B42"/>
    <w:rsid w:val="52EF60DE"/>
    <w:rsid w:val="530C2833"/>
    <w:rsid w:val="53257BD0"/>
    <w:rsid w:val="53283BC9"/>
    <w:rsid w:val="53364538"/>
    <w:rsid w:val="534A1D91"/>
    <w:rsid w:val="53CC27A6"/>
    <w:rsid w:val="53D83492"/>
    <w:rsid w:val="53DD2C05"/>
    <w:rsid w:val="53F35F85"/>
    <w:rsid w:val="53F71F19"/>
    <w:rsid w:val="54224ABC"/>
    <w:rsid w:val="5422686A"/>
    <w:rsid w:val="542F0E98"/>
    <w:rsid w:val="5435201D"/>
    <w:rsid w:val="54996B2C"/>
    <w:rsid w:val="54F732A7"/>
    <w:rsid w:val="54F8298C"/>
    <w:rsid w:val="550120CD"/>
    <w:rsid w:val="550A31C4"/>
    <w:rsid w:val="556952B8"/>
    <w:rsid w:val="5570192F"/>
    <w:rsid w:val="5572737D"/>
    <w:rsid w:val="55985036"/>
    <w:rsid w:val="55A7171D"/>
    <w:rsid w:val="55B55BE8"/>
    <w:rsid w:val="55C53951"/>
    <w:rsid w:val="55E30B5B"/>
    <w:rsid w:val="55E55DA1"/>
    <w:rsid w:val="56091A90"/>
    <w:rsid w:val="561A38B3"/>
    <w:rsid w:val="56226FF5"/>
    <w:rsid w:val="566C201F"/>
    <w:rsid w:val="566D41FE"/>
    <w:rsid w:val="56BC10FE"/>
    <w:rsid w:val="57012BCC"/>
    <w:rsid w:val="57060A82"/>
    <w:rsid w:val="577206C5"/>
    <w:rsid w:val="57B7551B"/>
    <w:rsid w:val="57B96D41"/>
    <w:rsid w:val="57FD5624"/>
    <w:rsid w:val="58697AD0"/>
    <w:rsid w:val="586A09E8"/>
    <w:rsid w:val="589715D5"/>
    <w:rsid w:val="58A3441E"/>
    <w:rsid w:val="58B2640F"/>
    <w:rsid w:val="58E10AA2"/>
    <w:rsid w:val="58FA6008"/>
    <w:rsid w:val="590C382F"/>
    <w:rsid w:val="5916420F"/>
    <w:rsid w:val="593257A1"/>
    <w:rsid w:val="593B22E3"/>
    <w:rsid w:val="5955323E"/>
    <w:rsid w:val="599E2E37"/>
    <w:rsid w:val="59AC7302"/>
    <w:rsid w:val="59B47F65"/>
    <w:rsid w:val="59C347FC"/>
    <w:rsid w:val="59F82547"/>
    <w:rsid w:val="5A0F3B18"/>
    <w:rsid w:val="5A225816"/>
    <w:rsid w:val="5A3D0E9C"/>
    <w:rsid w:val="5A3D61AC"/>
    <w:rsid w:val="5A957D96"/>
    <w:rsid w:val="5A971D60"/>
    <w:rsid w:val="5A9D2799"/>
    <w:rsid w:val="5AB10D16"/>
    <w:rsid w:val="5AC468CD"/>
    <w:rsid w:val="5B0F555F"/>
    <w:rsid w:val="5B525C87"/>
    <w:rsid w:val="5BA1276A"/>
    <w:rsid w:val="5BA81D4B"/>
    <w:rsid w:val="5BD0155F"/>
    <w:rsid w:val="5BDE576D"/>
    <w:rsid w:val="5BF62AB6"/>
    <w:rsid w:val="5C016B6B"/>
    <w:rsid w:val="5C076A71"/>
    <w:rsid w:val="5C237623"/>
    <w:rsid w:val="5C871960"/>
    <w:rsid w:val="5C912449"/>
    <w:rsid w:val="5CA22C3E"/>
    <w:rsid w:val="5CA94D77"/>
    <w:rsid w:val="5CE40B61"/>
    <w:rsid w:val="5D1F6E63"/>
    <w:rsid w:val="5D635AE5"/>
    <w:rsid w:val="5D6D6DA8"/>
    <w:rsid w:val="5D737731"/>
    <w:rsid w:val="5DAA3B58"/>
    <w:rsid w:val="5DB625DB"/>
    <w:rsid w:val="5DEB46D1"/>
    <w:rsid w:val="5E2558D5"/>
    <w:rsid w:val="5E3C570B"/>
    <w:rsid w:val="5E4D6BE5"/>
    <w:rsid w:val="5E602469"/>
    <w:rsid w:val="5E6B385C"/>
    <w:rsid w:val="5E8F7367"/>
    <w:rsid w:val="5E9067F4"/>
    <w:rsid w:val="5E9A016C"/>
    <w:rsid w:val="5ED01F28"/>
    <w:rsid w:val="5EEC1F4F"/>
    <w:rsid w:val="5EF3152F"/>
    <w:rsid w:val="5F061262"/>
    <w:rsid w:val="5F414DFD"/>
    <w:rsid w:val="5F553F98"/>
    <w:rsid w:val="5F751F44"/>
    <w:rsid w:val="5F950838"/>
    <w:rsid w:val="5FE80968"/>
    <w:rsid w:val="5FEB0458"/>
    <w:rsid w:val="602618C4"/>
    <w:rsid w:val="602A4D59"/>
    <w:rsid w:val="603040BD"/>
    <w:rsid w:val="6059795A"/>
    <w:rsid w:val="60600E46"/>
    <w:rsid w:val="606579CA"/>
    <w:rsid w:val="60B116A2"/>
    <w:rsid w:val="60DB227B"/>
    <w:rsid w:val="60F94494"/>
    <w:rsid w:val="61030EA5"/>
    <w:rsid w:val="613D4CE3"/>
    <w:rsid w:val="615D199E"/>
    <w:rsid w:val="61750921"/>
    <w:rsid w:val="61813DAD"/>
    <w:rsid w:val="618A5A4B"/>
    <w:rsid w:val="619D39D4"/>
    <w:rsid w:val="61E15FB7"/>
    <w:rsid w:val="61FF3D0A"/>
    <w:rsid w:val="61FF5F26"/>
    <w:rsid w:val="622747FC"/>
    <w:rsid w:val="62613170"/>
    <w:rsid w:val="62683FE2"/>
    <w:rsid w:val="62AA3BD4"/>
    <w:rsid w:val="62D71495"/>
    <w:rsid w:val="633204A2"/>
    <w:rsid w:val="634E1496"/>
    <w:rsid w:val="63B35731"/>
    <w:rsid w:val="640F0BB9"/>
    <w:rsid w:val="64187FAD"/>
    <w:rsid w:val="644A1BF1"/>
    <w:rsid w:val="645C36D2"/>
    <w:rsid w:val="64675289"/>
    <w:rsid w:val="64857962"/>
    <w:rsid w:val="648B6D4F"/>
    <w:rsid w:val="65102E3B"/>
    <w:rsid w:val="65242442"/>
    <w:rsid w:val="652C4C9D"/>
    <w:rsid w:val="6530528B"/>
    <w:rsid w:val="654E37B5"/>
    <w:rsid w:val="655F16CC"/>
    <w:rsid w:val="65F170C4"/>
    <w:rsid w:val="664E56D5"/>
    <w:rsid w:val="66644AC0"/>
    <w:rsid w:val="667F18FA"/>
    <w:rsid w:val="66843D80"/>
    <w:rsid w:val="66B00285"/>
    <w:rsid w:val="66B35E49"/>
    <w:rsid w:val="66C814F3"/>
    <w:rsid w:val="66C81DC2"/>
    <w:rsid w:val="66E04A8F"/>
    <w:rsid w:val="67010561"/>
    <w:rsid w:val="67185E65"/>
    <w:rsid w:val="67210478"/>
    <w:rsid w:val="672944EE"/>
    <w:rsid w:val="67527824"/>
    <w:rsid w:val="6773145F"/>
    <w:rsid w:val="678528D6"/>
    <w:rsid w:val="67B850C4"/>
    <w:rsid w:val="67E81E4D"/>
    <w:rsid w:val="68060525"/>
    <w:rsid w:val="681F3395"/>
    <w:rsid w:val="6832131A"/>
    <w:rsid w:val="685017A0"/>
    <w:rsid w:val="68B95597"/>
    <w:rsid w:val="68EF0FB9"/>
    <w:rsid w:val="690B5F52"/>
    <w:rsid w:val="691900BF"/>
    <w:rsid w:val="69623539"/>
    <w:rsid w:val="69935DE8"/>
    <w:rsid w:val="69AC6EAA"/>
    <w:rsid w:val="69C560CB"/>
    <w:rsid w:val="69C83892"/>
    <w:rsid w:val="69DC49DD"/>
    <w:rsid w:val="69E5416A"/>
    <w:rsid w:val="69F36887"/>
    <w:rsid w:val="6A02377A"/>
    <w:rsid w:val="6A5079C7"/>
    <w:rsid w:val="6A731776"/>
    <w:rsid w:val="6A7F58F7"/>
    <w:rsid w:val="6AB64D09"/>
    <w:rsid w:val="6ABC311D"/>
    <w:rsid w:val="6AD55F8D"/>
    <w:rsid w:val="6AF929BB"/>
    <w:rsid w:val="6B005C59"/>
    <w:rsid w:val="6B0D3978"/>
    <w:rsid w:val="6BAE0CB8"/>
    <w:rsid w:val="6BC87862"/>
    <w:rsid w:val="6BE0466C"/>
    <w:rsid w:val="6BE41CAE"/>
    <w:rsid w:val="6C2A2657"/>
    <w:rsid w:val="6C474C68"/>
    <w:rsid w:val="6C5010E4"/>
    <w:rsid w:val="6C673034"/>
    <w:rsid w:val="6C6D7387"/>
    <w:rsid w:val="6CD7423E"/>
    <w:rsid w:val="6CED1CB3"/>
    <w:rsid w:val="6CF523F3"/>
    <w:rsid w:val="6D65184A"/>
    <w:rsid w:val="6D913503"/>
    <w:rsid w:val="6DA47310"/>
    <w:rsid w:val="6DAD31F1"/>
    <w:rsid w:val="6DBE35C1"/>
    <w:rsid w:val="6DDB7D5E"/>
    <w:rsid w:val="6DDE15FC"/>
    <w:rsid w:val="6DF9527C"/>
    <w:rsid w:val="6E0F7A08"/>
    <w:rsid w:val="6E18118C"/>
    <w:rsid w:val="6E494CC8"/>
    <w:rsid w:val="6E7F1EDB"/>
    <w:rsid w:val="6E8913E8"/>
    <w:rsid w:val="6E8B52E0"/>
    <w:rsid w:val="6EDF73DA"/>
    <w:rsid w:val="6EF235B1"/>
    <w:rsid w:val="6EFA1F87"/>
    <w:rsid w:val="6F395A2B"/>
    <w:rsid w:val="6F3F60CB"/>
    <w:rsid w:val="6F487EA1"/>
    <w:rsid w:val="6F512931"/>
    <w:rsid w:val="6F841BAF"/>
    <w:rsid w:val="6F92269E"/>
    <w:rsid w:val="6FC00FB9"/>
    <w:rsid w:val="6FC860C0"/>
    <w:rsid w:val="70044AAA"/>
    <w:rsid w:val="70085F95"/>
    <w:rsid w:val="70353BEA"/>
    <w:rsid w:val="705359D7"/>
    <w:rsid w:val="708B393C"/>
    <w:rsid w:val="709661BE"/>
    <w:rsid w:val="70BD7BEF"/>
    <w:rsid w:val="70F53B43"/>
    <w:rsid w:val="71306613"/>
    <w:rsid w:val="71341C5F"/>
    <w:rsid w:val="714E0AE7"/>
    <w:rsid w:val="716E5301"/>
    <w:rsid w:val="71810C1C"/>
    <w:rsid w:val="71D74312"/>
    <w:rsid w:val="71FD4747"/>
    <w:rsid w:val="72180648"/>
    <w:rsid w:val="721E646B"/>
    <w:rsid w:val="72231CD3"/>
    <w:rsid w:val="723D2D95"/>
    <w:rsid w:val="723D7C42"/>
    <w:rsid w:val="726522EC"/>
    <w:rsid w:val="728B1D53"/>
    <w:rsid w:val="72C74D55"/>
    <w:rsid w:val="72E90827"/>
    <w:rsid w:val="730833A3"/>
    <w:rsid w:val="730B4C41"/>
    <w:rsid w:val="735C7ED0"/>
    <w:rsid w:val="73BA2088"/>
    <w:rsid w:val="73E144F6"/>
    <w:rsid w:val="741B1591"/>
    <w:rsid w:val="747D391D"/>
    <w:rsid w:val="74907796"/>
    <w:rsid w:val="74A72748"/>
    <w:rsid w:val="74EB6AD9"/>
    <w:rsid w:val="74F160B9"/>
    <w:rsid w:val="75385A96"/>
    <w:rsid w:val="754A3647"/>
    <w:rsid w:val="75AE7B06"/>
    <w:rsid w:val="75CC6074"/>
    <w:rsid w:val="75D97A47"/>
    <w:rsid w:val="76676633"/>
    <w:rsid w:val="76805946"/>
    <w:rsid w:val="769907B6"/>
    <w:rsid w:val="76A50FBD"/>
    <w:rsid w:val="76DA32A9"/>
    <w:rsid w:val="773A78A3"/>
    <w:rsid w:val="773F7AD4"/>
    <w:rsid w:val="77C655DB"/>
    <w:rsid w:val="77CB2BF1"/>
    <w:rsid w:val="77D045B1"/>
    <w:rsid w:val="78A952F8"/>
    <w:rsid w:val="78CC3EAC"/>
    <w:rsid w:val="78F04976"/>
    <w:rsid w:val="790C34C1"/>
    <w:rsid w:val="7924080B"/>
    <w:rsid w:val="7925094A"/>
    <w:rsid w:val="79256331"/>
    <w:rsid w:val="79361A2C"/>
    <w:rsid w:val="79536369"/>
    <w:rsid w:val="79703A50"/>
    <w:rsid w:val="79764A39"/>
    <w:rsid w:val="79984D55"/>
    <w:rsid w:val="79A656C4"/>
    <w:rsid w:val="79C01278"/>
    <w:rsid w:val="79F503F9"/>
    <w:rsid w:val="7A0C01A2"/>
    <w:rsid w:val="7A2605B3"/>
    <w:rsid w:val="7A3C1B84"/>
    <w:rsid w:val="7A5073DE"/>
    <w:rsid w:val="7A720B98"/>
    <w:rsid w:val="7A9244A9"/>
    <w:rsid w:val="7AA02113"/>
    <w:rsid w:val="7AAA2F92"/>
    <w:rsid w:val="7ACA3BF4"/>
    <w:rsid w:val="7ACF47A6"/>
    <w:rsid w:val="7AE10883"/>
    <w:rsid w:val="7AEA5A84"/>
    <w:rsid w:val="7AF406B1"/>
    <w:rsid w:val="7B0525BA"/>
    <w:rsid w:val="7B3D625A"/>
    <w:rsid w:val="7B7D2454"/>
    <w:rsid w:val="7B98728E"/>
    <w:rsid w:val="7BA63759"/>
    <w:rsid w:val="7BA7127F"/>
    <w:rsid w:val="7BE6624C"/>
    <w:rsid w:val="7BEA1986"/>
    <w:rsid w:val="7BEE3352"/>
    <w:rsid w:val="7BFF2E69"/>
    <w:rsid w:val="7C063E6E"/>
    <w:rsid w:val="7C262AEC"/>
    <w:rsid w:val="7C266648"/>
    <w:rsid w:val="7C765821"/>
    <w:rsid w:val="7CA57EB5"/>
    <w:rsid w:val="7CD04806"/>
    <w:rsid w:val="7CEB12EA"/>
    <w:rsid w:val="7CF14EA8"/>
    <w:rsid w:val="7D376B33"/>
    <w:rsid w:val="7D6349FD"/>
    <w:rsid w:val="7D901798"/>
    <w:rsid w:val="7DDC13C7"/>
    <w:rsid w:val="7E15463C"/>
    <w:rsid w:val="7E1F5A45"/>
    <w:rsid w:val="7E266DD3"/>
    <w:rsid w:val="7E461224"/>
    <w:rsid w:val="7E5C45A3"/>
    <w:rsid w:val="7E8B6C36"/>
    <w:rsid w:val="7E9E4525"/>
    <w:rsid w:val="7EBE7E5E"/>
    <w:rsid w:val="7ECB1729"/>
    <w:rsid w:val="7ECF2FC7"/>
    <w:rsid w:val="7EE8052D"/>
    <w:rsid w:val="7F315A30"/>
    <w:rsid w:val="7F427C3D"/>
    <w:rsid w:val="7F9F508F"/>
    <w:rsid w:val="7FB81CAD"/>
    <w:rsid w:val="7FD12D6F"/>
    <w:rsid w:val="7FE5681A"/>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ind w:firstLine="420" w:firstLineChars="200"/>
      <w:jc w:val="both"/>
    </w:pPr>
    <w:rPr>
      <w:rFonts w:cs="宋体" w:asciiTheme="minorEastAsia" w:hAnsiTheme="minorEastAsia" w:eastAsiaTheme="minorEastAsia"/>
      <w:sz w:val="21"/>
      <w:lang w:val="en-US" w:eastAsia="zh-CN" w:bidi="zh-TW"/>
    </w:rPr>
  </w:style>
  <w:style w:type="paragraph" w:styleId="2">
    <w:name w:val="heading 1"/>
    <w:basedOn w:val="1"/>
    <w:next w:val="1"/>
    <w:qFormat/>
    <w:uiPriority w:val="0"/>
    <w:pPr>
      <w:keepNext/>
      <w:keepLines/>
      <w:outlineLvl w:val="0"/>
    </w:pPr>
    <w:rPr>
      <w:rFonts w:eastAsia="黑体"/>
      <w:b/>
      <w:kern w:val="44"/>
      <w:sz w:val="28"/>
    </w:rPr>
  </w:style>
  <w:style w:type="paragraph" w:styleId="3">
    <w:name w:val="heading 2"/>
    <w:basedOn w:val="1"/>
    <w:next w:val="1"/>
    <w:unhideWhenUsed/>
    <w:qFormat/>
    <w:uiPriority w:val="0"/>
    <w:pPr>
      <w:keepNext/>
      <w:keepLines/>
      <w:numPr>
        <w:ilvl w:val="1"/>
        <w:numId w:val="1"/>
      </w:numPr>
      <w:outlineLvl w:val="1"/>
    </w:pPr>
    <w:rPr>
      <w:rFonts w:ascii="Arial" w:hAnsi="Arial" w:eastAsia="楷体_GB2312" w:cstheme="minorBidi"/>
      <w:b/>
      <w:bCs/>
      <w:sz w:val="24"/>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65"/>
    <w:autoRedefine/>
    <w:qFormat/>
    <w:uiPriority w:val="0"/>
  </w:style>
  <w:style w:type="paragraph" w:styleId="5">
    <w:name w:val="Body Text"/>
    <w:basedOn w:val="1"/>
    <w:link w:val="66"/>
    <w:semiHidden/>
    <w:qFormat/>
    <w:uiPriority w:val="0"/>
    <w:rPr>
      <w:rFonts w:ascii="黑体" w:hAnsi="黑体" w:eastAsia="黑体" w:cs="黑体"/>
      <w:sz w:val="28"/>
      <w:szCs w:val="28"/>
      <w:lang w:eastAsia="en-US" w:bidi="ar-SA"/>
    </w:rPr>
  </w:style>
  <w:style w:type="paragraph" w:styleId="6">
    <w:name w:val="Plain Text"/>
    <w:basedOn w:val="1"/>
    <w:next w:val="1"/>
    <w:qFormat/>
    <w:uiPriority w:val="0"/>
    <w:rPr>
      <w:rFonts w:ascii="宋体" w:hAnsi="Courier New"/>
    </w:rPr>
  </w:style>
  <w:style w:type="paragraph" w:styleId="7">
    <w:name w:val="Balloon Text"/>
    <w:basedOn w:val="1"/>
    <w:link w:val="63"/>
    <w:qFormat/>
    <w:uiPriority w:val="0"/>
    <w:pPr>
      <w:spacing w:line="240" w:lineRule="auto"/>
    </w:pPr>
    <w:rPr>
      <w:sz w:val="18"/>
      <w:szCs w:val="18"/>
    </w:rPr>
  </w:style>
  <w:style w:type="paragraph" w:styleId="8">
    <w:name w:val="footer"/>
    <w:basedOn w:val="1"/>
    <w:autoRedefine/>
    <w:qFormat/>
    <w:uiPriority w:val="99"/>
    <w:pPr>
      <w:ind w:right="210" w:rightChars="100"/>
      <w:jc w:val="righ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0">
    <w:name w:val="Normal (Web)"/>
    <w:basedOn w:val="1"/>
    <w:qFormat/>
    <w:uiPriority w:val="0"/>
    <w:pPr>
      <w:snapToGrid/>
      <w:ind w:firstLine="200"/>
      <w:contextualSpacing/>
      <w:jc w:val="left"/>
    </w:pPr>
    <w:rPr>
      <w:rFonts w:hint="eastAsia" w:ascii="宋体" w:hAnsi="宋体"/>
      <w:b/>
      <w:sz w:val="24"/>
    </w:rPr>
  </w:style>
  <w:style w:type="table" w:styleId="12">
    <w:name w:val="Table Grid"/>
    <w:basedOn w:val="11"/>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paragraph" w:customStyle="1" w:styleId="16">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9">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封面标准英文名称"/>
    <w:basedOn w:val="19"/>
    <w:autoRedefine/>
    <w:qFormat/>
    <w:uiPriority w:val="0"/>
    <w:pPr>
      <w:framePr w:wrap="around"/>
      <w:spacing w:before="370" w:line="400" w:lineRule="exact"/>
    </w:pPr>
    <w:rPr>
      <w:rFonts w:ascii="Times New Roman"/>
      <w:sz w:val="28"/>
      <w:szCs w:val="28"/>
    </w:rPr>
  </w:style>
  <w:style w:type="paragraph" w:customStyle="1" w:styleId="21">
    <w:name w:val="封面标准文稿类别"/>
    <w:basedOn w:val="22"/>
    <w:autoRedefine/>
    <w:qFormat/>
    <w:uiPriority w:val="0"/>
    <w:pPr>
      <w:framePr w:wrap="around"/>
      <w:spacing w:after="160" w:line="240" w:lineRule="auto"/>
    </w:pPr>
    <w:rPr>
      <w:sz w:val="24"/>
    </w:rPr>
  </w:style>
  <w:style w:type="paragraph" w:customStyle="1" w:styleId="22">
    <w:name w:val="封面一致性程度标识"/>
    <w:basedOn w:val="20"/>
    <w:autoRedefine/>
    <w:qFormat/>
    <w:uiPriority w:val="0"/>
    <w:pPr>
      <w:framePr w:wrap="around"/>
      <w:spacing w:before="440"/>
    </w:pPr>
    <w:rPr>
      <w:rFonts w:ascii="宋体" w:eastAsia="宋体"/>
    </w:rPr>
  </w:style>
  <w:style w:type="paragraph" w:customStyle="1" w:styleId="23">
    <w:name w:val="封面标准文稿编辑信息"/>
    <w:basedOn w:val="21"/>
    <w:autoRedefine/>
    <w:qFormat/>
    <w:uiPriority w:val="0"/>
    <w:pPr>
      <w:framePr w:wrap="around"/>
      <w:spacing w:before="180" w:line="180" w:lineRule="exact"/>
    </w:pPr>
    <w:rPr>
      <w:sz w:val="21"/>
    </w:rPr>
  </w:style>
  <w:style w:type="paragraph" w:customStyle="1" w:styleId="24">
    <w:name w:val="其他发布日期"/>
    <w:basedOn w:val="25"/>
    <w:autoRedefine/>
    <w:qFormat/>
    <w:uiPriority w:val="0"/>
    <w:pPr>
      <w:framePr w:wrap="around" w:vAnchor="page" w:hAnchor="text" w:x="1419"/>
    </w:pPr>
  </w:style>
  <w:style w:type="paragraph" w:customStyle="1" w:styleId="25">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6">
    <w:name w:val="其他实施日期"/>
    <w:basedOn w:val="27"/>
    <w:autoRedefine/>
    <w:qFormat/>
    <w:uiPriority w:val="0"/>
    <w:pPr>
      <w:framePr w:wrap="around"/>
    </w:pPr>
  </w:style>
  <w:style w:type="paragraph" w:customStyle="1" w:styleId="27">
    <w:name w:val="实施日期"/>
    <w:basedOn w:val="25"/>
    <w:autoRedefine/>
    <w:qFormat/>
    <w:uiPriority w:val="0"/>
    <w:pPr>
      <w:framePr w:wrap="around" w:vAnchor="page" w:hAnchor="text"/>
      <w:jc w:val="right"/>
    </w:pPr>
  </w:style>
  <w:style w:type="paragraph" w:customStyle="1" w:styleId="28">
    <w:name w:val="其他发布部门"/>
    <w:basedOn w:val="29"/>
    <w:autoRedefine/>
    <w:qFormat/>
    <w:uiPriority w:val="0"/>
    <w:pPr>
      <w:framePr w:wrap="around" w:y="15310"/>
      <w:spacing w:line="0" w:lineRule="atLeast"/>
    </w:pPr>
    <w:rPr>
      <w:rFonts w:ascii="黑体" w:eastAsia="黑体"/>
      <w:b w:val="0"/>
    </w:rPr>
  </w:style>
  <w:style w:type="paragraph" w:customStyle="1" w:styleId="29">
    <w:name w:val="发布部门"/>
    <w:next w:val="30"/>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0">
    <w:name w:val="段"/>
    <w:link w:val="62"/>
    <w:autoRedefine/>
    <w:qFormat/>
    <w:uiPriority w:val="0"/>
    <w:pPr>
      <w:tabs>
        <w:tab w:val="center" w:pos="4201"/>
        <w:tab w:val="right" w:leader="dot" w:pos="9298"/>
      </w:tabs>
      <w:autoSpaceDE w:val="0"/>
      <w:autoSpaceDN w:val="0"/>
      <w:spacing w:line="360" w:lineRule="auto"/>
      <w:ind w:firstLine="480" w:firstLineChars="200"/>
      <w:jc w:val="both"/>
    </w:pPr>
    <w:rPr>
      <w:rFonts w:ascii="宋体" w:hAnsi="Times New Roman" w:eastAsia="宋体" w:cs="Times New Roman"/>
      <w:snapToGrid w:val="0"/>
      <w:sz w:val="24"/>
      <w:lang w:val="en-US" w:eastAsia="zh-CN" w:bidi="ar-SA"/>
    </w:rPr>
  </w:style>
  <w:style w:type="character" w:customStyle="1" w:styleId="31">
    <w:name w:val="发布"/>
    <w:basedOn w:val="13"/>
    <w:autoRedefine/>
    <w:qFormat/>
    <w:uiPriority w:val="0"/>
    <w:rPr>
      <w:rFonts w:ascii="黑体" w:eastAsia="黑体"/>
      <w:spacing w:val="85"/>
      <w:w w:val="100"/>
      <w:position w:val="3"/>
      <w:sz w:val="28"/>
      <w:szCs w:val="28"/>
    </w:rPr>
  </w:style>
  <w:style w:type="paragraph" w:customStyle="1" w:styleId="32">
    <w:name w:val="前言、引言标题"/>
    <w:next w:val="30"/>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Body text|1"/>
    <w:basedOn w:val="1"/>
    <w:autoRedefine/>
    <w:qFormat/>
    <w:uiPriority w:val="0"/>
    <w:pPr>
      <w:spacing w:line="312" w:lineRule="auto"/>
    </w:pPr>
    <w:rPr>
      <w:rFonts w:ascii="MingLiU" w:hAnsi="MingLiU" w:eastAsia="MingLiU" w:cs="MingLiU"/>
      <w:sz w:val="20"/>
      <w:lang w:val="zh-TW" w:eastAsia="zh-TW"/>
    </w:rPr>
  </w:style>
  <w:style w:type="paragraph" w:customStyle="1" w:styleId="34">
    <w:name w:val="章标题"/>
    <w:next w:val="30"/>
    <w:autoRedefine/>
    <w:qFormat/>
    <w:uiPriority w:val="0"/>
    <w:pPr>
      <w:spacing w:line="360" w:lineRule="auto"/>
      <w:ind w:firstLine="200" w:firstLineChars="200"/>
      <w:contextualSpacing/>
      <w:jc w:val="both"/>
      <w:outlineLvl w:val="1"/>
    </w:pPr>
    <w:rPr>
      <w:rFonts w:ascii="Times New Roman" w:hAnsi="Times New Roman" w:eastAsia="宋体" w:cs="Times New Roman"/>
      <w:b/>
      <w:bCs/>
      <w:snapToGrid w:val="0"/>
      <w:sz w:val="24"/>
      <w:szCs w:val="24"/>
      <w:lang w:val="en-US" w:eastAsia="zh-CN" w:bidi="ar-SA"/>
    </w:rPr>
  </w:style>
  <w:style w:type="paragraph" w:customStyle="1" w:styleId="35">
    <w:name w:val="列项——（一级）"/>
    <w:autoRedefine/>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36">
    <w:name w:val="一级无"/>
    <w:basedOn w:val="37"/>
    <w:autoRedefine/>
    <w:qFormat/>
    <w:uiPriority w:val="0"/>
    <w:rPr>
      <w:rFonts w:ascii="宋体" w:eastAsia="宋体"/>
    </w:rPr>
  </w:style>
  <w:style w:type="paragraph" w:customStyle="1" w:styleId="37">
    <w:name w:val="一级条标题"/>
    <w:next w:val="30"/>
    <w:autoRedefine/>
    <w:qFormat/>
    <w:uiPriority w:val="0"/>
    <w:pPr>
      <w:spacing w:line="360" w:lineRule="auto"/>
      <w:ind w:firstLine="480" w:firstLineChars="200"/>
      <w:outlineLvl w:val="2"/>
    </w:pPr>
    <w:rPr>
      <w:rFonts w:ascii="黑体" w:hAnsi="Times New Roman" w:eastAsia="黑体" w:cs="Times New Roman"/>
      <w:sz w:val="21"/>
      <w:szCs w:val="21"/>
      <w:lang w:val="en-US" w:eastAsia="zh-CN" w:bidi="ar-SA"/>
    </w:rPr>
  </w:style>
  <w:style w:type="paragraph" w:customStyle="1" w:styleId="38">
    <w:name w:val="正文表标题"/>
    <w:next w:val="30"/>
    <w:link w:val="67"/>
    <w:autoRedefine/>
    <w:qFormat/>
    <w:uiPriority w:val="0"/>
    <w:pPr>
      <w:numPr>
        <w:ilvl w:val="0"/>
        <w:numId w:val="3"/>
      </w:numPr>
      <w:tabs>
        <w:tab w:val="left" w:pos="360"/>
      </w:tabs>
      <w:spacing w:before="156" w:beforeLines="50" w:after="156" w:afterLines="50"/>
      <w:jc w:val="center"/>
    </w:pPr>
    <w:rPr>
      <w:rFonts w:ascii="宋体" w:hAnsi="宋体" w:eastAsia="宋体" w:cs="Times New Roman"/>
      <w:sz w:val="24"/>
      <w:szCs w:val="24"/>
      <w:lang w:val="en-US" w:eastAsia="zh-CN" w:bidi="ar-SA"/>
    </w:rPr>
  </w:style>
  <w:style w:type="paragraph" w:customStyle="1" w:styleId="39">
    <w:name w:val="注："/>
    <w:next w:val="30"/>
    <w:autoRedefine/>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40">
    <w:name w:val="二级无"/>
    <w:basedOn w:val="41"/>
    <w:autoRedefine/>
    <w:qFormat/>
    <w:uiPriority w:val="0"/>
    <w:rPr>
      <w:rFonts w:ascii="宋体" w:eastAsia="宋体"/>
    </w:rPr>
  </w:style>
  <w:style w:type="paragraph" w:customStyle="1" w:styleId="41">
    <w:name w:val="二级条标题"/>
    <w:basedOn w:val="37"/>
    <w:next w:val="30"/>
    <w:autoRedefine/>
    <w:qFormat/>
    <w:uiPriority w:val="0"/>
    <w:pPr>
      <w:jc w:val="both"/>
      <w:outlineLvl w:val="3"/>
    </w:pPr>
  </w:style>
  <w:style w:type="paragraph" w:customStyle="1" w:styleId="42">
    <w:name w:val="三级无"/>
    <w:basedOn w:val="43"/>
    <w:autoRedefine/>
    <w:qFormat/>
    <w:uiPriority w:val="0"/>
    <w:rPr>
      <w:rFonts w:ascii="宋体" w:eastAsia="宋体"/>
    </w:rPr>
  </w:style>
  <w:style w:type="paragraph" w:customStyle="1" w:styleId="43">
    <w:name w:val="三级条标题"/>
    <w:basedOn w:val="41"/>
    <w:next w:val="30"/>
    <w:autoRedefine/>
    <w:qFormat/>
    <w:uiPriority w:val="0"/>
    <w:pPr>
      <w:outlineLvl w:val="4"/>
    </w:pPr>
  </w:style>
  <w:style w:type="paragraph" w:customStyle="1" w:styleId="44">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45">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
    <w:name w:val="标准书眉_奇数页"/>
    <w:next w:val="1"/>
    <w:autoRedefine/>
    <w:qFormat/>
    <w:uiPriority w:val="0"/>
    <w:pPr>
      <w:spacing w:after="120"/>
      <w:jc w:val="right"/>
    </w:pPr>
    <w:rPr>
      <w:rFonts w:ascii="Times New Roman" w:hAnsi="Times New Roman" w:eastAsia="宋体" w:cs="Times New Roman"/>
      <w:sz w:val="21"/>
      <w:lang w:val="en-US" w:eastAsia="zh-CN" w:bidi="ar-SA"/>
    </w:rPr>
  </w:style>
  <w:style w:type="paragraph" w:customStyle="1" w:styleId="4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标准文件_术语条一"/>
    <w:basedOn w:val="51"/>
    <w:next w:val="54"/>
    <w:autoRedefine/>
    <w:qFormat/>
    <w:uiPriority w:val="0"/>
  </w:style>
  <w:style w:type="paragraph" w:customStyle="1" w:styleId="51">
    <w:name w:val="标准文件_一级无标题"/>
    <w:basedOn w:val="52"/>
    <w:qFormat/>
    <w:uiPriority w:val="0"/>
    <w:pPr>
      <w:spacing w:before="0" w:beforeLines="0" w:after="0" w:afterLines="0"/>
      <w:outlineLvl w:val="9"/>
    </w:pPr>
    <w:rPr>
      <w:rFonts w:ascii="宋体" w:eastAsia="宋体"/>
    </w:rPr>
  </w:style>
  <w:style w:type="paragraph" w:customStyle="1" w:styleId="52">
    <w:name w:val="标准文件_一级条标题"/>
    <w:basedOn w:val="53"/>
    <w:next w:val="54"/>
    <w:autoRedefine/>
    <w:qFormat/>
    <w:uiPriority w:val="0"/>
    <w:pPr>
      <w:numPr>
        <w:ilvl w:val="2"/>
      </w:numPr>
      <w:spacing w:before="50" w:beforeLines="50" w:after="50" w:afterLines="50"/>
      <w:outlineLvl w:val="1"/>
    </w:pPr>
  </w:style>
  <w:style w:type="paragraph" w:customStyle="1" w:styleId="53">
    <w:name w:val="标准文件_章标题"/>
    <w:next w:val="54"/>
    <w:autoRedefine/>
    <w:qFormat/>
    <w:uiPriority w:val="0"/>
    <w:pPr>
      <w:numPr>
        <w:ilvl w:val="1"/>
        <w:numId w:val="6"/>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4">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
    <w:name w:val="font21"/>
    <w:basedOn w:val="13"/>
    <w:qFormat/>
    <w:uiPriority w:val="0"/>
    <w:rPr>
      <w:rFonts w:hint="default" w:ascii="Times New Roman" w:hAnsi="Times New Roman" w:cs="Times New Roman"/>
      <w:color w:val="000000"/>
      <w:sz w:val="21"/>
      <w:szCs w:val="21"/>
      <w:u w:val="none"/>
    </w:rPr>
  </w:style>
  <w:style w:type="character" w:customStyle="1" w:styleId="56">
    <w:name w:val="font11"/>
    <w:basedOn w:val="13"/>
    <w:qFormat/>
    <w:uiPriority w:val="0"/>
    <w:rPr>
      <w:rFonts w:hint="eastAsia" w:ascii="宋体" w:hAnsi="宋体" w:eastAsia="宋体" w:cs="宋体"/>
      <w:color w:val="000000"/>
      <w:sz w:val="21"/>
      <w:szCs w:val="21"/>
      <w:u w:val="none"/>
    </w:rPr>
  </w:style>
  <w:style w:type="paragraph" w:customStyle="1" w:styleId="5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8">
    <w:name w:val="msolistparagraph"/>
    <w:basedOn w:val="1"/>
    <w:qFormat/>
    <w:uiPriority w:val="0"/>
    <w:rPr>
      <w:rFonts w:hint="eastAsia" w:ascii="等线" w:hAnsi="等线" w:eastAsia="等线"/>
    </w:rPr>
  </w:style>
  <w:style w:type="paragraph" w:styleId="59">
    <w:name w:val="List Paragraph"/>
    <w:basedOn w:val="1"/>
    <w:unhideWhenUsed/>
    <w:qFormat/>
    <w:uiPriority w:val="34"/>
  </w:style>
  <w:style w:type="paragraph" w:customStyle="1" w:styleId="60">
    <w:name w:val="Table Text"/>
    <w:basedOn w:val="1"/>
    <w:semiHidden/>
    <w:qFormat/>
    <w:uiPriority w:val="0"/>
    <w:rPr>
      <w:rFonts w:ascii="宋体" w:hAnsi="宋体" w:eastAsia="宋体"/>
      <w:sz w:val="18"/>
      <w:szCs w:val="18"/>
      <w:lang w:eastAsia="en-US" w:bidi="ar-SA"/>
    </w:rPr>
  </w:style>
  <w:style w:type="table" w:customStyle="1" w:styleId="61">
    <w:name w:val="Table Normal"/>
    <w:semiHidden/>
    <w:unhideWhenUsed/>
    <w:qFormat/>
    <w:uiPriority w:val="0"/>
    <w:tblPr>
      <w:tblCellMar>
        <w:top w:w="0" w:type="dxa"/>
        <w:left w:w="0" w:type="dxa"/>
        <w:bottom w:w="0" w:type="dxa"/>
        <w:right w:w="0" w:type="dxa"/>
      </w:tblCellMar>
    </w:tblPr>
  </w:style>
  <w:style w:type="character" w:customStyle="1" w:styleId="62">
    <w:name w:val="段 Char"/>
    <w:link w:val="30"/>
    <w:qFormat/>
    <w:locked/>
    <w:uiPriority w:val="0"/>
    <w:rPr>
      <w:rFonts w:ascii="宋体"/>
      <w:snapToGrid w:val="0"/>
      <w:sz w:val="24"/>
    </w:rPr>
  </w:style>
  <w:style w:type="character" w:customStyle="1" w:styleId="63">
    <w:name w:val="批注框文本 字符"/>
    <w:basedOn w:val="13"/>
    <w:link w:val="7"/>
    <w:qFormat/>
    <w:uiPriority w:val="0"/>
    <w:rPr>
      <w:rFonts w:cs="宋体" w:asciiTheme="minorEastAsia" w:hAnsiTheme="minorEastAsia" w:eastAsiaTheme="minorEastAsia"/>
      <w:sz w:val="18"/>
      <w:szCs w:val="18"/>
      <w:lang w:bidi="zh-TW"/>
    </w:rPr>
  </w:style>
  <w:style w:type="paragraph" w:customStyle="1" w:styleId="64">
    <w:name w:val="表格内容"/>
    <w:basedOn w:val="38"/>
    <w:link w:val="68"/>
    <w:autoRedefine/>
    <w:qFormat/>
    <w:uiPriority w:val="0"/>
    <w:pPr>
      <w:numPr>
        <w:numId w:val="0"/>
      </w:numPr>
      <w:spacing w:before="0" w:beforeLines="0" w:after="0" w:afterLines="0" w:line="360" w:lineRule="auto"/>
    </w:pPr>
  </w:style>
  <w:style w:type="character" w:customStyle="1" w:styleId="65">
    <w:name w:val="批注文字 字符"/>
    <w:basedOn w:val="13"/>
    <w:link w:val="4"/>
    <w:uiPriority w:val="0"/>
    <w:rPr>
      <w:rFonts w:cs="宋体" w:asciiTheme="minorEastAsia" w:hAnsiTheme="minorEastAsia" w:eastAsiaTheme="minorEastAsia"/>
      <w:sz w:val="21"/>
      <w:lang w:bidi="zh-TW"/>
    </w:rPr>
  </w:style>
  <w:style w:type="character" w:customStyle="1" w:styleId="66">
    <w:name w:val="正文文本 字符"/>
    <w:basedOn w:val="13"/>
    <w:link w:val="5"/>
    <w:semiHidden/>
    <w:qFormat/>
    <w:uiPriority w:val="0"/>
    <w:rPr>
      <w:rFonts w:ascii="黑体" w:hAnsi="黑体" w:eastAsia="黑体" w:cs="黑体"/>
      <w:sz w:val="28"/>
      <w:szCs w:val="28"/>
      <w:lang w:eastAsia="en-US"/>
    </w:rPr>
  </w:style>
  <w:style w:type="character" w:customStyle="1" w:styleId="67">
    <w:name w:val="正文表标题 字符"/>
    <w:basedOn w:val="13"/>
    <w:link w:val="38"/>
    <w:qFormat/>
    <w:uiPriority w:val="0"/>
    <w:rPr>
      <w:rFonts w:ascii="宋体" w:hAnsi="宋体"/>
      <w:sz w:val="24"/>
      <w:szCs w:val="24"/>
    </w:rPr>
  </w:style>
  <w:style w:type="character" w:customStyle="1" w:styleId="68">
    <w:name w:val="表格内容 字符"/>
    <w:basedOn w:val="67"/>
    <w:link w:val="64"/>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15</Pages>
  <Words>1788</Words>
  <Characters>1983</Characters>
  <Lines>60</Lines>
  <Paragraphs>17</Paragraphs>
  <TotalTime>426</TotalTime>
  <ScaleCrop>false</ScaleCrop>
  <LinksUpToDate>false</LinksUpToDate>
  <CharactersWithSpaces>2061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2024-07-23T05:47:00Z</dcterms:created>
  <dc:creator>wxx</dc:creator>
  <cp:lastModifiedBy>llhliulihua</cp:lastModifiedBy>
  <dcterms:modified xsi:type="dcterms:W3CDTF">2025-06-20T07:11:41Z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8B8F04B4283946058AE378DA36170D0C_13</vt:lpwstr>
  </property>
  <property fmtid="{D5CDD505-2E9C-101B-9397-08002B2CF9AE}" pid="4" name="KSOTemplateDocerSaveRecord">
    <vt:lpwstr>eyJoZGlkIjoiN2JjNjlkY2Y1Y2NkZGE5Y2Q5NGZmMDVlNzZhMDkwMDUiLCJ1c2VySWQiOiI2NzY3MTU3NDcifQ==</vt:lpwstr>
  </property>
</Properties>
</file>