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149A5">
      <w:pPr>
        <w:spacing w:line="440" w:lineRule="exact"/>
        <w:rPr>
          <w:rFonts w:hint="eastAsia" w:ascii="黑体" w:hAnsi="黑体" w:eastAsia="黑体" w:cs="黑体"/>
          <w:sz w:val="32"/>
          <w:szCs w:val="32"/>
          <w:lang w:bidi="ar"/>
        </w:rPr>
      </w:pPr>
      <w:r>
        <w:rPr>
          <w:rFonts w:hint="eastAsia" w:ascii="黑体" w:hAnsi="黑体" w:eastAsia="黑体" w:cs="黑体"/>
          <w:sz w:val="32"/>
          <w:szCs w:val="32"/>
          <w:lang w:bidi="ar"/>
        </w:rPr>
        <w:t>附件4</w:t>
      </w:r>
    </w:p>
    <w:p w14:paraId="0D841004">
      <w:pPr>
        <w:spacing w:line="600" w:lineRule="exact"/>
        <w:jc w:val="center"/>
        <w:rPr>
          <w:rFonts w:ascii="小标宋" w:hAnsi="黑体" w:eastAsia="小标宋" w:cs="宋体"/>
          <w:bCs/>
          <w:color w:val="000000"/>
          <w:sz w:val="36"/>
          <w:szCs w:val="36"/>
        </w:rPr>
      </w:pPr>
      <w:r>
        <w:rPr>
          <w:rFonts w:hint="eastAsia" w:ascii="小标宋" w:hAnsi="黑体" w:eastAsia="小标宋" w:cs="宋体"/>
          <w:bCs/>
          <w:color w:val="000000"/>
          <w:sz w:val="44"/>
          <w:szCs w:val="44"/>
        </w:rPr>
        <w:t>参赛回执</w:t>
      </w:r>
    </w:p>
    <w:tbl>
      <w:tblPr>
        <w:tblStyle w:val="4"/>
        <w:tblW w:w="90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6"/>
        <w:gridCol w:w="1339"/>
        <w:gridCol w:w="750"/>
        <w:gridCol w:w="750"/>
        <w:gridCol w:w="1785"/>
        <w:gridCol w:w="2168"/>
      </w:tblGrid>
      <w:tr w14:paraId="7957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56" w:type="dxa"/>
            <w:noWrap w:val="0"/>
            <w:vAlign w:val="center"/>
          </w:tcPr>
          <w:p w14:paraId="6485CA10">
            <w:pPr>
              <w:widowControl w:val="0"/>
              <w:jc w:val="center"/>
              <w:rPr>
                <w:rFonts w:ascii="仿宋_GB2312" w:hAnsi="仿宋_GB2312" w:eastAsia="仿宋_GB2312" w:cs="仿宋_GB2312"/>
                <w:sz w:val="24"/>
              </w:rPr>
            </w:pPr>
            <w:r>
              <w:rPr>
                <w:rFonts w:ascii="仿宋_GB2312" w:hAnsi="仿宋_GB2312" w:eastAsia="仿宋_GB2312" w:cs="仿宋_GB2312"/>
                <w:sz w:val="24"/>
              </w:rPr>
              <w:t>赛道</w:t>
            </w:r>
          </w:p>
          <w:p w14:paraId="1576EEAE">
            <w:pPr>
              <w:widowControl w:val="0"/>
              <w:jc w:val="center"/>
              <w:rPr>
                <w:rFonts w:ascii="仿宋_GB2312" w:hAnsi="仿宋_GB2312" w:eastAsia="仿宋_GB2312" w:cs="仿宋_GB2312"/>
                <w:sz w:val="24"/>
              </w:rPr>
            </w:pPr>
            <w:r>
              <w:rPr>
                <w:rFonts w:ascii="仿宋_GB2312" w:hAnsi="仿宋_GB2312" w:eastAsia="仿宋_GB2312" w:cs="仿宋_GB2312"/>
                <w:sz w:val="24"/>
              </w:rPr>
              <w:t>（科技教育工作者赛道/大学生赛道）</w:t>
            </w:r>
          </w:p>
        </w:tc>
        <w:tc>
          <w:tcPr>
            <w:tcW w:w="6792" w:type="dxa"/>
            <w:gridSpan w:val="5"/>
            <w:noWrap w:val="0"/>
            <w:vAlign w:val="center"/>
          </w:tcPr>
          <w:p w14:paraId="38B73C96">
            <w:pPr>
              <w:widowControl w:val="0"/>
              <w:jc w:val="center"/>
              <w:rPr>
                <w:rFonts w:ascii="仿宋_GB2312" w:hAnsi="仿宋_GB2312" w:eastAsia="仿宋_GB2312" w:cs="仿宋_GB2312"/>
                <w:sz w:val="24"/>
              </w:rPr>
            </w:pPr>
          </w:p>
        </w:tc>
      </w:tr>
      <w:tr w14:paraId="2B5C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56" w:type="dxa"/>
            <w:noWrap w:val="0"/>
            <w:vAlign w:val="center"/>
          </w:tcPr>
          <w:p w14:paraId="2E5D1EB6">
            <w:pPr>
              <w:widowControl w:val="0"/>
              <w:jc w:val="center"/>
              <w:rPr>
                <w:rFonts w:ascii="仿宋_GB2312" w:hAnsi="仿宋_GB2312" w:eastAsia="仿宋_GB2312" w:cs="仿宋_GB2312"/>
                <w:sz w:val="24"/>
              </w:rPr>
            </w:pPr>
            <w:r>
              <w:rPr>
                <w:rFonts w:ascii="仿宋_GB2312" w:hAnsi="仿宋_GB2312" w:eastAsia="仿宋_GB2312" w:cs="仿宋_GB2312"/>
                <w:sz w:val="24"/>
              </w:rPr>
              <w:t>省份/院校名称</w:t>
            </w:r>
          </w:p>
        </w:tc>
        <w:tc>
          <w:tcPr>
            <w:tcW w:w="6792" w:type="dxa"/>
            <w:gridSpan w:val="5"/>
            <w:noWrap w:val="0"/>
            <w:vAlign w:val="center"/>
          </w:tcPr>
          <w:p w14:paraId="20F7CBA1">
            <w:pPr>
              <w:widowControl w:val="0"/>
              <w:jc w:val="center"/>
              <w:rPr>
                <w:rFonts w:ascii="仿宋_GB2312" w:hAnsi="仿宋_GB2312" w:eastAsia="仿宋_GB2312" w:cs="仿宋_GB2312"/>
                <w:sz w:val="24"/>
              </w:rPr>
            </w:pPr>
          </w:p>
        </w:tc>
      </w:tr>
      <w:tr w14:paraId="70C7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2256" w:type="dxa"/>
            <w:noWrap w:val="0"/>
            <w:vAlign w:val="center"/>
          </w:tcPr>
          <w:p w14:paraId="207A78FD">
            <w:pPr>
              <w:widowControl w:val="0"/>
              <w:jc w:val="center"/>
              <w:rPr>
                <w:rFonts w:ascii="仿宋_GB2312" w:hAnsi="仿宋_GB2312" w:eastAsia="仿宋_GB2312" w:cs="仿宋_GB2312"/>
                <w:sz w:val="24"/>
              </w:rPr>
            </w:pPr>
            <w:r>
              <w:rPr>
                <w:rFonts w:ascii="仿宋_GB2312" w:hAnsi="仿宋_GB2312" w:eastAsia="仿宋_GB2312" w:cs="仿宋_GB2312"/>
                <w:sz w:val="24"/>
              </w:rPr>
              <w:t>报到时间</w:t>
            </w:r>
          </w:p>
        </w:tc>
        <w:tc>
          <w:tcPr>
            <w:tcW w:w="6792" w:type="dxa"/>
            <w:gridSpan w:val="5"/>
            <w:noWrap w:val="0"/>
            <w:vAlign w:val="center"/>
          </w:tcPr>
          <w:p w14:paraId="32E07509">
            <w:pPr>
              <w:widowControl w:val="0"/>
              <w:jc w:val="center"/>
              <w:rPr>
                <w:rFonts w:ascii="仿宋_GB2312" w:hAnsi="仿宋_GB2312" w:eastAsia="仿宋_GB2312" w:cs="仿宋_GB2312"/>
                <w:sz w:val="24"/>
              </w:rPr>
            </w:pPr>
            <w:r>
              <w:rPr>
                <w:rFonts w:ascii="仿宋_GB2312" w:hAnsi="仿宋_GB2312" w:eastAsia="仿宋_GB2312" w:cs="仿宋_GB2312"/>
                <w:sz w:val="24"/>
              </w:rPr>
              <w:t>2026年</w:t>
            </w:r>
            <w:bookmarkStart w:id="0" w:name="OLE_LINK3"/>
            <w:r>
              <w:rPr>
                <w:rFonts w:ascii="仿宋_GB2312" w:hAnsi="仿宋_GB2312" w:eastAsia="仿宋_GB2312" w:cs="仿宋_GB2312"/>
                <w:sz w:val="24"/>
                <w:u w:val="single"/>
              </w:rPr>
              <w:t xml:space="preserve">    </w:t>
            </w:r>
            <w:r>
              <w:rPr>
                <w:rFonts w:ascii="仿宋_GB2312" w:hAnsi="仿宋_GB2312" w:eastAsia="仿宋_GB2312" w:cs="仿宋_GB2312"/>
                <w:sz w:val="24"/>
              </w:rPr>
              <w:t xml:space="preserve"> </w:t>
            </w:r>
            <w:bookmarkEnd w:id="0"/>
            <w:r>
              <w:rPr>
                <w:rFonts w:ascii="仿宋_GB2312" w:hAnsi="仿宋_GB2312" w:eastAsia="仿宋_GB2312" w:cs="仿宋_GB2312"/>
                <w:sz w:val="24"/>
              </w:rPr>
              <w:t>月</w:t>
            </w:r>
            <w:r>
              <w:rPr>
                <w:rFonts w:ascii="仿宋_GB2312" w:hAnsi="仿宋_GB2312" w:eastAsia="仿宋_GB2312" w:cs="仿宋_GB2312"/>
                <w:sz w:val="24"/>
                <w:u w:val="single"/>
              </w:rPr>
              <w:t xml:space="preserve">      </w:t>
            </w:r>
            <w:r>
              <w:rPr>
                <w:rFonts w:ascii="仿宋_GB2312" w:hAnsi="仿宋_GB2312" w:eastAsia="仿宋_GB2312" w:cs="仿宋_GB2312"/>
                <w:sz w:val="24"/>
              </w:rPr>
              <w:t>日</w:t>
            </w:r>
            <w:r>
              <w:rPr>
                <w:rFonts w:ascii="仿宋_GB2312" w:hAnsi="仿宋_GB2312" w:eastAsia="仿宋_GB2312" w:cs="仿宋_GB2312"/>
                <w:sz w:val="24"/>
                <w:u w:val="single"/>
              </w:rPr>
              <w:t xml:space="preserve">     </w:t>
            </w:r>
            <w:r>
              <w:rPr>
                <w:rFonts w:ascii="仿宋_GB2312" w:hAnsi="仿宋_GB2312" w:eastAsia="仿宋_GB2312" w:cs="仿宋_GB2312"/>
                <w:sz w:val="24"/>
              </w:rPr>
              <w:t>时</w:t>
            </w:r>
          </w:p>
          <w:p w14:paraId="44116473">
            <w:pPr>
              <w:widowControl w:val="0"/>
              <w:jc w:val="center"/>
              <w:rPr>
                <w:rFonts w:ascii="仿宋_GB2312" w:hAnsi="仿宋_GB2312" w:eastAsia="仿宋_GB2312" w:cs="仿宋_GB2312"/>
                <w:sz w:val="24"/>
                <w:u w:val="single"/>
              </w:rPr>
            </w:pPr>
            <w:r>
              <w:rPr>
                <w:rFonts w:ascii="仿宋_GB2312" w:hAnsi="仿宋_GB2312" w:eastAsia="仿宋_GB2312" w:cs="仿宋_GB2312"/>
                <w:sz w:val="24"/>
              </w:rPr>
              <w:t>（如2026年10月9日12时）</w:t>
            </w:r>
          </w:p>
        </w:tc>
      </w:tr>
      <w:tr w14:paraId="2C63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256" w:type="dxa"/>
            <w:tcBorders>
              <w:bottom w:val="single" w:color="auto" w:sz="4" w:space="0"/>
            </w:tcBorders>
            <w:noWrap w:val="0"/>
            <w:vAlign w:val="center"/>
          </w:tcPr>
          <w:p w14:paraId="70E1EA16">
            <w:pPr>
              <w:widowControl w:val="0"/>
              <w:jc w:val="center"/>
              <w:rPr>
                <w:rFonts w:ascii="仿宋_GB2312" w:hAnsi="仿宋_GB2312" w:eastAsia="仿宋_GB2312" w:cs="仿宋_GB2312"/>
                <w:sz w:val="24"/>
              </w:rPr>
            </w:pPr>
            <w:r>
              <w:rPr>
                <w:rFonts w:ascii="仿宋_GB2312" w:hAnsi="仿宋_GB2312" w:eastAsia="仿宋_GB2312" w:cs="仿宋_GB2312"/>
                <w:sz w:val="24"/>
              </w:rPr>
              <w:t>离会时间</w:t>
            </w:r>
          </w:p>
        </w:tc>
        <w:tc>
          <w:tcPr>
            <w:tcW w:w="6792" w:type="dxa"/>
            <w:gridSpan w:val="5"/>
            <w:noWrap w:val="0"/>
            <w:vAlign w:val="center"/>
          </w:tcPr>
          <w:p w14:paraId="40ECAFAC">
            <w:pPr>
              <w:widowControl w:val="0"/>
              <w:jc w:val="center"/>
              <w:rPr>
                <w:rFonts w:ascii="仿宋_GB2312" w:hAnsi="仿宋_GB2312" w:eastAsia="仿宋_GB2312" w:cs="仿宋_GB2312"/>
                <w:sz w:val="24"/>
              </w:rPr>
            </w:pPr>
            <w:r>
              <w:rPr>
                <w:rFonts w:ascii="仿宋_GB2312" w:hAnsi="仿宋_GB2312" w:eastAsia="仿宋_GB2312" w:cs="仿宋_GB2312"/>
                <w:sz w:val="24"/>
              </w:rPr>
              <w:t>2026年</w:t>
            </w:r>
            <w:r>
              <w:rPr>
                <w:rFonts w:ascii="仿宋_GB2312" w:hAnsi="仿宋_GB2312" w:eastAsia="仿宋_GB2312" w:cs="仿宋_GB2312"/>
                <w:sz w:val="24"/>
                <w:u w:val="single"/>
              </w:rPr>
              <w:t xml:space="preserve">    </w:t>
            </w:r>
            <w:r>
              <w:rPr>
                <w:rFonts w:ascii="仿宋_GB2312" w:hAnsi="仿宋_GB2312" w:eastAsia="仿宋_GB2312" w:cs="仿宋_GB2312"/>
                <w:sz w:val="24"/>
              </w:rPr>
              <w:t xml:space="preserve"> 月</w:t>
            </w:r>
            <w:r>
              <w:rPr>
                <w:rFonts w:ascii="仿宋_GB2312" w:hAnsi="仿宋_GB2312" w:eastAsia="仿宋_GB2312" w:cs="仿宋_GB2312"/>
                <w:sz w:val="24"/>
                <w:u w:val="single"/>
              </w:rPr>
              <w:t xml:space="preserve">      </w:t>
            </w:r>
            <w:r>
              <w:rPr>
                <w:rFonts w:ascii="仿宋_GB2312" w:hAnsi="仿宋_GB2312" w:eastAsia="仿宋_GB2312" w:cs="仿宋_GB2312"/>
                <w:sz w:val="24"/>
              </w:rPr>
              <w:t>日</w:t>
            </w:r>
            <w:r>
              <w:rPr>
                <w:rFonts w:ascii="仿宋_GB2312" w:hAnsi="仿宋_GB2312" w:eastAsia="仿宋_GB2312" w:cs="仿宋_GB2312"/>
                <w:sz w:val="24"/>
                <w:u w:val="single"/>
              </w:rPr>
              <w:t xml:space="preserve">     </w:t>
            </w:r>
            <w:r>
              <w:rPr>
                <w:rFonts w:ascii="仿宋_GB2312" w:hAnsi="仿宋_GB2312" w:eastAsia="仿宋_GB2312" w:cs="仿宋_GB2312"/>
                <w:sz w:val="24"/>
              </w:rPr>
              <w:t>时</w:t>
            </w:r>
          </w:p>
          <w:p w14:paraId="2319A53A">
            <w:pPr>
              <w:widowControl w:val="0"/>
              <w:jc w:val="center"/>
              <w:rPr>
                <w:rFonts w:ascii="仿宋_GB2312" w:hAnsi="仿宋_GB2312" w:eastAsia="仿宋_GB2312" w:cs="仿宋_GB2312"/>
                <w:sz w:val="24"/>
              </w:rPr>
            </w:pPr>
            <w:r>
              <w:rPr>
                <w:rFonts w:ascii="仿宋_GB2312" w:hAnsi="仿宋_GB2312" w:eastAsia="仿宋_GB2312" w:cs="仿宋_GB2312"/>
                <w:sz w:val="24"/>
              </w:rPr>
              <w:t>（如2026年10月11日13时）</w:t>
            </w:r>
          </w:p>
        </w:tc>
      </w:tr>
      <w:tr w14:paraId="2207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6" w:type="dxa"/>
            <w:tcBorders>
              <w:tl2br w:val="single" w:color="auto" w:sz="4" w:space="0"/>
            </w:tcBorders>
            <w:noWrap w:val="0"/>
            <w:vAlign w:val="center"/>
          </w:tcPr>
          <w:p w14:paraId="2A5F270A">
            <w:pPr>
              <w:widowControl w:val="0"/>
              <w:jc w:val="center"/>
              <w:rPr>
                <w:rFonts w:ascii="仿宋_GB2312" w:hAnsi="仿宋_GB2312" w:eastAsia="仿宋_GB2312" w:cs="仿宋_GB2312"/>
                <w:sz w:val="24"/>
              </w:rPr>
            </w:pPr>
          </w:p>
        </w:tc>
        <w:tc>
          <w:tcPr>
            <w:tcW w:w="1339" w:type="dxa"/>
            <w:noWrap w:val="0"/>
            <w:vAlign w:val="center"/>
          </w:tcPr>
          <w:p w14:paraId="74F53471">
            <w:pPr>
              <w:widowControl w:val="0"/>
              <w:jc w:val="center"/>
              <w:rPr>
                <w:rFonts w:ascii="仿宋_GB2312" w:hAnsi="仿宋_GB2312" w:eastAsia="仿宋_GB2312" w:cs="仿宋_GB2312"/>
                <w:sz w:val="24"/>
              </w:rPr>
            </w:pPr>
            <w:r>
              <w:rPr>
                <w:rFonts w:ascii="仿宋_GB2312" w:hAnsi="仿宋_GB2312" w:eastAsia="仿宋_GB2312" w:cs="仿宋_GB2312"/>
                <w:sz w:val="24"/>
              </w:rPr>
              <w:t>姓名</w:t>
            </w:r>
          </w:p>
        </w:tc>
        <w:tc>
          <w:tcPr>
            <w:tcW w:w="750" w:type="dxa"/>
            <w:noWrap w:val="0"/>
            <w:vAlign w:val="center"/>
          </w:tcPr>
          <w:p w14:paraId="6E7F9FE6">
            <w:pPr>
              <w:widowControl w:val="0"/>
              <w:jc w:val="center"/>
              <w:rPr>
                <w:rFonts w:ascii="仿宋_GB2312" w:hAnsi="仿宋_GB2312" w:eastAsia="仿宋_GB2312" w:cs="仿宋_GB2312"/>
                <w:sz w:val="24"/>
              </w:rPr>
            </w:pPr>
            <w:r>
              <w:rPr>
                <w:rFonts w:ascii="仿宋_GB2312" w:hAnsi="仿宋_GB2312" w:eastAsia="仿宋_GB2312" w:cs="仿宋_GB2312"/>
                <w:sz w:val="24"/>
              </w:rPr>
              <w:t>性别</w:t>
            </w:r>
          </w:p>
        </w:tc>
        <w:tc>
          <w:tcPr>
            <w:tcW w:w="750" w:type="dxa"/>
            <w:noWrap w:val="0"/>
            <w:vAlign w:val="center"/>
          </w:tcPr>
          <w:p w14:paraId="24E68CFF">
            <w:pPr>
              <w:widowControl w:val="0"/>
              <w:jc w:val="center"/>
              <w:rPr>
                <w:rFonts w:hint="default" w:ascii="仿宋_GB2312" w:hAnsi="仿宋_GB2312" w:eastAsia="仿宋_GB2312" w:cs="仿宋_GB2312"/>
                <w:sz w:val="24"/>
              </w:rPr>
            </w:pPr>
            <w:r>
              <w:rPr>
                <w:rFonts w:ascii="仿宋_GB2312" w:hAnsi="仿宋_GB2312" w:eastAsia="仿宋_GB2312" w:cs="仿宋_GB2312"/>
                <w:sz w:val="24"/>
              </w:rPr>
              <w:t>民族</w:t>
            </w:r>
          </w:p>
        </w:tc>
        <w:tc>
          <w:tcPr>
            <w:tcW w:w="1785" w:type="dxa"/>
            <w:noWrap w:val="0"/>
            <w:vAlign w:val="center"/>
          </w:tcPr>
          <w:p w14:paraId="71CE2C9F">
            <w:pPr>
              <w:widowControl w:val="0"/>
              <w:jc w:val="center"/>
              <w:rPr>
                <w:rFonts w:ascii="仿宋_GB2312" w:hAnsi="仿宋_GB2312" w:eastAsia="仿宋_GB2312" w:cs="仿宋_GB2312"/>
                <w:sz w:val="24"/>
              </w:rPr>
            </w:pPr>
            <w:r>
              <w:rPr>
                <w:rFonts w:ascii="仿宋_GB2312" w:hAnsi="仿宋_GB2312" w:eastAsia="仿宋_GB2312" w:cs="仿宋_GB2312"/>
                <w:sz w:val="24"/>
              </w:rPr>
              <w:t>手机号</w:t>
            </w:r>
          </w:p>
        </w:tc>
        <w:tc>
          <w:tcPr>
            <w:tcW w:w="2168" w:type="dxa"/>
            <w:noWrap w:val="0"/>
            <w:vAlign w:val="center"/>
          </w:tcPr>
          <w:p w14:paraId="69F1FA24">
            <w:pPr>
              <w:widowControl w:val="0"/>
              <w:jc w:val="center"/>
              <w:rPr>
                <w:rFonts w:ascii="仿宋_GB2312" w:hAnsi="仿宋_GB2312" w:eastAsia="仿宋_GB2312" w:cs="仿宋_GB2312"/>
                <w:sz w:val="24"/>
              </w:rPr>
            </w:pPr>
            <w:r>
              <w:rPr>
                <w:rFonts w:ascii="仿宋_GB2312" w:hAnsi="仿宋_GB2312" w:eastAsia="仿宋_GB2312" w:cs="仿宋_GB2312"/>
                <w:sz w:val="24"/>
              </w:rPr>
              <w:t>身份证号码</w:t>
            </w:r>
          </w:p>
        </w:tc>
      </w:tr>
      <w:tr w14:paraId="2A72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256" w:type="dxa"/>
            <w:noWrap w:val="0"/>
            <w:vAlign w:val="center"/>
          </w:tcPr>
          <w:p w14:paraId="66718D7A">
            <w:pPr>
              <w:widowControl w:val="0"/>
              <w:jc w:val="center"/>
              <w:rPr>
                <w:rFonts w:ascii="仿宋_GB2312" w:hAnsi="仿宋_GB2312" w:eastAsia="仿宋_GB2312" w:cs="仿宋_GB2312"/>
                <w:sz w:val="24"/>
              </w:rPr>
            </w:pPr>
            <w:r>
              <w:rPr>
                <w:rFonts w:ascii="仿宋_GB2312" w:hAnsi="仿宋_GB2312" w:eastAsia="仿宋_GB2312" w:cs="仿宋_GB2312"/>
                <w:sz w:val="24"/>
              </w:rPr>
              <w:t>领队</w:t>
            </w:r>
          </w:p>
        </w:tc>
        <w:tc>
          <w:tcPr>
            <w:tcW w:w="1339" w:type="dxa"/>
            <w:noWrap w:val="0"/>
            <w:vAlign w:val="center"/>
          </w:tcPr>
          <w:p w14:paraId="5045D2D1">
            <w:pPr>
              <w:widowControl w:val="0"/>
              <w:jc w:val="center"/>
              <w:rPr>
                <w:rFonts w:ascii="仿宋_GB2312" w:hAnsi="仿宋_GB2312" w:eastAsia="仿宋_GB2312" w:cs="仿宋_GB2312"/>
                <w:sz w:val="24"/>
              </w:rPr>
            </w:pPr>
          </w:p>
        </w:tc>
        <w:tc>
          <w:tcPr>
            <w:tcW w:w="750" w:type="dxa"/>
            <w:noWrap w:val="0"/>
            <w:vAlign w:val="center"/>
          </w:tcPr>
          <w:p w14:paraId="3A3352AE">
            <w:pPr>
              <w:widowControl w:val="0"/>
              <w:jc w:val="center"/>
              <w:rPr>
                <w:rFonts w:ascii="仿宋_GB2312" w:hAnsi="仿宋_GB2312" w:eastAsia="仿宋_GB2312" w:cs="仿宋_GB2312"/>
                <w:sz w:val="24"/>
              </w:rPr>
            </w:pPr>
          </w:p>
        </w:tc>
        <w:tc>
          <w:tcPr>
            <w:tcW w:w="750" w:type="dxa"/>
            <w:noWrap w:val="0"/>
            <w:vAlign w:val="center"/>
          </w:tcPr>
          <w:p w14:paraId="13545F96">
            <w:pPr>
              <w:widowControl w:val="0"/>
              <w:jc w:val="center"/>
              <w:rPr>
                <w:rFonts w:ascii="仿宋_GB2312" w:hAnsi="仿宋_GB2312" w:eastAsia="仿宋_GB2312" w:cs="仿宋_GB2312"/>
                <w:sz w:val="24"/>
              </w:rPr>
            </w:pPr>
          </w:p>
        </w:tc>
        <w:tc>
          <w:tcPr>
            <w:tcW w:w="1785" w:type="dxa"/>
            <w:noWrap w:val="0"/>
            <w:vAlign w:val="center"/>
          </w:tcPr>
          <w:p w14:paraId="684ACB10">
            <w:pPr>
              <w:widowControl w:val="0"/>
              <w:jc w:val="center"/>
              <w:rPr>
                <w:rFonts w:ascii="仿宋_GB2312" w:hAnsi="仿宋_GB2312" w:eastAsia="仿宋_GB2312" w:cs="仿宋_GB2312"/>
                <w:sz w:val="24"/>
              </w:rPr>
            </w:pPr>
          </w:p>
        </w:tc>
        <w:tc>
          <w:tcPr>
            <w:tcW w:w="2168" w:type="dxa"/>
            <w:noWrap w:val="0"/>
            <w:vAlign w:val="center"/>
          </w:tcPr>
          <w:p w14:paraId="44590A56">
            <w:pPr>
              <w:widowControl w:val="0"/>
              <w:jc w:val="center"/>
              <w:rPr>
                <w:rFonts w:ascii="仿宋_GB2312" w:hAnsi="仿宋_GB2312" w:eastAsia="仿宋_GB2312" w:cs="仿宋_GB2312"/>
                <w:sz w:val="24"/>
              </w:rPr>
            </w:pPr>
          </w:p>
        </w:tc>
      </w:tr>
      <w:tr w14:paraId="75CE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256" w:type="dxa"/>
            <w:vMerge w:val="restart"/>
            <w:noWrap w:val="0"/>
            <w:vAlign w:val="center"/>
          </w:tcPr>
          <w:p w14:paraId="493D3438">
            <w:pPr>
              <w:widowControl w:val="0"/>
              <w:jc w:val="center"/>
              <w:rPr>
                <w:rFonts w:ascii="仿宋_GB2312" w:hAnsi="仿宋_GB2312" w:eastAsia="仿宋_GB2312" w:cs="仿宋_GB2312"/>
                <w:sz w:val="24"/>
              </w:rPr>
            </w:pPr>
          </w:p>
          <w:p w14:paraId="6857D96C">
            <w:pPr>
              <w:widowControl w:val="0"/>
              <w:jc w:val="center"/>
              <w:rPr>
                <w:rFonts w:ascii="仿宋_GB2312" w:hAnsi="仿宋_GB2312" w:eastAsia="仿宋_GB2312" w:cs="仿宋_GB2312"/>
                <w:sz w:val="24"/>
              </w:rPr>
            </w:pPr>
            <w:r>
              <w:rPr>
                <w:rFonts w:ascii="仿宋_GB2312" w:hAnsi="仿宋_GB2312" w:eastAsia="仿宋_GB2312" w:cs="仿宋_GB2312"/>
                <w:sz w:val="24"/>
              </w:rPr>
              <w:t>参赛选手</w:t>
            </w:r>
          </w:p>
          <w:p w14:paraId="62173C49">
            <w:pPr>
              <w:widowControl w:val="0"/>
              <w:jc w:val="center"/>
              <w:rPr>
                <w:rFonts w:ascii="仿宋_GB2312" w:hAnsi="仿宋_GB2312" w:eastAsia="仿宋_GB2312" w:cs="仿宋_GB2312"/>
                <w:sz w:val="24"/>
              </w:rPr>
            </w:pPr>
          </w:p>
        </w:tc>
        <w:tc>
          <w:tcPr>
            <w:tcW w:w="1339" w:type="dxa"/>
            <w:noWrap w:val="0"/>
            <w:vAlign w:val="center"/>
          </w:tcPr>
          <w:p w14:paraId="28F0D5D9">
            <w:pPr>
              <w:widowControl w:val="0"/>
              <w:jc w:val="center"/>
              <w:rPr>
                <w:rFonts w:ascii="仿宋_GB2312" w:hAnsi="仿宋_GB2312" w:eastAsia="仿宋_GB2312" w:cs="仿宋_GB2312"/>
                <w:sz w:val="24"/>
              </w:rPr>
            </w:pPr>
          </w:p>
        </w:tc>
        <w:tc>
          <w:tcPr>
            <w:tcW w:w="750" w:type="dxa"/>
            <w:noWrap w:val="0"/>
            <w:vAlign w:val="center"/>
          </w:tcPr>
          <w:p w14:paraId="5602B420">
            <w:pPr>
              <w:widowControl w:val="0"/>
              <w:jc w:val="center"/>
              <w:rPr>
                <w:rFonts w:ascii="仿宋_GB2312" w:hAnsi="仿宋_GB2312" w:eastAsia="仿宋_GB2312" w:cs="仿宋_GB2312"/>
                <w:sz w:val="24"/>
              </w:rPr>
            </w:pPr>
          </w:p>
        </w:tc>
        <w:tc>
          <w:tcPr>
            <w:tcW w:w="750" w:type="dxa"/>
            <w:noWrap w:val="0"/>
            <w:vAlign w:val="center"/>
          </w:tcPr>
          <w:p w14:paraId="7E4FFA94">
            <w:pPr>
              <w:widowControl w:val="0"/>
              <w:jc w:val="center"/>
              <w:rPr>
                <w:rFonts w:ascii="仿宋_GB2312" w:hAnsi="仿宋_GB2312" w:eastAsia="仿宋_GB2312" w:cs="仿宋_GB2312"/>
                <w:sz w:val="24"/>
              </w:rPr>
            </w:pPr>
          </w:p>
        </w:tc>
        <w:tc>
          <w:tcPr>
            <w:tcW w:w="1785" w:type="dxa"/>
            <w:noWrap w:val="0"/>
            <w:vAlign w:val="center"/>
          </w:tcPr>
          <w:p w14:paraId="7B44D39D">
            <w:pPr>
              <w:widowControl w:val="0"/>
              <w:jc w:val="center"/>
              <w:rPr>
                <w:rFonts w:ascii="仿宋_GB2312" w:hAnsi="仿宋_GB2312" w:eastAsia="仿宋_GB2312" w:cs="仿宋_GB2312"/>
                <w:sz w:val="24"/>
              </w:rPr>
            </w:pPr>
          </w:p>
        </w:tc>
        <w:tc>
          <w:tcPr>
            <w:tcW w:w="2168" w:type="dxa"/>
            <w:noWrap w:val="0"/>
            <w:vAlign w:val="center"/>
          </w:tcPr>
          <w:p w14:paraId="11458BAE">
            <w:pPr>
              <w:widowControl w:val="0"/>
              <w:jc w:val="center"/>
              <w:rPr>
                <w:rFonts w:ascii="仿宋_GB2312" w:hAnsi="仿宋_GB2312" w:eastAsia="仿宋_GB2312" w:cs="仿宋_GB2312"/>
                <w:sz w:val="24"/>
              </w:rPr>
            </w:pPr>
          </w:p>
        </w:tc>
      </w:tr>
      <w:tr w14:paraId="3A9A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256" w:type="dxa"/>
            <w:vMerge w:val="continue"/>
            <w:noWrap w:val="0"/>
            <w:vAlign w:val="center"/>
          </w:tcPr>
          <w:p w14:paraId="6147DA80">
            <w:pPr>
              <w:widowControl w:val="0"/>
              <w:jc w:val="center"/>
              <w:rPr>
                <w:rFonts w:ascii="仿宋_GB2312" w:hAnsi="仿宋_GB2312" w:eastAsia="仿宋_GB2312" w:cs="仿宋_GB2312"/>
                <w:sz w:val="24"/>
              </w:rPr>
            </w:pPr>
          </w:p>
        </w:tc>
        <w:tc>
          <w:tcPr>
            <w:tcW w:w="1339" w:type="dxa"/>
            <w:noWrap w:val="0"/>
            <w:vAlign w:val="center"/>
          </w:tcPr>
          <w:p w14:paraId="6E91EFA1">
            <w:pPr>
              <w:widowControl w:val="0"/>
              <w:jc w:val="center"/>
              <w:rPr>
                <w:rFonts w:ascii="仿宋_GB2312" w:hAnsi="仿宋_GB2312" w:eastAsia="仿宋_GB2312" w:cs="仿宋_GB2312"/>
                <w:sz w:val="24"/>
              </w:rPr>
            </w:pPr>
          </w:p>
        </w:tc>
        <w:tc>
          <w:tcPr>
            <w:tcW w:w="750" w:type="dxa"/>
            <w:noWrap w:val="0"/>
            <w:vAlign w:val="center"/>
          </w:tcPr>
          <w:p w14:paraId="5A9F767F">
            <w:pPr>
              <w:widowControl w:val="0"/>
              <w:jc w:val="center"/>
              <w:rPr>
                <w:rFonts w:ascii="仿宋_GB2312" w:hAnsi="仿宋_GB2312" w:eastAsia="仿宋_GB2312" w:cs="仿宋_GB2312"/>
                <w:sz w:val="24"/>
              </w:rPr>
            </w:pPr>
          </w:p>
        </w:tc>
        <w:tc>
          <w:tcPr>
            <w:tcW w:w="750" w:type="dxa"/>
            <w:noWrap w:val="0"/>
            <w:vAlign w:val="center"/>
          </w:tcPr>
          <w:p w14:paraId="66AEDEAC">
            <w:pPr>
              <w:widowControl w:val="0"/>
              <w:jc w:val="center"/>
              <w:rPr>
                <w:rFonts w:ascii="仿宋_GB2312" w:hAnsi="仿宋_GB2312" w:eastAsia="仿宋_GB2312" w:cs="仿宋_GB2312"/>
                <w:sz w:val="24"/>
              </w:rPr>
            </w:pPr>
          </w:p>
        </w:tc>
        <w:tc>
          <w:tcPr>
            <w:tcW w:w="1785" w:type="dxa"/>
            <w:noWrap w:val="0"/>
            <w:vAlign w:val="center"/>
          </w:tcPr>
          <w:p w14:paraId="693A4D14">
            <w:pPr>
              <w:widowControl w:val="0"/>
              <w:jc w:val="center"/>
              <w:rPr>
                <w:rFonts w:ascii="仿宋_GB2312" w:hAnsi="仿宋_GB2312" w:eastAsia="仿宋_GB2312" w:cs="仿宋_GB2312"/>
                <w:sz w:val="24"/>
              </w:rPr>
            </w:pPr>
          </w:p>
        </w:tc>
        <w:tc>
          <w:tcPr>
            <w:tcW w:w="2168" w:type="dxa"/>
            <w:noWrap w:val="0"/>
            <w:vAlign w:val="center"/>
          </w:tcPr>
          <w:p w14:paraId="45C43F40">
            <w:pPr>
              <w:widowControl w:val="0"/>
              <w:jc w:val="center"/>
              <w:rPr>
                <w:rFonts w:ascii="仿宋_GB2312" w:hAnsi="仿宋_GB2312" w:eastAsia="仿宋_GB2312" w:cs="仿宋_GB2312"/>
                <w:sz w:val="24"/>
              </w:rPr>
            </w:pPr>
          </w:p>
        </w:tc>
      </w:tr>
      <w:tr w14:paraId="4E37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256" w:type="dxa"/>
            <w:vMerge w:val="continue"/>
            <w:noWrap w:val="0"/>
            <w:vAlign w:val="center"/>
          </w:tcPr>
          <w:p w14:paraId="12FFE9E9">
            <w:pPr>
              <w:widowControl w:val="0"/>
              <w:jc w:val="center"/>
              <w:rPr>
                <w:rFonts w:ascii="仿宋_GB2312" w:hAnsi="仿宋_GB2312" w:eastAsia="仿宋_GB2312" w:cs="仿宋_GB2312"/>
                <w:sz w:val="24"/>
              </w:rPr>
            </w:pPr>
          </w:p>
        </w:tc>
        <w:tc>
          <w:tcPr>
            <w:tcW w:w="1339" w:type="dxa"/>
            <w:noWrap w:val="0"/>
            <w:vAlign w:val="center"/>
          </w:tcPr>
          <w:p w14:paraId="2B478532">
            <w:pPr>
              <w:widowControl w:val="0"/>
              <w:jc w:val="center"/>
              <w:rPr>
                <w:rFonts w:ascii="仿宋_GB2312" w:hAnsi="仿宋_GB2312" w:eastAsia="仿宋_GB2312" w:cs="仿宋_GB2312"/>
                <w:sz w:val="24"/>
              </w:rPr>
            </w:pPr>
          </w:p>
        </w:tc>
        <w:tc>
          <w:tcPr>
            <w:tcW w:w="750" w:type="dxa"/>
            <w:noWrap w:val="0"/>
            <w:vAlign w:val="center"/>
          </w:tcPr>
          <w:p w14:paraId="63FCA4E2">
            <w:pPr>
              <w:widowControl w:val="0"/>
              <w:jc w:val="center"/>
              <w:rPr>
                <w:rFonts w:ascii="仿宋_GB2312" w:hAnsi="仿宋_GB2312" w:eastAsia="仿宋_GB2312" w:cs="仿宋_GB2312"/>
                <w:sz w:val="24"/>
              </w:rPr>
            </w:pPr>
          </w:p>
        </w:tc>
        <w:tc>
          <w:tcPr>
            <w:tcW w:w="750" w:type="dxa"/>
            <w:noWrap w:val="0"/>
            <w:vAlign w:val="center"/>
          </w:tcPr>
          <w:p w14:paraId="158BF7E2">
            <w:pPr>
              <w:widowControl w:val="0"/>
              <w:jc w:val="center"/>
              <w:rPr>
                <w:rFonts w:ascii="仿宋_GB2312" w:hAnsi="仿宋_GB2312" w:eastAsia="仿宋_GB2312" w:cs="仿宋_GB2312"/>
                <w:sz w:val="24"/>
              </w:rPr>
            </w:pPr>
          </w:p>
        </w:tc>
        <w:tc>
          <w:tcPr>
            <w:tcW w:w="1785" w:type="dxa"/>
            <w:noWrap w:val="0"/>
            <w:vAlign w:val="center"/>
          </w:tcPr>
          <w:p w14:paraId="3E627464">
            <w:pPr>
              <w:widowControl w:val="0"/>
              <w:jc w:val="center"/>
              <w:rPr>
                <w:rFonts w:ascii="仿宋_GB2312" w:hAnsi="仿宋_GB2312" w:eastAsia="仿宋_GB2312" w:cs="仿宋_GB2312"/>
                <w:sz w:val="24"/>
              </w:rPr>
            </w:pPr>
          </w:p>
        </w:tc>
        <w:tc>
          <w:tcPr>
            <w:tcW w:w="2168" w:type="dxa"/>
            <w:noWrap w:val="0"/>
            <w:vAlign w:val="center"/>
          </w:tcPr>
          <w:p w14:paraId="41472376">
            <w:pPr>
              <w:widowControl w:val="0"/>
              <w:jc w:val="center"/>
              <w:rPr>
                <w:rFonts w:ascii="仿宋_GB2312" w:hAnsi="仿宋_GB2312" w:eastAsia="仿宋_GB2312" w:cs="仿宋_GB2312"/>
                <w:sz w:val="24"/>
              </w:rPr>
            </w:pPr>
          </w:p>
        </w:tc>
      </w:tr>
      <w:tr w14:paraId="37AD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256" w:type="dxa"/>
            <w:vMerge w:val="continue"/>
            <w:noWrap w:val="0"/>
            <w:vAlign w:val="center"/>
          </w:tcPr>
          <w:p w14:paraId="5FE6C9F7">
            <w:pPr>
              <w:widowControl w:val="0"/>
              <w:jc w:val="center"/>
              <w:rPr>
                <w:rFonts w:ascii="仿宋_GB2312" w:hAnsi="仿宋_GB2312" w:eastAsia="仿宋_GB2312" w:cs="仿宋_GB2312"/>
                <w:sz w:val="24"/>
              </w:rPr>
            </w:pPr>
          </w:p>
        </w:tc>
        <w:tc>
          <w:tcPr>
            <w:tcW w:w="1339" w:type="dxa"/>
            <w:noWrap w:val="0"/>
            <w:vAlign w:val="center"/>
          </w:tcPr>
          <w:p w14:paraId="15D9879A">
            <w:pPr>
              <w:widowControl w:val="0"/>
              <w:jc w:val="center"/>
              <w:rPr>
                <w:rFonts w:ascii="仿宋_GB2312" w:hAnsi="仿宋_GB2312" w:eastAsia="仿宋_GB2312" w:cs="仿宋_GB2312"/>
                <w:sz w:val="24"/>
              </w:rPr>
            </w:pPr>
          </w:p>
        </w:tc>
        <w:tc>
          <w:tcPr>
            <w:tcW w:w="750" w:type="dxa"/>
            <w:noWrap w:val="0"/>
            <w:vAlign w:val="center"/>
          </w:tcPr>
          <w:p w14:paraId="197AD9C1">
            <w:pPr>
              <w:widowControl w:val="0"/>
              <w:jc w:val="center"/>
              <w:rPr>
                <w:rFonts w:ascii="仿宋_GB2312" w:hAnsi="仿宋_GB2312" w:eastAsia="仿宋_GB2312" w:cs="仿宋_GB2312"/>
                <w:sz w:val="24"/>
              </w:rPr>
            </w:pPr>
          </w:p>
        </w:tc>
        <w:tc>
          <w:tcPr>
            <w:tcW w:w="750" w:type="dxa"/>
            <w:noWrap w:val="0"/>
            <w:vAlign w:val="center"/>
          </w:tcPr>
          <w:p w14:paraId="5CE8CB49">
            <w:pPr>
              <w:widowControl w:val="0"/>
              <w:jc w:val="center"/>
              <w:rPr>
                <w:rFonts w:ascii="仿宋_GB2312" w:hAnsi="仿宋_GB2312" w:eastAsia="仿宋_GB2312" w:cs="仿宋_GB2312"/>
                <w:sz w:val="24"/>
              </w:rPr>
            </w:pPr>
          </w:p>
        </w:tc>
        <w:tc>
          <w:tcPr>
            <w:tcW w:w="1785" w:type="dxa"/>
            <w:noWrap w:val="0"/>
            <w:vAlign w:val="center"/>
          </w:tcPr>
          <w:p w14:paraId="6E3F3DD9">
            <w:pPr>
              <w:widowControl w:val="0"/>
              <w:jc w:val="center"/>
              <w:rPr>
                <w:rFonts w:ascii="仿宋_GB2312" w:hAnsi="仿宋_GB2312" w:eastAsia="仿宋_GB2312" w:cs="仿宋_GB2312"/>
                <w:sz w:val="24"/>
              </w:rPr>
            </w:pPr>
          </w:p>
        </w:tc>
        <w:tc>
          <w:tcPr>
            <w:tcW w:w="2168" w:type="dxa"/>
            <w:noWrap w:val="0"/>
            <w:vAlign w:val="center"/>
          </w:tcPr>
          <w:p w14:paraId="4BA90E84">
            <w:pPr>
              <w:widowControl w:val="0"/>
              <w:jc w:val="center"/>
              <w:rPr>
                <w:rFonts w:ascii="仿宋_GB2312" w:hAnsi="仿宋_GB2312" w:eastAsia="仿宋_GB2312" w:cs="仿宋_GB2312"/>
                <w:sz w:val="24"/>
              </w:rPr>
            </w:pPr>
          </w:p>
        </w:tc>
      </w:tr>
      <w:tr w14:paraId="6942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256" w:type="dxa"/>
            <w:noWrap w:val="0"/>
            <w:vAlign w:val="center"/>
          </w:tcPr>
          <w:p w14:paraId="56F560B2">
            <w:pPr>
              <w:widowControl w:val="0"/>
              <w:jc w:val="center"/>
              <w:rPr>
                <w:rFonts w:ascii="仿宋_GB2312" w:hAnsi="仿宋_GB2312" w:eastAsia="仿宋_GB2312" w:cs="仿宋_GB2312"/>
                <w:sz w:val="24"/>
              </w:rPr>
            </w:pPr>
            <w:r>
              <w:rPr>
                <w:rFonts w:ascii="仿宋_GB2312" w:hAnsi="仿宋_GB2312" w:eastAsia="仿宋_GB2312" w:cs="仿宋_GB2312"/>
                <w:sz w:val="24"/>
              </w:rPr>
              <w:t>备注</w:t>
            </w:r>
          </w:p>
        </w:tc>
        <w:tc>
          <w:tcPr>
            <w:tcW w:w="6792" w:type="dxa"/>
            <w:gridSpan w:val="5"/>
            <w:noWrap w:val="0"/>
            <w:vAlign w:val="center"/>
          </w:tcPr>
          <w:p w14:paraId="67B8CC6B">
            <w:pPr>
              <w:widowControl w:val="0"/>
              <w:jc w:val="center"/>
              <w:rPr>
                <w:rFonts w:ascii="仿宋_GB2312" w:hAnsi="仿宋_GB2312" w:eastAsia="仿宋_GB2312" w:cs="仿宋_GB2312"/>
                <w:sz w:val="24"/>
              </w:rPr>
            </w:pPr>
          </w:p>
        </w:tc>
      </w:tr>
    </w:tbl>
    <w:p w14:paraId="0A506EDA"/>
    <w:p w14:paraId="7DCC2FB4">
      <w:pPr>
        <w:spacing w:line="440" w:lineRule="exact"/>
        <w:rPr>
          <w:rFonts w:hint="eastAsia" w:eastAsia="华文仿宋"/>
          <w:bCs/>
          <w:sz w:val="28"/>
          <w:szCs w:val="28"/>
        </w:rPr>
      </w:pPr>
      <w:r>
        <w:rPr>
          <w:rFonts w:hint="eastAsia" w:ascii="仿宋_GB2312" w:hAnsi="仿宋_GB2312" w:eastAsia="仿宋_GB2312" w:cs="仿宋_GB2312"/>
          <w:b/>
          <w:bCs/>
          <w:color w:val="000000"/>
          <w:sz w:val="24"/>
          <w:lang w:bidi="ar"/>
        </w:rPr>
        <w:t>说明</w:t>
      </w:r>
      <w:r>
        <w:rPr>
          <w:rFonts w:hint="eastAsia" w:ascii="仿宋_GB2312" w:hAnsi="仿宋_GB2312" w:eastAsia="仿宋_GB2312" w:cs="仿宋_GB2312"/>
          <w:color w:val="000000"/>
          <w:sz w:val="24"/>
          <w:lang w:bidi="ar"/>
        </w:rPr>
        <w:t>：</w:t>
      </w:r>
      <w:bookmarkStart w:id="1" w:name="OLE_LINK7"/>
      <w:r>
        <w:rPr>
          <w:rFonts w:hint="eastAsia" w:ascii="仿宋_GB2312" w:hAnsi="仿宋_GB2312" w:eastAsia="仿宋_GB2312" w:cs="仿宋_GB2312"/>
          <w:color w:val="000000"/>
          <w:sz w:val="24"/>
          <w:lang w:bidi="ar"/>
        </w:rPr>
        <w:t>此表可根据实际需要增加行数，如有特殊需求可在备注中填写（如“2人需清真餐”等）。请于2026年9月25日12:00前以省级管理机构/院校为单位统一发送该回执excel格式版本到指定邮箱（科技教育工作者赛道邮箱地址：</w:t>
      </w:r>
      <w:r>
        <w:rPr>
          <w:rFonts w:hint="default" w:ascii="Times New Roman" w:hAnsi="Times New Roman" w:eastAsia="仿宋_GB2312" w:cs="Times New Roman"/>
          <w:color w:val="000000"/>
          <w:sz w:val="24"/>
          <w:lang w:bidi="ar"/>
        </w:rPr>
        <w:fldChar w:fldCharType="begin"/>
      </w:r>
      <w:r>
        <w:rPr>
          <w:rFonts w:ascii="Times New Roman" w:hAnsi="Times New Roman" w:eastAsia="仿宋_GB2312" w:cs="Times New Roman"/>
          <w:color w:val="000000"/>
          <w:sz w:val="24"/>
          <w:lang w:bidi="ar"/>
        </w:rPr>
        <w:instrText xml:space="preserve">HYPERLINK "mailto:caowei@ccsfu.edu.cn"</w:instrText>
      </w:r>
      <w:r>
        <w:rPr>
          <w:rFonts w:hint="default" w:ascii="Times New Roman" w:hAnsi="Times New Roman" w:eastAsia="仿宋_GB2312" w:cs="Times New Roman"/>
          <w:color w:val="000000"/>
          <w:sz w:val="24"/>
          <w:lang w:bidi="ar"/>
        </w:rPr>
        <w:fldChar w:fldCharType="separate"/>
      </w:r>
      <w:r>
        <w:rPr>
          <w:rFonts w:ascii="Times New Roman" w:hAnsi="Times New Roman" w:eastAsia="仿宋_GB2312" w:cs="Times New Roman"/>
          <w:color w:val="000000"/>
          <w:sz w:val="24"/>
          <w:lang w:bidi="ar"/>
        </w:rPr>
        <w:t>caowei@ccsfu.edu.cn</w:t>
      </w:r>
      <w:r>
        <w:rPr>
          <w:rFonts w:hint="default" w:ascii="Times New Roman" w:hAnsi="Times New Roman" w:eastAsia="仿宋_GB2312" w:cs="Times New Roman"/>
          <w:color w:val="000000"/>
          <w:sz w:val="24"/>
          <w:lang w:bidi="ar"/>
        </w:rPr>
        <w:fldChar w:fldCharType="end"/>
      </w:r>
      <w:r>
        <w:rPr>
          <w:rFonts w:hint="eastAsia" w:ascii="仿宋_GB2312" w:hAnsi="仿宋_GB2312" w:eastAsia="仿宋_GB2312" w:cs="仿宋_GB2312"/>
          <w:color w:val="000000"/>
          <w:sz w:val="24"/>
          <w:lang w:bidi="ar"/>
        </w:rPr>
        <w:t>；大学生赛道邮箱地</w:t>
      </w:r>
      <w:r>
        <w:rPr>
          <w:rFonts w:hint="eastAsia" w:ascii="仿宋_GB2312" w:hAnsi="仿宋_GB2312" w:eastAsia="仿宋_GB2312" w:cs="仿宋_GB2312"/>
          <w:sz w:val="24"/>
          <w:lang w:bidi="ar"/>
        </w:rPr>
        <w:t>址:</w:t>
      </w:r>
      <w:r>
        <w:t xml:space="preserve"> </w:t>
      </w:r>
      <w:r>
        <w:rPr>
          <w:rFonts w:hint="default" w:ascii="Times New Roman" w:hAnsi="Times New Roman" w:eastAsia="仿宋_GB2312" w:cs="Times New Roman"/>
          <w:color w:val="000000"/>
          <w:sz w:val="24"/>
          <w:lang w:bidi="ar"/>
        </w:rPr>
        <w:fldChar w:fldCharType="begin"/>
      </w:r>
      <w:r>
        <w:rPr>
          <w:rFonts w:ascii="Times New Roman" w:hAnsi="Times New Roman" w:eastAsia="仿宋_GB2312" w:cs="Times New Roman"/>
          <w:color w:val="000000"/>
          <w:sz w:val="24"/>
          <w:lang w:bidi="ar"/>
        </w:rPr>
        <w:instrText xml:space="preserve">HYPERLINK "mailto:fangtingting@ccsfu.edu.cn"</w:instrText>
      </w:r>
      <w:r>
        <w:rPr>
          <w:rFonts w:hint="default" w:ascii="Times New Roman" w:hAnsi="Times New Roman" w:eastAsia="仿宋_GB2312" w:cs="Times New Roman"/>
          <w:color w:val="000000"/>
          <w:sz w:val="24"/>
          <w:lang w:bidi="ar"/>
        </w:rPr>
        <w:fldChar w:fldCharType="separate"/>
      </w:r>
      <w:r>
        <w:rPr>
          <w:rFonts w:ascii="Times New Roman" w:hAnsi="Times New Roman" w:eastAsia="仿宋_GB2312" w:cs="Times New Roman"/>
          <w:color w:val="000000"/>
          <w:sz w:val="24"/>
          <w:lang w:bidi="ar"/>
        </w:rPr>
        <w:t>fangtingting@ccsfu.edu.cn</w:t>
      </w:r>
      <w:r>
        <w:rPr>
          <w:rFonts w:hint="default" w:ascii="Times New Roman" w:hAnsi="Times New Roman" w:eastAsia="仿宋_GB2312" w:cs="Times New Roman"/>
          <w:color w:val="000000"/>
          <w:sz w:val="24"/>
          <w:lang w:bidi="ar"/>
        </w:rPr>
        <w:fldChar w:fldCharType="end"/>
      </w:r>
      <w:r>
        <w:rPr>
          <w:rFonts w:hint="eastAsia" w:ascii="仿宋_GB2312" w:hAnsi="仿宋_GB2312" w:eastAsia="仿宋_GB2312" w:cs="仿宋_GB2312"/>
          <w:color w:val="000000"/>
          <w:sz w:val="24"/>
          <w:lang w:bidi="ar"/>
        </w:rPr>
        <w:t>），命名格式为“赛道+省份/学校＋参赛回执”（如：大学生赛道+长春师范大学+参赛回执）。请派员单位为领队和参赛人员自行选择购买赛事期间人身意外伤害保险。</w:t>
      </w:r>
      <w:bookmarkEnd w:id="1"/>
    </w:p>
    <w:p w14:paraId="6CFF2462">
      <w:bookmarkStart w:id="2" w:name="_GoBack"/>
      <w:bookmarkEnd w:id="2"/>
    </w:p>
    <w:sectPr>
      <w:footerReference r:id="rId4" w:type="first"/>
      <w:footerReference r:id="rId3" w:type="default"/>
      <w:pgSz w:w="11905" w:h="16838"/>
      <w:pgMar w:top="1701" w:right="1587" w:bottom="1701" w:left="1587" w:header="0" w:footer="1576" w:gutter="0"/>
      <w:pgNumType w:fmt="decimal"/>
      <w:cols w:space="720" w:num="1"/>
      <w:titlePg/>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小标宋">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3E30C">
    <w:pPr>
      <w:pStyle w:val="3"/>
      <w:jc w:val="center"/>
    </w:pPr>
    <w:r>
      <w:rPr>
        <w:sz w:val="2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BFA393">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16BFA393">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F7440">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3EA39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343EA39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CE111B"/>
    <w:rsid w:val="2827074F"/>
    <w:rsid w:val="4E6463AD"/>
    <w:rsid w:val="7AD82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jc w:val="both"/>
      <w:textAlignment w:val="baseline"/>
    </w:pPr>
    <w:rPr>
      <w:rFonts w:ascii="Times New Roman" w:hAnsi="Times New Roman" w:eastAsia="宋体" w:cs="Times New Roman"/>
      <w:sz w:val="21"/>
      <w:lang w:val="en-US" w:eastAsia="zh-CN" w:bidi="ar-SA"/>
    </w:rPr>
  </w:style>
  <w:style w:type="paragraph" w:styleId="2">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pPr>
    <w:rPr>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2026-08-13T00:40:00Z</dcterms:created>
  <dc:creator>yn1nt</dc:creator>
  <cp:lastModifiedBy>陈炅</cp:lastModifiedBy>
  <dcterms:modified xsi:type="dcterms:W3CDTF">2026-09-08T09:57:25Z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925730D078D049C78077EC544DA0F986_12</vt:lpwstr>
  </property>
  <property fmtid="{D5CDD505-2E9C-101B-9397-08002B2CF9AE}" pid="4" name="KSOTemplateDocerSaveRecord">
    <vt:lpwstr>eyJoZGlkIjoiM2RkMzBiZDIxN2JjZTY3MjU2NDJmZmIzNjhiMGMzNzkiLCJ1c2VySWQiOiI4MzkzOTgyMjUifQ==</vt:lpwstr>
  </property>
</Properties>
</file>