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0"/>
        <w:jc w:val="both"/>
        <w:textAlignment w:val="auto"/>
        <w:outlineLvl w:val="9"/>
        <w:rPr>
          <w:rFonts w:hint="eastAsia" w:ascii="FangSong_GB2312" w:hAnsi="FangSong_GB2312" w:eastAsia="FangSong_GB2312" w:cs="FangSong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eastAsia="zh-CN"/>
        </w:rPr>
        <w:t>第七届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20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20"/>
          <w:highlight w:val="none"/>
        </w:rPr>
        <w:t>创客中国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20"/>
          <w:highlight w:val="none"/>
          <w:lang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val="en-US" w:eastAsia="zh-CN"/>
        </w:rPr>
        <w:t>中小企业创新创业大赛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</w:rPr>
        <w:t>产业链协同创新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eastAsia="zh-CN"/>
        </w:rPr>
        <w:t>赛道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</w:rPr>
        <w:t>赛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20"/>
          <w:highlight w:val="none"/>
          <w:lang w:val="en-US" w:eastAsia="zh-CN"/>
        </w:rPr>
        <w:t>申报表</w:t>
      </w:r>
    </w:p>
    <w:bookmarkEnd w:id="0"/>
    <w:p>
      <w:pPr>
        <w:pStyle w:val="2"/>
        <w:ind w:left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highlight w:val="none"/>
          <w:lang w:val="en-US" w:eastAsia="zh-CN"/>
        </w:rPr>
        <w:t>申报企业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（盖章）：        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 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>填表日期：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 年  月  日</w:t>
      </w:r>
    </w:p>
    <w:tbl>
      <w:tblPr>
        <w:tblStyle w:val="5"/>
        <w:tblW w:w="849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599"/>
        <w:gridCol w:w="1599"/>
        <w:gridCol w:w="1599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产业链名称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赛道牵头企业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代表人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□国有   □合资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□民营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营业收入（亿元）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从业人数（人）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专题赛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4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主要股东</w:t>
            </w:r>
          </w:p>
        </w:tc>
        <w:tc>
          <w:tcPr>
            <w:tcW w:w="4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7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发展情况</w:t>
            </w:r>
          </w:p>
        </w:tc>
        <w:tc>
          <w:tcPr>
            <w:tcW w:w="4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8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在产业链中地位、带动产业链协同发展情况</w:t>
            </w:r>
          </w:p>
        </w:tc>
        <w:tc>
          <w:tcPr>
            <w:tcW w:w="4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8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赛题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绕该产业链，可设置若干题目。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每个题目包括：题目名称、赛题描述、出题背景、预期目标。</w:t>
            </w:r>
          </w:p>
          <w:p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题目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一：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名称：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描述：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出题背景：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预期目标：</w:t>
            </w:r>
          </w:p>
          <w:p>
            <w:pPr>
              <w:pStyle w:val="2"/>
              <w:snapToGrid w:val="0"/>
              <w:spacing w:line="380" w:lineRule="exact"/>
              <w:rPr>
                <w:rFonts w:hint="eastAsia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snapToGrid w:val="0"/>
              <w:spacing w:line="380" w:lineRule="exact"/>
              <w:ind w:left="0" w:leftChars="0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.....</w:t>
            </w:r>
          </w:p>
          <w:p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题目N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名称：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描述：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出题背景：</w:t>
            </w:r>
          </w:p>
          <w:p>
            <w:pPr>
              <w:widowControl/>
              <w:snapToGrid w:val="0"/>
              <w:spacing w:line="380" w:lineRule="exact"/>
              <w:ind w:firstLine="96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预期目标：</w:t>
            </w:r>
          </w:p>
          <w:p>
            <w:pPr>
              <w:pStyle w:val="3"/>
              <w:snapToGrid w:val="0"/>
              <w:spacing w:line="380" w:lineRule="exact"/>
              <w:ind w:left="0" w:leftChars="0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办赛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  <w:t>方案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方案应包括：办赛目标、组织保障、奖项及奖金设置、赛事组织、办赛特色亮点、办赛经费预算、项目后续支持服务计划和宣传方案等内容。</w:t>
            </w:r>
          </w:p>
          <w:p>
            <w:pPr>
              <w:snapToGrid w:val="0"/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  <w:t>联系方式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napToGrid w:val="0"/>
              <w:spacing w:line="38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企业联系人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（部门、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职务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）：</w:t>
            </w:r>
          </w:p>
          <w:p>
            <w:pPr>
              <w:snapToGrid w:val="0"/>
              <w:spacing w:line="380" w:lineRule="exact"/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电话：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邮箱：</w:t>
            </w:r>
          </w:p>
          <w:p>
            <w:pPr>
              <w:snapToGrid w:val="0"/>
              <w:spacing w:line="38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BE7F344"/>
    <w:rsid w:val="654EAB0D"/>
    <w:rsid w:val="7C6516D3"/>
    <w:rsid w:val="7F6B7366"/>
    <w:rsid w:val="96AB0333"/>
    <w:rsid w:val="C2FF8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2021-12-20T07:16:49Z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