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jc w:val="center"/>
        <w:outlineLvl w:val="0"/>
        <w:rPr>
          <w:rFonts w:ascii="黑体" w:hAnsi="黑体" w:eastAsia="黑体" w:cstheme="majorBidi"/>
          <w:b/>
          <w:bCs/>
          <w:color w:val="000000" w:themeColor="text1"/>
          <w:sz w:val="28"/>
          <w:szCs w:val="28"/>
          <w14:textFill>
            <w14:solidFill>
              <w14:schemeClr w14:val="tx1"/>
            </w14:solidFill>
          </w14:textFill>
        </w:rPr>
      </w:pPr>
      <w:bookmarkStart w:id="0" w:name="_Toc132449273"/>
      <w:bookmarkStart w:id="1" w:name="_Toc479682188"/>
      <w:bookmarkStart w:id="7" w:name="_GoBack"/>
      <w:r>
        <w:rPr>
          <w:rFonts w:hint="eastAsia" w:ascii="黑体" w:hAnsi="黑体" w:eastAsia="黑体" w:cstheme="majorBidi"/>
          <w:b/>
          <w:bCs/>
          <w:color w:val="000000" w:themeColor="text1"/>
          <w:sz w:val="28"/>
          <w:szCs w:val="28"/>
          <w14:textFill>
            <w14:solidFill>
              <w14:schemeClr w14:val="tx1"/>
            </w14:solidFill>
          </w14:textFill>
        </w:rPr>
        <w:t>附件1-</w:t>
      </w:r>
      <w:r>
        <w:rPr>
          <w:rFonts w:ascii="黑体" w:hAnsi="黑体" w:eastAsia="黑体" w:cstheme="majorBidi"/>
          <w:b/>
          <w:bCs/>
          <w:color w:val="000000" w:themeColor="text1"/>
          <w:sz w:val="28"/>
          <w:szCs w:val="28"/>
          <w14:textFill>
            <w14:solidFill>
              <w14:schemeClr w14:val="tx1"/>
            </w14:solidFill>
          </w14:textFill>
        </w:rPr>
        <w:t>2</w:t>
      </w:r>
      <w:r>
        <w:rPr>
          <w:rFonts w:hint="eastAsia" w:ascii="黑体" w:hAnsi="黑体" w:eastAsia="黑体" w:cstheme="majorBidi"/>
          <w:b/>
          <w:bCs/>
          <w:color w:val="000000" w:themeColor="text1"/>
          <w:sz w:val="28"/>
          <w:szCs w:val="28"/>
          <w14:textFill>
            <w14:solidFill>
              <w14:schemeClr w14:val="tx1"/>
            </w14:solidFill>
          </w14:textFill>
        </w:rPr>
        <w:t>：</w:t>
      </w:r>
      <w:r>
        <w:rPr>
          <w:rFonts w:ascii="黑体" w:hAnsi="黑体" w:eastAsia="黑体" w:cstheme="majorBidi"/>
          <w:b/>
          <w:bCs/>
          <w:color w:val="000000" w:themeColor="text1"/>
          <w:sz w:val="28"/>
          <w:szCs w:val="28"/>
          <w14:textFill>
            <w14:solidFill>
              <w14:schemeClr w14:val="tx1"/>
            </w14:solidFill>
          </w14:textFill>
        </w:rPr>
        <w:t>案例考核设计规范</w:t>
      </w:r>
      <w:bookmarkEnd w:id="0"/>
      <w:bookmarkEnd w:id="1"/>
      <w:bookmarkEnd w:id="7"/>
    </w:p>
    <w:p>
      <w:pPr>
        <w:spacing w:line="560" w:lineRule="exact"/>
        <w:ind w:firstLine="560" w:firstLineChars="200"/>
        <w:rPr>
          <w:rFonts w:cs="Times New Roman" w:asciiTheme="minorEastAsia" w:hAnsiTheme="minorEastAsia"/>
          <w:color w:val="000000" w:themeColor="text1"/>
          <w:sz w:val="28"/>
          <w:szCs w:val="28"/>
          <w14:textFill>
            <w14:solidFill>
              <w14:schemeClr w14:val="tx1"/>
            </w14:solidFill>
          </w14:textFill>
        </w:rPr>
      </w:pPr>
      <w:r>
        <w:rPr>
          <w:rFonts w:cs="Times New Roman" w:asciiTheme="minorEastAsia" w:hAnsiTheme="minorEastAsia"/>
          <w:color w:val="000000" w:themeColor="text1"/>
          <w:sz w:val="28"/>
          <w:szCs w:val="28"/>
          <w14:textFill>
            <w14:solidFill>
              <w14:schemeClr w14:val="tx1"/>
            </w14:solidFill>
          </w14:textFill>
        </w:rPr>
        <w:t>案例考核是检查临床实践教学效果的重要手段，是严格带教要求，保证教学质量，落实教学阶段和环节的有效措施。高质量的考核设计，能真实和全面地反映学员临床实践水平；能帮助学员通过考核查找不足，促进师资不断改进教学方法与手段。</w:t>
      </w:r>
      <w:r>
        <w:rPr>
          <w:rFonts w:hint="eastAsia" w:cs="Times New Roman" w:asciiTheme="minorEastAsia" w:hAnsiTheme="minorEastAsia"/>
          <w:color w:val="000000" w:themeColor="text1"/>
          <w:sz w:val="28"/>
          <w:szCs w:val="28"/>
          <w14:textFill>
            <w14:solidFill>
              <w14:schemeClr w14:val="tx1"/>
            </w14:solidFill>
          </w14:textFill>
        </w:rPr>
        <w:t>为规范案例考核题设计内容与形式，特制定本规范。</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2" w:name="_Toc132449274"/>
      <w:r>
        <w:rPr>
          <w:rFonts w:hint="eastAsia" w:asciiTheme="minorEastAsia" w:hAnsiTheme="minorEastAsia"/>
          <w:b/>
          <w:bCs/>
          <w:color w:val="000000" w:themeColor="text1"/>
          <w:kern w:val="44"/>
          <w:sz w:val="28"/>
          <w:szCs w:val="28"/>
          <w14:textFill>
            <w14:solidFill>
              <w14:schemeClr w14:val="tx1"/>
            </w14:solidFill>
          </w14:textFill>
        </w:rPr>
        <w:t>一</w:t>
      </w:r>
      <w:r>
        <w:rPr>
          <w:rFonts w:asciiTheme="minorEastAsia" w:hAnsiTheme="minorEastAsia"/>
          <w:b/>
          <w:bCs/>
          <w:color w:val="000000" w:themeColor="text1"/>
          <w:kern w:val="44"/>
          <w:sz w:val="28"/>
          <w:szCs w:val="28"/>
          <w14:textFill>
            <w14:solidFill>
              <w14:schemeClr w14:val="tx1"/>
            </w14:solidFill>
          </w14:textFill>
        </w:rPr>
        <w:t xml:space="preserve"> </w:t>
      </w:r>
      <w:r>
        <w:rPr>
          <w:rFonts w:hint="eastAsia" w:asciiTheme="minorEastAsia" w:hAnsiTheme="minorEastAsia"/>
          <w:b/>
          <w:bCs/>
          <w:color w:val="000000" w:themeColor="text1"/>
          <w:kern w:val="44"/>
          <w:sz w:val="28"/>
          <w:szCs w:val="28"/>
          <w14:textFill>
            <w14:solidFill>
              <w14:schemeClr w14:val="tx1"/>
            </w14:solidFill>
          </w14:textFill>
        </w:rPr>
        <w:t>基本要求</w:t>
      </w:r>
      <w:bookmarkEnd w:id="2"/>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第一条 </w:t>
      </w:r>
      <w:r>
        <w:rPr>
          <w:rFonts w:hint="eastAsia" w:cs="Times New Roman" w:asciiTheme="minorEastAsia" w:hAnsiTheme="minorEastAsia"/>
          <w:color w:val="000000" w:themeColor="text1"/>
          <w:sz w:val="28"/>
          <w:szCs w:val="28"/>
          <w14:textFill>
            <w14:solidFill>
              <w14:schemeClr w14:val="tx1"/>
            </w14:solidFill>
          </w14:textFill>
        </w:rPr>
        <w:t>病例设计中考核病种符合本专业《培训大纲》规定病种，有明确的药物治疗事件，治疗过程及治疗方案无原则性错误。</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第二条</w:t>
      </w:r>
      <w:r>
        <w:rPr>
          <w:rFonts w:hint="eastAsia" w:cs="Times New Roman" w:asciiTheme="minorEastAsia" w:hAnsiTheme="minorEastAsia"/>
          <w:color w:val="000000" w:themeColor="text1"/>
          <w:sz w:val="28"/>
          <w:szCs w:val="28"/>
          <w14:textFill>
            <w14:solidFill>
              <w14:schemeClr w14:val="tx1"/>
            </w14:solidFill>
          </w14:textFill>
        </w:rPr>
        <w:t xml:space="preserve"> 问题设计总题数8-10题，其中本专业个体化的药物治疗题目不少于6题。</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第三条 </w:t>
      </w:r>
      <w:r>
        <w:rPr>
          <w:rFonts w:hint="eastAsia" w:cs="Times New Roman" w:asciiTheme="minorEastAsia" w:hAnsiTheme="minorEastAsia"/>
          <w:color w:val="000000" w:themeColor="text1"/>
          <w:sz w:val="28"/>
          <w:szCs w:val="28"/>
          <w14:textFill>
            <w14:solidFill>
              <w14:schemeClr w14:val="tx1"/>
            </w14:solidFill>
          </w14:textFill>
        </w:rPr>
        <w:t>答案设计无明显原则性错误。（注：原则性错误指为该病例的临床诊治过程或答案设计存在严重违背以下任一点而造成的错误， a.国家相关的管理规定；b. 权威诊疗指南等循证证据；c. 临床诊疗常规；d. 临床逻辑思维）</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第四条 </w:t>
      </w:r>
      <w:r>
        <w:rPr>
          <w:rFonts w:cs="Times New Roman" w:asciiTheme="minorEastAsia" w:hAnsiTheme="minorEastAsia"/>
          <w:color w:val="000000" w:themeColor="text1"/>
          <w:sz w:val="28"/>
          <w:szCs w:val="28"/>
          <w14:textFill>
            <w14:solidFill>
              <w14:schemeClr w14:val="tx1"/>
            </w14:solidFill>
          </w14:textFill>
        </w:rPr>
        <w:t>专业用语规范</w:t>
      </w:r>
      <w:r>
        <w:rPr>
          <w:rFonts w:hint="eastAsia" w:cs="Times New Roman" w:asciiTheme="minorEastAsia" w:hAnsiTheme="minorEastAsia"/>
          <w:color w:val="000000" w:themeColor="text1"/>
          <w:sz w:val="28"/>
          <w:szCs w:val="28"/>
          <w14:textFill>
            <w14:solidFill>
              <w14:schemeClr w14:val="tx1"/>
            </w14:solidFill>
          </w14:textFill>
        </w:rPr>
        <w:t>。注意医学用语规范，避免口语化；避免使用药物别名、或单独出现药品商品名。</w:t>
      </w:r>
    </w:p>
    <w:p>
      <w:pPr>
        <w:keepNext/>
        <w:keepLines/>
        <w:spacing w:before="340" w:after="330" w:line="578" w:lineRule="auto"/>
        <w:outlineLvl w:val="0"/>
        <w:rPr>
          <w:rFonts w:asciiTheme="minorEastAsia" w:hAnsiTheme="minorEastAsia"/>
          <w:b/>
          <w:bCs/>
          <w:color w:val="000000" w:themeColor="text1"/>
          <w:kern w:val="44"/>
          <w:sz w:val="28"/>
          <w:szCs w:val="28"/>
          <w14:textFill>
            <w14:solidFill>
              <w14:schemeClr w14:val="tx1"/>
            </w14:solidFill>
          </w14:textFill>
        </w:rPr>
      </w:pPr>
      <w:bookmarkStart w:id="3" w:name="_Toc132449275"/>
      <w:r>
        <w:rPr>
          <w:rFonts w:hint="eastAsia" w:asciiTheme="minorEastAsia" w:hAnsiTheme="minorEastAsia"/>
          <w:b/>
          <w:bCs/>
          <w:color w:val="000000" w:themeColor="text1"/>
          <w:kern w:val="44"/>
          <w:sz w:val="28"/>
          <w:szCs w:val="28"/>
          <w14:textFill>
            <w14:solidFill>
              <w14:schemeClr w14:val="tx1"/>
            </w14:solidFill>
          </w14:textFill>
        </w:rPr>
        <w:t>二 设计过程与要求</w:t>
      </w:r>
      <w:bookmarkEnd w:id="3"/>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4" w:name="_Toc132449276"/>
      <w:r>
        <w:rPr>
          <w:rFonts w:hint="eastAsia" w:asciiTheme="minorEastAsia" w:hAnsiTheme="minorEastAsia" w:cstheme="majorBidi"/>
          <w:b/>
          <w:bCs/>
          <w:color w:val="000000" w:themeColor="text1"/>
          <w:sz w:val="28"/>
          <w:szCs w:val="28"/>
          <w14:textFill>
            <w14:solidFill>
              <w14:schemeClr w14:val="tx1"/>
            </w14:solidFill>
          </w14:textFill>
        </w:rPr>
        <w:t>（一）病例设计</w:t>
      </w:r>
      <w:bookmarkEnd w:id="4"/>
    </w:p>
    <w:p>
      <w:pPr>
        <w:spacing w:line="360" w:lineRule="auto"/>
        <w:ind w:firstLine="562" w:firstLineChars="200"/>
        <w:jc w:val="left"/>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bCs/>
          <w:color w:val="000000" w:themeColor="text1"/>
          <w:sz w:val="28"/>
          <w:szCs w:val="28"/>
          <w14:textFill>
            <w14:solidFill>
              <w14:schemeClr w14:val="tx1"/>
            </w14:solidFill>
          </w14:textFill>
        </w:rPr>
        <w:t xml:space="preserve">第五条 </w:t>
      </w:r>
      <w:r>
        <w:rPr>
          <w:rFonts w:hint="eastAsia" w:cs="Times New Roman" w:asciiTheme="minorEastAsia" w:hAnsiTheme="minorEastAsia"/>
          <w:bCs/>
          <w:color w:val="000000" w:themeColor="text1"/>
          <w:sz w:val="28"/>
          <w:szCs w:val="28"/>
          <w14:textFill>
            <w14:solidFill>
              <w14:schemeClr w14:val="tx1"/>
            </w14:solidFill>
          </w14:textFill>
        </w:rPr>
        <w:t>所选</w:t>
      </w:r>
      <w:r>
        <w:rPr>
          <w:rFonts w:cs="Times New Roman" w:asciiTheme="minorEastAsia" w:hAnsiTheme="minorEastAsia"/>
          <w:color w:val="000000" w:themeColor="text1"/>
          <w:sz w:val="28"/>
          <w:szCs w:val="28"/>
          <w14:textFill>
            <w14:solidFill>
              <w14:schemeClr w14:val="tx1"/>
            </w14:solidFill>
          </w14:textFill>
        </w:rPr>
        <w:t>病例能达到考核目标。</w:t>
      </w:r>
      <w:r>
        <w:rPr>
          <w:rFonts w:hint="eastAsia" w:asciiTheme="minorEastAsia" w:hAnsiTheme="minorEastAsia"/>
          <w:color w:val="000000" w:themeColor="text1"/>
          <w:sz w:val="28"/>
          <w:szCs w:val="28"/>
          <w14:textFill>
            <w14:solidFill>
              <w14:schemeClr w14:val="tx1"/>
            </w14:solidFill>
          </w14:textFill>
        </w:rPr>
        <w:t>病例难易适中，有明确的药物治疗事件，以便于针对性问题的提出；不宜选择治疗过于简单、疑难、未确诊、治疗失败或死亡病例；病例诊治思路清晰。</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bCs/>
          <w:color w:val="000000" w:themeColor="text1"/>
          <w:sz w:val="28"/>
          <w:szCs w:val="28"/>
          <w14:textFill>
            <w14:solidFill>
              <w14:schemeClr w14:val="tx1"/>
            </w14:solidFill>
          </w14:textFill>
        </w:rPr>
        <w:t xml:space="preserve">第六条 </w:t>
      </w:r>
      <w:r>
        <w:rPr>
          <w:rFonts w:cs="Times New Roman" w:asciiTheme="minorEastAsia" w:hAnsiTheme="minorEastAsia"/>
          <w:color w:val="000000" w:themeColor="text1"/>
          <w:sz w:val="28"/>
          <w:szCs w:val="28"/>
          <w14:textFill>
            <w14:solidFill>
              <w14:schemeClr w14:val="tx1"/>
            </w14:solidFill>
          </w14:textFill>
        </w:rPr>
        <w:t>治疗过程与用药情况满足考核需求。</w:t>
      </w:r>
      <w:r>
        <w:rPr>
          <w:rFonts w:hint="eastAsia" w:asciiTheme="minorEastAsia" w:hAnsiTheme="minorEastAsia"/>
          <w:color w:val="000000" w:themeColor="text1"/>
          <w:sz w:val="28"/>
          <w:szCs w:val="28"/>
          <w14:textFill>
            <w14:solidFill>
              <w14:schemeClr w14:val="tx1"/>
            </w14:solidFill>
          </w14:textFill>
        </w:rPr>
        <w:t>案例中所涉及的药物品种主要为各专业培训指南中要求掌握的50种常用药品；本专业相关的药物治疗方案调整不宜过于频繁，以达到考核目标为宜，原则上不超过3-5次（ICU专业除外）。</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bCs/>
          <w:color w:val="000000" w:themeColor="text1"/>
          <w:sz w:val="28"/>
          <w:szCs w:val="28"/>
          <w14:textFill>
            <w14:solidFill>
              <w14:schemeClr w14:val="tx1"/>
            </w14:solidFill>
          </w14:textFill>
        </w:rPr>
        <w:t xml:space="preserve">第七条 </w:t>
      </w:r>
      <w:r>
        <w:rPr>
          <w:rFonts w:hint="eastAsia" w:cs="Times New Roman" w:asciiTheme="minorEastAsia" w:hAnsiTheme="minorEastAsia"/>
          <w:color w:val="000000" w:themeColor="text1"/>
          <w:sz w:val="28"/>
          <w:szCs w:val="28"/>
          <w14:textFill>
            <w14:solidFill>
              <w14:schemeClr w14:val="tx1"/>
            </w14:solidFill>
          </w14:textFill>
        </w:rPr>
        <w:t>病史介绍和治疗过程描述要点突出，无重要阳性或阴性信息的遗漏和逻辑错误；治疗过程描述与考核问题相前后呼应、匹配。</w:t>
      </w:r>
    </w:p>
    <w:p>
      <w:pPr>
        <w:spacing w:line="560" w:lineRule="exact"/>
        <w:ind w:firstLine="562" w:firstLineChars="200"/>
        <w:rPr>
          <w:rFonts w:cs="Times New Roman"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第八条 </w:t>
      </w:r>
      <w:r>
        <w:rPr>
          <w:rFonts w:hint="eastAsia" w:cs="Times New Roman" w:asciiTheme="minorEastAsia" w:hAnsiTheme="minorEastAsia"/>
          <w:color w:val="000000" w:themeColor="text1"/>
          <w:sz w:val="28"/>
          <w:szCs w:val="28"/>
          <w14:textFill>
            <w14:solidFill>
              <w14:schemeClr w14:val="tx1"/>
            </w14:solidFill>
          </w14:textFill>
        </w:rPr>
        <w:t>病例资料客观陈述，简洁明了。叙述简要清晰，篇幅适中，一般控制在</w:t>
      </w:r>
      <w:r>
        <w:rPr>
          <w:rFonts w:cs="Times New Roman" w:asciiTheme="minorEastAsia" w:hAnsiTheme="minorEastAsia"/>
          <w:color w:val="000000" w:themeColor="text1"/>
          <w:sz w:val="28"/>
          <w:szCs w:val="28"/>
          <w14:textFill>
            <w14:solidFill>
              <w14:schemeClr w14:val="tx1"/>
            </w14:solidFill>
          </w14:textFill>
        </w:rPr>
        <w:t>2500-4000</w:t>
      </w:r>
      <w:r>
        <w:rPr>
          <w:rFonts w:hint="eastAsia" w:cs="Times New Roman" w:asciiTheme="minorEastAsia" w:hAnsiTheme="minorEastAsia"/>
          <w:color w:val="000000" w:themeColor="text1"/>
          <w:sz w:val="28"/>
          <w:szCs w:val="28"/>
          <w14:textFill>
            <w14:solidFill>
              <w14:schemeClr w14:val="tx1"/>
            </w14:solidFill>
          </w14:textFill>
        </w:rPr>
        <w:t>字左右，病程记录≤</w:t>
      </w:r>
      <w:r>
        <w:rPr>
          <w:rFonts w:cs="Times New Roman" w:asciiTheme="minorEastAsia" w:hAnsiTheme="minorEastAsia"/>
          <w:color w:val="000000" w:themeColor="text1"/>
          <w:sz w:val="28"/>
          <w:szCs w:val="28"/>
          <w14:textFill>
            <w14:solidFill>
              <w14:schemeClr w14:val="tx1"/>
            </w14:solidFill>
          </w14:textFill>
        </w:rPr>
        <w:t>10</w:t>
      </w:r>
      <w:r>
        <w:rPr>
          <w:rFonts w:hint="eastAsia" w:cs="Times New Roman" w:asciiTheme="minorEastAsia" w:hAnsiTheme="minorEastAsia"/>
          <w:color w:val="000000" w:themeColor="text1"/>
          <w:sz w:val="28"/>
          <w:szCs w:val="28"/>
          <w14:textFill>
            <w14:solidFill>
              <w14:schemeClr w14:val="tx1"/>
            </w14:solidFill>
          </w14:textFill>
        </w:rPr>
        <w:t>次。</w:t>
      </w:r>
      <w:r>
        <w:rPr>
          <w:rFonts w:cs="Times New Roman" w:asciiTheme="minorEastAsia" w:hAnsiTheme="minorEastAsia"/>
          <w:color w:val="000000" w:themeColor="text1"/>
          <w:sz w:val="28"/>
          <w:szCs w:val="28"/>
          <w14:textFill>
            <w14:solidFill>
              <w14:schemeClr w14:val="tx1"/>
            </w14:solidFill>
          </w14:textFill>
        </w:rPr>
        <w:t xml:space="preserve"> </w:t>
      </w:r>
      <w:r>
        <w:rPr>
          <w:rFonts w:hint="eastAsia" w:cs="Times New Roman" w:asciiTheme="minorEastAsia" w:hAnsiTheme="minorEastAsia"/>
          <w:color w:val="000000" w:themeColor="text1"/>
          <w:sz w:val="28"/>
          <w:szCs w:val="28"/>
          <w14:textFill>
            <w14:solidFill>
              <w14:schemeClr w14:val="tx1"/>
            </w14:solidFill>
          </w14:textFill>
        </w:rPr>
        <w:t>病例资料部分仅做客观陈述，不应有主观的病情和用药分析，且避免使用提示性语言、标记或图表汇总等。</w:t>
      </w:r>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5" w:name="_Toc132449277"/>
      <w:r>
        <w:rPr>
          <w:rFonts w:asciiTheme="minorEastAsia" w:hAnsiTheme="minorEastAsia" w:cstheme="majorBidi"/>
          <w:b/>
          <w:bCs/>
          <w:color w:val="000000" w:themeColor="text1"/>
          <w:sz w:val="28"/>
          <w:szCs w:val="28"/>
          <w14:textFill>
            <w14:solidFill>
              <w14:schemeClr w14:val="tx1"/>
            </w14:solidFill>
          </w14:textFill>
        </w:rPr>
        <w:t>（</w:t>
      </w:r>
      <w:r>
        <w:rPr>
          <w:rFonts w:hint="eastAsia" w:asciiTheme="minorEastAsia" w:hAnsiTheme="minorEastAsia" w:cstheme="majorBidi"/>
          <w:b/>
          <w:bCs/>
          <w:color w:val="000000" w:themeColor="text1"/>
          <w:sz w:val="28"/>
          <w:szCs w:val="28"/>
          <w14:textFill>
            <w14:solidFill>
              <w14:schemeClr w14:val="tx1"/>
            </w14:solidFill>
          </w14:textFill>
        </w:rPr>
        <w:t>二</w:t>
      </w:r>
      <w:r>
        <w:rPr>
          <w:rFonts w:asciiTheme="minorEastAsia" w:hAnsiTheme="minorEastAsia" w:cstheme="majorBidi"/>
          <w:b/>
          <w:bCs/>
          <w:color w:val="000000" w:themeColor="text1"/>
          <w:sz w:val="28"/>
          <w:szCs w:val="28"/>
          <w14:textFill>
            <w14:solidFill>
              <w14:schemeClr w14:val="tx1"/>
            </w14:solidFill>
          </w14:textFill>
        </w:rPr>
        <w:t>）问题设计</w:t>
      </w:r>
      <w:bookmarkEnd w:id="5"/>
    </w:p>
    <w:p>
      <w:pPr>
        <w:tabs>
          <w:tab w:val="left" w:pos="312"/>
        </w:tabs>
        <w:spacing w:line="360" w:lineRule="auto"/>
        <w:ind w:firstLine="562" w:firstLineChars="200"/>
        <w:rPr>
          <w:rFonts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第九条 </w:t>
      </w:r>
      <w:r>
        <w:rPr>
          <w:rFonts w:hint="eastAsia" w:asciiTheme="minorEastAsia" w:hAnsiTheme="minorEastAsia"/>
          <w:bCs/>
          <w:color w:val="000000" w:themeColor="text1"/>
          <w:sz w:val="28"/>
          <w:szCs w:val="28"/>
          <w14:textFill>
            <w14:solidFill>
              <w14:schemeClr w14:val="tx1"/>
            </w14:solidFill>
          </w14:textFill>
        </w:rPr>
        <w:t>问题设计专业性强，考点明确。</w:t>
      </w:r>
      <w:r>
        <w:rPr>
          <w:rFonts w:hint="eastAsia" w:asciiTheme="minorEastAsia" w:hAnsiTheme="minorEastAsia"/>
          <w:color w:val="000000" w:themeColor="text1"/>
          <w:sz w:val="28"/>
          <w:szCs w:val="28"/>
          <w14:textFill>
            <w14:solidFill>
              <w14:schemeClr w14:val="tx1"/>
            </w14:solidFill>
          </w14:textFill>
        </w:rPr>
        <w:t>结合培训指南中“培训内容与要求”拟定该病种及该专业药物相关的主要考核要点。所有题目均应围绕本专业范围内进行设计，避免设计非本专业相关题目超过2题。</w:t>
      </w:r>
    </w:p>
    <w:p>
      <w:pPr>
        <w:spacing w:line="360" w:lineRule="auto"/>
        <w:ind w:firstLine="562" w:firstLineChars="200"/>
        <w:rPr>
          <w:rFonts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第十条 </w:t>
      </w:r>
      <w:r>
        <w:rPr>
          <w:rFonts w:hint="eastAsia" w:asciiTheme="minorEastAsia" w:hAnsiTheme="minorEastAsia"/>
          <w:bCs/>
          <w:color w:val="000000" w:themeColor="text1"/>
          <w:sz w:val="28"/>
          <w:szCs w:val="28"/>
          <w14:textFill>
            <w14:solidFill>
              <w14:schemeClr w14:val="tx1"/>
            </w14:solidFill>
          </w14:textFill>
        </w:rPr>
        <w:t>考点设计和分配合理</w:t>
      </w:r>
      <w:r>
        <w:rPr>
          <w:rFonts w:hint="eastAsia" w:asciiTheme="minorEastAsia" w:hAnsiTheme="minorEastAsia"/>
          <w:color w:val="000000" w:themeColor="text1"/>
          <w:sz w:val="28"/>
          <w:szCs w:val="28"/>
          <w14:textFill>
            <w14:solidFill>
              <w14:schemeClr w14:val="tx1"/>
            </w14:solidFill>
          </w14:textFill>
        </w:rPr>
        <w:t>。题目类型应围绕临床或检验相关、个体化药物治疗分析讨论（如方案制定和调整的合理性评价、ADR识别与防治、药物不良相互作用与处置、TDM、个体化药学监护等）以及用药指导和教育</w:t>
      </w:r>
      <w:r>
        <w:rPr>
          <w:rFonts w:hint="eastAsia" w:asciiTheme="minorEastAsia" w:hAnsiTheme="minorEastAsia"/>
          <w:bCs/>
          <w:color w:val="000000" w:themeColor="text1"/>
          <w:sz w:val="28"/>
          <w:szCs w:val="28"/>
          <w14:textFill>
            <w14:solidFill>
              <w14:schemeClr w14:val="tx1"/>
            </w14:solidFill>
          </w14:textFill>
        </w:rPr>
        <w:t>三方面</w:t>
      </w:r>
      <w:r>
        <w:rPr>
          <w:rFonts w:hint="eastAsia" w:asciiTheme="minorEastAsia" w:hAnsiTheme="minorEastAsia"/>
          <w:color w:val="000000" w:themeColor="text1"/>
          <w:sz w:val="28"/>
          <w:szCs w:val="28"/>
          <w14:textFill>
            <w14:solidFill>
              <w14:schemeClr w14:val="tx1"/>
            </w14:solidFill>
          </w14:textFill>
        </w:rPr>
        <w:t>进行设计。</w:t>
      </w:r>
      <w:r>
        <w:rPr>
          <w:rFonts w:cs="Times New Roman" w:asciiTheme="minorEastAsia" w:hAnsiTheme="minorEastAsia"/>
          <w:color w:val="000000" w:themeColor="text1"/>
          <w:sz w:val="28"/>
          <w:szCs w:val="28"/>
          <w14:textFill>
            <w14:solidFill>
              <w14:schemeClr w14:val="tx1"/>
            </w14:solidFill>
          </w14:textFill>
        </w:rPr>
        <w:t>诊断与用药问题比例协调，对于所出题目的比例应以药学题目为主</w:t>
      </w:r>
      <w:r>
        <w:rPr>
          <w:rFonts w:hint="eastAsia" w:cs="Times New Roman"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个体化药物治疗方案分析讨论相关的问题设计不应少于6题；同一个药物相关的题目应不超过3题。</w:t>
      </w:r>
    </w:p>
    <w:p>
      <w:pPr>
        <w:spacing w:line="360" w:lineRule="auto"/>
        <w:ind w:firstLine="562" w:firstLineChars="200"/>
        <w:rPr>
          <w:rFonts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 xml:space="preserve">第十一条 </w:t>
      </w:r>
      <w:r>
        <w:rPr>
          <w:rFonts w:hint="eastAsia" w:asciiTheme="minorEastAsia" w:hAnsiTheme="minorEastAsia"/>
          <w:bCs/>
          <w:color w:val="000000" w:themeColor="text1"/>
          <w:sz w:val="28"/>
          <w:szCs w:val="28"/>
          <w14:textFill>
            <w14:solidFill>
              <w14:schemeClr w14:val="tx1"/>
            </w14:solidFill>
          </w14:textFill>
        </w:rPr>
        <w:t>问题设计严谨、明确、具体、有针对性</w:t>
      </w:r>
      <w:r>
        <w:rPr>
          <w:rFonts w:hint="eastAsia" w:asciiTheme="minorEastAsia" w:hAnsiTheme="minorEastAsia"/>
          <w:bCs/>
          <w:color w:val="000000" w:themeColor="text1"/>
          <w:sz w:val="28"/>
          <w:szCs w:val="28"/>
          <w14:textFill>
            <w14:solidFill>
              <w14:schemeClr w14:val="tx1"/>
            </w14:solidFill>
          </w14:textFill>
        </w:rPr>
        <w:tab/>
      </w:r>
      <w:r>
        <w:rPr>
          <w:rFonts w:hint="eastAsia" w:asciiTheme="minorEastAsia" w:hAnsiTheme="minorEastAsia"/>
          <w:color w:val="000000" w:themeColor="text1"/>
          <w:sz w:val="28"/>
          <w:szCs w:val="28"/>
          <w14:textFill>
            <w14:solidFill>
              <w14:schemeClr w14:val="tx1"/>
            </w14:solidFill>
          </w14:textFill>
        </w:rPr>
        <w:t>。问题表述应严谨，逻辑性强，针对性好，避免一题多问；问题应围绕具体病例的个体化诊治方案设计，避免大原则、大方向、药理题、假设题等的空泛问题；用语规范、表述清楚、简捷明了，并有利于答题要点的设计。</w:t>
      </w:r>
    </w:p>
    <w:p>
      <w:pPr>
        <w:keepNext/>
        <w:keepLines/>
        <w:spacing w:before="260" w:after="260" w:line="416" w:lineRule="auto"/>
        <w:outlineLvl w:val="1"/>
        <w:rPr>
          <w:rFonts w:asciiTheme="minorEastAsia" w:hAnsiTheme="minorEastAsia" w:cstheme="majorBidi"/>
          <w:b/>
          <w:bCs/>
          <w:color w:val="000000" w:themeColor="text1"/>
          <w:sz w:val="28"/>
          <w:szCs w:val="28"/>
          <w14:textFill>
            <w14:solidFill>
              <w14:schemeClr w14:val="tx1"/>
            </w14:solidFill>
          </w14:textFill>
        </w:rPr>
      </w:pPr>
      <w:bookmarkStart w:id="6" w:name="_Toc132449278"/>
      <w:r>
        <w:rPr>
          <w:rFonts w:hint="eastAsia" w:asciiTheme="minorEastAsia" w:hAnsiTheme="minorEastAsia" w:cstheme="majorBidi"/>
          <w:b/>
          <w:bCs/>
          <w:color w:val="000000" w:themeColor="text1"/>
          <w:sz w:val="28"/>
          <w:szCs w:val="28"/>
          <w14:textFill>
            <w14:solidFill>
              <w14:schemeClr w14:val="tx1"/>
            </w14:solidFill>
          </w14:textFill>
        </w:rPr>
        <w:t>（三）答案</w:t>
      </w:r>
      <w:r>
        <w:rPr>
          <w:rFonts w:asciiTheme="minorEastAsia" w:hAnsiTheme="minorEastAsia" w:cstheme="majorBidi"/>
          <w:b/>
          <w:bCs/>
          <w:color w:val="000000" w:themeColor="text1"/>
          <w:sz w:val="28"/>
          <w:szCs w:val="28"/>
          <w14:textFill>
            <w14:solidFill>
              <w14:schemeClr w14:val="tx1"/>
            </w14:solidFill>
          </w14:textFill>
        </w:rPr>
        <w:t>设计</w:t>
      </w:r>
      <w:bookmarkEnd w:id="6"/>
    </w:p>
    <w:p>
      <w:pPr>
        <w:spacing w:line="360" w:lineRule="auto"/>
        <w:ind w:firstLine="562" w:firstLineChars="200"/>
        <w:rPr>
          <w:rFonts w:asciiTheme="minorEastAsia" w:hAnsiTheme="minorEastAsia"/>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第十二条</w:t>
      </w:r>
      <w:r>
        <w:rPr>
          <w:rFonts w:hint="eastAsia" w:cs="Times New Roman"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bCs/>
          <w:color w:val="000000" w:themeColor="text1"/>
          <w:sz w:val="28"/>
          <w:szCs w:val="28"/>
          <w14:textFill>
            <w14:solidFill>
              <w14:schemeClr w14:val="tx1"/>
            </w14:solidFill>
          </w14:textFill>
        </w:rPr>
        <w:t>答案严谨。</w:t>
      </w:r>
      <w:r>
        <w:rPr>
          <w:rFonts w:hint="eastAsia" w:asciiTheme="minorEastAsia" w:hAnsiTheme="minorEastAsia"/>
          <w:color w:val="000000" w:themeColor="text1"/>
          <w:sz w:val="28"/>
          <w:szCs w:val="28"/>
          <w14:textFill>
            <w14:solidFill>
              <w14:schemeClr w14:val="tx1"/>
            </w14:solidFill>
          </w14:textFill>
        </w:rPr>
        <w:t>答案设计应符合相关专业指南、诊治原则或药品说明书规定。</w:t>
      </w:r>
    </w:p>
    <w:p>
      <w:pPr>
        <w:spacing w:line="360" w:lineRule="auto"/>
        <w:ind w:firstLine="562" w:firstLineChars="200"/>
        <w:rPr>
          <w:rFonts w:ascii="楷体" w:hAnsi="楷体" w:eastAsia="楷体"/>
          <w:color w:val="000000" w:themeColor="text1"/>
          <w:sz w:val="28"/>
          <w:szCs w:val="28"/>
          <w14:textFill>
            <w14:solidFill>
              <w14:schemeClr w14:val="tx1"/>
            </w14:solidFill>
          </w14:textFill>
        </w:rPr>
      </w:pPr>
      <w:r>
        <w:rPr>
          <w:rFonts w:hint="eastAsia" w:cs="Times New Roman" w:asciiTheme="minorEastAsia" w:hAnsiTheme="minorEastAsia"/>
          <w:b/>
          <w:color w:val="000000" w:themeColor="text1"/>
          <w:sz w:val="28"/>
          <w:szCs w:val="28"/>
          <w14:textFill>
            <w14:solidFill>
              <w14:schemeClr w14:val="tx1"/>
            </w14:solidFill>
          </w14:textFill>
        </w:rPr>
        <w:t>第十三条</w:t>
      </w:r>
      <w:r>
        <w:rPr>
          <w:rFonts w:hint="eastAsia" w:cs="Times New Roman" w:asciiTheme="minorEastAsia" w:hAnsiTheme="minorEastAsia"/>
          <w:color w:val="000000" w:themeColor="text1"/>
          <w:sz w:val="28"/>
          <w:szCs w:val="28"/>
          <w14:textFill>
            <w14:solidFill>
              <w14:schemeClr w14:val="tx1"/>
            </w14:solidFill>
          </w14:textFill>
        </w:rPr>
        <w:t xml:space="preserve"> </w:t>
      </w:r>
      <w:r>
        <w:rPr>
          <w:rFonts w:hint="eastAsia" w:asciiTheme="minorEastAsia" w:hAnsiTheme="minorEastAsia"/>
          <w:bCs/>
          <w:color w:val="000000" w:themeColor="text1"/>
          <w:sz w:val="28"/>
          <w:szCs w:val="28"/>
          <w14:textFill>
            <w14:solidFill>
              <w14:schemeClr w14:val="tx1"/>
            </w14:solidFill>
          </w14:textFill>
        </w:rPr>
        <w:t>答题要点精炼、明确，并设有权重分值</w:t>
      </w:r>
      <w:r>
        <w:rPr>
          <w:rFonts w:hint="eastAsia" w:asciiTheme="minorEastAsia" w:hAnsiTheme="minorEastAsia"/>
          <w:color w:val="000000" w:themeColor="text1"/>
          <w:sz w:val="28"/>
          <w:szCs w:val="28"/>
          <w14:textFill>
            <w14:solidFill>
              <w14:schemeClr w14:val="tx1"/>
            </w14:solidFill>
          </w14:textFill>
        </w:rPr>
        <w:t>。答案不应过于简单或冗长，每道题宜控制在200-400字，累计控制在2500-4000字左右；每道题目的答案应设答题要点，3-5个为宜；每个答题要点应设具体的权重分值。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Dc2MTlhMzA4ZTUxMDk4ZWVkZjlkNmU0NjRlMjUifQ=="/>
  </w:docVars>
  <w:rsids>
    <w:rsidRoot w:val="52D55A73"/>
    <w:rsid w:val="52D5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2023-05-05T10:19:00Z</dcterms:created>
  <dc:creator>山有木兮</dc:creator>
  <cp:lastModifiedBy>山有木兮</cp:lastModifiedBy>
  <dcterms:modified xsi:type="dcterms:W3CDTF">2023-05-05T10:19:39Z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3D920F1AEC0848E8AD651A5E0A060A11_11</vt:lpwstr>
  </property>
</Properties>
</file>