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center"/>
        <w:outlineLvl w:val="0"/>
        <w:rPr>
          <w:rFonts w:ascii="黑体" w:hAnsi="黑体" w:eastAsia="黑体" w:cstheme="majorBidi"/>
          <w:b/>
          <w:bCs/>
          <w:color w:val="000000" w:themeColor="text1"/>
          <w:sz w:val="28"/>
          <w:szCs w:val="28"/>
          <w14:textFill>
            <w14:solidFill>
              <w14:schemeClr w14:val="tx1"/>
            </w14:solidFill>
          </w14:textFill>
        </w:rPr>
      </w:pPr>
      <w:bookmarkStart w:id="0" w:name="_Toc132449281"/>
      <w:bookmarkStart w:id="9" w:name="_GoBack"/>
      <w:r>
        <w:rPr>
          <w:rFonts w:hint="eastAsia" w:ascii="黑体" w:hAnsi="黑体" w:eastAsia="黑体" w:cstheme="majorBidi"/>
          <w:b/>
          <w:bCs/>
          <w:color w:val="000000" w:themeColor="text1"/>
          <w:sz w:val="28"/>
          <w:szCs w:val="28"/>
          <w14:textFill>
            <w14:solidFill>
              <w14:schemeClr w14:val="tx1"/>
            </w14:solidFill>
          </w14:textFill>
        </w:rPr>
        <w:t>附件1-</w:t>
      </w:r>
      <w:r>
        <w:rPr>
          <w:rFonts w:ascii="黑体" w:hAnsi="黑体" w:eastAsia="黑体" w:cstheme="majorBidi"/>
          <w:b/>
          <w:bCs/>
          <w:color w:val="000000" w:themeColor="text1"/>
          <w:sz w:val="28"/>
          <w:szCs w:val="28"/>
          <w14:textFill>
            <w14:solidFill>
              <w14:schemeClr w14:val="tx1"/>
            </w14:solidFill>
          </w14:textFill>
        </w:rPr>
        <w:t>5</w:t>
      </w:r>
      <w:r>
        <w:rPr>
          <w:rFonts w:hint="eastAsia" w:ascii="黑体" w:hAnsi="黑体" w:eastAsia="黑体" w:cstheme="majorBidi"/>
          <w:b/>
          <w:bCs/>
          <w:color w:val="000000" w:themeColor="text1"/>
          <w:sz w:val="28"/>
          <w:szCs w:val="28"/>
          <w14:textFill>
            <w14:solidFill>
              <w14:schemeClr w14:val="tx1"/>
            </w14:solidFill>
          </w14:textFill>
        </w:rPr>
        <w:t>：药学教学查房</w:t>
      </w:r>
      <w:r>
        <w:rPr>
          <w:rFonts w:ascii="黑体" w:hAnsi="黑体" w:eastAsia="黑体" w:cstheme="majorBidi"/>
          <w:b/>
          <w:bCs/>
          <w:color w:val="000000" w:themeColor="text1"/>
          <w:sz w:val="28"/>
          <w:szCs w:val="28"/>
          <w14:textFill>
            <w14:solidFill>
              <w14:schemeClr w14:val="tx1"/>
            </w14:solidFill>
          </w14:textFill>
        </w:rPr>
        <w:t>规范</w:t>
      </w:r>
      <w:bookmarkEnd w:id="0"/>
      <w:bookmarkEnd w:id="9"/>
    </w:p>
    <w:p>
      <w:pPr>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教学查房是临床教学中必要的环节之一，是其他教学环节的基础</w:t>
      </w:r>
      <w:r>
        <w:rPr>
          <w:rFonts w:cs="Times New Roman" w:asciiTheme="minorEastAsia" w:hAnsiTheme="minorEastAsia"/>
          <w:color w:val="000000" w:themeColor="text1"/>
          <w:sz w:val="28"/>
          <w:szCs w:val="28"/>
          <w14:textFill>
            <w14:solidFill>
              <w14:schemeClr w14:val="tx1"/>
            </w14:solidFill>
          </w14:textFill>
        </w:rPr>
        <w:t>。</w:t>
      </w:r>
      <w:r>
        <w:rPr>
          <w:rFonts w:hint="eastAsia" w:cs="Times New Roman" w:asciiTheme="minorEastAsia" w:hAnsiTheme="minorEastAsia"/>
          <w:color w:val="000000" w:themeColor="text1"/>
          <w:sz w:val="28"/>
          <w:szCs w:val="28"/>
          <w14:textFill>
            <w14:solidFill>
              <w14:schemeClr w14:val="tx1"/>
            </w14:solidFill>
          </w14:textFill>
        </w:rPr>
        <w:t>药学教学查房是</w:t>
      </w:r>
      <w:r>
        <w:rPr>
          <w:rFonts w:hint="eastAsia" w:asciiTheme="minorEastAsia" w:hAnsiTheme="minorEastAsia"/>
          <w:bCs/>
          <w:color w:val="000000" w:themeColor="text1"/>
          <w:sz w:val="28"/>
          <w:szCs w:val="28"/>
          <w14:textFill>
            <w14:solidFill>
              <w14:schemeClr w14:val="tx1"/>
            </w14:solidFill>
          </w14:textFill>
        </w:rPr>
        <w:t>通过对典型患者的示范问诊和患教，对患者疾病和用药进行系统梳理、分析和解说，来帮助和引导临床药师学员掌握病史和用药史收集、医嘱审核的重点和难点、用药方案分析、临床疗效评价、不良反应甄别等，从而提高学员的临床药学思维能力，达到教学目的。</w:t>
      </w:r>
      <w:r>
        <w:rPr>
          <w:rFonts w:hint="eastAsia" w:cs="Times New Roman" w:asciiTheme="minorEastAsia" w:hAnsiTheme="minorEastAsia"/>
          <w:color w:val="000000" w:themeColor="text1"/>
          <w:sz w:val="28"/>
          <w:szCs w:val="28"/>
          <w14:textFill>
            <w14:solidFill>
              <w14:schemeClr w14:val="tx1"/>
            </w14:solidFill>
          </w14:textFill>
        </w:rPr>
        <w:t>为</w:t>
      </w:r>
      <w:r>
        <w:rPr>
          <w:rFonts w:hint="eastAsia" w:asciiTheme="minorEastAsia" w:hAnsiTheme="minorEastAsia"/>
          <w:color w:val="000000" w:themeColor="text1"/>
          <w:sz w:val="28"/>
          <w:szCs w:val="28"/>
          <w14:textFill>
            <w14:solidFill>
              <w14:schemeClr w14:val="tx1"/>
            </w14:solidFill>
          </w14:textFill>
        </w:rPr>
        <w:t>规范医疗机构临床药师教学查房的基本要求、准备过程、教学查房的流程和注意事项，</w:t>
      </w:r>
      <w:r>
        <w:rPr>
          <w:rFonts w:hint="eastAsia" w:cs="Times New Roman" w:asciiTheme="minorEastAsia" w:hAnsiTheme="minorEastAsia"/>
          <w:color w:val="000000" w:themeColor="text1"/>
          <w:sz w:val="28"/>
          <w:szCs w:val="28"/>
          <w14:textFill>
            <w14:solidFill>
              <w14:schemeClr w14:val="tx1"/>
            </w14:solidFill>
          </w14:textFill>
        </w:rPr>
        <w:t>特制定本规范。</w:t>
      </w:r>
    </w:p>
    <w:p>
      <w:pPr>
        <w:keepNext/>
        <w:keepLines/>
        <w:spacing w:before="340" w:after="330" w:line="578" w:lineRule="auto"/>
        <w:outlineLvl w:val="0"/>
        <w:rPr>
          <w:rFonts w:asciiTheme="minorEastAsia" w:hAnsiTheme="minorEastAsia"/>
          <w:b/>
          <w:bCs/>
          <w:color w:val="000000" w:themeColor="text1"/>
          <w:kern w:val="44"/>
          <w:sz w:val="28"/>
          <w:szCs w:val="28"/>
          <w14:textFill>
            <w14:solidFill>
              <w14:schemeClr w14:val="tx1"/>
            </w14:solidFill>
          </w14:textFill>
        </w:rPr>
      </w:pPr>
      <w:bookmarkStart w:id="1" w:name="_Toc132449282"/>
      <w:r>
        <w:rPr>
          <w:rFonts w:hint="eastAsia" w:asciiTheme="minorEastAsia" w:hAnsiTheme="minorEastAsia"/>
          <w:b/>
          <w:bCs/>
          <w:color w:val="000000" w:themeColor="text1"/>
          <w:kern w:val="44"/>
          <w:sz w:val="28"/>
          <w:szCs w:val="28"/>
          <w14:textFill>
            <w14:solidFill>
              <w14:schemeClr w14:val="tx1"/>
            </w14:solidFill>
          </w14:textFill>
        </w:rPr>
        <w:t>一</w:t>
      </w:r>
      <w:r>
        <w:rPr>
          <w:rFonts w:asciiTheme="minorEastAsia" w:hAnsiTheme="minorEastAsia"/>
          <w:b/>
          <w:bCs/>
          <w:color w:val="000000" w:themeColor="text1"/>
          <w:kern w:val="44"/>
          <w:sz w:val="28"/>
          <w:szCs w:val="28"/>
          <w14:textFill>
            <w14:solidFill>
              <w14:schemeClr w14:val="tx1"/>
            </w14:solidFill>
          </w14:textFill>
        </w:rPr>
        <w:t xml:space="preserve"> </w:t>
      </w:r>
      <w:r>
        <w:rPr>
          <w:rFonts w:hint="eastAsia" w:asciiTheme="minorEastAsia" w:hAnsiTheme="minorEastAsia"/>
          <w:b/>
          <w:bCs/>
          <w:color w:val="000000" w:themeColor="text1"/>
          <w:kern w:val="44"/>
          <w:sz w:val="28"/>
          <w:szCs w:val="28"/>
          <w14:textFill>
            <w14:solidFill>
              <w14:schemeClr w14:val="tx1"/>
            </w14:solidFill>
          </w14:textFill>
        </w:rPr>
        <w:t>基本要求</w:t>
      </w:r>
      <w:bookmarkEnd w:id="1"/>
    </w:p>
    <w:p>
      <w:pPr>
        <w:numPr>
          <w:ilvl w:val="0"/>
          <w:numId w:val="1"/>
        </w:numPr>
        <w:tabs>
          <w:tab w:val="left" w:pos="284"/>
        </w:tabs>
        <w:spacing w:line="560" w:lineRule="exact"/>
        <w:ind w:firstLine="560" w:firstLineChars="200"/>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制定本基地《教学查房制度》：各基地应针对所开展不同培训专业的特点，制定适用于不同专业的《教学查房制度》，包括：查房频率、场地、查房流程、参与人员、查房要求等。</w:t>
      </w:r>
    </w:p>
    <w:p>
      <w:pPr>
        <w:numPr>
          <w:ilvl w:val="0"/>
          <w:numId w:val="1"/>
        </w:numPr>
        <w:tabs>
          <w:tab w:val="left" w:pos="284"/>
        </w:tabs>
        <w:spacing w:line="560" w:lineRule="exact"/>
        <w:ind w:firstLine="560" w:firstLineChars="200"/>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制定不同专业《教学查房计划》：各基地应结合所开展的不同培训专业所在临床科室收治病种的特点，拟定本专业《教学查房计划》，每季度上报基地工作秘书统一归档，并依据计划仔细履行。</w:t>
      </w:r>
    </w:p>
    <w:p>
      <w:pPr>
        <w:numPr>
          <w:ilvl w:val="0"/>
          <w:numId w:val="1"/>
        </w:numPr>
        <w:tabs>
          <w:tab w:val="left" w:pos="284"/>
        </w:tabs>
        <w:spacing w:line="560" w:lineRule="exact"/>
        <w:ind w:firstLine="560" w:firstLineChars="200"/>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教学查房原则上至少每周开展1次，应有固定的查房时间和查房后教学地点。</w:t>
      </w:r>
    </w:p>
    <w:p>
      <w:pPr>
        <w:numPr>
          <w:ilvl w:val="0"/>
          <w:numId w:val="1"/>
        </w:numPr>
        <w:tabs>
          <w:tab w:val="left" w:pos="284"/>
        </w:tabs>
        <w:spacing w:line="560" w:lineRule="exact"/>
        <w:ind w:firstLine="560" w:firstLineChars="200"/>
        <w:rPr>
          <w:rFonts w:cs="Times New Roman" w:asciiTheme="minorEastAsia" w:hAnsiTheme="minorEastAsia"/>
          <w:bCs/>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教学查房由带教药师主持，如同时进行师资带教时，可由临床药师师资学员主持，要求本专业所有临床药师学员参加，并做好教学查房记录。</w:t>
      </w:r>
    </w:p>
    <w:p>
      <w:pPr>
        <w:keepNext/>
        <w:keepLines/>
        <w:spacing w:before="340" w:after="330" w:line="578" w:lineRule="auto"/>
        <w:outlineLvl w:val="0"/>
        <w:rPr>
          <w:rFonts w:asciiTheme="minorEastAsia" w:hAnsiTheme="minorEastAsia"/>
          <w:b/>
          <w:bCs/>
          <w:color w:val="000000" w:themeColor="text1"/>
          <w:kern w:val="44"/>
          <w:sz w:val="28"/>
          <w:szCs w:val="28"/>
          <w14:textFill>
            <w14:solidFill>
              <w14:schemeClr w14:val="tx1"/>
            </w14:solidFill>
          </w14:textFill>
        </w:rPr>
      </w:pPr>
      <w:bookmarkStart w:id="2" w:name="_Toc132449283"/>
      <w:r>
        <w:rPr>
          <w:rFonts w:hint="eastAsia" w:asciiTheme="minorEastAsia" w:hAnsiTheme="minorEastAsia"/>
          <w:b/>
          <w:bCs/>
          <w:color w:val="000000" w:themeColor="text1"/>
          <w:kern w:val="44"/>
          <w:sz w:val="28"/>
          <w:szCs w:val="28"/>
          <w14:textFill>
            <w14:solidFill>
              <w14:schemeClr w14:val="tx1"/>
            </w14:solidFill>
          </w14:textFill>
        </w:rPr>
        <w:t>二 查房前准备</w:t>
      </w:r>
      <w:bookmarkEnd w:id="2"/>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3" w:name="_Toc132449284"/>
      <w:r>
        <w:rPr>
          <w:rFonts w:hint="eastAsia" w:asciiTheme="minorEastAsia" w:hAnsiTheme="minorEastAsia" w:cstheme="majorBidi"/>
          <w:b/>
          <w:bCs/>
          <w:color w:val="000000" w:themeColor="text1"/>
          <w:sz w:val="28"/>
          <w:szCs w:val="28"/>
          <w14:textFill>
            <w14:solidFill>
              <w14:schemeClr w14:val="tx1"/>
            </w14:solidFill>
          </w14:textFill>
        </w:rPr>
        <w:t>（一）主持查房药师</w:t>
      </w:r>
      <w:bookmarkEnd w:id="3"/>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病例选择：按照教学查房计划，选取病房中的典型患者作为教学查房病例，结合学员培训的不同阶段（早期、中期、后期），推荐但不限于：教学大纲中要求掌握的疾病病种，具有一定的代表性；特殊病生理状态需进行个体化评估和监护的患者；用药品种多，有潜在相互作用风险的患者；需要开展治疗药物监测的患者；其他有典型的药物治疗事件的患者等。不推荐： 过于简单、疑难、未确诊、死亡病例（适用于死亡病例讨论）。</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编写教案：</w:t>
      </w:r>
      <w:r>
        <w:rPr>
          <w:rFonts w:hint="eastAsia" w:cs="Times New Roman" w:asciiTheme="minorEastAsia" w:hAnsiTheme="minorEastAsia"/>
          <w:bCs/>
          <w:color w:val="000000" w:themeColor="text1"/>
          <w:sz w:val="28"/>
          <w:szCs w:val="28"/>
          <w14:textFill>
            <w14:solidFill>
              <w14:schemeClr w14:val="tx1"/>
            </w14:solidFill>
          </w14:textFill>
        </w:rPr>
        <w:t>带教老师提前选取好拟查房的患者，并在查房前至少1天，完成教案编写，拟定教学查房的具体内容和教学方法和教学内容。</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通知学员：至少在查房前1-3天通知所有参与教学查房的学员，提前拟查房的病例，并告知学员需提前查阅和预习的主要内容。</w:t>
      </w:r>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4" w:name="_Toc132449285"/>
      <w:r>
        <w:rPr>
          <w:rFonts w:hint="eastAsia" w:asciiTheme="minorEastAsia" w:hAnsiTheme="minorEastAsia" w:cstheme="majorBidi"/>
          <w:b/>
          <w:bCs/>
          <w:color w:val="000000" w:themeColor="text1"/>
          <w:sz w:val="28"/>
          <w:szCs w:val="28"/>
          <w14:textFill>
            <w14:solidFill>
              <w14:schemeClr w14:val="tx1"/>
            </w14:solidFill>
          </w14:textFill>
        </w:rPr>
        <w:t>（二）临床药师学员</w:t>
      </w:r>
      <w:bookmarkEnd w:id="4"/>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分管床位的临床药师：</w:t>
      </w:r>
      <w:r>
        <w:rPr>
          <w:rFonts w:hint="eastAsia" w:asciiTheme="minorEastAsia" w:hAnsiTheme="minorEastAsia"/>
          <w:bCs/>
          <w:color w:val="000000" w:themeColor="text1"/>
          <w:sz w:val="28"/>
          <w:szCs w:val="28"/>
          <w14:textFill>
            <w14:solidFill>
              <w14:schemeClr w14:val="tx1"/>
            </w14:solidFill>
          </w14:textFill>
        </w:rPr>
        <w:t>掌握患者基本情况；掌握患者既往病史及既往用药史，有疑问处向患者或家属核实；掌握患者住院后用药情况，对药物品种、用药变更、潜在的药物不良反应与药物相互作用、用药依从性等进行初步评估；关注患者病情变化，查看患者主要的化验与检验结果</w:t>
      </w:r>
      <w:r>
        <w:rPr>
          <w:rFonts w:hint="eastAsia" w:cs="Times New Roman" w:asciiTheme="minorEastAsia" w:hAnsiTheme="minorEastAsia"/>
          <w:color w:val="000000" w:themeColor="text1"/>
          <w:sz w:val="28"/>
          <w:szCs w:val="28"/>
          <w14:textFill>
            <w14:solidFill>
              <w14:schemeClr w14:val="tx1"/>
            </w14:solidFill>
          </w14:textFill>
        </w:rPr>
        <w:t>。应提前准备患者的全部治疗信息，包括：主诉、现病史、既往史、个人史、家族史、诊断、药物治疗、化验检查情况及目前的临床治疗反应评价。</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其他拟参加教学查房的学员：提前</w:t>
      </w:r>
      <w:r>
        <w:rPr>
          <w:rFonts w:hint="eastAsia" w:asciiTheme="minorEastAsia" w:hAnsiTheme="minorEastAsia"/>
          <w:bCs/>
          <w:color w:val="000000" w:themeColor="text1"/>
          <w:sz w:val="28"/>
          <w:szCs w:val="28"/>
          <w14:textFill>
            <w14:solidFill>
              <w14:schemeClr w14:val="tx1"/>
            </w14:solidFill>
          </w14:textFill>
        </w:rPr>
        <w:t>复习病历相关所有信息（入院记录、医嘱、化验检查、病程记录、手术记录等），并结合带教老师制定的学习内容查阅相关指南和文献，做好预习。</w:t>
      </w:r>
    </w:p>
    <w:p>
      <w:pPr>
        <w:keepNext/>
        <w:keepLines/>
        <w:spacing w:before="340" w:after="330" w:line="578" w:lineRule="auto"/>
        <w:outlineLvl w:val="0"/>
        <w:rPr>
          <w:rFonts w:asciiTheme="minorEastAsia" w:hAnsiTheme="minorEastAsia"/>
          <w:b/>
          <w:bCs/>
          <w:color w:val="000000" w:themeColor="text1"/>
          <w:kern w:val="44"/>
          <w:sz w:val="28"/>
          <w:szCs w:val="28"/>
          <w14:textFill>
            <w14:solidFill>
              <w14:schemeClr w14:val="tx1"/>
            </w14:solidFill>
          </w14:textFill>
        </w:rPr>
      </w:pPr>
      <w:bookmarkStart w:id="5" w:name="_Toc132449286"/>
      <w:r>
        <w:rPr>
          <w:rFonts w:hint="eastAsia" w:asciiTheme="minorEastAsia" w:hAnsiTheme="minorEastAsia"/>
          <w:b/>
          <w:bCs/>
          <w:color w:val="000000" w:themeColor="text1"/>
          <w:kern w:val="44"/>
          <w:sz w:val="28"/>
          <w:szCs w:val="28"/>
          <w14:textFill>
            <w14:solidFill>
              <w14:schemeClr w14:val="tx1"/>
            </w14:solidFill>
          </w14:textFill>
        </w:rPr>
        <w:t>三 教学查房流程</w:t>
      </w:r>
      <w:bookmarkEnd w:id="5"/>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6" w:name="_Toc132449287"/>
      <w:r>
        <w:rPr>
          <w:rFonts w:hint="eastAsia" w:asciiTheme="minorEastAsia" w:hAnsiTheme="minorEastAsia" w:cstheme="majorBidi"/>
          <w:b/>
          <w:bCs/>
          <w:color w:val="000000" w:themeColor="text1"/>
          <w:sz w:val="28"/>
          <w:szCs w:val="28"/>
          <w14:textFill>
            <w14:solidFill>
              <w14:schemeClr w14:val="tx1"/>
            </w14:solidFill>
          </w14:textFill>
        </w:rPr>
        <w:t>（一）病房内教学</w:t>
      </w:r>
      <w:bookmarkEnd w:id="6"/>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Cs/>
          <w:color w:val="000000" w:themeColor="text1"/>
          <w:sz w:val="28"/>
          <w:szCs w:val="28"/>
          <w14:textFill>
            <w14:solidFill>
              <w14:schemeClr w14:val="tx1"/>
            </w14:solidFill>
          </w14:textFill>
        </w:rPr>
        <w:t>出入病房次序：按主持查房药师（带教药师或师资，下同）、分管床位临床药师、其他药师的次序出入病房。</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站位：主持查房药师一般站立于患者的右边，分管床位临床药师相对而立（站于病人左边），其他药师随机站位。</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床旁药学问诊：主持查房药师首先对患者进行药学问诊，向学员示范药学问诊的主要内容和流，如：</w:t>
      </w:r>
      <w:r>
        <w:rPr>
          <w:rFonts w:cs="Calibri" w:asciiTheme="minorEastAsia" w:hAnsiTheme="minorEastAsia"/>
          <w:color w:val="000000" w:themeColor="text1"/>
          <w:sz w:val="28"/>
          <w:szCs w:val="28"/>
          <w14:textFill>
            <w14:solidFill>
              <w14:schemeClr w14:val="tx1"/>
            </w14:solidFill>
          </w14:textFill>
        </w:rPr>
        <w:t>①</w:t>
      </w:r>
      <w:r>
        <w:rPr>
          <w:rFonts w:hint="eastAsia" w:asciiTheme="minorEastAsia" w:hAnsiTheme="minorEastAsia"/>
          <w:bCs/>
          <w:color w:val="000000" w:themeColor="text1"/>
          <w:sz w:val="28"/>
          <w:szCs w:val="28"/>
          <w14:textFill>
            <w14:solidFill>
              <w14:schemeClr w14:val="tx1"/>
            </w14:solidFill>
          </w14:textFill>
        </w:rPr>
        <w:t>向患者作自我介绍；</w:t>
      </w:r>
      <w:r>
        <w:rPr>
          <w:rFonts w:cs="Calibri" w:asciiTheme="minorEastAsia" w:hAnsiTheme="minorEastAsia"/>
          <w:bCs/>
          <w:color w:val="000000" w:themeColor="text1"/>
          <w:sz w:val="28"/>
          <w:szCs w:val="28"/>
          <w14:textFill>
            <w14:solidFill>
              <w14:schemeClr w14:val="tx1"/>
            </w14:solidFill>
          </w14:textFill>
        </w:rPr>
        <w:t>②</w:t>
      </w:r>
      <w:r>
        <w:rPr>
          <w:rFonts w:hint="eastAsia" w:asciiTheme="minorEastAsia" w:hAnsiTheme="minorEastAsia"/>
          <w:bCs/>
          <w:color w:val="000000" w:themeColor="text1"/>
          <w:sz w:val="28"/>
          <w:szCs w:val="28"/>
          <w14:textFill>
            <w14:solidFill>
              <w14:schemeClr w14:val="tx1"/>
            </w14:solidFill>
          </w14:textFill>
        </w:rPr>
        <w:t>患者信息收集：病史信息、用药史、和生活方式、过敏史、患者的心理和经济状况等；</w:t>
      </w:r>
      <w:r>
        <w:rPr>
          <w:rFonts w:cs="Calibri" w:asciiTheme="minorEastAsia" w:hAnsiTheme="minorEastAsia"/>
          <w:bCs/>
          <w:color w:val="000000" w:themeColor="text1"/>
          <w:sz w:val="28"/>
          <w:szCs w:val="28"/>
          <w14:textFill>
            <w14:solidFill>
              <w14:schemeClr w14:val="tx1"/>
            </w14:solidFill>
          </w14:textFill>
        </w:rPr>
        <w:t>③</w:t>
      </w:r>
      <w:r>
        <w:rPr>
          <w:rFonts w:hint="eastAsia" w:asciiTheme="minorEastAsia" w:hAnsiTheme="minorEastAsia"/>
          <w:bCs/>
          <w:color w:val="000000" w:themeColor="text1"/>
          <w:sz w:val="28"/>
          <w:szCs w:val="28"/>
          <w14:textFill>
            <w14:solidFill>
              <w14:schemeClr w14:val="tx1"/>
            </w14:solidFill>
          </w14:textFill>
        </w:rPr>
        <w:t>入院后药物治疗情况收集：疗效和不良反应等。与患者交流要言之有据，注意沟通技巧，把握节奏</w:t>
      </w:r>
      <w:r>
        <w:rPr>
          <w:rFonts w:hint="eastAsia" w:cs="Times New Roman" w:asciiTheme="minorEastAsia" w:hAnsiTheme="minorEastAsia"/>
          <w:color w:val="000000" w:themeColor="text1"/>
          <w:sz w:val="28"/>
          <w:szCs w:val="28"/>
          <w14:textFill>
            <w14:solidFill>
              <w14:schemeClr w14:val="tx1"/>
            </w14:solidFill>
          </w14:textFill>
        </w:rPr>
        <w:t>。</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用药教育与指导：</w:t>
      </w:r>
      <w:r>
        <w:rPr>
          <w:rFonts w:hint="eastAsia" w:asciiTheme="minorEastAsia" w:hAnsiTheme="minorEastAsia"/>
          <w:bCs/>
          <w:color w:val="000000" w:themeColor="text1"/>
          <w:sz w:val="28"/>
          <w:szCs w:val="28"/>
          <w14:textFill>
            <w14:solidFill>
              <w14:schemeClr w14:val="tx1"/>
            </w14:solidFill>
          </w14:textFill>
        </w:rPr>
        <w:t>对患者进行药指导和宣教，包括：</w:t>
      </w:r>
      <w:r>
        <w:rPr>
          <w:rFonts w:cs="Calibri" w:asciiTheme="minorEastAsia" w:hAnsiTheme="minorEastAsia"/>
          <w:color w:val="000000" w:themeColor="text1"/>
          <w:sz w:val="28"/>
          <w:szCs w:val="28"/>
          <w14:textFill>
            <w14:solidFill>
              <w14:schemeClr w14:val="tx1"/>
            </w14:solidFill>
          </w14:textFill>
        </w:rPr>
        <w:t>①</w:t>
      </w:r>
      <w:r>
        <w:rPr>
          <w:rFonts w:hint="eastAsia" w:asciiTheme="minorEastAsia" w:hAnsiTheme="minorEastAsia"/>
          <w:bCs/>
          <w:color w:val="000000" w:themeColor="text1"/>
          <w:sz w:val="28"/>
          <w:szCs w:val="28"/>
          <w14:textFill>
            <w14:solidFill>
              <w14:schemeClr w14:val="tx1"/>
            </w14:solidFill>
          </w14:textFill>
        </w:rPr>
        <w:t>关注既往用药合理性，告知患者既往用药存在的误区；</w:t>
      </w:r>
      <w:r>
        <w:rPr>
          <w:rFonts w:cs="Calibri" w:asciiTheme="minorEastAsia" w:hAnsiTheme="minorEastAsia"/>
          <w:bCs/>
          <w:color w:val="000000" w:themeColor="text1"/>
          <w:sz w:val="28"/>
          <w:szCs w:val="28"/>
          <w14:textFill>
            <w14:solidFill>
              <w14:schemeClr w14:val="tx1"/>
            </w14:solidFill>
          </w14:textFill>
        </w:rPr>
        <w:t>②</w:t>
      </w:r>
      <w:r>
        <w:rPr>
          <w:rFonts w:hint="eastAsia" w:cs="Calibri" w:asciiTheme="minorEastAsia" w:hAnsiTheme="minorEastAsia"/>
          <w:bCs/>
          <w:color w:val="000000" w:themeColor="text1"/>
          <w:sz w:val="28"/>
          <w:szCs w:val="28"/>
          <w14:textFill>
            <w14:solidFill>
              <w14:schemeClr w14:val="tx1"/>
            </w14:solidFill>
          </w14:textFill>
        </w:rPr>
        <w:t>关注</w:t>
      </w:r>
      <w:r>
        <w:rPr>
          <w:rFonts w:hint="eastAsia" w:asciiTheme="minorEastAsia" w:hAnsiTheme="minorEastAsia"/>
          <w:bCs/>
          <w:color w:val="000000" w:themeColor="text1"/>
          <w:sz w:val="28"/>
          <w:szCs w:val="28"/>
          <w14:textFill>
            <w14:solidFill>
              <w14:schemeClr w14:val="tx1"/>
            </w14:solidFill>
          </w14:textFill>
        </w:rPr>
        <w:t>医嘱落实情况，实施</w:t>
      </w:r>
      <w:r>
        <w:rPr>
          <w:rFonts w:hint="eastAsia" w:cs="Calibri" w:asciiTheme="minorEastAsia" w:hAnsiTheme="minorEastAsia"/>
          <w:bCs/>
          <w:color w:val="000000" w:themeColor="text1"/>
          <w:sz w:val="28"/>
          <w:szCs w:val="28"/>
          <w14:textFill>
            <w14:solidFill>
              <w14:schemeClr w14:val="tx1"/>
            </w14:solidFill>
          </w14:textFill>
        </w:rPr>
        <w:t>药物重整；</w:t>
      </w:r>
      <w:r>
        <w:rPr>
          <w:rFonts w:cs="Calibri" w:asciiTheme="minorEastAsia" w:hAnsiTheme="minorEastAsia"/>
          <w:bCs/>
          <w:color w:val="000000" w:themeColor="text1"/>
          <w:sz w:val="28"/>
          <w:szCs w:val="28"/>
          <w14:textFill>
            <w14:solidFill>
              <w14:schemeClr w14:val="tx1"/>
            </w14:solidFill>
          </w14:textFill>
        </w:rPr>
        <w:t>③</w:t>
      </w:r>
      <w:r>
        <w:rPr>
          <w:rFonts w:hint="eastAsia" w:asciiTheme="minorEastAsia" w:hAnsiTheme="minorEastAsia"/>
          <w:bCs/>
          <w:color w:val="000000" w:themeColor="text1"/>
          <w:sz w:val="28"/>
          <w:szCs w:val="28"/>
          <w14:textFill>
            <w14:solidFill>
              <w14:schemeClr w14:val="tx1"/>
            </w14:solidFill>
          </w14:textFill>
        </w:rPr>
        <w:t>确认患者是否正确用药，观察并询问患者用药后的反应；</w:t>
      </w:r>
      <w:r>
        <w:rPr>
          <w:rFonts w:hint="eastAsia" w:cs="宋体" w:asciiTheme="minorEastAsia" w:hAnsiTheme="minorEastAsia"/>
          <w:bCs/>
          <w:color w:val="000000" w:themeColor="text1"/>
          <w:sz w:val="28"/>
          <w:szCs w:val="28"/>
          <w14:textFill>
            <w14:solidFill>
              <w14:schemeClr w14:val="tx1"/>
            </w14:solidFill>
          </w14:textFill>
        </w:rPr>
        <w:t>④</w:t>
      </w:r>
      <w:r>
        <w:rPr>
          <w:rFonts w:hint="eastAsia" w:asciiTheme="minorEastAsia" w:hAnsiTheme="minorEastAsia"/>
          <w:bCs/>
          <w:color w:val="000000" w:themeColor="text1"/>
          <w:sz w:val="28"/>
          <w:szCs w:val="28"/>
          <w14:textFill>
            <w14:solidFill>
              <w14:schemeClr w14:val="tx1"/>
            </w14:solidFill>
          </w14:textFill>
        </w:rPr>
        <w:t>对一些特殊剂型的药物（如吸入制剂）进行专项的用药指导。</w:t>
      </w:r>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7" w:name="_Toc132449288"/>
      <w:r>
        <w:rPr>
          <w:rFonts w:asciiTheme="minorEastAsia" w:hAnsiTheme="minorEastAsia" w:cstheme="majorBidi"/>
          <w:b/>
          <w:bCs/>
          <w:color w:val="000000" w:themeColor="text1"/>
          <w:sz w:val="28"/>
          <w:szCs w:val="28"/>
          <w14:textFill>
            <w14:solidFill>
              <w14:schemeClr w14:val="tx1"/>
            </w14:solidFill>
          </w14:textFill>
        </w:rPr>
        <w:t>（</w:t>
      </w:r>
      <w:r>
        <w:rPr>
          <w:rFonts w:hint="eastAsia" w:asciiTheme="minorEastAsia" w:hAnsiTheme="minorEastAsia" w:cstheme="majorBidi"/>
          <w:b/>
          <w:bCs/>
          <w:color w:val="000000" w:themeColor="text1"/>
          <w:sz w:val="28"/>
          <w:szCs w:val="28"/>
          <w14:textFill>
            <w14:solidFill>
              <w14:schemeClr w14:val="tx1"/>
            </w14:solidFill>
          </w14:textFill>
        </w:rPr>
        <w:t>二</w:t>
      </w:r>
      <w:r>
        <w:rPr>
          <w:rFonts w:asciiTheme="minorEastAsia" w:hAnsiTheme="minorEastAsia" w:cstheme="majorBidi"/>
          <w:b/>
          <w:bCs/>
          <w:color w:val="000000" w:themeColor="text1"/>
          <w:sz w:val="28"/>
          <w:szCs w:val="28"/>
          <w14:textFill>
            <w14:solidFill>
              <w14:schemeClr w14:val="tx1"/>
            </w14:solidFill>
          </w14:textFill>
        </w:rPr>
        <w:t>）</w:t>
      </w:r>
      <w:r>
        <w:rPr>
          <w:rFonts w:hint="eastAsia" w:asciiTheme="minorEastAsia" w:hAnsiTheme="minorEastAsia" w:cstheme="majorBidi"/>
          <w:b/>
          <w:bCs/>
          <w:color w:val="000000" w:themeColor="text1"/>
          <w:sz w:val="28"/>
          <w:szCs w:val="28"/>
          <w14:textFill>
            <w14:solidFill>
              <w14:schemeClr w14:val="tx1"/>
            </w14:solidFill>
          </w14:textFill>
        </w:rPr>
        <w:t>病房外教学</w:t>
      </w:r>
      <w:bookmarkEnd w:id="7"/>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地点选择：应尽可能保证固定的场地，包括保证必要的PPT播放设备等，如条件不允许也可在病房外宽阔的场地进行，但尽可能保证与病房有足够的距离，避免在患者及家属活动的空间开展教学。</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病史汇报：分管床位的临床药师向主持查房的药师</w:t>
      </w:r>
      <w:r>
        <w:rPr>
          <w:rFonts w:hint="eastAsia" w:cs="Times New Roman" w:asciiTheme="minorEastAsia" w:hAnsiTheme="minorEastAsia"/>
          <w:bCs/>
          <w:color w:val="000000" w:themeColor="text1"/>
          <w:sz w:val="28"/>
          <w:szCs w:val="28"/>
          <w14:textFill>
            <w14:solidFill>
              <w14:schemeClr w14:val="tx1"/>
            </w14:solidFill>
          </w14:textFill>
        </w:rPr>
        <w:t>（带教药师或师资）报告病例情况，包括主诉、现病史、既往史、个人史、辅助检查、入院诊断、用药方案及疗效评价等</w:t>
      </w:r>
      <w:r>
        <w:rPr>
          <w:rFonts w:hint="eastAsia" w:cs="Times New Roman" w:asciiTheme="minorEastAsia" w:hAnsiTheme="minorEastAsia"/>
          <w:color w:val="000000" w:themeColor="text1"/>
          <w:sz w:val="28"/>
          <w:szCs w:val="28"/>
          <w14:textFill>
            <w14:solidFill>
              <w14:schemeClr w14:val="tx1"/>
            </w14:solidFill>
          </w14:textFill>
        </w:rPr>
        <w:t>。汇报形式可以为口头汇报或PPT汇报。</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提问与回答：主持查房药师结合查房的患者，进行互动式的教学，从疾病的病理基础、临床诊断、相关诊疗指南和规范、个体化药物治疗方案分析、药学监护要点、用药禁忌、不良反应及相互作用等多个方面进行提问，所有临床药师轮流回答。</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病情剖析：主持查房药师在提问与回答的基础上，结合相关指南和规范对患者的病情及药物治疗全程进行系统地、个体化地剖析，对提问环节学员的回答进行点评和补充，并拓展介绍新的药物治疗进展。</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概括总结：主持查房药师应就本次教学查房进行总结，指出学员在药学监护工作中存在的不足和遗漏，为学员针对性指出本次活动应掌握的知识点、诊疗思路等。如主持查房药师为师资学员，则最后再由带教药师对师资学员本次的教学查房活动进行总结和补充，指出亮点和不足。</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教学查房记录：每次教学查房结束后，由分管床位临床药师做好记录，带教药师审核后签字归档。</w:t>
      </w:r>
    </w:p>
    <w:p>
      <w:pPr>
        <w:keepNext/>
        <w:keepLines/>
        <w:spacing w:before="340" w:after="330" w:line="578" w:lineRule="auto"/>
        <w:outlineLvl w:val="0"/>
        <w:rPr>
          <w:rFonts w:asciiTheme="minorEastAsia" w:hAnsiTheme="minorEastAsia"/>
          <w:b/>
          <w:bCs/>
          <w:color w:val="000000" w:themeColor="text1"/>
          <w:kern w:val="44"/>
          <w:sz w:val="28"/>
          <w:szCs w:val="28"/>
          <w14:textFill>
            <w14:solidFill>
              <w14:schemeClr w14:val="tx1"/>
            </w14:solidFill>
          </w14:textFill>
        </w:rPr>
      </w:pPr>
      <w:bookmarkStart w:id="8" w:name="_Toc132449289"/>
      <w:r>
        <w:rPr>
          <w:rFonts w:hint="eastAsia" w:asciiTheme="minorEastAsia" w:hAnsiTheme="minorEastAsia"/>
          <w:b/>
          <w:bCs/>
          <w:color w:val="000000" w:themeColor="text1"/>
          <w:kern w:val="44"/>
          <w:sz w:val="28"/>
          <w:szCs w:val="28"/>
          <w14:textFill>
            <w14:solidFill>
              <w14:schemeClr w14:val="tx1"/>
            </w14:solidFill>
          </w14:textFill>
        </w:rPr>
        <w:t>四 教学查房注意事项</w:t>
      </w:r>
      <w:bookmarkEnd w:id="8"/>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教学查房应与医疗查房时间错开，避免干扰正常的临床诊疗程序。</w:t>
      </w:r>
    </w:p>
    <w:p>
      <w:pPr>
        <w:numPr>
          <w:ilvl w:val="0"/>
          <w:numId w:val="1"/>
        </w:numPr>
        <w:tabs>
          <w:tab w:val="left" w:pos="284"/>
        </w:tabs>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 w:val="28"/>
          <w:szCs w:val="28"/>
          <w14:textFill>
            <w14:solidFill>
              <w14:schemeClr w14:val="tx1"/>
            </w14:solidFill>
          </w14:textFill>
        </w:rPr>
        <w:t>注意保护性医疗制度，与患者交流要注意避免暴露患者隐私、给患者以人文关怀、避免在患者和家属在场的情况下，讨论一些过于敏感的药物治疗相关问题（如用药合理性等），避免造成患者及家属不误解或不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DBCB9A"/>
    <w:multiLevelType w:val="singleLevel"/>
    <w:tmpl w:val="31DBCB9A"/>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71362B30"/>
    <w:rsid w:val="7136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2023-05-05T10:21:00Z</dcterms:created>
  <dc:creator>山有木兮</dc:creator>
  <cp:lastModifiedBy>山有木兮</cp:lastModifiedBy>
  <dcterms:modified xsi:type="dcterms:W3CDTF">2023-05-05T10:21:20Z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A20D156967E34A4899CA90A75F440E4F_11</vt:lpwstr>
  </property>
</Properties>
</file>