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</w:rPr>
        <w:t>医保政策执行与医院高质量发展培训班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/>
          <w:b/>
          <w:sz w:val="40"/>
          <w:szCs w:val="36"/>
        </w:rPr>
      </w:pPr>
      <w:r>
        <w:rPr>
          <w:rFonts w:hint="eastAsia" w:ascii="宋体" w:hAnsi="宋体"/>
          <w:b/>
          <w:sz w:val="40"/>
          <w:szCs w:val="36"/>
          <w:lang w:val="en-US" w:eastAsia="zh-CN"/>
        </w:rPr>
        <w:t>日</w:t>
      </w:r>
      <w:r>
        <w:rPr>
          <w:rFonts w:hint="eastAsia" w:ascii="宋体" w:hAnsi="宋体"/>
          <w:b/>
          <w:sz w:val="40"/>
          <w:szCs w:val="36"/>
        </w:rPr>
        <w:t>程安排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0"/>
        <w:gridCol w:w="5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7305" w:type="dxa"/>
            <w:gridSpan w:val="2"/>
            <w:vAlign w:val="center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参会人员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全天</w:t>
            </w:r>
          </w:p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05" w:type="dxa"/>
            <w:gridSpan w:val="2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专题授课</w:t>
            </w:r>
          </w:p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讨论互动</w:t>
            </w:r>
          </w:p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医保政策宣贯解读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医院执行医保政策注意要略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医保基金监管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医保支付方式改革与执行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公立医院高质量发展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医保与医院病种结构调整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医保与医院运营绩效管理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医保与医院质量安全管理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</w:tcPr>
          <w:p>
            <w:pPr>
              <w:spacing w:line="58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895" w:type="dxa"/>
          </w:tcPr>
          <w:p>
            <w:pPr>
              <w:spacing w:line="58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医保与合理用药管理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7305" w:type="dxa"/>
            <w:gridSpan w:val="2"/>
          </w:tcPr>
          <w:p>
            <w:pPr>
              <w:spacing w:line="52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现场学习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交流，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离会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8758a1c6-0760-40fe-b63f-433d74be8ccb"/>
  </w:docVars>
  <w:rsids>
    <w:rsidRoot w:val="39FB5E1D"/>
    <w:rsid w:val="39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2024-02-22T09:03:00Z</dcterms:created>
  <dc:creator>山有木兮</dc:creator>
  <cp:lastModifiedBy>山有木兮</cp:lastModifiedBy>
  <dcterms:modified xsi:type="dcterms:W3CDTF">2024-02-22T09:03:44Z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9EC50B2393954265AD141D0350B269F9_11</vt:lpwstr>
  </property>
</Properties>
</file>