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医保政策执行与医院高质量发展培训班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  <w:lang w:val="en-US" w:eastAsia="zh-CN"/>
        </w:rPr>
        <w:t>日</w:t>
      </w:r>
      <w:r>
        <w:rPr>
          <w:rFonts w:hint="eastAsia" w:ascii="宋体" w:hAnsi="宋体"/>
          <w:b/>
          <w:sz w:val="40"/>
          <w:szCs w:val="36"/>
        </w:rPr>
        <w:t>程安排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0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730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参会人员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全天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05" w:type="dxa"/>
            <w:gridSpan w:val="2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专题授课</w:t>
            </w:r>
          </w:p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讨论互动</w:t>
            </w:r>
          </w:p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医保政策宣贯解读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医院执行医保政策注意要略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医保基金监管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医保支付方式改革与执行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公立医院高质量发展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医保与医院病种结构调整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医保与医院运营绩效管理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医保与医院质量安全管理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医保与合理用药管理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7305" w:type="dxa"/>
            <w:gridSpan w:val="2"/>
          </w:tcPr>
          <w:p>
            <w:pPr>
              <w:spacing w:line="52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现场学习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交流，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离会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bd8bd7e5-859d-43bd-b764-d8d16aa799d9"/>
  </w:docVars>
  <w:rsids>
    <w:rsidRoot w:val="7901475D"/>
    <w:rsid w:val="790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2024-03-07T06:26:00Z</dcterms:created>
  <dc:creator>山有木兮</dc:creator>
  <cp:lastModifiedBy>山有木兮</cp:lastModifiedBy>
  <dcterms:modified xsi:type="dcterms:W3CDTF">2024-03-07T06:26:36Z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79B8CDA3C6CB4266A5A6347D93D3770F_11</vt:lpwstr>
  </property>
</Properties>
</file>