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bookmarkStart w:id="0" w:name="_GoBack"/>
      <w:r>
        <w:rPr>
          <w:rFonts w:hint="eastAsia" w:ascii="黑体" w:hAnsi="黑体" w:eastAsia="黑体" w:cs="黑体"/>
          <w:sz w:val="32"/>
          <w:szCs w:val="32"/>
        </w:rPr>
        <w:t>附件</w:t>
      </w:r>
    </w:p>
    <w:p>
      <w:pPr>
        <w:spacing w:line="560" w:lineRule="exact"/>
        <w:ind w:firstLine="563" w:firstLineChars="176"/>
        <w:jc w:val="left"/>
        <w:rPr>
          <w:rFonts w:ascii="Times New Roman" w:hAnsi="Times New Roman" w:eastAsia="方正仿宋_GB2312" w:cs="Times New Roman"/>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提升患者体验、患者安全实践与</w:t>
      </w:r>
    </w:p>
    <w:p>
      <w:pPr>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医疗质量提升典型案例及入库案例名单</w:t>
      </w:r>
    </w:p>
    <w:bookmarkEnd w:id="0"/>
    <w:p>
      <w:pPr>
        <w:jc w:val="center"/>
        <w:rPr>
          <w:rFonts w:ascii="Times New Roman" w:hAnsi="Times New Roman" w:eastAsia="方正仿宋_GB2312" w:cs="Times New Roman"/>
          <w:sz w:val="32"/>
          <w:szCs w:val="32"/>
        </w:rPr>
      </w:pPr>
    </w:p>
    <w:tbl>
      <w:tblPr>
        <w:tblStyle w:val="4"/>
        <w:tblW w:w="8520" w:type="dxa"/>
        <w:tblInd w:w="0" w:type="dxa"/>
        <w:tblLayout w:type="autofit"/>
        <w:tblCellMar>
          <w:top w:w="0" w:type="dxa"/>
          <w:left w:w="108" w:type="dxa"/>
          <w:bottom w:w="0" w:type="dxa"/>
          <w:right w:w="108" w:type="dxa"/>
        </w:tblCellMar>
      </w:tblPr>
      <w:tblGrid>
        <w:gridCol w:w="731"/>
        <w:gridCol w:w="675"/>
        <w:gridCol w:w="662"/>
        <w:gridCol w:w="2602"/>
        <w:gridCol w:w="3850"/>
      </w:tblGrid>
      <w:tr>
        <w:tblPrEx>
          <w:tblCellMar>
            <w:top w:w="0" w:type="dxa"/>
            <w:left w:w="108" w:type="dxa"/>
            <w:bottom w:w="0" w:type="dxa"/>
            <w:right w:w="108" w:type="dxa"/>
          </w:tblCellMar>
        </w:tblPrEx>
        <w:trPr>
          <w:trHeight w:val="283" w:hRule="atLeast"/>
        </w:trPr>
        <w:tc>
          <w:tcPr>
            <w:tcW w:w="731" w:type="dxa"/>
            <w:tcBorders>
              <w:top w:val="single" w:color="4874CB" w:sz="4" w:space="0"/>
              <w:left w:val="single" w:color="4874CB" w:sz="4" w:space="0"/>
              <w:bottom w:val="single" w:color="4874CB" w:sz="4" w:space="0"/>
              <w:right w:val="single" w:color="4874CB" w:sz="4" w:space="0"/>
              <w:tl2br w:val="nil"/>
            </w:tcBorders>
            <w:shd w:val="clear" w:color="auto" w:fill="4874CB" w:themeFill="accent1"/>
            <w:vAlign w:val="center"/>
          </w:tcPr>
          <w:p>
            <w:pPr>
              <w:widowControl/>
              <w:jc w:val="center"/>
              <w:rPr>
                <w:rFonts w:hint="eastAsia" w:ascii="仿宋" w:hAnsi="仿宋" w:eastAsia="仿宋" w:cs="仿宋"/>
                <w:b/>
                <w:color w:val="CCE8CF" w:themeColor="background1"/>
                <w:kern w:val="0"/>
                <w:sz w:val="22"/>
                <w:szCs w:val="22"/>
                <w14:textFill>
                  <w14:solidFill>
                    <w14:schemeClr w14:val="bg1"/>
                  </w14:solidFill>
                </w14:textFill>
              </w:rPr>
            </w:pPr>
            <w:r>
              <w:rPr>
                <w:rFonts w:hint="eastAsia" w:ascii="仿宋" w:hAnsi="仿宋" w:eastAsia="仿宋" w:cs="仿宋"/>
                <w:b/>
                <w:color w:val="CCE8CF" w:themeColor="background1"/>
                <w:kern w:val="0"/>
                <w:sz w:val="22"/>
                <w:szCs w:val="22"/>
                <w14:textFill>
                  <w14:solidFill>
                    <w14:schemeClr w14:val="bg1"/>
                  </w14:solidFill>
                </w14:textFill>
              </w:rPr>
              <w:t>主题</w:t>
            </w:r>
          </w:p>
        </w:tc>
        <w:tc>
          <w:tcPr>
            <w:tcW w:w="675" w:type="dxa"/>
            <w:tcBorders>
              <w:top w:val="single" w:color="4874CB" w:sz="4" w:space="0"/>
              <w:left w:val="single" w:color="4874CB" w:sz="4" w:space="0"/>
              <w:bottom w:val="single" w:color="4874CB" w:sz="4" w:space="0"/>
              <w:right w:val="single" w:color="4874CB" w:sz="4" w:space="0"/>
            </w:tcBorders>
            <w:shd w:val="clear" w:color="auto" w:fill="4874CB" w:themeFill="accent1"/>
            <w:vAlign w:val="center"/>
          </w:tcPr>
          <w:p>
            <w:pPr>
              <w:widowControl/>
              <w:jc w:val="center"/>
              <w:rPr>
                <w:rFonts w:hint="eastAsia" w:ascii="仿宋" w:hAnsi="仿宋" w:eastAsia="仿宋" w:cs="仿宋"/>
                <w:b/>
                <w:color w:val="CCE8CF" w:themeColor="background1"/>
                <w:kern w:val="0"/>
                <w:sz w:val="22"/>
                <w:szCs w:val="22"/>
                <w14:textFill>
                  <w14:solidFill>
                    <w14:schemeClr w14:val="bg1"/>
                  </w14:solidFill>
                </w14:textFill>
              </w:rPr>
            </w:pPr>
            <w:r>
              <w:rPr>
                <w:rFonts w:hint="eastAsia" w:ascii="仿宋" w:hAnsi="仿宋" w:eastAsia="仿宋" w:cs="仿宋"/>
                <w:b/>
                <w:color w:val="CCE8CF" w:themeColor="background1"/>
                <w:kern w:val="0"/>
                <w:sz w:val="22"/>
                <w:szCs w:val="22"/>
                <w14:textFill>
                  <w14:solidFill>
                    <w14:schemeClr w14:val="bg1"/>
                  </w14:solidFill>
                </w14:textFill>
              </w:rPr>
              <w:t>类型</w:t>
            </w:r>
          </w:p>
        </w:tc>
        <w:tc>
          <w:tcPr>
            <w:tcW w:w="662" w:type="dxa"/>
            <w:tcBorders>
              <w:top w:val="single" w:color="4874CB" w:sz="4" w:space="0"/>
              <w:left w:val="single" w:color="4874CB" w:sz="4" w:space="0"/>
              <w:bottom w:val="single" w:color="4874CB" w:sz="4" w:space="0"/>
              <w:right w:val="single" w:color="4874CB" w:sz="4" w:space="0"/>
            </w:tcBorders>
            <w:shd w:val="clear" w:color="auto" w:fill="4874CB" w:themeFill="accent1"/>
            <w:vAlign w:val="center"/>
          </w:tcPr>
          <w:p>
            <w:pPr>
              <w:widowControl/>
              <w:jc w:val="center"/>
              <w:rPr>
                <w:rFonts w:hint="eastAsia" w:ascii="仿宋" w:hAnsi="仿宋" w:eastAsia="仿宋" w:cs="仿宋"/>
                <w:b/>
                <w:color w:val="CCE8CF" w:themeColor="background1"/>
                <w:kern w:val="0"/>
                <w:sz w:val="22"/>
                <w:szCs w:val="22"/>
                <w14:textFill>
                  <w14:solidFill>
                    <w14:schemeClr w14:val="bg1"/>
                  </w14:solidFill>
                </w14:textFill>
              </w:rPr>
            </w:pPr>
            <w:r>
              <w:rPr>
                <w:rFonts w:hint="eastAsia" w:ascii="仿宋" w:hAnsi="仿宋" w:eastAsia="仿宋" w:cs="仿宋"/>
                <w:b/>
                <w:color w:val="CCE8CF" w:themeColor="background1"/>
                <w:kern w:val="0"/>
                <w:sz w:val="22"/>
                <w:szCs w:val="22"/>
                <w14:textFill>
                  <w14:solidFill>
                    <w14:schemeClr w14:val="bg1"/>
                  </w14:solidFill>
                </w14:textFill>
              </w:rPr>
              <w:t>序号</w:t>
            </w:r>
          </w:p>
        </w:tc>
        <w:tc>
          <w:tcPr>
            <w:tcW w:w="2602" w:type="dxa"/>
            <w:tcBorders>
              <w:top w:val="single" w:color="4874CB" w:sz="4" w:space="0"/>
              <w:left w:val="single" w:color="4874CB" w:sz="4" w:space="0"/>
              <w:bottom w:val="single" w:color="4874CB" w:sz="4" w:space="0"/>
              <w:right w:val="single" w:color="4874CB" w:sz="4" w:space="0"/>
            </w:tcBorders>
            <w:shd w:val="clear" w:color="auto" w:fill="4874CB" w:themeFill="accent1"/>
            <w:vAlign w:val="center"/>
          </w:tcPr>
          <w:p>
            <w:pPr>
              <w:widowControl/>
              <w:jc w:val="center"/>
              <w:rPr>
                <w:rFonts w:hint="eastAsia" w:ascii="仿宋" w:hAnsi="仿宋" w:eastAsia="仿宋" w:cs="仿宋"/>
                <w:b/>
                <w:color w:val="CCE8CF" w:themeColor="background1"/>
                <w:kern w:val="0"/>
                <w:sz w:val="22"/>
                <w:szCs w:val="22"/>
                <w14:textFill>
                  <w14:solidFill>
                    <w14:schemeClr w14:val="bg1"/>
                  </w14:solidFill>
                </w14:textFill>
              </w:rPr>
            </w:pPr>
            <w:r>
              <w:rPr>
                <w:rFonts w:hint="eastAsia" w:ascii="仿宋" w:hAnsi="仿宋" w:eastAsia="仿宋" w:cs="仿宋"/>
                <w:b/>
                <w:color w:val="CCE8CF" w:themeColor="background1"/>
                <w:kern w:val="0"/>
                <w:sz w:val="22"/>
                <w:szCs w:val="22"/>
                <w14:textFill>
                  <w14:solidFill>
                    <w14:schemeClr w14:val="bg1"/>
                  </w14:solidFill>
                </w14:textFill>
              </w:rPr>
              <w:t>投稿医院</w:t>
            </w:r>
          </w:p>
        </w:tc>
        <w:tc>
          <w:tcPr>
            <w:tcW w:w="3850" w:type="dxa"/>
            <w:tcBorders>
              <w:top w:val="single" w:color="4874CB" w:sz="4" w:space="0"/>
              <w:left w:val="single" w:color="4874CB" w:sz="4" w:space="0"/>
              <w:bottom w:val="single" w:color="4874CB" w:sz="4" w:space="0"/>
              <w:right w:val="single" w:color="4874CB" w:sz="4" w:space="0"/>
            </w:tcBorders>
            <w:shd w:val="clear" w:color="auto" w:fill="4874CB" w:themeFill="accent1"/>
            <w:vAlign w:val="center"/>
          </w:tcPr>
          <w:p>
            <w:pPr>
              <w:widowControl/>
              <w:jc w:val="center"/>
              <w:rPr>
                <w:rFonts w:hint="eastAsia" w:ascii="仿宋" w:hAnsi="仿宋" w:eastAsia="仿宋" w:cs="仿宋"/>
                <w:b/>
                <w:color w:val="CCE8CF" w:themeColor="background1"/>
                <w:kern w:val="0"/>
                <w:sz w:val="22"/>
                <w:szCs w:val="22"/>
                <w14:textFill>
                  <w14:solidFill>
                    <w14:schemeClr w14:val="bg1"/>
                  </w14:solidFill>
                </w14:textFill>
              </w:rPr>
            </w:pPr>
            <w:r>
              <w:rPr>
                <w:rFonts w:hint="eastAsia" w:ascii="仿宋" w:hAnsi="仿宋" w:eastAsia="仿宋" w:cs="仿宋"/>
                <w:b/>
                <w:color w:val="CCE8CF" w:themeColor="background1"/>
                <w:kern w:val="0"/>
                <w:sz w:val="22"/>
                <w:szCs w:val="22"/>
                <w14:textFill>
                  <w14:solidFill>
                    <w14:schemeClr w14:val="bg1"/>
                  </w14:solidFill>
                </w14:textFill>
              </w:rPr>
              <w:t>案例名称</w:t>
            </w:r>
          </w:p>
        </w:tc>
      </w:tr>
      <w:tr>
        <w:tblPrEx>
          <w:tblCellMar>
            <w:top w:w="0" w:type="dxa"/>
            <w:left w:w="108" w:type="dxa"/>
            <w:bottom w:w="0" w:type="dxa"/>
            <w:right w:w="108" w:type="dxa"/>
          </w:tblCellMar>
        </w:tblPrEx>
        <w:trPr>
          <w:trHeight w:val="283" w:hRule="atLeast"/>
        </w:trPr>
        <w:tc>
          <w:tcPr>
            <w:tcW w:w="731" w:type="dxa"/>
            <w:vMerge w:val="restart"/>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sz w:val="24"/>
              </w:rPr>
              <w:t>提升患者体验</w:t>
            </w:r>
          </w:p>
        </w:tc>
        <w:tc>
          <w:tcPr>
            <w:tcW w:w="675" w:type="dxa"/>
            <w:vMerge w:val="restart"/>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典型案例</w:t>
            </w: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北京大学第三医院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构筑免疫治疗安全堡垒——肿瘤患者不良反应管理与优化策略</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首都医科大学附属北京同仁医院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优化患者体验，信息化驱动的医院MRI绩效管理策略</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山西白求恩医院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“体重管理年”背景下基于5A模式助产士主导的孕期体重管理方案的构建与应用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青岛大学附属医院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基于患者需求全流程一站式智慧化入院服务场景的构建与应用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上海市儿童医院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多项举措使就医更可及 让农牧民儿童“医”路通畅</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浙江大学医学院附属第一医院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基于全院一张床的一站式全流程智慧入院生态圈</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宁波大学附属第一医院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基于浙里护理平台构建 “互联网＋母婴护理服务”体系</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厦门大学附属心血管病医院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1+X，打造“全能”检查预约服务中心</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广东省人民医院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“模拟学校仪式感”改善血液肿瘤患儿就医全程体验</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华中科技大学同济医学院附属同济医院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基于患者画像的个性化门诊患者服务模式</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restart"/>
            <w:tcBorders>
              <w:top w:val="single" w:color="4874CB" w:sz="4" w:space="0"/>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入库案例</w:t>
            </w: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河北医科大学第一医院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"预住院"服务新模式让医疗服务再升级</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山西省肿瘤医院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12315三元联动"老年肿瘤患者误吸管理模式的构建及应用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山东中医药大学附属医院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多措并举，构建“以患者为中心”的药学服务新模式</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潍坊医学院附属医院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不孕症患者就医体验优化策略：实现上班、要娃两不误</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江苏省苏北人民医院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以患者需求为导向提升患者就医体验</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南京大学医学院附属口腔医院（南京市口腔医院）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门诊“三精管理”全方位提升患者就医体验</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无锡市人民医院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诊前病史采集：医学大模型助理患者自述病史生成电子病历</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福建省肿瘤医院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基于ERAS理念降低肝癌切除术后患者中重度疼痛发生率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厦门大学附属心血管病医院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丰富住院活动，提高老年心血管疾病患者工娱活动参与率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广东省佛山市第一人民医院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运用PDCA提高患者就医服务满意度</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广东省人民医院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健康中国新引擎——指尖上的智慧广东人民医院</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汕头大学医学院第一附属医院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构建“以患者为中心”创伤中心一站式多学科协同救治实践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华中科技大学同济医学院附属同济医院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基于互联网医院构建预就诊新模式</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武汉大学中南医院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成人住院患者失禁相关性皮炎规范化管理的循证实践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武汉市第三医院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基于医防融合的公立医院互联网+全病程管理服务模式构建与实践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武汉市第一医院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创新互联网医院服务与管理新模式，打通患者问诊“网路”</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武汉亚洲心脏病医院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用“心”提升全流程服务，打造舒心就医环境</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郑州大学第一附属医院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多措并举，信息技术助力患者全流程服务</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昆明医科大学第一附属医院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影像检查零预约“头雁”领飞促发展</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textAlignment w:val="center"/>
              <w:rPr>
                <w:rFonts w:hint="eastAsia" w:ascii="仿宋" w:hAnsi="仿宋" w:eastAsia="仿宋" w:cs="仿宋"/>
                <w:b/>
                <w:color w:val="000000"/>
                <w:kern w:val="0"/>
                <w:sz w:val="22"/>
                <w:szCs w:val="22"/>
                <w:lang w:bidi="ar"/>
              </w:rPr>
            </w:pPr>
          </w:p>
        </w:tc>
        <w:tc>
          <w:tcPr>
            <w:tcW w:w="675" w:type="dxa"/>
            <w:vMerge w:val="continue"/>
            <w:tcBorders>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蒙自市人民医院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医务社工助力“温暖医院”建设——提升患者就医体验感</w:t>
            </w:r>
          </w:p>
        </w:tc>
      </w:tr>
      <w:tr>
        <w:tblPrEx>
          <w:tblCellMar>
            <w:top w:w="0" w:type="dxa"/>
            <w:left w:w="108" w:type="dxa"/>
            <w:bottom w:w="0" w:type="dxa"/>
            <w:right w:w="108" w:type="dxa"/>
          </w:tblCellMar>
        </w:tblPrEx>
        <w:trPr>
          <w:trHeight w:val="283" w:hRule="atLeast"/>
        </w:trPr>
        <w:tc>
          <w:tcPr>
            <w:tcW w:w="731" w:type="dxa"/>
            <w:vMerge w:val="restart"/>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患者安全实践</w:t>
            </w:r>
          </w:p>
        </w:tc>
        <w:tc>
          <w:tcPr>
            <w:tcW w:w="675" w:type="dxa"/>
            <w:vMerge w:val="restart"/>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典型案例</w:t>
            </w: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北京协和医院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多科合作筛查围术期过敏原，保障患者手术麻醉安全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2</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北京大学第三医院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精细化管理，多学科协作，骨科降低非计划再手术率质量改进案例</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3</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解放军总医院第八医学中心</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基于患者旅程地图的老年重度呼吸衰竭无创正压通气不耐受患者氧疗质量安全改进案例</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4</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复旦大学附属眼耳鼻喉科医院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多学科合作目标管理方案降低内眼手术术后感染率的临床实践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5</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南通大学附属医院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降低腹膜透析患者药物治疗相关问题发生率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6</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lang w:eastAsia="zh-CN"/>
              </w:rPr>
            </w:pPr>
            <w:r>
              <w:rPr>
                <w:rFonts w:hint="eastAsia" w:ascii="仿宋" w:hAnsi="仿宋" w:eastAsia="仿宋" w:cs="仿宋"/>
                <w:bCs/>
                <w:color w:val="000000"/>
                <w:kern w:val="0"/>
                <w:sz w:val="22"/>
                <w:szCs w:val="22"/>
                <w:lang w:eastAsia="zh-CN"/>
              </w:rPr>
              <w:t>浙江大学医学院附属第二医院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手术风险管控 守护每一刀</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7</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山东大学齐鲁医院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基于智慧平台的病理标本全流程闭环管理方案的构建及应用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8</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重庆医科大学附属第一医院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一例PICC导管断裂的破解之策与深层次原因洞察</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9</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哈尔滨市第一医院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“1+N”全周期护理管理体系赋能北方缺血性脑卒中康复管理新模式</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10</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广西医科大学第二附属医院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降低早产儿入院低体温发生率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restart"/>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入库案例</w:t>
            </w: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北京协和医院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精准追踪·深度析因·系统改进——全方位构建管路安全提升策略</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2</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北京航天总医院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降低神经内科住院惠者跌倒发生率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3</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复旦大学附属眼耳鼻喉科医院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“日归手术”患者围手术期安全管理实践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4</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上海市公共卫生临床中心</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平疫结合的重症护理翻转模式</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5</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同济大学附属东方医院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构医疗团队合作培训·筑医护患沟通桥梁·护生命安全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6</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南京大学医学院附属口腔医院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践行规范，护口平安——口腔器械消毒与患者安全实践案例</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7</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南京脑科医院（南京市胸科医院）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爱在跌倒前，预防是关键—一例老年住院患者跌倒的案例分析与质量改进</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8</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连云港市第一人民医院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PTCD带管患者管路安全管理</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9</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镇江市第一人民医院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多维度构建住院患者抗菌药物治疗前病原学送检管理模式</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10</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宁波大学附属第一医院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基于价值医疗导向的抗肿瘤药物不良反应（ADR）监测体系的构建及实践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11</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宁波大学附属第一医院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多院区协作提升红细胞Rh血型五种抗原表型供受者符合输注率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12</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广东省中医院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“红线系统”-多学科会诊提升老年髋部骨折患者围术期的安全管理</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13</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广东省佛山市第一人民医院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运用PDCA循环法降低新生儿无创辅助通气所致鼻部皮肤损伤发生率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14</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重庆医科大学附属第一医院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护通畅之路，筑安全之堤——应用PDCA降低住院患者负压引流管道管理缺陷率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15</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成都市第二人民医院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基于瑞士奶酪模型的跟因分析法在PTCD带管出院患者不良事件管理中的应用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16</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辽宁省健康产业集团抚矿总医院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运用HFMEA改善血透患者穿刺针脱出防治流程</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17</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西安高新医院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应用Roy适应理论构建青少年情绪行为障碍患者非自杀性自伤护理安全模型</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18</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宁夏回族自治区中医医院暨中医研究院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中医操作“火”遍医院患者安全不容忽视—一例艾灸烫伤患者的案例分析</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19</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新疆昌吉回族自治州人民医院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做好围手术期VTE预防管理，降低术后VTE并发症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20</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中国人民解放军东部战区空军医院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RCA工作坊在护理不良事件中的应用实践</w:t>
            </w:r>
          </w:p>
        </w:tc>
      </w:tr>
      <w:tr>
        <w:tblPrEx>
          <w:tblCellMar>
            <w:top w:w="0" w:type="dxa"/>
            <w:left w:w="108" w:type="dxa"/>
            <w:bottom w:w="0" w:type="dxa"/>
            <w:right w:w="108" w:type="dxa"/>
          </w:tblCellMar>
        </w:tblPrEx>
        <w:trPr>
          <w:trHeight w:val="283" w:hRule="atLeast"/>
        </w:trPr>
        <w:tc>
          <w:tcPr>
            <w:tcW w:w="731" w:type="dxa"/>
            <w:vMerge w:val="restart"/>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医疗质量提升</w:t>
            </w:r>
          </w:p>
        </w:tc>
        <w:tc>
          <w:tcPr>
            <w:tcW w:w="675" w:type="dxa"/>
            <w:vMerge w:val="restart"/>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典型案例</w:t>
            </w: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北京大学第一医院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风险管理赋能 手术感控破冰——基于风险管理降低经腹直肠癌切除术后手术部位感染率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2</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山西白求恩医院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糖哉惶哉 甘之如饴——全院血糖“12315”一站式闭环管理模式的构建及应用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3</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上海交通大学医学院附属瑞金医院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智慧化验单——提升患者医疗体验与健康管理的创新举措</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4</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复旦大学附属儿科医院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构建儿科疑难罕见病多学科创新诊疗中心，“一站式”解决患儿难题</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5</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上海市精神卫生中心</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立标于心、履准于行——以国家标准化试点工作为抓手，打造优质高效心理健康服务</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6</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厦门大学附属心血管病医院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口服华法林患者的“五位一体”全程管理探索</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7</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南方医科大学深圳医院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运用质量改进工具降低口腔科职业暴露发生率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8</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重庆医科大学附属第一医院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医护患三方联动提高骨科患者静脉血栓栓塞症规范预防率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9</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Style w:val="6"/>
                <w:sz w:val="24"/>
                <w:szCs w:val="24"/>
                <w:lang w:bidi="ar"/>
              </w:rPr>
              <w:t>四川省医学科学院</w:t>
            </w:r>
            <w:r>
              <w:rPr>
                <w:rStyle w:val="7"/>
                <w:rFonts w:hint="eastAsia" w:ascii="仿宋" w:hAnsi="仿宋" w:eastAsia="仿宋" w:cs="仿宋"/>
                <w:sz w:val="24"/>
                <w:szCs w:val="24"/>
                <w:lang w:bidi="ar"/>
              </w:rPr>
              <w:t>•</w:t>
            </w:r>
            <w:r>
              <w:rPr>
                <w:rStyle w:val="6"/>
                <w:sz w:val="24"/>
                <w:szCs w:val="24"/>
                <w:lang w:bidi="ar"/>
              </w:rPr>
              <w:t>四川省人民医院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基于QFD的手术患者全病程管理模式构建</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10</w:t>
            </w:r>
          </w:p>
        </w:tc>
        <w:tc>
          <w:tcPr>
            <w:tcW w:w="2602"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新疆医科大学第一附属医院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EFF5FC"/>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运用HFMEA联合Cox-IMCHB模式降低PCNL手术患者IPH发生率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restart"/>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入库案例</w:t>
            </w: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北京大学第一医院太原医院（太原市中心医院）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智能化管理—管理决策支持系统</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2</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天津医科大学肿瘤医院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互联网+背景下护士主导的多学科协作运动管理模式在老年肺癌患者围手术期的实践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3</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上海市儿童医院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运用PDCA循环减少儿童医院阿奇霉素不合理静脉输液</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4</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南通大学附属医院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一种利用呼吸机波形精准发现呼吸系统漏气技术的多个成功案例分享</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5</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福建省肿瘤医院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医疗失效模式与效应分析在降低肿瘤置管患者非计划性拔管中的应用</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6</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厦门大学附属心血管病医院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不足为“锯”·外周动脉疾病患者运动康复的询证实践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7</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锦州医科大学附属第一医院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运用HFMEA改善机器人手术安全管理流程</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8</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山东中医药大学附属医院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降低ICU经口气管插管患者口腔粘膜压力性损伤发生率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9</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华中科技大学同济医学院附属同济医院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数据驱动·需求导向:医院抗菌药物的全面质量提升管理</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10</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泰康同济（武汉）医院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科技赋能缩短放射科检查等待时间</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11</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武汉亚洲心脏病医院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提升手术质量与安全在行动-术者专率管理实践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12</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武汉大学中南医院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科学防栓，让生命流动——基于知—信—行理论的脊柱外科下肢深静脉血栓高危患者精细化管理方案</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13</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荆门市中心医院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急危重症患者ECMO团队高效救治模式实践</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14</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广东医科大学附属医院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基于“五位一体”预约诊疗模式下的医疗质量管理策略</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15</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海南医学院第一附属医院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运用HFMEA防范电子医嘱的错误</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16</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广西医科大学第一附属医院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基于PDCA闭环管理构建我院PIVAS全流程与质控运营体系</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17</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成都市新都区人民医院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基于OKRS+PDCA模式提高院内静脉血栓栓塞症规范预防率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18</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西部战区总医院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应用Focus-PDCA模式降低造血干细胞移植患者重度口腔黏膜炎的发生率</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19</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云南省第一人民医院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基于ECRS原则的急危重症国队急救护理核心能力提升方案构建</w:t>
            </w:r>
          </w:p>
        </w:tc>
      </w:tr>
      <w:tr>
        <w:tblPrEx>
          <w:tblCellMar>
            <w:top w:w="0" w:type="dxa"/>
            <w:left w:w="108" w:type="dxa"/>
            <w:bottom w:w="0" w:type="dxa"/>
            <w:right w:w="108" w:type="dxa"/>
          </w:tblCellMar>
        </w:tblPrEx>
        <w:trPr>
          <w:trHeight w:val="283" w:hRule="atLeast"/>
        </w:trPr>
        <w:tc>
          <w:tcPr>
            <w:tcW w:w="731" w:type="dxa"/>
            <w:vMerge w:val="continue"/>
            <w:tcBorders>
              <w:top w:val="single" w:color="4874CB" w:sz="4" w:space="0"/>
              <w:left w:val="single" w:color="4874CB" w:sz="4" w:space="0"/>
              <w:bottom w:val="single" w:color="4874CB" w:sz="4" w:space="0"/>
              <w:right w:val="single" w:color="4874CB" w:sz="4" w:space="0"/>
            </w:tcBorders>
            <w:shd w:val="clear" w:color="auto" w:fill="E6EEF9"/>
            <w:vAlign w:val="center"/>
          </w:tcPr>
          <w:p>
            <w:pPr>
              <w:widowControl/>
              <w:jc w:val="center"/>
              <w:rPr>
                <w:rFonts w:hint="eastAsia" w:ascii="仿宋" w:hAnsi="仿宋" w:eastAsia="仿宋" w:cs="仿宋"/>
                <w:b/>
                <w:color w:val="000000"/>
                <w:kern w:val="0"/>
                <w:sz w:val="22"/>
                <w:szCs w:val="22"/>
              </w:rPr>
            </w:pPr>
          </w:p>
        </w:tc>
        <w:tc>
          <w:tcPr>
            <w:tcW w:w="675" w:type="dxa"/>
            <w:vMerge w:val="continue"/>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p>
        </w:tc>
        <w:tc>
          <w:tcPr>
            <w:tcW w:w="66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20</w:t>
            </w:r>
          </w:p>
        </w:tc>
        <w:tc>
          <w:tcPr>
            <w:tcW w:w="2602"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咸宁市中心医院</w:t>
            </w:r>
          </w:p>
        </w:tc>
        <w:tc>
          <w:tcPr>
            <w:tcW w:w="3850" w:type="dxa"/>
            <w:tcBorders>
              <w:top w:val="single" w:color="4874CB" w:sz="4" w:space="0"/>
              <w:left w:val="single" w:color="4874CB" w:sz="4" w:space="0"/>
              <w:bottom w:val="single" w:color="4874CB" w:sz="4" w:space="0"/>
              <w:right w:val="single" w:color="4874CB"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提升医疗质量安全不良事件规范化管理能力</w:t>
            </w:r>
          </w:p>
        </w:tc>
      </w:tr>
    </w:tbl>
    <w:p>
      <w:pPr>
        <w:ind w:firstLine="563" w:firstLineChars="176"/>
        <w:jc w:val="left"/>
        <w:rPr>
          <w:rFonts w:ascii="Times New Roman" w:hAnsi="Times New Roman" w:eastAsia="方正仿宋_GB2312" w:cs="Times New Roman"/>
          <w:sz w:val="32"/>
          <w:szCs w:val="32"/>
        </w:rPr>
      </w:pPr>
    </w:p>
    <w:p>
      <w:pPr>
        <w:ind w:firstLine="640" w:firstLineChars="200"/>
        <w:rPr>
          <w:rFonts w:ascii="Times New Roman" w:hAnsi="Times New Roman" w:eastAsia="方正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5975D4-987B-4D9C-B903-96A3717A4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16A551A-82C4-4394-A636-9D122C60266A}"/>
  </w:font>
  <w:font w:name="方正小标宋_GBK">
    <w:panose1 w:val="02000000000000000000"/>
    <w:charset w:val="86"/>
    <w:family w:val="auto"/>
    <w:pitch w:val="default"/>
    <w:sig w:usb0="00000001" w:usb1="080E0000" w:usb2="00000000" w:usb3="00000000" w:csb0="00040000" w:csb1="00000000"/>
    <w:embedRegular r:id="rId3" w:fontKey="{7076E4FE-8F99-4A10-8ED7-DB69921F45FE}"/>
  </w:font>
  <w:font w:name="方正仿宋_GB2312">
    <w:panose1 w:val="02000000000000000000"/>
    <w:charset w:val="86"/>
    <w:family w:val="auto"/>
    <w:pitch w:val="default"/>
    <w:sig w:usb0="A00002BF" w:usb1="184F6CFA" w:usb2="00000012" w:usb3="00000000" w:csb0="00040001" w:csb1="00000000"/>
    <w:embedRegular r:id="rId4" w:fontKey="{6E66E913-1FC5-4238-B8A4-467FBD72F1C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41E36253"/>
    <w:rsid w:val="000B0327"/>
    <w:rsid w:val="007B4DA2"/>
    <w:rsid w:val="00D13A64"/>
    <w:rsid w:val="00DB7EE3"/>
    <w:rsid w:val="00F06DA3"/>
    <w:rsid w:val="020C1011"/>
    <w:rsid w:val="056703FD"/>
    <w:rsid w:val="065C5323"/>
    <w:rsid w:val="08390EA7"/>
    <w:rsid w:val="0A65279A"/>
    <w:rsid w:val="0D811232"/>
    <w:rsid w:val="18D81583"/>
    <w:rsid w:val="18F0702E"/>
    <w:rsid w:val="227617D4"/>
    <w:rsid w:val="238A056A"/>
    <w:rsid w:val="24DC3E0A"/>
    <w:rsid w:val="2DAA0912"/>
    <w:rsid w:val="2F8B1390"/>
    <w:rsid w:val="41E36253"/>
    <w:rsid w:val="42D24040"/>
    <w:rsid w:val="485D40AC"/>
    <w:rsid w:val="490F2D18"/>
    <w:rsid w:val="4A2B60CD"/>
    <w:rsid w:val="504A1A7A"/>
    <w:rsid w:val="54A87A6F"/>
    <w:rsid w:val="5DC72561"/>
    <w:rsid w:val="5E4A0FAE"/>
    <w:rsid w:val="5E930D53"/>
    <w:rsid w:val="5F8A15CA"/>
    <w:rsid w:val="60257EB8"/>
    <w:rsid w:val="61AE0ED2"/>
    <w:rsid w:val="62F60A58"/>
    <w:rsid w:val="63DD6F9E"/>
    <w:rsid w:val="67940A20"/>
    <w:rsid w:val="698C19BB"/>
    <w:rsid w:val="6A6D7CEE"/>
    <w:rsid w:val="6BA63D63"/>
    <w:rsid w:val="781E2EFE"/>
    <w:rsid w:val="78526CCA"/>
    <w:rsid w:val="798434E3"/>
    <w:rsid w:val="79A36D9F"/>
    <w:rsid w:val="7FC5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character" w:customStyle="1" w:styleId="6">
    <w:name w:val="font21"/>
    <w:basedOn w:val="5"/>
    <w:autoRedefine/>
    <w:qFormat/>
    <w:uiPriority w:val="0"/>
    <w:rPr>
      <w:rFonts w:hint="eastAsia" w:ascii="仿宋" w:hAnsi="仿宋" w:eastAsia="仿宋" w:cs="仿宋"/>
      <w:color w:val="000000"/>
      <w:sz w:val="96"/>
      <w:szCs w:val="96"/>
      <w:u w:val="none"/>
    </w:rPr>
  </w:style>
  <w:style w:type="character" w:customStyle="1" w:styleId="7">
    <w:name w:val="font31"/>
    <w:basedOn w:val="5"/>
    <w:autoRedefine/>
    <w:qFormat/>
    <w:uiPriority w:val="0"/>
    <w:rPr>
      <w:rFonts w:hint="default" w:ascii="Times New Roman" w:hAnsi="Times New Roman" w:cs="Times New Roman"/>
      <w:color w:val="000000"/>
      <w:sz w:val="96"/>
      <w:szCs w:val="96"/>
      <w:u w:val="none"/>
    </w:rPr>
  </w:style>
  <w:style w:type="character" w:customStyle="1" w:styleId="8">
    <w:name w:val="页眉 字符"/>
    <w:basedOn w:val="5"/>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5"/>
    <w:link w:val="2"/>
    <w:autoRedefine/>
    <w:qFormat/>
    <w:uiPriority w:val="0"/>
    <w:rPr>
      <w:rFonts w:asciiTheme="minorHAnsi" w:hAnsiTheme="minorHAnsi" w:eastAsiaTheme="minorEastAsia" w:cstheme="minorBidi"/>
      <w:kern w:val="2"/>
      <w:sz w:val="18"/>
      <w:szCs w:val="18"/>
    </w:rPr>
  </w:style>
  <w:style w:type="paragraph" w:customStyle="1" w:styleId="10">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320</Words>
  <Characters>354</Characters>
  <Lines>30</Lines>
  <Paragraphs>8</Paragraphs>
  <TotalTime>14</TotalTime>
  <ScaleCrop>false</ScaleCrop>
  <LinksUpToDate>false</LinksUpToDate>
  <CharactersWithSpaces>358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2024-11-08T06:07:00Z</dcterms:created>
  <dc:creator>初上Christy</dc:creator>
  <cp:lastModifiedBy>初上Christy</cp:lastModifiedBy>
  <dcterms:modified xsi:type="dcterms:W3CDTF">2024-11-10T03:00:52Z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A3976A40232B40B3ABCA54691ED142BE_13</vt:lpwstr>
  </property>
</Properties>
</file>