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5F506">
      <w:pPr>
        <w:spacing w:line="560" w:lineRule="exact"/>
        <w:jc w:val="both"/>
        <w:rPr>
          <w:rFonts w:hint="eastAsia" w:ascii="仿宋_GB2312" w:hAnsi="宋体" w:eastAsia="黑体" w:cs="宋体"/>
          <w:spacing w:val="-6"/>
          <w:sz w:val="32"/>
          <w:szCs w:val="32"/>
          <w:lang w:eastAsia="zh-CN"/>
        </w:rPr>
      </w:pPr>
      <w:r>
        <w:rPr>
          <w:rFonts w:hint="eastAsia" w:ascii="仿宋_GB2312" w:hAnsi="宋体" w:eastAsia="黑体" w:cs="宋体"/>
          <w:spacing w:val="-6"/>
          <w:sz w:val="32"/>
          <w:szCs w:val="32"/>
          <w:lang w:eastAsia="zh-CN"/>
        </w:rPr>
        <w:t>附件1</w:t>
      </w:r>
    </w:p>
    <w:p w14:paraId="71B62E15">
      <w:pPr>
        <w:spacing w:line="560" w:lineRule="exact"/>
        <w:jc w:val="center"/>
        <w:rPr>
          <w:rFonts w:hint="eastAsia" w:ascii="仿宋_GB2312" w:hAnsi="宋体" w:eastAsia="方正小标宋_GBK" w:cs="宋体"/>
          <w:b w:val="0"/>
          <w:bCs/>
          <w:spacing w:val="-6"/>
          <w:sz w:val="44"/>
          <w:szCs w:val="32"/>
          <w:lang w:eastAsia="zh-CN"/>
        </w:rPr>
      </w:pPr>
      <w:r>
        <w:rPr>
          <w:rFonts w:hint="eastAsia" w:ascii="仿宋_GB2312" w:hAnsi="宋体" w:eastAsia="方正小标宋_GBK" w:cs="宋体"/>
          <w:b w:val="0"/>
          <w:bCs/>
          <w:spacing w:val="-6"/>
          <w:sz w:val="44"/>
          <w:szCs w:val="32"/>
          <w:lang w:eastAsia="zh-CN"/>
        </w:rPr>
        <w:t>案例主题申报方向</w:t>
      </w:r>
    </w:p>
    <w:p w14:paraId="09CCB62F">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1．人工智能辅助围术期镇痛镇静药物精准化给药</w:t>
      </w:r>
    </w:p>
    <w:p w14:paraId="20BC5C9D">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借助人工智能算法，整合患者术前生理指标、手术类型、疼痛评估数据等多源信息，建立个性化镇痛镇静药物给药模型，实现精准用药，提升镇痛镇静效果并减少不良反应，体现新质生产力中技术对传统用药模式的革新。</w:t>
      </w:r>
    </w:p>
    <w:p w14:paraId="773770ED">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2．新质生产力驱动下的围术期补液管理</w:t>
      </w:r>
    </w:p>
    <w:p w14:paraId="5933F7EA">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基于新质生产力，实现围术期补液的液体平衡自动评估、智能调控、精准给药、实时提醒等，提升补液的有效性与安全性。</w:t>
      </w:r>
    </w:p>
    <w:p w14:paraId="7E686D31">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3．数字化技术赋能围术期ERAS药学服务体系构建</w:t>
      </w:r>
    </w:p>
    <w:p w14:paraId="4ACD0EEA">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通过构建数字化平台，整合患者围术期全程药学信息，包括术前用药指导、术中药物协同、术后康复期药物管理等，借助移动应用、远程医疗等数字化手段，实现药学服务的全程跟踪与无缝对接，加速患者康复，展现新质生产力对围术期ERAS药学服务模式的重塑。</w:t>
      </w:r>
    </w:p>
    <w:p w14:paraId="322C1975">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4．基于大数据与物联网的围术期抗感染药物管理优化</w:t>
      </w:r>
    </w:p>
    <w:p w14:paraId="13E853CD">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利用大数据分析过往围术期感染病例及抗感染药物使用情况，结合物联网实时监测手术环境、患者体征及药物使用流程，提前预警感染风险，精准选择抗感染药物，提高抗感染治疗的及时性与有效性，展现新质生产力在生产要素创新性配置方面的作用。</w:t>
      </w:r>
    </w:p>
    <w:p w14:paraId="081D37CE">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5．新质生产力驱动下的围术期营养药学创新服务</w:t>
      </w:r>
    </w:p>
    <w:p w14:paraId="437230F0">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运用新型营养评估技术，如结合基因检测分析患者个体营养代谢特点，同时借助先进技术制备个性化营养制剂，为围术期患者提供精准、高效的营养支持方案，凸显技术革命性突破带来的药学服务升级。</w:t>
      </w:r>
    </w:p>
    <w:p w14:paraId="22B8F887">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6．智能抗凝管理系统在围术期的应用与成效</w:t>
      </w:r>
    </w:p>
    <w:p w14:paraId="149C0ED8">
      <w:pPr>
        <w:spacing w:line="560" w:lineRule="exact"/>
        <w:ind w:firstLine="616" w:firstLineChars="200"/>
        <w:jc w:val="both"/>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开发智能抗凝管理系统，该系统可自动收集患者凝血功能指标、用药史、手术进程等数据，通过智能算法动态调整抗凝药物剂量，预防围术期血栓形成与出血事件，体现新质生产力推动围术期抗凝药学服务从经验型向智能化、精准化转变。</w:t>
      </w:r>
    </w:p>
    <w:p w14:paraId="3E5F15F7">
      <w:pPr>
        <w:numPr>
          <w:ilvl w:val="0"/>
          <w:numId w:val="0"/>
        </w:numPr>
        <w:spacing w:line="560" w:lineRule="exact"/>
        <w:ind w:left="616" w:firstLine="0" w:firstLineChars="0"/>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7.基于人工智能的围术期药品不良反应（ADR）智能预警与监测</w:t>
      </w:r>
    </w:p>
    <w:p w14:paraId="650E4B40">
      <w:pPr>
        <w:spacing w:line="560" w:lineRule="exact"/>
        <w:rPr>
          <w:rFonts w:hint="eastAsia" w:ascii="仿宋_GB2312" w:hAnsi="宋体" w:eastAsia="仿宋_GB2312" w:cs="宋体"/>
          <w:spacing w:val="-6"/>
          <w:sz w:val="32"/>
          <w:szCs w:val="32"/>
          <w:lang w:eastAsia="zh-CN"/>
        </w:rPr>
      </w:pPr>
      <w:r>
        <w:rPr>
          <w:rFonts w:hint="eastAsia" w:ascii="仿宋_GB2312" w:hAnsi="宋体" w:eastAsia="仿宋_GB2312" w:cs="宋体"/>
          <w:spacing w:val="-6"/>
          <w:sz w:val="32"/>
          <w:szCs w:val="32"/>
          <w:lang w:eastAsia="zh-CN"/>
        </w:rPr>
        <w:t>人工智能技术可深度挖掘围术期用药相关数据，构建高精度的 ADR 预测模型。利用机器学习算法对药物不良反应发生的可能性进行动态评估与预警，提供不良反应的可能类型、严重程度及应对建议，帮助医护人员及时采取干预措施，降低 ADR 的危害。</w:t>
      </w:r>
    </w:p>
    <w:p w14:paraId="51D8F8B5">
      <w:pPr>
        <w:spacing w:line="560" w:lineRule="exact"/>
      </w:pPr>
      <w:r>
        <w:rPr>
          <w:rFonts w:hint="eastAsia" w:ascii="仿宋_GB2312" w:hAnsi="宋体" w:eastAsia="仿宋_GB2312" w:cs="宋体"/>
          <w:spacing w:val="-6"/>
          <w:sz w:val="32"/>
          <w:szCs w:val="32"/>
          <w:lang w:eastAsia="zh-CN"/>
        </w:rPr>
        <w:t xml:space="preserve">    8．其他围手术期药学服务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B1ACB"/>
    <w:rsid w:val="191D39A3"/>
    <w:rsid w:val="2F1B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99"/>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2025-06-13T07:33:00Z</dcterms:created>
  <dc:creator>信息化周扬</dc:creator>
  <cp:lastModifiedBy>信息化周扬</cp:lastModifiedBy>
  <dcterms:modified xsi:type="dcterms:W3CDTF">2025-06-13T07:34:32Z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2EBBB3A270B84D5586319B2013F820E9_11</vt:lpwstr>
  </property>
  <property fmtid="{D5CDD505-2E9C-101B-9397-08002B2CF9AE}" pid="4" name="KSOTemplateDocerSaveRecord">
    <vt:lpwstr>eyJoZGlkIjoiZGM1YTU2MmFjNWQxNjM1MWY0MTcwY2ZlN2I0ODBiYmQiLCJ1c2VySWQiOiI0NDcxOTM1MDcifQ==</vt:lpwstr>
  </property>
</Properties>
</file>