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附件二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《2017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中国中药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最佳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科技创新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征集说明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中药企业、</w:t>
      </w:r>
      <w:r>
        <w:rPr>
          <w:rFonts w:hint="eastAsia"/>
          <w:b w:val="0"/>
          <w:bCs/>
          <w:color w:val="auto"/>
          <w:kern w:val="0"/>
          <w:sz w:val="28"/>
          <w:szCs w:val="28"/>
          <w:lang w:val="en-US" w:eastAsia="zh-CN"/>
        </w:rPr>
        <w:t>CRO（研发外包）服务机构</w:t>
      </w:r>
      <w:r>
        <w:rPr>
          <w:rFonts w:hint="eastAsia" w:asciiTheme="minorEastAsia" w:hAnsiTheme="minorEastAsia" w:eastAsiaTheme="minorEastAsia"/>
          <w:sz w:val="28"/>
          <w:szCs w:val="28"/>
        </w:rPr>
        <w:t>等单位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2、创新研发、实验室、检测机构、企业技术中心领军人物（团队）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二、征集范围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中药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</w:rPr>
        <w:t>（民族药）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农业：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8" w:firstLineChars="200"/>
        <w:textAlignment w:val="auto"/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  <w:lang w:eastAsia="zh-CN"/>
        </w:rPr>
        <w:t>药材资源、</w:t>
      </w:r>
      <w:r>
        <w:rPr>
          <w:rFonts w:hint="eastAsia"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中药育</w:t>
      </w:r>
      <w:r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种、</w:t>
      </w:r>
      <w:r>
        <w:rPr>
          <w:rFonts w:hint="eastAsia"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  <w:lang w:eastAsia="zh-CN"/>
        </w:rPr>
        <w:t>生态</w:t>
      </w:r>
      <w:r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种植、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auto"/>
          <w:spacing w:val="2"/>
          <w:sz w:val="28"/>
          <w:szCs w:val="28"/>
          <w:lang w:val="en-US" w:eastAsia="zh-CN"/>
        </w:rPr>
        <w:t>中药养殖、</w:t>
      </w:r>
      <w:r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中药农药、中药</w:t>
      </w:r>
      <w:r>
        <w:rPr>
          <w:rFonts w:hint="eastAsia"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饲料</w:t>
      </w:r>
      <w:r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、中药肥料、中药仓储。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中药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</w:rPr>
        <w:t>（民族药）工业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制造：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中药材加工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、中药饮片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（</w:t>
      </w:r>
      <w:r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  <w:t>新型中药饮片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、医药研发</w:t>
      </w:r>
      <w:r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</w:rPr>
        <w:t>标准制定</w:t>
      </w:r>
      <w:r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中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成药、中药保健品、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功能性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饮料、检测设备、生产设备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3、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中药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28"/>
          <w:szCs w:val="28"/>
        </w:rPr>
        <w:t>（民族药）商业服务</w:t>
      </w:r>
      <w:r>
        <w:rPr>
          <w:rFonts w:asciiTheme="minorEastAsia" w:hAnsiTheme="minorEastAsia" w:eastAsiaTheme="minorEastAsia"/>
          <w:b w:val="0"/>
          <w:bCs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8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冷链物流</w:t>
      </w:r>
      <w:r>
        <w:rPr>
          <w:rFonts w:hint="eastAsia" w:asciiTheme="minorEastAsia" w:hAnsiTheme="minorEastAsia" w:eastAsiaTheme="minorEastAsia"/>
          <w:bCs/>
          <w:snapToGrid w:val="0"/>
          <w:color w:val="auto"/>
          <w:spacing w:val="2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销售、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学术推广、商业服务模式、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医药电商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（互联网+）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、药事服务（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智慧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药房）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检测中心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、信息（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软件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、大数据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服务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金融服务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  <w:t>三、发布结果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2017中国中药最佳科技创新企业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2017中国中药科技创新标准化实验室、检测机构、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2017中国中药科技创新产品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2017中国中药最佳科技创新领军、研发人物和团队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2017中国中药最佳创新服务商（模式）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  <w:t>四、征集方式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征集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采用“企业报名，举荐机构/人举荐，邀约“等方式进行初选。举荐机构包含投资机构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行业协会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媒体观察员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行业专家等。同时我们将通过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电邮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的方式向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各企业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发出邀约来共同提名创新企业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lang w:eastAsia="zh-CN"/>
        </w:rPr>
        <w:t>五、征集流程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1、</w:t>
      </w:r>
      <w:r>
        <w:rPr>
          <w:rFonts w:hint="eastAsia"/>
          <w:color w:val="auto"/>
          <w:sz w:val="28"/>
          <w:szCs w:val="28"/>
          <w:lang w:eastAsia="zh-CN"/>
        </w:rPr>
        <w:t>征集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28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val="en-US" w:eastAsia="zh-CN"/>
        </w:rPr>
        <w:t>--9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28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企业</w:t>
      </w:r>
      <w:r>
        <w:rPr>
          <w:color w:val="auto"/>
          <w:sz w:val="28"/>
          <w:szCs w:val="28"/>
        </w:rPr>
        <w:t>自荐</w:t>
      </w:r>
      <w:r>
        <w:rPr>
          <w:rFonts w:hint="eastAsia"/>
          <w:color w:val="auto"/>
          <w:sz w:val="28"/>
          <w:szCs w:val="28"/>
        </w:rPr>
        <w:t>推荐</w:t>
      </w:r>
      <w:r>
        <w:rPr>
          <w:color w:val="auto"/>
          <w:sz w:val="28"/>
          <w:szCs w:val="28"/>
        </w:rPr>
        <w:t>、机构自荐</w:t>
      </w:r>
      <w:r>
        <w:rPr>
          <w:rFonts w:hint="eastAsia"/>
          <w:color w:val="auto"/>
          <w:sz w:val="28"/>
          <w:szCs w:val="28"/>
        </w:rPr>
        <w:t>推荐、</w:t>
      </w:r>
      <w:r>
        <w:rPr>
          <w:color w:val="auto"/>
          <w:sz w:val="28"/>
          <w:szCs w:val="28"/>
        </w:rPr>
        <w:t>个人自荐</w:t>
      </w:r>
      <w:r>
        <w:rPr>
          <w:rFonts w:hint="eastAsia"/>
          <w:color w:val="auto"/>
          <w:sz w:val="28"/>
          <w:szCs w:val="28"/>
        </w:rPr>
        <w:t>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</w:t>
      </w:r>
      <w:r>
        <w:rPr>
          <w:rFonts w:hint="eastAsia"/>
          <w:color w:val="auto"/>
          <w:sz w:val="28"/>
          <w:szCs w:val="28"/>
        </w:rPr>
        <w:t>初</w:t>
      </w:r>
      <w:r>
        <w:rPr>
          <w:rFonts w:hint="eastAsia"/>
          <w:color w:val="auto"/>
          <w:sz w:val="28"/>
          <w:szCs w:val="28"/>
          <w:lang w:eastAsia="zh-CN"/>
        </w:rPr>
        <w:t>选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月中旬</w:t>
      </w:r>
      <w:r>
        <w:rPr>
          <w:rFonts w:hint="eastAsia"/>
          <w:color w:val="auto"/>
          <w:sz w:val="28"/>
          <w:szCs w:val="28"/>
          <w:lang w:eastAsia="zh-CN"/>
        </w:rPr>
        <w:t>开始</w:t>
      </w:r>
      <w:r>
        <w:rPr>
          <w:rFonts w:hint="eastAsia"/>
          <w:color w:val="auto"/>
          <w:sz w:val="28"/>
          <w:szCs w:val="28"/>
        </w:rPr>
        <w:t>进行初</w:t>
      </w:r>
      <w:r>
        <w:rPr>
          <w:rFonts w:hint="eastAsia"/>
          <w:color w:val="auto"/>
          <w:sz w:val="28"/>
          <w:szCs w:val="28"/>
          <w:lang w:eastAsia="zh-CN"/>
        </w:rPr>
        <w:t>选</w:t>
      </w:r>
      <w:r>
        <w:rPr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调研、</w:t>
      </w:r>
      <w:r>
        <w:rPr>
          <w:color w:val="auto"/>
          <w:sz w:val="28"/>
          <w:szCs w:val="28"/>
        </w:rPr>
        <w:t>专题沟通</w:t>
      </w:r>
      <w:r>
        <w:rPr>
          <w:rFonts w:hint="eastAsia"/>
          <w:color w:val="auto"/>
          <w:sz w:val="28"/>
          <w:szCs w:val="28"/>
        </w:rPr>
        <w:t>。</w:t>
      </w:r>
      <w:r>
        <w:rPr>
          <w:color w:val="auto"/>
          <w:sz w:val="28"/>
          <w:szCs w:val="28"/>
        </w:rPr>
        <w:t>遴选</w:t>
      </w:r>
      <w:r>
        <w:rPr>
          <w:rFonts w:hint="eastAsia"/>
          <w:color w:val="auto"/>
          <w:sz w:val="28"/>
          <w:szCs w:val="28"/>
        </w:rPr>
        <w:t>出</w:t>
      </w:r>
      <w:r>
        <w:rPr>
          <w:color w:val="auto"/>
          <w:sz w:val="28"/>
          <w:szCs w:val="28"/>
        </w:rPr>
        <w:t>提名名单。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3、</w:t>
      </w:r>
      <w:r>
        <w:rPr>
          <w:rFonts w:hint="eastAsia"/>
          <w:color w:val="auto"/>
          <w:sz w:val="28"/>
          <w:szCs w:val="28"/>
          <w:lang w:eastAsia="zh-CN"/>
        </w:rPr>
        <w:t>复选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eastAsia="zh-CN"/>
        </w:rPr>
        <w:t>初</w:t>
      </w:r>
      <w:r>
        <w:rPr>
          <w:rFonts w:hint="eastAsia"/>
          <w:color w:val="auto"/>
          <w:sz w:val="28"/>
          <w:szCs w:val="28"/>
        </w:rPr>
        <w:t>终</w:t>
      </w:r>
      <w:r>
        <w:rPr>
          <w:rFonts w:hint="eastAsia"/>
          <w:color w:val="auto"/>
          <w:sz w:val="28"/>
          <w:szCs w:val="28"/>
          <w:lang w:eastAsia="zh-CN"/>
        </w:rPr>
        <w:t>选</w:t>
      </w:r>
      <w:r>
        <w:rPr>
          <w:color w:val="auto"/>
          <w:sz w:val="28"/>
          <w:szCs w:val="28"/>
        </w:rPr>
        <w:t>，确定名单。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</w:t>
      </w:r>
      <w:r>
        <w:rPr>
          <w:rFonts w:hint="eastAsia"/>
          <w:color w:val="auto"/>
          <w:sz w:val="28"/>
          <w:szCs w:val="28"/>
        </w:rPr>
        <w:t>2017中国</w:t>
      </w:r>
      <w:r>
        <w:rPr>
          <w:color w:val="auto"/>
          <w:sz w:val="28"/>
          <w:szCs w:val="28"/>
        </w:rPr>
        <w:t>中药</w:t>
      </w:r>
      <w:r>
        <w:rPr>
          <w:rFonts w:hint="eastAsia"/>
          <w:color w:val="auto"/>
          <w:sz w:val="28"/>
          <w:szCs w:val="28"/>
          <w:lang w:eastAsia="zh-CN"/>
        </w:rPr>
        <w:t>最佳</w:t>
      </w:r>
      <w:r>
        <w:rPr>
          <w:rFonts w:hint="eastAsia"/>
          <w:color w:val="auto"/>
          <w:sz w:val="28"/>
          <w:szCs w:val="28"/>
        </w:rPr>
        <w:t>科技创新</w:t>
      </w:r>
      <w:r>
        <w:rPr>
          <w:rFonts w:hint="eastAsia"/>
          <w:color w:val="auto"/>
          <w:sz w:val="28"/>
          <w:szCs w:val="28"/>
          <w:lang w:eastAsia="zh-CN"/>
        </w:rPr>
        <w:t>企业展播暨颁奖</w:t>
      </w:r>
      <w:r>
        <w:rPr>
          <w:rFonts w:hint="eastAsia"/>
          <w:color w:val="auto"/>
          <w:sz w:val="28"/>
          <w:szCs w:val="28"/>
        </w:rPr>
        <w:t>大</w:t>
      </w:r>
      <w:r>
        <w:rPr>
          <w:color w:val="auto"/>
          <w:sz w:val="28"/>
          <w:szCs w:val="28"/>
        </w:rPr>
        <w:t>会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eastAsia="zh-CN"/>
        </w:rPr>
        <w:t>中旬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遴选标准</w:t>
      </w:r>
    </w:p>
    <w:tbl>
      <w:tblPr>
        <w:tblStyle w:val="8"/>
        <w:tblpPr w:leftFromText="180" w:rightFromText="180" w:vertAnchor="text" w:horzAnchor="page" w:tblpX="1957" w:tblpY="567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69"/>
        <w:gridCol w:w="958"/>
        <w:gridCol w:w="1123"/>
        <w:gridCol w:w="1100"/>
        <w:gridCol w:w="1096"/>
        <w:gridCol w:w="108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遴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选标准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创新投入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创新产出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品牌知名度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研发影响力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社会价值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产业影响力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指标权重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40%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1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5%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tbl>
      <w:tblPr>
        <w:tblStyle w:val="7"/>
        <w:tblpPr w:leftFromText="180" w:rightFromText="180" w:vertAnchor="text" w:horzAnchor="page" w:tblpX="1447" w:tblpY="642"/>
        <w:tblOverlap w:val="never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20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  <w:t>一级指标</w:t>
            </w:r>
          </w:p>
        </w:tc>
        <w:tc>
          <w:tcPr>
            <w:tcW w:w="34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  <w:t>二级指标</w:t>
            </w:r>
          </w:p>
        </w:tc>
        <w:tc>
          <w:tcPr>
            <w:tcW w:w="509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snapToGrid w:val="0"/>
                <w:color w:val="auto"/>
                <w:spacing w:val="2"/>
                <w:sz w:val="30"/>
                <w:szCs w:val="30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  <w:t>创新投入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R&amp;D投入强度（研发经费/主营业务收入*100%）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反映企业自主研发的投入强度，是考核企业创新投入的重要指标。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仪器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设备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型号、市场价格、数量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内设研发机构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国家工程（技术研究）中心数（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国家重点实验室数 （ ）                             国家认定企业技术中心数（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省部级重点实验室数（ ）                           省级高新技术研发中心数 （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省级企业技术中心数（ ）                          设立时间、名称及人数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协同创新能力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（国内国际）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产、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研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合作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程度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反映企业在利用外部创新资源、开展产学研合作方面的能力。                      1、企业R&amp;D经费与高校、研究所合作外部支出数及占比。                          2、与之合作高校、研究所资金、人员投入数及占比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智能信息、移动互联网在管理系统当中的应用比例</w:t>
            </w:r>
          </w:p>
        </w:tc>
        <w:tc>
          <w:tcPr>
            <w:tcW w:w="50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pacing w:val="2"/>
                <w:sz w:val="28"/>
                <w:szCs w:val="28"/>
              </w:rPr>
              <w:t>反映企业在管理上的投入强度，是考核企业创新投入的重要指标。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R＆D人员强度（研发人员数/企业员工总人数*100%）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考核企业投入自主研发的人员强度的指标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1、R&amp;D人员占就业人员比重                                     2、R&amp;D博士毕业生所占比重    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3、留学归国人员所占R&amp;D比重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  <w:t>创新产出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参与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品种标准制定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修订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品种、数量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、标准数量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协同创新能力（国内国际）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产、学、研合作程度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产、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研合作机构数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量、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合作项目数量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合作品种数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、时间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、合作成果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国家及地方的重大科技成果奖励数，近三年承担的科技计划项目情况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考核企业研发的产品或技术得到社会认可程度的指标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参与或承担国家重大新药创制专项数量，获国家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各类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专项支持项目，获科技进步奖等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描述并提供相关文件扫描件，近三年承担项目情况（可附表说明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数据及文字说明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新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特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药研发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1~6类新药申请数量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临床批件（目前临床在研）；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1~6类新药批准数量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、证书；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剂型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研发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1、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新型中药饮片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中药配方颗粒、中药破壁饮片、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精致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饮片等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）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申请数量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临床批件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批准数量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、证书；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合作上市公司数量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反映企业平台得到社会认可度的指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标（数据、名单及文字说明）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拥有国内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国际认可的实验室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ISO/IEO17025:2005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认可情况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、规模、技术水平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CNAS-CL01认可情况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、规模、技术水平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销售市场全国终端覆盖率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反映企业对整个医药商业行业贡献的指标：1.覆盖二甲及以上医院 2.药店（含连锁）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数据及文字说明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  <w:t>品牌知名度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知识产权量：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国内外专利、专业论文、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注册商标、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驰名商标、非遗、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中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华老字号、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自主品牌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、保护品种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软件著作权（国内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、国际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、国家级</w:t>
            </w:r>
            <w:r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、省、市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）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</w:rPr>
              <w:t>反映企业自主创新能力的指标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发明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专利、</w:t>
            </w:r>
            <w:r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  <w:t>实用新型专利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外观设计专利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专业论文（国内外专业期刊、权威期刊发表论文情况）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3、所有项通过数据及文字说明。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  <w:t>研发影响力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主持或参与研发新产品项目的数量及品种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上市创新药数量；进入临床III/II期品种数量（数据及文字说明）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主持或参与国际重大专项及各类专项支持项目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 xml:space="preserve">描述并提供证明文件扫描件，数据及文字说明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参与对行业发展具有重要影响力的社会工作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重大专项及国家科技计划专家、CDE评审专家、国家部门顾问等（数据及文字说明）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国家级人才及专利、论文数量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val="en-US" w:eastAsia="zh-CN"/>
              </w:rPr>
              <w:t>提供相关文件扫描，数据及文字说明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</w:rPr>
              <w:t>获得CNAS或ISO/IEO 17025认可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描述并提供相关文件扫描件（数据及文字说明）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  <w:t>社会价值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临床优势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具有明确疗效或有效预防疾病发生；治疗重大疾病；填补临床空白（数据及文字说明）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其他优势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与同类药品相比提高了使用的便利性、提高了患者的依从性（数据及文字说明）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国际申报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获境外批准药品及注册类别；正在申报品种的注册类别及发展（提供相关文件的扫描件）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  <w:t>产业影响力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协同创新能力、创新资源整合力、创新驱动能力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获国家及地方重大奖项；重大商业行为对中医药产业的影响力（数据及文字说明）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商业正价值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可持续发展与社会责任发展潜力（具体列举并提供相关文件扫描件，数据及文字说明）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b/>
                <w:snapToGrid w:val="0"/>
                <w:color w:val="auto"/>
                <w:spacing w:val="2"/>
                <w:sz w:val="30"/>
                <w:szCs w:val="30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国际化影响力</w:t>
            </w:r>
          </w:p>
        </w:tc>
        <w:tc>
          <w:tcPr>
            <w:tcW w:w="5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新药研发品种、功能食品、保健品许可权的国际转让或国际合作；企业在国际市场的重大商业行为（具体列举并提供相关文件扫描件，数据及文字说明）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/>
          <w:snapToGrid w:val="0"/>
          <w:color w:val="auto"/>
          <w:spacing w:val="2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七、</w:t>
      </w:r>
      <w:r>
        <w:rPr>
          <w:rFonts w:hint="eastAsia"/>
          <w:b/>
          <w:snapToGrid w:val="0"/>
          <w:color w:val="auto"/>
          <w:spacing w:val="2"/>
          <w:sz w:val="28"/>
          <w:szCs w:val="28"/>
          <w:lang w:eastAsia="zh-CN"/>
        </w:rPr>
        <w:t>遴选材料填写要求：</w:t>
      </w:r>
    </w:p>
    <w:p>
      <w:pPr>
        <w:numPr>
          <w:ilvl w:val="0"/>
          <w:numId w:val="3"/>
        </w:numPr>
        <w:spacing w:line="360" w:lineRule="auto"/>
        <w:ind w:firstLine="56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本次活动材料须如实、认真填写；保证文件真实有效，否则取消遴选资格；个别栏目填写不下时，可另加附页。</w:t>
      </w:r>
    </w:p>
    <w:p>
      <w:pPr>
        <w:numPr>
          <w:ilvl w:val="0"/>
          <w:numId w:val="3"/>
        </w:numPr>
        <w:spacing w:line="360" w:lineRule="auto"/>
        <w:ind w:firstLine="56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内容填写要点栏填写，根据遴选标准提供相关数据及文字说明，如无数据请附文字说明。</w:t>
      </w:r>
    </w:p>
    <w:p>
      <w:pPr>
        <w:numPr>
          <w:ilvl w:val="0"/>
          <w:numId w:val="3"/>
        </w:numPr>
        <w:spacing w:line="360" w:lineRule="auto"/>
        <w:ind w:firstLine="560"/>
        <w:rPr>
          <w:color w:val="auto"/>
          <w:kern w:val="0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申报人须提供遴选产品所涉及的新药证书、</w:t>
      </w:r>
      <w:r>
        <w:rPr>
          <w:rFonts w:hint="eastAsia"/>
          <w:color w:val="auto"/>
          <w:sz w:val="28"/>
          <w:szCs w:val="28"/>
          <w:lang w:val="en-US" w:eastAsia="zh-CN"/>
        </w:rPr>
        <w:t>商标资料、</w:t>
      </w:r>
      <w:r>
        <w:rPr>
          <w:rFonts w:hint="eastAsia"/>
          <w:color w:val="auto"/>
          <w:sz w:val="28"/>
          <w:szCs w:val="28"/>
          <w:lang w:eastAsia="zh-CN"/>
        </w:rPr>
        <w:t>注册凭证、知识产权、获奖、荣誉、杂志刊登等扫描件，作为填写内容的证明，否则该项证明无效。</w:t>
      </w:r>
    </w:p>
    <w:p>
      <w:pPr>
        <w:numPr>
          <w:ilvl w:val="0"/>
          <w:numId w:val="3"/>
        </w:numPr>
        <w:spacing w:line="360" w:lineRule="auto"/>
        <w:ind w:firstLine="560"/>
        <w:rPr>
          <w:color w:val="auto"/>
          <w:kern w:val="0"/>
          <w:sz w:val="28"/>
          <w:szCs w:val="28"/>
        </w:rPr>
      </w:pPr>
      <w:r>
        <w:rPr>
          <w:rStyle w:val="10"/>
          <w:rFonts w:hint="eastAsia"/>
          <w:b w:val="0"/>
          <w:bCs/>
          <w:sz w:val="28"/>
          <w:szCs w:val="28"/>
          <w:lang w:eastAsia="zh-CN"/>
        </w:rPr>
        <w:t>申报时间于</w:t>
      </w:r>
      <w:r>
        <w:rPr>
          <w:rStyle w:val="10"/>
          <w:rFonts w:hint="eastAsia"/>
          <w:b w:val="0"/>
          <w:bCs/>
          <w:sz w:val="28"/>
          <w:szCs w:val="28"/>
        </w:rPr>
        <w:t>2017年5月</w:t>
      </w:r>
      <w:r>
        <w:rPr>
          <w:rStyle w:val="10"/>
          <w:rFonts w:hint="eastAsia"/>
          <w:b w:val="0"/>
          <w:bCs/>
          <w:sz w:val="28"/>
          <w:szCs w:val="28"/>
          <w:lang w:val="en-US" w:eastAsia="zh-CN"/>
        </w:rPr>
        <w:t>28</w:t>
      </w:r>
      <w:r>
        <w:rPr>
          <w:rStyle w:val="10"/>
          <w:rFonts w:hint="eastAsia"/>
          <w:b w:val="0"/>
          <w:bCs/>
          <w:sz w:val="28"/>
          <w:szCs w:val="28"/>
        </w:rPr>
        <w:t>日起登陆网站</w:t>
      </w:r>
      <w:r>
        <w:rPr>
          <w:rFonts w:hint="eastAsia"/>
          <w:color w:val="auto"/>
          <w:sz w:val="28"/>
          <w:szCs w:val="28"/>
        </w:rPr>
        <w:fldChar w:fldCharType="begin"/>
      </w:r>
      <w:r>
        <w:rPr>
          <w:rFonts w:hint="eastAsia"/>
          <w:color w:val="auto"/>
          <w:sz w:val="28"/>
          <w:szCs w:val="28"/>
        </w:rPr>
        <w:instrText xml:space="preserve"> HYPERLINK "http://www.catcm.org.cn/" </w:instrText>
      </w:r>
      <w:r>
        <w:rPr>
          <w:rFonts w:hint="eastAsia"/>
          <w:color w:val="auto"/>
          <w:sz w:val="28"/>
          <w:szCs w:val="28"/>
        </w:rPr>
        <w:fldChar w:fldCharType="separate"/>
      </w:r>
      <w:r>
        <w:rPr>
          <w:rFonts w:hint="eastAsia"/>
          <w:color w:val="auto"/>
          <w:sz w:val="28"/>
          <w:szCs w:val="28"/>
        </w:rPr>
        <w:t>http://www.catcm.org.cn/</w:t>
      </w:r>
      <w:r>
        <w:rPr>
          <w:rFonts w:hint="eastAsia"/>
          <w:color w:val="auto"/>
          <w:sz w:val="28"/>
          <w:szCs w:val="28"/>
        </w:rPr>
        <w:fldChar w:fldCharType="end"/>
      </w:r>
      <w:r>
        <w:rPr>
          <w:rFonts w:hint="eastAsia"/>
          <w:color w:val="auto"/>
          <w:sz w:val="28"/>
          <w:szCs w:val="28"/>
        </w:rPr>
        <w:t>或</w:t>
      </w:r>
      <w:r>
        <w:rPr>
          <w:rFonts w:hint="eastAsia"/>
          <w:color w:val="auto"/>
          <w:sz w:val="28"/>
          <w:szCs w:val="28"/>
        </w:rPr>
        <w:fldChar w:fldCharType="begin"/>
      </w:r>
      <w:r>
        <w:rPr>
          <w:rFonts w:hint="eastAsia"/>
          <w:color w:val="auto"/>
          <w:sz w:val="28"/>
          <w:szCs w:val="28"/>
        </w:rPr>
        <w:instrText xml:space="preserve"> HYPERLINK "http://www.yyjcfw.com/" </w:instrText>
      </w:r>
      <w:r>
        <w:rPr>
          <w:rFonts w:hint="eastAsia"/>
          <w:color w:val="auto"/>
          <w:sz w:val="28"/>
          <w:szCs w:val="28"/>
        </w:rPr>
        <w:fldChar w:fldCharType="separate"/>
      </w:r>
      <w:r>
        <w:rPr>
          <w:rFonts w:hint="eastAsia"/>
          <w:color w:val="auto"/>
          <w:sz w:val="28"/>
          <w:szCs w:val="28"/>
        </w:rPr>
        <w:t>http://www.</w:t>
      </w:r>
      <w:r>
        <w:rPr>
          <w:rFonts w:hint="eastAsia"/>
          <w:color w:val="auto"/>
          <w:sz w:val="28"/>
          <w:szCs w:val="28"/>
          <w:lang w:val="en-US" w:eastAsia="zh-CN"/>
        </w:rPr>
        <w:t>zyykjwh</w:t>
      </w:r>
      <w:r>
        <w:rPr>
          <w:rFonts w:hint="eastAsia"/>
          <w:color w:val="auto"/>
          <w:sz w:val="28"/>
          <w:szCs w:val="28"/>
        </w:rPr>
        <w:t>.com/</w:t>
      </w:r>
      <w:r>
        <w:rPr>
          <w:rFonts w:hint="eastAsia"/>
          <w:color w:val="auto"/>
          <w:sz w:val="28"/>
          <w:szCs w:val="28"/>
        </w:rPr>
        <w:fldChar w:fldCharType="end"/>
      </w:r>
      <w:r>
        <w:rPr>
          <w:rFonts w:hint="eastAsia"/>
          <w:color w:val="auto"/>
          <w:sz w:val="28"/>
          <w:szCs w:val="28"/>
        </w:rPr>
        <w:t>下载相关</w:t>
      </w:r>
      <w:r>
        <w:rPr>
          <w:rFonts w:hint="eastAsia"/>
          <w:color w:val="auto"/>
          <w:sz w:val="28"/>
          <w:szCs w:val="28"/>
          <w:lang w:eastAsia="zh-CN"/>
        </w:rPr>
        <w:t>材料</w:t>
      </w:r>
      <w:r>
        <w:rPr>
          <w:rFonts w:hint="eastAsia"/>
          <w:color w:val="auto"/>
          <w:sz w:val="28"/>
          <w:szCs w:val="28"/>
        </w:rPr>
        <w:t>，并将电子</w:t>
      </w:r>
      <w:r>
        <w:rPr>
          <w:rFonts w:hint="eastAsia"/>
          <w:color w:val="auto"/>
          <w:sz w:val="28"/>
          <w:szCs w:val="28"/>
          <w:lang w:eastAsia="zh-CN"/>
        </w:rPr>
        <w:t>材料统一</w:t>
      </w:r>
      <w:r>
        <w:rPr>
          <w:rFonts w:hint="eastAsia"/>
          <w:color w:val="auto"/>
          <w:sz w:val="28"/>
          <w:szCs w:val="28"/>
        </w:rPr>
        <w:t>发送至本次活动的</w:t>
      </w:r>
      <w:r>
        <w:rPr>
          <w:rFonts w:hint="eastAsia"/>
          <w:color w:val="auto"/>
          <w:sz w:val="28"/>
          <w:szCs w:val="28"/>
          <w:lang w:eastAsia="zh-CN"/>
        </w:rPr>
        <w:t>指定</w:t>
      </w:r>
      <w:r>
        <w:rPr>
          <w:rFonts w:hint="eastAsia"/>
          <w:color w:val="auto"/>
          <w:sz w:val="28"/>
          <w:szCs w:val="28"/>
        </w:rPr>
        <w:t>申报邮箱kjcx@</w:t>
      </w:r>
      <w:r>
        <w:rPr>
          <w:rFonts w:hint="eastAsia"/>
          <w:color w:val="auto"/>
          <w:sz w:val="28"/>
          <w:szCs w:val="28"/>
          <w:lang w:val="en-US" w:eastAsia="zh-CN"/>
        </w:rPr>
        <w:t>zyykjwh</w:t>
      </w:r>
      <w:r>
        <w:rPr>
          <w:rFonts w:hint="eastAsia"/>
          <w:color w:val="auto"/>
          <w:sz w:val="28"/>
          <w:szCs w:val="28"/>
        </w:rPr>
        <w:t>.com。同时将纸质申报材料</w:t>
      </w:r>
      <w:r>
        <w:rPr>
          <w:rFonts w:hint="eastAsia"/>
          <w:color w:val="auto"/>
          <w:sz w:val="28"/>
          <w:szCs w:val="28"/>
          <w:lang w:eastAsia="zh-CN"/>
        </w:rPr>
        <w:t>壹份（加盖公章）</w:t>
      </w:r>
      <w:r>
        <w:rPr>
          <w:rFonts w:hint="eastAsia"/>
          <w:color w:val="auto"/>
          <w:sz w:val="28"/>
          <w:szCs w:val="28"/>
        </w:rPr>
        <w:t>装订成册</w:t>
      </w:r>
      <w:r>
        <w:rPr>
          <w:rFonts w:hint="eastAsia"/>
          <w:color w:val="auto"/>
          <w:sz w:val="28"/>
          <w:szCs w:val="28"/>
          <w:lang w:eastAsia="zh-CN"/>
        </w:rPr>
        <w:t>邮递</w:t>
      </w:r>
      <w:r>
        <w:rPr>
          <w:rFonts w:hint="eastAsia"/>
          <w:color w:val="auto"/>
          <w:sz w:val="28"/>
          <w:szCs w:val="28"/>
        </w:rPr>
        <w:t>到</w:t>
      </w:r>
      <w:r>
        <w:rPr>
          <w:rFonts w:hint="eastAsia"/>
          <w:color w:val="auto"/>
          <w:sz w:val="28"/>
          <w:szCs w:val="28"/>
          <w:lang w:eastAsia="zh-CN"/>
        </w:rPr>
        <w:t>指定</w:t>
      </w:r>
      <w:r>
        <w:rPr>
          <w:rFonts w:hint="eastAsia"/>
          <w:color w:val="auto"/>
          <w:sz w:val="28"/>
          <w:szCs w:val="28"/>
        </w:rPr>
        <w:t>地址：</w:t>
      </w:r>
      <w:r>
        <w:rPr>
          <w:rFonts w:hint="eastAsia"/>
          <w:color w:val="auto"/>
          <w:sz w:val="28"/>
          <w:szCs w:val="28"/>
          <w:lang w:eastAsia="zh-CN"/>
        </w:rPr>
        <w:t>中国中药协会科技交流与合作专业委员会（</w:t>
      </w:r>
      <w:r>
        <w:rPr>
          <w:rFonts w:hint="eastAsia"/>
          <w:color w:val="auto"/>
          <w:sz w:val="28"/>
          <w:szCs w:val="28"/>
        </w:rPr>
        <w:t>北京市昌平区立水桥东小口贺村92号院</w:t>
      </w:r>
      <w:r>
        <w:rPr>
          <w:rFonts w:hint="eastAsia"/>
          <w:color w:val="auto"/>
          <w:sz w:val="28"/>
          <w:szCs w:val="28"/>
          <w:lang w:eastAsia="zh-CN"/>
        </w:rPr>
        <w:t>），</w:t>
      </w:r>
      <w:r>
        <w:rPr>
          <w:rFonts w:hint="eastAsia"/>
          <w:color w:val="auto"/>
          <w:kern w:val="0"/>
          <w:sz w:val="28"/>
          <w:szCs w:val="28"/>
        </w:rPr>
        <w:t>申报截止日期2017年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kern w:val="0"/>
          <w:sz w:val="28"/>
          <w:szCs w:val="28"/>
        </w:rPr>
        <w:t>月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/>
          <w:color w:val="auto"/>
          <w:kern w:val="0"/>
          <w:sz w:val="28"/>
          <w:szCs w:val="28"/>
        </w:rPr>
        <w:t>日。凡在规定时间内按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材料</w:t>
      </w:r>
      <w:r>
        <w:rPr>
          <w:rFonts w:hint="eastAsia"/>
          <w:color w:val="auto"/>
          <w:kern w:val="0"/>
          <w:sz w:val="28"/>
          <w:szCs w:val="28"/>
        </w:rPr>
        <w:t>要求填写完成上传的申报事项将纳入本次活动的筛选范围。</w:t>
      </w:r>
    </w:p>
    <w:p>
      <w:pPr>
        <w:numPr>
          <w:ilvl w:val="0"/>
          <w:numId w:val="3"/>
        </w:numPr>
        <w:spacing w:line="360" w:lineRule="auto"/>
        <w:ind w:firstLine="560"/>
        <w:rPr>
          <w:color w:val="auto"/>
          <w:kern w:val="0"/>
          <w:sz w:val="28"/>
          <w:szCs w:val="28"/>
        </w:rPr>
      </w:pPr>
      <w:r>
        <w:rPr>
          <w:color w:val="auto"/>
          <w:sz w:val="28"/>
          <w:szCs w:val="28"/>
        </w:rPr>
        <w:t>自荐</w:t>
      </w:r>
      <w:r>
        <w:rPr>
          <w:rFonts w:hint="eastAsia"/>
          <w:color w:val="auto"/>
          <w:sz w:val="28"/>
          <w:szCs w:val="28"/>
        </w:rPr>
        <w:t>或</w:t>
      </w:r>
      <w:r>
        <w:rPr>
          <w:rFonts w:hint="eastAsia"/>
          <w:color w:val="auto"/>
          <w:kern w:val="0"/>
          <w:sz w:val="28"/>
          <w:szCs w:val="28"/>
        </w:rPr>
        <w:t>推荐的企业、个人应在规定期限内，按上述方式及时提交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遴选</w:t>
      </w:r>
      <w:r>
        <w:rPr>
          <w:rFonts w:hint="eastAsia"/>
          <w:color w:val="auto"/>
          <w:kern w:val="0"/>
          <w:sz w:val="28"/>
          <w:szCs w:val="28"/>
        </w:rPr>
        <w:t>资料进行报名，逾期未申报的将视为放弃。</w:t>
      </w:r>
    </w:p>
    <w:p>
      <w:pPr>
        <w:numPr>
          <w:ilvl w:val="0"/>
          <w:numId w:val="3"/>
        </w:numPr>
        <w:spacing w:line="360" w:lineRule="auto"/>
        <w:ind w:firstLine="56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遴选材料应一次性打包提交完整，原则上不接受材料的补充提交。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textAlignment w:val="auto"/>
        <w:rPr>
          <w:rFonts w:hint="eastAsia" w:eastAsia="宋体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24DC"/>
    <w:multiLevelType w:val="singleLevel"/>
    <w:tmpl w:val="590F24DC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16F454"/>
    <w:multiLevelType w:val="singleLevel"/>
    <w:tmpl w:val="5916F454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916F886"/>
    <w:multiLevelType w:val="singleLevel"/>
    <w:tmpl w:val="5916F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0B67"/>
    <w:rsid w:val="0EE54318"/>
    <w:rsid w:val="1AAF4DF1"/>
    <w:rsid w:val="1ACE28E7"/>
    <w:rsid w:val="201B7843"/>
    <w:rsid w:val="24950674"/>
    <w:rsid w:val="2F7F1C2E"/>
    <w:rsid w:val="30BA68B0"/>
    <w:rsid w:val="32433510"/>
    <w:rsid w:val="33CF0B67"/>
    <w:rsid w:val="39D06DF3"/>
    <w:rsid w:val="40E37B2C"/>
    <w:rsid w:val="46CE4A64"/>
    <w:rsid w:val="48853E90"/>
    <w:rsid w:val="4B696CD0"/>
    <w:rsid w:val="4D6D6A1D"/>
    <w:rsid w:val="588864D9"/>
    <w:rsid w:val="5ECE44A5"/>
    <w:rsid w:val="675C0D08"/>
    <w:rsid w:val="6CE366D7"/>
    <w:rsid w:val="79A1063B"/>
    <w:rsid w:val="7AA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2017-05-13T06:30:00Z</dcterms:created>
  <dc:creator>Administrator</dc:creator>
  <cp:lastModifiedBy>Administrator</cp:lastModifiedBy>
  <cp:lastPrinted>2017-05-14T15:03:00Z</cp:lastPrinted>
  <dcterms:modified xsi:type="dcterms:W3CDTF">2017-06-01T09:05:11Z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