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43207">
      <w:pPr>
        <w:rPr>
          <w:b/>
          <w:sz w:val="24"/>
        </w:rPr>
      </w:pPr>
      <w:bookmarkStart w:id="0" w:name="_Hlk165044566"/>
      <w:r>
        <w:rPr>
          <w:b/>
          <w:sz w:val="24"/>
        </w:rPr>
        <w:t>附件1</w:t>
      </w:r>
    </w:p>
    <w:p w14:paraId="6C05EC66">
      <w:pPr>
        <w:spacing w:after="312" w:afterLines="100" w:line="360" w:lineRule="auto"/>
        <w:jc w:val="center"/>
        <w:rPr>
          <w:b/>
          <w:sz w:val="24"/>
        </w:rPr>
      </w:pPr>
      <w:r>
        <w:rPr>
          <w:b/>
          <w:sz w:val="24"/>
        </w:rPr>
        <w:t>《</w:t>
      </w:r>
      <w:r>
        <w:rPr>
          <w:rFonts w:hint="eastAsia"/>
          <w:b/>
          <w:sz w:val="24"/>
        </w:rPr>
        <w:t>第31届全国大豆科研生产研讨会</w:t>
      </w:r>
      <w:r>
        <w:rPr>
          <w:b/>
          <w:sz w:val="24"/>
        </w:rPr>
        <w:t>论文摘要集》投稿须知</w:t>
      </w:r>
    </w:p>
    <w:bookmarkEnd w:id="0"/>
    <w:p w14:paraId="4B9EEAEA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bookmarkStart w:id="1" w:name="_Hlk165044647"/>
      <w:r>
        <w:rPr>
          <w:color w:val="000000"/>
          <w:sz w:val="21"/>
          <w:szCs w:val="21"/>
          <w:lang w:val="zh-CN"/>
        </w:rPr>
        <w:t>1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投稿范围：</w:t>
      </w:r>
      <w:bookmarkEnd w:id="1"/>
      <w:r>
        <w:rPr>
          <w:color w:val="000000"/>
          <w:sz w:val="21"/>
          <w:szCs w:val="21"/>
          <w:lang w:val="zh-CN"/>
        </w:rPr>
        <w:t>大豆遗传育种、品种资源、生理生态、耕作栽培、植物保护、营养肥料、生物技术、食品加工、药用功能及工业用途、产业经济、农业机械等方面的学术论文摘要、科研报告、研究简报、国内外研究述评、学术活动简讯和新品种介绍等。</w:t>
      </w:r>
    </w:p>
    <w:p w14:paraId="04D973FF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2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审稿与文责：本文集不安排审稿，仅对个别错别字进行校对和</w:t>
      </w:r>
      <w:r>
        <w:rPr>
          <w:rFonts w:hint="eastAsia"/>
          <w:color w:val="000000"/>
          <w:sz w:val="21"/>
          <w:szCs w:val="21"/>
          <w:lang w:val="zh-CN"/>
        </w:rPr>
        <w:t>对格</w:t>
      </w:r>
      <w:r>
        <w:rPr>
          <w:color w:val="000000"/>
          <w:sz w:val="21"/>
          <w:szCs w:val="21"/>
          <w:lang w:val="zh-CN"/>
        </w:rPr>
        <w:t>式进行编辑，作者文责自负。</w:t>
      </w:r>
    </w:p>
    <w:p w14:paraId="05E1E6FE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3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字数及字体要求：800字以内。标题4号宋体加粗，其他为5号宋体。</w:t>
      </w:r>
    </w:p>
    <w:p w14:paraId="63822335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4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文稿结构：题目、作者姓名、作者单位、中文关键词、英文题目、英文姓名、</w:t>
      </w:r>
      <w:r>
        <w:rPr>
          <w:rFonts w:hint="eastAsia"/>
          <w:color w:val="000000"/>
          <w:sz w:val="21"/>
          <w:szCs w:val="21"/>
        </w:rPr>
        <w:t>英文</w:t>
      </w:r>
      <w:r>
        <w:rPr>
          <w:color w:val="000000"/>
          <w:sz w:val="21"/>
          <w:szCs w:val="21"/>
          <w:lang w:val="zh-CN"/>
        </w:rPr>
        <w:t>作者单位、英文关键词</w:t>
      </w:r>
      <w:r>
        <w:rPr>
          <w:rFonts w:hint="eastAsia"/>
          <w:color w:val="000000"/>
          <w:sz w:val="21"/>
          <w:szCs w:val="21"/>
        </w:rPr>
        <w:t>及</w:t>
      </w:r>
      <w:r>
        <w:rPr>
          <w:color w:val="000000"/>
          <w:sz w:val="21"/>
          <w:szCs w:val="21"/>
          <w:lang w:val="zh-CN"/>
        </w:rPr>
        <w:t>中文摘要正文。</w:t>
      </w:r>
    </w:p>
    <w:p w14:paraId="5766569D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5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文题：文题要简明确切，一般在20字以内。</w:t>
      </w:r>
    </w:p>
    <w:p w14:paraId="03FDC1A5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6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作者：作者之间用</w:t>
      </w:r>
      <w:r>
        <w:rPr>
          <w:rFonts w:hint="eastAsia"/>
          <w:color w:val="000000"/>
          <w:sz w:val="21"/>
          <w:szCs w:val="21"/>
          <w:lang w:val="zh-CN"/>
        </w:rPr>
        <w:t>“</w:t>
      </w:r>
      <w:r>
        <w:rPr>
          <w:color w:val="000000"/>
          <w:sz w:val="21"/>
          <w:szCs w:val="21"/>
          <w:lang w:val="zh-CN"/>
        </w:rPr>
        <w:t>，</w:t>
      </w:r>
      <w:r>
        <w:rPr>
          <w:rFonts w:hint="eastAsia"/>
          <w:color w:val="000000"/>
          <w:sz w:val="21"/>
          <w:szCs w:val="21"/>
          <w:lang w:val="zh-CN"/>
        </w:rPr>
        <w:t>”</w:t>
      </w:r>
      <w:r>
        <w:rPr>
          <w:color w:val="000000"/>
          <w:sz w:val="21"/>
          <w:szCs w:val="21"/>
          <w:lang w:val="zh-CN"/>
        </w:rPr>
        <w:t>隔开，不同单位的作者在右上角用阿拉伯数字序号标明：单位用全称，后面标明城市及邮政编码。英文姓名用汉语拼音书写，采用姓前名后，姓氏的全部字母用大写，名字的首字母要大写，名中间加连字符，如：LI Gang,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LI Xiao-gang。外国作者姓名遵从国际惯例。</w:t>
      </w:r>
    </w:p>
    <w:p w14:paraId="1DBCBCEE">
      <w:pPr>
        <w:autoSpaceDE w:val="0"/>
        <w:autoSpaceDN w:val="0"/>
        <w:adjustRightInd w:val="0"/>
        <w:spacing w:line="440" w:lineRule="exact"/>
        <w:ind w:left="420" w:hanging="420" w:hangingChars="200"/>
        <w:jc w:val="both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7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中文摘要正文：简明、确切地论述重要研究进展，重点包括研究背景、目的、方法、结果和结论。</w:t>
      </w:r>
    </w:p>
    <w:p w14:paraId="5C88D18E">
      <w:pPr>
        <w:autoSpaceDE w:val="0"/>
        <w:autoSpaceDN w:val="0"/>
        <w:adjustRightInd w:val="0"/>
        <w:spacing w:line="440" w:lineRule="exact"/>
        <w:ind w:left="420" w:hanging="420" w:hangingChars="20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8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图表：文稿中一般不列图表，必须列图表</w:t>
      </w:r>
      <w:r>
        <w:rPr>
          <w:rFonts w:hint="eastAsia"/>
          <w:color w:val="000000"/>
          <w:sz w:val="21"/>
          <w:szCs w:val="21"/>
        </w:rPr>
        <w:t>的</w:t>
      </w:r>
      <w:r>
        <w:rPr>
          <w:color w:val="000000"/>
          <w:sz w:val="21"/>
          <w:szCs w:val="21"/>
          <w:lang w:val="zh-CN"/>
        </w:rPr>
        <w:t>要尽量精简。</w:t>
      </w:r>
    </w:p>
    <w:p w14:paraId="4B1D6B10">
      <w:pPr>
        <w:autoSpaceDE w:val="0"/>
        <w:autoSpaceDN w:val="0"/>
        <w:adjustRightInd w:val="0"/>
        <w:spacing w:line="440" w:lineRule="exact"/>
        <w:ind w:left="420" w:hanging="420" w:hangingChars="20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9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计量单位：采用国家法定计量单位，如：m（米）、s（秒）、min(分）、h（小时）、d（天）、L（升）、kg（千克）、hm</w:t>
      </w:r>
      <w:r>
        <w:rPr>
          <w:color w:val="000000"/>
          <w:sz w:val="21"/>
          <w:szCs w:val="21"/>
          <w:vertAlign w:val="superscript"/>
          <w:lang w:val="zh-CN"/>
        </w:rPr>
        <w:t>2</w:t>
      </w:r>
      <w:r>
        <w:rPr>
          <w:color w:val="000000"/>
          <w:sz w:val="21"/>
          <w:szCs w:val="21"/>
          <w:lang w:val="zh-CN"/>
        </w:rPr>
        <w:t>（公顷）、t（吨）、Pa（帕斯卡）、mol（摩尔）、cM（厘摩）、U（酶活力单位）等。溶液浓度用mol·L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或mg·L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等表示。M、N、ppm、亩等已停止使用。rpm改为r·min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，1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M改为1 mol·L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，1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N改为0.5 mol·L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，亩（667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m</w:t>
      </w:r>
      <w:r>
        <w:rPr>
          <w:color w:val="000000"/>
          <w:sz w:val="21"/>
          <w:szCs w:val="21"/>
          <w:vertAlign w:val="superscript"/>
          <w:lang w:val="zh-CN"/>
        </w:rPr>
        <w:t>2</w:t>
      </w:r>
      <w:r>
        <w:rPr>
          <w:rFonts w:hint="eastAsia"/>
          <w:color w:val="000000"/>
          <w:sz w:val="21"/>
          <w:szCs w:val="21"/>
          <w:lang w:val="zh-CN"/>
        </w:rPr>
        <w:t>）</w:t>
      </w:r>
      <w:r>
        <w:rPr>
          <w:color w:val="000000"/>
          <w:sz w:val="21"/>
          <w:szCs w:val="21"/>
          <w:lang w:val="zh-CN"/>
        </w:rPr>
        <w:t>转换为公顷（hm</w:t>
      </w:r>
      <w:r>
        <w:rPr>
          <w:color w:val="000000"/>
          <w:sz w:val="21"/>
          <w:szCs w:val="21"/>
          <w:vertAlign w:val="superscript"/>
          <w:lang w:val="zh-CN"/>
        </w:rPr>
        <w:t>2</w:t>
      </w:r>
      <w:r>
        <w:rPr>
          <w:rFonts w:hint="eastAsia"/>
          <w:color w:val="000000"/>
          <w:sz w:val="21"/>
          <w:szCs w:val="21"/>
          <w:lang w:val="zh-CN"/>
        </w:rPr>
        <w:t>）</w:t>
      </w:r>
      <w:r>
        <w:rPr>
          <w:color w:val="000000"/>
          <w:sz w:val="21"/>
          <w:szCs w:val="21"/>
          <w:lang w:val="zh-CN"/>
        </w:rPr>
        <w:t>。单位符号不用于无数字的文句中，如每天不写作每d。数字与单位之间须</w:t>
      </w:r>
      <w:r>
        <w:rPr>
          <w:rFonts w:hint="eastAsia"/>
          <w:color w:val="000000"/>
          <w:sz w:val="21"/>
          <w:szCs w:val="21"/>
        </w:rPr>
        <w:t>空1个字符</w:t>
      </w:r>
      <w:r>
        <w:rPr>
          <w:color w:val="000000"/>
          <w:sz w:val="21"/>
          <w:szCs w:val="21"/>
          <w:lang w:val="zh-CN"/>
        </w:rPr>
        <w:t>。文中数据一律使用阿拉伯数字，外文字母及符号的大小写、正斜体、上下角字母、数字和易混淆的字母必须书写清楚。</w:t>
      </w:r>
    </w:p>
    <w:p w14:paraId="0880B2E3">
      <w:pPr>
        <w:autoSpaceDE w:val="0"/>
        <w:autoSpaceDN w:val="0"/>
        <w:adjustRightInd w:val="0"/>
        <w:spacing w:line="440" w:lineRule="exact"/>
        <w:ind w:left="420" w:hanging="420" w:hangingChars="20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10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参考文献：不列。</w:t>
      </w:r>
    </w:p>
    <w:p w14:paraId="7EED56A2">
      <w:pPr>
        <w:autoSpaceDE w:val="0"/>
        <w:autoSpaceDN w:val="0"/>
        <w:adjustRightInd w:val="0"/>
        <w:spacing w:line="440" w:lineRule="exact"/>
        <w:ind w:left="420" w:hanging="420" w:hangingChars="20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11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其他说明</w:t>
      </w:r>
      <w:r>
        <w:rPr>
          <w:rFonts w:hint="eastAsia"/>
          <w:color w:val="000000"/>
          <w:sz w:val="21"/>
          <w:szCs w:val="21"/>
          <w:lang w:val="zh-CN"/>
        </w:rPr>
        <w:t>：</w:t>
      </w:r>
      <w:r>
        <w:rPr>
          <w:color w:val="000000"/>
          <w:sz w:val="21"/>
          <w:szCs w:val="21"/>
          <w:lang w:val="zh-CN"/>
        </w:rPr>
        <w:t>本文集仅接</w:t>
      </w:r>
      <w:r>
        <w:rPr>
          <w:rFonts w:hint="eastAsia"/>
          <w:color w:val="000000"/>
          <w:sz w:val="21"/>
          <w:szCs w:val="21"/>
        </w:rPr>
        <w:t>收word版</w:t>
      </w:r>
      <w:r>
        <w:rPr>
          <w:color w:val="000000"/>
          <w:sz w:val="21"/>
          <w:szCs w:val="21"/>
          <w:lang w:val="zh-CN"/>
        </w:rPr>
        <w:t>电子稿件，投稿时请在稿件篇尾注明联系人</w:t>
      </w:r>
      <w:r>
        <w:rPr>
          <w:rFonts w:hint="eastAsia"/>
          <w:color w:val="000000"/>
          <w:sz w:val="21"/>
          <w:szCs w:val="21"/>
        </w:rPr>
        <w:t>姓名、</w:t>
      </w:r>
      <w:r>
        <w:rPr>
          <w:color w:val="000000"/>
          <w:sz w:val="21"/>
          <w:szCs w:val="21"/>
          <w:lang w:val="zh-CN"/>
        </w:rPr>
        <w:t>手机</w:t>
      </w:r>
      <w:r>
        <w:rPr>
          <w:rFonts w:hint="eastAsia"/>
          <w:color w:val="000000"/>
          <w:sz w:val="21"/>
          <w:szCs w:val="21"/>
        </w:rPr>
        <w:t>号码及</w:t>
      </w:r>
      <w:r>
        <w:rPr>
          <w:color w:val="000000"/>
          <w:sz w:val="21"/>
          <w:szCs w:val="21"/>
          <w:lang w:val="zh-CN"/>
        </w:rPr>
        <w:t>E-mail。</w:t>
      </w:r>
    </w:p>
    <w:p w14:paraId="2D48A52F">
      <w:pPr>
        <w:spacing w:line="440" w:lineRule="exact"/>
        <w:ind w:left="420" w:hanging="420" w:hangingChars="200"/>
        <w:rPr>
          <w:sz w:val="21"/>
          <w:szCs w:val="21"/>
        </w:rPr>
      </w:pPr>
      <w:r>
        <w:rPr>
          <w:sz w:val="21"/>
          <w:szCs w:val="21"/>
        </w:rPr>
        <w:t>12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sz w:val="21"/>
          <w:szCs w:val="21"/>
        </w:rPr>
        <w:t>投稿截止日期：</w:t>
      </w:r>
      <w:r>
        <w:rPr>
          <w:b/>
          <w:bCs/>
          <w:color w:val="FF0000"/>
          <w:spacing w:val="-2"/>
          <w:sz w:val="21"/>
          <w:szCs w:val="21"/>
        </w:rPr>
        <w:t>202</w:t>
      </w:r>
      <w:r>
        <w:rPr>
          <w:rFonts w:hint="eastAsia"/>
          <w:b/>
          <w:bCs/>
          <w:color w:val="FF0000"/>
          <w:spacing w:val="-2"/>
          <w:sz w:val="21"/>
          <w:szCs w:val="21"/>
        </w:rPr>
        <w:t>5</w:t>
      </w:r>
      <w:r>
        <w:rPr>
          <w:b/>
          <w:bCs/>
          <w:color w:val="FF0000"/>
          <w:spacing w:val="-2"/>
          <w:sz w:val="21"/>
          <w:szCs w:val="21"/>
        </w:rPr>
        <w:t>年</w:t>
      </w:r>
      <w:r>
        <w:rPr>
          <w:rFonts w:hint="eastAsia"/>
          <w:b/>
          <w:bCs/>
          <w:color w:val="FF0000"/>
          <w:spacing w:val="-2"/>
          <w:sz w:val="21"/>
          <w:szCs w:val="21"/>
          <w:lang w:val="en-US" w:eastAsia="zh-CN"/>
        </w:rPr>
        <w:t>8</w:t>
      </w:r>
      <w:r>
        <w:rPr>
          <w:b/>
          <w:bCs/>
          <w:color w:val="FF0000"/>
          <w:spacing w:val="-2"/>
          <w:sz w:val="21"/>
          <w:szCs w:val="21"/>
        </w:rPr>
        <w:t>月</w:t>
      </w:r>
      <w:r>
        <w:rPr>
          <w:rFonts w:hint="eastAsia"/>
          <w:b/>
          <w:bCs/>
          <w:color w:val="FF0000"/>
          <w:spacing w:val="-2"/>
          <w:sz w:val="21"/>
          <w:szCs w:val="21"/>
          <w:lang w:val="en-US" w:eastAsia="zh-CN"/>
        </w:rPr>
        <w:t>8</w:t>
      </w:r>
      <w:r>
        <w:rPr>
          <w:b/>
          <w:bCs/>
          <w:color w:val="FF0000"/>
          <w:spacing w:val="-2"/>
          <w:sz w:val="21"/>
          <w:szCs w:val="21"/>
        </w:rPr>
        <w:t>日</w:t>
      </w:r>
      <w:r>
        <w:rPr>
          <w:sz w:val="21"/>
          <w:szCs w:val="21"/>
        </w:rPr>
        <w:t>，逾期不予受理。</w:t>
      </w:r>
    </w:p>
    <w:p w14:paraId="1F485879">
      <w:pPr>
        <w:widowControl/>
        <w:spacing w:line="440" w:lineRule="exact"/>
        <w:ind w:left="420" w:hanging="420" w:hangingChars="200"/>
        <w:jc w:val="left"/>
        <w:rPr>
          <w:b/>
          <w:sz w:val="28"/>
          <w:szCs w:val="28"/>
        </w:rPr>
      </w:pPr>
      <w:r>
        <w:rPr>
          <w:sz w:val="21"/>
          <w:szCs w:val="21"/>
        </w:rPr>
        <w:t>13</w:t>
      </w:r>
      <w:r>
        <w:rPr>
          <w:rFonts w:hint="eastAsia"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>论文摘要请发至会务</w:t>
      </w:r>
      <w:r>
        <w:rPr>
          <w:rFonts w:hint="eastAsia"/>
          <w:sz w:val="21"/>
          <w:szCs w:val="21"/>
        </w:rPr>
        <w:t>组统一</w:t>
      </w:r>
      <w:r>
        <w:rPr>
          <w:sz w:val="21"/>
          <w:szCs w:val="21"/>
        </w:rPr>
        <w:t>邮箱：</w:t>
      </w:r>
      <w:r>
        <w:rPr>
          <w:rFonts w:hint="eastAsia"/>
          <w:sz w:val="24"/>
        </w:rPr>
        <w:t>sfangelos@163.com</w:t>
      </w:r>
      <w:r>
        <w:rPr>
          <w:sz w:val="21"/>
          <w:szCs w:val="21"/>
        </w:rPr>
        <w:t>。</w:t>
      </w:r>
    </w:p>
    <w:p w14:paraId="39156B76">
      <w:pPr>
        <w:widowControl/>
        <w:spacing w:line="440" w:lineRule="exact"/>
        <w:ind w:left="562" w:hanging="562" w:hangingChars="200"/>
        <w:jc w:val="left"/>
        <w:rPr>
          <w:b/>
          <w:sz w:val="28"/>
          <w:szCs w:val="28"/>
        </w:rPr>
      </w:pPr>
    </w:p>
    <w:p w14:paraId="39FF3F84">
      <w:pPr>
        <w:widowControl/>
        <w:spacing w:line="440" w:lineRule="exact"/>
        <w:ind w:left="-22" w:leftChars="-71" w:hanging="120" w:hangingChars="50"/>
        <w:jc w:val="left"/>
        <w:rPr>
          <w:b/>
          <w:sz w:val="24"/>
        </w:rPr>
      </w:pPr>
      <w:bookmarkStart w:id="2" w:name="_Toc488761190"/>
      <w:r>
        <w:rPr>
          <w:b/>
          <w:sz w:val="24"/>
        </w:rPr>
        <w:t>论文摘要模板</w:t>
      </w:r>
    </w:p>
    <w:p w14:paraId="6C09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大豆种质重要性状相关SNPs遗传变异特点</w:t>
      </w:r>
      <w:bookmarkEnd w:id="2"/>
    </w:p>
    <w:p w14:paraId="6915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>魏中艳，刘章雄，邱丽娟</w:t>
      </w:r>
    </w:p>
    <w:p w14:paraId="0865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</w:t>
      </w:r>
      <w:r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  <w:lang w:eastAsia="zh-CN"/>
        </w:rPr>
        <w:t>农作物基因资源与遗传改良国家重大科学工程/农业部北京大豆生物学重点实验室/中国农业科学院作物科学研究所，北京 100081)</w:t>
      </w:r>
    </w:p>
    <w:p w14:paraId="5CB03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/>
        </w:rPr>
        <w:t>关键词：大豆；遗传结构；SNPs；遗传多样性</w:t>
      </w:r>
    </w:p>
    <w:p w14:paraId="467C8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>Ge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 xml:space="preserve">netic 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</w:rPr>
        <w:t>variation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 xml:space="preserve"> of 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>SNPs related to important traits of soybean germplasm</w:t>
      </w:r>
    </w:p>
    <w:p w14:paraId="2E99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>W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 xml:space="preserve">EI 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>Zhong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>yan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 xml:space="preserve">, LIU Zhang-xiong, 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>Q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 xml:space="preserve">IU 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>Li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eastAsia="en-US"/>
        </w:rPr>
        <w:t>juan</w:t>
      </w:r>
    </w:p>
    <w:p w14:paraId="162DC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kern w:val="2"/>
          <w:sz w:val="21"/>
          <w:szCs w:val="21"/>
        </w:rPr>
        <w:t>(National Key Facility for Crop Gene Resources and Genetic Improvement (NFCRI) / Key Lab of Soybean Biology, Ministry of Agriculture, Institute of Crop Sciences, Chinese Academy of Agricultural Sciences, Beijing 100081, China)</w:t>
      </w:r>
    </w:p>
    <w:p w14:paraId="3F83F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eastAsia="en-US"/>
        </w:rPr>
        <w:t xml:space="preserve">Keywords: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eastAsia="en-US"/>
        </w:rPr>
        <w:t>oybean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>; G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eastAsia="en-US"/>
        </w:rPr>
        <w:t>enetic structure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 xml:space="preserve">;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eastAsia="en-US"/>
        </w:rPr>
        <w:t>SNPs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</w:rPr>
        <w:t>; G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eastAsia="en-US"/>
        </w:rPr>
        <w:t>enetic diversity</w:t>
      </w:r>
    </w:p>
    <w:p w14:paraId="01D7EBC7">
      <w:pPr>
        <w:spacing w:before="156" w:beforeLines="50" w:line="288" w:lineRule="auto"/>
        <w:ind w:firstLine="400" w:firstLineChars="200"/>
        <w:rPr>
          <w:szCs w:val="21"/>
        </w:rPr>
      </w:pPr>
      <w:r>
        <w:rPr>
          <w:szCs w:val="21"/>
        </w:rPr>
        <w:t>大豆种质资源</w:t>
      </w:r>
      <w:r>
        <w:rPr>
          <w:rFonts w:hint="eastAsia"/>
          <w:szCs w:val="21"/>
        </w:rPr>
        <w:t>遗传多样性的</w:t>
      </w:r>
      <w:r>
        <w:rPr>
          <w:szCs w:val="21"/>
        </w:rPr>
        <w:t>传统鉴定方法是根据农艺性状来分析其遗传变异。随着品种资源数目的增加，仅仅基于这些特性</w:t>
      </w:r>
      <w:r>
        <w:rPr>
          <w:rFonts w:hint="eastAsia"/>
          <w:szCs w:val="21"/>
        </w:rPr>
        <w:t>还不能完全反映资源遗传变异的全貌。</w:t>
      </w:r>
      <w:r>
        <w:rPr>
          <w:szCs w:val="21"/>
        </w:rPr>
        <w:t>本研究的实验材料为599份大豆种质</w:t>
      </w:r>
      <w:r>
        <w:rPr>
          <w:rFonts w:hint="eastAsia"/>
          <w:szCs w:val="21"/>
        </w:rPr>
        <w:t>，</w:t>
      </w:r>
      <w:r>
        <w:rPr>
          <w:color w:val="000000"/>
          <w:szCs w:val="21"/>
        </w:rPr>
        <w:t>选用分布在13个基因</w:t>
      </w:r>
      <w:r>
        <w:rPr>
          <w:szCs w:val="21"/>
        </w:rPr>
        <w:t>的23个SNPs标记对这些大豆种质进行基因型鉴定和遗传多样性分析。结果表明，SNP标记的遗传多样性指数范围0~0.722，其中3个SNPs无多态性，2个SNPs为特异等位变异。</w:t>
      </w:r>
      <w:r>
        <w:rPr>
          <w:szCs w:val="21"/>
          <w:shd w:val="clear" w:color="auto" w:fill="FFFFFF"/>
        </w:rPr>
        <w:t>供试的品种中</w:t>
      </w:r>
      <w:r>
        <w:rPr>
          <w:szCs w:val="21"/>
        </w:rPr>
        <w:t>北方生态区208个品种间的平均遗传相似系数为0.8295；黄淮海生态区245个品种间的平均遗传相似系数为0.7941；南方生态区146个品种间的平均遗传相似系数为0.7982。即北方生态区品种间遗传差异最大，南方生态区次之，黄淮海生态区品种间遗传差异最小。其中有3个SNP位点主要基因型与种质来源具有一定的规律性，即绒毛色相关SNP位点TT8，熟期相关SNP位点TT11和花叶病毒病相关SNP位点SER32在三个生态类型中的基因型分布存在显著差异，随着纬度的降低，TT8的主要基因型A变异频率由34.3%增加到85.5%，TT11的主要基因型A变异频率由84.0%减少到33.1%，SER32的主要基因型G变异频率由81.2%减少到45.1%。</w:t>
      </w:r>
      <w:r>
        <w:rPr>
          <w:rFonts w:hint="eastAsia"/>
          <w:szCs w:val="21"/>
        </w:rPr>
        <w:t>这些</w:t>
      </w:r>
      <w:r>
        <w:rPr>
          <w:szCs w:val="21"/>
        </w:rPr>
        <w:t>研究</w:t>
      </w:r>
      <w:r>
        <w:rPr>
          <w:rFonts w:hint="eastAsia"/>
          <w:szCs w:val="21"/>
        </w:rPr>
        <w:t>结果</w:t>
      </w:r>
      <w:r>
        <w:rPr>
          <w:szCs w:val="21"/>
        </w:rPr>
        <w:t>表明，大豆重要性状相关SNPs在大豆种质中变异广泛，一些SNPs与大豆种质来源呈现显著相关。通过对重要性状相关SNPs位点进行鉴定，可以从遗传水平上解析大豆重要性状遗传变异规律，为大豆种质的</w:t>
      </w:r>
      <w:r>
        <w:rPr>
          <w:rFonts w:hint="eastAsia"/>
          <w:szCs w:val="21"/>
        </w:rPr>
        <w:t>全面解析和利用</w:t>
      </w:r>
      <w:r>
        <w:rPr>
          <w:szCs w:val="21"/>
        </w:rPr>
        <w:t>提供理论基础</w:t>
      </w:r>
      <w:r>
        <w:rPr>
          <w:rFonts w:hint="eastAsia"/>
          <w:szCs w:val="21"/>
        </w:rPr>
        <w:t>、</w:t>
      </w:r>
      <w:r>
        <w:rPr>
          <w:szCs w:val="21"/>
        </w:rPr>
        <w:t>技术</w:t>
      </w:r>
      <w:r>
        <w:rPr>
          <w:rFonts w:hint="eastAsia"/>
          <w:szCs w:val="21"/>
        </w:rPr>
        <w:t>和材料支撑</w:t>
      </w:r>
      <w:r>
        <w:rPr>
          <w:szCs w:val="21"/>
        </w:rPr>
        <w:t>。</w:t>
      </w:r>
    </w:p>
    <w:p w14:paraId="0E627078">
      <w:pPr>
        <w:spacing w:line="400" w:lineRule="exact"/>
        <w:ind w:firstLine="400" w:firstLineChars="200"/>
        <w:rPr>
          <w:rFonts w:eastAsia="等线"/>
          <w:szCs w:val="21"/>
        </w:rPr>
      </w:pPr>
    </w:p>
    <w:p w14:paraId="62425DCD">
      <w:pPr>
        <w:rPr>
          <w:szCs w:val="21"/>
        </w:rPr>
      </w:pPr>
      <w:r>
        <w:rPr>
          <w:b/>
          <w:color w:val="000000"/>
          <w:szCs w:val="21"/>
        </w:rPr>
        <w:t>联系人：</w:t>
      </w:r>
      <w:r>
        <w:rPr>
          <w:color w:val="000000"/>
          <w:szCs w:val="21"/>
        </w:rPr>
        <w:t>邱丽娟，010-82105840，qiulijuan@caas.cn</w:t>
      </w:r>
    </w:p>
    <w:p w14:paraId="06A27A32"/>
    <w:p w14:paraId="76B1E8C7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2025-07-25T06:35:09Z</dcterms:created>
  <dc:creator>PC</dc:creator>
  <cp:lastModifiedBy>小杨</cp:lastModifiedBy>
  <dcterms:modified xsi:type="dcterms:W3CDTF">2025-07-25T06:35:33Z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FC49D10B7F0E42EC84FF29B24B2194F5_12</vt:lpwstr>
  </property>
</Properties>
</file>